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7C349">
      <w:pPr>
        <w:pStyle w:val="51"/>
        <w:snapToGrid w:val="0"/>
        <w:spacing w:beforeLines="50"/>
        <w:jc w:val="center"/>
        <w:rPr>
          <w:rFonts w:ascii="宋体" w:hAnsi="宋体" w:cs="Calibri"/>
          <w:b/>
          <w:sz w:val="84"/>
          <w:szCs w:val="84"/>
        </w:rPr>
      </w:pPr>
    </w:p>
    <w:p w14:paraId="7602C7DB">
      <w:pPr>
        <w:pStyle w:val="51"/>
        <w:snapToGrid w:val="0"/>
        <w:spacing w:beforeLines="50"/>
        <w:jc w:val="center"/>
        <w:rPr>
          <w:rFonts w:ascii="宋体" w:hAnsi="宋体" w:cs="Calibri"/>
          <w:b/>
          <w:sz w:val="84"/>
          <w:szCs w:val="84"/>
        </w:rPr>
      </w:pPr>
    </w:p>
    <w:p w14:paraId="3E69033D">
      <w:pPr>
        <w:pStyle w:val="51"/>
        <w:snapToGrid w:val="0"/>
        <w:spacing w:beforeLines="50"/>
        <w:jc w:val="center"/>
        <w:rPr>
          <w:rFonts w:ascii="仿宋_GB2312" w:hAnsi="仿宋_GB2312"/>
          <w:b/>
          <w:bCs/>
          <w:sz w:val="84"/>
          <w:szCs w:val="84"/>
        </w:rPr>
      </w:pPr>
      <w:r>
        <w:rPr>
          <w:rFonts w:hint="eastAsia" w:ascii="宋体" w:hAnsi="宋体" w:cs="Calibri"/>
          <w:b/>
          <w:sz w:val="84"/>
          <w:szCs w:val="84"/>
        </w:rPr>
        <w:t>竞价文件</w:t>
      </w:r>
    </w:p>
    <w:p w14:paraId="5A3C4B38">
      <w:pPr>
        <w:pStyle w:val="51"/>
        <w:spacing w:line="360" w:lineRule="auto"/>
        <w:jc w:val="center"/>
        <w:rPr>
          <w:rFonts w:ascii="宋体" w:hAnsi="宋体" w:cs="Calibri"/>
          <w:b/>
          <w:bCs/>
          <w:sz w:val="24"/>
        </w:rPr>
      </w:pPr>
    </w:p>
    <w:p w14:paraId="3CB1DA4A">
      <w:pPr>
        <w:pStyle w:val="51"/>
        <w:spacing w:line="360" w:lineRule="auto"/>
        <w:rPr>
          <w:rFonts w:ascii="华文中宋" w:hAnsi="华文中宋" w:eastAsia="华文中宋" w:cs="Calibri"/>
          <w:sz w:val="30"/>
          <w:szCs w:val="30"/>
        </w:rPr>
      </w:pPr>
    </w:p>
    <w:p w14:paraId="6F5A857A">
      <w:pPr>
        <w:pStyle w:val="51"/>
        <w:spacing w:line="360" w:lineRule="auto"/>
        <w:rPr>
          <w:rFonts w:ascii="华文中宋" w:hAnsi="华文中宋" w:eastAsia="华文中宋" w:cs="Calibri"/>
          <w:sz w:val="30"/>
          <w:szCs w:val="30"/>
        </w:rPr>
      </w:pPr>
    </w:p>
    <w:p w14:paraId="61A24006">
      <w:pPr>
        <w:pStyle w:val="51"/>
        <w:spacing w:line="360" w:lineRule="auto"/>
        <w:rPr>
          <w:rFonts w:ascii="华文中宋" w:hAnsi="华文中宋" w:eastAsia="华文中宋" w:cs="Calibri"/>
          <w:sz w:val="30"/>
          <w:szCs w:val="30"/>
        </w:rPr>
      </w:pPr>
    </w:p>
    <w:p w14:paraId="63A8AFFC">
      <w:pPr>
        <w:pStyle w:val="51"/>
        <w:spacing w:line="360" w:lineRule="auto"/>
        <w:rPr>
          <w:rFonts w:ascii="华文中宋" w:hAnsi="华文中宋" w:eastAsia="华文中宋" w:cs="Calibri"/>
          <w:sz w:val="30"/>
          <w:szCs w:val="30"/>
        </w:rPr>
      </w:pPr>
    </w:p>
    <w:p w14:paraId="4A1B812C">
      <w:pPr>
        <w:pStyle w:val="51"/>
        <w:spacing w:line="360" w:lineRule="auto"/>
        <w:jc w:val="left"/>
        <w:rPr>
          <w:rFonts w:ascii="宋体" w:hAnsi="宋体" w:cs="Calibri"/>
          <w:b/>
          <w:bCs/>
          <w:sz w:val="28"/>
          <w:szCs w:val="32"/>
        </w:rPr>
      </w:pPr>
      <w:r>
        <w:rPr>
          <w:rFonts w:hint="eastAsia" w:ascii="宋体" w:hAnsi="宋体" w:cs="Calibri"/>
          <w:b/>
          <w:bCs/>
          <w:sz w:val="28"/>
          <w:szCs w:val="32"/>
        </w:rPr>
        <w:t>采购方式：线上竞价</w:t>
      </w:r>
    </w:p>
    <w:p w14:paraId="08D38AC5">
      <w:pPr>
        <w:pStyle w:val="51"/>
        <w:autoSpaceDE w:val="0"/>
        <w:autoSpaceDN w:val="0"/>
        <w:adjustRightInd w:val="0"/>
        <w:snapToGrid w:val="0"/>
        <w:spacing w:line="360" w:lineRule="auto"/>
        <w:ind w:left="1405" w:hanging="1405" w:hangingChars="500"/>
        <w:rPr>
          <w:rFonts w:hint="eastAsia" w:ascii="宋体" w:hAnsi="宋体" w:eastAsia="宋体" w:cs="Calibri"/>
          <w:b/>
          <w:bCs/>
          <w:sz w:val="28"/>
          <w:szCs w:val="32"/>
          <w:lang w:eastAsia="zh-CN"/>
        </w:rPr>
      </w:pPr>
      <w:r>
        <w:rPr>
          <w:rFonts w:hint="eastAsia" w:ascii="宋体" w:hAnsi="宋体" w:cs="Calibri"/>
          <w:b/>
          <w:bCs/>
          <w:sz w:val="28"/>
          <w:szCs w:val="32"/>
        </w:rPr>
        <w:t>项目名称：</w:t>
      </w:r>
      <w:bookmarkStart w:id="0" w:name="_Hlk48529998"/>
      <w:r>
        <w:rPr>
          <w:rFonts w:hint="eastAsia" w:ascii="宋体" w:hAnsi="宋体" w:cs="宋体"/>
          <w:b/>
          <w:bCs/>
          <w:sz w:val="28"/>
          <w:szCs w:val="28"/>
          <w:lang w:eastAsia="zh-CN"/>
        </w:rPr>
        <w:t>2025-2026年佛山顺德分公司中心机房精密空调购买维保服务项目（第二次竞价）</w:t>
      </w:r>
    </w:p>
    <w:p w14:paraId="449C3F91">
      <w:pPr>
        <w:pStyle w:val="51"/>
        <w:tabs>
          <w:tab w:val="left" w:pos="2790"/>
        </w:tabs>
        <w:spacing w:line="360" w:lineRule="auto"/>
        <w:ind w:left="1405" w:hanging="1405" w:hangingChars="500"/>
        <w:jc w:val="left"/>
        <w:rPr>
          <w:rFonts w:ascii="宋体" w:hAnsi="宋体" w:cs="Calibri"/>
          <w:b/>
          <w:bCs/>
          <w:sz w:val="28"/>
          <w:szCs w:val="32"/>
        </w:rPr>
      </w:pPr>
      <w:r>
        <w:rPr>
          <w:rFonts w:hint="eastAsia" w:ascii="宋体" w:hAnsi="宋体" w:cs="Calibri"/>
          <w:b/>
          <w:bCs/>
          <w:sz w:val="28"/>
          <w:szCs w:val="32"/>
        </w:rPr>
        <w:t>项目编号：</w:t>
      </w:r>
      <w:bookmarkEnd w:id="0"/>
      <w:r>
        <w:rPr>
          <w:rFonts w:ascii="宋体" w:hAnsi="宋体" w:eastAsia="宋体" w:cs="宋体"/>
          <w:b/>
          <w:bCs/>
          <w:sz w:val="28"/>
          <w:szCs w:val="28"/>
        </w:rPr>
        <w:t>SDWW202411S361</w:t>
      </w:r>
    </w:p>
    <w:p w14:paraId="5C72AFF1">
      <w:pPr>
        <w:pStyle w:val="51"/>
        <w:autoSpaceDE w:val="0"/>
        <w:autoSpaceDN w:val="0"/>
        <w:adjustRightInd w:val="0"/>
        <w:snapToGrid w:val="0"/>
        <w:spacing w:beforeLines="50" w:afterLines="50" w:line="360" w:lineRule="auto"/>
        <w:jc w:val="center"/>
        <w:rPr>
          <w:rFonts w:ascii="黑体" w:hAnsi="华文中宋" w:eastAsia="黑体" w:cs="华文中宋"/>
          <w:kern w:val="0"/>
          <w:sz w:val="30"/>
          <w:szCs w:val="30"/>
        </w:rPr>
      </w:pPr>
    </w:p>
    <w:p w14:paraId="6FA17283">
      <w:pPr>
        <w:pStyle w:val="51"/>
        <w:autoSpaceDE w:val="0"/>
        <w:autoSpaceDN w:val="0"/>
        <w:adjustRightInd w:val="0"/>
        <w:snapToGrid w:val="0"/>
        <w:spacing w:beforeLines="50" w:afterLines="50" w:line="360" w:lineRule="auto"/>
        <w:jc w:val="left"/>
        <w:rPr>
          <w:rFonts w:ascii="黑体" w:hAnsi="华文中宋" w:eastAsia="黑体" w:cs="华文中宋"/>
          <w:kern w:val="0"/>
          <w:sz w:val="30"/>
          <w:szCs w:val="30"/>
        </w:rPr>
      </w:pPr>
    </w:p>
    <w:p w14:paraId="0029F44B">
      <w:pPr>
        <w:pStyle w:val="51"/>
        <w:autoSpaceDE w:val="0"/>
        <w:autoSpaceDN w:val="0"/>
        <w:adjustRightInd w:val="0"/>
        <w:snapToGrid w:val="0"/>
        <w:spacing w:line="360" w:lineRule="auto"/>
        <w:ind w:left="420" w:firstLine="420"/>
        <w:jc w:val="center"/>
        <w:rPr>
          <w:rFonts w:ascii="仿宋_GB2312" w:hAnsi="仿宋_GB2312" w:cs="Calibri"/>
          <w:b/>
          <w:bCs/>
          <w:sz w:val="28"/>
          <w:szCs w:val="32"/>
        </w:rPr>
      </w:pPr>
      <w:r>
        <w:rPr>
          <w:rFonts w:hint="eastAsia" w:ascii="仿宋_GB2312" w:hAnsi="仿宋_GB2312" w:cs="Calibri"/>
          <w:b/>
          <w:bCs/>
          <w:sz w:val="28"/>
          <w:szCs w:val="32"/>
        </w:rPr>
        <w:t>广东省广播电视网络股份有限公司佛山顺德分公司</w:t>
      </w:r>
    </w:p>
    <w:p w14:paraId="57DECB27">
      <w:pPr>
        <w:pStyle w:val="51"/>
        <w:autoSpaceDE w:val="0"/>
        <w:autoSpaceDN w:val="0"/>
        <w:adjustRightInd w:val="0"/>
        <w:snapToGrid w:val="0"/>
        <w:spacing w:line="360" w:lineRule="auto"/>
        <w:ind w:left="420" w:firstLine="420"/>
        <w:jc w:val="center"/>
        <w:rPr>
          <w:rFonts w:ascii="仿宋_GB2312" w:hAnsi="仿宋_GB2312" w:cs="Calibri"/>
          <w:b/>
          <w:bCs/>
          <w:sz w:val="28"/>
          <w:szCs w:val="32"/>
        </w:rPr>
      </w:pPr>
      <w:r>
        <w:rPr>
          <w:rFonts w:hint="eastAsia" w:ascii="仿宋_GB2312" w:hAnsi="仿宋_GB2312" w:cs="Calibri"/>
          <w:b/>
          <w:bCs/>
          <w:sz w:val="28"/>
          <w:szCs w:val="32"/>
        </w:rPr>
        <w:t>采联国际招标采购集团有限公司</w:t>
      </w:r>
    </w:p>
    <w:p w14:paraId="1209868B">
      <w:pPr>
        <w:pStyle w:val="51"/>
        <w:autoSpaceDE w:val="0"/>
        <w:autoSpaceDN w:val="0"/>
        <w:adjustRightInd w:val="0"/>
        <w:snapToGrid w:val="0"/>
        <w:spacing w:line="360" w:lineRule="auto"/>
        <w:ind w:left="420" w:firstLine="420"/>
        <w:jc w:val="center"/>
        <w:rPr>
          <w:rFonts w:ascii="仿宋_GB2312" w:hAnsi="仿宋_GB2312" w:cs="Calibri"/>
          <w:b/>
          <w:sz w:val="28"/>
          <w:szCs w:val="22"/>
        </w:rPr>
      </w:pPr>
      <w:r>
        <w:rPr>
          <w:rFonts w:hint="eastAsia" w:ascii="仿宋_GB2312" w:hAnsi="仿宋_GB2312" w:cs="Calibri"/>
          <w:b/>
          <w:sz w:val="28"/>
          <w:szCs w:val="21"/>
        </w:rPr>
        <w:t>二零二四年十</w:t>
      </w:r>
      <w:r>
        <w:rPr>
          <w:rFonts w:hint="eastAsia" w:ascii="仿宋_GB2312" w:hAnsi="仿宋_GB2312" w:cs="Calibri"/>
          <w:b/>
          <w:sz w:val="28"/>
          <w:szCs w:val="21"/>
          <w:lang w:val="en-US" w:eastAsia="zh-CN"/>
        </w:rPr>
        <w:t>二</w:t>
      </w:r>
      <w:r>
        <w:rPr>
          <w:rFonts w:hint="eastAsia" w:ascii="仿宋_GB2312" w:hAnsi="仿宋_GB2312" w:cs="Calibri"/>
          <w:b/>
          <w:sz w:val="28"/>
          <w:szCs w:val="21"/>
        </w:rPr>
        <w:t>月</w:t>
      </w:r>
    </w:p>
    <w:p w14:paraId="097AE6B0">
      <w:pPr>
        <w:pStyle w:val="51"/>
        <w:autoSpaceDE w:val="0"/>
        <w:autoSpaceDN w:val="0"/>
        <w:adjustRightInd w:val="0"/>
        <w:snapToGrid w:val="0"/>
        <w:spacing w:line="360" w:lineRule="auto"/>
        <w:ind w:left="420" w:firstLine="420"/>
        <w:jc w:val="center"/>
        <w:rPr>
          <w:rFonts w:ascii="仿宋_GB2312" w:hAnsi="仿宋_GB2312" w:cs="Calibri"/>
          <w:sz w:val="28"/>
          <w:szCs w:val="21"/>
        </w:rPr>
      </w:pPr>
    </w:p>
    <w:p w14:paraId="5DB37FC3">
      <w:pPr>
        <w:jc w:val="center"/>
        <w:outlineLvl w:val="0"/>
        <w:rPr>
          <w:rFonts w:ascii="Cambria" w:hAnsi="Cambria" w:cs="宋体"/>
          <w:b/>
          <w:bCs/>
          <w:sz w:val="32"/>
          <w:szCs w:val="32"/>
        </w:rPr>
      </w:pPr>
      <w:r>
        <w:rPr>
          <w:rFonts w:ascii="Calibri" w:hAnsi="Calibri"/>
          <w:b/>
          <w:sz w:val="44"/>
          <w:szCs w:val="44"/>
        </w:rPr>
        <w:br w:type="page"/>
      </w:r>
      <w:r>
        <w:rPr>
          <w:rFonts w:hint="eastAsia" w:ascii="Cambria" w:hAnsi="Cambria" w:cs="宋体"/>
          <w:b/>
          <w:bCs/>
          <w:sz w:val="32"/>
          <w:szCs w:val="32"/>
        </w:rPr>
        <w:t>第一章</w:t>
      </w:r>
      <w:r>
        <w:rPr>
          <w:rFonts w:ascii="Cambria" w:hAnsi="Cambria" w:cs="宋体"/>
          <w:b/>
          <w:bCs/>
          <w:sz w:val="32"/>
          <w:szCs w:val="32"/>
        </w:rPr>
        <w:t xml:space="preserve"> </w:t>
      </w:r>
      <w:r>
        <w:rPr>
          <w:rFonts w:hint="eastAsia" w:ascii="Cambria" w:hAnsi="Cambria" w:cs="宋体"/>
          <w:b/>
          <w:bCs/>
          <w:sz w:val="32"/>
          <w:szCs w:val="32"/>
        </w:rPr>
        <w:t>竞价须知</w:t>
      </w:r>
    </w:p>
    <w:p w14:paraId="1F93C8FF">
      <w:pPr>
        <w:numPr>
          <w:ilvl w:val="0"/>
          <w:numId w:val="1"/>
        </w:numPr>
        <w:spacing w:line="360" w:lineRule="auto"/>
        <w:rPr>
          <w:rFonts w:ascii="宋体" w:hAnsi="宋体"/>
          <w:szCs w:val="21"/>
        </w:rPr>
      </w:pPr>
      <w:r>
        <w:rPr>
          <w:rFonts w:hint="eastAsia" w:ascii="宋体" w:hAnsi="宋体" w:cs="宋体"/>
          <w:szCs w:val="21"/>
        </w:rPr>
        <w:t>本项目通过云采链线上采购一体化平台进行竞价，参与竞价的供应商必须登录平台进行注册，注册成功后方可参与项目竞价。</w:t>
      </w:r>
    </w:p>
    <w:p w14:paraId="78607923">
      <w:pPr>
        <w:numPr>
          <w:ilvl w:val="0"/>
          <w:numId w:val="1"/>
        </w:numPr>
        <w:spacing w:line="360" w:lineRule="auto"/>
        <w:rPr>
          <w:rFonts w:ascii="宋体" w:hAnsi="宋体"/>
          <w:szCs w:val="21"/>
        </w:rPr>
      </w:pPr>
      <w:r>
        <w:rPr>
          <w:rFonts w:hint="eastAsia" w:ascii="宋体" w:hAnsi="宋体"/>
          <w:szCs w:val="21"/>
        </w:rPr>
        <w:t>语言要求</w:t>
      </w:r>
    </w:p>
    <w:p w14:paraId="0C276E15">
      <w:pPr>
        <w:spacing w:line="360" w:lineRule="auto"/>
        <w:ind w:left="420"/>
        <w:rPr>
          <w:rFonts w:ascii="宋体" w:hAnsi="宋体"/>
          <w:szCs w:val="21"/>
        </w:rPr>
      </w:pPr>
      <w:r>
        <w:rPr>
          <w:rFonts w:hint="eastAsia"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E6B4367">
      <w:pPr>
        <w:numPr>
          <w:ilvl w:val="0"/>
          <w:numId w:val="1"/>
        </w:numPr>
        <w:spacing w:line="360" w:lineRule="auto"/>
        <w:rPr>
          <w:rFonts w:ascii="宋体" w:hAnsi="宋体"/>
          <w:szCs w:val="21"/>
        </w:rPr>
      </w:pPr>
      <w:r>
        <w:rPr>
          <w:rFonts w:hint="eastAsia" w:ascii="宋体" w:hAnsi="宋体"/>
          <w:szCs w:val="21"/>
        </w:rPr>
        <w:t xml:space="preserve">在云采链平台参与项目竞价后放弃成交资格超过三次（含三次）的供应商连同该供应商同一法人名下所有公司将被列入平台黑名单，永久不得参与平台的项目竞价。  </w:t>
      </w:r>
    </w:p>
    <w:p w14:paraId="4D9B73DD">
      <w:pPr>
        <w:numPr>
          <w:ilvl w:val="0"/>
          <w:numId w:val="1"/>
        </w:numPr>
        <w:spacing w:line="360" w:lineRule="auto"/>
        <w:rPr>
          <w:rFonts w:ascii="宋体" w:hAnsi="宋体"/>
          <w:szCs w:val="21"/>
        </w:rPr>
      </w:pPr>
      <w:r>
        <w:rPr>
          <w:rFonts w:hint="eastAsia" w:ascii="宋体" w:hAnsi="宋体" w:cs="宋体"/>
          <w:szCs w:val="21"/>
        </w:rPr>
        <w:t>竞价须知</w:t>
      </w:r>
    </w:p>
    <w:p w14:paraId="64DE2CC2">
      <w:pPr>
        <w:numPr>
          <w:ilvl w:val="0"/>
          <w:numId w:val="2"/>
        </w:numPr>
        <w:spacing w:line="360" w:lineRule="auto"/>
        <w:rPr>
          <w:rFonts w:ascii="宋体" w:hAnsi="宋体"/>
          <w:b/>
          <w:bCs/>
          <w:szCs w:val="21"/>
        </w:rPr>
      </w:pPr>
      <w:r>
        <w:rPr>
          <w:rFonts w:hint="eastAsia" w:ascii="宋体" w:hAnsi="宋体" w:cs="宋体"/>
          <w:b/>
          <w:bCs/>
          <w:szCs w:val="21"/>
        </w:rPr>
        <w:t>竞价说明</w:t>
      </w:r>
    </w:p>
    <w:p w14:paraId="7081E879">
      <w:pPr>
        <w:numPr>
          <w:ilvl w:val="0"/>
          <w:numId w:val="3"/>
        </w:numPr>
        <w:spacing w:line="360" w:lineRule="auto"/>
        <w:rPr>
          <w:rFonts w:ascii="宋体" w:hAnsi="宋体"/>
          <w:szCs w:val="21"/>
        </w:rPr>
      </w:pPr>
      <w:r>
        <w:rPr>
          <w:rFonts w:hint="eastAsia" w:ascii="宋体" w:hAnsi="宋体" w:cs="宋体"/>
          <w:szCs w:val="21"/>
        </w:rPr>
        <w:t>参与竞价的供应商应承担所有与准备和参加竞价有关的费用，不</w:t>
      </w:r>
      <w:r>
        <w:rPr>
          <w:rFonts w:hint="eastAsia" w:ascii="宋体" w:hAnsi="宋体" w:cs="宋体"/>
          <w:szCs w:val="21"/>
          <w:lang w:eastAsia="zh-TW"/>
        </w:rPr>
        <w:t>论</w:t>
      </w:r>
      <w:r>
        <w:rPr>
          <w:rFonts w:hint="eastAsia" w:ascii="宋体" w:hAnsi="宋体" w:cs="宋体"/>
          <w:szCs w:val="21"/>
        </w:rPr>
        <w:t>竞价</w:t>
      </w:r>
      <w:r>
        <w:rPr>
          <w:rFonts w:hint="eastAsia" w:ascii="宋体" w:hAnsi="宋体" w:cs="宋体"/>
          <w:szCs w:val="21"/>
          <w:lang w:eastAsia="zh-TW"/>
        </w:rPr>
        <w:t>的结果如何</w:t>
      </w:r>
      <w:r>
        <w:rPr>
          <w:rFonts w:hint="eastAsia" w:ascii="宋体" w:hAnsi="宋体" w:cs="宋体"/>
          <w:szCs w:val="21"/>
        </w:rPr>
        <w:t>，采购</w:t>
      </w:r>
      <w:r>
        <w:rPr>
          <w:rFonts w:hint="eastAsia" w:ascii="宋体" w:hAnsi="宋体" w:cs="宋体"/>
          <w:szCs w:val="21"/>
          <w:lang w:eastAsia="zh-TW"/>
        </w:rPr>
        <w:t>人</w:t>
      </w:r>
      <w:r>
        <w:rPr>
          <w:rFonts w:hint="eastAsia" w:ascii="宋体" w:hAnsi="宋体" w:cs="宋体"/>
          <w:szCs w:val="21"/>
        </w:rPr>
        <w:t>和</w:t>
      </w:r>
      <w:r>
        <w:rPr>
          <w:rFonts w:hint="eastAsia" w:ascii="宋体" w:hAnsi="宋体" w:cs="宋体"/>
          <w:szCs w:val="21"/>
          <w:lang w:eastAsia="zh-TW"/>
        </w:rPr>
        <w:t>代理机构均无义务和责任承担这些费用</w:t>
      </w:r>
      <w:r>
        <w:rPr>
          <w:rFonts w:hint="eastAsia" w:ascii="宋体" w:hAnsi="宋体" w:cs="宋体"/>
          <w:szCs w:val="21"/>
        </w:rPr>
        <w:t>。</w:t>
      </w:r>
    </w:p>
    <w:p w14:paraId="563183EA">
      <w:pPr>
        <w:numPr>
          <w:ilvl w:val="0"/>
          <w:numId w:val="3"/>
        </w:numPr>
        <w:spacing w:line="360" w:lineRule="auto"/>
        <w:rPr>
          <w:rFonts w:ascii="宋体" w:hAnsi="宋体"/>
          <w:szCs w:val="21"/>
        </w:rPr>
      </w:pPr>
      <w:r>
        <w:rPr>
          <w:rFonts w:hint="eastAsia" w:ascii="宋体" w:hAnsi="宋体" w:cs="宋体"/>
          <w:szCs w:val="21"/>
        </w:rPr>
        <w:t>参与竞价的供应商必须按竞价附件的格式填写，不得增加或删除表格内容。除单价、金额或项目要求填写的内容外，不得擅自改动竞价附件内容，否则将有可能影响成交结果，不推荐为成交候选人。</w:t>
      </w:r>
    </w:p>
    <w:p w14:paraId="47E98F0B">
      <w:pPr>
        <w:numPr>
          <w:ilvl w:val="0"/>
          <w:numId w:val="3"/>
        </w:numPr>
        <w:spacing w:line="360" w:lineRule="auto"/>
        <w:rPr>
          <w:rFonts w:ascii="宋体" w:hAnsi="宋体"/>
          <w:szCs w:val="21"/>
        </w:rPr>
      </w:pPr>
      <w:r>
        <w:rPr>
          <w:rFonts w:hint="eastAsia" w:ascii="宋体" w:hAnsi="宋体" w:cs="宋体"/>
          <w:szCs w:val="21"/>
        </w:rPr>
        <w:t>参与竞价的</w:t>
      </w:r>
      <w:r>
        <w:rPr>
          <w:rFonts w:hint="eastAsia" w:ascii="宋体" w:hAnsi="宋体" w:cs="宋体"/>
          <w:szCs w:val="21"/>
          <w:lang w:val="zh-CN"/>
        </w:rPr>
        <w:t>供应商需对用户需求书的所有条款进行整体响应，用户需求书条款若有一条负偏离或不响应，</w:t>
      </w:r>
      <w:r>
        <w:rPr>
          <w:rFonts w:hint="eastAsia" w:ascii="宋体" w:hAnsi="宋体" w:cs="宋体"/>
          <w:szCs w:val="21"/>
        </w:rPr>
        <w:t>不推荐为成交候选人</w:t>
      </w:r>
      <w:r>
        <w:rPr>
          <w:rFonts w:hint="eastAsia" w:ascii="宋体" w:hAnsi="宋体" w:cs="宋体"/>
          <w:szCs w:val="21"/>
          <w:lang w:val="zh-CN"/>
        </w:rPr>
        <w:t>。</w:t>
      </w:r>
    </w:p>
    <w:p w14:paraId="7DBC3FE0">
      <w:pPr>
        <w:numPr>
          <w:ilvl w:val="0"/>
          <w:numId w:val="3"/>
        </w:numPr>
        <w:spacing w:line="360" w:lineRule="auto"/>
        <w:rPr>
          <w:rFonts w:ascii="宋体" w:hAnsi="宋体"/>
          <w:szCs w:val="21"/>
        </w:rPr>
      </w:pPr>
      <w:r>
        <w:rPr>
          <w:rFonts w:hint="eastAsia" w:ascii="宋体" w:hAnsi="宋体" w:cs="宋体"/>
          <w:szCs w:val="21"/>
        </w:rPr>
        <w:t>若成交供应商自身原因无法完成本项目，则采购人有权利保留追究责任。</w:t>
      </w:r>
    </w:p>
    <w:p w14:paraId="1FBA832C">
      <w:pPr>
        <w:numPr>
          <w:ilvl w:val="0"/>
          <w:numId w:val="3"/>
        </w:numPr>
        <w:spacing w:line="360" w:lineRule="auto"/>
        <w:rPr>
          <w:rFonts w:ascii="宋体" w:hAnsi="宋体"/>
          <w:szCs w:val="21"/>
        </w:rPr>
      </w:pPr>
      <w:r>
        <w:rPr>
          <w:rFonts w:hint="eastAsia" w:ascii="宋体" w:hAnsi="宋体" w:cs="宋体"/>
          <w:szCs w:val="21"/>
        </w:rPr>
        <w:t>成交供应商因自身原因被取消成交资格，采购人可重新启动采购或按竞价公告规定顺延推选符合要求的供应商作为成交供应商。</w:t>
      </w:r>
    </w:p>
    <w:p w14:paraId="6FE05EB0">
      <w:pPr>
        <w:numPr>
          <w:ilvl w:val="0"/>
          <w:numId w:val="3"/>
        </w:numPr>
        <w:spacing w:line="360" w:lineRule="auto"/>
        <w:rPr>
          <w:rFonts w:ascii="宋体" w:hAnsi="宋体"/>
          <w:szCs w:val="21"/>
        </w:rPr>
      </w:pPr>
      <w:r>
        <w:rPr>
          <w:rFonts w:hint="eastAsia" w:ascii="宋体" w:hAnsi="宋体" w:cs="宋体"/>
          <w:szCs w:val="21"/>
        </w:rPr>
        <w:t>若本项目竞价采购失败，采购人将重新采购，届时采购人有权根据项目具体情况，决定重新采购项目的采购方式。</w:t>
      </w:r>
    </w:p>
    <w:p w14:paraId="761B1CC2">
      <w:pPr>
        <w:numPr>
          <w:ilvl w:val="0"/>
          <w:numId w:val="3"/>
        </w:numPr>
        <w:spacing w:line="360" w:lineRule="auto"/>
        <w:rPr>
          <w:rFonts w:ascii="宋体" w:hAnsi="宋体"/>
          <w:szCs w:val="21"/>
        </w:rPr>
      </w:pPr>
      <w:r>
        <w:rPr>
          <w:rFonts w:hint="eastAsia" w:ascii="宋体" w:hAnsi="宋体" w:cs="宋体"/>
          <w:szCs w:val="21"/>
        </w:rPr>
        <w:t>成交供应商若无正当理由恶意放弃成交资格，采购人有权拒绝其参加本项目重新组织的竞价采购活动。</w:t>
      </w:r>
    </w:p>
    <w:p w14:paraId="139BCAF9">
      <w:pPr>
        <w:pStyle w:val="60"/>
        <w:numPr>
          <w:ilvl w:val="0"/>
          <w:numId w:val="3"/>
        </w:numPr>
        <w:spacing w:line="360" w:lineRule="auto"/>
        <w:ind w:firstLineChars="0"/>
        <w:rPr>
          <w:rFonts w:ascii="宋体" w:hAnsi="宋体" w:cs="宋体"/>
          <w:szCs w:val="21"/>
        </w:rPr>
      </w:pPr>
      <w:r>
        <w:rPr>
          <w:rFonts w:hint="eastAsia" w:ascii="宋体" w:hAnsi="宋体" w:cs="宋体"/>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利。</w:t>
      </w:r>
    </w:p>
    <w:p w14:paraId="29033C50">
      <w:pPr>
        <w:numPr>
          <w:ilvl w:val="0"/>
          <w:numId w:val="3"/>
        </w:numPr>
        <w:spacing w:line="360" w:lineRule="auto"/>
        <w:rPr>
          <w:rFonts w:ascii="宋体" w:hAnsi="宋体"/>
          <w:szCs w:val="21"/>
        </w:rPr>
      </w:pPr>
      <w:r>
        <w:rPr>
          <w:rFonts w:hint="eastAsia" w:ascii="宋体" w:hAnsi="宋体" w:cs="宋体"/>
          <w:szCs w:val="21"/>
        </w:rPr>
        <w:t>参与竞价的</w:t>
      </w:r>
      <w:r>
        <w:rPr>
          <w:rFonts w:hint="eastAsia" w:ascii="宋体" w:hAnsi="宋体" w:cs="宋体"/>
          <w:szCs w:val="21"/>
          <w:lang w:eastAsia="zh-TW"/>
        </w:rPr>
        <w:t>供应商向我司咨询的有关项目事项，一切以</w:t>
      </w:r>
      <w:r>
        <w:rPr>
          <w:rFonts w:hint="eastAsia" w:ascii="宋体" w:hAnsi="宋体" w:cs="宋体"/>
          <w:szCs w:val="21"/>
        </w:rPr>
        <w:t>竞价文件</w:t>
      </w:r>
      <w:r>
        <w:rPr>
          <w:rFonts w:hint="eastAsia" w:ascii="宋体" w:hAnsi="宋体" w:cs="宋体"/>
          <w:szCs w:val="21"/>
          <w:lang w:eastAsia="zh-TW"/>
        </w:rPr>
        <w:t>规定</w:t>
      </w:r>
      <w:r>
        <w:rPr>
          <w:rFonts w:hint="eastAsia" w:ascii="宋体" w:hAnsi="宋体" w:cs="宋体"/>
          <w:szCs w:val="21"/>
        </w:rPr>
        <w:t>和竞价公告规定以及</w:t>
      </w:r>
      <w:r>
        <w:rPr>
          <w:rFonts w:hint="eastAsia" w:ascii="宋体" w:hAnsi="宋体" w:cs="宋体"/>
          <w:szCs w:val="21"/>
          <w:lang w:eastAsia="zh-TW"/>
        </w:rPr>
        <w:t>本公司</w:t>
      </w:r>
      <w:r>
        <w:rPr>
          <w:rFonts w:hint="eastAsia" w:ascii="宋体" w:hAnsi="宋体" w:cs="宋体"/>
          <w:szCs w:val="21"/>
        </w:rPr>
        <w:t>的</w:t>
      </w:r>
      <w:r>
        <w:rPr>
          <w:rFonts w:hint="eastAsia" w:ascii="宋体" w:hAnsi="宋体" w:cs="宋体"/>
          <w:szCs w:val="21"/>
          <w:lang w:eastAsia="zh-TW"/>
        </w:rPr>
        <w:t>书面答复为准，其他一切形式均为个人意见，不代表本公司的意见</w:t>
      </w:r>
      <w:r>
        <w:rPr>
          <w:rFonts w:hint="eastAsia" w:ascii="宋体" w:hAnsi="宋体" w:cs="宋体"/>
          <w:szCs w:val="21"/>
        </w:rPr>
        <w:t>。</w:t>
      </w:r>
    </w:p>
    <w:p w14:paraId="1F825BAA">
      <w:pPr>
        <w:numPr>
          <w:ilvl w:val="0"/>
          <w:numId w:val="3"/>
        </w:numPr>
        <w:spacing w:line="360" w:lineRule="auto"/>
        <w:rPr>
          <w:rFonts w:ascii="宋体" w:hAnsi="宋体"/>
          <w:szCs w:val="21"/>
        </w:rPr>
      </w:pPr>
      <w:r>
        <w:rPr>
          <w:rFonts w:hint="eastAsia" w:ascii="宋体" w:hAnsi="宋体" w:cs="宋体"/>
          <w:szCs w:val="21"/>
        </w:rPr>
        <w:t>参与竞价的供应商应认真阅读</w:t>
      </w:r>
      <w:r>
        <w:rPr>
          <w:rFonts w:hint="eastAsia" w:ascii="宋体" w:hAnsi="宋体" w:cs="宋体"/>
          <w:szCs w:val="21"/>
          <w:lang w:eastAsia="zh-TW"/>
        </w:rPr>
        <w:t>、并充分理解</w:t>
      </w:r>
      <w:r>
        <w:rPr>
          <w:rFonts w:hint="eastAsia" w:ascii="宋体" w:hAnsi="宋体" w:cs="宋体"/>
          <w:szCs w:val="21"/>
        </w:rPr>
        <w:t>竞价</w:t>
      </w:r>
      <w:r>
        <w:rPr>
          <w:rFonts w:hint="eastAsia" w:ascii="宋体" w:hAnsi="宋体" w:cs="宋体"/>
          <w:szCs w:val="21"/>
          <w:lang w:eastAsia="zh-TW"/>
        </w:rPr>
        <w:t>文件的全部内容（包括所有的补充、修改内容重要事项、格式、条款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w:t>
      </w:r>
      <w:r>
        <w:rPr>
          <w:rFonts w:hint="eastAsia" w:ascii="宋体" w:hAnsi="宋体" w:cs="宋体"/>
          <w:szCs w:val="21"/>
        </w:rPr>
        <w:t>竞价</w:t>
      </w:r>
      <w:r>
        <w:rPr>
          <w:rFonts w:hint="eastAsia" w:ascii="宋体" w:hAnsi="宋体" w:cs="宋体"/>
          <w:szCs w:val="21"/>
          <w:lang w:eastAsia="zh-TW"/>
        </w:rPr>
        <w:t>文件要求提交全部资料，或者</w:t>
      </w:r>
      <w:r>
        <w:rPr>
          <w:rFonts w:hint="eastAsia" w:ascii="宋体" w:hAnsi="宋体" w:cs="宋体"/>
          <w:szCs w:val="21"/>
        </w:rPr>
        <w:t>参与竞价所上传的</w:t>
      </w:r>
      <w:r>
        <w:rPr>
          <w:rFonts w:hint="eastAsia" w:ascii="宋体" w:hAnsi="宋体" w:cs="宋体"/>
          <w:szCs w:val="21"/>
          <w:lang w:eastAsia="zh-TW"/>
        </w:rPr>
        <w:t>文件没有对</w:t>
      </w:r>
      <w:r>
        <w:rPr>
          <w:rFonts w:hint="eastAsia" w:ascii="宋体" w:hAnsi="宋体" w:cs="宋体"/>
          <w:szCs w:val="21"/>
        </w:rPr>
        <w:t>竞价</w:t>
      </w:r>
      <w:r>
        <w:rPr>
          <w:rFonts w:hint="eastAsia" w:ascii="宋体" w:hAnsi="宋体" w:cs="宋体"/>
          <w:szCs w:val="21"/>
          <w:lang w:eastAsia="zh-TW"/>
        </w:rPr>
        <w:t>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w:t>
      </w:r>
      <w:r>
        <w:rPr>
          <w:rFonts w:hint="eastAsia" w:ascii="宋体" w:hAnsi="宋体" w:cs="宋体"/>
          <w:szCs w:val="21"/>
        </w:rPr>
        <w:t>竞价</w:t>
      </w:r>
      <w:r>
        <w:rPr>
          <w:rFonts w:hint="eastAsia" w:ascii="宋体" w:hAnsi="宋体" w:cs="宋体"/>
          <w:szCs w:val="21"/>
          <w:lang w:eastAsia="zh-TW"/>
        </w:rPr>
        <w:t>被拒绝，</w:t>
      </w:r>
      <w:r>
        <w:rPr>
          <w:rFonts w:hint="eastAsia" w:ascii="宋体" w:hAnsi="宋体" w:cs="宋体"/>
          <w:szCs w:val="21"/>
        </w:rPr>
        <w:t>或被认定为无效竞价。</w:t>
      </w:r>
    </w:p>
    <w:p w14:paraId="37619F90">
      <w:pPr>
        <w:numPr>
          <w:ilvl w:val="0"/>
          <w:numId w:val="3"/>
        </w:numPr>
        <w:spacing w:line="360" w:lineRule="auto"/>
        <w:rPr>
          <w:rFonts w:ascii="宋体" w:hAnsi="宋体"/>
          <w:szCs w:val="21"/>
        </w:rPr>
      </w:pPr>
      <w:r>
        <w:rPr>
          <w:rFonts w:hint="eastAsia" w:ascii="宋体" w:hAnsi="宋体" w:cs="宋体"/>
          <w:szCs w:val="21"/>
        </w:rPr>
        <w:t>采购人有权拒绝接受任何不合格的货物或服务，由此产生的费用及相关后果均由成交供应商自行承担；</w:t>
      </w:r>
    </w:p>
    <w:p w14:paraId="71886716">
      <w:pPr>
        <w:numPr>
          <w:ilvl w:val="0"/>
          <w:numId w:val="3"/>
        </w:numPr>
        <w:spacing w:line="360" w:lineRule="auto"/>
        <w:rPr>
          <w:rFonts w:ascii="宋体" w:hAnsi="宋体"/>
          <w:b/>
          <w:bCs/>
        </w:rPr>
      </w:pPr>
      <w:r>
        <w:rPr>
          <w:rFonts w:hint="eastAsia" w:ascii="宋体" w:hAnsi="宋体"/>
          <w:b/>
          <w:bCs/>
        </w:rPr>
        <w:t>成交供应商应在项目结果发布30日内持成交通知书与采购单位签订书面合同并按合同约定完成成交项目；若采购单位无签订合同的要求，成交供应商应在项目结果发布30内与采购单位约定项目执行事宜；否则将有可能被取消成交资格。</w:t>
      </w:r>
    </w:p>
    <w:p w14:paraId="047D5EBF">
      <w:pPr>
        <w:numPr>
          <w:ilvl w:val="0"/>
          <w:numId w:val="3"/>
        </w:numPr>
        <w:spacing w:line="360" w:lineRule="auto"/>
        <w:rPr>
          <w:rFonts w:asciiTheme="minorEastAsia" w:hAnsiTheme="minorEastAsia"/>
          <w:b/>
        </w:rPr>
      </w:pPr>
      <w:r>
        <w:rPr>
          <w:rFonts w:hint="eastAsia" w:asciiTheme="minorEastAsia" w:hAnsiTheme="minorEastAsia"/>
          <w:b/>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1E67A646">
      <w:pPr>
        <w:numPr>
          <w:ilvl w:val="0"/>
          <w:numId w:val="3"/>
        </w:numPr>
        <w:spacing w:line="360" w:lineRule="auto"/>
        <w:rPr>
          <w:rFonts w:ascii="宋体" w:hAnsi="宋体"/>
          <w:szCs w:val="21"/>
        </w:rPr>
      </w:pPr>
      <w:r>
        <w:rPr>
          <w:rFonts w:hint="eastAsia" w:asciiTheme="minorEastAsia" w:hAnsiTheme="minorEastAsia"/>
          <w:b/>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04B3923F">
      <w:pPr>
        <w:pStyle w:val="49"/>
        <w:numPr>
          <w:ilvl w:val="0"/>
          <w:numId w:val="3"/>
        </w:numPr>
        <w:spacing w:line="360" w:lineRule="auto"/>
        <w:ind w:firstLineChars="0"/>
        <w:rPr>
          <w:rFonts w:ascii="宋体" w:hAnsi="宋体"/>
        </w:rPr>
      </w:pPr>
      <w:r>
        <w:rPr>
          <w:rFonts w:hint="eastAsia" w:ascii="宋体" w:hAnsi="宋体"/>
        </w:rPr>
        <w:t>供应商认为竞价结果损害其权益的，应按照云采链平台相关指引在规定的时间内向采购人或代理机构提交书面质疑，不提交的视为无异议，逾期提交将不予受理；</w:t>
      </w:r>
    </w:p>
    <w:p w14:paraId="72C8F159">
      <w:pPr>
        <w:numPr>
          <w:ilvl w:val="0"/>
          <w:numId w:val="3"/>
        </w:numPr>
        <w:spacing w:line="360" w:lineRule="auto"/>
        <w:rPr>
          <w:rFonts w:ascii="宋体" w:hAnsi="宋体"/>
          <w:szCs w:val="21"/>
        </w:rPr>
      </w:pPr>
      <w:r>
        <w:rPr>
          <w:rFonts w:hint="eastAsia" w:ascii="宋体" w:hAnsi="宋体" w:cs="宋体"/>
          <w:szCs w:val="21"/>
        </w:rPr>
        <w:t>本竞价公告和竞价文件的解释权归</w:t>
      </w:r>
      <w:r>
        <w:rPr>
          <w:rFonts w:hint="eastAsia" w:ascii="宋体" w:hAnsi="宋体" w:cs="宋体"/>
          <w:szCs w:val="21"/>
          <w:lang w:eastAsia="zh-TW"/>
        </w:rPr>
        <w:t>“</w:t>
      </w:r>
      <w:r>
        <w:rPr>
          <w:rFonts w:hint="eastAsia" w:ascii="宋体" w:hAnsi="宋体" w:cs="宋体"/>
          <w:szCs w:val="21"/>
        </w:rPr>
        <w:t>云采链线上采购一体化平台</w:t>
      </w:r>
      <w:r>
        <w:rPr>
          <w:rFonts w:hint="eastAsia" w:ascii="宋体" w:hAnsi="宋体" w:cs="宋体"/>
          <w:szCs w:val="21"/>
          <w:lang w:eastAsia="zh-TW"/>
        </w:rPr>
        <w:t>”所有。</w:t>
      </w:r>
    </w:p>
    <w:p w14:paraId="1D8578AD">
      <w:pPr>
        <w:numPr>
          <w:ilvl w:val="0"/>
          <w:numId w:val="2"/>
        </w:numPr>
        <w:spacing w:line="360" w:lineRule="auto"/>
        <w:rPr>
          <w:rFonts w:ascii="宋体" w:hAnsi="宋体"/>
        </w:rPr>
      </w:pPr>
      <w:r>
        <w:rPr>
          <w:rFonts w:hint="eastAsia" w:ascii="宋体" w:hAnsi="宋体"/>
          <w:b/>
        </w:rPr>
        <w:t>竞价文件的澄清或修改</w:t>
      </w:r>
    </w:p>
    <w:p w14:paraId="223423AB">
      <w:pPr>
        <w:numPr>
          <w:ilvl w:val="0"/>
          <w:numId w:val="4"/>
        </w:numPr>
        <w:spacing w:line="360" w:lineRule="auto"/>
        <w:rPr>
          <w:rFonts w:ascii="宋体" w:hAnsi="宋体"/>
        </w:rPr>
      </w:pPr>
      <w:r>
        <w:rPr>
          <w:rFonts w:hint="eastAsia" w:ascii="宋体" w:hAnsi="宋体"/>
        </w:rPr>
        <w:t>采购人或者采购代理机构可以对已发出的竞价文件进行必要的澄清或者修改。澄清或者修改的内容将在云采链平台上发布澄清（更正/变更）公告。</w:t>
      </w:r>
    </w:p>
    <w:p w14:paraId="5AC9CC48">
      <w:pPr>
        <w:numPr>
          <w:ilvl w:val="0"/>
          <w:numId w:val="4"/>
        </w:numPr>
        <w:spacing w:line="360" w:lineRule="auto"/>
        <w:rPr>
          <w:rFonts w:ascii="宋体" w:hAnsi="宋体"/>
        </w:rPr>
      </w:pPr>
      <w:r>
        <w:rPr>
          <w:rFonts w:hint="eastAsia" w:ascii="宋体" w:hAnsi="宋体"/>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宋体" w:hAnsi="宋体"/>
        </w:rPr>
        <w:t>采购人或者采购代理机构应当相应顺延报名的截止时间。</w:t>
      </w:r>
    </w:p>
    <w:p w14:paraId="284F2245">
      <w:pPr>
        <w:numPr>
          <w:ilvl w:val="0"/>
          <w:numId w:val="4"/>
        </w:numPr>
        <w:spacing w:line="360" w:lineRule="auto"/>
        <w:rPr>
          <w:rFonts w:ascii="宋体" w:hAnsi="宋体"/>
        </w:rPr>
      </w:pPr>
      <w:r>
        <w:rPr>
          <w:rFonts w:hint="eastAsia" w:ascii="宋体" w:hAnsi="宋体"/>
        </w:rPr>
        <w:t>采购人或者采购代理机构发出的澄清或修改（更正/变更）的内容为竞价文件的组成部分，并对供应商具有约束力。</w:t>
      </w:r>
    </w:p>
    <w:p w14:paraId="54286270">
      <w:pPr>
        <w:numPr>
          <w:ilvl w:val="0"/>
          <w:numId w:val="2"/>
        </w:numPr>
        <w:spacing w:line="360" w:lineRule="auto"/>
        <w:rPr>
          <w:rFonts w:ascii="宋体" w:hAnsi="宋体"/>
          <w:b/>
          <w:bCs/>
          <w:szCs w:val="21"/>
        </w:rPr>
      </w:pPr>
      <w:r>
        <w:rPr>
          <w:rFonts w:hint="eastAsia" w:ascii="宋体" w:hAnsi="宋体" w:cs="宋体"/>
          <w:b/>
          <w:bCs/>
          <w:szCs w:val="21"/>
        </w:rPr>
        <w:t>报名要求（</w:t>
      </w:r>
      <w:r>
        <w:rPr>
          <w:rFonts w:hint="eastAsia" w:ascii="宋体" w:hAnsi="宋体" w:cs="宋体"/>
          <w:szCs w:val="21"/>
        </w:rPr>
        <w:t>参与竞价的</w:t>
      </w:r>
      <w:r>
        <w:rPr>
          <w:rFonts w:hint="eastAsia" w:ascii="宋体" w:hAnsi="宋体" w:cs="宋体"/>
          <w:b/>
          <w:bCs/>
          <w:szCs w:val="21"/>
        </w:rPr>
        <w:t>供应商资质要求</w:t>
      </w:r>
      <w:r>
        <w:rPr>
          <w:rFonts w:ascii="宋体" w:hAnsi="宋体" w:cs="宋体"/>
          <w:b/>
          <w:bCs/>
          <w:szCs w:val="21"/>
        </w:rPr>
        <w:t>:</w:t>
      </w:r>
      <w:r>
        <w:rPr>
          <w:rFonts w:ascii="宋体" w:hAnsi="宋体" w:cs="宋体"/>
          <w:szCs w:val="21"/>
        </w:rPr>
        <w:t xml:space="preserve"> </w:t>
      </w:r>
      <w:r>
        <w:rPr>
          <w:rFonts w:hint="eastAsia" w:ascii="宋体" w:hAnsi="宋体" w:cs="宋体"/>
          <w:szCs w:val="21"/>
        </w:rPr>
        <w:t>报名时需要提供以下盖章资料，并对上传的报名文件资料承担责任</w:t>
      </w:r>
      <w:r>
        <w:rPr>
          <w:rFonts w:hint="eastAsia" w:ascii="宋体" w:hAnsi="宋体" w:cs="宋体"/>
          <w:b/>
          <w:bCs/>
          <w:szCs w:val="21"/>
        </w:rPr>
        <w:t>）</w:t>
      </w:r>
    </w:p>
    <w:p w14:paraId="45D3849F">
      <w:pPr>
        <w:pStyle w:val="60"/>
        <w:numPr>
          <w:ilvl w:val="0"/>
          <w:numId w:val="5"/>
        </w:numPr>
        <w:spacing w:line="360" w:lineRule="auto"/>
        <w:ind w:firstLineChars="0"/>
        <w:rPr>
          <w:rFonts w:ascii="宋体" w:hAnsi="宋体" w:cs="宋体"/>
        </w:rPr>
      </w:pPr>
      <w:r>
        <w:rPr>
          <w:rFonts w:hint="eastAsia" w:ascii="宋体" w:hAnsi="宋体"/>
          <w:color w:val="000000" w:themeColor="text1"/>
          <w14:textFill>
            <w14:solidFill>
              <w14:schemeClr w14:val="tx1"/>
            </w14:solidFill>
          </w14:textFill>
        </w:rPr>
        <w:t>报名供应商具有独立承担民事责任能力的在中华人民共和国境内注册的法人或其他组织（提供法人或其他组织的营业执照等证明材料）；如为独立法人设立的分支机构参加，响应人需提供独立法人出具的唯一响应授权书，授权书需明确响应人的权限范围，并提交独立法人有效的营业执照或法人登记证书复印件；</w:t>
      </w:r>
      <w:r>
        <w:rPr>
          <w:rFonts w:hint="eastAsia" w:ascii="宋体" w:hAnsi="宋体"/>
          <w:b/>
          <w:bCs/>
          <w:color w:val="000000" w:themeColor="text1"/>
          <w:lang w:val="en-US" w:eastAsia="zh-CN"/>
          <w14:textFill>
            <w14:solidFill>
              <w14:schemeClr w14:val="tx1"/>
            </w14:solidFill>
          </w14:textFill>
        </w:rPr>
        <w:t>供应商须具备有精密空调维修等资质，并提供证明文件；</w:t>
      </w:r>
    </w:p>
    <w:p w14:paraId="7ACB097F">
      <w:pPr>
        <w:pStyle w:val="60"/>
        <w:numPr>
          <w:ilvl w:val="0"/>
          <w:numId w:val="5"/>
        </w:numPr>
        <w:spacing w:line="360" w:lineRule="auto"/>
        <w:ind w:firstLineChars="0"/>
        <w:rPr>
          <w:rFonts w:ascii="宋体" w:hAnsi="宋体" w:cs="宋体"/>
        </w:rPr>
      </w:pPr>
      <w:r>
        <w:rPr>
          <w:rFonts w:hint="eastAsia" w:ascii="宋体" w:hAnsi="宋体" w:cs="宋体"/>
        </w:rPr>
        <w:t>本项目供应商不得存在下列情形之一：被责令停业的；被暂停或取消投标资格的；财产被接管或冻结的；在最近三年内有骗取中标或严重违约的；在投标过程中因重大违规被采购人处罚的；在“信用中国”（www.creditchina.gov.cn）、中国政府采购网www.ccgp.gov.cn）被列入失信被执行人、重大税收违法失信主体、政府采购严重违法失信行为记录名单。本项目不允许分包或转包，不接受联合体参加，供应商须提供供应商资格声明函，格式详见附件；</w:t>
      </w:r>
    </w:p>
    <w:p w14:paraId="1F72CD8B">
      <w:pPr>
        <w:pStyle w:val="60"/>
        <w:numPr>
          <w:ilvl w:val="0"/>
          <w:numId w:val="5"/>
        </w:numPr>
        <w:spacing w:line="360" w:lineRule="auto"/>
        <w:ind w:firstLineChars="0"/>
        <w:rPr>
          <w:rFonts w:ascii="宋体" w:hAnsi="宋体" w:cs="宋体"/>
          <w:szCs w:val="21"/>
        </w:rPr>
      </w:pPr>
      <w:r>
        <w:rPr>
          <w:rFonts w:hint="eastAsia" w:ascii="宋体" w:hAnsi="宋体" w:cs="宋体"/>
          <w:kern w:val="0"/>
          <w:szCs w:val="21"/>
        </w:rPr>
        <w:t>供应商完全响应本项目用户需求的条款、内容及要求的，提供用户需求书响应声明函，格式详见附件；</w:t>
      </w:r>
    </w:p>
    <w:p w14:paraId="58783B2F">
      <w:pPr>
        <w:pStyle w:val="60"/>
        <w:numPr>
          <w:ilvl w:val="0"/>
          <w:numId w:val="5"/>
        </w:numPr>
        <w:spacing w:line="360" w:lineRule="auto"/>
        <w:ind w:firstLineChars="0"/>
        <w:rPr>
          <w:rFonts w:ascii="宋体" w:hAnsi="宋体"/>
          <w:szCs w:val="21"/>
        </w:rPr>
      </w:pPr>
      <w:r>
        <w:rPr>
          <w:rFonts w:hint="eastAsia" w:ascii="宋体" w:hAnsi="宋体" w:cs="宋体"/>
          <w:kern w:val="0"/>
          <w:szCs w:val="21"/>
        </w:rPr>
        <w:t>供应商须提供2名拟投入本项目</w:t>
      </w:r>
      <w:r>
        <w:rPr>
          <w:rFonts w:hint="eastAsia" w:ascii="宋体" w:hAnsi="宋体" w:cs="宋体"/>
          <w:szCs w:val="21"/>
        </w:rPr>
        <w:t>维护人员</w:t>
      </w:r>
      <w:r>
        <w:rPr>
          <w:rFonts w:hint="eastAsia" w:ascii="宋体" w:hAnsi="宋体" w:cs="宋体"/>
          <w:szCs w:val="21"/>
          <w:lang w:val="en-US" w:eastAsia="zh-CN"/>
        </w:rPr>
        <w:t>有效期内</w:t>
      </w:r>
      <w:r>
        <w:rPr>
          <w:rFonts w:hint="eastAsia" w:ascii="宋体" w:hAnsi="宋体" w:cs="宋体"/>
          <w:szCs w:val="21"/>
        </w:rPr>
        <w:t>的制冷上岗证或制冷维修技师证。（提供拟投入本项目维护人员的相关证书复印件）</w:t>
      </w:r>
    </w:p>
    <w:p w14:paraId="3B7407FF">
      <w:pPr>
        <w:numPr>
          <w:ilvl w:val="0"/>
          <w:numId w:val="2"/>
        </w:numPr>
        <w:spacing w:line="360" w:lineRule="auto"/>
        <w:rPr>
          <w:rFonts w:ascii="宋体" w:hAnsi="宋体"/>
          <w:b/>
          <w:bCs/>
          <w:szCs w:val="21"/>
        </w:rPr>
      </w:pPr>
      <w:r>
        <w:rPr>
          <w:rFonts w:hint="eastAsia" w:ascii="宋体" w:hAnsi="宋体" w:cs="宋体"/>
          <w:b/>
          <w:bCs/>
          <w:szCs w:val="21"/>
        </w:rPr>
        <w:t>报价要求（</w:t>
      </w:r>
      <w:r>
        <w:rPr>
          <w:rFonts w:hint="eastAsia" w:ascii="宋体" w:hAnsi="宋体" w:cs="宋体"/>
          <w:szCs w:val="21"/>
        </w:rPr>
        <w:t>报价时需要提供以下盖章资料，并对上传的竞价文件资料承担责任</w:t>
      </w:r>
      <w:r>
        <w:rPr>
          <w:rFonts w:hint="eastAsia" w:ascii="宋体" w:hAnsi="宋体" w:cs="宋体"/>
          <w:b/>
          <w:bCs/>
          <w:szCs w:val="21"/>
        </w:rPr>
        <w:t>）</w:t>
      </w:r>
    </w:p>
    <w:p w14:paraId="7121B658">
      <w:pPr>
        <w:numPr>
          <w:ilvl w:val="0"/>
          <w:numId w:val="6"/>
        </w:numPr>
        <w:spacing w:line="360" w:lineRule="auto"/>
        <w:rPr>
          <w:rFonts w:ascii="宋体" w:hAnsi="宋体"/>
          <w:szCs w:val="21"/>
        </w:rPr>
      </w:pPr>
      <w:r>
        <w:rPr>
          <w:rFonts w:hint="eastAsia" w:ascii="宋体" w:hAnsi="宋体" w:cs="宋体"/>
          <w:szCs w:val="21"/>
        </w:rPr>
        <w:t>通过报名供应商应根据本公告要求，在规定的竞价时间内对采购项目进行报价，同时按本公告要求完整</w:t>
      </w:r>
      <w:r>
        <w:rPr>
          <w:rFonts w:hint="eastAsia" w:ascii="宋体" w:hAnsi="宋体" w:cs="宋体"/>
          <w:szCs w:val="21"/>
          <w:lang w:eastAsia="zh-TW"/>
        </w:rPr>
        <w:t>、真实、准确地</w:t>
      </w:r>
      <w:r>
        <w:rPr>
          <w:rFonts w:hint="eastAsia" w:ascii="宋体" w:hAnsi="宋体" w:cs="宋体"/>
          <w:szCs w:val="21"/>
        </w:rPr>
        <w:t>填写并上传相应报价附件（</w:t>
      </w:r>
      <w:r>
        <w:rPr>
          <w:rFonts w:hint="eastAsia" w:ascii="宋体" w:hAnsi="宋体" w:cs="宋体"/>
          <w:b/>
          <w:bCs/>
          <w:szCs w:val="21"/>
        </w:rPr>
        <w:t>报价表</w:t>
      </w:r>
      <w:r>
        <w:rPr>
          <w:rFonts w:hint="eastAsia" w:ascii="宋体" w:hAnsi="宋体" w:cs="宋体"/>
          <w:szCs w:val="21"/>
        </w:rPr>
        <w:t>）。</w:t>
      </w:r>
    </w:p>
    <w:p w14:paraId="5C10ED8D">
      <w:pPr>
        <w:pStyle w:val="60"/>
        <w:numPr>
          <w:ilvl w:val="0"/>
          <w:numId w:val="6"/>
        </w:numPr>
        <w:spacing w:line="360" w:lineRule="auto"/>
        <w:ind w:firstLineChars="0"/>
        <w:rPr>
          <w:rFonts w:ascii="宋体" w:hAnsi="宋体" w:cs="宋体"/>
          <w:szCs w:val="21"/>
        </w:rPr>
      </w:pPr>
      <w:r>
        <w:rPr>
          <w:rFonts w:hint="eastAsia" w:ascii="宋体" w:hAnsi="宋体" w:cs="宋体"/>
          <w:szCs w:val="21"/>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6B5BEAE2">
      <w:pPr>
        <w:numPr>
          <w:ilvl w:val="0"/>
          <w:numId w:val="2"/>
        </w:numPr>
        <w:spacing w:line="360" w:lineRule="auto"/>
        <w:rPr>
          <w:rFonts w:ascii="宋体" w:hAnsi="宋体"/>
          <w:b/>
          <w:bCs/>
          <w:szCs w:val="21"/>
        </w:rPr>
      </w:pPr>
      <w:r>
        <w:rPr>
          <w:rFonts w:hint="eastAsia" w:ascii="宋体" w:hAnsi="宋体" w:cs="宋体"/>
          <w:b/>
          <w:bCs/>
          <w:szCs w:val="21"/>
        </w:rPr>
        <w:t>确定成交候选人</w:t>
      </w:r>
    </w:p>
    <w:p w14:paraId="2E2C0DFF">
      <w:pPr>
        <w:pStyle w:val="60"/>
        <w:numPr>
          <w:ilvl w:val="0"/>
          <w:numId w:val="7"/>
        </w:numPr>
        <w:spacing w:line="360" w:lineRule="auto"/>
        <w:ind w:firstLineChars="0"/>
        <w:rPr>
          <w:rFonts w:ascii="宋体" w:hAnsi="宋体" w:cs="宋体"/>
          <w:szCs w:val="21"/>
        </w:rPr>
      </w:pPr>
      <w:r>
        <w:rPr>
          <w:rFonts w:hint="eastAsia" w:ascii="宋体" w:hAnsi="宋体" w:cs="宋体"/>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40DB17E5">
      <w:pPr>
        <w:numPr>
          <w:ilvl w:val="0"/>
          <w:numId w:val="7"/>
        </w:numPr>
        <w:spacing w:line="360" w:lineRule="auto"/>
        <w:rPr>
          <w:rFonts w:ascii="宋体" w:hAnsi="宋体"/>
          <w:szCs w:val="21"/>
        </w:rPr>
      </w:pPr>
      <w:r>
        <w:rPr>
          <w:rFonts w:hint="eastAsia" w:ascii="宋体" w:hAnsi="宋体" w:cs="宋体"/>
          <w:szCs w:val="21"/>
        </w:rPr>
        <w:t>如各报价供应商提供的税率不一致时，则分别按下述规定计算各价格，如全部报价供应商税率都一致则无需转换价格。</w:t>
      </w:r>
    </w:p>
    <w:tbl>
      <w:tblPr>
        <w:tblStyle w:val="37"/>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3264"/>
      </w:tblGrid>
      <w:tr w14:paraId="4876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tcPr>
          <w:p w14:paraId="2C4D0A63">
            <w:pPr>
              <w:numPr>
                <w:ilvl w:val="255"/>
                <w:numId w:val="0"/>
              </w:numPr>
              <w:spacing w:line="360" w:lineRule="auto"/>
              <w:rPr>
                <w:rFonts w:ascii="宋体" w:hAnsi="宋体"/>
                <w:szCs w:val="21"/>
              </w:rPr>
            </w:pPr>
            <w:r>
              <w:rPr>
                <w:rFonts w:hint="eastAsia" w:ascii="宋体" w:hAnsi="宋体"/>
                <w:szCs w:val="21"/>
              </w:rPr>
              <w:t>报价供应商提供的发票类型</w:t>
            </w:r>
          </w:p>
        </w:tc>
        <w:tc>
          <w:tcPr>
            <w:tcW w:w="3264" w:type="dxa"/>
          </w:tcPr>
          <w:p w14:paraId="5C68505E">
            <w:pPr>
              <w:numPr>
                <w:ilvl w:val="255"/>
                <w:numId w:val="0"/>
              </w:numPr>
              <w:spacing w:line="360" w:lineRule="auto"/>
              <w:rPr>
                <w:rFonts w:ascii="宋体" w:hAnsi="宋体"/>
                <w:szCs w:val="21"/>
              </w:rPr>
            </w:pPr>
            <w:r>
              <w:rPr>
                <w:rFonts w:hint="eastAsia" w:ascii="宋体" w:hAnsi="宋体"/>
                <w:szCs w:val="21"/>
              </w:rPr>
              <w:t>价格计算</w:t>
            </w:r>
          </w:p>
        </w:tc>
      </w:tr>
      <w:tr w14:paraId="6F42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tcPr>
          <w:p w14:paraId="0808FE50">
            <w:pPr>
              <w:numPr>
                <w:ilvl w:val="255"/>
                <w:numId w:val="0"/>
              </w:numPr>
              <w:spacing w:line="360" w:lineRule="auto"/>
              <w:rPr>
                <w:rFonts w:ascii="宋体" w:hAnsi="宋体"/>
                <w:szCs w:val="21"/>
              </w:rPr>
            </w:pPr>
            <w:r>
              <w:rPr>
                <w:rFonts w:hint="eastAsia" w:ascii="宋体" w:hAnsi="宋体"/>
                <w:szCs w:val="21"/>
              </w:rPr>
              <w:t>增值税专用发票</w:t>
            </w:r>
          </w:p>
        </w:tc>
        <w:tc>
          <w:tcPr>
            <w:tcW w:w="3264" w:type="dxa"/>
          </w:tcPr>
          <w:p w14:paraId="632CB025">
            <w:pPr>
              <w:numPr>
                <w:ilvl w:val="255"/>
                <w:numId w:val="0"/>
              </w:numPr>
              <w:spacing w:line="360" w:lineRule="auto"/>
              <w:rPr>
                <w:rFonts w:ascii="宋体" w:hAnsi="宋体"/>
                <w:szCs w:val="21"/>
              </w:rPr>
            </w:pPr>
            <w:r>
              <w:rPr>
                <w:rFonts w:hint="eastAsia" w:ascii="宋体" w:hAnsi="宋体"/>
                <w:szCs w:val="21"/>
              </w:rPr>
              <w:t>报价/（1+增值税率）</w:t>
            </w:r>
          </w:p>
        </w:tc>
      </w:tr>
    </w:tbl>
    <w:p w14:paraId="1DBE9045">
      <w:pPr>
        <w:numPr>
          <w:ilvl w:val="0"/>
          <w:numId w:val="2"/>
        </w:numPr>
        <w:spacing w:line="360" w:lineRule="auto"/>
        <w:rPr>
          <w:rFonts w:ascii="宋体" w:hAnsi="宋体"/>
          <w:b/>
          <w:bCs/>
          <w:szCs w:val="21"/>
        </w:rPr>
      </w:pPr>
      <w:r>
        <w:rPr>
          <w:rFonts w:hint="eastAsia" w:ascii="宋体" w:hAnsi="宋体" w:cs="宋体"/>
          <w:b/>
          <w:bCs/>
          <w:szCs w:val="21"/>
        </w:rPr>
        <w:t>无效报价</w:t>
      </w:r>
    </w:p>
    <w:p w14:paraId="6ED781C3">
      <w:pPr>
        <w:pStyle w:val="60"/>
        <w:numPr>
          <w:ilvl w:val="0"/>
          <w:numId w:val="8"/>
        </w:numPr>
        <w:ind w:firstLineChars="0"/>
        <w:rPr>
          <w:rFonts w:ascii="宋体" w:hAnsi="宋体" w:cs="宋体"/>
          <w:szCs w:val="21"/>
        </w:rPr>
      </w:pPr>
      <w:r>
        <w:rPr>
          <w:rFonts w:hint="eastAsia" w:ascii="宋体" w:hAnsi="宋体" w:cs="宋体"/>
          <w:szCs w:val="21"/>
        </w:rPr>
        <w:t>参与竞价的供应商报价超过最高限价或低于最低限价或超过项目对应产品单项最高限价的视为无效报价。</w:t>
      </w:r>
    </w:p>
    <w:p w14:paraId="65A67C4D">
      <w:pPr>
        <w:numPr>
          <w:ilvl w:val="0"/>
          <w:numId w:val="8"/>
        </w:numPr>
        <w:spacing w:line="360" w:lineRule="auto"/>
        <w:rPr>
          <w:rFonts w:ascii="宋体" w:hAnsi="宋体"/>
          <w:szCs w:val="21"/>
        </w:rPr>
      </w:pPr>
      <w:r>
        <w:rPr>
          <w:rFonts w:hint="eastAsia" w:ascii="宋体" w:hAnsi="宋体" w:cs="宋体"/>
          <w:szCs w:val="21"/>
        </w:rPr>
        <w:t>参与竞价的供应商须提供本项目要求的资质文件，如果不按公告规定或竞价文件要求等相关规定提供符合要求的资质文件，将被视为无效报价；</w:t>
      </w:r>
    </w:p>
    <w:p w14:paraId="12924412">
      <w:pPr>
        <w:numPr>
          <w:ilvl w:val="0"/>
          <w:numId w:val="8"/>
        </w:numPr>
        <w:spacing w:line="360" w:lineRule="auto"/>
        <w:rPr>
          <w:rFonts w:ascii="宋体" w:hAnsi="宋体"/>
          <w:szCs w:val="21"/>
        </w:rPr>
      </w:pPr>
      <w:r>
        <w:rPr>
          <w:rFonts w:hint="eastAsia" w:ascii="宋体" w:hAnsi="宋体" w:cs="宋体"/>
          <w:szCs w:val="21"/>
        </w:rPr>
        <w:t>参与竞价的供应商须对本项目采购内容进行整体报价，任何只对其中一部分内容进行的报价都被视为无效报价。</w:t>
      </w:r>
    </w:p>
    <w:p w14:paraId="0C012DF6">
      <w:pPr>
        <w:numPr>
          <w:ilvl w:val="0"/>
          <w:numId w:val="8"/>
        </w:numPr>
        <w:spacing w:line="360" w:lineRule="auto"/>
        <w:rPr>
          <w:rFonts w:ascii="宋体" w:hAnsi="宋体"/>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p>
    <w:p w14:paraId="1B91FED5">
      <w:pPr>
        <w:pStyle w:val="60"/>
        <w:numPr>
          <w:ilvl w:val="0"/>
          <w:numId w:val="8"/>
        </w:numPr>
        <w:spacing w:line="360" w:lineRule="auto"/>
        <w:ind w:firstLineChars="0"/>
        <w:rPr>
          <w:rFonts w:ascii="宋体" w:hAnsi="宋体" w:cs="宋体"/>
          <w:szCs w:val="21"/>
        </w:rPr>
      </w:pPr>
      <w:r>
        <w:rPr>
          <w:rFonts w:hint="eastAsia" w:ascii="宋体" w:hAnsi="宋体" w:cs="宋体"/>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42FF7E87">
      <w:pPr>
        <w:pStyle w:val="60"/>
        <w:numPr>
          <w:ilvl w:val="0"/>
          <w:numId w:val="8"/>
        </w:numPr>
        <w:spacing w:line="360" w:lineRule="auto"/>
        <w:ind w:firstLineChars="0"/>
        <w:rPr>
          <w:rFonts w:ascii="宋体" w:hAnsi="宋体" w:cs="宋体"/>
          <w:b/>
          <w:bCs/>
          <w:szCs w:val="21"/>
        </w:rPr>
      </w:pPr>
      <w:r>
        <w:rPr>
          <w:rFonts w:hint="eastAsia" w:ascii="宋体" w:hAnsi="宋体" w:cs="宋体"/>
          <w:b/>
          <w:bCs/>
          <w:szCs w:val="21"/>
        </w:rPr>
        <w:t>按有关法律、法规、规章属于报价无效的。</w:t>
      </w:r>
    </w:p>
    <w:p w14:paraId="77CF5F24">
      <w:pPr>
        <w:pStyle w:val="60"/>
        <w:numPr>
          <w:ilvl w:val="0"/>
          <w:numId w:val="8"/>
        </w:numPr>
        <w:spacing w:line="360" w:lineRule="auto"/>
        <w:ind w:firstLineChars="0"/>
        <w:rPr>
          <w:rFonts w:ascii="宋体" w:hAnsi="宋体"/>
          <w:szCs w:val="21"/>
        </w:rPr>
      </w:pPr>
      <w:r>
        <w:rPr>
          <w:rFonts w:hint="eastAsia" w:ascii="宋体" w:hAnsi="宋体" w:cs="宋体"/>
          <w:b/>
          <w:bCs/>
          <w:szCs w:val="21"/>
        </w:rPr>
        <w:t>有下列情形之一的，视为串通竞价，其报价无效：</w:t>
      </w:r>
    </w:p>
    <w:p w14:paraId="6D5E8FDC">
      <w:pPr>
        <w:numPr>
          <w:ilvl w:val="0"/>
          <w:numId w:val="9"/>
        </w:numPr>
        <w:tabs>
          <w:tab w:val="left" w:pos="1260"/>
        </w:tabs>
        <w:spacing w:line="360" w:lineRule="auto"/>
        <w:rPr>
          <w:rFonts w:ascii="宋体" w:hAnsi="宋体"/>
          <w:szCs w:val="21"/>
        </w:rPr>
      </w:pPr>
      <w:r>
        <w:rPr>
          <w:rFonts w:hint="eastAsia" w:ascii="宋体"/>
        </w:rPr>
        <w:t>存在单位负责人为同一人或存在控股、管理关系的不同单位参与同一竞价项目；</w:t>
      </w:r>
    </w:p>
    <w:p w14:paraId="41E69493">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不同供应商的响应文件由同一单位或者个人编制；</w:t>
      </w:r>
    </w:p>
    <w:p w14:paraId="341A50C4">
      <w:pPr>
        <w:numPr>
          <w:ilvl w:val="0"/>
          <w:numId w:val="9"/>
        </w:numPr>
        <w:tabs>
          <w:tab w:val="left" w:pos="1260"/>
        </w:tabs>
        <w:spacing w:line="360" w:lineRule="auto"/>
        <w:rPr>
          <w:rFonts w:ascii="宋体" w:hAnsi="宋体"/>
          <w:szCs w:val="21"/>
        </w:rPr>
      </w:pPr>
      <w:r>
        <w:rPr>
          <w:rFonts w:hint="eastAsia" w:ascii="宋体" w:hAnsi="宋体" w:cs="宋体"/>
          <w:szCs w:val="21"/>
        </w:rPr>
        <w:t>不同供应商委托同一单位或者个人办理竞价事宜；</w:t>
      </w:r>
    </w:p>
    <w:p w14:paraId="72286D5E">
      <w:pPr>
        <w:numPr>
          <w:ilvl w:val="0"/>
          <w:numId w:val="9"/>
        </w:numPr>
        <w:tabs>
          <w:tab w:val="left" w:pos="1260"/>
        </w:tabs>
        <w:spacing w:line="360" w:lineRule="auto"/>
        <w:rPr>
          <w:rFonts w:ascii="宋体" w:hAnsi="宋体"/>
          <w:szCs w:val="21"/>
        </w:rPr>
      </w:pPr>
      <w:r>
        <w:rPr>
          <w:rFonts w:hint="eastAsia" w:ascii="宋体" w:hAnsi="宋体" w:cs="宋体"/>
          <w:szCs w:val="21"/>
        </w:rPr>
        <w:t>不同供应商使用同一</w:t>
      </w:r>
      <w:r>
        <w:rPr>
          <w:rFonts w:ascii="宋体" w:hAnsi="宋体" w:cs="宋体"/>
          <w:szCs w:val="21"/>
        </w:rPr>
        <w:t>IP</w:t>
      </w:r>
      <w:r>
        <w:rPr>
          <w:rFonts w:hint="eastAsia" w:ascii="宋体" w:hAnsi="宋体" w:cs="宋体"/>
          <w:szCs w:val="21"/>
        </w:rPr>
        <w:t>地址参与竞价；</w:t>
      </w:r>
    </w:p>
    <w:p w14:paraId="04908478">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不同供应商的响应文件载明的项目管理成员或者联系人员为同一人；</w:t>
      </w:r>
    </w:p>
    <w:p w14:paraId="4645B1C9">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不同供应商的响应文件异常一致或者报价呈规律性差异；</w:t>
      </w:r>
    </w:p>
    <w:p w14:paraId="0E7F6CF1">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不同供应商的响应文件相互混淆；</w:t>
      </w:r>
    </w:p>
    <w:p w14:paraId="364F2350">
      <w:pPr>
        <w:numPr>
          <w:ilvl w:val="0"/>
          <w:numId w:val="9"/>
        </w:numPr>
        <w:tabs>
          <w:tab w:val="left" w:pos="1260"/>
        </w:tabs>
        <w:spacing w:line="360" w:lineRule="auto"/>
        <w:rPr>
          <w:rFonts w:ascii="宋体" w:hAnsi="宋体"/>
          <w:szCs w:val="21"/>
        </w:rPr>
      </w:pPr>
      <w:r>
        <w:rPr>
          <w:rFonts w:hint="eastAsia" w:ascii="宋体" w:hAnsi="宋体" w:cs="宋体"/>
          <w:szCs w:val="21"/>
        </w:rPr>
        <w:t>不同供应商的平台保障金从同一单位或者个人的账户转出；</w:t>
      </w:r>
    </w:p>
    <w:p w14:paraId="38C8B5AC">
      <w:pPr>
        <w:numPr>
          <w:ilvl w:val="0"/>
          <w:numId w:val="2"/>
        </w:numPr>
        <w:spacing w:line="360" w:lineRule="auto"/>
        <w:rPr>
          <w:rFonts w:ascii="宋体" w:hAnsi="宋体"/>
          <w:szCs w:val="21"/>
        </w:rPr>
      </w:pPr>
      <w:r>
        <w:rPr>
          <w:rFonts w:hint="eastAsia" w:ascii="宋体" w:hAnsi="宋体" w:cs="宋体"/>
          <w:b/>
          <w:bCs/>
          <w:szCs w:val="21"/>
        </w:rPr>
        <w:t>竞价活动失败</w:t>
      </w:r>
    </w:p>
    <w:p w14:paraId="3CFD003D">
      <w:pPr>
        <w:numPr>
          <w:ilvl w:val="0"/>
          <w:numId w:val="10"/>
        </w:numPr>
        <w:spacing w:line="360" w:lineRule="auto"/>
        <w:rPr>
          <w:rFonts w:ascii="宋体" w:hAnsi="宋体"/>
          <w:szCs w:val="21"/>
        </w:rPr>
      </w:pPr>
      <w:r>
        <w:rPr>
          <w:rFonts w:hint="eastAsia" w:ascii="宋体" w:hAnsi="宋体" w:cs="宋体"/>
          <w:szCs w:val="21"/>
        </w:rPr>
        <w:t>报价供应商不足</w:t>
      </w:r>
      <w:r>
        <w:rPr>
          <w:rFonts w:ascii="宋体" w:hAnsi="宋体" w:cs="宋体"/>
          <w:szCs w:val="21"/>
        </w:rPr>
        <w:t>3</w:t>
      </w:r>
      <w:r>
        <w:rPr>
          <w:rFonts w:hint="eastAsia" w:ascii="宋体" w:hAnsi="宋体" w:cs="宋体"/>
          <w:szCs w:val="21"/>
        </w:rPr>
        <w:t>家，本次竞价活动失败；</w:t>
      </w:r>
    </w:p>
    <w:p w14:paraId="1A66A7C7">
      <w:pPr>
        <w:numPr>
          <w:ilvl w:val="0"/>
          <w:numId w:val="10"/>
        </w:numPr>
        <w:spacing w:line="360" w:lineRule="auto"/>
        <w:rPr>
          <w:rFonts w:ascii="宋体" w:hAnsi="宋体"/>
          <w:szCs w:val="21"/>
        </w:rPr>
      </w:pPr>
      <w:r>
        <w:rPr>
          <w:rFonts w:hint="eastAsia" w:ascii="宋体" w:hAnsi="宋体" w:cs="宋体"/>
          <w:szCs w:val="21"/>
        </w:rPr>
        <w:t>出现影响采购公正的违法、违规行为的；</w:t>
      </w:r>
    </w:p>
    <w:p w14:paraId="18BDCE91">
      <w:pPr>
        <w:numPr>
          <w:ilvl w:val="0"/>
          <w:numId w:val="10"/>
        </w:numPr>
        <w:spacing w:line="360" w:lineRule="auto"/>
        <w:rPr>
          <w:rFonts w:ascii="宋体" w:hAnsi="宋体"/>
          <w:szCs w:val="21"/>
        </w:rPr>
      </w:pPr>
      <w:r>
        <w:rPr>
          <w:rFonts w:hint="eastAsia" w:ascii="宋体" w:hAnsi="宋体" w:cs="宋体"/>
          <w:szCs w:val="21"/>
        </w:rPr>
        <w:t>因重大变故，采购任务取消的；</w:t>
      </w:r>
    </w:p>
    <w:p w14:paraId="454EF2DA">
      <w:pPr>
        <w:numPr>
          <w:ilvl w:val="0"/>
          <w:numId w:val="2"/>
        </w:numPr>
        <w:spacing w:line="360" w:lineRule="auto"/>
        <w:rPr>
          <w:rFonts w:ascii="宋体" w:hAnsi="宋体"/>
          <w:b/>
          <w:bCs/>
          <w:szCs w:val="21"/>
        </w:rPr>
      </w:pPr>
      <w:r>
        <w:rPr>
          <w:rFonts w:hint="eastAsia" w:ascii="宋体" w:hAnsi="宋体" w:cs="宋体"/>
          <w:b/>
          <w:bCs/>
          <w:szCs w:val="21"/>
        </w:rPr>
        <w:t>平台使用费</w:t>
      </w:r>
    </w:p>
    <w:p w14:paraId="6BF9D2B5">
      <w:pPr>
        <w:numPr>
          <w:ilvl w:val="0"/>
          <w:numId w:val="11"/>
        </w:numPr>
        <w:tabs>
          <w:tab w:val="left" w:pos="425"/>
        </w:tabs>
        <w:spacing w:line="360" w:lineRule="auto"/>
        <w:rPr>
          <w:rFonts w:ascii="宋体" w:hAnsi="宋体"/>
          <w:szCs w:val="21"/>
        </w:rPr>
      </w:pPr>
      <w:r>
        <w:rPr>
          <w:rFonts w:hint="eastAsia" w:ascii="宋体" w:hAnsi="宋体" w:cs="宋体"/>
          <w:szCs w:val="21"/>
        </w:rPr>
        <w:t>成交供应商须向平台服务商云采链线上采购一体化平台缴纳平台使用费，金额为成交金额的</w:t>
      </w:r>
      <w:r>
        <w:rPr>
          <w:rFonts w:ascii="宋体" w:hAnsi="宋体" w:cs="宋体"/>
          <w:szCs w:val="21"/>
        </w:rPr>
        <w:t>1.5%</w:t>
      </w:r>
      <w:r>
        <w:rPr>
          <w:rFonts w:hint="eastAsia" w:ascii="宋体" w:hAnsi="宋体" w:cs="宋体"/>
          <w:szCs w:val="21"/>
        </w:rPr>
        <w:t>（四舍五入取整数）。</w:t>
      </w:r>
    </w:p>
    <w:p w14:paraId="3345010C">
      <w:pPr>
        <w:numPr>
          <w:ilvl w:val="0"/>
          <w:numId w:val="11"/>
        </w:numPr>
        <w:tabs>
          <w:tab w:val="left" w:pos="425"/>
        </w:tabs>
        <w:spacing w:line="360" w:lineRule="auto"/>
        <w:rPr>
          <w:rFonts w:ascii="宋体" w:hAnsi="宋体"/>
          <w:szCs w:val="21"/>
        </w:rPr>
      </w:pPr>
      <w:r>
        <w:rPr>
          <w:rFonts w:hint="eastAsia" w:ascii="宋体" w:hAnsi="宋体" w:cs="宋体"/>
          <w:szCs w:val="21"/>
        </w:rPr>
        <w:t>成交供应商无正当理由放弃成交资格的必须按竞价公告等相关规定缴纳相应的平台使用费；</w:t>
      </w:r>
    </w:p>
    <w:p w14:paraId="750C61C9">
      <w:pPr>
        <w:numPr>
          <w:ilvl w:val="0"/>
          <w:numId w:val="11"/>
        </w:numPr>
        <w:tabs>
          <w:tab w:val="left" w:pos="425"/>
        </w:tabs>
        <w:spacing w:line="360" w:lineRule="auto"/>
        <w:rPr>
          <w:rFonts w:ascii="宋体" w:hAnsi="宋体"/>
          <w:szCs w:val="21"/>
        </w:rPr>
      </w:pPr>
      <w:r>
        <w:rPr>
          <w:rFonts w:hint="eastAsia" w:ascii="宋体" w:hAnsi="宋体" w:cs="宋体"/>
          <w:szCs w:val="21"/>
        </w:rPr>
        <w:t>如确实因不可抗力放弃成交资格的，应在不可抗力发生后三个工作日内予以通知采购代理机构并提供相关的证明；如逾期，采购代理机构不予退还平台使用费；</w:t>
      </w:r>
    </w:p>
    <w:p w14:paraId="6E88FB83">
      <w:pPr>
        <w:numPr>
          <w:ilvl w:val="0"/>
          <w:numId w:val="2"/>
        </w:numPr>
        <w:spacing w:line="360" w:lineRule="auto"/>
        <w:rPr>
          <w:rFonts w:ascii="宋体" w:hAnsi="宋体"/>
          <w:b/>
          <w:bCs/>
          <w:szCs w:val="21"/>
        </w:rPr>
      </w:pPr>
      <w:r>
        <w:rPr>
          <w:rFonts w:hint="eastAsia" w:ascii="宋体" w:hAnsi="宋体" w:cs="宋体"/>
          <w:b/>
          <w:bCs/>
          <w:szCs w:val="21"/>
        </w:rPr>
        <w:t>联系方式</w:t>
      </w:r>
    </w:p>
    <w:p w14:paraId="7480EB44">
      <w:pPr>
        <w:spacing w:line="360" w:lineRule="auto"/>
        <w:ind w:left="420"/>
        <w:rPr>
          <w:rFonts w:ascii="宋体" w:hAnsi="宋体"/>
          <w:szCs w:val="21"/>
        </w:rPr>
      </w:pPr>
      <w:r>
        <w:rPr>
          <w:rFonts w:hint="eastAsia" w:ascii="宋体" w:hAnsi="宋体" w:cs="宋体"/>
          <w:szCs w:val="21"/>
        </w:rPr>
        <w:t>扫码关注微信公众号</w:t>
      </w:r>
      <w:r>
        <w:rPr>
          <w:rFonts w:ascii="宋体" w:hAnsi="宋体" w:cs="Calibri"/>
          <w:szCs w:val="21"/>
        </w:rPr>
        <w:t>“</w:t>
      </w:r>
      <w:r>
        <w:rPr>
          <w:rFonts w:hint="eastAsia" w:ascii="宋体" w:hAnsi="宋体" w:cs="宋体"/>
          <w:szCs w:val="21"/>
        </w:rPr>
        <w:t>云采链互联服务平台</w:t>
      </w:r>
      <w:r>
        <w:rPr>
          <w:rFonts w:ascii="宋体" w:hAnsi="宋体" w:cs="Calibri"/>
          <w:szCs w:val="21"/>
        </w:rPr>
        <w:t>”</w:t>
      </w:r>
      <w:r>
        <w:rPr>
          <w:rFonts w:hint="eastAsia" w:ascii="宋体" w:hAnsi="宋体" w:cs="宋体"/>
          <w:szCs w:val="21"/>
        </w:rPr>
        <w:t>，即可在线咨询相关事项；</w:t>
      </w:r>
    </w:p>
    <w:p w14:paraId="63ED91D9">
      <w:pPr>
        <w:widowControl/>
        <w:jc w:val="center"/>
      </w:pPr>
      <w:r>
        <w:drawing>
          <wp:anchor distT="0" distB="0" distL="114300" distR="114300" simplePos="0" relativeHeight="251659264" behindDoc="0" locked="0" layoutInCell="1" allowOverlap="1">
            <wp:simplePos x="0" y="0"/>
            <wp:positionH relativeFrom="column">
              <wp:posOffset>1882140</wp:posOffset>
            </wp:positionH>
            <wp:positionV relativeFrom="paragraph">
              <wp:posOffset>99060</wp:posOffset>
            </wp:positionV>
            <wp:extent cx="1371600" cy="137160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cstate="print"/>
                    <a:srcRect/>
                    <a:stretch>
                      <a:fillRect/>
                    </a:stretch>
                  </pic:blipFill>
                  <pic:spPr>
                    <a:xfrm>
                      <a:off x="0" y="0"/>
                      <a:ext cx="1371600" cy="1371600"/>
                    </a:xfrm>
                    <a:prstGeom prst="rect">
                      <a:avLst/>
                    </a:prstGeom>
                    <a:noFill/>
                    <a:ln w="9525">
                      <a:noFill/>
                      <a:miter lim="800000"/>
                      <a:headEnd/>
                      <a:tailEnd/>
                    </a:ln>
                  </pic:spPr>
                </pic:pic>
              </a:graphicData>
            </a:graphic>
          </wp:anchor>
        </w:drawing>
      </w:r>
      <w:r>
        <w:br w:type="page"/>
      </w:r>
    </w:p>
    <w:p w14:paraId="7F4AD953">
      <w:pPr>
        <w:jc w:val="center"/>
        <w:outlineLvl w:val="0"/>
        <w:rPr>
          <w:rFonts w:ascii="Cambria" w:hAnsi="Cambria" w:cs="宋体"/>
          <w:b/>
          <w:bCs/>
          <w:sz w:val="32"/>
          <w:szCs w:val="32"/>
        </w:rPr>
      </w:pPr>
      <w:bookmarkStart w:id="1" w:name="_Hlk54791406"/>
      <w:r>
        <w:rPr>
          <w:rFonts w:hint="eastAsia" w:ascii="Cambria" w:hAnsi="Cambria" w:cs="宋体"/>
          <w:b/>
          <w:bCs/>
          <w:sz w:val="32"/>
          <w:szCs w:val="32"/>
        </w:rPr>
        <w:t>第二章 采购需求书</w:t>
      </w:r>
    </w:p>
    <w:p w14:paraId="13173C85">
      <w:pPr>
        <w:snapToGrid w:val="0"/>
        <w:spacing w:line="360" w:lineRule="auto"/>
        <w:rPr>
          <w:rFonts w:ascii="宋体" w:hAnsi="宋体"/>
          <w:b/>
          <w:bCs/>
          <w:szCs w:val="21"/>
        </w:rPr>
      </w:pPr>
      <w:r>
        <w:rPr>
          <w:rFonts w:hint="eastAsia" w:ascii="宋体" w:hAnsi="宋体"/>
          <w:b/>
          <w:bCs/>
          <w:szCs w:val="21"/>
        </w:rPr>
        <w:t>说明：</w:t>
      </w:r>
    </w:p>
    <w:p w14:paraId="4CB99716">
      <w:pPr>
        <w:tabs>
          <w:tab w:val="left" w:pos="420"/>
        </w:tabs>
        <w:snapToGrid w:val="0"/>
        <w:spacing w:line="360" w:lineRule="auto"/>
        <w:rPr>
          <w:rFonts w:ascii="宋体" w:hAnsi="宋体"/>
          <w:b/>
          <w:bCs/>
          <w:szCs w:val="21"/>
        </w:rPr>
      </w:pPr>
      <w:r>
        <w:rPr>
          <w:rFonts w:hint="eastAsia" w:ascii="宋体" w:hAnsi="宋体"/>
          <w:b/>
          <w:bCs/>
          <w:szCs w:val="21"/>
        </w:rPr>
        <w:t>供应商须对本项目采购内容进行整体响应，任何只对采购内容其中一部分内容进行的响应都被视为无效报价。</w:t>
      </w:r>
    </w:p>
    <w:p w14:paraId="0E2DC6BC">
      <w:pPr>
        <w:pStyle w:val="60"/>
        <w:numPr>
          <w:ilvl w:val="0"/>
          <w:numId w:val="12"/>
        </w:numPr>
        <w:spacing w:line="360" w:lineRule="auto"/>
        <w:ind w:left="0" w:firstLine="0" w:firstLineChars="0"/>
        <w:rPr>
          <w:rFonts w:ascii="宋体" w:hAnsi="宋体" w:cs="宋体"/>
          <w:b/>
          <w:bCs/>
          <w:szCs w:val="21"/>
        </w:rPr>
      </w:pPr>
      <w:r>
        <w:rPr>
          <w:rFonts w:hint="eastAsia" w:ascii="宋体" w:hAnsi="宋体" w:cs="宋体"/>
          <w:b/>
          <w:bCs/>
          <w:szCs w:val="21"/>
        </w:rPr>
        <w:t>项目一览表</w:t>
      </w:r>
    </w:p>
    <w:tbl>
      <w:tblPr>
        <w:tblStyle w:val="36"/>
        <w:tblW w:w="89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93"/>
        <w:gridCol w:w="887"/>
        <w:gridCol w:w="1949"/>
        <w:gridCol w:w="1887"/>
      </w:tblGrid>
      <w:tr w14:paraId="2F262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193" w:type="dxa"/>
            <w:tcBorders>
              <w:top w:val="single" w:color="auto" w:sz="12" w:space="0"/>
              <w:bottom w:val="single" w:color="auto" w:sz="2" w:space="0"/>
            </w:tcBorders>
            <w:shd w:val="clear" w:color="auto" w:fill="EEECE1"/>
            <w:vAlign w:val="center"/>
          </w:tcPr>
          <w:p w14:paraId="17AB3B24">
            <w:pPr>
              <w:spacing w:line="360" w:lineRule="auto"/>
              <w:jc w:val="center"/>
              <w:rPr>
                <w:rFonts w:ascii="宋体" w:hAnsi="宋体"/>
                <w:b/>
                <w:szCs w:val="21"/>
              </w:rPr>
            </w:pPr>
            <w:bookmarkStart w:id="2" w:name="_Hlk536436587"/>
            <w:r>
              <w:rPr>
                <w:rFonts w:hint="eastAsia" w:ascii="宋体" w:hAnsi="宋体"/>
                <w:b/>
                <w:szCs w:val="21"/>
              </w:rPr>
              <w:t>采购内容</w:t>
            </w:r>
          </w:p>
        </w:tc>
        <w:tc>
          <w:tcPr>
            <w:tcW w:w="887" w:type="dxa"/>
            <w:tcBorders>
              <w:top w:val="single" w:color="auto" w:sz="12" w:space="0"/>
              <w:bottom w:val="single" w:color="auto" w:sz="2" w:space="0"/>
            </w:tcBorders>
            <w:shd w:val="clear" w:color="auto" w:fill="EEECE1"/>
            <w:vAlign w:val="center"/>
          </w:tcPr>
          <w:p w14:paraId="653E39E9">
            <w:pPr>
              <w:spacing w:line="360" w:lineRule="auto"/>
              <w:jc w:val="center"/>
              <w:rPr>
                <w:rFonts w:ascii="宋体" w:hAnsi="宋体"/>
                <w:b/>
                <w:szCs w:val="21"/>
              </w:rPr>
            </w:pPr>
            <w:r>
              <w:rPr>
                <w:rFonts w:hint="eastAsia" w:ascii="宋体" w:hAnsi="宋体"/>
                <w:b/>
                <w:szCs w:val="21"/>
              </w:rPr>
              <w:t>数量</w:t>
            </w:r>
          </w:p>
        </w:tc>
        <w:tc>
          <w:tcPr>
            <w:tcW w:w="1949" w:type="dxa"/>
            <w:tcBorders>
              <w:top w:val="single" w:color="auto" w:sz="12" w:space="0"/>
              <w:bottom w:val="single" w:color="auto" w:sz="2" w:space="0"/>
            </w:tcBorders>
            <w:shd w:val="clear" w:color="auto" w:fill="EEECE1"/>
            <w:vAlign w:val="center"/>
          </w:tcPr>
          <w:p w14:paraId="4DE98120">
            <w:pPr>
              <w:spacing w:line="360" w:lineRule="auto"/>
              <w:jc w:val="center"/>
              <w:rPr>
                <w:rFonts w:ascii="宋体" w:hAnsi="宋体"/>
                <w:b/>
                <w:szCs w:val="21"/>
              </w:rPr>
            </w:pPr>
            <w:r>
              <w:rPr>
                <w:rFonts w:hint="eastAsia" w:ascii="宋体" w:hAnsi="宋体"/>
                <w:b/>
                <w:szCs w:val="21"/>
              </w:rPr>
              <w:t>服务期</w:t>
            </w:r>
          </w:p>
        </w:tc>
        <w:tc>
          <w:tcPr>
            <w:tcW w:w="1887" w:type="dxa"/>
            <w:tcBorders>
              <w:top w:val="single" w:color="auto" w:sz="12" w:space="0"/>
              <w:bottom w:val="single" w:color="auto" w:sz="2" w:space="0"/>
            </w:tcBorders>
            <w:shd w:val="clear" w:color="auto" w:fill="EEECE1"/>
            <w:vAlign w:val="center"/>
          </w:tcPr>
          <w:p w14:paraId="1FDC5CCA">
            <w:pPr>
              <w:spacing w:line="360" w:lineRule="auto"/>
              <w:jc w:val="center"/>
              <w:rPr>
                <w:rFonts w:ascii="宋体" w:hAnsi="宋体"/>
                <w:szCs w:val="21"/>
              </w:rPr>
            </w:pPr>
            <w:r>
              <w:rPr>
                <w:rFonts w:hint="eastAsia" w:ascii="宋体" w:hAnsi="宋体"/>
                <w:b/>
                <w:szCs w:val="21"/>
              </w:rPr>
              <w:t>项目预算</w:t>
            </w:r>
          </w:p>
        </w:tc>
      </w:tr>
      <w:tr w14:paraId="5BE66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193" w:type="dxa"/>
            <w:tcBorders>
              <w:top w:val="single" w:color="auto" w:sz="2" w:space="0"/>
            </w:tcBorders>
            <w:vAlign w:val="center"/>
          </w:tcPr>
          <w:p w14:paraId="18FFD3F0">
            <w:pPr>
              <w:spacing w:line="360" w:lineRule="auto"/>
              <w:jc w:val="center"/>
              <w:rPr>
                <w:rFonts w:hint="eastAsia" w:ascii="宋体" w:hAnsi="宋体" w:eastAsia="宋体"/>
                <w:kern w:val="0"/>
                <w:szCs w:val="21"/>
                <w:lang w:eastAsia="zh-CN"/>
              </w:rPr>
            </w:pPr>
            <w:bookmarkStart w:id="8" w:name="_GoBack"/>
            <w:r>
              <w:rPr>
                <w:rFonts w:hint="eastAsia" w:ascii="仿宋_GB2312" w:hAnsi="仿宋_GB2312" w:cs="Calibri"/>
                <w:szCs w:val="21"/>
                <w:lang w:eastAsia="zh-CN"/>
              </w:rPr>
              <w:t>2025-2026年佛山顺德分公司中心机房精密空调购买维保服务项目（第二次竞价）</w:t>
            </w:r>
            <w:bookmarkEnd w:id="8"/>
          </w:p>
        </w:tc>
        <w:tc>
          <w:tcPr>
            <w:tcW w:w="887" w:type="dxa"/>
            <w:tcBorders>
              <w:top w:val="single" w:color="auto" w:sz="2" w:space="0"/>
            </w:tcBorders>
            <w:vAlign w:val="center"/>
          </w:tcPr>
          <w:p w14:paraId="6485C585">
            <w:pPr>
              <w:spacing w:line="360" w:lineRule="auto"/>
              <w:jc w:val="center"/>
              <w:rPr>
                <w:rFonts w:ascii="宋体" w:hAnsi="宋体" w:cs="宋体"/>
                <w:kern w:val="0"/>
                <w:szCs w:val="21"/>
              </w:rPr>
            </w:pPr>
            <w:r>
              <w:rPr>
                <w:rFonts w:hint="eastAsia" w:ascii="宋体" w:hAnsi="宋体" w:cs="宋体"/>
                <w:kern w:val="0"/>
                <w:szCs w:val="21"/>
              </w:rPr>
              <w:t>1项</w:t>
            </w:r>
          </w:p>
        </w:tc>
        <w:tc>
          <w:tcPr>
            <w:tcW w:w="1949" w:type="dxa"/>
            <w:tcBorders>
              <w:top w:val="single" w:color="auto" w:sz="2" w:space="0"/>
            </w:tcBorders>
            <w:vAlign w:val="center"/>
          </w:tcPr>
          <w:p w14:paraId="5F03D487">
            <w:pPr>
              <w:widowControl/>
              <w:spacing w:line="360" w:lineRule="auto"/>
              <w:jc w:val="center"/>
              <w:rPr>
                <w:rFonts w:ascii="宋体" w:hAnsi="宋体" w:cs="宋体"/>
                <w:szCs w:val="21"/>
              </w:rPr>
            </w:pPr>
            <w:r>
              <w:rPr>
                <w:rFonts w:hint="eastAsia" w:ascii="宋体" w:hAnsi="宋体" w:cs="宋体"/>
                <w:szCs w:val="21"/>
                <w:lang w:val="en-US" w:eastAsia="zh-CN"/>
              </w:rPr>
              <w:t>自合同签订之日起</w:t>
            </w:r>
            <w:r>
              <w:rPr>
                <w:rFonts w:hint="eastAsia" w:ascii="宋体" w:hAnsi="宋体" w:cs="宋体"/>
                <w:szCs w:val="21"/>
              </w:rPr>
              <w:t>两年</w:t>
            </w:r>
          </w:p>
        </w:tc>
        <w:tc>
          <w:tcPr>
            <w:tcW w:w="1887" w:type="dxa"/>
            <w:tcBorders>
              <w:top w:val="single" w:color="auto" w:sz="2" w:space="0"/>
            </w:tcBorders>
            <w:vAlign w:val="center"/>
          </w:tcPr>
          <w:p w14:paraId="0046427E">
            <w:pPr>
              <w:spacing w:line="360" w:lineRule="auto"/>
              <w:jc w:val="center"/>
              <w:rPr>
                <w:rFonts w:ascii="宋体" w:hAnsi="宋体" w:cs="宋体"/>
                <w:kern w:val="0"/>
                <w:szCs w:val="21"/>
              </w:rPr>
            </w:pPr>
            <w:r>
              <w:rPr>
                <w:rFonts w:hint="eastAsia" w:ascii="宋体" w:hAnsi="宋体"/>
                <w:bCs/>
                <w:szCs w:val="21"/>
              </w:rPr>
              <w:t>人民币50000元</w:t>
            </w:r>
          </w:p>
        </w:tc>
      </w:tr>
      <w:bookmarkEnd w:id="1"/>
      <w:bookmarkEnd w:id="2"/>
    </w:tbl>
    <w:p w14:paraId="28BA8110">
      <w:pPr>
        <w:pStyle w:val="60"/>
        <w:numPr>
          <w:ilvl w:val="0"/>
          <w:numId w:val="12"/>
        </w:numPr>
        <w:spacing w:line="360" w:lineRule="auto"/>
        <w:ind w:left="0" w:firstLine="0" w:firstLineChars="0"/>
        <w:rPr>
          <w:rFonts w:ascii="宋体" w:hAnsi="宋体"/>
          <w:b/>
          <w:bCs/>
          <w:szCs w:val="21"/>
        </w:rPr>
      </w:pPr>
      <w:r>
        <w:rPr>
          <w:rFonts w:hint="eastAsia" w:ascii="宋体" w:hAnsi="宋体"/>
          <w:b/>
          <w:bCs/>
          <w:szCs w:val="21"/>
        </w:rPr>
        <w:t>项目概况</w:t>
      </w:r>
    </w:p>
    <w:p w14:paraId="3AB4B9AE">
      <w:pPr>
        <w:numPr>
          <w:ilvl w:val="0"/>
          <w:numId w:val="13"/>
        </w:numPr>
        <w:spacing w:line="360" w:lineRule="auto"/>
        <w:rPr>
          <w:rFonts w:ascii="宋体" w:hAnsi="宋体" w:cs="宋体"/>
        </w:rPr>
      </w:pPr>
      <w:r>
        <w:rPr>
          <w:rFonts w:hint="eastAsia" w:ascii="宋体" w:hAnsi="宋体" w:cs="宋体"/>
          <w:lang w:val="zh-CN"/>
        </w:rPr>
        <w:t>采购项目编号：</w:t>
      </w:r>
      <w:r>
        <w:rPr>
          <w:rFonts w:ascii="宋体" w:hAnsi="宋体" w:eastAsia="宋体" w:cs="宋体"/>
          <w:b w:val="0"/>
          <w:bCs w:val="0"/>
          <w:sz w:val="21"/>
          <w:szCs w:val="21"/>
        </w:rPr>
        <w:t>SDWW202411S361</w:t>
      </w:r>
    </w:p>
    <w:p w14:paraId="77133C87">
      <w:pPr>
        <w:numPr>
          <w:ilvl w:val="0"/>
          <w:numId w:val="13"/>
        </w:numPr>
        <w:spacing w:line="360" w:lineRule="auto"/>
        <w:rPr>
          <w:rFonts w:ascii="宋体" w:hAnsi="宋体" w:cs="宋体"/>
        </w:rPr>
      </w:pPr>
      <w:r>
        <w:rPr>
          <w:rFonts w:hint="eastAsia" w:ascii="宋体" w:hAnsi="宋体" w:cs="宋体"/>
        </w:rPr>
        <w:t>采购项目名称：</w:t>
      </w:r>
      <w:r>
        <w:rPr>
          <w:rFonts w:hint="eastAsia" w:ascii="宋体" w:hAnsi="宋体" w:cs="宋体"/>
          <w:szCs w:val="21"/>
          <w:lang w:eastAsia="zh-CN"/>
        </w:rPr>
        <w:t>2025-2026年佛山顺德分公司中心机房精密空调购买维保服务项目（第二次竞价）</w:t>
      </w:r>
    </w:p>
    <w:p w14:paraId="1D713836">
      <w:pPr>
        <w:numPr>
          <w:ilvl w:val="0"/>
          <w:numId w:val="13"/>
        </w:numPr>
        <w:spacing w:line="360" w:lineRule="auto"/>
        <w:rPr>
          <w:rFonts w:ascii="宋体" w:hAnsi="宋体" w:cs="宋体"/>
        </w:rPr>
      </w:pPr>
      <w:r>
        <w:rPr>
          <w:rFonts w:hint="eastAsia" w:ascii="宋体" w:hAnsi="宋体" w:cs="宋体"/>
        </w:rPr>
        <w:t>预算金额：50000元</w:t>
      </w:r>
    </w:p>
    <w:p w14:paraId="3CD7ECAB">
      <w:pPr>
        <w:numPr>
          <w:ilvl w:val="0"/>
          <w:numId w:val="13"/>
        </w:numPr>
        <w:spacing w:line="360" w:lineRule="auto"/>
        <w:rPr>
          <w:rFonts w:ascii="宋体" w:hAnsi="宋体" w:cs="宋体"/>
        </w:rPr>
      </w:pPr>
      <w:r>
        <w:rPr>
          <w:rFonts w:hint="eastAsia" w:ascii="宋体" w:hAnsi="宋体" w:cs="宋体"/>
        </w:rPr>
        <w:t>采购项目内容：2025-2026年佛山顺德分公司中心机房精密空调购买维保服务采购</w:t>
      </w:r>
    </w:p>
    <w:p w14:paraId="532090EA">
      <w:pPr>
        <w:pStyle w:val="60"/>
        <w:numPr>
          <w:ilvl w:val="0"/>
          <w:numId w:val="12"/>
        </w:numPr>
        <w:spacing w:line="360" w:lineRule="auto"/>
        <w:ind w:left="0" w:firstLine="0" w:firstLineChars="0"/>
        <w:rPr>
          <w:rFonts w:ascii="宋体" w:hAnsi="宋体" w:cs="宋体"/>
          <w:szCs w:val="21"/>
        </w:rPr>
      </w:pPr>
      <w:r>
        <w:rPr>
          <w:rFonts w:hint="eastAsia" w:ascii="宋体" w:hAnsi="宋体" w:cs="宋体"/>
          <w:szCs w:val="21"/>
        </w:rPr>
        <w:t>采购项目内容：</w:t>
      </w:r>
      <w:r>
        <w:rPr>
          <w:rFonts w:hint="eastAsia" w:ascii="宋体" w:hAnsi="宋体" w:cs="宋体"/>
          <w:szCs w:val="21"/>
          <w:u w:val="single"/>
        </w:rPr>
        <w:t>采购为期二年的专业空调维保服务，共</w:t>
      </w:r>
      <w:r>
        <w:rPr>
          <w:rFonts w:hint="eastAsia" w:ascii="宋体" w:hAnsi="宋体" w:cs="宋体"/>
          <w:kern w:val="0"/>
          <w:szCs w:val="21"/>
          <w:u w:val="single"/>
        </w:rPr>
        <w:t>4台维缔20匹精密空调</w:t>
      </w:r>
      <w:r>
        <w:rPr>
          <w:rFonts w:hint="eastAsia" w:ascii="宋体" w:hAnsi="宋体" w:cs="宋体"/>
          <w:szCs w:val="21"/>
          <w:u w:val="single"/>
        </w:rPr>
        <w:t>。</w:t>
      </w:r>
    </w:p>
    <w:p w14:paraId="070EA1A4">
      <w:pPr>
        <w:numPr>
          <w:ilvl w:val="0"/>
          <w:numId w:val="14"/>
        </w:numPr>
        <w:autoSpaceDE w:val="0"/>
        <w:autoSpaceDN w:val="0"/>
        <w:snapToGrid w:val="0"/>
        <w:spacing w:line="360" w:lineRule="auto"/>
        <w:rPr>
          <w:rFonts w:ascii="宋体" w:hAnsi="宋体" w:cs="宋体"/>
          <w:szCs w:val="21"/>
        </w:rPr>
      </w:pPr>
      <w:r>
        <w:rPr>
          <w:rFonts w:hint="eastAsia" w:ascii="宋体" w:hAnsi="宋体" w:cs="宋体"/>
          <w:szCs w:val="21"/>
        </w:rPr>
        <w:t>全保维保方式：提供二年12次专业的定期巡检维护，应急故障处理、硬件维修和技术支持；维保费用含巡检服务费、维修费和空调故障更换零配件费，每年免费提供2次空调滤网的更换。</w:t>
      </w:r>
    </w:p>
    <w:p w14:paraId="74AF707E">
      <w:pPr>
        <w:numPr>
          <w:ilvl w:val="0"/>
          <w:numId w:val="14"/>
        </w:numPr>
        <w:autoSpaceDE w:val="0"/>
        <w:autoSpaceDN w:val="0"/>
        <w:snapToGrid w:val="0"/>
        <w:spacing w:line="360" w:lineRule="auto"/>
        <w:rPr>
          <w:rFonts w:ascii="宋体" w:hAnsi="宋体" w:cs="宋体"/>
          <w:szCs w:val="21"/>
        </w:rPr>
      </w:pPr>
      <w:r>
        <w:rPr>
          <w:rFonts w:hint="eastAsia" w:ascii="宋体" w:hAnsi="宋体" w:cs="宋体"/>
          <w:szCs w:val="21"/>
        </w:rPr>
        <w:t>拟投入本项目的维护人员要求：维护人员要获得制冷上岗证或制冷维修技师证。（提供拟投入本项目维护人员的相关证书复印件）</w:t>
      </w:r>
    </w:p>
    <w:p w14:paraId="0F8BD868">
      <w:pPr>
        <w:widowControl/>
        <w:numPr>
          <w:ilvl w:val="0"/>
          <w:numId w:val="14"/>
        </w:numPr>
        <w:autoSpaceDE w:val="0"/>
        <w:autoSpaceDN w:val="0"/>
        <w:snapToGrid w:val="0"/>
        <w:spacing w:line="360" w:lineRule="auto"/>
        <w:jc w:val="left"/>
        <w:rPr>
          <w:rFonts w:ascii="宋体" w:hAnsi="宋体" w:cs="宋体"/>
          <w:szCs w:val="21"/>
        </w:rPr>
      </w:pPr>
      <w:r>
        <w:rPr>
          <w:rFonts w:hint="eastAsia" w:ascii="宋体" w:hAnsi="宋体" w:cs="宋体"/>
          <w:szCs w:val="21"/>
        </w:rPr>
        <w:t>付款方式</w:t>
      </w:r>
    </w:p>
    <w:p w14:paraId="1B027C20">
      <w:pPr>
        <w:numPr>
          <w:ilvl w:val="0"/>
          <w:numId w:val="15"/>
        </w:numPr>
        <w:spacing w:line="360" w:lineRule="auto"/>
        <w:ind w:left="0" w:firstLine="420" w:firstLineChars="200"/>
        <w:rPr>
          <w:rFonts w:ascii="宋体" w:hAnsi="宋体" w:cs="宋体"/>
          <w:kern w:val="0"/>
          <w:szCs w:val="21"/>
        </w:rPr>
      </w:pPr>
      <w:r>
        <w:rPr>
          <w:rFonts w:hint="eastAsia" w:ascii="宋体" w:hAnsi="宋体" w:cs="宋体"/>
          <w:kern w:val="0"/>
          <w:szCs w:val="21"/>
        </w:rPr>
        <w:t>合同生效后，采购人每半年结算一次费用，共结算4次，每次结算金额为合同金额的25%，实际结算金额根据采购人对成交供应商的服务质量评价考核来计算。</w:t>
      </w:r>
    </w:p>
    <w:p w14:paraId="6CEB2535">
      <w:pPr>
        <w:numPr>
          <w:ilvl w:val="0"/>
          <w:numId w:val="15"/>
        </w:numPr>
        <w:spacing w:line="360" w:lineRule="auto"/>
        <w:ind w:left="0" w:firstLine="420" w:firstLineChars="200"/>
        <w:rPr>
          <w:rFonts w:ascii="宋体" w:hAnsi="宋体" w:cs="宋体"/>
          <w:kern w:val="0"/>
          <w:szCs w:val="21"/>
        </w:rPr>
      </w:pPr>
      <w:r>
        <w:rPr>
          <w:rFonts w:hint="eastAsia" w:ascii="宋体" w:hAnsi="宋体" w:cs="宋体"/>
          <w:kern w:val="0"/>
          <w:szCs w:val="21"/>
        </w:rPr>
        <w:t>每半年采购人对成交供应商的服务质量进行评价考核，根据采购人考核结果支付实际维护保养费。考核办法如下：总评分100-90分（包括90分），不扣除本次（半年度）维护保养费用；90分以下至80分(包括80分)，每扣1分则扣除本次（半年度）维护保养费用的3%，本项按扣分累加制，如扣2分，则扣本次（半年度）维护保养费用6%,以此类推；考核总得分在80分以下直接扣除本次（半年度）维护保养费用的40％，即采购人支付的费用为合同总额*25%*（1-扣除比例）。如维护单位连续两次不能提供巡检或出现严重故障处理分值被完全扣完时，采购人有权利取消成交供应商的维护资格。</w:t>
      </w:r>
    </w:p>
    <w:p w14:paraId="6FBC9EE2">
      <w:pPr>
        <w:numPr>
          <w:ilvl w:val="0"/>
          <w:numId w:val="15"/>
        </w:numPr>
        <w:spacing w:line="360" w:lineRule="auto"/>
        <w:ind w:left="0" w:firstLine="420" w:firstLineChars="200"/>
        <w:rPr>
          <w:rFonts w:ascii="宋体" w:hAnsi="宋体" w:cs="宋体"/>
          <w:kern w:val="0"/>
          <w:szCs w:val="21"/>
        </w:rPr>
      </w:pPr>
      <w:r>
        <w:rPr>
          <w:rFonts w:hint="eastAsia" w:ascii="宋体" w:hAnsi="宋体" w:cs="宋体"/>
          <w:kern w:val="0"/>
          <w:szCs w:val="21"/>
        </w:rPr>
        <w:t>每次结算，成交供应商应根据考核评分结果提供与实际结算金额等额的增值税专用发票给采购人。采购人在收到发票后的三个月内支付费用；</w:t>
      </w:r>
    </w:p>
    <w:p w14:paraId="0EDB87BC">
      <w:pPr>
        <w:numPr>
          <w:ilvl w:val="0"/>
          <w:numId w:val="15"/>
        </w:numPr>
        <w:spacing w:line="360" w:lineRule="auto"/>
        <w:ind w:left="0" w:firstLine="420" w:firstLineChars="200"/>
        <w:rPr>
          <w:rFonts w:ascii="宋体" w:hAnsi="宋体" w:cs="宋体"/>
          <w:kern w:val="0"/>
          <w:szCs w:val="21"/>
        </w:rPr>
      </w:pPr>
      <w:r>
        <w:rPr>
          <w:rFonts w:hint="eastAsia" w:ascii="宋体" w:hAnsi="宋体" w:cs="宋体"/>
          <w:kern w:val="0"/>
          <w:szCs w:val="21"/>
        </w:rPr>
        <w:t>付款方式：采用银行汇付（含电汇）形式；</w:t>
      </w:r>
    </w:p>
    <w:p w14:paraId="39060734">
      <w:pPr>
        <w:numPr>
          <w:ilvl w:val="0"/>
          <w:numId w:val="15"/>
        </w:numPr>
        <w:spacing w:line="360" w:lineRule="auto"/>
        <w:ind w:left="0" w:firstLine="420" w:firstLineChars="200"/>
        <w:rPr>
          <w:rFonts w:ascii="宋体" w:hAnsi="宋体" w:cs="宋体"/>
          <w:kern w:val="0"/>
          <w:szCs w:val="21"/>
        </w:rPr>
      </w:pPr>
      <w:r>
        <w:rPr>
          <w:rFonts w:hint="eastAsia" w:ascii="宋体" w:hAnsi="宋体" w:cs="宋体"/>
          <w:kern w:val="0"/>
          <w:szCs w:val="21"/>
        </w:rPr>
        <w:t>收款人与合同成交人名称一致。</w:t>
      </w:r>
    </w:p>
    <w:p w14:paraId="2F10D8A6">
      <w:pPr>
        <w:numPr>
          <w:ilvl w:val="0"/>
          <w:numId w:val="15"/>
        </w:numPr>
        <w:spacing w:line="360" w:lineRule="auto"/>
        <w:ind w:left="0" w:firstLine="420" w:firstLineChars="200"/>
        <w:rPr>
          <w:rFonts w:ascii="宋体" w:hAnsi="宋体" w:cs="宋体"/>
          <w:szCs w:val="21"/>
        </w:rPr>
      </w:pPr>
      <w:r>
        <w:rPr>
          <w:rFonts w:hint="eastAsia" w:ascii="宋体" w:hAnsi="宋体" w:cs="宋体"/>
          <w:szCs w:val="21"/>
        </w:rPr>
        <w:t>税务</w:t>
      </w:r>
    </w:p>
    <w:p w14:paraId="5AF87C70">
      <w:pPr>
        <w:numPr>
          <w:ilvl w:val="0"/>
          <w:numId w:val="16"/>
        </w:numPr>
        <w:spacing w:line="360" w:lineRule="auto"/>
        <w:ind w:left="0" w:firstLine="420" w:firstLineChars="200"/>
        <w:rPr>
          <w:rFonts w:ascii="宋体" w:hAnsi="宋体" w:cs="宋体"/>
          <w:szCs w:val="21"/>
        </w:rPr>
      </w:pPr>
      <w:r>
        <w:rPr>
          <w:rFonts w:hint="eastAsia" w:ascii="宋体" w:hAnsi="宋体" w:cs="宋体"/>
          <w:szCs w:val="21"/>
        </w:rPr>
        <w:t xml:space="preserve">成交供应商承诺其开具增值税专用发票的形式与内容均合法、有效、完整、准确。不开具或开具不合格的增值税专用发票，采购人有权顺延支付应付款项且不承担任何违约责任，且成交供应商的各项合同义务仍应按合同约定履行。 </w:t>
      </w:r>
    </w:p>
    <w:p w14:paraId="32465DB1">
      <w:pPr>
        <w:numPr>
          <w:ilvl w:val="0"/>
          <w:numId w:val="16"/>
        </w:numPr>
        <w:spacing w:line="360" w:lineRule="auto"/>
        <w:ind w:left="0" w:firstLine="420" w:firstLineChars="200"/>
        <w:rPr>
          <w:rFonts w:ascii="宋体" w:hAnsi="宋体" w:cs="宋体"/>
          <w:szCs w:val="21"/>
        </w:rPr>
      </w:pPr>
      <w:r>
        <w:rPr>
          <w:rFonts w:hint="eastAsia" w:ascii="宋体" w:hAnsi="宋体" w:cs="宋体"/>
          <w:szCs w:val="21"/>
        </w:rPr>
        <w:t>如出现国家税收政策调整时，双方应根据实际税收调整情况，以本合同中的不含税单价（不含税单价=含税单价/（1+税率）为依据相应调整受影响的合同含税金额，成交供应商需按照税收调整政策规定开具合法合规发票。</w:t>
      </w:r>
    </w:p>
    <w:p w14:paraId="49E1A0A9">
      <w:pPr>
        <w:widowControl/>
        <w:numPr>
          <w:ilvl w:val="0"/>
          <w:numId w:val="14"/>
        </w:numPr>
        <w:autoSpaceDE w:val="0"/>
        <w:autoSpaceDN w:val="0"/>
        <w:snapToGrid w:val="0"/>
        <w:spacing w:line="360" w:lineRule="auto"/>
        <w:jc w:val="left"/>
        <w:rPr>
          <w:rFonts w:ascii="宋体" w:hAnsi="宋体" w:cs="宋体"/>
          <w:b/>
          <w:szCs w:val="21"/>
        </w:rPr>
      </w:pPr>
      <w:r>
        <w:rPr>
          <w:rFonts w:hint="eastAsia" w:ascii="宋体" w:hAnsi="宋体" w:cs="宋体"/>
          <w:b/>
          <w:szCs w:val="21"/>
        </w:rPr>
        <w:t>报价要求</w:t>
      </w:r>
    </w:p>
    <w:p w14:paraId="55C4979A">
      <w:pPr>
        <w:tabs>
          <w:tab w:val="left" w:pos="1260"/>
          <w:tab w:val="left" w:pos="2160"/>
          <w:tab w:val="left" w:pos="7920"/>
        </w:tabs>
        <w:spacing w:line="360" w:lineRule="auto"/>
        <w:ind w:firstLine="420" w:firstLineChars="200"/>
        <w:rPr>
          <w:rFonts w:ascii="宋体" w:hAnsi="宋体" w:cs="宋体"/>
          <w:szCs w:val="21"/>
        </w:rPr>
      </w:pPr>
      <w:r>
        <w:rPr>
          <w:rFonts w:hint="eastAsia" w:ascii="宋体" w:hAnsi="宋体" w:cs="宋体"/>
          <w:szCs w:val="21"/>
        </w:rPr>
        <w:t>供应商的报价已包括设备维护保养工作内容、劳务、制作、运输、仓储、管理、集成费、调试、维护、保险、利润、税金、政策性文件规定及合同包含的所有风险、责任等各项应有费用及不可预见费用。</w:t>
      </w:r>
    </w:p>
    <w:p w14:paraId="17BB233D">
      <w:pPr>
        <w:widowControl/>
        <w:numPr>
          <w:ilvl w:val="0"/>
          <w:numId w:val="14"/>
        </w:numPr>
        <w:autoSpaceDE w:val="0"/>
        <w:autoSpaceDN w:val="0"/>
        <w:snapToGrid w:val="0"/>
        <w:spacing w:line="360" w:lineRule="auto"/>
        <w:jc w:val="left"/>
        <w:rPr>
          <w:rFonts w:ascii="宋体" w:hAnsi="宋体" w:cs="宋体"/>
          <w:b/>
          <w:szCs w:val="21"/>
        </w:rPr>
      </w:pPr>
      <w:r>
        <w:rPr>
          <w:rFonts w:hint="eastAsia" w:ascii="宋体" w:hAnsi="宋体" w:cs="宋体"/>
          <w:b/>
          <w:szCs w:val="21"/>
        </w:rPr>
        <w:t>维护保养工作内容：</w:t>
      </w:r>
    </w:p>
    <w:p w14:paraId="50F2C24C">
      <w:pPr>
        <w:numPr>
          <w:ilvl w:val="0"/>
          <w:numId w:val="17"/>
        </w:numPr>
        <w:spacing w:line="360" w:lineRule="auto"/>
        <w:ind w:left="0" w:firstLine="420" w:firstLineChars="200"/>
        <w:rPr>
          <w:rFonts w:ascii="宋体" w:hAnsi="宋体" w:cs="宋体"/>
          <w:kern w:val="0"/>
          <w:szCs w:val="21"/>
        </w:rPr>
      </w:pPr>
      <w:r>
        <w:rPr>
          <w:rFonts w:hint="eastAsia" w:ascii="宋体" w:hAnsi="宋体" w:cs="宋体"/>
          <w:kern w:val="0"/>
          <w:szCs w:val="21"/>
        </w:rPr>
        <w:t>成交供应商须定期为采购人提供全面的阶段性巡检和维护，每两月巡检一次，维护保养内容包括：</w:t>
      </w:r>
    </w:p>
    <w:p w14:paraId="2C2D0D2E">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控制系统：检查控制器上的LED，显示单元是否正常，各设置参数是否正确，查看历史报警记录对报警内容进行分析消除隐患。</w:t>
      </w:r>
    </w:p>
    <w:p w14:paraId="5CD20970">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检查清洗空气过滤网，如需更换则免费更换室内空气过滤器，保证机房的清洁度（每年免费更换二次）。</w:t>
      </w:r>
    </w:p>
    <w:p w14:paraId="28AB7B6B">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加湿器：检查蒸汽加湿器是否结垢，如结垢需拆下加湿器进行清洗或更换；保证机房正常的湿度。拆下蒸汽加湿器，检查三相加湿电极是否接触紧密，是否有破损，保证加湿时的电路安全。运用维修模式检查上水是否通畅且速度平稳。运用维修模式检查排水是否通畅。运用维修模式检查三相加湿电流是否平衡，且在正常工作范围之内。检查蒸汽输出口是否紧密、漏气。检查蒸汽输出量是否能够保证机房湿度。</w:t>
      </w:r>
    </w:p>
    <w:p w14:paraId="581114B2">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外部冷凝器：检查、清洁冷凝器（使用加压水枪和清洗剂清洗室外冷凝器。每年清洗四次）。风扇：检查风扇转动，有无异常噪声，运行电路是否正常。检查室外冷凝器的电源开关，工作是否正常，绝缘是否可靠，电气接点是否紧固。检查压力继电器，对室外风机的控制是否与设置的一致，并且根据当时的具体工作环境调整压力继电器。调速器（如果安装）：检查调速器的工作状态，控制是否灵敏。</w:t>
      </w:r>
    </w:p>
    <w:p w14:paraId="51DCF413">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蒸发器：检查、清洁蒸发器，如有污垢用药剂清洗，保证足够的热交换量。</w:t>
      </w:r>
    </w:p>
    <w:p w14:paraId="2A6A7C44">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室内风机：检查风机马达运转是否正常，有无异常噪音，并且轴承是否发热，检查耗电量。对于由皮带传动的机组，检查传动皮带，用手指拉紧时，是否可延长2cm。</w:t>
      </w:r>
    </w:p>
    <w:p w14:paraId="79FA9507">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电加热器：检查三级电加热器的各级加热电流及各电气接点是否正常。电加热器的过热保护是否灵敏。</w:t>
      </w:r>
    </w:p>
    <w:p w14:paraId="05D1CF62">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电路：检查主电源及各支路的各相电压，电流；检查所有的接触器，触点是否清洁，接触是否可靠、检测吸合时的瞬间电流，对各接点进行紧固，确保安全；对24V控制线路进行检测，确保控制的灵敏。对各种系统保护功能进行检测，例如高压保护、低压保护、过热保护、相续保护等，保证设备的安全运转。</w:t>
      </w:r>
    </w:p>
    <w:p w14:paraId="6FD575CB">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制冷系统：检查制冷系统运行压力（高压，低压）是否正常，并根据当时的室外环境对压力进行适当的调节；检查压缩机的三相绕组是否平衡，绕组的绝缘是否可靠。进行过热度的测试，判断系统的运行效率是否能够达到指定的性能指标。压缩机工作时的声音是否异常，以判定系统的润滑程度。制冷系统内制冷剂量是否合适，是否应补充制冷剂。</w:t>
      </w:r>
    </w:p>
    <w:p w14:paraId="094FE0E9">
      <w:pPr>
        <w:numPr>
          <w:ilvl w:val="0"/>
          <w:numId w:val="18"/>
        </w:numPr>
        <w:spacing w:line="360" w:lineRule="auto"/>
        <w:ind w:left="0" w:firstLine="420" w:firstLineChars="200"/>
        <w:rPr>
          <w:rFonts w:ascii="宋体" w:hAnsi="宋体" w:cs="宋体"/>
          <w:kern w:val="0"/>
          <w:szCs w:val="21"/>
        </w:rPr>
      </w:pPr>
      <w:r>
        <w:rPr>
          <w:rFonts w:hint="eastAsia" w:ascii="宋体" w:hAnsi="宋体" w:cs="宋体"/>
          <w:kern w:val="0"/>
          <w:szCs w:val="21"/>
        </w:rPr>
        <w:t>排水系统：检查排水系统是否畅通，如有水垢或异物阻塞管道，用药剂疏通管道，保证排水顺畅。</w:t>
      </w:r>
    </w:p>
    <w:p w14:paraId="57A51499">
      <w:pPr>
        <w:numPr>
          <w:ilvl w:val="0"/>
          <w:numId w:val="17"/>
        </w:numPr>
        <w:spacing w:line="360" w:lineRule="auto"/>
        <w:ind w:left="0" w:firstLine="420" w:firstLineChars="200"/>
        <w:rPr>
          <w:rFonts w:ascii="宋体" w:hAnsi="宋体" w:cs="宋体"/>
          <w:kern w:val="0"/>
          <w:szCs w:val="21"/>
        </w:rPr>
      </w:pPr>
      <w:r>
        <w:rPr>
          <w:rFonts w:hint="eastAsia" w:ascii="宋体" w:hAnsi="宋体" w:cs="宋体"/>
          <w:kern w:val="0"/>
          <w:szCs w:val="21"/>
        </w:rPr>
        <w:t>特殊维护：对于由于特殊原因、非正常因素引起的空调故障，对空调进行调试、检修工作需由成交供应商指派或聘请专业的制冷工程技术人员进行操作，并对设备采取相应特殊维护。</w:t>
      </w:r>
    </w:p>
    <w:p w14:paraId="2539DF14">
      <w:pPr>
        <w:numPr>
          <w:ilvl w:val="0"/>
          <w:numId w:val="19"/>
        </w:numPr>
        <w:spacing w:line="360" w:lineRule="auto"/>
        <w:ind w:left="0" w:firstLine="420" w:firstLineChars="200"/>
        <w:rPr>
          <w:rFonts w:ascii="宋体" w:hAnsi="宋体" w:cs="宋体"/>
          <w:kern w:val="0"/>
          <w:szCs w:val="21"/>
        </w:rPr>
      </w:pPr>
      <w:r>
        <w:rPr>
          <w:rFonts w:hint="eastAsia" w:ascii="宋体" w:hAnsi="宋体" w:cs="宋体"/>
          <w:kern w:val="0"/>
          <w:szCs w:val="21"/>
        </w:rPr>
        <w:t>加注冷冻油：所加注的冷冻油为SUNISO 4G 冷冻油。对管线长度超过30M的风冷机组加注冷冻油：对管线长度超过30M的风冷机组，加注冷冻油为超加氟量的6%-7%，然后在安装中从管道注入。当冷冻油损失后对整个制冷循环加注冷冻油。</w:t>
      </w:r>
    </w:p>
    <w:p w14:paraId="2619978E">
      <w:pPr>
        <w:numPr>
          <w:ilvl w:val="0"/>
          <w:numId w:val="19"/>
        </w:numPr>
        <w:spacing w:line="360" w:lineRule="auto"/>
        <w:ind w:left="0" w:firstLine="420" w:firstLineChars="200"/>
        <w:rPr>
          <w:rFonts w:ascii="宋体" w:hAnsi="宋体" w:cs="宋体"/>
          <w:kern w:val="0"/>
          <w:szCs w:val="21"/>
        </w:rPr>
      </w:pPr>
      <w:r>
        <w:rPr>
          <w:rFonts w:hint="eastAsia" w:ascii="宋体" w:hAnsi="宋体" w:cs="宋体"/>
          <w:kern w:val="0"/>
          <w:szCs w:val="21"/>
        </w:rPr>
        <w:t>加注制冷剂：当有氟量损失时应补充制冷剂</w:t>
      </w:r>
      <w:r>
        <w:rPr>
          <w:rFonts w:hint="eastAsia" w:ascii="宋体" w:hAnsi="宋体" w:cs="宋体"/>
          <w:b/>
          <w:bCs/>
          <w:kern w:val="0"/>
          <w:szCs w:val="21"/>
        </w:rPr>
        <w:t>（所用制冷剂为进口制冷剂）</w:t>
      </w:r>
      <w:r>
        <w:rPr>
          <w:rFonts w:hint="eastAsia" w:ascii="宋体" w:hAnsi="宋体" w:cs="宋体"/>
          <w:kern w:val="0"/>
          <w:szCs w:val="21"/>
        </w:rPr>
        <w:t>。</w:t>
      </w:r>
    </w:p>
    <w:p w14:paraId="5DEA4F41">
      <w:pPr>
        <w:numPr>
          <w:ilvl w:val="0"/>
          <w:numId w:val="19"/>
        </w:numPr>
        <w:spacing w:line="360" w:lineRule="auto"/>
        <w:ind w:left="0" w:firstLine="420" w:firstLineChars="200"/>
        <w:rPr>
          <w:rFonts w:ascii="宋体" w:hAnsi="宋体" w:cs="宋体"/>
          <w:kern w:val="0"/>
          <w:szCs w:val="21"/>
        </w:rPr>
      </w:pPr>
      <w:r>
        <w:rPr>
          <w:rFonts w:hint="eastAsia" w:ascii="宋体" w:hAnsi="宋体" w:cs="宋体"/>
          <w:kern w:val="0"/>
          <w:szCs w:val="21"/>
        </w:rPr>
        <w:t>调整热力膨胀阀。</w:t>
      </w:r>
    </w:p>
    <w:p w14:paraId="768A25B4">
      <w:pPr>
        <w:numPr>
          <w:ilvl w:val="0"/>
          <w:numId w:val="19"/>
        </w:numPr>
        <w:spacing w:line="360" w:lineRule="auto"/>
        <w:ind w:left="0" w:firstLine="420" w:firstLineChars="200"/>
        <w:rPr>
          <w:rFonts w:ascii="宋体" w:hAnsi="宋体" w:cs="宋体"/>
          <w:kern w:val="0"/>
          <w:szCs w:val="21"/>
        </w:rPr>
      </w:pPr>
      <w:r>
        <w:rPr>
          <w:rFonts w:hint="eastAsia" w:ascii="宋体" w:hAnsi="宋体" w:cs="宋体"/>
          <w:kern w:val="0"/>
          <w:szCs w:val="21"/>
        </w:rPr>
        <w:t>对压力开关、风量开关等的校准：最后在巡检完毕后应向采购人工程师提交巡检报告。对存在的问题提出解决方案，对使用上的问题提出合理性建议。以保证采购人设备的正常运行。</w:t>
      </w:r>
    </w:p>
    <w:p w14:paraId="24149312">
      <w:pPr>
        <w:numPr>
          <w:ilvl w:val="0"/>
          <w:numId w:val="17"/>
        </w:numPr>
        <w:spacing w:line="360" w:lineRule="auto"/>
        <w:ind w:left="0" w:firstLine="420" w:firstLineChars="200"/>
        <w:rPr>
          <w:rFonts w:ascii="宋体" w:hAnsi="宋体" w:cs="宋体"/>
          <w:kern w:val="0"/>
          <w:szCs w:val="21"/>
        </w:rPr>
      </w:pPr>
      <w:r>
        <w:rPr>
          <w:rFonts w:hint="eastAsia" w:ascii="宋体" w:hAnsi="宋体" w:cs="宋体"/>
          <w:kern w:val="0"/>
          <w:szCs w:val="21"/>
        </w:rPr>
        <w:t>遇故障时的维修：</w:t>
      </w:r>
    </w:p>
    <w:p w14:paraId="2C084023">
      <w:pPr>
        <w:numPr>
          <w:ilvl w:val="0"/>
          <w:numId w:val="20"/>
        </w:numPr>
        <w:spacing w:line="360" w:lineRule="auto"/>
        <w:ind w:left="0" w:firstLine="422" w:firstLineChars="200"/>
        <w:rPr>
          <w:rFonts w:ascii="宋体" w:hAnsi="宋体" w:cs="宋体"/>
          <w:b/>
          <w:bCs/>
          <w:kern w:val="0"/>
          <w:szCs w:val="21"/>
        </w:rPr>
      </w:pPr>
      <w:r>
        <w:rPr>
          <w:rFonts w:hint="eastAsia" w:ascii="宋体" w:hAnsi="宋体" w:cs="宋体"/>
          <w:b/>
          <w:bCs/>
          <w:kern w:val="0"/>
          <w:szCs w:val="21"/>
        </w:rPr>
        <w:t>在维护保养期内,空调机所有零部件（如压缩机，控制器，风机，风扇，膨胀阀，电脑板等）在正常使用下发生损坏，由成交供应商免费更换或维修。维修后向采购人汇报问题情况及处理结果提交维修报告（采购人签字确认）。</w:t>
      </w:r>
    </w:p>
    <w:p w14:paraId="3F42A1B1">
      <w:pPr>
        <w:numPr>
          <w:ilvl w:val="0"/>
          <w:numId w:val="20"/>
        </w:numPr>
        <w:spacing w:line="360" w:lineRule="auto"/>
        <w:ind w:left="0" w:firstLine="420" w:firstLineChars="200"/>
        <w:rPr>
          <w:rFonts w:ascii="宋体" w:hAnsi="宋体" w:cs="宋体"/>
          <w:kern w:val="0"/>
          <w:szCs w:val="21"/>
        </w:rPr>
      </w:pPr>
      <w:r>
        <w:rPr>
          <w:rFonts w:hint="eastAsia" w:ascii="宋体" w:hAnsi="宋体" w:cs="宋体"/>
          <w:kern w:val="0"/>
          <w:szCs w:val="21"/>
        </w:rPr>
        <w:t>在设备使用过程中存在的使用上的问题，成交供应商应解释清楚，并提出合理性建议。</w:t>
      </w:r>
    </w:p>
    <w:p w14:paraId="0902E0B0">
      <w:pPr>
        <w:numPr>
          <w:ilvl w:val="0"/>
          <w:numId w:val="20"/>
        </w:numPr>
        <w:spacing w:line="360" w:lineRule="auto"/>
        <w:ind w:left="0" w:firstLine="420" w:firstLineChars="200"/>
        <w:rPr>
          <w:rFonts w:ascii="宋体" w:hAnsi="宋体" w:cs="宋体"/>
          <w:kern w:val="0"/>
          <w:szCs w:val="21"/>
        </w:rPr>
      </w:pPr>
      <w:r>
        <w:rPr>
          <w:rFonts w:hint="eastAsia" w:ascii="宋体" w:hAnsi="宋体" w:cs="宋体"/>
          <w:kern w:val="0"/>
          <w:szCs w:val="21"/>
        </w:rPr>
        <w:t>精密空调在正常使用和保养下，设备发生故障，成交供应商接到故障通知后，技术人员应及时向采购人提出解决方案，确认需要工程师抵达现场进行解决的，保证工作时间8小时内到达现场（具体时间按《服务质量考核表》执行）。</w:t>
      </w:r>
    </w:p>
    <w:p w14:paraId="394EFF62">
      <w:pPr>
        <w:widowControl/>
        <w:numPr>
          <w:ilvl w:val="0"/>
          <w:numId w:val="14"/>
        </w:numPr>
        <w:autoSpaceDE w:val="0"/>
        <w:autoSpaceDN w:val="0"/>
        <w:snapToGrid w:val="0"/>
        <w:spacing w:line="360" w:lineRule="auto"/>
        <w:jc w:val="left"/>
        <w:rPr>
          <w:rFonts w:ascii="宋体" w:hAnsi="宋体" w:cs="宋体"/>
          <w:b/>
          <w:szCs w:val="21"/>
        </w:rPr>
      </w:pPr>
      <w:r>
        <w:rPr>
          <w:rFonts w:hint="eastAsia" w:ascii="宋体" w:hAnsi="宋体" w:cs="宋体"/>
          <w:b/>
          <w:szCs w:val="21"/>
        </w:rPr>
        <w:t>服务地点：</w:t>
      </w:r>
    </w:p>
    <w:p w14:paraId="3AE83B74">
      <w:pPr>
        <w:widowControl/>
        <w:numPr>
          <w:ilvl w:val="255"/>
          <w:numId w:val="0"/>
        </w:numPr>
        <w:autoSpaceDE w:val="0"/>
        <w:autoSpaceDN w:val="0"/>
        <w:snapToGrid w:val="0"/>
        <w:spacing w:line="360" w:lineRule="auto"/>
        <w:ind w:left="420" w:firstLine="0"/>
        <w:jc w:val="left"/>
        <w:rPr>
          <w:rFonts w:ascii="宋体" w:hAnsi="宋体" w:cs="宋体"/>
          <w:bCs/>
          <w:szCs w:val="21"/>
        </w:rPr>
      </w:pPr>
      <w:r>
        <w:rPr>
          <w:rFonts w:hint="eastAsia" w:ascii="宋体" w:hAnsi="宋体" w:cs="宋体"/>
          <w:bCs/>
          <w:szCs w:val="21"/>
        </w:rPr>
        <w:t>广东省佛山市顺德区大良延年路11-2号</w:t>
      </w:r>
    </w:p>
    <w:p w14:paraId="5CD749E6">
      <w:pPr>
        <w:widowControl/>
        <w:numPr>
          <w:ilvl w:val="0"/>
          <w:numId w:val="14"/>
        </w:numPr>
        <w:autoSpaceDE w:val="0"/>
        <w:autoSpaceDN w:val="0"/>
        <w:snapToGrid w:val="0"/>
        <w:spacing w:line="360" w:lineRule="auto"/>
        <w:jc w:val="left"/>
        <w:rPr>
          <w:rFonts w:ascii="宋体" w:hAnsi="宋体" w:cs="宋体"/>
          <w:b/>
          <w:szCs w:val="21"/>
        </w:rPr>
      </w:pPr>
      <w:r>
        <w:rPr>
          <w:rFonts w:hint="eastAsia" w:ascii="宋体" w:hAnsi="宋体" w:cs="宋体"/>
          <w:b/>
          <w:szCs w:val="21"/>
        </w:rPr>
        <w:t>服务承诺及日常故障处理：</w:t>
      </w:r>
    </w:p>
    <w:p w14:paraId="322EFCFB">
      <w:pPr>
        <w:numPr>
          <w:ilvl w:val="0"/>
          <w:numId w:val="21"/>
        </w:numPr>
        <w:spacing w:line="360" w:lineRule="auto"/>
        <w:ind w:left="0" w:firstLine="425"/>
        <w:rPr>
          <w:rFonts w:ascii="宋体" w:hAnsi="宋体" w:cs="宋体"/>
          <w:kern w:val="0"/>
          <w:szCs w:val="21"/>
        </w:rPr>
      </w:pPr>
      <w:r>
        <w:rPr>
          <w:rFonts w:hint="eastAsia" w:ascii="宋体" w:hAnsi="宋体" w:cs="宋体"/>
          <w:kern w:val="0"/>
          <w:szCs w:val="21"/>
        </w:rPr>
        <w:t>采购人发现设备出现报警应及时通知维护单位，成交供应商在接到通知后应2小时内提出解决方案，采购人配合成交供应商先作简单的应急处理。</w:t>
      </w:r>
    </w:p>
    <w:p w14:paraId="16F24CD5">
      <w:pPr>
        <w:numPr>
          <w:ilvl w:val="0"/>
          <w:numId w:val="21"/>
        </w:numPr>
        <w:spacing w:line="360" w:lineRule="auto"/>
        <w:ind w:left="0" w:firstLine="425"/>
        <w:rPr>
          <w:rFonts w:ascii="宋体" w:hAnsi="宋体" w:cs="宋体"/>
          <w:kern w:val="0"/>
          <w:szCs w:val="21"/>
        </w:rPr>
      </w:pPr>
      <w:r>
        <w:rPr>
          <w:rFonts w:hint="eastAsia" w:ascii="宋体" w:hAnsi="宋体" w:cs="宋体"/>
          <w:kern w:val="0"/>
          <w:szCs w:val="21"/>
        </w:rPr>
        <w:t>对于严重故障（停机，不能制冷等），成交供应商应到达现场并保证在工作时间3小时内提出解决方案。</w:t>
      </w:r>
    </w:p>
    <w:p w14:paraId="59EB6B5C">
      <w:pPr>
        <w:numPr>
          <w:ilvl w:val="0"/>
          <w:numId w:val="21"/>
        </w:numPr>
        <w:spacing w:line="360" w:lineRule="auto"/>
        <w:ind w:left="0" w:firstLine="425"/>
        <w:rPr>
          <w:rFonts w:ascii="宋体" w:hAnsi="宋体" w:cs="宋体"/>
          <w:b/>
          <w:bCs/>
          <w:szCs w:val="21"/>
        </w:rPr>
      </w:pPr>
      <w:r>
        <w:rPr>
          <w:rFonts w:hint="eastAsia" w:ascii="宋体" w:hAnsi="宋体" w:cs="宋体"/>
          <w:b/>
          <w:bCs/>
          <w:kern w:val="0"/>
          <w:szCs w:val="21"/>
        </w:rPr>
        <w:t>其他故障5小时内提出解决方案，如需更换配件，成交供应商应及时提供配件并更换，配件费用由成交供应商承担。</w:t>
      </w:r>
    </w:p>
    <w:p w14:paraId="09042A6B">
      <w:pPr>
        <w:widowControl/>
        <w:numPr>
          <w:ilvl w:val="0"/>
          <w:numId w:val="14"/>
        </w:numPr>
        <w:autoSpaceDE w:val="0"/>
        <w:autoSpaceDN w:val="0"/>
        <w:snapToGrid w:val="0"/>
        <w:spacing w:line="360" w:lineRule="auto"/>
        <w:jc w:val="left"/>
        <w:rPr>
          <w:rFonts w:ascii="宋体" w:hAnsi="宋体" w:cs="宋体"/>
          <w:b/>
          <w:szCs w:val="21"/>
        </w:rPr>
      </w:pPr>
      <w:r>
        <w:rPr>
          <w:rFonts w:hint="eastAsia" w:ascii="宋体" w:hAnsi="宋体" w:cs="宋体"/>
          <w:b/>
          <w:szCs w:val="21"/>
        </w:rPr>
        <w:t>服务考核方式：</w:t>
      </w:r>
    </w:p>
    <w:p w14:paraId="54AB15D2">
      <w:pPr>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每半年采购人对成交供应商的服务质量进行评价考核（见合同附件1：精密空调维保技术服务质量考核表（半年度）），具体计算方法如下：总评分100-90分（包括90分），不扣除本次（半年度）维护保养费用；90分以下至80分(包括80分)，每扣1分则扣除本次（半年度）维护保养费用的3%，本项按扣分累加制，如扣2分，则扣本次（半年度）维护保养费用6%,以此类推；考核总得分在80分以下直接扣除本次（半年度）维护保养费用的40％，即采购人支付的费用为合同总额*25%*（1-扣除比例）。如维护单位连续两次不能提供巡检或出现严重故障处理分值被完全扣完时，采购人有权利取消成交供应商的维护资格。</w:t>
      </w:r>
    </w:p>
    <w:p w14:paraId="35288AFF">
      <w:pPr>
        <w:spacing w:line="360" w:lineRule="auto"/>
        <w:rPr>
          <w:rFonts w:ascii="Cambria" w:hAnsi="Cambria" w:cs="宋体"/>
          <w:b/>
          <w:bCs/>
          <w:szCs w:val="21"/>
        </w:rPr>
      </w:pPr>
      <w:r>
        <w:rPr>
          <w:rFonts w:hint="eastAsia" w:ascii="Cambria" w:hAnsi="Cambria" w:cs="宋体"/>
          <w:b/>
          <w:bCs/>
          <w:szCs w:val="21"/>
        </w:rPr>
        <w:br w:type="page"/>
      </w:r>
    </w:p>
    <w:p w14:paraId="4F8C80B7">
      <w:pPr>
        <w:jc w:val="center"/>
        <w:outlineLvl w:val="0"/>
        <w:rPr>
          <w:rFonts w:ascii="Cambria" w:hAnsi="Cambria" w:cs="宋体"/>
          <w:b/>
          <w:bCs/>
          <w:sz w:val="32"/>
          <w:szCs w:val="32"/>
        </w:rPr>
      </w:pPr>
      <w:r>
        <w:rPr>
          <w:rFonts w:hint="eastAsia" w:ascii="Cambria" w:hAnsi="Cambria" w:cs="宋体"/>
          <w:b/>
          <w:bCs/>
          <w:sz w:val="32"/>
          <w:szCs w:val="32"/>
        </w:rPr>
        <w:t>第三章 竞价附件</w:t>
      </w:r>
    </w:p>
    <w:p w14:paraId="5CC57A4E">
      <w:pPr>
        <w:spacing w:line="360" w:lineRule="auto"/>
        <w:jc w:val="center"/>
        <w:outlineLvl w:val="1"/>
        <w:rPr>
          <w:rFonts w:ascii="仿宋" w:hAnsi="仿宋" w:eastAsia="仿宋" w:cs="仿宋"/>
          <w:b/>
          <w:sz w:val="30"/>
          <w:szCs w:val="30"/>
        </w:rPr>
      </w:pPr>
      <w:r>
        <w:rPr>
          <w:rFonts w:hint="eastAsia" w:ascii="仿宋" w:hAnsi="仿宋" w:eastAsia="仿宋" w:cs="仿宋"/>
          <w:b/>
          <w:sz w:val="30"/>
          <w:szCs w:val="30"/>
        </w:rPr>
        <w:t>报价明细表</w:t>
      </w:r>
    </w:p>
    <w:p w14:paraId="114BAE8D">
      <w:pPr>
        <w:spacing w:line="360" w:lineRule="auto"/>
        <w:ind w:firstLine="210" w:firstLineChars="100"/>
        <w:rPr>
          <w:rFonts w:ascii="宋体" w:hAnsi="宋体" w:cs="宋体"/>
          <w:szCs w:val="21"/>
        </w:rPr>
      </w:pPr>
      <w:r>
        <w:rPr>
          <w:rFonts w:hint="eastAsia" w:ascii="宋体" w:hAnsi="宋体" w:cs="宋体"/>
          <w:szCs w:val="21"/>
        </w:rPr>
        <w:t>项</w:t>
      </w:r>
      <w:r>
        <w:rPr>
          <w:rFonts w:hint="eastAsia" w:ascii="宋体" w:hAnsi="宋体" w:cs="宋体"/>
          <w:sz w:val="21"/>
          <w:szCs w:val="21"/>
        </w:rPr>
        <w:t xml:space="preserve">目编号： </w:t>
      </w:r>
      <w:r>
        <w:rPr>
          <w:rFonts w:ascii="宋体" w:hAnsi="宋体" w:eastAsia="宋体" w:cs="宋体"/>
          <w:sz w:val="21"/>
          <w:szCs w:val="21"/>
        </w:rPr>
        <w:t>SDWW202411S361</w:t>
      </w:r>
    </w:p>
    <w:p w14:paraId="1150BE91">
      <w:pPr>
        <w:spacing w:line="360" w:lineRule="auto"/>
        <w:ind w:left="210" w:leftChars="100"/>
        <w:jc w:val="left"/>
        <w:rPr>
          <w:rFonts w:ascii="宋体" w:hAnsi="宋体" w:cs="宋体"/>
          <w:szCs w:val="21"/>
        </w:rPr>
      </w:pPr>
      <w:r>
        <w:rPr>
          <w:rFonts w:hint="eastAsia" w:ascii="宋体" w:hAnsi="宋体" w:cs="宋体"/>
          <w:szCs w:val="21"/>
        </w:rPr>
        <w:t>项目名称：</w:t>
      </w:r>
      <w:r>
        <w:rPr>
          <w:rFonts w:hint="eastAsia" w:ascii="仿宋_GB2312" w:hAnsi="仿宋_GB2312" w:cs="Calibri"/>
          <w:szCs w:val="21"/>
          <w:lang w:eastAsia="zh-CN"/>
        </w:rPr>
        <w:t>2025-2026年佛山顺德分公司中心机房精密空调购买维保服务项目（第二次竞价）</w:t>
      </w:r>
      <w:r>
        <w:rPr>
          <w:rFonts w:hint="eastAsia" w:ascii="宋体" w:hAnsi="宋体" w:cs="宋体"/>
          <w:szCs w:val="21"/>
        </w:rPr>
        <w:t xml:space="preserve">                                                    </w:t>
      </w:r>
    </w:p>
    <w:p w14:paraId="7D3198D0">
      <w:pPr>
        <w:spacing w:line="360" w:lineRule="auto"/>
        <w:jc w:val="right"/>
        <w:rPr>
          <w:rFonts w:ascii="宋体" w:hAnsi="宋体" w:cs="宋体"/>
          <w:szCs w:val="21"/>
        </w:rPr>
      </w:pPr>
      <w:r>
        <w:rPr>
          <w:rFonts w:hint="eastAsia" w:ascii="宋体" w:hAnsi="宋体" w:cs="宋体"/>
          <w:szCs w:val="21"/>
        </w:rPr>
        <w:t>（单位：人民币元）</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040"/>
        <w:gridCol w:w="644"/>
        <w:gridCol w:w="929"/>
        <w:gridCol w:w="2249"/>
        <w:gridCol w:w="1951"/>
      </w:tblGrid>
      <w:tr w14:paraId="368B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2F484EF0">
            <w:pPr>
              <w:spacing w:line="360" w:lineRule="auto"/>
              <w:jc w:val="center"/>
              <w:rPr>
                <w:rFonts w:ascii="宋体" w:hAnsi="宋体" w:cs="宋体"/>
                <w:szCs w:val="21"/>
              </w:rPr>
            </w:pPr>
            <w:r>
              <w:rPr>
                <w:rFonts w:hint="eastAsia" w:ascii="宋体" w:hAnsi="宋体" w:cs="宋体"/>
                <w:szCs w:val="21"/>
              </w:rPr>
              <w:t>序号</w:t>
            </w:r>
          </w:p>
        </w:tc>
        <w:tc>
          <w:tcPr>
            <w:tcW w:w="1197" w:type="pct"/>
            <w:vAlign w:val="center"/>
          </w:tcPr>
          <w:p w14:paraId="16050429">
            <w:pPr>
              <w:spacing w:line="360" w:lineRule="auto"/>
              <w:jc w:val="center"/>
              <w:rPr>
                <w:rFonts w:ascii="宋体" w:hAnsi="宋体" w:cs="宋体"/>
                <w:szCs w:val="21"/>
              </w:rPr>
            </w:pPr>
            <w:r>
              <w:rPr>
                <w:rFonts w:hint="eastAsia" w:ascii="宋体" w:hAnsi="宋体" w:cs="宋体"/>
                <w:szCs w:val="21"/>
              </w:rPr>
              <w:t>维保设备名称</w:t>
            </w:r>
          </w:p>
        </w:tc>
        <w:tc>
          <w:tcPr>
            <w:tcW w:w="377" w:type="pct"/>
            <w:vAlign w:val="center"/>
          </w:tcPr>
          <w:p w14:paraId="36170242">
            <w:pPr>
              <w:spacing w:line="360" w:lineRule="auto"/>
              <w:jc w:val="center"/>
              <w:rPr>
                <w:rFonts w:ascii="宋体" w:hAnsi="宋体" w:cs="宋体"/>
                <w:szCs w:val="21"/>
              </w:rPr>
            </w:pPr>
            <w:r>
              <w:rPr>
                <w:rFonts w:hint="eastAsia" w:ascii="宋体" w:hAnsi="宋体" w:cs="宋体"/>
                <w:szCs w:val="21"/>
              </w:rPr>
              <w:t>数量</w:t>
            </w:r>
          </w:p>
        </w:tc>
        <w:tc>
          <w:tcPr>
            <w:tcW w:w="545" w:type="pct"/>
            <w:vAlign w:val="center"/>
          </w:tcPr>
          <w:p w14:paraId="5B4CD0EF">
            <w:pPr>
              <w:spacing w:line="360" w:lineRule="auto"/>
              <w:jc w:val="center"/>
              <w:rPr>
                <w:rFonts w:ascii="宋体" w:hAnsi="宋体" w:cs="宋体"/>
                <w:szCs w:val="21"/>
              </w:rPr>
            </w:pPr>
            <w:r>
              <w:rPr>
                <w:rFonts w:hint="eastAsia" w:ascii="宋体" w:hAnsi="宋体" w:cs="宋体"/>
                <w:szCs w:val="21"/>
              </w:rPr>
              <w:t>服务期</w:t>
            </w:r>
          </w:p>
        </w:tc>
        <w:tc>
          <w:tcPr>
            <w:tcW w:w="1319" w:type="pct"/>
            <w:vAlign w:val="center"/>
          </w:tcPr>
          <w:p w14:paraId="32FD82F3">
            <w:pPr>
              <w:spacing w:line="360" w:lineRule="auto"/>
              <w:jc w:val="center"/>
              <w:rPr>
                <w:rFonts w:ascii="宋体" w:hAnsi="宋体" w:cs="宋体"/>
                <w:szCs w:val="21"/>
                <w:highlight w:val="yellow"/>
              </w:rPr>
            </w:pPr>
            <w:r>
              <w:rPr>
                <w:rFonts w:hint="eastAsia" w:ascii="宋体" w:hAnsi="宋体" w:cs="宋体"/>
                <w:szCs w:val="21"/>
                <w:highlight w:val="none"/>
              </w:rPr>
              <w:t>维保费用（</w:t>
            </w:r>
            <w:r>
              <w:rPr>
                <w:rFonts w:hint="eastAsia" w:ascii="宋体" w:hAnsi="宋体" w:eastAsia="宋体" w:cs="宋体"/>
                <w:color w:val="auto"/>
                <w:kern w:val="2"/>
                <w:szCs w:val="21"/>
                <w:highlight w:val="none"/>
              </w:rPr>
              <w:t>元</w:t>
            </w:r>
            <w:r>
              <w:rPr>
                <w:rFonts w:ascii="宋体" w:hAnsi="宋体" w:eastAsia="宋体" w:cs="宋体"/>
                <w:color w:val="auto"/>
                <w:kern w:val="2"/>
                <w:szCs w:val="21"/>
                <w:highlight w:val="none"/>
              </w:rPr>
              <w:t>/年/台</w:t>
            </w:r>
            <w:r>
              <w:rPr>
                <w:rFonts w:hint="eastAsia" w:ascii="宋体" w:hAnsi="宋体" w:cs="宋体"/>
                <w:szCs w:val="21"/>
                <w:highlight w:val="none"/>
              </w:rPr>
              <w:t>）</w:t>
            </w:r>
          </w:p>
        </w:tc>
        <w:tc>
          <w:tcPr>
            <w:tcW w:w="1145" w:type="pct"/>
            <w:vAlign w:val="center"/>
          </w:tcPr>
          <w:p w14:paraId="632B7732">
            <w:pPr>
              <w:spacing w:line="360" w:lineRule="auto"/>
              <w:jc w:val="center"/>
              <w:rPr>
                <w:rFonts w:ascii="宋体" w:hAnsi="宋体" w:cs="宋体"/>
                <w:szCs w:val="21"/>
              </w:rPr>
            </w:pPr>
            <w:r>
              <w:rPr>
                <w:rFonts w:hint="eastAsia" w:ascii="宋体" w:hAnsi="宋体" w:cs="宋体"/>
                <w:szCs w:val="21"/>
              </w:rPr>
              <w:t>维保费用金额（元）</w:t>
            </w:r>
          </w:p>
        </w:tc>
      </w:tr>
      <w:tr w14:paraId="1C7E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14" w:type="pct"/>
            <w:vAlign w:val="center"/>
          </w:tcPr>
          <w:p w14:paraId="4A5CB3DA">
            <w:pPr>
              <w:spacing w:line="360" w:lineRule="auto"/>
              <w:jc w:val="center"/>
              <w:rPr>
                <w:rFonts w:ascii="宋体" w:hAnsi="宋体" w:cs="宋体"/>
                <w:szCs w:val="21"/>
              </w:rPr>
            </w:pPr>
            <w:r>
              <w:rPr>
                <w:rFonts w:hint="eastAsia" w:ascii="宋体" w:hAnsi="宋体" w:cs="宋体"/>
                <w:szCs w:val="21"/>
              </w:rPr>
              <w:t>1</w:t>
            </w:r>
          </w:p>
        </w:tc>
        <w:tc>
          <w:tcPr>
            <w:tcW w:w="1197" w:type="pct"/>
            <w:vAlign w:val="center"/>
          </w:tcPr>
          <w:p w14:paraId="23AFF87D">
            <w:pPr>
              <w:spacing w:line="360" w:lineRule="auto"/>
              <w:jc w:val="center"/>
              <w:rPr>
                <w:rFonts w:ascii="宋体" w:hAnsi="宋体" w:cs="宋体"/>
                <w:szCs w:val="21"/>
              </w:rPr>
            </w:pPr>
            <w:r>
              <w:rPr>
                <w:rFonts w:hint="eastAsia" w:ascii="宋体" w:hAnsi="宋体" w:cs="宋体"/>
                <w:szCs w:val="21"/>
              </w:rPr>
              <w:t>维谛精密空调</w:t>
            </w:r>
          </w:p>
          <w:p w14:paraId="74D53624">
            <w:pPr>
              <w:spacing w:line="360" w:lineRule="auto"/>
              <w:jc w:val="center"/>
              <w:rPr>
                <w:rFonts w:ascii="宋体" w:hAnsi="宋体" w:cs="宋体"/>
                <w:szCs w:val="21"/>
              </w:rPr>
            </w:pPr>
            <w:r>
              <w:rPr>
                <w:rFonts w:hint="eastAsia" w:ascii="宋体" w:hAnsi="宋体" w:cs="宋体"/>
                <w:kern w:val="0"/>
                <w:szCs w:val="21"/>
              </w:rPr>
              <w:t>（型号：PEX-P2055FARMP1R）</w:t>
            </w:r>
          </w:p>
        </w:tc>
        <w:tc>
          <w:tcPr>
            <w:tcW w:w="377" w:type="pct"/>
            <w:vAlign w:val="center"/>
          </w:tcPr>
          <w:p w14:paraId="22DAC7F6">
            <w:pPr>
              <w:spacing w:line="360" w:lineRule="auto"/>
              <w:jc w:val="center"/>
              <w:rPr>
                <w:rFonts w:ascii="宋体" w:hAnsi="宋体" w:cs="宋体"/>
                <w:szCs w:val="21"/>
              </w:rPr>
            </w:pPr>
            <w:r>
              <w:rPr>
                <w:rFonts w:hint="eastAsia" w:ascii="宋体" w:hAnsi="宋体" w:cs="宋体"/>
                <w:szCs w:val="21"/>
              </w:rPr>
              <w:t>4台</w:t>
            </w:r>
          </w:p>
        </w:tc>
        <w:tc>
          <w:tcPr>
            <w:tcW w:w="545" w:type="pct"/>
            <w:vAlign w:val="center"/>
          </w:tcPr>
          <w:p w14:paraId="09664AC2">
            <w:pPr>
              <w:spacing w:line="360" w:lineRule="auto"/>
              <w:jc w:val="center"/>
              <w:rPr>
                <w:rFonts w:ascii="宋体" w:hAnsi="宋体" w:cs="宋体"/>
                <w:szCs w:val="21"/>
              </w:rPr>
            </w:pPr>
            <w:r>
              <w:rPr>
                <w:rFonts w:hint="eastAsia" w:ascii="宋体" w:hAnsi="宋体" w:cs="宋体"/>
                <w:szCs w:val="21"/>
              </w:rPr>
              <w:t>2年</w:t>
            </w:r>
          </w:p>
        </w:tc>
        <w:tc>
          <w:tcPr>
            <w:tcW w:w="1319" w:type="pct"/>
            <w:vAlign w:val="center"/>
          </w:tcPr>
          <w:p w14:paraId="25EF0FB7">
            <w:pPr>
              <w:spacing w:line="360" w:lineRule="auto"/>
              <w:jc w:val="center"/>
              <w:rPr>
                <w:rFonts w:ascii="宋体" w:hAnsi="宋体" w:cs="宋体"/>
                <w:szCs w:val="21"/>
                <w:highlight w:val="yellow"/>
              </w:rPr>
            </w:pPr>
          </w:p>
        </w:tc>
        <w:tc>
          <w:tcPr>
            <w:tcW w:w="1145" w:type="pct"/>
            <w:vAlign w:val="center"/>
          </w:tcPr>
          <w:p w14:paraId="3B5300B3">
            <w:pPr>
              <w:spacing w:line="360" w:lineRule="auto"/>
              <w:jc w:val="center"/>
              <w:rPr>
                <w:rFonts w:ascii="宋体" w:hAnsi="宋体" w:cs="宋体"/>
                <w:szCs w:val="21"/>
              </w:rPr>
            </w:pPr>
          </w:p>
        </w:tc>
      </w:tr>
      <w:tr w14:paraId="56FF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1611" w:type="pct"/>
            <w:gridSpan w:val="2"/>
            <w:vAlign w:val="center"/>
          </w:tcPr>
          <w:p w14:paraId="7B2837E1">
            <w:pPr>
              <w:spacing w:line="360" w:lineRule="auto"/>
              <w:jc w:val="center"/>
              <w:rPr>
                <w:rFonts w:ascii="宋体" w:hAnsi="宋体" w:cs="宋体"/>
                <w:szCs w:val="21"/>
              </w:rPr>
            </w:pPr>
            <w:r>
              <w:rPr>
                <w:rFonts w:hint="eastAsia" w:ascii="宋体" w:hAnsi="宋体" w:cs="宋体"/>
                <w:szCs w:val="21"/>
              </w:rPr>
              <w:t>合计总价（含税）</w:t>
            </w:r>
          </w:p>
        </w:tc>
        <w:tc>
          <w:tcPr>
            <w:tcW w:w="3388" w:type="pct"/>
            <w:gridSpan w:val="4"/>
            <w:vAlign w:val="center"/>
          </w:tcPr>
          <w:p w14:paraId="0DDDCCD4">
            <w:pPr>
              <w:spacing w:line="360" w:lineRule="auto"/>
              <w:rPr>
                <w:rFonts w:ascii="宋体" w:hAnsi="宋体" w:cs="宋体"/>
                <w:szCs w:val="21"/>
              </w:rPr>
            </w:pPr>
            <w:r>
              <w:rPr>
                <w:rFonts w:hint="eastAsia" w:ascii="宋体" w:hAnsi="宋体" w:cs="宋体"/>
                <w:szCs w:val="21"/>
              </w:rPr>
              <w:t>（大写）：人民币  元整</w:t>
            </w:r>
          </w:p>
          <w:p w14:paraId="0FD8D0BB">
            <w:pPr>
              <w:spacing w:line="360" w:lineRule="auto"/>
              <w:rPr>
                <w:rFonts w:ascii="宋体" w:hAnsi="宋体" w:cs="宋体"/>
                <w:szCs w:val="21"/>
              </w:rPr>
            </w:pPr>
            <w:r>
              <w:rPr>
                <w:rFonts w:hint="eastAsia" w:ascii="宋体" w:hAnsi="宋体" w:cs="宋体"/>
                <w:szCs w:val="21"/>
              </w:rPr>
              <w:t>（小写）：￥         元</w:t>
            </w:r>
          </w:p>
          <w:p w14:paraId="576E5848">
            <w:pPr>
              <w:spacing w:line="360" w:lineRule="auto"/>
              <w:rPr>
                <w:rFonts w:ascii="宋体" w:hAnsi="宋体" w:cs="宋体"/>
                <w:szCs w:val="21"/>
              </w:rPr>
            </w:pPr>
            <w:r>
              <w:rPr>
                <w:rFonts w:hint="eastAsia" w:ascii="宋体" w:hAnsi="宋体" w:cs="宋体"/>
                <w:szCs w:val="21"/>
              </w:rPr>
              <w:t>发票类型：增值税专用发票</w:t>
            </w:r>
          </w:p>
          <w:p w14:paraId="2CB30511">
            <w:pPr>
              <w:spacing w:line="360" w:lineRule="auto"/>
              <w:rPr>
                <w:rFonts w:ascii="宋体" w:hAnsi="宋体" w:cs="宋体"/>
                <w:szCs w:val="21"/>
              </w:rPr>
            </w:pPr>
            <w:r>
              <w:rPr>
                <w:rFonts w:hint="eastAsia" w:ascii="宋体" w:hAnsi="宋体" w:cs="宋体"/>
                <w:szCs w:val="21"/>
              </w:rPr>
              <w:t>税率：　　　　%</w:t>
            </w:r>
          </w:p>
        </w:tc>
      </w:tr>
    </w:tbl>
    <w:p w14:paraId="129D8CD9">
      <w:pPr>
        <w:spacing w:line="360" w:lineRule="auto"/>
        <w:rPr>
          <w:rFonts w:ascii="宋体" w:hAnsi="宋体" w:cs="宋体"/>
          <w:szCs w:val="21"/>
        </w:rPr>
      </w:pPr>
      <w:r>
        <w:rPr>
          <w:rFonts w:hint="eastAsia" w:ascii="宋体" w:hAnsi="宋体" w:cs="宋体"/>
          <w:b/>
          <w:szCs w:val="21"/>
        </w:rPr>
        <w:t xml:space="preserve">  </w:t>
      </w:r>
      <w:r>
        <w:rPr>
          <w:rFonts w:hint="eastAsia" w:ascii="宋体" w:hAnsi="宋体" w:cs="宋体"/>
          <w:szCs w:val="21"/>
        </w:rPr>
        <w:t xml:space="preserve"> 报价填写说明：</w:t>
      </w:r>
    </w:p>
    <w:p w14:paraId="3E70D48F">
      <w:pPr>
        <w:spacing w:line="360" w:lineRule="auto"/>
        <w:rPr>
          <w:rFonts w:ascii="宋体" w:hAnsi="宋体" w:cs="宋体"/>
          <w:szCs w:val="21"/>
        </w:rPr>
      </w:pPr>
      <w:r>
        <w:rPr>
          <w:rFonts w:hint="eastAsia" w:ascii="宋体" w:hAnsi="宋体" w:cs="宋体"/>
          <w:szCs w:val="21"/>
        </w:rPr>
        <w:t>1.请严格按照此报价一览表格式填写相关内容。报价均为含税报价，</w:t>
      </w:r>
      <w:r>
        <w:rPr>
          <w:rFonts w:hint="eastAsia" w:ascii="宋体" w:hAnsi="宋体" w:cs="宋体"/>
          <w:b/>
          <w:szCs w:val="21"/>
          <w:u w:val="single"/>
        </w:rPr>
        <w:t>单位为人民币元。</w:t>
      </w:r>
    </w:p>
    <w:p w14:paraId="6F98453B">
      <w:pPr>
        <w:spacing w:line="360" w:lineRule="auto"/>
        <w:rPr>
          <w:rFonts w:ascii="宋体" w:hAnsi="宋体" w:cs="宋体"/>
          <w:szCs w:val="21"/>
        </w:rPr>
      </w:pPr>
      <w:r>
        <w:rPr>
          <w:rFonts w:hint="eastAsia" w:ascii="宋体" w:hAnsi="宋体" w:cs="宋体"/>
          <w:szCs w:val="21"/>
        </w:rPr>
        <w:t>2.报价要求：报价人的报价已包括设备维护保养工作内容、劳务、制作、运输、仓储、管理、集成费、调试、维护、保险、利润、税金、政策性文件规定及合同包含的所有风险、责任等各项应有费用及不可预见费用。</w:t>
      </w:r>
    </w:p>
    <w:p w14:paraId="0CEB607A">
      <w:pPr>
        <w:spacing w:line="360" w:lineRule="auto"/>
        <w:rPr>
          <w:rFonts w:ascii="宋体" w:hAnsi="宋体" w:cs="宋体"/>
          <w:szCs w:val="21"/>
        </w:rPr>
      </w:pPr>
      <w:r>
        <w:rPr>
          <w:rFonts w:hint="eastAsia" w:ascii="宋体" w:hAnsi="宋体" w:cs="宋体"/>
          <w:szCs w:val="21"/>
        </w:rPr>
        <w:t>3.计算公式：</w:t>
      </w:r>
      <w:r>
        <w:rPr>
          <w:rFonts w:hint="eastAsia" w:ascii="宋体" w:hAnsi="宋体" w:cs="宋体"/>
          <w:b/>
          <w:szCs w:val="21"/>
        </w:rPr>
        <w:t>小计（合计总价）=单价*数量</w:t>
      </w:r>
      <w:r>
        <w:rPr>
          <w:rFonts w:hint="eastAsia" w:ascii="宋体" w:hAnsi="宋体" w:cs="宋体"/>
          <w:szCs w:val="21"/>
        </w:rPr>
        <w:t>。如报价与根据公式计算不一致，则以合计总价为准对其他报价进行修正。</w:t>
      </w:r>
    </w:p>
    <w:p w14:paraId="47EB70B2">
      <w:pPr>
        <w:spacing w:line="360" w:lineRule="auto"/>
        <w:rPr>
          <w:rFonts w:ascii="宋体" w:hAnsi="宋体" w:cs="宋体"/>
          <w:b/>
          <w:szCs w:val="21"/>
        </w:rPr>
      </w:pPr>
      <w:r>
        <w:rPr>
          <w:rFonts w:hint="eastAsia" w:ascii="宋体" w:hAnsi="宋体" w:cs="宋体"/>
          <w:b/>
          <w:szCs w:val="21"/>
          <w:lang w:val="en-US" w:eastAsia="zh-CN"/>
        </w:rPr>
        <w:t>4</w:t>
      </w:r>
      <w:r>
        <w:rPr>
          <w:rFonts w:hint="eastAsia" w:ascii="宋体" w:hAnsi="宋体" w:cs="宋体"/>
          <w:b/>
          <w:szCs w:val="21"/>
        </w:rPr>
        <w:t>.报价不得超过对应的</w:t>
      </w:r>
      <w:r>
        <w:rPr>
          <w:rFonts w:hint="eastAsia" w:ascii="宋体" w:hAnsi="宋体" w:cs="宋体"/>
          <w:b/>
          <w:bCs/>
          <w:szCs w:val="21"/>
        </w:rPr>
        <w:t>最高限价</w:t>
      </w:r>
      <w:r>
        <w:rPr>
          <w:rFonts w:hint="eastAsia" w:ascii="宋体" w:hAnsi="宋体" w:cs="宋体"/>
          <w:b/>
          <w:szCs w:val="21"/>
        </w:rPr>
        <w:t>，否则作无效报价处理。</w:t>
      </w:r>
    </w:p>
    <w:p w14:paraId="2DDF35D1">
      <w:pPr>
        <w:spacing w:line="360" w:lineRule="auto"/>
        <w:rPr>
          <w:rFonts w:ascii="宋体" w:hAnsi="宋体" w:cs="宋体"/>
          <w:szCs w:val="21"/>
        </w:rPr>
      </w:pPr>
      <w:r>
        <w:rPr>
          <w:rFonts w:hint="eastAsia" w:ascii="宋体" w:hAnsi="宋体" w:cs="宋体"/>
          <w:b/>
          <w:color w:val="FF0000"/>
          <w:szCs w:val="21"/>
          <w:u w:val="single"/>
          <w:lang w:val="en-US" w:eastAsia="zh-CN"/>
        </w:rPr>
        <w:t>5</w:t>
      </w:r>
      <w:r>
        <w:rPr>
          <w:rFonts w:hint="eastAsia" w:ascii="宋体" w:hAnsi="宋体" w:cs="宋体"/>
          <w:b/>
          <w:color w:val="FF0000"/>
          <w:szCs w:val="21"/>
          <w:u w:val="single"/>
        </w:rPr>
        <w:t>.成交供应商提供的服务及货物必须满足或优于本项目所有要求，否则采购人有权取消其成交资格。</w:t>
      </w:r>
    </w:p>
    <w:p w14:paraId="66A00A05">
      <w:pPr>
        <w:adjustRightInd w:val="0"/>
        <w:snapToGrid w:val="0"/>
        <w:spacing w:line="360" w:lineRule="auto"/>
        <w:rPr>
          <w:rFonts w:ascii="宋体" w:hAnsi="宋体" w:cs="宋体"/>
          <w:szCs w:val="21"/>
        </w:rPr>
      </w:pPr>
    </w:p>
    <w:p w14:paraId="3625CC9E">
      <w:pPr>
        <w:adjustRightInd w:val="0"/>
        <w:snapToGrid w:val="0"/>
        <w:spacing w:line="360" w:lineRule="auto"/>
        <w:rPr>
          <w:rFonts w:ascii="宋体" w:hAnsi="宋体" w:cs="宋体"/>
          <w:szCs w:val="21"/>
        </w:rPr>
      </w:pPr>
      <w:r>
        <w:rPr>
          <w:rFonts w:hint="eastAsia" w:ascii="宋体" w:hAnsi="宋体" w:cs="宋体"/>
          <w:szCs w:val="21"/>
        </w:rPr>
        <w:t>响应人名称（盖单位章）：</w:t>
      </w:r>
      <w:r>
        <w:rPr>
          <w:rFonts w:hint="eastAsia" w:ascii="宋体" w:hAnsi="宋体" w:cs="宋体"/>
          <w:szCs w:val="21"/>
          <w:u w:val="single"/>
        </w:rPr>
        <w:t xml:space="preserve">                        </w:t>
      </w:r>
    </w:p>
    <w:p w14:paraId="19044D80">
      <w:pPr>
        <w:adjustRightInd w:val="0"/>
        <w:snapToGrid w:val="0"/>
        <w:spacing w:line="360" w:lineRule="auto"/>
        <w:rPr>
          <w:rFonts w:ascii="宋体" w:hAnsi="宋体" w:cs="宋体"/>
          <w:szCs w:val="21"/>
          <w:u w:val="single"/>
        </w:rPr>
      </w:pPr>
      <w:r>
        <w:rPr>
          <w:rFonts w:hint="eastAsia" w:ascii="宋体" w:hAnsi="宋体" w:cs="宋体"/>
          <w:szCs w:val="21"/>
        </w:rPr>
        <w:t>响应人法定代表人（负责人）（或其授权代表）签字：</w:t>
      </w:r>
      <w:r>
        <w:rPr>
          <w:rFonts w:hint="eastAsia" w:ascii="宋体" w:hAnsi="宋体" w:cs="宋体"/>
          <w:szCs w:val="21"/>
          <w:u w:val="single"/>
        </w:rPr>
        <w:t xml:space="preserve">                   </w:t>
      </w:r>
    </w:p>
    <w:p w14:paraId="4EFBCF93">
      <w:pPr>
        <w:spacing w:line="360" w:lineRule="auto"/>
        <w:rPr>
          <w:rFonts w:ascii="宋体" w:hAnsi="宋体"/>
          <w:b/>
          <w:sz w:val="30"/>
          <w:szCs w:val="30"/>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bookmarkStart w:id="3" w:name="_Toc416685790"/>
      <w:bookmarkEnd w:id="3"/>
    </w:p>
    <w:p w14:paraId="07F54E7B">
      <w:pPr>
        <w:rPr>
          <w:rFonts w:ascii="宋体" w:hAnsi="宋体" w:cs="Tahoma"/>
          <w:b/>
          <w:bCs/>
          <w:color w:val="000000"/>
          <w:sz w:val="28"/>
          <w:szCs w:val="28"/>
        </w:rPr>
      </w:pPr>
      <w:r>
        <w:rPr>
          <w:rFonts w:ascii="宋体" w:hAnsi="宋体" w:cs="Tahoma"/>
          <w:b/>
          <w:bCs/>
          <w:color w:val="000000"/>
          <w:sz w:val="28"/>
          <w:szCs w:val="28"/>
        </w:rPr>
        <w:br w:type="page"/>
      </w:r>
    </w:p>
    <w:p w14:paraId="6C991489">
      <w:pPr>
        <w:spacing w:line="480" w:lineRule="auto"/>
        <w:jc w:val="center"/>
        <w:outlineLvl w:val="1"/>
      </w:pPr>
      <w:r>
        <w:rPr>
          <w:rFonts w:ascii="宋体" w:hAnsi="宋体" w:cs="Tahoma"/>
          <w:b/>
          <w:bCs/>
          <w:color w:val="000000"/>
          <w:sz w:val="28"/>
          <w:szCs w:val="28"/>
        </w:rPr>
        <w:t xml:space="preserve"> </w:t>
      </w:r>
      <w:r>
        <w:rPr>
          <w:rFonts w:hint="eastAsia"/>
          <w:b/>
          <w:bCs/>
          <w:sz w:val="28"/>
          <w:szCs w:val="28"/>
        </w:rPr>
        <w:t>供应商资格声明函</w:t>
      </w:r>
    </w:p>
    <w:p w14:paraId="171F8283">
      <w:pPr>
        <w:autoSpaceDE w:val="0"/>
        <w:autoSpaceDN w:val="0"/>
        <w:adjustRightInd w:val="0"/>
        <w:snapToGrid w:val="0"/>
        <w:spacing w:line="360" w:lineRule="auto"/>
        <w:rPr>
          <w:rFonts w:ascii="宋体" w:hAnsi="宋体"/>
          <w:b/>
          <w:szCs w:val="21"/>
        </w:rPr>
      </w:pPr>
      <w:r>
        <w:rPr>
          <w:rFonts w:hint="eastAsia" w:ascii="宋体" w:hAnsi="宋体"/>
          <w:b/>
          <w:szCs w:val="21"/>
        </w:rPr>
        <w:t>致：</w:t>
      </w:r>
      <w:r>
        <w:rPr>
          <w:rFonts w:hint="eastAsia" w:ascii="宋体" w:hAnsi="宋体" w:cs="宋体"/>
          <w:b/>
          <w:bCs/>
          <w:szCs w:val="21"/>
        </w:rPr>
        <w:t>广东省广播电视网络股份有限公司佛山顺德分公司</w:t>
      </w:r>
      <w:r>
        <w:rPr>
          <w:rFonts w:hint="eastAsia" w:ascii="宋体" w:hAnsi="宋体"/>
          <w:b/>
          <w:szCs w:val="21"/>
        </w:rPr>
        <w:t>、采联国际招标采购集团有限公司</w:t>
      </w:r>
    </w:p>
    <w:p w14:paraId="10D63345">
      <w:pPr>
        <w:snapToGrid w:val="0"/>
        <w:spacing w:line="360" w:lineRule="auto"/>
        <w:ind w:firstLine="424" w:firstLineChars="202"/>
        <w:rPr>
          <w:rFonts w:ascii="宋体" w:hAnsi="宋体"/>
        </w:rPr>
      </w:pPr>
      <w:r>
        <w:rPr>
          <w:rFonts w:hint="eastAsia" w:ascii="宋体" w:hAnsi="宋体"/>
          <w:szCs w:val="21"/>
        </w:rPr>
        <w:t>关于贵单位、贵司发布</w:t>
      </w:r>
      <w:r>
        <w:rPr>
          <w:rFonts w:hint="eastAsia" w:ascii="仿宋_GB2312" w:hAnsi="仿宋_GB2312" w:cs="Calibri"/>
          <w:b/>
          <w:bCs/>
          <w:szCs w:val="21"/>
          <w:u w:val="single"/>
          <w:lang w:eastAsia="zh-CN"/>
        </w:rPr>
        <w:t>2025-2026年佛山顺德分公司中心机房精密空调购买维保服务项目（第二次竞价）</w:t>
      </w:r>
      <w:r>
        <w:rPr>
          <w:rFonts w:hint="eastAsia" w:ascii="宋体" w:hAnsi="宋体"/>
          <w:szCs w:val="21"/>
        </w:rPr>
        <w:t>的竞价公告</w:t>
      </w:r>
      <w:r>
        <w:rPr>
          <w:rFonts w:hint="eastAsia" w:ascii="宋体" w:hAnsi="宋体"/>
        </w:rPr>
        <w:t>，并声明：</w:t>
      </w:r>
    </w:p>
    <w:p w14:paraId="19CAC330">
      <w:pPr>
        <w:spacing w:line="360" w:lineRule="auto"/>
        <w:ind w:firstLine="420" w:firstLineChars="200"/>
        <w:rPr>
          <w:rFonts w:ascii="宋体" w:hAnsi="宋体" w:cs="宋体"/>
        </w:rPr>
      </w:pPr>
      <w:r>
        <w:rPr>
          <w:rFonts w:hint="eastAsia" w:ascii="宋体" w:hAnsi="宋体" w:cs="宋体"/>
        </w:rPr>
        <w:t>本公司（企业）不存在下列情形之一：</w:t>
      </w:r>
    </w:p>
    <w:p w14:paraId="0D7A86C2">
      <w:pPr>
        <w:numPr>
          <w:ilvl w:val="0"/>
          <w:numId w:val="22"/>
        </w:numPr>
        <w:spacing w:line="360" w:lineRule="auto"/>
        <w:rPr>
          <w:rFonts w:ascii="宋体" w:hAnsi="宋体" w:cs="宋体"/>
        </w:rPr>
      </w:pPr>
      <w:r>
        <w:rPr>
          <w:rFonts w:hint="eastAsia" w:ascii="宋体" w:hAnsi="宋体" w:cs="宋体"/>
        </w:rPr>
        <w:t>与采购人存在利害关系且可能影响招标公正性；</w:t>
      </w:r>
    </w:p>
    <w:p w14:paraId="3594C89B">
      <w:pPr>
        <w:numPr>
          <w:ilvl w:val="0"/>
          <w:numId w:val="22"/>
        </w:numPr>
        <w:spacing w:line="360" w:lineRule="auto"/>
        <w:rPr>
          <w:rFonts w:ascii="宋体" w:hAnsi="宋体" w:cs="宋体"/>
        </w:rPr>
      </w:pPr>
      <w:r>
        <w:rPr>
          <w:rFonts w:hint="eastAsia" w:ascii="宋体" w:hAnsi="宋体" w:cs="宋体"/>
        </w:rPr>
        <w:t>与本项目同一标包或未划分标包的同一竞价项目的其他供应商为同一个单位负责人；</w:t>
      </w:r>
    </w:p>
    <w:p w14:paraId="77054622">
      <w:pPr>
        <w:numPr>
          <w:ilvl w:val="0"/>
          <w:numId w:val="22"/>
        </w:numPr>
        <w:spacing w:line="360" w:lineRule="auto"/>
        <w:rPr>
          <w:rFonts w:ascii="宋体" w:hAnsi="宋体" w:cs="宋体"/>
        </w:rPr>
      </w:pPr>
      <w:r>
        <w:rPr>
          <w:rFonts w:hint="eastAsia" w:ascii="宋体" w:hAnsi="宋体" w:cs="宋体"/>
        </w:rPr>
        <w:t>与本项目同一标包或未划分标包的同一竞价项目的其他供应商存在控股、管理关系；</w:t>
      </w:r>
    </w:p>
    <w:p w14:paraId="6212976A">
      <w:pPr>
        <w:numPr>
          <w:ilvl w:val="0"/>
          <w:numId w:val="22"/>
        </w:numPr>
        <w:spacing w:line="360" w:lineRule="auto"/>
        <w:rPr>
          <w:rFonts w:ascii="宋体" w:hAnsi="宋体" w:cs="宋体"/>
        </w:rPr>
      </w:pPr>
      <w:r>
        <w:rPr>
          <w:rFonts w:hint="eastAsia" w:ascii="宋体" w:hAnsi="宋体" w:cs="宋体"/>
        </w:rPr>
        <w:t>为本项目提供过设计、编制技术规范和其他文件的咨询服务；</w:t>
      </w:r>
    </w:p>
    <w:p w14:paraId="5B1656DF">
      <w:pPr>
        <w:numPr>
          <w:ilvl w:val="0"/>
          <w:numId w:val="22"/>
        </w:numPr>
        <w:spacing w:line="360" w:lineRule="auto"/>
        <w:rPr>
          <w:rFonts w:ascii="宋体" w:hAnsi="宋体" w:cs="宋体"/>
        </w:rPr>
      </w:pPr>
      <w:r>
        <w:rPr>
          <w:rFonts w:hint="eastAsia" w:ascii="宋体" w:hAnsi="宋体" w:cs="宋体"/>
        </w:rPr>
        <w:t>为本项目的招标代理机构；</w:t>
      </w:r>
    </w:p>
    <w:p w14:paraId="10885F0B">
      <w:pPr>
        <w:numPr>
          <w:ilvl w:val="0"/>
          <w:numId w:val="22"/>
        </w:numPr>
        <w:spacing w:line="360" w:lineRule="auto"/>
        <w:rPr>
          <w:rFonts w:ascii="宋体" w:hAnsi="宋体" w:cs="宋体"/>
        </w:rPr>
      </w:pPr>
      <w:r>
        <w:rPr>
          <w:rFonts w:hint="eastAsia" w:ascii="宋体" w:hAnsi="宋体" w:cs="宋体"/>
        </w:rPr>
        <w:t>与本项目的招标代理机构同为一个法定代表人；</w:t>
      </w:r>
    </w:p>
    <w:p w14:paraId="0B80EF69">
      <w:pPr>
        <w:numPr>
          <w:ilvl w:val="0"/>
          <w:numId w:val="22"/>
        </w:numPr>
        <w:spacing w:line="360" w:lineRule="auto"/>
        <w:rPr>
          <w:rFonts w:ascii="宋体" w:hAnsi="宋体" w:cs="宋体"/>
        </w:rPr>
      </w:pPr>
      <w:r>
        <w:rPr>
          <w:rFonts w:hint="eastAsia" w:ascii="宋体" w:hAnsi="宋体" w:cs="宋体"/>
        </w:rPr>
        <w:t>与本项目的招标代理机构存在控股或参股关系；</w:t>
      </w:r>
    </w:p>
    <w:p w14:paraId="14B9E1F0">
      <w:pPr>
        <w:numPr>
          <w:ilvl w:val="0"/>
          <w:numId w:val="22"/>
        </w:numPr>
        <w:spacing w:line="360" w:lineRule="auto"/>
        <w:rPr>
          <w:rFonts w:ascii="宋体" w:hAnsi="宋体" w:cs="宋体"/>
        </w:rPr>
      </w:pPr>
      <w:r>
        <w:rPr>
          <w:rFonts w:hint="eastAsia" w:ascii="宋体" w:hAnsi="宋体" w:cs="宋体"/>
        </w:rPr>
        <w:t>被依法暂停或者取消投标资格；</w:t>
      </w:r>
    </w:p>
    <w:p w14:paraId="4DF68B6C">
      <w:pPr>
        <w:numPr>
          <w:ilvl w:val="0"/>
          <w:numId w:val="22"/>
        </w:numPr>
        <w:spacing w:line="360" w:lineRule="auto"/>
        <w:rPr>
          <w:rFonts w:ascii="宋体" w:hAnsi="宋体" w:cs="宋体"/>
        </w:rPr>
      </w:pPr>
      <w:r>
        <w:rPr>
          <w:rFonts w:hint="eastAsia" w:ascii="宋体" w:hAnsi="宋体" w:cs="宋体"/>
        </w:rPr>
        <w:t>在招标公告发布之日至投标截止之日任意一日，存在因违反采购人（或广东省广播电视网络股份有限公司）供应商管理规定而受到禁止参与采购活动的处罚的情形；</w:t>
      </w:r>
    </w:p>
    <w:p w14:paraId="28B47B13">
      <w:pPr>
        <w:numPr>
          <w:ilvl w:val="0"/>
          <w:numId w:val="22"/>
        </w:numPr>
        <w:spacing w:line="360" w:lineRule="auto"/>
        <w:rPr>
          <w:rFonts w:ascii="宋体" w:hAnsi="宋体" w:cs="宋体"/>
        </w:rPr>
      </w:pPr>
      <w:r>
        <w:rPr>
          <w:rFonts w:hint="eastAsia" w:ascii="宋体" w:hAnsi="宋体" w:cs="宋体"/>
        </w:rPr>
        <w:t>被责令停产停业、暂扣或者吊销许可证、暂扣或者吊销执照；</w:t>
      </w:r>
    </w:p>
    <w:p w14:paraId="5535CA98">
      <w:pPr>
        <w:numPr>
          <w:ilvl w:val="0"/>
          <w:numId w:val="22"/>
        </w:numPr>
        <w:spacing w:line="360" w:lineRule="auto"/>
        <w:rPr>
          <w:rFonts w:ascii="宋体" w:hAnsi="宋体" w:cs="宋体"/>
        </w:rPr>
      </w:pPr>
      <w:r>
        <w:rPr>
          <w:rFonts w:hint="eastAsia" w:ascii="宋体" w:hAnsi="宋体" w:cs="宋体"/>
        </w:rPr>
        <w:t>进入清算程序，或被宣告破产，或其他丧失履约能力的情形；</w:t>
      </w:r>
    </w:p>
    <w:p w14:paraId="08670D79">
      <w:pPr>
        <w:numPr>
          <w:ilvl w:val="0"/>
          <w:numId w:val="22"/>
        </w:numPr>
        <w:spacing w:line="360" w:lineRule="auto"/>
        <w:rPr>
          <w:rFonts w:ascii="宋体" w:hAnsi="宋体" w:cs="宋体"/>
        </w:rPr>
      </w:pPr>
      <w:r>
        <w:rPr>
          <w:rFonts w:hint="eastAsia" w:ascii="宋体" w:hAnsi="宋体" w:cs="宋体"/>
        </w:rPr>
        <w:t>在最近三年内发生重大产品质量问题（以相关行业主管部门的行政处罚决定或司法机关出具的有关法律文书为准）；</w:t>
      </w:r>
    </w:p>
    <w:p w14:paraId="07461EA3">
      <w:pPr>
        <w:numPr>
          <w:ilvl w:val="0"/>
          <w:numId w:val="22"/>
        </w:numPr>
        <w:spacing w:line="360" w:lineRule="auto"/>
        <w:rPr>
          <w:rFonts w:ascii="宋体" w:hAnsi="宋体" w:cs="宋体"/>
        </w:rPr>
      </w:pPr>
      <w:r>
        <w:rPr>
          <w:rFonts w:hint="eastAsia" w:ascii="宋体" w:hAnsi="宋体" w:cs="宋体"/>
        </w:rPr>
        <w:t>被工商行政管理机关在全国企业信用信息公示系统中列入严重违法失信企业名单；</w:t>
      </w:r>
    </w:p>
    <w:p w14:paraId="2DCAD209">
      <w:pPr>
        <w:numPr>
          <w:ilvl w:val="0"/>
          <w:numId w:val="22"/>
        </w:numPr>
        <w:spacing w:line="360" w:lineRule="auto"/>
        <w:rPr>
          <w:rFonts w:ascii="宋体" w:hAnsi="宋体" w:cs="宋体"/>
        </w:rPr>
      </w:pPr>
      <w:r>
        <w:rPr>
          <w:rFonts w:hint="eastAsia" w:ascii="宋体" w:hAnsi="宋体" w:cs="宋体"/>
        </w:rPr>
        <w:t>被最高人民法院在“信用中国”网站或各级信用信息共享平台中列入失信被执行人名单；</w:t>
      </w:r>
    </w:p>
    <w:p w14:paraId="7695F6F2">
      <w:pPr>
        <w:numPr>
          <w:ilvl w:val="0"/>
          <w:numId w:val="22"/>
        </w:numPr>
        <w:spacing w:line="360" w:lineRule="auto"/>
        <w:rPr>
          <w:rFonts w:ascii="宋体" w:hAnsi="宋体" w:cs="宋体"/>
        </w:rPr>
      </w:pPr>
      <w:r>
        <w:rPr>
          <w:rFonts w:hint="eastAsia" w:ascii="宋体" w:hAnsi="宋体" w:cs="宋体"/>
        </w:rPr>
        <w:t>在近三年内供应商或其法定代表人、拟委任的项目负责人或供应商授权代表有行贿犯罪行为的；</w:t>
      </w:r>
    </w:p>
    <w:p w14:paraId="64DE2BCC">
      <w:pPr>
        <w:numPr>
          <w:ilvl w:val="0"/>
          <w:numId w:val="22"/>
        </w:numPr>
        <w:spacing w:line="360" w:lineRule="auto"/>
        <w:rPr>
          <w:rFonts w:ascii="宋体" w:hAnsi="宋体" w:cs="宋体"/>
        </w:rPr>
      </w:pPr>
      <w:r>
        <w:rPr>
          <w:rFonts w:hint="eastAsia" w:ascii="宋体" w:hAnsi="宋体" w:cs="宋体"/>
        </w:rPr>
        <w:t>法律法规或本竞价文件规定的其他禁止情形。</w:t>
      </w:r>
    </w:p>
    <w:p w14:paraId="3C04F290">
      <w:pPr>
        <w:numPr>
          <w:ilvl w:val="0"/>
          <w:numId w:val="22"/>
        </w:numPr>
        <w:spacing w:line="360" w:lineRule="auto"/>
        <w:rPr>
          <w:rFonts w:ascii="宋体" w:hAnsi="宋体" w:cs="宋体"/>
        </w:rPr>
      </w:pPr>
      <w:r>
        <w:rPr>
          <w:rFonts w:hint="eastAsia" w:ascii="宋体" w:hAnsi="宋体" w:cs="宋体"/>
        </w:rPr>
        <w:t>本项目不允许非法分包或违法转包，不接受联合体参加。特此声明！</w:t>
      </w:r>
    </w:p>
    <w:p w14:paraId="1292B4D5">
      <w:pPr>
        <w:spacing w:line="360" w:lineRule="auto"/>
        <w:rPr>
          <w:rFonts w:ascii="宋体" w:hAnsi="宋体" w:cs="宋体"/>
        </w:rPr>
      </w:pPr>
      <w:r>
        <w:rPr>
          <w:rFonts w:hint="eastAsia" w:ascii="宋体" w:hAnsi="宋体" w:cs="宋体"/>
        </w:rPr>
        <w:t>备注：</w:t>
      </w:r>
    </w:p>
    <w:p w14:paraId="0FE8B912">
      <w:pPr>
        <w:pStyle w:val="60"/>
        <w:numPr>
          <w:ilvl w:val="0"/>
          <w:numId w:val="23"/>
        </w:numPr>
        <w:autoSpaceDE w:val="0"/>
        <w:autoSpaceDN w:val="0"/>
        <w:adjustRightInd w:val="0"/>
        <w:spacing w:line="360" w:lineRule="auto"/>
        <w:ind w:firstLineChars="0"/>
        <w:rPr>
          <w:rFonts w:ascii="宋体" w:hAnsi="宋体"/>
        </w:rPr>
      </w:pPr>
      <w:r>
        <w:rPr>
          <w:rFonts w:hint="eastAsia" w:ascii="宋体" w:hAnsi="宋体"/>
        </w:rPr>
        <w:t>本声明函必须提供且内容不得擅自删改，否则视为响应无效。</w:t>
      </w:r>
    </w:p>
    <w:p w14:paraId="33F9E824">
      <w:pPr>
        <w:pStyle w:val="60"/>
        <w:numPr>
          <w:ilvl w:val="0"/>
          <w:numId w:val="23"/>
        </w:numPr>
        <w:snapToGrid w:val="0"/>
        <w:spacing w:line="360" w:lineRule="auto"/>
        <w:ind w:firstLineChars="0"/>
        <w:rPr>
          <w:rFonts w:ascii="宋体" w:hAnsi="宋体"/>
          <w:szCs w:val="21"/>
        </w:rPr>
      </w:pPr>
      <w:r>
        <w:rPr>
          <w:rFonts w:hint="eastAsia" w:ascii="宋体" w:hAnsi="宋体"/>
          <w:szCs w:val="21"/>
        </w:rPr>
        <w:t>本声明函如有虚假或与事实不符的，作无效报价处理。</w:t>
      </w:r>
    </w:p>
    <w:p w14:paraId="31C3F835">
      <w:pPr>
        <w:pStyle w:val="60"/>
        <w:wordWrap w:val="0"/>
        <w:spacing w:line="360" w:lineRule="auto"/>
        <w:ind w:left="1200" w:right="218" w:firstLine="0" w:firstLineChars="0"/>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14:paraId="49A42AF3">
      <w:pPr>
        <w:wordWrap w:val="0"/>
        <w:spacing w:line="360" w:lineRule="auto"/>
        <w:ind w:left="840"/>
        <w:jc w:val="right"/>
        <w:rPr>
          <w:rFonts w:ascii="宋体" w:hAnsi="宋体"/>
          <w:b/>
          <w:bCs/>
          <w:kern w:val="28"/>
          <w:sz w:val="32"/>
          <w:szCs w:val="32"/>
        </w:rPr>
      </w:pPr>
      <w:r>
        <w:rPr>
          <w:rFonts w:hint="eastAsia" w:ascii="宋体" w:hAnsi="宋体"/>
          <w:spacing w:val="4"/>
          <w:szCs w:val="21"/>
        </w:rPr>
        <w:t>日期：</w:t>
      </w:r>
      <w:r>
        <w:rPr>
          <w:rFonts w:hint="eastAsia" w:ascii="宋体" w:hAnsi="宋体"/>
          <w:spacing w:val="4"/>
          <w:szCs w:val="21"/>
          <w:u w:val="single"/>
        </w:rPr>
        <w:t xml:space="preserve">          </w:t>
      </w:r>
      <w:r>
        <w:rPr>
          <w:rFonts w:hint="eastAsia" w:ascii="宋体" w:hAnsi="宋体"/>
          <w:b/>
          <w:bCs/>
          <w:kern w:val="28"/>
          <w:sz w:val="32"/>
          <w:szCs w:val="32"/>
        </w:rPr>
        <w:br w:type="page"/>
      </w:r>
    </w:p>
    <w:p w14:paraId="0C507689">
      <w:pPr>
        <w:autoSpaceDE w:val="0"/>
        <w:autoSpaceDN w:val="0"/>
        <w:adjustRightInd w:val="0"/>
        <w:spacing w:before="240" w:after="60" w:line="312" w:lineRule="auto"/>
        <w:jc w:val="center"/>
        <w:outlineLvl w:val="1"/>
        <w:rPr>
          <w:rFonts w:ascii="宋体" w:hAnsi="宋体"/>
          <w:b/>
          <w:bCs/>
          <w:kern w:val="28"/>
          <w:sz w:val="32"/>
          <w:szCs w:val="32"/>
        </w:rPr>
      </w:pPr>
      <w:r>
        <w:rPr>
          <w:rFonts w:hint="eastAsia" w:ascii="宋体" w:hAnsi="宋体"/>
          <w:b/>
          <w:bCs/>
          <w:kern w:val="28"/>
          <w:sz w:val="32"/>
          <w:szCs w:val="32"/>
        </w:rPr>
        <w:t>用户需求书响应声明函</w:t>
      </w:r>
    </w:p>
    <w:p w14:paraId="5F9B3051">
      <w:pPr>
        <w:autoSpaceDE w:val="0"/>
        <w:autoSpaceDN w:val="0"/>
        <w:adjustRightInd w:val="0"/>
        <w:snapToGrid w:val="0"/>
        <w:spacing w:line="360" w:lineRule="auto"/>
        <w:rPr>
          <w:rFonts w:ascii="宋体" w:hAnsi="宋体"/>
          <w:b/>
          <w:szCs w:val="21"/>
        </w:rPr>
      </w:pPr>
      <w:bookmarkStart w:id="4" w:name="_Hlk74835188"/>
      <w:bookmarkStart w:id="5" w:name="_Hlk70414952"/>
      <w:r>
        <w:rPr>
          <w:rFonts w:hint="eastAsia" w:ascii="宋体" w:hAnsi="宋体"/>
          <w:b/>
          <w:szCs w:val="21"/>
        </w:rPr>
        <w:t>致：</w:t>
      </w:r>
      <w:r>
        <w:rPr>
          <w:rFonts w:hint="eastAsia" w:ascii="宋体" w:hAnsi="宋体" w:cs="宋体"/>
          <w:b/>
          <w:bCs/>
          <w:szCs w:val="21"/>
        </w:rPr>
        <w:t>广东省广播电视网络股份有限公司佛山顺德分公司</w:t>
      </w:r>
      <w:r>
        <w:rPr>
          <w:rFonts w:hint="eastAsia" w:ascii="宋体" w:hAnsi="宋体"/>
          <w:b/>
          <w:szCs w:val="21"/>
        </w:rPr>
        <w:t>、采联国际招标采购集团有限公司</w:t>
      </w:r>
    </w:p>
    <w:p w14:paraId="37743733">
      <w:pPr>
        <w:autoSpaceDE w:val="0"/>
        <w:autoSpaceDN w:val="0"/>
        <w:adjustRightInd w:val="0"/>
        <w:snapToGrid w:val="0"/>
        <w:spacing w:line="360" w:lineRule="auto"/>
        <w:rPr>
          <w:rFonts w:ascii="宋体" w:hAnsi="宋体"/>
          <w:b/>
          <w:szCs w:val="21"/>
        </w:rPr>
      </w:pPr>
    </w:p>
    <w:p w14:paraId="400D3A59">
      <w:pPr>
        <w:autoSpaceDE w:val="0"/>
        <w:autoSpaceDN w:val="0"/>
        <w:adjustRightInd w:val="0"/>
        <w:snapToGrid w:val="0"/>
        <w:spacing w:line="360" w:lineRule="auto"/>
        <w:ind w:firstLine="424" w:firstLineChars="202"/>
        <w:rPr>
          <w:rFonts w:ascii="宋体" w:hAnsi="宋体"/>
          <w:szCs w:val="21"/>
        </w:rPr>
      </w:pPr>
      <w:r>
        <w:rPr>
          <w:rFonts w:hint="eastAsia" w:ascii="宋体" w:hAnsi="宋体"/>
          <w:szCs w:val="21"/>
        </w:rPr>
        <w:t>关于贵单位、贵司发布</w:t>
      </w:r>
      <w:r>
        <w:rPr>
          <w:rFonts w:hint="eastAsia" w:ascii="仿宋_GB2312" w:hAnsi="仿宋_GB2312" w:cs="Calibri"/>
          <w:b/>
          <w:bCs/>
          <w:szCs w:val="21"/>
          <w:u w:val="single"/>
          <w:lang w:eastAsia="zh-CN"/>
        </w:rPr>
        <w:t>2025-2026年佛山顺德分公司中心机房精密空调购买维保服务项目（第二次竞价）</w:t>
      </w:r>
      <w:r>
        <w:rPr>
          <w:rFonts w:hint="eastAsia" w:ascii="宋体" w:hAnsi="宋体"/>
          <w:szCs w:val="21"/>
        </w:rPr>
        <w:t>的竞价公告</w:t>
      </w:r>
      <w:bookmarkEnd w:id="4"/>
      <w:r>
        <w:rPr>
          <w:rFonts w:hint="eastAsia" w:ascii="宋体" w:hAnsi="宋体"/>
          <w:szCs w:val="21"/>
        </w:rPr>
        <w:t>，本公司（企业）愿意参加采购活动，并作出如下声明：</w:t>
      </w:r>
    </w:p>
    <w:bookmarkEnd w:id="5"/>
    <w:p w14:paraId="3406AB53">
      <w:pPr>
        <w:autoSpaceDE w:val="0"/>
        <w:autoSpaceDN w:val="0"/>
        <w:adjustRightInd w:val="0"/>
        <w:snapToGrid w:val="0"/>
        <w:spacing w:line="360" w:lineRule="auto"/>
        <w:ind w:firstLine="424" w:firstLineChars="202"/>
        <w:rPr>
          <w:rFonts w:ascii="宋体" w:hAnsi="宋体"/>
          <w:szCs w:val="21"/>
        </w:rPr>
      </w:pPr>
      <w:r>
        <w:rPr>
          <w:rFonts w:hint="eastAsia" w:ascii="宋体" w:hAnsi="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37D560AD">
      <w:pPr>
        <w:autoSpaceDE w:val="0"/>
        <w:autoSpaceDN w:val="0"/>
        <w:adjustRightInd w:val="0"/>
        <w:snapToGrid w:val="0"/>
        <w:spacing w:line="360" w:lineRule="auto"/>
        <w:ind w:firstLine="424" w:firstLineChars="202"/>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14:paraId="12A0F362">
      <w:pPr>
        <w:autoSpaceDE w:val="0"/>
        <w:autoSpaceDN w:val="0"/>
        <w:adjustRightInd w:val="0"/>
        <w:snapToGrid w:val="0"/>
        <w:spacing w:line="360" w:lineRule="auto"/>
        <w:rPr>
          <w:rFonts w:ascii="宋体" w:hAnsi="宋体"/>
          <w:b/>
          <w:bCs/>
          <w:szCs w:val="21"/>
        </w:rPr>
      </w:pPr>
    </w:p>
    <w:p w14:paraId="38EE1AF5">
      <w:pPr>
        <w:wordWrap w:val="0"/>
        <w:autoSpaceDE w:val="0"/>
        <w:autoSpaceDN w:val="0"/>
        <w:adjustRightInd w:val="0"/>
        <w:snapToGrid w:val="0"/>
        <w:spacing w:line="360" w:lineRule="auto"/>
        <w:ind w:right="436"/>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 xml:space="preserve">公章）：                 </w:t>
      </w:r>
    </w:p>
    <w:p w14:paraId="6F583263">
      <w:pPr>
        <w:autoSpaceDE w:val="0"/>
        <w:autoSpaceDN w:val="0"/>
        <w:adjustRightInd w:val="0"/>
        <w:snapToGrid w:val="0"/>
        <w:spacing w:line="360" w:lineRule="auto"/>
        <w:ind w:firstLine="105" w:firstLineChars="50"/>
        <w:jc w:val="right"/>
        <w:rPr>
          <w:rFonts w:ascii="宋体" w:hAnsi="宋体"/>
          <w:szCs w:val="21"/>
          <w:u w:val="single"/>
        </w:rPr>
      </w:pPr>
    </w:p>
    <w:p w14:paraId="52986E69">
      <w:pPr>
        <w:wordWrap w:val="0"/>
        <w:autoSpaceDE w:val="0"/>
        <w:autoSpaceDN w:val="0"/>
        <w:adjustRightInd w:val="0"/>
        <w:snapToGrid w:val="0"/>
        <w:spacing w:line="360" w:lineRule="auto"/>
        <w:ind w:right="436" w:firstLine="2625" w:firstLineChars="1250"/>
        <w:jc w:val="right"/>
        <w:rPr>
          <w:rFonts w:ascii="宋体" w:hAnsi="宋体" w:cs="宋体"/>
          <w:szCs w:val="21"/>
        </w:rPr>
      </w:pPr>
      <w:r>
        <w:rPr>
          <w:rFonts w:hint="eastAsia" w:ascii="宋体" w:hAnsi="宋体" w:cs="宋体"/>
          <w:szCs w:val="21"/>
        </w:rPr>
        <w:t>日期：</w:t>
      </w:r>
      <w:bookmarkStart w:id="6" w:name="_Toc435514863"/>
      <w:bookmarkStart w:id="7" w:name="_Toc435515303"/>
      <w:r>
        <w:rPr>
          <w:rFonts w:hint="eastAsia" w:ascii="宋体" w:hAnsi="宋体" w:cs="宋体"/>
          <w:szCs w:val="21"/>
        </w:rPr>
        <w:t xml:space="preserve">                  </w:t>
      </w:r>
    </w:p>
    <w:bookmarkEnd w:id="6"/>
    <w:bookmarkEnd w:id="7"/>
    <w:p w14:paraId="08496992">
      <w:pPr>
        <w:spacing w:line="360" w:lineRule="auto"/>
        <w:ind w:right="1760"/>
        <w:rPr>
          <w:rFonts w:cs="宋体" w:asciiTheme="minorEastAsia" w:hAnsiTheme="minorEastAsia" w:eastAsiaTheme="minorEastAsia"/>
          <w:sz w:val="24"/>
        </w:rPr>
      </w:pPr>
    </w:p>
    <w:p w14:paraId="0D1B4868">
      <w:pPr>
        <w:spacing w:line="360" w:lineRule="auto"/>
        <w:ind w:right="1760"/>
        <w:rPr>
          <w:rFonts w:cs="宋体" w:asciiTheme="minorEastAsia" w:hAnsiTheme="minorEastAsia" w:eastAsiaTheme="minorEastAsia"/>
          <w:sz w:val="24"/>
        </w:rPr>
      </w:pPr>
    </w:p>
    <w:p w14:paraId="38F2C5F0">
      <w:pPr>
        <w:spacing w:line="360" w:lineRule="auto"/>
        <w:ind w:right="1760"/>
        <w:rPr>
          <w:rFonts w:cs="宋体" w:asciiTheme="minorEastAsia" w:hAnsiTheme="minorEastAsia" w:eastAsiaTheme="minorEastAsia"/>
          <w:sz w:val="24"/>
        </w:rPr>
      </w:pPr>
    </w:p>
    <w:p w14:paraId="2169FDD9">
      <w:pPr>
        <w:spacing w:line="360" w:lineRule="auto"/>
        <w:ind w:right="1760"/>
        <w:rPr>
          <w:rFonts w:cs="宋体" w:asciiTheme="minorEastAsia" w:hAnsiTheme="minorEastAsia" w:eastAsiaTheme="minorEastAsia"/>
          <w:sz w:val="24"/>
        </w:rPr>
      </w:pPr>
    </w:p>
    <w:p w14:paraId="7F63E87A">
      <w:pPr>
        <w:spacing w:line="360" w:lineRule="auto"/>
        <w:ind w:right="1760"/>
        <w:rPr>
          <w:rFonts w:cs="宋体" w:asciiTheme="minorEastAsia" w:hAnsiTheme="minorEastAsia" w:eastAsiaTheme="minorEastAsia"/>
          <w:sz w:val="24"/>
        </w:rPr>
      </w:pPr>
    </w:p>
    <w:p w14:paraId="180859D3">
      <w:pPr>
        <w:spacing w:line="360" w:lineRule="auto"/>
        <w:ind w:right="1760"/>
        <w:rPr>
          <w:rFonts w:cs="宋体" w:asciiTheme="minorEastAsia" w:hAnsiTheme="minorEastAsia" w:eastAsiaTheme="minorEastAsia"/>
          <w:sz w:val="24"/>
        </w:rPr>
      </w:pPr>
    </w:p>
    <w:p w14:paraId="264D206A">
      <w:pPr>
        <w:spacing w:line="360" w:lineRule="auto"/>
        <w:ind w:right="1760"/>
        <w:rPr>
          <w:rFonts w:cs="宋体" w:asciiTheme="minorEastAsia" w:hAnsiTheme="minorEastAsia" w:eastAsiaTheme="minorEastAsia"/>
          <w:sz w:val="24"/>
        </w:rPr>
      </w:pPr>
    </w:p>
    <w:p w14:paraId="647D68AC">
      <w:pPr>
        <w:spacing w:line="360" w:lineRule="auto"/>
        <w:ind w:right="1760"/>
        <w:rPr>
          <w:rFonts w:cs="宋体" w:asciiTheme="minorEastAsia" w:hAnsiTheme="minorEastAsia" w:eastAsiaTheme="minorEastAsia"/>
          <w:sz w:val="24"/>
        </w:rPr>
      </w:pPr>
    </w:p>
    <w:p w14:paraId="289B7FFE">
      <w:pPr>
        <w:spacing w:line="360" w:lineRule="auto"/>
        <w:ind w:right="1760"/>
        <w:rPr>
          <w:rFonts w:cs="宋体" w:asciiTheme="minorEastAsia" w:hAnsiTheme="minorEastAsia" w:eastAsiaTheme="minorEastAsia"/>
          <w:sz w:val="24"/>
        </w:rPr>
      </w:pPr>
    </w:p>
    <w:p w14:paraId="50551E55">
      <w:pPr>
        <w:spacing w:line="360" w:lineRule="auto"/>
        <w:ind w:right="1760"/>
        <w:rPr>
          <w:rFonts w:cs="宋体" w:asciiTheme="minorEastAsia" w:hAnsiTheme="minorEastAsia" w:eastAsiaTheme="minorEastAsia"/>
          <w:sz w:val="24"/>
        </w:rPr>
      </w:pPr>
    </w:p>
    <w:p w14:paraId="73E59708">
      <w:pPr>
        <w:spacing w:line="360" w:lineRule="auto"/>
        <w:ind w:right="1760"/>
        <w:rPr>
          <w:rFonts w:cs="宋体" w:asciiTheme="minorEastAsia" w:hAnsiTheme="minorEastAsia" w:eastAsiaTheme="minorEastAsia"/>
          <w:sz w:val="24"/>
        </w:rPr>
      </w:pPr>
    </w:p>
    <w:p w14:paraId="297FA12B">
      <w:pPr>
        <w:spacing w:line="360" w:lineRule="auto"/>
        <w:ind w:right="1760"/>
        <w:rPr>
          <w:rFonts w:cs="宋体" w:asciiTheme="minorEastAsia" w:hAnsiTheme="minorEastAsia" w:eastAsiaTheme="minorEastAsia"/>
          <w:sz w:val="24"/>
        </w:rPr>
      </w:pPr>
    </w:p>
    <w:p w14:paraId="6E28262D">
      <w:pPr>
        <w:spacing w:line="360" w:lineRule="auto"/>
        <w:ind w:right="1760"/>
        <w:rPr>
          <w:rFonts w:cs="宋体" w:asciiTheme="minorEastAsia" w:hAnsiTheme="minorEastAsia" w:eastAsiaTheme="minorEastAsia"/>
          <w:sz w:val="24"/>
        </w:rPr>
      </w:pPr>
    </w:p>
    <w:p w14:paraId="257E661F">
      <w:pPr>
        <w:spacing w:line="360" w:lineRule="auto"/>
        <w:ind w:right="1760"/>
        <w:rPr>
          <w:rFonts w:cs="宋体" w:asciiTheme="minorEastAsia" w:hAnsiTheme="minorEastAsia" w:eastAsiaTheme="minorEastAsia"/>
          <w:sz w:val="24"/>
        </w:rPr>
      </w:pPr>
    </w:p>
    <w:p w14:paraId="2CFB0D13">
      <w:pPr>
        <w:rPr>
          <w:rFonts w:ascii="仿宋" w:hAnsi="仿宋" w:eastAsia="仿宋" w:cs="仿宋"/>
          <w:kern w:val="0"/>
          <w:sz w:val="30"/>
          <w:szCs w:val="30"/>
        </w:rPr>
      </w:pPr>
      <w:r>
        <w:rPr>
          <w:rFonts w:ascii="仿宋" w:hAnsi="仿宋" w:eastAsia="仿宋" w:cs="仿宋"/>
          <w:kern w:val="0"/>
          <w:sz w:val="30"/>
          <w:szCs w:val="30"/>
        </w:rPr>
        <w:br w:type="page"/>
      </w:r>
    </w:p>
    <w:p w14:paraId="5E92A575">
      <w:pPr>
        <w:pStyle w:val="2"/>
        <w:pageBreakBefore/>
        <w:spacing w:line="360" w:lineRule="auto"/>
        <w:jc w:val="center"/>
        <w:rPr>
          <w:rFonts w:hint="default"/>
          <w:sz w:val="36"/>
          <w:szCs w:val="36"/>
        </w:rPr>
      </w:pPr>
      <w:r>
        <w:rPr>
          <w:sz w:val="36"/>
          <w:szCs w:val="36"/>
        </w:rPr>
        <w:t>第四章　合同书格式</w:t>
      </w:r>
    </w:p>
    <w:p w14:paraId="7A4DE4A1">
      <w:pPr>
        <w:jc w:val="center"/>
        <w:rPr>
          <w:rFonts w:ascii="仿宋_GB2312" w:hAnsi="宋体" w:eastAsia="仿宋_GB2312" w:cs="宋体"/>
          <w:b/>
          <w:bCs/>
          <w:kern w:val="0"/>
          <w:sz w:val="40"/>
          <w:szCs w:val="40"/>
        </w:rPr>
      </w:pPr>
    </w:p>
    <w:p w14:paraId="7DB9ED10">
      <w:pPr>
        <w:jc w:val="left"/>
        <w:rPr>
          <w:rFonts w:ascii="宋体" w:hAnsi="宋体" w:cs="宋体"/>
          <w:kern w:val="0"/>
          <w:szCs w:val="21"/>
        </w:rPr>
      </w:pPr>
    </w:p>
    <w:p w14:paraId="38D9439B"/>
    <w:p w14:paraId="22A27F8C">
      <w:pPr>
        <w:spacing w:line="480" w:lineRule="auto"/>
        <w:jc w:val="center"/>
        <w:rPr>
          <w:rFonts w:ascii="仿宋" w:hAnsi="仿宋" w:eastAsia="仿宋" w:cs="仿宋"/>
          <w:b/>
          <w:bCs/>
          <w:sz w:val="52"/>
          <w:szCs w:val="52"/>
        </w:rPr>
      </w:pPr>
      <w:r>
        <w:rPr>
          <w:rFonts w:hint="eastAsia" w:ascii="仿宋" w:hAnsi="仿宋" w:eastAsia="仿宋" w:cs="仿宋"/>
          <w:b/>
          <w:bCs/>
          <w:sz w:val="52"/>
          <w:szCs w:val="52"/>
        </w:rPr>
        <w:t>广东省广播电视网络股份有限公司</w:t>
      </w:r>
    </w:p>
    <w:p w14:paraId="2C7E1D51">
      <w:pPr>
        <w:spacing w:line="480" w:lineRule="auto"/>
        <w:jc w:val="center"/>
        <w:rPr>
          <w:rFonts w:ascii="仿宋" w:hAnsi="仿宋" w:eastAsia="仿宋" w:cs="仿宋"/>
          <w:b/>
          <w:bCs/>
          <w:sz w:val="56"/>
          <w:szCs w:val="56"/>
        </w:rPr>
      </w:pPr>
      <w:r>
        <w:rPr>
          <w:rFonts w:hint="eastAsia" w:ascii="仿宋" w:hAnsi="仿宋" w:eastAsia="仿宋" w:cs="仿宋"/>
          <w:b/>
          <w:bCs/>
          <w:sz w:val="56"/>
          <w:szCs w:val="56"/>
        </w:rPr>
        <w:t>佛山顺德分公司</w:t>
      </w:r>
    </w:p>
    <w:p w14:paraId="08385BD4">
      <w:pPr>
        <w:spacing w:line="360" w:lineRule="auto"/>
        <w:jc w:val="center"/>
        <w:rPr>
          <w:rFonts w:ascii="仿宋" w:hAnsi="仿宋" w:eastAsia="仿宋" w:cs="仿宋"/>
          <w:b/>
          <w:bCs/>
          <w:sz w:val="68"/>
          <w:szCs w:val="68"/>
        </w:rPr>
      </w:pPr>
      <w:r>
        <w:rPr>
          <w:rFonts w:ascii="仿宋" w:hAnsi="仿宋" w:eastAsia="仿宋" w:cs="仿宋"/>
          <w:b/>
          <w:bCs/>
          <w:sz w:val="68"/>
          <w:szCs w:val="68"/>
        </w:rPr>
        <w:t xml:space="preserve"> </w:t>
      </w:r>
    </w:p>
    <w:p w14:paraId="03C7C2C9">
      <w:pPr>
        <w:spacing w:line="360" w:lineRule="auto"/>
        <w:jc w:val="center"/>
        <w:rPr>
          <w:rFonts w:ascii="仿宋" w:hAnsi="仿宋" w:eastAsia="仿宋" w:cs="仿宋"/>
          <w:b/>
          <w:bCs/>
          <w:sz w:val="68"/>
          <w:szCs w:val="68"/>
        </w:rPr>
      </w:pPr>
      <w:r>
        <w:rPr>
          <w:rFonts w:hint="eastAsia" w:ascii="仿宋" w:hAnsi="仿宋" w:eastAsia="仿宋" w:cs="仿宋"/>
          <w:b/>
          <w:bCs/>
          <w:sz w:val="68"/>
          <w:szCs w:val="68"/>
        </w:rPr>
        <w:t>合同书</w:t>
      </w:r>
    </w:p>
    <w:p w14:paraId="05E2BFA8">
      <w:pPr>
        <w:spacing w:line="360" w:lineRule="auto"/>
        <w:jc w:val="center"/>
        <w:rPr>
          <w:rFonts w:ascii="仿宋" w:hAnsi="仿宋" w:eastAsia="仿宋" w:cs="仿宋"/>
          <w:sz w:val="24"/>
        </w:rPr>
      </w:pPr>
      <w:r>
        <w:rPr>
          <w:rFonts w:hint="eastAsia" w:ascii="仿宋" w:hAnsi="仿宋" w:eastAsia="仿宋" w:cs="仿宋"/>
          <w:sz w:val="24"/>
        </w:rPr>
        <w:t xml:space="preserve"> </w:t>
      </w:r>
    </w:p>
    <w:p w14:paraId="2C0FE3E6">
      <w:pPr>
        <w:widowControl/>
        <w:jc w:val="center"/>
        <w:rPr>
          <w:rFonts w:hint="eastAsia" w:eastAsia="仿宋"/>
          <w:szCs w:val="21"/>
          <w:lang w:eastAsia="zh-CN"/>
        </w:rPr>
      </w:pPr>
      <w:r>
        <w:rPr>
          <w:rFonts w:hint="eastAsia" w:ascii="仿宋" w:hAnsi="仿宋" w:eastAsia="仿宋" w:cs="仿宋"/>
          <w:b/>
          <w:sz w:val="21"/>
          <w:szCs w:val="21"/>
        </w:rPr>
        <w:t>项目名称：</w:t>
      </w:r>
      <w:r>
        <w:rPr>
          <w:rFonts w:hint="eastAsia" w:ascii="仿宋_GB2312" w:hAnsi="仿宋_GB2312" w:eastAsia="仿宋" w:cs="Calibri"/>
          <w:b/>
          <w:bCs/>
          <w:szCs w:val="21"/>
          <w:u w:val="single"/>
          <w:lang w:eastAsia="zh-CN"/>
        </w:rPr>
        <w:t>2025-2026年佛山顺德分公司中心机房精密空调购买维保服务项目（第二次竞价）</w:t>
      </w:r>
    </w:p>
    <w:p w14:paraId="7FAE6D3B">
      <w:pPr>
        <w:spacing w:line="360" w:lineRule="auto"/>
        <w:jc w:val="center"/>
        <w:rPr>
          <w:rFonts w:ascii="仿宋" w:hAnsi="仿宋" w:eastAsia="仿宋" w:cs="仿宋"/>
          <w:b/>
          <w:sz w:val="24"/>
        </w:rPr>
      </w:pPr>
    </w:p>
    <w:p w14:paraId="1DEECA2C">
      <w:pPr>
        <w:spacing w:line="360" w:lineRule="auto"/>
        <w:rPr>
          <w:rFonts w:ascii="仿宋" w:hAnsi="仿宋" w:eastAsia="仿宋" w:cs="仿宋"/>
          <w:sz w:val="24"/>
        </w:rPr>
      </w:pPr>
      <w:r>
        <w:rPr>
          <w:rFonts w:hint="eastAsia" w:ascii="仿宋" w:hAnsi="仿宋" w:eastAsia="仿宋" w:cs="仿宋"/>
          <w:sz w:val="24"/>
        </w:rPr>
        <w:t xml:space="preserve"> </w:t>
      </w:r>
    </w:p>
    <w:p w14:paraId="31A08CCE">
      <w:pPr>
        <w:spacing w:line="360" w:lineRule="auto"/>
        <w:rPr>
          <w:rFonts w:ascii="仿宋" w:hAnsi="仿宋" w:eastAsia="仿宋" w:cs="仿宋"/>
          <w:sz w:val="24"/>
        </w:rPr>
      </w:pPr>
    </w:p>
    <w:p w14:paraId="49F173BA">
      <w:pPr>
        <w:spacing w:line="360" w:lineRule="auto"/>
        <w:rPr>
          <w:rFonts w:ascii="仿宋" w:hAnsi="仿宋" w:eastAsia="仿宋" w:cs="仿宋"/>
          <w:sz w:val="24"/>
        </w:rPr>
      </w:pPr>
      <w:r>
        <w:rPr>
          <w:rFonts w:hint="eastAsia" w:ascii="仿宋" w:hAnsi="仿宋" w:eastAsia="仿宋" w:cs="仿宋"/>
          <w:sz w:val="24"/>
        </w:rPr>
        <w:t xml:space="preserve"> </w:t>
      </w:r>
    </w:p>
    <w:p w14:paraId="472A960E">
      <w:pPr>
        <w:spacing w:line="360" w:lineRule="auto"/>
        <w:ind w:firstLine="2409" w:firstLineChars="1000"/>
        <w:rPr>
          <w:rFonts w:ascii="仿宋" w:hAnsi="仿宋" w:eastAsia="仿宋" w:cs="仿宋"/>
          <w:b/>
          <w:sz w:val="24"/>
        </w:rPr>
      </w:pPr>
      <w:r>
        <w:rPr>
          <w:rFonts w:hint="eastAsia" w:ascii="仿宋" w:hAnsi="仿宋" w:eastAsia="仿宋" w:cs="仿宋"/>
          <w:b/>
          <w:sz w:val="24"/>
        </w:rPr>
        <w:t>签订日期：  年  月  日</w:t>
      </w:r>
    </w:p>
    <w:p w14:paraId="799188C6">
      <w:pPr>
        <w:spacing w:line="360" w:lineRule="auto"/>
        <w:rPr>
          <w:rFonts w:ascii="仿宋" w:hAnsi="仿宋" w:eastAsia="仿宋" w:cs="仿宋"/>
          <w:b/>
          <w:sz w:val="24"/>
        </w:rPr>
      </w:pPr>
      <w:r>
        <w:rPr>
          <w:rFonts w:hint="eastAsia" w:ascii="仿宋" w:hAnsi="仿宋" w:eastAsia="仿宋" w:cs="仿宋"/>
          <w:b/>
          <w:sz w:val="24"/>
        </w:rPr>
        <w:t xml:space="preserve"> </w:t>
      </w:r>
    </w:p>
    <w:p w14:paraId="6E4A440A">
      <w:pPr>
        <w:spacing w:line="360" w:lineRule="auto"/>
        <w:rPr>
          <w:rFonts w:ascii="宋体" w:hAnsi="宋体" w:cs="宋体"/>
          <w:b/>
          <w:szCs w:val="21"/>
        </w:rPr>
      </w:pPr>
      <w:r>
        <w:rPr>
          <w:rFonts w:hint="eastAsia" w:ascii="宋体" w:hAnsi="宋体" w:cs="宋体"/>
          <w:b/>
          <w:szCs w:val="21"/>
        </w:rPr>
        <w:t>注：本合同仅为参考文本，合同签订双方可根据采购文件及成交人报价文件具体内容进行修订。</w:t>
      </w:r>
    </w:p>
    <w:p w14:paraId="2BFEAA8C">
      <w:pPr>
        <w:spacing w:line="360" w:lineRule="auto"/>
        <w:rPr>
          <w:rFonts w:ascii="宋体" w:hAnsi="宋体" w:cs="宋体"/>
          <w:b/>
          <w:szCs w:val="21"/>
        </w:rPr>
      </w:pPr>
      <w:r>
        <w:rPr>
          <w:rFonts w:hint="eastAsia" w:ascii="宋体" w:hAnsi="宋体" w:cs="宋体"/>
          <w:b/>
          <w:szCs w:val="21"/>
        </w:rPr>
        <w:t xml:space="preserve"> </w:t>
      </w:r>
    </w:p>
    <w:p w14:paraId="7832F42F">
      <w:pPr>
        <w:spacing w:line="360" w:lineRule="auto"/>
        <w:rPr>
          <w:rFonts w:ascii="宋体" w:hAnsi="宋体" w:cs="宋体"/>
          <w:b/>
          <w:szCs w:val="21"/>
        </w:rPr>
      </w:pPr>
      <w:r>
        <w:rPr>
          <w:rFonts w:hint="eastAsia" w:ascii="宋体" w:hAnsi="宋体" w:cs="宋体"/>
          <w:b/>
          <w:szCs w:val="21"/>
        </w:rPr>
        <w:t xml:space="preserve"> </w:t>
      </w:r>
    </w:p>
    <w:p w14:paraId="19107A6D">
      <w:pPr>
        <w:spacing w:line="360" w:lineRule="auto"/>
        <w:rPr>
          <w:rFonts w:ascii="宋体" w:hAnsi="宋体" w:cs="宋体"/>
          <w:b/>
          <w:szCs w:val="21"/>
        </w:rPr>
      </w:pPr>
      <w:r>
        <w:rPr>
          <w:rFonts w:hint="eastAsia" w:ascii="宋体" w:hAnsi="宋体" w:cs="宋体"/>
          <w:b/>
          <w:szCs w:val="21"/>
        </w:rPr>
        <w:t xml:space="preserve"> </w:t>
      </w:r>
    </w:p>
    <w:p w14:paraId="4DFABD8A">
      <w:pPr>
        <w:spacing w:line="360" w:lineRule="auto"/>
        <w:rPr>
          <w:rFonts w:ascii="宋体" w:hAnsi="宋体" w:cs="宋体"/>
          <w:szCs w:val="21"/>
        </w:rPr>
      </w:pPr>
      <w:r>
        <w:rPr>
          <w:rFonts w:hint="eastAsia" w:ascii="宋体" w:hAnsi="宋体" w:cs="宋体"/>
          <w:szCs w:val="21"/>
        </w:rPr>
        <w:t>甲方：</w:t>
      </w:r>
      <w:r>
        <w:rPr>
          <w:rFonts w:hint="eastAsia" w:ascii="宋体" w:hAnsi="宋体" w:cs="宋体"/>
          <w:szCs w:val="21"/>
        </w:rPr>
        <w:tab/>
      </w:r>
      <w:r>
        <w:rPr>
          <w:rFonts w:hint="eastAsia" w:ascii="宋体" w:hAnsi="宋体" w:cs="宋体"/>
          <w:szCs w:val="21"/>
        </w:rPr>
        <w:t>广东省广播电视网络股份有限公司佛山顺德分公司</w:t>
      </w:r>
    </w:p>
    <w:p w14:paraId="13F6BA4C">
      <w:pPr>
        <w:spacing w:line="420" w:lineRule="exact"/>
        <w:rPr>
          <w:rFonts w:ascii="宋体" w:hAnsi="宋体" w:cs="宋体"/>
          <w:szCs w:val="21"/>
        </w:rPr>
      </w:pPr>
      <w:r>
        <w:rPr>
          <w:rFonts w:hint="eastAsia" w:ascii="宋体" w:hAnsi="宋体" w:cs="宋体"/>
          <w:szCs w:val="21"/>
        </w:rPr>
        <w:t>乙方：</w:t>
      </w:r>
      <w:r>
        <w:rPr>
          <w:rFonts w:hint="eastAsia" w:ascii="宋体" w:hAnsi="宋体" w:cs="宋体"/>
          <w:szCs w:val="21"/>
        </w:rPr>
        <w:tab/>
      </w:r>
    </w:p>
    <w:p w14:paraId="0A1FAEC0">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 xml:space="preserve"> </w:t>
      </w:r>
    </w:p>
    <w:p w14:paraId="74C6EEE4">
      <w:pPr>
        <w:rPr>
          <w:rFonts w:ascii="宋体" w:hAnsi="宋体" w:cs="宋体"/>
          <w:color w:val="000000"/>
          <w:kern w:val="0"/>
          <w:szCs w:val="21"/>
        </w:rPr>
      </w:pPr>
      <w:r>
        <w:rPr>
          <w:rFonts w:hint="eastAsia" w:ascii="宋体" w:hAnsi="宋体" w:cs="宋体"/>
          <w:color w:val="000000"/>
          <w:kern w:val="0"/>
          <w:szCs w:val="21"/>
        </w:rPr>
        <w:br w:type="page"/>
      </w:r>
    </w:p>
    <w:p w14:paraId="51F90CA7">
      <w:pPr>
        <w:tabs>
          <w:tab w:val="left" w:pos="6009"/>
        </w:tabs>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根据《中华人民共和国民法典》等相关法律法规的规定，为保证广东省广播电视网络股份有限公司佛山顺德分公司中心机房使用的维谛精密空调的正常运行，甲方特委托</w:t>
      </w:r>
      <w:r>
        <w:rPr>
          <w:rFonts w:hint="eastAsia" w:ascii="宋体" w:hAnsi="宋体" w:cs="宋体"/>
          <w:color w:val="000000"/>
          <w:kern w:val="0"/>
          <w:szCs w:val="21"/>
          <w:u w:val="single"/>
        </w:rPr>
        <w:t xml:space="preserve">                        </w:t>
      </w:r>
      <w:r>
        <w:rPr>
          <w:rFonts w:hint="eastAsia" w:ascii="宋体" w:hAnsi="宋体" w:cs="宋体"/>
          <w:color w:val="000000"/>
          <w:kern w:val="0"/>
          <w:szCs w:val="21"/>
        </w:rPr>
        <w:t>对其使用的维谛精密空调进行日常维护及保修，甲乙双方经友好协商，本着平等互利和诚实信用的原则，一致同意签订本服务合同。</w:t>
      </w:r>
    </w:p>
    <w:p w14:paraId="642FA02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 xml:space="preserve"> </w:t>
      </w:r>
    </w:p>
    <w:p w14:paraId="29B78E53">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一、维保设备内容及服务价格：</w:t>
      </w:r>
    </w:p>
    <w:p w14:paraId="0EEB528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1.1甲方委托乙方为甲方以下设备提供维保服务：</w:t>
      </w:r>
    </w:p>
    <w:p w14:paraId="4D6F73C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（单位：人民币元）</w:t>
      </w:r>
    </w:p>
    <w:tbl>
      <w:tblPr>
        <w:tblStyle w:val="36"/>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19"/>
        <w:gridCol w:w="1428"/>
        <w:gridCol w:w="853"/>
        <w:gridCol w:w="671"/>
        <w:gridCol w:w="1634"/>
        <w:gridCol w:w="2362"/>
      </w:tblGrid>
      <w:tr w14:paraId="6E22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2A65537">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2947" w:type="dxa"/>
            <w:gridSpan w:val="2"/>
            <w:vAlign w:val="center"/>
          </w:tcPr>
          <w:p w14:paraId="7DA8EE30">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维保设备名称</w:t>
            </w:r>
          </w:p>
        </w:tc>
        <w:tc>
          <w:tcPr>
            <w:tcW w:w="853" w:type="dxa"/>
            <w:vAlign w:val="center"/>
          </w:tcPr>
          <w:p w14:paraId="42C25794">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服务期</w:t>
            </w:r>
          </w:p>
        </w:tc>
        <w:tc>
          <w:tcPr>
            <w:tcW w:w="671" w:type="dxa"/>
            <w:vAlign w:val="center"/>
          </w:tcPr>
          <w:p w14:paraId="03EA7072">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数量</w:t>
            </w:r>
          </w:p>
        </w:tc>
        <w:tc>
          <w:tcPr>
            <w:tcW w:w="1634" w:type="dxa"/>
            <w:vAlign w:val="center"/>
          </w:tcPr>
          <w:p w14:paraId="4E6E82FC">
            <w:pPr>
              <w:tabs>
                <w:tab w:val="left" w:pos="6009"/>
              </w:tabs>
              <w:spacing w:line="360" w:lineRule="auto"/>
              <w:jc w:val="center"/>
              <w:rPr>
                <w:rFonts w:ascii="宋体" w:hAnsi="宋体" w:cs="宋体"/>
                <w:szCs w:val="21"/>
                <w:highlight w:val="none"/>
              </w:rPr>
            </w:pPr>
            <w:r>
              <w:rPr>
                <w:rFonts w:hint="eastAsia" w:ascii="宋体" w:hAnsi="宋体" w:cs="宋体"/>
                <w:szCs w:val="21"/>
                <w:highlight w:val="none"/>
              </w:rPr>
              <w:t>维保费用</w:t>
            </w:r>
          </w:p>
          <w:p w14:paraId="19E91F49">
            <w:pPr>
              <w:tabs>
                <w:tab w:val="left" w:pos="6009"/>
              </w:tabs>
              <w:spacing w:line="360" w:lineRule="auto"/>
              <w:jc w:val="center"/>
              <w:rPr>
                <w:rFonts w:ascii="宋体" w:hAnsi="宋体" w:cs="宋体"/>
                <w:color w:val="000000"/>
                <w:kern w:val="0"/>
                <w:szCs w:val="21"/>
              </w:rPr>
            </w:pPr>
            <w:r>
              <w:rPr>
                <w:rFonts w:hint="eastAsia" w:ascii="宋体" w:hAnsi="宋体" w:cs="宋体"/>
                <w:szCs w:val="21"/>
                <w:highlight w:val="none"/>
              </w:rPr>
              <w:t>（元/年/台）</w:t>
            </w:r>
          </w:p>
        </w:tc>
        <w:tc>
          <w:tcPr>
            <w:tcW w:w="2362" w:type="dxa"/>
            <w:vAlign w:val="center"/>
          </w:tcPr>
          <w:p w14:paraId="7A403731">
            <w:pPr>
              <w:tabs>
                <w:tab w:val="left" w:pos="6009"/>
              </w:tabs>
              <w:spacing w:line="360" w:lineRule="auto"/>
              <w:ind w:left="15"/>
              <w:jc w:val="center"/>
              <w:rPr>
                <w:rFonts w:ascii="宋体" w:hAnsi="宋体" w:cs="宋体"/>
                <w:color w:val="000000"/>
                <w:kern w:val="0"/>
                <w:szCs w:val="21"/>
              </w:rPr>
            </w:pPr>
            <w:r>
              <w:rPr>
                <w:rFonts w:hint="eastAsia" w:ascii="宋体" w:hAnsi="宋体" w:cs="宋体"/>
                <w:color w:val="000000"/>
                <w:kern w:val="0"/>
                <w:szCs w:val="21"/>
              </w:rPr>
              <w:t>维保费用金额（元）</w:t>
            </w:r>
          </w:p>
        </w:tc>
      </w:tr>
      <w:tr w14:paraId="5F70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09" w:type="dxa"/>
            <w:vAlign w:val="center"/>
          </w:tcPr>
          <w:p w14:paraId="5C40164F">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2947" w:type="dxa"/>
            <w:gridSpan w:val="2"/>
            <w:vAlign w:val="center"/>
          </w:tcPr>
          <w:p w14:paraId="32F4DF69">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维谛精密空调</w:t>
            </w:r>
          </w:p>
          <w:p w14:paraId="552CF6DF">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（型号：PEX-P2055FARMP1R）</w:t>
            </w:r>
          </w:p>
        </w:tc>
        <w:tc>
          <w:tcPr>
            <w:tcW w:w="853" w:type="dxa"/>
            <w:vAlign w:val="center"/>
          </w:tcPr>
          <w:p w14:paraId="587E6F92">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2年</w:t>
            </w:r>
          </w:p>
        </w:tc>
        <w:tc>
          <w:tcPr>
            <w:tcW w:w="671" w:type="dxa"/>
            <w:vAlign w:val="center"/>
          </w:tcPr>
          <w:p w14:paraId="5A86008D">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4台</w:t>
            </w:r>
          </w:p>
        </w:tc>
        <w:tc>
          <w:tcPr>
            <w:tcW w:w="1634" w:type="dxa"/>
            <w:vAlign w:val="center"/>
          </w:tcPr>
          <w:p w14:paraId="1C574E7A">
            <w:pPr>
              <w:tabs>
                <w:tab w:val="left" w:pos="6009"/>
              </w:tabs>
              <w:spacing w:line="360" w:lineRule="auto"/>
              <w:jc w:val="center"/>
              <w:rPr>
                <w:rFonts w:ascii="宋体" w:hAnsi="宋体" w:cs="宋体"/>
                <w:color w:val="000000"/>
                <w:kern w:val="0"/>
                <w:szCs w:val="21"/>
              </w:rPr>
            </w:pPr>
          </w:p>
        </w:tc>
        <w:tc>
          <w:tcPr>
            <w:tcW w:w="2362" w:type="dxa"/>
            <w:vAlign w:val="center"/>
          </w:tcPr>
          <w:p w14:paraId="7887E529">
            <w:pPr>
              <w:tabs>
                <w:tab w:val="left" w:pos="6009"/>
              </w:tabs>
              <w:spacing w:line="360" w:lineRule="auto"/>
              <w:jc w:val="center"/>
              <w:rPr>
                <w:rFonts w:ascii="宋体" w:hAnsi="宋体" w:cs="宋体"/>
                <w:color w:val="000000"/>
                <w:kern w:val="0"/>
                <w:szCs w:val="21"/>
              </w:rPr>
            </w:pPr>
          </w:p>
        </w:tc>
      </w:tr>
      <w:tr w14:paraId="204F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2228" w:type="dxa"/>
            <w:gridSpan w:val="2"/>
            <w:vAlign w:val="center"/>
          </w:tcPr>
          <w:p w14:paraId="037796A6">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合计总价（含税）</w:t>
            </w:r>
          </w:p>
        </w:tc>
        <w:tc>
          <w:tcPr>
            <w:tcW w:w="6948" w:type="dxa"/>
            <w:gridSpan w:val="5"/>
            <w:vAlign w:val="center"/>
          </w:tcPr>
          <w:p w14:paraId="478CDDD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（大写）：人民币</w:t>
            </w:r>
            <w:r>
              <w:rPr>
                <w:rFonts w:hint="eastAsia" w:ascii="宋体" w:hAnsi="宋体" w:cs="宋体"/>
                <w:color w:val="000000"/>
                <w:kern w:val="0"/>
                <w:szCs w:val="21"/>
                <w:u w:val="single"/>
              </w:rPr>
              <w:t xml:space="preserve">                     </w:t>
            </w:r>
            <w:r>
              <w:rPr>
                <w:rFonts w:hint="eastAsia" w:ascii="宋体" w:hAnsi="宋体" w:cs="宋体"/>
                <w:color w:val="000000"/>
                <w:kern w:val="0"/>
                <w:szCs w:val="21"/>
              </w:rPr>
              <w:t>元整</w:t>
            </w:r>
          </w:p>
          <w:p w14:paraId="0A720BF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 xml:space="preserve">（小写）：￥ </w:t>
            </w:r>
            <w:r>
              <w:rPr>
                <w:rFonts w:hint="eastAsia" w:ascii="宋体" w:hAnsi="宋体" w:cs="宋体"/>
                <w:color w:val="000000"/>
                <w:kern w:val="0"/>
                <w:szCs w:val="21"/>
                <w:u w:val="single"/>
              </w:rPr>
              <w:t xml:space="preserve">                   </w:t>
            </w:r>
            <w:r>
              <w:rPr>
                <w:rFonts w:hint="eastAsia" w:ascii="宋体" w:hAnsi="宋体" w:cs="宋体"/>
                <w:color w:val="000000"/>
                <w:kern w:val="0"/>
                <w:szCs w:val="21"/>
              </w:rPr>
              <w:t>元</w:t>
            </w:r>
          </w:p>
          <w:p w14:paraId="77E9E052">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提供发票税种：增值税专用发票，税率：</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tc>
      </w:tr>
    </w:tbl>
    <w:p w14:paraId="495F289B">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 xml:space="preserve">    1.2全保维保方式</w:t>
      </w:r>
    </w:p>
    <w:p w14:paraId="181DF944">
      <w:pPr>
        <w:tabs>
          <w:tab w:val="left" w:pos="6009"/>
        </w:tabs>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提供每年6次专业的定期巡检维护，应急故障处理、硬件维修和技术支持；维保费用含巡检服务费、维修费和空调故障更换零配件费，每年免费提供2次空调滤网的更换。</w:t>
      </w:r>
    </w:p>
    <w:p w14:paraId="239365E3">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二、合同金额：</w:t>
      </w:r>
    </w:p>
    <w:p w14:paraId="69AD1DB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2.1合同总额已包括设备维护保养工作内容、劳务、制作、运输、仓储、管理、集成费、调试、维护、保险、利润、税金、政策性文件规定及合同包含的所有风险、责任等各项应有费用及不可预见费用。</w:t>
      </w:r>
    </w:p>
    <w:p w14:paraId="3E80FFC6">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2.2合同金额：小写：￥           元，大写：人民币              元整。</w:t>
      </w:r>
    </w:p>
    <w:p w14:paraId="31D2EA5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三、维护保养工作内容：</w:t>
      </w:r>
    </w:p>
    <w:p w14:paraId="3BC0987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3.1乙方须定期为甲方提供全面的阶段性巡检和维护，每两个月巡检一次，维护保养内容包括：</w:t>
      </w:r>
    </w:p>
    <w:p w14:paraId="51C5E76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1）控制系统：检查控制器上的LED，显示单元是否正常，各设置参数是否正确，查看历史报警记录对报警内容进行分析消除隐患。</w:t>
      </w:r>
    </w:p>
    <w:p w14:paraId="2D61F74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2）检查清洗空气过滤网，如需更换则免费更换室内空气过滤器，保证机房的清洁度（每年免费更换二次）。</w:t>
      </w:r>
    </w:p>
    <w:p w14:paraId="1341EFB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3）加湿器：检查蒸汽加湿器是否结垢，如结垢需拆下加湿器进行清洗或更换；保证机房正常的湿度。拆下蒸汽加湿器，检查三相加湿电极是否接触紧密，是否有破损，保证加湿时的电路安全。运用维修模式检查上水是否通畅且速度平稳。运用维修模式检查排水是否通畅。运用维修模式检查三相加湿电流是否平衡，且在正常工作范围之内。检查蒸汽输出口是否紧密、漏气。检查蒸汽输出量是否能够保证机房湿度。</w:t>
      </w:r>
    </w:p>
    <w:p w14:paraId="560629E0">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4）外部冷凝器：检查、清洁冷凝器（使用加压水枪和清洗剂清洗室外冷凝器。每年清洗四次）。风扇：检查风扇转动，有无异常噪声，运行电路是否正常。检查室外冷凝器的电源开关，工作是否正常，绝缘是否可靠，电气接点是否紧固。检查压力继电器，对室外风机的控制是否与设置的一致，并且根据当时的具体工作环境调整压力继电器。调速器（如果安装）：检查调速器的工作状态，控制是否灵敏。</w:t>
      </w:r>
    </w:p>
    <w:p w14:paraId="23DB7EA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5）蒸发器：检查、清洁蒸发器，如有污垢用药剂清洗，保证足够的热交换量。</w:t>
      </w:r>
    </w:p>
    <w:p w14:paraId="1EEDF29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6）室内风机：检查风机马达运转是否正常，有无异常噪音，并且轴承是否发热，检查耗电量。对于由皮带传动的机组，检查传动皮带，用手指拉紧时，是否可延长2cm。</w:t>
      </w:r>
    </w:p>
    <w:p w14:paraId="0D91BB7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7）电加热器：检查三级电加热器的各级加热电流及各电气接点是否正常。电加热器的过热保护是否灵敏。</w:t>
      </w:r>
    </w:p>
    <w:p w14:paraId="19B30B1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8）电路：检查主电源及各支路的各相电压，电流；检查所有的接触器，触点是否清洁，接触是否可靠、检测吸合时的瞬间电流，对各接点进行紧固，确保安全；对24V控制线路进行检测，确保控制的灵敏。对各种系统保护功能进行检测，例如高压保护、低压保护、过热保护、相续保护等，保证设备的安全运转。</w:t>
      </w:r>
    </w:p>
    <w:p w14:paraId="51513C6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9）制冷系统：检查制冷系统运行压力（高压，低压）是否正常，并根据当时的室外环境对压力进行适当的调节；检查压缩机的三相绕组是否平衡，绕组的绝缘是否可靠。进行过热度的测试，判断系统的运行效率是否能够达到指定的性能指标。压缩机工作时的声音是否异常，以判定系统的润滑程度。制冷系统内制冷剂量是否合适，是否应补充制冷剂。</w:t>
      </w:r>
    </w:p>
    <w:p w14:paraId="790E5BD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10）排水系统：检查排水系统是否畅通，如有水垢或异物阻塞管道，用药剂疏通管道，保证排水顺畅。</w:t>
      </w:r>
    </w:p>
    <w:p w14:paraId="0DE55BC6">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3.2特殊维护：对于由于特殊原因、非正常因素引起的空调故障，对空调进行调试、检修工作需由乙方指派或聘请专业的制冷工程技术人员进行操作，并对设备采取相应特殊维护。</w:t>
      </w:r>
    </w:p>
    <w:p w14:paraId="3ED0DC5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1）加注冷冻油：所加注的冷冻油为SUNISO 4G 冷冻油。对管线长度超过30M的风冷机组加注冷冻油：对管线长度超过30M的风冷机组，加注冷冻油为超加氟量的6%-7%，然后在安装中从管道注入。当冷冻油损失后对整个制冷循环加注冷冻油。</w:t>
      </w:r>
    </w:p>
    <w:p w14:paraId="513FAA7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2）加注制冷剂：当有氟量损失时应补充制冷剂（所用制冷剂为进口制冷剂）。</w:t>
      </w:r>
    </w:p>
    <w:p w14:paraId="7AAD988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3）调整热力膨胀阀。</w:t>
      </w:r>
    </w:p>
    <w:p w14:paraId="0EFDB78E">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4）对压力开关、风量开关等的校准：最后在巡检完毕后应向甲方工程师提交巡检报告。对存在的问题提出解决方案，对使用上的问题提出合理性建议。以保证甲方设备的正常运行。</w:t>
      </w:r>
    </w:p>
    <w:p w14:paraId="0F4C202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3.3遇故障时的维修：</w:t>
      </w:r>
    </w:p>
    <w:p w14:paraId="53B1771E">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在维护保养期内,空调机所有零部件（如压缩机，控制器，风机，风扇，膨胀阀，电脑板等）在正常使用下发生损坏，由乙方免费更换或维修。维修后向甲方汇报问题情况及处理结果提交维修报告（甲方签字确认）。</w:t>
      </w:r>
    </w:p>
    <w:p w14:paraId="405C1D82">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2）在设备使用过程中存在的使用上的问题，乙方应解释清楚，并提出合理性建议。</w:t>
      </w:r>
    </w:p>
    <w:p w14:paraId="65D98A2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3）精密空调在正常使用和保养下，设备发生故障，乙方接到故障通知后，技术人员应及时向甲方提出解决方案，确认需要工程师抵达现场进行解决的,保证工作时间8小时内到达现场（具体时间按《服务质量考核表》执行）。</w:t>
      </w:r>
    </w:p>
    <w:p w14:paraId="1989613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四、付款方式：</w:t>
      </w:r>
    </w:p>
    <w:p w14:paraId="5438A38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4.1合同生效后，甲方每半年结算一次费用，共结算4次，每次结算金额为合同金额的25%，实际结算金额根据甲方对乙方的服务质量评价考核来计算。</w:t>
      </w:r>
    </w:p>
    <w:p w14:paraId="2C14B2C5">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4.2每半年甲方对乙方的服务质量进行评价考核，根据甲方考核结果支付实际维护保养费。考核办法如下：总评分100-90分（包括90分），不扣除本次（半年度）维护保养费用；90分以下至80分(包括80分)，每扣1分则扣除本次（半年度）维护保养费用的3%，本项按扣分累加制，如扣2分，则扣本次（半年度）维护保养费用6%,以此类推；考核总得分在80分以下直接扣除本次（半年度）维护保养费用的40％，即甲方支付的费用为合同总额*25%*（1-扣除比例）。如乙方连续两次不能提供巡检或出现严重故障处理分值被完全扣完时，甲方有权利取消乙方的维护资格。</w:t>
      </w:r>
    </w:p>
    <w:p w14:paraId="51CB3E10">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4.3每次结算，乙方应根据评分结果提供与实际结算金额等额的增值税专用发票给甲方。甲方在收到发票后的三个月内支付费用；</w:t>
      </w:r>
    </w:p>
    <w:p w14:paraId="20301A0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4.4付款方式：采用银行汇付（含电汇）形式；</w:t>
      </w:r>
    </w:p>
    <w:p w14:paraId="0605808A">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4.5收款人与合同成交人名称一致。</w:t>
      </w:r>
    </w:p>
    <w:p w14:paraId="38BA97DB">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4.6税务</w:t>
      </w:r>
    </w:p>
    <w:p w14:paraId="0636E660">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 xml:space="preserve">乙方承诺其开具增值税专用发票的形式与内容均合法、有效、完整、准确。不开具或开具不合格的增值税专用发票，甲方有权顺延支付应付款项且不承担任何违约责任，且乙方的各项合同义务仍应按合同约定履行。 </w:t>
      </w:r>
    </w:p>
    <w:p w14:paraId="49F4967A">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如出现国家税收政策调整时，双方应根据实际税收调整情况，以本合同中的不含税单价（不含税单价=含税单价/（1+税率）为依据相应调整受影响的合同含税金额，乙方需按照税收调整政策规定开具合法合规发票。</w:t>
      </w:r>
    </w:p>
    <w:p w14:paraId="2471FC5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五、合同期限：</w:t>
      </w:r>
    </w:p>
    <w:p w14:paraId="1110811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维护保养期限为：二年，自      年   月   日至      年   月   日。</w:t>
      </w:r>
    </w:p>
    <w:p w14:paraId="4E96921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服务地点：</w:t>
      </w:r>
    </w:p>
    <w:p w14:paraId="68E59D6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广东省佛山市顺德区大良延年路11-2号</w:t>
      </w:r>
    </w:p>
    <w:p w14:paraId="5C170843">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七、服务承诺及日常故障处理：</w:t>
      </w:r>
    </w:p>
    <w:p w14:paraId="4627853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7.1甲方发现设备出现报警应及时通知乙方，乙方在接到通知后应2小时内提出解决方案，甲方配合乙方先作简单的应急处理。</w:t>
      </w:r>
    </w:p>
    <w:p w14:paraId="7FBED2D2">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7.2对于严重故障（停机，不能制冷等），乙方应到达现场并保证在工作时间3小时内提出解决方案。</w:t>
      </w:r>
    </w:p>
    <w:p w14:paraId="186DCDA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7.3其他故障5小时内提出解决方案，如需更换配件，乙方应及时提供配件并更换，配件费用由乙方承担。</w:t>
      </w:r>
    </w:p>
    <w:p w14:paraId="45B9280E">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八、服务考核方式：每半年甲方对乙方的服务质量进行评价考核（见附件1：精密空调维保技术服务质量考核表（半年度））。</w:t>
      </w:r>
    </w:p>
    <w:p w14:paraId="52E09D2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九、违约责任：</w:t>
      </w:r>
    </w:p>
    <w:p w14:paraId="79F3D3F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9.1乙方未按要求履行合同义务时，连续四个月不能提供符合合同约定的巡检服务，或乙方未及时解决故障问题且被扣完半年内全部考评分时，甲方有权单方面终止合同，由此造成甲方的经济损失由乙方按全额赔偿。</w:t>
      </w:r>
    </w:p>
    <w:p w14:paraId="249816D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9.2乙方提供服务的技术标准、质量要求不符合合同约定的，甲方有权要求乙方整改，乙方须按甲方要求进行整改，如乙方不整改，则乙方自违约之日起向甲方支付违约金，标准为每日按合同总额的0.5‰累计。</w:t>
      </w:r>
    </w:p>
    <w:p w14:paraId="4F79535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9.3如乙方不能及时将故障设备修复，甲方有权请第三方进行修理，所发生的费用由乙方承担。</w:t>
      </w:r>
    </w:p>
    <w:p w14:paraId="585F2D4B">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9.4甲方无故拖延付款时，甲方须向乙方支付逾期付款违约金，标准为每日按逾期应付款总额的0.5‰累计。</w:t>
      </w:r>
    </w:p>
    <w:p w14:paraId="1A4D7D2E">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十、提出异议的时间和方法：</w:t>
      </w:r>
    </w:p>
    <w:p w14:paraId="05ED277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10.1甲方对维护保养质量有异议时，应向乙方提出书面异议。</w:t>
      </w:r>
    </w:p>
    <w:p w14:paraId="2270EFE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10.2乙方在接到甲方书面异议后，应在3天内负责处理并函复甲方处理情况，否则，即视为默认甲方提出的异议和处理意见。</w:t>
      </w:r>
    </w:p>
    <w:p w14:paraId="50CD0F1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10.3乙方利用专业技术和行业信息优势之便，以不道德的手段，故意隐瞒和掩盖自身缔约过失，违背投标承诺和未尽义务，损害了甲方的合法权益，甲方在任何时候均可追究乙方的违约责任并索取赔偿，且不受验收程序、质保期和合同时效的限制。</w:t>
      </w:r>
    </w:p>
    <w:p w14:paraId="26B283E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十一、争议的解决：</w:t>
      </w:r>
    </w:p>
    <w:p w14:paraId="4E33DE0D">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11.1合同履行过程中发生的任何争议，如双方未能通过友好协商解决，应向甲方所在地有管辖权的人民法院提起诉讼。对所交付标的物质量有争议的，统一由双方认可的佛山市辖属的专业检测机构进行终局鉴定，鉴定结果符合质量技术标准时，鉴定费由委托方承担；否则鉴定费由乙方承担。</w:t>
      </w:r>
    </w:p>
    <w:p w14:paraId="4C50FE0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11.2法院审理期间，除提交法院审理的事项外，其它无争议的事项和条款仍应继续履行。</w:t>
      </w:r>
    </w:p>
    <w:p w14:paraId="08797360">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十二、不可抗力：</w:t>
      </w:r>
    </w:p>
    <w:p w14:paraId="0573001B">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14:paraId="1FCA8DDD">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十三、税费：</w:t>
      </w:r>
    </w:p>
    <w:p w14:paraId="0BB00E0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13.1本合同实施过程中所发生的一切税费及不可预见费均由乙方承担。</w:t>
      </w:r>
    </w:p>
    <w:p w14:paraId="5F9D5B2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13.2乙方依照税务规章优先在合同履约地开具发票及纳税。</w:t>
      </w:r>
    </w:p>
    <w:p w14:paraId="4253D88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十四、合同生效：</w:t>
      </w:r>
    </w:p>
    <w:p w14:paraId="250814E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本合同在甲乙双方法人代表、负责人或其授权代表签字盖章之日起生效。</w:t>
      </w:r>
    </w:p>
    <w:p w14:paraId="79618E9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十五、双方的责任与义务：</w:t>
      </w:r>
    </w:p>
    <w:p w14:paraId="1DA03BA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（一）甲方的责任及义务</w:t>
      </w:r>
    </w:p>
    <w:p w14:paraId="23B0F35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15.1甲方人员协调维护保养有关事宜，现场提供用电、用水场地。</w:t>
      </w:r>
    </w:p>
    <w:p w14:paraId="3227A21A">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15.2按本合同要求按时支付设备维保费用。</w:t>
      </w:r>
    </w:p>
    <w:p w14:paraId="6B5A4F9D">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（二）乙方的责任及义务</w:t>
      </w:r>
    </w:p>
    <w:p w14:paraId="3FDABAC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15.3按本维护保养合同的内容进行工作，以确保设备处于良好的工作状态，达到延长设备及系统使用寿命的目的。</w:t>
      </w:r>
    </w:p>
    <w:p w14:paraId="2B18A27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15.4乙方应保障甲方的设备系统工作正常，保养项目的各种运行参数符合国家标准及甲方使用要求或技术要求。</w:t>
      </w:r>
    </w:p>
    <w:p w14:paraId="5ABE540A">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15.5维修人员及维修工具由乙方负责安排和提供。</w:t>
      </w:r>
    </w:p>
    <w:p w14:paraId="49001BF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15.6乙方在进行维护、检修施工期间应做好一切安全防护措施，不得损坏甲方所有设备，如发生人员伤亡及财产损失等安全事故由乙方承担一切责任。</w:t>
      </w:r>
    </w:p>
    <w:p w14:paraId="2D6EC4BB">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15.7在维护保养期内，本合同所述设备如发生故障，乙方均负责免费维修。</w:t>
      </w:r>
    </w:p>
    <w:p w14:paraId="183774AE">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15.8乙方应遵守甲方的管理规定，佩戴工号牌进入甲方场地工作。</w:t>
      </w:r>
    </w:p>
    <w:p w14:paraId="371E59D5">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十六、其它：</w:t>
      </w:r>
    </w:p>
    <w:p w14:paraId="76962266">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16.1所有经双方签署确认的文件（包括会议纪要、补充协议、往来信函）、甲方竞价文件和乙方响应承诺文件、合同附件等均为本合同不可分割的有效组成部分，与本合同具有同等的法律效力和履约义务，其缔约生效日期为有效签署或盖章确认之日期。</w:t>
      </w:r>
    </w:p>
    <w:p w14:paraId="1F7C3F3D">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16.2有关本合同条款的修改、补充和变更，均应以书面形式进行，经双方签名、盖公章后生效，但所有补充合同的采购金额不得超过本合同采购金额的百分之十，超过的部分无效。</w:t>
      </w:r>
    </w:p>
    <w:p w14:paraId="2945D37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16.3本合同一式肆份，甲乙双方各执贰份，具有同等法律效力。</w:t>
      </w:r>
    </w:p>
    <w:p w14:paraId="2B59275B">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16.4本合同签约履约地点：广东省佛山市。</w:t>
      </w:r>
    </w:p>
    <w:p w14:paraId="684E55D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16.5双方均已对以上各条款及附件作充分了解，并明确理解由此而产生的相关权责。</w:t>
      </w:r>
    </w:p>
    <w:p w14:paraId="5704B416">
      <w:pPr>
        <w:tabs>
          <w:tab w:val="left" w:pos="6009"/>
        </w:tabs>
        <w:spacing w:line="360" w:lineRule="auto"/>
        <w:rPr>
          <w:rFonts w:ascii="宋体" w:hAnsi="宋体" w:cs="宋体"/>
          <w:color w:val="000000"/>
          <w:kern w:val="0"/>
          <w:szCs w:val="21"/>
        </w:rPr>
      </w:pPr>
    </w:p>
    <w:p w14:paraId="0602EAB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附件1：精密空调维保技术服务质量考核表（半年度）</w:t>
      </w:r>
    </w:p>
    <w:p w14:paraId="39019279">
      <w:pPr>
        <w:tabs>
          <w:tab w:val="left" w:pos="6009"/>
        </w:tabs>
        <w:spacing w:line="360" w:lineRule="auto"/>
        <w:rPr>
          <w:rFonts w:ascii="宋体" w:hAnsi="宋体" w:cs="宋体"/>
          <w:color w:val="000000"/>
          <w:kern w:val="0"/>
          <w:szCs w:val="21"/>
        </w:rPr>
      </w:pPr>
    </w:p>
    <w:p w14:paraId="6144020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以下无正文，为合同签署页</w:t>
      </w:r>
    </w:p>
    <w:p w14:paraId="584CC002">
      <w:pPr>
        <w:tabs>
          <w:tab w:val="left" w:pos="6009"/>
        </w:tabs>
        <w:spacing w:line="360" w:lineRule="auto"/>
        <w:rPr>
          <w:rFonts w:ascii="宋体" w:hAnsi="宋体" w:cs="宋体"/>
          <w:color w:val="000000"/>
          <w:kern w:val="0"/>
          <w:szCs w:val="21"/>
        </w:rPr>
      </w:pPr>
    </w:p>
    <w:p w14:paraId="6469C583">
      <w:pPr>
        <w:spacing w:line="240" w:lineRule="auto"/>
        <w:rPr>
          <w:rFonts w:ascii="宋体" w:hAnsi="宋体" w:cs="宋体"/>
          <w:color w:val="000000"/>
          <w:kern w:val="0"/>
          <w:szCs w:val="21"/>
        </w:rPr>
      </w:pPr>
      <w:r>
        <w:rPr>
          <w:rFonts w:hint="eastAsia" w:ascii="宋体" w:hAnsi="宋体" w:cs="宋体"/>
          <w:color w:val="000000"/>
          <w:kern w:val="0"/>
          <w:szCs w:val="21"/>
        </w:rPr>
        <w:br w:type="page"/>
      </w:r>
    </w:p>
    <w:p w14:paraId="7E77291E">
      <w:pPr>
        <w:tabs>
          <w:tab w:val="left" w:pos="6009"/>
        </w:tabs>
        <w:spacing w:line="360" w:lineRule="auto"/>
        <w:rPr>
          <w:rFonts w:ascii="宋体" w:hAnsi="宋体" w:cs="宋体"/>
          <w:color w:val="000000"/>
          <w:kern w:val="0"/>
          <w:szCs w:val="21"/>
        </w:rPr>
      </w:pPr>
    </w:p>
    <w:p w14:paraId="4840C5D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甲方（盖章）：广东省广播电视网络股份有限公司佛山顺德分公司</w:t>
      </w:r>
    </w:p>
    <w:p w14:paraId="12827803">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负责人或授权代表人：</w:t>
      </w:r>
    </w:p>
    <w:p w14:paraId="72C98A9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经办人：</w:t>
      </w:r>
    </w:p>
    <w:p w14:paraId="48FA09E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地址：</w:t>
      </w:r>
    </w:p>
    <w:p w14:paraId="4A3479B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电话：</w:t>
      </w:r>
    </w:p>
    <w:p w14:paraId="3182ED2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日期：      年  月  日</w:t>
      </w:r>
      <w:r>
        <w:rPr>
          <w:rFonts w:hint="eastAsia" w:ascii="宋体" w:hAnsi="宋体" w:cs="宋体"/>
          <w:color w:val="000000"/>
          <w:kern w:val="0"/>
          <w:szCs w:val="21"/>
        </w:rPr>
        <w:tab/>
      </w:r>
    </w:p>
    <w:p w14:paraId="454142D6">
      <w:pPr>
        <w:tabs>
          <w:tab w:val="left" w:pos="6009"/>
        </w:tabs>
        <w:spacing w:line="360" w:lineRule="auto"/>
        <w:rPr>
          <w:rFonts w:ascii="宋体" w:hAnsi="宋体" w:cs="宋体"/>
          <w:color w:val="000000"/>
          <w:kern w:val="0"/>
          <w:szCs w:val="21"/>
        </w:rPr>
      </w:pPr>
    </w:p>
    <w:p w14:paraId="3BE64940">
      <w:pPr>
        <w:tabs>
          <w:tab w:val="left" w:pos="6009"/>
        </w:tabs>
        <w:spacing w:line="360" w:lineRule="auto"/>
        <w:rPr>
          <w:rFonts w:ascii="宋体" w:hAnsi="宋体" w:cs="宋体"/>
          <w:color w:val="000000"/>
          <w:kern w:val="0"/>
          <w:szCs w:val="21"/>
        </w:rPr>
      </w:pPr>
    </w:p>
    <w:p w14:paraId="11E0B39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 xml:space="preserve">乙方（盖章）： </w:t>
      </w:r>
    </w:p>
    <w:p w14:paraId="6CCFC99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负责人或授权代表人：</w:t>
      </w:r>
    </w:p>
    <w:p w14:paraId="76CE335A">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经办人：</w:t>
      </w:r>
    </w:p>
    <w:p w14:paraId="2B43420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地址：</w:t>
      </w:r>
    </w:p>
    <w:p w14:paraId="4D70A41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电话：</w:t>
      </w:r>
    </w:p>
    <w:p w14:paraId="68E2E41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日期：       年  月  日</w:t>
      </w:r>
    </w:p>
    <w:p w14:paraId="4E1D056E">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开户名称：</w:t>
      </w:r>
    </w:p>
    <w:p w14:paraId="3B5A0682">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银行账号：</w:t>
      </w:r>
    </w:p>
    <w:p w14:paraId="5AF6E955">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开户行：</w:t>
      </w:r>
    </w:p>
    <w:p w14:paraId="095B6505">
      <w:pPr>
        <w:tabs>
          <w:tab w:val="left" w:pos="6009"/>
        </w:tabs>
        <w:spacing w:line="360" w:lineRule="auto"/>
        <w:rPr>
          <w:rFonts w:ascii="宋体" w:hAnsi="宋体" w:cs="宋体"/>
          <w:color w:val="000000"/>
          <w:kern w:val="0"/>
          <w:szCs w:val="21"/>
        </w:rPr>
      </w:pPr>
    </w:p>
    <w:p w14:paraId="1489354E">
      <w:pPr>
        <w:tabs>
          <w:tab w:val="left" w:pos="6009"/>
        </w:tabs>
        <w:spacing w:line="360" w:lineRule="auto"/>
        <w:rPr>
          <w:rFonts w:ascii="宋体" w:hAnsi="宋体" w:cs="宋体"/>
          <w:color w:val="000000"/>
          <w:kern w:val="0"/>
          <w:szCs w:val="21"/>
        </w:rPr>
      </w:pPr>
    </w:p>
    <w:p w14:paraId="4555217E">
      <w:pPr>
        <w:tabs>
          <w:tab w:val="left" w:pos="6009"/>
        </w:tabs>
        <w:spacing w:line="360" w:lineRule="auto"/>
        <w:rPr>
          <w:rFonts w:ascii="宋体" w:hAnsi="宋体" w:cs="宋体"/>
          <w:color w:val="000000"/>
          <w:kern w:val="0"/>
          <w:szCs w:val="21"/>
        </w:rPr>
      </w:pPr>
    </w:p>
    <w:p w14:paraId="4BA6B0F3">
      <w:pPr>
        <w:tabs>
          <w:tab w:val="left" w:pos="6009"/>
        </w:tabs>
        <w:spacing w:line="360" w:lineRule="auto"/>
        <w:rPr>
          <w:rFonts w:ascii="宋体" w:hAnsi="宋体" w:cs="宋体"/>
          <w:color w:val="000000"/>
          <w:kern w:val="0"/>
          <w:szCs w:val="21"/>
        </w:rPr>
      </w:pPr>
    </w:p>
    <w:p w14:paraId="60CC2D71">
      <w:pPr>
        <w:tabs>
          <w:tab w:val="left" w:pos="6009"/>
        </w:tabs>
        <w:spacing w:line="360" w:lineRule="auto"/>
        <w:rPr>
          <w:rFonts w:ascii="宋体" w:hAnsi="宋体" w:cs="宋体"/>
          <w:color w:val="000000"/>
          <w:kern w:val="0"/>
          <w:szCs w:val="21"/>
        </w:rPr>
      </w:pPr>
    </w:p>
    <w:p w14:paraId="62BC12B6">
      <w:pPr>
        <w:spacing w:line="240" w:lineRule="auto"/>
        <w:rPr>
          <w:rFonts w:ascii="宋体" w:hAnsi="宋体" w:cs="宋体"/>
          <w:color w:val="000000"/>
          <w:kern w:val="0"/>
          <w:szCs w:val="21"/>
        </w:rPr>
      </w:pPr>
      <w:r>
        <w:rPr>
          <w:rFonts w:hint="eastAsia" w:ascii="宋体" w:hAnsi="宋体" w:cs="宋体"/>
          <w:color w:val="000000"/>
          <w:kern w:val="0"/>
          <w:szCs w:val="21"/>
        </w:rPr>
        <w:br w:type="page"/>
      </w:r>
    </w:p>
    <w:p w14:paraId="359B0F5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附件1：</w:t>
      </w:r>
    </w:p>
    <w:p w14:paraId="1940D623">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精密空调维保技术服务质量考核表（半年度）</w:t>
      </w:r>
    </w:p>
    <w:tbl>
      <w:tblPr>
        <w:tblStyle w:val="36"/>
        <w:tblW w:w="4998" w:type="pct"/>
        <w:jc w:val="center"/>
        <w:tblLayout w:type="autofit"/>
        <w:tblCellMar>
          <w:top w:w="0" w:type="dxa"/>
          <w:left w:w="0" w:type="dxa"/>
          <w:bottom w:w="0" w:type="dxa"/>
          <w:right w:w="0" w:type="dxa"/>
        </w:tblCellMar>
      </w:tblPr>
      <w:tblGrid>
        <w:gridCol w:w="582"/>
        <w:gridCol w:w="801"/>
        <w:gridCol w:w="469"/>
        <w:gridCol w:w="1128"/>
        <w:gridCol w:w="3958"/>
        <w:gridCol w:w="556"/>
        <w:gridCol w:w="847"/>
      </w:tblGrid>
      <w:tr w14:paraId="035FC4F7">
        <w:tblPrEx>
          <w:tblCellMar>
            <w:top w:w="0" w:type="dxa"/>
            <w:left w:w="0" w:type="dxa"/>
            <w:bottom w:w="0" w:type="dxa"/>
            <w:right w:w="0" w:type="dxa"/>
          </w:tblCellMar>
        </w:tblPrEx>
        <w:trPr>
          <w:trHeight w:val="424" w:hRule="atLeast"/>
          <w:jc w:val="center"/>
        </w:trPr>
        <w:tc>
          <w:tcPr>
            <w:tcW w:w="349" w:type="pct"/>
            <w:tcBorders>
              <w:top w:val="single" w:color="auto" w:sz="8" w:space="0"/>
              <w:left w:val="single" w:color="auto" w:sz="8" w:space="0"/>
              <w:bottom w:val="single" w:color="auto" w:sz="8" w:space="0"/>
              <w:right w:val="single" w:color="auto" w:sz="8" w:space="0"/>
            </w:tcBorders>
            <w:tcMar>
              <w:top w:w="19" w:type="dxa"/>
              <w:left w:w="19" w:type="dxa"/>
              <w:bottom w:w="0" w:type="dxa"/>
              <w:right w:w="19" w:type="dxa"/>
            </w:tcMar>
            <w:vAlign w:val="center"/>
          </w:tcPr>
          <w:p w14:paraId="505632E4">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1437" w:type="pct"/>
            <w:gridSpan w:val="3"/>
            <w:tcBorders>
              <w:top w:val="single" w:color="auto" w:sz="8" w:space="0"/>
              <w:left w:val="nil"/>
              <w:bottom w:val="single" w:color="auto" w:sz="8" w:space="0"/>
              <w:right w:val="single" w:color="auto" w:sz="8" w:space="0"/>
            </w:tcBorders>
            <w:tcMar>
              <w:top w:w="19" w:type="dxa"/>
              <w:left w:w="19" w:type="dxa"/>
              <w:bottom w:w="0" w:type="dxa"/>
              <w:right w:w="19" w:type="dxa"/>
            </w:tcMar>
            <w:vAlign w:val="center"/>
          </w:tcPr>
          <w:p w14:paraId="611BC0EE">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考核项目</w:t>
            </w:r>
          </w:p>
        </w:tc>
        <w:tc>
          <w:tcPr>
            <w:tcW w:w="2371" w:type="pct"/>
            <w:tcBorders>
              <w:top w:val="single" w:color="auto" w:sz="8" w:space="0"/>
              <w:left w:val="nil"/>
              <w:bottom w:val="single" w:color="auto" w:sz="8" w:space="0"/>
              <w:right w:val="single" w:color="auto" w:sz="8" w:space="0"/>
            </w:tcBorders>
            <w:tcMar>
              <w:top w:w="19" w:type="dxa"/>
              <w:left w:w="19" w:type="dxa"/>
              <w:bottom w:w="0" w:type="dxa"/>
              <w:right w:w="19" w:type="dxa"/>
            </w:tcMar>
            <w:vAlign w:val="center"/>
          </w:tcPr>
          <w:p w14:paraId="3003F93B">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考评方法与说明</w:t>
            </w:r>
          </w:p>
        </w:tc>
        <w:tc>
          <w:tcPr>
            <w:tcW w:w="333" w:type="pct"/>
            <w:tcBorders>
              <w:top w:val="single" w:color="auto" w:sz="8" w:space="0"/>
              <w:left w:val="nil"/>
              <w:bottom w:val="single" w:color="auto" w:sz="8" w:space="0"/>
              <w:right w:val="single" w:color="auto" w:sz="8" w:space="0"/>
            </w:tcBorders>
            <w:tcMar>
              <w:top w:w="19" w:type="dxa"/>
              <w:left w:w="19" w:type="dxa"/>
              <w:bottom w:w="0" w:type="dxa"/>
              <w:right w:w="19" w:type="dxa"/>
            </w:tcMar>
            <w:vAlign w:val="center"/>
          </w:tcPr>
          <w:p w14:paraId="67A17650">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分值</w:t>
            </w:r>
          </w:p>
        </w:tc>
        <w:tc>
          <w:tcPr>
            <w:tcW w:w="507" w:type="pct"/>
            <w:tcBorders>
              <w:top w:val="single" w:color="auto" w:sz="8" w:space="0"/>
              <w:left w:val="nil"/>
              <w:bottom w:val="single" w:color="auto" w:sz="8" w:space="0"/>
              <w:right w:val="single" w:color="auto" w:sz="8" w:space="0"/>
            </w:tcBorders>
            <w:tcMar>
              <w:top w:w="19" w:type="dxa"/>
              <w:left w:w="19" w:type="dxa"/>
              <w:bottom w:w="0" w:type="dxa"/>
              <w:right w:w="19" w:type="dxa"/>
            </w:tcMar>
            <w:vAlign w:val="center"/>
          </w:tcPr>
          <w:p w14:paraId="5580ECE7">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得分</w:t>
            </w:r>
          </w:p>
        </w:tc>
      </w:tr>
      <w:tr w14:paraId="545C13E5">
        <w:tblPrEx>
          <w:tblCellMar>
            <w:top w:w="0" w:type="dxa"/>
            <w:left w:w="0" w:type="dxa"/>
            <w:bottom w:w="0" w:type="dxa"/>
            <w:right w:w="0" w:type="dxa"/>
          </w:tblCellMar>
        </w:tblPrEx>
        <w:trPr>
          <w:trHeight w:val="806" w:hRule="atLeast"/>
          <w:jc w:val="center"/>
        </w:trPr>
        <w:tc>
          <w:tcPr>
            <w:tcW w:w="349" w:type="pct"/>
            <w:vMerge w:val="restart"/>
            <w:tcBorders>
              <w:top w:val="single" w:color="auto" w:sz="8" w:space="0"/>
              <w:left w:val="single" w:color="auto" w:sz="8" w:space="0"/>
              <w:right w:val="single" w:color="auto" w:sz="8" w:space="0"/>
            </w:tcBorders>
            <w:tcMar>
              <w:top w:w="19" w:type="dxa"/>
              <w:left w:w="19" w:type="dxa"/>
              <w:bottom w:w="0" w:type="dxa"/>
              <w:right w:w="19" w:type="dxa"/>
            </w:tcMar>
            <w:vAlign w:val="center"/>
          </w:tcPr>
          <w:p w14:paraId="60D727A0">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480" w:type="pct"/>
            <w:vMerge w:val="restart"/>
            <w:tcBorders>
              <w:top w:val="single" w:color="auto" w:sz="8" w:space="0"/>
              <w:left w:val="nil"/>
              <w:right w:val="single" w:color="auto" w:sz="4" w:space="0"/>
            </w:tcBorders>
            <w:tcMar>
              <w:top w:w="19" w:type="dxa"/>
              <w:left w:w="19" w:type="dxa"/>
              <w:bottom w:w="0" w:type="dxa"/>
              <w:right w:w="19" w:type="dxa"/>
            </w:tcMar>
            <w:vAlign w:val="center"/>
          </w:tcPr>
          <w:p w14:paraId="3AA4E4DD">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精密空调定期维护保养</w:t>
            </w:r>
          </w:p>
        </w:tc>
        <w:tc>
          <w:tcPr>
            <w:tcW w:w="957" w:type="pct"/>
            <w:gridSpan w:val="2"/>
            <w:tcBorders>
              <w:top w:val="single" w:color="auto" w:sz="8" w:space="0"/>
              <w:left w:val="single" w:color="auto" w:sz="4" w:space="0"/>
              <w:bottom w:val="single" w:color="auto" w:sz="4" w:space="0"/>
              <w:right w:val="single" w:color="auto" w:sz="8" w:space="0"/>
            </w:tcBorders>
            <w:tcMar>
              <w:top w:w="19" w:type="dxa"/>
              <w:left w:w="19" w:type="dxa"/>
              <w:bottom w:w="0" w:type="dxa"/>
              <w:right w:w="19" w:type="dxa"/>
            </w:tcMar>
            <w:vAlign w:val="center"/>
          </w:tcPr>
          <w:p w14:paraId="1180B21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第一次维护保养</w:t>
            </w:r>
          </w:p>
        </w:tc>
        <w:tc>
          <w:tcPr>
            <w:tcW w:w="2371" w:type="pct"/>
            <w:tcBorders>
              <w:top w:val="single" w:color="auto" w:sz="8" w:space="0"/>
              <w:left w:val="nil"/>
              <w:bottom w:val="single" w:color="auto" w:sz="4" w:space="0"/>
              <w:right w:val="single" w:color="auto" w:sz="8" w:space="0"/>
            </w:tcBorders>
            <w:tcMar>
              <w:top w:w="19" w:type="dxa"/>
              <w:left w:w="19" w:type="dxa"/>
              <w:bottom w:w="0" w:type="dxa"/>
              <w:right w:w="19" w:type="dxa"/>
            </w:tcMar>
          </w:tcPr>
          <w:p w14:paraId="71B75DE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按甲方要求按时到达现场进行巡检工作，并出具每台空调巡检报告，如不能按时到达现场或巡检过程有遗漏扣14分。</w:t>
            </w:r>
          </w:p>
        </w:tc>
        <w:tc>
          <w:tcPr>
            <w:tcW w:w="333"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12A9BEA3">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14</w:t>
            </w:r>
          </w:p>
        </w:tc>
        <w:tc>
          <w:tcPr>
            <w:tcW w:w="507"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27E7718B">
            <w:pPr>
              <w:tabs>
                <w:tab w:val="left" w:pos="6009"/>
              </w:tabs>
              <w:spacing w:line="360" w:lineRule="auto"/>
              <w:rPr>
                <w:rFonts w:ascii="宋体" w:hAnsi="宋体" w:cs="宋体"/>
                <w:color w:val="000000"/>
                <w:kern w:val="0"/>
                <w:szCs w:val="21"/>
              </w:rPr>
            </w:pPr>
          </w:p>
        </w:tc>
      </w:tr>
      <w:tr w14:paraId="12E36F0A">
        <w:tblPrEx>
          <w:tblCellMar>
            <w:top w:w="0" w:type="dxa"/>
            <w:left w:w="0" w:type="dxa"/>
            <w:bottom w:w="0" w:type="dxa"/>
            <w:right w:w="0" w:type="dxa"/>
          </w:tblCellMar>
        </w:tblPrEx>
        <w:trPr>
          <w:trHeight w:val="888" w:hRule="atLeast"/>
          <w:jc w:val="center"/>
        </w:trPr>
        <w:tc>
          <w:tcPr>
            <w:tcW w:w="349" w:type="pct"/>
            <w:vMerge w:val="continue"/>
            <w:tcBorders>
              <w:left w:val="single" w:color="auto" w:sz="8" w:space="0"/>
              <w:right w:val="single" w:color="auto" w:sz="8" w:space="0"/>
            </w:tcBorders>
            <w:tcMar>
              <w:top w:w="19" w:type="dxa"/>
              <w:left w:w="19" w:type="dxa"/>
              <w:bottom w:w="0" w:type="dxa"/>
              <w:right w:w="19" w:type="dxa"/>
            </w:tcMar>
            <w:vAlign w:val="center"/>
          </w:tcPr>
          <w:p w14:paraId="3664C586">
            <w:pPr>
              <w:tabs>
                <w:tab w:val="left" w:pos="6009"/>
              </w:tabs>
              <w:spacing w:line="360" w:lineRule="auto"/>
              <w:jc w:val="center"/>
              <w:rPr>
                <w:rFonts w:ascii="宋体" w:hAnsi="宋体" w:cs="宋体"/>
                <w:color w:val="000000"/>
                <w:kern w:val="0"/>
                <w:szCs w:val="21"/>
              </w:rPr>
            </w:pPr>
          </w:p>
        </w:tc>
        <w:tc>
          <w:tcPr>
            <w:tcW w:w="480" w:type="pct"/>
            <w:vMerge w:val="continue"/>
            <w:tcBorders>
              <w:left w:val="nil"/>
              <w:right w:val="single" w:color="auto" w:sz="4" w:space="0"/>
            </w:tcBorders>
            <w:tcMar>
              <w:top w:w="19" w:type="dxa"/>
              <w:left w:w="19" w:type="dxa"/>
              <w:bottom w:w="0" w:type="dxa"/>
              <w:right w:w="19" w:type="dxa"/>
            </w:tcMar>
            <w:vAlign w:val="center"/>
          </w:tcPr>
          <w:p w14:paraId="5702789D">
            <w:pPr>
              <w:tabs>
                <w:tab w:val="left" w:pos="6009"/>
              </w:tabs>
              <w:spacing w:line="360" w:lineRule="auto"/>
              <w:rPr>
                <w:rFonts w:ascii="宋体" w:hAnsi="宋体" w:cs="宋体"/>
                <w:color w:val="000000"/>
                <w:kern w:val="0"/>
                <w:szCs w:val="21"/>
              </w:rPr>
            </w:pPr>
          </w:p>
        </w:tc>
        <w:tc>
          <w:tcPr>
            <w:tcW w:w="957" w:type="pct"/>
            <w:gridSpan w:val="2"/>
            <w:tcBorders>
              <w:top w:val="single" w:color="auto" w:sz="8" w:space="0"/>
              <w:left w:val="single" w:color="auto" w:sz="4" w:space="0"/>
              <w:bottom w:val="single" w:color="auto" w:sz="4" w:space="0"/>
              <w:right w:val="single" w:color="auto" w:sz="8" w:space="0"/>
            </w:tcBorders>
            <w:tcMar>
              <w:top w:w="19" w:type="dxa"/>
              <w:left w:w="19" w:type="dxa"/>
              <w:bottom w:w="0" w:type="dxa"/>
              <w:right w:w="19" w:type="dxa"/>
            </w:tcMar>
            <w:vAlign w:val="center"/>
          </w:tcPr>
          <w:p w14:paraId="322D372B">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第二次维护保养</w:t>
            </w:r>
          </w:p>
        </w:tc>
        <w:tc>
          <w:tcPr>
            <w:tcW w:w="2371" w:type="pct"/>
            <w:tcBorders>
              <w:top w:val="single" w:color="auto" w:sz="8" w:space="0"/>
              <w:left w:val="nil"/>
              <w:bottom w:val="single" w:color="auto" w:sz="4" w:space="0"/>
              <w:right w:val="single" w:color="auto" w:sz="8" w:space="0"/>
            </w:tcBorders>
            <w:tcMar>
              <w:top w:w="19" w:type="dxa"/>
              <w:left w:w="19" w:type="dxa"/>
              <w:bottom w:w="0" w:type="dxa"/>
              <w:right w:w="19" w:type="dxa"/>
            </w:tcMar>
          </w:tcPr>
          <w:p w14:paraId="06A57B62">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按甲方要求按时到达现场进行巡检工作，并出具每台空调巡检报告，如不能按时到达现场或巡检过程有遗漏扣14分。</w:t>
            </w:r>
          </w:p>
        </w:tc>
        <w:tc>
          <w:tcPr>
            <w:tcW w:w="333"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108313DC">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14</w:t>
            </w:r>
          </w:p>
        </w:tc>
        <w:tc>
          <w:tcPr>
            <w:tcW w:w="507"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790A686D">
            <w:pPr>
              <w:tabs>
                <w:tab w:val="left" w:pos="6009"/>
              </w:tabs>
              <w:spacing w:line="360" w:lineRule="auto"/>
              <w:rPr>
                <w:rFonts w:ascii="宋体" w:hAnsi="宋体" w:cs="宋体"/>
                <w:color w:val="000000"/>
                <w:kern w:val="0"/>
                <w:szCs w:val="21"/>
              </w:rPr>
            </w:pPr>
          </w:p>
        </w:tc>
      </w:tr>
      <w:tr w14:paraId="13FC04B5">
        <w:tblPrEx>
          <w:tblCellMar>
            <w:top w:w="0" w:type="dxa"/>
            <w:left w:w="0" w:type="dxa"/>
            <w:bottom w:w="0" w:type="dxa"/>
            <w:right w:w="0" w:type="dxa"/>
          </w:tblCellMar>
        </w:tblPrEx>
        <w:trPr>
          <w:trHeight w:val="908" w:hRule="atLeast"/>
          <w:jc w:val="center"/>
        </w:trPr>
        <w:tc>
          <w:tcPr>
            <w:tcW w:w="349" w:type="pct"/>
            <w:vMerge w:val="continue"/>
            <w:tcBorders>
              <w:left w:val="single" w:color="auto" w:sz="8" w:space="0"/>
              <w:bottom w:val="single" w:color="auto" w:sz="4" w:space="0"/>
              <w:right w:val="single" w:color="auto" w:sz="8" w:space="0"/>
            </w:tcBorders>
            <w:tcMar>
              <w:top w:w="19" w:type="dxa"/>
              <w:left w:w="19" w:type="dxa"/>
              <w:bottom w:w="0" w:type="dxa"/>
              <w:right w:w="19" w:type="dxa"/>
            </w:tcMar>
            <w:vAlign w:val="center"/>
          </w:tcPr>
          <w:p w14:paraId="1BCB30F5">
            <w:pPr>
              <w:tabs>
                <w:tab w:val="left" w:pos="6009"/>
              </w:tabs>
              <w:spacing w:line="360" w:lineRule="auto"/>
              <w:jc w:val="center"/>
              <w:rPr>
                <w:rFonts w:ascii="宋体" w:hAnsi="宋体" w:cs="宋体"/>
                <w:color w:val="000000"/>
                <w:kern w:val="0"/>
                <w:szCs w:val="21"/>
              </w:rPr>
            </w:pPr>
          </w:p>
        </w:tc>
        <w:tc>
          <w:tcPr>
            <w:tcW w:w="480" w:type="pct"/>
            <w:vMerge w:val="continue"/>
            <w:tcBorders>
              <w:left w:val="nil"/>
              <w:bottom w:val="single" w:color="auto" w:sz="4" w:space="0"/>
              <w:right w:val="single" w:color="auto" w:sz="4" w:space="0"/>
            </w:tcBorders>
            <w:tcMar>
              <w:top w:w="19" w:type="dxa"/>
              <w:left w:w="19" w:type="dxa"/>
              <w:bottom w:w="0" w:type="dxa"/>
              <w:right w:w="19" w:type="dxa"/>
            </w:tcMar>
            <w:vAlign w:val="center"/>
          </w:tcPr>
          <w:p w14:paraId="1EC69F44">
            <w:pPr>
              <w:tabs>
                <w:tab w:val="left" w:pos="6009"/>
              </w:tabs>
              <w:spacing w:line="360" w:lineRule="auto"/>
              <w:rPr>
                <w:rFonts w:ascii="宋体" w:hAnsi="宋体" w:cs="宋体"/>
                <w:color w:val="000000"/>
                <w:kern w:val="0"/>
                <w:szCs w:val="21"/>
              </w:rPr>
            </w:pPr>
          </w:p>
        </w:tc>
        <w:tc>
          <w:tcPr>
            <w:tcW w:w="957" w:type="pct"/>
            <w:gridSpan w:val="2"/>
            <w:tcBorders>
              <w:top w:val="single" w:color="auto" w:sz="8" w:space="0"/>
              <w:left w:val="single" w:color="auto" w:sz="4" w:space="0"/>
              <w:bottom w:val="single" w:color="auto" w:sz="4" w:space="0"/>
              <w:right w:val="single" w:color="auto" w:sz="8" w:space="0"/>
            </w:tcBorders>
            <w:tcMar>
              <w:top w:w="19" w:type="dxa"/>
              <w:left w:w="19" w:type="dxa"/>
              <w:bottom w:w="0" w:type="dxa"/>
              <w:right w:w="19" w:type="dxa"/>
            </w:tcMar>
            <w:vAlign w:val="center"/>
          </w:tcPr>
          <w:p w14:paraId="64E3F74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第三次维护保养</w:t>
            </w:r>
          </w:p>
        </w:tc>
        <w:tc>
          <w:tcPr>
            <w:tcW w:w="2371" w:type="pct"/>
            <w:tcBorders>
              <w:top w:val="single" w:color="auto" w:sz="8" w:space="0"/>
              <w:left w:val="nil"/>
              <w:bottom w:val="single" w:color="auto" w:sz="4" w:space="0"/>
              <w:right w:val="single" w:color="auto" w:sz="8" w:space="0"/>
            </w:tcBorders>
            <w:tcMar>
              <w:top w:w="19" w:type="dxa"/>
              <w:left w:w="19" w:type="dxa"/>
              <w:bottom w:w="0" w:type="dxa"/>
              <w:right w:w="19" w:type="dxa"/>
            </w:tcMar>
          </w:tcPr>
          <w:p w14:paraId="15C90545">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按甲方要求按时到达现场进行巡检工作，并出具空调巡检报告，如不能按时到达现场或巡检过程有遗漏扣14分。</w:t>
            </w:r>
          </w:p>
        </w:tc>
        <w:tc>
          <w:tcPr>
            <w:tcW w:w="333"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5A5DC73C">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14</w:t>
            </w:r>
          </w:p>
        </w:tc>
        <w:tc>
          <w:tcPr>
            <w:tcW w:w="507"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746B0B6A">
            <w:pPr>
              <w:tabs>
                <w:tab w:val="left" w:pos="6009"/>
              </w:tabs>
              <w:spacing w:line="360" w:lineRule="auto"/>
              <w:rPr>
                <w:rFonts w:ascii="宋体" w:hAnsi="宋体" w:cs="宋体"/>
                <w:color w:val="000000"/>
                <w:kern w:val="0"/>
                <w:szCs w:val="21"/>
              </w:rPr>
            </w:pPr>
          </w:p>
        </w:tc>
      </w:tr>
      <w:tr w14:paraId="1535A16D">
        <w:tblPrEx>
          <w:tblCellMar>
            <w:top w:w="0" w:type="dxa"/>
            <w:left w:w="0" w:type="dxa"/>
            <w:bottom w:w="0" w:type="dxa"/>
            <w:right w:w="0" w:type="dxa"/>
          </w:tblCellMar>
        </w:tblPrEx>
        <w:trPr>
          <w:trHeight w:val="613" w:hRule="atLeast"/>
          <w:jc w:val="center"/>
        </w:trPr>
        <w:tc>
          <w:tcPr>
            <w:tcW w:w="349" w:type="pct"/>
            <w:vMerge w:val="restart"/>
            <w:tcBorders>
              <w:top w:val="single" w:color="auto" w:sz="4" w:space="0"/>
              <w:left w:val="single" w:color="auto" w:sz="8" w:space="0"/>
              <w:right w:val="single" w:color="auto" w:sz="8" w:space="0"/>
            </w:tcBorders>
            <w:tcMar>
              <w:top w:w="19" w:type="dxa"/>
              <w:left w:w="19" w:type="dxa"/>
              <w:bottom w:w="0" w:type="dxa"/>
              <w:right w:w="19" w:type="dxa"/>
            </w:tcMar>
            <w:vAlign w:val="center"/>
          </w:tcPr>
          <w:p w14:paraId="2446FD22">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480" w:type="pct"/>
            <w:vMerge w:val="restart"/>
            <w:tcBorders>
              <w:top w:val="single" w:color="auto" w:sz="4" w:space="0"/>
              <w:left w:val="nil"/>
              <w:right w:val="single" w:color="auto" w:sz="4" w:space="0"/>
            </w:tcBorders>
            <w:tcMar>
              <w:top w:w="19" w:type="dxa"/>
              <w:left w:w="19" w:type="dxa"/>
              <w:bottom w:w="0" w:type="dxa"/>
              <w:right w:w="19" w:type="dxa"/>
            </w:tcMar>
            <w:vAlign w:val="center"/>
          </w:tcPr>
          <w:p w14:paraId="457A8830">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故障响应</w:t>
            </w:r>
          </w:p>
        </w:tc>
        <w:tc>
          <w:tcPr>
            <w:tcW w:w="957" w:type="pct"/>
            <w:gridSpan w:val="2"/>
            <w:tcBorders>
              <w:top w:val="single" w:color="auto" w:sz="8" w:space="0"/>
              <w:left w:val="single" w:color="auto" w:sz="4" w:space="0"/>
              <w:bottom w:val="single" w:color="auto" w:sz="4" w:space="0"/>
              <w:right w:val="single" w:color="auto" w:sz="4" w:space="0"/>
            </w:tcBorders>
            <w:tcMar>
              <w:top w:w="19" w:type="dxa"/>
              <w:left w:w="19" w:type="dxa"/>
              <w:bottom w:w="0" w:type="dxa"/>
              <w:right w:w="19" w:type="dxa"/>
            </w:tcMar>
            <w:vAlign w:val="center"/>
          </w:tcPr>
          <w:p w14:paraId="2BB2A08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电话故障响应</w:t>
            </w:r>
          </w:p>
        </w:tc>
        <w:tc>
          <w:tcPr>
            <w:tcW w:w="2371" w:type="pct"/>
            <w:tcBorders>
              <w:top w:val="single" w:color="auto" w:sz="8" w:space="0"/>
              <w:left w:val="single" w:color="auto" w:sz="4" w:space="0"/>
              <w:bottom w:val="single" w:color="auto" w:sz="4" w:space="0"/>
              <w:right w:val="single" w:color="auto" w:sz="8" w:space="0"/>
            </w:tcBorders>
            <w:tcMar>
              <w:top w:w="19" w:type="dxa"/>
              <w:left w:w="19" w:type="dxa"/>
              <w:bottom w:w="0" w:type="dxa"/>
              <w:right w:w="19" w:type="dxa"/>
            </w:tcMar>
          </w:tcPr>
          <w:p w14:paraId="7613BE0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电话响应：要求小于10分钟 ，指定技术人员或服务电话如不能接听，每次扣0.5分，扣完为止。</w:t>
            </w:r>
          </w:p>
        </w:tc>
        <w:tc>
          <w:tcPr>
            <w:tcW w:w="333"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41E47E40">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507"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02953884">
            <w:pPr>
              <w:tabs>
                <w:tab w:val="left" w:pos="6009"/>
              </w:tabs>
              <w:spacing w:line="360" w:lineRule="auto"/>
              <w:rPr>
                <w:rFonts w:ascii="宋体" w:hAnsi="宋体" w:cs="宋体"/>
                <w:color w:val="000000"/>
                <w:kern w:val="0"/>
                <w:szCs w:val="21"/>
              </w:rPr>
            </w:pPr>
          </w:p>
        </w:tc>
      </w:tr>
      <w:tr w14:paraId="4973AF97">
        <w:tblPrEx>
          <w:tblCellMar>
            <w:top w:w="0" w:type="dxa"/>
            <w:left w:w="0" w:type="dxa"/>
            <w:bottom w:w="0" w:type="dxa"/>
            <w:right w:w="0" w:type="dxa"/>
          </w:tblCellMar>
        </w:tblPrEx>
        <w:trPr>
          <w:trHeight w:val="593" w:hRule="atLeast"/>
          <w:jc w:val="center"/>
        </w:trPr>
        <w:tc>
          <w:tcPr>
            <w:tcW w:w="349" w:type="pct"/>
            <w:vMerge w:val="continue"/>
            <w:tcBorders>
              <w:left w:val="single" w:color="auto" w:sz="8" w:space="0"/>
              <w:bottom w:val="single" w:color="auto" w:sz="4" w:space="0"/>
              <w:right w:val="single" w:color="auto" w:sz="8" w:space="0"/>
            </w:tcBorders>
            <w:tcMar>
              <w:top w:w="19" w:type="dxa"/>
              <w:left w:w="19" w:type="dxa"/>
              <w:bottom w:w="0" w:type="dxa"/>
              <w:right w:w="19" w:type="dxa"/>
            </w:tcMar>
            <w:vAlign w:val="center"/>
          </w:tcPr>
          <w:p w14:paraId="3E016FC8">
            <w:pPr>
              <w:tabs>
                <w:tab w:val="left" w:pos="6009"/>
              </w:tabs>
              <w:spacing w:line="360" w:lineRule="auto"/>
              <w:rPr>
                <w:rFonts w:ascii="宋体" w:hAnsi="宋体" w:cs="宋体"/>
                <w:color w:val="000000"/>
                <w:kern w:val="0"/>
                <w:szCs w:val="21"/>
              </w:rPr>
            </w:pPr>
          </w:p>
        </w:tc>
        <w:tc>
          <w:tcPr>
            <w:tcW w:w="480" w:type="pct"/>
            <w:vMerge w:val="continue"/>
            <w:tcBorders>
              <w:left w:val="nil"/>
              <w:bottom w:val="single" w:color="auto" w:sz="4" w:space="0"/>
              <w:right w:val="single" w:color="auto" w:sz="4" w:space="0"/>
            </w:tcBorders>
            <w:tcMar>
              <w:top w:w="19" w:type="dxa"/>
              <w:left w:w="19" w:type="dxa"/>
              <w:bottom w:w="0" w:type="dxa"/>
              <w:right w:w="19" w:type="dxa"/>
            </w:tcMar>
            <w:vAlign w:val="center"/>
          </w:tcPr>
          <w:p w14:paraId="7E6A1DEE">
            <w:pPr>
              <w:tabs>
                <w:tab w:val="left" w:pos="6009"/>
              </w:tabs>
              <w:spacing w:line="360" w:lineRule="auto"/>
              <w:rPr>
                <w:rFonts w:ascii="宋体" w:hAnsi="宋体" w:cs="宋体"/>
                <w:color w:val="000000"/>
                <w:kern w:val="0"/>
                <w:szCs w:val="21"/>
              </w:rPr>
            </w:pPr>
          </w:p>
        </w:tc>
        <w:tc>
          <w:tcPr>
            <w:tcW w:w="957" w:type="pct"/>
            <w:gridSpan w:val="2"/>
            <w:tcBorders>
              <w:top w:val="single" w:color="auto" w:sz="4" w:space="0"/>
              <w:left w:val="single" w:color="auto" w:sz="4" w:space="0"/>
              <w:bottom w:val="single" w:color="auto" w:sz="4" w:space="0"/>
              <w:right w:val="single" w:color="auto" w:sz="4" w:space="0"/>
            </w:tcBorders>
            <w:tcMar>
              <w:top w:w="19" w:type="dxa"/>
              <w:left w:w="19" w:type="dxa"/>
              <w:bottom w:w="0" w:type="dxa"/>
              <w:right w:w="19" w:type="dxa"/>
            </w:tcMar>
            <w:vAlign w:val="center"/>
          </w:tcPr>
          <w:p w14:paraId="0118020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现场故障响应</w:t>
            </w:r>
          </w:p>
        </w:tc>
        <w:tc>
          <w:tcPr>
            <w:tcW w:w="2371" w:type="pct"/>
            <w:tcBorders>
              <w:top w:val="single" w:color="auto" w:sz="4" w:space="0"/>
              <w:left w:val="single" w:color="auto" w:sz="4" w:space="0"/>
              <w:bottom w:val="single" w:color="auto" w:sz="4" w:space="0"/>
              <w:right w:val="single" w:color="auto" w:sz="8" w:space="0"/>
            </w:tcBorders>
            <w:tcMar>
              <w:top w:w="19" w:type="dxa"/>
              <w:left w:w="19" w:type="dxa"/>
              <w:bottom w:w="0" w:type="dxa"/>
              <w:right w:w="19" w:type="dxa"/>
            </w:tcMar>
          </w:tcPr>
          <w:p w14:paraId="103D6C71">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现场响应：小于8小时，维保工程师如不能在限定时间内赶到现场每次扣5分，扣完为止。</w:t>
            </w:r>
          </w:p>
        </w:tc>
        <w:tc>
          <w:tcPr>
            <w:tcW w:w="333"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1CE062C1">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10</w:t>
            </w:r>
          </w:p>
        </w:tc>
        <w:tc>
          <w:tcPr>
            <w:tcW w:w="507"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3D1DA522">
            <w:pPr>
              <w:tabs>
                <w:tab w:val="left" w:pos="6009"/>
              </w:tabs>
              <w:spacing w:line="360" w:lineRule="auto"/>
              <w:rPr>
                <w:rFonts w:ascii="宋体" w:hAnsi="宋体" w:cs="宋体"/>
                <w:color w:val="000000"/>
                <w:kern w:val="0"/>
                <w:szCs w:val="21"/>
              </w:rPr>
            </w:pPr>
          </w:p>
        </w:tc>
      </w:tr>
      <w:tr w14:paraId="54732276">
        <w:tblPrEx>
          <w:tblCellMar>
            <w:top w:w="0" w:type="dxa"/>
            <w:left w:w="0" w:type="dxa"/>
            <w:bottom w:w="0" w:type="dxa"/>
            <w:right w:w="0" w:type="dxa"/>
          </w:tblCellMar>
        </w:tblPrEx>
        <w:trPr>
          <w:trHeight w:val="1070" w:hRule="atLeast"/>
          <w:jc w:val="center"/>
        </w:trPr>
        <w:tc>
          <w:tcPr>
            <w:tcW w:w="349" w:type="pct"/>
            <w:vMerge w:val="restart"/>
            <w:tcBorders>
              <w:top w:val="single" w:color="auto" w:sz="4" w:space="0"/>
              <w:left w:val="single" w:color="auto" w:sz="8" w:space="0"/>
              <w:right w:val="single" w:color="auto" w:sz="8" w:space="0"/>
            </w:tcBorders>
            <w:tcMar>
              <w:top w:w="19" w:type="dxa"/>
              <w:left w:w="19" w:type="dxa"/>
              <w:bottom w:w="0" w:type="dxa"/>
              <w:right w:w="19" w:type="dxa"/>
            </w:tcMar>
            <w:vAlign w:val="center"/>
          </w:tcPr>
          <w:p w14:paraId="603BBB3C">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480" w:type="pct"/>
            <w:vMerge w:val="restart"/>
            <w:tcBorders>
              <w:top w:val="single" w:color="auto" w:sz="4" w:space="0"/>
              <w:left w:val="nil"/>
              <w:right w:val="single" w:color="auto" w:sz="4" w:space="0"/>
            </w:tcBorders>
            <w:tcMar>
              <w:top w:w="19" w:type="dxa"/>
              <w:left w:w="19" w:type="dxa"/>
              <w:bottom w:w="0" w:type="dxa"/>
              <w:right w:w="19" w:type="dxa"/>
            </w:tcMar>
            <w:vAlign w:val="center"/>
          </w:tcPr>
          <w:p w14:paraId="4A61472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故障处理</w:t>
            </w:r>
          </w:p>
        </w:tc>
        <w:tc>
          <w:tcPr>
            <w:tcW w:w="957" w:type="pct"/>
            <w:gridSpan w:val="2"/>
            <w:tcBorders>
              <w:top w:val="single" w:color="auto" w:sz="8" w:space="0"/>
              <w:left w:val="single" w:color="auto" w:sz="4" w:space="0"/>
              <w:right w:val="single" w:color="auto" w:sz="4" w:space="0"/>
            </w:tcBorders>
            <w:tcMar>
              <w:top w:w="19" w:type="dxa"/>
              <w:left w:w="19" w:type="dxa"/>
              <w:bottom w:w="0" w:type="dxa"/>
              <w:right w:w="19" w:type="dxa"/>
            </w:tcMar>
            <w:vAlign w:val="center"/>
          </w:tcPr>
          <w:p w14:paraId="2929856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初级故障处理</w:t>
            </w:r>
          </w:p>
        </w:tc>
        <w:tc>
          <w:tcPr>
            <w:tcW w:w="2371" w:type="pct"/>
            <w:tcBorders>
              <w:top w:val="single" w:color="auto" w:sz="8" w:space="0"/>
              <w:left w:val="single" w:color="auto" w:sz="4" w:space="0"/>
              <w:bottom w:val="single" w:color="auto" w:sz="4" w:space="0"/>
              <w:right w:val="single" w:color="auto" w:sz="8" w:space="0"/>
            </w:tcBorders>
            <w:tcMar>
              <w:top w:w="19" w:type="dxa"/>
              <w:left w:w="19" w:type="dxa"/>
              <w:bottom w:w="0" w:type="dxa"/>
              <w:right w:w="19" w:type="dxa"/>
            </w:tcMar>
          </w:tcPr>
          <w:p w14:paraId="66FE40C0">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空调如发生系统运行超时、漏水、冷媒泄漏、压缩机运行压力过高或过低等初级故障告警，必须携带维修设备器材8小时内到达现场进行处理。抵达现场后16小时之内完全恢复系统正常工作。如不能在限定时间内恢复正常每超1天扣3分，扣完为止。</w:t>
            </w:r>
          </w:p>
        </w:tc>
        <w:tc>
          <w:tcPr>
            <w:tcW w:w="333"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6BC966D3">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c>
          <w:tcPr>
            <w:tcW w:w="507"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27E170E9">
            <w:pPr>
              <w:tabs>
                <w:tab w:val="left" w:pos="6009"/>
              </w:tabs>
              <w:spacing w:line="360" w:lineRule="auto"/>
              <w:rPr>
                <w:rFonts w:ascii="宋体" w:hAnsi="宋体" w:cs="宋体"/>
                <w:color w:val="000000"/>
                <w:kern w:val="0"/>
                <w:szCs w:val="21"/>
              </w:rPr>
            </w:pPr>
          </w:p>
        </w:tc>
      </w:tr>
      <w:tr w14:paraId="378DDD98">
        <w:tblPrEx>
          <w:tblCellMar>
            <w:top w:w="0" w:type="dxa"/>
            <w:left w:w="0" w:type="dxa"/>
            <w:bottom w:w="0" w:type="dxa"/>
            <w:right w:w="0" w:type="dxa"/>
          </w:tblCellMar>
        </w:tblPrEx>
        <w:trPr>
          <w:trHeight w:val="1071" w:hRule="atLeast"/>
          <w:jc w:val="center"/>
        </w:trPr>
        <w:tc>
          <w:tcPr>
            <w:tcW w:w="349" w:type="pct"/>
            <w:vMerge w:val="continue"/>
            <w:tcBorders>
              <w:left w:val="single" w:color="auto" w:sz="8" w:space="0"/>
              <w:right w:val="single" w:color="auto" w:sz="8" w:space="0"/>
            </w:tcBorders>
            <w:tcMar>
              <w:top w:w="19" w:type="dxa"/>
              <w:left w:w="19" w:type="dxa"/>
              <w:bottom w:w="0" w:type="dxa"/>
              <w:right w:w="19" w:type="dxa"/>
            </w:tcMar>
            <w:vAlign w:val="center"/>
          </w:tcPr>
          <w:p w14:paraId="2148912A">
            <w:pPr>
              <w:tabs>
                <w:tab w:val="left" w:pos="6009"/>
              </w:tabs>
              <w:spacing w:line="360" w:lineRule="auto"/>
              <w:jc w:val="center"/>
              <w:rPr>
                <w:rFonts w:ascii="宋体" w:hAnsi="宋体" w:cs="宋体"/>
                <w:color w:val="000000"/>
                <w:kern w:val="0"/>
                <w:szCs w:val="21"/>
              </w:rPr>
            </w:pPr>
          </w:p>
        </w:tc>
        <w:tc>
          <w:tcPr>
            <w:tcW w:w="480" w:type="pct"/>
            <w:vMerge w:val="continue"/>
            <w:tcBorders>
              <w:left w:val="nil"/>
              <w:right w:val="single" w:color="auto" w:sz="4" w:space="0"/>
            </w:tcBorders>
            <w:tcMar>
              <w:top w:w="19" w:type="dxa"/>
              <w:left w:w="19" w:type="dxa"/>
              <w:bottom w:w="0" w:type="dxa"/>
              <w:right w:w="19" w:type="dxa"/>
            </w:tcMar>
            <w:vAlign w:val="center"/>
          </w:tcPr>
          <w:p w14:paraId="0CD1A9DE">
            <w:pPr>
              <w:tabs>
                <w:tab w:val="left" w:pos="6009"/>
              </w:tabs>
              <w:spacing w:line="360" w:lineRule="auto"/>
              <w:rPr>
                <w:rFonts w:ascii="宋体" w:hAnsi="宋体" w:cs="宋体"/>
                <w:color w:val="000000"/>
                <w:kern w:val="0"/>
                <w:szCs w:val="21"/>
              </w:rPr>
            </w:pPr>
          </w:p>
        </w:tc>
        <w:tc>
          <w:tcPr>
            <w:tcW w:w="957" w:type="pct"/>
            <w:gridSpan w:val="2"/>
            <w:tcBorders>
              <w:top w:val="single" w:color="auto" w:sz="4" w:space="0"/>
              <w:left w:val="single" w:color="auto" w:sz="4" w:space="0"/>
              <w:right w:val="single" w:color="auto" w:sz="8" w:space="0"/>
            </w:tcBorders>
            <w:tcMar>
              <w:top w:w="19" w:type="dxa"/>
              <w:left w:w="19" w:type="dxa"/>
              <w:bottom w:w="0" w:type="dxa"/>
              <w:right w:w="19" w:type="dxa"/>
            </w:tcMar>
            <w:vAlign w:val="center"/>
          </w:tcPr>
          <w:p w14:paraId="7C4D2743">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严重故障处理</w:t>
            </w:r>
          </w:p>
        </w:tc>
        <w:tc>
          <w:tcPr>
            <w:tcW w:w="2371" w:type="pct"/>
            <w:tcBorders>
              <w:top w:val="single" w:color="auto" w:sz="4" w:space="0"/>
              <w:left w:val="nil"/>
              <w:bottom w:val="single" w:color="auto" w:sz="4" w:space="0"/>
              <w:right w:val="single" w:color="auto" w:sz="8" w:space="0"/>
            </w:tcBorders>
            <w:tcMar>
              <w:top w:w="19" w:type="dxa"/>
              <w:left w:w="19" w:type="dxa"/>
              <w:bottom w:w="0" w:type="dxa"/>
              <w:right w:w="19" w:type="dxa"/>
            </w:tcMar>
          </w:tcPr>
          <w:p w14:paraId="683BDCF5">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如发生电加热器、加湿器、节流阀、传感器、压缩机、风扇电机、控制主板等需要订货的器件故障，则在1周内完全恢复系统正常工作。如不能在限定时间内恢复正常，则每超1天扣3分，扣完为止。</w:t>
            </w:r>
          </w:p>
        </w:tc>
        <w:tc>
          <w:tcPr>
            <w:tcW w:w="333"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26F237AC">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18</w:t>
            </w:r>
          </w:p>
        </w:tc>
        <w:tc>
          <w:tcPr>
            <w:tcW w:w="507"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2ED2D5BA">
            <w:pPr>
              <w:tabs>
                <w:tab w:val="left" w:pos="6009"/>
              </w:tabs>
              <w:spacing w:line="360" w:lineRule="auto"/>
              <w:rPr>
                <w:rFonts w:ascii="宋体" w:hAnsi="宋体" w:cs="宋体"/>
                <w:color w:val="000000"/>
                <w:kern w:val="0"/>
                <w:szCs w:val="21"/>
              </w:rPr>
            </w:pPr>
          </w:p>
        </w:tc>
      </w:tr>
      <w:tr w14:paraId="7004ED28">
        <w:tblPrEx>
          <w:tblCellMar>
            <w:top w:w="0" w:type="dxa"/>
            <w:left w:w="0" w:type="dxa"/>
            <w:bottom w:w="0" w:type="dxa"/>
            <w:right w:w="0" w:type="dxa"/>
          </w:tblCellMar>
        </w:tblPrEx>
        <w:trPr>
          <w:trHeight w:val="570" w:hRule="atLeast"/>
          <w:jc w:val="center"/>
        </w:trPr>
        <w:tc>
          <w:tcPr>
            <w:tcW w:w="349" w:type="pct"/>
            <w:tcBorders>
              <w:top w:val="single" w:color="auto" w:sz="8" w:space="0"/>
              <w:left w:val="single" w:color="auto" w:sz="8" w:space="0"/>
              <w:right w:val="single" w:color="auto" w:sz="8" w:space="0"/>
            </w:tcBorders>
            <w:tcMar>
              <w:top w:w="19" w:type="dxa"/>
              <w:left w:w="19" w:type="dxa"/>
              <w:bottom w:w="0" w:type="dxa"/>
              <w:right w:w="19" w:type="dxa"/>
            </w:tcMar>
            <w:vAlign w:val="center"/>
          </w:tcPr>
          <w:p w14:paraId="73DEE0B6">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1437" w:type="pct"/>
            <w:gridSpan w:val="3"/>
            <w:tcBorders>
              <w:top w:val="single" w:color="auto" w:sz="8" w:space="0"/>
              <w:left w:val="nil"/>
              <w:right w:val="single" w:color="auto" w:sz="8" w:space="0"/>
            </w:tcBorders>
            <w:tcMar>
              <w:top w:w="19" w:type="dxa"/>
              <w:left w:w="19" w:type="dxa"/>
              <w:bottom w:w="0" w:type="dxa"/>
              <w:right w:w="19" w:type="dxa"/>
            </w:tcMar>
            <w:vAlign w:val="center"/>
          </w:tcPr>
          <w:p w14:paraId="566A4B2D">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故障总结分析报告</w:t>
            </w:r>
          </w:p>
        </w:tc>
        <w:tc>
          <w:tcPr>
            <w:tcW w:w="2371" w:type="pct"/>
            <w:tcBorders>
              <w:top w:val="single" w:color="auto" w:sz="8" w:space="0"/>
              <w:left w:val="nil"/>
              <w:bottom w:val="single" w:color="auto" w:sz="4" w:space="0"/>
              <w:right w:val="single" w:color="auto" w:sz="8" w:space="0"/>
            </w:tcBorders>
            <w:tcMar>
              <w:top w:w="19" w:type="dxa"/>
              <w:left w:w="19" w:type="dxa"/>
              <w:bottom w:w="0" w:type="dxa"/>
              <w:right w:w="19" w:type="dxa"/>
            </w:tcMar>
          </w:tcPr>
          <w:p w14:paraId="652BF44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每次到达现场处理故障必须出具正式的故障报告。如不出具故障报告每次扣2.5分，扣完为止。</w:t>
            </w:r>
          </w:p>
        </w:tc>
        <w:tc>
          <w:tcPr>
            <w:tcW w:w="333"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556E5CF9">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507"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371BACF4">
            <w:pPr>
              <w:tabs>
                <w:tab w:val="left" w:pos="6009"/>
              </w:tabs>
              <w:spacing w:line="360" w:lineRule="auto"/>
              <w:rPr>
                <w:rFonts w:ascii="宋体" w:hAnsi="宋体" w:cs="宋体"/>
                <w:color w:val="000000"/>
                <w:kern w:val="0"/>
                <w:szCs w:val="21"/>
              </w:rPr>
            </w:pPr>
          </w:p>
        </w:tc>
      </w:tr>
      <w:tr w14:paraId="3B905B8C">
        <w:tblPrEx>
          <w:tblCellMar>
            <w:top w:w="0" w:type="dxa"/>
            <w:left w:w="0" w:type="dxa"/>
            <w:bottom w:w="0" w:type="dxa"/>
            <w:right w:w="0" w:type="dxa"/>
          </w:tblCellMar>
        </w:tblPrEx>
        <w:trPr>
          <w:trHeight w:val="647" w:hRule="atLeast"/>
          <w:jc w:val="center"/>
        </w:trPr>
        <w:tc>
          <w:tcPr>
            <w:tcW w:w="349" w:type="pct"/>
            <w:vMerge w:val="restart"/>
            <w:tcBorders>
              <w:top w:val="single" w:color="auto" w:sz="8" w:space="0"/>
              <w:left w:val="single" w:color="auto" w:sz="8" w:space="0"/>
              <w:right w:val="single" w:color="auto" w:sz="8" w:space="0"/>
            </w:tcBorders>
            <w:tcMar>
              <w:top w:w="19" w:type="dxa"/>
              <w:left w:w="19" w:type="dxa"/>
              <w:bottom w:w="0" w:type="dxa"/>
              <w:right w:w="19" w:type="dxa"/>
            </w:tcMar>
            <w:vAlign w:val="center"/>
          </w:tcPr>
          <w:p w14:paraId="3E63AAFD">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761" w:type="pct"/>
            <w:gridSpan w:val="2"/>
            <w:vMerge w:val="restart"/>
            <w:tcBorders>
              <w:top w:val="single" w:color="auto" w:sz="8" w:space="0"/>
              <w:left w:val="nil"/>
              <w:right w:val="single" w:color="auto" w:sz="4" w:space="0"/>
            </w:tcBorders>
            <w:tcMar>
              <w:top w:w="19" w:type="dxa"/>
              <w:left w:w="19" w:type="dxa"/>
              <w:bottom w:w="0" w:type="dxa"/>
              <w:right w:w="19" w:type="dxa"/>
            </w:tcMar>
            <w:vAlign w:val="center"/>
          </w:tcPr>
          <w:p w14:paraId="22F54D4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其他技术支持</w:t>
            </w:r>
          </w:p>
        </w:tc>
        <w:tc>
          <w:tcPr>
            <w:tcW w:w="676" w:type="pct"/>
            <w:tcBorders>
              <w:top w:val="single" w:color="auto" w:sz="8" w:space="0"/>
              <w:left w:val="single" w:color="auto" w:sz="4" w:space="0"/>
              <w:bottom w:val="single" w:color="auto" w:sz="4" w:space="0"/>
              <w:right w:val="single" w:color="auto" w:sz="8" w:space="0"/>
            </w:tcBorders>
            <w:tcMar>
              <w:top w:w="19" w:type="dxa"/>
              <w:left w:w="19" w:type="dxa"/>
              <w:bottom w:w="0" w:type="dxa"/>
              <w:right w:w="19" w:type="dxa"/>
            </w:tcMar>
            <w:vAlign w:val="center"/>
          </w:tcPr>
          <w:p w14:paraId="565CB81C">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现场支持</w:t>
            </w:r>
          </w:p>
        </w:tc>
        <w:tc>
          <w:tcPr>
            <w:tcW w:w="2371" w:type="pct"/>
            <w:tcBorders>
              <w:top w:val="single" w:color="auto" w:sz="8" w:space="0"/>
              <w:left w:val="nil"/>
              <w:bottom w:val="single" w:color="auto" w:sz="4" w:space="0"/>
              <w:right w:val="single" w:color="auto" w:sz="8" w:space="0"/>
            </w:tcBorders>
            <w:tcMar>
              <w:top w:w="19" w:type="dxa"/>
              <w:left w:w="19" w:type="dxa"/>
              <w:bottom w:w="0" w:type="dxa"/>
              <w:right w:w="19" w:type="dxa"/>
            </w:tcMar>
          </w:tcPr>
          <w:p w14:paraId="0618BE37">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根据甲方要求，在甲方进行重大供配电改造时到场提供现场支持保障。如不能提供，直接扣2分。</w:t>
            </w:r>
          </w:p>
        </w:tc>
        <w:tc>
          <w:tcPr>
            <w:tcW w:w="333"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2321E175">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507" w:type="pct"/>
            <w:tcBorders>
              <w:top w:val="single" w:color="auto" w:sz="8" w:space="0"/>
              <w:left w:val="nil"/>
              <w:bottom w:val="single" w:color="auto" w:sz="4" w:space="0"/>
              <w:right w:val="single" w:color="auto" w:sz="8" w:space="0"/>
            </w:tcBorders>
            <w:tcMar>
              <w:top w:w="19" w:type="dxa"/>
              <w:left w:w="19" w:type="dxa"/>
              <w:bottom w:w="0" w:type="dxa"/>
              <w:right w:w="19" w:type="dxa"/>
            </w:tcMar>
            <w:vAlign w:val="center"/>
          </w:tcPr>
          <w:p w14:paraId="6145B581">
            <w:pPr>
              <w:tabs>
                <w:tab w:val="left" w:pos="6009"/>
              </w:tabs>
              <w:spacing w:line="360" w:lineRule="auto"/>
              <w:rPr>
                <w:rFonts w:ascii="宋体" w:hAnsi="宋体" w:cs="宋体"/>
                <w:color w:val="000000"/>
                <w:kern w:val="0"/>
                <w:szCs w:val="21"/>
              </w:rPr>
            </w:pPr>
          </w:p>
        </w:tc>
      </w:tr>
      <w:tr w14:paraId="3B210874">
        <w:tblPrEx>
          <w:tblCellMar>
            <w:top w:w="0" w:type="dxa"/>
            <w:left w:w="0" w:type="dxa"/>
            <w:bottom w:w="0" w:type="dxa"/>
            <w:right w:w="0" w:type="dxa"/>
          </w:tblCellMar>
        </w:tblPrEx>
        <w:trPr>
          <w:trHeight w:val="655" w:hRule="atLeast"/>
          <w:jc w:val="center"/>
        </w:trPr>
        <w:tc>
          <w:tcPr>
            <w:tcW w:w="349" w:type="pct"/>
            <w:vMerge w:val="continue"/>
            <w:tcBorders>
              <w:left w:val="single" w:color="auto" w:sz="8" w:space="0"/>
              <w:right w:val="single" w:color="auto" w:sz="8" w:space="0"/>
            </w:tcBorders>
            <w:tcMar>
              <w:top w:w="19" w:type="dxa"/>
              <w:left w:w="19" w:type="dxa"/>
              <w:bottom w:w="0" w:type="dxa"/>
              <w:right w:w="19" w:type="dxa"/>
            </w:tcMar>
            <w:vAlign w:val="center"/>
          </w:tcPr>
          <w:p w14:paraId="69840D14">
            <w:pPr>
              <w:tabs>
                <w:tab w:val="left" w:pos="6009"/>
              </w:tabs>
              <w:spacing w:line="360" w:lineRule="auto"/>
              <w:rPr>
                <w:rFonts w:ascii="宋体" w:hAnsi="宋体" w:cs="宋体"/>
                <w:color w:val="000000"/>
                <w:kern w:val="0"/>
                <w:szCs w:val="21"/>
              </w:rPr>
            </w:pPr>
          </w:p>
        </w:tc>
        <w:tc>
          <w:tcPr>
            <w:tcW w:w="761" w:type="pct"/>
            <w:gridSpan w:val="2"/>
            <w:vMerge w:val="continue"/>
            <w:tcBorders>
              <w:left w:val="nil"/>
              <w:right w:val="single" w:color="auto" w:sz="4" w:space="0"/>
            </w:tcBorders>
            <w:tcMar>
              <w:top w:w="19" w:type="dxa"/>
              <w:left w:w="19" w:type="dxa"/>
              <w:bottom w:w="0" w:type="dxa"/>
              <w:right w:w="19" w:type="dxa"/>
            </w:tcMar>
            <w:vAlign w:val="center"/>
          </w:tcPr>
          <w:p w14:paraId="6FDC333A">
            <w:pPr>
              <w:tabs>
                <w:tab w:val="left" w:pos="6009"/>
              </w:tabs>
              <w:spacing w:line="360" w:lineRule="auto"/>
              <w:rPr>
                <w:rFonts w:ascii="宋体" w:hAnsi="宋体" w:cs="宋体"/>
                <w:color w:val="000000"/>
                <w:kern w:val="0"/>
                <w:szCs w:val="21"/>
              </w:rPr>
            </w:pPr>
          </w:p>
        </w:tc>
        <w:tc>
          <w:tcPr>
            <w:tcW w:w="676" w:type="pct"/>
            <w:tcBorders>
              <w:top w:val="single" w:color="auto" w:sz="4" w:space="0"/>
              <w:left w:val="single" w:color="auto" w:sz="4" w:space="0"/>
              <w:bottom w:val="single" w:color="auto" w:sz="4" w:space="0"/>
              <w:right w:val="single" w:color="auto" w:sz="8" w:space="0"/>
            </w:tcBorders>
            <w:tcMar>
              <w:top w:w="19" w:type="dxa"/>
              <w:left w:w="19" w:type="dxa"/>
              <w:bottom w:w="0" w:type="dxa"/>
              <w:right w:w="19" w:type="dxa"/>
            </w:tcMar>
            <w:vAlign w:val="center"/>
          </w:tcPr>
          <w:p w14:paraId="05A33544">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电话支持</w:t>
            </w:r>
          </w:p>
        </w:tc>
        <w:tc>
          <w:tcPr>
            <w:tcW w:w="2371" w:type="pct"/>
            <w:tcBorders>
              <w:top w:val="single" w:color="auto" w:sz="4" w:space="0"/>
              <w:left w:val="nil"/>
              <w:bottom w:val="single" w:color="auto" w:sz="4" w:space="0"/>
              <w:right w:val="single" w:color="auto" w:sz="8" w:space="0"/>
            </w:tcBorders>
            <w:tcMar>
              <w:top w:w="19" w:type="dxa"/>
              <w:left w:w="19" w:type="dxa"/>
              <w:bottom w:w="0" w:type="dxa"/>
              <w:right w:w="19" w:type="dxa"/>
            </w:tcMar>
          </w:tcPr>
          <w:p w14:paraId="12A29FC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7*24小时电话支持，如不能提供，每次扣1分，扣完为止。</w:t>
            </w:r>
          </w:p>
        </w:tc>
        <w:tc>
          <w:tcPr>
            <w:tcW w:w="333"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6DDF5A2A">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507"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14AFA40B">
            <w:pPr>
              <w:tabs>
                <w:tab w:val="left" w:pos="6009"/>
              </w:tabs>
              <w:spacing w:line="360" w:lineRule="auto"/>
              <w:rPr>
                <w:rFonts w:ascii="宋体" w:hAnsi="宋体" w:cs="宋体"/>
                <w:color w:val="000000"/>
                <w:kern w:val="0"/>
                <w:szCs w:val="21"/>
              </w:rPr>
            </w:pPr>
          </w:p>
        </w:tc>
      </w:tr>
      <w:tr w14:paraId="4FB7BAF8">
        <w:tblPrEx>
          <w:tblCellMar>
            <w:top w:w="0" w:type="dxa"/>
            <w:left w:w="0" w:type="dxa"/>
            <w:bottom w:w="0" w:type="dxa"/>
            <w:right w:w="0" w:type="dxa"/>
          </w:tblCellMar>
        </w:tblPrEx>
        <w:trPr>
          <w:trHeight w:val="858" w:hRule="atLeast"/>
          <w:jc w:val="center"/>
        </w:trPr>
        <w:tc>
          <w:tcPr>
            <w:tcW w:w="349" w:type="pct"/>
            <w:vMerge w:val="continue"/>
            <w:tcBorders>
              <w:left w:val="single" w:color="auto" w:sz="8" w:space="0"/>
              <w:right w:val="single" w:color="auto" w:sz="8" w:space="0"/>
            </w:tcBorders>
            <w:tcMar>
              <w:top w:w="19" w:type="dxa"/>
              <w:left w:w="19" w:type="dxa"/>
              <w:bottom w:w="0" w:type="dxa"/>
              <w:right w:w="19" w:type="dxa"/>
            </w:tcMar>
            <w:vAlign w:val="center"/>
          </w:tcPr>
          <w:p w14:paraId="7B255ADB">
            <w:pPr>
              <w:tabs>
                <w:tab w:val="left" w:pos="6009"/>
              </w:tabs>
              <w:spacing w:line="360" w:lineRule="auto"/>
              <w:rPr>
                <w:rFonts w:ascii="宋体" w:hAnsi="宋体" w:cs="宋体"/>
                <w:color w:val="000000"/>
                <w:kern w:val="0"/>
                <w:szCs w:val="21"/>
              </w:rPr>
            </w:pPr>
          </w:p>
        </w:tc>
        <w:tc>
          <w:tcPr>
            <w:tcW w:w="761" w:type="pct"/>
            <w:gridSpan w:val="2"/>
            <w:vMerge w:val="continue"/>
            <w:tcBorders>
              <w:left w:val="nil"/>
              <w:right w:val="single" w:color="auto" w:sz="4" w:space="0"/>
            </w:tcBorders>
            <w:tcMar>
              <w:top w:w="19" w:type="dxa"/>
              <w:left w:w="19" w:type="dxa"/>
              <w:bottom w:w="0" w:type="dxa"/>
              <w:right w:w="19" w:type="dxa"/>
            </w:tcMar>
            <w:vAlign w:val="center"/>
          </w:tcPr>
          <w:p w14:paraId="5636DDB1">
            <w:pPr>
              <w:tabs>
                <w:tab w:val="left" w:pos="6009"/>
              </w:tabs>
              <w:spacing w:line="360" w:lineRule="auto"/>
              <w:rPr>
                <w:rFonts w:ascii="宋体" w:hAnsi="宋体" w:cs="宋体"/>
                <w:color w:val="000000"/>
                <w:kern w:val="0"/>
                <w:szCs w:val="21"/>
              </w:rPr>
            </w:pPr>
          </w:p>
        </w:tc>
        <w:tc>
          <w:tcPr>
            <w:tcW w:w="676" w:type="pct"/>
            <w:tcBorders>
              <w:top w:val="single" w:color="auto" w:sz="4" w:space="0"/>
              <w:left w:val="single" w:color="auto" w:sz="4" w:space="0"/>
              <w:bottom w:val="single" w:color="auto" w:sz="4" w:space="0"/>
              <w:right w:val="single" w:color="auto" w:sz="8" w:space="0"/>
            </w:tcBorders>
            <w:tcMar>
              <w:top w:w="19" w:type="dxa"/>
              <w:left w:w="19" w:type="dxa"/>
              <w:bottom w:w="0" w:type="dxa"/>
              <w:right w:w="19" w:type="dxa"/>
            </w:tcMar>
            <w:vAlign w:val="center"/>
          </w:tcPr>
          <w:p w14:paraId="7C50628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邮件支持</w:t>
            </w:r>
          </w:p>
        </w:tc>
        <w:tc>
          <w:tcPr>
            <w:tcW w:w="2371" w:type="pct"/>
            <w:tcBorders>
              <w:top w:val="single" w:color="auto" w:sz="4" w:space="0"/>
              <w:left w:val="nil"/>
              <w:bottom w:val="single" w:color="auto" w:sz="4" w:space="0"/>
              <w:right w:val="single" w:color="auto" w:sz="8" w:space="0"/>
            </w:tcBorders>
            <w:tcMar>
              <w:top w:w="19" w:type="dxa"/>
              <w:left w:w="19" w:type="dxa"/>
              <w:bottom w:w="0" w:type="dxa"/>
              <w:right w:w="19" w:type="dxa"/>
            </w:tcMar>
          </w:tcPr>
          <w:p w14:paraId="64EAC42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对于甲方通过邮件询问的问题，必须在48小时内回复，如不回复每次扣1分，不及时回复每次扣0.5分。</w:t>
            </w:r>
          </w:p>
        </w:tc>
        <w:tc>
          <w:tcPr>
            <w:tcW w:w="333"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36BD29EB">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507"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64316144">
            <w:pPr>
              <w:tabs>
                <w:tab w:val="left" w:pos="6009"/>
              </w:tabs>
              <w:spacing w:line="360" w:lineRule="auto"/>
              <w:rPr>
                <w:rFonts w:ascii="宋体" w:hAnsi="宋体" w:cs="宋体"/>
                <w:color w:val="000000"/>
                <w:kern w:val="0"/>
                <w:szCs w:val="21"/>
              </w:rPr>
            </w:pPr>
          </w:p>
        </w:tc>
      </w:tr>
      <w:tr w14:paraId="55EEAB0C">
        <w:tblPrEx>
          <w:tblCellMar>
            <w:top w:w="0" w:type="dxa"/>
            <w:left w:w="0" w:type="dxa"/>
            <w:bottom w:w="0" w:type="dxa"/>
            <w:right w:w="0" w:type="dxa"/>
          </w:tblCellMar>
        </w:tblPrEx>
        <w:trPr>
          <w:trHeight w:val="595" w:hRule="atLeast"/>
          <w:jc w:val="center"/>
        </w:trPr>
        <w:tc>
          <w:tcPr>
            <w:tcW w:w="349" w:type="pct"/>
            <w:vMerge w:val="continue"/>
            <w:tcBorders>
              <w:left w:val="single" w:color="auto" w:sz="8" w:space="0"/>
              <w:right w:val="single" w:color="auto" w:sz="8" w:space="0"/>
            </w:tcBorders>
            <w:tcMar>
              <w:top w:w="19" w:type="dxa"/>
              <w:left w:w="19" w:type="dxa"/>
              <w:bottom w:w="0" w:type="dxa"/>
              <w:right w:w="19" w:type="dxa"/>
            </w:tcMar>
            <w:vAlign w:val="center"/>
          </w:tcPr>
          <w:p w14:paraId="2F8F0975">
            <w:pPr>
              <w:tabs>
                <w:tab w:val="left" w:pos="6009"/>
              </w:tabs>
              <w:spacing w:line="360" w:lineRule="auto"/>
              <w:rPr>
                <w:rFonts w:ascii="宋体" w:hAnsi="宋体" w:cs="宋体"/>
                <w:color w:val="000000"/>
                <w:kern w:val="0"/>
                <w:szCs w:val="21"/>
              </w:rPr>
            </w:pPr>
          </w:p>
        </w:tc>
        <w:tc>
          <w:tcPr>
            <w:tcW w:w="761" w:type="pct"/>
            <w:gridSpan w:val="2"/>
            <w:vMerge w:val="continue"/>
            <w:tcBorders>
              <w:left w:val="nil"/>
              <w:right w:val="single" w:color="auto" w:sz="4" w:space="0"/>
            </w:tcBorders>
            <w:tcMar>
              <w:top w:w="19" w:type="dxa"/>
              <w:left w:w="19" w:type="dxa"/>
              <w:bottom w:w="0" w:type="dxa"/>
              <w:right w:w="19" w:type="dxa"/>
            </w:tcMar>
            <w:vAlign w:val="center"/>
          </w:tcPr>
          <w:p w14:paraId="29A61F39">
            <w:pPr>
              <w:tabs>
                <w:tab w:val="left" w:pos="6009"/>
              </w:tabs>
              <w:spacing w:line="360" w:lineRule="auto"/>
              <w:rPr>
                <w:rFonts w:ascii="宋体" w:hAnsi="宋体" w:cs="宋体"/>
                <w:color w:val="000000"/>
                <w:kern w:val="0"/>
                <w:szCs w:val="21"/>
              </w:rPr>
            </w:pPr>
          </w:p>
        </w:tc>
        <w:tc>
          <w:tcPr>
            <w:tcW w:w="676" w:type="pct"/>
            <w:tcBorders>
              <w:top w:val="single" w:color="auto" w:sz="4" w:space="0"/>
              <w:left w:val="single" w:color="auto" w:sz="4" w:space="0"/>
              <w:bottom w:val="single" w:color="auto" w:sz="4" w:space="0"/>
              <w:right w:val="single" w:color="auto" w:sz="8" w:space="0"/>
            </w:tcBorders>
            <w:tcMar>
              <w:top w:w="19" w:type="dxa"/>
              <w:left w:w="19" w:type="dxa"/>
              <w:bottom w:w="0" w:type="dxa"/>
              <w:right w:w="19" w:type="dxa"/>
            </w:tcMar>
            <w:vAlign w:val="center"/>
          </w:tcPr>
          <w:p w14:paraId="1C50F7A6">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系统信息解答</w:t>
            </w:r>
          </w:p>
        </w:tc>
        <w:tc>
          <w:tcPr>
            <w:tcW w:w="2371" w:type="pct"/>
            <w:tcBorders>
              <w:top w:val="single" w:color="auto" w:sz="4" w:space="0"/>
              <w:left w:val="nil"/>
              <w:bottom w:val="single" w:color="auto" w:sz="4" w:space="0"/>
              <w:right w:val="single" w:color="auto" w:sz="8" w:space="0"/>
            </w:tcBorders>
            <w:tcMar>
              <w:top w:w="19" w:type="dxa"/>
              <w:left w:w="19" w:type="dxa"/>
              <w:bottom w:w="0" w:type="dxa"/>
              <w:right w:w="19" w:type="dxa"/>
            </w:tcMar>
          </w:tcPr>
          <w:p w14:paraId="19F34833">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系统提示的信息进行专业性解答，如不能解答每次扣1分，解答不完整每次扣0.5分。</w:t>
            </w:r>
          </w:p>
        </w:tc>
        <w:tc>
          <w:tcPr>
            <w:tcW w:w="333"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7C724C35">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507" w:type="pct"/>
            <w:tcBorders>
              <w:top w:val="single" w:color="auto" w:sz="4" w:space="0"/>
              <w:left w:val="nil"/>
              <w:bottom w:val="single" w:color="auto" w:sz="4" w:space="0"/>
              <w:right w:val="single" w:color="auto" w:sz="8" w:space="0"/>
            </w:tcBorders>
            <w:tcMar>
              <w:top w:w="19" w:type="dxa"/>
              <w:left w:w="19" w:type="dxa"/>
              <w:bottom w:w="0" w:type="dxa"/>
              <w:right w:w="19" w:type="dxa"/>
            </w:tcMar>
            <w:vAlign w:val="center"/>
          </w:tcPr>
          <w:p w14:paraId="5250B852">
            <w:pPr>
              <w:tabs>
                <w:tab w:val="left" w:pos="6009"/>
              </w:tabs>
              <w:spacing w:line="360" w:lineRule="auto"/>
              <w:rPr>
                <w:rFonts w:ascii="宋体" w:hAnsi="宋体" w:cs="宋体"/>
                <w:color w:val="000000"/>
                <w:kern w:val="0"/>
                <w:szCs w:val="21"/>
              </w:rPr>
            </w:pPr>
          </w:p>
        </w:tc>
      </w:tr>
      <w:tr w14:paraId="56DAEA10">
        <w:tblPrEx>
          <w:tblCellMar>
            <w:top w:w="0" w:type="dxa"/>
            <w:left w:w="0" w:type="dxa"/>
            <w:bottom w:w="0" w:type="dxa"/>
            <w:right w:w="0" w:type="dxa"/>
          </w:tblCellMar>
        </w:tblPrEx>
        <w:trPr>
          <w:trHeight w:val="1400" w:hRule="atLeast"/>
          <w:jc w:val="center"/>
        </w:trPr>
        <w:tc>
          <w:tcPr>
            <w:tcW w:w="349" w:type="pct"/>
            <w:vMerge w:val="continue"/>
            <w:tcBorders>
              <w:left w:val="single" w:color="auto" w:sz="8" w:space="0"/>
              <w:bottom w:val="single" w:color="auto" w:sz="8" w:space="0"/>
              <w:right w:val="single" w:color="auto" w:sz="8" w:space="0"/>
            </w:tcBorders>
            <w:tcMar>
              <w:top w:w="19" w:type="dxa"/>
              <w:left w:w="19" w:type="dxa"/>
              <w:bottom w:w="0" w:type="dxa"/>
              <w:right w:w="19" w:type="dxa"/>
            </w:tcMar>
            <w:vAlign w:val="center"/>
          </w:tcPr>
          <w:p w14:paraId="7A736D5D">
            <w:pPr>
              <w:tabs>
                <w:tab w:val="left" w:pos="6009"/>
              </w:tabs>
              <w:spacing w:line="360" w:lineRule="auto"/>
              <w:rPr>
                <w:rFonts w:ascii="宋体" w:hAnsi="宋体" w:cs="宋体"/>
                <w:color w:val="000000"/>
                <w:kern w:val="0"/>
                <w:szCs w:val="21"/>
              </w:rPr>
            </w:pPr>
          </w:p>
        </w:tc>
        <w:tc>
          <w:tcPr>
            <w:tcW w:w="761" w:type="pct"/>
            <w:gridSpan w:val="2"/>
            <w:vMerge w:val="continue"/>
            <w:tcBorders>
              <w:left w:val="nil"/>
              <w:bottom w:val="single" w:color="auto" w:sz="8" w:space="0"/>
              <w:right w:val="single" w:color="auto" w:sz="4" w:space="0"/>
            </w:tcBorders>
            <w:tcMar>
              <w:top w:w="19" w:type="dxa"/>
              <w:left w:w="19" w:type="dxa"/>
              <w:bottom w:w="0" w:type="dxa"/>
              <w:right w:w="19" w:type="dxa"/>
            </w:tcMar>
            <w:vAlign w:val="center"/>
          </w:tcPr>
          <w:p w14:paraId="5B1C7972">
            <w:pPr>
              <w:tabs>
                <w:tab w:val="left" w:pos="6009"/>
              </w:tabs>
              <w:spacing w:line="360" w:lineRule="auto"/>
              <w:rPr>
                <w:rFonts w:ascii="宋体" w:hAnsi="宋体" w:cs="宋体"/>
                <w:color w:val="000000"/>
                <w:kern w:val="0"/>
                <w:szCs w:val="21"/>
              </w:rPr>
            </w:pPr>
          </w:p>
        </w:tc>
        <w:tc>
          <w:tcPr>
            <w:tcW w:w="676" w:type="pct"/>
            <w:tcBorders>
              <w:top w:val="single" w:color="auto" w:sz="4" w:space="0"/>
              <w:left w:val="single" w:color="auto" w:sz="4" w:space="0"/>
              <w:bottom w:val="single" w:color="auto" w:sz="8" w:space="0"/>
              <w:right w:val="single" w:color="auto" w:sz="8" w:space="0"/>
            </w:tcBorders>
            <w:tcMar>
              <w:top w:w="19" w:type="dxa"/>
              <w:left w:w="19" w:type="dxa"/>
              <w:bottom w:w="0" w:type="dxa"/>
              <w:right w:w="19" w:type="dxa"/>
            </w:tcMar>
            <w:vAlign w:val="center"/>
          </w:tcPr>
          <w:p w14:paraId="22C6DDB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专家意见</w:t>
            </w:r>
          </w:p>
        </w:tc>
        <w:tc>
          <w:tcPr>
            <w:tcW w:w="2371" w:type="pct"/>
            <w:tcBorders>
              <w:top w:val="single" w:color="auto" w:sz="4" w:space="0"/>
              <w:left w:val="nil"/>
              <w:bottom w:val="single" w:color="auto" w:sz="8" w:space="0"/>
              <w:right w:val="single" w:color="auto" w:sz="8" w:space="0"/>
            </w:tcBorders>
            <w:tcMar>
              <w:top w:w="19" w:type="dxa"/>
              <w:left w:w="19" w:type="dxa"/>
              <w:bottom w:w="0" w:type="dxa"/>
              <w:right w:w="19" w:type="dxa"/>
            </w:tcMar>
          </w:tcPr>
          <w:p w14:paraId="5CEF187A">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针对在维护保养过程中发现的问题或可能存在的隐患提出专业意见并以书面的形式报甲方，如不能提出意见扣2分。</w:t>
            </w:r>
          </w:p>
        </w:tc>
        <w:tc>
          <w:tcPr>
            <w:tcW w:w="333" w:type="pct"/>
            <w:tcBorders>
              <w:top w:val="single" w:color="auto" w:sz="4" w:space="0"/>
              <w:left w:val="nil"/>
              <w:bottom w:val="single" w:color="auto" w:sz="8" w:space="0"/>
              <w:right w:val="single" w:color="auto" w:sz="8" w:space="0"/>
            </w:tcBorders>
            <w:tcMar>
              <w:top w:w="19" w:type="dxa"/>
              <w:left w:w="19" w:type="dxa"/>
              <w:bottom w:w="0" w:type="dxa"/>
              <w:right w:w="19" w:type="dxa"/>
            </w:tcMar>
            <w:vAlign w:val="center"/>
          </w:tcPr>
          <w:p w14:paraId="0009FF75">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507" w:type="pct"/>
            <w:tcBorders>
              <w:top w:val="single" w:color="auto" w:sz="4" w:space="0"/>
              <w:left w:val="nil"/>
              <w:bottom w:val="single" w:color="auto" w:sz="8" w:space="0"/>
              <w:right w:val="single" w:color="auto" w:sz="8" w:space="0"/>
            </w:tcBorders>
            <w:tcMar>
              <w:top w:w="19" w:type="dxa"/>
              <w:left w:w="19" w:type="dxa"/>
              <w:bottom w:w="0" w:type="dxa"/>
              <w:right w:w="19" w:type="dxa"/>
            </w:tcMar>
            <w:vAlign w:val="center"/>
          </w:tcPr>
          <w:p w14:paraId="5FE67507">
            <w:pPr>
              <w:tabs>
                <w:tab w:val="left" w:pos="6009"/>
              </w:tabs>
              <w:spacing w:line="360" w:lineRule="auto"/>
              <w:rPr>
                <w:rFonts w:ascii="宋体" w:hAnsi="宋体" w:cs="宋体"/>
                <w:color w:val="000000"/>
                <w:kern w:val="0"/>
                <w:szCs w:val="21"/>
              </w:rPr>
            </w:pPr>
          </w:p>
        </w:tc>
      </w:tr>
      <w:tr w14:paraId="1DD1C045">
        <w:tblPrEx>
          <w:tblCellMar>
            <w:top w:w="0" w:type="dxa"/>
            <w:left w:w="0" w:type="dxa"/>
            <w:bottom w:w="0" w:type="dxa"/>
            <w:right w:w="0" w:type="dxa"/>
          </w:tblCellMar>
        </w:tblPrEx>
        <w:trPr>
          <w:cantSplit/>
          <w:trHeight w:val="528" w:hRule="atLeast"/>
          <w:jc w:val="center"/>
        </w:trPr>
        <w:tc>
          <w:tcPr>
            <w:tcW w:w="4158" w:type="pct"/>
            <w:gridSpan w:val="5"/>
            <w:tcBorders>
              <w:top w:val="nil"/>
              <w:left w:val="single" w:color="auto" w:sz="8" w:space="0"/>
              <w:bottom w:val="single" w:color="000000" w:sz="8" w:space="0"/>
              <w:right w:val="single" w:color="auto" w:sz="8" w:space="0"/>
            </w:tcBorders>
            <w:vAlign w:val="center"/>
          </w:tcPr>
          <w:p w14:paraId="1929EBFD">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合计</w:t>
            </w:r>
          </w:p>
        </w:tc>
        <w:tc>
          <w:tcPr>
            <w:tcW w:w="333" w:type="pct"/>
            <w:tcBorders>
              <w:top w:val="nil"/>
              <w:left w:val="nil"/>
              <w:bottom w:val="single" w:color="auto" w:sz="8" w:space="0"/>
              <w:right w:val="single" w:color="auto" w:sz="8" w:space="0"/>
            </w:tcBorders>
            <w:tcMar>
              <w:top w:w="19" w:type="dxa"/>
              <w:left w:w="19" w:type="dxa"/>
              <w:bottom w:w="0" w:type="dxa"/>
              <w:right w:w="19" w:type="dxa"/>
            </w:tcMar>
            <w:vAlign w:val="center"/>
          </w:tcPr>
          <w:p w14:paraId="3B95F810">
            <w:pPr>
              <w:tabs>
                <w:tab w:val="left" w:pos="6009"/>
              </w:tabs>
              <w:spacing w:line="360" w:lineRule="auto"/>
              <w:jc w:val="center"/>
              <w:rPr>
                <w:rFonts w:ascii="宋体" w:hAnsi="宋体" w:cs="宋体"/>
                <w:color w:val="000000"/>
                <w:kern w:val="0"/>
                <w:szCs w:val="21"/>
              </w:rPr>
            </w:pPr>
            <w:r>
              <w:rPr>
                <w:rFonts w:hint="eastAsia" w:ascii="宋体" w:hAnsi="宋体" w:cs="宋体"/>
                <w:color w:val="000000"/>
                <w:kern w:val="0"/>
                <w:szCs w:val="21"/>
              </w:rPr>
              <w:t>100</w:t>
            </w:r>
          </w:p>
        </w:tc>
        <w:tc>
          <w:tcPr>
            <w:tcW w:w="507" w:type="pct"/>
            <w:tcBorders>
              <w:top w:val="nil"/>
              <w:left w:val="nil"/>
              <w:bottom w:val="single" w:color="auto" w:sz="8" w:space="0"/>
              <w:right w:val="single" w:color="auto" w:sz="8" w:space="0"/>
            </w:tcBorders>
            <w:tcMar>
              <w:top w:w="19" w:type="dxa"/>
              <w:left w:w="19" w:type="dxa"/>
              <w:bottom w:w="0" w:type="dxa"/>
              <w:right w:w="19" w:type="dxa"/>
            </w:tcMar>
            <w:vAlign w:val="center"/>
          </w:tcPr>
          <w:p w14:paraId="0FEEC981">
            <w:pPr>
              <w:tabs>
                <w:tab w:val="left" w:pos="6009"/>
              </w:tabs>
              <w:spacing w:line="360" w:lineRule="auto"/>
              <w:rPr>
                <w:rFonts w:ascii="宋体" w:hAnsi="宋体" w:cs="宋体"/>
                <w:color w:val="000000"/>
                <w:kern w:val="0"/>
                <w:szCs w:val="21"/>
              </w:rPr>
            </w:pPr>
          </w:p>
        </w:tc>
      </w:tr>
    </w:tbl>
    <w:p w14:paraId="78855327">
      <w:pPr>
        <w:tabs>
          <w:tab w:val="left" w:pos="6009"/>
        </w:tabs>
        <w:spacing w:line="360" w:lineRule="auto"/>
        <w:rPr>
          <w:rFonts w:ascii="宋体" w:hAnsi="宋体" w:cs="宋体"/>
          <w:color w:val="000000"/>
          <w:kern w:val="0"/>
          <w:szCs w:val="21"/>
        </w:rPr>
      </w:pPr>
    </w:p>
    <w:p w14:paraId="73A9BA12">
      <w:pPr>
        <w:tabs>
          <w:tab w:val="left" w:pos="6009"/>
        </w:tabs>
        <w:spacing w:line="360" w:lineRule="auto"/>
        <w:rPr>
          <w:rFonts w:ascii="宋体" w:hAnsi="宋体" w:cs="宋体"/>
          <w:color w:val="000000"/>
          <w:kern w:val="0"/>
          <w:szCs w:val="21"/>
        </w:rPr>
      </w:pPr>
    </w:p>
    <w:p w14:paraId="6C18300D">
      <w:pPr>
        <w:tabs>
          <w:tab w:val="left" w:pos="6009"/>
        </w:tabs>
        <w:spacing w:line="360" w:lineRule="auto"/>
        <w:rPr>
          <w:rFonts w:ascii="宋体" w:hAnsi="宋体" w:cs="宋体"/>
          <w:color w:val="000000"/>
          <w:kern w:val="0"/>
          <w:szCs w:val="21"/>
        </w:rPr>
      </w:pPr>
    </w:p>
    <w:p w14:paraId="06B34FC8">
      <w:pPr>
        <w:tabs>
          <w:tab w:val="left" w:pos="6009"/>
        </w:tabs>
        <w:spacing w:line="360" w:lineRule="auto"/>
        <w:rPr>
          <w:rFonts w:ascii="宋体" w:hAnsi="宋体" w:cs="宋体"/>
          <w:color w:val="000000"/>
          <w:kern w:val="0"/>
          <w:szCs w:val="21"/>
        </w:rPr>
      </w:pPr>
    </w:p>
    <w:p w14:paraId="44963AD6">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考核单位: （签字盖章）                           被考核单位：（签字盖章）</w:t>
      </w:r>
    </w:p>
    <w:p w14:paraId="6BE68519">
      <w:pPr>
        <w:tabs>
          <w:tab w:val="left" w:pos="6009"/>
        </w:tabs>
        <w:spacing w:line="360" w:lineRule="auto"/>
        <w:rPr>
          <w:rFonts w:ascii="宋体" w:hAnsi="宋体" w:cs="宋体"/>
          <w:color w:val="000000"/>
          <w:kern w:val="0"/>
          <w:szCs w:val="21"/>
        </w:rPr>
      </w:pPr>
    </w:p>
    <w:p w14:paraId="5E23F1A8">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考核意见 ：</w:t>
      </w:r>
    </w:p>
    <w:p w14:paraId="401E5223">
      <w:pPr>
        <w:tabs>
          <w:tab w:val="left" w:pos="6009"/>
        </w:tabs>
        <w:spacing w:line="360" w:lineRule="auto"/>
        <w:rPr>
          <w:rFonts w:ascii="宋体" w:hAnsi="宋体" w:cs="宋体"/>
          <w:color w:val="000000"/>
          <w:kern w:val="0"/>
          <w:szCs w:val="21"/>
        </w:rPr>
      </w:pPr>
    </w:p>
    <w:p w14:paraId="6E7B9A29">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考核人员:                                时   间：</w:t>
      </w:r>
    </w:p>
    <w:p w14:paraId="0C92BF52">
      <w:pPr>
        <w:tabs>
          <w:tab w:val="left" w:pos="6009"/>
        </w:tabs>
        <w:spacing w:line="360" w:lineRule="auto"/>
        <w:rPr>
          <w:rFonts w:ascii="宋体" w:hAnsi="宋体" w:cs="宋体"/>
          <w:color w:val="000000"/>
          <w:kern w:val="0"/>
          <w:szCs w:val="21"/>
        </w:rPr>
      </w:pPr>
    </w:p>
    <w:p w14:paraId="5603270A">
      <w:pPr>
        <w:tabs>
          <w:tab w:val="left" w:pos="6009"/>
        </w:tabs>
        <w:spacing w:line="360" w:lineRule="auto"/>
        <w:rPr>
          <w:rFonts w:ascii="宋体" w:hAnsi="宋体" w:cs="宋体"/>
          <w:color w:val="000000"/>
          <w:kern w:val="0"/>
          <w:szCs w:val="21"/>
        </w:rPr>
      </w:pPr>
    </w:p>
    <w:p w14:paraId="5A240B6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维保服务质量考核方式：</w:t>
      </w:r>
    </w:p>
    <w:p w14:paraId="2F9AE5CF">
      <w:pPr>
        <w:tabs>
          <w:tab w:val="left" w:pos="6009"/>
        </w:tabs>
        <w:spacing w:line="360" w:lineRule="auto"/>
        <w:rPr>
          <w:rFonts w:ascii="宋体" w:hAnsi="宋体" w:cs="宋体"/>
          <w:color w:val="000000"/>
          <w:kern w:val="0"/>
          <w:szCs w:val="21"/>
        </w:rPr>
      </w:pPr>
      <w:r>
        <w:rPr>
          <w:rFonts w:hint="eastAsia" w:ascii="宋体" w:hAnsi="宋体" w:cs="宋体"/>
          <w:color w:val="000000"/>
          <w:kern w:val="0"/>
          <w:szCs w:val="21"/>
        </w:rPr>
        <w:t>维保服务每半年进行一次维保考核，具体计算方法如下：总评分100-90分（包括90分），不扣除本次（半年度）维护保养费用；90分以下至80分(包括80分)，每扣1分则扣除本次（半年度）维护保养费用的3%，本项按扣分累加制，如扣2分，则扣本次（半年度）维护保养费用6%,以此类推；考核总得分在80分以下直接扣除本次（半年度）维护保养费用的40％，即甲方支付的费用为合同总额*25%*（1-扣除比例）。如乙方连续两次不能提供巡检或出现严重故障处理分值被完全扣完时，甲方有权利取消乙方的维护资格。</w:t>
      </w:r>
    </w:p>
    <w:p w14:paraId="62D523ED">
      <w:pPr>
        <w:pStyle w:val="60"/>
        <w:ind w:firstLine="464" w:firstLineChars="221"/>
        <w:rPr>
          <w:rFonts w:ascii="宋体" w:hAnsi="宋体" w:cs="宋体"/>
          <w:kern w:val="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5C2D6"/>
    <w:multiLevelType w:val="singleLevel"/>
    <w:tmpl w:val="8B15C2D6"/>
    <w:lvl w:ilvl="0" w:tentative="0">
      <w:start w:val="1"/>
      <w:numFmt w:val="decimal"/>
      <w:suff w:val="space"/>
      <w:lvlText w:val="%1."/>
      <w:lvlJc w:val="left"/>
      <w:pPr>
        <w:ind w:left="425" w:hanging="425"/>
      </w:pPr>
      <w:rPr>
        <w:rFonts w:hint="default"/>
      </w:rPr>
    </w:lvl>
  </w:abstractNum>
  <w:abstractNum w:abstractNumId="1">
    <w:nsid w:val="987185E6"/>
    <w:multiLevelType w:val="singleLevel"/>
    <w:tmpl w:val="987185E6"/>
    <w:lvl w:ilvl="0" w:tentative="0">
      <w:start w:val="1"/>
      <w:numFmt w:val="decimal"/>
      <w:lvlText w:val="(%1)"/>
      <w:lvlJc w:val="left"/>
      <w:pPr>
        <w:ind w:left="425" w:hanging="425"/>
      </w:pPr>
      <w:rPr>
        <w:rFonts w:hint="default"/>
      </w:rPr>
    </w:lvl>
  </w:abstractNum>
  <w:abstractNum w:abstractNumId="2">
    <w:nsid w:val="99650B55"/>
    <w:multiLevelType w:val="multilevel"/>
    <w:tmpl w:val="99650B55"/>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A39F5464"/>
    <w:multiLevelType w:val="singleLevel"/>
    <w:tmpl w:val="A39F5464"/>
    <w:lvl w:ilvl="0" w:tentative="0">
      <w:start w:val="1"/>
      <w:numFmt w:val="decimal"/>
      <w:suff w:val="space"/>
      <w:lvlText w:val="%1."/>
      <w:lvlJc w:val="left"/>
      <w:pPr>
        <w:ind w:left="425" w:hanging="425"/>
      </w:pPr>
      <w:rPr>
        <w:rFonts w:hint="default"/>
      </w:rPr>
    </w:lvl>
  </w:abstractNum>
  <w:abstractNum w:abstractNumId="4">
    <w:nsid w:val="AFC5E43E"/>
    <w:multiLevelType w:val="singleLevel"/>
    <w:tmpl w:val="AFC5E43E"/>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5">
    <w:nsid w:val="D6FF58D0"/>
    <w:multiLevelType w:val="singleLevel"/>
    <w:tmpl w:val="D6FF58D0"/>
    <w:lvl w:ilvl="0" w:tentative="0">
      <w:start w:val="1"/>
      <w:numFmt w:val="decimal"/>
      <w:suff w:val="space"/>
      <w:lvlText w:val="(%1)"/>
      <w:lvlJc w:val="left"/>
      <w:pPr>
        <w:ind w:left="635" w:hanging="425"/>
      </w:pPr>
      <w:rPr>
        <w:rFonts w:hint="default"/>
      </w:rPr>
    </w:lvl>
  </w:abstractNum>
  <w:abstractNum w:abstractNumId="6">
    <w:nsid w:val="D8E43618"/>
    <w:multiLevelType w:val="singleLevel"/>
    <w:tmpl w:val="D8E43618"/>
    <w:lvl w:ilvl="0" w:tentative="0">
      <w:start w:val="1"/>
      <w:numFmt w:val="chineseCounting"/>
      <w:suff w:val="nothing"/>
      <w:lvlText w:val="（%1）"/>
      <w:lvlJc w:val="left"/>
      <w:pPr>
        <w:ind w:left="0" w:firstLine="420"/>
      </w:pPr>
      <w:rPr>
        <w:rFonts w:hint="eastAsia"/>
      </w:rPr>
    </w:lvl>
  </w:abstractNum>
  <w:abstractNum w:abstractNumId="7">
    <w:nsid w:val="DC1B6A2E"/>
    <w:multiLevelType w:val="singleLevel"/>
    <w:tmpl w:val="DC1B6A2E"/>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8">
    <w:nsid w:val="DC9522A1"/>
    <w:multiLevelType w:val="singleLevel"/>
    <w:tmpl w:val="DC9522A1"/>
    <w:lvl w:ilvl="0" w:tentative="0">
      <w:start w:val="1"/>
      <w:numFmt w:val="decimal"/>
      <w:suff w:val="space"/>
      <w:lvlText w:val="%1."/>
      <w:lvlJc w:val="left"/>
      <w:pPr>
        <w:ind w:left="425" w:hanging="425"/>
      </w:pPr>
      <w:rPr>
        <w:rFonts w:hint="default"/>
      </w:rPr>
    </w:lvl>
  </w:abstractNum>
  <w:abstractNum w:abstractNumId="9">
    <w:nsid w:val="F356094B"/>
    <w:multiLevelType w:val="singleLevel"/>
    <w:tmpl w:val="F356094B"/>
    <w:lvl w:ilvl="0" w:tentative="0">
      <w:start w:val="1"/>
      <w:numFmt w:val="decimal"/>
      <w:suff w:val="space"/>
      <w:lvlText w:val="%1."/>
      <w:lvlJc w:val="left"/>
      <w:pPr>
        <w:ind w:left="425" w:hanging="425"/>
      </w:pPr>
      <w:rPr>
        <w:rFonts w:hint="default"/>
      </w:rPr>
    </w:lvl>
  </w:abstractNum>
  <w:abstractNum w:abstractNumId="10">
    <w:nsid w:val="05C32D49"/>
    <w:multiLevelType w:val="multilevel"/>
    <w:tmpl w:val="05C32D49"/>
    <w:lvl w:ilvl="0" w:tentative="0">
      <w:start w:val="1"/>
      <w:numFmt w:val="chineseCountingThousand"/>
      <w:suff w:val="nothing"/>
      <w:lvlText w:val="%1、"/>
      <w:lvlJc w:val="left"/>
      <w:pPr>
        <w:ind w:left="450" w:hanging="450"/>
      </w:pPr>
      <w:rPr>
        <w:rFonts w:hint="eastAsia" w:ascii="宋体" w:hAnsi="宋体" w:eastAsia="宋体" w:cs="宋体"/>
        <w:b/>
        <w:bCs/>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AE6236B"/>
    <w:multiLevelType w:val="singleLevel"/>
    <w:tmpl w:val="0AE6236B"/>
    <w:lvl w:ilvl="0" w:tentative="0">
      <w:start w:val="1"/>
      <w:numFmt w:val="decimal"/>
      <w:suff w:val="space"/>
      <w:lvlText w:val="%1."/>
      <w:lvlJc w:val="left"/>
      <w:pPr>
        <w:ind w:left="425" w:hanging="425"/>
      </w:pPr>
      <w:rPr>
        <w:rFonts w:hint="default"/>
      </w:rPr>
    </w:lvl>
  </w:abstractNum>
  <w:abstractNum w:abstractNumId="12">
    <w:nsid w:val="1E98554A"/>
    <w:multiLevelType w:val="singleLevel"/>
    <w:tmpl w:val="1E98554A"/>
    <w:lvl w:ilvl="0" w:tentative="0">
      <w:start w:val="1"/>
      <w:numFmt w:val="decimal"/>
      <w:suff w:val="space"/>
      <w:lvlText w:val="(%1)"/>
      <w:lvlJc w:val="left"/>
      <w:pPr>
        <w:ind w:left="425" w:hanging="425"/>
      </w:pPr>
      <w:rPr>
        <w:rFonts w:hint="default"/>
      </w:rPr>
    </w:lvl>
  </w:abstractNum>
  <w:abstractNum w:abstractNumId="13">
    <w:nsid w:val="1FAEDD30"/>
    <w:multiLevelType w:val="singleLevel"/>
    <w:tmpl w:val="1FAEDD30"/>
    <w:lvl w:ilvl="0" w:tentative="0">
      <w:start w:val="1"/>
      <w:numFmt w:val="decimal"/>
      <w:suff w:val="space"/>
      <w:lvlText w:val="%1."/>
      <w:lvlJc w:val="left"/>
      <w:pPr>
        <w:ind w:left="425" w:hanging="425"/>
      </w:pPr>
      <w:rPr>
        <w:rFonts w:hint="default"/>
      </w:rPr>
    </w:lvl>
  </w:abstractNum>
  <w:abstractNum w:abstractNumId="14">
    <w:nsid w:val="4B375756"/>
    <w:multiLevelType w:val="multilevel"/>
    <w:tmpl w:val="4B375756"/>
    <w:lvl w:ilvl="0" w:tentative="0">
      <w:start w:val="1"/>
      <w:numFmt w:val="japaneseCounting"/>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C1940D5"/>
    <w:multiLevelType w:val="singleLevel"/>
    <w:tmpl w:val="4C1940D5"/>
    <w:lvl w:ilvl="0" w:tentative="0">
      <w:start w:val="1"/>
      <w:numFmt w:val="chineseCounting"/>
      <w:suff w:val="nothing"/>
      <w:lvlText w:val="（%1）"/>
      <w:lvlJc w:val="left"/>
      <w:pPr>
        <w:ind w:left="0" w:firstLine="420"/>
      </w:pPr>
      <w:rPr>
        <w:rFonts w:hint="eastAsia"/>
      </w:rPr>
    </w:lvl>
  </w:abstractNum>
  <w:abstractNum w:abstractNumId="16">
    <w:nsid w:val="56A8FE4E"/>
    <w:multiLevelType w:val="singleLevel"/>
    <w:tmpl w:val="56A8FE4E"/>
    <w:lvl w:ilvl="0" w:tentative="0">
      <w:start w:val="1"/>
      <w:numFmt w:val="decimal"/>
      <w:suff w:val="space"/>
      <w:lvlText w:val="%1."/>
      <w:lvlJc w:val="left"/>
      <w:pPr>
        <w:ind w:left="425" w:hanging="425"/>
      </w:pPr>
      <w:rPr>
        <w:rFonts w:hint="default"/>
      </w:rPr>
    </w:lvl>
  </w:abstractNum>
  <w:abstractNum w:abstractNumId="17">
    <w:nsid w:val="588A79B3"/>
    <w:multiLevelType w:val="singleLevel"/>
    <w:tmpl w:val="588A79B3"/>
    <w:lvl w:ilvl="0" w:tentative="0">
      <w:start w:val="1"/>
      <w:numFmt w:val="decimal"/>
      <w:lvlText w:val="(%1)"/>
      <w:lvlJc w:val="left"/>
      <w:pPr>
        <w:ind w:left="425" w:hanging="425"/>
      </w:pPr>
      <w:rPr>
        <w:rFonts w:hint="default"/>
      </w:rPr>
    </w:lvl>
  </w:abstractNum>
  <w:abstractNum w:abstractNumId="18">
    <w:nsid w:val="5AF65CFA"/>
    <w:multiLevelType w:val="singleLevel"/>
    <w:tmpl w:val="5AF65CFA"/>
    <w:lvl w:ilvl="0" w:tentative="0">
      <w:start w:val="1"/>
      <w:numFmt w:val="chineseCounting"/>
      <w:suff w:val="nothing"/>
      <w:lvlText w:val="（%1）"/>
      <w:lvlJc w:val="left"/>
      <w:pPr>
        <w:ind w:left="-420" w:firstLine="420"/>
      </w:pPr>
      <w:rPr>
        <w:rFonts w:hint="eastAsia"/>
      </w:rPr>
    </w:lvl>
  </w:abstractNum>
  <w:abstractNum w:abstractNumId="19">
    <w:nsid w:val="5C4B1222"/>
    <w:multiLevelType w:val="singleLevel"/>
    <w:tmpl w:val="5C4B1222"/>
    <w:lvl w:ilvl="0" w:tentative="0">
      <w:start w:val="1"/>
      <w:numFmt w:val="decimal"/>
      <w:suff w:val="space"/>
      <w:lvlText w:val="%1."/>
      <w:lvlJc w:val="left"/>
      <w:pPr>
        <w:ind w:left="425" w:hanging="425"/>
      </w:pPr>
      <w:rPr>
        <w:rFonts w:hint="default"/>
      </w:rPr>
    </w:lvl>
  </w:abstractNum>
  <w:abstractNum w:abstractNumId="20">
    <w:nsid w:val="620153AE"/>
    <w:multiLevelType w:val="multilevel"/>
    <w:tmpl w:val="620153AE"/>
    <w:lvl w:ilvl="0" w:tentative="0">
      <w:start w:val="1"/>
      <w:numFmt w:val="decimal"/>
      <w:lvlText w:val="(%1)"/>
      <w:lvlJc w:val="left"/>
      <w:pPr>
        <w:tabs>
          <w:tab w:val="left" w:pos="1200"/>
        </w:tabs>
        <w:ind w:left="1200" w:hanging="360"/>
      </w:pPr>
      <w:rPr>
        <w:rFonts w:hint="default"/>
        <w:b w:val="0"/>
        <w:bCs w:val="0"/>
        <w:sz w:val="21"/>
        <w:szCs w:val="21"/>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1">
    <w:nsid w:val="7D0556C5"/>
    <w:multiLevelType w:val="singleLevel"/>
    <w:tmpl w:val="7D0556C5"/>
    <w:lvl w:ilvl="0" w:tentative="0">
      <w:start w:val="1"/>
      <w:numFmt w:val="decimal"/>
      <w:suff w:val="space"/>
      <w:lvlText w:val="%1."/>
      <w:lvlJc w:val="left"/>
      <w:pPr>
        <w:ind w:left="425" w:hanging="425"/>
      </w:pPr>
      <w:rPr>
        <w:rFonts w:hint="default"/>
      </w:rPr>
    </w:lvl>
  </w:abstractNum>
  <w:abstractNum w:abstractNumId="22">
    <w:nsid w:val="7DCAA3E8"/>
    <w:multiLevelType w:val="singleLevel"/>
    <w:tmpl w:val="7DCAA3E8"/>
    <w:lvl w:ilvl="0" w:tentative="0">
      <w:start w:val="1"/>
      <w:numFmt w:val="decimal"/>
      <w:lvlText w:val="(%1)"/>
      <w:lvlJc w:val="left"/>
      <w:pPr>
        <w:ind w:left="425" w:hanging="425"/>
      </w:pPr>
      <w:rPr>
        <w:rFonts w:hint="default"/>
      </w:rPr>
    </w:lvl>
  </w:abstractNum>
  <w:num w:numId="1">
    <w:abstractNumId w:val="14"/>
  </w:num>
  <w:num w:numId="2">
    <w:abstractNumId w:val="18"/>
  </w:num>
  <w:num w:numId="3">
    <w:abstractNumId w:val="3"/>
  </w:num>
  <w:num w:numId="4">
    <w:abstractNumId w:val="9"/>
  </w:num>
  <w:num w:numId="5">
    <w:abstractNumId w:val="4"/>
  </w:num>
  <w:num w:numId="6">
    <w:abstractNumId w:val="16"/>
  </w:num>
  <w:num w:numId="7">
    <w:abstractNumId w:val="0"/>
  </w:num>
  <w:num w:numId="8">
    <w:abstractNumId w:val="13"/>
  </w:num>
  <w:num w:numId="9">
    <w:abstractNumId w:val="5"/>
  </w:num>
  <w:num w:numId="10">
    <w:abstractNumId w:val="11"/>
  </w:num>
  <w:num w:numId="11">
    <w:abstractNumId w:val="8"/>
  </w:num>
  <w:num w:numId="12">
    <w:abstractNumId w:val="10"/>
  </w:num>
  <w:num w:numId="13">
    <w:abstractNumId w:val="15"/>
  </w:num>
  <w:num w:numId="14">
    <w:abstractNumId w:val="6"/>
  </w:num>
  <w:num w:numId="15">
    <w:abstractNumId w:val="7"/>
  </w:num>
  <w:num w:numId="16">
    <w:abstractNumId w:val="2"/>
  </w:num>
  <w:num w:numId="17">
    <w:abstractNumId w:val="19"/>
  </w:num>
  <w:num w:numId="18">
    <w:abstractNumId w:val="12"/>
  </w:num>
  <w:num w:numId="19">
    <w:abstractNumId w:val="17"/>
  </w:num>
  <w:num w:numId="20">
    <w:abstractNumId w:val="22"/>
  </w:num>
  <w:num w:numId="21">
    <w:abstractNumId w:val="21"/>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NGI4Y2FhZTFlZjM5YWRiN2JlZjViMjViYzU5NzYifQ=="/>
  </w:docVars>
  <w:rsids>
    <w:rsidRoot w:val="00982A85"/>
    <w:rsid w:val="000004AD"/>
    <w:rsid w:val="0000166B"/>
    <w:rsid w:val="00002FF5"/>
    <w:rsid w:val="00003929"/>
    <w:rsid w:val="0000601A"/>
    <w:rsid w:val="0000694E"/>
    <w:rsid w:val="000072B1"/>
    <w:rsid w:val="000076D5"/>
    <w:rsid w:val="00007FAE"/>
    <w:rsid w:val="00012357"/>
    <w:rsid w:val="00013778"/>
    <w:rsid w:val="00013B79"/>
    <w:rsid w:val="00013CBD"/>
    <w:rsid w:val="00015F62"/>
    <w:rsid w:val="00017E85"/>
    <w:rsid w:val="00020817"/>
    <w:rsid w:val="00022BA8"/>
    <w:rsid w:val="00022E1E"/>
    <w:rsid w:val="000243AE"/>
    <w:rsid w:val="00024FEE"/>
    <w:rsid w:val="00025123"/>
    <w:rsid w:val="00026161"/>
    <w:rsid w:val="0002789D"/>
    <w:rsid w:val="00027B41"/>
    <w:rsid w:val="00027D53"/>
    <w:rsid w:val="00030AA4"/>
    <w:rsid w:val="0003162D"/>
    <w:rsid w:val="0003243C"/>
    <w:rsid w:val="0003262C"/>
    <w:rsid w:val="00033C58"/>
    <w:rsid w:val="00033DF8"/>
    <w:rsid w:val="000348F7"/>
    <w:rsid w:val="000353FF"/>
    <w:rsid w:val="000356AB"/>
    <w:rsid w:val="00040958"/>
    <w:rsid w:val="0004362F"/>
    <w:rsid w:val="00043EDC"/>
    <w:rsid w:val="00047817"/>
    <w:rsid w:val="000525A8"/>
    <w:rsid w:val="00054850"/>
    <w:rsid w:val="00054D90"/>
    <w:rsid w:val="00054E0C"/>
    <w:rsid w:val="0005685F"/>
    <w:rsid w:val="000578DB"/>
    <w:rsid w:val="00057A4C"/>
    <w:rsid w:val="0006011A"/>
    <w:rsid w:val="00060CC7"/>
    <w:rsid w:val="00060F78"/>
    <w:rsid w:val="00062631"/>
    <w:rsid w:val="00062CB7"/>
    <w:rsid w:val="00065C20"/>
    <w:rsid w:val="00065F20"/>
    <w:rsid w:val="00066C1E"/>
    <w:rsid w:val="00070575"/>
    <w:rsid w:val="00071751"/>
    <w:rsid w:val="000718D3"/>
    <w:rsid w:val="00074C93"/>
    <w:rsid w:val="00075128"/>
    <w:rsid w:val="000762D2"/>
    <w:rsid w:val="000768DE"/>
    <w:rsid w:val="000771D7"/>
    <w:rsid w:val="000775BA"/>
    <w:rsid w:val="0007767B"/>
    <w:rsid w:val="00082175"/>
    <w:rsid w:val="00082903"/>
    <w:rsid w:val="00083903"/>
    <w:rsid w:val="00084EA8"/>
    <w:rsid w:val="00086EF0"/>
    <w:rsid w:val="00087E87"/>
    <w:rsid w:val="000902E3"/>
    <w:rsid w:val="00092B0A"/>
    <w:rsid w:val="00092E24"/>
    <w:rsid w:val="00094059"/>
    <w:rsid w:val="0009405C"/>
    <w:rsid w:val="00094256"/>
    <w:rsid w:val="00094BC5"/>
    <w:rsid w:val="000950AD"/>
    <w:rsid w:val="000A11F6"/>
    <w:rsid w:val="000A1F19"/>
    <w:rsid w:val="000A237A"/>
    <w:rsid w:val="000A4C0F"/>
    <w:rsid w:val="000A7338"/>
    <w:rsid w:val="000B0865"/>
    <w:rsid w:val="000B1E95"/>
    <w:rsid w:val="000B3769"/>
    <w:rsid w:val="000B4261"/>
    <w:rsid w:val="000B4E75"/>
    <w:rsid w:val="000B5DB8"/>
    <w:rsid w:val="000B6CE6"/>
    <w:rsid w:val="000B6D58"/>
    <w:rsid w:val="000B6D8E"/>
    <w:rsid w:val="000C01BD"/>
    <w:rsid w:val="000C11C9"/>
    <w:rsid w:val="000C33B6"/>
    <w:rsid w:val="000C3802"/>
    <w:rsid w:val="000C3C4C"/>
    <w:rsid w:val="000C4327"/>
    <w:rsid w:val="000C44B2"/>
    <w:rsid w:val="000C4DAA"/>
    <w:rsid w:val="000C7317"/>
    <w:rsid w:val="000C7893"/>
    <w:rsid w:val="000C79FE"/>
    <w:rsid w:val="000D08A8"/>
    <w:rsid w:val="000D09DE"/>
    <w:rsid w:val="000D0BF1"/>
    <w:rsid w:val="000D2E4B"/>
    <w:rsid w:val="000D2EFA"/>
    <w:rsid w:val="000D4BCE"/>
    <w:rsid w:val="000D5B59"/>
    <w:rsid w:val="000D6196"/>
    <w:rsid w:val="000D6C2A"/>
    <w:rsid w:val="000E6013"/>
    <w:rsid w:val="000E6636"/>
    <w:rsid w:val="000E7BC3"/>
    <w:rsid w:val="000F0AF2"/>
    <w:rsid w:val="000F191C"/>
    <w:rsid w:val="000F3D41"/>
    <w:rsid w:val="000F4BC7"/>
    <w:rsid w:val="000F4ED1"/>
    <w:rsid w:val="000F550C"/>
    <w:rsid w:val="000F60C3"/>
    <w:rsid w:val="000F6735"/>
    <w:rsid w:val="001007FC"/>
    <w:rsid w:val="00100FA9"/>
    <w:rsid w:val="001011C9"/>
    <w:rsid w:val="001016EE"/>
    <w:rsid w:val="00101E33"/>
    <w:rsid w:val="001029DF"/>
    <w:rsid w:val="00102E3B"/>
    <w:rsid w:val="00103F7C"/>
    <w:rsid w:val="0010492F"/>
    <w:rsid w:val="00105761"/>
    <w:rsid w:val="00105E54"/>
    <w:rsid w:val="0010650C"/>
    <w:rsid w:val="0011014B"/>
    <w:rsid w:val="0011085A"/>
    <w:rsid w:val="001141AB"/>
    <w:rsid w:val="0011445E"/>
    <w:rsid w:val="00114817"/>
    <w:rsid w:val="001156A8"/>
    <w:rsid w:val="00121369"/>
    <w:rsid w:val="00122334"/>
    <w:rsid w:val="001227D9"/>
    <w:rsid w:val="00122E20"/>
    <w:rsid w:val="00124673"/>
    <w:rsid w:val="00124993"/>
    <w:rsid w:val="00124E48"/>
    <w:rsid w:val="0012566B"/>
    <w:rsid w:val="001273FD"/>
    <w:rsid w:val="00131EF8"/>
    <w:rsid w:val="00132949"/>
    <w:rsid w:val="00132BD5"/>
    <w:rsid w:val="00132EB7"/>
    <w:rsid w:val="00133482"/>
    <w:rsid w:val="00133C28"/>
    <w:rsid w:val="001342C6"/>
    <w:rsid w:val="0013463B"/>
    <w:rsid w:val="00134FCD"/>
    <w:rsid w:val="001359F0"/>
    <w:rsid w:val="001369BE"/>
    <w:rsid w:val="00137AAB"/>
    <w:rsid w:val="0014121D"/>
    <w:rsid w:val="00141A88"/>
    <w:rsid w:val="00142609"/>
    <w:rsid w:val="00142BA2"/>
    <w:rsid w:val="00144CC0"/>
    <w:rsid w:val="00150DC2"/>
    <w:rsid w:val="00151C38"/>
    <w:rsid w:val="00155252"/>
    <w:rsid w:val="00155A56"/>
    <w:rsid w:val="00157D2F"/>
    <w:rsid w:val="001601A5"/>
    <w:rsid w:val="001627EF"/>
    <w:rsid w:val="001628FE"/>
    <w:rsid w:val="0016331B"/>
    <w:rsid w:val="00163E2D"/>
    <w:rsid w:val="001661BD"/>
    <w:rsid w:val="00166511"/>
    <w:rsid w:val="00170DD5"/>
    <w:rsid w:val="001713DD"/>
    <w:rsid w:val="00171E6F"/>
    <w:rsid w:val="001720B6"/>
    <w:rsid w:val="00173E34"/>
    <w:rsid w:val="00174598"/>
    <w:rsid w:val="00174634"/>
    <w:rsid w:val="00175C47"/>
    <w:rsid w:val="00175D51"/>
    <w:rsid w:val="00177762"/>
    <w:rsid w:val="0018057B"/>
    <w:rsid w:val="00180FFA"/>
    <w:rsid w:val="00181679"/>
    <w:rsid w:val="00182016"/>
    <w:rsid w:val="00183884"/>
    <w:rsid w:val="001849C1"/>
    <w:rsid w:val="00185212"/>
    <w:rsid w:val="001857F8"/>
    <w:rsid w:val="001874FD"/>
    <w:rsid w:val="00192899"/>
    <w:rsid w:val="00193AA2"/>
    <w:rsid w:val="001948DD"/>
    <w:rsid w:val="00195AA8"/>
    <w:rsid w:val="001968FF"/>
    <w:rsid w:val="00196BA3"/>
    <w:rsid w:val="00197395"/>
    <w:rsid w:val="00197A38"/>
    <w:rsid w:val="001A0039"/>
    <w:rsid w:val="001A077A"/>
    <w:rsid w:val="001A4BFC"/>
    <w:rsid w:val="001A4EAD"/>
    <w:rsid w:val="001A552D"/>
    <w:rsid w:val="001A5ED0"/>
    <w:rsid w:val="001A7BA3"/>
    <w:rsid w:val="001B0868"/>
    <w:rsid w:val="001B114A"/>
    <w:rsid w:val="001B1D4E"/>
    <w:rsid w:val="001B3F7F"/>
    <w:rsid w:val="001B42FB"/>
    <w:rsid w:val="001B49EA"/>
    <w:rsid w:val="001B6168"/>
    <w:rsid w:val="001B632A"/>
    <w:rsid w:val="001C137D"/>
    <w:rsid w:val="001C1A03"/>
    <w:rsid w:val="001C384F"/>
    <w:rsid w:val="001C628B"/>
    <w:rsid w:val="001C6404"/>
    <w:rsid w:val="001C68A3"/>
    <w:rsid w:val="001C7C20"/>
    <w:rsid w:val="001D068F"/>
    <w:rsid w:val="001D1318"/>
    <w:rsid w:val="001D3363"/>
    <w:rsid w:val="001D387E"/>
    <w:rsid w:val="001D5CE8"/>
    <w:rsid w:val="001D641C"/>
    <w:rsid w:val="001E01E5"/>
    <w:rsid w:val="001E1784"/>
    <w:rsid w:val="001E214D"/>
    <w:rsid w:val="001E338A"/>
    <w:rsid w:val="001E3487"/>
    <w:rsid w:val="001E5303"/>
    <w:rsid w:val="001E6A32"/>
    <w:rsid w:val="001E7EA8"/>
    <w:rsid w:val="001F035C"/>
    <w:rsid w:val="001F2D11"/>
    <w:rsid w:val="001F6B91"/>
    <w:rsid w:val="002010B9"/>
    <w:rsid w:val="00203015"/>
    <w:rsid w:val="00203A7B"/>
    <w:rsid w:val="00203AAC"/>
    <w:rsid w:val="002040B5"/>
    <w:rsid w:val="00204254"/>
    <w:rsid w:val="00204A3E"/>
    <w:rsid w:val="00204B05"/>
    <w:rsid w:val="00204CCE"/>
    <w:rsid w:val="00205EB3"/>
    <w:rsid w:val="0020699F"/>
    <w:rsid w:val="0021731B"/>
    <w:rsid w:val="0022004C"/>
    <w:rsid w:val="0022017F"/>
    <w:rsid w:val="002201F5"/>
    <w:rsid w:val="00221187"/>
    <w:rsid w:val="00222803"/>
    <w:rsid w:val="002241FC"/>
    <w:rsid w:val="00224B88"/>
    <w:rsid w:val="002250A6"/>
    <w:rsid w:val="00225511"/>
    <w:rsid w:val="00230171"/>
    <w:rsid w:val="0023050A"/>
    <w:rsid w:val="002307EF"/>
    <w:rsid w:val="002309D8"/>
    <w:rsid w:val="00232387"/>
    <w:rsid w:val="00233077"/>
    <w:rsid w:val="002333A8"/>
    <w:rsid w:val="002352EE"/>
    <w:rsid w:val="00235CCE"/>
    <w:rsid w:val="002372AE"/>
    <w:rsid w:val="0023788F"/>
    <w:rsid w:val="00237BA5"/>
    <w:rsid w:val="0024089F"/>
    <w:rsid w:val="00241906"/>
    <w:rsid w:val="00243A59"/>
    <w:rsid w:val="00244632"/>
    <w:rsid w:val="002451F1"/>
    <w:rsid w:val="002453A1"/>
    <w:rsid w:val="00245769"/>
    <w:rsid w:val="00246F4C"/>
    <w:rsid w:val="00247265"/>
    <w:rsid w:val="00247847"/>
    <w:rsid w:val="00247C52"/>
    <w:rsid w:val="00251245"/>
    <w:rsid w:val="00251851"/>
    <w:rsid w:val="00253392"/>
    <w:rsid w:val="0025746D"/>
    <w:rsid w:val="00257CD4"/>
    <w:rsid w:val="00260A5B"/>
    <w:rsid w:val="00261419"/>
    <w:rsid w:val="00261DEB"/>
    <w:rsid w:val="002630C1"/>
    <w:rsid w:val="00266FDC"/>
    <w:rsid w:val="00270713"/>
    <w:rsid w:val="00272D6D"/>
    <w:rsid w:val="00276AC7"/>
    <w:rsid w:val="002772C8"/>
    <w:rsid w:val="00281992"/>
    <w:rsid w:val="0028218B"/>
    <w:rsid w:val="00282627"/>
    <w:rsid w:val="00282EF3"/>
    <w:rsid w:val="00283200"/>
    <w:rsid w:val="00284C06"/>
    <w:rsid w:val="002857A2"/>
    <w:rsid w:val="00286419"/>
    <w:rsid w:val="00287A48"/>
    <w:rsid w:val="00291B25"/>
    <w:rsid w:val="002937E9"/>
    <w:rsid w:val="002955EF"/>
    <w:rsid w:val="00295D41"/>
    <w:rsid w:val="0029640B"/>
    <w:rsid w:val="0029640E"/>
    <w:rsid w:val="002967C9"/>
    <w:rsid w:val="00297745"/>
    <w:rsid w:val="00297C61"/>
    <w:rsid w:val="002A23EA"/>
    <w:rsid w:val="002A4E98"/>
    <w:rsid w:val="002A4FAE"/>
    <w:rsid w:val="002A626B"/>
    <w:rsid w:val="002A6D9B"/>
    <w:rsid w:val="002B2317"/>
    <w:rsid w:val="002B2F9B"/>
    <w:rsid w:val="002B3C66"/>
    <w:rsid w:val="002B3DB5"/>
    <w:rsid w:val="002B3F80"/>
    <w:rsid w:val="002B6395"/>
    <w:rsid w:val="002B66D9"/>
    <w:rsid w:val="002B6B9B"/>
    <w:rsid w:val="002B773B"/>
    <w:rsid w:val="002C01ED"/>
    <w:rsid w:val="002C2D03"/>
    <w:rsid w:val="002C4618"/>
    <w:rsid w:val="002D12CC"/>
    <w:rsid w:val="002D3D93"/>
    <w:rsid w:val="002D4683"/>
    <w:rsid w:val="002E01F5"/>
    <w:rsid w:val="002E2682"/>
    <w:rsid w:val="002E3921"/>
    <w:rsid w:val="002E46CD"/>
    <w:rsid w:val="002E56C2"/>
    <w:rsid w:val="002E5AE4"/>
    <w:rsid w:val="002E764A"/>
    <w:rsid w:val="002F1117"/>
    <w:rsid w:val="002F1533"/>
    <w:rsid w:val="002F27D3"/>
    <w:rsid w:val="002F28C6"/>
    <w:rsid w:val="002F37E6"/>
    <w:rsid w:val="002F3B36"/>
    <w:rsid w:val="002F5270"/>
    <w:rsid w:val="002F5A2E"/>
    <w:rsid w:val="002F5BE4"/>
    <w:rsid w:val="002F62B9"/>
    <w:rsid w:val="00302C72"/>
    <w:rsid w:val="00302EE6"/>
    <w:rsid w:val="00303408"/>
    <w:rsid w:val="00304646"/>
    <w:rsid w:val="00304AB7"/>
    <w:rsid w:val="00305689"/>
    <w:rsid w:val="00306707"/>
    <w:rsid w:val="00307274"/>
    <w:rsid w:val="003078D8"/>
    <w:rsid w:val="0031155C"/>
    <w:rsid w:val="00313DA9"/>
    <w:rsid w:val="00313DE3"/>
    <w:rsid w:val="00314B2E"/>
    <w:rsid w:val="00314E41"/>
    <w:rsid w:val="00314EC8"/>
    <w:rsid w:val="00315D72"/>
    <w:rsid w:val="00317D71"/>
    <w:rsid w:val="003217A8"/>
    <w:rsid w:val="0032637C"/>
    <w:rsid w:val="00330512"/>
    <w:rsid w:val="003337CB"/>
    <w:rsid w:val="00335FB5"/>
    <w:rsid w:val="003369E9"/>
    <w:rsid w:val="00337911"/>
    <w:rsid w:val="00341508"/>
    <w:rsid w:val="003424F1"/>
    <w:rsid w:val="003433F4"/>
    <w:rsid w:val="00344C42"/>
    <w:rsid w:val="003458B6"/>
    <w:rsid w:val="00346281"/>
    <w:rsid w:val="00346FE2"/>
    <w:rsid w:val="00347C73"/>
    <w:rsid w:val="0035266C"/>
    <w:rsid w:val="00354681"/>
    <w:rsid w:val="00354ED0"/>
    <w:rsid w:val="003561C6"/>
    <w:rsid w:val="0035776D"/>
    <w:rsid w:val="00360039"/>
    <w:rsid w:val="00360226"/>
    <w:rsid w:val="003608DA"/>
    <w:rsid w:val="00363B27"/>
    <w:rsid w:val="00366ACA"/>
    <w:rsid w:val="00367B8F"/>
    <w:rsid w:val="003712F2"/>
    <w:rsid w:val="0037174C"/>
    <w:rsid w:val="00372CF0"/>
    <w:rsid w:val="0037324E"/>
    <w:rsid w:val="00373990"/>
    <w:rsid w:val="00373E8C"/>
    <w:rsid w:val="003742E7"/>
    <w:rsid w:val="00374FF1"/>
    <w:rsid w:val="0037518C"/>
    <w:rsid w:val="0037529C"/>
    <w:rsid w:val="003753AC"/>
    <w:rsid w:val="00375817"/>
    <w:rsid w:val="00375F11"/>
    <w:rsid w:val="00376651"/>
    <w:rsid w:val="0038242E"/>
    <w:rsid w:val="0038349B"/>
    <w:rsid w:val="00385101"/>
    <w:rsid w:val="003865FC"/>
    <w:rsid w:val="0038670A"/>
    <w:rsid w:val="00386E64"/>
    <w:rsid w:val="0039250E"/>
    <w:rsid w:val="003930CE"/>
    <w:rsid w:val="003967F6"/>
    <w:rsid w:val="00397270"/>
    <w:rsid w:val="003A1526"/>
    <w:rsid w:val="003A34A8"/>
    <w:rsid w:val="003A58EE"/>
    <w:rsid w:val="003A67C0"/>
    <w:rsid w:val="003B05EF"/>
    <w:rsid w:val="003B0B39"/>
    <w:rsid w:val="003B0EFA"/>
    <w:rsid w:val="003B20E8"/>
    <w:rsid w:val="003B2C89"/>
    <w:rsid w:val="003B2E1D"/>
    <w:rsid w:val="003B4829"/>
    <w:rsid w:val="003C0343"/>
    <w:rsid w:val="003C2E45"/>
    <w:rsid w:val="003C4094"/>
    <w:rsid w:val="003C5149"/>
    <w:rsid w:val="003C5F99"/>
    <w:rsid w:val="003C6075"/>
    <w:rsid w:val="003D04A8"/>
    <w:rsid w:val="003D0B3C"/>
    <w:rsid w:val="003D3925"/>
    <w:rsid w:val="003D4D12"/>
    <w:rsid w:val="003D5F1A"/>
    <w:rsid w:val="003E183F"/>
    <w:rsid w:val="003E23EC"/>
    <w:rsid w:val="003E605F"/>
    <w:rsid w:val="003E681C"/>
    <w:rsid w:val="003F03FC"/>
    <w:rsid w:val="003F1469"/>
    <w:rsid w:val="003F1E37"/>
    <w:rsid w:val="003F2252"/>
    <w:rsid w:val="003F248F"/>
    <w:rsid w:val="003F28D5"/>
    <w:rsid w:val="003F30D7"/>
    <w:rsid w:val="003F3D8E"/>
    <w:rsid w:val="003F45D2"/>
    <w:rsid w:val="003F5332"/>
    <w:rsid w:val="003F5879"/>
    <w:rsid w:val="003F6AB0"/>
    <w:rsid w:val="003F6AC4"/>
    <w:rsid w:val="00400369"/>
    <w:rsid w:val="00400814"/>
    <w:rsid w:val="00400A3A"/>
    <w:rsid w:val="00401798"/>
    <w:rsid w:val="004039EB"/>
    <w:rsid w:val="00403B2E"/>
    <w:rsid w:val="00404F70"/>
    <w:rsid w:val="00405B31"/>
    <w:rsid w:val="0040744D"/>
    <w:rsid w:val="004078E1"/>
    <w:rsid w:val="00412370"/>
    <w:rsid w:val="0041295E"/>
    <w:rsid w:val="004147D5"/>
    <w:rsid w:val="00415B0C"/>
    <w:rsid w:val="0041647C"/>
    <w:rsid w:val="004202F0"/>
    <w:rsid w:val="00420E2E"/>
    <w:rsid w:val="004216F6"/>
    <w:rsid w:val="00423A23"/>
    <w:rsid w:val="0042407C"/>
    <w:rsid w:val="0042608F"/>
    <w:rsid w:val="00426188"/>
    <w:rsid w:val="00426932"/>
    <w:rsid w:val="004308BE"/>
    <w:rsid w:val="00431640"/>
    <w:rsid w:val="0043178F"/>
    <w:rsid w:val="004326AC"/>
    <w:rsid w:val="00434AB3"/>
    <w:rsid w:val="004353BE"/>
    <w:rsid w:val="00436349"/>
    <w:rsid w:val="00437C51"/>
    <w:rsid w:val="00441B65"/>
    <w:rsid w:val="00441D67"/>
    <w:rsid w:val="00441FBD"/>
    <w:rsid w:val="00444443"/>
    <w:rsid w:val="00445E0D"/>
    <w:rsid w:val="004461EA"/>
    <w:rsid w:val="00446604"/>
    <w:rsid w:val="004468C0"/>
    <w:rsid w:val="00451115"/>
    <w:rsid w:val="00451149"/>
    <w:rsid w:val="00452322"/>
    <w:rsid w:val="00452614"/>
    <w:rsid w:val="00453929"/>
    <w:rsid w:val="00453B3E"/>
    <w:rsid w:val="00453B49"/>
    <w:rsid w:val="0045524B"/>
    <w:rsid w:val="00456206"/>
    <w:rsid w:val="00460087"/>
    <w:rsid w:val="00461908"/>
    <w:rsid w:val="0046204A"/>
    <w:rsid w:val="0046239A"/>
    <w:rsid w:val="004623A4"/>
    <w:rsid w:val="00462ACB"/>
    <w:rsid w:val="0046311B"/>
    <w:rsid w:val="0046333B"/>
    <w:rsid w:val="004638AD"/>
    <w:rsid w:val="00464C9E"/>
    <w:rsid w:val="00465F69"/>
    <w:rsid w:val="004679EE"/>
    <w:rsid w:val="00467C40"/>
    <w:rsid w:val="0047063B"/>
    <w:rsid w:val="00470845"/>
    <w:rsid w:val="00470FA9"/>
    <w:rsid w:val="00475E48"/>
    <w:rsid w:val="004761CB"/>
    <w:rsid w:val="0048061F"/>
    <w:rsid w:val="00483CB1"/>
    <w:rsid w:val="004877BE"/>
    <w:rsid w:val="00487856"/>
    <w:rsid w:val="00487A68"/>
    <w:rsid w:val="004933C4"/>
    <w:rsid w:val="004948FC"/>
    <w:rsid w:val="0049650F"/>
    <w:rsid w:val="004A1C28"/>
    <w:rsid w:val="004A37D0"/>
    <w:rsid w:val="004A3911"/>
    <w:rsid w:val="004A475D"/>
    <w:rsid w:val="004A559B"/>
    <w:rsid w:val="004A5726"/>
    <w:rsid w:val="004A7466"/>
    <w:rsid w:val="004B05AC"/>
    <w:rsid w:val="004B1E4D"/>
    <w:rsid w:val="004B2621"/>
    <w:rsid w:val="004B2E70"/>
    <w:rsid w:val="004B4996"/>
    <w:rsid w:val="004B5361"/>
    <w:rsid w:val="004B5B40"/>
    <w:rsid w:val="004B5C83"/>
    <w:rsid w:val="004B7402"/>
    <w:rsid w:val="004B7FE8"/>
    <w:rsid w:val="004C0358"/>
    <w:rsid w:val="004C31A2"/>
    <w:rsid w:val="004C4D70"/>
    <w:rsid w:val="004C75E1"/>
    <w:rsid w:val="004C7C2C"/>
    <w:rsid w:val="004D0051"/>
    <w:rsid w:val="004D0EDD"/>
    <w:rsid w:val="004D1256"/>
    <w:rsid w:val="004D2104"/>
    <w:rsid w:val="004D31C3"/>
    <w:rsid w:val="004D31DB"/>
    <w:rsid w:val="004D49DC"/>
    <w:rsid w:val="004D7AC9"/>
    <w:rsid w:val="004D7B73"/>
    <w:rsid w:val="004E0C4E"/>
    <w:rsid w:val="004E1080"/>
    <w:rsid w:val="004E21A5"/>
    <w:rsid w:val="004E2ECA"/>
    <w:rsid w:val="004E2FAA"/>
    <w:rsid w:val="004E33C4"/>
    <w:rsid w:val="004E3A74"/>
    <w:rsid w:val="004E4511"/>
    <w:rsid w:val="004E4579"/>
    <w:rsid w:val="004E59D5"/>
    <w:rsid w:val="004E61CB"/>
    <w:rsid w:val="004E6AAA"/>
    <w:rsid w:val="004F0482"/>
    <w:rsid w:val="004F160C"/>
    <w:rsid w:val="004F17C0"/>
    <w:rsid w:val="004F2189"/>
    <w:rsid w:val="004F38D7"/>
    <w:rsid w:val="004F3E15"/>
    <w:rsid w:val="004F400F"/>
    <w:rsid w:val="004F4A64"/>
    <w:rsid w:val="004F4AC9"/>
    <w:rsid w:val="004F4B15"/>
    <w:rsid w:val="004F5BCA"/>
    <w:rsid w:val="004F6600"/>
    <w:rsid w:val="004F661C"/>
    <w:rsid w:val="004F6D58"/>
    <w:rsid w:val="004F7528"/>
    <w:rsid w:val="005003E6"/>
    <w:rsid w:val="005007D7"/>
    <w:rsid w:val="005037A6"/>
    <w:rsid w:val="00503C93"/>
    <w:rsid w:val="00504C45"/>
    <w:rsid w:val="00506149"/>
    <w:rsid w:val="00507172"/>
    <w:rsid w:val="00507DE0"/>
    <w:rsid w:val="005114E0"/>
    <w:rsid w:val="00513E34"/>
    <w:rsid w:val="0051589E"/>
    <w:rsid w:val="005158BA"/>
    <w:rsid w:val="005205EB"/>
    <w:rsid w:val="0052061C"/>
    <w:rsid w:val="00520919"/>
    <w:rsid w:val="00522454"/>
    <w:rsid w:val="00522DD5"/>
    <w:rsid w:val="00524791"/>
    <w:rsid w:val="005257FB"/>
    <w:rsid w:val="00527E64"/>
    <w:rsid w:val="00533537"/>
    <w:rsid w:val="00535420"/>
    <w:rsid w:val="005366A5"/>
    <w:rsid w:val="00540B5C"/>
    <w:rsid w:val="00544EBF"/>
    <w:rsid w:val="00546D26"/>
    <w:rsid w:val="00553D8A"/>
    <w:rsid w:val="00555465"/>
    <w:rsid w:val="00555B5B"/>
    <w:rsid w:val="005602B6"/>
    <w:rsid w:val="0056110B"/>
    <w:rsid w:val="00561E85"/>
    <w:rsid w:val="00563AB0"/>
    <w:rsid w:val="005653F0"/>
    <w:rsid w:val="00570E49"/>
    <w:rsid w:val="00576BF2"/>
    <w:rsid w:val="00577B76"/>
    <w:rsid w:val="00583A46"/>
    <w:rsid w:val="00583A8F"/>
    <w:rsid w:val="005846E4"/>
    <w:rsid w:val="005858EF"/>
    <w:rsid w:val="00587087"/>
    <w:rsid w:val="005876F8"/>
    <w:rsid w:val="00591603"/>
    <w:rsid w:val="00592D8F"/>
    <w:rsid w:val="00593E9F"/>
    <w:rsid w:val="005975E2"/>
    <w:rsid w:val="005978D3"/>
    <w:rsid w:val="005A0EE2"/>
    <w:rsid w:val="005A134F"/>
    <w:rsid w:val="005A1864"/>
    <w:rsid w:val="005A1B29"/>
    <w:rsid w:val="005A4EE2"/>
    <w:rsid w:val="005A60BB"/>
    <w:rsid w:val="005A6AF8"/>
    <w:rsid w:val="005B0414"/>
    <w:rsid w:val="005B103A"/>
    <w:rsid w:val="005B21A8"/>
    <w:rsid w:val="005B2485"/>
    <w:rsid w:val="005B261B"/>
    <w:rsid w:val="005B26D7"/>
    <w:rsid w:val="005B5B34"/>
    <w:rsid w:val="005B6BFC"/>
    <w:rsid w:val="005C0A35"/>
    <w:rsid w:val="005C118A"/>
    <w:rsid w:val="005C147F"/>
    <w:rsid w:val="005C2276"/>
    <w:rsid w:val="005C2442"/>
    <w:rsid w:val="005C2C7B"/>
    <w:rsid w:val="005C43EA"/>
    <w:rsid w:val="005C5C76"/>
    <w:rsid w:val="005C5FCE"/>
    <w:rsid w:val="005C6C99"/>
    <w:rsid w:val="005C7733"/>
    <w:rsid w:val="005D0399"/>
    <w:rsid w:val="005D14A8"/>
    <w:rsid w:val="005D31FC"/>
    <w:rsid w:val="005D49B8"/>
    <w:rsid w:val="005D4FED"/>
    <w:rsid w:val="005D5B5A"/>
    <w:rsid w:val="005D7DC9"/>
    <w:rsid w:val="005E0C5B"/>
    <w:rsid w:val="005E2ACB"/>
    <w:rsid w:val="005E40A6"/>
    <w:rsid w:val="005E4434"/>
    <w:rsid w:val="005E4EA8"/>
    <w:rsid w:val="005E5136"/>
    <w:rsid w:val="005E5CFD"/>
    <w:rsid w:val="005E65C3"/>
    <w:rsid w:val="005F015E"/>
    <w:rsid w:val="005F2095"/>
    <w:rsid w:val="005F3572"/>
    <w:rsid w:val="005F3614"/>
    <w:rsid w:val="005F3BD0"/>
    <w:rsid w:val="005F4C64"/>
    <w:rsid w:val="005F4E5B"/>
    <w:rsid w:val="005F5C7F"/>
    <w:rsid w:val="005F7160"/>
    <w:rsid w:val="005F7665"/>
    <w:rsid w:val="0060127F"/>
    <w:rsid w:val="0060530F"/>
    <w:rsid w:val="006054CB"/>
    <w:rsid w:val="00605FB8"/>
    <w:rsid w:val="006064E3"/>
    <w:rsid w:val="0060707F"/>
    <w:rsid w:val="00610B9C"/>
    <w:rsid w:val="00610C57"/>
    <w:rsid w:val="00611693"/>
    <w:rsid w:val="00612085"/>
    <w:rsid w:val="006128A7"/>
    <w:rsid w:val="00613694"/>
    <w:rsid w:val="00613F1B"/>
    <w:rsid w:val="0061499F"/>
    <w:rsid w:val="0061748A"/>
    <w:rsid w:val="00617D33"/>
    <w:rsid w:val="00620924"/>
    <w:rsid w:val="00621C91"/>
    <w:rsid w:val="0062435D"/>
    <w:rsid w:val="00624618"/>
    <w:rsid w:val="006262AF"/>
    <w:rsid w:val="006271E4"/>
    <w:rsid w:val="006274EA"/>
    <w:rsid w:val="0062761A"/>
    <w:rsid w:val="00627CD2"/>
    <w:rsid w:val="0063005A"/>
    <w:rsid w:val="00632A27"/>
    <w:rsid w:val="00632F9F"/>
    <w:rsid w:val="00634678"/>
    <w:rsid w:val="00634B4B"/>
    <w:rsid w:val="00636ED9"/>
    <w:rsid w:val="006371C6"/>
    <w:rsid w:val="0063788E"/>
    <w:rsid w:val="006421F6"/>
    <w:rsid w:val="00646440"/>
    <w:rsid w:val="00650CE9"/>
    <w:rsid w:val="0065165A"/>
    <w:rsid w:val="00654384"/>
    <w:rsid w:val="006557F3"/>
    <w:rsid w:val="0065640A"/>
    <w:rsid w:val="006601E8"/>
    <w:rsid w:val="006619AA"/>
    <w:rsid w:val="00662B2D"/>
    <w:rsid w:val="00662E3E"/>
    <w:rsid w:val="006642F2"/>
    <w:rsid w:val="006645A1"/>
    <w:rsid w:val="00666151"/>
    <w:rsid w:val="006666F2"/>
    <w:rsid w:val="00667575"/>
    <w:rsid w:val="00667593"/>
    <w:rsid w:val="00670112"/>
    <w:rsid w:val="00670A51"/>
    <w:rsid w:val="006724EC"/>
    <w:rsid w:val="006731DC"/>
    <w:rsid w:val="006755A9"/>
    <w:rsid w:val="006759BD"/>
    <w:rsid w:val="00680BCE"/>
    <w:rsid w:val="00680FE7"/>
    <w:rsid w:val="006817FC"/>
    <w:rsid w:val="00683D0F"/>
    <w:rsid w:val="00684447"/>
    <w:rsid w:val="00685383"/>
    <w:rsid w:val="0068539F"/>
    <w:rsid w:val="00685F85"/>
    <w:rsid w:val="006871EF"/>
    <w:rsid w:val="0069016D"/>
    <w:rsid w:val="00690862"/>
    <w:rsid w:val="00690BD4"/>
    <w:rsid w:val="006933B4"/>
    <w:rsid w:val="0069525B"/>
    <w:rsid w:val="00696843"/>
    <w:rsid w:val="00696E0F"/>
    <w:rsid w:val="00697C1D"/>
    <w:rsid w:val="006A11D8"/>
    <w:rsid w:val="006A6C8E"/>
    <w:rsid w:val="006A7A3F"/>
    <w:rsid w:val="006B121A"/>
    <w:rsid w:val="006B1B49"/>
    <w:rsid w:val="006B1EA0"/>
    <w:rsid w:val="006B4041"/>
    <w:rsid w:val="006B5731"/>
    <w:rsid w:val="006B5A1F"/>
    <w:rsid w:val="006B68B9"/>
    <w:rsid w:val="006B7B2A"/>
    <w:rsid w:val="006C0AC7"/>
    <w:rsid w:val="006C172D"/>
    <w:rsid w:val="006C21FE"/>
    <w:rsid w:val="006C2214"/>
    <w:rsid w:val="006C25E2"/>
    <w:rsid w:val="006C70D5"/>
    <w:rsid w:val="006C746D"/>
    <w:rsid w:val="006C7C99"/>
    <w:rsid w:val="006D08A5"/>
    <w:rsid w:val="006D0D8B"/>
    <w:rsid w:val="006D140D"/>
    <w:rsid w:val="006D25D1"/>
    <w:rsid w:val="006D3232"/>
    <w:rsid w:val="006D378B"/>
    <w:rsid w:val="006D3EDA"/>
    <w:rsid w:val="006D5266"/>
    <w:rsid w:val="006D784A"/>
    <w:rsid w:val="006D7B74"/>
    <w:rsid w:val="006E05AB"/>
    <w:rsid w:val="006E2B74"/>
    <w:rsid w:val="006E2BE3"/>
    <w:rsid w:val="006E30E0"/>
    <w:rsid w:val="006E37C1"/>
    <w:rsid w:val="006E5A42"/>
    <w:rsid w:val="006E69CA"/>
    <w:rsid w:val="006E7DD5"/>
    <w:rsid w:val="006F0393"/>
    <w:rsid w:val="006F4BC7"/>
    <w:rsid w:val="006F4D75"/>
    <w:rsid w:val="006F5892"/>
    <w:rsid w:val="006F59DF"/>
    <w:rsid w:val="006F5C81"/>
    <w:rsid w:val="006F7440"/>
    <w:rsid w:val="00700F73"/>
    <w:rsid w:val="0070208E"/>
    <w:rsid w:val="007036E1"/>
    <w:rsid w:val="00704E2B"/>
    <w:rsid w:val="00704E41"/>
    <w:rsid w:val="0070589B"/>
    <w:rsid w:val="00705B8F"/>
    <w:rsid w:val="0070682E"/>
    <w:rsid w:val="00706C2F"/>
    <w:rsid w:val="0070737E"/>
    <w:rsid w:val="00710720"/>
    <w:rsid w:val="00710BF6"/>
    <w:rsid w:val="00711F6B"/>
    <w:rsid w:val="00712623"/>
    <w:rsid w:val="0071296A"/>
    <w:rsid w:val="00712BC6"/>
    <w:rsid w:val="007135A2"/>
    <w:rsid w:val="00713A6F"/>
    <w:rsid w:val="00714BA9"/>
    <w:rsid w:val="0071658E"/>
    <w:rsid w:val="00716C6B"/>
    <w:rsid w:val="00716C81"/>
    <w:rsid w:val="0071773E"/>
    <w:rsid w:val="00720B38"/>
    <w:rsid w:val="00721144"/>
    <w:rsid w:val="00723A33"/>
    <w:rsid w:val="00724348"/>
    <w:rsid w:val="00724FBA"/>
    <w:rsid w:val="007251B0"/>
    <w:rsid w:val="00725449"/>
    <w:rsid w:val="007265A7"/>
    <w:rsid w:val="00731180"/>
    <w:rsid w:val="007312F6"/>
    <w:rsid w:val="0073229A"/>
    <w:rsid w:val="00732FD7"/>
    <w:rsid w:val="007345D2"/>
    <w:rsid w:val="00736D9C"/>
    <w:rsid w:val="00737412"/>
    <w:rsid w:val="007374E9"/>
    <w:rsid w:val="00737959"/>
    <w:rsid w:val="00737C92"/>
    <w:rsid w:val="0074058D"/>
    <w:rsid w:val="00741D12"/>
    <w:rsid w:val="00742487"/>
    <w:rsid w:val="0074297E"/>
    <w:rsid w:val="007444BD"/>
    <w:rsid w:val="00746270"/>
    <w:rsid w:val="00747509"/>
    <w:rsid w:val="00747E83"/>
    <w:rsid w:val="00752396"/>
    <w:rsid w:val="00752B15"/>
    <w:rsid w:val="00752E44"/>
    <w:rsid w:val="00753D59"/>
    <w:rsid w:val="00754E35"/>
    <w:rsid w:val="0075705D"/>
    <w:rsid w:val="00762E03"/>
    <w:rsid w:val="00762EAA"/>
    <w:rsid w:val="00764349"/>
    <w:rsid w:val="007649A8"/>
    <w:rsid w:val="007649E6"/>
    <w:rsid w:val="007663A1"/>
    <w:rsid w:val="00767133"/>
    <w:rsid w:val="00767FDE"/>
    <w:rsid w:val="007700A7"/>
    <w:rsid w:val="00772F09"/>
    <w:rsid w:val="00776458"/>
    <w:rsid w:val="007778A7"/>
    <w:rsid w:val="007817E8"/>
    <w:rsid w:val="00782164"/>
    <w:rsid w:val="007852EC"/>
    <w:rsid w:val="00790A49"/>
    <w:rsid w:val="00791C36"/>
    <w:rsid w:val="00792F73"/>
    <w:rsid w:val="00793900"/>
    <w:rsid w:val="0079421E"/>
    <w:rsid w:val="00796C18"/>
    <w:rsid w:val="00797285"/>
    <w:rsid w:val="007A50A8"/>
    <w:rsid w:val="007A5165"/>
    <w:rsid w:val="007A6F65"/>
    <w:rsid w:val="007B0734"/>
    <w:rsid w:val="007B09B5"/>
    <w:rsid w:val="007B31EF"/>
    <w:rsid w:val="007B403B"/>
    <w:rsid w:val="007B5158"/>
    <w:rsid w:val="007B63DA"/>
    <w:rsid w:val="007B643C"/>
    <w:rsid w:val="007B6604"/>
    <w:rsid w:val="007B666F"/>
    <w:rsid w:val="007B7908"/>
    <w:rsid w:val="007B7F6F"/>
    <w:rsid w:val="007C25A7"/>
    <w:rsid w:val="007C2968"/>
    <w:rsid w:val="007C3058"/>
    <w:rsid w:val="007C4BFD"/>
    <w:rsid w:val="007C75CE"/>
    <w:rsid w:val="007D128F"/>
    <w:rsid w:val="007D2B99"/>
    <w:rsid w:val="007D3479"/>
    <w:rsid w:val="007D390B"/>
    <w:rsid w:val="007D48D1"/>
    <w:rsid w:val="007D6126"/>
    <w:rsid w:val="007E0155"/>
    <w:rsid w:val="007E1B16"/>
    <w:rsid w:val="007E310D"/>
    <w:rsid w:val="007E4628"/>
    <w:rsid w:val="007E5070"/>
    <w:rsid w:val="007E5685"/>
    <w:rsid w:val="007E660D"/>
    <w:rsid w:val="007F2580"/>
    <w:rsid w:val="007F3082"/>
    <w:rsid w:val="007F6FD1"/>
    <w:rsid w:val="007F7367"/>
    <w:rsid w:val="007F73BE"/>
    <w:rsid w:val="00801ADF"/>
    <w:rsid w:val="00801C1B"/>
    <w:rsid w:val="00804BF9"/>
    <w:rsid w:val="008059B7"/>
    <w:rsid w:val="00805D56"/>
    <w:rsid w:val="0080766F"/>
    <w:rsid w:val="00811499"/>
    <w:rsid w:val="008115D2"/>
    <w:rsid w:val="008128A5"/>
    <w:rsid w:val="00813DCE"/>
    <w:rsid w:val="008147AE"/>
    <w:rsid w:val="00814CDB"/>
    <w:rsid w:val="0081543C"/>
    <w:rsid w:val="00815E73"/>
    <w:rsid w:val="00816C29"/>
    <w:rsid w:val="00816F71"/>
    <w:rsid w:val="00821913"/>
    <w:rsid w:val="0082330E"/>
    <w:rsid w:val="00827D3E"/>
    <w:rsid w:val="00827D86"/>
    <w:rsid w:val="00827FB6"/>
    <w:rsid w:val="00827FF9"/>
    <w:rsid w:val="00830C34"/>
    <w:rsid w:val="00831669"/>
    <w:rsid w:val="00832FC5"/>
    <w:rsid w:val="0083301D"/>
    <w:rsid w:val="00833803"/>
    <w:rsid w:val="00833E19"/>
    <w:rsid w:val="00833EA3"/>
    <w:rsid w:val="00833EB7"/>
    <w:rsid w:val="00834588"/>
    <w:rsid w:val="0083484D"/>
    <w:rsid w:val="008352F8"/>
    <w:rsid w:val="00837090"/>
    <w:rsid w:val="00837F79"/>
    <w:rsid w:val="008404D1"/>
    <w:rsid w:val="0084220A"/>
    <w:rsid w:val="008444CD"/>
    <w:rsid w:val="00844811"/>
    <w:rsid w:val="00846482"/>
    <w:rsid w:val="0084657E"/>
    <w:rsid w:val="00847071"/>
    <w:rsid w:val="00850400"/>
    <w:rsid w:val="00851B83"/>
    <w:rsid w:val="0085232E"/>
    <w:rsid w:val="00852535"/>
    <w:rsid w:val="00852E0B"/>
    <w:rsid w:val="00852EFB"/>
    <w:rsid w:val="00853AB1"/>
    <w:rsid w:val="00855BE5"/>
    <w:rsid w:val="00862090"/>
    <w:rsid w:val="00863346"/>
    <w:rsid w:val="008646C0"/>
    <w:rsid w:val="00864F02"/>
    <w:rsid w:val="0086596B"/>
    <w:rsid w:val="00866506"/>
    <w:rsid w:val="00867AB6"/>
    <w:rsid w:val="008702D7"/>
    <w:rsid w:val="0087285F"/>
    <w:rsid w:val="00876365"/>
    <w:rsid w:val="00880030"/>
    <w:rsid w:val="0088033E"/>
    <w:rsid w:val="00880AF4"/>
    <w:rsid w:val="00881959"/>
    <w:rsid w:val="00882165"/>
    <w:rsid w:val="008825CA"/>
    <w:rsid w:val="00883837"/>
    <w:rsid w:val="008838E3"/>
    <w:rsid w:val="00884E3A"/>
    <w:rsid w:val="0088512F"/>
    <w:rsid w:val="00890245"/>
    <w:rsid w:val="0089150A"/>
    <w:rsid w:val="008946B2"/>
    <w:rsid w:val="00896691"/>
    <w:rsid w:val="00896988"/>
    <w:rsid w:val="0089706B"/>
    <w:rsid w:val="008A1223"/>
    <w:rsid w:val="008A1920"/>
    <w:rsid w:val="008A208C"/>
    <w:rsid w:val="008A20D0"/>
    <w:rsid w:val="008A5CBB"/>
    <w:rsid w:val="008B2574"/>
    <w:rsid w:val="008B3C0A"/>
    <w:rsid w:val="008B60C1"/>
    <w:rsid w:val="008B6157"/>
    <w:rsid w:val="008B61C1"/>
    <w:rsid w:val="008B6450"/>
    <w:rsid w:val="008B7C82"/>
    <w:rsid w:val="008C0A6D"/>
    <w:rsid w:val="008C1B18"/>
    <w:rsid w:val="008C259C"/>
    <w:rsid w:val="008C6A2F"/>
    <w:rsid w:val="008C73CC"/>
    <w:rsid w:val="008C7991"/>
    <w:rsid w:val="008D052B"/>
    <w:rsid w:val="008D14FF"/>
    <w:rsid w:val="008D3041"/>
    <w:rsid w:val="008D620A"/>
    <w:rsid w:val="008D6A1B"/>
    <w:rsid w:val="008D7602"/>
    <w:rsid w:val="008E032C"/>
    <w:rsid w:val="008E19F4"/>
    <w:rsid w:val="008E1BA5"/>
    <w:rsid w:val="008E3F89"/>
    <w:rsid w:val="008E59F2"/>
    <w:rsid w:val="008E5CCF"/>
    <w:rsid w:val="008F0D90"/>
    <w:rsid w:val="008F392E"/>
    <w:rsid w:val="008F3C85"/>
    <w:rsid w:val="008F4237"/>
    <w:rsid w:val="008F5CD5"/>
    <w:rsid w:val="009008D8"/>
    <w:rsid w:val="009009EB"/>
    <w:rsid w:val="009028CD"/>
    <w:rsid w:val="009046C1"/>
    <w:rsid w:val="00904886"/>
    <w:rsid w:val="00904DA9"/>
    <w:rsid w:val="00904E98"/>
    <w:rsid w:val="00905733"/>
    <w:rsid w:val="00905850"/>
    <w:rsid w:val="0090639A"/>
    <w:rsid w:val="00906C0D"/>
    <w:rsid w:val="00910D6E"/>
    <w:rsid w:val="0091145D"/>
    <w:rsid w:val="0091395D"/>
    <w:rsid w:val="00913F64"/>
    <w:rsid w:val="00916F69"/>
    <w:rsid w:val="009170E2"/>
    <w:rsid w:val="0092116C"/>
    <w:rsid w:val="00924C87"/>
    <w:rsid w:val="00925ADB"/>
    <w:rsid w:val="00925D09"/>
    <w:rsid w:val="00927463"/>
    <w:rsid w:val="00927F31"/>
    <w:rsid w:val="009308BF"/>
    <w:rsid w:val="0093156F"/>
    <w:rsid w:val="00931A98"/>
    <w:rsid w:val="00931EDC"/>
    <w:rsid w:val="009344ED"/>
    <w:rsid w:val="00935E67"/>
    <w:rsid w:val="009365B2"/>
    <w:rsid w:val="00937770"/>
    <w:rsid w:val="00940C09"/>
    <w:rsid w:val="00941BDC"/>
    <w:rsid w:val="009424F6"/>
    <w:rsid w:val="0095021E"/>
    <w:rsid w:val="00951362"/>
    <w:rsid w:val="00951880"/>
    <w:rsid w:val="00953EB4"/>
    <w:rsid w:val="00953EFB"/>
    <w:rsid w:val="009546E9"/>
    <w:rsid w:val="00955076"/>
    <w:rsid w:val="00956EF0"/>
    <w:rsid w:val="0095713D"/>
    <w:rsid w:val="00960126"/>
    <w:rsid w:val="00960A89"/>
    <w:rsid w:val="00962257"/>
    <w:rsid w:val="009622BD"/>
    <w:rsid w:val="0096573D"/>
    <w:rsid w:val="00966D02"/>
    <w:rsid w:val="00966E19"/>
    <w:rsid w:val="00967F7A"/>
    <w:rsid w:val="00970DE0"/>
    <w:rsid w:val="00970DED"/>
    <w:rsid w:val="009728B3"/>
    <w:rsid w:val="009745C8"/>
    <w:rsid w:val="00974A83"/>
    <w:rsid w:val="00974AAC"/>
    <w:rsid w:val="009762B8"/>
    <w:rsid w:val="00976A14"/>
    <w:rsid w:val="00976BB2"/>
    <w:rsid w:val="0097776F"/>
    <w:rsid w:val="009777AE"/>
    <w:rsid w:val="00982A85"/>
    <w:rsid w:val="00982BC2"/>
    <w:rsid w:val="00983584"/>
    <w:rsid w:val="00983B66"/>
    <w:rsid w:val="0098492F"/>
    <w:rsid w:val="0098500E"/>
    <w:rsid w:val="00986D2C"/>
    <w:rsid w:val="009916B7"/>
    <w:rsid w:val="009927C8"/>
    <w:rsid w:val="009929F6"/>
    <w:rsid w:val="00992A29"/>
    <w:rsid w:val="00992B23"/>
    <w:rsid w:val="00992F66"/>
    <w:rsid w:val="009932AC"/>
    <w:rsid w:val="00994D67"/>
    <w:rsid w:val="009A0381"/>
    <w:rsid w:val="009A0C01"/>
    <w:rsid w:val="009A0F60"/>
    <w:rsid w:val="009A184E"/>
    <w:rsid w:val="009A404A"/>
    <w:rsid w:val="009A4132"/>
    <w:rsid w:val="009A5359"/>
    <w:rsid w:val="009B298A"/>
    <w:rsid w:val="009B5838"/>
    <w:rsid w:val="009B5B5F"/>
    <w:rsid w:val="009C0071"/>
    <w:rsid w:val="009C01DB"/>
    <w:rsid w:val="009C0C57"/>
    <w:rsid w:val="009C145D"/>
    <w:rsid w:val="009C2A16"/>
    <w:rsid w:val="009C33E0"/>
    <w:rsid w:val="009C589D"/>
    <w:rsid w:val="009C58D3"/>
    <w:rsid w:val="009C5E3B"/>
    <w:rsid w:val="009D0508"/>
    <w:rsid w:val="009D09EE"/>
    <w:rsid w:val="009D1904"/>
    <w:rsid w:val="009D20F7"/>
    <w:rsid w:val="009D2FD7"/>
    <w:rsid w:val="009D34D5"/>
    <w:rsid w:val="009D4720"/>
    <w:rsid w:val="009D4FF5"/>
    <w:rsid w:val="009E02DF"/>
    <w:rsid w:val="009E1D05"/>
    <w:rsid w:val="009E2BFE"/>
    <w:rsid w:val="009E2C79"/>
    <w:rsid w:val="009E38A7"/>
    <w:rsid w:val="009E4459"/>
    <w:rsid w:val="009E50BF"/>
    <w:rsid w:val="009E5AB4"/>
    <w:rsid w:val="009E5BE5"/>
    <w:rsid w:val="009E64D3"/>
    <w:rsid w:val="009E78CD"/>
    <w:rsid w:val="009F19FC"/>
    <w:rsid w:val="009F1EF9"/>
    <w:rsid w:val="009F3C14"/>
    <w:rsid w:val="009F54B1"/>
    <w:rsid w:val="009F56E8"/>
    <w:rsid w:val="009F5D49"/>
    <w:rsid w:val="009F6699"/>
    <w:rsid w:val="009F6DF8"/>
    <w:rsid w:val="009F768A"/>
    <w:rsid w:val="009F7DA8"/>
    <w:rsid w:val="009F7FE2"/>
    <w:rsid w:val="00A00445"/>
    <w:rsid w:val="00A01BB5"/>
    <w:rsid w:val="00A02F29"/>
    <w:rsid w:val="00A03765"/>
    <w:rsid w:val="00A038CA"/>
    <w:rsid w:val="00A13801"/>
    <w:rsid w:val="00A157E8"/>
    <w:rsid w:val="00A22D8B"/>
    <w:rsid w:val="00A23E67"/>
    <w:rsid w:val="00A2445F"/>
    <w:rsid w:val="00A25277"/>
    <w:rsid w:val="00A26585"/>
    <w:rsid w:val="00A30DA2"/>
    <w:rsid w:val="00A31978"/>
    <w:rsid w:val="00A31F67"/>
    <w:rsid w:val="00A341A1"/>
    <w:rsid w:val="00A341E9"/>
    <w:rsid w:val="00A363EB"/>
    <w:rsid w:val="00A44919"/>
    <w:rsid w:val="00A51818"/>
    <w:rsid w:val="00A51D0D"/>
    <w:rsid w:val="00A52474"/>
    <w:rsid w:val="00A52762"/>
    <w:rsid w:val="00A529FE"/>
    <w:rsid w:val="00A53B74"/>
    <w:rsid w:val="00A53F1C"/>
    <w:rsid w:val="00A56A19"/>
    <w:rsid w:val="00A605B8"/>
    <w:rsid w:val="00A645AD"/>
    <w:rsid w:val="00A66E63"/>
    <w:rsid w:val="00A66FD0"/>
    <w:rsid w:val="00A7000B"/>
    <w:rsid w:val="00A70CA6"/>
    <w:rsid w:val="00A73730"/>
    <w:rsid w:val="00A738C1"/>
    <w:rsid w:val="00A75130"/>
    <w:rsid w:val="00A75B61"/>
    <w:rsid w:val="00A76359"/>
    <w:rsid w:val="00A800A5"/>
    <w:rsid w:val="00A803B7"/>
    <w:rsid w:val="00A80A61"/>
    <w:rsid w:val="00A81014"/>
    <w:rsid w:val="00A84E12"/>
    <w:rsid w:val="00A84EF0"/>
    <w:rsid w:val="00A85872"/>
    <w:rsid w:val="00A872BC"/>
    <w:rsid w:val="00A9285F"/>
    <w:rsid w:val="00A95225"/>
    <w:rsid w:val="00A97CE8"/>
    <w:rsid w:val="00AA0464"/>
    <w:rsid w:val="00AA08FB"/>
    <w:rsid w:val="00AA0AFE"/>
    <w:rsid w:val="00AA26B7"/>
    <w:rsid w:val="00AA4597"/>
    <w:rsid w:val="00AB0443"/>
    <w:rsid w:val="00AB127E"/>
    <w:rsid w:val="00AB2F38"/>
    <w:rsid w:val="00AB3FCB"/>
    <w:rsid w:val="00AB42D6"/>
    <w:rsid w:val="00AB4A3D"/>
    <w:rsid w:val="00AB4AF2"/>
    <w:rsid w:val="00AB583C"/>
    <w:rsid w:val="00AB63BD"/>
    <w:rsid w:val="00AB653C"/>
    <w:rsid w:val="00AB6CF5"/>
    <w:rsid w:val="00AB7042"/>
    <w:rsid w:val="00AB7AD7"/>
    <w:rsid w:val="00AB7CC1"/>
    <w:rsid w:val="00AC0462"/>
    <w:rsid w:val="00AC071E"/>
    <w:rsid w:val="00AC1122"/>
    <w:rsid w:val="00AC1915"/>
    <w:rsid w:val="00AC2F16"/>
    <w:rsid w:val="00AC3526"/>
    <w:rsid w:val="00AC4116"/>
    <w:rsid w:val="00AC4616"/>
    <w:rsid w:val="00AC4B85"/>
    <w:rsid w:val="00AC5657"/>
    <w:rsid w:val="00AC672A"/>
    <w:rsid w:val="00AC693B"/>
    <w:rsid w:val="00AC6A9D"/>
    <w:rsid w:val="00AD10AC"/>
    <w:rsid w:val="00AD14B5"/>
    <w:rsid w:val="00AD4DA0"/>
    <w:rsid w:val="00AD66D6"/>
    <w:rsid w:val="00AD6A9E"/>
    <w:rsid w:val="00AE0C44"/>
    <w:rsid w:val="00AE1D5A"/>
    <w:rsid w:val="00AE2B00"/>
    <w:rsid w:val="00AE4B30"/>
    <w:rsid w:val="00AE4F0E"/>
    <w:rsid w:val="00AE5135"/>
    <w:rsid w:val="00AE6B34"/>
    <w:rsid w:val="00AE6BA0"/>
    <w:rsid w:val="00AF07B4"/>
    <w:rsid w:val="00AF1876"/>
    <w:rsid w:val="00AF79F8"/>
    <w:rsid w:val="00B02E0B"/>
    <w:rsid w:val="00B045B0"/>
    <w:rsid w:val="00B064BB"/>
    <w:rsid w:val="00B068D0"/>
    <w:rsid w:val="00B06C11"/>
    <w:rsid w:val="00B074F9"/>
    <w:rsid w:val="00B07C40"/>
    <w:rsid w:val="00B10257"/>
    <w:rsid w:val="00B1304C"/>
    <w:rsid w:val="00B133D1"/>
    <w:rsid w:val="00B159B0"/>
    <w:rsid w:val="00B15D00"/>
    <w:rsid w:val="00B16688"/>
    <w:rsid w:val="00B177FC"/>
    <w:rsid w:val="00B20466"/>
    <w:rsid w:val="00B20A02"/>
    <w:rsid w:val="00B24633"/>
    <w:rsid w:val="00B25347"/>
    <w:rsid w:val="00B25BFA"/>
    <w:rsid w:val="00B2666F"/>
    <w:rsid w:val="00B27874"/>
    <w:rsid w:val="00B307E4"/>
    <w:rsid w:val="00B31212"/>
    <w:rsid w:val="00B32BB6"/>
    <w:rsid w:val="00B33122"/>
    <w:rsid w:val="00B33C5A"/>
    <w:rsid w:val="00B3633A"/>
    <w:rsid w:val="00B404F7"/>
    <w:rsid w:val="00B41860"/>
    <w:rsid w:val="00B43844"/>
    <w:rsid w:val="00B523FB"/>
    <w:rsid w:val="00B55D52"/>
    <w:rsid w:val="00B56BEF"/>
    <w:rsid w:val="00B600F9"/>
    <w:rsid w:val="00B60E77"/>
    <w:rsid w:val="00B62AC9"/>
    <w:rsid w:val="00B63764"/>
    <w:rsid w:val="00B64A97"/>
    <w:rsid w:val="00B65C12"/>
    <w:rsid w:val="00B67F2B"/>
    <w:rsid w:val="00B70C83"/>
    <w:rsid w:val="00B717FC"/>
    <w:rsid w:val="00B71A82"/>
    <w:rsid w:val="00B72A7C"/>
    <w:rsid w:val="00B73EFA"/>
    <w:rsid w:val="00B7482C"/>
    <w:rsid w:val="00B74AD1"/>
    <w:rsid w:val="00B75338"/>
    <w:rsid w:val="00B75E9D"/>
    <w:rsid w:val="00B82D79"/>
    <w:rsid w:val="00B834D3"/>
    <w:rsid w:val="00B83773"/>
    <w:rsid w:val="00B83A91"/>
    <w:rsid w:val="00B84EAE"/>
    <w:rsid w:val="00B85E2B"/>
    <w:rsid w:val="00B86E6F"/>
    <w:rsid w:val="00B901AA"/>
    <w:rsid w:val="00B90A6E"/>
    <w:rsid w:val="00B90DA6"/>
    <w:rsid w:val="00B93F3C"/>
    <w:rsid w:val="00B94A45"/>
    <w:rsid w:val="00B94EDA"/>
    <w:rsid w:val="00BA0A61"/>
    <w:rsid w:val="00BA0D58"/>
    <w:rsid w:val="00BA180E"/>
    <w:rsid w:val="00BA188A"/>
    <w:rsid w:val="00BA2753"/>
    <w:rsid w:val="00BA4912"/>
    <w:rsid w:val="00BA53D8"/>
    <w:rsid w:val="00BA56BC"/>
    <w:rsid w:val="00BA59CB"/>
    <w:rsid w:val="00BA69C1"/>
    <w:rsid w:val="00BA6A96"/>
    <w:rsid w:val="00BA7EE6"/>
    <w:rsid w:val="00BB30CC"/>
    <w:rsid w:val="00BB395B"/>
    <w:rsid w:val="00BB3DE8"/>
    <w:rsid w:val="00BB4025"/>
    <w:rsid w:val="00BB606D"/>
    <w:rsid w:val="00BB72BA"/>
    <w:rsid w:val="00BB79B0"/>
    <w:rsid w:val="00BB7BF9"/>
    <w:rsid w:val="00BC056D"/>
    <w:rsid w:val="00BC0DC9"/>
    <w:rsid w:val="00BC3EC1"/>
    <w:rsid w:val="00BC66B4"/>
    <w:rsid w:val="00BD146B"/>
    <w:rsid w:val="00BD1A78"/>
    <w:rsid w:val="00BD2489"/>
    <w:rsid w:val="00BD28ED"/>
    <w:rsid w:val="00BD2B90"/>
    <w:rsid w:val="00BD3763"/>
    <w:rsid w:val="00BD5A40"/>
    <w:rsid w:val="00BE2D7C"/>
    <w:rsid w:val="00BE3138"/>
    <w:rsid w:val="00BE3437"/>
    <w:rsid w:val="00BE397D"/>
    <w:rsid w:val="00BE3A8F"/>
    <w:rsid w:val="00BE3AB8"/>
    <w:rsid w:val="00BE704C"/>
    <w:rsid w:val="00BE7F02"/>
    <w:rsid w:val="00BF1FD8"/>
    <w:rsid w:val="00BF3349"/>
    <w:rsid w:val="00BF36E7"/>
    <w:rsid w:val="00BF3AE8"/>
    <w:rsid w:val="00BF7090"/>
    <w:rsid w:val="00BF74B0"/>
    <w:rsid w:val="00BF7D96"/>
    <w:rsid w:val="00C02361"/>
    <w:rsid w:val="00C03ACC"/>
    <w:rsid w:val="00C05BBD"/>
    <w:rsid w:val="00C104AE"/>
    <w:rsid w:val="00C10DAA"/>
    <w:rsid w:val="00C12BF0"/>
    <w:rsid w:val="00C13214"/>
    <w:rsid w:val="00C144CB"/>
    <w:rsid w:val="00C210D0"/>
    <w:rsid w:val="00C219F8"/>
    <w:rsid w:val="00C21EA4"/>
    <w:rsid w:val="00C22662"/>
    <w:rsid w:val="00C26DE6"/>
    <w:rsid w:val="00C2705A"/>
    <w:rsid w:val="00C27BA8"/>
    <w:rsid w:val="00C30B9C"/>
    <w:rsid w:val="00C31BCD"/>
    <w:rsid w:val="00C32165"/>
    <w:rsid w:val="00C3273D"/>
    <w:rsid w:val="00C328E3"/>
    <w:rsid w:val="00C32CDD"/>
    <w:rsid w:val="00C34846"/>
    <w:rsid w:val="00C34973"/>
    <w:rsid w:val="00C34A02"/>
    <w:rsid w:val="00C34DEC"/>
    <w:rsid w:val="00C35004"/>
    <w:rsid w:val="00C379E1"/>
    <w:rsid w:val="00C37D12"/>
    <w:rsid w:val="00C37D56"/>
    <w:rsid w:val="00C37EF5"/>
    <w:rsid w:val="00C410A8"/>
    <w:rsid w:val="00C425DC"/>
    <w:rsid w:val="00C444C2"/>
    <w:rsid w:val="00C44CC4"/>
    <w:rsid w:val="00C4551C"/>
    <w:rsid w:val="00C45AC6"/>
    <w:rsid w:val="00C47D85"/>
    <w:rsid w:val="00C52A27"/>
    <w:rsid w:val="00C53C26"/>
    <w:rsid w:val="00C55B2B"/>
    <w:rsid w:val="00C56112"/>
    <w:rsid w:val="00C56697"/>
    <w:rsid w:val="00C56D44"/>
    <w:rsid w:val="00C5796F"/>
    <w:rsid w:val="00C57AA9"/>
    <w:rsid w:val="00C62370"/>
    <w:rsid w:val="00C653FB"/>
    <w:rsid w:val="00C6581F"/>
    <w:rsid w:val="00C6787E"/>
    <w:rsid w:val="00C67A1C"/>
    <w:rsid w:val="00C709D6"/>
    <w:rsid w:val="00C70C2C"/>
    <w:rsid w:val="00C7148E"/>
    <w:rsid w:val="00C7258C"/>
    <w:rsid w:val="00C7696A"/>
    <w:rsid w:val="00C77568"/>
    <w:rsid w:val="00C81181"/>
    <w:rsid w:val="00C8137B"/>
    <w:rsid w:val="00C81B4B"/>
    <w:rsid w:val="00C81F8E"/>
    <w:rsid w:val="00C82CBF"/>
    <w:rsid w:val="00C860A1"/>
    <w:rsid w:val="00C86A4E"/>
    <w:rsid w:val="00C86E7A"/>
    <w:rsid w:val="00C87EB5"/>
    <w:rsid w:val="00C9041C"/>
    <w:rsid w:val="00C91F84"/>
    <w:rsid w:val="00C925C1"/>
    <w:rsid w:val="00C92605"/>
    <w:rsid w:val="00C93822"/>
    <w:rsid w:val="00C9483A"/>
    <w:rsid w:val="00C95419"/>
    <w:rsid w:val="00C95F56"/>
    <w:rsid w:val="00C976EC"/>
    <w:rsid w:val="00C97C87"/>
    <w:rsid w:val="00C97D5B"/>
    <w:rsid w:val="00CA4151"/>
    <w:rsid w:val="00CA44AE"/>
    <w:rsid w:val="00CA45A1"/>
    <w:rsid w:val="00CA5D72"/>
    <w:rsid w:val="00CA6E90"/>
    <w:rsid w:val="00CB1F1B"/>
    <w:rsid w:val="00CB3674"/>
    <w:rsid w:val="00CB4DA2"/>
    <w:rsid w:val="00CB6A88"/>
    <w:rsid w:val="00CB6BCD"/>
    <w:rsid w:val="00CC0843"/>
    <w:rsid w:val="00CC2960"/>
    <w:rsid w:val="00CC3104"/>
    <w:rsid w:val="00CC412D"/>
    <w:rsid w:val="00CD093B"/>
    <w:rsid w:val="00CD4D63"/>
    <w:rsid w:val="00CD52CD"/>
    <w:rsid w:val="00CD5D0B"/>
    <w:rsid w:val="00CD6523"/>
    <w:rsid w:val="00CD6C37"/>
    <w:rsid w:val="00CD7266"/>
    <w:rsid w:val="00CE26EE"/>
    <w:rsid w:val="00CE3BE1"/>
    <w:rsid w:val="00CE45C3"/>
    <w:rsid w:val="00CE50BC"/>
    <w:rsid w:val="00CE650E"/>
    <w:rsid w:val="00CE70DC"/>
    <w:rsid w:val="00CE7EC0"/>
    <w:rsid w:val="00CF0DC3"/>
    <w:rsid w:val="00CF128E"/>
    <w:rsid w:val="00CF3248"/>
    <w:rsid w:val="00CF46A7"/>
    <w:rsid w:val="00CF4746"/>
    <w:rsid w:val="00CF54FB"/>
    <w:rsid w:val="00CF68A4"/>
    <w:rsid w:val="00D0053C"/>
    <w:rsid w:val="00D015D5"/>
    <w:rsid w:val="00D03639"/>
    <w:rsid w:val="00D047E0"/>
    <w:rsid w:val="00D062E1"/>
    <w:rsid w:val="00D07714"/>
    <w:rsid w:val="00D12626"/>
    <w:rsid w:val="00D148DD"/>
    <w:rsid w:val="00D16706"/>
    <w:rsid w:val="00D17164"/>
    <w:rsid w:val="00D20DA2"/>
    <w:rsid w:val="00D215F4"/>
    <w:rsid w:val="00D23FA7"/>
    <w:rsid w:val="00D259AA"/>
    <w:rsid w:val="00D27B98"/>
    <w:rsid w:val="00D30849"/>
    <w:rsid w:val="00D31633"/>
    <w:rsid w:val="00D33868"/>
    <w:rsid w:val="00D34E5D"/>
    <w:rsid w:val="00D371DE"/>
    <w:rsid w:val="00D40BC9"/>
    <w:rsid w:val="00D4372D"/>
    <w:rsid w:val="00D46F9D"/>
    <w:rsid w:val="00D47376"/>
    <w:rsid w:val="00D518FA"/>
    <w:rsid w:val="00D52236"/>
    <w:rsid w:val="00D52BC7"/>
    <w:rsid w:val="00D52F30"/>
    <w:rsid w:val="00D55504"/>
    <w:rsid w:val="00D56A2E"/>
    <w:rsid w:val="00D56DF8"/>
    <w:rsid w:val="00D574A2"/>
    <w:rsid w:val="00D617D5"/>
    <w:rsid w:val="00D61A80"/>
    <w:rsid w:val="00D61D57"/>
    <w:rsid w:val="00D63DB7"/>
    <w:rsid w:val="00D655C6"/>
    <w:rsid w:val="00D74605"/>
    <w:rsid w:val="00D763E1"/>
    <w:rsid w:val="00D76671"/>
    <w:rsid w:val="00D771E9"/>
    <w:rsid w:val="00D80829"/>
    <w:rsid w:val="00D81551"/>
    <w:rsid w:val="00D8156D"/>
    <w:rsid w:val="00D81F33"/>
    <w:rsid w:val="00D82072"/>
    <w:rsid w:val="00D82450"/>
    <w:rsid w:val="00D825E3"/>
    <w:rsid w:val="00D83688"/>
    <w:rsid w:val="00D862DA"/>
    <w:rsid w:val="00D91265"/>
    <w:rsid w:val="00D923D0"/>
    <w:rsid w:val="00D924AB"/>
    <w:rsid w:val="00D92EFD"/>
    <w:rsid w:val="00D94804"/>
    <w:rsid w:val="00D94D8F"/>
    <w:rsid w:val="00D95293"/>
    <w:rsid w:val="00D95E77"/>
    <w:rsid w:val="00D967EA"/>
    <w:rsid w:val="00D970BE"/>
    <w:rsid w:val="00DA11E0"/>
    <w:rsid w:val="00DA1328"/>
    <w:rsid w:val="00DA155B"/>
    <w:rsid w:val="00DA2A89"/>
    <w:rsid w:val="00DB162E"/>
    <w:rsid w:val="00DB1F65"/>
    <w:rsid w:val="00DB4587"/>
    <w:rsid w:val="00DB4889"/>
    <w:rsid w:val="00DB4BAE"/>
    <w:rsid w:val="00DB53F3"/>
    <w:rsid w:val="00DB65B9"/>
    <w:rsid w:val="00DB662E"/>
    <w:rsid w:val="00DB72EC"/>
    <w:rsid w:val="00DB7C91"/>
    <w:rsid w:val="00DB7FF8"/>
    <w:rsid w:val="00DC0734"/>
    <w:rsid w:val="00DC08B1"/>
    <w:rsid w:val="00DC5D60"/>
    <w:rsid w:val="00DC7236"/>
    <w:rsid w:val="00DD05E9"/>
    <w:rsid w:val="00DD0781"/>
    <w:rsid w:val="00DD0E1D"/>
    <w:rsid w:val="00DD2134"/>
    <w:rsid w:val="00DD2F96"/>
    <w:rsid w:val="00DD3BE8"/>
    <w:rsid w:val="00DD4058"/>
    <w:rsid w:val="00DD45C9"/>
    <w:rsid w:val="00DD4D6A"/>
    <w:rsid w:val="00DD6E24"/>
    <w:rsid w:val="00DE0266"/>
    <w:rsid w:val="00DE0CFA"/>
    <w:rsid w:val="00DE230B"/>
    <w:rsid w:val="00DE3F89"/>
    <w:rsid w:val="00DE4166"/>
    <w:rsid w:val="00DE4168"/>
    <w:rsid w:val="00DE42BB"/>
    <w:rsid w:val="00DE5003"/>
    <w:rsid w:val="00DE67F5"/>
    <w:rsid w:val="00DE6A16"/>
    <w:rsid w:val="00DE76DB"/>
    <w:rsid w:val="00DF11B3"/>
    <w:rsid w:val="00DF16B0"/>
    <w:rsid w:val="00DF2830"/>
    <w:rsid w:val="00DF4315"/>
    <w:rsid w:val="00DF6488"/>
    <w:rsid w:val="00DF7595"/>
    <w:rsid w:val="00E00E04"/>
    <w:rsid w:val="00E028C1"/>
    <w:rsid w:val="00E02ED5"/>
    <w:rsid w:val="00E03944"/>
    <w:rsid w:val="00E05A13"/>
    <w:rsid w:val="00E118DB"/>
    <w:rsid w:val="00E140B7"/>
    <w:rsid w:val="00E143A9"/>
    <w:rsid w:val="00E14976"/>
    <w:rsid w:val="00E16708"/>
    <w:rsid w:val="00E16C3E"/>
    <w:rsid w:val="00E202D8"/>
    <w:rsid w:val="00E22215"/>
    <w:rsid w:val="00E23765"/>
    <w:rsid w:val="00E24CFF"/>
    <w:rsid w:val="00E256BF"/>
    <w:rsid w:val="00E30397"/>
    <w:rsid w:val="00E31E67"/>
    <w:rsid w:val="00E34D37"/>
    <w:rsid w:val="00E3545F"/>
    <w:rsid w:val="00E35807"/>
    <w:rsid w:val="00E42863"/>
    <w:rsid w:val="00E44969"/>
    <w:rsid w:val="00E44A97"/>
    <w:rsid w:val="00E4537A"/>
    <w:rsid w:val="00E45E6A"/>
    <w:rsid w:val="00E466B6"/>
    <w:rsid w:val="00E50EAC"/>
    <w:rsid w:val="00E512FE"/>
    <w:rsid w:val="00E52BC1"/>
    <w:rsid w:val="00E53C09"/>
    <w:rsid w:val="00E53F5C"/>
    <w:rsid w:val="00E54262"/>
    <w:rsid w:val="00E54544"/>
    <w:rsid w:val="00E54972"/>
    <w:rsid w:val="00E56865"/>
    <w:rsid w:val="00E57996"/>
    <w:rsid w:val="00E60AF9"/>
    <w:rsid w:val="00E6228A"/>
    <w:rsid w:val="00E62D41"/>
    <w:rsid w:val="00E6380E"/>
    <w:rsid w:val="00E63C6C"/>
    <w:rsid w:val="00E6405B"/>
    <w:rsid w:val="00E64C69"/>
    <w:rsid w:val="00E65331"/>
    <w:rsid w:val="00E65718"/>
    <w:rsid w:val="00E6604B"/>
    <w:rsid w:val="00E66373"/>
    <w:rsid w:val="00E66B10"/>
    <w:rsid w:val="00E6750B"/>
    <w:rsid w:val="00E678A2"/>
    <w:rsid w:val="00E6791B"/>
    <w:rsid w:val="00E7001B"/>
    <w:rsid w:val="00E70C9D"/>
    <w:rsid w:val="00E72C84"/>
    <w:rsid w:val="00E75044"/>
    <w:rsid w:val="00E7667C"/>
    <w:rsid w:val="00E77047"/>
    <w:rsid w:val="00E774FD"/>
    <w:rsid w:val="00E80235"/>
    <w:rsid w:val="00E812D0"/>
    <w:rsid w:val="00E8171F"/>
    <w:rsid w:val="00E818AC"/>
    <w:rsid w:val="00E81D34"/>
    <w:rsid w:val="00E83380"/>
    <w:rsid w:val="00E83633"/>
    <w:rsid w:val="00E8366C"/>
    <w:rsid w:val="00E84ECD"/>
    <w:rsid w:val="00E853EE"/>
    <w:rsid w:val="00E866B7"/>
    <w:rsid w:val="00E866DA"/>
    <w:rsid w:val="00E93039"/>
    <w:rsid w:val="00E94CD4"/>
    <w:rsid w:val="00E97F6D"/>
    <w:rsid w:val="00EA11C1"/>
    <w:rsid w:val="00EA180C"/>
    <w:rsid w:val="00EA1D3C"/>
    <w:rsid w:val="00EA6340"/>
    <w:rsid w:val="00EB0B36"/>
    <w:rsid w:val="00EB103B"/>
    <w:rsid w:val="00EB20AD"/>
    <w:rsid w:val="00EB2AEA"/>
    <w:rsid w:val="00EB2D53"/>
    <w:rsid w:val="00EB3438"/>
    <w:rsid w:val="00EB3913"/>
    <w:rsid w:val="00EB4267"/>
    <w:rsid w:val="00EB48F9"/>
    <w:rsid w:val="00EB4DD9"/>
    <w:rsid w:val="00EC059C"/>
    <w:rsid w:val="00EC0A70"/>
    <w:rsid w:val="00EC3284"/>
    <w:rsid w:val="00EC5BA6"/>
    <w:rsid w:val="00EC78A3"/>
    <w:rsid w:val="00ED798A"/>
    <w:rsid w:val="00EE016F"/>
    <w:rsid w:val="00EE0251"/>
    <w:rsid w:val="00EE2A58"/>
    <w:rsid w:val="00EE35A5"/>
    <w:rsid w:val="00EE7180"/>
    <w:rsid w:val="00EE72E9"/>
    <w:rsid w:val="00EE7F76"/>
    <w:rsid w:val="00EF01CA"/>
    <w:rsid w:val="00EF1102"/>
    <w:rsid w:val="00EF1378"/>
    <w:rsid w:val="00EF2AD8"/>
    <w:rsid w:val="00EF3291"/>
    <w:rsid w:val="00EF44DC"/>
    <w:rsid w:val="00EF68BF"/>
    <w:rsid w:val="00F01E13"/>
    <w:rsid w:val="00F0376B"/>
    <w:rsid w:val="00F04394"/>
    <w:rsid w:val="00F05559"/>
    <w:rsid w:val="00F0596C"/>
    <w:rsid w:val="00F06091"/>
    <w:rsid w:val="00F0697E"/>
    <w:rsid w:val="00F07867"/>
    <w:rsid w:val="00F07F8B"/>
    <w:rsid w:val="00F1011F"/>
    <w:rsid w:val="00F10CD0"/>
    <w:rsid w:val="00F11DE9"/>
    <w:rsid w:val="00F143AE"/>
    <w:rsid w:val="00F152DF"/>
    <w:rsid w:val="00F1701C"/>
    <w:rsid w:val="00F17EF1"/>
    <w:rsid w:val="00F21C52"/>
    <w:rsid w:val="00F223FA"/>
    <w:rsid w:val="00F23B36"/>
    <w:rsid w:val="00F2437D"/>
    <w:rsid w:val="00F256A9"/>
    <w:rsid w:val="00F26C42"/>
    <w:rsid w:val="00F30A8B"/>
    <w:rsid w:val="00F310E1"/>
    <w:rsid w:val="00F32D3C"/>
    <w:rsid w:val="00F3493F"/>
    <w:rsid w:val="00F34E5E"/>
    <w:rsid w:val="00F351DF"/>
    <w:rsid w:val="00F3526D"/>
    <w:rsid w:val="00F35F8D"/>
    <w:rsid w:val="00F374C3"/>
    <w:rsid w:val="00F378A0"/>
    <w:rsid w:val="00F448A8"/>
    <w:rsid w:val="00F45096"/>
    <w:rsid w:val="00F45D54"/>
    <w:rsid w:val="00F46B1D"/>
    <w:rsid w:val="00F52239"/>
    <w:rsid w:val="00F52876"/>
    <w:rsid w:val="00F530AE"/>
    <w:rsid w:val="00F53270"/>
    <w:rsid w:val="00F554E7"/>
    <w:rsid w:val="00F559C3"/>
    <w:rsid w:val="00F5615B"/>
    <w:rsid w:val="00F57722"/>
    <w:rsid w:val="00F619A4"/>
    <w:rsid w:val="00F63458"/>
    <w:rsid w:val="00F6396B"/>
    <w:rsid w:val="00F639B5"/>
    <w:rsid w:val="00F63AA2"/>
    <w:rsid w:val="00F6428E"/>
    <w:rsid w:val="00F65B86"/>
    <w:rsid w:val="00F66B15"/>
    <w:rsid w:val="00F66BF6"/>
    <w:rsid w:val="00F713C5"/>
    <w:rsid w:val="00F7255E"/>
    <w:rsid w:val="00F72BD8"/>
    <w:rsid w:val="00F734C3"/>
    <w:rsid w:val="00F74A1E"/>
    <w:rsid w:val="00F7517E"/>
    <w:rsid w:val="00F76DFD"/>
    <w:rsid w:val="00F81532"/>
    <w:rsid w:val="00F816E6"/>
    <w:rsid w:val="00F841AD"/>
    <w:rsid w:val="00F843D6"/>
    <w:rsid w:val="00F862B0"/>
    <w:rsid w:val="00F91EBC"/>
    <w:rsid w:val="00F92074"/>
    <w:rsid w:val="00F920C2"/>
    <w:rsid w:val="00F93A5D"/>
    <w:rsid w:val="00F954B5"/>
    <w:rsid w:val="00F959D1"/>
    <w:rsid w:val="00FA0D7A"/>
    <w:rsid w:val="00FA2445"/>
    <w:rsid w:val="00FA38C8"/>
    <w:rsid w:val="00FA407B"/>
    <w:rsid w:val="00FA41F6"/>
    <w:rsid w:val="00FA5780"/>
    <w:rsid w:val="00FA58FC"/>
    <w:rsid w:val="00FA676E"/>
    <w:rsid w:val="00FA6B51"/>
    <w:rsid w:val="00FA7CA6"/>
    <w:rsid w:val="00FA7E3F"/>
    <w:rsid w:val="00FB088F"/>
    <w:rsid w:val="00FB1D27"/>
    <w:rsid w:val="00FB403C"/>
    <w:rsid w:val="00FB69BB"/>
    <w:rsid w:val="00FB6F51"/>
    <w:rsid w:val="00FB79F3"/>
    <w:rsid w:val="00FC0F8E"/>
    <w:rsid w:val="00FC4DE7"/>
    <w:rsid w:val="00FC500A"/>
    <w:rsid w:val="00FC5F5C"/>
    <w:rsid w:val="00FC6A81"/>
    <w:rsid w:val="00FC6C11"/>
    <w:rsid w:val="00FC6E9D"/>
    <w:rsid w:val="00FC7589"/>
    <w:rsid w:val="00FC778E"/>
    <w:rsid w:val="00FC7D3A"/>
    <w:rsid w:val="00FD0134"/>
    <w:rsid w:val="00FD11A3"/>
    <w:rsid w:val="00FD22AF"/>
    <w:rsid w:val="00FD2413"/>
    <w:rsid w:val="00FD2B39"/>
    <w:rsid w:val="00FD2C3B"/>
    <w:rsid w:val="00FD3BCD"/>
    <w:rsid w:val="00FE13B0"/>
    <w:rsid w:val="00FE308B"/>
    <w:rsid w:val="00FE35C6"/>
    <w:rsid w:val="00FE458D"/>
    <w:rsid w:val="00FE75D1"/>
    <w:rsid w:val="00FF1A45"/>
    <w:rsid w:val="00FF1FF7"/>
    <w:rsid w:val="00FF2DC3"/>
    <w:rsid w:val="00FF4173"/>
    <w:rsid w:val="00FF5262"/>
    <w:rsid w:val="00FF5943"/>
    <w:rsid w:val="00FF5A73"/>
    <w:rsid w:val="00FF7E17"/>
    <w:rsid w:val="021C21E7"/>
    <w:rsid w:val="023A2E2C"/>
    <w:rsid w:val="024737BC"/>
    <w:rsid w:val="0339199B"/>
    <w:rsid w:val="04CF481B"/>
    <w:rsid w:val="055238A3"/>
    <w:rsid w:val="06164F56"/>
    <w:rsid w:val="07DA6D82"/>
    <w:rsid w:val="08026668"/>
    <w:rsid w:val="09694018"/>
    <w:rsid w:val="0A191FEC"/>
    <w:rsid w:val="0A7F09E6"/>
    <w:rsid w:val="0BF16E09"/>
    <w:rsid w:val="0C5361FA"/>
    <w:rsid w:val="0C957C2E"/>
    <w:rsid w:val="0D6358AB"/>
    <w:rsid w:val="0D77267A"/>
    <w:rsid w:val="0EE053D2"/>
    <w:rsid w:val="0F2B4253"/>
    <w:rsid w:val="11485C37"/>
    <w:rsid w:val="126A1B65"/>
    <w:rsid w:val="12747D7D"/>
    <w:rsid w:val="12B00485"/>
    <w:rsid w:val="12D96AE3"/>
    <w:rsid w:val="13B1655E"/>
    <w:rsid w:val="13B91233"/>
    <w:rsid w:val="14E8498B"/>
    <w:rsid w:val="152C2CD2"/>
    <w:rsid w:val="153D1B8E"/>
    <w:rsid w:val="15742B2E"/>
    <w:rsid w:val="16D84D00"/>
    <w:rsid w:val="16E52A43"/>
    <w:rsid w:val="16EE2793"/>
    <w:rsid w:val="1867206B"/>
    <w:rsid w:val="18830246"/>
    <w:rsid w:val="19004638"/>
    <w:rsid w:val="195C5947"/>
    <w:rsid w:val="197B5387"/>
    <w:rsid w:val="19C705AD"/>
    <w:rsid w:val="1B0E5A7A"/>
    <w:rsid w:val="1B285AE1"/>
    <w:rsid w:val="1CEF1518"/>
    <w:rsid w:val="1D2E512B"/>
    <w:rsid w:val="1E7330E5"/>
    <w:rsid w:val="1E854FF8"/>
    <w:rsid w:val="1F1C1A28"/>
    <w:rsid w:val="1F5A0134"/>
    <w:rsid w:val="1F6348E4"/>
    <w:rsid w:val="1F8668FF"/>
    <w:rsid w:val="20224CC1"/>
    <w:rsid w:val="20E94426"/>
    <w:rsid w:val="217253F2"/>
    <w:rsid w:val="222C5B99"/>
    <w:rsid w:val="22331AEF"/>
    <w:rsid w:val="22AC7E3E"/>
    <w:rsid w:val="243B796B"/>
    <w:rsid w:val="24E97293"/>
    <w:rsid w:val="258252AA"/>
    <w:rsid w:val="25BF5294"/>
    <w:rsid w:val="26756174"/>
    <w:rsid w:val="267B756D"/>
    <w:rsid w:val="27583DCB"/>
    <w:rsid w:val="28047D67"/>
    <w:rsid w:val="288A7E1F"/>
    <w:rsid w:val="289A5954"/>
    <w:rsid w:val="28CD4DF8"/>
    <w:rsid w:val="2917568E"/>
    <w:rsid w:val="297E178F"/>
    <w:rsid w:val="29D356AD"/>
    <w:rsid w:val="2A0E778D"/>
    <w:rsid w:val="2A541155"/>
    <w:rsid w:val="2B5167B5"/>
    <w:rsid w:val="2BBC1662"/>
    <w:rsid w:val="2BD90319"/>
    <w:rsid w:val="2C2E754B"/>
    <w:rsid w:val="2CCD136F"/>
    <w:rsid w:val="2CEB2E12"/>
    <w:rsid w:val="2D297748"/>
    <w:rsid w:val="2D2A7C52"/>
    <w:rsid w:val="2D38289E"/>
    <w:rsid w:val="2D7B5F44"/>
    <w:rsid w:val="2E1D27AF"/>
    <w:rsid w:val="2E362BA9"/>
    <w:rsid w:val="2EA73716"/>
    <w:rsid w:val="30E6493A"/>
    <w:rsid w:val="311F205E"/>
    <w:rsid w:val="327F135A"/>
    <w:rsid w:val="331B6501"/>
    <w:rsid w:val="336B1473"/>
    <w:rsid w:val="34C12764"/>
    <w:rsid w:val="34EA7A1E"/>
    <w:rsid w:val="354A59C6"/>
    <w:rsid w:val="35551CA0"/>
    <w:rsid w:val="36A77C00"/>
    <w:rsid w:val="36F3736F"/>
    <w:rsid w:val="37225C1C"/>
    <w:rsid w:val="375872F6"/>
    <w:rsid w:val="376E0A72"/>
    <w:rsid w:val="37983D42"/>
    <w:rsid w:val="37DD1DEF"/>
    <w:rsid w:val="37FA4319"/>
    <w:rsid w:val="381F3470"/>
    <w:rsid w:val="38E45431"/>
    <w:rsid w:val="3902751A"/>
    <w:rsid w:val="39E27207"/>
    <w:rsid w:val="3A0E3D7F"/>
    <w:rsid w:val="3A1967BD"/>
    <w:rsid w:val="3ACA7BAC"/>
    <w:rsid w:val="3B0C58DD"/>
    <w:rsid w:val="3B8561E0"/>
    <w:rsid w:val="3B975572"/>
    <w:rsid w:val="3C791504"/>
    <w:rsid w:val="3D452D98"/>
    <w:rsid w:val="3ED80E13"/>
    <w:rsid w:val="3FA12AE7"/>
    <w:rsid w:val="41391F47"/>
    <w:rsid w:val="4186502C"/>
    <w:rsid w:val="4330346A"/>
    <w:rsid w:val="43776E26"/>
    <w:rsid w:val="43C5407F"/>
    <w:rsid w:val="448D16D6"/>
    <w:rsid w:val="44B51A44"/>
    <w:rsid w:val="450C5A74"/>
    <w:rsid w:val="45105C52"/>
    <w:rsid w:val="45D34A34"/>
    <w:rsid w:val="46830090"/>
    <w:rsid w:val="47435185"/>
    <w:rsid w:val="4772665A"/>
    <w:rsid w:val="47A36E74"/>
    <w:rsid w:val="47E96303"/>
    <w:rsid w:val="47F46BC7"/>
    <w:rsid w:val="48735D3E"/>
    <w:rsid w:val="48D06FFE"/>
    <w:rsid w:val="495F0E1B"/>
    <w:rsid w:val="49BE748D"/>
    <w:rsid w:val="49EC2383"/>
    <w:rsid w:val="4AD52CE0"/>
    <w:rsid w:val="4B0B4954"/>
    <w:rsid w:val="4BE506E1"/>
    <w:rsid w:val="4C2B1AAF"/>
    <w:rsid w:val="4C9A38A4"/>
    <w:rsid w:val="4CB2108E"/>
    <w:rsid w:val="4CD64AED"/>
    <w:rsid w:val="4D0B07E0"/>
    <w:rsid w:val="4D2964E3"/>
    <w:rsid w:val="4DE3275E"/>
    <w:rsid w:val="4DEF2DCB"/>
    <w:rsid w:val="4E4F65C6"/>
    <w:rsid w:val="4EFF388D"/>
    <w:rsid w:val="50E449C6"/>
    <w:rsid w:val="51F95026"/>
    <w:rsid w:val="52B93069"/>
    <w:rsid w:val="52DD06F1"/>
    <w:rsid w:val="534E5FDD"/>
    <w:rsid w:val="539411E0"/>
    <w:rsid w:val="53A36759"/>
    <w:rsid w:val="53CA72F5"/>
    <w:rsid w:val="54122549"/>
    <w:rsid w:val="541330D5"/>
    <w:rsid w:val="54A91265"/>
    <w:rsid w:val="54C776D7"/>
    <w:rsid w:val="55C55442"/>
    <w:rsid w:val="55CF0A92"/>
    <w:rsid w:val="569C630A"/>
    <w:rsid w:val="56D471B9"/>
    <w:rsid w:val="5741113E"/>
    <w:rsid w:val="58817EFF"/>
    <w:rsid w:val="59653481"/>
    <w:rsid w:val="5A037552"/>
    <w:rsid w:val="5AA00579"/>
    <w:rsid w:val="5ABC4DE1"/>
    <w:rsid w:val="5ACE46A6"/>
    <w:rsid w:val="5B8D2D21"/>
    <w:rsid w:val="5C657950"/>
    <w:rsid w:val="5C982E14"/>
    <w:rsid w:val="5CA60A2B"/>
    <w:rsid w:val="5CDB0592"/>
    <w:rsid w:val="5DD4783F"/>
    <w:rsid w:val="5DF24B50"/>
    <w:rsid w:val="5E423CC7"/>
    <w:rsid w:val="5E605E0D"/>
    <w:rsid w:val="5EF22C19"/>
    <w:rsid w:val="5F0720C0"/>
    <w:rsid w:val="5F0C1449"/>
    <w:rsid w:val="5F477198"/>
    <w:rsid w:val="5F994D4B"/>
    <w:rsid w:val="5FB962D5"/>
    <w:rsid w:val="60206B9C"/>
    <w:rsid w:val="617050B9"/>
    <w:rsid w:val="61B91604"/>
    <w:rsid w:val="62A81F07"/>
    <w:rsid w:val="62FC61E6"/>
    <w:rsid w:val="631338FF"/>
    <w:rsid w:val="63AB23D8"/>
    <w:rsid w:val="63AD43A2"/>
    <w:rsid w:val="6470105F"/>
    <w:rsid w:val="656D47A5"/>
    <w:rsid w:val="66F35123"/>
    <w:rsid w:val="67174B7D"/>
    <w:rsid w:val="68711225"/>
    <w:rsid w:val="68AF3C67"/>
    <w:rsid w:val="69061E11"/>
    <w:rsid w:val="6A0B5B1A"/>
    <w:rsid w:val="6A5D1F52"/>
    <w:rsid w:val="6AD07D8E"/>
    <w:rsid w:val="6AFE2D65"/>
    <w:rsid w:val="6B0E00E5"/>
    <w:rsid w:val="6B251DCB"/>
    <w:rsid w:val="6BBF1117"/>
    <w:rsid w:val="6BCD4ADA"/>
    <w:rsid w:val="6BD448E4"/>
    <w:rsid w:val="6C301164"/>
    <w:rsid w:val="6C382C77"/>
    <w:rsid w:val="6C534CD6"/>
    <w:rsid w:val="6C651A2B"/>
    <w:rsid w:val="6CDE742D"/>
    <w:rsid w:val="6D431148"/>
    <w:rsid w:val="6D4D272D"/>
    <w:rsid w:val="6D532F72"/>
    <w:rsid w:val="6DB85CAB"/>
    <w:rsid w:val="6DF05A97"/>
    <w:rsid w:val="6F7826BA"/>
    <w:rsid w:val="6FAC6BCC"/>
    <w:rsid w:val="6FCE356B"/>
    <w:rsid w:val="71695B67"/>
    <w:rsid w:val="717413BA"/>
    <w:rsid w:val="72D2080E"/>
    <w:rsid w:val="730D4025"/>
    <w:rsid w:val="73CE4D80"/>
    <w:rsid w:val="740B754B"/>
    <w:rsid w:val="74135BE1"/>
    <w:rsid w:val="74BC3D9E"/>
    <w:rsid w:val="75E46B48"/>
    <w:rsid w:val="766133B3"/>
    <w:rsid w:val="77091498"/>
    <w:rsid w:val="770C4F72"/>
    <w:rsid w:val="77575B8F"/>
    <w:rsid w:val="791D0378"/>
    <w:rsid w:val="798126C5"/>
    <w:rsid w:val="79A228E7"/>
    <w:rsid w:val="7AF04A5C"/>
    <w:rsid w:val="7B5B0543"/>
    <w:rsid w:val="7B614FBB"/>
    <w:rsid w:val="7CB91D79"/>
    <w:rsid w:val="7D083FA0"/>
    <w:rsid w:val="7D536DD9"/>
    <w:rsid w:val="7DA23B0D"/>
    <w:rsid w:val="7DFA7D8C"/>
    <w:rsid w:val="7E0331EF"/>
    <w:rsid w:val="7EBC3294"/>
    <w:rsid w:val="7EC27EA3"/>
    <w:rsid w:val="7F405C73"/>
    <w:rsid w:val="7F76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6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65"/>
    <w:qFormat/>
    <w:uiPriority w:val="0"/>
    <w:pPr>
      <w:keepNext/>
      <w:keepLines/>
      <w:spacing w:before="280" w:after="290" w:line="372" w:lineRule="auto"/>
      <w:outlineLvl w:val="3"/>
    </w:pPr>
    <w:rPr>
      <w:rFonts w:ascii="Arial" w:hAnsi="Arial" w:eastAsia="黑体"/>
      <w:b/>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link w:val="83"/>
    <w:qFormat/>
    <w:uiPriority w:val="99"/>
    <w:pPr>
      <w:ind w:firstLine="420"/>
    </w:pPr>
    <w:rPr>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55"/>
    <w:unhideWhenUsed/>
    <w:qFormat/>
    <w:uiPriority w:val="0"/>
    <w:rPr>
      <w:rFonts w:ascii="宋体"/>
      <w:sz w:val="18"/>
      <w:szCs w:val="18"/>
    </w:rPr>
  </w:style>
  <w:style w:type="paragraph" w:styleId="10">
    <w:name w:val="annotation text"/>
    <w:basedOn w:val="1"/>
    <w:link w:val="52"/>
    <w:unhideWhenUsed/>
    <w:qFormat/>
    <w:uiPriority w:val="0"/>
    <w:pPr>
      <w:jc w:val="left"/>
    </w:pPr>
  </w:style>
  <w:style w:type="paragraph" w:styleId="11">
    <w:name w:val="Body Text 3"/>
    <w:basedOn w:val="1"/>
    <w:link w:val="99"/>
    <w:qFormat/>
    <w:uiPriority w:val="0"/>
    <w:pPr>
      <w:spacing w:after="120"/>
    </w:pPr>
    <w:rPr>
      <w:sz w:val="16"/>
      <w:szCs w:val="16"/>
    </w:rPr>
  </w:style>
  <w:style w:type="paragraph" w:styleId="12">
    <w:name w:val="Body Text"/>
    <w:basedOn w:val="1"/>
    <w:link w:val="104"/>
    <w:qFormat/>
    <w:uiPriority w:val="0"/>
    <w:pPr>
      <w:spacing w:line="360" w:lineRule="auto"/>
    </w:pPr>
    <w:rPr>
      <w:szCs w:val="20"/>
    </w:rPr>
  </w:style>
  <w:style w:type="paragraph" w:styleId="13">
    <w:name w:val="Body Text Indent"/>
    <w:basedOn w:val="1"/>
    <w:link w:val="109"/>
    <w:qFormat/>
    <w:uiPriority w:val="0"/>
    <w:pPr>
      <w:ind w:firstLine="830" w:firstLineChars="352"/>
    </w:pPr>
    <w:rPr>
      <w:rFonts w:ascii="仿宋_GB2312" w:eastAsia="仿宋_GB2312"/>
      <w:sz w:val="32"/>
      <w:szCs w:val="20"/>
    </w:rPr>
  </w:style>
  <w:style w:type="paragraph" w:styleId="14">
    <w:name w:val="toc 5"/>
    <w:basedOn w:val="1"/>
    <w:next w:val="1"/>
    <w:qFormat/>
    <w:uiPriority w:val="39"/>
    <w:pPr>
      <w:ind w:left="840"/>
      <w:jc w:val="left"/>
    </w:pPr>
    <w:rPr>
      <w:sz w:val="18"/>
      <w:szCs w:val="18"/>
    </w:rPr>
  </w:style>
  <w:style w:type="paragraph" w:styleId="15">
    <w:name w:val="toc 3"/>
    <w:basedOn w:val="1"/>
    <w:next w:val="1"/>
    <w:qFormat/>
    <w:uiPriority w:val="39"/>
    <w:pPr>
      <w:spacing w:line="300" w:lineRule="auto"/>
      <w:ind w:left="420"/>
      <w:jc w:val="left"/>
    </w:pPr>
    <w:rPr>
      <w:i/>
      <w:iCs/>
      <w:szCs w:val="20"/>
    </w:rPr>
  </w:style>
  <w:style w:type="paragraph" w:styleId="16">
    <w:name w:val="Plain Text"/>
    <w:basedOn w:val="1"/>
    <w:link w:val="54"/>
    <w:qFormat/>
    <w:uiPriority w:val="99"/>
    <w:rPr>
      <w:rFonts w:ascii="宋体" w:hAnsi="Courier New"/>
      <w:kern w:val="0"/>
      <w:sz w:val="20"/>
      <w:szCs w:val="21"/>
    </w:rPr>
  </w:style>
  <w:style w:type="paragraph" w:styleId="17">
    <w:name w:val="toc 8"/>
    <w:basedOn w:val="1"/>
    <w:next w:val="1"/>
    <w:qFormat/>
    <w:uiPriority w:val="39"/>
    <w:pPr>
      <w:ind w:left="1470"/>
      <w:jc w:val="left"/>
    </w:pPr>
    <w:rPr>
      <w:sz w:val="18"/>
      <w:szCs w:val="18"/>
    </w:rPr>
  </w:style>
  <w:style w:type="paragraph" w:styleId="18">
    <w:name w:val="Date"/>
    <w:basedOn w:val="1"/>
    <w:next w:val="1"/>
    <w:link w:val="66"/>
    <w:qFormat/>
    <w:uiPriority w:val="0"/>
    <w:rPr>
      <w:rFonts w:ascii="Calibri" w:hAnsi="Calibri"/>
      <w:szCs w:val="20"/>
    </w:rPr>
  </w:style>
  <w:style w:type="paragraph" w:styleId="19">
    <w:name w:val="Balloon Text"/>
    <w:basedOn w:val="1"/>
    <w:link w:val="47"/>
    <w:unhideWhenUsed/>
    <w:qFormat/>
    <w:uiPriority w:val="0"/>
    <w:rPr>
      <w:kern w:val="0"/>
      <w:sz w:val="18"/>
      <w:szCs w:val="18"/>
    </w:rPr>
  </w:style>
  <w:style w:type="paragraph" w:styleId="20">
    <w:name w:val="footer"/>
    <w:basedOn w:val="1"/>
    <w:link w:val="46"/>
    <w:unhideWhenUsed/>
    <w:qFormat/>
    <w:uiPriority w:val="99"/>
    <w:pPr>
      <w:tabs>
        <w:tab w:val="center" w:pos="4153"/>
        <w:tab w:val="right" w:pos="8306"/>
      </w:tabs>
      <w:snapToGrid w:val="0"/>
      <w:jc w:val="left"/>
    </w:pPr>
    <w:rPr>
      <w:sz w:val="18"/>
      <w:szCs w:val="18"/>
    </w:rPr>
  </w:style>
  <w:style w:type="paragraph" w:styleId="21">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line="360" w:lineRule="auto"/>
      <w:jc w:val="left"/>
    </w:pPr>
    <w:rPr>
      <w:b/>
      <w:bCs/>
      <w:caps/>
      <w:szCs w:val="20"/>
    </w:rPr>
  </w:style>
  <w:style w:type="paragraph" w:styleId="23">
    <w:name w:val="toc 4"/>
    <w:basedOn w:val="1"/>
    <w:next w:val="1"/>
    <w:qFormat/>
    <w:uiPriority w:val="39"/>
    <w:pPr>
      <w:ind w:left="630"/>
      <w:jc w:val="left"/>
    </w:pPr>
    <w:rPr>
      <w:sz w:val="18"/>
      <w:szCs w:val="18"/>
    </w:rPr>
  </w:style>
  <w:style w:type="paragraph" w:styleId="24">
    <w:name w:val="index heading"/>
    <w:basedOn w:val="1"/>
    <w:next w:val="25"/>
    <w:qFormat/>
    <w:uiPriority w:val="0"/>
    <w:rPr>
      <w:szCs w:val="20"/>
    </w:rPr>
  </w:style>
  <w:style w:type="paragraph" w:styleId="25">
    <w:name w:val="index 1"/>
    <w:basedOn w:val="1"/>
    <w:next w:val="1"/>
    <w:unhideWhenUsed/>
    <w:qFormat/>
    <w:uiPriority w:val="0"/>
    <w:rPr>
      <w:rFonts w:ascii="Calibri" w:hAnsi="Calibri"/>
    </w:rPr>
  </w:style>
  <w:style w:type="paragraph" w:styleId="26">
    <w:name w:val="toc 6"/>
    <w:basedOn w:val="1"/>
    <w:next w:val="1"/>
    <w:qFormat/>
    <w:uiPriority w:val="39"/>
    <w:pPr>
      <w:ind w:left="1050"/>
      <w:jc w:val="left"/>
    </w:pPr>
    <w:rPr>
      <w:sz w:val="18"/>
      <w:szCs w:val="18"/>
    </w:rPr>
  </w:style>
  <w:style w:type="paragraph" w:styleId="27">
    <w:name w:val="Body Text Indent 3"/>
    <w:basedOn w:val="1"/>
    <w:link w:val="110"/>
    <w:qFormat/>
    <w:uiPriority w:val="0"/>
    <w:pPr>
      <w:spacing w:line="360" w:lineRule="auto"/>
      <w:ind w:firstLine="420" w:firstLineChars="200"/>
    </w:pPr>
    <w:rPr>
      <w:szCs w:val="20"/>
    </w:rPr>
  </w:style>
  <w:style w:type="paragraph" w:styleId="28">
    <w:name w:val="toc 2"/>
    <w:basedOn w:val="1"/>
    <w:next w:val="1"/>
    <w:qFormat/>
    <w:uiPriority w:val="39"/>
    <w:pPr>
      <w:spacing w:line="360" w:lineRule="auto"/>
      <w:ind w:left="210"/>
      <w:jc w:val="left"/>
    </w:pPr>
    <w:rPr>
      <w:smallCaps/>
      <w:szCs w:val="20"/>
    </w:rPr>
  </w:style>
  <w:style w:type="paragraph" w:styleId="29">
    <w:name w:val="toc 9"/>
    <w:basedOn w:val="1"/>
    <w:next w:val="1"/>
    <w:qFormat/>
    <w:uiPriority w:val="39"/>
    <w:pPr>
      <w:ind w:left="1680"/>
      <w:jc w:val="left"/>
    </w:pPr>
    <w:rPr>
      <w:sz w:val="18"/>
      <w:szCs w:val="18"/>
    </w:rPr>
  </w:style>
  <w:style w:type="paragraph" w:styleId="30">
    <w:name w:val="Body Text 2"/>
    <w:basedOn w:val="1"/>
    <w:link w:val="127"/>
    <w:qFormat/>
    <w:uiPriority w:val="0"/>
    <w:pPr>
      <w:spacing w:after="120" w:line="480" w:lineRule="auto"/>
    </w:pPr>
  </w:style>
  <w:style w:type="paragraph" w:styleId="31">
    <w:name w:val="HTML Preformatted"/>
    <w:basedOn w:val="1"/>
    <w:link w:val="78"/>
    <w:qFormat/>
    <w:uiPriority w:val="0"/>
    <w:pPr>
      <w:widowControl/>
      <w:jc w:val="left"/>
    </w:pPr>
    <w:rPr>
      <w:rFonts w:ascii="黑体" w:hAnsi="Courier New" w:eastAsia="黑体" w:cs="Courier New"/>
      <w:kern w:val="0"/>
      <w:sz w:val="20"/>
      <w:szCs w:val="21"/>
    </w:rPr>
  </w:style>
  <w:style w:type="paragraph" w:styleId="32">
    <w:name w:val="Normal (Web)"/>
    <w:basedOn w:val="1"/>
    <w:qFormat/>
    <w:uiPriority w:val="99"/>
    <w:pPr>
      <w:widowControl/>
      <w:spacing w:beforeAutospacing="1" w:afterAutospacing="1"/>
      <w:jc w:val="left"/>
    </w:pPr>
    <w:rPr>
      <w:rFonts w:ascii="宋体" w:hAnsi="宋体"/>
      <w:color w:val="000000"/>
      <w:kern w:val="0"/>
      <w:sz w:val="24"/>
    </w:rPr>
  </w:style>
  <w:style w:type="paragraph" w:styleId="33">
    <w:name w:val="Title"/>
    <w:basedOn w:val="1"/>
    <w:link w:val="97"/>
    <w:qFormat/>
    <w:uiPriority w:val="0"/>
    <w:pPr>
      <w:spacing w:before="240" w:after="60"/>
      <w:jc w:val="center"/>
      <w:outlineLvl w:val="0"/>
    </w:pPr>
    <w:rPr>
      <w:rFonts w:ascii="Arial" w:hAnsi="Arial" w:cs="Arial"/>
      <w:b/>
      <w:bCs/>
      <w:sz w:val="32"/>
      <w:szCs w:val="32"/>
    </w:rPr>
  </w:style>
  <w:style w:type="paragraph" w:styleId="34">
    <w:name w:val="annotation subject"/>
    <w:basedOn w:val="10"/>
    <w:next w:val="10"/>
    <w:link w:val="53"/>
    <w:unhideWhenUsed/>
    <w:qFormat/>
    <w:uiPriority w:val="0"/>
    <w:rPr>
      <w:b/>
      <w:bCs/>
    </w:rPr>
  </w:style>
  <w:style w:type="paragraph" w:styleId="35">
    <w:name w:val="Body Text First Indent"/>
    <w:basedOn w:val="12"/>
    <w:link w:val="115"/>
    <w:qFormat/>
    <w:uiPriority w:val="0"/>
    <w:pPr>
      <w:spacing w:after="120" w:line="240" w:lineRule="auto"/>
      <w:ind w:firstLine="420" w:firstLineChars="100"/>
    </w:pPr>
    <w:rPr>
      <w:szCs w:val="24"/>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unhideWhenUsed/>
    <w:qFormat/>
    <w:uiPriority w:val="99"/>
    <w:rPr>
      <w:color w:val="954F72"/>
      <w:u w:val="single"/>
    </w:rPr>
  </w:style>
  <w:style w:type="character" w:styleId="42">
    <w:name w:val="Hyperlink"/>
    <w:unhideWhenUsed/>
    <w:qFormat/>
    <w:uiPriority w:val="99"/>
    <w:rPr>
      <w:color w:val="0000FF"/>
      <w:u w:val="single"/>
    </w:rPr>
  </w:style>
  <w:style w:type="character" w:styleId="43">
    <w:name w:val="annotation reference"/>
    <w:unhideWhenUsed/>
    <w:qFormat/>
    <w:uiPriority w:val="0"/>
    <w:rPr>
      <w:sz w:val="21"/>
      <w:szCs w:val="21"/>
    </w:rPr>
  </w:style>
  <w:style w:type="paragraph" w:customStyle="1" w:styleId="44">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45">
    <w:name w:val="页眉 Char"/>
    <w:link w:val="21"/>
    <w:qFormat/>
    <w:uiPriority w:val="99"/>
    <w:rPr>
      <w:rFonts w:ascii="Times New Roman" w:hAnsi="Times New Roman"/>
      <w:kern w:val="2"/>
      <w:sz w:val="18"/>
      <w:szCs w:val="18"/>
    </w:rPr>
  </w:style>
  <w:style w:type="character" w:customStyle="1" w:styleId="46">
    <w:name w:val="页脚 Char"/>
    <w:link w:val="20"/>
    <w:qFormat/>
    <w:uiPriority w:val="99"/>
    <w:rPr>
      <w:rFonts w:ascii="Times New Roman" w:hAnsi="Times New Roman"/>
      <w:kern w:val="2"/>
      <w:sz w:val="18"/>
      <w:szCs w:val="18"/>
    </w:rPr>
  </w:style>
  <w:style w:type="character" w:customStyle="1" w:styleId="47">
    <w:name w:val="批注框文本 Char"/>
    <w:link w:val="19"/>
    <w:qFormat/>
    <w:uiPriority w:val="0"/>
    <w:rPr>
      <w:rFonts w:ascii="Times New Roman" w:hAnsi="Times New Roman" w:eastAsia="宋体" w:cs="Times New Roman"/>
      <w:sz w:val="18"/>
      <w:szCs w:val="18"/>
    </w:rPr>
  </w:style>
  <w:style w:type="paragraph" w:customStyle="1" w:styleId="48">
    <w:name w:val="列表段落1"/>
    <w:basedOn w:val="1"/>
    <w:link w:val="50"/>
    <w:qFormat/>
    <w:uiPriority w:val="99"/>
    <w:pPr>
      <w:ind w:firstLine="420" w:firstLineChars="200"/>
    </w:pPr>
  </w:style>
  <w:style w:type="paragraph" w:customStyle="1" w:styleId="49">
    <w:name w:val="列出段落1"/>
    <w:basedOn w:val="1"/>
    <w:qFormat/>
    <w:uiPriority w:val="0"/>
    <w:pPr>
      <w:ind w:firstLine="420" w:firstLineChars="200"/>
    </w:pPr>
  </w:style>
  <w:style w:type="character" w:customStyle="1" w:styleId="50">
    <w:name w:val="列表段落 字符"/>
    <w:link w:val="48"/>
    <w:qFormat/>
    <w:uiPriority w:val="99"/>
    <w:rPr>
      <w:kern w:val="2"/>
      <w:sz w:val="21"/>
      <w:szCs w:val="24"/>
    </w:rPr>
  </w:style>
  <w:style w:type="paragraph" w:customStyle="1" w:styleId="5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批注文字 Char"/>
    <w:link w:val="10"/>
    <w:qFormat/>
    <w:uiPriority w:val="0"/>
    <w:rPr>
      <w:kern w:val="2"/>
      <w:sz w:val="21"/>
      <w:szCs w:val="24"/>
    </w:rPr>
  </w:style>
  <w:style w:type="character" w:customStyle="1" w:styleId="53">
    <w:name w:val="批注主题 Char"/>
    <w:link w:val="34"/>
    <w:qFormat/>
    <w:uiPriority w:val="0"/>
    <w:rPr>
      <w:b/>
      <w:bCs/>
      <w:kern w:val="2"/>
      <w:sz w:val="21"/>
      <w:szCs w:val="24"/>
    </w:rPr>
  </w:style>
  <w:style w:type="character" w:customStyle="1" w:styleId="54">
    <w:name w:val="纯文本 Char2"/>
    <w:link w:val="16"/>
    <w:qFormat/>
    <w:uiPriority w:val="0"/>
    <w:rPr>
      <w:rFonts w:ascii="宋体" w:hAnsi="Courier New"/>
      <w:szCs w:val="21"/>
    </w:rPr>
  </w:style>
  <w:style w:type="character" w:customStyle="1" w:styleId="55">
    <w:name w:val="文档结构图 Char"/>
    <w:basedOn w:val="38"/>
    <w:link w:val="9"/>
    <w:qFormat/>
    <w:uiPriority w:val="0"/>
    <w:rPr>
      <w:rFonts w:ascii="宋体"/>
      <w:kern w:val="2"/>
      <w:sz w:val="18"/>
      <w:szCs w:val="18"/>
    </w:rPr>
  </w:style>
  <w:style w:type="character" w:customStyle="1" w:styleId="56">
    <w:name w:val="纯文本 Char"/>
    <w:basedOn w:val="38"/>
    <w:qFormat/>
    <w:uiPriority w:val="99"/>
    <w:rPr>
      <w:rFonts w:ascii="宋体" w:hAnsi="Courier New"/>
      <w:kern w:val="2"/>
      <w:sz w:val="21"/>
    </w:rPr>
  </w:style>
  <w:style w:type="character" w:customStyle="1" w:styleId="57">
    <w:name w:val="列出段落 Char"/>
    <w:qFormat/>
    <w:locked/>
    <w:uiPriority w:val="0"/>
  </w:style>
  <w:style w:type="character" w:customStyle="1" w:styleId="58">
    <w:name w:val="纯文本 Char1"/>
    <w:link w:val="59"/>
    <w:qFormat/>
    <w:locked/>
    <w:uiPriority w:val="0"/>
    <w:rPr>
      <w:rFonts w:ascii="宋体" w:hAnsi="Courier New"/>
    </w:rPr>
  </w:style>
  <w:style w:type="paragraph" w:customStyle="1" w:styleId="59">
    <w:name w:val="纯文本1"/>
    <w:basedOn w:val="1"/>
    <w:link w:val="58"/>
    <w:qFormat/>
    <w:uiPriority w:val="0"/>
    <w:rPr>
      <w:rFonts w:ascii="宋体" w:hAnsi="Courier New"/>
      <w:kern w:val="0"/>
      <w:sz w:val="20"/>
      <w:szCs w:val="20"/>
    </w:rPr>
  </w:style>
  <w:style w:type="paragraph" w:styleId="60">
    <w:name w:val="List Paragraph"/>
    <w:basedOn w:val="1"/>
    <w:qFormat/>
    <w:uiPriority w:val="34"/>
    <w:pPr>
      <w:ind w:firstLine="420" w:firstLineChars="200"/>
    </w:pPr>
  </w:style>
  <w:style w:type="paragraph" w:customStyle="1" w:styleId="61">
    <w:name w:val="表格文字"/>
    <w:basedOn w:val="1"/>
    <w:qFormat/>
    <w:uiPriority w:val="0"/>
    <w:pPr>
      <w:jc w:val="left"/>
    </w:pPr>
    <w:rPr>
      <w:rFonts w:ascii="Calibri" w:hAnsi="Calibri"/>
      <w:bCs/>
      <w:spacing w:val="10"/>
      <w:kern w:val="0"/>
      <w:sz w:val="24"/>
      <w:szCs w:val="20"/>
    </w:rPr>
  </w:style>
  <w:style w:type="character" w:customStyle="1" w:styleId="62">
    <w:name w:val="标题 1 Char"/>
    <w:basedOn w:val="38"/>
    <w:link w:val="2"/>
    <w:qFormat/>
    <w:uiPriority w:val="0"/>
    <w:rPr>
      <w:rFonts w:ascii="宋体" w:hAnsi="宋体"/>
      <w:b/>
      <w:kern w:val="44"/>
      <w:sz w:val="48"/>
      <w:szCs w:val="48"/>
    </w:rPr>
  </w:style>
  <w:style w:type="character" w:customStyle="1" w:styleId="63">
    <w:name w:val="标题 2 Char1"/>
    <w:basedOn w:val="38"/>
    <w:link w:val="3"/>
    <w:qFormat/>
    <w:uiPriority w:val="0"/>
    <w:rPr>
      <w:rFonts w:ascii="Arial" w:hAnsi="Arial" w:eastAsia="黑体"/>
      <w:b/>
      <w:kern w:val="2"/>
      <w:sz w:val="32"/>
      <w:szCs w:val="24"/>
    </w:rPr>
  </w:style>
  <w:style w:type="character" w:customStyle="1" w:styleId="64">
    <w:name w:val="标题 3 Char"/>
    <w:basedOn w:val="38"/>
    <w:link w:val="4"/>
    <w:qFormat/>
    <w:uiPriority w:val="0"/>
    <w:rPr>
      <w:rFonts w:ascii="宋体" w:hAnsi="宋体"/>
      <w:b/>
      <w:sz w:val="27"/>
      <w:szCs w:val="27"/>
    </w:rPr>
  </w:style>
  <w:style w:type="character" w:customStyle="1" w:styleId="65">
    <w:name w:val="标题 4 Char"/>
    <w:basedOn w:val="38"/>
    <w:link w:val="5"/>
    <w:qFormat/>
    <w:uiPriority w:val="0"/>
    <w:rPr>
      <w:rFonts w:ascii="Arial" w:hAnsi="Arial" w:eastAsia="黑体"/>
      <w:b/>
      <w:kern w:val="2"/>
      <w:sz w:val="28"/>
      <w:szCs w:val="24"/>
    </w:rPr>
  </w:style>
  <w:style w:type="character" w:customStyle="1" w:styleId="66">
    <w:name w:val="日期 Char"/>
    <w:basedOn w:val="38"/>
    <w:link w:val="18"/>
    <w:qFormat/>
    <w:uiPriority w:val="0"/>
    <w:rPr>
      <w:rFonts w:ascii="Calibri" w:hAnsi="Calibri"/>
      <w:kern w:val="2"/>
      <w:sz w:val="21"/>
    </w:rPr>
  </w:style>
  <w:style w:type="paragraph" w:customStyle="1" w:styleId="6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68">
    <w:name w:val="Blockquote"/>
    <w:basedOn w:val="1"/>
    <w:qFormat/>
    <w:uiPriority w:val="0"/>
    <w:pPr>
      <w:autoSpaceDE w:val="0"/>
      <w:autoSpaceDN w:val="0"/>
      <w:adjustRightInd w:val="0"/>
      <w:spacing w:before="100" w:after="100"/>
      <w:ind w:left="360" w:right="360"/>
      <w:jc w:val="left"/>
    </w:pPr>
    <w:rPr>
      <w:rFonts w:ascii="Calibri" w:hAnsi="Calibri"/>
      <w:kern w:val="0"/>
      <w:sz w:val="24"/>
      <w:szCs w:val="20"/>
    </w:rPr>
  </w:style>
  <w:style w:type="table" w:customStyle="1" w:styleId="69">
    <w:name w:val="网格型1"/>
    <w:basedOn w:val="36"/>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2">
    <w:name w:val="xl6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character" w:customStyle="1" w:styleId="75">
    <w:name w:val="A4"/>
    <w:qFormat/>
    <w:uiPriority w:val="0"/>
    <w:rPr>
      <w:rFonts w:hint="eastAsia" w:ascii="新宋体" w:hAnsi="新宋体" w:eastAsia="新宋体" w:cs="新宋体"/>
      <w:color w:val="000000"/>
    </w:rPr>
  </w:style>
  <w:style w:type="character" w:customStyle="1" w:styleId="76">
    <w:name w:val="纯文本 Char Char1"/>
    <w:qFormat/>
    <w:uiPriority w:val="0"/>
    <w:rPr>
      <w:rFonts w:ascii="宋体" w:hAnsi="Courier New" w:eastAsia="宋体"/>
      <w:kern w:val="2"/>
      <w:sz w:val="21"/>
      <w:szCs w:val="24"/>
      <w:lang w:val="en-US" w:eastAsia="zh-CN" w:bidi="ar-SA"/>
    </w:rPr>
  </w:style>
  <w:style w:type="character" w:customStyle="1" w:styleId="77">
    <w:name w:val="文档结构图 字符1"/>
    <w:basedOn w:val="38"/>
    <w:semiHidden/>
    <w:qFormat/>
    <w:uiPriority w:val="0"/>
    <w:rPr>
      <w:rFonts w:ascii="Microsoft YaHei UI" w:hAnsi="Calibri" w:eastAsia="Microsoft YaHei UI"/>
      <w:kern w:val="2"/>
      <w:sz w:val="18"/>
      <w:szCs w:val="18"/>
    </w:rPr>
  </w:style>
  <w:style w:type="character" w:customStyle="1" w:styleId="78">
    <w:name w:val="HTML 预设格式 Char"/>
    <w:link w:val="31"/>
    <w:qFormat/>
    <w:uiPriority w:val="99"/>
    <w:rPr>
      <w:rFonts w:ascii="黑体" w:hAnsi="Courier New" w:eastAsia="黑体" w:cs="Courier New"/>
      <w:szCs w:val="21"/>
    </w:rPr>
  </w:style>
  <w:style w:type="character" w:customStyle="1" w:styleId="79">
    <w:name w:val="HTML 预设格式 字符1"/>
    <w:basedOn w:val="38"/>
    <w:qFormat/>
    <w:uiPriority w:val="0"/>
    <w:rPr>
      <w:rFonts w:ascii="Courier New" w:hAnsi="Courier New" w:cs="Courier New"/>
      <w:kern w:val="2"/>
    </w:rPr>
  </w:style>
  <w:style w:type="character" w:customStyle="1" w:styleId="80">
    <w:name w:val="font141"/>
    <w:basedOn w:val="38"/>
    <w:qFormat/>
    <w:uiPriority w:val="0"/>
  </w:style>
  <w:style w:type="character" w:customStyle="1" w:styleId="81">
    <w:name w:val="HTML 预设格式 Char1"/>
    <w:qFormat/>
    <w:uiPriority w:val="0"/>
    <w:rPr>
      <w:rFonts w:ascii="Courier New" w:hAnsi="Courier New" w:cs="Courier New"/>
      <w:kern w:val="2"/>
    </w:rPr>
  </w:style>
  <w:style w:type="character" w:customStyle="1" w:styleId="82">
    <w:name w:val="small"/>
    <w:basedOn w:val="38"/>
    <w:qFormat/>
    <w:uiPriority w:val="0"/>
  </w:style>
  <w:style w:type="character" w:customStyle="1" w:styleId="83">
    <w:name w:val="正文缩进 Char"/>
    <w:link w:val="7"/>
    <w:qFormat/>
    <w:uiPriority w:val="0"/>
    <w:rPr>
      <w:kern w:val="2"/>
      <w:sz w:val="21"/>
    </w:rPr>
  </w:style>
  <w:style w:type="character" w:customStyle="1" w:styleId="84">
    <w:name w:val="bold1"/>
    <w:qFormat/>
    <w:uiPriority w:val="0"/>
    <w:rPr>
      <w:b/>
      <w:bCs/>
      <w:shd w:val="clear" w:color="auto" w:fill="FFFFFF"/>
    </w:rPr>
  </w:style>
  <w:style w:type="character" w:customStyle="1" w:styleId="85">
    <w:name w:val="标题 2 Char"/>
    <w:qFormat/>
    <w:uiPriority w:val="0"/>
    <w:rPr>
      <w:rFonts w:ascii="Arial" w:hAnsi="Arial" w:eastAsia="黑体"/>
      <w:b/>
      <w:bCs/>
      <w:kern w:val="2"/>
      <w:sz w:val="32"/>
      <w:szCs w:val="32"/>
      <w:lang w:val="en-US" w:eastAsia="zh-CN" w:bidi="ar-SA"/>
    </w:rPr>
  </w:style>
  <w:style w:type="paragraph" w:customStyle="1" w:styleId="86">
    <w:name w:val="Char Char2 Char"/>
    <w:basedOn w:val="1"/>
    <w:qFormat/>
    <w:uiPriority w:val="0"/>
    <w:rPr>
      <w:rFonts w:ascii="宋体" w:hAnsi="宋体"/>
      <w:b/>
      <w:sz w:val="28"/>
      <w:szCs w:val="28"/>
    </w:rPr>
  </w:style>
  <w:style w:type="paragraph" w:customStyle="1" w:styleId="87">
    <w:name w:val="Char Char Char Char Char Char Char Char Char Char"/>
    <w:basedOn w:val="1"/>
    <w:qFormat/>
    <w:uiPriority w:val="0"/>
    <w:rPr>
      <w:rFonts w:ascii="Tahoma" w:hAnsi="Tahoma"/>
      <w:sz w:val="24"/>
      <w:szCs w:val="20"/>
    </w:rPr>
  </w:style>
  <w:style w:type="paragraph" w:customStyle="1" w:styleId="88">
    <w:name w:val="Char Char Char Char Char Char Char"/>
    <w:basedOn w:val="1"/>
    <w:qFormat/>
    <w:uiPriority w:val="0"/>
    <w:pPr>
      <w:tabs>
        <w:tab w:val="left" w:pos="425"/>
      </w:tabs>
      <w:ind w:left="425" w:hanging="425"/>
    </w:pPr>
    <w:rPr>
      <w:rFonts w:eastAsia="仿宋_GB2312"/>
      <w:kern w:val="24"/>
      <w:sz w:val="24"/>
    </w:rPr>
  </w:style>
  <w:style w:type="paragraph" w:customStyle="1" w:styleId="89">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90">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91">
    <w:name w:val="大标题"/>
    <w:basedOn w:val="2"/>
    <w:qFormat/>
    <w:uiPriority w:val="0"/>
    <w:pPr>
      <w:keepNext/>
      <w:spacing w:before="0" w:beforeAutospacing="0" w:after="0" w:afterAutospacing="0" w:line="360" w:lineRule="auto"/>
      <w:jc w:val="center"/>
    </w:pPr>
    <w:rPr>
      <w:rFonts w:hint="default" w:hAnsi="Arial" w:cs="Arial"/>
      <w:bCs/>
      <w:snapToGrid w:val="0"/>
      <w:kern w:val="0"/>
      <w:sz w:val="52"/>
      <w:szCs w:val="72"/>
    </w:rPr>
  </w:style>
  <w:style w:type="paragraph" w:customStyle="1" w:styleId="92">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3">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94">
    <w:name w:val="_Style 2"/>
    <w:basedOn w:val="1"/>
    <w:qFormat/>
    <w:uiPriority w:val="34"/>
    <w:pPr>
      <w:ind w:firstLine="420" w:firstLineChars="200"/>
    </w:pPr>
  </w:style>
  <w:style w:type="paragraph" w:customStyle="1" w:styleId="95">
    <w:name w:val="Char Char1"/>
    <w:basedOn w:val="1"/>
    <w:qFormat/>
    <w:uiPriority w:val="0"/>
    <w:rPr>
      <w:rFonts w:ascii="宋体" w:hAnsi="宋体"/>
      <w:b/>
      <w:sz w:val="28"/>
      <w:szCs w:val="28"/>
    </w:rPr>
  </w:style>
  <w:style w:type="paragraph" w:customStyle="1" w:styleId="96">
    <w:name w:val="默认段落字体 Para Char"/>
    <w:basedOn w:val="1"/>
    <w:qFormat/>
    <w:uiPriority w:val="0"/>
    <w:rPr>
      <w:rFonts w:ascii="宋体" w:hAnsi="宋体"/>
      <w:b/>
      <w:sz w:val="28"/>
      <w:szCs w:val="28"/>
    </w:rPr>
  </w:style>
  <w:style w:type="character" w:customStyle="1" w:styleId="97">
    <w:name w:val="标题 Char"/>
    <w:basedOn w:val="38"/>
    <w:link w:val="33"/>
    <w:qFormat/>
    <w:uiPriority w:val="0"/>
    <w:rPr>
      <w:rFonts w:ascii="Arial" w:hAnsi="Arial" w:cs="Arial"/>
      <w:b/>
      <w:bCs/>
      <w:kern w:val="2"/>
      <w:sz w:val="32"/>
      <w:szCs w:val="32"/>
    </w:rPr>
  </w:style>
  <w:style w:type="paragraph" w:customStyle="1" w:styleId="98">
    <w:name w:val="办公自动化专用标题"/>
    <w:basedOn w:val="33"/>
    <w:qFormat/>
    <w:uiPriority w:val="0"/>
    <w:pPr>
      <w:spacing w:line="560" w:lineRule="atLeast"/>
    </w:pPr>
    <w:rPr>
      <w:rFonts w:ascii="宋体" w:cs="Times New Roman"/>
      <w:bCs w:val="0"/>
      <w:sz w:val="44"/>
      <w:szCs w:val="20"/>
    </w:rPr>
  </w:style>
  <w:style w:type="character" w:customStyle="1" w:styleId="99">
    <w:name w:val="正文文本 3 Char"/>
    <w:basedOn w:val="38"/>
    <w:link w:val="11"/>
    <w:qFormat/>
    <w:uiPriority w:val="0"/>
    <w:rPr>
      <w:kern w:val="2"/>
      <w:sz w:val="16"/>
      <w:szCs w:val="16"/>
    </w:rPr>
  </w:style>
  <w:style w:type="paragraph" w:customStyle="1" w:styleId="100">
    <w:name w:val="_Style 1"/>
    <w:basedOn w:val="1"/>
    <w:qFormat/>
    <w:uiPriority w:val="34"/>
    <w:pPr>
      <w:ind w:firstLine="420" w:firstLineChars="200"/>
    </w:pPr>
  </w:style>
  <w:style w:type="paragraph" w:customStyle="1" w:styleId="101">
    <w:name w:val="p0"/>
    <w:basedOn w:val="1"/>
    <w:qFormat/>
    <w:uiPriority w:val="0"/>
    <w:pPr>
      <w:widowControl/>
    </w:pPr>
    <w:rPr>
      <w:kern w:val="0"/>
      <w:szCs w:val="21"/>
    </w:rPr>
  </w:style>
  <w:style w:type="paragraph" w:customStyle="1" w:styleId="102">
    <w:name w:val="Char Char1 Char Char Char Char Char Char"/>
    <w:basedOn w:val="1"/>
    <w:qFormat/>
    <w:uiPriority w:val="0"/>
    <w:pPr>
      <w:widowControl/>
      <w:adjustRightInd w:val="0"/>
      <w:snapToGrid w:val="0"/>
      <w:spacing w:beforeLines="25" w:afterLines="25" w:line="240" w:lineRule="exact"/>
      <w:ind w:firstLine="560" w:firstLineChars="192"/>
      <w:jc w:val="left"/>
    </w:pPr>
    <w:rPr>
      <w:szCs w:val="20"/>
    </w:rPr>
  </w:style>
  <w:style w:type="paragraph" w:customStyle="1" w:styleId="103">
    <w:name w:val="HLegal 2"/>
    <w:basedOn w:val="1"/>
    <w:qFormat/>
    <w:uiPriority w:val="0"/>
    <w:pPr>
      <w:widowControl/>
      <w:spacing w:beforeLines="50" w:afterLines="50" w:line="300" w:lineRule="auto"/>
      <w:ind w:left="1" w:hanging="1"/>
      <w:jc w:val="left"/>
    </w:pPr>
    <w:rPr>
      <w:rFonts w:ascii="宋体" w:hAnsi="宋体" w:cs="宋体"/>
      <w:bCs/>
      <w:kern w:val="0"/>
      <w:sz w:val="24"/>
      <w:lang w:val="en-GB"/>
    </w:rPr>
  </w:style>
  <w:style w:type="character" w:customStyle="1" w:styleId="104">
    <w:name w:val="正文文本 Char"/>
    <w:basedOn w:val="38"/>
    <w:link w:val="12"/>
    <w:qFormat/>
    <w:uiPriority w:val="0"/>
    <w:rPr>
      <w:kern w:val="2"/>
      <w:sz w:val="21"/>
    </w:rPr>
  </w:style>
  <w:style w:type="paragraph" w:customStyle="1" w:styleId="10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6">
    <w:name w:val="题注4"/>
    <w:basedOn w:val="1"/>
    <w:next w:val="8"/>
    <w:qFormat/>
    <w:uiPriority w:val="0"/>
    <w:pPr>
      <w:ind w:left="-132" w:leftChars="-64" w:right="-105" w:rightChars="-50" w:hanging="2"/>
      <w:jc w:val="center"/>
    </w:pPr>
    <w:rPr>
      <w:b/>
      <w:color w:val="FF0000"/>
      <w:szCs w:val="21"/>
      <w:lang w:val="en-GB"/>
    </w:rPr>
  </w:style>
  <w:style w:type="paragraph" w:customStyle="1" w:styleId="107">
    <w:name w:val="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8">
    <w:name w:val="默认段落字体 Para Char Char Char Char"/>
    <w:basedOn w:val="1"/>
    <w:qFormat/>
    <w:uiPriority w:val="0"/>
    <w:pPr>
      <w:spacing w:line="360" w:lineRule="auto"/>
      <w:ind w:firstLine="200" w:firstLineChars="200"/>
    </w:pPr>
    <w:rPr>
      <w:rFonts w:ascii="宋体" w:hAnsi="宋体" w:cs="宋体"/>
      <w:sz w:val="24"/>
    </w:rPr>
  </w:style>
  <w:style w:type="character" w:customStyle="1" w:styleId="109">
    <w:name w:val="正文文本缩进 Char"/>
    <w:basedOn w:val="38"/>
    <w:link w:val="13"/>
    <w:qFormat/>
    <w:uiPriority w:val="0"/>
    <w:rPr>
      <w:rFonts w:ascii="仿宋_GB2312" w:eastAsia="仿宋_GB2312"/>
      <w:kern w:val="2"/>
      <w:sz w:val="32"/>
    </w:rPr>
  </w:style>
  <w:style w:type="character" w:customStyle="1" w:styleId="110">
    <w:name w:val="正文文本缩进 3 Char"/>
    <w:basedOn w:val="38"/>
    <w:link w:val="27"/>
    <w:qFormat/>
    <w:uiPriority w:val="0"/>
    <w:rPr>
      <w:kern w:val="2"/>
      <w:sz w:val="21"/>
    </w:rPr>
  </w:style>
  <w:style w:type="paragraph" w:customStyle="1" w:styleId="11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2">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4">
    <w:name w:val="表头"/>
    <w:basedOn w:val="8"/>
    <w:qFormat/>
    <w:uiPriority w:val="0"/>
    <w:pPr>
      <w:keepNext/>
      <w:keepLines/>
      <w:widowControl/>
      <w:spacing w:before="120" w:after="120" w:line="300" w:lineRule="auto"/>
      <w:jc w:val="center"/>
      <w:textAlignment w:val="baseline"/>
    </w:pPr>
    <w:rPr>
      <w:rFonts w:cs="Times New Roman"/>
      <w:kern w:val="0"/>
      <w:sz w:val="21"/>
    </w:rPr>
  </w:style>
  <w:style w:type="character" w:customStyle="1" w:styleId="115">
    <w:name w:val="正文首行缩进 Char"/>
    <w:basedOn w:val="104"/>
    <w:link w:val="35"/>
    <w:qFormat/>
    <w:uiPriority w:val="0"/>
    <w:rPr>
      <w:kern w:val="2"/>
      <w:sz w:val="21"/>
      <w:szCs w:val="24"/>
    </w:rPr>
  </w:style>
  <w:style w:type="paragraph" w:customStyle="1" w:styleId="11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7">
    <w:name w:val="题注5"/>
    <w:basedOn w:val="1"/>
    <w:next w:val="8"/>
    <w:qFormat/>
    <w:uiPriority w:val="0"/>
    <w:pPr>
      <w:jc w:val="center"/>
    </w:pPr>
    <w:rPr>
      <w:b/>
      <w:color w:val="000000"/>
      <w:sz w:val="24"/>
      <w:szCs w:val="21"/>
    </w:rPr>
  </w:style>
  <w:style w:type="paragraph" w:customStyle="1" w:styleId="118">
    <w:name w:val="修订1"/>
    <w:hidden/>
    <w:unhideWhenUsed/>
    <w:qFormat/>
    <w:uiPriority w:val="99"/>
    <w:rPr>
      <w:rFonts w:ascii="Calibri" w:hAnsi="Calibri" w:eastAsia="宋体" w:cs="Times New Roman"/>
      <w:kern w:val="2"/>
      <w:sz w:val="21"/>
      <w:szCs w:val="24"/>
      <w:lang w:val="en-US" w:eastAsia="zh-CN" w:bidi="ar-SA"/>
    </w:rPr>
  </w:style>
  <w:style w:type="character" w:customStyle="1" w:styleId="119">
    <w:name w:val="页眉 字符1"/>
    <w:basedOn w:val="38"/>
    <w:semiHidden/>
    <w:qFormat/>
    <w:uiPriority w:val="99"/>
    <w:rPr>
      <w:kern w:val="2"/>
      <w:sz w:val="18"/>
      <w:szCs w:val="18"/>
    </w:rPr>
  </w:style>
  <w:style w:type="character" w:customStyle="1" w:styleId="120">
    <w:name w:val="页脚 字符1"/>
    <w:basedOn w:val="38"/>
    <w:semiHidden/>
    <w:qFormat/>
    <w:uiPriority w:val="99"/>
    <w:rPr>
      <w:kern w:val="2"/>
      <w:sz w:val="18"/>
      <w:szCs w:val="18"/>
    </w:rPr>
  </w:style>
  <w:style w:type="character" w:customStyle="1" w:styleId="121">
    <w:name w:val="批注框文本 字符1"/>
    <w:basedOn w:val="38"/>
    <w:semiHidden/>
    <w:qFormat/>
    <w:uiPriority w:val="99"/>
    <w:rPr>
      <w:kern w:val="2"/>
      <w:sz w:val="18"/>
      <w:szCs w:val="18"/>
    </w:rPr>
  </w:style>
  <w:style w:type="table" w:customStyle="1" w:styleId="122">
    <w:name w:val="网格型2"/>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3">
    <w:name w:val="普通文字1 Char"/>
    <w:qFormat/>
    <w:uiPriority w:val="0"/>
    <w:rPr>
      <w:rFonts w:ascii="宋体" w:hAnsi="Courier New" w:eastAsia="宋体" w:cs="Courier New"/>
      <w:kern w:val="2"/>
      <w:sz w:val="21"/>
      <w:szCs w:val="21"/>
      <w:lang w:val="en-US" w:eastAsia="zh-CN" w:bidi="ar-SA"/>
    </w:rPr>
  </w:style>
  <w:style w:type="table" w:customStyle="1" w:styleId="124">
    <w:name w:val="网格型3"/>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
    <w:name w:val="网格型11"/>
    <w:basedOn w:val="3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6">
    <w:name w:val="_Style 95"/>
    <w:basedOn w:val="1"/>
    <w:next w:val="60"/>
    <w:qFormat/>
    <w:uiPriority w:val="0"/>
    <w:pPr>
      <w:ind w:firstLine="420" w:firstLineChars="200"/>
    </w:pPr>
    <w:rPr>
      <w:rFonts w:ascii="Calibri" w:hAnsi="Calibri"/>
      <w:szCs w:val="22"/>
    </w:rPr>
  </w:style>
  <w:style w:type="character" w:customStyle="1" w:styleId="127">
    <w:name w:val="正文文本 2 Char"/>
    <w:basedOn w:val="38"/>
    <w:link w:val="30"/>
    <w:qFormat/>
    <w:uiPriority w:val="0"/>
    <w:rPr>
      <w:kern w:val="2"/>
      <w:sz w:val="21"/>
      <w:szCs w:val="24"/>
    </w:rPr>
  </w:style>
  <w:style w:type="character" w:customStyle="1" w:styleId="128">
    <w:name w:val="NormalCharacter"/>
    <w:semiHidden/>
    <w:qFormat/>
    <w:uiPriority w:val="0"/>
    <w:rPr>
      <w:rFonts w:ascii="Calibri" w:hAnsi="Calibri"/>
      <w:kern w:val="2"/>
      <w:sz w:val="21"/>
      <w:szCs w:val="22"/>
      <w:lang w:val="en-US" w:eastAsia="zh-CN" w:bidi="ar-SA"/>
    </w:rPr>
  </w:style>
  <w:style w:type="paragraph" w:customStyle="1" w:styleId="129">
    <w:name w:val="UserStyle_0"/>
    <w:basedOn w:val="1"/>
    <w:qFormat/>
    <w:uiPriority w:val="0"/>
    <w:pPr>
      <w:jc w:val="left"/>
      <w:textAlignment w:val="baseline"/>
    </w:pPr>
    <w:rPr>
      <w:bCs/>
      <w:spacing w:val="10"/>
      <w:kern w:val="0"/>
      <w:sz w:val="24"/>
      <w:szCs w:val="20"/>
    </w:rPr>
  </w:style>
  <w:style w:type="paragraph" w:customStyle="1" w:styleId="130">
    <w:name w:val="正文_0"/>
    <w:qFormat/>
    <w:uiPriority w:val="0"/>
    <w:rPr>
      <w:rFonts w:ascii="Times New Roman" w:hAnsi="Times New Roman" w:eastAsia="宋体" w:cs="Times New Roman"/>
      <w:sz w:val="21"/>
      <w:szCs w:val="22"/>
      <w:lang w:val="en-US" w:eastAsia="zh-CN" w:bidi="ar-SA"/>
    </w:rPr>
  </w:style>
  <w:style w:type="paragraph" w:customStyle="1" w:styleId="13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2">
    <w:name w:val="正文2"/>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33">
    <w:name w:val="纯文本2"/>
    <w:basedOn w:val="1"/>
    <w:qFormat/>
    <w:uiPriority w:val="0"/>
    <w:rPr>
      <w:rFonts w:ascii="宋体" w:hAnsi="Courier New" w:cs="Courier New"/>
      <w:szCs w:val="21"/>
    </w:rPr>
  </w:style>
  <w:style w:type="paragraph" w:customStyle="1" w:styleId="134">
    <w:name w:val="正文_1"/>
    <w:next w:val="135"/>
    <w:qFormat/>
    <w:uiPriority w:val="0"/>
    <w:rPr>
      <w:rFonts w:ascii="Times New Roman" w:hAnsi="Times New Roman" w:eastAsia="宋体" w:cs="Times New Roman"/>
      <w:sz w:val="21"/>
      <w:lang w:val="en-US" w:eastAsia="zh-CN" w:bidi="ar-SA"/>
    </w:rPr>
  </w:style>
  <w:style w:type="paragraph" w:customStyle="1" w:styleId="135">
    <w:name w:val="正文文本_1"/>
    <w:qFormat/>
    <w:uiPriority w:val="0"/>
    <w:pPr>
      <w:widowControl w:val="0"/>
      <w:spacing w:after="120" w:line="276" w:lineRule="auto"/>
      <w:jc w:val="both"/>
    </w:pPr>
    <w:rPr>
      <w:rFonts w:ascii="Times New Roman" w:hAnsi="Times New Roman" w:eastAsia="宋体" w:cs="Times New Roman"/>
      <w:kern w:val="2"/>
      <w:sz w:val="21"/>
      <w:lang w:val="en-US" w:eastAsia="zh-CN" w:bidi="ar-SA"/>
    </w:rPr>
  </w:style>
  <w:style w:type="paragraph" w:customStyle="1" w:styleId="136">
    <w:name w:val="列表段落2"/>
    <w:basedOn w:val="1"/>
    <w:qFormat/>
    <w:uiPriority w:val="34"/>
    <w:pPr>
      <w:ind w:firstLine="420" w:firstLineChars="200"/>
    </w:pPr>
  </w:style>
  <w:style w:type="paragraph" w:customStyle="1" w:styleId="137">
    <w:name w:val="列出段落11"/>
    <w:basedOn w:val="1"/>
    <w:qFormat/>
    <w:uiPriority w:val="34"/>
    <w:pPr>
      <w:ind w:firstLine="420" w:firstLineChars="200"/>
    </w:pPr>
    <w:rPr>
      <w:rFonts w:ascii="Calibri" w:hAnsi="Calibri"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24</Pages>
  <Words>2612</Words>
  <Characters>2670</Characters>
  <Lines>113</Lines>
  <Paragraphs>32</Paragraphs>
  <TotalTime>1</TotalTime>
  <ScaleCrop>false</ScaleCrop>
  <LinksUpToDate>false</LinksUpToDate>
  <CharactersWithSpaces>2674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2022-04-28T06:53:00Z</dcterms:created>
  <dc:creator>Administrator</dc:creator>
  <cp:lastModifiedBy>代理机构</cp:lastModifiedBy>
  <cp:lastPrinted>2024-07-16T02:23:00Z</cp:lastPrinted>
  <dcterms:modified xsi:type="dcterms:W3CDTF">2024-12-30T08:03:53Z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85C28AF7978B4155AA2EDE4400508D36_13</vt:lpwstr>
  </property>
  <property fmtid="{D5CDD505-2E9C-101B-9397-08002B2CF9AE}" pid="4" name="KSOTemplateDocerSaveRecord">
    <vt:lpwstr>eyJoZGlkIjoiMjljYmRjYzJhOWExYzgyZjhkOTA0NjMzMjFhZDRlM2EiLCJ1c2VySWQiOiIyNzgxOTkwNjUifQ==</vt:lpwstr>
  </property>
</Properties>
</file>