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AABBC">
      <w:pPr>
        <w:pStyle w:val="50"/>
        <w:snapToGrid w:val="0"/>
        <w:spacing w:before="156" w:beforeLines="50"/>
        <w:jc w:val="center"/>
        <w:rPr>
          <w:rFonts w:hint="eastAsia" w:ascii="宋体" w:hAnsi="宋体" w:cs="Calibri"/>
          <w:b/>
          <w:sz w:val="84"/>
          <w:szCs w:val="84"/>
        </w:rPr>
      </w:pPr>
    </w:p>
    <w:p w14:paraId="1AEA4B4E">
      <w:pPr>
        <w:pStyle w:val="50"/>
        <w:snapToGrid w:val="0"/>
        <w:spacing w:before="156" w:beforeLines="50"/>
        <w:jc w:val="center"/>
        <w:rPr>
          <w:rFonts w:ascii="宋体" w:hAnsi="宋体" w:cs="Calibri"/>
          <w:b/>
          <w:sz w:val="84"/>
          <w:szCs w:val="84"/>
        </w:rPr>
      </w:pPr>
    </w:p>
    <w:p w14:paraId="088B1E5B">
      <w:pPr>
        <w:pStyle w:val="50"/>
        <w:snapToGrid w:val="0"/>
        <w:spacing w:before="156" w:beforeLines="50"/>
        <w:jc w:val="center"/>
        <w:rPr>
          <w:rFonts w:ascii="仿宋_GB2312" w:hAnsi="仿宋_GB2312"/>
          <w:b/>
          <w:bCs/>
          <w:sz w:val="84"/>
          <w:szCs w:val="84"/>
        </w:rPr>
      </w:pPr>
      <w:r>
        <w:rPr>
          <w:rFonts w:hint="eastAsia" w:ascii="宋体" w:hAnsi="宋体" w:cs="Calibri"/>
          <w:b/>
          <w:sz w:val="84"/>
          <w:szCs w:val="84"/>
        </w:rPr>
        <w:t>竞价文件</w:t>
      </w:r>
    </w:p>
    <w:p w14:paraId="790BC459">
      <w:pPr>
        <w:pStyle w:val="50"/>
        <w:spacing w:line="360" w:lineRule="auto"/>
        <w:jc w:val="center"/>
        <w:rPr>
          <w:rFonts w:ascii="宋体" w:hAnsi="宋体" w:cs="Calibri"/>
          <w:b/>
          <w:bCs/>
          <w:sz w:val="24"/>
        </w:rPr>
      </w:pPr>
    </w:p>
    <w:p w14:paraId="3C38E384">
      <w:pPr>
        <w:pStyle w:val="50"/>
        <w:spacing w:line="360" w:lineRule="auto"/>
        <w:rPr>
          <w:rFonts w:ascii="华文中宋" w:hAnsi="华文中宋" w:eastAsia="华文中宋" w:cs="Calibri"/>
          <w:sz w:val="30"/>
          <w:szCs w:val="30"/>
        </w:rPr>
      </w:pPr>
    </w:p>
    <w:p w14:paraId="4DEA24CC">
      <w:pPr>
        <w:pStyle w:val="50"/>
        <w:spacing w:line="360" w:lineRule="auto"/>
        <w:rPr>
          <w:rFonts w:ascii="华文中宋" w:hAnsi="华文中宋" w:eastAsia="华文中宋" w:cs="Calibri"/>
          <w:sz w:val="30"/>
          <w:szCs w:val="30"/>
        </w:rPr>
      </w:pPr>
    </w:p>
    <w:p w14:paraId="6E04A8F5">
      <w:pPr>
        <w:pStyle w:val="50"/>
        <w:spacing w:line="360" w:lineRule="auto"/>
        <w:rPr>
          <w:rFonts w:ascii="华文中宋" w:hAnsi="华文中宋" w:eastAsia="华文中宋" w:cs="Calibri"/>
          <w:sz w:val="30"/>
          <w:szCs w:val="30"/>
        </w:rPr>
      </w:pPr>
    </w:p>
    <w:p w14:paraId="70A354CB">
      <w:pPr>
        <w:pStyle w:val="50"/>
        <w:spacing w:line="360" w:lineRule="auto"/>
        <w:rPr>
          <w:rFonts w:ascii="华文中宋" w:hAnsi="华文中宋" w:eastAsia="华文中宋" w:cs="Calibri"/>
          <w:sz w:val="30"/>
          <w:szCs w:val="30"/>
        </w:rPr>
      </w:pPr>
    </w:p>
    <w:p w14:paraId="5592D165">
      <w:pPr>
        <w:pStyle w:val="50"/>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14:paraId="6D1C1ACB">
      <w:pPr>
        <w:widowControl/>
        <w:ind w:left="1405" w:hanging="1405" w:hangingChars="500"/>
        <w:jc w:val="left"/>
        <w:rPr>
          <w:rFonts w:ascii="宋体" w:hAnsi="宋体" w:cs="Calibri"/>
          <w:b/>
          <w:bCs/>
          <w:sz w:val="28"/>
          <w:szCs w:val="32"/>
        </w:rPr>
      </w:pPr>
      <w:r>
        <w:rPr>
          <w:rFonts w:hint="eastAsia" w:ascii="宋体" w:hAnsi="宋体" w:cs="Calibri"/>
          <w:b/>
          <w:bCs/>
          <w:sz w:val="28"/>
          <w:szCs w:val="32"/>
        </w:rPr>
        <w:t>项目名称：</w:t>
      </w:r>
      <w:bookmarkStart w:id="0" w:name="_Hlk48529998"/>
      <w:r>
        <w:rPr>
          <w:rFonts w:hint="eastAsia" w:ascii="宋体" w:hAnsi="宋体" w:cs="Calibri"/>
          <w:b/>
          <w:bCs/>
          <w:sz w:val="28"/>
          <w:szCs w:val="32"/>
        </w:rPr>
        <w:t>三水分公司消防系统设备设施维保项目</w:t>
      </w:r>
    </w:p>
    <w:p w14:paraId="25C2A2F3">
      <w:pPr>
        <w:pStyle w:val="50"/>
        <w:tabs>
          <w:tab w:val="left" w:pos="2790"/>
        </w:tabs>
        <w:spacing w:line="360" w:lineRule="auto"/>
        <w:ind w:left="1405" w:hanging="1405" w:hangingChars="500"/>
        <w:jc w:val="left"/>
        <w:rPr>
          <w:rFonts w:ascii="宋体" w:hAnsi="宋体" w:cs="Calibri"/>
          <w:b/>
          <w:bCs/>
          <w:sz w:val="28"/>
          <w:szCs w:val="32"/>
        </w:rPr>
      </w:pPr>
      <w:r>
        <w:rPr>
          <w:rFonts w:hint="eastAsia" w:ascii="宋体" w:hAnsi="宋体" w:cs="Calibri"/>
          <w:b/>
          <w:bCs/>
          <w:sz w:val="28"/>
          <w:szCs w:val="32"/>
        </w:rPr>
        <w:t>项目编号：</w:t>
      </w:r>
      <w:bookmarkEnd w:id="0"/>
      <w:r>
        <w:rPr>
          <w:rFonts w:hint="eastAsia" w:ascii="宋体" w:hAnsi="宋体" w:cs="Calibri"/>
          <w:b/>
          <w:bCs/>
          <w:sz w:val="28"/>
          <w:szCs w:val="32"/>
        </w:rPr>
        <w:t>ZH2024072200161</w:t>
      </w:r>
    </w:p>
    <w:p w14:paraId="398CB147">
      <w:pPr>
        <w:pStyle w:val="50"/>
        <w:autoSpaceDE w:val="0"/>
        <w:autoSpaceDN w:val="0"/>
        <w:adjustRightInd w:val="0"/>
        <w:snapToGrid w:val="0"/>
        <w:spacing w:before="156" w:beforeLines="50" w:after="156" w:afterLines="50" w:line="360" w:lineRule="auto"/>
        <w:jc w:val="center"/>
        <w:rPr>
          <w:rFonts w:ascii="黑体" w:hAnsi="华文中宋" w:eastAsia="黑体" w:cs="华文中宋"/>
          <w:kern w:val="0"/>
          <w:sz w:val="30"/>
          <w:szCs w:val="30"/>
        </w:rPr>
      </w:pPr>
    </w:p>
    <w:p w14:paraId="0DE8FD8C">
      <w:pPr>
        <w:pStyle w:val="50"/>
        <w:autoSpaceDE w:val="0"/>
        <w:autoSpaceDN w:val="0"/>
        <w:adjustRightInd w:val="0"/>
        <w:snapToGrid w:val="0"/>
        <w:spacing w:before="156" w:beforeLines="50" w:after="156" w:afterLines="50" w:line="360" w:lineRule="auto"/>
        <w:jc w:val="left"/>
        <w:rPr>
          <w:rFonts w:ascii="黑体" w:hAnsi="华文中宋" w:eastAsia="黑体" w:cs="华文中宋"/>
          <w:kern w:val="0"/>
          <w:sz w:val="30"/>
          <w:szCs w:val="30"/>
        </w:rPr>
      </w:pPr>
    </w:p>
    <w:p w14:paraId="15094DB3">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广东省广播电视网络股份有限公司佛山三水分公司</w:t>
      </w:r>
    </w:p>
    <w:p w14:paraId="7C7C1BF1">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2A01E260">
      <w:pPr>
        <w:pStyle w:val="50"/>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二零二四年</w:t>
      </w:r>
      <w:r>
        <w:rPr>
          <w:rFonts w:hint="eastAsia" w:ascii="仿宋_GB2312" w:hAnsi="仿宋_GB2312" w:cs="Calibri"/>
          <w:b/>
          <w:sz w:val="28"/>
          <w:szCs w:val="21"/>
          <w:lang w:val="en-US" w:eastAsia="zh-CN"/>
        </w:rPr>
        <w:t>九</w:t>
      </w:r>
      <w:r>
        <w:rPr>
          <w:rFonts w:hint="eastAsia" w:ascii="仿宋_GB2312" w:hAnsi="仿宋_GB2312" w:cs="Calibri"/>
          <w:b/>
          <w:sz w:val="28"/>
          <w:szCs w:val="21"/>
        </w:rPr>
        <w:t>月</w:t>
      </w:r>
    </w:p>
    <w:p w14:paraId="04DB48B9">
      <w:pPr>
        <w:pStyle w:val="50"/>
        <w:autoSpaceDE w:val="0"/>
        <w:autoSpaceDN w:val="0"/>
        <w:adjustRightInd w:val="0"/>
        <w:snapToGrid w:val="0"/>
        <w:spacing w:line="360" w:lineRule="auto"/>
        <w:ind w:left="420" w:firstLine="420"/>
        <w:jc w:val="center"/>
        <w:rPr>
          <w:rFonts w:ascii="仿宋_GB2312" w:hAnsi="仿宋_GB2312" w:cs="Calibri"/>
          <w:sz w:val="28"/>
          <w:szCs w:val="21"/>
        </w:rPr>
      </w:pPr>
    </w:p>
    <w:p w14:paraId="3E899204">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05FDBB8A">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2573C095">
      <w:pPr>
        <w:numPr>
          <w:ilvl w:val="0"/>
          <w:numId w:val="1"/>
        </w:numPr>
        <w:spacing w:line="360" w:lineRule="auto"/>
        <w:rPr>
          <w:rFonts w:ascii="宋体" w:hAnsi="宋体"/>
          <w:szCs w:val="21"/>
        </w:rPr>
      </w:pPr>
      <w:r>
        <w:rPr>
          <w:rFonts w:hint="eastAsia" w:ascii="宋体" w:hAnsi="宋体"/>
          <w:szCs w:val="21"/>
        </w:rPr>
        <w:t>语言要求</w:t>
      </w:r>
    </w:p>
    <w:p w14:paraId="73299B10">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35642565">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6E05F6EE">
      <w:pPr>
        <w:numPr>
          <w:ilvl w:val="0"/>
          <w:numId w:val="1"/>
        </w:numPr>
        <w:spacing w:line="360" w:lineRule="auto"/>
        <w:rPr>
          <w:rFonts w:ascii="宋体" w:hAnsi="宋体"/>
          <w:szCs w:val="21"/>
        </w:rPr>
      </w:pPr>
      <w:r>
        <w:rPr>
          <w:rFonts w:hint="eastAsia" w:ascii="宋体" w:hAnsi="宋体" w:cs="宋体"/>
          <w:szCs w:val="21"/>
        </w:rPr>
        <w:t>竞价须知</w:t>
      </w:r>
    </w:p>
    <w:p w14:paraId="1EB71B97">
      <w:pPr>
        <w:numPr>
          <w:ilvl w:val="0"/>
          <w:numId w:val="2"/>
        </w:numPr>
        <w:spacing w:line="360" w:lineRule="auto"/>
        <w:rPr>
          <w:rFonts w:ascii="宋体" w:hAnsi="宋体"/>
          <w:b/>
          <w:bCs/>
          <w:szCs w:val="21"/>
        </w:rPr>
      </w:pPr>
      <w:r>
        <w:rPr>
          <w:rFonts w:hint="eastAsia" w:ascii="宋体" w:hAnsi="宋体" w:cs="宋体"/>
          <w:b/>
          <w:bCs/>
          <w:szCs w:val="21"/>
        </w:rPr>
        <w:t>竞价说明</w:t>
      </w:r>
    </w:p>
    <w:p w14:paraId="65E964FE">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28F9B923">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599EF643">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14:paraId="750C8CFE">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14:paraId="38B60B81">
      <w:pPr>
        <w:numPr>
          <w:ilvl w:val="0"/>
          <w:numId w:val="3"/>
        </w:numPr>
        <w:spacing w:line="360" w:lineRule="auto"/>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成交供应商因自身原因被取消成交资格、因不可抗力不能履行合同、不按照竞价文件要求提交履约保证金，或者被查实存在影响成交结果的违法行为等情形，不符合成交条件的，采购人可以按照排序依次确定其他竟价人为成交人，也可以重新竟价。</w:t>
      </w:r>
    </w:p>
    <w:p w14:paraId="0DB82DA4">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1C9AC37E">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成交供应商若无正当理由恶意放弃成交资格，采购人有权将拒绝其参加本项目重新组织的竞价采购活动。</w:t>
      </w:r>
    </w:p>
    <w:p w14:paraId="23E9C5E3">
      <w:pPr>
        <w:pStyle w:val="59"/>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71BDD8E5">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566BC756">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6F1EDDC0">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674E83E9">
      <w:pPr>
        <w:pStyle w:val="48"/>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05F4432C">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2116BCF3">
      <w:pPr>
        <w:numPr>
          <w:ilvl w:val="0"/>
          <w:numId w:val="2"/>
        </w:numPr>
        <w:spacing w:line="360" w:lineRule="auto"/>
        <w:rPr>
          <w:rFonts w:ascii="宋体" w:hAnsi="宋体"/>
        </w:rPr>
      </w:pPr>
      <w:r>
        <w:rPr>
          <w:rFonts w:hint="eastAsia" w:ascii="宋体" w:hAnsi="宋体"/>
          <w:b/>
        </w:rPr>
        <w:t>竞价文件的澄清或修改</w:t>
      </w:r>
    </w:p>
    <w:p w14:paraId="17F39C6B">
      <w:pPr>
        <w:numPr>
          <w:ilvl w:val="1"/>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299A7337">
      <w:pPr>
        <w:numPr>
          <w:ilvl w:val="1"/>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38D6B891">
      <w:pPr>
        <w:numPr>
          <w:ilvl w:val="1"/>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14:paraId="60D904E0">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71BA60FA">
      <w:pPr>
        <w:pStyle w:val="59"/>
        <w:numPr>
          <w:ilvl w:val="0"/>
          <w:numId w:val="5"/>
        </w:numPr>
        <w:spacing w:line="360" w:lineRule="auto"/>
        <w:ind w:left="420" w:leftChars="20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法人或其他组织的营业执照等证明材料）；如为独立法人设立的分支机构参加，响应人需提供独立法人出具的唯一响应授权书，授权书需明确响应人的权限范围，并提交独立法人有效的营业执照或法人登记证书复印件；</w:t>
      </w:r>
      <w:r>
        <w:rPr>
          <w:rFonts w:ascii="宋体" w:hAnsi="宋体"/>
          <w:color w:val="000000" w:themeColor="text1"/>
          <w14:textFill>
            <w14:solidFill>
              <w14:schemeClr w14:val="tx1"/>
            </w14:solidFill>
          </w14:textFill>
        </w:rPr>
        <w:t xml:space="preserve"> </w:t>
      </w:r>
    </w:p>
    <w:p w14:paraId="37DAE317">
      <w:pPr>
        <w:pStyle w:val="59"/>
        <w:numPr>
          <w:ilvl w:val="0"/>
          <w:numId w:val="5"/>
        </w:numPr>
        <w:spacing w:line="360" w:lineRule="auto"/>
        <w:ind w:left="420" w:leftChars="200"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本项目不允许非法分包或违法转包，不接受联合体参加，供应商须提供供应商资格声明函，格式详见附件；</w:t>
      </w:r>
    </w:p>
    <w:p w14:paraId="71A110BD">
      <w:pPr>
        <w:pStyle w:val="59"/>
        <w:numPr>
          <w:ilvl w:val="0"/>
          <w:numId w:val="5"/>
        </w:numPr>
        <w:spacing w:line="360" w:lineRule="auto"/>
        <w:ind w:left="420" w:leftChars="200" w:firstLineChars="0"/>
        <w:rPr>
          <w:rFonts w:ascii="Helvetica" w:hAnsi="Helvetica" w:eastAsia="Helvetica" w:cs="Helvetica"/>
          <w:sz w:val="14"/>
          <w:szCs w:val="14"/>
        </w:rPr>
      </w:pPr>
      <w:r>
        <w:rPr>
          <w:rFonts w:hint="eastAsia" w:ascii="宋体" w:hAnsi="宋体" w:cs="宋体"/>
          <w:kern w:val="0"/>
          <w:szCs w:val="21"/>
        </w:rPr>
        <w:t>供应商完全响应本项目用户需求的条款、内容及要求的，提供用户需求书响应声明函，格式详见附件。</w:t>
      </w:r>
    </w:p>
    <w:p w14:paraId="0E7A2DBF">
      <w:pPr>
        <w:pStyle w:val="59"/>
        <w:numPr>
          <w:ilvl w:val="0"/>
          <w:numId w:val="5"/>
        </w:numPr>
        <w:spacing w:line="360" w:lineRule="auto"/>
        <w:ind w:left="420" w:leftChars="200" w:firstLineChars="0"/>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shd w:val="clear" w:fill="FFFFFF"/>
          <w:vertAlign w:val="baseline"/>
        </w:rPr>
        <w:t>参与竞价供应商具有本次采购项目服务能力，并</w:t>
      </w:r>
      <w:r>
        <w:rPr>
          <w:rFonts w:hint="eastAsia" w:ascii="宋体" w:hAnsi="宋体" w:eastAsia="宋体" w:cs="宋体"/>
          <w:b/>
          <w:bCs/>
          <w:sz w:val="21"/>
          <w:szCs w:val="21"/>
        </w:rPr>
        <w:t>提供社会消防技术服务信息系统备案</w:t>
      </w:r>
      <w:r>
        <w:rPr>
          <w:rFonts w:hint="eastAsia" w:ascii="宋体" w:hAnsi="宋体" w:eastAsia="宋体" w:cs="宋体"/>
          <w:b/>
          <w:bCs/>
          <w:i w:val="0"/>
          <w:iCs w:val="0"/>
          <w:caps w:val="0"/>
          <w:color w:val="000000"/>
          <w:spacing w:val="0"/>
          <w:sz w:val="21"/>
          <w:szCs w:val="21"/>
          <w:shd w:val="clear" w:fill="FFFFFF"/>
          <w:vertAlign w:val="baseline"/>
        </w:rPr>
        <w:t>提供相关备案截图）；</w:t>
      </w:r>
    </w:p>
    <w:p w14:paraId="59A1852B">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14:paraId="068F8929">
      <w:pPr>
        <w:numPr>
          <w:ilvl w:val="0"/>
          <w:numId w:val="6"/>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68ED1B94">
      <w:pPr>
        <w:pStyle w:val="59"/>
        <w:numPr>
          <w:ilvl w:val="0"/>
          <w:numId w:val="6"/>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AFC68FA">
      <w:pPr>
        <w:numPr>
          <w:ilvl w:val="0"/>
          <w:numId w:val="2"/>
        </w:numPr>
        <w:spacing w:line="360" w:lineRule="auto"/>
        <w:rPr>
          <w:rFonts w:ascii="宋体" w:hAnsi="宋体"/>
          <w:b/>
          <w:bCs/>
          <w:szCs w:val="21"/>
        </w:rPr>
      </w:pPr>
      <w:r>
        <w:rPr>
          <w:rFonts w:hint="eastAsia" w:ascii="宋体" w:hAnsi="宋体" w:cs="宋体"/>
          <w:b/>
          <w:bCs/>
          <w:szCs w:val="21"/>
        </w:rPr>
        <w:t>确定成交候选人</w:t>
      </w:r>
    </w:p>
    <w:p w14:paraId="112C1359">
      <w:pPr>
        <w:pStyle w:val="59"/>
        <w:numPr>
          <w:ilvl w:val="0"/>
          <w:numId w:val="7"/>
        </w:numPr>
        <w:spacing w:line="360" w:lineRule="auto"/>
        <w:ind w:left="839" w:firstLineChars="0"/>
        <w:rPr>
          <w:rFonts w:ascii="宋体" w:hAnsi="宋体" w:cs="宋体"/>
          <w:szCs w:val="21"/>
        </w:rPr>
      </w:pPr>
      <w:r>
        <w:rPr>
          <w:rFonts w:hint="eastAsia" w:ascii="宋体" w:hAnsi="宋体" w:cs="宋体"/>
          <w:szCs w:val="21"/>
        </w:rPr>
        <w:t>本项目以最低价中标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3445E105">
      <w:pPr>
        <w:numPr>
          <w:ilvl w:val="0"/>
          <w:numId w:val="7"/>
        </w:numPr>
        <w:spacing w:line="360" w:lineRule="auto"/>
        <w:ind w:left="839"/>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4"/>
        <w:gridCol w:w="3264"/>
      </w:tblGrid>
      <w:tr w14:paraId="4E24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26382F60">
            <w:pPr>
              <w:numPr>
                <w:ilvl w:val="255"/>
                <w:numId w:val="0"/>
              </w:numPr>
              <w:spacing w:line="360" w:lineRule="auto"/>
              <w:rPr>
                <w:rFonts w:ascii="宋体" w:hAnsi="宋体"/>
                <w:szCs w:val="21"/>
              </w:rPr>
            </w:pPr>
            <w:r>
              <w:rPr>
                <w:rFonts w:hint="eastAsia" w:ascii="宋体" w:hAnsi="宋体"/>
                <w:szCs w:val="21"/>
              </w:rPr>
              <w:t>报价供应商提供的发票类型</w:t>
            </w:r>
          </w:p>
        </w:tc>
        <w:tc>
          <w:tcPr>
            <w:tcW w:w="3264" w:type="dxa"/>
          </w:tcPr>
          <w:p w14:paraId="67FE0EB4">
            <w:pPr>
              <w:numPr>
                <w:ilvl w:val="255"/>
                <w:numId w:val="0"/>
              </w:numPr>
              <w:spacing w:line="360" w:lineRule="auto"/>
              <w:rPr>
                <w:rFonts w:ascii="宋体" w:hAnsi="宋体"/>
                <w:szCs w:val="21"/>
              </w:rPr>
            </w:pPr>
            <w:r>
              <w:rPr>
                <w:rFonts w:hint="eastAsia" w:ascii="宋体" w:hAnsi="宋体"/>
                <w:szCs w:val="21"/>
              </w:rPr>
              <w:t>价格计算</w:t>
            </w:r>
          </w:p>
        </w:tc>
      </w:tr>
      <w:tr w14:paraId="47F3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4016660E">
            <w:pPr>
              <w:numPr>
                <w:ilvl w:val="255"/>
                <w:numId w:val="0"/>
              </w:numPr>
              <w:spacing w:line="360" w:lineRule="auto"/>
              <w:rPr>
                <w:rFonts w:ascii="宋体" w:hAnsi="宋体"/>
                <w:szCs w:val="21"/>
              </w:rPr>
            </w:pPr>
            <w:r>
              <w:rPr>
                <w:rFonts w:hint="eastAsia" w:ascii="宋体" w:hAnsi="宋体"/>
                <w:szCs w:val="21"/>
              </w:rPr>
              <w:t>增值税专用发票</w:t>
            </w:r>
          </w:p>
        </w:tc>
        <w:tc>
          <w:tcPr>
            <w:tcW w:w="3264" w:type="dxa"/>
          </w:tcPr>
          <w:p w14:paraId="20451A1D">
            <w:pPr>
              <w:numPr>
                <w:ilvl w:val="255"/>
                <w:numId w:val="0"/>
              </w:numPr>
              <w:spacing w:line="360" w:lineRule="auto"/>
              <w:rPr>
                <w:rFonts w:ascii="宋体" w:hAnsi="宋体"/>
                <w:szCs w:val="21"/>
              </w:rPr>
            </w:pPr>
            <w:r>
              <w:rPr>
                <w:rFonts w:hint="eastAsia" w:ascii="宋体" w:hAnsi="宋体"/>
                <w:szCs w:val="21"/>
              </w:rPr>
              <w:t>报价/（1+增值税率）</w:t>
            </w:r>
          </w:p>
        </w:tc>
      </w:tr>
    </w:tbl>
    <w:p w14:paraId="4D87D6D8">
      <w:pPr>
        <w:numPr>
          <w:ilvl w:val="0"/>
          <w:numId w:val="2"/>
        </w:numPr>
        <w:spacing w:line="360" w:lineRule="auto"/>
        <w:rPr>
          <w:rFonts w:ascii="宋体" w:hAnsi="宋体"/>
          <w:b/>
          <w:bCs/>
          <w:szCs w:val="21"/>
        </w:rPr>
      </w:pPr>
      <w:r>
        <w:rPr>
          <w:rFonts w:hint="eastAsia" w:ascii="宋体" w:hAnsi="宋体" w:cs="宋体"/>
          <w:b/>
          <w:bCs/>
          <w:szCs w:val="21"/>
        </w:rPr>
        <w:t>无效报价</w:t>
      </w:r>
    </w:p>
    <w:p w14:paraId="1792C1A0">
      <w:pPr>
        <w:pStyle w:val="59"/>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3E81448E">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5AE1A901">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2D133658">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5C14DB1A">
      <w:pPr>
        <w:pStyle w:val="59"/>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34FC59F">
      <w:pPr>
        <w:pStyle w:val="59"/>
        <w:ind w:left="420" w:firstLine="0" w:firstLineChars="0"/>
        <w:rPr>
          <w:rFonts w:ascii="宋体" w:hAnsi="宋体" w:cs="宋体"/>
          <w:b/>
          <w:bCs/>
          <w:szCs w:val="21"/>
        </w:rPr>
      </w:pPr>
      <w:r>
        <w:rPr>
          <w:rFonts w:hint="eastAsia" w:ascii="宋体" w:hAnsi="宋体" w:cs="宋体"/>
          <w:szCs w:val="21"/>
        </w:rPr>
        <w:t>6)</w:t>
      </w:r>
      <w:r>
        <w:rPr>
          <w:rFonts w:hint="eastAsia" w:ascii="宋体" w:hAnsi="宋体" w:cs="宋体"/>
          <w:b/>
          <w:bCs/>
          <w:szCs w:val="21"/>
        </w:rPr>
        <w:t>按有关法律、法规、规章属于报价无效的。</w:t>
      </w:r>
    </w:p>
    <w:p w14:paraId="527319D4">
      <w:pPr>
        <w:shd w:val="clear" w:color="auto" w:fill="FFFFFF"/>
        <w:spacing w:line="360" w:lineRule="auto"/>
        <w:ind w:left="420"/>
        <w:rPr>
          <w:rFonts w:ascii="宋体" w:hAnsi="宋体"/>
          <w:szCs w:val="21"/>
        </w:rPr>
      </w:pPr>
      <w:r>
        <w:rPr>
          <w:rFonts w:hint="eastAsia" w:ascii="宋体" w:hAnsi="宋体" w:cs="宋体"/>
          <w:szCs w:val="21"/>
        </w:rPr>
        <w:t>7)</w:t>
      </w:r>
      <w:r>
        <w:rPr>
          <w:rFonts w:hint="eastAsia" w:ascii="宋体" w:hAnsi="宋体" w:cs="宋体"/>
          <w:b/>
          <w:bCs/>
          <w:szCs w:val="21"/>
        </w:rPr>
        <w:t>有下列情形之一的，视为串通竞价，其报价无效：</w:t>
      </w:r>
    </w:p>
    <w:p w14:paraId="5E69F04C">
      <w:pPr>
        <w:numPr>
          <w:ilvl w:val="2"/>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14:paraId="7C433471">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14:paraId="63D71FB2">
      <w:pPr>
        <w:numPr>
          <w:ilvl w:val="2"/>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14:paraId="2724639B">
      <w:pPr>
        <w:numPr>
          <w:ilvl w:val="2"/>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1481B2E4">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14:paraId="43B72E23">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14:paraId="719A5DDA">
      <w:pPr>
        <w:numPr>
          <w:ilvl w:val="2"/>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14:paraId="596B7DB7">
      <w:pPr>
        <w:numPr>
          <w:ilvl w:val="2"/>
          <w:numId w:val="9"/>
        </w:numPr>
        <w:tabs>
          <w:tab w:val="left" w:pos="1260"/>
        </w:tabs>
        <w:spacing w:line="360" w:lineRule="auto"/>
        <w:rPr>
          <w:rFonts w:ascii="宋体" w:hAnsi="宋体"/>
          <w:szCs w:val="21"/>
        </w:rPr>
      </w:pPr>
      <w:r>
        <w:rPr>
          <w:rFonts w:hint="eastAsia" w:ascii="宋体" w:hAnsi="宋体" w:cs="宋体"/>
          <w:szCs w:val="21"/>
        </w:rPr>
        <w:t>不同供应商的平台使用费从同一单位或者个人的账户转出；</w:t>
      </w:r>
    </w:p>
    <w:p w14:paraId="4AAD5D7F">
      <w:pPr>
        <w:spacing w:line="360" w:lineRule="auto"/>
        <w:rPr>
          <w:rFonts w:ascii="宋体" w:hAnsi="宋体"/>
          <w:szCs w:val="21"/>
        </w:rPr>
      </w:pPr>
      <w:r>
        <w:rPr>
          <w:rFonts w:hint="eastAsia" w:ascii="宋体" w:hAnsi="宋体" w:cs="宋体"/>
          <w:b/>
          <w:bCs/>
          <w:szCs w:val="21"/>
        </w:rPr>
        <w:t>7.竞价活动失败</w:t>
      </w:r>
    </w:p>
    <w:p w14:paraId="115E7924">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0245A8FB">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14:paraId="21AEE9EE">
      <w:pPr>
        <w:numPr>
          <w:ilvl w:val="0"/>
          <w:numId w:val="10"/>
        </w:numPr>
        <w:spacing w:line="360" w:lineRule="auto"/>
        <w:rPr>
          <w:rFonts w:ascii="宋体" w:hAnsi="宋体"/>
          <w:szCs w:val="21"/>
        </w:rPr>
      </w:pPr>
      <w:r>
        <w:rPr>
          <w:rFonts w:hint="eastAsia" w:ascii="宋体" w:hAnsi="宋体" w:cs="宋体"/>
          <w:szCs w:val="21"/>
        </w:rPr>
        <w:t>因重大变故，采购任务取消的；</w:t>
      </w:r>
    </w:p>
    <w:p w14:paraId="70AC173F">
      <w:pPr>
        <w:spacing w:line="360" w:lineRule="auto"/>
        <w:rPr>
          <w:rFonts w:ascii="宋体" w:hAnsi="宋体"/>
          <w:b/>
          <w:bCs/>
          <w:szCs w:val="21"/>
        </w:rPr>
      </w:pPr>
      <w:r>
        <w:rPr>
          <w:rFonts w:hint="eastAsia" w:ascii="宋体" w:hAnsi="宋体" w:cs="宋体"/>
          <w:b/>
          <w:bCs/>
          <w:szCs w:val="21"/>
        </w:rPr>
        <w:t>8.使用费</w:t>
      </w:r>
    </w:p>
    <w:p w14:paraId="4BE3A99C">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46CDAE1D">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1866E555">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3EC9FBFE">
      <w:pPr>
        <w:spacing w:line="360" w:lineRule="auto"/>
        <w:rPr>
          <w:rFonts w:ascii="宋体" w:hAnsi="宋体"/>
          <w:b/>
          <w:bCs/>
          <w:szCs w:val="21"/>
        </w:rPr>
      </w:pPr>
      <w:r>
        <w:rPr>
          <w:rFonts w:hint="eastAsia" w:ascii="宋体" w:hAnsi="宋体" w:cs="宋体"/>
          <w:b/>
          <w:bCs/>
          <w:szCs w:val="21"/>
        </w:rPr>
        <w:t>9.联系方式</w:t>
      </w:r>
    </w:p>
    <w:p w14:paraId="556F1593">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08B52870">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4"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09A46783">
      <w:pPr>
        <w:jc w:val="center"/>
        <w:outlineLvl w:val="0"/>
        <w:rPr>
          <w:rFonts w:ascii="Cambria" w:hAnsi="Cambria" w:cs="宋体"/>
          <w:b/>
          <w:bCs/>
          <w:sz w:val="32"/>
          <w:szCs w:val="32"/>
        </w:rPr>
      </w:pPr>
      <w:bookmarkStart w:id="1" w:name="_Hlk54791406"/>
      <w:r>
        <w:rPr>
          <w:rFonts w:hint="eastAsia" w:ascii="Cambria" w:hAnsi="Cambria" w:cs="宋体"/>
          <w:b/>
          <w:bCs/>
          <w:sz w:val="32"/>
          <w:szCs w:val="32"/>
        </w:rPr>
        <w:t>第二章 采购需求书</w:t>
      </w:r>
    </w:p>
    <w:p w14:paraId="64045F49">
      <w:pPr>
        <w:snapToGrid w:val="0"/>
        <w:spacing w:line="360" w:lineRule="auto"/>
        <w:rPr>
          <w:rFonts w:ascii="宋体" w:hAnsi="宋体"/>
          <w:b/>
          <w:bCs/>
          <w:szCs w:val="21"/>
        </w:rPr>
      </w:pPr>
      <w:r>
        <w:rPr>
          <w:rFonts w:hint="eastAsia" w:ascii="宋体" w:hAnsi="宋体"/>
          <w:b/>
          <w:bCs/>
          <w:szCs w:val="21"/>
        </w:rPr>
        <w:t>说明：</w:t>
      </w:r>
    </w:p>
    <w:p w14:paraId="5AB05C36">
      <w:pPr>
        <w:tabs>
          <w:tab w:val="left" w:pos="420"/>
        </w:tabs>
        <w:snapToGrid w:val="0"/>
        <w:spacing w:line="360" w:lineRule="auto"/>
        <w:rPr>
          <w:rFonts w:ascii="宋体" w:hAnsi="宋体"/>
          <w:b/>
          <w:bCs/>
          <w:szCs w:val="21"/>
        </w:rPr>
      </w:pPr>
      <w:r>
        <w:rPr>
          <w:rFonts w:hint="eastAsia" w:ascii="宋体" w:hAnsi="宋体"/>
          <w:b/>
          <w:bCs/>
          <w:szCs w:val="21"/>
        </w:rPr>
        <w:t>供应商须对本项目采购内容进行整体响应，任何只对采购内容其中一部分内容进行的响应都被视为无效报价。</w:t>
      </w:r>
    </w:p>
    <w:p w14:paraId="033804F7">
      <w:pPr>
        <w:pStyle w:val="59"/>
        <w:numPr>
          <w:ilvl w:val="0"/>
          <w:numId w:val="12"/>
        </w:numPr>
        <w:spacing w:line="360" w:lineRule="auto"/>
        <w:ind w:left="0" w:firstLine="0" w:firstLineChars="0"/>
        <w:rPr>
          <w:rFonts w:ascii="宋体" w:hAnsi="宋体" w:cs="宋体"/>
          <w:b/>
          <w:bCs/>
          <w:szCs w:val="21"/>
        </w:rPr>
      </w:pPr>
      <w:r>
        <w:rPr>
          <w:rFonts w:hint="eastAsia" w:ascii="宋体" w:hAnsi="宋体" w:cs="宋体"/>
          <w:b/>
          <w:bCs/>
          <w:szCs w:val="21"/>
        </w:rPr>
        <w:t>项目一览表</w:t>
      </w:r>
    </w:p>
    <w:tbl>
      <w:tblPr>
        <w:tblStyle w:val="36"/>
        <w:tblW w:w="891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06"/>
        <w:gridCol w:w="1011"/>
        <w:gridCol w:w="3100"/>
        <w:gridCol w:w="2099"/>
      </w:tblGrid>
      <w:tr w14:paraId="03128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706" w:type="dxa"/>
            <w:tcBorders>
              <w:top w:val="single" w:color="auto" w:sz="12" w:space="0"/>
              <w:bottom w:val="single" w:color="auto" w:sz="2" w:space="0"/>
            </w:tcBorders>
            <w:shd w:val="clear" w:color="auto" w:fill="EEECE1"/>
            <w:vAlign w:val="center"/>
          </w:tcPr>
          <w:p w14:paraId="26875B2B">
            <w:pPr>
              <w:spacing w:line="360" w:lineRule="auto"/>
              <w:jc w:val="center"/>
              <w:rPr>
                <w:rFonts w:ascii="宋体" w:hAnsi="宋体"/>
                <w:b/>
                <w:szCs w:val="21"/>
              </w:rPr>
            </w:pPr>
            <w:bookmarkStart w:id="2" w:name="_Hlk536436587"/>
            <w:r>
              <w:rPr>
                <w:rFonts w:hint="eastAsia" w:ascii="宋体" w:hAnsi="宋体"/>
                <w:b/>
                <w:szCs w:val="21"/>
              </w:rPr>
              <w:t>采购内容</w:t>
            </w:r>
          </w:p>
        </w:tc>
        <w:tc>
          <w:tcPr>
            <w:tcW w:w="1011" w:type="dxa"/>
            <w:tcBorders>
              <w:top w:val="single" w:color="auto" w:sz="12" w:space="0"/>
              <w:bottom w:val="single" w:color="auto" w:sz="2" w:space="0"/>
            </w:tcBorders>
            <w:shd w:val="clear" w:color="auto" w:fill="EEECE1"/>
            <w:vAlign w:val="center"/>
          </w:tcPr>
          <w:p w14:paraId="1B4BC01D">
            <w:pPr>
              <w:spacing w:line="360" w:lineRule="auto"/>
              <w:jc w:val="center"/>
              <w:rPr>
                <w:rFonts w:ascii="宋体" w:hAnsi="宋体"/>
                <w:b/>
                <w:szCs w:val="21"/>
              </w:rPr>
            </w:pPr>
            <w:r>
              <w:rPr>
                <w:rFonts w:hint="eastAsia" w:ascii="宋体" w:hAnsi="宋体"/>
                <w:b/>
                <w:szCs w:val="21"/>
              </w:rPr>
              <w:t>数量</w:t>
            </w:r>
          </w:p>
        </w:tc>
        <w:tc>
          <w:tcPr>
            <w:tcW w:w="3100" w:type="dxa"/>
            <w:tcBorders>
              <w:top w:val="single" w:color="auto" w:sz="12" w:space="0"/>
              <w:bottom w:val="single" w:color="auto" w:sz="2" w:space="0"/>
            </w:tcBorders>
            <w:shd w:val="clear" w:color="auto" w:fill="EEECE1"/>
            <w:vAlign w:val="center"/>
          </w:tcPr>
          <w:p w14:paraId="519B2901">
            <w:pPr>
              <w:spacing w:line="360" w:lineRule="auto"/>
              <w:jc w:val="center"/>
              <w:rPr>
                <w:rFonts w:ascii="宋体" w:hAnsi="宋体"/>
                <w:b/>
                <w:szCs w:val="21"/>
              </w:rPr>
            </w:pPr>
            <w:r>
              <w:rPr>
                <w:rFonts w:hint="eastAsia" w:ascii="宋体" w:hAnsi="宋体"/>
                <w:b/>
                <w:szCs w:val="21"/>
              </w:rPr>
              <w:t>服务期</w:t>
            </w:r>
          </w:p>
        </w:tc>
        <w:tc>
          <w:tcPr>
            <w:tcW w:w="2099" w:type="dxa"/>
            <w:tcBorders>
              <w:top w:val="single" w:color="auto" w:sz="12" w:space="0"/>
              <w:bottom w:val="single" w:color="auto" w:sz="2" w:space="0"/>
            </w:tcBorders>
            <w:shd w:val="clear" w:color="auto" w:fill="EEECE1"/>
            <w:vAlign w:val="center"/>
          </w:tcPr>
          <w:p w14:paraId="06958350">
            <w:pPr>
              <w:spacing w:line="360" w:lineRule="auto"/>
              <w:jc w:val="center"/>
              <w:rPr>
                <w:rFonts w:ascii="宋体" w:hAnsi="宋体"/>
                <w:szCs w:val="21"/>
              </w:rPr>
            </w:pPr>
            <w:r>
              <w:rPr>
                <w:rFonts w:hint="eastAsia" w:ascii="宋体" w:hAnsi="宋体"/>
                <w:b/>
                <w:szCs w:val="21"/>
              </w:rPr>
              <w:t>项目预算</w:t>
            </w:r>
          </w:p>
        </w:tc>
      </w:tr>
      <w:tr w14:paraId="377AD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2706" w:type="dxa"/>
            <w:tcBorders>
              <w:top w:val="single" w:color="auto" w:sz="2" w:space="0"/>
            </w:tcBorders>
            <w:vAlign w:val="center"/>
          </w:tcPr>
          <w:p w14:paraId="7FC676BC">
            <w:pPr>
              <w:spacing w:line="360" w:lineRule="auto"/>
              <w:jc w:val="center"/>
              <w:rPr>
                <w:rFonts w:ascii="宋体" w:hAnsi="宋体"/>
                <w:kern w:val="0"/>
                <w:szCs w:val="21"/>
              </w:rPr>
            </w:pPr>
            <w:r>
              <w:rPr>
                <w:rFonts w:hint="eastAsia" w:ascii="宋体" w:hAnsi="宋体"/>
                <w:szCs w:val="21"/>
              </w:rPr>
              <w:t>三水分公司消防系统设备设施维保项目</w:t>
            </w:r>
          </w:p>
        </w:tc>
        <w:tc>
          <w:tcPr>
            <w:tcW w:w="1011" w:type="dxa"/>
            <w:tcBorders>
              <w:top w:val="single" w:color="auto" w:sz="2" w:space="0"/>
            </w:tcBorders>
            <w:vAlign w:val="center"/>
          </w:tcPr>
          <w:p w14:paraId="359DAD20">
            <w:pPr>
              <w:spacing w:line="360" w:lineRule="auto"/>
              <w:jc w:val="center"/>
              <w:rPr>
                <w:rFonts w:ascii="宋体" w:hAnsi="宋体" w:cs="宋体"/>
                <w:kern w:val="0"/>
                <w:szCs w:val="21"/>
              </w:rPr>
            </w:pPr>
            <w:r>
              <w:rPr>
                <w:rFonts w:hint="eastAsia" w:ascii="宋体" w:hAnsi="宋体" w:cs="宋体"/>
                <w:kern w:val="0"/>
                <w:szCs w:val="21"/>
              </w:rPr>
              <w:t>1项</w:t>
            </w:r>
          </w:p>
        </w:tc>
        <w:tc>
          <w:tcPr>
            <w:tcW w:w="3100" w:type="dxa"/>
            <w:tcBorders>
              <w:top w:val="single" w:color="auto" w:sz="2" w:space="0"/>
            </w:tcBorders>
            <w:vAlign w:val="center"/>
          </w:tcPr>
          <w:p w14:paraId="29D7A90F">
            <w:pPr>
              <w:pStyle w:val="112"/>
              <w:spacing w:before="0" w:after="0" w:line="360" w:lineRule="auto"/>
              <w:rPr>
                <w:rFonts w:ascii="宋体" w:hAnsi="宋体" w:cs="宋体"/>
                <w:snapToGrid/>
                <w:spacing w:val="0"/>
                <w:kern w:val="2"/>
                <w:sz w:val="21"/>
                <w:szCs w:val="21"/>
              </w:rPr>
            </w:pPr>
            <w:r>
              <w:rPr>
                <w:rFonts w:hint="eastAsia" w:ascii="宋体" w:hAnsi="宋体" w:cs="宋体"/>
                <w:color w:val="000000" w:themeColor="text1"/>
                <w:sz w:val="21"/>
                <w:szCs w:val="21"/>
                <w14:textFill>
                  <w14:solidFill>
                    <w14:schemeClr w14:val="tx1"/>
                  </w14:solidFill>
                </w14:textFill>
              </w:rPr>
              <w:t>自签订合同生效之日起成交人具有24个月（2年）的维保资格</w:t>
            </w:r>
          </w:p>
        </w:tc>
        <w:tc>
          <w:tcPr>
            <w:tcW w:w="2099" w:type="dxa"/>
            <w:tcBorders>
              <w:top w:val="single" w:color="auto" w:sz="2" w:space="0"/>
            </w:tcBorders>
            <w:vAlign w:val="center"/>
          </w:tcPr>
          <w:p w14:paraId="1FF9EE73">
            <w:pPr>
              <w:spacing w:line="360" w:lineRule="auto"/>
              <w:jc w:val="center"/>
              <w:rPr>
                <w:rFonts w:ascii="宋体" w:hAnsi="宋体" w:cs="宋体"/>
                <w:kern w:val="0"/>
                <w:szCs w:val="21"/>
              </w:rPr>
            </w:pPr>
            <w:r>
              <w:rPr>
                <w:rFonts w:hint="eastAsia" w:ascii="宋体" w:hAnsi="宋体" w:cs="宋体"/>
                <w:kern w:val="0"/>
                <w:szCs w:val="21"/>
              </w:rPr>
              <w:t>人民币65000元</w:t>
            </w:r>
          </w:p>
        </w:tc>
      </w:tr>
      <w:bookmarkEnd w:id="1"/>
      <w:bookmarkEnd w:id="2"/>
    </w:tbl>
    <w:p w14:paraId="7056ED58">
      <w:pPr>
        <w:pStyle w:val="59"/>
        <w:numPr>
          <w:ilvl w:val="0"/>
          <w:numId w:val="12"/>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采购项目简要概述</w:t>
      </w:r>
    </w:p>
    <w:p w14:paraId="08F1969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（一）项目名称：三水分公司消防系统设备设施维保项目</w:t>
      </w:r>
    </w:p>
    <w:p w14:paraId="568820F7">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（二）目的：为保证现有建筑物消防系统技术性能良好，长期运作正常，防止火灾事故的发生，随时在扑救火灾应急中发挥有效作用，拟采购一间消防系统设备设施维护保养单位。</w:t>
      </w:r>
    </w:p>
    <w:p w14:paraId="3A4FFED2">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（三）项目内容：</w:t>
      </w:r>
    </w:p>
    <w:p w14:paraId="6AB7BBF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派一名专业人员每月巡检一次，包括对消防栓和气体瓶的维护、清洁及闸阀和水管的保养，同时也包括更换零部件和应急事件的处理等工作事项。对检查和测试中发现存在的问题提出处理建议，经同意后实施处理。</w:t>
      </w:r>
    </w:p>
    <w:p w14:paraId="3CF25BA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如遇设备故障，应在接到通知后派人到现场处理（正常工作时间的，应在3个小时内派人到现场处理；节假日的，应在12小时内派人到现场处理）。并应在两天内修复设备故障。在爆水管漏水、水泵及风机等设备误动作、报警主机及联动柜失灵等紧急、特殊情况下，应在2小时内派人到现场抢修。</w:t>
      </w:r>
    </w:p>
    <w:p w14:paraId="71B544BA">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除维护不当致损或供应商人为致损，由承担致损材料的修复或更换费用外，整个消防系统需要更换的材料均由甲方承担材料费用（如材料老化、失灵、甲方使用不当致损、保管不善致损、甲方或第三人人为致损、失窃等）。更换材料可由甲方自行采购，或由供应商选定并报价经甲方同意后由供应商采购。供应商采购的材料应提供不少于三个月的质保期。</w:t>
      </w:r>
    </w:p>
    <w:p w14:paraId="0B11389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4.供应商每年为甲方免费提供至少一次消防培训等活动。</w:t>
      </w:r>
    </w:p>
    <w:p w14:paraId="0D6A366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5.消防系统设备设施维护保养明细表</w:t>
      </w:r>
    </w:p>
    <w:tbl>
      <w:tblPr>
        <w:tblStyle w:val="36"/>
        <w:tblW w:w="4998" w:type="pct"/>
        <w:tblInd w:w="0" w:type="dxa"/>
        <w:tblLayout w:type="autofit"/>
        <w:tblCellMar>
          <w:top w:w="0" w:type="dxa"/>
          <w:left w:w="108" w:type="dxa"/>
          <w:bottom w:w="0" w:type="dxa"/>
          <w:right w:w="108" w:type="dxa"/>
        </w:tblCellMar>
      </w:tblPr>
      <w:tblGrid>
        <w:gridCol w:w="561"/>
        <w:gridCol w:w="2968"/>
        <w:gridCol w:w="3685"/>
        <w:gridCol w:w="1305"/>
      </w:tblGrid>
      <w:tr w14:paraId="2E51E391">
        <w:tblPrEx>
          <w:tblCellMar>
            <w:top w:w="0" w:type="dxa"/>
            <w:left w:w="108" w:type="dxa"/>
            <w:bottom w:w="0" w:type="dxa"/>
            <w:right w:w="108" w:type="dxa"/>
          </w:tblCellMar>
        </w:tblPrEx>
        <w:trPr>
          <w:trHeight w:val="555" w:hRule="atLeast"/>
        </w:trPr>
        <w:tc>
          <w:tcPr>
            <w:tcW w:w="32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95299D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174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6B9E3B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维护点名称</w:t>
            </w:r>
          </w:p>
        </w:tc>
        <w:tc>
          <w:tcPr>
            <w:tcW w:w="216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9CD952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具体维护设备设施</w:t>
            </w:r>
          </w:p>
        </w:tc>
        <w:tc>
          <w:tcPr>
            <w:tcW w:w="7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996C2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数量（月数）</w:t>
            </w:r>
          </w:p>
        </w:tc>
      </w:tr>
      <w:tr w14:paraId="51CB840C">
        <w:tblPrEx>
          <w:tblCellMar>
            <w:top w:w="0" w:type="dxa"/>
            <w:left w:w="108" w:type="dxa"/>
            <w:bottom w:w="0" w:type="dxa"/>
            <w:right w:w="108" w:type="dxa"/>
          </w:tblCellMar>
        </w:tblPrEx>
        <w:trPr>
          <w:trHeight w:val="1597"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2E7A0161">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079A19C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白坭支公司及营业厅（含凯旋机房、龙盘机房、欣园机房）</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3F0D1ECA">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干粉灭火器10个；二氧化碳灭火器14个；防毒面具24个；应急灯15个；烟感探头7个。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471109E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5D9FF7F6">
        <w:tblPrEx>
          <w:tblCellMar>
            <w:top w:w="0" w:type="dxa"/>
            <w:left w:w="108" w:type="dxa"/>
            <w:bottom w:w="0" w:type="dxa"/>
            <w:right w:w="108" w:type="dxa"/>
          </w:tblCellMar>
        </w:tblPrEx>
        <w:trPr>
          <w:trHeight w:val="1440"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0C7F38B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2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714123B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乐平支公司及营业厅（含雍翠机房、南边机房、范湖机房）</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03478000">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二氧化碳灭火器6个；干粉灭火器6个；防毒面具12个；应急灯14个；烟感探头10个。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2824C77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3105C104">
        <w:tblPrEx>
          <w:tblCellMar>
            <w:top w:w="0" w:type="dxa"/>
            <w:left w:w="108" w:type="dxa"/>
            <w:bottom w:w="0" w:type="dxa"/>
            <w:right w:w="108" w:type="dxa"/>
          </w:tblCellMar>
        </w:tblPrEx>
        <w:trPr>
          <w:trHeight w:val="1385"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01A7F690">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3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7DD93DE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芦苞支公司及营业厅（含芦苞机房）</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3DCA3B3A">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干粉灭火器10个；二氧化碳灭火器2个；防毒面具12个；应急灯6个；烟感探头2个。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4A88731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5F7BAB85">
        <w:tblPrEx>
          <w:tblCellMar>
            <w:top w:w="0" w:type="dxa"/>
            <w:left w:w="108" w:type="dxa"/>
            <w:bottom w:w="0" w:type="dxa"/>
            <w:right w:w="108" w:type="dxa"/>
          </w:tblCellMar>
        </w:tblPrEx>
        <w:trPr>
          <w:trHeight w:val="1396"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0B9D17D9">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4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07628E8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大塘支公司及营业厅（含大塘机房）</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3FADF332">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干粉灭火器16个；二氧化碳灭火器2个；防毒面具18个；应急灯8个；烟感探头2个。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4813420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35FA1A98">
        <w:tblPrEx>
          <w:tblCellMar>
            <w:top w:w="0" w:type="dxa"/>
            <w:left w:w="108" w:type="dxa"/>
            <w:bottom w:w="0" w:type="dxa"/>
            <w:right w:w="108" w:type="dxa"/>
          </w:tblCellMar>
        </w:tblPrEx>
        <w:trPr>
          <w:trHeight w:val="1563"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6E9631D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5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15B86E87">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南山支公司及营业厅（含六和机房、迳口机房）</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32A1A412">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干粉灭火器12个；二氧化碳灭火器2个；防毒面具12个；应急灯7个；烟感探头4个。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2F2512F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082210F1">
        <w:tblPrEx>
          <w:tblCellMar>
            <w:top w:w="0" w:type="dxa"/>
            <w:left w:w="108" w:type="dxa"/>
            <w:bottom w:w="0" w:type="dxa"/>
            <w:right w:w="108" w:type="dxa"/>
          </w:tblCellMar>
        </w:tblPrEx>
        <w:trPr>
          <w:trHeight w:val="90"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415BA0CE">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6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52A6897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办公楼（含配电房、发电机房、电梯机房、机房播控室、水泵房、保安室等）、西南营业厅</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1D1AED26">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干粉灭火器80个；消防栓19套；消防泵2台；稳压泵2台；排水泵2台；应急灯42个；防毒面具80个；气溶胶气体灭火系统</w:t>
            </w:r>
            <w:r>
              <w:rPr>
                <w:rFonts w:hint="eastAsia" w:ascii="宋体" w:hAnsi="宋体" w:cs="宋体"/>
                <w:color w:val="000000"/>
                <w:kern w:val="0"/>
                <w:szCs w:val="21"/>
                <w:lang w:val="en-US" w:eastAsia="zh-CN" w:bidi="ar"/>
              </w:rPr>
              <w:t>1</w:t>
            </w:r>
            <w:r>
              <w:rPr>
                <w:rFonts w:hint="eastAsia" w:ascii="宋体" w:hAnsi="宋体" w:cs="宋体"/>
                <w:color w:val="000000"/>
                <w:kern w:val="0"/>
                <w:szCs w:val="21"/>
                <w:lang w:bidi="ar"/>
              </w:rPr>
              <w:t>套；葫芦式灭火器4个；手推车式干粉灭火器2个；火灾自动报警系统一套；应急广播系统一套；主备路供电系统。</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62876F8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56963805">
        <w:tblPrEx>
          <w:tblCellMar>
            <w:top w:w="0" w:type="dxa"/>
            <w:left w:w="108" w:type="dxa"/>
            <w:bottom w:w="0" w:type="dxa"/>
            <w:right w:w="108" w:type="dxa"/>
          </w:tblCellMar>
        </w:tblPrEx>
        <w:trPr>
          <w:trHeight w:val="1795"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6709CAF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7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39958DF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仓库</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20386B68">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干粉灭火器19个；二氧化碳灭火器1个；防毒面具18个；应急灯6个；出口指示牌1个；干粉灭火器手推车2个。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40A4BB46">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42419A6F">
        <w:tblPrEx>
          <w:tblCellMar>
            <w:top w:w="0" w:type="dxa"/>
            <w:left w:w="108" w:type="dxa"/>
            <w:bottom w:w="0" w:type="dxa"/>
            <w:right w:w="108" w:type="dxa"/>
          </w:tblCellMar>
        </w:tblPrEx>
        <w:trPr>
          <w:trHeight w:val="1925"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3B7E9884">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8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04E2043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沙头机房、奥园机房、九小区机房、广海大道机房、誉海机房、时代南湾机房、绿湖机房、丽日天鹅湖机房、万达机房</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298D94AE">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二氧化碳灭火器18个；防毒面具18个；应急灯18个；烟感探头18个。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71F3A92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3A1B1100">
        <w:tblPrEx>
          <w:tblCellMar>
            <w:top w:w="0" w:type="dxa"/>
            <w:left w:w="108" w:type="dxa"/>
            <w:bottom w:w="0" w:type="dxa"/>
            <w:right w:w="108" w:type="dxa"/>
          </w:tblCellMar>
        </w:tblPrEx>
        <w:trPr>
          <w:trHeight w:val="1000" w:hRule="atLeast"/>
        </w:trPr>
        <w:tc>
          <w:tcPr>
            <w:tcW w:w="329" w:type="pct"/>
            <w:tcBorders>
              <w:top w:val="nil"/>
              <w:left w:val="single" w:color="000000" w:sz="8" w:space="0"/>
              <w:bottom w:val="single" w:color="000000" w:sz="8" w:space="0"/>
              <w:right w:val="single" w:color="000000" w:sz="8" w:space="0"/>
            </w:tcBorders>
            <w:shd w:val="clear" w:color="auto" w:fill="auto"/>
            <w:vAlign w:val="center"/>
          </w:tcPr>
          <w:p w14:paraId="4CA49D1A">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9 </w:t>
            </w:r>
          </w:p>
        </w:tc>
        <w:tc>
          <w:tcPr>
            <w:tcW w:w="1742" w:type="pct"/>
            <w:tcBorders>
              <w:top w:val="nil"/>
              <w:left w:val="single" w:color="000000" w:sz="8" w:space="0"/>
              <w:bottom w:val="single" w:color="000000" w:sz="8" w:space="0"/>
              <w:right w:val="single" w:color="000000" w:sz="8" w:space="0"/>
            </w:tcBorders>
            <w:shd w:val="clear" w:color="auto" w:fill="auto"/>
            <w:vAlign w:val="center"/>
          </w:tcPr>
          <w:p w14:paraId="417B2A52">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数据机房、中心机房内</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3484806F">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二氧化碳灭火器8个；防毒面具14个；应急灯15个；烟感探头32个。</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38491F1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6A889DE6">
        <w:tblPrEx>
          <w:tblCellMar>
            <w:top w:w="0" w:type="dxa"/>
            <w:left w:w="108" w:type="dxa"/>
            <w:bottom w:w="0" w:type="dxa"/>
            <w:right w:w="108" w:type="dxa"/>
          </w:tblCellMar>
        </w:tblPrEx>
        <w:trPr>
          <w:trHeight w:val="1060" w:hRule="atLeast"/>
        </w:trPr>
        <w:tc>
          <w:tcPr>
            <w:tcW w:w="329" w:type="pct"/>
            <w:vMerge w:val="restart"/>
            <w:tcBorders>
              <w:top w:val="nil"/>
              <w:left w:val="single" w:color="000000" w:sz="8" w:space="0"/>
              <w:bottom w:val="single" w:color="000000" w:sz="8" w:space="0"/>
              <w:right w:val="single" w:color="000000" w:sz="8" w:space="0"/>
            </w:tcBorders>
            <w:shd w:val="clear" w:color="auto" w:fill="auto"/>
            <w:vAlign w:val="center"/>
          </w:tcPr>
          <w:p w14:paraId="2B794FB5">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 xml:space="preserve">10 </w:t>
            </w:r>
          </w:p>
        </w:tc>
        <w:tc>
          <w:tcPr>
            <w:tcW w:w="1742" w:type="pct"/>
            <w:vMerge w:val="restart"/>
            <w:tcBorders>
              <w:top w:val="nil"/>
              <w:left w:val="single" w:color="000000" w:sz="8" w:space="0"/>
              <w:bottom w:val="single" w:color="000000" w:sz="8" w:space="0"/>
              <w:right w:val="single" w:color="000000" w:sz="8" w:space="0"/>
            </w:tcBorders>
            <w:shd w:val="clear" w:color="auto" w:fill="auto"/>
            <w:vAlign w:val="center"/>
          </w:tcPr>
          <w:p w14:paraId="2A27F9CB">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消防系统维护</w:t>
            </w: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7E15525F">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中心机房气体（七氟丙烷）灭火系统1套；数据机房气体（七氟丙烷）2套。</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6C66C33C">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7BD74DF6">
        <w:tblPrEx>
          <w:tblCellMar>
            <w:top w:w="0" w:type="dxa"/>
            <w:left w:w="108" w:type="dxa"/>
            <w:bottom w:w="0" w:type="dxa"/>
            <w:right w:w="108" w:type="dxa"/>
          </w:tblCellMar>
        </w:tblPrEx>
        <w:trPr>
          <w:trHeight w:val="1299" w:hRule="atLeast"/>
        </w:trPr>
        <w:tc>
          <w:tcPr>
            <w:tcW w:w="329" w:type="pct"/>
            <w:vMerge w:val="continue"/>
            <w:tcBorders>
              <w:top w:val="nil"/>
              <w:left w:val="single" w:color="000000" w:sz="8" w:space="0"/>
              <w:bottom w:val="single" w:color="000000" w:sz="8" w:space="0"/>
              <w:right w:val="single" w:color="000000" w:sz="8" w:space="0"/>
            </w:tcBorders>
            <w:shd w:val="clear" w:color="auto" w:fill="auto"/>
            <w:vAlign w:val="center"/>
          </w:tcPr>
          <w:p w14:paraId="0A888474">
            <w:pPr>
              <w:widowControl/>
              <w:spacing w:line="360" w:lineRule="auto"/>
              <w:jc w:val="center"/>
              <w:rPr>
                <w:rFonts w:ascii="宋体" w:hAnsi="宋体" w:cs="宋体"/>
                <w:color w:val="000000"/>
                <w:szCs w:val="21"/>
              </w:rPr>
            </w:pPr>
          </w:p>
        </w:tc>
        <w:tc>
          <w:tcPr>
            <w:tcW w:w="1742" w:type="pct"/>
            <w:vMerge w:val="continue"/>
            <w:tcBorders>
              <w:top w:val="nil"/>
              <w:left w:val="single" w:color="000000" w:sz="8" w:space="0"/>
              <w:bottom w:val="single" w:color="000000" w:sz="8" w:space="0"/>
              <w:right w:val="single" w:color="000000" w:sz="8" w:space="0"/>
            </w:tcBorders>
            <w:shd w:val="clear" w:color="auto" w:fill="auto"/>
            <w:vAlign w:val="center"/>
          </w:tcPr>
          <w:p w14:paraId="16759F71">
            <w:pPr>
              <w:widowControl/>
              <w:spacing w:line="360" w:lineRule="auto"/>
              <w:jc w:val="center"/>
              <w:rPr>
                <w:rFonts w:ascii="宋体" w:hAnsi="宋体" w:cs="宋体"/>
                <w:color w:val="000000"/>
                <w:szCs w:val="21"/>
              </w:rPr>
            </w:pP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13E2A27A">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火灾自动报警系统（火灾自动报警系统一套；应急广播系统一套；主备路供电系统。）</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5815D4D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5B404622">
        <w:tblPrEx>
          <w:tblCellMar>
            <w:top w:w="0" w:type="dxa"/>
            <w:left w:w="108" w:type="dxa"/>
            <w:bottom w:w="0" w:type="dxa"/>
            <w:right w:w="108" w:type="dxa"/>
          </w:tblCellMar>
        </w:tblPrEx>
        <w:trPr>
          <w:trHeight w:val="540" w:hRule="atLeast"/>
        </w:trPr>
        <w:tc>
          <w:tcPr>
            <w:tcW w:w="329" w:type="pct"/>
            <w:vMerge w:val="continue"/>
            <w:tcBorders>
              <w:top w:val="nil"/>
              <w:left w:val="single" w:color="000000" w:sz="8" w:space="0"/>
              <w:bottom w:val="single" w:color="000000" w:sz="8" w:space="0"/>
              <w:right w:val="single" w:color="000000" w:sz="8" w:space="0"/>
            </w:tcBorders>
            <w:shd w:val="clear" w:color="auto" w:fill="auto"/>
            <w:vAlign w:val="center"/>
          </w:tcPr>
          <w:p w14:paraId="75717923">
            <w:pPr>
              <w:widowControl/>
              <w:spacing w:line="360" w:lineRule="auto"/>
              <w:jc w:val="center"/>
              <w:rPr>
                <w:rFonts w:ascii="宋体" w:hAnsi="宋体" w:cs="宋体"/>
                <w:color w:val="000000"/>
                <w:szCs w:val="21"/>
              </w:rPr>
            </w:pPr>
          </w:p>
        </w:tc>
        <w:tc>
          <w:tcPr>
            <w:tcW w:w="1742" w:type="pct"/>
            <w:vMerge w:val="continue"/>
            <w:tcBorders>
              <w:top w:val="nil"/>
              <w:left w:val="single" w:color="000000" w:sz="8" w:space="0"/>
              <w:bottom w:val="single" w:color="000000" w:sz="8" w:space="0"/>
              <w:right w:val="single" w:color="000000" w:sz="8" w:space="0"/>
            </w:tcBorders>
            <w:shd w:val="clear" w:color="auto" w:fill="auto"/>
            <w:vAlign w:val="center"/>
          </w:tcPr>
          <w:p w14:paraId="6D676DF2">
            <w:pPr>
              <w:widowControl/>
              <w:spacing w:line="360" w:lineRule="auto"/>
              <w:jc w:val="center"/>
              <w:rPr>
                <w:rFonts w:ascii="宋体" w:hAnsi="宋体" w:cs="宋体"/>
                <w:color w:val="000000"/>
                <w:szCs w:val="21"/>
              </w:rPr>
            </w:pP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38A1059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消火栓系统</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129A77A8">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48F02900">
        <w:tblPrEx>
          <w:tblCellMar>
            <w:top w:w="0" w:type="dxa"/>
            <w:left w:w="108" w:type="dxa"/>
            <w:bottom w:w="0" w:type="dxa"/>
            <w:right w:w="108" w:type="dxa"/>
          </w:tblCellMar>
        </w:tblPrEx>
        <w:trPr>
          <w:trHeight w:val="285" w:hRule="atLeast"/>
        </w:trPr>
        <w:tc>
          <w:tcPr>
            <w:tcW w:w="329" w:type="pct"/>
            <w:vMerge w:val="continue"/>
            <w:tcBorders>
              <w:top w:val="nil"/>
              <w:left w:val="single" w:color="000000" w:sz="8" w:space="0"/>
              <w:bottom w:val="single" w:color="000000" w:sz="8" w:space="0"/>
              <w:right w:val="single" w:color="000000" w:sz="8" w:space="0"/>
            </w:tcBorders>
            <w:shd w:val="clear" w:color="auto" w:fill="auto"/>
            <w:vAlign w:val="center"/>
          </w:tcPr>
          <w:p w14:paraId="183DAF65">
            <w:pPr>
              <w:widowControl/>
              <w:spacing w:line="360" w:lineRule="auto"/>
              <w:jc w:val="center"/>
              <w:rPr>
                <w:rFonts w:ascii="宋体" w:hAnsi="宋体" w:cs="宋体"/>
                <w:color w:val="000000"/>
                <w:szCs w:val="21"/>
              </w:rPr>
            </w:pPr>
          </w:p>
        </w:tc>
        <w:tc>
          <w:tcPr>
            <w:tcW w:w="1742" w:type="pct"/>
            <w:vMerge w:val="continue"/>
            <w:tcBorders>
              <w:top w:val="nil"/>
              <w:left w:val="single" w:color="000000" w:sz="8" w:space="0"/>
              <w:bottom w:val="single" w:color="000000" w:sz="8" w:space="0"/>
              <w:right w:val="single" w:color="000000" w:sz="8" w:space="0"/>
            </w:tcBorders>
            <w:shd w:val="clear" w:color="auto" w:fill="auto"/>
            <w:vAlign w:val="center"/>
          </w:tcPr>
          <w:p w14:paraId="4326BC78">
            <w:pPr>
              <w:widowControl/>
              <w:spacing w:line="360" w:lineRule="auto"/>
              <w:jc w:val="center"/>
              <w:rPr>
                <w:rFonts w:ascii="宋体" w:hAnsi="宋体" w:cs="宋体"/>
                <w:color w:val="000000"/>
                <w:szCs w:val="21"/>
              </w:rPr>
            </w:pPr>
          </w:p>
        </w:tc>
        <w:tc>
          <w:tcPr>
            <w:tcW w:w="2163" w:type="pct"/>
            <w:tcBorders>
              <w:top w:val="nil"/>
              <w:left w:val="single" w:color="000000" w:sz="8" w:space="0"/>
              <w:bottom w:val="single" w:color="000000" w:sz="8" w:space="0"/>
              <w:right w:val="single" w:color="000000" w:sz="8" w:space="0"/>
            </w:tcBorders>
            <w:shd w:val="clear" w:color="auto" w:fill="auto"/>
            <w:vAlign w:val="center"/>
          </w:tcPr>
          <w:p w14:paraId="284343FD">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喷淋系统</w:t>
            </w:r>
          </w:p>
        </w:tc>
        <w:tc>
          <w:tcPr>
            <w:tcW w:w="764" w:type="pct"/>
            <w:tcBorders>
              <w:top w:val="nil"/>
              <w:left w:val="single" w:color="000000" w:sz="8" w:space="0"/>
              <w:bottom w:val="single" w:color="000000" w:sz="8" w:space="0"/>
              <w:right w:val="single" w:color="000000" w:sz="8" w:space="0"/>
            </w:tcBorders>
            <w:shd w:val="clear" w:color="auto" w:fill="auto"/>
            <w:vAlign w:val="center"/>
          </w:tcPr>
          <w:p w14:paraId="3CD700EF">
            <w:pPr>
              <w:widowControl/>
              <w:spacing w:line="360" w:lineRule="auto"/>
              <w:jc w:val="center"/>
              <w:textAlignment w:val="center"/>
              <w:rPr>
                <w:rFonts w:ascii="宋体" w:hAnsi="宋体" w:cs="宋体"/>
                <w:color w:val="000000"/>
                <w:szCs w:val="21"/>
              </w:rPr>
            </w:pPr>
            <w:r>
              <w:rPr>
                <w:rFonts w:hint="eastAsia" w:ascii="宋体" w:hAnsi="宋体" w:cs="宋体"/>
                <w:color w:val="000000"/>
                <w:kern w:val="0"/>
                <w:szCs w:val="21"/>
                <w:lang w:bidi="ar"/>
              </w:rPr>
              <w:t>24</w:t>
            </w:r>
          </w:p>
        </w:tc>
      </w:tr>
      <w:tr w14:paraId="23BF7A04">
        <w:tblPrEx>
          <w:tblCellMar>
            <w:top w:w="0" w:type="dxa"/>
            <w:left w:w="108" w:type="dxa"/>
            <w:bottom w:w="0" w:type="dxa"/>
            <w:right w:w="108" w:type="dxa"/>
          </w:tblCellMar>
        </w:tblPrEx>
        <w:trPr>
          <w:trHeight w:val="555" w:hRule="atLeast"/>
        </w:trPr>
        <w:tc>
          <w:tcPr>
            <w:tcW w:w="5000" w:type="pct"/>
            <w:gridSpan w:val="4"/>
            <w:tcBorders>
              <w:top w:val="nil"/>
              <w:left w:val="single" w:color="000000" w:sz="8" w:space="0"/>
              <w:bottom w:val="single" w:color="000000" w:sz="8" w:space="0"/>
              <w:right w:val="single" w:color="000000" w:sz="8" w:space="0"/>
            </w:tcBorders>
            <w:shd w:val="clear" w:color="auto" w:fill="auto"/>
            <w:vAlign w:val="center"/>
          </w:tcPr>
          <w:p w14:paraId="1028E440">
            <w:pPr>
              <w:widowControl/>
              <w:spacing w:line="360" w:lineRule="auto"/>
              <w:textAlignment w:val="center"/>
              <w:rPr>
                <w:rFonts w:ascii="宋体" w:hAnsi="宋体" w:cs="宋体"/>
                <w:color w:val="000000"/>
                <w:szCs w:val="21"/>
              </w:rPr>
            </w:pPr>
            <w:r>
              <w:rPr>
                <w:rFonts w:hint="eastAsia" w:ascii="宋体" w:hAnsi="宋体" w:cs="宋体"/>
                <w:color w:val="000000"/>
                <w:kern w:val="0"/>
                <w:szCs w:val="21"/>
                <w:lang w:bidi="ar"/>
              </w:rPr>
              <w:t>注：采购人消防系统设备数量如有增减，应按采购人的通知为准，响应人不得据此拒绝维护。</w:t>
            </w:r>
          </w:p>
        </w:tc>
      </w:tr>
    </w:tbl>
    <w:p w14:paraId="64A210DC">
      <w:pPr>
        <w:pStyle w:val="59"/>
        <w:numPr>
          <w:ilvl w:val="0"/>
          <w:numId w:val="12"/>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报价人资格要求</w:t>
      </w:r>
    </w:p>
    <w:p w14:paraId="683CB83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响应人必须是具有独立承担民事责任能力的在中华人民共和国境内注册的法人或其他组织，提供有效的营业执照或法人登记证书复印件。如为独立法人设立的分支机构参加，响应人需提供独立法人出具的唯一授权书，授权书需明确响应人的权限范围，并提交独立法人有效的营业执照或法人登记证书复印件。</w:t>
      </w:r>
    </w:p>
    <w:p w14:paraId="405C3B78">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人不得存在下列情形之一：被责令停业的；被暂停或取消投标资格的；财产被接管或冻结的；在最近三年内有骗取中标或严重违约的；在投标过程中因重大违规被招标人处罚的；在“信用中国”（www.creditchina.gov.cn）、中国政府采购网（www.ccgp.gov.cn）被列入失信被执行人、重大税收违法案件当事人名单、政府采购严重违法失信行为记录名单。按照</w:t>
      </w:r>
      <w:r>
        <w:rPr>
          <w:rFonts w:hint="eastAsia" w:ascii="宋体" w:hAnsi="宋体" w:cs="宋体"/>
          <w:color w:val="000000" w:themeColor="text1"/>
          <w:szCs w:val="21"/>
          <w:lang w:val="en-US" w:eastAsia="zh-CN"/>
          <w14:textFill>
            <w14:solidFill>
              <w14:schemeClr w14:val="tx1"/>
            </w14:solidFill>
          </w14:textFill>
        </w:rPr>
        <w:t>竞价</w:t>
      </w:r>
      <w:r>
        <w:rPr>
          <w:rFonts w:hint="eastAsia" w:ascii="宋体" w:hAnsi="宋体" w:cs="宋体"/>
          <w:color w:val="000000" w:themeColor="text1"/>
          <w:szCs w:val="21"/>
          <w14:textFill>
            <w14:solidFill>
              <w14:schemeClr w14:val="tx1"/>
            </w14:solidFill>
          </w14:textFill>
        </w:rPr>
        <w:t>文件格式作出承诺。</w:t>
      </w:r>
    </w:p>
    <w:p w14:paraId="44A2597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3.本项目不接受联合体，不得转包，不得分包。</w:t>
      </w:r>
    </w:p>
    <w:p w14:paraId="1F2B2965">
      <w:pPr>
        <w:spacing w:line="360" w:lineRule="auto"/>
        <w:ind w:firstLine="420" w:firstLineChars="2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r>
        <w:rPr>
          <w:rFonts w:hint="eastAsia" w:ascii="宋体" w:hAnsi="宋体" w:eastAsia="宋体" w:cs="宋体"/>
          <w:b w:val="0"/>
          <w:bCs w:val="0"/>
          <w:i w:val="0"/>
          <w:iCs w:val="0"/>
          <w:caps w:val="0"/>
          <w:color w:val="000000"/>
          <w:spacing w:val="0"/>
          <w:sz w:val="21"/>
          <w:szCs w:val="21"/>
          <w:shd w:val="clear" w:fill="FFFFFF"/>
          <w:vertAlign w:val="baseline"/>
        </w:rPr>
        <w:t>供应商具有本次采购项目服务能力</w:t>
      </w:r>
      <w:r>
        <w:rPr>
          <w:rFonts w:hint="eastAsia" w:ascii="宋体" w:hAnsi="宋体" w:cs="宋体"/>
          <w:color w:val="000000" w:themeColor="text1"/>
          <w:szCs w:val="21"/>
          <w14:textFill>
            <w14:solidFill>
              <w14:schemeClr w14:val="tx1"/>
            </w14:solidFill>
          </w14:textFill>
        </w:rPr>
        <w:t>，并提供</w:t>
      </w:r>
      <w:r>
        <w:rPr>
          <w:rFonts w:ascii="宋体" w:hAnsi="宋体" w:eastAsia="宋体" w:cs="宋体"/>
          <w:sz w:val="21"/>
          <w:szCs w:val="21"/>
        </w:rPr>
        <w:t>社会消防技术服务信息系统备案</w:t>
      </w:r>
      <w:r>
        <w:rPr>
          <w:rFonts w:hint="eastAsia" w:ascii="宋体" w:hAnsi="宋体" w:cs="宋体"/>
          <w:sz w:val="21"/>
          <w:szCs w:val="21"/>
          <w:lang w:eastAsia="zh-CN"/>
        </w:rPr>
        <w:t>。</w:t>
      </w:r>
    </w:p>
    <w:p w14:paraId="62967AD1">
      <w:pPr>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三、商务要求</w:t>
      </w:r>
    </w:p>
    <w:p w14:paraId="57F28DB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服务对象及维保项目内容：对广东省广播电视网络股份有限公司佛山三水分公司消防设备设施及系统维护保养。维护保养项目范围包括：火灾自动报警系统、消火栓系统、气体（七氟丙烷）灭火系统、喷淋系统、泵房、防火分区、应急照明疏散指示、灭火器具、防毒面具。     </w:t>
      </w:r>
    </w:p>
    <w:p w14:paraId="23E57895">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2.服务有效期：自签订合同生效之日起成交人具有24个月（2年）的维保资格。 </w:t>
      </w:r>
    </w:p>
    <w:p w14:paraId="556F280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3.本项目总预算：约6.5万元。</w:t>
      </w:r>
    </w:p>
    <w:p w14:paraId="30EFECE2">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4.付款方式：维护保养费分4期支付，每半年结算一次，采用银行汇付（含电汇）形式。发票的开票单位必须与签订合同的单位相一致。</w:t>
      </w:r>
    </w:p>
    <w:p w14:paraId="2EFB71D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第一期及第三期：分别于合同有效期内的第二个季度、第六个季度分别支付合同总额的25%，同时乙方向甲方出具等额的增值税专用发票（税率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w:t>
      </w:r>
    </w:p>
    <w:p w14:paraId="5592B67D">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第二期及第四期：分别于合同有效期内的第四个季度、第八个季度，分别支付合同总额的25%，付款前乙方应开具增值税专用发票（税率</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 xml:space="preserve"> %）及一年的消防维护检查报告给甲方，甲方凭消防维护检查报告及每季度的消防系统维修保养服务质量考核表（服务质量考核表见合同附件）支付。采购人每季度进行一次消防系统维修保养服务质量考核，4季度的得分作为第二期及第四期服务款的结算凭证。每季度综合评分达到90分以上，服务款100%支付；评分达到80—90分，服务款95%支付；如有2次季度评分在80分以下，终止合同。</w:t>
      </w:r>
    </w:p>
    <w:p w14:paraId="527F1807">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5.如保养维护点有变化，保养费用按实际发生数量进行结算。</w:t>
      </w:r>
    </w:p>
    <w:p w14:paraId="36AD6B5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出现国家税收政策调整时，双方应根据实际税收调整情况，以本合同中的不含税价格（不含税单价=含税单价/（1+税率））为依据相应调整受影响的合同含税金额，成交人需按照税收调整政策规定开具合法合规发票。</w:t>
      </w:r>
    </w:p>
    <w:p w14:paraId="690ADF91">
      <w:pPr>
        <w:pStyle w:val="59"/>
        <w:numPr>
          <w:ilvl w:val="0"/>
          <w:numId w:val="12"/>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报价要求：</w:t>
      </w:r>
    </w:p>
    <w:p w14:paraId="2D3E0BCC">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总报价＝单价*维护点数*24个月+单价*系统维护*24个月。总报价包括但不限于施工设备、劳动管理、赶工费用、材料（基准价表中注明不包料的项目除外）、运输、安装、维护、检测、试验、利润、税金及政策性文件规定等各项应有费用及市场价格风险因素，在合同实施期间不因劳务、材料、机械等成本的价格变动而做任何调整。</w:t>
      </w:r>
    </w:p>
    <w:p w14:paraId="54664CF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2.报价要求：不得高于预算。</w:t>
      </w:r>
    </w:p>
    <w:p w14:paraId="19FB885B">
      <w:pPr>
        <w:pStyle w:val="59"/>
        <w:numPr>
          <w:ilvl w:val="0"/>
          <w:numId w:val="12"/>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维护工程内容：</w:t>
      </w:r>
    </w:p>
    <w:p w14:paraId="0C0BC94B">
      <w:pPr>
        <w:tabs>
          <w:tab w:val="left" w:pos="54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1.西南街道新华路41号办公大楼，仓库消防设备设施维护，火灾自动报警系统、消防栓系统、消防水泵系统、应急照明和疏散指示灯系统维护；</w:t>
      </w:r>
    </w:p>
    <w:p w14:paraId="7443BA2A">
      <w:pPr>
        <w:tabs>
          <w:tab w:val="left" w:pos="54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2.区分公司中心机房，各支公司、各区域中心分前端机房及营业厅的办公场所消防设备设施维护，消防栓系统、应急照明和疏散指示灯系统维护；</w:t>
      </w:r>
    </w:p>
    <w:p w14:paraId="7843ED40">
      <w:pPr>
        <w:tabs>
          <w:tab w:val="left" w:pos="54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3.区分公司中心机房内气体（七氟丙烷）灭火系统维护；</w:t>
      </w:r>
    </w:p>
    <w:p w14:paraId="5F6D837E">
      <w:pPr>
        <w:tabs>
          <w:tab w:val="left" w:pos="540"/>
        </w:tabs>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具体地点和数量如下：</w:t>
      </w:r>
    </w:p>
    <w:p w14:paraId="57E5A74A">
      <w:pPr>
        <w:tabs>
          <w:tab w:val="left" w:pos="540"/>
        </w:tabs>
        <w:spacing w:line="360" w:lineRule="auto"/>
        <w:ind w:firstLine="422" w:firstLineChars="2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各维护点：</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264"/>
        <w:gridCol w:w="3079"/>
        <w:gridCol w:w="2501"/>
      </w:tblGrid>
      <w:tr w14:paraId="4AB7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96" w:type="pct"/>
            <w:vAlign w:val="center"/>
          </w:tcPr>
          <w:p w14:paraId="6B2823F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329" w:type="pct"/>
            <w:vAlign w:val="center"/>
          </w:tcPr>
          <w:p w14:paraId="1CF068C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维护点</w:t>
            </w:r>
          </w:p>
        </w:tc>
        <w:tc>
          <w:tcPr>
            <w:tcW w:w="1807" w:type="pct"/>
            <w:vAlign w:val="center"/>
          </w:tcPr>
          <w:p w14:paraId="2327839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维护设备</w:t>
            </w:r>
          </w:p>
        </w:tc>
        <w:tc>
          <w:tcPr>
            <w:tcW w:w="1466" w:type="pct"/>
            <w:vAlign w:val="center"/>
          </w:tcPr>
          <w:p w14:paraId="458D60D4">
            <w:pPr>
              <w:spacing w:line="360" w:lineRule="auto"/>
              <w:ind w:right="139" w:rightChars="66"/>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w:t>
            </w:r>
          </w:p>
        </w:tc>
      </w:tr>
      <w:tr w14:paraId="17CF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96" w:type="pct"/>
            <w:vAlign w:val="center"/>
          </w:tcPr>
          <w:p w14:paraId="19D468C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29" w:type="pct"/>
            <w:vAlign w:val="center"/>
          </w:tcPr>
          <w:p w14:paraId="6E7C9A7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白坭支公司及营业厅（含凯旋机房、龙盘机房、欣园机房）</w:t>
            </w:r>
          </w:p>
        </w:tc>
        <w:tc>
          <w:tcPr>
            <w:tcW w:w="1807" w:type="pct"/>
            <w:vAlign w:val="center"/>
          </w:tcPr>
          <w:p w14:paraId="098ACA6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干粉灭火器10个；二氧化碳灭火器14个；防毒面具24个；应急灯15个；烟感探头7个。</w:t>
            </w:r>
          </w:p>
        </w:tc>
        <w:tc>
          <w:tcPr>
            <w:tcW w:w="1466" w:type="pct"/>
            <w:vAlign w:val="center"/>
          </w:tcPr>
          <w:p w14:paraId="716522E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白坭镇黄金大道68号富景花园A座111号铺</w:t>
            </w:r>
          </w:p>
        </w:tc>
      </w:tr>
      <w:tr w14:paraId="7EA8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96" w:type="pct"/>
            <w:vAlign w:val="center"/>
          </w:tcPr>
          <w:p w14:paraId="41DF93B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29" w:type="pct"/>
            <w:vAlign w:val="center"/>
          </w:tcPr>
          <w:p w14:paraId="4AA0A3A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乐平支公司及营业厅（含雍翠机房、南边机房、范湖机房）</w:t>
            </w:r>
          </w:p>
        </w:tc>
        <w:tc>
          <w:tcPr>
            <w:tcW w:w="1807" w:type="pct"/>
            <w:vAlign w:val="center"/>
          </w:tcPr>
          <w:p w14:paraId="2D3840A0">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二氧化碳灭火器6个；干粉灭火器6个；防毒面具12个；应急灯14个；烟感探头10个。</w:t>
            </w:r>
          </w:p>
        </w:tc>
        <w:tc>
          <w:tcPr>
            <w:tcW w:w="1466" w:type="pct"/>
            <w:vAlign w:val="center"/>
          </w:tcPr>
          <w:p w14:paraId="7C77496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乐平镇乐南路6号雍翠新城一期7座103铺；乐平镇范湖小映三街1号4座102；乐平镇南边圩宾馆路8号（教师村斜对面）</w:t>
            </w:r>
          </w:p>
        </w:tc>
      </w:tr>
      <w:tr w14:paraId="6BC4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Align w:val="center"/>
          </w:tcPr>
          <w:p w14:paraId="726E163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29" w:type="pct"/>
            <w:vAlign w:val="center"/>
          </w:tcPr>
          <w:p w14:paraId="30ADB96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芦苞支公司及营业厅（含芦苞机房）</w:t>
            </w:r>
          </w:p>
        </w:tc>
        <w:tc>
          <w:tcPr>
            <w:tcW w:w="1807" w:type="pct"/>
            <w:vAlign w:val="center"/>
          </w:tcPr>
          <w:p w14:paraId="654F146B">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干粉灭火器10个；二氧化碳灭火器2个；防毒面具12个；应急灯6个；烟感探头2个。</w:t>
            </w:r>
          </w:p>
        </w:tc>
        <w:tc>
          <w:tcPr>
            <w:tcW w:w="1466" w:type="pct"/>
            <w:vAlign w:val="center"/>
          </w:tcPr>
          <w:p w14:paraId="5644E1C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芦苞镇成功路133号</w:t>
            </w:r>
          </w:p>
        </w:tc>
      </w:tr>
      <w:tr w14:paraId="375AE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Align w:val="center"/>
          </w:tcPr>
          <w:p w14:paraId="33282CF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29" w:type="pct"/>
            <w:vAlign w:val="center"/>
          </w:tcPr>
          <w:p w14:paraId="0F22EFB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大塘支公司及营业厅（含大塘机房）</w:t>
            </w:r>
          </w:p>
        </w:tc>
        <w:tc>
          <w:tcPr>
            <w:tcW w:w="1807" w:type="pct"/>
            <w:vAlign w:val="center"/>
          </w:tcPr>
          <w:p w14:paraId="07826939">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干粉灭火器16个；二氧化碳灭火器2个；防毒面具18个；应急灯8个；烟感探头2个。</w:t>
            </w:r>
          </w:p>
        </w:tc>
        <w:tc>
          <w:tcPr>
            <w:tcW w:w="1466" w:type="pct"/>
            <w:vAlign w:val="center"/>
          </w:tcPr>
          <w:p w14:paraId="126C236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大塘镇大布沙大兴大道中73号101-103</w:t>
            </w:r>
          </w:p>
        </w:tc>
      </w:tr>
      <w:tr w14:paraId="71EB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Align w:val="center"/>
          </w:tcPr>
          <w:p w14:paraId="34A693A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29" w:type="pct"/>
            <w:vAlign w:val="center"/>
          </w:tcPr>
          <w:p w14:paraId="227B22B2">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南山支公司及营业厅（含六和机房、迳口机房）</w:t>
            </w:r>
          </w:p>
        </w:tc>
        <w:tc>
          <w:tcPr>
            <w:tcW w:w="1807" w:type="pct"/>
            <w:vAlign w:val="center"/>
          </w:tcPr>
          <w:p w14:paraId="12FD001C">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干粉灭火器12个；二氧化碳灭火器2个；防毒面具12个；应急灯7个；烟感探头4个。</w:t>
            </w:r>
          </w:p>
        </w:tc>
        <w:tc>
          <w:tcPr>
            <w:tcW w:w="1466" w:type="pct"/>
            <w:vAlign w:val="center"/>
          </w:tcPr>
          <w:p w14:paraId="6460DCC3">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南山镇知青路26号</w:t>
            </w:r>
          </w:p>
        </w:tc>
      </w:tr>
      <w:tr w14:paraId="5729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96" w:type="pct"/>
            <w:vAlign w:val="center"/>
          </w:tcPr>
          <w:p w14:paraId="18F57DF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29" w:type="pct"/>
            <w:vAlign w:val="center"/>
          </w:tcPr>
          <w:p w14:paraId="18109C1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办公楼（含配电房、发电机房、电梯机房、机房播控室、水泵房、保安室等）、西南营业厅</w:t>
            </w:r>
          </w:p>
        </w:tc>
        <w:tc>
          <w:tcPr>
            <w:tcW w:w="1807" w:type="pct"/>
            <w:vAlign w:val="center"/>
          </w:tcPr>
          <w:p w14:paraId="3E9BF2E1">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干粉灭火器80个；消防栓19套；消防泵2台；稳压泵2台；排水泵2台；应急灯42个；防毒面具80个；气溶胶气体灭火系统</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套；葫芦式灭火器4个；手推车式干粉灭火器2个；火灾自动报警系统一套；应急广播系统一套；主备路供电系统。</w:t>
            </w:r>
          </w:p>
        </w:tc>
        <w:tc>
          <w:tcPr>
            <w:tcW w:w="1466" w:type="pct"/>
            <w:vAlign w:val="center"/>
          </w:tcPr>
          <w:p w14:paraId="1ECC9A7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西南街道新华路41号</w:t>
            </w:r>
          </w:p>
        </w:tc>
      </w:tr>
      <w:tr w14:paraId="7F9EC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Align w:val="center"/>
          </w:tcPr>
          <w:p w14:paraId="44C9B5D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329" w:type="pct"/>
            <w:vAlign w:val="center"/>
          </w:tcPr>
          <w:p w14:paraId="76A6E4F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仓库</w:t>
            </w:r>
          </w:p>
        </w:tc>
        <w:tc>
          <w:tcPr>
            <w:tcW w:w="1807" w:type="pct"/>
            <w:vAlign w:val="center"/>
          </w:tcPr>
          <w:p w14:paraId="2DEA55B8">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干粉灭火器19个；二氧化碳灭火器1个；防毒面具18个；应急灯6个；出口指示牌1个；干粉灭火器手推车2个。 </w:t>
            </w:r>
          </w:p>
        </w:tc>
        <w:tc>
          <w:tcPr>
            <w:tcW w:w="1466" w:type="pct"/>
            <w:vAlign w:val="center"/>
          </w:tcPr>
          <w:p w14:paraId="02C8A62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佛山市三水区西南街道锦河三路11号</w:t>
            </w:r>
          </w:p>
        </w:tc>
      </w:tr>
      <w:tr w14:paraId="4DC5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96" w:type="pct"/>
            <w:vAlign w:val="center"/>
          </w:tcPr>
          <w:p w14:paraId="63DF9FE7">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329" w:type="pct"/>
            <w:vAlign w:val="center"/>
          </w:tcPr>
          <w:p w14:paraId="0999C93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沙头机房</w:t>
            </w:r>
          </w:p>
        </w:tc>
        <w:tc>
          <w:tcPr>
            <w:tcW w:w="1807" w:type="pct"/>
            <w:vMerge w:val="restart"/>
            <w:vAlign w:val="center"/>
          </w:tcPr>
          <w:p w14:paraId="67439D7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二氧化碳灭火器18个；防毒面具18个；应急灯18个；烟感探头18个。</w:t>
            </w:r>
          </w:p>
        </w:tc>
        <w:tc>
          <w:tcPr>
            <w:tcW w:w="1466" w:type="pct"/>
            <w:vAlign w:val="center"/>
          </w:tcPr>
          <w:p w14:paraId="302B5C78">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三水区西南街道沙头六街十二座105</w:t>
            </w:r>
          </w:p>
        </w:tc>
      </w:tr>
      <w:tr w14:paraId="4E6D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Merge w:val="restart"/>
            <w:vAlign w:val="center"/>
          </w:tcPr>
          <w:p w14:paraId="0E5FD22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329" w:type="pct"/>
            <w:vAlign w:val="center"/>
          </w:tcPr>
          <w:p w14:paraId="74A819C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奥园机房</w:t>
            </w:r>
          </w:p>
        </w:tc>
        <w:tc>
          <w:tcPr>
            <w:tcW w:w="1807" w:type="pct"/>
            <w:vMerge w:val="continue"/>
            <w:vAlign w:val="center"/>
          </w:tcPr>
          <w:p w14:paraId="35EC8714">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0513671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三水区西南街道广海大道东26号十六座110号</w:t>
            </w:r>
          </w:p>
        </w:tc>
      </w:tr>
      <w:tr w14:paraId="35D2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Merge w:val="continue"/>
            <w:vAlign w:val="center"/>
          </w:tcPr>
          <w:p w14:paraId="2C1A465C">
            <w:pPr>
              <w:spacing w:line="360" w:lineRule="auto"/>
              <w:jc w:val="center"/>
              <w:rPr>
                <w:rFonts w:ascii="宋体" w:hAnsi="宋体" w:cs="宋体"/>
                <w:color w:val="000000" w:themeColor="text1"/>
                <w:szCs w:val="21"/>
                <w14:textFill>
                  <w14:solidFill>
                    <w14:schemeClr w14:val="tx1"/>
                  </w14:solidFill>
                </w14:textFill>
              </w:rPr>
            </w:pPr>
          </w:p>
        </w:tc>
        <w:tc>
          <w:tcPr>
            <w:tcW w:w="1329" w:type="pct"/>
            <w:vAlign w:val="center"/>
          </w:tcPr>
          <w:p w14:paraId="7D4255C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九小区机房</w:t>
            </w:r>
          </w:p>
        </w:tc>
        <w:tc>
          <w:tcPr>
            <w:tcW w:w="1807" w:type="pct"/>
            <w:vMerge w:val="continue"/>
            <w:vAlign w:val="center"/>
          </w:tcPr>
          <w:p w14:paraId="70360D26">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1C227F4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三水区西南街道康宝街1座102</w:t>
            </w:r>
          </w:p>
        </w:tc>
      </w:tr>
      <w:tr w14:paraId="5C4D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Merge w:val="continue"/>
            <w:vAlign w:val="center"/>
          </w:tcPr>
          <w:p w14:paraId="0F1C8F7E">
            <w:pPr>
              <w:spacing w:line="360" w:lineRule="auto"/>
              <w:jc w:val="center"/>
              <w:rPr>
                <w:rFonts w:ascii="宋体" w:hAnsi="宋体" w:cs="宋体"/>
                <w:color w:val="000000" w:themeColor="text1"/>
                <w:szCs w:val="21"/>
                <w14:textFill>
                  <w14:solidFill>
                    <w14:schemeClr w14:val="tx1"/>
                  </w14:solidFill>
                </w14:textFill>
              </w:rPr>
            </w:pPr>
          </w:p>
        </w:tc>
        <w:tc>
          <w:tcPr>
            <w:tcW w:w="1329" w:type="pct"/>
            <w:vAlign w:val="center"/>
          </w:tcPr>
          <w:p w14:paraId="0C23CAA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广海大道机房</w:t>
            </w:r>
          </w:p>
        </w:tc>
        <w:tc>
          <w:tcPr>
            <w:tcW w:w="1807" w:type="pct"/>
            <w:vMerge w:val="continue"/>
            <w:vAlign w:val="center"/>
          </w:tcPr>
          <w:p w14:paraId="5B92E123">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1C0D936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三水区西南街道广海大道西19号4座101</w:t>
            </w:r>
          </w:p>
        </w:tc>
      </w:tr>
      <w:tr w14:paraId="0F50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Merge w:val="continue"/>
            <w:vAlign w:val="center"/>
          </w:tcPr>
          <w:p w14:paraId="7050DE44">
            <w:pPr>
              <w:spacing w:line="360" w:lineRule="auto"/>
              <w:jc w:val="center"/>
              <w:rPr>
                <w:rFonts w:ascii="宋体" w:hAnsi="宋体" w:cs="宋体"/>
                <w:color w:val="000000" w:themeColor="text1"/>
                <w:szCs w:val="21"/>
                <w14:textFill>
                  <w14:solidFill>
                    <w14:schemeClr w14:val="tx1"/>
                  </w14:solidFill>
                </w14:textFill>
              </w:rPr>
            </w:pPr>
          </w:p>
        </w:tc>
        <w:tc>
          <w:tcPr>
            <w:tcW w:w="1329" w:type="pct"/>
            <w:vAlign w:val="center"/>
          </w:tcPr>
          <w:p w14:paraId="121D668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誉海机房</w:t>
            </w:r>
          </w:p>
        </w:tc>
        <w:tc>
          <w:tcPr>
            <w:tcW w:w="1807" w:type="pct"/>
            <w:vMerge w:val="continue"/>
            <w:vAlign w:val="center"/>
          </w:tcPr>
          <w:p w14:paraId="55AFEF1E">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6912D6C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三水区西南街道锦江路7号誉泰景园1座</w:t>
            </w:r>
          </w:p>
        </w:tc>
      </w:tr>
      <w:tr w14:paraId="2E058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Merge w:val="continue"/>
            <w:vAlign w:val="center"/>
          </w:tcPr>
          <w:p w14:paraId="07685DE8">
            <w:pPr>
              <w:spacing w:line="360" w:lineRule="auto"/>
              <w:jc w:val="center"/>
              <w:rPr>
                <w:rFonts w:ascii="宋体" w:hAnsi="宋体" w:cs="宋体"/>
                <w:color w:val="000000" w:themeColor="text1"/>
                <w:szCs w:val="21"/>
                <w14:textFill>
                  <w14:solidFill>
                    <w14:schemeClr w14:val="tx1"/>
                  </w14:solidFill>
                </w14:textFill>
              </w:rPr>
            </w:pPr>
          </w:p>
        </w:tc>
        <w:tc>
          <w:tcPr>
            <w:tcW w:w="1329" w:type="pct"/>
            <w:vAlign w:val="center"/>
          </w:tcPr>
          <w:p w14:paraId="5DA72254">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时代城机房</w:t>
            </w:r>
          </w:p>
        </w:tc>
        <w:tc>
          <w:tcPr>
            <w:tcW w:w="1807" w:type="pct"/>
            <w:vMerge w:val="continue"/>
            <w:vAlign w:val="center"/>
          </w:tcPr>
          <w:p w14:paraId="417092C1">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7109B6BB">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三水区西南街道西河路1号物业</w:t>
            </w:r>
          </w:p>
        </w:tc>
      </w:tr>
      <w:tr w14:paraId="57A2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Merge w:val="continue"/>
            <w:vAlign w:val="center"/>
          </w:tcPr>
          <w:p w14:paraId="0B970CC8">
            <w:pPr>
              <w:spacing w:line="360" w:lineRule="auto"/>
              <w:jc w:val="center"/>
              <w:rPr>
                <w:rFonts w:ascii="宋体" w:hAnsi="宋体" w:cs="宋体"/>
                <w:color w:val="000000" w:themeColor="text1"/>
                <w:szCs w:val="21"/>
                <w14:textFill>
                  <w14:solidFill>
                    <w14:schemeClr w14:val="tx1"/>
                  </w14:solidFill>
                </w14:textFill>
              </w:rPr>
            </w:pPr>
          </w:p>
        </w:tc>
        <w:tc>
          <w:tcPr>
            <w:tcW w:w="1329" w:type="pct"/>
            <w:vAlign w:val="center"/>
          </w:tcPr>
          <w:p w14:paraId="01B898AE">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绿湖机房</w:t>
            </w:r>
          </w:p>
        </w:tc>
        <w:tc>
          <w:tcPr>
            <w:tcW w:w="1807" w:type="pct"/>
            <w:vMerge w:val="continue"/>
            <w:vAlign w:val="center"/>
          </w:tcPr>
          <w:p w14:paraId="265AE63D">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534F19E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三水区西南街道森林公园六小区3A号地</w:t>
            </w:r>
          </w:p>
        </w:tc>
      </w:tr>
      <w:tr w14:paraId="43D6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396" w:type="pct"/>
            <w:vMerge w:val="continue"/>
            <w:vAlign w:val="center"/>
          </w:tcPr>
          <w:p w14:paraId="488C7015">
            <w:pPr>
              <w:spacing w:line="360" w:lineRule="auto"/>
              <w:jc w:val="center"/>
              <w:rPr>
                <w:rFonts w:ascii="宋体" w:hAnsi="宋体" w:cs="宋体"/>
                <w:color w:val="000000" w:themeColor="text1"/>
                <w:szCs w:val="21"/>
                <w14:textFill>
                  <w14:solidFill>
                    <w14:schemeClr w14:val="tx1"/>
                  </w14:solidFill>
                </w14:textFill>
              </w:rPr>
            </w:pPr>
          </w:p>
        </w:tc>
        <w:tc>
          <w:tcPr>
            <w:tcW w:w="1329" w:type="pct"/>
            <w:vAlign w:val="center"/>
          </w:tcPr>
          <w:p w14:paraId="5020BB3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丽日天鹅湖机房</w:t>
            </w:r>
          </w:p>
        </w:tc>
        <w:tc>
          <w:tcPr>
            <w:tcW w:w="1807" w:type="pct"/>
            <w:vMerge w:val="continue"/>
            <w:vAlign w:val="center"/>
          </w:tcPr>
          <w:p w14:paraId="3C3535D5">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3212EA71">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三水区云东海街道大学路与内环北路交汇处</w:t>
            </w:r>
          </w:p>
        </w:tc>
      </w:tr>
      <w:tr w14:paraId="588A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396" w:type="pct"/>
            <w:vMerge w:val="continue"/>
            <w:vAlign w:val="center"/>
          </w:tcPr>
          <w:p w14:paraId="60600866">
            <w:pPr>
              <w:spacing w:line="360" w:lineRule="auto"/>
              <w:jc w:val="center"/>
              <w:rPr>
                <w:rFonts w:ascii="宋体" w:hAnsi="宋体" w:cs="宋体"/>
                <w:color w:val="000000" w:themeColor="text1"/>
                <w:szCs w:val="21"/>
                <w14:textFill>
                  <w14:solidFill>
                    <w14:schemeClr w14:val="tx1"/>
                  </w14:solidFill>
                </w14:textFill>
              </w:rPr>
            </w:pPr>
          </w:p>
        </w:tc>
        <w:tc>
          <w:tcPr>
            <w:tcW w:w="1329" w:type="pct"/>
            <w:vAlign w:val="center"/>
          </w:tcPr>
          <w:p w14:paraId="2B3931E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万达机房</w:t>
            </w:r>
          </w:p>
        </w:tc>
        <w:tc>
          <w:tcPr>
            <w:tcW w:w="1807" w:type="pct"/>
            <w:vMerge w:val="continue"/>
            <w:vAlign w:val="center"/>
          </w:tcPr>
          <w:p w14:paraId="58340269">
            <w:pPr>
              <w:spacing w:line="360" w:lineRule="auto"/>
              <w:jc w:val="center"/>
              <w:rPr>
                <w:rFonts w:ascii="宋体" w:hAnsi="宋体" w:cs="宋体"/>
                <w:color w:val="000000" w:themeColor="text1"/>
                <w:szCs w:val="21"/>
                <w14:textFill>
                  <w14:solidFill>
                    <w14:schemeClr w14:val="tx1"/>
                  </w14:solidFill>
                </w14:textFill>
              </w:rPr>
            </w:pPr>
          </w:p>
        </w:tc>
        <w:tc>
          <w:tcPr>
            <w:tcW w:w="1466" w:type="pct"/>
            <w:vAlign w:val="center"/>
          </w:tcPr>
          <w:p w14:paraId="5566C01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三水区西南万达广场负一层</w:t>
            </w:r>
          </w:p>
        </w:tc>
      </w:tr>
      <w:tr w14:paraId="115A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396" w:type="pct"/>
            <w:vAlign w:val="center"/>
          </w:tcPr>
          <w:p w14:paraId="7AC3A690">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329" w:type="pct"/>
            <w:vAlign w:val="center"/>
          </w:tcPr>
          <w:p w14:paraId="3FA0FAFC">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数据机房、中心机房内</w:t>
            </w:r>
          </w:p>
        </w:tc>
        <w:tc>
          <w:tcPr>
            <w:tcW w:w="1807" w:type="pct"/>
            <w:vAlign w:val="center"/>
          </w:tcPr>
          <w:p w14:paraId="058F1E60">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二氧化碳灭火器8个；防毒面具14个；应急灯15个；烟感探头32个。</w:t>
            </w:r>
          </w:p>
        </w:tc>
        <w:tc>
          <w:tcPr>
            <w:tcW w:w="1466" w:type="pct"/>
            <w:vAlign w:val="center"/>
          </w:tcPr>
          <w:p w14:paraId="326A1C6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三水区西南街道新华路41号五楼</w:t>
            </w:r>
          </w:p>
        </w:tc>
      </w:tr>
      <w:tr w14:paraId="76257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5000" w:type="pct"/>
            <w:gridSpan w:val="4"/>
            <w:vAlign w:val="center"/>
          </w:tcPr>
          <w:p w14:paraId="2D24DE0F">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注：采购人消防系统设备数量如有增减，应按采购人的通知为准，响应人不得据此拒绝维护。</w:t>
            </w:r>
          </w:p>
        </w:tc>
      </w:tr>
    </w:tbl>
    <w:p w14:paraId="3969902D">
      <w:pPr>
        <w:pStyle w:val="59"/>
        <w:numPr>
          <w:ilvl w:val="0"/>
          <w:numId w:val="12"/>
        </w:numPr>
        <w:spacing w:line="360" w:lineRule="auto"/>
        <w:ind w:left="0" w:firstLine="0" w:firstLineChars="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服务要求</w:t>
      </w:r>
    </w:p>
    <w:p w14:paraId="62F9F07C">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1.三水分公司消防系统维护保养需求</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5423"/>
        <w:gridCol w:w="1725"/>
      </w:tblGrid>
      <w:tr w14:paraId="53DD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05" w:type="pct"/>
            <w:vAlign w:val="center"/>
          </w:tcPr>
          <w:p w14:paraId="273F3F8B">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w:t>
            </w:r>
          </w:p>
        </w:tc>
        <w:tc>
          <w:tcPr>
            <w:tcW w:w="3182" w:type="pct"/>
            <w:vAlign w:val="center"/>
          </w:tcPr>
          <w:p w14:paraId="3B8C5739">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巡查内容</w:t>
            </w:r>
          </w:p>
        </w:tc>
        <w:tc>
          <w:tcPr>
            <w:tcW w:w="1012" w:type="pct"/>
            <w:vAlign w:val="center"/>
          </w:tcPr>
          <w:p w14:paraId="49168D5A">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巡查要求</w:t>
            </w:r>
          </w:p>
        </w:tc>
      </w:tr>
      <w:tr w14:paraId="0680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 w:type="pct"/>
            <w:vMerge w:val="restart"/>
            <w:vAlign w:val="center"/>
          </w:tcPr>
          <w:p w14:paraId="549D80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1、火灾自动报警系统</w:t>
            </w:r>
          </w:p>
        </w:tc>
        <w:tc>
          <w:tcPr>
            <w:tcW w:w="3182" w:type="pct"/>
            <w:vAlign w:val="center"/>
          </w:tcPr>
          <w:p w14:paraId="3929BE9F">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火灾报警系统、气溶胶气体灭火系统、应急广播系统定期检查和试验；</w:t>
            </w:r>
          </w:p>
        </w:tc>
        <w:tc>
          <w:tcPr>
            <w:tcW w:w="1012" w:type="pct"/>
            <w:vAlign w:val="center"/>
          </w:tcPr>
          <w:p w14:paraId="4169ADB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每年4次</w:t>
            </w:r>
          </w:p>
        </w:tc>
      </w:tr>
      <w:tr w14:paraId="6095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 w:type="pct"/>
            <w:vMerge w:val="continue"/>
            <w:vAlign w:val="center"/>
          </w:tcPr>
          <w:p w14:paraId="3B5DD8E7">
            <w:pPr>
              <w:spacing w:line="360" w:lineRule="auto"/>
              <w:rPr>
                <w:rFonts w:ascii="宋体" w:hAnsi="宋体"/>
                <w:color w:val="000000" w:themeColor="text1"/>
                <w:szCs w:val="21"/>
                <w14:textFill>
                  <w14:solidFill>
                    <w14:schemeClr w14:val="tx1"/>
                  </w14:solidFill>
                </w14:textFill>
              </w:rPr>
            </w:pPr>
          </w:p>
        </w:tc>
        <w:tc>
          <w:tcPr>
            <w:tcW w:w="3182" w:type="pct"/>
            <w:tcBorders>
              <w:top w:val="nil"/>
            </w:tcBorders>
            <w:vAlign w:val="center"/>
          </w:tcPr>
          <w:p w14:paraId="3F1742E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火灾自动报警主备路供电系统定期检查和维护；</w:t>
            </w:r>
          </w:p>
        </w:tc>
        <w:tc>
          <w:tcPr>
            <w:tcW w:w="1012" w:type="pct"/>
            <w:vAlign w:val="center"/>
          </w:tcPr>
          <w:p w14:paraId="3B1784F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每年4次</w:t>
            </w:r>
          </w:p>
        </w:tc>
      </w:tr>
      <w:tr w14:paraId="1689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 w:type="pct"/>
            <w:vMerge w:val="continue"/>
            <w:vAlign w:val="center"/>
          </w:tcPr>
          <w:p w14:paraId="2E8B94C5">
            <w:pPr>
              <w:spacing w:line="360" w:lineRule="auto"/>
              <w:rPr>
                <w:rFonts w:ascii="宋体" w:hAnsi="宋体"/>
                <w:color w:val="000000" w:themeColor="text1"/>
                <w:szCs w:val="21"/>
                <w14:textFill>
                  <w14:solidFill>
                    <w14:schemeClr w14:val="tx1"/>
                  </w14:solidFill>
                </w14:textFill>
              </w:rPr>
            </w:pPr>
          </w:p>
        </w:tc>
        <w:tc>
          <w:tcPr>
            <w:tcW w:w="3182" w:type="pct"/>
            <w:tcBorders>
              <w:top w:val="nil"/>
            </w:tcBorders>
            <w:vAlign w:val="center"/>
          </w:tcPr>
          <w:p w14:paraId="23FAE8C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温、烟感探测器和手动报警器定期检查和试验；</w:t>
            </w:r>
          </w:p>
        </w:tc>
        <w:tc>
          <w:tcPr>
            <w:tcW w:w="1012" w:type="pct"/>
            <w:vAlign w:val="center"/>
          </w:tcPr>
          <w:p w14:paraId="1AC8DEB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每年2次</w:t>
            </w:r>
          </w:p>
        </w:tc>
      </w:tr>
      <w:tr w14:paraId="5D60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 w:type="pct"/>
            <w:vMerge w:val="continue"/>
            <w:vAlign w:val="center"/>
          </w:tcPr>
          <w:p w14:paraId="215C6145">
            <w:pPr>
              <w:spacing w:line="360" w:lineRule="auto"/>
              <w:rPr>
                <w:rFonts w:ascii="宋体" w:hAnsi="宋体"/>
                <w:color w:val="000000" w:themeColor="text1"/>
                <w:szCs w:val="21"/>
                <w14:textFill>
                  <w14:solidFill>
                    <w14:schemeClr w14:val="tx1"/>
                  </w14:solidFill>
                </w14:textFill>
              </w:rPr>
            </w:pPr>
          </w:p>
        </w:tc>
        <w:tc>
          <w:tcPr>
            <w:tcW w:w="3182" w:type="pct"/>
            <w:tcBorders>
              <w:top w:val="nil"/>
            </w:tcBorders>
            <w:vAlign w:val="center"/>
          </w:tcPr>
          <w:p w14:paraId="6C26FFAC">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电梯、用电等消防系统联动设备定期检查和试验</w:t>
            </w:r>
          </w:p>
        </w:tc>
        <w:tc>
          <w:tcPr>
            <w:tcW w:w="1012" w:type="pct"/>
            <w:vAlign w:val="center"/>
          </w:tcPr>
          <w:p w14:paraId="50CCE2A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每年2次</w:t>
            </w:r>
          </w:p>
        </w:tc>
      </w:tr>
      <w:tr w14:paraId="29FB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05" w:type="pct"/>
            <w:vMerge w:val="restart"/>
            <w:vAlign w:val="center"/>
          </w:tcPr>
          <w:p w14:paraId="74F7084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2、消防栓系统</w:t>
            </w:r>
          </w:p>
        </w:tc>
        <w:tc>
          <w:tcPr>
            <w:tcW w:w="3182" w:type="pct"/>
            <w:vAlign w:val="center"/>
          </w:tcPr>
          <w:p w14:paraId="7EC4DF9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消防泵启动运转试验（含消火栓按钮联动启泵试验）；</w:t>
            </w:r>
          </w:p>
        </w:tc>
        <w:tc>
          <w:tcPr>
            <w:tcW w:w="1012" w:type="pct"/>
            <w:vAlign w:val="center"/>
          </w:tcPr>
          <w:p w14:paraId="7DF7C707">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52505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05" w:type="pct"/>
            <w:vMerge w:val="continue"/>
            <w:vAlign w:val="center"/>
          </w:tcPr>
          <w:p w14:paraId="5FC3CE6D">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6D5E38F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所有控制阀门进行检查；</w:t>
            </w:r>
          </w:p>
        </w:tc>
        <w:tc>
          <w:tcPr>
            <w:tcW w:w="1012" w:type="pct"/>
            <w:vAlign w:val="center"/>
          </w:tcPr>
          <w:p w14:paraId="3D6A8ED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139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 w:type="pct"/>
            <w:vMerge w:val="continue"/>
            <w:vAlign w:val="center"/>
          </w:tcPr>
          <w:p w14:paraId="706FB4D2">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1DBE628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消防泵房排水泵定期检查和试验</w:t>
            </w:r>
          </w:p>
        </w:tc>
        <w:tc>
          <w:tcPr>
            <w:tcW w:w="1012" w:type="pct"/>
            <w:vAlign w:val="center"/>
          </w:tcPr>
          <w:p w14:paraId="0317A03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7F08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05" w:type="pct"/>
            <w:vMerge w:val="continue"/>
            <w:vAlign w:val="center"/>
          </w:tcPr>
          <w:p w14:paraId="26D529DE">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6F13A7A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稳压泵、气压水罐定期检查和试验</w:t>
            </w:r>
          </w:p>
        </w:tc>
        <w:tc>
          <w:tcPr>
            <w:tcW w:w="1012" w:type="pct"/>
            <w:vAlign w:val="center"/>
          </w:tcPr>
          <w:p w14:paraId="4A02233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3BBE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05" w:type="pct"/>
            <w:vMerge w:val="continue"/>
            <w:vAlign w:val="center"/>
          </w:tcPr>
          <w:p w14:paraId="11831D98">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1305912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消防水池和消防管路定期检查</w:t>
            </w:r>
          </w:p>
        </w:tc>
        <w:tc>
          <w:tcPr>
            <w:tcW w:w="1012" w:type="pct"/>
            <w:vAlign w:val="center"/>
          </w:tcPr>
          <w:p w14:paraId="7922F88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4D4A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05" w:type="pct"/>
            <w:vMerge w:val="continue"/>
            <w:vAlign w:val="center"/>
          </w:tcPr>
          <w:p w14:paraId="657EE98C">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555AD64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消防栓检查；</w:t>
            </w:r>
          </w:p>
        </w:tc>
        <w:tc>
          <w:tcPr>
            <w:tcW w:w="1012" w:type="pct"/>
            <w:vAlign w:val="center"/>
          </w:tcPr>
          <w:p w14:paraId="24D24E8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7A92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7D506A21">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54C9D688">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最不利点消防栓静压压力试验；最不利点出水试水接头压力测试。</w:t>
            </w:r>
          </w:p>
        </w:tc>
        <w:tc>
          <w:tcPr>
            <w:tcW w:w="1012" w:type="pct"/>
            <w:vAlign w:val="center"/>
          </w:tcPr>
          <w:p w14:paraId="6D8F70D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每季度1次</w:t>
            </w:r>
          </w:p>
        </w:tc>
      </w:tr>
      <w:tr w14:paraId="4B23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7AA8220F">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029292C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室内消防栓箱内水枪、水带等设备检查；</w:t>
            </w:r>
          </w:p>
        </w:tc>
        <w:tc>
          <w:tcPr>
            <w:tcW w:w="1012" w:type="pct"/>
            <w:vAlign w:val="center"/>
          </w:tcPr>
          <w:p w14:paraId="782AB40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每半年1次</w:t>
            </w:r>
          </w:p>
        </w:tc>
      </w:tr>
      <w:tr w14:paraId="3670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1CECF5C9">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182E2F6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水泵接合器接口及附件检查；</w:t>
            </w:r>
          </w:p>
        </w:tc>
        <w:tc>
          <w:tcPr>
            <w:tcW w:w="1012" w:type="pct"/>
            <w:vAlign w:val="center"/>
          </w:tcPr>
          <w:p w14:paraId="558D658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每年1次</w:t>
            </w:r>
          </w:p>
        </w:tc>
      </w:tr>
      <w:tr w14:paraId="05BA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17C7FECF">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4715F8C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抽查消防栓出水情况检查。</w:t>
            </w:r>
          </w:p>
        </w:tc>
        <w:tc>
          <w:tcPr>
            <w:tcW w:w="1012" w:type="pct"/>
            <w:vAlign w:val="center"/>
          </w:tcPr>
          <w:p w14:paraId="37B15C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每年1次</w:t>
            </w:r>
          </w:p>
        </w:tc>
      </w:tr>
      <w:tr w14:paraId="4D07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Align w:val="center"/>
          </w:tcPr>
          <w:p w14:paraId="561F27DB">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3、消防水泵系统</w:t>
            </w:r>
          </w:p>
        </w:tc>
        <w:tc>
          <w:tcPr>
            <w:tcW w:w="3182" w:type="pct"/>
            <w:vAlign w:val="center"/>
          </w:tcPr>
          <w:p w14:paraId="4D05CBF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水泵、水泵电机、水泵柜电器配件检查</w:t>
            </w:r>
          </w:p>
        </w:tc>
        <w:tc>
          <w:tcPr>
            <w:tcW w:w="1012" w:type="pct"/>
            <w:vAlign w:val="center"/>
          </w:tcPr>
          <w:p w14:paraId="11B44A4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1393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restart"/>
            <w:vAlign w:val="center"/>
          </w:tcPr>
          <w:p w14:paraId="46225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4、喷淋系统</w:t>
            </w:r>
          </w:p>
        </w:tc>
        <w:tc>
          <w:tcPr>
            <w:tcW w:w="3182" w:type="pct"/>
            <w:vAlign w:val="center"/>
          </w:tcPr>
          <w:p w14:paraId="64D95309">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水源控制阀、报警阀组检查；</w:t>
            </w:r>
          </w:p>
        </w:tc>
        <w:tc>
          <w:tcPr>
            <w:tcW w:w="1012" w:type="pct"/>
            <w:vAlign w:val="center"/>
          </w:tcPr>
          <w:p w14:paraId="4F507C1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51D3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324B3CD3">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57D9421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喷淋水泵启动运转试验；</w:t>
            </w:r>
          </w:p>
        </w:tc>
        <w:tc>
          <w:tcPr>
            <w:tcW w:w="1012" w:type="pct"/>
            <w:vAlign w:val="center"/>
          </w:tcPr>
          <w:p w14:paraId="2E3B3A1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3246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5AFB4078">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190222B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喷头检查；</w:t>
            </w:r>
          </w:p>
        </w:tc>
        <w:tc>
          <w:tcPr>
            <w:tcW w:w="1012" w:type="pct"/>
            <w:vAlign w:val="center"/>
          </w:tcPr>
          <w:p w14:paraId="2A8D473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1306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2010F642">
            <w:pPr>
              <w:spacing w:line="360" w:lineRule="auto"/>
              <w:rPr>
                <w:rFonts w:ascii="宋体" w:hAnsi="宋体"/>
                <w:color w:val="000000" w:themeColor="text1"/>
                <w:szCs w:val="21"/>
                <w14:textFill>
                  <w14:solidFill>
                    <w14:schemeClr w14:val="tx1"/>
                  </w14:solidFill>
                </w14:textFill>
              </w:rPr>
            </w:pPr>
          </w:p>
        </w:tc>
        <w:tc>
          <w:tcPr>
            <w:tcW w:w="3182" w:type="pct"/>
            <w:vAlign w:val="center"/>
          </w:tcPr>
          <w:p w14:paraId="61368F4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湿式报警阀旁的放水试验阀进行泄水试验；</w:t>
            </w:r>
          </w:p>
        </w:tc>
        <w:tc>
          <w:tcPr>
            <w:tcW w:w="1012" w:type="pct"/>
            <w:vAlign w:val="center"/>
          </w:tcPr>
          <w:p w14:paraId="710518D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每季度1次</w:t>
            </w:r>
          </w:p>
        </w:tc>
      </w:tr>
      <w:tr w14:paraId="5AAA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6507C51E">
            <w:pPr>
              <w:spacing w:line="360" w:lineRule="auto"/>
              <w:rPr>
                <w:rFonts w:ascii="宋体" w:hAnsi="宋体"/>
                <w:color w:val="000000" w:themeColor="text1"/>
                <w:szCs w:val="21"/>
                <w:highlight w:val="yellow"/>
                <w14:textFill>
                  <w14:solidFill>
                    <w14:schemeClr w14:val="tx1"/>
                  </w14:solidFill>
                </w14:textFill>
              </w:rPr>
            </w:pPr>
          </w:p>
        </w:tc>
        <w:tc>
          <w:tcPr>
            <w:tcW w:w="3182" w:type="pct"/>
            <w:vAlign w:val="center"/>
          </w:tcPr>
          <w:p w14:paraId="647AAE9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末端试水装置对水流指示器进行试验；</w:t>
            </w:r>
          </w:p>
        </w:tc>
        <w:tc>
          <w:tcPr>
            <w:tcW w:w="1012" w:type="pct"/>
            <w:vAlign w:val="center"/>
          </w:tcPr>
          <w:p w14:paraId="2D7A25D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每半年1次</w:t>
            </w:r>
          </w:p>
        </w:tc>
      </w:tr>
      <w:tr w14:paraId="5F07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4805A052">
            <w:pPr>
              <w:spacing w:line="360" w:lineRule="auto"/>
              <w:rPr>
                <w:rFonts w:ascii="宋体" w:hAnsi="宋体"/>
                <w:color w:val="000000" w:themeColor="text1"/>
                <w:szCs w:val="21"/>
                <w:highlight w:val="yellow"/>
                <w14:textFill>
                  <w14:solidFill>
                    <w14:schemeClr w14:val="tx1"/>
                  </w14:solidFill>
                </w14:textFill>
              </w:rPr>
            </w:pPr>
          </w:p>
        </w:tc>
        <w:tc>
          <w:tcPr>
            <w:tcW w:w="3182" w:type="pct"/>
            <w:vAlign w:val="center"/>
          </w:tcPr>
          <w:p w14:paraId="5D346EEB">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水泵接合器接口及附件检查；</w:t>
            </w:r>
          </w:p>
        </w:tc>
        <w:tc>
          <w:tcPr>
            <w:tcW w:w="1012" w:type="pct"/>
            <w:vAlign w:val="center"/>
          </w:tcPr>
          <w:p w14:paraId="7E39C7F0">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每年1次</w:t>
            </w:r>
          </w:p>
        </w:tc>
      </w:tr>
      <w:tr w14:paraId="7C72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vAlign w:val="center"/>
          </w:tcPr>
          <w:p w14:paraId="7844FB79">
            <w:pPr>
              <w:spacing w:line="360" w:lineRule="auto"/>
              <w:rPr>
                <w:rFonts w:ascii="宋体" w:hAnsi="宋体"/>
                <w:color w:val="000000" w:themeColor="text1"/>
                <w:szCs w:val="21"/>
                <w:highlight w:val="yellow"/>
                <w14:textFill>
                  <w14:solidFill>
                    <w14:schemeClr w14:val="tx1"/>
                  </w14:solidFill>
                </w14:textFill>
              </w:rPr>
            </w:pPr>
          </w:p>
        </w:tc>
        <w:tc>
          <w:tcPr>
            <w:tcW w:w="3182" w:type="pct"/>
            <w:vAlign w:val="center"/>
          </w:tcPr>
          <w:p w14:paraId="710B2A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消防水池、消防水箱及消防气压给水设备的消防储水位及消防气压给水设备的压力进行检查。</w:t>
            </w:r>
          </w:p>
        </w:tc>
        <w:tc>
          <w:tcPr>
            <w:tcW w:w="1012" w:type="pct"/>
            <w:vAlign w:val="center"/>
          </w:tcPr>
          <w:p w14:paraId="7885A54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每年1次</w:t>
            </w:r>
          </w:p>
        </w:tc>
      </w:tr>
      <w:tr w14:paraId="2535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restart"/>
            <w:tcBorders>
              <w:right w:val="single" w:color="auto" w:sz="4" w:space="0"/>
            </w:tcBorders>
            <w:vAlign w:val="center"/>
          </w:tcPr>
          <w:p w14:paraId="65719DF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5、气体（七氟丙烷）灭火系统</w:t>
            </w:r>
          </w:p>
        </w:tc>
        <w:tc>
          <w:tcPr>
            <w:tcW w:w="3182" w:type="pct"/>
            <w:tcBorders>
              <w:right w:val="single" w:color="auto" w:sz="4" w:space="0"/>
            </w:tcBorders>
            <w:vAlign w:val="center"/>
          </w:tcPr>
          <w:p w14:paraId="08466FAB">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检查保养各套气体灭火控制器，测试其功能是否正常</w:t>
            </w:r>
          </w:p>
        </w:tc>
        <w:tc>
          <w:tcPr>
            <w:tcW w:w="1012" w:type="pct"/>
            <w:tcBorders>
              <w:right w:val="single" w:color="auto" w:sz="4" w:space="0"/>
            </w:tcBorders>
            <w:vAlign w:val="center"/>
          </w:tcPr>
          <w:p w14:paraId="3DD007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3AA0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tcBorders>
              <w:right w:val="single" w:color="auto" w:sz="4" w:space="0"/>
            </w:tcBorders>
            <w:vAlign w:val="center"/>
          </w:tcPr>
          <w:p w14:paraId="069BFA6D">
            <w:pPr>
              <w:spacing w:line="360" w:lineRule="auto"/>
              <w:rPr>
                <w:rFonts w:ascii="宋体" w:hAnsi="宋体"/>
                <w:color w:val="000000" w:themeColor="text1"/>
                <w:szCs w:val="21"/>
                <w14:textFill>
                  <w14:solidFill>
                    <w14:schemeClr w14:val="tx1"/>
                  </w14:solidFill>
                </w14:textFill>
              </w:rPr>
            </w:pPr>
          </w:p>
        </w:tc>
        <w:tc>
          <w:tcPr>
            <w:tcW w:w="3182" w:type="pct"/>
            <w:tcBorders>
              <w:right w:val="single" w:color="auto" w:sz="4" w:space="0"/>
            </w:tcBorders>
            <w:vAlign w:val="center"/>
          </w:tcPr>
          <w:p w14:paraId="3C571B2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检查启动瓶和药剂贮瓶的压力是否符合出厂充装压力和设计要求（压力表指针是否在绿区），有无泄漏现象；</w:t>
            </w:r>
          </w:p>
        </w:tc>
        <w:tc>
          <w:tcPr>
            <w:tcW w:w="1012" w:type="pct"/>
            <w:tcBorders>
              <w:right w:val="single" w:color="auto" w:sz="4" w:space="0"/>
            </w:tcBorders>
            <w:vAlign w:val="center"/>
          </w:tcPr>
          <w:p w14:paraId="424DE58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43FC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tcBorders>
              <w:right w:val="single" w:color="auto" w:sz="4" w:space="0"/>
            </w:tcBorders>
            <w:vAlign w:val="center"/>
          </w:tcPr>
          <w:p w14:paraId="22B97933">
            <w:pPr>
              <w:spacing w:line="360" w:lineRule="auto"/>
              <w:rPr>
                <w:rFonts w:ascii="宋体" w:hAnsi="宋体"/>
                <w:color w:val="000000" w:themeColor="text1"/>
                <w:szCs w:val="21"/>
                <w14:textFill>
                  <w14:solidFill>
                    <w14:schemeClr w14:val="tx1"/>
                  </w14:solidFill>
                </w14:textFill>
              </w:rPr>
            </w:pPr>
          </w:p>
        </w:tc>
        <w:tc>
          <w:tcPr>
            <w:tcW w:w="3182" w:type="pct"/>
            <w:tcBorders>
              <w:right w:val="single" w:color="auto" w:sz="4" w:space="0"/>
            </w:tcBorders>
            <w:vAlign w:val="center"/>
          </w:tcPr>
          <w:p w14:paraId="5AA9BA0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检查试验手动、自动紧急启、停放气装置功能是否正常；</w:t>
            </w:r>
          </w:p>
        </w:tc>
        <w:tc>
          <w:tcPr>
            <w:tcW w:w="1012" w:type="pct"/>
            <w:tcBorders>
              <w:right w:val="single" w:color="auto" w:sz="4" w:space="0"/>
            </w:tcBorders>
            <w:vAlign w:val="center"/>
          </w:tcPr>
          <w:p w14:paraId="18531E8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4675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tcBorders>
              <w:right w:val="single" w:color="auto" w:sz="4" w:space="0"/>
            </w:tcBorders>
            <w:vAlign w:val="center"/>
          </w:tcPr>
          <w:p w14:paraId="7339DA3B">
            <w:pPr>
              <w:spacing w:line="360" w:lineRule="auto"/>
              <w:rPr>
                <w:rFonts w:ascii="宋体" w:hAnsi="宋体"/>
                <w:color w:val="000000" w:themeColor="text1"/>
                <w:szCs w:val="21"/>
                <w14:textFill>
                  <w14:solidFill>
                    <w14:schemeClr w14:val="tx1"/>
                  </w14:solidFill>
                </w14:textFill>
              </w:rPr>
            </w:pPr>
          </w:p>
        </w:tc>
        <w:tc>
          <w:tcPr>
            <w:tcW w:w="3182" w:type="pct"/>
            <w:tcBorders>
              <w:right w:val="single" w:color="auto" w:sz="4" w:space="0"/>
            </w:tcBorders>
            <w:vAlign w:val="center"/>
          </w:tcPr>
          <w:p w14:paraId="0A56416F">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对电磁阀、瓶头阀清洗，加硅油润滑；</w:t>
            </w:r>
          </w:p>
        </w:tc>
        <w:tc>
          <w:tcPr>
            <w:tcW w:w="1012" w:type="pct"/>
            <w:tcBorders>
              <w:right w:val="single" w:color="auto" w:sz="4" w:space="0"/>
            </w:tcBorders>
            <w:vAlign w:val="center"/>
          </w:tcPr>
          <w:p w14:paraId="00DE98E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每年1次</w:t>
            </w:r>
          </w:p>
        </w:tc>
      </w:tr>
      <w:tr w14:paraId="3AC5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tcBorders>
              <w:right w:val="single" w:color="auto" w:sz="4" w:space="0"/>
            </w:tcBorders>
            <w:vAlign w:val="center"/>
          </w:tcPr>
          <w:p w14:paraId="6483A378">
            <w:pPr>
              <w:spacing w:line="360" w:lineRule="auto"/>
              <w:rPr>
                <w:rFonts w:ascii="宋体" w:hAnsi="宋体"/>
                <w:color w:val="000000" w:themeColor="text1"/>
                <w:szCs w:val="21"/>
                <w14:textFill>
                  <w14:solidFill>
                    <w14:schemeClr w14:val="tx1"/>
                  </w14:solidFill>
                </w14:textFill>
              </w:rPr>
            </w:pPr>
          </w:p>
        </w:tc>
        <w:tc>
          <w:tcPr>
            <w:tcW w:w="3182" w:type="pct"/>
            <w:tcBorders>
              <w:right w:val="single" w:color="auto" w:sz="4" w:space="0"/>
            </w:tcBorders>
            <w:vAlign w:val="center"/>
          </w:tcPr>
          <w:p w14:paraId="5DD3D1AC">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模拟自动报警系统中的烟、温感探测器同时动作，通风空调是否停止，防火阀是否关闭，检查气瓶的电磁阀是否在规定的时间内动作，控制屏是否有放气信号，消防中心是否有信号，警铃、蜂鸣器是否动作；</w:t>
            </w:r>
          </w:p>
        </w:tc>
        <w:tc>
          <w:tcPr>
            <w:tcW w:w="1012" w:type="pct"/>
            <w:tcBorders>
              <w:right w:val="single" w:color="auto" w:sz="4" w:space="0"/>
            </w:tcBorders>
            <w:vAlign w:val="center"/>
          </w:tcPr>
          <w:p w14:paraId="0BBCAA2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13ED9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tcBorders>
              <w:right w:val="single" w:color="auto" w:sz="4" w:space="0"/>
            </w:tcBorders>
            <w:vAlign w:val="center"/>
          </w:tcPr>
          <w:p w14:paraId="4C42F807">
            <w:pPr>
              <w:spacing w:line="360" w:lineRule="auto"/>
              <w:rPr>
                <w:rFonts w:ascii="宋体" w:hAnsi="宋体"/>
                <w:color w:val="000000" w:themeColor="text1"/>
                <w:szCs w:val="21"/>
                <w14:textFill>
                  <w14:solidFill>
                    <w14:schemeClr w14:val="tx1"/>
                  </w14:solidFill>
                </w14:textFill>
              </w:rPr>
            </w:pPr>
          </w:p>
        </w:tc>
        <w:tc>
          <w:tcPr>
            <w:tcW w:w="3182" w:type="pct"/>
            <w:tcBorders>
              <w:right w:val="single" w:color="auto" w:sz="4" w:space="0"/>
            </w:tcBorders>
            <w:vAlign w:val="center"/>
          </w:tcPr>
          <w:p w14:paraId="4D1C0E7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检查气体灭火系统启动瓶、药剂瓶有无变形，有无腐蚀、脱漆；</w:t>
            </w:r>
          </w:p>
        </w:tc>
        <w:tc>
          <w:tcPr>
            <w:tcW w:w="1012" w:type="pct"/>
            <w:tcBorders>
              <w:right w:val="single" w:color="auto" w:sz="4" w:space="0"/>
            </w:tcBorders>
            <w:vAlign w:val="center"/>
          </w:tcPr>
          <w:p w14:paraId="44A0391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23B24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tcBorders>
              <w:right w:val="single" w:color="auto" w:sz="4" w:space="0"/>
            </w:tcBorders>
            <w:vAlign w:val="center"/>
          </w:tcPr>
          <w:p w14:paraId="624668F3">
            <w:pPr>
              <w:spacing w:line="360" w:lineRule="auto"/>
              <w:rPr>
                <w:rFonts w:ascii="宋体" w:hAnsi="宋体"/>
                <w:color w:val="000000" w:themeColor="text1"/>
                <w:szCs w:val="21"/>
                <w14:textFill>
                  <w14:solidFill>
                    <w14:schemeClr w14:val="tx1"/>
                  </w14:solidFill>
                </w14:textFill>
              </w:rPr>
            </w:pPr>
          </w:p>
        </w:tc>
        <w:tc>
          <w:tcPr>
            <w:tcW w:w="3182" w:type="pct"/>
            <w:tcBorders>
              <w:right w:val="single" w:color="auto" w:sz="4" w:space="0"/>
            </w:tcBorders>
            <w:vAlign w:val="center"/>
          </w:tcPr>
          <w:p w14:paraId="734C5ECB">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检查控制气管有无变形或松脱，检查高压软管有无变形、生锈或老化；</w:t>
            </w:r>
          </w:p>
        </w:tc>
        <w:tc>
          <w:tcPr>
            <w:tcW w:w="1012" w:type="pct"/>
            <w:tcBorders>
              <w:right w:val="single" w:color="auto" w:sz="4" w:space="0"/>
            </w:tcBorders>
            <w:vAlign w:val="center"/>
          </w:tcPr>
          <w:p w14:paraId="72FF1F5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每周1次</w:t>
            </w:r>
          </w:p>
        </w:tc>
      </w:tr>
      <w:tr w14:paraId="7487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05" w:type="pct"/>
            <w:vMerge w:val="continue"/>
            <w:tcBorders>
              <w:right w:val="single" w:color="auto" w:sz="4" w:space="0"/>
            </w:tcBorders>
            <w:vAlign w:val="center"/>
          </w:tcPr>
          <w:p w14:paraId="47F90B31">
            <w:pPr>
              <w:spacing w:line="360" w:lineRule="auto"/>
              <w:rPr>
                <w:rFonts w:ascii="宋体" w:hAnsi="宋体"/>
                <w:color w:val="000000" w:themeColor="text1"/>
                <w:szCs w:val="21"/>
                <w14:textFill>
                  <w14:solidFill>
                    <w14:schemeClr w14:val="tx1"/>
                  </w14:solidFill>
                </w14:textFill>
              </w:rPr>
            </w:pPr>
          </w:p>
        </w:tc>
        <w:tc>
          <w:tcPr>
            <w:tcW w:w="3182" w:type="pct"/>
            <w:tcBorders>
              <w:right w:val="single" w:color="auto" w:sz="4" w:space="0"/>
            </w:tcBorders>
            <w:vAlign w:val="center"/>
          </w:tcPr>
          <w:p w14:paraId="58B6D4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检查气体保护区域（防护区）内的围护结构、开口等是否符合要求。</w:t>
            </w:r>
          </w:p>
        </w:tc>
        <w:tc>
          <w:tcPr>
            <w:tcW w:w="1012" w:type="pct"/>
            <w:tcBorders>
              <w:right w:val="single" w:color="auto" w:sz="4" w:space="0"/>
            </w:tcBorders>
            <w:vAlign w:val="center"/>
          </w:tcPr>
          <w:p w14:paraId="4D381EC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bl>
    <w:p w14:paraId="2852237E">
      <w:pPr>
        <w:rPr>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ascii="宋体" w:hAnsi="宋体"/>
          <w:b/>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三水分公司消防设备设施维护保养需求</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5546"/>
        <w:gridCol w:w="1623"/>
      </w:tblGrid>
      <w:tr w14:paraId="52D56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Align w:val="center"/>
          </w:tcPr>
          <w:p w14:paraId="31CBB36C">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w:t>
            </w:r>
          </w:p>
        </w:tc>
        <w:tc>
          <w:tcPr>
            <w:tcW w:w="3254" w:type="pct"/>
            <w:tcBorders>
              <w:top w:val="single" w:color="auto" w:sz="4" w:space="0"/>
              <w:left w:val="single" w:color="auto" w:sz="4" w:space="0"/>
              <w:bottom w:val="single" w:color="auto" w:sz="4" w:space="0"/>
              <w:right w:val="single" w:color="auto" w:sz="4" w:space="0"/>
            </w:tcBorders>
            <w:vAlign w:val="center"/>
          </w:tcPr>
          <w:p w14:paraId="15A1C6BA">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巡查内容</w:t>
            </w:r>
          </w:p>
        </w:tc>
        <w:tc>
          <w:tcPr>
            <w:tcW w:w="952" w:type="pct"/>
            <w:tcBorders>
              <w:top w:val="single" w:color="auto" w:sz="4" w:space="0"/>
              <w:left w:val="single" w:color="auto" w:sz="4" w:space="0"/>
              <w:bottom w:val="single" w:color="auto" w:sz="4" w:space="0"/>
              <w:right w:val="single" w:color="auto" w:sz="4" w:space="0"/>
            </w:tcBorders>
            <w:vAlign w:val="center"/>
          </w:tcPr>
          <w:p w14:paraId="2C19B58C">
            <w:pPr>
              <w:spacing w:line="360" w:lineRule="auto"/>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巡查要求</w:t>
            </w:r>
          </w:p>
        </w:tc>
      </w:tr>
      <w:tr w14:paraId="4978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Align w:val="center"/>
          </w:tcPr>
          <w:p w14:paraId="6E538B75">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、防火分区</w:t>
            </w:r>
          </w:p>
        </w:tc>
        <w:tc>
          <w:tcPr>
            <w:tcW w:w="3254" w:type="pct"/>
            <w:tcBorders>
              <w:top w:val="single" w:color="auto" w:sz="4" w:space="0"/>
              <w:left w:val="single" w:color="auto" w:sz="4" w:space="0"/>
              <w:bottom w:val="single" w:color="auto" w:sz="4" w:space="0"/>
              <w:right w:val="single" w:color="auto" w:sz="4" w:space="0"/>
            </w:tcBorders>
            <w:vAlign w:val="center"/>
          </w:tcPr>
          <w:p w14:paraId="7DFBF3C8">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检查木质防火门、检查防火门开闭门器，顺序器、防火卷帘门等的完好情况。</w:t>
            </w:r>
          </w:p>
        </w:tc>
        <w:tc>
          <w:tcPr>
            <w:tcW w:w="952" w:type="pct"/>
            <w:tcBorders>
              <w:top w:val="single" w:color="auto" w:sz="4" w:space="0"/>
              <w:left w:val="single" w:color="auto" w:sz="4" w:space="0"/>
              <w:bottom w:val="single" w:color="auto" w:sz="4" w:space="0"/>
              <w:right w:val="single" w:color="auto" w:sz="4" w:space="0"/>
            </w:tcBorders>
            <w:vAlign w:val="center"/>
          </w:tcPr>
          <w:p w14:paraId="3624E42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1A87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restart"/>
            <w:vAlign w:val="center"/>
          </w:tcPr>
          <w:p w14:paraId="346C7F46">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、应急照明疏散指示</w:t>
            </w:r>
          </w:p>
        </w:tc>
        <w:tc>
          <w:tcPr>
            <w:tcW w:w="3254" w:type="pct"/>
            <w:tcBorders>
              <w:top w:val="single" w:color="auto" w:sz="4" w:space="0"/>
              <w:left w:val="single" w:color="auto" w:sz="4" w:space="0"/>
              <w:bottom w:val="single" w:color="auto" w:sz="4" w:space="0"/>
              <w:right w:val="single" w:color="auto" w:sz="4" w:space="0"/>
            </w:tcBorders>
            <w:vAlign w:val="center"/>
          </w:tcPr>
          <w:p w14:paraId="61C85C7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检查安全出口、疏散通道、重要场所的应急照明和疏散指示标志；</w:t>
            </w:r>
          </w:p>
        </w:tc>
        <w:tc>
          <w:tcPr>
            <w:tcW w:w="952" w:type="pct"/>
            <w:tcBorders>
              <w:top w:val="single" w:color="auto" w:sz="4" w:space="0"/>
              <w:left w:val="single" w:color="auto" w:sz="4" w:space="0"/>
              <w:bottom w:val="single" w:color="auto" w:sz="4" w:space="0"/>
              <w:right w:val="single" w:color="auto" w:sz="4" w:space="0"/>
            </w:tcBorders>
            <w:vAlign w:val="center"/>
          </w:tcPr>
          <w:p w14:paraId="4169978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4A36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continue"/>
            <w:vAlign w:val="center"/>
          </w:tcPr>
          <w:p w14:paraId="55300541">
            <w:pPr>
              <w:spacing w:line="360" w:lineRule="auto"/>
              <w:rPr>
                <w:rFonts w:ascii="宋体" w:hAnsi="宋体"/>
                <w:color w:val="000000" w:themeColor="text1"/>
                <w:szCs w:val="21"/>
                <w14:textFill>
                  <w14:solidFill>
                    <w14:schemeClr w14:val="tx1"/>
                  </w14:solidFill>
                </w14:textFill>
              </w:rPr>
            </w:pPr>
          </w:p>
        </w:tc>
        <w:tc>
          <w:tcPr>
            <w:tcW w:w="3254" w:type="pct"/>
            <w:tcBorders>
              <w:top w:val="single" w:color="auto" w:sz="4" w:space="0"/>
              <w:left w:val="single" w:color="auto" w:sz="4" w:space="0"/>
              <w:bottom w:val="single" w:color="auto" w:sz="4" w:space="0"/>
              <w:right w:val="single" w:color="auto" w:sz="4" w:space="0"/>
            </w:tcBorders>
            <w:vAlign w:val="center"/>
          </w:tcPr>
          <w:p w14:paraId="77203F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试验应急照明灯和疏散指示灯。</w:t>
            </w:r>
          </w:p>
        </w:tc>
        <w:tc>
          <w:tcPr>
            <w:tcW w:w="952" w:type="pct"/>
            <w:tcBorders>
              <w:top w:val="single" w:color="auto" w:sz="4" w:space="0"/>
              <w:left w:val="single" w:color="auto" w:sz="4" w:space="0"/>
              <w:bottom w:val="single" w:color="auto" w:sz="4" w:space="0"/>
              <w:right w:val="single" w:color="auto" w:sz="4" w:space="0"/>
            </w:tcBorders>
            <w:vAlign w:val="center"/>
          </w:tcPr>
          <w:p w14:paraId="686A733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31B9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restart"/>
            <w:vAlign w:val="center"/>
          </w:tcPr>
          <w:p w14:paraId="5557E8C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3、 其他                           </w:t>
            </w:r>
          </w:p>
        </w:tc>
        <w:tc>
          <w:tcPr>
            <w:tcW w:w="3254" w:type="pct"/>
            <w:tcBorders>
              <w:top w:val="single" w:color="auto" w:sz="4" w:space="0"/>
              <w:left w:val="single" w:color="auto" w:sz="4" w:space="0"/>
              <w:bottom w:val="single" w:color="auto" w:sz="4" w:space="0"/>
              <w:right w:val="single" w:color="auto" w:sz="4" w:space="0"/>
            </w:tcBorders>
            <w:vAlign w:val="center"/>
          </w:tcPr>
          <w:p w14:paraId="45EF08CA">
            <w:pPr>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检查灭火器的压力、重量、有效期等。必要时做喷射试验。</w:t>
            </w:r>
          </w:p>
        </w:tc>
        <w:tc>
          <w:tcPr>
            <w:tcW w:w="952" w:type="pct"/>
            <w:tcBorders>
              <w:top w:val="single" w:color="auto" w:sz="4" w:space="0"/>
              <w:left w:val="single" w:color="auto" w:sz="4" w:space="0"/>
              <w:bottom w:val="single" w:color="auto" w:sz="4" w:space="0"/>
              <w:right w:val="single" w:color="auto" w:sz="4" w:space="0"/>
            </w:tcBorders>
            <w:vAlign w:val="center"/>
          </w:tcPr>
          <w:p w14:paraId="60CC15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r w14:paraId="63D60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continue"/>
            <w:vAlign w:val="center"/>
          </w:tcPr>
          <w:p w14:paraId="6B55EE61">
            <w:pPr>
              <w:spacing w:line="360" w:lineRule="auto"/>
              <w:rPr>
                <w:rFonts w:ascii="宋体" w:hAnsi="宋体"/>
                <w:color w:val="000000" w:themeColor="text1"/>
                <w:szCs w:val="21"/>
                <w14:textFill>
                  <w14:solidFill>
                    <w14:schemeClr w14:val="tx1"/>
                  </w14:solidFill>
                </w14:textFill>
              </w:rPr>
            </w:pPr>
          </w:p>
        </w:tc>
        <w:tc>
          <w:tcPr>
            <w:tcW w:w="3254" w:type="pct"/>
            <w:tcBorders>
              <w:top w:val="single" w:color="auto" w:sz="4" w:space="0"/>
              <w:left w:val="single" w:color="auto" w:sz="4" w:space="0"/>
              <w:bottom w:val="single" w:color="auto" w:sz="4" w:space="0"/>
              <w:right w:val="single" w:color="auto" w:sz="4" w:space="0"/>
            </w:tcBorders>
            <w:vAlign w:val="center"/>
          </w:tcPr>
          <w:p w14:paraId="0CEB4A02">
            <w:pPr>
              <w:spacing w:line="360" w:lineRule="auto"/>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检查自救逃生设备，消防电源及自动切换设备是否处于正常完好状态。检查防毒面具有效期等。</w:t>
            </w:r>
          </w:p>
        </w:tc>
        <w:tc>
          <w:tcPr>
            <w:tcW w:w="952" w:type="pct"/>
            <w:tcBorders>
              <w:top w:val="single" w:color="auto" w:sz="4" w:space="0"/>
              <w:left w:val="single" w:color="auto" w:sz="4" w:space="0"/>
              <w:bottom w:val="single" w:color="auto" w:sz="4" w:space="0"/>
              <w:right w:val="single" w:color="auto" w:sz="4" w:space="0"/>
            </w:tcBorders>
            <w:vAlign w:val="center"/>
          </w:tcPr>
          <w:p w14:paraId="2C24233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每月1次</w:t>
            </w:r>
          </w:p>
        </w:tc>
      </w:tr>
    </w:tbl>
    <w:p w14:paraId="31B5CBA1">
      <w:pPr>
        <w:pStyle w:val="59"/>
        <w:numPr>
          <w:ilvl w:val="0"/>
          <w:numId w:val="12"/>
        </w:numPr>
        <w:spacing w:line="360" w:lineRule="auto"/>
        <w:ind w:left="0" w:firstLine="0" w:firstLineChars="0"/>
        <w:rPr>
          <w:rFonts w:cs="Tahoma" w:asciiTheme="minorEastAsia" w:hAnsiTheme="minorEastAsia" w:eastAsiaTheme="minorEastAsia"/>
          <w:b/>
          <w:color w:val="000000" w:themeColor="text1"/>
          <w:szCs w:val="21"/>
          <w14:textFill>
            <w14:solidFill>
              <w14:schemeClr w14:val="tx1"/>
            </w14:solidFill>
          </w14:textFill>
        </w:rPr>
      </w:pPr>
      <w:r>
        <w:rPr>
          <w:rFonts w:hint="eastAsia" w:cs="Tahoma" w:asciiTheme="minorEastAsia" w:hAnsiTheme="minorEastAsia" w:eastAsiaTheme="minorEastAsia"/>
          <w:b/>
          <w:color w:val="000000" w:themeColor="text1"/>
          <w:szCs w:val="21"/>
          <w14:textFill>
            <w14:solidFill>
              <w14:schemeClr w14:val="tx1"/>
            </w14:solidFill>
          </w14:textFill>
        </w:rPr>
        <w:t>双方责任</w:t>
      </w:r>
    </w:p>
    <w:p w14:paraId="1B8BAC2A">
      <w:pPr>
        <w:spacing w:line="360" w:lineRule="auto"/>
        <w:ind w:firstLine="420" w:firstLineChars="200"/>
        <w:rPr>
          <w:rFonts w:cs="Tahoma" w:asciiTheme="minorEastAsia" w:hAnsiTheme="minorEastAsia" w:eastAsiaTheme="minorEastAsia"/>
          <w:color w:val="000000" w:themeColor="text1"/>
          <w:szCs w:val="21"/>
          <w14:textFill>
            <w14:solidFill>
              <w14:schemeClr w14:val="tx1"/>
            </w14:solidFill>
          </w14:textFill>
        </w:rPr>
      </w:pPr>
      <w:r>
        <w:rPr>
          <w:rFonts w:hint="eastAsia" w:cs="Tahoma" w:asciiTheme="minorEastAsia" w:hAnsiTheme="minorEastAsia" w:eastAsiaTheme="minorEastAsia"/>
          <w:color w:val="000000" w:themeColor="text1"/>
          <w:szCs w:val="21"/>
          <w14:textFill>
            <w14:solidFill>
              <w14:schemeClr w14:val="tx1"/>
            </w14:solidFill>
          </w14:textFill>
        </w:rPr>
        <w:t>1、采购人应指派专人负责协调供应商的维护保养工作，确认供应商的测试、检查结果，处理供应商提出的保养意见，并提供必要的测试、检查环境和条件，及时支付维护保养费用等。</w:t>
      </w:r>
    </w:p>
    <w:p w14:paraId="79CB43E5">
      <w:pPr>
        <w:spacing w:line="360" w:lineRule="auto"/>
        <w:ind w:firstLine="420" w:firstLineChars="200"/>
        <w:rPr>
          <w:rFonts w:cs="Tahoma" w:asciiTheme="minorEastAsia" w:hAnsiTheme="minorEastAsia" w:eastAsiaTheme="minorEastAsia"/>
          <w:color w:val="000000" w:themeColor="text1"/>
          <w:szCs w:val="21"/>
          <w14:textFill>
            <w14:solidFill>
              <w14:schemeClr w14:val="tx1"/>
            </w14:solidFill>
          </w14:textFill>
        </w:rPr>
      </w:pPr>
      <w:r>
        <w:rPr>
          <w:rFonts w:hint="eastAsia" w:cs="Tahoma" w:asciiTheme="minorEastAsia" w:hAnsiTheme="minorEastAsia" w:eastAsiaTheme="minorEastAsia"/>
          <w:color w:val="000000" w:themeColor="text1"/>
          <w:szCs w:val="21"/>
          <w14:textFill>
            <w14:solidFill>
              <w14:schemeClr w14:val="tx1"/>
            </w14:solidFill>
          </w14:textFill>
        </w:rPr>
        <w:t>2、供应商按合同内容做好维护保养工作和维护保养记录，维护保养期内属供应商维护保养质量问题的，由供应商免费维修。造成采购人损失的，应由供应商承担全部责任。若因供应商在保养过程中人为损坏或操作不当造成的损失，由供应商承担全部责任。如因供应商原因造成采购人重大损害的，采购人可不支付保养费用，同时采购人可向供应商追偿。</w:t>
      </w:r>
    </w:p>
    <w:p w14:paraId="74651AE2">
      <w:pPr>
        <w:spacing w:line="360" w:lineRule="auto"/>
        <w:ind w:firstLine="420" w:firstLineChars="200"/>
        <w:rPr>
          <w:rFonts w:cs="Tahoma" w:asciiTheme="minorEastAsia" w:hAnsiTheme="minorEastAsia" w:eastAsiaTheme="minorEastAsia"/>
          <w:color w:val="000000" w:themeColor="text1"/>
          <w:szCs w:val="21"/>
          <w14:textFill>
            <w14:solidFill>
              <w14:schemeClr w14:val="tx1"/>
            </w14:solidFill>
          </w14:textFill>
        </w:rPr>
      </w:pPr>
      <w:r>
        <w:rPr>
          <w:rFonts w:hint="eastAsia" w:cs="Tahoma" w:asciiTheme="minorEastAsia" w:hAnsiTheme="minorEastAsia" w:eastAsiaTheme="minorEastAsia"/>
          <w:color w:val="000000" w:themeColor="text1"/>
          <w:szCs w:val="21"/>
          <w14:textFill>
            <w14:solidFill>
              <w14:schemeClr w14:val="tx1"/>
            </w14:solidFill>
          </w14:textFill>
        </w:rPr>
        <w:t>3、供应商每次维护时，每组应指派至少一名持有中级技能等级以上建（构）筑物消防员职业资格证书的专人带队维护，此项如不履行，视为违约，采购人有权终止供应商的服务资格。</w:t>
      </w:r>
    </w:p>
    <w:p w14:paraId="1E34906F">
      <w:pPr>
        <w:spacing w:line="360" w:lineRule="auto"/>
        <w:ind w:firstLine="420" w:firstLineChars="200"/>
        <w:rPr>
          <w:rFonts w:cs="Tahoma" w:asciiTheme="minorEastAsia" w:hAnsiTheme="minorEastAsia" w:eastAsiaTheme="minorEastAsia"/>
          <w:color w:val="000000" w:themeColor="text1"/>
          <w:szCs w:val="21"/>
          <w14:textFill>
            <w14:solidFill>
              <w14:schemeClr w14:val="tx1"/>
            </w14:solidFill>
          </w14:textFill>
        </w:rPr>
      </w:pPr>
      <w:r>
        <w:rPr>
          <w:rFonts w:hint="eastAsia" w:cs="Tahoma" w:asciiTheme="minorEastAsia" w:hAnsiTheme="minorEastAsia" w:eastAsiaTheme="minorEastAsia"/>
          <w:color w:val="000000" w:themeColor="text1"/>
          <w:szCs w:val="21"/>
          <w14:textFill>
            <w14:solidFill>
              <w14:schemeClr w14:val="tx1"/>
            </w14:solidFill>
          </w14:textFill>
        </w:rPr>
        <w:t>4、因采购人不重视供应商的合理建议，不同意整改或更换失灵损坏的设备、材料而引起的责任采购人承担。由于采购人操作使用不当、非火警时使用、人为损坏或遇人力不可抗拒灾害致损的不属于保养范围，但供应商可负责维修，由采购人支付费用。</w:t>
      </w:r>
    </w:p>
    <w:p w14:paraId="4232A41F">
      <w:pPr>
        <w:widowControl/>
        <w:adjustRightInd w:val="0"/>
        <w:snapToGrid w:val="0"/>
        <w:spacing w:line="360" w:lineRule="auto"/>
        <w:jc w:val="left"/>
        <w:rPr>
          <w:rFonts w:ascii="宋体" w:hAnsi="宋体" w:cs="宋体"/>
          <w:kern w:val="0"/>
          <w:szCs w:val="21"/>
        </w:rPr>
      </w:pPr>
    </w:p>
    <w:p w14:paraId="5F1CFAD5">
      <w:pPr>
        <w:pStyle w:val="132"/>
        <w:spacing w:line="360" w:lineRule="auto"/>
        <w:rPr>
          <w:rFonts w:hAnsi="宋体" w:cs="宋体"/>
        </w:rPr>
      </w:pPr>
      <w:r>
        <w:rPr>
          <w:rFonts w:hint="eastAsia" w:hAnsi="宋体" w:cs="宋体"/>
        </w:rPr>
        <w:br w:type="page"/>
      </w:r>
    </w:p>
    <w:p w14:paraId="72ED39EA">
      <w:pPr>
        <w:jc w:val="center"/>
        <w:outlineLvl w:val="0"/>
        <w:rPr>
          <w:rFonts w:ascii="Cambria" w:hAnsi="Cambria" w:cs="宋体"/>
          <w:b/>
          <w:bCs/>
          <w:sz w:val="32"/>
          <w:szCs w:val="32"/>
        </w:rPr>
      </w:pPr>
      <w:r>
        <w:rPr>
          <w:rFonts w:hint="eastAsia" w:ascii="Cambria" w:hAnsi="Cambria" w:cs="宋体"/>
          <w:b/>
          <w:bCs/>
          <w:sz w:val="32"/>
          <w:szCs w:val="32"/>
        </w:rPr>
        <w:t>第三章 竞价附件</w:t>
      </w:r>
    </w:p>
    <w:p w14:paraId="6B5677F1">
      <w:pPr>
        <w:spacing w:line="360" w:lineRule="auto"/>
        <w:jc w:val="center"/>
        <w:outlineLvl w:val="1"/>
        <w:rPr>
          <w:rFonts w:ascii="Cambria" w:hAnsi="Cambria" w:cs="宋体"/>
          <w:b/>
          <w:bCs/>
          <w:sz w:val="32"/>
          <w:szCs w:val="32"/>
        </w:rPr>
      </w:pPr>
      <w:bookmarkStart w:id="7" w:name="_GoBack"/>
      <w:bookmarkEnd w:id="7"/>
      <w:r>
        <w:rPr>
          <w:rFonts w:hint="eastAsia" w:ascii="Cambria" w:hAnsi="Cambria" w:cs="宋体"/>
          <w:b/>
          <w:bCs/>
          <w:sz w:val="32"/>
          <w:szCs w:val="32"/>
        </w:rPr>
        <w:t>报价表</w:t>
      </w:r>
    </w:p>
    <w:tbl>
      <w:tblPr>
        <w:tblStyle w:val="36"/>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1751"/>
        <w:gridCol w:w="2651"/>
        <w:gridCol w:w="1104"/>
        <w:gridCol w:w="956"/>
        <w:gridCol w:w="956"/>
        <w:gridCol w:w="881"/>
      </w:tblGrid>
      <w:tr w14:paraId="0910D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94" w:type="pct"/>
            <w:vAlign w:val="center"/>
          </w:tcPr>
          <w:p w14:paraId="6093A9AF">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992" w:type="pct"/>
            <w:vAlign w:val="center"/>
          </w:tcPr>
          <w:p w14:paraId="3991B964">
            <w:pPr>
              <w:jc w:val="center"/>
              <w:rPr>
                <w:rFonts w:hint="eastAsia" w:ascii="宋体" w:hAnsi="宋体" w:eastAsia="宋体" w:cs="宋体"/>
                <w:sz w:val="21"/>
                <w:szCs w:val="21"/>
              </w:rPr>
            </w:pPr>
            <w:r>
              <w:rPr>
                <w:rFonts w:hint="eastAsia" w:ascii="宋体" w:hAnsi="宋体" w:eastAsia="宋体" w:cs="宋体"/>
                <w:sz w:val="21"/>
                <w:szCs w:val="21"/>
              </w:rPr>
              <w:t>维护点名称</w:t>
            </w:r>
          </w:p>
        </w:tc>
        <w:tc>
          <w:tcPr>
            <w:tcW w:w="1503" w:type="pct"/>
            <w:vAlign w:val="center"/>
          </w:tcPr>
          <w:p w14:paraId="51585521">
            <w:pPr>
              <w:jc w:val="center"/>
              <w:rPr>
                <w:rFonts w:hint="eastAsia" w:ascii="宋体" w:hAnsi="宋体" w:eastAsia="宋体" w:cs="宋体"/>
                <w:sz w:val="21"/>
                <w:szCs w:val="21"/>
              </w:rPr>
            </w:pPr>
            <w:r>
              <w:rPr>
                <w:rFonts w:hint="eastAsia" w:ascii="宋体" w:hAnsi="宋体" w:eastAsia="宋体" w:cs="宋体"/>
                <w:sz w:val="21"/>
                <w:szCs w:val="21"/>
              </w:rPr>
              <w:t>具体维护设备设施</w:t>
            </w:r>
          </w:p>
        </w:tc>
        <w:tc>
          <w:tcPr>
            <w:tcW w:w="625" w:type="pct"/>
            <w:vAlign w:val="center"/>
          </w:tcPr>
          <w:p w14:paraId="7C64242F">
            <w:pPr>
              <w:jc w:val="center"/>
              <w:rPr>
                <w:rFonts w:hint="eastAsia" w:ascii="宋体" w:hAnsi="宋体" w:eastAsia="宋体" w:cs="宋体"/>
                <w:sz w:val="21"/>
                <w:szCs w:val="21"/>
              </w:rPr>
            </w:pPr>
            <w:r>
              <w:rPr>
                <w:rFonts w:hint="eastAsia" w:ascii="宋体" w:hAnsi="宋体" w:eastAsia="宋体" w:cs="宋体"/>
                <w:sz w:val="21"/>
                <w:szCs w:val="21"/>
              </w:rPr>
              <w:t>不含税单价（元）</w:t>
            </w:r>
          </w:p>
        </w:tc>
        <w:tc>
          <w:tcPr>
            <w:tcW w:w="542" w:type="pct"/>
            <w:vAlign w:val="center"/>
          </w:tcPr>
          <w:p w14:paraId="252E41BF">
            <w:pPr>
              <w:jc w:val="center"/>
              <w:rPr>
                <w:rFonts w:hint="eastAsia" w:ascii="宋体" w:hAnsi="宋体" w:eastAsia="宋体" w:cs="宋体"/>
                <w:sz w:val="21"/>
                <w:szCs w:val="21"/>
              </w:rPr>
            </w:pPr>
            <w:r>
              <w:rPr>
                <w:rFonts w:hint="eastAsia" w:ascii="宋体" w:hAnsi="宋体" w:eastAsia="宋体" w:cs="宋体"/>
                <w:sz w:val="21"/>
                <w:szCs w:val="21"/>
              </w:rPr>
              <w:t>含税单价（元）</w:t>
            </w:r>
          </w:p>
        </w:tc>
        <w:tc>
          <w:tcPr>
            <w:tcW w:w="542" w:type="pct"/>
            <w:vAlign w:val="center"/>
          </w:tcPr>
          <w:p w14:paraId="3FADEC4A">
            <w:pPr>
              <w:jc w:val="center"/>
              <w:rPr>
                <w:rFonts w:hint="eastAsia" w:ascii="宋体" w:hAnsi="宋体" w:eastAsia="宋体" w:cs="宋体"/>
                <w:sz w:val="21"/>
                <w:szCs w:val="21"/>
              </w:rPr>
            </w:pPr>
            <w:r>
              <w:rPr>
                <w:rFonts w:hint="eastAsia" w:ascii="宋体" w:hAnsi="宋体" w:eastAsia="宋体" w:cs="宋体"/>
                <w:sz w:val="21"/>
                <w:szCs w:val="21"/>
              </w:rPr>
              <w:t>数量</w:t>
            </w:r>
          </w:p>
          <w:p w14:paraId="7F49CD8F">
            <w:pPr>
              <w:jc w:val="center"/>
              <w:rPr>
                <w:rFonts w:hint="eastAsia" w:ascii="宋体" w:hAnsi="宋体" w:eastAsia="宋体" w:cs="宋体"/>
                <w:sz w:val="21"/>
                <w:szCs w:val="21"/>
              </w:rPr>
            </w:pPr>
            <w:r>
              <w:rPr>
                <w:rFonts w:hint="eastAsia" w:ascii="宋体" w:hAnsi="宋体" w:eastAsia="宋体" w:cs="宋体"/>
                <w:sz w:val="21"/>
                <w:szCs w:val="21"/>
              </w:rPr>
              <w:t>（月数）</w:t>
            </w:r>
          </w:p>
        </w:tc>
        <w:tc>
          <w:tcPr>
            <w:tcW w:w="499" w:type="pct"/>
            <w:vAlign w:val="center"/>
          </w:tcPr>
          <w:p w14:paraId="7BCD6DF4">
            <w:pPr>
              <w:jc w:val="center"/>
              <w:rPr>
                <w:rFonts w:hint="eastAsia" w:ascii="宋体" w:hAnsi="宋体" w:eastAsia="宋体" w:cs="宋体"/>
                <w:sz w:val="21"/>
                <w:szCs w:val="21"/>
              </w:rPr>
            </w:pPr>
            <w:r>
              <w:rPr>
                <w:rFonts w:hint="eastAsia" w:ascii="宋体" w:hAnsi="宋体" w:eastAsia="宋体" w:cs="宋体"/>
                <w:sz w:val="21"/>
                <w:szCs w:val="21"/>
                <w:lang w:val="en-US" w:eastAsia="zh-CN"/>
              </w:rPr>
              <w:t>含税</w:t>
            </w:r>
            <w:r>
              <w:rPr>
                <w:rFonts w:hint="eastAsia" w:ascii="宋体" w:hAnsi="宋体" w:eastAsia="宋体" w:cs="宋体"/>
                <w:sz w:val="21"/>
                <w:szCs w:val="21"/>
              </w:rPr>
              <w:t>小计(元)</w:t>
            </w:r>
          </w:p>
        </w:tc>
      </w:tr>
      <w:tr w14:paraId="5731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94" w:type="pct"/>
            <w:vAlign w:val="center"/>
          </w:tcPr>
          <w:p w14:paraId="05ACC0D6">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992" w:type="pct"/>
            <w:vAlign w:val="center"/>
          </w:tcPr>
          <w:p w14:paraId="506D45CD">
            <w:pPr>
              <w:jc w:val="center"/>
              <w:rPr>
                <w:rFonts w:hint="eastAsia" w:ascii="宋体" w:hAnsi="宋体" w:eastAsia="宋体" w:cs="宋体"/>
                <w:sz w:val="21"/>
                <w:szCs w:val="21"/>
              </w:rPr>
            </w:pPr>
            <w:r>
              <w:rPr>
                <w:rFonts w:hint="eastAsia" w:ascii="宋体" w:hAnsi="宋体" w:eastAsia="宋体" w:cs="宋体"/>
                <w:sz w:val="21"/>
                <w:szCs w:val="21"/>
              </w:rPr>
              <w:t>白坭支公司及营业厅（含凯旋机房、龙盘机房、欣园机房）</w:t>
            </w:r>
          </w:p>
        </w:tc>
        <w:tc>
          <w:tcPr>
            <w:tcW w:w="1503" w:type="pct"/>
            <w:vAlign w:val="center"/>
          </w:tcPr>
          <w:p w14:paraId="3EBD8ABC">
            <w:pPr>
              <w:jc w:val="center"/>
              <w:rPr>
                <w:rFonts w:hint="eastAsia" w:ascii="宋体" w:hAnsi="宋体" w:eastAsia="宋体" w:cs="宋体"/>
                <w:sz w:val="21"/>
                <w:szCs w:val="21"/>
              </w:rPr>
            </w:pPr>
            <w:r>
              <w:rPr>
                <w:rFonts w:hint="eastAsia" w:ascii="宋体" w:hAnsi="宋体" w:eastAsia="宋体" w:cs="宋体"/>
                <w:sz w:val="21"/>
                <w:szCs w:val="21"/>
              </w:rPr>
              <w:t>干粉灭火器10个；二氧化碳灭火器14个；防毒面具24个；应急灯15个；烟感探头7个。</w:t>
            </w:r>
          </w:p>
        </w:tc>
        <w:tc>
          <w:tcPr>
            <w:tcW w:w="625" w:type="pct"/>
            <w:vAlign w:val="center"/>
          </w:tcPr>
          <w:p w14:paraId="0744A862">
            <w:pPr>
              <w:jc w:val="center"/>
              <w:rPr>
                <w:rFonts w:hint="eastAsia" w:ascii="宋体" w:hAnsi="宋体" w:eastAsia="宋体" w:cs="宋体"/>
                <w:sz w:val="21"/>
                <w:szCs w:val="21"/>
              </w:rPr>
            </w:pPr>
          </w:p>
        </w:tc>
        <w:tc>
          <w:tcPr>
            <w:tcW w:w="542" w:type="pct"/>
            <w:vAlign w:val="center"/>
          </w:tcPr>
          <w:p w14:paraId="65E3DA06">
            <w:pPr>
              <w:jc w:val="center"/>
              <w:rPr>
                <w:rFonts w:hint="eastAsia" w:ascii="宋体" w:hAnsi="宋体" w:eastAsia="宋体" w:cs="宋体"/>
                <w:sz w:val="21"/>
                <w:szCs w:val="21"/>
              </w:rPr>
            </w:pPr>
          </w:p>
        </w:tc>
        <w:tc>
          <w:tcPr>
            <w:tcW w:w="542" w:type="pct"/>
            <w:vAlign w:val="center"/>
          </w:tcPr>
          <w:p w14:paraId="2A94CDFE">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32EEA5AC">
            <w:pPr>
              <w:jc w:val="center"/>
              <w:rPr>
                <w:rFonts w:hint="eastAsia" w:ascii="宋体" w:hAnsi="宋体" w:eastAsia="宋体" w:cs="宋体"/>
                <w:sz w:val="21"/>
                <w:szCs w:val="21"/>
              </w:rPr>
            </w:pPr>
          </w:p>
        </w:tc>
      </w:tr>
      <w:tr w14:paraId="155A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94" w:type="pct"/>
            <w:vAlign w:val="center"/>
          </w:tcPr>
          <w:p w14:paraId="5693D524">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992" w:type="pct"/>
            <w:vAlign w:val="center"/>
          </w:tcPr>
          <w:p w14:paraId="06CF2D28">
            <w:pPr>
              <w:jc w:val="center"/>
              <w:rPr>
                <w:rFonts w:hint="eastAsia" w:ascii="宋体" w:hAnsi="宋体" w:eastAsia="宋体" w:cs="宋体"/>
                <w:sz w:val="21"/>
                <w:szCs w:val="21"/>
              </w:rPr>
            </w:pPr>
            <w:r>
              <w:rPr>
                <w:rFonts w:hint="eastAsia" w:ascii="宋体" w:hAnsi="宋体" w:eastAsia="宋体" w:cs="宋体"/>
                <w:sz w:val="21"/>
                <w:szCs w:val="21"/>
              </w:rPr>
              <w:t>乐平支公司及营业厅（含雍翠机房、南边机房、范湖机房）</w:t>
            </w:r>
          </w:p>
        </w:tc>
        <w:tc>
          <w:tcPr>
            <w:tcW w:w="1503" w:type="pct"/>
            <w:vAlign w:val="center"/>
          </w:tcPr>
          <w:p w14:paraId="4F5796E3">
            <w:pPr>
              <w:jc w:val="center"/>
              <w:rPr>
                <w:rFonts w:hint="eastAsia" w:ascii="宋体" w:hAnsi="宋体" w:eastAsia="宋体" w:cs="宋体"/>
                <w:sz w:val="21"/>
                <w:szCs w:val="21"/>
              </w:rPr>
            </w:pPr>
            <w:r>
              <w:rPr>
                <w:rFonts w:hint="eastAsia" w:ascii="宋体" w:hAnsi="宋体" w:eastAsia="宋体" w:cs="宋体"/>
                <w:sz w:val="21"/>
                <w:szCs w:val="21"/>
              </w:rPr>
              <w:t>二氧化碳灭火器6个；干粉灭火器6个；防毒面具12个；应急灯14个；烟感探头10个。</w:t>
            </w:r>
          </w:p>
        </w:tc>
        <w:tc>
          <w:tcPr>
            <w:tcW w:w="625" w:type="pct"/>
            <w:vAlign w:val="center"/>
          </w:tcPr>
          <w:p w14:paraId="01770ECA">
            <w:pPr>
              <w:jc w:val="center"/>
              <w:rPr>
                <w:rFonts w:hint="eastAsia" w:ascii="宋体" w:hAnsi="宋体" w:eastAsia="宋体" w:cs="宋体"/>
                <w:sz w:val="21"/>
                <w:szCs w:val="21"/>
              </w:rPr>
            </w:pPr>
          </w:p>
        </w:tc>
        <w:tc>
          <w:tcPr>
            <w:tcW w:w="542" w:type="pct"/>
            <w:vAlign w:val="center"/>
          </w:tcPr>
          <w:p w14:paraId="4185A63B">
            <w:pPr>
              <w:jc w:val="center"/>
              <w:rPr>
                <w:rFonts w:hint="eastAsia" w:ascii="宋体" w:hAnsi="宋体" w:eastAsia="宋体" w:cs="宋体"/>
                <w:sz w:val="21"/>
                <w:szCs w:val="21"/>
              </w:rPr>
            </w:pPr>
          </w:p>
        </w:tc>
        <w:tc>
          <w:tcPr>
            <w:tcW w:w="542" w:type="pct"/>
            <w:vAlign w:val="center"/>
          </w:tcPr>
          <w:p w14:paraId="24823F98">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1EA1E64A">
            <w:pPr>
              <w:jc w:val="center"/>
              <w:rPr>
                <w:rFonts w:hint="eastAsia" w:ascii="宋体" w:hAnsi="宋体" w:eastAsia="宋体" w:cs="宋体"/>
                <w:sz w:val="21"/>
                <w:szCs w:val="21"/>
              </w:rPr>
            </w:pPr>
          </w:p>
        </w:tc>
      </w:tr>
      <w:tr w14:paraId="01D1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94" w:type="pct"/>
            <w:vAlign w:val="center"/>
          </w:tcPr>
          <w:p w14:paraId="1F551C2E">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992" w:type="pct"/>
            <w:vAlign w:val="center"/>
          </w:tcPr>
          <w:p w14:paraId="014D4CEC">
            <w:pPr>
              <w:jc w:val="center"/>
              <w:rPr>
                <w:rFonts w:hint="eastAsia" w:ascii="宋体" w:hAnsi="宋体" w:eastAsia="宋体" w:cs="宋体"/>
                <w:sz w:val="21"/>
                <w:szCs w:val="21"/>
              </w:rPr>
            </w:pPr>
            <w:r>
              <w:rPr>
                <w:rFonts w:hint="eastAsia" w:ascii="宋体" w:hAnsi="宋体" w:eastAsia="宋体" w:cs="宋体"/>
                <w:sz w:val="21"/>
                <w:szCs w:val="21"/>
              </w:rPr>
              <w:t>芦苞支公司及营业厅（含芦苞机房）</w:t>
            </w:r>
          </w:p>
        </w:tc>
        <w:tc>
          <w:tcPr>
            <w:tcW w:w="1503" w:type="pct"/>
            <w:vAlign w:val="center"/>
          </w:tcPr>
          <w:p w14:paraId="469A58ED">
            <w:pPr>
              <w:jc w:val="center"/>
              <w:rPr>
                <w:rFonts w:hint="eastAsia" w:ascii="宋体" w:hAnsi="宋体" w:eastAsia="宋体" w:cs="宋体"/>
                <w:sz w:val="21"/>
                <w:szCs w:val="21"/>
              </w:rPr>
            </w:pPr>
            <w:r>
              <w:rPr>
                <w:rFonts w:hint="eastAsia" w:ascii="宋体" w:hAnsi="宋体" w:eastAsia="宋体" w:cs="宋体"/>
                <w:sz w:val="21"/>
                <w:szCs w:val="21"/>
              </w:rPr>
              <w:t>干粉灭火器10个；二氧化碳灭火器2个；防毒面具12个；应急灯6个；烟感探头2个。</w:t>
            </w:r>
          </w:p>
        </w:tc>
        <w:tc>
          <w:tcPr>
            <w:tcW w:w="625" w:type="pct"/>
            <w:vAlign w:val="center"/>
          </w:tcPr>
          <w:p w14:paraId="72F28499">
            <w:pPr>
              <w:jc w:val="center"/>
              <w:rPr>
                <w:rFonts w:hint="eastAsia" w:ascii="宋体" w:hAnsi="宋体" w:eastAsia="宋体" w:cs="宋体"/>
                <w:sz w:val="21"/>
                <w:szCs w:val="21"/>
              </w:rPr>
            </w:pPr>
          </w:p>
        </w:tc>
        <w:tc>
          <w:tcPr>
            <w:tcW w:w="542" w:type="pct"/>
            <w:vAlign w:val="center"/>
          </w:tcPr>
          <w:p w14:paraId="4A0ACFF5">
            <w:pPr>
              <w:jc w:val="center"/>
              <w:rPr>
                <w:rFonts w:hint="eastAsia" w:ascii="宋体" w:hAnsi="宋体" w:eastAsia="宋体" w:cs="宋体"/>
                <w:sz w:val="21"/>
                <w:szCs w:val="21"/>
              </w:rPr>
            </w:pPr>
          </w:p>
        </w:tc>
        <w:tc>
          <w:tcPr>
            <w:tcW w:w="542" w:type="pct"/>
            <w:vAlign w:val="center"/>
          </w:tcPr>
          <w:p w14:paraId="74848C5B">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5009150A">
            <w:pPr>
              <w:jc w:val="center"/>
              <w:rPr>
                <w:rFonts w:hint="eastAsia" w:ascii="宋体" w:hAnsi="宋体" w:eastAsia="宋体" w:cs="宋体"/>
                <w:sz w:val="21"/>
                <w:szCs w:val="21"/>
              </w:rPr>
            </w:pPr>
          </w:p>
        </w:tc>
      </w:tr>
      <w:tr w14:paraId="39C3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94" w:type="pct"/>
            <w:vAlign w:val="center"/>
          </w:tcPr>
          <w:p w14:paraId="3FEC6A15">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992" w:type="pct"/>
            <w:vAlign w:val="center"/>
          </w:tcPr>
          <w:p w14:paraId="07180D43">
            <w:pPr>
              <w:jc w:val="center"/>
              <w:rPr>
                <w:rFonts w:hint="eastAsia" w:ascii="宋体" w:hAnsi="宋体" w:eastAsia="宋体" w:cs="宋体"/>
                <w:sz w:val="21"/>
                <w:szCs w:val="21"/>
              </w:rPr>
            </w:pPr>
            <w:r>
              <w:rPr>
                <w:rFonts w:hint="eastAsia" w:ascii="宋体" w:hAnsi="宋体" w:eastAsia="宋体" w:cs="宋体"/>
                <w:sz w:val="21"/>
                <w:szCs w:val="21"/>
              </w:rPr>
              <w:t>大塘支公司及营业厅（含大塘机房）</w:t>
            </w:r>
          </w:p>
        </w:tc>
        <w:tc>
          <w:tcPr>
            <w:tcW w:w="1503" w:type="pct"/>
            <w:vAlign w:val="center"/>
          </w:tcPr>
          <w:p w14:paraId="536446B4">
            <w:pPr>
              <w:jc w:val="center"/>
              <w:rPr>
                <w:rFonts w:hint="eastAsia" w:ascii="宋体" w:hAnsi="宋体" w:eastAsia="宋体" w:cs="宋体"/>
                <w:sz w:val="21"/>
                <w:szCs w:val="21"/>
              </w:rPr>
            </w:pPr>
            <w:r>
              <w:rPr>
                <w:rFonts w:hint="eastAsia" w:ascii="宋体" w:hAnsi="宋体" w:eastAsia="宋体" w:cs="宋体"/>
                <w:sz w:val="21"/>
                <w:szCs w:val="21"/>
              </w:rPr>
              <w:t>干粉灭火器16个；二氧化碳灭火器2个；防毒面具18个；应急灯8个；烟感探头2个。</w:t>
            </w:r>
          </w:p>
        </w:tc>
        <w:tc>
          <w:tcPr>
            <w:tcW w:w="625" w:type="pct"/>
            <w:vAlign w:val="center"/>
          </w:tcPr>
          <w:p w14:paraId="5AB2E816">
            <w:pPr>
              <w:jc w:val="center"/>
              <w:rPr>
                <w:rFonts w:hint="eastAsia" w:ascii="宋体" w:hAnsi="宋体" w:eastAsia="宋体" w:cs="宋体"/>
                <w:sz w:val="21"/>
                <w:szCs w:val="21"/>
              </w:rPr>
            </w:pPr>
          </w:p>
        </w:tc>
        <w:tc>
          <w:tcPr>
            <w:tcW w:w="542" w:type="pct"/>
            <w:vAlign w:val="center"/>
          </w:tcPr>
          <w:p w14:paraId="222BB8F0">
            <w:pPr>
              <w:jc w:val="center"/>
              <w:rPr>
                <w:rFonts w:hint="eastAsia" w:ascii="宋体" w:hAnsi="宋体" w:eastAsia="宋体" w:cs="宋体"/>
                <w:sz w:val="21"/>
                <w:szCs w:val="21"/>
              </w:rPr>
            </w:pPr>
          </w:p>
        </w:tc>
        <w:tc>
          <w:tcPr>
            <w:tcW w:w="542" w:type="pct"/>
            <w:vAlign w:val="center"/>
          </w:tcPr>
          <w:p w14:paraId="212CC185">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73652764">
            <w:pPr>
              <w:jc w:val="center"/>
              <w:rPr>
                <w:rFonts w:hint="eastAsia" w:ascii="宋体" w:hAnsi="宋体" w:eastAsia="宋体" w:cs="宋体"/>
                <w:sz w:val="21"/>
                <w:szCs w:val="21"/>
              </w:rPr>
            </w:pPr>
          </w:p>
        </w:tc>
      </w:tr>
      <w:tr w14:paraId="0127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294" w:type="pct"/>
            <w:vAlign w:val="center"/>
          </w:tcPr>
          <w:p w14:paraId="7E1FBEAA">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992" w:type="pct"/>
            <w:vAlign w:val="center"/>
          </w:tcPr>
          <w:p w14:paraId="2F5786D0">
            <w:pPr>
              <w:jc w:val="center"/>
              <w:rPr>
                <w:rFonts w:hint="eastAsia" w:ascii="宋体" w:hAnsi="宋体" w:eastAsia="宋体" w:cs="宋体"/>
                <w:sz w:val="21"/>
                <w:szCs w:val="21"/>
              </w:rPr>
            </w:pPr>
            <w:r>
              <w:rPr>
                <w:rFonts w:hint="eastAsia" w:ascii="宋体" w:hAnsi="宋体" w:eastAsia="宋体" w:cs="宋体"/>
                <w:sz w:val="21"/>
                <w:szCs w:val="21"/>
              </w:rPr>
              <w:t>南山支公司及营业厅（含六和机房、迳口机房）</w:t>
            </w:r>
          </w:p>
        </w:tc>
        <w:tc>
          <w:tcPr>
            <w:tcW w:w="1503" w:type="pct"/>
            <w:vAlign w:val="center"/>
          </w:tcPr>
          <w:p w14:paraId="11E29406">
            <w:pPr>
              <w:jc w:val="center"/>
              <w:rPr>
                <w:rFonts w:hint="eastAsia" w:ascii="宋体" w:hAnsi="宋体" w:eastAsia="宋体" w:cs="宋体"/>
                <w:sz w:val="21"/>
                <w:szCs w:val="21"/>
              </w:rPr>
            </w:pPr>
            <w:r>
              <w:rPr>
                <w:rFonts w:hint="eastAsia" w:ascii="宋体" w:hAnsi="宋体" w:eastAsia="宋体" w:cs="宋体"/>
                <w:sz w:val="21"/>
                <w:szCs w:val="21"/>
              </w:rPr>
              <w:t>干粉灭火器12个；二氧化碳灭火器2个；防毒面具12个；应急灯7个；烟感探头4个。</w:t>
            </w:r>
          </w:p>
        </w:tc>
        <w:tc>
          <w:tcPr>
            <w:tcW w:w="625" w:type="pct"/>
            <w:vAlign w:val="center"/>
          </w:tcPr>
          <w:p w14:paraId="3261060A">
            <w:pPr>
              <w:jc w:val="center"/>
              <w:rPr>
                <w:rFonts w:hint="eastAsia" w:ascii="宋体" w:hAnsi="宋体" w:eastAsia="宋体" w:cs="宋体"/>
                <w:sz w:val="21"/>
                <w:szCs w:val="21"/>
              </w:rPr>
            </w:pPr>
          </w:p>
        </w:tc>
        <w:tc>
          <w:tcPr>
            <w:tcW w:w="542" w:type="pct"/>
            <w:vAlign w:val="center"/>
          </w:tcPr>
          <w:p w14:paraId="16DE0B32">
            <w:pPr>
              <w:jc w:val="center"/>
              <w:rPr>
                <w:rFonts w:hint="eastAsia" w:ascii="宋体" w:hAnsi="宋体" w:eastAsia="宋体" w:cs="宋体"/>
                <w:sz w:val="21"/>
                <w:szCs w:val="21"/>
              </w:rPr>
            </w:pPr>
          </w:p>
        </w:tc>
        <w:tc>
          <w:tcPr>
            <w:tcW w:w="542" w:type="pct"/>
            <w:vAlign w:val="center"/>
          </w:tcPr>
          <w:p w14:paraId="6966E04F">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20FE996E">
            <w:pPr>
              <w:jc w:val="center"/>
              <w:rPr>
                <w:rFonts w:hint="eastAsia" w:ascii="宋体" w:hAnsi="宋体" w:eastAsia="宋体" w:cs="宋体"/>
                <w:sz w:val="21"/>
                <w:szCs w:val="21"/>
              </w:rPr>
            </w:pPr>
          </w:p>
        </w:tc>
      </w:tr>
      <w:tr w14:paraId="26AD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94" w:type="pct"/>
            <w:vAlign w:val="center"/>
          </w:tcPr>
          <w:p w14:paraId="2E3861E3">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992" w:type="pct"/>
            <w:vAlign w:val="center"/>
          </w:tcPr>
          <w:p w14:paraId="16FF13A9">
            <w:pPr>
              <w:jc w:val="center"/>
              <w:rPr>
                <w:rFonts w:hint="eastAsia" w:ascii="宋体" w:hAnsi="宋体" w:eastAsia="宋体" w:cs="宋体"/>
                <w:sz w:val="21"/>
                <w:szCs w:val="21"/>
              </w:rPr>
            </w:pPr>
            <w:r>
              <w:rPr>
                <w:rFonts w:hint="eastAsia" w:ascii="宋体" w:hAnsi="宋体" w:eastAsia="宋体" w:cs="宋体"/>
                <w:sz w:val="21"/>
                <w:szCs w:val="21"/>
              </w:rPr>
              <w:t>办公楼（含配电房、发电机房、电梯机房、机房播控室、水泵房、保安室等）、西南营业厅</w:t>
            </w:r>
          </w:p>
        </w:tc>
        <w:tc>
          <w:tcPr>
            <w:tcW w:w="1503" w:type="pct"/>
            <w:vAlign w:val="center"/>
          </w:tcPr>
          <w:p w14:paraId="609CA811">
            <w:pPr>
              <w:jc w:val="center"/>
              <w:rPr>
                <w:rFonts w:hint="eastAsia" w:ascii="宋体" w:hAnsi="宋体" w:eastAsia="宋体" w:cs="宋体"/>
                <w:sz w:val="21"/>
                <w:szCs w:val="21"/>
              </w:rPr>
            </w:pPr>
            <w:r>
              <w:rPr>
                <w:rFonts w:hint="eastAsia" w:ascii="宋体" w:hAnsi="宋体" w:eastAsia="宋体" w:cs="宋体"/>
                <w:sz w:val="21"/>
                <w:szCs w:val="21"/>
              </w:rPr>
              <w:t>干粉灭火器80个；消防栓19套；消防泵2台；稳压泵2台；排水泵2台；应急灯42个；防毒面具80个；气溶胶气体灭火系统</w:t>
            </w:r>
            <w:r>
              <w:rPr>
                <w:rFonts w:hint="eastAsia" w:ascii="宋体" w:hAnsi="宋体" w:eastAsia="宋体" w:cs="宋体"/>
                <w:sz w:val="21"/>
                <w:szCs w:val="21"/>
                <w:lang w:val="en-US" w:eastAsia="zh-CN"/>
              </w:rPr>
              <w:t>1</w:t>
            </w:r>
            <w:r>
              <w:rPr>
                <w:rFonts w:hint="eastAsia" w:ascii="宋体" w:hAnsi="宋体" w:eastAsia="宋体" w:cs="宋体"/>
                <w:sz w:val="21"/>
                <w:szCs w:val="21"/>
              </w:rPr>
              <w:t>套；葫芦式灭火器4个；手推车式干粉灭火器2个；火灾自动报警系统一套；应急广播系统一套；主备路供电系统。</w:t>
            </w:r>
          </w:p>
        </w:tc>
        <w:tc>
          <w:tcPr>
            <w:tcW w:w="625" w:type="pct"/>
            <w:vAlign w:val="center"/>
          </w:tcPr>
          <w:p w14:paraId="1C2AD842">
            <w:pPr>
              <w:jc w:val="center"/>
              <w:rPr>
                <w:rFonts w:hint="eastAsia" w:ascii="宋体" w:hAnsi="宋体" w:eastAsia="宋体" w:cs="宋体"/>
                <w:sz w:val="21"/>
                <w:szCs w:val="21"/>
              </w:rPr>
            </w:pPr>
          </w:p>
        </w:tc>
        <w:tc>
          <w:tcPr>
            <w:tcW w:w="542" w:type="pct"/>
            <w:vAlign w:val="center"/>
          </w:tcPr>
          <w:p w14:paraId="3DA88C94">
            <w:pPr>
              <w:jc w:val="center"/>
              <w:rPr>
                <w:rFonts w:hint="eastAsia" w:ascii="宋体" w:hAnsi="宋体" w:eastAsia="宋体" w:cs="宋体"/>
                <w:sz w:val="21"/>
                <w:szCs w:val="21"/>
              </w:rPr>
            </w:pPr>
          </w:p>
        </w:tc>
        <w:tc>
          <w:tcPr>
            <w:tcW w:w="542" w:type="pct"/>
            <w:vAlign w:val="center"/>
          </w:tcPr>
          <w:p w14:paraId="58501124">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3878F09E">
            <w:pPr>
              <w:jc w:val="center"/>
              <w:rPr>
                <w:rFonts w:hint="eastAsia" w:ascii="宋体" w:hAnsi="宋体" w:eastAsia="宋体" w:cs="宋体"/>
                <w:sz w:val="21"/>
                <w:szCs w:val="21"/>
              </w:rPr>
            </w:pPr>
          </w:p>
        </w:tc>
      </w:tr>
      <w:tr w14:paraId="2545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94" w:type="pct"/>
            <w:vAlign w:val="center"/>
          </w:tcPr>
          <w:p w14:paraId="75B5EBFF">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992" w:type="pct"/>
            <w:vAlign w:val="center"/>
          </w:tcPr>
          <w:p w14:paraId="4743805F">
            <w:pPr>
              <w:jc w:val="center"/>
              <w:rPr>
                <w:rFonts w:hint="eastAsia" w:ascii="宋体" w:hAnsi="宋体" w:eastAsia="宋体" w:cs="宋体"/>
                <w:sz w:val="21"/>
                <w:szCs w:val="21"/>
              </w:rPr>
            </w:pPr>
            <w:r>
              <w:rPr>
                <w:rFonts w:hint="eastAsia" w:ascii="宋体" w:hAnsi="宋体" w:eastAsia="宋体" w:cs="宋体"/>
                <w:sz w:val="21"/>
                <w:szCs w:val="21"/>
              </w:rPr>
              <w:t>仓库</w:t>
            </w:r>
          </w:p>
        </w:tc>
        <w:tc>
          <w:tcPr>
            <w:tcW w:w="1503" w:type="pct"/>
            <w:vAlign w:val="center"/>
          </w:tcPr>
          <w:p w14:paraId="7923C9E7">
            <w:pPr>
              <w:jc w:val="center"/>
              <w:rPr>
                <w:rFonts w:hint="eastAsia" w:ascii="宋体" w:hAnsi="宋体" w:eastAsia="宋体" w:cs="宋体"/>
                <w:sz w:val="21"/>
                <w:szCs w:val="21"/>
              </w:rPr>
            </w:pPr>
            <w:r>
              <w:rPr>
                <w:rFonts w:hint="eastAsia" w:ascii="宋体" w:hAnsi="宋体" w:eastAsia="宋体" w:cs="宋体"/>
                <w:sz w:val="21"/>
                <w:szCs w:val="21"/>
              </w:rPr>
              <w:t>干粉灭火器19个；二氧化碳灭火器1个；防毒面具18个；应急灯6个；出口指示牌1个；干粉灭火器手推车2个。</w:t>
            </w:r>
          </w:p>
        </w:tc>
        <w:tc>
          <w:tcPr>
            <w:tcW w:w="625" w:type="pct"/>
            <w:vAlign w:val="center"/>
          </w:tcPr>
          <w:p w14:paraId="71EEBCDB">
            <w:pPr>
              <w:jc w:val="center"/>
              <w:rPr>
                <w:rFonts w:hint="eastAsia" w:ascii="宋体" w:hAnsi="宋体" w:eastAsia="宋体" w:cs="宋体"/>
                <w:sz w:val="21"/>
                <w:szCs w:val="21"/>
              </w:rPr>
            </w:pPr>
          </w:p>
        </w:tc>
        <w:tc>
          <w:tcPr>
            <w:tcW w:w="542" w:type="pct"/>
            <w:vAlign w:val="center"/>
          </w:tcPr>
          <w:p w14:paraId="69F2ECFB">
            <w:pPr>
              <w:jc w:val="center"/>
              <w:rPr>
                <w:rFonts w:hint="eastAsia" w:ascii="宋体" w:hAnsi="宋体" w:eastAsia="宋体" w:cs="宋体"/>
                <w:sz w:val="21"/>
                <w:szCs w:val="21"/>
              </w:rPr>
            </w:pPr>
          </w:p>
        </w:tc>
        <w:tc>
          <w:tcPr>
            <w:tcW w:w="542" w:type="pct"/>
            <w:vAlign w:val="center"/>
          </w:tcPr>
          <w:p w14:paraId="6A71B1CB">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2D905125">
            <w:pPr>
              <w:jc w:val="center"/>
              <w:rPr>
                <w:rFonts w:hint="eastAsia" w:ascii="宋体" w:hAnsi="宋体" w:eastAsia="宋体" w:cs="宋体"/>
                <w:sz w:val="21"/>
                <w:szCs w:val="21"/>
              </w:rPr>
            </w:pPr>
          </w:p>
        </w:tc>
      </w:tr>
      <w:tr w14:paraId="1F4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94" w:type="pct"/>
            <w:vAlign w:val="center"/>
          </w:tcPr>
          <w:p w14:paraId="1C373DD5">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992" w:type="pct"/>
            <w:vAlign w:val="center"/>
          </w:tcPr>
          <w:p w14:paraId="62A62A23">
            <w:pPr>
              <w:jc w:val="center"/>
              <w:rPr>
                <w:rFonts w:hint="eastAsia" w:ascii="宋体" w:hAnsi="宋体" w:eastAsia="宋体" w:cs="宋体"/>
                <w:sz w:val="21"/>
                <w:szCs w:val="21"/>
              </w:rPr>
            </w:pPr>
            <w:r>
              <w:rPr>
                <w:rFonts w:hint="eastAsia" w:ascii="宋体" w:hAnsi="宋体" w:eastAsia="宋体" w:cs="宋体"/>
                <w:sz w:val="21"/>
                <w:szCs w:val="21"/>
              </w:rPr>
              <w:t>沙头机房、奥园机房、九小区机房、广海大道机房、誉海机房、时代南湾机房、绿湖机房、丽日天鹅湖机房、万达机房</w:t>
            </w:r>
          </w:p>
        </w:tc>
        <w:tc>
          <w:tcPr>
            <w:tcW w:w="1503" w:type="pct"/>
            <w:vAlign w:val="center"/>
          </w:tcPr>
          <w:p w14:paraId="00C3BA24">
            <w:pPr>
              <w:jc w:val="center"/>
              <w:rPr>
                <w:rFonts w:hint="eastAsia" w:ascii="宋体" w:hAnsi="宋体" w:eastAsia="宋体" w:cs="宋体"/>
                <w:sz w:val="21"/>
                <w:szCs w:val="21"/>
              </w:rPr>
            </w:pPr>
            <w:r>
              <w:rPr>
                <w:rFonts w:hint="eastAsia" w:ascii="宋体" w:hAnsi="宋体" w:eastAsia="宋体" w:cs="宋体"/>
                <w:sz w:val="21"/>
                <w:szCs w:val="21"/>
              </w:rPr>
              <w:t>二氧化碳灭火器18个；防毒面具18个；应急灯18个；烟感探头18个。</w:t>
            </w:r>
          </w:p>
        </w:tc>
        <w:tc>
          <w:tcPr>
            <w:tcW w:w="625" w:type="pct"/>
            <w:vAlign w:val="center"/>
          </w:tcPr>
          <w:p w14:paraId="51F0F669">
            <w:pPr>
              <w:jc w:val="center"/>
              <w:rPr>
                <w:rFonts w:hint="eastAsia" w:ascii="宋体" w:hAnsi="宋体" w:eastAsia="宋体" w:cs="宋体"/>
                <w:sz w:val="21"/>
                <w:szCs w:val="21"/>
              </w:rPr>
            </w:pPr>
          </w:p>
        </w:tc>
        <w:tc>
          <w:tcPr>
            <w:tcW w:w="542" w:type="pct"/>
            <w:vAlign w:val="center"/>
          </w:tcPr>
          <w:p w14:paraId="7E0175DE">
            <w:pPr>
              <w:jc w:val="center"/>
              <w:rPr>
                <w:rFonts w:hint="eastAsia" w:ascii="宋体" w:hAnsi="宋体" w:eastAsia="宋体" w:cs="宋体"/>
                <w:sz w:val="21"/>
                <w:szCs w:val="21"/>
              </w:rPr>
            </w:pPr>
          </w:p>
        </w:tc>
        <w:tc>
          <w:tcPr>
            <w:tcW w:w="542" w:type="pct"/>
            <w:vAlign w:val="center"/>
          </w:tcPr>
          <w:p w14:paraId="606483D2">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681D3193">
            <w:pPr>
              <w:jc w:val="center"/>
              <w:rPr>
                <w:rFonts w:hint="eastAsia" w:ascii="宋体" w:hAnsi="宋体" w:eastAsia="宋体" w:cs="宋体"/>
                <w:sz w:val="21"/>
                <w:szCs w:val="21"/>
              </w:rPr>
            </w:pPr>
          </w:p>
        </w:tc>
      </w:tr>
      <w:tr w14:paraId="4493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294" w:type="pct"/>
            <w:vAlign w:val="center"/>
          </w:tcPr>
          <w:p w14:paraId="7486602D">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992" w:type="pct"/>
            <w:vAlign w:val="center"/>
          </w:tcPr>
          <w:p w14:paraId="2EEADE66">
            <w:pPr>
              <w:jc w:val="center"/>
              <w:rPr>
                <w:rFonts w:hint="eastAsia" w:ascii="宋体" w:hAnsi="宋体" w:eastAsia="宋体" w:cs="宋体"/>
                <w:sz w:val="21"/>
                <w:szCs w:val="21"/>
              </w:rPr>
            </w:pPr>
            <w:r>
              <w:rPr>
                <w:rFonts w:hint="eastAsia" w:ascii="宋体" w:hAnsi="宋体" w:eastAsia="宋体" w:cs="宋体"/>
                <w:sz w:val="21"/>
                <w:szCs w:val="21"/>
              </w:rPr>
              <w:t>数据机房、中心机房内</w:t>
            </w:r>
          </w:p>
        </w:tc>
        <w:tc>
          <w:tcPr>
            <w:tcW w:w="1503" w:type="pct"/>
            <w:vAlign w:val="center"/>
          </w:tcPr>
          <w:p w14:paraId="298192F9">
            <w:pPr>
              <w:jc w:val="center"/>
              <w:rPr>
                <w:rFonts w:hint="eastAsia" w:ascii="宋体" w:hAnsi="宋体" w:eastAsia="宋体" w:cs="宋体"/>
                <w:sz w:val="21"/>
                <w:szCs w:val="21"/>
              </w:rPr>
            </w:pPr>
            <w:r>
              <w:rPr>
                <w:rFonts w:hint="eastAsia" w:ascii="宋体" w:hAnsi="宋体" w:eastAsia="宋体" w:cs="宋体"/>
                <w:sz w:val="21"/>
                <w:szCs w:val="21"/>
              </w:rPr>
              <w:t>二氧化碳灭火器8个；防毒面具14个；应急灯15个；烟感探头32个。</w:t>
            </w:r>
          </w:p>
        </w:tc>
        <w:tc>
          <w:tcPr>
            <w:tcW w:w="625" w:type="pct"/>
            <w:vAlign w:val="center"/>
          </w:tcPr>
          <w:p w14:paraId="5B697C24">
            <w:pPr>
              <w:jc w:val="center"/>
              <w:rPr>
                <w:rFonts w:hint="eastAsia" w:ascii="宋体" w:hAnsi="宋体" w:eastAsia="宋体" w:cs="宋体"/>
                <w:sz w:val="21"/>
                <w:szCs w:val="21"/>
              </w:rPr>
            </w:pPr>
          </w:p>
        </w:tc>
        <w:tc>
          <w:tcPr>
            <w:tcW w:w="542" w:type="pct"/>
            <w:vAlign w:val="center"/>
          </w:tcPr>
          <w:p w14:paraId="69E8FCBD">
            <w:pPr>
              <w:jc w:val="center"/>
              <w:rPr>
                <w:rFonts w:hint="eastAsia" w:ascii="宋体" w:hAnsi="宋体" w:eastAsia="宋体" w:cs="宋体"/>
                <w:sz w:val="21"/>
                <w:szCs w:val="21"/>
              </w:rPr>
            </w:pPr>
          </w:p>
        </w:tc>
        <w:tc>
          <w:tcPr>
            <w:tcW w:w="542" w:type="pct"/>
            <w:vAlign w:val="center"/>
          </w:tcPr>
          <w:p w14:paraId="15B94B50">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6009AF8D">
            <w:pPr>
              <w:jc w:val="center"/>
              <w:rPr>
                <w:rFonts w:hint="eastAsia" w:ascii="宋体" w:hAnsi="宋体" w:eastAsia="宋体" w:cs="宋体"/>
                <w:sz w:val="21"/>
                <w:szCs w:val="21"/>
              </w:rPr>
            </w:pPr>
          </w:p>
        </w:tc>
      </w:tr>
      <w:tr w14:paraId="203B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94" w:type="pct"/>
            <w:vMerge w:val="restart"/>
            <w:vAlign w:val="center"/>
          </w:tcPr>
          <w:p w14:paraId="5F0C0613">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992" w:type="pct"/>
            <w:vMerge w:val="restart"/>
            <w:vAlign w:val="center"/>
          </w:tcPr>
          <w:p w14:paraId="0E40759F">
            <w:pPr>
              <w:jc w:val="center"/>
              <w:rPr>
                <w:rFonts w:hint="eastAsia" w:ascii="宋体" w:hAnsi="宋体" w:eastAsia="宋体" w:cs="宋体"/>
                <w:sz w:val="21"/>
                <w:szCs w:val="21"/>
              </w:rPr>
            </w:pPr>
            <w:r>
              <w:rPr>
                <w:rFonts w:hint="eastAsia" w:ascii="宋体" w:hAnsi="宋体" w:eastAsia="宋体" w:cs="宋体"/>
                <w:sz w:val="21"/>
                <w:szCs w:val="21"/>
              </w:rPr>
              <w:t>消防系统维护</w:t>
            </w:r>
          </w:p>
        </w:tc>
        <w:tc>
          <w:tcPr>
            <w:tcW w:w="1503" w:type="pct"/>
            <w:vAlign w:val="center"/>
          </w:tcPr>
          <w:p w14:paraId="6159B8DA">
            <w:pPr>
              <w:jc w:val="center"/>
              <w:rPr>
                <w:rFonts w:hint="eastAsia" w:ascii="宋体" w:hAnsi="宋体" w:eastAsia="宋体" w:cs="宋体"/>
                <w:sz w:val="21"/>
                <w:szCs w:val="21"/>
              </w:rPr>
            </w:pPr>
            <w:r>
              <w:rPr>
                <w:rFonts w:hint="eastAsia" w:ascii="宋体" w:hAnsi="宋体" w:eastAsia="宋体" w:cs="宋体"/>
                <w:sz w:val="21"/>
                <w:szCs w:val="21"/>
              </w:rPr>
              <w:t>中心机房气体（七氟丙烷）灭火系统1套；数据机房气体（七氟丙烷）2套。</w:t>
            </w:r>
          </w:p>
        </w:tc>
        <w:tc>
          <w:tcPr>
            <w:tcW w:w="625" w:type="pct"/>
            <w:vAlign w:val="center"/>
          </w:tcPr>
          <w:p w14:paraId="4DEE5F4C">
            <w:pPr>
              <w:jc w:val="center"/>
              <w:rPr>
                <w:rFonts w:hint="eastAsia" w:ascii="宋体" w:hAnsi="宋体" w:eastAsia="宋体" w:cs="宋体"/>
                <w:sz w:val="21"/>
                <w:szCs w:val="21"/>
              </w:rPr>
            </w:pPr>
          </w:p>
        </w:tc>
        <w:tc>
          <w:tcPr>
            <w:tcW w:w="542" w:type="pct"/>
            <w:vAlign w:val="center"/>
          </w:tcPr>
          <w:p w14:paraId="325BE344">
            <w:pPr>
              <w:jc w:val="center"/>
              <w:rPr>
                <w:rFonts w:hint="eastAsia" w:ascii="宋体" w:hAnsi="宋体" w:eastAsia="宋体" w:cs="宋体"/>
                <w:sz w:val="21"/>
                <w:szCs w:val="21"/>
              </w:rPr>
            </w:pPr>
          </w:p>
        </w:tc>
        <w:tc>
          <w:tcPr>
            <w:tcW w:w="542" w:type="pct"/>
            <w:vAlign w:val="center"/>
          </w:tcPr>
          <w:p w14:paraId="1A4FCBDD">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1462F71E">
            <w:pPr>
              <w:jc w:val="center"/>
              <w:rPr>
                <w:rFonts w:hint="eastAsia" w:ascii="宋体" w:hAnsi="宋体" w:eastAsia="宋体" w:cs="宋体"/>
                <w:sz w:val="21"/>
                <w:szCs w:val="21"/>
              </w:rPr>
            </w:pPr>
          </w:p>
        </w:tc>
      </w:tr>
      <w:tr w14:paraId="644F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94" w:type="pct"/>
            <w:vMerge w:val="continue"/>
            <w:vAlign w:val="center"/>
          </w:tcPr>
          <w:p w14:paraId="367E9C37">
            <w:pPr>
              <w:jc w:val="center"/>
              <w:rPr>
                <w:rFonts w:hint="eastAsia" w:ascii="宋体" w:hAnsi="宋体" w:eastAsia="宋体" w:cs="宋体"/>
                <w:sz w:val="21"/>
                <w:szCs w:val="21"/>
              </w:rPr>
            </w:pPr>
          </w:p>
        </w:tc>
        <w:tc>
          <w:tcPr>
            <w:tcW w:w="992" w:type="pct"/>
            <w:vMerge w:val="continue"/>
            <w:vAlign w:val="center"/>
          </w:tcPr>
          <w:p w14:paraId="07EF54DB">
            <w:pPr>
              <w:jc w:val="center"/>
              <w:rPr>
                <w:rFonts w:hint="eastAsia" w:ascii="宋体" w:hAnsi="宋体" w:eastAsia="宋体" w:cs="宋体"/>
                <w:sz w:val="21"/>
                <w:szCs w:val="21"/>
              </w:rPr>
            </w:pPr>
          </w:p>
        </w:tc>
        <w:tc>
          <w:tcPr>
            <w:tcW w:w="1503" w:type="pct"/>
            <w:vAlign w:val="center"/>
          </w:tcPr>
          <w:p w14:paraId="7561AE20">
            <w:pPr>
              <w:jc w:val="center"/>
              <w:rPr>
                <w:rFonts w:hint="eastAsia" w:ascii="宋体" w:hAnsi="宋体" w:eastAsia="宋体" w:cs="宋体"/>
                <w:sz w:val="21"/>
                <w:szCs w:val="21"/>
              </w:rPr>
            </w:pPr>
            <w:r>
              <w:rPr>
                <w:rFonts w:hint="eastAsia" w:ascii="宋体" w:hAnsi="宋体" w:eastAsia="宋体" w:cs="宋体"/>
                <w:sz w:val="21"/>
                <w:szCs w:val="21"/>
              </w:rPr>
              <w:t>火灾自动报警系统（火灾自动报警系统一套；应急广播系统一套；主备路供电系统。）</w:t>
            </w:r>
          </w:p>
        </w:tc>
        <w:tc>
          <w:tcPr>
            <w:tcW w:w="625" w:type="pct"/>
            <w:vAlign w:val="center"/>
          </w:tcPr>
          <w:p w14:paraId="749F3C56">
            <w:pPr>
              <w:jc w:val="center"/>
              <w:rPr>
                <w:rFonts w:hint="eastAsia" w:ascii="宋体" w:hAnsi="宋体" w:eastAsia="宋体" w:cs="宋体"/>
                <w:sz w:val="21"/>
                <w:szCs w:val="21"/>
              </w:rPr>
            </w:pPr>
          </w:p>
        </w:tc>
        <w:tc>
          <w:tcPr>
            <w:tcW w:w="542" w:type="pct"/>
            <w:vAlign w:val="center"/>
          </w:tcPr>
          <w:p w14:paraId="541770CC">
            <w:pPr>
              <w:jc w:val="center"/>
              <w:rPr>
                <w:rFonts w:hint="eastAsia" w:ascii="宋体" w:hAnsi="宋体" w:eastAsia="宋体" w:cs="宋体"/>
                <w:sz w:val="21"/>
                <w:szCs w:val="21"/>
              </w:rPr>
            </w:pPr>
          </w:p>
        </w:tc>
        <w:tc>
          <w:tcPr>
            <w:tcW w:w="542" w:type="pct"/>
            <w:vAlign w:val="center"/>
          </w:tcPr>
          <w:p w14:paraId="05F098D9">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75A4D8F3">
            <w:pPr>
              <w:jc w:val="center"/>
              <w:rPr>
                <w:rFonts w:hint="eastAsia" w:ascii="宋体" w:hAnsi="宋体" w:eastAsia="宋体" w:cs="宋体"/>
                <w:sz w:val="21"/>
                <w:szCs w:val="21"/>
              </w:rPr>
            </w:pPr>
          </w:p>
        </w:tc>
      </w:tr>
      <w:tr w14:paraId="6FC0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94" w:type="pct"/>
            <w:vMerge w:val="continue"/>
            <w:vAlign w:val="center"/>
          </w:tcPr>
          <w:p w14:paraId="677FA19A">
            <w:pPr>
              <w:jc w:val="center"/>
              <w:rPr>
                <w:rFonts w:hint="eastAsia" w:ascii="宋体" w:hAnsi="宋体" w:eastAsia="宋体" w:cs="宋体"/>
                <w:sz w:val="21"/>
                <w:szCs w:val="21"/>
              </w:rPr>
            </w:pPr>
          </w:p>
        </w:tc>
        <w:tc>
          <w:tcPr>
            <w:tcW w:w="992" w:type="pct"/>
            <w:vMerge w:val="continue"/>
            <w:vAlign w:val="center"/>
          </w:tcPr>
          <w:p w14:paraId="68921224">
            <w:pPr>
              <w:jc w:val="center"/>
              <w:rPr>
                <w:rFonts w:hint="eastAsia" w:ascii="宋体" w:hAnsi="宋体" w:eastAsia="宋体" w:cs="宋体"/>
                <w:sz w:val="21"/>
                <w:szCs w:val="21"/>
              </w:rPr>
            </w:pPr>
          </w:p>
        </w:tc>
        <w:tc>
          <w:tcPr>
            <w:tcW w:w="1503" w:type="pct"/>
            <w:vAlign w:val="center"/>
          </w:tcPr>
          <w:p w14:paraId="44E1DC76">
            <w:pPr>
              <w:jc w:val="center"/>
              <w:rPr>
                <w:rFonts w:hint="eastAsia" w:ascii="宋体" w:hAnsi="宋体" w:eastAsia="宋体" w:cs="宋体"/>
                <w:sz w:val="21"/>
                <w:szCs w:val="21"/>
              </w:rPr>
            </w:pPr>
            <w:r>
              <w:rPr>
                <w:rFonts w:hint="eastAsia" w:ascii="宋体" w:hAnsi="宋体" w:eastAsia="宋体" w:cs="宋体"/>
                <w:sz w:val="21"/>
                <w:szCs w:val="21"/>
              </w:rPr>
              <w:t>消火栓系统</w:t>
            </w:r>
          </w:p>
        </w:tc>
        <w:tc>
          <w:tcPr>
            <w:tcW w:w="625" w:type="pct"/>
            <w:vAlign w:val="center"/>
          </w:tcPr>
          <w:p w14:paraId="3F8E411A">
            <w:pPr>
              <w:jc w:val="center"/>
              <w:rPr>
                <w:rFonts w:hint="eastAsia" w:ascii="宋体" w:hAnsi="宋体" w:eastAsia="宋体" w:cs="宋体"/>
                <w:sz w:val="21"/>
                <w:szCs w:val="21"/>
              </w:rPr>
            </w:pPr>
          </w:p>
        </w:tc>
        <w:tc>
          <w:tcPr>
            <w:tcW w:w="542" w:type="pct"/>
            <w:vAlign w:val="center"/>
          </w:tcPr>
          <w:p w14:paraId="543E6275">
            <w:pPr>
              <w:jc w:val="center"/>
              <w:rPr>
                <w:rFonts w:hint="eastAsia" w:ascii="宋体" w:hAnsi="宋体" w:eastAsia="宋体" w:cs="宋体"/>
                <w:sz w:val="21"/>
                <w:szCs w:val="21"/>
              </w:rPr>
            </w:pPr>
          </w:p>
        </w:tc>
        <w:tc>
          <w:tcPr>
            <w:tcW w:w="542" w:type="pct"/>
            <w:vAlign w:val="center"/>
          </w:tcPr>
          <w:p w14:paraId="37BA3C37">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183771DE">
            <w:pPr>
              <w:jc w:val="center"/>
              <w:rPr>
                <w:rFonts w:hint="eastAsia" w:ascii="宋体" w:hAnsi="宋体" w:eastAsia="宋体" w:cs="宋体"/>
                <w:sz w:val="21"/>
                <w:szCs w:val="21"/>
              </w:rPr>
            </w:pPr>
          </w:p>
        </w:tc>
      </w:tr>
      <w:tr w14:paraId="4F2C4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94" w:type="pct"/>
            <w:vMerge w:val="continue"/>
            <w:vAlign w:val="center"/>
          </w:tcPr>
          <w:p w14:paraId="3A9E5998">
            <w:pPr>
              <w:jc w:val="center"/>
              <w:rPr>
                <w:rFonts w:hint="eastAsia" w:ascii="宋体" w:hAnsi="宋体" w:eastAsia="宋体" w:cs="宋体"/>
                <w:sz w:val="21"/>
                <w:szCs w:val="21"/>
              </w:rPr>
            </w:pPr>
          </w:p>
        </w:tc>
        <w:tc>
          <w:tcPr>
            <w:tcW w:w="992" w:type="pct"/>
            <w:vMerge w:val="continue"/>
            <w:vAlign w:val="center"/>
          </w:tcPr>
          <w:p w14:paraId="097864DE">
            <w:pPr>
              <w:jc w:val="center"/>
              <w:rPr>
                <w:rFonts w:hint="eastAsia" w:ascii="宋体" w:hAnsi="宋体" w:eastAsia="宋体" w:cs="宋体"/>
                <w:sz w:val="21"/>
                <w:szCs w:val="21"/>
              </w:rPr>
            </w:pPr>
          </w:p>
        </w:tc>
        <w:tc>
          <w:tcPr>
            <w:tcW w:w="1503" w:type="pct"/>
            <w:vAlign w:val="center"/>
          </w:tcPr>
          <w:p w14:paraId="725D65F4">
            <w:pPr>
              <w:jc w:val="center"/>
              <w:rPr>
                <w:rFonts w:hint="eastAsia" w:ascii="宋体" w:hAnsi="宋体" w:eastAsia="宋体" w:cs="宋体"/>
                <w:sz w:val="21"/>
                <w:szCs w:val="21"/>
              </w:rPr>
            </w:pPr>
            <w:r>
              <w:rPr>
                <w:rFonts w:hint="eastAsia" w:ascii="宋体" w:hAnsi="宋体" w:eastAsia="宋体" w:cs="宋体"/>
                <w:sz w:val="21"/>
                <w:szCs w:val="21"/>
              </w:rPr>
              <w:t>喷淋系统</w:t>
            </w:r>
          </w:p>
        </w:tc>
        <w:tc>
          <w:tcPr>
            <w:tcW w:w="625" w:type="pct"/>
            <w:vAlign w:val="center"/>
          </w:tcPr>
          <w:p w14:paraId="0A985408">
            <w:pPr>
              <w:jc w:val="center"/>
              <w:rPr>
                <w:rFonts w:hint="eastAsia" w:ascii="宋体" w:hAnsi="宋体" w:eastAsia="宋体" w:cs="宋体"/>
                <w:sz w:val="21"/>
                <w:szCs w:val="21"/>
              </w:rPr>
            </w:pPr>
          </w:p>
        </w:tc>
        <w:tc>
          <w:tcPr>
            <w:tcW w:w="542" w:type="pct"/>
            <w:vAlign w:val="center"/>
          </w:tcPr>
          <w:p w14:paraId="66285893">
            <w:pPr>
              <w:jc w:val="center"/>
              <w:rPr>
                <w:rFonts w:hint="eastAsia" w:ascii="宋体" w:hAnsi="宋体" w:eastAsia="宋体" w:cs="宋体"/>
                <w:sz w:val="21"/>
                <w:szCs w:val="21"/>
              </w:rPr>
            </w:pPr>
          </w:p>
        </w:tc>
        <w:tc>
          <w:tcPr>
            <w:tcW w:w="542" w:type="pct"/>
            <w:vAlign w:val="center"/>
          </w:tcPr>
          <w:p w14:paraId="024CE3A9">
            <w:pPr>
              <w:jc w:val="center"/>
              <w:rPr>
                <w:rFonts w:hint="eastAsia" w:ascii="宋体" w:hAnsi="宋体" w:eastAsia="宋体" w:cs="宋体"/>
                <w:sz w:val="21"/>
                <w:szCs w:val="21"/>
              </w:rPr>
            </w:pPr>
            <w:r>
              <w:rPr>
                <w:rFonts w:hint="eastAsia" w:ascii="宋体" w:hAnsi="宋体" w:eastAsia="宋体" w:cs="宋体"/>
                <w:sz w:val="21"/>
                <w:szCs w:val="21"/>
              </w:rPr>
              <w:t>24</w:t>
            </w:r>
          </w:p>
        </w:tc>
        <w:tc>
          <w:tcPr>
            <w:tcW w:w="499" w:type="pct"/>
            <w:vAlign w:val="center"/>
          </w:tcPr>
          <w:p w14:paraId="02550EE7">
            <w:pPr>
              <w:jc w:val="center"/>
              <w:rPr>
                <w:rFonts w:hint="eastAsia" w:ascii="宋体" w:hAnsi="宋体" w:eastAsia="宋体" w:cs="宋体"/>
                <w:sz w:val="21"/>
                <w:szCs w:val="21"/>
              </w:rPr>
            </w:pPr>
          </w:p>
        </w:tc>
      </w:tr>
      <w:tr w14:paraId="7F29F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790" w:type="pct"/>
            <w:gridSpan w:val="3"/>
            <w:vAlign w:val="center"/>
          </w:tcPr>
          <w:p w14:paraId="6755AE8C">
            <w:pPr>
              <w:jc w:val="center"/>
              <w:rPr>
                <w:rFonts w:hint="eastAsia" w:ascii="宋体" w:hAnsi="宋体" w:eastAsia="宋体" w:cs="宋体"/>
                <w:sz w:val="21"/>
                <w:szCs w:val="21"/>
              </w:rPr>
            </w:pPr>
            <w:r>
              <w:rPr>
                <w:rFonts w:hint="eastAsia" w:ascii="宋体" w:hAnsi="宋体" w:eastAsia="宋体" w:cs="宋体"/>
                <w:sz w:val="21"/>
                <w:szCs w:val="21"/>
              </w:rPr>
              <w:t>合计（人民币大写：               ）</w:t>
            </w:r>
          </w:p>
        </w:tc>
        <w:tc>
          <w:tcPr>
            <w:tcW w:w="2209" w:type="pct"/>
            <w:gridSpan w:val="4"/>
            <w:vAlign w:val="center"/>
          </w:tcPr>
          <w:p w14:paraId="46EECFB0">
            <w:pPr>
              <w:jc w:val="center"/>
              <w:rPr>
                <w:rFonts w:hint="eastAsia" w:ascii="宋体" w:hAnsi="宋体" w:eastAsia="宋体" w:cs="宋体"/>
                <w:sz w:val="21"/>
                <w:szCs w:val="21"/>
              </w:rPr>
            </w:pPr>
            <w:r>
              <w:rPr>
                <w:rFonts w:hint="eastAsia" w:ascii="宋体" w:hAnsi="宋体" w:eastAsia="宋体" w:cs="宋体"/>
                <w:sz w:val="21"/>
                <w:szCs w:val="21"/>
              </w:rPr>
              <w:t>¥           （税率：   %）</w:t>
            </w:r>
          </w:p>
        </w:tc>
      </w:tr>
      <w:tr w14:paraId="6386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7"/>
            <w:vAlign w:val="center"/>
          </w:tcPr>
          <w:p w14:paraId="52124EED">
            <w:pPr>
              <w:jc w:val="center"/>
              <w:rPr>
                <w:rFonts w:hint="eastAsia" w:ascii="宋体" w:hAnsi="宋体" w:eastAsia="宋体" w:cs="宋体"/>
                <w:sz w:val="21"/>
                <w:szCs w:val="21"/>
              </w:rPr>
            </w:pPr>
            <w:r>
              <w:rPr>
                <w:rFonts w:hint="eastAsia" w:ascii="宋体" w:hAnsi="宋体" w:eastAsia="宋体" w:cs="宋体"/>
                <w:sz w:val="21"/>
                <w:szCs w:val="21"/>
              </w:rPr>
              <w:t>注：采购人消防系统设备数量如有增减，应按采购人的通知为准，响应人不得据此拒绝维护。</w:t>
            </w:r>
          </w:p>
        </w:tc>
      </w:tr>
    </w:tbl>
    <w:p w14:paraId="2103874F">
      <w:pPr>
        <w:pStyle w:val="59"/>
        <w:numPr>
          <w:ilvl w:val="3"/>
          <w:numId w:val="13"/>
        </w:numPr>
        <w:spacing w:line="360" w:lineRule="auto"/>
        <w:ind w:left="0" w:firstLine="0" w:firstLineChars="0"/>
        <w:rPr>
          <w:rFonts w:ascii="宋体" w:hAnsi="宋体" w:cs="宋体"/>
          <w:szCs w:val="21"/>
        </w:rPr>
      </w:pPr>
      <w:r>
        <w:rPr>
          <w:rFonts w:hint="eastAsia" w:ascii="宋体" w:hAnsi="宋体" w:cs="宋体"/>
          <w:szCs w:val="21"/>
        </w:rPr>
        <w:t>开具增值税专用发票，发票的开票单位必须与签订合同的单位相一致。</w:t>
      </w:r>
    </w:p>
    <w:p w14:paraId="4EB8D0E5">
      <w:pPr>
        <w:pStyle w:val="59"/>
        <w:numPr>
          <w:ilvl w:val="3"/>
          <w:numId w:val="13"/>
        </w:numPr>
        <w:spacing w:line="360" w:lineRule="auto"/>
        <w:ind w:left="0" w:firstLine="0" w:firstLineChars="0"/>
        <w:rPr>
          <w:rFonts w:ascii="宋体" w:hAnsi="宋体" w:cs="宋体"/>
          <w:szCs w:val="21"/>
        </w:rPr>
      </w:pPr>
      <w:r>
        <w:rPr>
          <w:rFonts w:hint="eastAsia" w:ascii="宋体" w:hAnsi="宋体" w:cs="宋体"/>
          <w:bCs/>
          <w:szCs w:val="21"/>
        </w:rPr>
        <w:t>所有报价最多保留至小数点后两位，采用四舍五入，否则将对其进行修正。</w:t>
      </w:r>
    </w:p>
    <w:p w14:paraId="31737EBE">
      <w:pPr>
        <w:pStyle w:val="59"/>
        <w:numPr>
          <w:ilvl w:val="3"/>
          <w:numId w:val="13"/>
        </w:numPr>
        <w:spacing w:line="360" w:lineRule="auto"/>
        <w:ind w:left="0" w:firstLine="0" w:firstLineChars="0"/>
        <w:rPr>
          <w:rFonts w:ascii="宋体" w:hAnsi="宋体" w:cs="宋体"/>
          <w:szCs w:val="21"/>
        </w:rPr>
      </w:pPr>
      <w:r>
        <w:rPr>
          <w:rFonts w:hint="eastAsia" w:ascii="宋体" w:hAnsi="宋体" w:cs="宋体"/>
          <w:szCs w:val="21"/>
        </w:rPr>
        <w:t xml:space="preserve">价格说明：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gridCol w:w="3483"/>
      </w:tblGrid>
      <w:tr w14:paraId="7330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3703" w:type="dxa"/>
            <w:vAlign w:val="center"/>
          </w:tcPr>
          <w:p w14:paraId="6242BF4B">
            <w:pPr>
              <w:spacing w:line="360" w:lineRule="auto"/>
              <w:rPr>
                <w:rFonts w:ascii="宋体" w:hAnsi="宋体" w:cs="宋体"/>
                <w:szCs w:val="21"/>
              </w:rPr>
            </w:pPr>
            <w:r>
              <w:rPr>
                <w:rFonts w:hint="eastAsia" w:ascii="宋体" w:hAnsi="宋体" w:cs="宋体"/>
                <w:szCs w:val="21"/>
              </w:rPr>
              <w:t>报价人提供的发票类型</w:t>
            </w:r>
          </w:p>
        </w:tc>
        <w:tc>
          <w:tcPr>
            <w:tcW w:w="3483" w:type="dxa"/>
            <w:vAlign w:val="center"/>
          </w:tcPr>
          <w:p w14:paraId="36817688">
            <w:pPr>
              <w:spacing w:line="360" w:lineRule="auto"/>
              <w:rPr>
                <w:rFonts w:ascii="宋体" w:hAnsi="宋体" w:cs="宋体"/>
                <w:szCs w:val="21"/>
              </w:rPr>
            </w:pPr>
            <w:r>
              <w:rPr>
                <w:rFonts w:hint="eastAsia" w:ascii="宋体" w:hAnsi="宋体" w:cs="宋体"/>
                <w:szCs w:val="21"/>
              </w:rPr>
              <w:t>价格计算</w:t>
            </w:r>
          </w:p>
        </w:tc>
      </w:tr>
      <w:tr w14:paraId="29BC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3703" w:type="dxa"/>
            <w:vAlign w:val="center"/>
          </w:tcPr>
          <w:p w14:paraId="102942DA">
            <w:pPr>
              <w:spacing w:line="360" w:lineRule="auto"/>
              <w:rPr>
                <w:rFonts w:ascii="宋体" w:hAnsi="宋体" w:cs="宋体"/>
                <w:szCs w:val="21"/>
              </w:rPr>
            </w:pPr>
            <w:r>
              <w:rPr>
                <w:rFonts w:hint="eastAsia" w:ascii="宋体" w:hAnsi="宋体" w:cs="宋体"/>
                <w:szCs w:val="21"/>
              </w:rPr>
              <w:t>增值税专用发票</w:t>
            </w:r>
          </w:p>
        </w:tc>
        <w:tc>
          <w:tcPr>
            <w:tcW w:w="3483" w:type="dxa"/>
            <w:vAlign w:val="center"/>
          </w:tcPr>
          <w:p w14:paraId="17CC19D5">
            <w:pPr>
              <w:spacing w:line="360" w:lineRule="auto"/>
              <w:rPr>
                <w:rFonts w:ascii="宋体" w:hAnsi="宋体" w:cs="宋体"/>
                <w:szCs w:val="21"/>
              </w:rPr>
            </w:pPr>
            <w:r>
              <w:rPr>
                <w:rFonts w:hint="eastAsia" w:ascii="宋体" w:hAnsi="宋体" w:cs="宋体"/>
                <w:szCs w:val="21"/>
              </w:rPr>
              <w:t>价格/（1+增值税率）</w:t>
            </w:r>
          </w:p>
        </w:tc>
      </w:tr>
    </w:tbl>
    <w:p w14:paraId="5798C1CD">
      <w:pPr>
        <w:spacing w:line="360" w:lineRule="auto"/>
        <w:rPr>
          <w:rFonts w:ascii="宋体" w:hAnsi="宋体" w:cs="宋体"/>
          <w:szCs w:val="21"/>
        </w:rPr>
      </w:pPr>
      <w:r>
        <w:rPr>
          <w:rFonts w:hint="eastAsia" w:ascii="宋体" w:hAnsi="宋体" w:cs="宋体"/>
          <w:szCs w:val="21"/>
        </w:rPr>
        <w:t>备注：如各报价人提供的税率不一致时，则分别按上述规定计算各价格，如全部报价人税率都一致则无需转换价格。</w:t>
      </w:r>
    </w:p>
    <w:p w14:paraId="6701677C">
      <w:pPr>
        <w:pStyle w:val="59"/>
        <w:numPr>
          <w:ilvl w:val="3"/>
          <w:numId w:val="13"/>
        </w:numPr>
        <w:spacing w:line="360" w:lineRule="auto"/>
        <w:ind w:left="0" w:firstLine="0" w:firstLineChars="0"/>
        <w:rPr>
          <w:rFonts w:ascii="宋体" w:hAnsi="宋体" w:cs="宋体"/>
          <w:szCs w:val="21"/>
        </w:rPr>
      </w:pPr>
      <w:r>
        <w:rPr>
          <w:rFonts w:hint="eastAsia" w:ascii="宋体" w:hAnsi="宋体" w:cs="宋体"/>
          <w:szCs w:val="21"/>
        </w:rPr>
        <w:t>供应商应如实填报上表的“税率”，如供应商实际开票税率低于报价中的税率，则中标合同金额减少相应的增值税税金金额。如供应商实际开票税率高于报价中的税率，合同金额保持不变。</w:t>
      </w:r>
    </w:p>
    <w:p w14:paraId="13C3806B">
      <w:pPr>
        <w:spacing w:line="360" w:lineRule="auto"/>
        <w:rPr>
          <w:rFonts w:ascii="宋体" w:hAnsi="宋体" w:cs="Tahoma"/>
          <w:szCs w:val="21"/>
        </w:rPr>
      </w:pPr>
    </w:p>
    <w:p w14:paraId="2520AC29">
      <w:pPr>
        <w:spacing w:line="360" w:lineRule="auto"/>
        <w:rPr>
          <w:rFonts w:ascii="宋体" w:hAnsi="宋体" w:cs="Tahoma"/>
          <w:szCs w:val="21"/>
        </w:rPr>
      </w:pPr>
      <w:r>
        <w:rPr>
          <w:rFonts w:hint="eastAsia" w:ascii="宋体" w:hAnsi="宋体" w:cs="Tahoma"/>
          <w:szCs w:val="21"/>
        </w:rPr>
        <w:t xml:space="preserve">报价人法定代表人（或法定代表人授权代表）签字：                   </w:t>
      </w:r>
    </w:p>
    <w:p w14:paraId="541A35DB">
      <w:pPr>
        <w:spacing w:line="360" w:lineRule="auto"/>
        <w:rPr>
          <w:rFonts w:ascii="宋体" w:hAnsi="宋体" w:cs="Tahoma"/>
          <w:szCs w:val="21"/>
        </w:rPr>
      </w:pPr>
      <w:r>
        <w:rPr>
          <w:rFonts w:hint="eastAsia" w:ascii="宋体" w:hAnsi="宋体" w:cs="Tahoma"/>
          <w:szCs w:val="21"/>
        </w:rPr>
        <w:t xml:space="preserve">报价人名称（签章）：                        </w:t>
      </w:r>
    </w:p>
    <w:p w14:paraId="13449D85">
      <w:pPr>
        <w:spacing w:line="360" w:lineRule="auto"/>
        <w:rPr>
          <w:rFonts w:ascii="宋体" w:hAnsi="宋体"/>
          <w:b/>
          <w:sz w:val="30"/>
          <w:szCs w:val="30"/>
        </w:rPr>
      </w:pPr>
      <w:r>
        <w:rPr>
          <w:rFonts w:hint="eastAsia" w:ascii="宋体" w:hAnsi="宋体" w:cs="Tahoma"/>
          <w:szCs w:val="21"/>
        </w:rPr>
        <w:t>日期：          年      月     日</w:t>
      </w:r>
    </w:p>
    <w:p w14:paraId="08AD78DB">
      <w:pPr>
        <w:rPr>
          <w:rFonts w:ascii="宋体" w:hAnsi="宋体" w:cs="Tahoma"/>
          <w:b/>
          <w:bCs/>
          <w:color w:val="000000"/>
          <w:sz w:val="28"/>
          <w:szCs w:val="28"/>
        </w:rPr>
      </w:pPr>
      <w:r>
        <w:rPr>
          <w:rFonts w:ascii="宋体" w:hAnsi="宋体" w:cs="Tahoma"/>
          <w:b/>
          <w:bCs/>
          <w:color w:val="000000"/>
          <w:sz w:val="28"/>
          <w:szCs w:val="28"/>
        </w:rPr>
        <w:br w:type="page"/>
      </w:r>
    </w:p>
    <w:p w14:paraId="5E6DA21B">
      <w:pPr>
        <w:spacing w:line="480" w:lineRule="auto"/>
        <w:jc w:val="center"/>
        <w:outlineLvl w:val="1"/>
      </w:pPr>
      <w:r>
        <w:rPr>
          <w:rFonts w:ascii="宋体" w:hAnsi="宋体" w:cs="Tahoma"/>
          <w:b/>
          <w:bCs/>
          <w:color w:val="000000"/>
          <w:sz w:val="28"/>
          <w:szCs w:val="28"/>
        </w:rPr>
        <w:t xml:space="preserve"> </w:t>
      </w:r>
      <w:r>
        <w:rPr>
          <w:rFonts w:hint="eastAsia"/>
          <w:b/>
          <w:bCs/>
          <w:sz w:val="28"/>
          <w:szCs w:val="28"/>
        </w:rPr>
        <w:t>供应商资格声明函</w:t>
      </w:r>
    </w:p>
    <w:p w14:paraId="26DAB750">
      <w:pPr>
        <w:autoSpaceDE w:val="0"/>
        <w:autoSpaceDN w:val="0"/>
        <w:adjustRightInd w:val="0"/>
        <w:snapToGrid w:val="0"/>
        <w:spacing w:line="480" w:lineRule="auto"/>
        <w:rPr>
          <w:rFonts w:ascii="宋体" w:hAnsi="宋体"/>
          <w:b/>
          <w:szCs w:val="21"/>
        </w:rPr>
      </w:pPr>
      <w:r>
        <w:rPr>
          <w:rFonts w:hint="eastAsia" w:ascii="宋体" w:hAnsi="宋体"/>
          <w:b/>
          <w:szCs w:val="21"/>
        </w:rPr>
        <w:t>致：</w:t>
      </w:r>
      <w:r>
        <w:rPr>
          <w:rFonts w:hint="eastAsia" w:ascii="宋体" w:hAnsi="宋体" w:cs="宋体"/>
          <w:b/>
          <w:bCs/>
          <w:szCs w:val="21"/>
        </w:rPr>
        <w:t>广东省广播电视网络股份有限公司佛山三水分公司</w:t>
      </w:r>
      <w:r>
        <w:rPr>
          <w:rFonts w:hint="eastAsia" w:ascii="宋体" w:hAnsi="宋体"/>
          <w:b/>
          <w:szCs w:val="21"/>
        </w:rPr>
        <w:t>、采联国际招标采购集团有限公司</w:t>
      </w:r>
    </w:p>
    <w:p w14:paraId="4E90280C">
      <w:pPr>
        <w:snapToGrid w:val="0"/>
        <w:spacing w:line="360" w:lineRule="auto"/>
        <w:ind w:firstLine="424" w:firstLineChars="202"/>
        <w:rPr>
          <w:rFonts w:ascii="宋体" w:hAnsi="宋体"/>
        </w:rPr>
      </w:pPr>
      <w:r>
        <w:rPr>
          <w:rFonts w:hint="eastAsia" w:ascii="宋体" w:hAnsi="宋体"/>
          <w:szCs w:val="21"/>
        </w:rPr>
        <w:t>关于贵单位、贵司发布</w:t>
      </w:r>
      <w:r>
        <w:rPr>
          <w:rFonts w:hint="eastAsia" w:ascii="宋体" w:hAnsi="宋体" w:cs="宋体"/>
          <w:b/>
          <w:bCs/>
          <w:szCs w:val="21"/>
          <w:u w:val="single"/>
        </w:rPr>
        <w:t>三水分公司消防系统设备设施维保项目</w:t>
      </w:r>
      <w:r>
        <w:rPr>
          <w:rFonts w:hint="eastAsia" w:ascii="宋体" w:hAnsi="宋体"/>
          <w:szCs w:val="21"/>
        </w:rPr>
        <w:t>的竞价公告</w:t>
      </w:r>
      <w:r>
        <w:rPr>
          <w:rFonts w:hint="eastAsia" w:ascii="宋体" w:hAnsi="宋体"/>
        </w:rPr>
        <w:t>，并声明：</w:t>
      </w:r>
    </w:p>
    <w:p w14:paraId="45700B11">
      <w:pPr>
        <w:spacing w:line="360" w:lineRule="auto"/>
        <w:ind w:firstLine="420" w:firstLineChars="200"/>
        <w:rPr>
          <w:rFonts w:ascii="宋体" w:hAnsi="宋体" w:cs="宋体"/>
        </w:rPr>
      </w:pPr>
      <w:r>
        <w:rPr>
          <w:rFonts w:hint="eastAsia" w:ascii="宋体" w:hAnsi="宋体" w:cs="宋体"/>
        </w:rPr>
        <w:t>本公司（企业）不存在下列情形之一：</w:t>
      </w:r>
    </w:p>
    <w:p w14:paraId="71B79236">
      <w:pPr>
        <w:numPr>
          <w:ilvl w:val="0"/>
          <w:numId w:val="14"/>
        </w:numPr>
        <w:spacing w:line="360" w:lineRule="auto"/>
        <w:rPr>
          <w:rFonts w:ascii="宋体" w:hAnsi="宋体" w:cs="宋体"/>
        </w:rPr>
      </w:pPr>
      <w:r>
        <w:rPr>
          <w:rFonts w:hint="eastAsia" w:ascii="宋体" w:hAnsi="宋体" w:cs="宋体"/>
        </w:rPr>
        <w:t>与采购人存在利害关系且可能影响招标公正性；</w:t>
      </w:r>
    </w:p>
    <w:p w14:paraId="4B7995D8">
      <w:pPr>
        <w:numPr>
          <w:ilvl w:val="0"/>
          <w:numId w:val="14"/>
        </w:numPr>
        <w:spacing w:line="360" w:lineRule="auto"/>
        <w:rPr>
          <w:rFonts w:ascii="宋体" w:hAnsi="宋体" w:cs="宋体"/>
        </w:rPr>
      </w:pPr>
      <w:r>
        <w:rPr>
          <w:rFonts w:hint="eastAsia" w:ascii="宋体" w:hAnsi="宋体" w:cs="宋体"/>
        </w:rPr>
        <w:t>与本项目同一标包或未划分标包的同一竞价项目的其他供应商为同一个单位负责人；</w:t>
      </w:r>
    </w:p>
    <w:p w14:paraId="4BC56818">
      <w:pPr>
        <w:numPr>
          <w:ilvl w:val="0"/>
          <w:numId w:val="14"/>
        </w:numPr>
        <w:spacing w:line="360" w:lineRule="auto"/>
        <w:rPr>
          <w:rFonts w:ascii="宋体" w:hAnsi="宋体" w:cs="宋体"/>
        </w:rPr>
      </w:pPr>
      <w:r>
        <w:rPr>
          <w:rFonts w:hint="eastAsia" w:ascii="宋体" w:hAnsi="宋体" w:cs="宋体"/>
        </w:rPr>
        <w:t>与本项目同一标包或未划分标包的同一竞价项目的其他供应商存在控股、管理关系；</w:t>
      </w:r>
    </w:p>
    <w:p w14:paraId="505AF010">
      <w:pPr>
        <w:numPr>
          <w:ilvl w:val="0"/>
          <w:numId w:val="14"/>
        </w:numPr>
        <w:spacing w:line="360" w:lineRule="auto"/>
        <w:rPr>
          <w:rFonts w:ascii="宋体" w:hAnsi="宋体" w:cs="宋体"/>
        </w:rPr>
      </w:pPr>
      <w:r>
        <w:rPr>
          <w:rFonts w:hint="eastAsia" w:ascii="宋体" w:hAnsi="宋体" w:cs="宋体"/>
        </w:rPr>
        <w:t>为本项目提供过设计、编制技术规范和其他文件的咨询服务；</w:t>
      </w:r>
    </w:p>
    <w:p w14:paraId="743157C5">
      <w:pPr>
        <w:numPr>
          <w:ilvl w:val="0"/>
          <w:numId w:val="14"/>
        </w:numPr>
        <w:spacing w:line="360" w:lineRule="auto"/>
        <w:rPr>
          <w:rFonts w:ascii="宋体" w:hAnsi="宋体" w:cs="宋体"/>
        </w:rPr>
      </w:pPr>
      <w:r>
        <w:rPr>
          <w:rFonts w:hint="eastAsia" w:ascii="宋体" w:hAnsi="宋体" w:cs="宋体"/>
        </w:rPr>
        <w:t>为本项目的招标代理机构；</w:t>
      </w:r>
    </w:p>
    <w:p w14:paraId="152149D9">
      <w:pPr>
        <w:numPr>
          <w:ilvl w:val="0"/>
          <w:numId w:val="14"/>
        </w:numPr>
        <w:spacing w:line="360" w:lineRule="auto"/>
        <w:rPr>
          <w:rFonts w:ascii="宋体" w:hAnsi="宋体" w:cs="宋体"/>
        </w:rPr>
      </w:pPr>
      <w:r>
        <w:rPr>
          <w:rFonts w:hint="eastAsia" w:ascii="宋体" w:hAnsi="宋体" w:cs="宋体"/>
        </w:rPr>
        <w:t>与本项目的招标代理机构同为一个法定代表人；</w:t>
      </w:r>
    </w:p>
    <w:p w14:paraId="7B2306BA">
      <w:pPr>
        <w:numPr>
          <w:ilvl w:val="0"/>
          <w:numId w:val="14"/>
        </w:numPr>
        <w:spacing w:line="360" w:lineRule="auto"/>
        <w:rPr>
          <w:rFonts w:ascii="宋体" w:hAnsi="宋体" w:cs="宋体"/>
        </w:rPr>
      </w:pPr>
      <w:r>
        <w:rPr>
          <w:rFonts w:hint="eastAsia" w:ascii="宋体" w:hAnsi="宋体" w:cs="宋体"/>
        </w:rPr>
        <w:t>与本项目的招标代理机构存在控股或参股关系；</w:t>
      </w:r>
    </w:p>
    <w:p w14:paraId="4E47EB9D">
      <w:pPr>
        <w:numPr>
          <w:ilvl w:val="0"/>
          <w:numId w:val="14"/>
        </w:numPr>
        <w:spacing w:line="360" w:lineRule="auto"/>
        <w:rPr>
          <w:rFonts w:ascii="宋体" w:hAnsi="宋体" w:cs="宋体"/>
        </w:rPr>
      </w:pPr>
      <w:r>
        <w:rPr>
          <w:rFonts w:hint="eastAsia" w:ascii="宋体" w:hAnsi="宋体" w:cs="宋体"/>
        </w:rPr>
        <w:t>被依法暂停或者取消投标资格；</w:t>
      </w:r>
    </w:p>
    <w:p w14:paraId="07CE5497">
      <w:pPr>
        <w:numPr>
          <w:ilvl w:val="0"/>
          <w:numId w:val="14"/>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0EC9914C">
      <w:pPr>
        <w:numPr>
          <w:ilvl w:val="0"/>
          <w:numId w:val="14"/>
        </w:numPr>
        <w:spacing w:line="360" w:lineRule="auto"/>
        <w:rPr>
          <w:rFonts w:ascii="宋体" w:hAnsi="宋体" w:cs="宋体"/>
        </w:rPr>
      </w:pPr>
      <w:r>
        <w:rPr>
          <w:rFonts w:hint="eastAsia" w:ascii="宋体" w:hAnsi="宋体" w:cs="宋体"/>
        </w:rPr>
        <w:t>被责令停产停业、暂扣或者吊销许可证、暂扣或者吊销执照；</w:t>
      </w:r>
    </w:p>
    <w:p w14:paraId="0282F087">
      <w:pPr>
        <w:numPr>
          <w:ilvl w:val="0"/>
          <w:numId w:val="14"/>
        </w:numPr>
        <w:spacing w:line="360" w:lineRule="auto"/>
        <w:rPr>
          <w:rFonts w:ascii="宋体" w:hAnsi="宋体" w:cs="宋体"/>
        </w:rPr>
      </w:pPr>
      <w:r>
        <w:rPr>
          <w:rFonts w:hint="eastAsia" w:ascii="宋体" w:hAnsi="宋体" w:cs="宋体"/>
        </w:rPr>
        <w:t>进入清算程序，或被宣告破产，或其他丧失履约能力的情形；</w:t>
      </w:r>
    </w:p>
    <w:p w14:paraId="11E149E3">
      <w:pPr>
        <w:numPr>
          <w:ilvl w:val="0"/>
          <w:numId w:val="14"/>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28D74B6F">
      <w:pPr>
        <w:numPr>
          <w:ilvl w:val="0"/>
          <w:numId w:val="14"/>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106BBD76">
      <w:pPr>
        <w:numPr>
          <w:ilvl w:val="0"/>
          <w:numId w:val="14"/>
        </w:numPr>
        <w:rPr>
          <w:rFonts w:ascii="宋体" w:hAnsi="宋体" w:cs="宋体"/>
        </w:rPr>
      </w:pPr>
      <w:r>
        <w:rPr>
          <w:rFonts w:hint="eastAsia" w:ascii="宋体" w:hAnsi="宋体" w:cs="宋体"/>
        </w:rPr>
        <w:t>被最高人民法院在“信用中国”网站或各级信用信息共享平台中列入失信被执行人名单；</w:t>
      </w:r>
    </w:p>
    <w:p w14:paraId="25B29DB8">
      <w:pPr>
        <w:numPr>
          <w:ilvl w:val="0"/>
          <w:numId w:val="14"/>
        </w:numPr>
        <w:rPr>
          <w:rFonts w:ascii="宋体" w:hAnsi="宋体" w:cs="宋体"/>
        </w:rPr>
      </w:pPr>
      <w:r>
        <w:rPr>
          <w:rFonts w:hint="eastAsia" w:ascii="宋体" w:hAnsi="宋体" w:cs="宋体"/>
        </w:rPr>
        <w:t>在近三年内供应商或其法定代表人、拟委任的项目负责人或供应商授权代表有行贿犯罪行为的；</w:t>
      </w:r>
    </w:p>
    <w:p w14:paraId="280618A7">
      <w:pPr>
        <w:numPr>
          <w:ilvl w:val="0"/>
          <w:numId w:val="14"/>
        </w:numPr>
        <w:rPr>
          <w:rFonts w:ascii="宋体" w:hAnsi="宋体" w:cs="宋体"/>
        </w:rPr>
      </w:pPr>
      <w:r>
        <w:rPr>
          <w:rFonts w:hint="eastAsia" w:ascii="宋体" w:hAnsi="宋体" w:cs="宋体"/>
        </w:rPr>
        <w:t>法律法规或本竞价文件规定的其他禁止情形。</w:t>
      </w:r>
    </w:p>
    <w:p w14:paraId="0AD9C8B6">
      <w:pPr>
        <w:numPr>
          <w:ilvl w:val="0"/>
          <w:numId w:val="14"/>
        </w:numPr>
        <w:rPr>
          <w:rFonts w:ascii="宋体" w:hAnsi="宋体" w:cs="宋体"/>
        </w:rPr>
      </w:pPr>
      <w:r>
        <w:rPr>
          <w:rFonts w:ascii="宋体" w:hAnsi="宋体" w:cs="宋体"/>
          <w:szCs w:val="21"/>
        </w:rPr>
        <w:t>本项目不允许非法分包或违法转包，不接受联合体参加</w:t>
      </w:r>
      <w:r>
        <w:rPr>
          <w:rFonts w:hint="eastAsia" w:ascii="宋体" w:hAnsi="宋体" w:cs="宋体"/>
          <w:szCs w:val="21"/>
        </w:rPr>
        <w:t>。</w:t>
      </w:r>
      <w:r>
        <w:rPr>
          <w:rFonts w:hint="eastAsia" w:ascii="宋体" w:hAnsi="宋体" w:cs="宋体"/>
        </w:rPr>
        <w:t>特此声明！</w:t>
      </w:r>
    </w:p>
    <w:p w14:paraId="0FB781E1">
      <w:pPr>
        <w:rPr>
          <w:rFonts w:ascii="宋体" w:hAnsi="宋体" w:cs="宋体"/>
        </w:rPr>
      </w:pPr>
      <w:r>
        <w:rPr>
          <w:rFonts w:hint="eastAsia" w:ascii="宋体" w:hAnsi="宋体" w:cs="宋体"/>
        </w:rPr>
        <w:t>备注：</w:t>
      </w:r>
    </w:p>
    <w:p w14:paraId="38D6036B">
      <w:pPr>
        <w:pStyle w:val="59"/>
        <w:numPr>
          <w:ilvl w:val="0"/>
          <w:numId w:val="15"/>
        </w:numPr>
        <w:autoSpaceDE w:val="0"/>
        <w:autoSpaceDN w:val="0"/>
        <w:adjustRightInd w:val="0"/>
        <w:ind w:firstLineChars="0"/>
        <w:rPr>
          <w:rFonts w:ascii="宋体" w:hAnsi="宋体"/>
        </w:rPr>
      </w:pPr>
      <w:r>
        <w:rPr>
          <w:rFonts w:hint="eastAsia" w:ascii="宋体" w:hAnsi="宋体"/>
        </w:rPr>
        <w:t>本声明函必须提供且内容不得擅自删改，否则视为响应无效。</w:t>
      </w:r>
    </w:p>
    <w:p w14:paraId="4383A470">
      <w:pPr>
        <w:pStyle w:val="59"/>
        <w:numPr>
          <w:ilvl w:val="0"/>
          <w:numId w:val="15"/>
        </w:numPr>
        <w:snapToGrid w:val="0"/>
        <w:ind w:firstLineChars="0"/>
        <w:rPr>
          <w:rFonts w:ascii="宋体" w:hAnsi="宋体"/>
          <w:szCs w:val="21"/>
        </w:rPr>
      </w:pPr>
      <w:r>
        <w:rPr>
          <w:rFonts w:hint="eastAsia" w:ascii="宋体" w:hAnsi="宋体"/>
          <w:szCs w:val="21"/>
        </w:rPr>
        <w:t>本声明函如有虚假或与事实不符的，作无效报价处理。</w:t>
      </w:r>
    </w:p>
    <w:p w14:paraId="0BD846D3">
      <w:pPr>
        <w:pStyle w:val="59"/>
        <w:wordWrap w:val="0"/>
        <w:ind w:left="1200" w:right="218" w:firstLine="0" w:firstLineChars="0"/>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r>
        <w:rPr>
          <w:rFonts w:hint="eastAsia" w:ascii="宋体" w:hAnsi="宋体"/>
          <w:spacing w:val="4"/>
          <w:szCs w:val="21"/>
          <w:u w:val="single"/>
        </w:rPr>
        <w:t xml:space="preserve">          </w:t>
      </w:r>
    </w:p>
    <w:p w14:paraId="027331D4">
      <w:pPr>
        <w:wordWrap w:val="0"/>
        <w:spacing w:line="360" w:lineRule="auto"/>
        <w:ind w:left="840"/>
        <w:jc w:val="right"/>
        <w:rPr>
          <w:rFonts w:ascii="宋体" w:hAnsi="宋体"/>
          <w:szCs w:val="21"/>
          <w:u w:val="single"/>
        </w:rPr>
      </w:pPr>
      <w:r>
        <w:rPr>
          <w:rFonts w:hint="eastAsia" w:ascii="宋体" w:hAnsi="宋体"/>
          <w:spacing w:val="4"/>
          <w:szCs w:val="21"/>
        </w:rPr>
        <w:t>日期：</w:t>
      </w:r>
      <w:r>
        <w:rPr>
          <w:rFonts w:hint="eastAsia" w:ascii="宋体" w:hAnsi="宋体"/>
          <w:spacing w:val="4"/>
          <w:szCs w:val="21"/>
          <w:u w:val="single"/>
        </w:rPr>
        <w:t xml:space="preserve">          </w:t>
      </w:r>
    </w:p>
    <w:p w14:paraId="4FACBDF1">
      <w:pPr>
        <w:rPr>
          <w:rFonts w:ascii="宋体" w:hAnsi="宋体"/>
          <w:b/>
          <w:bCs/>
          <w:kern w:val="28"/>
          <w:sz w:val="32"/>
          <w:szCs w:val="32"/>
        </w:rPr>
      </w:pPr>
      <w:r>
        <w:rPr>
          <w:rFonts w:hint="eastAsia" w:ascii="宋体" w:hAnsi="宋体"/>
          <w:b/>
          <w:bCs/>
          <w:kern w:val="28"/>
          <w:sz w:val="32"/>
          <w:szCs w:val="32"/>
        </w:rPr>
        <w:br w:type="page"/>
      </w:r>
    </w:p>
    <w:p w14:paraId="505914E6">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2B8B5E4F">
      <w:pPr>
        <w:autoSpaceDE w:val="0"/>
        <w:autoSpaceDN w:val="0"/>
        <w:adjustRightInd w:val="0"/>
        <w:snapToGrid w:val="0"/>
        <w:spacing w:line="360" w:lineRule="auto"/>
        <w:rPr>
          <w:rFonts w:ascii="宋体" w:hAnsi="宋体"/>
          <w:b/>
          <w:szCs w:val="21"/>
        </w:rPr>
      </w:pPr>
      <w:bookmarkStart w:id="3" w:name="_Hlk74835188"/>
      <w:bookmarkStart w:id="4" w:name="_Hlk70414952"/>
      <w:r>
        <w:rPr>
          <w:rFonts w:hint="eastAsia" w:ascii="宋体" w:hAnsi="宋体"/>
          <w:b/>
          <w:szCs w:val="21"/>
        </w:rPr>
        <w:t>致：</w:t>
      </w:r>
      <w:r>
        <w:rPr>
          <w:rFonts w:hint="eastAsia" w:ascii="宋体" w:hAnsi="宋体" w:cs="宋体"/>
          <w:b/>
          <w:bCs/>
          <w:szCs w:val="21"/>
        </w:rPr>
        <w:t>广东省广播电视网络股份有限公司佛山三水分公司</w:t>
      </w:r>
      <w:r>
        <w:rPr>
          <w:rFonts w:hint="eastAsia" w:ascii="宋体" w:hAnsi="宋体"/>
          <w:b/>
          <w:szCs w:val="21"/>
        </w:rPr>
        <w:t>、采联国际招标采购集团有限公司</w:t>
      </w:r>
    </w:p>
    <w:p w14:paraId="417B8015">
      <w:pPr>
        <w:autoSpaceDE w:val="0"/>
        <w:autoSpaceDN w:val="0"/>
        <w:adjustRightInd w:val="0"/>
        <w:snapToGrid w:val="0"/>
        <w:spacing w:line="360" w:lineRule="auto"/>
        <w:rPr>
          <w:rFonts w:ascii="宋体" w:hAnsi="宋体"/>
          <w:b/>
          <w:szCs w:val="21"/>
        </w:rPr>
      </w:pPr>
    </w:p>
    <w:p w14:paraId="38AA49BD">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关于贵单位、贵司发布</w:t>
      </w:r>
      <w:r>
        <w:rPr>
          <w:rFonts w:hint="eastAsia" w:ascii="宋体" w:hAnsi="宋体" w:cs="宋体"/>
          <w:b/>
          <w:bCs/>
          <w:szCs w:val="21"/>
          <w:u w:val="single"/>
        </w:rPr>
        <w:t>三水分公司消防系统设备设施维保项目</w:t>
      </w:r>
      <w:r>
        <w:rPr>
          <w:rFonts w:hint="eastAsia" w:ascii="宋体" w:hAnsi="宋体"/>
          <w:szCs w:val="21"/>
        </w:rPr>
        <w:t>的竞价公告</w:t>
      </w:r>
      <w:bookmarkEnd w:id="3"/>
      <w:r>
        <w:rPr>
          <w:rFonts w:hint="eastAsia" w:ascii="宋体" w:hAnsi="宋体"/>
          <w:szCs w:val="21"/>
        </w:rPr>
        <w:t>，本公司（企业）愿意参加采购活动，并作出如下声明：</w:t>
      </w:r>
    </w:p>
    <w:bookmarkEnd w:id="4"/>
    <w:p w14:paraId="50DD8230">
      <w:pPr>
        <w:autoSpaceDE w:val="0"/>
        <w:autoSpaceDN w:val="0"/>
        <w:adjustRightInd w:val="0"/>
        <w:snapToGrid w:val="0"/>
        <w:spacing w:line="360" w:lineRule="auto"/>
        <w:ind w:firstLine="424" w:firstLineChars="202"/>
        <w:rPr>
          <w:rFonts w:ascii="宋体" w:hAnsi="宋体"/>
          <w:szCs w:val="21"/>
        </w:rPr>
      </w:pPr>
      <w:r>
        <w:rPr>
          <w:rFonts w:hint="eastAsia" w:ascii="宋体" w:hAnsi="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50033E70">
      <w:pPr>
        <w:autoSpaceDE w:val="0"/>
        <w:autoSpaceDN w:val="0"/>
        <w:adjustRightInd w:val="0"/>
        <w:snapToGrid w:val="0"/>
        <w:spacing w:line="360" w:lineRule="auto"/>
        <w:ind w:firstLine="424" w:firstLineChars="202"/>
        <w:rPr>
          <w:rFonts w:ascii="宋体" w:hAnsi="宋体" w:cs="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14:paraId="6E2B0F5D">
      <w:pPr>
        <w:autoSpaceDE w:val="0"/>
        <w:autoSpaceDN w:val="0"/>
        <w:adjustRightInd w:val="0"/>
        <w:snapToGrid w:val="0"/>
        <w:spacing w:line="360" w:lineRule="auto"/>
        <w:rPr>
          <w:rFonts w:ascii="宋体" w:hAnsi="宋体"/>
          <w:b/>
          <w:bCs/>
          <w:szCs w:val="21"/>
        </w:rPr>
      </w:pPr>
    </w:p>
    <w:p w14:paraId="71BD6A01">
      <w:pPr>
        <w:autoSpaceDE w:val="0"/>
        <w:autoSpaceDN w:val="0"/>
        <w:adjustRightInd w:val="0"/>
        <w:snapToGrid w:val="0"/>
        <w:spacing w:line="360" w:lineRule="auto"/>
        <w:ind w:right="436"/>
        <w:jc w:val="right"/>
        <w:rPr>
          <w:rFonts w:ascii="宋体" w:hAnsi="宋体"/>
          <w:szCs w:val="21"/>
          <w:u w:val="single"/>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14:paraId="1B7AAAD2">
      <w:pPr>
        <w:autoSpaceDE w:val="0"/>
        <w:autoSpaceDN w:val="0"/>
        <w:adjustRightInd w:val="0"/>
        <w:snapToGrid w:val="0"/>
        <w:spacing w:line="360" w:lineRule="auto"/>
        <w:ind w:firstLine="105" w:firstLineChars="50"/>
        <w:jc w:val="right"/>
        <w:rPr>
          <w:rFonts w:ascii="宋体" w:hAnsi="宋体"/>
          <w:szCs w:val="21"/>
          <w:u w:val="single"/>
        </w:rPr>
      </w:pPr>
    </w:p>
    <w:p w14:paraId="4DB11446">
      <w:pPr>
        <w:autoSpaceDE w:val="0"/>
        <w:autoSpaceDN w:val="0"/>
        <w:adjustRightInd w:val="0"/>
        <w:snapToGrid w:val="0"/>
        <w:spacing w:line="360" w:lineRule="auto"/>
        <w:ind w:right="436" w:firstLine="2625" w:firstLineChars="1250"/>
        <w:jc w:val="right"/>
        <w:rPr>
          <w:rFonts w:ascii="宋体" w:hAnsi="宋体" w:cs="宋体"/>
          <w:szCs w:val="21"/>
        </w:rPr>
      </w:pPr>
      <w:r>
        <w:rPr>
          <w:rFonts w:hint="eastAsia" w:ascii="宋体" w:hAnsi="宋体" w:cs="宋体"/>
          <w:szCs w:val="21"/>
        </w:rPr>
        <w:t>日期：</w:t>
      </w:r>
      <w:bookmarkStart w:id="5" w:name="_Toc435514863"/>
      <w:bookmarkStart w:id="6" w:name="_Toc435515303"/>
    </w:p>
    <w:bookmarkEnd w:id="5"/>
    <w:bookmarkEnd w:id="6"/>
    <w:p w14:paraId="2A02B228">
      <w:pPr>
        <w:spacing w:line="360" w:lineRule="auto"/>
        <w:ind w:right="1760"/>
        <w:rPr>
          <w:rFonts w:cs="宋体" w:asciiTheme="minorEastAsia" w:hAnsiTheme="minorEastAsia" w:eastAsiaTheme="minorEastAsia"/>
          <w:sz w:val="24"/>
        </w:rPr>
      </w:pPr>
    </w:p>
    <w:p w14:paraId="48D68588">
      <w:pPr>
        <w:spacing w:line="360" w:lineRule="auto"/>
        <w:ind w:right="1760"/>
        <w:rPr>
          <w:rFonts w:cs="宋体" w:asciiTheme="minorEastAsia" w:hAnsiTheme="minorEastAsia" w:eastAsiaTheme="minorEastAsia"/>
          <w:sz w:val="24"/>
        </w:rPr>
      </w:pPr>
    </w:p>
    <w:p w14:paraId="2346E28A">
      <w:pPr>
        <w:spacing w:line="360" w:lineRule="auto"/>
        <w:ind w:right="1760"/>
        <w:rPr>
          <w:rFonts w:cs="宋体" w:asciiTheme="minorEastAsia" w:hAnsiTheme="minorEastAsia" w:eastAsiaTheme="minorEastAsia"/>
          <w:sz w:val="24"/>
        </w:rPr>
      </w:pPr>
    </w:p>
    <w:p w14:paraId="7366FCD6">
      <w:pPr>
        <w:spacing w:line="360" w:lineRule="auto"/>
        <w:ind w:right="1760"/>
        <w:rPr>
          <w:rFonts w:cs="宋体" w:asciiTheme="minorEastAsia" w:hAnsiTheme="minorEastAsia" w:eastAsiaTheme="minorEastAsia"/>
          <w:sz w:val="24"/>
        </w:rPr>
      </w:pPr>
    </w:p>
    <w:p w14:paraId="6CF1E92E">
      <w:pPr>
        <w:spacing w:line="360" w:lineRule="auto"/>
        <w:ind w:right="1760"/>
        <w:rPr>
          <w:rFonts w:cs="宋体" w:asciiTheme="minorEastAsia" w:hAnsiTheme="minorEastAsia" w:eastAsiaTheme="minorEastAsia"/>
          <w:sz w:val="24"/>
        </w:rPr>
      </w:pPr>
    </w:p>
    <w:p w14:paraId="0A271D03">
      <w:pPr>
        <w:spacing w:line="360" w:lineRule="auto"/>
        <w:ind w:right="1760"/>
        <w:rPr>
          <w:rFonts w:cs="宋体" w:asciiTheme="minorEastAsia" w:hAnsiTheme="minorEastAsia" w:eastAsiaTheme="minorEastAsia"/>
          <w:sz w:val="24"/>
        </w:rPr>
      </w:pPr>
    </w:p>
    <w:p w14:paraId="3F781B9B">
      <w:pPr>
        <w:spacing w:line="360" w:lineRule="auto"/>
        <w:ind w:right="1760"/>
        <w:rPr>
          <w:rFonts w:cs="宋体" w:asciiTheme="minorEastAsia" w:hAnsiTheme="minorEastAsia" w:eastAsiaTheme="minorEastAsia"/>
          <w:sz w:val="24"/>
        </w:rPr>
      </w:pPr>
    </w:p>
    <w:p w14:paraId="506CBC06">
      <w:pPr>
        <w:spacing w:line="360" w:lineRule="auto"/>
        <w:ind w:right="1760"/>
        <w:rPr>
          <w:rFonts w:cs="宋体" w:asciiTheme="minorEastAsia" w:hAnsiTheme="minorEastAsia" w:eastAsiaTheme="minorEastAsia"/>
          <w:sz w:val="24"/>
        </w:rPr>
      </w:pPr>
    </w:p>
    <w:p w14:paraId="75DA6089">
      <w:pPr>
        <w:spacing w:line="360" w:lineRule="auto"/>
        <w:ind w:right="1760"/>
        <w:rPr>
          <w:rFonts w:cs="宋体" w:asciiTheme="minorEastAsia" w:hAnsiTheme="minorEastAsia" w:eastAsiaTheme="minorEastAsia"/>
          <w:sz w:val="24"/>
        </w:rPr>
      </w:pPr>
    </w:p>
    <w:p w14:paraId="6BD417A0">
      <w:pPr>
        <w:spacing w:line="360" w:lineRule="auto"/>
        <w:ind w:right="1760"/>
        <w:rPr>
          <w:rFonts w:cs="宋体" w:asciiTheme="minorEastAsia" w:hAnsiTheme="minorEastAsia" w:eastAsiaTheme="minorEastAsia"/>
          <w:sz w:val="24"/>
        </w:rPr>
      </w:pPr>
    </w:p>
    <w:p w14:paraId="4550C9B5">
      <w:pPr>
        <w:spacing w:line="360" w:lineRule="auto"/>
        <w:ind w:right="1760"/>
        <w:rPr>
          <w:rFonts w:cs="宋体" w:asciiTheme="minorEastAsia" w:hAnsiTheme="minorEastAsia" w:eastAsiaTheme="minorEastAsia"/>
          <w:sz w:val="24"/>
        </w:rPr>
      </w:pPr>
    </w:p>
    <w:p w14:paraId="62C07A75">
      <w:pPr>
        <w:spacing w:line="360" w:lineRule="auto"/>
        <w:ind w:right="1760"/>
        <w:rPr>
          <w:rFonts w:cs="宋体" w:asciiTheme="minorEastAsia" w:hAnsiTheme="minorEastAsia" w:eastAsiaTheme="minorEastAsia"/>
          <w:sz w:val="24"/>
        </w:rPr>
      </w:pPr>
    </w:p>
    <w:p w14:paraId="77B2222A">
      <w:pPr>
        <w:spacing w:line="360" w:lineRule="auto"/>
        <w:ind w:right="1760"/>
        <w:rPr>
          <w:rFonts w:cs="宋体" w:asciiTheme="minorEastAsia" w:hAnsiTheme="minorEastAsia" w:eastAsiaTheme="minorEastAsia"/>
          <w:sz w:val="24"/>
        </w:rPr>
      </w:pPr>
    </w:p>
    <w:p w14:paraId="0D41EB5C">
      <w:pPr>
        <w:spacing w:line="360" w:lineRule="auto"/>
        <w:ind w:right="1760"/>
        <w:rPr>
          <w:rFonts w:cs="宋体" w:asciiTheme="minorEastAsia" w:hAnsiTheme="minorEastAsia" w:eastAsiaTheme="minorEastAsia"/>
          <w:sz w:val="24"/>
        </w:rPr>
      </w:pPr>
    </w:p>
    <w:p w14:paraId="1565C491">
      <w:pPr>
        <w:pStyle w:val="59"/>
        <w:ind w:firstLine="663" w:firstLineChars="221"/>
        <w:rPr>
          <w:rFonts w:ascii="仿宋" w:hAnsi="仿宋" w:eastAsia="仿宋" w:cs="仿宋"/>
          <w:kern w:val="0"/>
          <w:sz w:val="30"/>
          <w:szCs w:val="30"/>
        </w:rPr>
      </w:pPr>
    </w:p>
    <w:p w14:paraId="6E198348">
      <w:pPr>
        <w:spacing w:line="220" w:lineRule="atLeast"/>
        <w:rPr>
          <w:rFonts w:cs="Tahoma" w:asciiTheme="minorEastAsia" w:hAnsiTheme="minorEastAsia" w:eastAsiaTheme="minorEastAsia"/>
          <w:b/>
          <w:color w:val="000000" w:themeColor="text1"/>
          <w:sz w:val="24"/>
          <w14:textFill>
            <w14:solidFill>
              <w14:schemeClr w14:val="tx1"/>
            </w14:solidFill>
          </w14:textFill>
        </w:rPr>
      </w:pPr>
    </w:p>
    <w:p w14:paraId="7D179DE0">
      <w:pPr>
        <w:spacing w:line="220" w:lineRule="atLeast"/>
        <w:outlineLvl w:val="0"/>
        <w:rPr>
          <w:rFonts w:cs="Tahoma" w:asciiTheme="minorEastAsia" w:hAnsiTheme="minorEastAsia" w:eastAsiaTheme="minorEastAsia"/>
          <w:b/>
          <w:color w:val="000000" w:themeColor="text1"/>
          <w:sz w:val="24"/>
          <w14:textFill>
            <w14:solidFill>
              <w14:schemeClr w14:val="tx1"/>
            </w14:solidFill>
          </w14:textFill>
        </w:rPr>
      </w:pPr>
      <w:r>
        <w:rPr>
          <w:rFonts w:hint="eastAsia" w:cs="Tahoma" w:asciiTheme="minorEastAsia" w:hAnsiTheme="minorEastAsia" w:eastAsiaTheme="minorEastAsia"/>
          <w:b/>
          <w:color w:val="000000" w:themeColor="text1"/>
          <w:sz w:val="24"/>
          <w14:textFill>
            <w14:solidFill>
              <w14:schemeClr w14:val="tx1"/>
            </w14:solidFill>
          </w14:textFill>
        </w:rPr>
        <w:t xml:space="preserve">合同模板 </w:t>
      </w:r>
    </w:p>
    <w:p w14:paraId="6676A561">
      <w:pPr>
        <w:spacing w:line="360" w:lineRule="auto"/>
        <w:jc w:val="right"/>
        <w:rPr>
          <w:rFonts w:cs="Tahoma" w:asciiTheme="minorEastAsia" w:hAnsiTheme="minorEastAsia" w:eastAsiaTheme="minorEastAsia"/>
          <w:b/>
          <w:color w:val="000000" w:themeColor="text1"/>
          <w:sz w:val="24"/>
          <w14:textFill>
            <w14:solidFill>
              <w14:schemeClr w14:val="tx1"/>
            </w14:solidFill>
          </w14:textFill>
        </w:rPr>
      </w:pPr>
      <w:r>
        <w:rPr>
          <w:rFonts w:hint="eastAsia" w:cs="Tahoma" w:asciiTheme="minorEastAsia" w:hAnsiTheme="minorEastAsia" w:eastAsiaTheme="minorEastAsia"/>
          <w:b/>
          <w:color w:val="000000" w:themeColor="text1"/>
          <w:sz w:val="24"/>
          <w14:textFill>
            <w14:solidFill>
              <w14:schemeClr w14:val="tx1"/>
            </w14:solidFill>
          </w14:textFill>
        </w:rPr>
        <w:t>合同编号：【                      】</w:t>
      </w:r>
    </w:p>
    <w:p w14:paraId="18F88A97">
      <w:pPr>
        <w:spacing w:line="360" w:lineRule="auto"/>
        <w:ind w:firstLine="482" w:firstLineChars="200"/>
        <w:rPr>
          <w:rFonts w:cs="Tahoma" w:asciiTheme="minorEastAsia" w:hAnsiTheme="minorEastAsia" w:eastAsiaTheme="minorEastAsia"/>
          <w:b/>
          <w:color w:val="000000" w:themeColor="text1"/>
          <w:sz w:val="24"/>
          <w14:textFill>
            <w14:solidFill>
              <w14:schemeClr w14:val="tx1"/>
            </w14:solidFill>
          </w14:textFill>
        </w:rPr>
      </w:pPr>
    </w:p>
    <w:p w14:paraId="269E2E8C">
      <w:pPr>
        <w:spacing w:line="360" w:lineRule="auto"/>
        <w:ind w:firstLine="482" w:firstLineChars="200"/>
        <w:rPr>
          <w:rFonts w:cs="Tahoma" w:asciiTheme="minorEastAsia" w:hAnsiTheme="minorEastAsia" w:eastAsiaTheme="minorEastAsia"/>
          <w:b/>
          <w:color w:val="000000" w:themeColor="text1"/>
          <w:sz w:val="24"/>
          <w14:textFill>
            <w14:solidFill>
              <w14:schemeClr w14:val="tx1"/>
            </w14:solidFill>
          </w14:textFill>
        </w:rPr>
      </w:pPr>
    </w:p>
    <w:p w14:paraId="4FCEDD01">
      <w:pPr>
        <w:tabs>
          <w:tab w:val="left" w:pos="720"/>
        </w:tabs>
        <w:spacing w:line="360" w:lineRule="auto"/>
        <w:rPr>
          <w:rFonts w:ascii="宋体" w:hAnsi="宋体"/>
          <w:b/>
          <w:color w:val="000000" w:themeColor="text1"/>
          <w:sz w:val="72"/>
          <w:szCs w:val="72"/>
          <w14:textFill>
            <w14:solidFill>
              <w14:schemeClr w14:val="tx1"/>
            </w14:solidFill>
          </w14:textFill>
        </w:rPr>
      </w:pPr>
    </w:p>
    <w:p w14:paraId="442C9E2C">
      <w:pPr>
        <w:tabs>
          <w:tab w:val="left" w:pos="720"/>
        </w:tabs>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广东省广播电视网络股份有限公司佛山三水分公司</w:t>
      </w:r>
    </w:p>
    <w:p w14:paraId="345780B9">
      <w:pPr>
        <w:tabs>
          <w:tab w:val="left" w:pos="720"/>
        </w:tabs>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消防系统设备设施维保采购项目合同书</w:t>
      </w:r>
    </w:p>
    <w:p w14:paraId="38132A10">
      <w:pPr>
        <w:tabs>
          <w:tab w:val="left" w:pos="720"/>
        </w:tabs>
        <w:spacing w:line="360" w:lineRule="auto"/>
        <w:rPr>
          <w:rFonts w:ascii="宋体" w:hAnsi="宋体"/>
          <w:b/>
          <w:color w:val="000000" w:themeColor="text1"/>
          <w:sz w:val="28"/>
          <w:szCs w:val="28"/>
          <w14:textFill>
            <w14:solidFill>
              <w14:schemeClr w14:val="tx1"/>
            </w14:solidFill>
          </w14:textFill>
        </w:rPr>
      </w:pPr>
    </w:p>
    <w:p w14:paraId="7ADF905D">
      <w:pPr>
        <w:tabs>
          <w:tab w:val="left" w:pos="720"/>
        </w:tabs>
        <w:spacing w:line="360" w:lineRule="auto"/>
        <w:rPr>
          <w:rFonts w:ascii="宋体" w:hAnsi="宋体"/>
          <w:b/>
          <w:color w:val="000000" w:themeColor="text1"/>
          <w:sz w:val="28"/>
          <w:szCs w:val="28"/>
          <w14:textFill>
            <w14:solidFill>
              <w14:schemeClr w14:val="tx1"/>
            </w14:solidFill>
          </w14:textFill>
        </w:rPr>
      </w:pPr>
    </w:p>
    <w:p w14:paraId="73D492DE">
      <w:pPr>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甲方（采购人）：广东省广播电视网络股份有限公司</w:t>
      </w:r>
    </w:p>
    <w:p w14:paraId="7BBEB90A">
      <w:pPr>
        <w:spacing w:line="360" w:lineRule="auto"/>
        <w:ind w:firstLine="2409" w:firstLineChars="750"/>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佛山三水分公司</w:t>
      </w:r>
    </w:p>
    <w:p w14:paraId="03C77F71">
      <w:pPr>
        <w:spacing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乙方（供应商）：</w:t>
      </w:r>
    </w:p>
    <w:p w14:paraId="3B3A9CF6">
      <w:pPr>
        <w:spacing w:line="360" w:lineRule="auto"/>
        <w:jc w:val="center"/>
        <w:rPr>
          <w:b/>
          <w:color w:val="000000" w:themeColor="text1"/>
          <w:sz w:val="32"/>
          <w:szCs w:val="32"/>
          <w14:textFill>
            <w14:solidFill>
              <w14:schemeClr w14:val="tx1"/>
            </w14:solidFill>
          </w14:textFill>
        </w:rPr>
      </w:pPr>
    </w:p>
    <w:p w14:paraId="2753EECF">
      <w:pPr>
        <w:spacing w:line="360" w:lineRule="auto"/>
        <w:jc w:val="center"/>
        <w:rPr>
          <w:b/>
          <w:color w:val="000000" w:themeColor="text1"/>
          <w:sz w:val="32"/>
          <w:szCs w:val="32"/>
          <w14:textFill>
            <w14:solidFill>
              <w14:schemeClr w14:val="tx1"/>
            </w14:solidFill>
          </w14:textFill>
        </w:rPr>
      </w:pPr>
    </w:p>
    <w:p w14:paraId="7A1ABCD6">
      <w:pPr>
        <w:spacing w:line="360" w:lineRule="auto"/>
        <w:rPr>
          <w:rFonts w:cs="Tahoma" w:asciiTheme="minorEastAsia" w:hAnsiTheme="minorEastAsia" w:eastAsiaTheme="minorEastAsia"/>
          <w:b/>
          <w:color w:val="000000" w:themeColor="text1"/>
          <w:sz w:val="24"/>
          <w14:textFill>
            <w14:solidFill>
              <w14:schemeClr w14:val="tx1"/>
            </w14:solidFill>
          </w14:textFill>
        </w:rPr>
      </w:pPr>
      <w:r>
        <w:rPr>
          <w:rFonts w:cs="Tahoma" w:asciiTheme="minorEastAsia" w:hAnsiTheme="minorEastAsia" w:eastAsiaTheme="minorEastAsia"/>
          <w:b/>
          <w:color w:val="000000" w:themeColor="text1"/>
          <w:sz w:val="24"/>
          <w14:textFill>
            <w14:solidFill>
              <w14:schemeClr w14:val="tx1"/>
            </w14:solidFill>
          </w14:textFill>
        </w:rPr>
        <w:t>注：本合同仅为参考文本，合同签订双方可根据采购文件及成交人报价文件具体内容进行修订</w:t>
      </w:r>
      <w:r>
        <w:rPr>
          <w:rFonts w:hint="eastAsia" w:cs="Tahoma" w:asciiTheme="minorEastAsia" w:hAnsiTheme="minorEastAsia" w:eastAsiaTheme="minorEastAsia"/>
          <w:b/>
          <w:color w:val="000000" w:themeColor="text1"/>
          <w:sz w:val="24"/>
          <w14:textFill>
            <w14:solidFill>
              <w14:schemeClr w14:val="tx1"/>
            </w14:solidFill>
          </w14:textFill>
        </w:rPr>
        <w:t>。</w:t>
      </w:r>
    </w:p>
    <w:p w14:paraId="158A7008">
      <w:pPr>
        <w:spacing w:line="360" w:lineRule="auto"/>
        <w:jc w:val="center"/>
        <w:rPr>
          <w:b/>
          <w:color w:val="000000" w:themeColor="text1"/>
          <w:sz w:val="24"/>
          <w14:textFill>
            <w14:solidFill>
              <w14:schemeClr w14:val="tx1"/>
            </w14:solidFill>
          </w14:textFill>
        </w:rPr>
      </w:pPr>
    </w:p>
    <w:p w14:paraId="041FA685">
      <w:pPr>
        <w:spacing w:line="360" w:lineRule="auto"/>
        <w:ind w:firstLine="482" w:firstLineChars="200"/>
        <w:rPr>
          <w:rFonts w:cs="Tahoma" w:asciiTheme="minorEastAsia" w:hAnsiTheme="minorEastAsia" w:eastAsiaTheme="minorEastAsia"/>
          <w:b/>
          <w:color w:val="000000" w:themeColor="text1"/>
          <w:sz w:val="24"/>
          <w14:textFill>
            <w14:solidFill>
              <w14:schemeClr w14:val="tx1"/>
            </w14:solidFill>
          </w14:textFill>
        </w:rPr>
      </w:pPr>
    </w:p>
    <w:p w14:paraId="63514D4B">
      <w:pPr>
        <w:spacing w:line="360" w:lineRule="auto"/>
        <w:ind w:firstLine="482" w:firstLineChars="200"/>
        <w:rPr>
          <w:rFonts w:cs="Tahoma" w:asciiTheme="minorEastAsia" w:hAnsiTheme="minorEastAsia" w:eastAsiaTheme="minorEastAsia"/>
          <w:b/>
          <w:color w:val="000000" w:themeColor="text1"/>
          <w:sz w:val="24"/>
          <w14:textFill>
            <w14:solidFill>
              <w14:schemeClr w14:val="tx1"/>
            </w14:solidFill>
          </w14:textFill>
        </w:rPr>
      </w:pPr>
    </w:p>
    <w:p w14:paraId="42A00005">
      <w:pPr>
        <w:spacing w:line="360" w:lineRule="auto"/>
        <w:ind w:firstLine="480" w:firstLineChars="200"/>
        <w:rPr>
          <w:rFonts w:cs="Tahoma"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color w:val="000000" w:themeColor="text1"/>
          <w:sz w:val="24"/>
          <w14:textFill>
            <w14:solidFill>
              <w14:schemeClr w14:val="tx1"/>
            </w14:solidFill>
          </w14:textFill>
        </w:rPr>
        <w:t>甲方：广东省广播电视网络股份有限公司佛山三水分公司</w:t>
      </w:r>
      <w:r>
        <w:rPr>
          <w:rFonts w:cs="Tahoma" w:asciiTheme="minorEastAsia" w:hAnsiTheme="minorEastAsia" w:eastAsiaTheme="minorEastAsia"/>
          <w:color w:val="000000" w:themeColor="text1"/>
          <w:sz w:val="24"/>
          <w14:textFill>
            <w14:solidFill>
              <w14:schemeClr w14:val="tx1"/>
            </w14:solidFill>
          </w14:textFill>
        </w:rPr>
        <w:tab/>
      </w:r>
    </w:p>
    <w:p w14:paraId="756BAEC4">
      <w:pPr>
        <w:spacing w:line="360" w:lineRule="auto"/>
        <w:ind w:firstLine="480" w:firstLineChars="200"/>
        <w:rPr>
          <w:rFonts w:cs="Tahoma"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color w:val="000000" w:themeColor="text1"/>
          <w:sz w:val="24"/>
          <w14:textFill>
            <w14:solidFill>
              <w14:schemeClr w14:val="tx1"/>
            </w14:solidFill>
          </w14:textFill>
        </w:rPr>
        <w:t>乙方：</w:t>
      </w:r>
    </w:p>
    <w:p w14:paraId="02194109">
      <w:pPr>
        <w:ind w:firstLine="480" w:firstLineChars="200"/>
        <w:rPr>
          <w:rFonts w:cs="Tahoma" w:asciiTheme="minorEastAsia" w:hAnsiTheme="minorEastAsia" w:eastAsiaTheme="minorEastAsia"/>
          <w:color w:val="000000" w:themeColor="text1"/>
          <w:sz w:val="24"/>
          <w14:textFill>
            <w14:solidFill>
              <w14:schemeClr w14:val="tx1"/>
            </w14:solidFill>
          </w14:textFill>
        </w:rPr>
      </w:pPr>
      <w:r>
        <w:rPr>
          <w:rFonts w:cs="Tahoma" w:asciiTheme="minorEastAsia" w:hAnsiTheme="minorEastAsia" w:eastAsiaTheme="minorEastAsia"/>
          <w:color w:val="000000" w:themeColor="text1"/>
          <w:sz w:val="24"/>
          <w14:textFill>
            <w14:solidFill>
              <w14:schemeClr w14:val="tx1"/>
            </w14:solidFill>
          </w14:textFill>
        </w:rPr>
        <w:tab/>
      </w:r>
    </w:p>
    <w:p w14:paraId="1D18D576">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为保证甲方现有建筑物消防系统技术性能良好，长期运作正常，防止火灾事故的发生，随时在扑救火灾应急中发挥有效作用。根据《中华人民共和国消防法》及佛山市公安消防局《关于自动消防系统必须委托消防公司维护保养的通知》，现甲方委托乙方对三水分公司消防系统及消防设备进行维护保养，经双方协商达成以下协议：</w:t>
      </w:r>
    </w:p>
    <w:p w14:paraId="7E6AC089">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一、维护保养的范围</w:t>
      </w:r>
    </w:p>
    <w:p w14:paraId="76092122">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维护保养的范围包括：火灾自动报警系统、消火栓系统、气体（七氟丙烷）灭火系统、喷淋系统、泵房、防火分区、应急照明疏散指示、灭火器具、防毒面具等。</w:t>
      </w:r>
    </w:p>
    <w:p w14:paraId="3994F4C7">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二、保养具体内容</w:t>
      </w:r>
    </w:p>
    <w:p w14:paraId="4E85AF61">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派一名专业人员每月巡检一次，包括对消防栓和气体瓶的维护、清洁及闸阀和水管的保养，同时也包括更换零部件和应急事件的处理等工作事项。对检查和测试中发现存在的问题，由乙方提出处理建议，经甲方同意后实施处理。</w:t>
      </w:r>
    </w:p>
    <w:p w14:paraId="44275036">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有效期内如遇设备故障，乙方应在接到甲方通知后派人到现场处理（正常工作时间的，乙方应在3个小时内派人到现场处理；节假日的，乙方应在12小时内派人到现场处理）。乙方应在两天内修复设备故障。在爆水管漏水、水泵及风机等设备误动作、报警主机及联动柜失灵等紧急、特殊情况下，乙方应在2小时内派人到现场抢修。</w:t>
      </w:r>
    </w:p>
    <w:p w14:paraId="049C6080">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除乙方维护不当致损或乙方人为致损，由乙方承担致损材料的修复或更换费用外，整个消防系统需要更换的材料均由甲方承担材料费用（如材料老化、失灵、甲方使用不当致损、保管不善致损、甲方或第三人人为致损、失窃等）。更换材料可由甲方自行采购，或由乙方选定并报价经甲方同意后由乙方采购。乙方采购的材料应提供不少于三个月的质保期。</w:t>
      </w:r>
    </w:p>
    <w:p w14:paraId="6D20ECCD">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4、乙方每年为</w:t>
      </w:r>
      <w:r>
        <w:rPr>
          <w:rFonts w:ascii="宋体" w:hAnsi="宋体"/>
          <w:color w:val="000000" w:themeColor="text1"/>
          <w:sz w:val="24"/>
          <w14:textFill>
            <w14:solidFill>
              <w14:schemeClr w14:val="tx1"/>
            </w14:solidFill>
          </w14:textFill>
        </w:rPr>
        <w:t>甲方</w:t>
      </w:r>
      <w:r>
        <w:rPr>
          <w:rFonts w:hint="eastAsia" w:ascii="宋体" w:hAnsi="宋体"/>
          <w:color w:val="000000" w:themeColor="text1"/>
          <w:sz w:val="24"/>
          <w14:textFill>
            <w14:solidFill>
              <w14:schemeClr w14:val="tx1"/>
            </w14:solidFill>
          </w14:textFill>
        </w:rPr>
        <w:t>免费</w:t>
      </w:r>
      <w:r>
        <w:rPr>
          <w:rFonts w:ascii="宋体" w:hAnsi="宋体"/>
          <w:color w:val="000000" w:themeColor="text1"/>
          <w:sz w:val="24"/>
          <w14:textFill>
            <w14:solidFill>
              <w14:schemeClr w14:val="tx1"/>
            </w14:solidFill>
          </w14:textFill>
        </w:rPr>
        <w:t>提供</w:t>
      </w:r>
      <w:r>
        <w:rPr>
          <w:rFonts w:hint="eastAsia" w:ascii="宋体" w:hAnsi="宋体"/>
          <w:color w:val="000000" w:themeColor="text1"/>
          <w:sz w:val="24"/>
          <w14:textFill>
            <w14:solidFill>
              <w14:schemeClr w14:val="tx1"/>
            </w14:solidFill>
          </w14:textFill>
        </w:rPr>
        <w:t>至少</w:t>
      </w:r>
      <w:r>
        <w:rPr>
          <w:rFonts w:ascii="宋体" w:hAnsi="宋体"/>
          <w:color w:val="000000" w:themeColor="text1"/>
          <w:sz w:val="24"/>
          <w14:textFill>
            <w14:solidFill>
              <w14:schemeClr w14:val="tx1"/>
            </w14:solidFill>
          </w14:textFill>
        </w:rPr>
        <w:t>一次</w:t>
      </w:r>
      <w:r>
        <w:rPr>
          <w:rFonts w:hint="eastAsia" w:ascii="宋体" w:hAnsi="宋体"/>
          <w:color w:val="000000" w:themeColor="text1"/>
          <w:sz w:val="24"/>
          <w14:textFill>
            <w14:solidFill>
              <w14:schemeClr w14:val="tx1"/>
            </w14:solidFill>
          </w14:textFill>
        </w:rPr>
        <w:t>消防培训等活动</w:t>
      </w:r>
      <w:r>
        <w:rPr>
          <w:rFonts w:ascii="宋体" w:hAnsi="宋体"/>
          <w:color w:val="000000" w:themeColor="text1"/>
          <w:sz w:val="24"/>
          <w14:textFill>
            <w14:solidFill>
              <w14:schemeClr w14:val="tx1"/>
            </w14:solidFill>
          </w14:textFill>
        </w:rPr>
        <w:t>。</w:t>
      </w:r>
    </w:p>
    <w:p w14:paraId="7C797DF8">
      <w:pPr>
        <w:spacing w:line="440" w:lineRule="exact"/>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三、合同有效期</w:t>
      </w:r>
    </w:p>
    <w:p w14:paraId="75E3438B">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本合同消防系统及设备设施维护保养有效期为 </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年，从</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14:paraId="4682EC5C">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四、保养的费用和结算方式</w:t>
      </w:r>
    </w:p>
    <w:p w14:paraId="3D4BA8A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1、保养费用：乙方在本合同有效期内提供上述保养服务的保养费用为￥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元，人民币大写：</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,维护保养费不包括更换设备、材料的购置费用，更换设备及材料的购置费用按实际发生额另计。如保养维护点有变化，保养费用</w:t>
      </w:r>
      <w:r>
        <w:rPr>
          <w:rFonts w:ascii="宋体" w:hAnsi="宋体"/>
          <w:color w:val="000000" w:themeColor="text1"/>
          <w:sz w:val="24"/>
          <w14:textFill>
            <w14:solidFill>
              <w14:schemeClr w14:val="tx1"/>
            </w14:solidFill>
          </w14:textFill>
        </w:rPr>
        <w:t>按实际发生数量进行结算</w:t>
      </w:r>
      <w:r>
        <w:rPr>
          <w:rFonts w:hint="eastAsia" w:ascii="宋体" w:hAnsi="宋体"/>
          <w:color w:val="000000" w:themeColor="text1"/>
          <w:sz w:val="24"/>
          <w14:textFill>
            <w14:solidFill>
              <w14:schemeClr w14:val="tx1"/>
            </w14:solidFill>
          </w14:textFill>
        </w:rPr>
        <w:t>。消防系统设备设施维护保养明细见下表：</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1988"/>
        <w:gridCol w:w="2419"/>
        <w:gridCol w:w="846"/>
        <w:gridCol w:w="846"/>
        <w:gridCol w:w="840"/>
        <w:gridCol w:w="1052"/>
      </w:tblGrid>
      <w:tr w14:paraId="01AD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1" w:type="pct"/>
            <w:vAlign w:val="center"/>
          </w:tcPr>
          <w:p w14:paraId="74DFFFA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168" w:type="pct"/>
            <w:vAlign w:val="center"/>
          </w:tcPr>
          <w:p w14:paraId="5305D0A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维护点名称</w:t>
            </w:r>
          </w:p>
        </w:tc>
        <w:tc>
          <w:tcPr>
            <w:tcW w:w="1420" w:type="pct"/>
            <w:vAlign w:val="center"/>
          </w:tcPr>
          <w:p w14:paraId="65F776C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具体维护设备设施</w:t>
            </w:r>
          </w:p>
        </w:tc>
        <w:tc>
          <w:tcPr>
            <w:tcW w:w="494" w:type="pct"/>
          </w:tcPr>
          <w:p w14:paraId="1172F218">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不含税单价（元）</w:t>
            </w:r>
          </w:p>
        </w:tc>
        <w:tc>
          <w:tcPr>
            <w:tcW w:w="494" w:type="pct"/>
            <w:vAlign w:val="center"/>
          </w:tcPr>
          <w:p w14:paraId="1628529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含税单价（元）</w:t>
            </w:r>
          </w:p>
        </w:tc>
        <w:tc>
          <w:tcPr>
            <w:tcW w:w="494" w:type="pct"/>
            <w:vAlign w:val="center"/>
          </w:tcPr>
          <w:p w14:paraId="56BF4630">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数量（月数）</w:t>
            </w:r>
          </w:p>
        </w:tc>
        <w:tc>
          <w:tcPr>
            <w:tcW w:w="617" w:type="pct"/>
            <w:vAlign w:val="center"/>
          </w:tcPr>
          <w:p w14:paraId="368A1CF3">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含税小计</w:t>
            </w:r>
            <w:r>
              <w:rPr>
                <w:rFonts w:hint="eastAsia" w:ascii="宋体" w:hAnsi="宋体" w:cs="宋体"/>
                <w:color w:val="000000" w:themeColor="text1"/>
                <w:szCs w:val="21"/>
                <w14:textFill>
                  <w14:solidFill>
                    <w14:schemeClr w14:val="tx1"/>
                  </w14:solidFill>
                </w14:textFill>
              </w:rPr>
              <w:t>(元)</w:t>
            </w:r>
          </w:p>
        </w:tc>
      </w:tr>
      <w:tr w14:paraId="536E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311" w:type="pct"/>
            <w:vAlign w:val="center"/>
          </w:tcPr>
          <w:p w14:paraId="00BF2B87">
            <w:pPr>
              <w:pStyle w:val="59"/>
              <w:numPr>
                <w:ilvl w:val="0"/>
                <w:numId w:val="16"/>
              </w:numPr>
              <w:ind w:firstLineChars="0"/>
              <w:jc w:val="center"/>
              <w:rPr>
                <w:rFonts w:ascii="宋体" w:hAnsi="宋体" w:cs="宋体"/>
                <w:color w:val="000000" w:themeColor="text1"/>
                <w:szCs w:val="21"/>
                <w14:textFill>
                  <w14:solidFill>
                    <w14:schemeClr w14:val="tx1"/>
                  </w14:solidFill>
                </w14:textFill>
              </w:rPr>
            </w:pPr>
          </w:p>
        </w:tc>
        <w:tc>
          <w:tcPr>
            <w:tcW w:w="1168" w:type="pct"/>
            <w:vAlign w:val="center"/>
          </w:tcPr>
          <w:p w14:paraId="26E6A25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白坭支公司及营业厅（含凯旋机房、龙盘机房、欣园机房）</w:t>
            </w:r>
          </w:p>
        </w:tc>
        <w:tc>
          <w:tcPr>
            <w:tcW w:w="1420" w:type="pct"/>
            <w:vAlign w:val="center"/>
          </w:tcPr>
          <w:p w14:paraId="3B276E80">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干粉灭火器10个；二氧化碳灭火器14个；防毒面具24个；应急灯15个；烟感探头7个。</w:t>
            </w:r>
          </w:p>
        </w:tc>
        <w:tc>
          <w:tcPr>
            <w:tcW w:w="494" w:type="pct"/>
            <w:vAlign w:val="center"/>
          </w:tcPr>
          <w:p w14:paraId="48A0BB7B">
            <w:pPr>
              <w:jc w:val="center"/>
              <w:rPr>
                <w:rFonts w:ascii="宋体" w:hAnsi="宋体"/>
                <w:color w:val="000000" w:themeColor="text1"/>
                <w:szCs w:val="21"/>
                <w14:textFill>
                  <w14:solidFill>
                    <w14:schemeClr w14:val="tx1"/>
                  </w14:solidFill>
                </w14:textFill>
              </w:rPr>
            </w:pPr>
          </w:p>
        </w:tc>
        <w:tc>
          <w:tcPr>
            <w:tcW w:w="494" w:type="pct"/>
          </w:tcPr>
          <w:p w14:paraId="49B60E67">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3D28336B">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27919202">
            <w:pPr>
              <w:ind w:firstLine="105" w:firstLineChars="50"/>
              <w:jc w:val="center"/>
              <w:rPr>
                <w:rFonts w:ascii="宋体" w:hAnsi="宋体"/>
                <w:color w:val="000000" w:themeColor="text1"/>
                <w:szCs w:val="21"/>
                <w14:textFill>
                  <w14:solidFill>
                    <w14:schemeClr w14:val="tx1"/>
                  </w14:solidFill>
                </w14:textFill>
              </w:rPr>
            </w:pPr>
          </w:p>
        </w:tc>
      </w:tr>
      <w:tr w14:paraId="5C0F4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 w:type="pct"/>
            <w:vAlign w:val="center"/>
          </w:tcPr>
          <w:p w14:paraId="0DC35B44">
            <w:pPr>
              <w:pStyle w:val="59"/>
              <w:numPr>
                <w:ilvl w:val="0"/>
                <w:numId w:val="16"/>
              </w:numPr>
              <w:ind w:firstLineChars="0"/>
              <w:jc w:val="center"/>
              <w:rPr>
                <w:rFonts w:ascii="宋体" w:hAnsi="宋体" w:cs="宋体"/>
                <w:color w:val="000000" w:themeColor="text1"/>
                <w:szCs w:val="21"/>
                <w14:textFill>
                  <w14:solidFill>
                    <w14:schemeClr w14:val="tx1"/>
                  </w14:solidFill>
                </w14:textFill>
              </w:rPr>
            </w:pPr>
          </w:p>
        </w:tc>
        <w:tc>
          <w:tcPr>
            <w:tcW w:w="1168" w:type="pct"/>
            <w:vAlign w:val="center"/>
          </w:tcPr>
          <w:p w14:paraId="5693460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乐平支公司及营业厅（含雍翠机房、南边机房</w:t>
            </w:r>
            <w:r>
              <w:rPr>
                <w:rFonts w:ascii="宋体" w:hAnsi="宋体" w:cs="宋体"/>
                <w:color w:val="000000" w:themeColor="text1"/>
                <w:szCs w:val="21"/>
                <w14:textFill>
                  <w14:solidFill>
                    <w14:schemeClr w14:val="tx1"/>
                  </w14:solidFill>
                </w14:textFill>
              </w:rPr>
              <w:t>、范湖机房</w:t>
            </w:r>
            <w:r>
              <w:rPr>
                <w:rFonts w:hint="eastAsia" w:ascii="宋体" w:hAnsi="宋体" w:cs="宋体"/>
                <w:color w:val="000000" w:themeColor="text1"/>
                <w:szCs w:val="21"/>
                <w14:textFill>
                  <w14:solidFill>
                    <w14:schemeClr w14:val="tx1"/>
                  </w14:solidFill>
                </w14:textFill>
              </w:rPr>
              <w:t>）</w:t>
            </w:r>
          </w:p>
        </w:tc>
        <w:tc>
          <w:tcPr>
            <w:tcW w:w="1420" w:type="pct"/>
            <w:vAlign w:val="center"/>
          </w:tcPr>
          <w:p w14:paraId="05B9BA7C">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二氧化碳灭火器</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个；干粉灭火器6个；防毒面具</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个；应急灯</w:t>
            </w: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个；烟感探头</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个。</w:t>
            </w:r>
          </w:p>
        </w:tc>
        <w:tc>
          <w:tcPr>
            <w:tcW w:w="494" w:type="pct"/>
            <w:vAlign w:val="center"/>
          </w:tcPr>
          <w:p w14:paraId="7AF77159">
            <w:pPr>
              <w:jc w:val="center"/>
              <w:rPr>
                <w:rFonts w:ascii="宋体" w:hAnsi="宋体"/>
                <w:color w:val="000000" w:themeColor="text1"/>
                <w:szCs w:val="21"/>
                <w14:textFill>
                  <w14:solidFill>
                    <w14:schemeClr w14:val="tx1"/>
                  </w14:solidFill>
                </w14:textFill>
              </w:rPr>
            </w:pPr>
          </w:p>
        </w:tc>
        <w:tc>
          <w:tcPr>
            <w:tcW w:w="494" w:type="pct"/>
          </w:tcPr>
          <w:p w14:paraId="1970A515">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5C101524">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52A4D94E">
            <w:pPr>
              <w:ind w:firstLine="105" w:firstLineChars="50"/>
              <w:jc w:val="center"/>
              <w:rPr>
                <w:rFonts w:ascii="宋体" w:hAnsi="宋体"/>
                <w:color w:val="000000" w:themeColor="text1"/>
                <w:szCs w:val="21"/>
                <w14:textFill>
                  <w14:solidFill>
                    <w14:schemeClr w14:val="tx1"/>
                  </w14:solidFill>
                </w14:textFill>
              </w:rPr>
            </w:pPr>
          </w:p>
        </w:tc>
      </w:tr>
      <w:tr w14:paraId="5263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 w:type="pct"/>
            <w:vAlign w:val="center"/>
          </w:tcPr>
          <w:p w14:paraId="766B3597">
            <w:pPr>
              <w:pStyle w:val="59"/>
              <w:numPr>
                <w:ilvl w:val="0"/>
                <w:numId w:val="16"/>
              </w:numPr>
              <w:ind w:firstLineChars="0"/>
              <w:jc w:val="center"/>
              <w:rPr>
                <w:rFonts w:ascii="宋体" w:hAnsi="宋体" w:cs="宋体"/>
                <w:color w:val="000000" w:themeColor="text1"/>
                <w:szCs w:val="21"/>
                <w14:textFill>
                  <w14:solidFill>
                    <w14:schemeClr w14:val="tx1"/>
                  </w14:solidFill>
                </w14:textFill>
              </w:rPr>
            </w:pPr>
          </w:p>
        </w:tc>
        <w:tc>
          <w:tcPr>
            <w:tcW w:w="1168" w:type="pct"/>
            <w:vAlign w:val="center"/>
          </w:tcPr>
          <w:p w14:paraId="2D92D96B">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芦苞支公司及营业厅（含芦苞机房）</w:t>
            </w:r>
          </w:p>
        </w:tc>
        <w:tc>
          <w:tcPr>
            <w:tcW w:w="1420" w:type="pct"/>
            <w:vAlign w:val="center"/>
          </w:tcPr>
          <w:p w14:paraId="6F695904">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w:t>
            </w:r>
            <w:r>
              <w:rPr>
                <w:rFonts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个；二氧化碳灭火器</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个；防毒面具</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个；应急灯</w:t>
            </w:r>
            <w:r>
              <w:rPr>
                <w:rFonts w:ascii="宋体" w:hAnsi="宋体" w:cs="宋体"/>
                <w:color w:val="000000" w:themeColor="text1"/>
                <w:szCs w:val="21"/>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个；烟感探头2个。</w:t>
            </w:r>
          </w:p>
        </w:tc>
        <w:tc>
          <w:tcPr>
            <w:tcW w:w="494" w:type="pct"/>
            <w:vAlign w:val="center"/>
          </w:tcPr>
          <w:p w14:paraId="45148312">
            <w:pPr>
              <w:jc w:val="center"/>
              <w:rPr>
                <w:rFonts w:ascii="宋体" w:hAnsi="宋体"/>
                <w:color w:val="000000" w:themeColor="text1"/>
                <w:szCs w:val="21"/>
                <w14:textFill>
                  <w14:solidFill>
                    <w14:schemeClr w14:val="tx1"/>
                  </w14:solidFill>
                </w14:textFill>
              </w:rPr>
            </w:pPr>
          </w:p>
        </w:tc>
        <w:tc>
          <w:tcPr>
            <w:tcW w:w="494" w:type="pct"/>
          </w:tcPr>
          <w:p w14:paraId="793F6C54">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63867415">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2CB24612">
            <w:pPr>
              <w:ind w:firstLine="105" w:firstLineChars="50"/>
              <w:jc w:val="center"/>
              <w:rPr>
                <w:rFonts w:ascii="宋体" w:hAnsi="宋体"/>
                <w:color w:val="000000" w:themeColor="text1"/>
                <w:szCs w:val="21"/>
                <w14:textFill>
                  <w14:solidFill>
                    <w14:schemeClr w14:val="tx1"/>
                  </w14:solidFill>
                </w14:textFill>
              </w:rPr>
            </w:pPr>
          </w:p>
        </w:tc>
      </w:tr>
      <w:tr w14:paraId="35C8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311" w:type="pct"/>
            <w:vAlign w:val="center"/>
          </w:tcPr>
          <w:p w14:paraId="1BA30EEB">
            <w:pPr>
              <w:pStyle w:val="59"/>
              <w:numPr>
                <w:ilvl w:val="0"/>
                <w:numId w:val="16"/>
              </w:numPr>
              <w:ind w:firstLineChars="0"/>
              <w:jc w:val="center"/>
              <w:rPr>
                <w:rFonts w:ascii="宋体" w:hAnsi="宋体" w:cs="宋体"/>
                <w:color w:val="000000" w:themeColor="text1"/>
                <w:szCs w:val="21"/>
                <w14:textFill>
                  <w14:solidFill>
                    <w14:schemeClr w14:val="tx1"/>
                  </w14:solidFill>
                </w14:textFill>
              </w:rPr>
            </w:pPr>
          </w:p>
        </w:tc>
        <w:tc>
          <w:tcPr>
            <w:tcW w:w="1168" w:type="pct"/>
            <w:vAlign w:val="center"/>
          </w:tcPr>
          <w:p w14:paraId="25EBAEEE">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大塘支公司及营业厅（含大塘机房）</w:t>
            </w:r>
          </w:p>
        </w:tc>
        <w:tc>
          <w:tcPr>
            <w:tcW w:w="1420" w:type="pct"/>
            <w:vAlign w:val="center"/>
          </w:tcPr>
          <w:p w14:paraId="6922BDAD">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w:t>
            </w:r>
            <w:r>
              <w:rPr>
                <w:rFonts w:ascii="宋体" w:hAnsi="宋体" w:cs="宋体"/>
                <w:color w:val="000000" w:themeColor="text1"/>
                <w:szCs w:val="21"/>
                <w14:textFill>
                  <w14:solidFill>
                    <w14:schemeClr w14:val="tx1"/>
                  </w14:solidFill>
                </w14:textFill>
              </w:rPr>
              <w:t>16</w:t>
            </w:r>
            <w:r>
              <w:rPr>
                <w:rFonts w:hint="eastAsia" w:ascii="宋体" w:hAnsi="宋体" w:cs="宋体"/>
                <w:color w:val="000000" w:themeColor="text1"/>
                <w:szCs w:val="21"/>
                <w14:textFill>
                  <w14:solidFill>
                    <w14:schemeClr w14:val="tx1"/>
                  </w14:solidFill>
                </w14:textFill>
              </w:rPr>
              <w:t>个；二氧化碳灭火器</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个；防毒面具</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个；应急灯8个；烟感探头2个。</w:t>
            </w:r>
          </w:p>
        </w:tc>
        <w:tc>
          <w:tcPr>
            <w:tcW w:w="494" w:type="pct"/>
            <w:vAlign w:val="center"/>
          </w:tcPr>
          <w:p w14:paraId="3B8C81EF">
            <w:pPr>
              <w:jc w:val="center"/>
              <w:rPr>
                <w:rFonts w:ascii="宋体" w:hAnsi="宋体"/>
                <w:color w:val="000000" w:themeColor="text1"/>
                <w:szCs w:val="21"/>
                <w14:textFill>
                  <w14:solidFill>
                    <w14:schemeClr w14:val="tx1"/>
                  </w14:solidFill>
                </w14:textFill>
              </w:rPr>
            </w:pPr>
          </w:p>
        </w:tc>
        <w:tc>
          <w:tcPr>
            <w:tcW w:w="494" w:type="pct"/>
          </w:tcPr>
          <w:p w14:paraId="5629F8E5">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33DA17D8">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01360D0E">
            <w:pPr>
              <w:ind w:firstLine="105" w:firstLineChars="50"/>
              <w:jc w:val="center"/>
              <w:rPr>
                <w:rFonts w:ascii="宋体" w:hAnsi="宋体"/>
                <w:color w:val="000000" w:themeColor="text1"/>
                <w:szCs w:val="21"/>
                <w14:textFill>
                  <w14:solidFill>
                    <w14:schemeClr w14:val="tx1"/>
                  </w14:solidFill>
                </w14:textFill>
              </w:rPr>
            </w:pPr>
          </w:p>
        </w:tc>
      </w:tr>
      <w:tr w14:paraId="7F2CF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311" w:type="pct"/>
            <w:vAlign w:val="center"/>
          </w:tcPr>
          <w:p w14:paraId="070A00E8">
            <w:pPr>
              <w:pStyle w:val="59"/>
              <w:numPr>
                <w:ilvl w:val="0"/>
                <w:numId w:val="16"/>
              </w:numPr>
              <w:ind w:firstLineChars="0"/>
              <w:jc w:val="center"/>
              <w:rPr>
                <w:rFonts w:ascii="宋体" w:hAnsi="宋体" w:cs="宋体"/>
                <w:color w:val="000000" w:themeColor="text1"/>
                <w:szCs w:val="21"/>
                <w14:textFill>
                  <w14:solidFill>
                    <w14:schemeClr w14:val="tx1"/>
                  </w14:solidFill>
                </w14:textFill>
              </w:rPr>
            </w:pPr>
          </w:p>
        </w:tc>
        <w:tc>
          <w:tcPr>
            <w:tcW w:w="1168" w:type="pct"/>
            <w:vAlign w:val="center"/>
          </w:tcPr>
          <w:p w14:paraId="075EE87D">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南山支公司及营业厅（含六和机房、迳口机房）</w:t>
            </w:r>
          </w:p>
        </w:tc>
        <w:tc>
          <w:tcPr>
            <w:tcW w:w="1420" w:type="pct"/>
            <w:vAlign w:val="center"/>
          </w:tcPr>
          <w:p w14:paraId="4BB80CDF">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个；二氧化碳灭火器</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个；防毒面具</w:t>
            </w:r>
            <w:r>
              <w:rPr>
                <w:rFonts w:ascii="宋体" w:hAnsi="宋体" w:cs="宋体"/>
                <w:color w:val="000000" w:themeColor="text1"/>
                <w:szCs w:val="21"/>
                <w14:textFill>
                  <w14:solidFill>
                    <w14:schemeClr w14:val="tx1"/>
                  </w14:solidFill>
                </w14:textFill>
              </w:rPr>
              <w:t>12</w:t>
            </w:r>
            <w:r>
              <w:rPr>
                <w:rFonts w:hint="eastAsia" w:ascii="宋体" w:hAnsi="宋体" w:cs="宋体"/>
                <w:color w:val="000000" w:themeColor="text1"/>
                <w:szCs w:val="21"/>
                <w14:textFill>
                  <w14:solidFill>
                    <w14:schemeClr w14:val="tx1"/>
                  </w14:solidFill>
                </w14:textFill>
              </w:rPr>
              <w:t>个；应急灯</w:t>
            </w:r>
            <w:r>
              <w:rPr>
                <w:rFonts w:ascii="宋体" w:hAnsi="宋体" w:cs="宋体"/>
                <w:color w:val="000000" w:themeColor="text1"/>
                <w:szCs w:val="21"/>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个；烟感探头</w:t>
            </w: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个。</w:t>
            </w:r>
          </w:p>
        </w:tc>
        <w:tc>
          <w:tcPr>
            <w:tcW w:w="494" w:type="pct"/>
            <w:vAlign w:val="center"/>
          </w:tcPr>
          <w:p w14:paraId="158A524D">
            <w:pPr>
              <w:jc w:val="center"/>
              <w:rPr>
                <w:rFonts w:ascii="宋体" w:hAnsi="宋体"/>
                <w:color w:val="000000" w:themeColor="text1"/>
                <w:szCs w:val="21"/>
                <w14:textFill>
                  <w14:solidFill>
                    <w14:schemeClr w14:val="tx1"/>
                  </w14:solidFill>
                </w14:textFill>
              </w:rPr>
            </w:pPr>
          </w:p>
        </w:tc>
        <w:tc>
          <w:tcPr>
            <w:tcW w:w="494" w:type="pct"/>
          </w:tcPr>
          <w:p w14:paraId="2309BA62">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3FF8A1C6">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52B91DB5">
            <w:pPr>
              <w:ind w:firstLine="105" w:firstLineChars="50"/>
              <w:jc w:val="center"/>
              <w:rPr>
                <w:rFonts w:ascii="宋体" w:hAnsi="宋体"/>
                <w:color w:val="000000" w:themeColor="text1"/>
                <w:szCs w:val="21"/>
                <w14:textFill>
                  <w14:solidFill>
                    <w14:schemeClr w14:val="tx1"/>
                  </w14:solidFill>
                </w14:textFill>
              </w:rPr>
            </w:pPr>
          </w:p>
        </w:tc>
      </w:tr>
      <w:tr w14:paraId="6FC0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 w:type="pct"/>
            <w:vAlign w:val="center"/>
          </w:tcPr>
          <w:p w14:paraId="05F2E09E">
            <w:pPr>
              <w:pStyle w:val="59"/>
              <w:numPr>
                <w:ilvl w:val="0"/>
                <w:numId w:val="16"/>
              </w:numPr>
              <w:ind w:firstLineChars="0"/>
              <w:jc w:val="center"/>
              <w:rPr>
                <w:rFonts w:ascii="宋体" w:hAnsi="宋体" w:cs="宋体"/>
                <w:color w:val="000000" w:themeColor="text1"/>
                <w:szCs w:val="21"/>
                <w14:textFill>
                  <w14:solidFill>
                    <w14:schemeClr w14:val="tx1"/>
                  </w14:solidFill>
                </w14:textFill>
              </w:rPr>
            </w:pPr>
          </w:p>
        </w:tc>
        <w:tc>
          <w:tcPr>
            <w:tcW w:w="1168" w:type="pct"/>
            <w:vAlign w:val="center"/>
          </w:tcPr>
          <w:p w14:paraId="57205522">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办公楼（含配电房、发电机房、电梯机房、机房播控室、水泵房、保安室等）、西南营业厅</w:t>
            </w:r>
          </w:p>
        </w:tc>
        <w:tc>
          <w:tcPr>
            <w:tcW w:w="1420" w:type="pct"/>
            <w:vAlign w:val="center"/>
          </w:tcPr>
          <w:p w14:paraId="2C43D061">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干粉灭火器80个；消防栓19套；消防泵2台；稳压泵2台；排水泵2台；应急灯42个；防毒面具80个；气溶胶气体灭火系统</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套；葫芦式灭火器4个；手推车式干粉灭火器2个；火灾自动报警系统一套；应急广播系统一套；主备路供电系统。</w:t>
            </w:r>
          </w:p>
        </w:tc>
        <w:tc>
          <w:tcPr>
            <w:tcW w:w="494" w:type="pct"/>
            <w:vAlign w:val="center"/>
          </w:tcPr>
          <w:p w14:paraId="4E6CDC07">
            <w:pPr>
              <w:jc w:val="center"/>
              <w:rPr>
                <w:rFonts w:ascii="宋体" w:hAnsi="宋体"/>
                <w:color w:val="000000" w:themeColor="text1"/>
                <w:szCs w:val="21"/>
                <w14:textFill>
                  <w14:solidFill>
                    <w14:schemeClr w14:val="tx1"/>
                  </w14:solidFill>
                </w14:textFill>
              </w:rPr>
            </w:pPr>
          </w:p>
        </w:tc>
        <w:tc>
          <w:tcPr>
            <w:tcW w:w="494" w:type="pct"/>
          </w:tcPr>
          <w:p w14:paraId="23291A39">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5EF70ACE">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77A5B4CF">
            <w:pPr>
              <w:ind w:firstLine="105" w:firstLineChars="50"/>
              <w:jc w:val="center"/>
              <w:rPr>
                <w:rFonts w:ascii="宋体" w:hAnsi="宋体"/>
                <w:color w:val="000000" w:themeColor="text1"/>
                <w:szCs w:val="21"/>
                <w14:textFill>
                  <w14:solidFill>
                    <w14:schemeClr w14:val="tx1"/>
                  </w14:solidFill>
                </w14:textFill>
              </w:rPr>
            </w:pPr>
          </w:p>
        </w:tc>
      </w:tr>
      <w:tr w14:paraId="2365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 w:type="pct"/>
            <w:vAlign w:val="center"/>
          </w:tcPr>
          <w:p w14:paraId="0160C5CE">
            <w:pPr>
              <w:pStyle w:val="59"/>
              <w:numPr>
                <w:ilvl w:val="0"/>
                <w:numId w:val="16"/>
              </w:numPr>
              <w:ind w:firstLineChars="0"/>
              <w:jc w:val="center"/>
              <w:rPr>
                <w:rFonts w:ascii="宋体" w:hAnsi="宋体" w:cs="宋体"/>
                <w:color w:val="000000" w:themeColor="text1"/>
                <w:szCs w:val="21"/>
                <w14:textFill>
                  <w14:solidFill>
                    <w14:schemeClr w14:val="tx1"/>
                  </w14:solidFill>
                </w14:textFill>
              </w:rPr>
            </w:pPr>
          </w:p>
        </w:tc>
        <w:tc>
          <w:tcPr>
            <w:tcW w:w="1168" w:type="pct"/>
            <w:vAlign w:val="center"/>
          </w:tcPr>
          <w:p w14:paraId="4E5E4D29">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仓库</w:t>
            </w:r>
          </w:p>
        </w:tc>
        <w:tc>
          <w:tcPr>
            <w:tcW w:w="1420" w:type="pct"/>
            <w:vAlign w:val="center"/>
          </w:tcPr>
          <w:p w14:paraId="127041EE">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干粉灭火器</w:t>
            </w:r>
            <w:r>
              <w:rPr>
                <w:rFonts w:ascii="宋体" w:hAnsi="宋体" w:cs="宋体"/>
                <w:color w:val="000000" w:themeColor="text1"/>
                <w:szCs w:val="21"/>
                <w14:textFill>
                  <w14:solidFill>
                    <w14:schemeClr w14:val="tx1"/>
                  </w14:solidFill>
                </w14:textFill>
              </w:rPr>
              <w:t>19</w:t>
            </w:r>
            <w:r>
              <w:rPr>
                <w:rFonts w:hint="eastAsia" w:ascii="宋体" w:hAnsi="宋体" w:cs="宋体"/>
                <w:color w:val="000000" w:themeColor="text1"/>
                <w:szCs w:val="21"/>
                <w14:textFill>
                  <w14:solidFill>
                    <w14:schemeClr w14:val="tx1"/>
                  </w14:solidFill>
                </w14:textFill>
              </w:rPr>
              <w:t>个；二氧化碳灭火器</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个；防毒面具</w:t>
            </w:r>
            <w:r>
              <w:rPr>
                <w:rFonts w:ascii="宋体" w:hAnsi="宋体" w:cs="宋体"/>
                <w:color w:val="000000" w:themeColor="text1"/>
                <w:szCs w:val="21"/>
                <w14:textFill>
                  <w14:solidFill>
                    <w14:schemeClr w14:val="tx1"/>
                  </w14:solidFill>
                </w14:textFill>
              </w:rPr>
              <w:t>18</w:t>
            </w:r>
            <w:r>
              <w:rPr>
                <w:rFonts w:hint="eastAsia" w:ascii="宋体" w:hAnsi="宋体" w:cs="宋体"/>
                <w:color w:val="000000" w:themeColor="text1"/>
                <w:szCs w:val="21"/>
                <w14:textFill>
                  <w14:solidFill>
                    <w14:schemeClr w14:val="tx1"/>
                  </w14:solidFill>
                </w14:textFill>
              </w:rPr>
              <w:t xml:space="preserve">个；应急灯6个；出口指示牌1个；干粉灭火器手推车2个。 </w:t>
            </w:r>
          </w:p>
        </w:tc>
        <w:tc>
          <w:tcPr>
            <w:tcW w:w="494" w:type="pct"/>
            <w:vAlign w:val="center"/>
          </w:tcPr>
          <w:p w14:paraId="2B4712DA">
            <w:pPr>
              <w:jc w:val="center"/>
              <w:rPr>
                <w:rFonts w:ascii="宋体" w:hAnsi="宋体"/>
                <w:color w:val="000000" w:themeColor="text1"/>
                <w:szCs w:val="21"/>
                <w14:textFill>
                  <w14:solidFill>
                    <w14:schemeClr w14:val="tx1"/>
                  </w14:solidFill>
                </w14:textFill>
              </w:rPr>
            </w:pPr>
          </w:p>
        </w:tc>
        <w:tc>
          <w:tcPr>
            <w:tcW w:w="494" w:type="pct"/>
          </w:tcPr>
          <w:p w14:paraId="72998410">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16DC0C06">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5ADDC638">
            <w:pPr>
              <w:ind w:firstLine="105" w:firstLineChars="50"/>
              <w:jc w:val="center"/>
              <w:rPr>
                <w:rFonts w:ascii="宋体" w:hAnsi="宋体"/>
                <w:color w:val="000000" w:themeColor="text1"/>
                <w:szCs w:val="21"/>
                <w14:textFill>
                  <w14:solidFill>
                    <w14:schemeClr w14:val="tx1"/>
                  </w14:solidFill>
                </w14:textFill>
              </w:rPr>
            </w:pPr>
          </w:p>
        </w:tc>
      </w:tr>
      <w:tr w14:paraId="34BA2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 w:type="pct"/>
            <w:vAlign w:val="center"/>
          </w:tcPr>
          <w:p w14:paraId="4BAD5882">
            <w:pPr>
              <w:pStyle w:val="59"/>
              <w:numPr>
                <w:ilvl w:val="0"/>
                <w:numId w:val="16"/>
              </w:numPr>
              <w:ind w:firstLineChars="0"/>
              <w:jc w:val="center"/>
              <w:rPr>
                <w:rFonts w:ascii="宋体" w:hAnsi="宋体"/>
                <w:color w:val="000000" w:themeColor="text1"/>
                <w:szCs w:val="21"/>
                <w14:textFill>
                  <w14:solidFill>
                    <w14:schemeClr w14:val="tx1"/>
                  </w14:solidFill>
                </w14:textFill>
              </w:rPr>
            </w:pPr>
          </w:p>
        </w:tc>
        <w:tc>
          <w:tcPr>
            <w:tcW w:w="1168" w:type="pct"/>
            <w:vAlign w:val="center"/>
          </w:tcPr>
          <w:p w14:paraId="52FEE5FA">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沙头机房、奥园机房、九小区机房、广海大道机房、誉海机房、时代南湾机房、绿湖机房、丽日天鹅湖机房、万达机房</w:t>
            </w:r>
          </w:p>
        </w:tc>
        <w:tc>
          <w:tcPr>
            <w:tcW w:w="1420" w:type="pct"/>
            <w:vAlign w:val="center"/>
          </w:tcPr>
          <w:p w14:paraId="7DDFC960">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二氧化碳灭火器18个；防毒面具18个；应急灯18个；烟感探头18个。</w:t>
            </w:r>
          </w:p>
        </w:tc>
        <w:tc>
          <w:tcPr>
            <w:tcW w:w="494" w:type="pct"/>
            <w:vAlign w:val="center"/>
          </w:tcPr>
          <w:p w14:paraId="4D9FD0A5">
            <w:pPr>
              <w:jc w:val="center"/>
              <w:rPr>
                <w:rFonts w:ascii="宋体" w:hAnsi="宋体"/>
                <w:color w:val="000000" w:themeColor="text1"/>
                <w:szCs w:val="21"/>
                <w14:textFill>
                  <w14:solidFill>
                    <w14:schemeClr w14:val="tx1"/>
                  </w14:solidFill>
                </w14:textFill>
              </w:rPr>
            </w:pPr>
          </w:p>
        </w:tc>
        <w:tc>
          <w:tcPr>
            <w:tcW w:w="494" w:type="pct"/>
          </w:tcPr>
          <w:p w14:paraId="4FFF0A27">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024D27DE">
            <w:pPr>
              <w:ind w:firstLine="105" w:firstLineChars="5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3030525F">
            <w:pPr>
              <w:ind w:firstLine="105" w:firstLineChars="50"/>
              <w:jc w:val="center"/>
              <w:rPr>
                <w:rFonts w:ascii="宋体" w:hAnsi="宋体"/>
                <w:color w:val="000000" w:themeColor="text1"/>
                <w:szCs w:val="21"/>
                <w14:textFill>
                  <w14:solidFill>
                    <w14:schemeClr w14:val="tx1"/>
                  </w14:solidFill>
                </w14:textFill>
              </w:rPr>
            </w:pPr>
          </w:p>
        </w:tc>
      </w:tr>
      <w:tr w14:paraId="2FF50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11" w:type="pct"/>
            <w:vAlign w:val="center"/>
          </w:tcPr>
          <w:p w14:paraId="493F181B">
            <w:pPr>
              <w:pStyle w:val="59"/>
              <w:numPr>
                <w:ilvl w:val="0"/>
                <w:numId w:val="16"/>
              </w:numPr>
              <w:ind w:firstLineChars="0"/>
              <w:jc w:val="center"/>
              <w:rPr>
                <w:rFonts w:ascii="宋体" w:hAnsi="宋体"/>
                <w:color w:val="000000" w:themeColor="text1"/>
                <w:szCs w:val="21"/>
                <w14:textFill>
                  <w14:solidFill>
                    <w14:schemeClr w14:val="tx1"/>
                  </w14:solidFill>
                </w14:textFill>
              </w:rPr>
            </w:pPr>
          </w:p>
        </w:tc>
        <w:tc>
          <w:tcPr>
            <w:tcW w:w="1168" w:type="pct"/>
            <w:vAlign w:val="center"/>
          </w:tcPr>
          <w:p w14:paraId="2CEB3D96">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数据</w:t>
            </w:r>
            <w:r>
              <w:rPr>
                <w:rFonts w:ascii="宋体" w:hAnsi="宋体" w:cs="宋体"/>
                <w:color w:val="000000" w:themeColor="text1"/>
                <w:szCs w:val="21"/>
                <w14:textFill>
                  <w14:solidFill>
                    <w14:schemeClr w14:val="tx1"/>
                  </w14:solidFill>
                </w14:textFill>
              </w:rPr>
              <w:t>机房、中心机房内</w:t>
            </w:r>
          </w:p>
        </w:tc>
        <w:tc>
          <w:tcPr>
            <w:tcW w:w="1420" w:type="pct"/>
            <w:vAlign w:val="center"/>
          </w:tcPr>
          <w:p w14:paraId="196B4D2B">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二氧化碳灭火器</w:t>
            </w:r>
            <w:r>
              <w:rPr>
                <w:rFonts w:ascii="宋体" w:hAnsi="宋体" w:cs="宋体"/>
                <w:color w:val="000000" w:themeColor="text1"/>
                <w:szCs w:val="21"/>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个；防毒面具</w:t>
            </w:r>
            <w:r>
              <w:rPr>
                <w:rFonts w:ascii="宋体" w:hAnsi="宋体" w:cs="宋体"/>
                <w:color w:val="000000" w:themeColor="text1"/>
                <w:szCs w:val="21"/>
                <w14:textFill>
                  <w14:solidFill>
                    <w14:schemeClr w14:val="tx1"/>
                  </w14:solidFill>
                </w14:textFill>
              </w:rPr>
              <w:t>14</w:t>
            </w:r>
            <w:r>
              <w:rPr>
                <w:rFonts w:hint="eastAsia" w:ascii="宋体" w:hAnsi="宋体" w:cs="宋体"/>
                <w:color w:val="000000" w:themeColor="text1"/>
                <w:szCs w:val="21"/>
                <w14:textFill>
                  <w14:solidFill>
                    <w14:schemeClr w14:val="tx1"/>
                  </w14:solidFill>
                </w14:textFill>
              </w:rPr>
              <w:t>个；应急灯</w:t>
            </w:r>
            <w:r>
              <w:rPr>
                <w:rFonts w:ascii="宋体" w:hAnsi="宋体" w:cs="宋体"/>
                <w:color w:val="000000" w:themeColor="text1"/>
                <w:szCs w:val="21"/>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个；</w:t>
            </w:r>
            <w:r>
              <w:rPr>
                <w:rFonts w:ascii="宋体" w:hAnsi="宋体" w:cs="宋体"/>
                <w:color w:val="000000" w:themeColor="text1"/>
                <w:szCs w:val="21"/>
                <w14:textFill>
                  <w14:solidFill>
                    <w14:schemeClr w14:val="tx1"/>
                  </w14:solidFill>
                </w14:textFill>
              </w:rPr>
              <w:t>烟感探头32</w:t>
            </w:r>
            <w:r>
              <w:rPr>
                <w:rFonts w:hint="eastAsia" w:ascii="宋体" w:hAnsi="宋体" w:cs="宋体"/>
                <w:color w:val="000000" w:themeColor="text1"/>
                <w:szCs w:val="21"/>
                <w14:textFill>
                  <w14:solidFill>
                    <w14:schemeClr w14:val="tx1"/>
                  </w14:solidFill>
                </w14:textFill>
              </w:rPr>
              <w:t>个。</w:t>
            </w:r>
          </w:p>
        </w:tc>
        <w:tc>
          <w:tcPr>
            <w:tcW w:w="494" w:type="pct"/>
            <w:vAlign w:val="center"/>
          </w:tcPr>
          <w:p w14:paraId="4269C2F4">
            <w:pPr>
              <w:jc w:val="center"/>
              <w:rPr>
                <w:rFonts w:ascii="宋体" w:hAnsi="宋体"/>
                <w:color w:val="000000" w:themeColor="text1"/>
                <w:szCs w:val="21"/>
                <w14:textFill>
                  <w14:solidFill>
                    <w14:schemeClr w14:val="tx1"/>
                  </w14:solidFill>
                </w14:textFill>
              </w:rPr>
            </w:pPr>
          </w:p>
        </w:tc>
        <w:tc>
          <w:tcPr>
            <w:tcW w:w="494" w:type="pct"/>
          </w:tcPr>
          <w:p w14:paraId="2CFA32BF">
            <w:pPr>
              <w:ind w:firstLine="105" w:firstLineChars="50"/>
              <w:jc w:val="center"/>
              <w:rPr>
                <w:rFonts w:ascii="宋体" w:hAnsi="宋体"/>
                <w:color w:val="000000" w:themeColor="text1"/>
                <w:szCs w:val="21"/>
                <w14:textFill>
                  <w14:solidFill>
                    <w14:schemeClr w14:val="tx1"/>
                  </w14:solidFill>
                </w14:textFill>
              </w:rPr>
            </w:pPr>
          </w:p>
        </w:tc>
        <w:tc>
          <w:tcPr>
            <w:tcW w:w="494" w:type="pct"/>
            <w:vAlign w:val="center"/>
          </w:tcPr>
          <w:p w14:paraId="133EE6D7">
            <w:pPr>
              <w:ind w:firstLine="105" w:firstLine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w:t>
            </w:r>
          </w:p>
        </w:tc>
        <w:tc>
          <w:tcPr>
            <w:tcW w:w="617" w:type="pct"/>
            <w:vAlign w:val="center"/>
          </w:tcPr>
          <w:p w14:paraId="6A23C1F1">
            <w:pPr>
              <w:ind w:firstLine="105" w:firstLineChars="50"/>
              <w:jc w:val="center"/>
              <w:rPr>
                <w:rFonts w:ascii="宋体" w:hAnsi="宋体"/>
                <w:color w:val="000000" w:themeColor="text1"/>
                <w:szCs w:val="21"/>
                <w14:textFill>
                  <w14:solidFill>
                    <w14:schemeClr w14:val="tx1"/>
                  </w14:solidFill>
                </w14:textFill>
              </w:rPr>
            </w:pPr>
          </w:p>
        </w:tc>
      </w:tr>
      <w:tr w14:paraId="67E6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311" w:type="pct"/>
            <w:vMerge w:val="restart"/>
            <w:vAlign w:val="center"/>
          </w:tcPr>
          <w:p w14:paraId="7896C0F0">
            <w:pPr>
              <w:pStyle w:val="59"/>
              <w:numPr>
                <w:ilvl w:val="0"/>
                <w:numId w:val="16"/>
              </w:numPr>
              <w:ind w:firstLineChars="0"/>
              <w:jc w:val="center"/>
              <w:rPr>
                <w:rFonts w:ascii="宋体" w:hAnsi="宋体"/>
                <w:color w:val="000000" w:themeColor="text1"/>
                <w:szCs w:val="21"/>
                <w14:textFill>
                  <w14:solidFill>
                    <w14:schemeClr w14:val="tx1"/>
                  </w14:solidFill>
                </w14:textFill>
              </w:rPr>
            </w:pPr>
          </w:p>
        </w:tc>
        <w:tc>
          <w:tcPr>
            <w:tcW w:w="1168" w:type="pct"/>
            <w:vMerge w:val="restart"/>
            <w:vAlign w:val="center"/>
          </w:tcPr>
          <w:p w14:paraId="6BBD7E9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消防系统维护</w:t>
            </w:r>
          </w:p>
        </w:tc>
        <w:tc>
          <w:tcPr>
            <w:tcW w:w="1420" w:type="pct"/>
            <w:vAlign w:val="center"/>
          </w:tcPr>
          <w:p w14:paraId="5742E2D8">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中心机房气体（七氟丙烷）灭火系统1套；数据机房气体（七氟丙烷）2套</w:t>
            </w:r>
            <w:r>
              <w:rPr>
                <w:rFonts w:ascii="宋体" w:hAnsi="宋体"/>
                <w:color w:val="000000" w:themeColor="text1"/>
                <w:szCs w:val="21"/>
                <w14:textFill>
                  <w14:solidFill>
                    <w14:schemeClr w14:val="tx1"/>
                  </w14:solidFill>
                </w14:textFill>
              </w:rPr>
              <w:t>。</w:t>
            </w:r>
          </w:p>
        </w:tc>
        <w:tc>
          <w:tcPr>
            <w:tcW w:w="494" w:type="pct"/>
            <w:vAlign w:val="center"/>
          </w:tcPr>
          <w:p w14:paraId="51857552">
            <w:pPr>
              <w:jc w:val="center"/>
              <w:rPr>
                <w:rFonts w:ascii="宋体" w:hAnsi="宋体"/>
                <w:color w:val="000000" w:themeColor="text1"/>
                <w:szCs w:val="21"/>
                <w14:textFill>
                  <w14:solidFill>
                    <w14:schemeClr w14:val="tx1"/>
                  </w14:solidFill>
                </w14:textFill>
              </w:rPr>
            </w:pPr>
          </w:p>
        </w:tc>
        <w:tc>
          <w:tcPr>
            <w:tcW w:w="494" w:type="pct"/>
          </w:tcPr>
          <w:p w14:paraId="75B4A2D4">
            <w:pPr>
              <w:jc w:val="center"/>
              <w:rPr>
                <w:rFonts w:ascii="宋体" w:hAnsi="宋体"/>
                <w:color w:val="000000" w:themeColor="text1"/>
                <w:szCs w:val="21"/>
                <w14:textFill>
                  <w14:solidFill>
                    <w14:schemeClr w14:val="tx1"/>
                  </w14:solidFill>
                </w14:textFill>
              </w:rPr>
            </w:pPr>
          </w:p>
        </w:tc>
        <w:tc>
          <w:tcPr>
            <w:tcW w:w="494" w:type="pct"/>
            <w:vAlign w:val="center"/>
          </w:tcPr>
          <w:p w14:paraId="53BEC163">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1EACE131">
            <w:pPr>
              <w:jc w:val="center"/>
              <w:rPr>
                <w:rFonts w:ascii="宋体" w:hAnsi="宋体"/>
                <w:color w:val="000000" w:themeColor="text1"/>
                <w:szCs w:val="21"/>
                <w14:textFill>
                  <w14:solidFill>
                    <w14:schemeClr w14:val="tx1"/>
                  </w14:solidFill>
                </w14:textFill>
              </w:rPr>
            </w:pPr>
          </w:p>
        </w:tc>
      </w:tr>
      <w:tr w14:paraId="47E3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1" w:type="pct"/>
            <w:vMerge w:val="continue"/>
            <w:vAlign w:val="center"/>
          </w:tcPr>
          <w:p w14:paraId="550655D4">
            <w:pPr>
              <w:jc w:val="center"/>
              <w:rPr>
                <w:rFonts w:ascii="宋体" w:hAnsi="宋体"/>
                <w:color w:val="000000" w:themeColor="text1"/>
                <w:szCs w:val="21"/>
                <w14:textFill>
                  <w14:solidFill>
                    <w14:schemeClr w14:val="tx1"/>
                  </w14:solidFill>
                </w14:textFill>
              </w:rPr>
            </w:pPr>
          </w:p>
        </w:tc>
        <w:tc>
          <w:tcPr>
            <w:tcW w:w="1168" w:type="pct"/>
            <w:vMerge w:val="continue"/>
            <w:vAlign w:val="center"/>
          </w:tcPr>
          <w:p w14:paraId="7CFBC7C7">
            <w:pPr>
              <w:jc w:val="center"/>
              <w:rPr>
                <w:rFonts w:ascii="宋体" w:hAnsi="宋体"/>
                <w:color w:val="000000" w:themeColor="text1"/>
                <w:szCs w:val="21"/>
                <w14:textFill>
                  <w14:solidFill>
                    <w14:schemeClr w14:val="tx1"/>
                  </w14:solidFill>
                </w14:textFill>
              </w:rPr>
            </w:pPr>
          </w:p>
        </w:tc>
        <w:tc>
          <w:tcPr>
            <w:tcW w:w="1420" w:type="pct"/>
            <w:vAlign w:val="center"/>
          </w:tcPr>
          <w:p w14:paraId="16650F51">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火灾自动报警系统（火灾自动报警系统一套；应急广播系统一套；主备路供电系统。）</w:t>
            </w:r>
          </w:p>
        </w:tc>
        <w:tc>
          <w:tcPr>
            <w:tcW w:w="494" w:type="pct"/>
            <w:vAlign w:val="center"/>
          </w:tcPr>
          <w:p w14:paraId="1FAD15C2">
            <w:pPr>
              <w:jc w:val="center"/>
              <w:rPr>
                <w:rFonts w:ascii="宋体" w:hAnsi="宋体"/>
                <w:color w:val="000000" w:themeColor="text1"/>
                <w:szCs w:val="21"/>
                <w14:textFill>
                  <w14:solidFill>
                    <w14:schemeClr w14:val="tx1"/>
                  </w14:solidFill>
                </w14:textFill>
              </w:rPr>
            </w:pPr>
          </w:p>
        </w:tc>
        <w:tc>
          <w:tcPr>
            <w:tcW w:w="494" w:type="pct"/>
          </w:tcPr>
          <w:p w14:paraId="3B4C17A4">
            <w:pPr>
              <w:jc w:val="center"/>
              <w:rPr>
                <w:rFonts w:ascii="宋体" w:hAnsi="宋体"/>
                <w:color w:val="000000" w:themeColor="text1"/>
                <w:szCs w:val="21"/>
                <w14:textFill>
                  <w14:solidFill>
                    <w14:schemeClr w14:val="tx1"/>
                  </w14:solidFill>
                </w14:textFill>
              </w:rPr>
            </w:pPr>
          </w:p>
        </w:tc>
        <w:tc>
          <w:tcPr>
            <w:tcW w:w="494" w:type="pct"/>
            <w:vAlign w:val="center"/>
          </w:tcPr>
          <w:p w14:paraId="79012CE9">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1204177C">
            <w:pPr>
              <w:jc w:val="center"/>
              <w:rPr>
                <w:rFonts w:ascii="宋体" w:hAnsi="宋体"/>
                <w:color w:val="000000" w:themeColor="text1"/>
                <w:szCs w:val="21"/>
                <w14:textFill>
                  <w14:solidFill>
                    <w14:schemeClr w14:val="tx1"/>
                  </w14:solidFill>
                </w14:textFill>
              </w:rPr>
            </w:pPr>
          </w:p>
        </w:tc>
      </w:tr>
      <w:tr w14:paraId="1846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1" w:type="pct"/>
            <w:vMerge w:val="continue"/>
            <w:vAlign w:val="center"/>
          </w:tcPr>
          <w:p w14:paraId="6E1B38E4">
            <w:pPr>
              <w:jc w:val="center"/>
              <w:rPr>
                <w:rFonts w:ascii="宋体" w:hAnsi="宋体"/>
                <w:color w:val="000000" w:themeColor="text1"/>
                <w:szCs w:val="21"/>
                <w14:textFill>
                  <w14:solidFill>
                    <w14:schemeClr w14:val="tx1"/>
                  </w14:solidFill>
                </w14:textFill>
              </w:rPr>
            </w:pPr>
          </w:p>
        </w:tc>
        <w:tc>
          <w:tcPr>
            <w:tcW w:w="1168" w:type="pct"/>
            <w:vMerge w:val="continue"/>
            <w:vAlign w:val="center"/>
          </w:tcPr>
          <w:p w14:paraId="43979E83">
            <w:pPr>
              <w:jc w:val="center"/>
              <w:rPr>
                <w:rFonts w:ascii="宋体" w:hAnsi="宋体"/>
                <w:color w:val="000000" w:themeColor="text1"/>
                <w:szCs w:val="21"/>
                <w14:textFill>
                  <w14:solidFill>
                    <w14:schemeClr w14:val="tx1"/>
                  </w14:solidFill>
                </w14:textFill>
              </w:rPr>
            </w:pPr>
          </w:p>
        </w:tc>
        <w:tc>
          <w:tcPr>
            <w:tcW w:w="1420" w:type="pct"/>
            <w:vAlign w:val="center"/>
          </w:tcPr>
          <w:p w14:paraId="32D13008">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消火栓系统</w:t>
            </w:r>
          </w:p>
        </w:tc>
        <w:tc>
          <w:tcPr>
            <w:tcW w:w="494" w:type="pct"/>
            <w:vAlign w:val="center"/>
          </w:tcPr>
          <w:p w14:paraId="1A916D50">
            <w:pPr>
              <w:jc w:val="center"/>
              <w:rPr>
                <w:rFonts w:ascii="宋体" w:hAnsi="宋体"/>
                <w:color w:val="000000" w:themeColor="text1"/>
                <w:szCs w:val="21"/>
                <w14:textFill>
                  <w14:solidFill>
                    <w14:schemeClr w14:val="tx1"/>
                  </w14:solidFill>
                </w14:textFill>
              </w:rPr>
            </w:pPr>
          </w:p>
        </w:tc>
        <w:tc>
          <w:tcPr>
            <w:tcW w:w="494" w:type="pct"/>
          </w:tcPr>
          <w:p w14:paraId="7714E335">
            <w:pPr>
              <w:jc w:val="center"/>
              <w:rPr>
                <w:rFonts w:ascii="宋体" w:hAnsi="宋体"/>
                <w:color w:val="000000" w:themeColor="text1"/>
                <w:szCs w:val="21"/>
                <w14:textFill>
                  <w14:solidFill>
                    <w14:schemeClr w14:val="tx1"/>
                  </w14:solidFill>
                </w14:textFill>
              </w:rPr>
            </w:pPr>
          </w:p>
        </w:tc>
        <w:tc>
          <w:tcPr>
            <w:tcW w:w="494" w:type="pct"/>
            <w:vAlign w:val="center"/>
          </w:tcPr>
          <w:p w14:paraId="35040F69">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436E29DD">
            <w:pPr>
              <w:jc w:val="center"/>
              <w:rPr>
                <w:rFonts w:ascii="宋体" w:hAnsi="宋体"/>
                <w:color w:val="000000" w:themeColor="text1"/>
                <w:szCs w:val="21"/>
                <w14:textFill>
                  <w14:solidFill>
                    <w14:schemeClr w14:val="tx1"/>
                  </w14:solidFill>
                </w14:textFill>
              </w:rPr>
            </w:pPr>
          </w:p>
        </w:tc>
      </w:tr>
      <w:tr w14:paraId="3D05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11" w:type="pct"/>
            <w:vMerge w:val="continue"/>
            <w:vAlign w:val="center"/>
          </w:tcPr>
          <w:p w14:paraId="2D31C199">
            <w:pPr>
              <w:jc w:val="center"/>
              <w:rPr>
                <w:rFonts w:ascii="宋体" w:hAnsi="宋体"/>
                <w:color w:val="000000" w:themeColor="text1"/>
                <w:szCs w:val="21"/>
                <w14:textFill>
                  <w14:solidFill>
                    <w14:schemeClr w14:val="tx1"/>
                  </w14:solidFill>
                </w14:textFill>
              </w:rPr>
            </w:pPr>
          </w:p>
        </w:tc>
        <w:tc>
          <w:tcPr>
            <w:tcW w:w="1168" w:type="pct"/>
            <w:vMerge w:val="continue"/>
            <w:vAlign w:val="center"/>
          </w:tcPr>
          <w:p w14:paraId="50D19A5D">
            <w:pPr>
              <w:jc w:val="center"/>
              <w:rPr>
                <w:rFonts w:ascii="宋体" w:hAnsi="宋体"/>
                <w:color w:val="000000" w:themeColor="text1"/>
                <w:szCs w:val="21"/>
                <w14:textFill>
                  <w14:solidFill>
                    <w14:schemeClr w14:val="tx1"/>
                  </w14:solidFill>
                </w14:textFill>
              </w:rPr>
            </w:pPr>
          </w:p>
        </w:tc>
        <w:tc>
          <w:tcPr>
            <w:tcW w:w="1420" w:type="pct"/>
            <w:vAlign w:val="center"/>
          </w:tcPr>
          <w:p w14:paraId="3B9FEC49">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喷淋系统</w:t>
            </w:r>
          </w:p>
        </w:tc>
        <w:tc>
          <w:tcPr>
            <w:tcW w:w="494" w:type="pct"/>
            <w:vAlign w:val="center"/>
          </w:tcPr>
          <w:p w14:paraId="31B55A3C">
            <w:pPr>
              <w:jc w:val="center"/>
              <w:rPr>
                <w:rFonts w:ascii="宋体" w:hAnsi="宋体"/>
                <w:color w:val="000000" w:themeColor="text1"/>
                <w:szCs w:val="21"/>
                <w14:textFill>
                  <w14:solidFill>
                    <w14:schemeClr w14:val="tx1"/>
                  </w14:solidFill>
                </w14:textFill>
              </w:rPr>
            </w:pPr>
          </w:p>
        </w:tc>
        <w:tc>
          <w:tcPr>
            <w:tcW w:w="494" w:type="pct"/>
          </w:tcPr>
          <w:p w14:paraId="74E470B8">
            <w:pPr>
              <w:jc w:val="center"/>
              <w:rPr>
                <w:rFonts w:ascii="宋体" w:hAnsi="宋体"/>
                <w:color w:val="000000" w:themeColor="text1"/>
                <w:szCs w:val="21"/>
                <w14:textFill>
                  <w14:solidFill>
                    <w14:schemeClr w14:val="tx1"/>
                  </w14:solidFill>
                </w14:textFill>
              </w:rPr>
            </w:pPr>
          </w:p>
        </w:tc>
        <w:tc>
          <w:tcPr>
            <w:tcW w:w="494" w:type="pct"/>
            <w:vAlign w:val="center"/>
          </w:tcPr>
          <w:p w14:paraId="01469CD0">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24</w:t>
            </w:r>
          </w:p>
        </w:tc>
        <w:tc>
          <w:tcPr>
            <w:tcW w:w="617" w:type="pct"/>
            <w:vAlign w:val="center"/>
          </w:tcPr>
          <w:p w14:paraId="723B97B1">
            <w:pPr>
              <w:jc w:val="center"/>
              <w:rPr>
                <w:rFonts w:ascii="宋体" w:hAnsi="宋体"/>
                <w:color w:val="000000" w:themeColor="text1"/>
                <w:szCs w:val="21"/>
                <w14:textFill>
                  <w14:solidFill>
                    <w14:schemeClr w14:val="tx1"/>
                  </w14:solidFill>
                </w14:textFill>
              </w:rPr>
            </w:pPr>
          </w:p>
        </w:tc>
      </w:tr>
      <w:tr w14:paraId="29B75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900" w:type="pct"/>
            <w:gridSpan w:val="3"/>
            <w:vAlign w:val="center"/>
          </w:tcPr>
          <w:p w14:paraId="7EC952D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合计（人民币大写：</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c>
          <w:tcPr>
            <w:tcW w:w="2099" w:type="pct"/>
            <w:gridSpan w:val="4"/>
            <w:vAlign w:val="center"/>
          </w:tcPr>
          <w:p w14:paraId="0468F8FC">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（税率</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p>
        </w:tc>
      </w:tr>
      <w:tr w14:paraId="36E9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000" w:type="pct"/>
            <w:gridSpan w:val="7"/>
            <w:vAlign w:val="center"/>
          </w:tcPr>
          <w:p w14:paraId="44143379">
            <w:pPr>
              <w:autoSpaceDE w:val="0"/>
              <w:autoSpaceDN w:val="0"/>
              <w:spacing w:line="360" w:lineRule="auto"/>
              <w:ind w:firstLine="420" w:firstLineChars="200"/>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lang w:bidi="ar"/>
                <w14:textFill>
                  <w14:solidFill>
                    <w14:schemeClr w14:val="tx1"/>
                  </w14:solidFill>
                </w14:textFill>
              </w:rPr>
              <w:t>注：采购人消防系统设备数量如有增减，应按采购人的通知为准，响应人不得据此拒绝维护。</w:t>
            </w:r>
          </w:p>
        </w:tc>
      </w:tr>
    </w:tbl>
    <w:p w14:paraId="43FDFD5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2、付款方式：维护保养费分4期支付，每半年结算一次，采用银行汇付（含电汇）形式。发票的开票单位必须与签订合同的单位相一致。</w:t>
      </w:r>
    </w:p>
    <w:p w14:paraId="0383093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第一期及第三期：分别于合同有效期内的第二个季度、第六个季度分别支付合同总额的25%，同时乙方向甲方出具等额的增值税专用发票（税率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928210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第二期及第四期：分别于合同有效期内的第四个季度、第八个季度，分别支付合同总额的25%，付款前乙方应开具增值税专用发票（税率</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及一年的消防维护检查报告给甲方，甲方凭消防维护检查报告及每季度的消防系统维修保养服务质量考核表（服务质量考核表见合同附件）支付。甲方每季度进行一次消防系统维修保养服务质量考核，4季度的得分作为第二期及第四期服务款的结算凭证。每季度综合评分达到90分以上，服务款100%支付；评分达到80—90分，服务款95%支付；如有2次季度评分在80分以下，终止合同。</w:t>
      </w:r>
    </w:p>
    <w:p w14:paraId="5846E98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3、如保养维护点有变化，保养费用按实际发生数量进行结算。</w:t>
      </w:r>
    </w:p>
    <w:p w14:paraId="03F593F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出现国家税收政策调整时，双方应根据实际税收调整情况，以本合同中的不含税价格（不含税单价=含税单价/（1+税率））为依据相应调整受影响的合同含税金额，成交人需按照税收调整政策规定开具合法合规发票。</w:t>
      </w:r>
    </w:p>
    <w:p w14:paraId="3269B3D3">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五、服务要求</w:t>
      </w:r>
    </w:p>
    <w:p w14:paraId="0016F7EE">
      <w:pPr>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、三水分公司消防系统维护保养需求</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5670"/>
        <w:gridCol w:w="1375"/>
      </w:tblGrid>
      <w:tr w14:paraId="553CE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65" w:type="pct"/>
            <w:vAlign w:val="center"/>
          </w:tcPr>
          <w:p w14:paraId="1DEFFB73">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w:t>
            </w:r>
          </w:p>
        </w:tc>
        <w:tc>
          <w:tcPr>
            <w:tcW w:w="3327" w:type="pct"/>
            <w:vAlign w:val="center"/>
          </w:tcPr>
          <w:p w14:paraId="55AAF579">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巡查内容</w:t>
            </w:r>
          </w:p>
        </w:tc>
        <w:tc>
          <w:tcPr>
            <w:tcW w:w="807" w:type="pct"/>
            <w:vAlign w:val="center"/>
          </w:tcPr>
          <w:p w14:paraId="71D33AF5">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巡查要求</w:t>
            </w:r>
          </w:p>
        </w:tc>
      </w:tr>
      <w:tr w14:paraId="5AA82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restart"/>
            <w:vAlign w:val="center"/>
          </w:tcPr>
          <w:p w14:paraId="34FF23C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1、火灾自动报警系统</w:t>
            </w:r>
          </w:p>
        </w:tc>
        <w:tc>
          <w:tcPr>
            <w:tcW w:w="3327" w:type="pct"/>
            <w:vAlign w:val="center"/>
          </w:tcPr>
          <w:p w14:paraId="76E918F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火灾报警系统、气溶胶气体灭火系统、应急广播系统定期检查和试验；</w:t>
            </w:r>
          </w:p>
        </w:tc>
        <w:tc>
          <w:tcPr>
            <w:tcW w:w="807" w:type="pct"/>
            <w:vAlign w:val="center"/>
          </w:tcPr>
          <w:p w14:paraId="4692659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每年4次</w:t>
            </w:r>
          </w:p>
        </w:tc>
      </w:tr>
      <w:tr w14:paraId="6354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continue"/>
            <w:vAlign w:val="center"/>
          </w:tcPr>
          <w:p w14:paraId="04C4BCA4">
            <w:pPr>
              <w:spacing w:line="360" w:lineRule="auto"/>
              <w:rPr>
                <w:rFonts w:ascii="宋体" w:hAnsi="宋体"/>
                <w:color w:val="000000" w:themeColor="text1"/>
                <w:sz w:val="24"/>
                <w14:textFill>
                  <w14:solidFill>
                    <w14:schemeClr w14:val="tx1"/>
                  </w14:solidFill>
                </w14:textFill>
              </w:rPr>
            </w:pPr>
          </w:p>
        </w:tc>
        <w:tc>
          <w:tcPr>
            <w:tcW w:w="3327" w:type="pct"/>
            <w:tcBorders>
              <w:top w:val="nil"/>
            </w:tcBorders>
            <w:vAlign w:val="center"/>
          </w:tcPr>
          <w:p w14:paraId="634614E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火灾自动报警主备路供电系统定期检查和维护；</w:t>
            </w:r>
          </w:p>
        </w:tc>
        <w:tc>
          <w:tcPr>
            <w:tcW w:w="807" w:type="pct"/>
            <w:vAlign w:val="center"/>
          </w:tcPr>
          <w:p w14:paraId="365AC15C">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每年4次</w:t>
            </w:r>
          </w:p>
        </w:tc>
      </w:tr>
      <w:tr w14:paraId="2636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continue"/>
            <w:vAlign w:val="center"/>
          </w:tcPr>
          <w:p w14:paraId="181A22EF">
            <w:pPr>
              <w:spacing w:line="360" w:lineRule="auto"/>
              <w:rPr>
                <w:rFonts w:ascii="宋体" w:hAnsi="宋体"/>
                <w:color w:val="000000" w:themeColor="text1"/>
                <w:sz w:val="24"/>
                <w14:textFill>
                  <w14:solidFill>
                    <w14:schemeClr w14:val="tx1"/>
                  </w14:solidFill>
                </w14:textFill>
              </w:rPr>
            </w:pPr>
          </w:p>
        </w:tc>
        <w:tc>
          <w:tcPr>
            <w:tcW w:w="3327" w:type="pct"/>
            <w:tcBorders>
              <w:top w:val="nil"/>
            </w:tcBorders>
            <w:vAlign w:val="center"/>
          </w:tcPr>
          <w:p w14:paraId="1CC45F1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温、烟感探测器和手动报警器定期检查和试验；</w:t>
            </w:r>
          </w:p>
        </w:tc>
        <w:tc>
          <w:tcPr>
            <w:tcW w:w="807" w:type="pct"/>
            <w:vAlign w:val="center"/>
          </w:tcPr>
          <w:p w14:paraId="580F456E">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每年2次</w:t>
            </w:r>
          </w:p>
        </w:tc>
      </w:tr>
      <w:tr w14:paraId="14FD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continue"/>
            <w:vAlign w:val="center"/>
          </w:tcPr>
          <w:p w14:paraId="1D69E746">
            <w:pPr>
              <w:spacing w:line="360" w:lineRule="auto"/>
              <w:rPr>
                <w:rFonts w:ascii="宋体" w:hAnsi="宋体"/>
                <w:color w:val="000000" w:themeColor="text1"/>
                <w:sz w:val="24"/>
                <w14:textFill>
                  <w14:solidFill>
                    <w14:schemeClr w14:val="tx1"/>
                  </w14:solidFill>
                </w14:textFill>
              </w:rPr>
            </w:pPr>
          </w:p>
        </w:tc>
        <w:tc>
          <w:tcPr>
            <w:tcW w:w="3327" w:type="pct"/>
            <w:tcBorders>
              <w:top w:val="nil"/>
            </w:tcBorders>
            <w:vAlign w:val="center"/>
          </w:tcPr>
          <w:p w14:paraId="56D4BD1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电梯、用电等消防系统联动设备定期检查和试验</w:t>
            </w:r>
          </w:p>
        </w:tc>
        <w:tc>
          <w:tcPr>
            <w:tcW w:w="807" w:type="pct"/>
            <w:vAlign w:val="center"/>
          </w:tcPr>
          <w:p w14:paraId="308AE13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每年2次</w:t>
            </w:r>
          </w:p>
        </w:tc>
      </w:tr>
      <w:tr w14:paraId="5893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65" w:type="pct"/>
            <w:vMerge w:val="restart"/>
            <w:vAlign w:val="center"/>
          </w:tcPr>
          <w:p w14:paraId="0A0C1BA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2、消防栓系统</w:t>
            </w:r>
          </w:p>
        </w:tc>
        <w:tc>
          <w:tcPr>
            <w:tcW w:w="3327" w:type="pct"/>
            <w:vAlign w:val="center"/>
          </w:tcPr>
          <w:p w14:paraId="3341E70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消防泵启动运转试验（含消火栓按钮联动启泵试验）；</w:t>
            </w:r>
          </w:p>
        </w:tc>
        <w:tc>
          <w:tcPr>
            <w:tcW w:w="807" w:type="pct"/>
            <w:vAlign w:val="center"/>
          </w:tcPr>
          <w:p w14:paraId="6499A150">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31208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65" w:type="pct"/>
            <w:vMerge w:val="continue"/>
            <w:vAlign w:val="center"/>
          </w:tcPr>
          <w:p w14:paraId="4243669C">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5CFCCA3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所有控制阀门进行检查；</w:t>
            </w:r>
          </w:p>
        </w:tc>
        <w:tc>
          <w:tcPr>
            <w:tcW w:w="807" w:type="pct"/>
            <w:vAlign w:val="center"/>
          </w:tcPr>
          <w:p w14:paraId="448E27E6">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0FBD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continue"/>
            <w:vAlign w:val="center"/>
          </w:tcPr>
          <w:p w14:paraId="3DBD5995">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02A77E3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消防泵房排水泵定期检查和试验</w:t>
            </w:r>
          </w:p>
        </w:tc>
        <w:tc>
          <w:tcPr>
            <w:tcW w:w="807" w:type="pct"/>
            <w:vAlign w:val="center"/>
          </w:tcPr>
          <w:p w14:paraId="28EC752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0AA5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65" w:type="pct"/>
            <w:vMerge w:val="continue"/>
            <w:vAlign w:val="center"/>
          </w:tcPr>
          <w:p w14:paraId="49C343AD">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023270F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稳压泵、气压水罐定期检查和试验</w:t>
            </w:r>
          </w:p>
        </w:tc>
        <w:tc>
          <w:tcPr>
            <w:tcW w:w="807" w:type="pct"/>
            <w:vAlign w:val="center"/>
          </w:tcPr>
          <w:p w14:paraId="5DEB7F2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1AAB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65" w:type="pct"/>
            <w:vMerge w:val="continue"/>
            <w:vAlign w:val="center"/>
          </w:tcPr>
          <w:p w14:paraId="60857366">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57453DE4">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消防水池和消防管路定期检查</w:t>
            </w:r>
          </w:p>
        </w:tc>
        <w:tc>
          <w:tcPr>
            <w:tcW w:w="807" w:type="pct"/>
            <w:vAlign w:val="center"/>
          </w:tcPr>
          <w:p w14:paraId="2E44130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3507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65" w:type="pct"/>
            <w:vMerge w:val="continue"/>
            <w:vAlign w:val="center"/>
          </w:tcPr>
          <w:p w14:paraId="3D0FADC7">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1E8560C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消防栓检查；</w:t>
            </w:r>
          </w:p>
        </w:tc>
        <w:tc>
          <w:tcPr>
            <w:tcW w:w="807" w:type="pct"/>
            <w:vAlign w:val="center"/>
          </w:tcPr>
          <w:p w14:paraId="3107F30D">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3085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2308ADA6">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20E598D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最不利点消防栓静压压力试验；最不利点出水试水接头压力测试。</w:t>
            </w:r>
          </w:p>
        </w:tc>
        <w:tc>
          <w:tcPr>
            <w:tcW w:w="807" w:type="pct"/>
            <w:vAlign w:val="center"/>
          </w:tcPr>
          <w:p w14:paraId="5DD3668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每季度1次</w:t>
            </w:r>
          </w:p>
        </w:tc>
      </w:tr>
      <w:tr w14:paraId="28884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106E2F39">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1FC6F39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室内消防栓箱内水枪、水带等设备检查；</w:t>
            </w:r>
          </w:p>
        </w:tc>
        <w:tc>
          <w:tcPr>
            <w:tcW w:w="807" w:type="pct"/>
            <w:vAlign w:val="center"/>
          </w:tcPr>
          <w:p w14:paraId="3D9AAE74">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每半年1次</w:t>
            </w:r>
          </w:p>
        </w:tc>
      </w:tr>
      <w:tr w14:paraId="106D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2EEC25C9">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023C8B5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水泵接合器接口及附件检查；</w:t>
            </w:r>
          </w:p>
        </w:tc>
        <w:tc>
          <w:tcPr>
            <w:tcW w:w="807" w:type="pct"/>
            <w:vAlign w:val="center"/>
          </w:tcPr>
          <w:p w14:paraId="7F70C77D">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每年1次</w:t>
            </w:r>
          </w:p>
        </w:tc>
      </w:tr>
      <w:tr w14:paraId="4C96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4025F070">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7B4CDCE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抽查消防栓出水情况检查。</w:t>
            </w:r>
          </w:p>
        </w:tc>
        <w:tc>
          <w:tcPr>
            <w:tcW w:w="807" w:type="pct"/>
            <w:vAlign w:val="center"/>
          </w:tcPr>
          <w:p w14:paraId="5E354BD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每年1次</w:t>
            </w:r>
          </w:p>
        </w:tc>
      </w:tr>
      <w:tr w14:paraId="2950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Align w:val="center"/>
          </w:tcPr>
          <w:p w14:paraId="57C1B9E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3、消防水泵系统</w:t>
            </w:r>
          </w:p>
        </w:tc>
        <w:tc>
          <w:tcPr>
            <w:tcW w:w="3327" w:type="pct"/>
            <w:vAlign w:val="center"/>
          </w:tcPr>
          <w:p w14:paraId="4A8DC54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水泵、水泵电机、水泵柜电器配件检查</w:t>
            </w:r>
          </w:p>
        </w:tc>
        <w:tc>
          <w:tcPr>
            <w:tcW w:w="807" w:type="pct"/>
            <w:vAlign w:val="center"/>
          </w:tcPr>
          <w:p w14:paraId="372E5B84">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5F5B1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restart"/>
            <w:vAlign w:val="center"/>
          </w:tcPr>
          <w:p w14:paraId="22D90B8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4、喷淋系统</w:t>
            </w:r>
          </w:p>
        </w:tc>
        <w:tc>
          <w:tcPr>
            <w:tcW w:w="3327" w:type="pct"/>
            <w:vAlign w:val="center"/>
          </w:tcPr>
          <w:p w14:paraId="5F4080E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水源控制阀、报警阀组检查；</w:t>
            </w:r>
          </w:p>
        </w:tc>
        <w:tc>
          <w:tcPr>
            <w:tcW w:w="807" w:type="pct"/>
            <w:vAlign w:val="center"/>
          </w:tcPr>
          <w:p w14:paraId="0596E7F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3B69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5DC1BDD2">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42F0976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喷淋水泵启动运转试验；</w:t>
            </w:r>
          </w:p>
        </w:tc>
        <w:tc>
          <w:tcPr>
            <w:tcW w:w="807" w:type="pct"/>
            <w:vAlign w:val="center"/>
          </w:tcPr>
          <w:p w14:paraId="0AB508E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4D31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2BA38AD0">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2848647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喷头检查；</w:t>
            </w:r>
          </w:p>
        </w:tc>
        <w:tc>
          <w:tcPr>
            <w:tcW w:w="807" w:type="pct"/>
            <w:vAlign w:val="center"/>
          </w:tcPr>
          <w:p w14:paraId="4C6EA04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05DD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3A899713">
            <w:pPr>
              <w:spacing w:line="360" w:lineRule="auto"/>
              <w:rPr>
                <w:rFonts w:ascii="宋体" w:hAnsi="宋体"/>
                <w:color w:val="000000" w:themeColor="text1"/>
                <w:sz w:val="24"/>
                <w14:textFill>
                  <w14:solidFill>
                    <w14:schemeClr w14:val="tx1"/>
                  </w14:solidFill>
                </w14:textFill>
              </w:rPr>
            </w:pPr>
          </w:p>
        </w:tc>
        <w:tc>
          <w:tcPr>
            <w:tcW w:w="3327" w:type="pct"/>
            <w:vAlign w:val="center"/>
          </w:tcPr>
          <w:p w14:paraId="45CFD27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湿式报警阀旁的放水试验阀进行泄水试验；</w:t>
            </w:r>
          </w:p>
        </w:tc>
        <w:tc>
          <w:tcPr>
            <w:tcW w:w="807" w:type="pct"/>
            <w:vAlign w:val="center"/>
          </w:tcPr>
          <w:p w14:paraId="725AF93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每季度1次</w:t>
            </w:r>
          </w:p>
        </w:tc>
      </w:tr>
      <w:tr w14:paraId="3E95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76BD8259">
            <w:pPr>
              <w:spacing w:line="360" w:lineRule="auto"/>
              <w:rPr>
                <w:rFonts w:ascii="宋体" w:hAnsi="宋体"/>
                <w:color w:val="000000" w:themeColor="text1"/>
                <w:sz w:val="24"/>
                <w:highlight w:val="yellow"/>
                <w14:textFill>
                  <w14:solidFill>
                    <w14:schemeClr w14:val="tx1"/>
                  </w14:solidFill>
                </w14:textFill>
              </w:rPr>
            </w:pPr>
          </w:p>
        </w:tc>
        <w:tc>
          <w:tcPr>
            <w:tcW w:w="3327" w:type="pct"/>
            <w:vAlign w:val="center"/>
          </w:tcPr>
          <w:p w14:paraId="67A136B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末端试水装置对水流指示器进行试验；</w:t>
            </w:r>
          </w:p>
        </w:tc>
        <w:tc>
          <w:tcPr>
            <w:tcW w:w="807" w:type="pct"/>
            <w:vAlign w:val="center"/>
          </w:tcPr>
          <w:p w14:paraId="47DCE853">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每半年1次</w:t>
            </w:r>
          </w:p>
        </w:tc>
      </w:tr>
      <w:tr w14:paraId="6239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48382841">
            <w:pPr>
              <w:spacing w:line="360" w:lineRule="auto"/>
              <w:rPr>
                <w:rFonts w:ascii="宋体" w:hAnsi="宋体"/>
                <w:color w:val="000000" w:themeColor="text1"/>
                <w:sz w:val="24"/>
                <w:highlight w:val="yellow"/>
                <w14:textFill>
                  <w14:solidFill>
                    <w14:schemeClr w14:val="tx1"/>
                  </w14:solidFill>
                </w14:textFill>
              </w:rPr>
            </w:pPr>
          </w:p>
        </w:tc>
        <w:tc>
          <w:tcPr>
            <w:tcW w:w="3327" w:type="pct"/>
            <w:vAlign w:val="center"/>
          </w:tcPr>
          <w:p w14:paraId="1DE359C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水泵接合器接口及附件检查；</w:t>
            </w:r>
          </w:p>
        </w:tc>
        <w:tc>
          <w:tcPr>
            <w:tcW w:w="807" w:type="pct"/>
            <w:vAlign w:val="center"/>
          </w:tcPr>
          <w:p w14:paraId="14B0320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每年1次</w:t>
            </w:r>
          </w:p>
        </w:tc>
      </w:tr>
      <w:tr w14:paraId="32C1C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vAlign w:val="center"/>
          </w:tcPr>
          <w:p w14:paraId="417E4F37">
            <w:pPr>
              <w:spacing w:line="360" w:lineRule="auto"/>
              <w:rPr>
                <w:rFonts w:ascii="宋体" w:hAnsi="宋体"/>
                <w:color w:val="000000" w:themeColor="text1"/>
                <w:sz w:val="24"/>
                <w:highlight w:val="yellow"/>
                <w14:textFill>
                  <w14:solidFill>
                    <w14:schemeClr w14:val="tx1"/>
                  </w14:solidFill>
                </w14:textFill>
              </w:rPr>
            </w:pPr>
          </w:p>
        </w:tc>
        <w:tc>
          <w:tcPr>
            <w:tcW w:w="3327" w:type="pct"/>
            <w:vAlign w:val="center"/>
          </w:tcPr>
          <w:p w14:paraId="0D9A535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消防水池、消防水箱及消防气压给水设备的消防储水位及消防气压给水设备的压力进行检查。</w:t>
            </w:r>
          </w:p>
        </w:tc>
        <w:tc>
          <w:tcPr>
            <w:tcW w:w="807" w:type="pct"/>
            <w:vAlign w:val="center"/>
          </w:tcPr>
          <w:p w14:paraId="6E279790">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每年1次</w:t>
            </w:r>
          </w:p>
        </w:tc>
      </w:tr>
      <w:tr w14:paraId="4582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restart"/>
            <w:tcBorders>
              <w:right w:val="single" w:color="auto" w:sz="4" w:space="0"/>
            </w:tcBorders>
            <w:vAlign w:val="center"/>
          </w:tcPr>
          <w:p w14:paraId="5217E78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5、气体（七氟丙烷）灭火系统</w:t>
            </w:r>
          </w:p>
        </w:tc>
        <w:tc>
          <w:tcPr>
            <w:tcW w:w="3327" w:type="pct"/>
            <w:tcBorders>
              <w:right w:val="single" w:color="auto" w:sz="4" w:space="0"/>
            </w:tcBorders>
            <w:vAlign w:val="center"/>
          </w:tcPr>
          <w:p w14:paraId="20AEFCA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检查保养各套气体灭火控制器，测试其功能是否正常</w:t>
            </w:r>
          </w:p>
        </w:tc>
        <w:tc>
          <w:tcPr>
            <w:tcW w:w="807" w:type="pct"/>
            <w:tcBorders>
              <w:right w:val="single" w:color="auto" w:sz="4" w:space="0"/>
            </w:tcBorders>
            <w:vAlign w:val="center"/>
          </w:tcPr>
          <w:p w14:paraId="7C05A3E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211DE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tcBorders>
              <w:right w:val="single" w:color="auto" w:sz="4" w:space="0"/>
            </w:tcBorders>
            <w:vAlign w:val="center"/>
          </w:tcPr>
          <w:p w14:paraId="067CFE30">
            <w:pPr>
              <w:spacing w:line="360" w:lineRule="auto"/>
              <w:rPr>
                <w:rFonts w:ascii="宋体" w:hAnsi="宋体"/>
                <w:color w:val="000000" w:themeColor="text1"/>
                <w:sz w:val="24"/>
                <w14:textFill>
                  <w14:solidFill>
                    <w14:schemeClr w14:val="tx1"/>
                  </w14:solidFill>
                </w14:textFill>
              </w:rPr>
            </w:pPr>
          </w:p>
        </w:tc>
        <w:tc>
          <w:tcPr>
            <w:tcW w:w="3327" w:type="pct"/>
            <w:tcBorders>
              <w:right w:val="single" w:color="auto" w:sz="4" w:space="0"/>
            </w:tcBorders>
            <w:vAlign w:val="center"/>
          </w:tcPr>
          <w:p w14:paraId="7C65CDF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检查启动瓶和药剂贮瓶的压力是否符合出厂充装压力和设计要求（压力表指针是否在绿区），有无泄漏现象；</w:t>
            </w:r>
          </w:p>
        </w:tc>
        <w:tc>
          <w:tcPr>
            <w:tcW w:w="807" w:type="pct"/>
            <w:tcBorders>
              <w:right w:val="single" w:color="auto" w:sz="4" w:space="0"/>
            </w:tcBorders>
            <w:vAlign w:val="center"/>
          </w:tcPr>
          <w:p w14:paraId="50AAAADC">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0A1C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tcBorders>
              <w:right w:val="single" w:color="auto" w:sz="4" w:space="0"/>
            </w:tcBorders>
            <w:vAlign w:val="center"/>
          </w:tcPr>
          <w:p w14:paraId="33A2E700">
            <w:pPr>
              <w:spacing w:line="360" w:lineRule="auto"/>
              <w:rPr>
                <w:rFonts w:ascii="宋体" w:hAnsi="宋体"/>
                <w:color w:val="000000" w:themeColor="text1"/>
                <w:sz w:val="24"/>
                <w14:textFill>
                  <w14:solidFill>
                    <w14:schemeClr w14:val="tx1"/>
                  </w14:solidFill>
                </w14:textFill>
              </w:rPr>
            </w:pPr>
          </w:p>
        </w:tc>
        <w:tc>
          <w:tcPr>
            <w:tcW w:w="3327" w:type="pct"/>
            <w:tcBorders>
              <w:right w:val="single" w:color="auto" w:sz="4" w:space="0"/>
            </w:tcBorders>
            <w:vAlign w:val="center"/>
          </w:tcPr>
          <w:p w14:paraId="65AF99A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检查试验手动、自动紧急启、停放气装置功能是否正常；</w:t>
            </w:r>
          </w:p>
        </w:tc>
        <w:tc>
          <w:tcPr>
            <w:tcW w:w="807" w:type="pct"/>
            <w:tcBorders>
              <w:right w:val="single" w:color="auto" w:sz="4" w:space="0"/>
            </w:tcBorders>
            <w:vAlign w:val="center"/>
          </w:tcPr>
          <w:p w14:paraId="4E961CB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29A3D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tcBorders>
              <w:right w:val="single" w:color="auto" w:sz="4" w:space="0"/>
            </w:tcBorders>
            <w:vAlign w:val="center"/>
          </w:tcPr>
          <w:p w14:paraId="44BCE5A6">
            <w:pPr>
              <w:spacing w:line="360" w:lineRule="auto"/>
              <w:rPr>
                <w:rFonts w:ascii="宋体" w:hAnsi="宋体"/>
                <w:color w:val="000000" w:themeColor="text1"/>
                <w:sz w:val="24"/>
                <w14:textFill>
                  <w14:solidFill>
                    <w14:schemeClr w14:val="tx1"/>
                  </w14:solidFill>
                </w14:textFill>
              </w:rPr>
            </w:pPr>
          </w:p>
        </w:tc>
        <w:tc>
          <w:tcPr>
            <w:tcW w:w="3327" w:type="pct"/>
            <w:tcBorders>
              <w:right w:val="single" w:color="auto" w:sz="4" w:space="0"/>
            </w:tcBorders>
            <w:vAlign w:val="center"/>
          </w:tcPr>
          <w:p w14:paraId="389DDD8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对电磁阀、瓶头阀清洗，加硅油润滑；</w:t>
            </w:r>
          </w:p>
        </w:tc>
        <w:tc>
          <w:tcPr>
            <w:tcW w:w="807" w:type="pct"/>
            <w:tcBorders>
              <w:right w:val="single" w:color="auto" w:sz="4" w:space="0"/>
            </w:tcBorders>
            <w:vAlign w:val="center"/>
          </w:tcPr>
          <w:p w14:paraId="7CB12F9D">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每年1次</w:t>
            </w:r>
          </w:p>
        </w:tc>
      </w:tr>
      <w:tr w14:paraId="1CBC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tcBorders>
              <w:right w:val="single" w:color="auto" w:sz="4" w:space="0"/>
            </w:tcBorders>
            <w:vAlign w:val="center"/>
          </w:tcPr>
          <w:p w14:paraId="69AEFF1E">
            <w:pPr>
              <w:spacing w:line="360" w:lineRule="auto"/>
              <w:rPr>
                <w:rFonts w:ascii="宋体" w:hAnsi="宋体"/>
                <w:color w:val="000000" w:themeColor="text1"/>
                <w:sz w:val="24"/>
                <w14:textFill>
                  <w14:solidFill>
                    <w14:schemeClr w14:val="tx1"/>
                  </w14:solidFill>
                </w14:textFill>
              </w:rPr>
            </w:pPr>
          </w:p>
        </w:tc>
        <w:tc>
          <w:tcPr>
            <w:tcW w:w="3327" w:type="pct"/>
            <w:tcBorders>
              <w:right w:val="single" w:color="auto" w:sz="4" w:space="0"/>
            </w:tcBorders>
            <w:vAlign w:val="center"/>
          </w:tcPr>
          <w:p w14:paraId="2234EBC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模拟自动报警系统中的烟、温感探测器同时动作，通风空调是否停止，防火阀是否关闭，检查气瓶的电磁阀是否在规定的时间内动作，控制屏是否有放气信号，消防中心是否有信号，警铃、蜂鸣器是否动作；</w:t>
            </w:r>
          </w:p>
        </w:tc>
        <w:tc>
          <w:tcPr>
            <w:tcW w:w="807" w:type="pct"/>
            <w:tcBorders>
              <w:right w:val="single" w:color="auto" w:sz="4" w:space="0"/>
            </w:tcBorders>
            <w:vAlign w:val="center"/>
          </w:tcPr>
          <w:p w14:paraId="50688D2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4950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tcBorders>
              <w:right w:val="single" w:color="auto" w:sz="4" w:space="0"/>
            </w:tcBorders>
            <w:vAlign w:val="center"/>
          </w:tcPr>
          <w:p w14:paraId="0C7D4360">
            <w:pPr>
              <w:spacing w:line="360" w:lineRule="auto"/>
              <w:rPr>
                <w:rFonts w:ascii="宋体" w:hAnsi="宋体"/>
                <w:color w:val="000000" w:themeColor="text1"/>
                <w:sz w:val="24"/>
                <w14:textFill>
                  <w14:solidFill>
                    <w14:schemeClr w14:val="tx1"/>
                  </w14:solidFill>
                </w14:textFill>
              </w:rPr>
            </w:pPr>
          </w:p>
        </w:tc>
        <w:tc>
          <w:tcPr>
            <w:tcW w:w="3327" w:type="pct"/>
            <w:tcBorders>
              <w:right w:val="single" w:color="auto" w:sz="4" w:space="0"/>
            </w:tcBorders>
            <w:vAlign w:val="center"/>
          </w:tcPr>
          <w:p w14:paraId="4A73611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检查气体灭火系统启动瓶、药剂瓶有无变形，有无腐蚀、脱漆；</w:t>
            </w:r>
          </w:p>
        </w:tc>
        <w:tc>
          <w:tcPr>
            <w:tcW w:w="807" w:type="pct"/>
            <w:tcBorders>
              <w:right w:val="single" w:color="auto" w:sz="4" w:space="0"/>
            </w:tcBorders>
            <w:vAlign w:val="center"/>
          </w:tcPr>
          <w:p w14:paraId="410F3F8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4C8B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tcBorders>
              <w:right w:val="single" w:color="auto" w:sz="4" w:space="0"/>
            </w:tcBorders>
            <w:vAlign w:val="center"/>
          </w:tcPr>
          <w:p w14:paraId="6F08C2C5">
            <w:pPr>
              <w:spacing w:line="360" w:lineRule="auto"/>
              <w:rPr>
                <w:rFonts w:ascii="宋体" w:hAnsi="宋体"/>
                <w:color w:val="000000" w:themeColor="text1"/>
                <w:sz w:val="24"/>
                <w14:textFill>
                  <w14:solidFill>
                    <w14:schemeClr w14:val="tx1"/>
                  </w14:solidFill>
                </w14:textFill>
              </w:rPr>
            </w:pPr>
          </w:p>
        </w:tc>
        <w:tc>
          <w:tcPr>
            <w:tcW w:w="3327" w:type="pct"/>
            <w:tcBorders>
              <w:right w:val="single" w:color="auto" w:sz="4" w:space="0"/>
            </w:tcBorders>
            <w:vAlign w:val="center"/>
          </w:tcPr>
          <w:p w14:paraId="0756CB4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检查控制气管有无变形或松脱，检查高压软管有无变形、生锈或老化；</w:t>
            </w:r>
          </w:p>
        </w:tc>
        <w:tc>
          <w:tcPr>
            <w:tcW w:w="807" w:type="pct"/>
            <w:tcBorders>
              <w:right w:val="single" w:color="auto" w:sz="4" w:space="0"/>
            </w:tcBorders>
            <w:vAlign w:val="center"/>
          </w:tcPr>
          <w:p w14:paraId="212A326F">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7207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65" w:type="pct"/>
            <w:vMerge w:val="continue"/>
            <w:tcBorders>
              <w:right w:val="single" w:color="auto" w:sz="4" w:space="0"/>
            </w:tcBorders>
            <w:vAlign w:val="center"/>
          </w:tcPr>
          <w:p w14:paraId="38EDCDE8">
            <w:pPr>
              <w:spacing w:line="360" w:lineRule="auto"/>
              <w:rPr>
                <w:rFonts w:ascii="宋体" w:hAnsi="宋体"/>
                <w:color w:val="000000" w:themeColor="text1"/>
                <w:sz w:val="24"/>
                <w14:textFill>
                  <w14:solidFill>
                    <w14:schemeClr w14:val="tx1"/>
                  </w14:solidFill>
                </w14:textFill>
              </w:rPr>
            </w:pPr>
          </w:p>
        </w:tc>
        <w:tc>
          <w:tcPr>
            <w:tcW w:w="3327" w:type="pct"/>
            <w:tcBorders>
              <w:right w:val="single" w:color="auto" w:sz="4" w:space="0"/>
            </w:tcBorders>
            <w:vAlign w:val="center"/>
          </w:tcPr>
          <w:p w14:paraId="357AFBF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检查气体保护区域（防护区）内的围护结构、开口等是否符合要求。</w:t>
            </w:r>
          </w:p>
        </w:tc>
        <w:tc>
          <w:tcPr>
            <w:tcW w:w="807" w:type="pct"/>
            <w:tcBorders>
              <w:right w:val="single" w:color="auto" w:sz="4" w:space="0"/>
            </w:tcBorders>
            <w:vAlign w:val="center"/>
          </w:tcPr>
          <w:p w14:paraId="1FB61230">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bl>
    <w:p w14:paraId="1A263BD6">
      <w:pPr>
        <w:rPr>
          <w:color w:val="000000" w:themeColor="text1"/>
          <w:sz w:val="24"/>
          <w14:textFill>
            <w14:solidFill>
              <w14:schemeClr w14:val="tx1"/>
            </w14:solidFill>
          </w14:textFill>
        </w:rPr>
      </w:pPr>
    </w:p>
    <w:p w14:paraId="19B35D38">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三水分公司消防设备设施维护保养需求</w:t>
      </w: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5546"/>
        <w:gridCol w:w="1623"/>
      </w:tblGrid>
      <w:tr w14:paraId="6DDAC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Align w:val="center"/>
          </w:tcPr>
          <w:p w14:paraId="4818459C">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项目</w:t>
            </w:r>
          </w:p>
        </w:tc>
        <w:tc>
          <w:tcPr>
            <w:tcW w:w="3254" w:type="pct"/>
            <w:tcBorders>
              <w:top w:val="single" w:color="auto" w:sz="4" w:space="0"/>
              <w:left w:val="single" w:color="auto" w:sz="4" w:space="0"/>
              <w:bottom w:val="single" w:color="auto" w:sz="4" w:space="0"/>
              <w:right w:val="single" w:color="auto" w:sz="4" w:space="0"/>
            </w:tcBorders>
            <w:vAlign w:val="center"/>
          </w:tcPr>
          <w:p w14:paraId="21985384">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巡查内容</w:t>
            </w:r>
          </w:p>
        </w:tc>
        <w:tc>
          <w:tcPr>
            <w:tcW w:w="952" w:type="pct"/>
            <w:tcBorders>
              <w:top w:val="single" w:color="auto" w:sz="4" w:space="0"/>
              <w:left w:val="single" w:color="auto" w:sz="4" w:space="0"/>
              <w:bottom w:val="single" w:color="auto" w:sz="4" w:space="0"/>
              <w:right w:val="single" w:color="auto" w:sz="4" w:space="0"/>
            </w:tcBorders>
            <w:vAlign w:val="center"/>
          </w:tcPr>
          <w:p w14:paraId="56CC42E6">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巡查要求</w:t>
            </w:r>
          </w:p>
        </w:tc>
      </w:tr>
      <w:tr w14:paraId="43C0F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Align w:val="center"/>
          </w:tcPr>
          <w:p w14:paraId="3CA4A61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、防火分区</w:t>
            </w:r>
          </w:p>
        </w:tc>
        <w:tc>
          <w:tcPr>
            <w:tcW w:w="3254" w:type="pct"/>
            <w:tcBorders>
              <w:top w:val="single" w:color="auto" w:sz="4" w:space="0"/>
              <w:left w:val="single" w:color="auto" w:sz="4" w:space="0"/>
              <w:bottom w:val="single" w:color="auto" w:sz="4" w:space="0"/>
              <w:right w:val="single" w:color="auto" w:sz="4" w:space="0"/>
            </w:tcBorders>
            <w:vAlign w:val="center"/>
          </w:tcPr>
          <w:p w14:paraId="1CBE8573">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检查木质防火门、检查防火门开闭门器，顺序器、防火卷帘门等的完好情况。</w:t>
            </w:r>
          </w:p>
        </w:tc>
        <w:tc>
          <w:tcPr>
            <w:tcW w:w="952" w:type="pct"/>
            <w:tcBorders>
              <w:top w:val="single" w:color="auto" w:sz="4" w:space="0"/>
              <w:left w:val="single" w:color="auto" w:sz="4" w:space="0"/>
              <w:bottom w:val="single" w:color="auto" w:sz="4" w:space="0"/>
              <w:right w:val="single" w:color="auto" w:sz="4" w:space="0"/>
            </w:tcBorders>
            <w:vAlign w:val="center"/>
          </w:tcPr>
          <w:p w14:paraId="274E7904">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644CD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restart"/>
            <w:vAlign w:val="center"/>
          </w:tcPr>
          <w:p w14:paraId="2BC27918">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、应急照明疏散指示</w:t>
            </w:r>
          </w:p>
        </w:tc>
        <w:tc>
          <w:tcPr>
            <w:tcW w:w="3254" w:type="pct"/>
            <w:tcBorders>
              <w:top w:val="single" w:color="auto" w:sz="4" w:space="0"/>
              <w:left w:val="single" w:color="auto" w:sz="4" w:space="0"/>
              <w:bottom w:val="single" w:color="auto" w:sz="4" w:space="0"/>
              <w:right w:val="single" w:color="auto" w:sz="4" w:space="0"/>
            </w:tcBorders>
            <w:vAlign w:val="center"/>
          </w:tcPr>
          <w:p w14:paraId="163356A0">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检查安全出口、疏散通道、重要场所的应急照明和疏散指示标志；</w:t>
            </w:r>
          </w:p>
        </w:tc>
        <w:tc>
          <w:tcPr>
            <w:tcW w:w="952" w:type="pct"/>
            <w:tcBorders>
              <w:top w:val="single" w:color="auto" w:sz="4" w:space="0"/>
              <w:left w:val="single" w:color="auto" w:sz="4" w:space="0"/>
              <w:bottom w:val="single" w:color="auto" w:sz="4" w:space="0"/>
              <w:right w:val="single" w:color="auto" w:sz="4" w:space="0"/>
            </w:tcBorders>
            <w:vAlign w:val="center"/>
          </w:tcPr>
          <w:p w14:paraId="6FA1C8F4">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7960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continue"/>
            <w:vAlign w:val="center"/>
          </w:tcPr>
          <w:p w14:paraId="276393E7">
            <w:pPr>
              <w:spacing w:line="360" w:lineRule="auto"/>
              <w:rPr>
                <w:rFonts w:ascii="宋体" w:hAnsi="宋体"/>
                <w:color w:val="000000" w:themeColor="text1"/>
                <w:sz w:val="24"/>
                <w14:textFill>
                  <w14:solidFill>
                    <w14:schemeClr w14:val="tx1"/>
                  </w14:solidFill>
                </w14:textFill>
              </w:rPr>
            </w:pPr>
          </w:p>
        </w:tc>
        <w:tc>
          <w:tcPr>
            <w:tcW w:w="3254" w:type="pct"/>
            <w:tcBorders>
              <w:top w:val="single" w:color="auto" w:sz="4" w:space="0"/>
              <w:left w:val="single" w:color="auto" w:sz="4" w:space="0"/>
              <w:bottom w:val="single" w:color="auto" w:sz="4" w:space="0"/>
              <w:right w:val="single" w:color="auto" w:sz="4" w:space="0"/>
            </w:tcBorders>
            <w:vAlign w:val="center"/>
          </w:tcPr>
          <w:p w14:paraId="29A81FF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试验应急照明灯和疏散指示灯。</w:t>
            </w:r>
          </w:p>
        </w:tc>
        <w:tc>
          <w:tcPr>
            <w:tcW w:w="952" w:type="pct"/>
            <w:tcBorders>
              <w:top w:val="single" w:color="auto" w:sz="4" w:space="0"/>
              <w:left w:val="single" w:color="auto" w:sz="4" w:space="0"/>
              <w:bottom w:val="single" w:color="auto" w:sz="4" w:space="0"/>
              <w:right w:val="single" w:color="auto" w:sz="4" w:space="0"/>
            </w:tcBorders>
            <w:vAlign w:val="center"/>
          </w:tcPr>
          <w:p w14:paraId="263797A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3894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restart"/>
            <w:vAlign w:val="center"/>
          </w:tcPr>
          <w:p w14:paraId="1C442991">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、其他                           </w:t>
            </w:r>
          </w:p>
        </w:tc>
        <w:tc>
          <w:tcPr>
            <w:tcW w:w="3254" w:type="pct"/>
            <w:tcBorders>
              <w:top w:val="single" w:color="auto" w:sz="4" w:space="0"/>
              <w:left w:val="single" w:color="auto" w:sz="4" w:space="0"/>
              <w:bottom w:val="single" w:color="auto" w:sz="4" w:space="0"/>
              <w:right w:val="single" w:color="auto" w:sz="4" w:space="0"/>
            </w:tcBorders>
            <w:vAlign w:val="center"/>
          </w:tcPr>
          <w:p w14:paraId="796B710F">
            <w:pPr>
              <w:shd w:val="clear" w:color="auto" w:fill="FFFC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检查灭火器的压力、重量、有效期等。必要时做喷射试验。</w:t>
            </w:r>
          </w:p>
        </w:tc>
        <w:tc>
          <w:tcPr>
            <w:tcW w:w="952" w:type="pct"/>
            <w:tcBorders>
              <w:top w:val="single" w:color="auto" w:sz="4" w:space="0"/>
              <w:left w:val="single" w:color="auto" w:sz="4" w:space="0"/>
              <w:bottom w:val="single" w:color="auto" w:sz="4" w:space="0"/>
              <w:right w:val="single" w:color="auto" w:sz="4" w:space="0"/>
            </w:tcBorders>
            <w:vAlign w:val="center"/>
          </w:tcPr>
          <w:p w14:paraId="67FA197D">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r w14:paraId="7479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93" w:type="pct"/>
            <w:vMerge w:val="continue"/>
            <w:vAlign w:val="center"/>
          </w:tcPr>
          <w:p w14:paraId="6F00D5D7">
            <w:pPr>
              <w:spacing w:line="360" w:lineRule="auto"/>
              <w:rPr>
                <w:rFonts w:ascii="宋体" w:hAnsi="宋体"/>
                <w:color w:val="000000" w:themeColor="text1"/>
                <w:sz w:val="24"/>
                <w14:textFill>
                  <w14:solidFill>
                    <w14:schemeClr w14:val="tx1"/>
                  </w14:solidFill>
                </w14:textFill>
              </w:rPr>
            </w:pPr>
          </w:p>
        </w:tc>
        <w:tc>
          <w:tcPr>
            <w:tcW w:w="3254" w:type="pct"/>
            <w:tcBorders>
              <w:top w:val="single" w:color="auto" w:sz="4" w:space="0"/>
              <w:left w:val="single" w:color="auto" w:sz="4" w:space="0"/>
              <w:bottom w:val="single" w:color="auto" w:sz="4" w:space="0"/>
              <w:right w:val="single" w:color="auto" w:sz="4" w:space="0"/>
            </w:tcBorders>
            <w:vAlign w:val="center"/>
          </w:tcPr>
          <w:p w14:paraId="71D8B9A1">
            <w:pPr>
              <w:spacing w:line="360" w:lineRule="auto"/>
              <w:rPr>
                <w:rFonts w:ascii="宋体" w:hAnsi="宋体"/>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检查自救逃生设备，消防电源及自动切换设备是否处于正常完好状态。检查防毒面具有效期等。</w:t>
            </w:r>
          </w:p>
        </w:tc>
        <w:tc>
          <w:tcPr>
            <w:tcW w:w="952" w:type="pct"/>
            <w:tcBorders>
              <w:top w:val="single" w:color="auto" w:sz="4" w:space="0"/>
              <w:left w:val="single" w:color="auto" w:sz="4" w:space="0"/>
              <w:bottom w:val="single" w:color="auto" w:sz="4" w:space="0"/>
              <w:right w:val="single" w:color="auto" w:sz="4" w:space="0"/>
            </w:tcBorders>
            <w:vAlign w:val="center"/>
          </w:tcPr>
          <w:p w14:paraId="40237FCD">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每月1次</w:t>
            </w:r>
          </w:p>
        </w:tc>
      </w:tr>
    </w:tbl>
    <w:p w14:paraId="5192EA52">
      <w:pPr>
        <w:spacing w:line="360" w:lineRule="auto"/>
        <w:ind w:firstLine="48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 w:val="24"/>
          <w14:textFill>
            <w14:solidFill>
              <w14:schemeClr w14:val="tx1"/>
            </w14:solidFill>
          </w14:textFill>
        </w:rPr>
        <w:t>六、双方责任</w:t>
      </w:r>
    </w:p>
    <w:p w14:paraId="60EF916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1、甲方应指派专人负责协调乙方的维护保养工作，确认乙方的测试、检查结果，处理乙方提出的保养意见，并提供必要的测试、检查环境和条件，及时支付维护保养费用等。</w:t>
      </w:r>
    </w:p>
    <w:p w14:paraId="34ADC75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乙方按合同内容做好维护保养工作和维护保养记录，维护保养期内属乙方维护保养质量问题的，由乙方免费维修。造成甲方损失的，应由乙方承担全部责任。若因乙方在保养过程中人为损坏或操作不当造成的损失，由乙方承担全部责任。如因乙方原因造成甲方重大损害的，甲方可不支付保养费用，同时甲方可向乙方追偿。</w:t>
      </w:r>
    </w:p>
    <w:p w14:paraId="2167C75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3、乙方每次维护时，每组应指派至少一名持有中级技能等级以上建（构）筑物消防员职业资格证书的专人带队维护，此项如不履行，视为违约，甲方有权终止乙方的服务资格。</w:t>
      </w:r>
    </w:p>
    <w:p w14:paraId="40E6000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因甲方不重视乙方的合理建议，不同意整改或更换失灵损坏的设备、材料而引起的责任甲方承担。由于甲方操作使用不当、非火警时使用、人为损坏或遇人力不可抗拒灾害致损的不属于保养范围，但乙方可负责维修，由甲方支付费用。</w:t>
      </w:r>
    </w:p>
    <w:p w14:paraId="444851FB">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六、其他</w:t>
      </w:r>
    </w:p>
    <w:p w14:paraId="4271F06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1、因履行本合同发生争议，甲、乙双方应好友协商解决，协商不成，双方同意向佛山市三水区人民法院提起诉讼。</w:t>
      </w:r>
    </w:p>
    <w:p w14:paraId="56E2FA2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2、本合同自甲、乙双方签字盖章后生效。本合同一式五份，甲方执二份，乙方执三份，具有同等法律效力。</w:t>
      </w:r>
    </w:p>
    <w:p w14:paraId="460D81A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3、本合同未尽事宜，由双方协商签订补充协议。</w:t>
      </w:r>
    </w:p>
    <w:p w14:paraId="700F1F2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4、如出现国家税收政策调整时，双方应根据实际税收调整情况，以本合同中的货物不含税单价为依据相应调整受影响的合同含税金额，乙方需按照税收调整政策规定开具合法合规发票。</w:t>
      </w:r>
    </w:p>
    <w:p w14:paraId="727BEA09">
      <w:pPr>
        <w:tabs>
          <w:tab w:val="left" w:pos="705"/>
          <w:tab w:val="left" w:pos="840"/>
          <w:tab w:val="left" w:pos="12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附件：三水分公司消防系统维护保养服务质量考核表</w:t>
      </w:r>
    </w:p>
    <w:p w14:paraId="4E8E5D64">
      <w:pPr>
        <w:spacing w:line="220" w:lineRule="atLeas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14:paraId="11BF725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（本页无正文，此页为《三水分公司消防系统设备设施维保采购项目合同》签署页）</w:t>
      </w:r>
    </w:p>
    <w:p w14:paraId="3A9BFB75">
      <w:pPr>
        <w:spacing w:line="360" w:lineRule="auto"/>
        <w:rPr>
          <w:rFonts w:ascii="宋体" w:hAnsi="宋体"/>
          <w:color w:val="000000" w:themeColor="text1"/>
          <w:sz w:val="24"/>
          <w14:textFill>
            <w14:solidFill>
              <w14:schemeClr w14:val="tx1"/>
            </w14:solidFill>
          </w14:textFill>
        </w:rPr>
      </w:pPr>
    </w:p>
    <w:p w14:paraId="72F935D1">
      <w:pPr>
        <w:spacing w:line="360" w:lineRule="auto"/>
        <w:ind w:firstLine="480" w:firstLineChars="200"/>
        <w:rPr>
          <w:rFonts w:ascii="宋体" w:hAnsi="宋体"/>
          <w:color w:val="000000" w:themeColor="text1"/>
          <w:sz w:val="24"/>
          <w14:textFill>
            <w14:solidFill>
              <w14:schemeClr w14:val="tx1"/>
            </w14:solidFill>
          </w14:textFill>
        </w:rPr>
      </w:pPr>
    </w:p>
    <w:p w14:paraId="0E3DE83E">
      <w:pPr>
        <w:spacing w:line="360" w:lineRule="auto"/>
        <w:ind w:firstLine="480" w:firstLineChars="200"/>
        <w:rPr>
          <w:rFonts w:ascii="宋体" w:hAnsi="宋体"/>
          <w:color w:val="000000" w:themeColor="text1"/>
          <w:sz w:val="24"/>
          <w14:textFill>
            <w14:solidFill>
              <w14:schemeClr w14:val="tx1"/>
            </w14:solidFill>
          </w14:textFill>
        </w:rPr>
      </w:pPr>
    </w:p>
    <w:p w14:paraId="4A551576">
      <w:pPr>
        <w:spacing w:line="360" w:lineRule="auto"/>
        <w:ind w:firstLine="480" w:firstLineChars="200"/>
        <w:rPr>
          <w:rFonts w:ascii="宋体" w:hAnsi="宋体"/>
          <w:color w:val="000000" w:themeColor="text1"/>
          <w:sz w:val="24"/>
          <w14:textFill>
            <w14:solidFill>
              <w14:schemeClr w14:val="tx1"/>
            </w14:solidFill>
          </w14:textFill>
        </w:rPr>
      </w:pPr>
    </w:p>
    <w:p w14:paraId="6F7946E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甲方：广东省广播电视网络股份有限公司佛山三水分公司</w:t>
      </w:r>
    </w:p>
    <w:p w14:paraId="0E9A128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B99B45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负责人（或授权委托人）签字：             </w:t>
      </w:r>
    </w:p>
    <w:p w14:paraId="41AAC62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634C110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经办人 :                                   </w:t>
      </w:r>
    </w:p>
    <w:p w14:paraId="571919FB">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491CF0C">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签署日期：     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                    </w:t>
      </w:r>
    </w:p>
    <w:p w14:paraId="34FA783D">
      <w:pPr>
        <w:spacing w:line="360" w:lineRule="auto"/>
        <w:rPr>
          <w:rFonts w:ascii="宋体" w:hAnsi="宋体"/>
          <w:color w:val="000000" w:themeColor="text1"/>
          <w:sz w:val="24"/>
          <w14:textFill>
            <w14:solidFill>
              <w14:schemeClr w14:val="tx1"/>
            </w14:solidFill>
          </w14:textFill>
        </w:rPr>
      </w:pPr>
    </w:p>
    <w:p w14:paraId="6DDC16C2">
      <w:pPr>
        <w:spacing w:line="360" w:lineRule="auto"/>
        <w:rPr>
          <w:rFonts w:ascii="宋体" w:hAnsi="宋体"/>
          <w:color w:val="000000" w:themeColor="text1"/>
          <w:sz w:val="24"/>
          <w14:textFill>
            <w14:solidFill>
              <w14:schemeClr w14:val="tx1"/>
            </w14:solidFill>
          </w14:textFill>
        </w:rPr>
      </w:pPr>
    </w:p>
    <w:p w14:paraId="627896EF">
      <w:pPr>
        <w:spacing w:line="360" w:lineRule="auto"/>
        <w:rPr>
          <w:rFonts w:ascii="宋体" w:hAnsi="宋体"/>
          <w:color w:val="000000" w:themeColor="text1"/>
          <w:sz w:val="24"/>
          <w14:textFill>
            <w14:solidFill>
              <w14:schemeClr w14:val="tx1"/>
            </w14:solidFill>
          </w14:textFill>
        </w:rPr>
      </w:pPr>
    </w:p>
    <w:p w14:paraId="72A9C120">
      <w:pPr>
        <w:spacing w:line="360" w:lineRule="auto"/>
        <w:rPr>
          <w:rFonts w:ascii="宋体" w:hAnsi="宋体"/>
          <w:color w:val="000000" w:themeColor="text1"/>
          <w:sz w:val="24"/>
          <w14:textFill>
            <w14:solidFill>
              <w14:schemeClr w14:val="tx1"/>
            </w14:solidFill>
          </w14:textFill>
        </w:rPr>
      </w:pPr>
    </w:p>
    <w:p w14:paraId="1F5E7746">
      <w:pPr>
        <w:spacing w:line="360" w:lineRule="auto"/>
        <w:rPr>
          <w:rFonts w:ascii="宋体" w:hAnsi="宋体"/>
          <w:color w:val="000000" w:themeColor="text1"/>
          <w:sz w:val="24"/>
          <w14:textFill>
            <w14:solidFill>
              <w14:schemeClr w14:val="tx1"/>
            </w14:solidFill>
          </w14:textFill>
        </w:rPr>
      </w:pPr>
    </w:p>
    <w:p w14:paraId="26EE781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w:t>
      </w:r>
      <w:r>
        <w:rPr>
          <w:rFonts w:ascii="宋体" w:hAnsi="宋体"/>
          <w:color w:val="000000" w:themeColor="text1"/>
          <w:sz w:val="24"/>
          <w14:textFill>
            <w14:solidFill>
              <w14:schemeClr w14:val="tx1"/>
            </w14:solidFill>
          </w14:textFill>
        </w:rPr>
        <w:t xml:space="preserve"> </w:t>
      </w:r>
    </w:p>
    <w:p w14:paraId="717B4513">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5318198">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负责人（或授权委托人）签字：             </w:t>
      </w:r>
    </w:p>
    <w:p w14:paraId="2849DCEF">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195AE1C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经办人：                                   </w:t>
      </w:r>
    </w:p>
    <w:p w14:paraId="6A5D1D33">
      <w:pPr>
        <w:spacing w:line="360" w:lineRule="auto"/>
        <w:rPr>
          <w:rFonts w:ascii="宋体" w:hAnsi="宋体"/>
          <w:color w:val="000000" w:themeColor="text1"/>
          <w:sz w:val="24"/>
          <w:u w:val="single"/>
          <w14:textFill>
            <w14:solidFill>
              <w14:schemeClr w14:val="tx1"/>
            </w14:solidFill>
          </w14:textFill>
        </w:rPr>
      </w:pPr>
    </w:p>
    <w:p w14:paraId="4631898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签署日期：    年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月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                   </w:t>
      </w:r>
    </w:p>
    <w:p w14:paraId="6FA1D957">
      <w:pPr>
        <w:jc w:val="center"/>
        <w:rPr>
          <w:rFonts w:ascii="宋体" w:hAnsi="宋体"/>
          <w:color w:val="000000" w:themeColor="text1"/>
          <w:sz w:val="24"/>
          <w14:textFill>
            <w14:solidFill>
              <w14:schemeClr w14:val="tx1"/>
            </w14:solidFill>
          </w14:textFill>
        </w:rPr>
      </w:pPr>
    </w:p>
    <w:p w14:paraId="032C841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tbl>
      <w:tblPr>
        <w:tblStyle w:val="36"/>
        <w:tblW w:w="5000" w:type="pct"/>
        <w:jc w:val="center"/>
        <w:tblLayout w:type="autofit"/>
        <w:tblCellMar>
          <w:top w:w="0" w:type="dxa"/>
          <w:left w:w="108" w:type="dxa"/>
          <w:bottom w:w="0" w:type="dxa"/>
          <w:right w:w="108" w:type="dxa"/>
        </w:tblCellMar>
      </w:tblPr>
      <w:tblGrid>
        <w:gridCol w:w="1650"/>
        <w:gridCol w:w="2151"/>
        <w:gridCol w:w="2671"/>
        <w:gridCol w:w="887"/>
        <w:gridCol w:w="1163"/>
      </w:tblGrid>
      <w:tr w14:paraId="0B853713">
        <w:tblPrEx>
          <w:tblCellMar>
            <w:top w:w="0" w:type="dxa"/>
            <w:left w:w="108" w:type="dxa"/>
            <w:bottom w:w="0" w:type="dxa"/>
            <w:right w:w="108" w:type="dxa"/>
          </w:tblCellMar>
        </w:tblPrEx>
        <w:trPr>
          <w:trHeight w:val="724" w:hRule="atLeast"/>
          <w:jc w:val="center"/>
        </w:trPr>
        <w:tc>
          <w:tcPr>
            <w:tcW w:w="5000" w:type="pct"/>
            <w:gridSpan w:val="5"/>
            <w:tcBorders>
              <w:top w:val="nil"/>
              <w:left w:val="nil"/>
              <w:bottom w:val="single" w:color="auto" w:sz="4" w:space="0"/>
              <w:right w:val="nil"/>
            </w:tcBorders>
            <w:shd w:val="clear" w:color="auto" w:fill="auto"/>
            <w:noWrap/>
            <w:vAlign w:val="center"/>
          </w:tcPr>
          <w:p w14:paraId="384C91F3">
            <w:pPr>
              <w:tabs>
                <w:tab w:val="left" w:pos="705"/>
                <w:tab w:val="left" w:pos="840"/>
                <w:tab w:val="left" w:pos="12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附件：三水分公司消防系统维护保养服务质量考核表</w:t>
            </w:r>
          </w:p>
          <w:p w14:paraId="37708F8C">
            <w:pPr>
              <w:tabs>
                <w:tab w:val="left" w:pos="705"/>
                <w:tab w:val="left" w:pos="840"/>
                <w:tab w:val="left" w:pos="1260"/>
              </w:tabs>
              <w:spacing w:line="360" w:lineRule="auto"/>
              <w:ind w:firstLine="480" w:firstLineChars="200"/>
              <w:rPr>
                <w:rFonts w:ascii="宋体" w:hAnsi="宋体"/>
                <w:color w:val="000000" w:themeColor="text1"/>
                <w:sz w:val="24"/>
                <w14:textFill>
                  <w14:solidFill>
                    <w14:schemeClr w14:val="tx1"/>
                  </w14:solidFill>
                </w14:textFill>
              </w:rPr>
            </w:pPr>
          </w:p>
          <w:p w14:paraId="5DEC87F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三水分公司消防系统维护保养服务质量考核表</w:t>
            </w:r>
          </w:p>
        </w:tc>
      </w:tr>
      <w:tr w14:paraId="7F851E82">
        <w:tblPrEx>
          <w:tblCellMar>
            <w:top w:w="0" w:type="dxa"/>
            <w:left w:w="108" w:type="dxa"/>
            <w:bottom w:w="0" w:type="dxa"/>
            <w:right w:w="108" w:type="dxa"/>
          </w:tblCellMar>
        </w:tblPrEx>
        <w:trPr>
          <w:trHeight w:val="527" w:hRule="atLeast"/>
          <w:jc w:val="center"/>
        </w:trPr>
        <w:tc>
          <w:tcPr>
            <w:tcW w:w="1619" w:type="pct"/>
            <w:tcBorders>
              <w:top w:val="nil"/>
              <w:left w:val="single" w:color="auto" w:sz="4" w:space="0"/>
              <w:bottom w:val="single" w:color="auto" w:sz="4" w:space="0"/>
              <w:right w:val="single" w:color="auto" w:sz="4" w:space="0"/>
            </w:tcBorders>
            <w:shd w:val="clear" w:color="auto" w:fill="auto"/>
            <w:noWrap/>
            <w:vAlign w:val="center"/>
          </w:tcPr>
          <w:p w14:paraId="07F9F87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维保单位名称</w:t>
            </w:r>
          </w:p>
        </w:tc>
        <w:tc>
          <w:tcPr>
            <w:tcW w:w="3380" w:type="pct"/>
            <w:gridSpan w:val="4"/>
            <w:tcBorders>
              <w:top w:val="single" w:color="auto" w:sz="4" w:space="0"/>
              <w:left w:val="nil"/>
              <w:bottom w:val="single" w:color="auto" w:sz="4" w:space="0"/>
              <w:right w:val="single" w:color="000000" w:sz="4" w:space="0"/>
            </w:tcBorders>
            <w:shd w:val="clear" w:color="auto" w:fill="auto"/>
            <w:noWrap/>
            <w:vAlign w:val="center"/>
          </w:tcPr>
          <w:p w14:paraId="1769CC3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r>
      <w:tr w14:paraId="7E5EFD65">
        <w:tblPrEx>
          <w:tblCellMar>
            <w:top w:w="0" w:type="dxa"/>
            <w:left w:w="108" w:type="dxa"/>
            <w:bottom w:w="0" w:type="dxa"/>
            <w:right w:w="108" w:type="dxa"/>
          </w:tblCellMar>
        </w:tblPrEx>
        <w:trPr>
          <w:trHeight w:val="558" w:hRule="atLeast"/>
          <w:jc w:val="center"/>
        </w:trPr>
        <w:tc>
          <w:tcPr>
            <w:tcW w:w="1619" w:type="pct"/>
            <w:tcBorders>
              <w:top w:val="nil"/>
              <w:left w:val="single" w:color="auto" w:sz="4" w:space="0"/>
              <w:bottom w:val="single" w:color="auto" w:sz="4" w:space="0"/>
              <w:right w:val="single" w:color="auto" w:sz="4" w:space="0"/>
            </w:tcBorders>
            <w:shd w:val="clear" w:color="auto" w:fill="auto"/>
            <w:noWrap/>
            <w:vAlign w:val="center"/>
          </w:tcPr>
          <w:p w14:paraId="3D4DBF2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维保地点</w:t>
            </w:r>
          </w:p>
        </w:tc>
        <w:tc>
          <w:tcPr>
            <w:tcW w:w="844" w:type="pct"/>
            <w:tcBorders>
              <w:top w:val="nil"/>
              <w:left w:val="nil"/>
              <w:bottom w:val="single" w:color="auto" w:sz="4" w:space="0"/>
              <w:right w:val="single" w:color="auto" w:sz="4" w:space="0"/>
            </w:tcBorders>
            <w:shd w:val="clear" w:color="auto" w:fill="auto"/>
            <w:noWrap/>
            <w:vAlign w:val="center"/>
          </w:tcPr>
          <w:p w14:paraId="6E3415B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noWrap/>
            <w:vAlign w:val="center"/>
          </w:tcPr>
          <w:p w14:paraId="49C4909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维保时间</w:t>
            </w:r>
          </w:p>
        </w:tc>
        <w:tc>
          <w:tcPr>
            <w:tcW w:w="1479" w:type="pct"/>
            <w:gridSpan w:val="2"/>
            <w:tcBorders>
              <w:top w:val="single" w:color="auto" w:sz="4" w:space="0"/>
              <w:left w:val="nil"/>
              <w:bottom w:val="single" w:color="auto" w:sz="4" w:space="0"/>
              <w:right w:val="single" w:color="auto" w:sz="4" w:space="0"/>
            </w:tcBorders>
            <w:shd w:val="clear" w:color="auto" w:fill="auto"/>
            <w:noWrap/>
            <w:vAlign w:val="center"/>
          </w:tcPr>
          <w:p w14:paraId="0371C7A6">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年   月—    年   月</w:t>
            </w:r>
          </w:p>
        </w:tc>
      </w:tr>
      <w:tr w14:paraId="06F78F8D">
        <w:tblPrEx>
          <w:tblCellMar>
            <w:top w:w="0" w:type="dxa"/>
            <w:left w:w="108" w:type="dxa"/>
            <w:bottom w:w="0" w:type="dxa"/>
            <w:right w:w="108" w:type="dxa"/>
          </w:tblCellMar>
        </w:tblPrEx>
        <w:trPr>
          <w:trHeight w:val="573" w:hRule="atLeast"/>
          <w:jc w:val="center"/>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76E1879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维护保养内容考核（占50%）</w:t>
            </w:r>
          </w:p>
        </w:tc>
      </w:tr>
      <w:tr w14:paraId="7B0B5CA6">
        <w:tblPrEx>
          <w:tblCellMar>
            <w:top w:w="0" w:type="dxa"/>
            <w:left w:w="108" w:type="dxa"/>
            <w:bottom w:w="0" w:type="dxa"/>
            <w:right w:w="108" w:type="dxa"/>
          </w:tblCellMar>
        </w:tblPrEx>
        <w:trPr>
          <w:trHeight w:val="48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55182B3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维护保养内容</w:t>
            </w:r>
          </w:p>
        </w:tc>
        <w:tc>
          <w:tcPr>
            <w:tcW w:w="1056" w:type="pct"/>
            <w:tcBorders>
              <w:top w:val="nil"/>
              <w:left w:val="nil"/>
              <w:bottom w:val="single" w:color="auto" w:sz="4" w:space="0"/>
              <w:right w:val="single" w:color="auto" w:sz="4" w:space="0"/>
            </w:tcBorders>
            <w:shd w:val="clear" w:color="auto" w:fill="auto"/>
            <w:noWrap/>
            <w:vAlign w:val="center"/>
          </w:tcPr>
          <w:p w14:paraId="592D72E6">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规定分值</w:t>
            </w:r>
          </w:p>
        </w:tc>
        <w:tc>
          <w:tcPr>
            <w:tcW w:w="633" w:type="pct"/>
            <w:tcBorders>
              <w:top w:val="nil"/>
              <w:left w:val="nil"/>
              <w:bottom w:val="single" w:color="auto" w:sz="4" w:space="0"/>
              <w:right w:val="single" w:color="auto" w:sz="4" w:space="0"/>
            </w:tcBorders>
            <w:shd w:val="clear" w:color="auto" w:fill="auto"/>
            <w:noWrap/>
            <w:vAlign w:val="center"/>
          </w:tcPr>
          <w:p w14:paraId="214EEA4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考核分值</w:t>
            </w:r>
          </w:p>
        </w:tc>
        <w:tc>
          <w:tcPr>
            <w:tcW w:w="846" w:type="pct"/>
            <w:tcBorders>
              <w:top w:val="nil"/>
              <w:left w:val="nil"/>
              <w:bottom w:val="single" w:color="auto" w:sz="4" w:space="0"/>
              <w:right w:val="single" w:color="auto" w:sz="4" w:space="0"/>
            </w:tcBorders>
            <w:shd w:val="clear" w:color="auto" w:fill="auto"/>
            <w:vAlign w:val="center"/>
          </w:tcPr>
          <w:p w14:paraId="5843D91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w:t>
            </w:r>
          </w:p>
        </w:tc>
      </w:tr>
      <w:tr w14:paraId="6C460523">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76A2EFD1">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一.火灾自动报警系统</w:t>
            </w:r>
          </w:p>
        </w:tc>
        <w:tc>
          <w:tcPr>
            <w:tcW w:w="1056" w:type="pct"/>
            <w:tcBorders>
              <w:top w:val="nil"/>
              <w:left w:val="nil"/>
              <w:bottom w:val="single" w:color="auto" w:sz="4" w:space="0"/>
              <w:right w:val="single" w:color="auto" w:sz="4" w:space="0"/>
            </w:tcBorders>
            <w:shd w:val="clear" w:color="auto" w:fill="auto"/>
            <w:noWrap/>
            <w:vAlign w:val="center"/>
          </w:tcPr>
          <w:p w14:paraId="66AE6BE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w:t>
            </w:r>
          </w:p>
        </w:tc>
        <w:tc>
          <w:tcPr>
            <w:tcW w:w="633" w:type="pct"/>
            <w:tcBorders>
              <w:top w:val="nil"/>
              <w:left w:val="nil"/>
              <w:bottom w:val="single" w:color="auto" w:sz="4" w:space="0"/>
              <w:right w:val="single" w:color="auto" w:sz="4" w:space="0"/>
            </w:tcBorders>
            <w:shd w:val="clear" w:color="auto" w:fill="auto"/>
            <w:noWrap/>
            <w:vAlign w:val="center"/>
          </w:tcPr>
          <w:p w14:paraId="1B8465E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30C132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527390B6">
        <w:tblPrEx>
          <w:tblCellMar>
            <w:top w:w="0" w:type="dxa"/>
            <w:left w:w="108" w:type="dxa"/>
            <w:bottom w:w="0" w:type="dxa"/>
            <w:right w:w="108" w:type="dxa"/>
          </w:tblCellMar>
        </w:tblPrEx>
        <w:trPr>
          <w:trHeight w:val="603"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70E924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1.火灾报警系统、气溶胶气体灭火系统、应急广播系统定期检查和试验，且检测正常；</w:t>
            </w:r>
          </w:p>
        </w:tc>
        <w:tc>
          <w:tcPr>
            <w:tcW w:w="1056" w:type="pct"/>
            <w:tcBorders>
              <w:top w:val="nil"/>
              <w:left w:val="nil"/>
              <w:bottom w:val="single" w:color="auto" w:sz="4" w:space="0"/>
              <w:right w:val="single" w:color="auto" w:sz="4" w:space="0"/>
            </w:tcBorders>
            <w:shd w:val="clear" w:color="auto" w:fill="auto"/>
            <w:noWrap/>
            <w:vAlign w:val="center"/>
          </w:tcPr>
          <w:p w14:paraId="00372A7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33" w:type="pct"/>
            <w:tcBorders>
              <w:top w:val="nil"/>
              <w:left w:val="nil"/>
              <w:bottom w:val="single" w:color="auto" w:sz="4" w:space="0"/>
              <w:right w:val="single" w:color="auto" w:sz="4" w:space="0"/>
            </w:tcBorders>
            <w:shd w:val="clear" w:color="auto" w:fill="auto"/>
            <w:noWrap/>
            <w:vAlign w:val="center"/>
          </w:tcPr>
          <w:p w14:paraId="7842EFA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779F038">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r>
      <w:tr w14:paraId="5073711E">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57A7AB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2.火灾自动报警主备路供电系统定期检查和维护，且检测正常；</w:t>
            </w:r>
          </w:p>
        </w:tc>
        <w:tc>
          <w:tcPr>
            <w:tcW w:w="1056" w:type="pct"/>
            <w:tcBorders>
              <w:top w:val="nil"/>
              <w:left w:val="nil"/>
              <w:bottom w:val="single" w:color="auto" w:sz="4" w:space="0"/>
              <w:right w:val="single" w:color="auto" w:sz="4" w:space="0"/>
            </w:tcBorders>
            <w:shd w:val="clear" w:color="auto" w:fill="auto"/>
            <w:noWrap/>
            <w:vAlign w:val="center"/>
          </w:tcPr>
          <w:p w14:paraId="5B5FB18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33" w:type="pct"/>
            <w:tcBorders>
              <w:top w:val="nil"/>
              <w:left w:val="nil"/>
              <w:bottom w:val="single" w:color="auto" w:sz="4" w:space="0"/>
              <w:right w:val="single" w:color="auto" w:sz="4" w:space="0"/>
            </w:tcBorders>
            <w:shd w:val="clear" w:color="auto" w:fill="auto"/>
            <w:noWrap/>
            <w:vAlign w:val="center"/>
          </w:tcPr>
          <w:p w14:paraId="58D25D2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57F2EA5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10CC6D25">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0F395D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3.温、烟感探测器和手动报警器定期检查和试验，且检测正常；</w:t>
            </w:r>
          </w:p>
        </w:tc>
        <w:tc>
          <w:tcPr>
            <w:tcW w:w="1056" w:type="pct"/>
            <w:tcBorders>
              <w:top w:val="nil"/>
              <w:left w:val="nil"/>
              <w:bottom w:val="single" w:color="auto" w:sz="4" w:space="0"/>
              <w:right w:val="single" w:color="auto" w:sz="4" w:space="0"/>
            </w:tcBorders>
            <w:shd w:val="clear" w:color="auto" w:fill="auto"/>
            <w:noWrap/>
            <w:vAlign w:val="center"/>
          </w:tcPr>
          <w:p w14:paraId="3BCE1C2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33" w:type="pct"/>
            <w:tcBorders>
              <w:top w:val="nil"/>
              <w:left w:val="nil"/>
              <w:bottom w:val="single" w:color="auto" w:sz="4" w:space="0"/>
              <w:right w:val="single" w:color="auto" w:sz="4" w:space="0"/>
            </w:tcBorders>
            <w:shd w:val="clear" w:color="auto" w:fill="auto"/>
            <w:noWrap/>
            <w:vAlign w:val="center"/>
          </w:tcPr>
          <w:p w14:paraId="36218C1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8860D6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61205BA4">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F44F1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4.电梯、用电等消防系统联动设备定期检查和试验，且检测正常。</w:t>
            </w:r>
          </w:p>
        </w:tc>
        <w:tc>
          <w:tcPr>
            <w:tcW w:w="1056" w:type="pct"/>
            <w:tcBorders>
              <w:top w:val="nil"/>
              <w:left w:val="nil"/>
              <w:bottom w:val="single" w:color="auto" w:sz="4" w:space="0"/>
              <w:right w:val="single" w:color="auto" w:sz="4" w:space="0"/>
            </w:tcBorders>
            <w:shd w:val="clear" w:color="auto" w:fill="auto"/>
            <w:noWrap/>
            <w:vAlign w:val="center"/>
          </w:tcPr>
          <w:p w14:paraId="574FE30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33" w:type="pct"/>
            <w:tcBorders>
              <w:top w:val="nil"/>
              <w:left w:val="nil"/>
              <w:bottom w:val="single" w:color="auto" w:sz="4" w:space="0"/>
              <w:right w:val="single" w:color="auto" w:sz="4" w:space="0"/>
            </w:tcBorders>
            <w:shd w:val="clear" w:color="auto" w:fill="auto"/>
            <w:noWrap/>
            <w:vAlign w:val="center"/>
          </w:tcPr>
          <w:p w14:paraId="404951D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52AD22A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18363E8E">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4BCDCF0">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noWrap/>
            <w:vAlign w:val="center"/>
          </w:tcPr>
          <w:p w14:paraId="2F2556C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633" w:type="pct"/>
            <w:tcBorders>
              <w:top w:val="nil"/>
              <w:left w:val="nil"/>
              <w:bottom w:val="single" w:color="auto" w:sz="4" w:space="0"/>
              <w:right w:val="single" w:color="auto" w:sz="4" w:space="0"/>
            </w:tcBorders>
            <w:shd w:val="clear" w:color="auto" w:fill="auto"/>
            <w:noWrap/>
            <w:vAlign w:val="center"/>
          </w:tcPr>
          <w:p w14:paraId="62D2DB7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55B74B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6FE6F7FF">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E2013ED">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二.消防栓系统</w:t>
            </w:r>
          </w:p>
        </w:tc>
        <w:tc>
          <w:tcPr>
            <w:tcW w:w="1056" w:type="pct"/>
            <w:tcBorders>
              <w:top w:val="nil"/>
              <w:left w:val="nil"/>
              <w:bottom w:val="single" w:color="auto" w:sz="4" w:space="0"/>
              <w:right w:val="single" w:color="auto" w:sz="4" w:space="0"/>
            </w:tcBorders>
            <w:shd w:val="clear" w:color="auto" w:fill="auto"/>
            <w:noWrap/>
            <w:vAlign w:val="center"/>
          </w:tcPr>
          <w:p w14:paraId="4517830D">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w:t>
            </w:r>
          </w:p>
        </w:tc>
        <w:tc>
          <w:tcPr>
            <w:tcW w:w="633" w:type="pct"/>
            <w:tcBorders>
              <w:top w:val="nil"/>
              <w:left w:val="nil"/>
              <w:bottom w:val="single" w:color="auto" w:sz="4" w:space="0"/>
              <w:right w:val="single" w:color="auto" w:sz="4" w:space="0"/>
            </w:tcBorders>
            <w:shd w:val="clear" w:color="auto" w:fill="auto"/>
            <w:noWrap/>
            <w:vAlign w:val="center"/>
          </w:tcPr>
          <w:p w14:paraId="14BFBC3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DBA285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36C83818">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6AFDC7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1.消防泵启动运转试验（含消火栓按钮联动启泵试验）正常；</w:t>
            </w:r>
          </w:p>
        </w:tc>
        <w:tc>
          <w:tcPr>
            <w:tcW w:w="1056" w:type="pct"/>
            <w:tcBorders>
              <w:top w:val="nil"/>
              <w:left w:val="nil"/>
              <w:bottom w:val="single" w:color="auto" w:sz="4" w:space="0"/>
              <w:right w:val="single" w:color="auto" w:sz="4" w:space="0"/>
            </w:tcBorders>
            <w:shd w:val="clear" w:color="auto" w:fill="auto"/>
            <w:noWrap/>
            <w:vAlign w:val="center"/>
          </w:tcPr>
          <w:p w14:paraId="4E51557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7EE4C9E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297BB2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6F4B4FD1">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6E426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2.各阀门处于正常工作状态,是否完好不渗漏；</w:t>
            </w:r>
          </w:p>
        </w:tc>
        <w:tc>
          <w:tcPr>
            <w:tcW w:w="1056" w:type="pct"/>
            <w:tcBorders>
              <w:top w:val="nil"/>
              <w:left w:val="nil"/>
              <w:bottom w:val="single" w:color="auto" w:sz="4" w:space="0"/>
              <w:right w:val="single" w:color="auto" w:sz="4" w:space="0"/>
            </w:tcBorders>
            <w:shd w:val="clear" w:color="auto" w:fill="auto"/>
            <w:noWrap/>
            <w:vAlign w:val="center"/>
          </w:tcPr>
          <w:p w14:paraId="722587E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4F359F2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20003C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719A6D2B">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4C59D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3.消防泵房排水泵定期检查和试验，处于正常状态；</w:t>
            </w:r>
          </w:p>
        </w:tc>
        <w:tc>
          <w:tcPr>
            <w:tcW w:w="1056" w:type="pct"/>
            <w:tcBorders>
              <w:top w:val="nil"/>
              <w:left w:val="nil"/>
              <w:bottom w:val="single" w:color="auto" w:sz="4" w:space="0"/>
              <w:right w:val="single" w:color="auto" w:sz="4" w:space="0"/>
            </w:tcBorders>
            <w:shd w:val="clear" w:color="auto" w:fill="auto"/>
            <w:noWrap/>
            <w:vAlign w:val="center"/>
          </w:tcPr>
          <w:p w14:paraId="70EC36F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3BF7DCE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4E77AC4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48484397">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14F682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4.稳压泵、气压水罐定期检查和试验，处于正常状态；</w:t>
            </w:r>
          </w:p>
        </w:tc>
        <w:tc>
          <w:tcPr>
            <w:tcW w:w="1056" w:type="pct"/>
            <w:tcBorders>
              <w:top w:val="nil"/>
              <w:left w:val="nil"/>
              <w:bottom w:val="single" w:color="auto" w:sz="4" w:space="0"/>
              <w:right w:val="single" w:color="auto" w:sz="4" w:space="0"/>
            </w:tcBorders>
            <w:shd w:val="clear" w:color="auto" w:fill="auto"/>
            <w:noWrap/>
            <w:vAlign w:val="center"/>
          </w:tcPr>
          <w:p w14:paraId="00A2F89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7908A8C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133C6AC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2949464A">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54945E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5.消防水池和消防管路定期检查，处于正常状态；</w:t>
            </w:r>
          </w:p>
        </w:tc>
        <w:tc>
          <w:tcPr>
            <w:tcW w:w="1056" w:type="pct"/>
            <w:tcBorders>
              <w:top w:val="nil"/>
              <w:left w:val="nil"/>
              <w:bottom w:val="single" w:color="auto" w:sz="4" w:space="0"/>
              <w:right w:val="single" w:color="auto" w:sz="4" w:space="0"/>
            </w:tcBorders>
            <w:shd w:val="clear" w:color="auto" w:fill="auto"/>
            <w:noWrap/>
            <w:vAlign w:val="center"/>
          </w:tcPr>
          <w:p w14:paraId="51DB15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33" w:type="pct"/>
            <w:tcBorders>
              <w:top w:val="nil"/>
              <w:left w:val="nil"/>
              <w:bottom w:val="single" w:color="auto" w:sz="4" w:space="0"/>
              <w:right w:val="single" w:color="auto" w:sz="4" w:space="0"/>
            </w:tcBorders>
            <w:shd w:val="clear" w:color="auto" w:fill="auto"/>
            <w:noWrap/>
            <w:vAlign w:val="center"/>
          </w:tcPr>
          <w:p w14:paraId="53BBBDC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A85DA6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396F1132">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35A549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6.消防栓检查合格；</w:t>
            </w:r>
          </w:p>
        </w:tc>
        <w:tc>
          <w:tcPr>
            <w:tcW w:w="1056" w:type="pct"/>
            <w:tcBorders>
              <w:top w:val="nil"/>
              <w:left w:val="nil"/>
              <w:bottom w:val="single" w:color="auto" w:sz="4" w:space="0"/>
              <w:right w:val="single" w:color="auto" w:sz="4" w:space="0"/>
            </w:tcBorders>
            <w:shd w:val="clear" w:color="auto" w:fill="auto"/>
            <w:noWrap/>
            <w:vAlign w:val="center"/>
          </w:tcPr>
          <w:p w14:paraId="70DD15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569755B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4B72A0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28F53BC6">
        <w:tblPrEx>
          <w:tblCellMar>
            <w:top w:w="0" w:type="dxa"/>
            <w:left w:w="108" w:type="dxa"/>
            <w:bottom w:w="0" w:type="dxa"/>
            <w:right w:w="108" w:type="dxa"/>
          </w:tblCellMar>
        </w:tblPrEx>
        <w:trPr>
          <w:trHeight w:val="678"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3FFC3E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7.最不利点消防栓静压压力试验正常；最不利点出水试水接头压力测试正常。</w:t>
            </w:r>
          </w:p>
        </w:tc>
        <w:tc>
          <w:tcPr>
            <w:tcW w:w="1056" w:type="pct"/>
            <w:tcBorders>
              <w:top w:val="nil"/>
              <w:left w:val="nil"/>
              <w:bottom w:val="single" w:color="auto" w:sz="4" w:space="0"/>
              <w:right w:val="single" w:color="auto" w:sz="4" w:space="0"/>
            </w:tcBorders>
            <w:shd w:val="clear" w:color="auto" w:fill="auto"/>
            <w:noWrap/>
            <w:vAlign w:val="center"/>
          </w:tcPr>
          <w:p w14:paraId="32B2FCE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33" w:type="pct"/>
            <w:tcBorders>
              <w:top w:val="nil"/>
              <w:left w:val="nil"/>
              <w:bottom w:val="single" w:color="auto" w:sz="4" w:space="0"/>
              <w:right w:val="single" w:color="auto" w:sz="4" w:space="0"/>
            </w:tcBorders>
            <w:shd w:val="clear" w:color="auto" w:fill="auto"/>
            <w:noWrap/>
            <w:vAlign w:val="center"/>
          </w:tcPr>
          <w:p w14:paraId="5C216A4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1AC1AC3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0D3A8DB4">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FF31F8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8.室内消防栓箱内水枪、水带等设备定期检查，处于正常状态；</w:t>
            </w:r>
          </w:p>
        </w:tc>
        <w:tc>
          <w:tcPr>
            <w:tcW w:w="1056" w:type="pct"/>
            <w:tcBorders>
              <w:top w:val="nil"/>
              <w:left w:val="nil"/>
              <w:bottom w:val="single" w:color="auto" w:sz="4" w:space="0"/>
              <w:right w:val="single" w:color="auto" w:sz="4" w:space="0"/>
            </w:tcBorders>
            <w:shd w:val="clear" w:color="auto" w:fill="auto"/>
            <w:noWrap/>
            <w:vAlign w:val="center"/>
          </w:tcPr>
          <w:p w14:paraId="7C1D509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33" w:type="pct"/>
            <w:tcBorders>
              <w:top w:val="nil"/>
              <w:left w:val="nil"/>
              <w:bottom w:val="single" w:color="auto" w:sz="4" w:space="0"/>
              <w:right w:val="single" w:color="auto" w:sz="4" w:space="0"/>
            </w:tcBorders>
            <w:shd w:val="clear" w:color="auto" w:fill="auto"/>
            <w:noWrap/>
            <w:vAlign w:val="center"/>
          </w:tcPr>
          <w:p w14:paraId="7B1E1A8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E53FA9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709C9574">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1EBE40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9.水泵接合器接口及附件定期检查，处于正常状态；</w:t>
            </w:r>
          </w:p>
        </w:tc>
        <w:tc>
          <w:tcPr>
            <w:tcW w:w="1056" w:type="pct"/>
            <w:tcBorders>
              <w:top w:val="nil"/>
              <w:left w:val="nil"/>
              <w:bottom w:val="single" w:color="auto" w:sz="4" w:space="0"/>
              <w:right w:val="single" w:color="auto" w:sz="4" w:space="0"/>
            </w:tcBorders>
            <w:shd w:val="clear" w:color="auto" w:fill="auto"/>
            <w:noWrap/>
            <w:vAlign w:val="center"/>
          </w:tcPr>
          <w:p w14:paraId="2E48366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33" w:type="pct"/>
            <w:tcBorders>
              <w:top w:val="nil"/>
              <w:left w:val="nil"/>
              <w:bottom w:val="single" w:color="auto" w:sz="4" w:space="0"/>
              <w:right w:val="single" w:color="auto" w:sz="4" w:space="0"/>
            </w:tcBorders>
            <w:shd w:val="clear" w:color="auto" w:fill="auto"/>
            <w:noWrap/>
            <w:vAlign w:val="center"/>
          </w:tcPr>
          <w:p w14:paraId="317E29E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080283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7FE02EB2">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D47804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10.消防栓出水情况定期抽查，处于正常状态。</w:t>
            </w:r>
          </w:p>
        </w:tc>
        <w:tc>
          <w:tcPr>
            <w:tcW w:w="1056" w:type="pct"/>
            <w:tcBorders>
              <w:top w:val="nil"/>
              <w:left w:val="nil"/>
              <w:bottom w:val="single" w:color="auto" w:sz="4" w:space="0"/>
              <w:right w:val="single" w:color="auto" w:sz="4" w:space="0"/>
            </w:tcBorders>
            <w:shd w:val="clear" w:color="auto" w:fill="auto"/>
            <w:noWrap/>
            <w:vAlign w:val="center"/>
          </w:tcPr>
          <w:p w14:paraId="5805F1B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633" w:type="pct"/>
            <w:tcBorders>
              <w:top w:val="nil"/>
              <w:left w:val="nil"/>
              <w:bottom w:val="single" w:color="auto" w:sz="4" w:space="0"/>
              <w:right w:val="single" w:color="auto" w:sz="4" w:space="0"/>
            </w:tcBorders>
            <w:shd w:val="clear" w:color="auto" w:fill="auto"/>
            <w:noWrap/>
            <w:vAlign w:val="center"/>
          </w:tcPr>
          <w:p w14:paraId="56C7183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EDEED8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59C595D0">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C379CF">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1CCAB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6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34765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single" w:color="auto" w:sz="4" w:space="0"/>
              <w:left w:val="single" w:color="auto" w:sz="4" w:space="0"/>
              <w:bottom w:val="single" w:color="auto" w:sz="4" w:space="0"/>
              <w:right w:val="single" w:color="auto" w:sz="4" w:space="0"/>
            </w:tcBorders>
            <w:shd w:val="clear" w:color="auto" w:fill="auto"/>
            <w:vAlign w:val="center"/>
          </w:tcPr>
          <w:p w14:paraId="0B04ABC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4BADDA62">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C3FBB71">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三.消防水泵系统</w:t>
            </w:r>
          </w:p>
        </w:tc>
        <w:tc>
          <w:tcPr>
            <w:tcW w:w="1056" w:type="pct"/>
            <w:tcBorders>
              <w:top w:val="nil"/>
              <w:left w:val="nil"/>
              <w:bottom w:val="single" w:color="auto" w:sz="4" w:space="0"/>
              <w:right w:val="single" w:color="auto" w:sz="4" w:space="0"/>
            </w:tcBorders>
            <w:shd w:val="clear" w:color="auto" w:fill="auto"/>
            <w:noWrap/>
            <w:vAlign w:val="center"/>
          </w:tcPr>
          <w:p w14:paraId="43AB4226">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633" w:type="pct"/>
            <w:tcBorders>
              <w:top w:val="nil"/>
              <w:left w:val="nil"/>
              <w:bottom w:val="single" w:color="auto" w:sz="4" w:space="0"/>
              <w:right w:val="single" w:color="auto" w:sz="4" w:space="0"/>
            </w:tcBorders>
            <w:shd w:val="clear" w:color="auto" w:fill="auto"/>
            <w:noWrap/>
            <w:vAlign w:val="center"/>
          </w:tcPr>
          <w:p w14:paraId="07C9746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238AFD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6D21795D">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84500B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1.水泵、水泵电机、水泵柜电器配件定期检查，处于正常状态。</w:t>
            </w:r>
          </w:p>
        </w:tc>
        <w:tc>
          <w:tcPr>
            <w:tcW w:w="1056" w:type="pct"/>
            <w:tcBorders>
              <w:top w:val="single" w:color="auto" w:sz="4" w:space="0"/>
              <w:left w:val="nil"/>
              <w:bottom w:val="single" w:color="auto" w:sz="4" w:space="0"/>
              <w:right w:val="single" w:color="auto" w:sz="4" w:space="0"/>
            </w:tcBorders>
            <w:shd w:val="clear" w:color="auto" w:fill="auto"/>
            <w:noWrap/>
            <w:vAlign w:val="center"/>
          </w:tcPr>
          <w:p w14:paraId="070BA2F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33" w:type="pct"/>
            <w:tcBorders>
              <w:top w:val="single" w:color="auto" w:sz="4" w:space="0"/>
              <w:left w:val="nil"/>
              <w:bottom w:val="single" w:color="auto" w:sz="4" w:space="0"/>
              <w:right w:val="single" w:color="auto" w:sz="4" w:space="0"/>
            </w:tcBorders>
            <w:shd w:val="clear" w:color="auto" w:fill="auto"/>
            <w:noWrap/>
            <w:vAlign w:val="center"/>
          </w:tcPr>
          <w:p w14:paraId="785A0F4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single" w:color="auto" w:sz="4" w:space="0"/>
              <w:left w:val="nil"/>
              <w:bottom w:val="single" w:color="auto" w:sz="4" w:space="0"/>
              <w:right w:val="single" w:color="auto" w:sz="4" w:space="0"/>
            </w:tcBorders>
            <w:shd w:val="clear" w:color="auto" w:fill="auto"/>
            <w:vAlign w:val="center"/>
          </w:tcPr>
          <w:p w14:paraId="3551AF3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119B32E0">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EEDC28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noWrap/>
            <w:vAlign w:val="center"/>
          </w:tcPr>
          <w:p w14:paraId="1E4BBB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633" w:type="pct"/>
            <w:tcBorders>
              <w:top w:val="nil"/>
              <w:left w:val="nil"/>
              <w:bottom w:val="single" w:color="auto" w:sz="4" w:space="0"/>
              <w:right w:val="single" w:color="auto" w:sz="4" w:space="0"/>
            </w:tcBorders>
            <w:shd w:val="clear" w:color="auto" w:fill="auto"/>
            <w:noWrap/>
            <w:vAlign w:val="center"/>
          </w:tcPr>
          <w:p w14:paraId="0FDEA0E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B3FCEA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429EE17B">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B39D9E">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四.喷淋系统</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024CC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15</w:t>
            </w:r>
          </w:p>
        </w:tc>
        <w:tc>
          <w:tcPr>
            <w:tcW w:w="6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2FC4A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single" w:color="auto" w:sz="4" w:space="0"/>
              <w:left w:val="single" w:color="auto" w:sz="4" w:space="0"/>
              <w:bottom w:val="single" w:color="auto" w:sz="4" w:space="0"/>
              <w:right w:val="single" w:color="auto" w:sz="4" w:space="0"/>
            </w:tcBorders>
            <w:shd w:val="clear" w:color="auto" w:fill="auto"/>
            <w:vAlign w:val="center"/>
          </w:tcPr>
          <w:p w14:paraId="7DAAC88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1B8B1C83">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91CED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1.水源控制阀、报警阀组定期检查，且检测正常；</w:t>
            </w:r>
          </w:p>
        </w:tc>
        <w:tc>
          <w:tcPr>
            <w:tcW w:w="1056" w:type="pct"/>
            <w:tcBorders>
              <w:top w:val="nil"/>
              <w:left w:val="nil"/>
              <w:bottom w:val="single" w:color="auto" w:sz="4" w:space="0"/>
              <w:right w:val="single" w:color="auto" w:sz="4" w:space="0"/>
            </w:tcBorders>
            <w:shd w:val="clear" w:color="auto" w:fill="auto"/>
            <w:noWrap/>
            <w:vAlign w:val="center"/>
          </w:tcPr>
          <w:p w14:paraId="0CCF99A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33" w:type="pct"/>
            <w:tcBorders>
              <w:top w:val="nil"/>
              <w:left w:val="nil"/>
              <w:bottom w:val="single" w:color="auto" w:sz="4" w:space="0"/>
              <w:right w:val="single" w:color="auto" w:sz="4" w:space="0"/>
            </w:tcBorders>
            <w:shd w:val="clear" w:color="auto" w:fill="auto"/>
            <w:noWrap/>
            <w:vAlign w:val="center"/>
          </w:tcPr>
          <w:p w14:paraId="51C1889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30DE988">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r>
      <w:tr w14:paraId="2DB4673D">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5F02D5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2.喷淋水泵定期启动运转试验，且检测正常；</w:t>
            </w:r>
          </w:p>
        </w:tc>
        <w:tc>
          <w:tcPr>
            <w:tcW w:w="1056" w:type="pct"/>
            <w:tcBorders>
              <w:top w:val="nil"/>
              <w:left w:val="nil"/>
              <w:bottom w:val="single" w:color="auto" w:sz="4" w:space="0"/>
              <w:right w:val="single" w:color="auto" w:sz="4" w:space="0"/>
            </w:tcBorders>
            <w:shd w:val="clear" w:color="auto" w:fill="auto"/>
            <w:noWrap/>
            <w:vAlign w:val="center"/>
          </w:tcPr>
          <w:p w14:paraId="2FD1226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3CEFD84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FAAF07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6870BEE6">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FA6C14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3.喷头定期检查，且检测正常；</w:t>
            </w:r>
          </w:p>
        </w:tc>
        <w:tc>
          <w:tcPr>
            <w:tcW w:w="1056" w:type="pct"/>
            <w:tcBorders>
              <w:top w:val="nil"/>
              <w:left w:val="nil"/>
              <w:bottom w:val="single" w:color="auto" w:sz="4" w:space="0"/>
              <w:right w:val="single" w:color="auto" w:sz="4" w:space="0"/>
            </w:tcBorders>
            <w:shd w:val="clear" w:color="auto" w:fill="auto"/>
            <w:noWrap/>
            <w:vAlign w:val="center"/>
          </w:tcPr>
          <w:p w14:paraId="3BED351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17080FF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6B3E8CE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1AB99694">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5A8ECB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4.湿式报警阀旁的放水试验阀定期进行泄水试验，且检测正常；</w:t>
            </w:r>
          </w:p>
        </w:tc>
        <w:tc>
          <w:tcPr>
            <w:tcW w:w="1056" w:type="pct"/>
            <w:tcBorders>
              <w:top w:val="nil"/>
              <w:left w:val="nil"/>
              <w:bottom w:val="single" w:color="auto" w:sz="4" w:space="0"/>
              <w:right w:val="single" w:color="auto" w:sz="4" w:space="0"/>
            </w:tcBorders>
            <w:shd w:val="clear" w:color="auto" w:fill="auto"/>
            <w:noWrap/>
            <w:vAlign w:val="center"/>
          </w:tcPr>
          <w:p w14:paraId="12D20A3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4F8DE55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A578D0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017D28FA">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92B9C1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5.末端试水装置对水流指示器进行定期试验，且检测正常；</w:t>
            </w:r>
          </w:p>
        </w:tc>
        <w:tc>
          <w:tcPr>
            <w:tcW w:w="1056" w:type="pct"/>
            <w:tcBorders>
              <w:top w:val="nil"/>
              <w:left w:val="nil"/>
              <w:bottom w:val="single" w:color="auto" w:sz="4" w:space="0"/>
              <w:right w:val="single" w:color="auto" w:sz="4" w:space="0"/>
            </w:tcBorders>
            <w:shd w:val="clear" w:color="auto" w:fill="auto"/>
            <w:noWrap/>
            <w:vAlign w:val="center"/>
          </w:tcPr>
          <w:p w14:paraId="43C2746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561539F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2B4267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76B0F29A">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FED630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6.水泵接合器接口及附件定期检查，且检测正常；</w:t>
            </w:r>
          </w:p>
        </w:tc>
        <w:tc>
          <w:tcPr>
            <w:tcW w:w="1056" w:type="pct"/>
            <w:tcBorders>
              <w:top w:val="nil"/>
              <w:left w:val="nil"/>
              <w:bottom w:val="single" w:color="auto" w:sz="4" w:space="0"/>
              <w:right w:val="single" w:color="auto" w:sz="4" w:space="0"/>
            </w:tcBorders>
            <w:shd w:val="clear" w:color="auto" w:fill="auto"/>
            <w:noWrap/>
            <w:vAlign w:val="center"/>
          </w:tcPr>
          <w:p w14:paraId="1683BEF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751B553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14AED30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20ADB947">
        <w:tblPrEx>
          <w:tblCellMar>
            <w:top w:w="0" w:type="dxa"/>
            <w:left w:w="108" w:type="dxa"/>
            <w:bottom w:w="0" w:type="dxa"/>
            <w:right w:w="108" w:type="dxa"/>
          </w:tblCellMar>
        </w:tblPrEx>
        <w:trPr>
          <w:trHeight w:val="693"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34412B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7.消防水池、消防水箱及消防气压给水设备的消防储水位及消防气压给水设备的压力定期检查，且检测正常。</w:t>
            </w:r>
          </w:p>
        </w:tc>
        <w:tc>
          <w:tcPr>
            <w:tcW w:w="1056" w:type="pct"/>
            <w:tcBorders>
              <w:top w:val="nil"/>
              <w:left w:val="nil"/>
              <w:bottom w:val="single" w:color="auto" w:sz="4" w:space="0"/>
              <w:right w:val="single" w:color="auto" w:sz="4" w:space="0"/>
            </w:tcBorders>
            <w:shd w:val="clear" w:color="auto" w:fill="auto"/>
            <w:noWrap/>
            <w:vAlign w:val="center"/>
          </w:tcPr>
          <w:p w14:paraId="14A2437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2C75E9C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2E30E1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09FF6156">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636F6D0">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noWrap/>
            <w:vAlign w:val="center"/>
          </w:tcPr>
          <w:p w14:paraId="21DA0D8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633" w:type="pct"/>
            <w:tcBorders>
              <w:top w:val="nil"/>
              <w:left w:val="nil"/>
              <w:bottom w:val="single" w:color="auto" w:sz="4" w:space="0"/>
              <w:right w:val="single" w:color="auto" w:sz="4" w:space="0"/>
            </w:tcBorders>
            <w:shd w:val="clear" w:color="auto" w:fill="auto"/>
            <w:noWrap/>
            <w:vAlign w:val="center"/>
          </w:tcPr>
          <w:p w14:paraId="12A3274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1CFA0B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5E751056">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A484D10">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五.火灾事故广播系统</w:t>
            </w:r>
          </w:p>
        </w:tc>
        <w:tc>
          <w:tcPr>
            <w:tcW w:w="1056" w:type="pct"/>
            <w:tcBorders>
              <w:top w:val="nil"/>
              <w:left w:val="nil"/>
              <w:bottom w:val="single" w:color="auto" w:sz="4" w:space="0"/>
              <w:right w:val="single" w:color="auto" w:sz="4" w:space="0"/>
            </w:tcBorders>
            <w:shd w:val="clear" w:color="auto" w:fill="auto"/>
            <w:noWrap/>
            <w:vAlign w:val="center"/>
          </w:tcPr>
          <w:p w14:paraId="13F0967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10</w:t>
            </w:r>
          </w:p>
        </w:tc>
        <w:tc>
          <w:tcPr>
            <w:tcW w:w="633" w:type="pct"/>
            <w:tcBorders>
              <w:top w:val="nil"/>
              <w:left w:val="nil"/>
              <w:bottom w:val="single" w:color="auto" w:sz="4" w:space="0"/>
              <w:right w:val="single" w:color="auto" w:sz="4" w:space="0"/>
            </w:tcBorders>
            <w:shd w:val="clear" w:color="auto" w:fill="auto"/>
            <w:noWrap/>
            <w:vAlign w:val="center"/>
          </w:tcPr>
          <w:p w14:paraId="6C3CFDD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32C5F6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762A9F49">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096176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1.模拟测试火灾事故广播系统切换功能控制模块动作；</w:t>
            </w:r>
          </w:p>
        </w:tc>
        <w:tc>
          <w:tcPr>
            <w:tcW w:w="1056" w:type="pct"/>
            <w:tcBorders>
              <w:top w:val="nil"/>
              <w:left w:val="nil"/>
              <w:bottom w:val="single" w:color="auto" w:sz="4" w:space="0"/>
              <w:right w:val="single" w:color="auto" w:sz="4" w:space="0"/>
            </w:tcBorders>
            <w:shd w:val="clear" w:color="auto" w:fill="auto"/>
            <w:noWrap/>
            <w:vAlign w:val="center"/>
          </w:tcPr>
          <w:p w14:paraId="73C1463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633" w:type="pct"/>
            <w:tcBorders>
              <w:top w:val="nil"/>
              <w:left w:val="nil"/>
              <w:bottom w:val="single" w:color="auto" w:sz="4" w:space="0"/>
              <w:right w:val="single" w:color="auto" w:sz="4" w:space="0"/>
            </w:tcBorders>
            <w:shd w:val="clear" w:color="auto" w:fill="auto"/>
            <w:noWrap/>
            <w:vAlign w:val="center"/>
          </w:tcPr>
          <w:p w14:paraId="056D527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8681C0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6879C3F6">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C29F26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2.各广播设备处于工作状态。</w:t>
            </w:r>
          </w:p>
        </w:tc>
        <w:tc>
          <w:tcPr>
            <w:tcW w:w="1056" w:type="pct"/>
            <w:tcBorders>
              <w:top w:val="nil"/>
              <w:left w:val="nil"/>
              <w:bottom w:val="single" w:color="auto" w:sz="4" w:space="0"/>
              <w:right w:val="single" w:color="auto" w:sz="4" w:space="0"/>
            </w:tcBorders>
            <w:shd w:val="clear" w:color="auto" w:fill="auto"/>
            <w:noWrap/>
            <w:vAlign w:val="center"/>
          </w:tcPr>
          <w:p w14:paraId="45A240D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33" w:type="pct"/>
            <w:tcBorders>
              <w:top w:val="nil"/>
              <w:left w:val="nil"/>
              <w:bottom w:val="single" w:color="auto" w:sz="4" w:space="0"/>
              <w:right w:val="single" w:color="auto" w:sz="4" w:space="0"/>
            </w:tcBorders>
            <w:shd w:val="clear" w:color="auto" w:fill="auto"/>
            <w:noWrap/>
            <w:vAlign w:val="center"/>
          </w:tcPr>
          <w:p w14:paraId="1E1D706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5DB8D90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40C9B8E9">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72BDE5D">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noWrap/>
            <w:vAlign w:val="center"/>
          </w:tcPr>
          <w:p w14:paraId="5DCBE1F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633" w:type="pct"/>
            <w:tcBorders>
              <w:top w:val="nil"/>
              <w:left w:val="nil"/>
              <w:bottom w:val="single" w:color="auto" w:sz="4" w:space="0"/>
              <w:right w:val="single" w:color="auto" w:sz="4" w:space="0"/>
            </w:tcBorders>
            <w:shd w:val="clear" w:color="auto" w:fill="auto"/>
            <w:noWrap/>
            <w:vAlign w:val="center"/>
          </w:tcPr>
          <w:p w14:paraId="6B63C59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6FD92A1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799B937E">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9531484">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六.疏散出口指示灯</w:t>
            </w:r>
          </w:p>
        </w:tc>
        <w:tc>
          <w:tcPr>
            <w:tcW w:w="1056" w:type="pct"/>
            <w:tcBorders>
              <w:top w:val="nil"/>
              <w:left w:val="nil"/>
              <w:bottom w:val="single" w:color="auto" w:sz="4" w:space="0"/>
              <w:right w:val="single" w:color="auto" w:sz="4" w:space="0"/>
            </w:tcBorders>
            <w:shd w:val="clear" w:color="auto" w:fill="auto"/>
            <w:noWrap/>
            <w:vAlign w:val="center"/>
          </w:tcPr>
          <w:p w14:paraId="5230C6C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6</w:t>
            </w:r>
          </w:p>
        </w:tc>
        <w:tc>
          <w:tcPr>
            <w:tcW w:w="633" w:type="pct"/>
            <w:tcBorders>
              <w:top w:val="nil"/>
              <w:left w:val="nil"/>
              <w:bottom w:val="single" w:color="auto" w:sz="4" w:space="0"/>
              <w:right w:val="single" w:color="auto" w:sz="4" w:space="0"/>
            </w:tcBorders>
            <w:shd w:val="clear" w:color="auto" w:fill="auto"/>
            <w:noWrap/>
            <w:vAlign w:val="center"/>
          </w:tcPr>
          <w:p w14:paraId="26B4835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5D0C128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51F9EB6A">
        <w:tblPrEx>
          <w:tblCellMar>
            <w:top w:w="0" w:type="dxa"/>
            <w:left w:w="108" w:type="dxa"/>
            <w:bottom w:w="0" w:type="dxa"/>
            <w:right w:w="108" w:type="dxa"/>
          </w:tblCellMar>
        </w:tblPrEx>
        <w:trPr>
          <w:trHeight w:val="648"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039DC0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1.每月巡查手动测试,发现故障及时维修更换,确保出口指示灯工作正常（指示疏散方向正确）。</w:t>
            </w:r>
          </w:p>
        </w:tc>
        <w:tc>
          <w:tcPr>
            <w:tcW w:w="1056" w:type="pct"/>
            <w:tcBorders>
              <w:top w:val="nil"/>
              <w:left w:val="nil"/>
              <w:bottom w:val="single" w:color="auto" w:sz="4" w:space="0"/>
              <w:right w:val="single" w:color="auto" w:sz="4" w:space="0"/>
            </w:tcBorders>
            <w:shd w:val="clear" w:color="auto" w:fill="auto"/>
            <w:noWrap/>
            <w:vAlign w:val="center"/>
          </w:tcPr>
          <w:p w14:paraId="4C5240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633" w:type="pct"/>
            <w:tcBorders>
              <w:top w:val="nil"/>
              <w:left w:val="nil"/>
              <w:bottom w:val="single" w:color="auto" w:sz="4" w:space="0"/>
              <w:right w:val="single" w:color="auto" w:sz="4" w:space="0"/>
            </w:tcBorders>
            <w:shd w:val="clear" w:color="auto" w:fill="auto"/>
            <w:noWrap/>
            <w:vAlign w:val="center"/>
          </w:tcPr>
          <w:p w14:paraId="68C996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367468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5356DB69">
        <w:tblPrEx>
          <w:tblCellMar>
            <w:top w:w="0" w:type="dxa"/>
            <w:left w:w="108" w:type="dxa"/>
            <w:bottom w:w="0" w:type="dxa"/>
            <w:right w:w="108" w:type="dxa"/>
          </w:tblCellMar>
        </w:tblPrEx>
        <w:trPr>
          <w:trHeight w:val="39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D8DC31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noWrap/>
            <w:vAlign w:val="center"/>
          </w:tcPr>
          <w:p w14:paraId="12D79F8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633" w:type="pct"/>
            <w:tcBorders>
              <w:top w:val="nil"/>
              <w:left w:val="nil"/>
              <w:bottom w:val="single" w:color="auto" w:sz="4" w:space="0"/>
              <w:right w:val="single" w:color="auto" w:sz="4" w:space="0"/>
            </w:tcBorders>
            <w:shd w:val="clear" w:color="auto" w:fill="auto"/>
            <w:noWrap/>
            <w:vAlign w:val="center"/>
          </w:tcPr>
          <w:p w14:paraId="1329ED4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CE7036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1E202731">
        <w:tblPrEx>
          <w:tblCellMar>
            <w:top w:w="0" w:type="dxa"/>
            <w:left w:w="108" w:type="dxa"/>
            <w:bottom w:w="0" w:type="dxa"/>
            <w:right w:w="108" w:type="dxa"/>
          </w:tblCellMar>
        </w:tblPrEx>
        <w:trPr>
          <w:trHeight w:val="45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81182C0">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七.气体（七氟丙烷）灭火系统</w:t>
            </w:r>
          </w:p>
        </w:tc>
        <w:tc>
          <w:tcPr>
            <w:tcW w:w="1056" w:type="pct"/>
            <w:tcBorders>
              <w:top w:val="nil"/>
              <w:left w:val="nil"/>
              <w:bottom w:val="single" w:color="auto" w:sz="4" w:space="0"/>
              <w:right w:val="single" w:color="auto" w:sz="4" w:space="0"/>
            </w:tcBorders>
            <w:shd w:val="clear" w:color="auto" w:fill="auto"/>
            <w:noWrap/>
            <w:vAlign w:val="center"/>
          </w:tcPr>
          <w:p w14:paraId="6484FC9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w:t>
            </w:r>
          </w:p>
        </w:tc>
        <w:tc>
          <w:tcPr>
            <w:tcW w:w="633" w:type="pct"/>
            <w:tcBorders>
              <w:top w:val="nil"/>
              <w:left w:val="nil"/>
              <w:bottom w:val="single" w:color="auto" w:sz="4" w:space="0"/>
              <w:right w:val="single" w:color="auto" w:sz="4" w:space="0"/>
            </w:tcBorders>
            <w:shd w:val="clear" w:color="auto" w:fill="auto"/>
            <w:noWrap/>
            <w:vAlign w:val="center"/>
          </w:tcPr>
          <w:p w14:paraId="1F3F55F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50F5ADE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53E44E06">
        <w:tblPrEx>
          <w:tblCellMar>
            <w:top w:w="0" w:type="dxa"/>
            <w:left w:w="108" w:type="dxa"/>
            <w:bottom w:w="0" w:type="dxa"/>
            <w:right w:w="108" w:type="dxa"/>
          </w:tblCellMar>
        </w:tblPrEx>
        <w:trPr>
          <w:trHeight w:val="45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7F3930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1.各套气体灭火控制器定期进行检查保养，并测试其功能正常；</w:t>
            </w:r>
          </w:p>
        </w:tc>
        <w:tc>
          <w:tcPr>
            <w:tcW w:w="1056" w:type="pct"/>
            <w:tcBorders>
              <w:top w:val="nil"/>
              <w:left w:val="nil"/>
              <w:bottom w:val="single" w:color="auto" w:sz="4" w:space="0"/>
              <w:right w:val="single" w:color="auto" w:sz="4" w:space="0"/>
            </w:tcBorders>
            <w:shd w:val="clear" w:color="auto" w:fill="auto"/>
            <w:noWrap/>
            <w:vAlign w:val="center"/>
          </w:tcPr>
          <w:p w14:paraId="5144753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181E72A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847873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7A62FADE">
        <w:tblPrEx>
          <w:tblCellMar>
            <w:top w:w="0" w:type="dxa"/>
            <w:left w:w="108" w:type="dxa"/>
            <w:bottom w:w="0" w:type="dxa"/>
            <w:right w:w="108" w:type="dxa"/>
          </w:tblCellMar>
        </w:tblPrEx>
        <w:trPr>
          <w:trHeight w:val="648"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B1587C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2.定期检查启动瓶和药剂贮瓶的压力是否符合出厂充装压力和设计要求（压力表指针是否在绿区），有无泄漏现象，且检测正常；</w:t>
            </w:r>
          </w:p>
        </w:tc>
        <w:tc>
          <w:tcPr>
            <w:tcW w:w="1056" w:type="pct"/>
            <w:tcBorders>
              <w:top w:val="nil"/>
              <w:left w:val="nil"/>
              <w:bottom w:val="single" w:color="auto" w:sz="4" w:space="0"/>
              <w:right w:val="single" w:color="auto" w:sz="4" w:space="0"/>
            </w:tcBorders>
            <w:shd w:val="clear" w:color="auto" w:fill="auto"/>
            <w:noWrap/>
            <w:vAlign w:val="center"/>
          </w:tcPr>
          <w:p w14:paraId="1A4DD13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4895A6C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7CEFB36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48B6CE9E">
        <w:tblPrEx>
          <w:tblCellMar>
            <w:top w:w="0" w:type="dxa"/>
            <w:left w:w="108" w:type="dxa"/>
            <w:bottom w:w="0" w:type="dxa"/>
            <w:right w:w="108" w:type="dxa"/>
          </w:tblCellMar>
        </w:tblPrEx>
        <w:trPr>
          <w:trHeight w:val="558"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94EF46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3.手动、自动紧急启、停放气装置功能检查试验，且检测正常；</w:t>
            </w:r>
          </w:p>
        </w:tc>
        <w:tc>
          <w:tcPr>
            <w:tcW w:w="1056" w:type="pct"/>
            <w:tcBorders>
              <w:top w:val="nil"/>
              <w:left w:val="nil"/>
              <w:bottom w:val="single" w:color="auto" w:sz="4" w:space="0"/>
              <w:right w:val="single" w:color="auto" w:sz="4" w:space="0"/>
            </w:tcBorders>
            <w:shd w:val="clear" w:color="auto" w:fill="auto"/>
            <w:noWrap/>
            <w:vAlign w:val="center"/>
          </w:tcPr>
          <w:p w14:paraId="23ADA42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3F308F3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959106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6F891135">
        <w:tblPrEx>
          <w:tblCellMar>
            <w:top w:w="0" w:type="dxa"/>
            <w:left w:w="108" w:type="dxa"/>
            <w:bottom w:w="0" w:type="dxa"/>
            <w:right w:w="108" w:type="dxa"/>
          </w:tblCellMar>
        </w:tblPrEx>
        <w:trPr>
          <w:trHeight w:val="497"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2DEFBC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4.对电磁阀、瓶头阀清洗，加硅油润滑；</w:t>
            </w:r>
          </w:p>
        </w:tc>
        <w:tc>
          <w:tcPr>
            <w:tcW w:w="1056" w:type="pct"/>
            <w:tcBorders>
              <w:top w:val="nil"/>
              <w:left w:val="nil"/>
              <w:bottom w:val="single" w:color="auto" w:sz="4" w:space="0"/>
              <w:right w:val="single" w:color="auto" w:sz="4" w:space="0"/>
            </w:tcBorders>
            <w:shd w:val="clear" w:color="auto" w:fill="auto"/>
            <w:noWrap/>
            <w:vAlign w:val="center"/>
          </w:tcPr>
          <w:p w14:paraId="5131DB2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42D42FC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64E0F2A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149E8395">
        <w:tblPrEx>
          <w:tblCellMar>
            <w:top w:w="0" w:type="dxa"/>
            <w:left w:w="108" w:type="dxa"/>
            <w:bottom w:w="0" w:type="dxa"/>
            <w:right w:w="108" w:type="dxa"/>
          </w:tblCellMar>
        </w:tblPrEx>
        <w:trPr>
          <w:trHeight w:val="799"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425E718">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5.自动报警系统中的烟、温感探测器、通风空调、防火阀正常运行，气瓶的电磁阀、控制屏、消防中心、警铃、蜂鸣器正常运行；</w:t>
            </w:r>
          </w:p>
        </w:tc>
        <w:tc>
          <w:tcPr>
            <w:tcW w:w="1056" w:type="pct"/>
            <w:tcBorders>
              <w:top w:val="nil"/>
              <w:left w:val="nil"/>
              <w:bottom w:val="single" w:color="auto" w:sz="4" w:space="0"/>
              <w:right w:val="single" w:color="auto" w:sz="4" w:space="0"/>
            </w:tcBorders>
            <w:shd w:val="clear" w:color="auto" w:fill="auto"/>
            <w:noWrap/>
            <w:vAlign w:val="center"/>
          </w:tcPr>
          <w:p w14:paraId="1D6FB41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440A4F0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5F49BD8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397B309F">
        <w:tblPrEx>
          <w:tblCellMar>
            <w:top w:w="0" w:type="dxa"/>
            <w:left w:w="108" w:type="dxa"/>
            <w:bottom w:w="0" w:type="dxa"/>
            <w:right w:w="108" w:type="dxa"/>
          </w:tblCellMar>
        </w:tblPrEx>
        <w:trPr>
          <w:trHeight w:val="48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5A7787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6.气体灭火系统启动瓶、药剂瓶无变形，无腐蚀、脱漆情况；</w:t>
            </w:r>
          </w:p>
        </w:tc>
        <w:tc>
          <w:tcPr>
            <w:tcW w:w="1056" w:type="pct"/>
            <w:tcBorders>
              <w:top w:val="nil"/>
              <w:left w:val="nil"/>
              <w:bottom w:val="single" w:color="auto" w:sz="4" w:space="0"/>
              <w:right w:val="single" w:color="auto" w:sz="4" w:space="0"/>
            </w:tcBorders>
            <w:shd w:val="clear" w:color="auto" w:fill="auto"/>
            <w:noWrap/>
            <w:vAlign w:val="center"/>
          </w:tcPr>
          <w:p w14:paraId="7B25329A">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nil"/>
              <w:left w:val="nil"/>
              <w:bottom w:val="single" w:color="auto" w:sz="4" w:space="0"/>
              <w:right w:val="single" w:color="auto" w:sz="4" w:space="0"/>
            </w:tcBorders>
            <w:shd w:val="clear" w:color="auto" w:fill="auto"/>
            <w:noWrap/>
            <w:vAlign w:val="center"/>
          </w:tcPr>
          <w:p w14:paraId="4AF15A0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63C1DE0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50694C2C">
        <w:tblPrEx>
          <w:tblCellMar>
            <w:top w:w="0" w:type="dxa"/>
            <w:left w:w="108" w:type="dxa"/>
            <w:bottom w:w="0" w:type="dxa"/>
            <w:right w:w="108" w:type="dxa"/>
          </w:tblCellMar>
        </w:tblPrEx>
        <w:trPr>
          <w:trHeight w:val="527"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A7FD6E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7.控制气管无变形或松脱，高压软管无变形、生锈或老化情况；</w:t>
            </w:r>
          </w:p>
        </w:tc>
        <w:tc>
          <w:tcPr>
            <w:tcW w:w="1056" w:type="pct"/>
            <w:tcBorders>
              <w:top w:val="single" w:color="auto" w:sz="4" w:space="0"/>
              <w:left w:val="nil"/>
              <w:bottom w:val="single" w:color="auto" w:sz="4" w:space="0"/>
              <w:right w:val="single" w:color="auto" w:sz="4" w:space="0"/>
            </w:tcBorders>
            <w:shd w:val="clear" w:color="auto" w:fill="auto"/>
            <w:noWrap/>
            <w:vAlign w:val="center"/>
          </w:tcPr>
          <w:p w14:paraId="084A991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single" w:color="auto" w:sz="4" w:space="0"/>
              <w:left w:val="nil"/>
              <w:bottom w:val="single" w:color="auto" w:sz="4" w:space="0"/>
              <w:right w:val="single" w:color="auto" w:sz="4" w:space="0"/>
            </w:tcBorders>
            <w:shd w:val="clear" w:color="auto" w:fill="auto"/>
            <w:noWrap/>
            <w:vAlign w:val="center"/>
          </w:tcPr>
          <w:p w14:paraId="6C3CBC80">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single" w:color="auto" w:sz="4" w:space="0"/>
              <w:left w:val="nil"/>
              <w:bottom w:val="single" w:color="auto" w:sz="4" w:space="0"/>
              <w:right w:val="single" w:color="auto" w:sz="4" w:space="0"/>
            </w:tcBorders>
            <w:shd w:val="clear" w:color="auto" w:fill="auto"/>
            <w:vAlign w:val="center"/>
          </w:tcPr>
          <w:p w14:paraId="0E06B42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3D12188B">
        <w:tblPrEx>
          <w:tblCellMar>
            <w:top w:w="0" w:type="dxa"/>
            <w:left w:w="108" w:type="dxa"/>
            <w:bottom w:w="0" w:type="dxa"/>
            <w:right w:w="108" w:type="dxa"/>
          </w:tblCellMar>
        </w:tblPrEx>
        <w:trPr>
          <w:trHeight w:val="437"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FF8E21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8.气体保护区域（防护区）内的围护结构、开口等符合要求。</w:t>
            </w:r>
          </w:p>
        </w:tc>
        <w:tc>
          <w:tcPr>
            <w:tcW w:w="1056" w:type="pct"/>
            <w:tcBorders>
              <w:top w:val="single" w:color="auto" w:sz="4" w:space="0"/>
              <w:left w:val="nil"/>
              <w:bottom w:val="single" w:color="auto" w:sz="4" w:space="0"/>
              <w:right w:val="single" w:color="auto" w:sz="4" w:space="0"/>
            </w:tcBorders>
            <w:shd w:val="clear" w:color="auto" w:fill="auto"/>
            <w:noWrap/>
            <w:vAlign w:val="center"/>
          </w:tcPr>
          <w:p w14:paraId="1828CFD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633" w:type="pct"/>
            <w:tcBorders>
              <w:top w:val="single" w:color="auto" w:sz="4" w:space="0"/>
              <w:left w:val="nil"/>
              <w:bottom w:val="single" w:color="auto" w:sz="4" w:space="0"/>
              <w:right w:val="single" w:color="auto" w:sz="4" w:space="0"/>
            </w:tcBorders>
            <w:shd w:val="clear" w:color="auto" w:fill="auto"/>
            <w:noWrap/>
            <w:vAlign w:val="center"/>
          </w:tcPr>
          <w:p w14:paraId="5AA4700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single" w:color="auto" w:sz="4" w:space="0"/>
              <w:left w:val="nil"/>
              <w:bottom w:val="single" w:color="auto" w:sz="4" w:space="0"/>
              <w:right w:val="single" w:color="auto" w:sz="4" w:space="0"/>
            </w:tcBorders>
            <w:shd w:val="clear" w:color="auto" w:fill="auto"/>
            <w:vAlign w:val="center"/>
          </w:tcPr>
          <w:p w14:paraId="3D0E60E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3D59B4BE">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900DF7">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B29833B">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63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2DA22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single" w:color="auto" w:sz="4" w:space="0"/>
              <w:left w:val="single" w:color="auto" w:sz="4" w:space="0"/>
              <w:bottom w:val="single" w:color="auto" w:sz="4" w:space="0"/>
              <w:right w:val="single" w:color="auto" w:sz="4" w:space="0"/>
            </w:tcBorders>
            <w:shd w:val="clear" w:color="auto" w:fill="auto"/>
            <w:vAlign w:val="center"/>
          </w:tcPr>
          <w:p w14:paraId="0D8F60B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3704D993">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9F84B32">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八.消防设备设施维护保养</w:t>
            </w:r>
          </w:p>
        </w:tc>
        <w:tc>
          <w:tcPr>
            <w:tcW w:w="1056" w:type="pct"/>
            <w:tcBorders>
              <w:top w:val="nil"/>
              <w:left w:val="nil"/>
              <w:bottom w:val="single" w:color="auto" w:sz="4" w:space="0"/>
              <w:right w:val="single" w:color="auto" w:sz="4" w:space="0"/>
            </w:tcBorders>
            <w:shd w:val="clear" w:color="auto" w:fill="auto"/>
            <w:noWrap/>
            <w:vAlign w:val="center"/>
          </w:tcPr>
          <w:p w14:paraId="7BBB54CC">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16</w:t>
            </w:r>
          </w:p>
        </w:tc>
        <w:tc>
          <w:tcPr>
            <w:tcW w:w="633" w:type="pct"/>
            <w:tcBorders>
              <w:top w:val="nil"/>
              <w:left w:val="nil"/>
              <w:bottom w:val="single" w:color="auto" w:sz="4" w:space="0"/>
              <w:right w:val="single" w:color="auto" w:sz="4" w:space="0"/>
            </w:tcBorders>
            <w:shd w:val="clear" w:color="auto" w:fill="auto"/>
            <w:noWrap/>
            <w:vAlign w:val="center"/>
          </w:tcPr>
          <w:p w14:paraId="5572FFD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4BEF276F">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r>
      <w:tr w14:paraId="756C88BD">
        <w:tblPrEx>
          <w:tblCellMar>
            <w:top w:w="0" w:type="dxa"/>
            <w:left w:w="108" w:type="dxa"/>
            <w:bottom w:w="0" w:type="dxa"/>
            <w:right w:w="108" w:type="dxa"/>
          </w:tblCellMar>
        </w:tblPrEx>
        <w:trPr>
          <w:trHeight w:val="708"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900673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1.木质防火门、检查防火门开闭门器，顺序器、防火卷帘门等定期检查且完好；</w:t>
            </w:r>
          </w:p>
        </w:tc>
        <w:tc>
          <w:tcPr>
            <w:tcW w:w="1056" w:type="pct"/>
            <w:tcBorders>
              <w:top w:val="nil"/>
              <w:left w:val="nil"/>
              <w:bottom w:val="single" w:color="auto" w:sz="4" w:space="0"/>
              <w:right w:val="single" w:color="auto" w:sz="4" w:space="0"/>
            </w:tcBorders>
            <w:shd w:val="clear" w:color="auto" w:fill="auto"/>
            <w:noWrap/>
            <w:vAlign w:val="center"/>
          </w:tcPr>
          <w:p w14:paraId="200449B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33" w:type="pct"/>
            <w:tcBorders>
              <w:top w:val="nil"/>
              <w:left w:val="nil"/>
              <w:bottom w:val="single" w:color="auto" w:sz="4" w:space="0"/>
              <w:right w:val="single" w:color="auto" w:sz="4" w:space="0"/>
            </w:tcBorders>
            <w:shd w:val="clear" w:color="auto" w:fill="auto"/>
            <w:noWrap/>
            <w:vAlign w:val="center"/>
          </w:tcPr>
          <w:p w14:paraId="2002438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4B40CA9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078BDC34">
        <w:tblPrEx>
          <w:tblCellMar>
            <w:top w:w="0" w:type="dxa"/>
            <w:left w:w="108" w:type="dxa"/>
            <w:bottom w:w="0" w:type="dxa"/>
            <w:right w:w="108" w:type="dxa"/>
          </w:tblCellMar>
        </w:tblPrEx>
        <w:trPr>
          <w:trHeight w:val="648"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331151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2.安全出口、疏散通道、重要场所的应急照明和疏散指示标志定期检查且正常；</w:t>
            </w:r>
          </w:p>
        </w:tc>
        <w:tc>
          <w:tcPr>
            <w:tcW w:w="1056" w:type="pct"/>
            <w:tcBorders>
              <w:top w:val="nil"/>
              <w:left w:val="nil"/>
              <w:bottom w:val="single" w:color="auto" w:sz="4" w:space="0"/>
              <w:right w:val="single" w:color="auto" w:sz="4" w:space="0"/>
            </w:tcBorders>
            <w:shd w:val="clear" w:color="auto" w:fill="auto"/>
            <w:noWrap/>
            <w:vAlign w:val="center"/>
          </w:tcPr>
          <w:p w14:paraId="5AE8308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33" w:type="pct"/>
            <w:tcBorders>
              <w:top w:val="nil"/>
              <w:left w:val="nil"/>
              <w:bottom w:val="single" w:color="auto" w:sz="4" w:space="0"/>
              <w:right w:val="single" w:color="auto" w:sz="4" w:space="0"/>
            </w:tcBorders>
            <w:shd w:val="clear" w:color="auto" w:fill="auto"/>
            <w:noWrap/>
            <w:vAlign w:val="center"/>
          </w:tcPr>
          <w:p w14:paraId="2780F48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CAC6D1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07D6D1F4">
        <w:tblPrEx>
          <w:tblCellMar>
            <w:top w:w="0" w:type="dxa"/>
            <w:left w:w="108" w:type="dxa"/>
            <w:bottom w:w="0" w:type="dxa"/>
            <w:right w:w="108" w:type="dxa"/>
          </w:tblCellMar>
        </w:tblPrEx>
        <w:trPr>
          <w:trHeight w:val="678"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5CEA17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3.应急照明灯和疏散指示灯定期试验且正常；</w:t>
            </w:r>
          </w:p>
        </w:tc>
        <w:tc>
          <w:tcPr>
            <w:tcW w:w="1056" w:type="pct"/>
            <w:tcBorders>
              <w:top w:val="nil"/>
              <w:left w:val="nil"/>
              <w:bottom w:val="single" w:color="auto" w:sz="4" w:space="0"/>
              <w:right w:val="single" w:color="auto" w:sz="4" w:space="0"/>
            </w:tcBorders>
            <w:shd w:val="clear" w:color="auto" w:fill="auto"/>
            <w:noWrap/>
            <w:vAlign w:val="center"/>
          </w:tcPr>
          <w:p w14:paraId="2EA3B76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33" w:type="pct"/>
            <w:tcBorders>
              <w:top w:val="nil"/>
              <w:left w:val="nil"/>
              <w:bottom w:val="single" w:color="auto" w:sz="4" w:space="0"/>
              <w:right w:val="single" w:color="auto" w:sz="4" w:space="0"/>
            </w:tcBorders>
            <w:shd w:val="clear" w:color="auto" w:fill="auto"/>
            <w:noWrap/>
            <w:vAlign w:val="center"/>
          </w:tcPr>
          <w:p w14:paraId="448D28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67DDB9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3CDA8887">
        <w:tblPrEx>
          <w:tblCellMar>
            <w:top w:w="0" w:type="dxa"/>
            <w:left w:w="108" w:type="dxa"/>
            <w:bottom w:w="0" w:type="dxa"/>
            <w:right w:w="108" w:type="dxa"/>
          </w:tblCellMar>
        </w:tblPrEx>
        <w:trPr>
          <w:trHeight w:val="362"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A88939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4.灭火器的压力、重量正常并处于有效期内等。必要时做喷射试验。</w:t>
            </w:r>
          </w:p>
        </w:tc>
        <w:tc>
          <w:tcPr>
            <w:tcW w:w="1056" w:type="pct"/>
            <w:tcBorders>
              <w:top w:val="nil"/>
              <w:left w:val="nil"/>
              <w:bottom w:val="single" w:color="auto" w:sz="4" w:space="0"/>
              <w:right w:val="single" w:color="auto" w:sz="4" w:space="0"/>
            </w:tcBorders>
            <w:shd w:val="clear" w:color="auto" w:fill="auto"/>
            <w:noWrap/>
            <w:vAlign w:val="center"/>
          </w:tcPr>
          <w:p w14:paraId="1FB2836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633" w:type="pct"/>
            <w:tcBorders>
              <w:top w:val="nil"/>
              <w:left w:val="nil"/>
              <w:bottom w:val="single" w:color="auto" w:sz="4" w:space="0"/>
              <w:right w:val="single" w:color="auto" w:sz="4" w:space="0"/>
            </w:tcBorders>
            <w:shd w:val="clear" w:color="auto" w:fill="auto"/>
            <w:noWrap/>
            <w:vAlign w:val="center"/>
          </w:tcPr>
          <w:p w14:paraId="0383BDF6">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450CF7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4F80316F">
        <w:tblPrEx>
          <w:tblCellMar>
            <w:top w:w="0" w:type="dxa"/>
            <w:left w:w="108" w:type="dxa"/>
            <w:bottom w:w="0" w:type="dxa"/>
            <w:right w:w="108" w:type="dxa"/>
          </w:tblCellMar>
        </w:tblPrEx>
        <w:trPr>
          <w:trHeight w:val="739" w:hRule="atLeast"/>
          <w:jc w:val="center"/>
        </w:trPr>
        <w:tc>
          <w:tcPr>
            <w:tcW w:w="246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FCE7A6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5.自救逃生设备，消防电源及自动切换设备定期检查且处于正常完好状态。检查防毒面具处于有效期内等。</w:t>
            </w:r>
          </w:p>
        </w:tc>
        <w:tc>
          <w:tcPr>
            <w:tcW w:w="1056" w:type="pct"/>
            <w:tcBorders>
              <w:top w:val="nil"/>
              <w:left w:val="nil"/>
              <w:bottom w:val="single" w:color="auto" w:sz="4" w:space="0"/>
              <w:right w:val="single" w:color="auto" w:sz="4" w:space="0"/>
            </w:tcBorders>
            <w:shd w:val="clear" w:color="auto" w:fill="auto"/>
            <w:noWrap/>
            <w:vAlign w:val="center"/>
          </w:tcPr>
          <w:p w14:paraId="15AFC98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633" w:type="pct"/>
            <w:tcBorders>
              <w:top w:val="nil"/>
              <w:left w:val="nil"/>
              <w:bottom w:val="single" w:color="auto" w:sz="4" w:space="0"/>
              <w:right w:val="single" w:color="auto" w:sz="4" w:space="0"/>
            </w:tcBorders>
            <w:shd w:val="clear" w:color="auto" w:fill="auto"/>
            <w:noWrap/>
            <w:vAlign w:val="center"/>
          </w:tcPr>
          <w:p w14:paraId="423615DD">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06492802">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w:t>
            </w:r>
          </w:p>
        </w:tc>
      </w:tr>
      <w:tr w14:paraId="2BBC3922">
        <w:tblPrEx>
          <w:tblCellMar>
            <w:top w:w="0" w:type="dxa"/>
            <w:left w:w="108" w:type="dxa"/>
            <w:bottom w:w="0" w:type="dxa"/>
            <w:right w:w="108" w:type="dxa"/>
          </w:tblCellMar>
        </w:tblPrEx>
        <w:trPr>
          <w:trHeight w:val="543" w:hRule="atLeast"/>
          <w:jc w:val="center"/>
        </w:trPr>
        <w:tc>
          <w:tcPr>
            <w:tcW w:w="1619" w:type="pct"/>
            <w:tcBorders>
              <w:top w:val="nil"/>
              <w:left w:val="single" w:color="auto" w:sz="4" w:space="0"/>
              <w:bottom w:val="single" w:color="auto" w:sz="4" w:space="0"/>
              <w:right w:val="single" w:color="auto" w:sz="4" w:space="0"/>
            </w:tcBorders>
            <w:shd w:val="clear" w:color="auto" w:fill="auto"/>
            <w:noWrap/>
            <w:vAlign w:val="center"/>
          </w:tcPr>
          <w:p w14:paraId="3E7EF1B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合计</w:t>
            </w:r>
          </w:p>
        </w:tc>
        <w:tc>
          <w:tcPr>
            <w:tcW w:w="844" w:type="pct"/>
            <w:tcBorders>
              <w:top w:val="nil"/>
              <w:left w:val="nil"/>
              <w:bottom w:val="single" w:color="auto" w:sz="4" w:space="0"/>
              <w:right w:val="single" w:color="auto" w:sz="4" w:space="0"/>
            </w:tcBorders>
            <w:shd w:val="clear" w:color="auto" w:fill="auto"/>
            <w:noWrap/>
            <w:vAlign w:val="center"/>
          </w:tcPr>
          <w:p w14:paraId="3C46BCF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noWrap/>
            <w:vAlign w:val="center"/>
          </w:tcPr>
          <w:p w14:paraId="3EB200F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权重得分（合计*50%）</w:t>
            </w:r>
          </w:p>
        </w:tc>
        <w:tc>
          <w:tcPr>
            <w:tcW w:w="633" w:type="pct"/>
            <w:tcBorders>
              <w:top w:val="nil"/>
              <w:left w:val="nil"/>
              <w:bottom w:val="single" w:color="auto" w:sz="4" w:space="0"/>
              <w:right w:val="single" w:color="auto" w:sz="4" w:space="0"/>
            </w:tcBorders>
            <w:shd w:val="clear" w:color="auto" w:fill="auto"/>
            <w:noWrap/>
            <w:vAlign w:val="center"/>
          </w:tcPr>
          <w:p w14:paraId="30D6CCB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24CA8D16">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r>
      <w:tr w14:paraId="76245E90">
        <w:tblPrEx>
          <w:tblCellMar>
            <w:top w:w="0" w:type="dxa"/>
            <w:left w:w="108" w:type="dxa"/>
            <w:bottom w:w="0" w:type="dxa"/>
            <w:right w:w="108" w:type="dxa"/>
          </w:tblCellMar>
        </w:tblPrEx>
        <w:trPr>
          <w:trHeight w:val="512" w:hRule="atLeast"/>
          <w:jc w:val="center"/>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7C0AFA80">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服务评价（占50%）</w:t>
            </w:r>
          </w:p>
        </w:tc>
      </w:tr>
      <w:tr w14:paraId="4232A8D0">
        <w:tblPrEx>
          <w:tblCellMar>
            <w:top w:w="0" w:type="dxa"/>
            <w:left w:w="108" w:type="dxa"/>
            <w:bottom w:w="0" w:type="dxa"/>
            <w:right w:w="108" w:type="dxa"/>
          </w:tblCellMar>
        </w:tblPrEx>
        <w:trPr>
          <w:trHeight w:val="467" w:hRule="atLeast"/>
          <w:jc w:val="center"/>
        </w:trPr>
        <w:tc>
          <w:tcPr>
            <w:tcW w:w="1619" w:type="pct"/>
            <w:tcBorders>
              <w:top w:val="nil"/>
              <w:left w:val="single" w:color="auto" w:sz="4" w:space="0"/>
              <w:bottom w:val="single" w:color="auto" w:sz="4" w:space="0"/>
              <w:right w:val="single" w:color="auto" w:sz="4" w:space="0"/>
            </w:tcBorders>
            <w:shd w:val="clear" w:color="auto" w:fill="auto"/>
            <w:noWrap/>
            <w:vAlign w:val="center"/>
          </w:tcPr>
          <w:p w14:paraId="5678A94A">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指标</w:t>
            </w:r>
            <w:r>
              <w:rPr>
                <w:rFonts w:ascii="宋体" w:hAnsi="宋体" w:cs="宋体"/>
                <w:b/>
                <w:bCs/>
                <w:color w:val="000000" w:themeColor="text1"/>
                <w:sz w:val="24"/>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分值</w:t>
            </w:r>
          </w:p>
        </w:tc>
        <w:tc>
          <w:tcPr>
            <w:tcW w:w="1900" w:type="pct"/>
            <w:gridSpan w:val="2"/>
            <w:tcBorders>
              <w:top w:val="single" w:color="auto" w:sz="4" w:space="0"/>
              <w:left w:val="nil"/>
              <w:bottom w:val="single" w:color="auto" w:sz="4" w:space="0"/>
              <w:right w:val="single" w:color="000000" w:sz="4" w:space="0"/>
            </w:tcBorders>
            <w:shd w:val="clear" w:color="auto" w:fill="auto"/>
            <w:noWrap/>
            <w:vAlign w:val="center"/>
          </w:tcPr>
          <w:p w14:paraId="62A367F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评价描述说明</w:t>
            </w:r>
          </w:p>
        </w:tc>
        <w:tc>
          <w:tcPr>
            <w:tcW w:w="633" w:type="pct"/>
            <w:tcBorders>
              <w:top w:val="nil"/>
              <w:left w:val="nil"/>
              <w:bottom w:val="single" w:color="auto" w:sz="4" w:space="0"/>
              <w:right w:val="single" w:color="auto" w:sz="4" w:space="0"/>
            </w:tcBorders>
            <w:shd w:val="clear" w:color="auto" w:fill="auto"/>
            <w:noWrap/>
            <w:vAlign w:val="center"/>
          </w:tcPr>
          <w:p w14:paraId="72EC621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考核分值</w:t>
            </w:r>
          </w:p>
        </w:tc>
        <w:tc>
          <w:tcPr>
            <w:tcW w:w="846" w:type="pct"/>
            <w:tcBorders>
              <w:top w:val="nil"/>
              <w:left w:val="nil"/>
              <w:bottom w:val="single" w:color="auto" w:sz="4" w:space="0"/>
              <w:right w:val="single" w:color="auto" w:sz="4" w:space="0"/>
            </w:tcBorders>
            <w:shd w:val="clear" w:color="auto" w:fill="auto"/>
            <w:vAlign w:val="center"/>
          </w:tcPr>
          <w:p w14:paraId="471D50A7">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w:t>
            </w:r>
          </w:p>
        </w:tc>
      </w:tr>
      <w:tr w14:paraId="3BC3641C">
        <w:tblPrEx>
          <w:tblCellMar>
            <w:top w:w="0" w:type="dxa"/>
            <w:left w:w="108" w:type="dxa"/>
            <w:bottom w:w="0" w:type="dxa"/>
            <w:right w:w="108" w:type="dxa"/>
          </w:tblCellMar>
        </w:tblPrEx>
        <w:trPr>
          <w:trHeight w:val="784" w:hRule="atLeast"/>
          <w:jc w:val="center"/>
        </w:trPr>
        <w:tc>
          <w:tcPr>
            <w:tcW w:w="1619" w:type="pct"/>
            <w:vMerge w:val="restart"/>
            <w:tcBorders>
              <w:top w:val="nil"/>
              <w:left w:val="single" w:color="auto" w:sz="4" w:space="0"/>
              <w:bottom w:val="single" w:color="000000" w:sz="4" w:space="0"/>
              <w:right w:val="single" w:color="auto" w:sz="4" w:space="0"/>
            </w:tcBorders>
            <w:shd w:val="clear" w:color="auto" w:fill="auto"/>
            <w:vAlign w:val="center"/>
          </w:tcPr>
          <w:p w14:paraId="1D9A375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维保及时性评价             （分值20）</w:t>
            </w: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5E1A685F">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1.每月按时按质进行检查，对突发性的问题能够及时进行响应，得</w:t>
            </w:r>
            <w:r>
              <w:rPr>
                <w:rFonts w:ascii="Calibri" w:hAnsi="Calibri"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p>
        </w:tc>
        <w:tc>
          <w:tcPr>
            <w:tcW w:w="633" w:type="pct"/>
            <w:vMerge w:val="restart"/>
            <w:tcBorders>
              <w:top w:val="nil"/>
              <w:left w:val="single" w:color="auto" w:sz="4" w:space="0"/>
              <w:bottom w:val="single" w:color="auto" w:sz="4" w:space="0"/>
              <w:right w:val="single" w:color="auto" w:sz="4" w:space="0"/>
            </w:tcBorders>
            <w:shd w:val="clear" w:color="auto" w:fill="auto"/>
            <w:noWrap/>
            <w:vAlign w:val="center"/>
          </w:tcPr>
          <w:p w14:paraId="4B16BF86">
            <w:pPr>
              <w:jc w:val="cente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14:paraId="4F89DA0F">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r>
      <w:tr w14:paraId="540A0E4D">
        <w:tblPrEx>
          <w:tblCellMar>
            <w:top w:w="0" w:type="dxa"/>
            <w:left w:w="108" w:type="dxa"/>
            <w:bottom w:w="0" w:type="dxa"/>
            <w:right w:w="108" w:type="dxa"/>
          </w:tblCellMar>
        </w:tblPrEx>
        <w:trPr>
          <w:trHeight w:val="362"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4FFB6699">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noWrap/>
            <w:vAlign w:val="center"/>
          </w:tcPr>
          <w:p w14:paraId="4A09944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2.偶尔比约定时间晚，但能积极响应我司工作的，得</w:t>
            </w:r>
            <w:r>
              <w:rPr>
                <w:rFonts w:ascii="Calibri" w:hAnsi="Calibri" w:cs="宋体"/>
                <w:color w:val="000000" w:themeColor="text1"/>
                <w:sz w:val="24"/>
                <w14:textFill>
                  <w14:solidFill>
                    <w14:schemeClr w14:val="tx1"/>
                  </w14:solidFill>
                </w14:textFill>
              </w:rPr>
              <w:t>15—18</w:t>
            </w:r>
            <w:r>
              <w:rPr>
                <w:rFonts w:hint="eastAsia" w:ascii="宋体" w:hAnsi="宋体" w:cs="宋体"/>
                <w:color w:val="000000" w:themeColor="text1"/>
                <w:sz w:val="24"/>
                <w14:textFill>
                  <w14:solidFill>
                    <w14:schemeClr w14:val="tx1"/>
                  </w14:solidFill>
                </w14:textFill>
              </w:rPr>
              <w:t>分；</w:t>
            </w:r>
          </w:p>
        </w:tc>
        <w:tc>
          <w:tcPr>
            <w:tcW w:w="633" w:type="pct"/>
            <w:vMerge w:val="continue"/>
            <w:tcBorders>
              <w:top w:val="nil"/>
              <w:left w:val="single" w:color="auto" w:sz="4" w:space="0"/>
              <w:bottom w:val="single" w:color="auto" w:sz="4" w:space="0"/>
              <w:right w:val="single" w:color="auto" w:sz="4" w:space="0"/>
            </w:tcBorders>
            <w:vAlign w:val="center"/>
          </w:tcPr>
          <w:p w14:paraId="3A2A4B87">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0B48F2CB">
            <w:pPr>
              <w:rPr>
                <w:rFonts w:ascii="Calibri" w:hAnsi="Calibri" w:cs="宋体"/>
                <w:color w:val="000000" w:themeColor="text1"/>
                <w:sz w:val="24"/>
                <w14:textFill>
                  <w14:solidFill>
                    <w14:schemeClr w14:val="tx1"/>
                  </w14:solidFill>
                </w14:textFill>
              </w:rPr>
            </w:pPr>
          </w:p>
        </w:tc>
      </w:tr>
      <w:tr w14:paraId="312303AB">
        <w:tblPrEx>
          <w:tblCellMar>
            <w:top w:w="0" w:type="dxa"/>
            <w:left w:w="108" w:type="dxa"/>
            <w:bottom w:w="0" w:type="dxa"/>
            <w:right w:w="108" w:type="dxa"/>
          </w:tblCellMar>
        </w:tblPrEx>
        <w:trPr>
          <w:trHeight w:val="362"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1CED5C9B">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noWrap/>
            <w:vAlign w:val="center"/>
          </w:tcPr>
          <w:p w14:paraId="2BF6801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3.检查不及时，经我司提醒后仍不整改，得</w:t>
            </w:r>
            <w:r>
              <w:rPr>
                <w:rFonts w:ascii="Calibri" w:hAnsi="Calibri"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分以下。</w:t>
            </w:r>
          </w:p>
        </w:tc>
        <w:tc>
          <w:tcPr>
            <w:tcW w:w="633" w:type="pct"/>
            <w:vMerge w:val="continue"/>
            <w:tcBorders>
              <w:top w:val="nil"/>
              <w:left w:val="single" w:color="auto" w:sz="4" w:space="0"/>
              <w:bottom w:val="single" w:color="auto" w:sz="4" w:space="0"/>
              <w:right w:val="single" w:color="auto" w:sz="4" w:space="0"/>
            </w:tcBorders>
            <w:vAlign w:val="center"/>
          </w:tcPr>
          <w:p w14:paraId="5EC44BBE">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4F322D63">
            <w:pPr>
              <w:rPr>
                <w:rFonts w:ascii="Calibri" w:hAnsi="Calibri" w:cs="宋体"/>
                <w:color w:val="000000" w:themeColor="text1"/>
                <w:sz w:val="24"/>
                <w14:textFill>
                  <w14:solidFill>
                    <w14:schemeClr w14:val="tx1"/>
                  </w14:solidFill>
                </w14:textFill>
              </w:rPr>
            </w:pPr>
          </w:p>
        </w:tc>
      </w:tr>
      <w:tr w14:paraId="3E74583E">
        <w:tblPrEx>
          <w:tblCellMar>
            <w:top w:w="0" w:type="dxa"/>
            <w:left w:w="108" w:type="dxa"/>
            <w:bottom w:w="0" w:type="dxa"/>
            <w:right w:w="108" w:type="dxa"/>
          </w:tblCellMar>
        </w:tblPrEx>
        <w:trPr>
          <w:trHeight w:val="362" w:hRule="atLeast"/>
          <w:jc w:val="center"/>
        </w:trPr>
        <w:tc>
          <w:tcPr>
            <w:tcW w:w="1619" w:type="pct"/>
            <w:vMerge w:val="restart"/>
            <w:tcBorders>
              <w:top w:val="nil"/>
              <w:left w:val="single" w:color="auto" w:sz="4" w:space="0"/>
              <w:bottom w:val="single" w:color="000000" w:sz="4" w:space="0"/>
              <w:right w:val="single" w:color="auto" w:sz="4" w:space="0"/>
            </w:tcBorders>
            <w:shd w:val="clear" w:color="auto" w:fill="auto"/>
            <w:vAlign w:val="center"/>
          </w:tcPr>
          <w:p w14:paraId="734C87A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维保检查效果评价   </w:t>
            </w:r>
          </w:p>
          <w:p w14:paraId="04EEE032">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（分值20）</w:t>
            </w:r>
          </w:p>
        </w:tc>
        <w:tc>
          <w:tcPr>
            <w:tcW w:w="1900" w:type="pct"/>
            <w:gridSpan w:val="2"/>
            <w:tcBorders>
              <w:top w:val="single" w:color="auto" w:sz="4" w:space="0"/>
              <w:left w:val="nil"/>
              <w:bottom w:val="single" w:color="auto" w:sz="4" w:space="0"/>
              <w:right w:val="single" w:color="000000" w:sz="4" w:space="0"/>
            </w:tcBorders>
            <w:shd w:val="clear" w:color="auto" w:fill="auto"/>
            <w:noWrap/>
            <w:vAlign w:val="center"/>
          </w:tcPr>
          <w:p w14:paraId="763B790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1.检查态度认真负责，不出现少检漏检的情况，得</w:t>
            </w:r>
            <w:r>
              <w:rPr>
                <w:rFonts w:ascii="Calibri" w:hAnsi="Calibri"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p>
        </w:tc>
        <w:tc>
          <w:tcPr>
            <w:tcW w:w="633" w:type="pct"/>
            <w:vMerge w:val="restart"/>
            <w:tcBorders>
              <w:top w:val="nil"/>
              <w:left w:val="single" w:color="auto" w:sz="4" w:space="0"/>
              <w:bottom w:val="single" w:color="auto" w:sz="4" w:space="0"/>
              <w:right w:val="single" w:color="auto" w:sz="4" w:space="0"/>
            </w:tcBorders>
            <w:shd w:val="clear" w:color="auto" w:fill="auto"/>
            <w:noWrap/>
            <w:vAlign w:val="center"/>
          </w:tcPr>
          <w:p w14:paraId="512DC42E">
            <w:pPr>
              <w:jc w:val="cente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14:paraId="56576972">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r>
      <w:tr w14:paraId="4D944B1E">
        <w:tblPrEx>
          <w:tblCellMar>
            <w:top w:w="0" w:type="dxa"/>
            <w:left w:w="108" w:type="dxa"/>
            <w:bottom w:w="0" w:type="dxa"/>
            <w:right w:w="108" w:type="dxa"/>
          </w:tblCellMar>
        </w:tblPrEx>
        <w:trPr>
          <w:trHeight w:val="362"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678FEDAB">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noWrap/>
            <w:vAlign w:val="center"/>
          </w:tcPr>
          <w:p w14:paraId="657F792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2.较为认真负责，但出现部分消防器材漏检情况，得</w:t>
            </w:r>
            <w:r>
              <w:rPr>
                <w:rFonts w:ascii="Calibri" w:hAnsi="Calibri" w:cs="宋体"/>
                <w:color w:val="000000" w:themeColor="text1"/>
                <w:sz w:val="24"/>
                <w14:textFill>
                  <w14:solidFill>
                    <w14:schemeClr w14:val="tx1"/>
                  </w14:solidFill>
                </w14:textFill>
              </w:rPr>
              <w:t>15—18</w:t>
            </w:r>
            <w:r>
              <w:rPr>
                <w:rFonts w:hint="eastAsia" w:ascii="宋体" w:hAnsi="宋体" w:cs="宋体"/>
                <w:color w:val="000000" w:themeColor="text1"/>
                <w:sz w:val="24"/>
                <w14:textFill>
                  <w14:solidFill>
                    <w14:schemeClr w14:val="tx1"/>
                  </w14:solidFill>
                </w14:textFill>
              </w:rPr>
              <w:t>分；</w:t>
            </w:r>
          </w:p>
        </w:tc>
        <w:tc>
          <w:tcPr>
            <w:tcW w:w="633" w:type="pct"/>
            <w:vMerge w:val="continue"/>
            <w:tcBorders>
              <w:top w:val="nil"/>
              <w:left w:val="single" w:color="auto" w:sz="4" w:space="0"/>
              <w:bottom w:val="single" w:color="auto" w:sz="4" w:space="0"/>
              <w:right w:val="single" w:color="auto" w:sz="4" w:space="0"/>
            </w:tcBorders>
            <w:vAlign w:val="center"/>
          </w:tcPr>
          <w:p w14:paraId="6C5DEB90">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64817EC3">
            <w:pPr>
              <w:rPr>
                <w:rFonts w:ascii="Calibri" w:hAnsi="Calibri" w:cs="宋体"/>
                <w:color w:val="000000" w:themeColor="text1"/>
                <w:sz w:val="24"/>
                <w14:textFill>
                  <w14:solidFill>
                    <w14:schemeClr w14:val="tx1"/>
                  </w14:solidFill>
                </w14:textFill>
              </w:rPr>
            </w:pPr>
          </w:p>
        </w:tc>
      </w:tr>
      <w:tr w14:paraId="6EA51AD1">
        <w:tblPrEx>
          <w:tblCellMar>
            <w:top w:w="0" w:type="dxa"/>
            <w:left w:w="108" w:type="dxa"/>
            <w:bottom w:w="0" w:type="dxa"/>
            <w:right w:w="108" w:type="dxa"/>
          </w:tblCellMar>
        </w:tblPrEx>
        <w:trPr>
          <w:trHeight w:val="678"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24ADE522">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0159A06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3.检查态度较差，检查过程走过场，没有产生实质性的检查维保效果的，得</w:t>
            </w:r>
            <w:r>
              <w:rPr>
                <w:rFonts w:ascii="Calibri" w:hAnsi="Calibri"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分以下。</w:t>
            </w:r>
          </w:p>
        </w:tc>
        <w:tc>
          <w:tcPr>
            <w:tcW w:w="633" w:type="pct"/>
            <w:vMerge w:val="continue"/>
            <w:tcBorders>
              <w:top w:val="nil"/>
              <w:left w:val="single" w:color="auto" w:sz="4" w:space="0"/>
              <w:bottom w:val="single" w:color="auto" w:sz="4" w:space="0"/>
              <w:right w:val="single" w:color="auto" w:sz="4" w:space="0"/>
            </w:tcBorders>
            <w:vAlign w:val="center"/>
          </w:tcPr>
          <w:p w14:paraId="1D59FC5E">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2DBFDC96">
            <w:pPr>
              <w:rPr>
                <w:rFonts w:ascii="Calibri" w:hAnsi="Calibri" w:cs="宋体"/>
                <w:color w:val="000000" w:themeColor="text1"/>
                <w:sz w:val="24"/>
                <w14:textFill>
                  <w14:solidFill>
                    <w14:schemeClr w14:val="tx1"/>
                  </w14:solidFill>
                </w14:textFill>
              </w:rPr>
            </w:pPr>
          </w:p>
        </w:tc>
      </w:tr>
      <w:tr w14:paraId="6034A1B5">
        <w:tblPrEx>
          <w:tblCellMar>
            <w:top w:w="0" w:type="dxa"/>
            <w:left w:w="108" w:type="dxa"/>
            <w:bottom w:w="0" w:type="dxa"/>
            <w:right w:w="108" w:type="dxa"/>
          </w:tblCellMar>
        </w:tblPrEx>
        <w:trPr>
          <w:trHeight w:val="618" w:hRule="atLeast"/>
          <w:jc w:val="center"/>
        </w:trPr>
        <w:tc>
          <w:tcPr>
            <w:tcW w:w="1619" w:type="pct"/>
            <w:vMerge w:val="restart"/>
            <w:tcBorders>
              <w:top w:val="nil"/>
              <w:left w:val="single" w:color="auto" w:sz="4" w:space="0"/>
              <w:bottom w:val="single" w:color="000000" w:sz="4" w:space="0"/>
              <w:right w:val="single" w:color="auto" w:sz="4" w:space="0"/>
            </w:tcBorders>
            <w:shd w:val="clear" w:color="auto" w:fill="auto"/>
            <w:vAlign w:val="center"/>
          </w:tcPr>
          <w:p w14:paraId="08DA390E">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维保维修效果评价     </w:t>
            </w:r>
          </w:p>
          <w:p w14:paraId="13DB463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（分值20）</w:t>
            </w: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055D551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1.对于合同约定的维保维修范围的，能积极主动进行维修，并够达到预定效果的，得</w:t>
            </w:r>
            <w:r>
              <w:rPr>
                <w:rFonts w:ascii="Calibri" w:hAnsi="Calibri"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p>
        </w:tc>
        <w:tc>
          <w:tcPr>
            <w:tcW w:w="633" w:type="pct"/>
            <w:vMerge w:val="restart"/>
            <w:tcBorders>
              <w:top w:val="nil"/>
              <w:left w:val="single" w:color="auto" w:sz="4" w:space="0"/>
              <w:bottom w:val="single" w:color="auto" w:sz="4" w:space="0"/>
              <w:right w:val="single" w:color="auto" w:sz="4" w:space="0"/>
            </w:tcBorders>
            <w:shd w:val="clear" w:color="auto" w:fill="auto"/>
            <w:noWrap/>
            <w:vAlign w:val="center"/>
          </w:tcPr>
          <w:p w14:paraId="5277378D">
            <w:pPr>
              <w:jc w:val="cente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14:paraId="0C9CF8DB">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r>
      <w:tr w14:paraId="515F400C">
        <w:tblPrEx>
          <w:tblCellMar>
            <w:top w:w="0" w:type="dxa"/>
            <w:left w:w="108" w:type="dxa"/>
            <w:bottom w:w="0" w:type="dxa"/>
            <w:right w:w="108" w:type="dxa"/>
          </w:tblCellMar>
        </w:tblPrEx>
        <w:trPr>
          <w:trHeight w:val="724"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0141BB2B">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7E68FBB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2.对维保维修工作态度一般，但能基本达到预定效果的，得</w:t>
            </w:r>
            <w:r>
              <w:rPr>
                <w:rFonts w:ascii="Calibri" w:hAnsi="Calibri" w:cs="宋体"/>
                <w:color w:val="000000" w:themeColor="text1"/>
                <w:sz w:val="24"/>
                <w14:textFill>
                  <w14:solidFill>
                    <w14:schemeClr w14:val="tx1"/>
                  </w14:solidFill>
                </w14:textFill>
              </w:rPr>
              <w:t>15—18</w:t>
            </w:r>
            <w:r>
              <w:rPr>
                <w:rFonts w:hint="eastAsia" w:ascii="宋体" w:hAnsi="宋体" w:cs="宋体"/>
                <w:color w:val="000000" w:themeColor="text1"/>
                <w:sz w:val="24"/>
                <w14:textFill>
                  <w14:solidFill>
                    <w14:schemeClr w14:val="tx1"/>
                  </w14:solidFill>
                </w14:textFill>
              </w:rPr>
              <w:t>分；</w:t>
            </w:r>
          </w:p>
        </w:tc>
        <w:tc>
          <w:tcPr>
            <w:tcW w:w="633" w:type="pct"/>
            <w:vMerge w:val="continue"/>
            <w:tcBorders>
              <w:top w:val="nil"/>
              <w:left w:val="single" w:color="auto" w:sz="4" w:space="0"/>
              <w:bottom w:val="single" w:color="auto" w:sz="4" w:space="0"/>
              <w:right w:val="single" w:color="auto" w:sz="4" w:space="0"/>
            </w:tcBorders>
            <w:vAlign w:val="center"/>
          </w:tcPr>
          <w:p w14:paraId="3AED69B4">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002B87B1">
            <w:pPr>
              <w:rPr>
                <w:rFonts w:ascii="Calibri" w:hAnsi="Calibri" w:cs="宋体"/>
                <w:color w:val="000000" w:themeColor="text1"/>
                <w:sz w:val="24"/>
                <w14:textFill>
                  <w14:solidFill>
                    <w14:schemeClr w14:val="tx1"/>
                  </w14:solidFill>
                </w14:textFill>
              </w:rPr>
            </w:pPr>
          </w:p>
        </w:tc>
      </w:tr>
      <w:tr w14:paraId="3EBB5FCE">
        <w:tblPrEx>
          <w:tblCellMar>
            <w:top w:w="0" w:type="dxa"/>
            <w:left w:w="108" w:type="dxa"/>
            <w:bottom w:w="0" w:type="dxa"/>
            <w:right w:w="108" w:type="dxa"/>
          </w:tblCellMar>
        </w:tblPrEx>
        <w:trPr>
          <w:trHeight w:val="769"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51AB7B6C">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72D546B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3.对约定范围内的维修项目不予以维修，对维修范围模糊地带故意推诿，经多次提醒仍不整改的，得</w:t>
            </w:r>
            <w:r>
              <w:rPr>
                <w:rFonts w:ascii="Calibri" w:hAnsi="Calibri"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分以下。</w:t>
            </w:r>
          </w:p>
        </w:tc>
        <w:tc>
          <w:tcPr>
            <w:tcW w:w="633" w:type="pct"/>
            <w:vMerge w:val="continue"/>
            <w:tcBorders>
              <w:top w:val="nil"/>
              <w:left w:val="single" w:color="auto" w:sz="4" w:space="0"/>
              <w:bottom w:val="single" w:color="auto" w:sz="4" w:space="0"/>
              <w:right w:val="single" w:color="auto" w:sz="4" w:space="0"/>
            </w:tcBorders>
            <w:vAlign w:val="center"/>
          </w:tcPr>
          <w:p w14:paraId="5D8CA51C">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7BA47EC5">
            <w:pPr>
              <w:rPr>
                <w:rFonts w:ascii="Calibri" w:hAnsi="Calibri" w:cs="宋体"/>
                <w:color w:val="000000" w:themeColor="text1"/>
                <w:sz w:val="24"/>
                <w14:textFill>
                  <w14:solidFill>
                    <w14:schemeClr w14:val="tx1"/>
                  </w14:solidFill>
                </w14:textFill>
              </w:rPr>
            </w:pPr>
          </w:p>
        </w:tc>
      </w:tr>
      <w:tr w14:paraId="4039E275">
        <w:tblPrEx>
          <w:tblCellMar>
            <w:top w:w="0" w:type="dxa"/>
            <w:left w:w="108" w:type="dxa"/>
            <w:bottom w:w="0" w:type="dxa"/>
            <w:right w:w="108" w:type="dxa"/>
          </w:tblCellMar>
        </w:tblPrEx>
        <w:trPr>
          <w:trHeight w:val="693" w:hRule="atLeast"/>
          <w:jc w:val="center"/>
        </w:trPr>
        <w:tc>
          <w:tcPr>
            <w:tcW w:w="1619" w:type="pct"/>
            <w:vMerge w:val="restart"/>
            <w:tcBorders>
              <w:top w:val="nil"/>
              <w:left w:val="single" w:color="auto" w:sz="4" w:space="0"/>
              <w:bottom w:val="single" w:color="000000" w:sz="4" w:space="0"/>
              <w:right w:val="single" w:color="auto" w:sz="4" w:space="0"/>
            </w:tcBorders>
            <w:shd w:val="clear" w:color="auto" w:fill="auto"/>
            <w:vAlign w:val="center"/>
          </w:tcPr>
          <w:p w14:paraId="414D8B4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维保人员专业化评价 </w:t>
            </w:r>
          </w:p>
          <w:p w14:paraId="0DB2C0F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（分值20）</w:t>
            </w: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40087CB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1.每次进行维保的人员具有较强的专业技能，能够对我司的消防维保工作给予建设性意见的，得</w:t>
            </w:r>
            <w:r>
              <w:rPr>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p>
        </w:tc>
        <w:tc>
          <w:tcPr>
            <w:tcW w:w="633" w:type="pct"/>
            <w:vMerge w:val="restart"/>
            <w:tcBorders>
              <w:top w:val="nil"/>
              <w:left w:val="single" w:color="auto" w:sz="4" w:space="0"/>
              <w:bottom w:val="single" w:color="auto" w:sz="4" w:space="0"/>
              <w:right w:val="single" w:color="auto" w:sz="4" w:space="0"/>
            </w:tcBorders>
            <w:shd w:val="clear" w:color="auto" w:fill="auto"/>
            <w:noWrap/>
            <w:vAlign w:val="center"/>
          </w:tcPr>
          <w:p w14:paraId="76FF1D6E">
            <w:pPr>
              <w:jc w:val="cente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14:paraId="44E58FC2">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r>
      <w:tr w14:paraId="28C41668">
        <w:tblPrEx>
          <w:tblCellMar>
            <w:top w:w="0" w:type="dxa"/>
            <w:left w:w="108" w:type="dxa"/>
            <w:bottom w:w="0" w:type="dxa"/>
            <w:right w:w="108" w:type="dxa"/>
          </w:tblCellMar>
        </w:tblPrEx>
        <w:trPr>
          <w:trHeight w:val="708"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2FB78432">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4EA7AC45">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2.每次进行维保的人员专业技能一般，但能基本支撑我司消防维保工作的，得</w:t>
            </w:r>
            <w:r>
              <w:rPr>
                <w:rFonts w:ascii="Calibri" w:hAnsi="Calibri" w:cs="宋体"/>
                <w:color w:val="000000" w:themeColor="text1"/>
                <w:sz w:val="24"/>
                <w14:textFill>
                  <w14:solidFill>
                    <w14:schemeClr w14:val="tx1"/>
                  </w14:solidFill>
                </w14:textFill>
              </w:rPr>
              <w:t>15-18</w:t>
            </w:r>
            <w:r>
              <w:rPr>
                <w:rFonts w:hint="eastAsia" w:ascii="宋体" w:hAnsi="宋体" w:cs="宋体"/>
                <w:color w:val="000000" w:themeColor="text1"/>
                <w:sz w:val="24"/>
                <w14:textFill>
                  <w14:solidFill>
                    <w14:schemeClr w14:val="tx1"/>
                  </w14:solidFill>
                </w14:textFill>
              </w:rPr>
              <w:t>分；</w:t>
            </w:r>
          </w:p>
        </w:tc>
        <w:tc>
          <w:tcPr>
            <w:tcW w:w="633" w:type="pct"/>
            <w:vMerge w:val="continue"/>
            <w:tcBorders>
              <w:top w:val="nil"/>
              <w:left w:val="single" w:color="auto" w:sz="4" w:space="0"/>
              <w:bottom w:val="single" w:color="auto" w:sz="4" w:space="0"/>
              <w:right w:val="single" w:color="auto" w:sz="4" w:space="0"/>
            </w:tcBorders>
            <w:vAlign w:val="center"/>
          </w:tcPr>
          <w:p w14:paraId="6BB739DA">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41D8DF17">
            <w:pPr>
              <w:rPr>
                <w:rFonts w:ascii="Calibri" w:hAnsi="Calibri" w:cs="宋体"/>
                <w:color w:val="000000" w:themeColor="text1"/>
                <w:sz w:val="24"/>
                <w14:textFill>
                  <w14:solidFill>
                    <w14:schemeClr w14:val="tx1"/>
                  </w14:solidFill>
                </w14:textFill>
              </w:rPr>
            </w:pPr>
          </w:p>
        </w:tc>
      </w:tr>
      <w:tr w14:paraId="71E48EB1">
        <w:tblPrEx>
          <w:tblCellMar>
            <w:top w:w="0" w:type="dxa"/>
            <w:left w:w="108" w:type="dxa"/>
            <w:bottom w:w="0" w:type="dxa"/>
            <w:right w:w="108" w:type="dxa"/>
          </w:tblCellMar>
        </w:tblPrEx>
        <w:trPr>
          <w:trHeight w:val="693"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452A1F84">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3E82EC3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3.每次进行维保的作业人员专业技能较差，无法支撑我司消防维保工作需求的，得</w:t>
            </w:r>
            <w:r>
              <w:rPr>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分以下。</w:t>
            </w:r>
          </w:p>
        </w:tc>
        <w:tc>
          <w:tcPr>
            <w:tcW w:w="633" w:type="pct"/>
            <w:vMerge w:val="continue"/>
            <w:tcBorders>
              <w:top w:val="nil"/>
              <w:left w:val="single" w:color="auto" w:sz="4" w:space="0"/>
              <w:bottom w:val="single" w:color="auto" w:sz="4" w:space="0"/>
              <w:right w:val="single" w:color="auto" w:sz="4" w:space="0"/>
            </w:tcBorders>
            <w:vAlign w:val="center"/>
          </w:tcPr>
          <w:p w14:paraId="7F227F98">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31D5AB30">
            <w:pPr>
              <w:rPr>
                <w:rFonts w:ascii="Calibri" w:hAnsi="Calibri" w:cs="宋体"/>
                <w:color w:val="000000" w:themeColor="text1"/>
                <w:sz w:val="24"/>
                <w14:textFill>
                  <w14:solidFill>
                    <w14:schemeClr w14:val="tx1"/>
                  </w14:solidFill>
                </w14:textFill>
              </w:rPr>
            </w:pPr>
          </w:p>
        </w:tc>
      </w:tr>
      <w:tr w14:paraId="0959FFF2">
        <w:tblPrEx>
          <w:tblCellMar>
            <w:top w:w="0" w:type="dxa"/>
            <w:left w:w="108" w:type="dxa"/>
            <w:bottom w:w="0" w:type="dxa"/>
            <w:right w:w="108" w:type="dxa"/>
          </w:tblCellMar>
        </w:tblPrEx>
        <w:trPr>
          <w:trHeight w:val="437" w:hRule="atLeast"/>
          <w:jc w:val="center"/>
        </w:trPr>
        <w:tc>
          <w:tcPr>
            <w:tcW w:w="1619" w:type="pct"/>
            <w:vMerge w:val="restart"/>
            <w:tcBorders>
              <w:top w:val="nil"/>
              <w:left w:val="single" w:color="auto" w:sz="4" w:space="0"/>
              <w:bottom w:val="single" w:color="000000" w:sz="4" w:space="0"/>
              <w:right w:val="single" w:color="auto" w:sz="4" w:space="0"/>
            </w:tcBorders>
            <w:shd w:val="clear" w:color="auto" w:fill="auto"/>
            <w:vAlign w:val="center"/>
          </w:tcPr>
          <w:p w14:paraId="7E1904E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维保服务态度评价  </w:t>
            </w:r>
          </w:p>
          <w:p w14:paraId="443509AF">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   （分值20）</w:t>
            </w: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1E07332D">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1.态度良好、诚恳，有问题及时改正，得</w:t>
            </w:r>
            <w:r>
              <w:rPr>
                <w:rFonts w:ascii="Calibri" w:hAnsi="Calibri"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分；</w:t>
            </w:r>
          </w:p>
        </w:tc>
        <w:tc>
          <w:tcPr>
            <w:tcW w:w="633" w:type="pct"/>
            <w:vMerge w:val="restart"/>
            <w:tcBorders>
              <w:top w:val="nil"/>
              <w:left w:val="single" w:color="auto" w:sz="4" w:space="0"/>
              <w:bottom w:val="single" w:color="auto" w:sz="4" w:space="0"/>
              <w:right w:val="single" w:color="auto" w:sz="4" w:space="0"/>
            </w:tcBorders>
            <w:shd w:val="clear" w:color="auto" w:fill="auto"/>
            <w:noWrap/>
            <w:vAlign w:val="center"/>
          </w:tcPr>
          <w:p w14:paraId="7394A167">
            <w:pPr>
              <w:jc w:val="cente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c>
          <w:tcPr>
            <w:tcW w:w="846" w:type="pct"/>
            <w:vMerge w:val="restart"/>
            <w:tcBorders>
              <w:top w:val="nil"/>
              <w:left w:val="single" w:color="auto" w:sz="4" w:space="0"/>
              <w:bottom w:val="single" w:color="auto" w:sz="4" w:space="0"/>
              <w:right w:val="single" w:color="auto" w:sz="4" w:space="0"/>
            </w:tcBorders>
            <w:shd w:val="clear" w:color="auto" w:fill="auto"/>
            <w:vAlign w:val="center"/>
          </w:tcPr>
          <w:p w14:paraId="5901F859">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r>
      <w:tr w14:paraId="33AC2DA8">
        <w:tblPrEx>
          <w:tblCellMar>
            <w:top w:w="0" w:type="dxa"/>
            <w:left w:w="108" w:type="dxa"/>
            <w:bottom w:w="0" w:type="dxa"/>
            <w:right w:w="108" w:type="dxa"/>
          </w:tblCellMar>
        </w:tblPrEx>
        <w:trPr>
          <w:trHeight w:val="633"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67D5BFC6">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025A160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2.态度一般，但与之合作基本不影响我司消防维保工作，得</w:t>
            </w:r>
            <w:r>
              <w:rPr>
                <w:rFonts w:ascii="Calibri" w:hAnsi="Calibri" w:cs="宋体"/>
                <w:color w:val="000000" w:themeColor="text1"/>
                <w:sz w:val="24"/>
                <w14:textFill>
                  <w14:solidFill>
                    <w14:schemeClr w14:val="tx1"/>
                  </w14:solidFill>
                </w14:textFill>
              </w:rPr>
              <w:t>15—18</w:t>
            </w:r>
            <w:r>
              <w:rPr>
                <w:rFonts w:hint="eastAsia" w:ascii="宋体" w:hAnsi="宋体" w:cs="宋体"/>
                <w:color w:val="000000" w:themeColor="text1"/>
                <w:sz w:val="24"/>
                <w14:textFill>
                  <w14:solidFill>
                    <w14:schemeClr w14:val="tx1"/>
                  </w14:solidFill>
                </w14:textFill>
              </w:rPr>
              <w:t>分；</w:t>
            </w:r>
          </w:p>
        </w:tc>
        <w:tc>
          <w:tcPr>
            <w:tcW w:w="633" w:type="pct"/>
            <w:vMerge w:val="continue"/>
            <w:tcBorders>
              <w:top w:val="nil"/>
              <w:left w:val="single" w:color="auto" w:sz="4" w:space="0"/>
              <w:bottom w:val="single" w:color="auto" w:sz="4" w:space="0"/>
              <w:right w:val="single" w:color="auto" w:sz="4" w:space="0"/>
            </w:tcBorders>
            <w:vAlign w:val="center"/>
          </w:tcPr>
          <w:p w14:paraId="7F117682">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66B62A72">
            <w:pPr>
              <w:rPr>
                <w:rFonts w:ascii="Calibri" w:hAnsi="Calibri" w:cs="宋体"/>
                <w:color w:val="000000" w:themeColor="text1"/>
                <w:sz w:val="24"/>
                <w14:textFill>
                  <w14:solidFill>
                    <w14:schemeClr w14:val="tx1"/>
                  </w14:solidFill>
                </w14:textFill>
              </w:rPr>
            </w:pPr>
          </w:p>
        </w:tc>
      </w:tr>
      <w:tr w14:paraId="504D7B61">
        <w:tblPrEx>
          <w:tblCellMar>
            <w:top w:w="0" w:type="dxa"/>
            <w:left w:w="108" w:type="dxa"/>
            <w:bottom w:w="0" w:type="dxa"/>
            <w:right w:w="108" w:type="dxa"/>
          </w:tblCellMar>
        </w:tblPrEx>
        <w:trPr>
          <w:trHeight w:val="633" w:hRule="atLeast"/>
          <w:jc w:val="center"/>
        </w:trPr>
        <w:tc>
          <w:tcPr>
            <w:tcW w:w="1619" w:type="pct"/>
            <w:vMerge w:val="continue"/>
            <w:tcBorders>
              <w:top w:val="nil"/>
              <w:left w:val="single" w:color="auto" w:sz="4" w:space="0"/>
              <w:bottom w:val="single" w:color="000000" w:sz="4" w:space="0"/>
              <w:right w:val="single" w:color="auto" w:sz="4" w:space="0"/>
            </w:tcBorders>
            <w:vAlign w:val="center"/>
          </w:tcPr>
          <w:p w14:paraId="16F58711">
            <w:pPr>
              <w:rPr>
                <w:rFonts w:ascii="宋体" w:hAnsi="宋体" w:cs="宋体"/>
                <w:b/>
                <w:bCs/>
                <w:color w:val="000000" w:themeColor="text1"/>
                <w:sz w:val="24"/>
                <w14:textFill>
                  <w14:solidFill>
                    <w14:schemeClr w14:val="tx1"/>
                  </w14:solidFill>
                </w14:textFill>
              </w:rPr>
            </w:pPr>
          </w:p>
        </w:tc>
        <w:tc>
          <w:tcPr>
            <w:tcW w:w="1900" w:type="pct"/>
            <w:gridSpan w:val="2"/>
            <w:tcBorders>
              <w:top w:val="single" w:color="auto" w:sz="4" w:space="0"/>
              <w:left w:val="nil"/>
              <w:bottom w:val="single" w:color="auto" w:sz="4" w:space="0"/>
              <w:right w:val="single" w:color="000000" w:sz="4" w:space="0"/>
            </w:tcBorders>
            <w:shd w:val="clear" w:color="auto" w:fill="auto"/>
            <w:vAlign w:val="center"/>
          </w:tcPr>
          <w:p w14:paraId="4F84D5C4">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3.态度恶劣，有欺诈、怠慢行为，影响我司消防维保工作，有问题严重拖延整改，得</w:t>
            </w:r>
            <w:r>
              <w:rPr>
                <w:rFonts w:ascii="Calibri" w:hAnsi="Calibri" w:cs="宋体"/>
                <w:color w:val="000000" w:themeColor="text1"/>
                <w:sz w:val="24"/>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分以下。</w:t>
            </w:r>
          </w:p>
        </w:tc>
        <w:tc>
          <w:tcPr>
            <w:tcW w:w="633" w:type="pct"/>
            <w:vMerge w:val="continue"/>
            <w:tcBorders>
              <w:top w:val="nil"/>
              <w:left w:val="single" w:color="auto" w:sz="4" w:space="0"/>
              <w:bottom w:val="single" w:color="auto" w:sz="4" w:space="0"/>
              <w:right w:val="single" w:color="auto" w:sz="4" w:space="0"/>
            </w:tcBorders>
            <w:vAlign w:val="center"/>
          </w:tcPr>
          <w:p w14:paraId="3E7CA4C3">
            <w:pPr>
              <w:rPr>
                <w:rFonts w:ascii="Calibri" w:hAnsi="Calibri" w:cs="宋体"/>
                <w:color w:val="000000" w:themeColor="text1"/>
                <w:sz w:val="24"/>
                <w14:textFill>
                  <w14:solidFill>
                    <w14:schemeClr w14:val="tx1"/>
                  </w14:solidFill>
                </w14:textFill>
              </w:rPr>
            </w:pPr>
          </w:p>
        </w:tc>
        <w:tc>
          <w:tcPr>
            <w:tcW w:w="846" w:type="pct"/>
            <w:vMerge w:val="continue"/>
            <w:tcBorders>
              <w:top w:val="nil"/>
              <w:left w:val="single" w:color="auto" w:sz="4" w:space="0"/>
              <w:bottom w:val="single" w:color="auto" w:sz="4" w:space="0"/>
              <w:right w:val="single" w:color="auto" w:sz="4" w:space="0"/>
            </w:tcBorders>
            <w:vAlign w:val="center"/>
          </w:tcPr>
          <w:p w14:paraId="5291B230">
            <w:pPr>
              <w:rPr>
                <w:rFonts w:ascii="Calibri" w:hAnsi="Calibri" w:cs="宋体"/>
                <w:color w:val="000000" w:themeColor="text1"/>
                <w:sz w:val="24"/>
                <w14:textFill>
                  <w14:solidFill>
                    <w14:schemeClr w14:val="tx1"/>
                  </w14:solidFill>
                </w14:textFill>
              </w:rPr>
            </w:pPr>
          </w:p>
        </w:tc>
      </w:tr>
      <w:tr w14:paraId="65AE7A28">
        <w:tblPrEx>
          <w:tblCellMar>
            <w:top w:w="0" w:type="dxa"/>
            <w:left w:w="108" w:type="dxa"/>
            <w:bottom w:w="0" w:type="dxa"/>
            <w:right w:w="108" w:type="dxa"/>
          </w:tblCellMar>
        </w:tblPrEx>
        <w:trPr>
          <w:trHeight w:val="588" w:hRule="atLeast"/>
          <w:jc w:val="center"/>
        </w:trPr>
        <w:tc>
          <w:tcPr>
            <w:tcW w:w="1619" w:type="pct"/>
            <w:tcBorders>
              <w:top w:val="nil"/>
              <w:left w:val="single" w:color="auto" w:sz="4" w:space="0"/>
              <w:bottom w:val="single" w:color="auto" w:sz="4" w:space="0"/>
              <w:right w:val="single" w:color="auto" w:sz="4" w:space="0"/>
            </w:tcBorders>
            <w:shd w:val="clear" w:color="auto" w:fill="auto"/>
            <w:noWrap/>
            <w:vAlign w:val="center"/>
          </w:tcPr>
          <w:p w14:paraId="29041ED4">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合计</w:t>
            </w:r>
          </w:p>
        </w:tc>
        <w:tc>
          <w:tcPr>
            <w:tcW w:w="844" w:type="pct"/>
            <w:tcBorders>
              <w:top w:val="nil"/>
              <w:left w:val="nil"/>
              <w:bottom w:val="single" w:color="auto" w:sz="4" w:space="0"/>
              <w:right w:val="single" w:color="auto" w:sz="4" w:space="0"/>
            </w:tcBorders>
            <w:shd w:val="clear" w:color="auto" w:fill="auto"/>
            <w:noWrap/>
            <w:vAlign w:val="center"/>
          </w:tcPr>
          <w:p w14:paraId="34AD3E99">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w:t>
            </w:r>
          </w:p>
        </w:tc>
        <w:tc>
          <w:tcPr>
            <w:tcW w:w="1056" w:type="pct"/>
            <w:tcBorders>
              <w:top w:val="nil"/>
              <w:left w:val="nil"/>
              <w:bottom w:val="single" w:color="auto" w:sz="4" w:space="0"/>
              <w:right w:val="single" w:color="auto" w:sz="4" w:space="0"/>
            </w:tcBorders>
            <w:shd w:val="clear" w:color="auto" w:fill="auto"/>
            <w:vAlign w:val="center"/>
          </w:tcPr>
          <w:p w14:paraId="60964495">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权重得分（合计*50%）</w:t>
            </w:r>
          </w:p>
        </w:tc>
        <w:tc>
          <w:tcPr>
            <w:tcW w:w="633" w:type="pct"/>
            <w:tcBorders>
              <w:top w:val="nil"/>
              <w:left w:val="nil"/>
              <w:bottom w:val="single" w:color="auto" w:sz="4" w:space="0"/>
              <w:right w:val="single" w:color="auto" w:sz="4" w:space="0"/>
            </w:tcBorders>
            <w:shd w:val="clear" w:color="auto" w:fill="auto"/>
            <w:noWrap/>
            <w:vAlign w:val="center"/>
          </w:tcPr>
          <w:p w14:paraId="535A061D">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53080E4E">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r>
      <w:tr w14:paraId="78E31A07">
        <w:tblPrEx>
          <w:tblCellMar>
            <w:top w:w="0" w:type="dxa"/>
            <w:left w:w="108" w:type="dxa"/>
            <w:bottom w:w="0" w:type="dxa"/>
            <w:right w:w="108" w:type="dxa"/>
          </w:tblCellMar>
        </w:tblPrEx>
        <w:trPr>
          <w:trHeight w:val="588" w:hRule="atLeast"/>
          <w:jc w:val="center"/>
        </w:trPr>
        <w:tc>
          <w:tcPr>
            <w:tcW w:w="3520" w:type="pct"/>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54ED6A8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综合得分</w:t>
            </w:r>
          </w:p>
        </w:tc>
        <w:tc>
          <w:tcPr>
            <w:tcW w:w="633" w:type="pct"/>
            <w:tcBorders>
              <w:top w:val="nil"/>
              <w:left w:val="nil"/>
              <w:bottom w:val="single" w:color="auto" w:sz="4" w:space="0"/>
              <w:right w:val="single" w:color="auto" w:sz="4" w:space="0"/>
            </w:tcBorders>
            <w:shd w:val="clear" w:color="auto" w:fill="auto"/>
            <w:noWrap/>
            <w:vAlign w:val="center"/>
          </w:tcPr>
          <w:p w14:paraId="0754F93D">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c>
          <w:tcPr>
            <w:tcW w:w="846" w:type="pct"/>
            <w:tcBorders>
              <w:top w:val="nil"/>
              <w:left w:val="nil"/>
              <w:bottom w:val="single" w:color="auto" w:sz="4" w:space="0"/>
              <w:right w:val="single" w:color="auto" w:sz="4" w:space="0"/>
            </w:tcBorders>
            <w:shd w:val="clear" w:color="auto" w:fill="auto"/>
            <w:vAlign w:val="center"/>
          </w:tcPr>
          <w:p w14:paraId="3D012341">
            <w:pPr>
              <w:rPr>
                <w:rFonts w:ascii="Calibri" w:hAnsi="Calibri" w:cs="宋体"/>
                <w:color w:val="000000" w:themeColor="text1"/>
                <w:sz w:val="24"/>
                <w14:textFill>
                  <w14:solidFill>
                    <w14:schemeClr w14:val="tx1"/>
                  </w14:solidFill>
                </w14:textFill>
              </w:rPr>
            </w:pPr>
            <w:r>
              <w:rPr>
                <w:rFonts w:ascii="Calibri" w:hAnsi="Calibri" w:cs="宋体"/>
                <w:color w:val="000000" w:themeColor="text1"/>
                <w:sz w:val="24"/>
                <w14:textFill>
                  <w14:solidFill>
                    <w14:schemeClr w14:val="tx1"/>
                  </w14:solidFill>
                </w14:textFill>
              </w:rPr>
              <w:t>　</w:t>
            </w:r>
          </w:p>
        </w:tc>
      </w:tr>
      <w:tr w14:paraId="32F4F61C">
        <w:tblPrEx>
          <w:tblCellMar>
            <w:top w:w="0" w:type="dxa"/>
            <w:left w:w="108" w:type="dxa"/>
            <w:bottom w:w="0" w:type="dxa"/>
            <w:right w:w="108" w:type="dxa"/>
          </w:tblCellMar>
        </w:tblPrEx>
        <w:trPr>
          <w:trHeight w:val="784" w:hRule="atLeast"/>
          <w:jc w:val="center"/>
        </w:trPr>
        <w:tc>
          <w:tcPr>
            <w:tcW w:w="5000" w:type="pct"/>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33B88C97">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备注：每季度综合评分达到</w:t>
            </w:r>
            <w:r>
              <w:rPr>
                <w:rFonts w:ascii="宋体" w:hAnsi="宋体" w:cs="宋体"/>
                <w:b/>
                <w:bCs/>
                <w:color w:val="000000" w:themeColor="text1"/>
                <w:sz w:val="24"/>
                <w14:textFill>
                  <w14:solidFill>
                    <w14:schemeClr w14:val="tx1"/>
                  </w14:solidFill>
                </w14:textFill>
              </w:rPr>
              <w:t>90</w:t>
            </w:r>
            <w:r>
              <w:rPr>
                <w:rFonts w:hint="eastAsia" w:ascii="宋体" w:hAnsi="宋体" w:cs="宋体"/>
                <w:b/>
                <w:bCs/>
                <w:color w:val="000000" w:themeColor="text1"/>
                <w:sz w:val="24"/>
                <w14:textFill>
                  <w14:solidFill>
                    <w14:schemeClr w14:val="tx1"/>
                  </w14:solidFill>
                </w14:textFill>
              </w:rPr>
              <w:t>分以上，服务款</w:t>
            </w:r>
            <w:r>
              <w:rPr>
                <w:rFonts w:ascii="宋体" w:hAnsi="宋体" w:cs="宋体"/>
                <w:b/>
                <w:bCs/>
                <w:color w:val="000000" w:themeColor="text1"/>
                <w:sz w:val="24"/>
                <w14:textFill>
                  <w14:solidFill>
                    <w14:schemeClr w14:val="tx1"/>
                  </w14:solidFill>
                </w14:textFill>
              </w:rPr>
              <w:t>100%</w:t>
            </w:r>
            <w:r>
              <w:rPr>
                <w:rFonts w:hint="eastAsia" w:ascii="宋体" w:hAnsi="宋体" w:cs="宋体"/>
                <w:b/>
                <w:bCs/>
                <w:color w:val="000000" w:themeColor="text1"/>
                <w:sz w:val="24"/>
                <w14:textFill>
                  <w14:solidFill>
                    <w14:schemeClr w14:val="tx1"/>
                  </w14:solidFill>
                </w14:textFill>
              </w:rPr>
              <w:t>支付；评分达到</w:t>
            </w:r>
            <w:r>
              <w:rPr>
                <w:rFonts w:ascii="宋体" w:hAnsi="宋体" w:cs="宋体"/>
                <w:b/>
                <w:bCs/>
                <w:color w:val="000000" w:themeColor="text1"/>
                <w:sz w:val="24"/>
                <w14:textFill>
                  <w14:solidFill>
                    <w14:schemeClr w14:val="tx1"/>
                  </w14:solidFill>
                </w14:textFill>
              </w:rPr>
              <w:t>80—90</w:t>
            </w:r>
            <w:r>
              <w:rPr>
                <w:rFonts w:hint="eastAsia" w:ascii="宋体" w:hAnsi="宋体" w:cs="宋体"/>
                <w:b/>
                <w:bCs/>
                <w:color w:val="000000" w:themeColor="text1"/>
                <w:sz w:val="24"/>
                <w14:textFill>
                  <w14:solidFill>
                    <w14:schemeClr w14:val="tx1"/>
                  </w14:solidFill>
                </w14:textFill>
              </w:rPr>
              <w:t>分，服务款</w:t>
            </w:r>
            <w:r>
              <w:rPr>
                <w:rFonts w:ascii="宋体" w:hAnsi="宋体" w:cs="宋体"/>
                <w:b/>
                <w:bCs/>
                <w:color w:val="000000" w:themeColor="text1"/>
                <w:sz w:val="24"/>
                <w14:textFill>
                  <w14:solidFill>
                    <w14:schemeClr w14:val="tx1"/>
                  </w14:solidFill>
                </w14:textFill>
              </w:rPr>
              <w:t>95%</w:t>
            </w:r>
            <w:r>
              <w:rPr>
                <w:rFonts w:hint="eastAsia" w:ascii="宋体" w:hAnsi="宋体" w:cs="宋体"/>
                <w:b/>
                <w:bCs/>
                <w:color w:val="000000" w:themeColor="text1"/>
                <w:sz w:val="24"/>
                <w14:textFill>
                  <w14:solidFill>
                    <w14:schemeClr w14:val="tx1"/>
                  </w14:solidFill>
                </w14:textFill>
              </w:rPr>
              <w:t>支付；如有</w:t>
            </w:r>
            <w:r>
              <w:rPr>
                <w:rFonts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14:textFill>
                  <w14:solidFill>
                    <w14:schemeClr w14:val="tx1"/>
                  </w14:solidFill>
                </w14:textFill>
              </w:rPr>
              <w:t>次季度评分在</w:t>
            </w:r>
            <w:r>
              <w:rPr>
                <w:rFonts w:ascii="宋体" w:hAnsi="宋体" w:cs="宋体"/>
                <w:b/>
                <w:bCs/>
                <w:color w:val="000000" w:themeColor="text1"/>
                <w:sz w:val="24"/>
                <w14:textFill>
                  <w14:solidFill>
                    <w14:schemeClr w14:val="tx1"/>
                  </w14:solidFill>
                </w14:textFill>
              </w:rPr>
              <w:t>80</w:t>
            </w:r>
            <w:r>
              <w:rPr>
                <w:rFonts w:hint="eastAsia" w:ascii="宋体" w:hAnsi="宋体" w:cs="宋体"/>
                <w:b/>
                <w:bCs/>
                <w:color w:val="000000" w:themeColor="text1"/>
                <w:sz w:val="24"/>
                <w14:textFill>
                  <w14:solidFill>
                    <w14:schemeClr w14:val="tx1"/>
                  </w14:solidFill>
                </w14:textFill>
              </w:rPr>
              <w:t>分以下，终止合同。</w:t>
            </w:r>
          </w:p>
        </w:tc>
      </w:tr>
      <w:tr w14:paraId="30330841">
        <w:tblPrEx>
          <w:tblCellMar>
            <w:top w:w="0" w:type="dxa"/>
            <w:left w:w="108" w:type="dxa"/>
            <w:bottom w:w="0" w:type="dxa"/>
            <w:right w:w="108" w:type="dxa"/>
          </w:tblCellMar>
        </w:tblPrEx>
        <w:trPr>
          <w:trHeight w:val="286" w:hRule="atLeast"/>
          <w:jc w:val="center"/>
        </w:trPr>
        <w:tc>
          <w:tcPr>
            <w:tcW w:w="1619" w:type="pct"/>
            <w:tcBorders>
              <w:top w:val="nil"/>
              <w:left w:val="nil"/>
              <w:bottom w:val="nil"/>
              <w:right w:val="nil"/>
            </w:tcBorders>
            <w:shd w:val="clear" w:color="auto" w:fill="auto"/>
            <w:noWrap/>
            <w:vAlign w:val="center"/>
          </w:tcPr>
          <w:p w14:paraId="1A87D0C5">
            <w:pPr>
              <w:rPr>
                <w:b/>
                <w:bCs/>
                <w:color w:val="000000" w:themeColor="text1"/>
                <w:sz w:val="24"/>
                <w14:textFill>
                  <w14:solidFill>
                    <w14:schemeClr w14:val="tx1"/>
                  </w14:solidFill>
                </w14:textFill>
              </w:rPr>
            </w:pPr>
          </w:p>
        </w:tc>
        <w:tc>
          <w:tcPr>
            <w:tcW w:w="844" w:type="pct"/>
            <w:tcBorders>
              <w:top w:val="nil"/>
              <w:left w:val="nil"/>
              <w:bottom w:val="nil"/>
              <w:right w:val="nil"/>
            </w:tcBorders>
            <w:shd w:val="clear" w:color="auto" w:fill="auto"/>
            <w:noWrap/>
            <w:vAlign w:val="center"/>
          </w:tcPr>
          <w:p w14:paraId="1AF47793">
            <w:pPr>
              <w:rPr>
                <w:rFonts w:eastAsia="Times New Roman"/>
                <w:color w:val="000000" w:themeColor="text1"/>
                <w:sz w:val="24"/>
                <w14:textFill>
                  <w14:solidFill>
                    <w14:schemeClr w14:val="tx1"/>
                  </w14:solidFill>
                </w14:textFill>
              </w:rPr>
            </w:pPr>
          </w:p>
        </w:tc>
        <w:tc>
          <w:tcPr>
            <w:tcW w:w="1056" w:type="pct"/>
            <w:tcBorders>
              <w:top w:val="nil"/>
              <w:left w:val="nil"/>
              <w:bottom w:val="nil"/>
              <w:right w:val="nil"/>
            </w:tcBorders>
            <w:shd w:val="clear" w:color="auto" w:fill="auto"/>
            <w:noWrap/>
            <w:vAlign w:val="center"/>
          </w:tcPr>
          <w:p w14:paraId="117C1D0F">
            <w:pPr>
              <w:rPr>
                <w:rFonts w:eastAsia="Times New Roman"/>
                <w:color w:val="000000" w:themeColor="text1"/>
                <w:sz w:val="24"/>
                <w14:textFill>
                  <w14:solidFill>
                    <w14:schemeClr w14:val="tx1"/>
                  </w14:solidFill>
                </w14:textFill>
              </w:rPr>
            </w:pPr>
          </w:p>
        </w:tc>
        <w:tc>
          <w:tcPr>
            <w:tcW w:w="633" w:type="pct"/>
            <w:tcBorders>
              <w:top w:val="nil"/>
              <w:left w:val="nil"/>
              <w:bottom w:val="nil"/>
              <w:right w:val="nil"/>
            </w:tcBorders>
            <w:shd w:val="clear" w:color="auto" w:fill="auto"/>
            <w:noWrap/>
            <w:vAlign w:val="center"/>
          </w:tcPr>
          <w:p w14:paraId="3F78B214">
            <w:pPr>
              <w:rPr>
                <w:rFonts w:eastAsia="Times New Roman"/>
                <w:color w:val="000000" w:themeColor="text1"/>
                <w:sz w:val="24"/>
                <w14:textFill>
                  <w14:solidFill>
                    <w14:schemeClr w14:val="tx1"/>
                  </w14:solidFill>
                </w14:textFill>
              </w:rPr>
            </w:pPr>
          </w:p>
        </w:tc>
        <w:tc>
          <w:tcPr>
            <w:tcW w:w="846" w:type="pct"/>
            <w:tcBorders>
              <w:top w:val="nil"/>
              <w:left w:val="nil"/>
              <w:bottom w:val="nil"/>
              <w:right w:val="nil"/>
            </w:tcBorders>
            <w:shd w:val="clear" w:color="auto" w:fill="auto"/>
            <w:noWrap/>
            <w:vAlign w:val="center"/>
          </w:tcPr>
          <w:p w14:paraId="059F8AF7">
            <w:pPr>
              <w:rPr>
                <w:rFonts w:eastAsia="Times New Roman"/>
                <w:color w:val="000000" w:themeColor="text1"/>
                <w:sz w:val="24"/>
                <w14:textFill>
                  <w14:solidFill>
                    <w14:schemeClr w14:val="tx1"/>
                  </w14:solidFill>
                </w14:textFill>
              </w:rPr>
            </w:pPr>
          </w:p>
        </w:tc>
      </w:tr>
      <w:tr w14:paraId="62C1F888">
        <w:trPr>
          <w:trHeight w:val="543" w:hRule="atLeast"/>
          <w:jc w:val="center"/>
        </w:trPr>
        <w:tc>
          <w:tcPr>
            <w:tcW w:w="1619" w:type="pct"/>
            <w:tcBorders>
              <w:top w:val="nil"/>
              <w:left w:val="nil"/>
              <w:bottom w:val="nil"/>
              <w:right w:val="nil"/>
            </w:tcBorders>
            <w:shd w:val="clear" w:color="auto" w:fill="auto"/>
            <w:noWrap/>
            <w:vAlign w:val="center"/>
          </w:tcPr>
          <w:p w14:paraId="5C854AB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维保单位（盖章）：</w:t>
            </w:r>
          </w:p>
        </w:tc>
        <w:tc>
          <w:tcPr>
            <w:tcW w:w="844" w:type="pct"/>
            <w:tcBorders>
              <w:top w:val="nil"/>
              <w:left w:val="nil"/>
              <w:bottom w:val="nil"/>
              <w:right w:val="nil"/>
            </w:tcBorders>
            <w:shd w:val="clear" w:color="auto" w:fill="auto"/>
            <w:noWrap/>
            <w:vAlign w:val="center"/>
          </w:tcPr>
          <w:p w14:paraId="2B962265">
            <w:pPr>
              <w:rPr>
                <w:rFonts w:ascii="宋体" w:hAnsi="宋体" w:cs="宋体"/>
                <w:color w:val="000000" w:themeColor="text1"/>
                <w:sz w:val="24"/>
                <w14:textFill>
                  <w14:solidFill>
                    <w14:schemeClr w14:val="tx1"/>
                  </w14:solidFill>
                </w14:textFill>
              </w:rPr>
            </w:pPr>
          </w:p>
        </w:tc>
        <w:tc>
          <w:tcPr>
            <w:tcW w:w="1056" w:type="pct"/>
            <w:tcBorders>
              <w:top w:val="nil"/>
              <w:left w:val="nil"/>
              <w:bottom w:val="nil"/>
              <w:right w:val="nil"/>
            </w:tcBorders>
            <w:shd w:val="clear" w:color="auto" w:fill="auto"/>
            <w:noWrap/>
            <w:vAlign w:val="center"/>
          </w:tcPr>
          <w:p w14:paraId="2FBC6E4E">
            <w:pPr>
              <w:ind w:right="-250" w:rightChars="-11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考核单位（盖章）：</w:t>
            </w:r>
          </w:p>
        </w:tc>
        <w:tc>
          <w:tcPr>
            <w:tcW w:w="633" w:type="pct"/>
            <w:tcBorders>
              <w:top w:val="nil"/>
              <w:left w:val="nil"/>
              <w:bottom w:val="nil"/>
              <w:right w:val="nil"/>
            </w:tcBorders>
            <w:shd w:val="clear" w:color="auto" w:fill="auto"/>
            <w:noWrap/>
            <w:vAlign w:val="center"/>
          </w:tcPr>
          <w:p w14:paraId="6C181856">
            <w:pPr>
              <w:rPr>
                <w:rFonts w:ascii="宋体" w:hAnsi="宋体" w:cs="宋体"/>
                <w:color w:val="000000" w:themeColor="text1"/>
                <w:sz w:val="24"/>
                <w14:textFill>
                  <w14:solidFill>
                    <w14:schemeClr w14:val="tx1"/>
                  </w14:solidFill>
                </w14:textFill>
              </w:rPr>
            </w:pPr>
          </w:p>
        </w:tc>
        <w:tc>
          <w:tcPr>
            <w:tcW w:w="846" w:type="pct"/>
            <w:tcBorders>
              <w:top w:val="nil"/>
              <w:left w:val="nil"/>
              <w:bottom w:val="nil"/>
              <w:right w:val="nil"/>
            </w:tcBorders>
            <w:shd w:val="clear" w:color="auto" w:fill="auto"/>
            <w:noWrap/>
            <w:vAlign w:val="center"/>
          </w:tcPr>
          <w:p w14:paraId="1C171B03">
            <w:pPr>
              <w:rPr>
                <w:rFonts w:eastAsia="Times New Roman"/>
                <w:color w:val="000000" w:themeColor="text1"/>
                <w:sz w:val="24"/>
                <w14:textFill>
                  <w14:solidFill>
                    <w14:schemeClr w14:val="tx1"/>
                  </w14:solidFill>
                </w14:textFill>
              </w:rPr>
            </w:pPr>
          </w:p>
        </w:tc>
      </w:tr>
      <w:tr w14:paraId="5616CCCC">
        <w:tblPrEx>
          <w:tblCellMar>
            <w:top w:w="0" w:type="dxa"/>
            <w:left w:w="108" w:type="dxa"/>
            <w:bottom w:w="0" w:type="dxa"/>
            <w:right w:w="108" w:type="dxa"/>
          </w:tblCellMar>
        </w:tblPrEx>
        <w:trPr>
          <w:trHeight w:val="80" w:hRule="atLeast"/>
          <w:jc w:val="center"/>
        </w:trPr>
        <w:tc>
          <w:tcPr>
            <w:tcW w:w="1619" w:type="pct"/>
            <w:tcBorders>
              <w:top w:val="nil"/>
              <w:left w:val="nil"/>
              <w:bottom w:val="nil"/>
              <w:right w:val="nil"/>
            </w:tcBorders>
            <w:shd w:val="clear" w:color="auto" w:fill="auto"/>
            <w:noWrap/>
            <w:vAlign w:val="center"/>
          </w:tcPr>
          <w:p w14:paraId="3428B07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经办人：</w:t>
            </w:r>
          </w:p>
        </w:tc>
        <w:tc>
          <w:tcPr>
            <w:tcW w:w="844" w:type="pct"/>
            <w:tcBorders>
              <w:top w:val="nil"/>
              <w:left w:val="nil"/>
              <w:bottom w:val="nil"/>
              <w:right w:val="nil"/>
            </w:tcBorders>
            <w:shd w:val="clear" w:color="auto" w:fill="auto"/>
            <w:noWrap/>
            <w:vAlign w:val="center"/>
          </w:tcPr>
          <w:p w14:paraId="2062C907">
            <w:pPr>
              <w:rPr>
                <w:rFonts w:ascii="宋体" w:hAnsi="宋体" w:cs="宋体"/>
                <w:color w:val="000000" w:themeColor="text1"/>
                <w:sz w:val="24"/>
                <w14:textFill>
                  <w14:solidFill>
                    <w14:schemeClr w14:val="tx1"/>
                  </w14:solidFill>
                </w14:textFill>
              </w:rPr>
            </w:pPr>
          </w:p>
        </w:tc>
        <w:tc>
          <w:tcPr>
            <w:tcW w:w="1056" w:type="pct"/>
            <w:tcBorders>
              <w:top w:val="nil"/>
              <w:left w:val="nil"/>
              <w:bottom w:val="nil"/>
              <w:right w:val="nil"/>
            </w:tcBorders>
            <w:shd w:val="clear" w:color="auto" w:fill="auto"/>
            <w:noWrap/>
            <w:vAlign w:val="center"/>
          </w:tcPr>
          <w:p w14:paraId="7DDDAF2C">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考核人员：</w:t>
            </w:r>
          </w:p>
        </w:tc>
        <w:tc>
          <w:tcPr>
            <w:tcW w:w="633" w:type="pct"/>
            <w:tcBorders>
              <w:top w:val="nil"/>
              <w:left w:val="nil"/>
              <w:bottom w:val="nil"/>
              <w:right w:val="nil"/>
            </w:tcBorders>
            <w:shd w:val="clear" w:color="auto" w:fill="auto"/>
            <w:noWrap/>
            <w:vAlign w:val="center"/>
          </w:tcPr>
          <w:p w14:paraId="549CDF70">
            <w:pPr>
              <w:rPr>
                <w:rFonts w:ascii="宋体" w:hAnsi="宋体" w:cs="宋体"/>
                <w:color w:val="000000" w:themeColor="text1"/>
                <w:sz w:val="24"/>
                <w14:textFill>
                  <w14:solidFill>
                    <w14:schemeClr w14:val="tx1"/>
                  </w14:solidFill>
                </w14:textFill>
              </w:rPr>
            </w:pPr>
          </w:p>
        </w:tc>
        <w:tc>
          <w:tcPr>
            <w:tcW w:w="846" w:type="pct"/>
            <w:tcBorders>
              <w:top w:val="nil"/>
              <w:left w:val="nil"/>
              <w:bottom w:val="nil"/>
              <w:right w:val="nil"/>
            </w:tcBorders>
            <w:shd w:val="clear" w:color="auto" w:fill="auto"/>
            <w:noWrap/>
            <w:vAlign w:val="center"/>
          </w:tcPr>
          <w:p w14:paraId="23469FE5">
            <w:pPr>
              <w:rPr>
                <w:rFonts w:eastAsia="Times New Roman"/>
                <w:color w:val="000000" w:themeColor="text1"/>
                <w:sz w:val="24"/>
                <w14:textFill>
                  <w14:solidFill>
                    <w14:schemeClr w14:val="tx1"/>
                  </w14:solidFill>
                </w14:textFill>
              </w:rPr>
            </w:pPr>
          </w:p>
        </w:tc>
      </w:tr>
    </w:tbl>
    <w:p w14:paraId="4E00B321">
      <w:pPr>
        <w:pStyle w:val="59"/>
        <w:ind w:firstLine="0" w:firstLineChars="0"/>
        <w:rPr>
          <w:rFonts w:ascii="仿宋" w:hAnsi="仿宋" w:eastAsia="仿宋" w:cs="仿宋"/>
          <w:kern w:val="0"/>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185E6"/>
    <w:multiLevelType w:val="singleLevel"/>
    <w:tmpl w:val="987185E6"/>
    <w:lvl w:ilvl="0" w:tentative="0">
      <w:start w:val="1"/>
      <w:numFmt w:val="decimal"/>
      <w:lvlText w:val="(%1)"/>
      <w:lvlJc w:val="left"/>
      <w:pPr>
        <w:ind w:left="425" w:hanging="425"/>
      </w:pPr>
      <w:rPr>
        <w:rFonts w:hint="default"/>
      </w:rPr>
    </w:lvl>
  </w:abstractNum>
  <w:abstractNum w:abstractNumId="1">
    <w:nsid w:val="03DD5FD5"/>
    <w:multiLevelType w:val="multilevel"/>
    <w:tmpl w:val="03DD5FD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042D685C"/>
    <w:multiLevelType w:val="multilevel"/>
    <w:tmpl w:val="042D685C"/>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C32D49"/>
    <w:multiLevelType w:val="multilevel"/>
    <w:tmpl w:val="05C32D49"/>
    <w:lvl w:ilvl="0" w:tentative="0">
      <w:start w:val="1"/>
      <w:numFmt w:val="chineseCountingThousand"/>
      <w:suff w:val="nothing"/>
      <w:lvlText w:val="%1、"/>
      <w:lvlJc w:val="left"/>
      <w:pPr>
        <w:ind w:left="450" w:hanging="45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140A6B21"/>
    <w:multiLevelType w:val="multilevel"/>
    <w:tmpl w:val="140A6B2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
    <w:nsid w:val="215C76AC"/>
    <w:multiLevelType w:val="multilevel"/>
    <w:tmpl w:val="215C76AC"/>
    <w:lvl w:ilvl="0" w:tentative="0">
      <w:start w:val="1"/>
      <w:numFmt w:val="decimal"/>
      <w:lvlText w:val="%1."/>
      <w:lvlJc w:val="left"/>
      <w:pPr>
        <w:ind w:left="420" w:hanging="420"/>
      </w:pPr>
      <w:rPr>
        <w:rFonts w:hint="eastAsia"/>
      </w:rPr>
    </w:lvl>
    <w:lvl w:ilvl="1" w:tentative="0">
      <w:start w:val="1"/>
      <w:numFmt w:val="decimal"/>
      <w:suff w:val="nothing"/>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
    <w:nsid w:val="34433F59"/>
    <w:multiLevelType w:val="multilevel"/>
    <w:tmpl w:val="34433F59"/>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59794862"/>
    <w:multiLevelType w:val="multilevel"/>
    <w:tmpl w:val="5979486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6E297D47"/>
    <w:multiLevelType w:val="multilevel"/>
    <w:tmpl w:val="6E297D4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suff w:val="space"/>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4EC5D4B"/>
    <w:multiLevelType w:val="multilevel"/>
    <w:tmpl w:val="74EC5D4B"/>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8"/>
  </w:num>
  <w:num w:numId="3">
    <w:abstractNumId w:val="9"/>
  </w:num>
  <w:num w:numId="4">
    <w:abstractNumId w:val="6"/>
  </w:num>
  <w:num w:numId="5">
    <w:abstractNumId w:val="2"/>
  </w:num>
  <w:num w:numId="6">
    <w:abstractNumId w:val="12"/>
  </w:num>
  <w:num w:numId="7">
    <w:abstractNumId w:val="1"/>
  </w:num>
  <w:num w:numId="8">
    <w:abstractNumId w:val="4"/>
  </w:num>
  <w:num w:numId="9">
    <w:abstractNumId w:val="10"/>
  </w:num>
  <w:num w:numId="10">
    <w:abstractNumId w:val="5"/>
  </w:num>
  <w:num w:numId="11">
    <w:abstractNumId w:val="7"/>
  </w:num>
  <w:num w:numId="12">
    <w:abstractNumId w:val="3"/>
  </w:num>
  <w:num w:numId="13">
    <w:abstractNumId w:val="14"/>
  </w:num>
  <w:num w:numId="14">
    <w:abstractNumId w:val="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jYmRjYzJhOWExYzgyZjhkOTA0NjMzMjFhZDRlM2E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1E1"/>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2E1"/>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678"/>
    <w:rsid w:val="00634B4B"/>
    <w:rsid w:val="00636ED9"/>
    <w:rsid w:val="006371C6"/>
    <w:rsid w:val="0063788E"/>
    <w:rsid w:val="006421F6"/>
    <w:rsid w:val="00646440"/>
    <w:rsid w:val="00650CE9"/>
    <w:rsid w:val="0065165A"/>
    <w:rsid w:val="00654384"/>
    <w:rsid w:val="006557F3"/>
    <w:rsid w:val="0065640A"/>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F60"/>
    <w:rsid w:val="009A184E"/>
    <w:rsid w:val="009A404A"/>
    <w:rsid w:val="009A4132"/>
    <w:rsid w:val="009A5359"/>
    <w:rsid w:val="009B298A"/>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4A8"/>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36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75D1"/>
    <w:rsid w:val="00FF1A45"/>
    <w:rsid w:val="00FF1FF7"/>
    <w:rsid w:val="00FF2DC3"/>
    <w:rsid w:val="00FF4173"/>
    <w:rsid w:val="00FF5262"/>
    <w:rsid w:val="00FF5943"/>
    <w:rsid w:val="00FF5A73"/>
    <w:rsid w:val="00FF7E17"/>
    <w:rsid w:val="02381E2F"/>
    <w:rsid w:val="023A2E2C"/>
    <w:rsid w:val="024737BC"/>
    <w:rsid w:val="0339199B"/>
    <w:rsid w:val="03883A9C"/>
    <w:rsid w:val="04CF481B"/>
    <w:rsid w:val="04E14C6E"/>
    <w:rsid w:val="055238A3"/>
    <w:rsid w:val="06164F56"/>
    <w:rsid w:val="08026668"/>
    <w:rsid w:val="09694018"/>
    <w:rsid w:val="0A191FEC"/>
    <w:rsid w:val="0A7F09E6"/>
    <w:rsid w:val="0BF16E09"/>
    <w:rsid w:val="0D6358AB"/>
    <w:rsid w:val="0D77267A"/>
    <w:rsid w:val="0DB11233"/>
    <w:rsid w:val="0EE053D2"/>
    <w:rsid w:val="1131282D"/>
    <w:rsid w:val="12B00485"/>
    <w:rsid w:val="12D96AE3"/>
    <w:rsid w:val="13B1655E"/>
    <w:rsid w:val="13B91233"/>
    <w:rsid w:val="14E8498B"/>
    <w:rsid w:val="152C2CD2"/>
    <w:rsid w:val="153D1B8E"/>
    <w:rsid w:val="16D84D00"/>
    <w:rsid w:val="16EE2793"/>
    <w:rsid w:val="18360DBB"/>
    <w:rsid w:val="18830246"/>
    <w:rsid w:val="195C5947"/>
    <w:rsid w:val="19C705AD"/>
    <w:rsid w:val="1B0E5A7A"/>
    <w:rsid w:val="1B285AE1"/>
    <w:rsid w:val="1CEF1518"/>
    <w:rsid w:val="1D2E512B"/>
    <w:rsid w:val="1E854FF8"/>
    <w:rsid w:val="1F1C1A28"/>
    <w:rsid w:val="1F5A0134"/>
    <w:rsid w:val="1F6348E4"/>
    <w:rsid w:val="1F8668FF"/>
    <w:rsid w:val="1FC17280"/>
    <w:rsid w:val="20224CC1"/>
    <w:rsid w:val="217253F2"/>
    <w:rsid w:val="2178428B"/>
    <w:rsid w:val="222C5B99"/>
    <w:rsid w:val="22331AEF"/>
    <w:rsid w:val="22AC7E3E"/>
    <w:rsid w:val="243B796B"/>
    <w:rsid w:val="24E97293"/>
    <w:rsid w:val="258252AA"/>
    <w:rsid w:val="25BF5294"/>
    <w:rsid w:val="26756174"/>
    <w:rsid w:val="27583DCB"/>
    <w:rsid w:val="28047D67"/>
    <w:rsid w:val="288A7E1F"/>
    <w:rsid w:val="2917568E"/>
    <w:rsid w:val="297E178F"/>
    <w:rsid w:val="29D356AD"/>
    <w:rsid w:val="2A541155"/>
    <w:rsid w:val="2B5167B5"/>
    <w:rsid w:val="2C2E754B"/>
    <w:rsid w:val="2CCD136F"/>
    <w:rsid w:val="2D2A7C52"/>
    <w:rsid w:val="2D7B5F44"/>
    <w:rsid w:val="2E1D27AF"/>
    <w:rsid w:val="2E362BA9"/>
    <w:rsid w:val="2EA73716"/>
    <w:rsid w:val="30E6493A"/>
    <w:rsid w:val="311F205E"/>
    <w:rsid w:val="331B6501"/>
    <w:rsid w:val="336B1473"/>
    <w:rsid w:val="34C12764"/>
    <w:rsid w:val="34EA7A1E"/>
    <w:rsid w:val="354A59C6"/>
    <w:rsid w:val="36A77C00"/>
    <w:rsid w:val="376E0A72"/>
    <w:rsid w:val="37983D42"/>
    <w:rsid w:val="37DD1DEF"/>
    <w:rsid w:val="37FA4319"/>
    <w:rsid w:val="381F3470"/>
    <w:rsid w:val="38E45431"/>
    <w:rsid w:val="3902751A"/>
    <w:rsid w:val="39E27207"/>
    <w:rsid w:val="3A0E3D7F"/>
    <w:rsid w:val="3A1967BD"/>
    <w:rsid w:val="3ACA7BAC"/>
    <w:rsid w:val="3B0C58DD"/>
    <w:rsid w:val="3B8561E0"/>
    <w:rsid w:val="3B975572"/>
    <w:rsid w:val="3C791504"/>
    <w:rsid w:val="3D452D98"/>
    <w:rsid w:val="3ED80E13"/>
    <w:rsid w:val="3FA12AE7"/>
    <w:rsid w:val="41391F47"/>
    <w:rsid w:val="4186502C"/>
    <w:rsid w:val="43C5407F"/>
    <w:rsid w:val="448D16D6"/>
    <w:rsid w:val="44B51A44"/>
    <w:rsid w:val="450C5A74"/>
    <w:rsid w:val="45105C52"/>
    <w:rsid w:val="45D34A34"/>
    <w:rsid w:val="46830090"/>
    <w:rsid w:val="47435185"/>
    <w:rsid w:val="47A36E74"/>
    <w:rsid w:val="47E96303"/>
    <w:rsid w:val="48735D3E"/>
    <w:rsid w:val="48D06FFE"/>
    <w:rsid w:val="495F0E1B"/>
    <w:rsid w:val="4B0B4954"/>
    <w:rsid w:val="4BE506E1"/>
    <w:rsid w:val="4C2B1AAF"/>
    <w:rsid w:val="4C9A38A4"/>
    <w:rsid w:val="4CB2108E"/>
    <w:rsid w:val="4CD64AED"/>
    <w:rsid w:val="4D2964E3"/>
    <w:rsid w:val="4DE3275E"/>
    <w:rsid w:val="4E4F65C6"/>
    <w:rsid w:val="4EFF388D"/>
    <w:rsid w:val="51F95026"/>
    <w:rsid w:val="52B93069"/>
    <w:rsid w:val="52DD06F1"/>
    <w:rsid w:val="534E5FDD"/>
    <w:rsid w:val="539411E0"/>
    <w:rsid w:val="53CA72F5"/>
    <w:rsid w:val="54122549"/>
    <w:rsid w:val="541330D5"/>
    <w:rsid w:val="54A91265"/>
    <w:rsid w:val="54C776D7"/>
    <w:rsid w:val="55C55442"/>
    <w:rsid w:val="569C630A"/>
    <w:rsid w:val="56D471B9"/>
    <w:rsid w:val="5741113E"/>
    <w:rsid w:val="58817EFF"/>
    <w:rsid w:val="59653481"/>
    <w:rsid w:val="5A037552"/>
    <w:rsid w:val="5AA00579"/>
    <w:rsid w:val="5ABC4DE1"/>
    <w:rsid w:val="5ACE46A6"/>
    <w:rsid w:val="5B8D2D21"/>
    <w:rsid w:val="5C982E14"/>
    <w:rsid w:val="5CA60A2B"/>
    <w:rsid w:val="5CDB0592"/>
    <w:rsid w:val="5DD4783F"/>
    <w:rsid w:val="5DF24B50"/>
    <w:rsid w:val="5E423CC7"/>
    <w:rsid w:val="5EF22C19"/>
    <w:rsid w:val="5F0720C0"/>
    <w:rsid w:val="5F0C1449"/>
    <w:rsid w:val="5F477198"/>
    <w:rsid w:val="5F994D4B"/>
    <w:rsid w:val="60206B9C"/>
    <w:rsid w:val="617050B9"/>
    <w:rsid w:val="61B82366"/>
    <w:rsid w:val="61B91604"/>
    <w:rsid w:val="62A81F07"/>
    <w:rsid w:val="62FC61E6"/>
    <w:rsid w:val="631338FF"/>
    <w:rsid w:val="63AB23D8"/>
    <w:rsid w:val="63AD43A2"/>
    <w:rsid w:val="6470105F"/>
    <w:rsid w:val="656D47A5"/>
    <w:rsid w:val="67174B7D"/>
    <w:rsid w:val="69061E11"/>
    <w:rsid w:val="6A0B5B1A"/>
    <w:rsid w:val="6A5D1F52"/>
    <w:rsid w:val="6AD07D8E"/>
    <w:rsid w:val="6AFE2D65"/>
    <w:rsid w:val="6B0E00E5"/>
    <w:rsid w:val="6B251DCB"/>
    <w:rsid w:val="6BCD4ADA"/>
    <w:rsid w:val="6BD448E4"/>
    <w:rsid w:val="6C382C77"/>
    <w:rsid w:val="6C534CD6"/>
    <w:rsid w:val="6CDE742D"/>
    <w:rsid w:val="6D431148"/>
    <w:rsid w:val="6D532F72"/>
    <w:rsid w:val="6DB85CAB"/>
    <w:rsid w:val="6FAC6BCC"/>
    <w:rsid w:val="6FCE356B"/>
    <w:rsid w:val="717413BA"/>
    <w:rsid w:val="72D2080E"/>
    <w:rsid w:val="740B754B"/>
    <w:rsid w:val="74135BE1"/>
    <w:rsid w:val="75E46B48"/>
    <w:rsid w:val="766133B3"/>
    <w:rsid w:val="770C4F72"/>
    <w:rsid w:val="77575B8F"/>
    <w:rsid w:val="791D0378"/>
    <w:rsid w:val="798126C5"/>
    <w:rsid w:val="79A228E7"/>
    <w:rsid w:val="7AF04A5C"/>
    <w:rsid w:val="7B614FBB"/>
    <w:rsid w:val="7CB91D79"/>
    <w:rsid w:val="7D083FA0"/>
    <w:rsid w:val="7D536DD9"/>
    <w:rsid w:val="7DA23B0D"/>
    <w:rsid w:val="7E0331EF"/>
    <w:rsid w:val="7EC27EA3"/>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3"/>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4"/>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39"/>
    <w:pPr>
      <w:ind w:left="1260"/>
      <w:jc w:val="left"/>
    </w:pPr>
    <w:rPr>
      <w:sz w:val="18"/>
      <w:szCs w:val="18"/>
    </w:rPr>
  </w:style>
  <w:style w:type="paragraph" w:styleId="7">
    <w:name w:val="Normal Indent"/>
    <w:basedOn w:val="1"/>
    <w:link w:val="82"/>
    <w:qFormat/>
    <w:uiPriority w:val="99"/>
    <w:pPr>
      <w:ind w:firstLine="420"/>
    </w:pPr>
    <w:rPr>
      <w:szCs w:val="20"/>
    </w:rPr>
  </w:style>
  <w:style w:type="paragraph" w:styleId="8">
    <w:name w:val="caption"/>
    <w:basedOn w:val="1"/>
    <w:next w:val="1"/>
    <w:autoRedefine/>
    <w:qFormat/>
    <w:uiPriority w:val="0"/>
    <w:rPr>
      <w:rFonts w:ascii="Arial" w:hAnsi="Arial" w:eastAsia="黑体" w:cs="Arial"/>
      <w:sz w:val="20"/>
      <w:szCs w:val="20"/>
    </w:rPr>
  </w:style>
  <w:style w:type="paragraph" w:styleId="9">
    <w:name w:val="Document Map"/>
    <w:basedOn w:val="1"/>
    <w:link w:val="54"/>
    <w:unhideWhenUsed/>
    <w:qFormat/>
    <w:uiPriority w:val="0"/>
    <w:rPr>
      <w:rFonts w:ascii="宋体"/>
      <w:sz w:val="18"/>
      <w:szCs w:val="18"/>
    </w:rPr>
  </w:style>
  <w:style w:type="paragraph" w:styleId="10">
    <w:name w:val="annotation text"/>
    <w:basedOn w:val="1"/>
    <w:link w:val="51"/>
    <w:unhideWhenUsed/>
    <w:qFormat/>
    <w:uiPriority w:val="0"/>
    <w:pPr>
      <w:jc w:val="left"/>
    </w:pPr>
  </w:style>
  <w:style w:type="paragraph" w:styleId="11">
    <w:name w:val="Body Text 3"/>
    <w:basedOn w:val="1"/>
    <w:link w:val="98"/>
    <w:qFormat/>
    <w:uiPriority w:val="0"/>
    <w:pPr>
      <w:spacing w:after="120"/>
    </w:pPr>
    <w:rPr>
      <w:sz w:val="16"/>
      <w:szCs w:val="16"/>
    </w:rPr>
  </w:style>
  <w:style w:type="paragraph" w:styleId="12">
    <w:name w:val="Body Text"/>
    <w:basedOn w:val="1"/>
    <w:link w:val="103"/>
    <w:autoRedefine/>
    <w:qFormat/>
    <w:uiPriority w:val="0"/>
    <w:pPr>
      <w:spacing w:line="360" w:lineRule="auto"/>
    </w:pPr>
    <w:rPr>
      <w:szCs w:val="20"/>
    </w:rPr>
  </w:style>
  <w:style w:type="paragraph" w:styleId="13">
    <w:name w:val="Body Text Indent"/>
    <w:basedOn w:val="1"/>
    <w:link w:val="108"/>
    <w:autoRedefine/>
    <w:qFormat/>
    <w:uiPriority w:val="0"/>
    <w:pPr>
      <w:ind w:firstLine="830" w:firstLineChars="352"/>
    </w:pPr>
    <w:rPr>
      <w:rFonts w:ascii="仿宋_GB2312" w:eastAsia="仿宋_GB2312"/>
      <w:sz w:val="32"/>
      <w:szCs w:val="20"/>
    </w:rPr>
  </w:style>
  <w:style w:type="paragraph" w:styleId="14">
    <w:name w:val="toc 5"/>
    <w:basedOn w:val="1"/>
    <w:next w:val="1"/>
    <w:autoRedefine/>
    <w:qFormat/>
    <w:uiPriority w:val="39"/>
    <w:pPr>
      <w:ind w:left="840"/>
      <w:jc w:val="left"/>
    </w:pPr>
    <w:rPr>
      <w:sz w:val="18"/>
      <w:szCs w:val="18"/>
    </w:rPr>
  </w:style>
  <w:style w:type="paragraph" w:styleId="15">
    <w:name w:val="toc 3"/>
    <w:basedOn w:val="1"/>
    <w:next w:val="1"/>
    <w:autoRedefine/>
    <w:qFormat/>
    <w:uiPriority w:val="39"/>
    <w:pPr>
      <w:spacing w:line="300" w:lineRule="auto"/>
      <w:ind w:left="420"/>
      <w:jc w:val="left"/>
    </w:pPr>
    <w:rPr>
      <w:i/>
      <w:iCs/>
      <w:szCs w:val="20"/>
    </w:rPr>
  </w:style>
  <w:style w:type="paragraph" w:styleId="16">
    <w:name w:val="Plain Text"/>
    <w:basedOn w:val="1"/>
    <w:link w:val="53"/>
    <w:autoRedefine/>
    <w:qFormat/>
    <w:uiPriority w:val="99"/>
    <w:rPr>
      <w:rFonts w:ascii="宋体" w:hAnsi="Courier New"/>
      <w:kern w:val="0"/>
      <w:sz w:val="20"/>
      <w:szCs w:val="21"/>
    </w:rPr>
  </w:style>
  <w:style w:type="paragraph" w:styleId="17">
    <w:name w:val="toc 8"/>
    <w:basedOn w:val="1"/>
    <w:next w:val="1"/>
    <w:autoRedefine/>
    <w:qFormat/>
    <w:uiPriority w:val="39"/>
    <w:pPr>
      <w:ind w:left="1470"/>
      <w:jc w:val="left"/>
    </w:pPr>
    <w:rPr>
      <w:sz w:val="18"/>
      <w:szCs w:val="18"/>
    </w:rPr>
  </w:style>
  <w:style w:type="paragraph" w:styleId="18">
    <w:name w:val="Date"/>
    <w:basedOn w:val="1"/>
    <w:next w:val="1"/>
    <w:link w:val="65"/>
    <w:autoRedefine/>
    <w:qFormat/>
    <w:uiPriority w:val="0"/>
    <w:rPr>
      <w:rFonts w:ascii="Calibri" w:hAnsi="Calibri"/>
      <w:szCs w:val="20"/>
    </w:rPr>
  </w:style>
  <w:style w:type="paragraph" w:styleId="19">
    <w:name w:val="Balloon Text"/>
    <w:basedOn w:val="1"/>
    <w:link w:val="46"/>
    <w:autoRedefine/>
    <w:unhideWhenUsed/>
    <w:qFormat/>
    <w:uiPriority w:val="0"/>
    <w:rPr>
      <w:kern w:val="0"/>
      <w:sz w:val="18"/>
      <w:szCs w:val="18"/>
    </w:rPr>
  </w:style>
  <w:style w:type="paragraph" w:styleId="20">
    <w:name w:val="footer"/>
    <w:basedOn w:val="1"/>
    <w:link w:val="45"/>
    <w:autoRedefine/>
    <w:unhideWhenUsed/>
    <w:qFormat/>
    <w:uiPriority w:val="99"/>
    <w:pPr>
      <w:tabs>
        <w:tab w:val="center" w:pos="4153"/>
        <w:tab w:val="right" w:pos="8306"/>
      </w:tabs>
      <w:snapToGrid w:val="0"/>
      <w:jc w:val="left"/>
    </w:pPr>
    <w:rPr>
      <w:sz w:val="18"/>
      <w:szCs w:val="18"/>
    </w:rPr>
  </w:style>
  <w:style w:type="paragraph" w:styleId="21">
    <w:name w:val="header"/>
    <w:basedOn w:val="1"/>
    <w:link w:val="4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line="360" w:lineRule="auto"/>
      <w:jc w:val="left"/>
    </w:pPr>
    <w:rPr>
      <w:b/>
      <w:bCs/>
      <w:caps/>
      <w:szCs w:val="20"/>
    </w:rPr>
  </w:style>
  <w:style w:type="paragraph" w:styleId="23">
    <w:name w:val="toc 4"/>
    <w:basedOn w:val="1"/>
    <w:next w:val="1"/>
    <w:autoRedefine/>
    <w:qFormat/>
    <w:uiPriority w:val="39"/>
    <w:pPr>
      <w:ind w:left="630"/>
      <w:jc w:val="left"/>
    </w:pPr>
    <w:rPr>
      <w:sz w:val="18"/>
      <w:szCs w:val="18"/>
    </w:rPr>
  </w:style>
  <w:style w:type="paragraph" w:styleId="24">
    <w:name w:val="index heading"/>
    <w:basedOn w:val="1"/>
    <w:next w:val="25"/>
    <w:autoRedefine/>
    <w:qFormat/>
    <w:uiPriority w:val="0"/>
    <w:rPr>
      <w:szCs w:val="20"/>
    </w:rPr>
  </w:style>
  <w:style w:type="paragraph" w:styleId="25">
    <w:name w:val="index 1"/>
    <w:basedOn w:val="1"/>
    <w:next w:val="1"/>
    <w:autoRedefine/>
    <w:unhideWhenUsed/>
    <w:qFormat/>
    <w:uiPriority w:val="0"/>
    <w:rPr>
      <w:rFonts w:ascii="Calibri" w:hAnsi="Calibri"/>
    </w:rPr>
  </w:style>
  <w:style w:type="paragraph" w:styleId="26">
    <w:name w:val="toc 6"/>
    <w:basedOn w:val="1"/>
    <w:next w:val="1"/>
    <w:autoRedefine/>
    <w:qFormat/>
    <w:uiPriority w:val="39"/>
    <w:pPr>
      <w:ind w:left="1050"/>
      <w:jc w:val="left"/>
    </w:pPr>
    <w:rPr>
      <w:sz w:val="18"/>
      <w:szCs w:val="18"/>
    </w:rPr>
  </w:style>
  <w:style w:type="paragraph" w:styleId="27">
    <w:name w:val="Body Text Indent 3"/>
    <w:basedOn w:val="1"/>
    <w:link w:val="109"/>
    <w:autoRedefine/>
    <w:qFormat/>
    <w:uiPriority w:val="0"/>
    <w:pPr>
      <w:spacing w:line="360" w:lineRule="auto"/>
      <w:ind w:firstLine="420" w:firstLineChars="200"/>
    </w:pPr>
    <w:rPr>
      <w:szCs w:val="20"/>
    </w:rPr>
  </w:style>
  <w:style w:type="paragraph" w:styleId="28">
    <w:name w:val="toc 2"/>
    <w:basedOn w:val="1"/>
    <w:next w:val="1"/>
    <w:autoRedefine/>
    <w:qFormat/>
    <w:uiPriority w:val="39"/>
    <w:pPr>
      <w:spacing w:line="360" w:lineRule="auto"/>
      <w:ind w:left="210"/>
      <w:jc w:val="left"/>
    </w:pPr>
    <w:rPr>
      <w:smallCaps/>
      <w:szCs w:val="20"/>
    </w:rPr>
  </w:style>
  <w:style w:type="paragraph" w:styleId="29">
    <w:name w:val="toc 9"/>
    <w:basedOn w:val="1"/>
    <w:next w:val="1"/>
    <w:autoRedefine/>
    <w:qFormat/>
    <w:uiPriority w:val="39"/>
    <w:pPr>
      <w:ind w:left="1680"/>
      <w:jc w:val="left"/>
    </w:pPr>
    <w:rPr>
      <w:sz w:val="18"/>
      <w:szCs w:val="18"/>
    </w:rPr>
  </w:style>
  <w:style w:type="paragraph" w:styleId="30">
    <w:name w:val="Body Text 2"/>
    <w:basedOn w:val="1"/>
    <w:link w:val="126"/>
    <w:autoRedefine/>
    <w:qFormat/>
    <w:uiPriority w:val="0"/>
    <w:pPr>
      <w:spacing w:after="120" w:line="480" w:lineRule="auto"/>
    </w:pPr>
  </w:style>
  <w:style w:type="paragraph" w:styleId="31">
    <w:name w:val="HTML Preformatted"/>
    <w:basedOn w:val="1"/>
    <w:link w:val="77"/>
    <w:autoRedefine/>
    <w:qFormat/>
    <w:uiPriority w:val="0"/>
    <w:pPr>
      <w:widowControl/>
      <w:jc w:val="left"/>
    </w:pPr>
    <w:rPr>
      <w:rFonts w:ascii="黑体" w:hAnsi="Courier New" w:eastAsia="黑体" w:cs="Courier New"/>
      <w:kern w:val="0"/>
      <w:sz w:val="20"/>
      <w:szCs w:val="21"/>
    </w:rPr>
  </w:style>
  <w:style w:type="paragraph" w:styleId="32">
    <w:name w:val="Normal (Web)"/>
    <w:basedOn w:val="1"/>
    <w:autoRedefine/>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6"/>
    <w:autoRedefine/>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2"/>
    <w:autoRedefine/>
    <w:unhideWhenUsed/>
    <w:qFormat/>
    <w:uiPriority w:val="0"/>
    <w:rPr>
      <w:b/>
      <w:bCs/>
    </w:rPr>
  </w:style>
  <w:style w:type="paragraph" w:styleId="35">
    <w:name w:val="Body Text First Indent"/>
    <w:basedOn w:val="12"/>
    <w:link w:val="114"/>
    <w:autoRedefine/>
    <w:qFormat/>
    <w:uiPriority w:val="0"/>
    <w:pPr>
      <w:spacing w:after="120" w:line="240" w:lineRule="auto"/>
      <w:ind w:firstLine="420" w:firstLineChars="100"/>
    </w:pPr>
    <w:rPr>
      <w:szCs w:val="24"/>
    </w:rPr>
  </w:style>
  <w:style w:type="table" w:styleId="37">
    <w:name w:val="Table Grid"/>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autoRedefine/>
    <w:qFormat/>
    <w:uiPriority w:val="0"/>
    <w:rPr>
      <w:b/>
    </w:rPr>
  </w:style>
  <w:style w:type="character" w:styleId="40">
    <w:name w:val="page number"/>
    <w:basedOn w:val="38"/>
    <w:autoRedefine/>
    <w:qFormat/>
    <w:uiPriority w:val="0"/>
  </w:style>
  <w:style w:type="character" w:styleId="41">
    <w:name w:val="FollowedHyperlink"/>
    <w:autoRedefine/>
    <w:unhideWhenUsed/>
    <w:qFormat/>
    <w:uiPriority w:val="99"/>
    <w:rPr>
      <w:color w:val="954F72"/>
      <w:u w:val="single"/>
    </w:rPr>
  </w:style>
  <w:style w:type="character" w:styleId="42">
    <w:name w:val="Hyperlink"/>
    <w:autoRedefine/>
    <w:unhideWhenUsed/>
    <w:qFormat/>
    <w:uiPriority w:val="99"/>
    <w:rPr>
      <w:color w:val="0000FF"/>
      <w:u w:val="single"/>
    </w:rPr>
  </w:style>
  <w:style w:type="character" w:styleId="43">
    <w:name w:val="annotation reference"/>
    <w:autoRedefine/>
    <w:unhideWhenUsed/>
    <w:qFormat/>
    <w:uiPriority w:val="0"/>
    <w:rPr>
      <w:sz w:val="21"/>
      <w:szCs w:val="21"/>
    </w:rPr>
  </w:style>
  <w:style w:type="character" w:customStyle="1" w:styleId="44">
    <w:name w:val="页眉 Char"/>
    <w:link w:val="21"/>
    <w:autoRedefine/>
    <w:qFormat/>
    <w:uiPriority w:val="99"/>
    <w:rPr>
      <w:rFonts w:ascii="Times New Roman" w:hAnsi="Times New Roman"/>
      <w:kern w:val="2"/>
      <w:sz w:val="18"/>
      <w:szCs w:val="18"/>
    </w:rPr>
  </w:style>
  <w:style w:type="character" w:customStyle="1" w:styleId="45">
    <w:name w:val="页脚 Char"/>
    <w:link w:val="20"/>
    <w:autoRedefine/>
    <w:qFormat/>
    <w:uiPriority w:val="99"/>
    <w:rPr>
      <w:rFonts w:ascii="Times New Roman" w:hAnsi="Times New Roman"/>
      <w:kern w:val="2"/>
      <w:sz w:val="18"/>
      <w:szCs w:val="18"/>
    </w:rPr>
  </w:style>
  <w:style w:type="character" w:customStyle="1" w:styleId="46">
    <w:name w:val="批注框文本 Char"/>
    <w:link w:val="19"/>
    <w:autoRedefine/>
    <w:qFormat/>
    <w:uiPriority w:val="0"/>
    <w:rPr>
      <w:rFonts w:ascii="Times New Roman" w:hAnsi="Times New Roman" w:eastAsia="宋体" w:cs="Times New Roman"/>
      <w:sz w:val="18"/>
      <w:szCs w:val="18"/>
    </w:rPr>
  </w:style>
  <w:style w:type="paragraph" w:customStyle="1" w:styleId="47">
    <w:name w:val="列表段落1"/>
    <w:basedOn w:val="1"/>
    <w:link w:val="49"/>
    <w:autoRedefine/>
    <w:qFormat/>
    <w:uiPriority w:val="99"/>
    <w:pPr>
      <w:ind w:firstLine="420" w:firstLineChars="200"/>
    </w:pPr>
  </w:style>
  <w:style w:type="paragraph" w:customStyle="1" w:styleId="48">
    <w:name w:val="列出段落1"/>
    <w:basedOn w:val="1"/>
    <w:autoRedefine/>
    <w:qFormat/>
    <w:uiPriority w:val="0"/>
    <w:pPr>
      <w:ind w:firstLine="420" w:firstLineChars="200"/>
    </w:pPr>
  </w:style>
  <w:style w:type="character" w:customStyle="1" w:styleId="49">
    <w:name w:val="列表段落 字符"/>
    <w:link w:val="47"/>
    <w:autoRedefine/>
    <w:qFormat/>
    <w:uiPriority w:val="99"/>
    <w:rPr>
      <w:kern w:val="2"/>
      <w:sz w:val="21"/>
      <w:szCs w:val="24"/>
    </w:rPr>
  </w:style>
  <w:style w:type="paragraph" w:customStyle="1" w:styleId="50">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link w:val="10"/>
    <w:autoRedefine/>
    <w:qFormat/>
    <w:uiPriority w:val="0"/>
    <w:rPr>
      <w:kern w:val="2"/>
      <w:sz w:val="21"/>
      <w:szCs w:val="24"/>
    </w:rPr>
  </w:style>
  <w:style w:type="character" w:customStyle="1" w:styleId="52">
    <w:name w:val="批注主题 Char"/>
    <w:link w:val="34"/>
    <w:autoRedefine/>
    <w:qFormat/>
    <w:uiPriority w:val="0"/>
    <w:rPr>
      <w:b/>
      <w:bCs/>
      <w:kern w:val="2"/>
      <w:sz w:val="21"/>
      <w:szCs w:val="24"/>
    </w:rPr>
  </w:style>
  <w:style w:type="character" w:customStyle="1" w:styleId="53">
    <w:name w:val="纯文本 Char2"/>
    <w:link w:val="16"/>
    <w:autoRedefine/>
    <w:qFormat/>
    <w:uiPriority w:val="0"/>
    <w:rPr>
      <w:rFonts w:ascii="宋体" w:hAnsi="Courier New"/>
      <w:szCs w:val="21"/>
    </w:rPr>
  </w:style>
  <w:style w:type="character" w:customStyle="1" w:styleId="54">
    <w:name w:val="文档结构图 Char"/>
    <w:basedOn w:val="38"/>
    <w:link w:val="9"/>
    <w:autoRedefine/>
    <w:qFormat/>
    <w:uiPriority w:val="0"/>
    <w:rPr>
      <w:rFonts w:ascii="宋体"/>
      <w:kern w:val="2"/>
      <w:sz w:val="18"/>
      <w:szCs w:val="18"/>
    </w:rPr>
  </w:style>
  <w:style w:type="character" w:customStyle="1" w:styleId="55">
    <w:name w:val="纯文本 Char"/>
    <w:basedOn w:val="38"/>
    <w:autoRedefine/>
    <w:qFormat/>
    <w:uiPriority w:val="99"/>
    <w:rPr>
      <w:rFonts w:ascii="宋体" w:hAnsi="Courier New"/>
      <w:kern w:val="2"/>
      <w:sz w:val="21"/>
    </w:rPr>
  </w:style>
  <w:style w:type="character" w:customStyle="1" w:styleId="56">
    <w:name w:val="列出段落 Char"/>
    <w:autoRedefine/>
    <w:qFormat/>
    <w:locked/>
    <w:uiPriority w:val="0"/>
  </w:style>
  <w:style w:type="character" w:customStyle="1" w:styleId="57">
    <w:name w:val="纯文本 Char1"/>
    <w:link w:val="58"/>
    <w:autoRedefine/>
    <w:qFormat/>
    <w:locked/>
    <w:uiPriority w:val="0"/>
    <w:rPr>
      <w:rFonts w:ascii="宋体" w:hAnsi="Courier New"/>
    </w:rPr>
  </w:style>
  <w:style w:type="paragraph" w:customStyle="1" w:styleId="58">
    <w:name w:val="纯文本1"/>
    <w:basedOn w:val="1"/>
    <w:link w:val="57"/>
    <w:autoRedefine/>
    <w:qFormat/>
    <w:uiPriority w:val="0"/>
    <w:rPr>
      <w:rFonts w:ascii="宋体" w:hAnsi="Courier New"/>
      <w:kern w:val="0"/>
      <w:sz w:val="20"/>
      <w:szCs w:val="20"/>
    </w:rPr>
  </w:style>
  <w:style w:type="paragraph" w:styleId="59">
    <w:name w:val="List Paragraph"/>
    <w:basedOn w:val="1"/>
    <w:autoRedefine/>
    <w:qFormat/>
    <w:uiPriority w:val="34"/>
    <w:pPr>
      <w:ind w:firstLine="420" w:firstLineChars="200"/>
    </w:pPr>
  </w:style>
  <w:style w:type="paragraph" w:customStyle="1" w:styleId="60">
    <w:name w:val="表格文字"/>
    <w:basedOn w:val="1"/>
    <w:autoRedefine/>
    <w:qFormat/>
    <w:uiPriority w:val="0"/>
    <w:pPr>
      <w:jc w:val="left"/>
    </w:pPr>
    <w:rPr>
      <w:rFonts w:ascii="Calibri" w:hAnsi="Calibri"/>
      <w:bCs/>
      <w:spacing w:val="10"/>
      <w:kern w:val="0"/>
      <w:sz w:val="24"/>
      <w:szCs w:val="20"/>
    </w:rPr>
  </w:style>
  <w:style w:type="character" w:customStyle="1" w:styleId="61">
    <w:name w:val="标题 1 Char"/>
    <w:basedOn w:val="38"/>
    <w:link w:val="2"/>
    <w:autoRedefine/>
    <w:qFormat/>
    <w:uiPriority w:val="0"/>
    <w:rPr>
      <w:rFonts w:ascii="宋体" w:hAnsi="宋体"/>
      <w:b/>
      <w:kern w:val="44"/>
      <w:sz w:val="48"/>
      <w:szCs w:val="48"/>
    </w:rPr>
  </w:style>
  <w:style w:type="character" w:customStyle="1" w:styleId="62">
    <w:name w:val="标题 2 Char1"/>
    <w:basedOn w:val="38"/>
    <w:link w:val="3"/>
    <w:autoRedefine/>
    <w:qFormat/>
    <w:uiPriority w:val="0"/>
    <w:rPr>
      <w:rFonts w:ascii="Arial" w:hAnsi="Arial" w:eastAsia="黑体"/>
      <w:b/>
      <w:kern w:val="2"/>
      <w:sz w:val="32"/>
      <w:szCs w:val="24"/>
    </w:rPr>
  </w:style>
  <w:style w:type="character" w:customStyle="1" w:styleId="63">
    <w:name w:val="标题 3 Char"/>
    <w:basedOn w:val="38"/>
    <w:link w:val="4"/>
    <w:autoRedefine/>
    <w:qFormat/>
    <w:uiPriority w:val="0"/>
    <w:rPr>
      <w:rFonts w:ascii="宋体" w:hAnsi="宋体"/>
      <w:b/>
      <w:sz w:val="27"/>
      <w:szCs w:val="27"/>
    </w:rPr>
  </w:style>
  <w:style w:type="character" w:customStyle="1" w:styleId="64">
    <w:name w:val="标题 4 Char"/>
    <w:basedOn w:val="38"/>
    <w:link w:val="5"/>
    <w:autoRedefine/>
    <w:qFormat/>
    <w:uiPriority w:val="0"/>
    <w:rPr>
      <w:rFonts w:ascii="Arial" w:hAnsi="Arial" w:eastAsia="黑体"/>
      <w:b/>
      <w:kern w:val="2"/>
      <w:sz w:val="28"/>
      <w:szCs w:val="24"/>
    </w:rPr>
  </w:style>
  <w:style w:type="character" w:customStyle="1" w:styleId="65">
    <w:name w:val="日期 Char"/>
    <w:basedOn w:val="38"/>
    <w:link w:val="18"/>
    <w:autoRedefine/>
    <w:qFormat/>
    <w:uiPriority w:val="0"/>
    <w:rPr>
      <w:rFonts w:ascii="Calibri" w:hAnsi="Calibri"/>
      <w:kern w:val="2"/>
      <w:sz w:val="21"/>
    </w:rPr>
  </w:style>
  <w:style w:type="paragraph" w:customStyle="1" w:styleId="66">
    <w:name w:val="正文1"/>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7">
    <w:name w:val="Blockquote"/>
    <w:basedOn w:val="1"/>
    <w:autoRedefine/>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8">
    <w:name w:val="网格型1"/>
    <w:basedOn w:val="36"/>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0">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69"/>
    <w:basedOn w:val="1"/>
    <w:autoRedefine/>
    <w:qFormat/>
    <w:uiPriority w:val="0"/>
    <w:pPr>
      <w:widowControl/>
      <w:spacing w:before="100" w:beforeAutospacing="1" w:after="100" w:afterAutospacing="1"/>
      <w:jc w:val="center"/>
    </w:pPr>
    <w:rPr>
      <w:rFonts w:ascii="宋体" w:hAnsi="宋体" w:cs="宋体"/>
      <w:kern w:val="0"/>
      <w:sz w:val="20"/>
      <w:szCs w:val="20"/>
    </w:rPr>
  </w:style>
  <w:style w:type="paragraph" w:customStyle="1" w:styleId="72">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4">
    <w:name w:val="A4"/>
    <w:autoRedefine/>
    <w:qFormat/>
    <w:uiPriority w:val="0"/>
    <w:rPr>
      <w:rFonts w:hint="eastAsia" w:ascii="新宋体" w:hAnsi="新宋体" w:eastAsia="新宋体" w:cs="新宋体"/>
      <w:color w:val="000000"/>
    </w:rPr>
  </w:style>
  <w:style w:type="character" w:customStyle="1" w:styleId="75">
    <w:name w:val="纯文本 Char Char1"/>
    <w:autoRedefine/>
    <w:qFormat/>
    <w:uiPriority w:val="0"/>
    <w:rPr>
      <w:rFonts w:ascii="宋体" w:hAnsi="Courier New" w:eastAsia="宋体"/>
      <w:kern w:val="2"/>
      <w:sz w:val="21"/>
      <w:szCs w:val="24"/>
      <w:lang w:val="en-US" w:eastAsia="zh-CN" w:bidi="ar-SA"/>
    </w:rPr>
  </w:style>
  <w:style w:type="character" w:customStyle="1" w:styleId="76">
    <w:name w:val="文档结构图 字符1"/>
    <w:basedOn w:val="38"/>
    <w:autoRedefine/>
    <w:semiHidden/>
    <w:qFormat/>
    <w:uiPriority w:val="0"/>
    <w:rPr>
      <w:rFonts w:ascii="Microsoft YaHei UI" w:hAnsi="Calibri" w:eastAsia="Microsoft YaHei UI"/>
      <w:kern w:val="2"/>
      <w:sz w:val="18"/>
      <w:szCs w:val="18"/>
    </w:rPr>
  </w:style>
  <w:style w:type="character" w:customStyle="1" w:styleId="77">
    <w:name w:val="HTML 预设格式 Char"/>
    <w:link w:val="31"/>
    <w:autoRedefine/>
    <w:qFormat/>
    <w:uiPriority w:val="99"/>
    <w:rPr>
      <w:rFonts w:ascii="黑体" w:hAnsi="Courier New" w:eastAsia="黑体" w:cs="Courier New"/>
      <w:szCs w:val="21"/>
    </w:rPr>
  </w:style>
  <w:style w:type="character" w:customStyle="1" w:styleId="78">
    <w:name w:val="HTML 预设格式 字符1"/>
    <w:basedOn w:val="38"/>
    <w:autoRedefine/>
    <w:qFormat/>
    <w:uiPriority w:val="0"/>
    <w:rPr>
      <w:rFonts w:ascii="Courier New" w:hAnsi="Courier New" w:cs="Courier New"/>
      <w:kern w:val="2"/>
    </w:rPr>
  </w:style>
  <w:style w:type="character" w:customStyle="1" w:styleId="79">
    <w:name w:val="font141"/>
    <w:basedOn w:val="38"/>
    <w:autoRedefine/>
    <w:qFormat/>
    <w:uiPriority w:val="0"/>
  </w:style>
  <w:style w:type="character" w:customStyle="1" w:styleId="80">
    <w:name w:val="HTML 预设格式 Char1"/>
    <w:autoRedefine/>
    <w:qFormat/>
    <w:uiPriority w:val="0"/>
    <w:rPr>
      <w:rFonts w:ascii="Courier New" w:hAnsi="Courier New" w:cs="Courier New"/>
      <w:kern w:val="2"/>
    </w:rPr>
  </w:style>
  <w:style w:type="character" w:customStyle="1" w:styleId="81">
    <w:name w:val="small"/>
    <w:basedOn w:val="38"/>
    <w:autoRedefine/>
    <w:qFormat/>
    <w:uiPriority w:val="0"/>
  </w:style>
  <w:style w:type="character" w:customStyle="1" w:styleId="82">
    <w:name w:val="正文缩进 Char"/>
    <w:link w:val="7"/>
    <w:autoRedefine/>
    <w:qFormat/>
    <w:uiPriority w:val="0"/>
    <w:rPr>
      <w:kern w:val="2"/>
      <w:sz w:val="21"/>
    </w:rPr>
  </w:style>
  <w:style w:type="character" w:customStyle="1" w:styleId="83">
    <w:name w:val="bold1"/>
    <w:autoRedefine/>
    <w:qFormat/>
    <w:uiPriority w:val="0"/>
    <w:rPr>
      <w:b/>
      <w:bCs/>
      <w:shd w:val="clear" w:color="auto" w:fill="FFFFFF"/>
    </w:rPr>
  </w:style>
  <w:style w:type="character" w:customStyle="1" w:styleId="84">
    <w:name w:val="标题 2 Char"/>
    <w:autoRedefine/>
    <w:qFormat/>
    <w:uiPriority w:val="0"/>
    <w:rPr>
      <w:rFonts w:ascii="Arial" w:hAnsi="Arial" w:eastAsia="黑体"/>
      <w:b/>
      <w:bCs/>
      <w:kern w:val="2"/>
      <w:sz w:val="32"/>
      <w:szCs w:val="32"/>
      <w:lang w:val="en-US" w:eastAsia="zh-CN" w:bidi="ar-SA"/>
    </w:rPr>
  </w:style>
  <w:style w:type="paragraph" w:customStyle="1" w:styleId="85">
    <w:name w:val="Char Char2 Char"/>
    <w:basedOn w:val="1"/>
    <w:autoRedefine/>
    <w:qFormat/>
    <w:uiPriority w:val="0"/>
    <w:rPr>
      <w:rFonts w:ascii="宋体" w:hAnsi="宋体"/>
      <w:b/>
      <w:sz w:val="28"/>
      <w:szCs w:val="28"/>
    </w:rPr>
  </w:style>
  <w:style w:type="paragraph" w:customStyle="1" w:styleId="86">
    <w:name w:val="Char Char Char Char Char Char Char Char Char Char"/>
    <w:basedOn w:val="1"/>
    <w:autoRedefine/>
    <w:qFormat/>
    <w:uiPriority w:val="0"/>
    <w:rPr>
      <w:rFonts w:ascii="Tahoma" w:hAnsi="Tahoma"/>
      <w:sz w:val="24"/>
      <w:szCs w:val="20"/>
    </w:rPr>
  </w:style>
  <w:style w:type="paragraph" w:customStyle="1" w:styleId="87">
    <w:name w:val="Char Char Char Char Char Char Char"/>
    <w:basedOn w:val="1"/>
    <w:autoRedefine/>
    <w:qFormat/>
    <w:uiPriority w:val="0"/>
    <w:pPr>
      <w:tabs>
        <w:tab w:val="left" w:pos="425"/>
      </w:tabs>
      <w:ind w:left="425" w:hanging="425"/>
    </w:pPr>
    <w:rPr>
      <w:rFonts w:eastAsia="仿宋_GB2312"/>
      <w:kern w:val="24"/>
      <w:sz w:val="24"/>
    </w:rPr>
  </w:style>
  <w:style w:type="paragraph" w:customStyle="1" w:styleId="88">
    <w:name w:val="table"/>
    <w:basedOn w:val="1"/>
    <w:autoRedefine/>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89">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0">
    <w:name w:val="大标题"/>
    <w:basedOn w:val="2"/>
    <w:autoRedefine/>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93">
    <w:name w:val="_Style 2"/>
    <w:basedOn w:val="1"/>
    <w:autoRedefine/>
    <w:qFormat/>
    <w:uiPriority w:val="34"/>
    <w:pPr>
      <w:ind w:firstLine="420" w:firstLineChars="200"/>
    </w:pPr>
  </w:style>
  <w:style w:type="paragraph" w:customStyle="1" w:styleId="94">
    <w:name w:val="Char Char1"/>
    <w:basedOn w:val="1"/>
    <w:autoRedefine/>
    <w:qFormat/>
    <w:uiPriority w:val="0"/>
    <w:rPr>
      <w:rFonts w:ascii="宋体" w:hAnsi="宋体"/>
      <w:b/>
      <w:sz w:val="28"/>
      <w:szCs w:val="28"/>
    </w:rPr>
  </w:style>
  <w:style w:type="paragraph" w:customStyle="1" w:styleId="95">
    <w:name w:val="默认段落字体 Para Char"/>
    <w:basedOn w:val="1"/>
    <w:autoRedefine/>
    <w:qFormat/>
    <w:uiPriority w:val="0"/>
    <w:rPr>
      <w:rFonts w:ascii="宋体" w:hAnsi="宋体"/>
      <w:b/>
      <w:sz w:val="28"/>
      <w:szCs w:val="28"/>
    </w:rPr>
  </w:style>
  <w:style w:type="character" w:customStyle="1" w:styleId="96">
    <w:name w:val="标题 Char"/>
    <w:basedOn w:val="38"/>
    <w:link w:val="33"/>
    <w:autoRedefine/>
    <w:qFormat/>
    <w:uiPriority w:val="0"/>
    <w:rPr>
      <w:rFonts w:ascii="Arial" w:hAnsi="Arial" w:cs="Arial"/>
      <w:b/>
      <w:bCs/>
      <w:kern w:val="2"/>
      <w:sz w:val="32"/>
      <w:szCs w:val="32"/>
    </w:rPr>
  </w:style>
  <w:style w:type="paragraph" w:customStyle="1" w:styleId="97">
    <w:name w:val="办公自动化专用标题"/>
    <w:basedOn w:val="33"/>
    <w:autoRedefine/>
    <w:qFormat/>
    <w:uiPriority w:val="0"/>
    <w:pPr>
      <w:spacing w:line="560" w:lineRule="atLeast"/>
    </w:pPr>
    <w:rPr>
      <w:rFonts w:ascii="宋体" w:cs="Times New Roman"/>
      <w:bCs w:val="0"/>
      <w:sz w:val="44"/>
      <w:szCs w:val="20"/>
    </w:rPr>
  </w:style>
  <w:style w:type="character" w:customStyle="1" w:styleId="98">
    <w:name w:val="正文文本 3 Char"/>
    <w:basedOn w:val="38"/>
    <w:link w:val="11"/>
    <w:autoRedefine/>
    <w:qFormat/>
    <w:uiPriority w:val="0"/>
    <w:rPr>
      <w:kern w:val="2"/>
      <w:sz w:val="16"/>
      <w:szCs w:val="16"/>
    </w:rPr>
  </w:style>
  <w:style w:type="paragraph" w:customStyle="1" w:styleId="99">
    <w:name w:val="_Style 1"/>
    <w:basedOn w:val="1"/>
    <w:autoRedefine/>
    <w:qFormat/>
    <w:uiPriority w:val="34"/>
    <w:pPr>
      <w:ind w:firstLine="420" w:firstLineChars="200"/>
    </w:pPr>
  </w:style>
  <w:style w:type="paragraph" w:customStyle="1" w:styleId="100">
    <w:name w:val="p0"/>
    <w:basedOn w:val="1"/>
    <w:autoRedefine/>
    <w:qFormat/>
    <w:uiPriority w:val="0"/>
    <w:pPr>
      <w:widowControl/>
    </w:pPr>
    <w:rPr>
      <w:kern w:val="0"/>
      <w:szCs w:val="21"/>
    </w:rPr>
  </w:style>
  <w:style w:type="paragraph" w:customStyle="1" w:styleId="101">
    <w:name w:val="Char Char1 Char Char Char Char Char Char"/>
    <w:basedOn w:val="1"/>
    <w:autoRedefine/>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2">
    <w:name w:val="HLegal 2"/>
    <w:basedOn w:val="1"/>
    <w:autoRedefine/>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3">
    <w:name w:val="正文文本 Char"/>
    <w:basedOn w:val="38"/>
    <w:link w:val="12"/>
    <w:autoRedefine/>
    <w:qFormat/>
    <w:uiPriority w:val="0"/>
    <w:rPr>
      <w:kern w:val="2"/>
      <w:sz w:val="21"/>
    </w:rPr>
  </w:style>
  <w:style w:type="paragraph" w:customStyle="1" w:styleId="104">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题注4"/>
    <w:basedOn w:val="1"/>
    <w:next w:val="8"/>
    <w:autoRedefine/>
    <w:qFormat/>
    <w:uiPriority w:val="0"/>
    <w:pPr>
      <w:ind w:left="-132" w:leftChars="-64" w:right="-105" w:rightChars="-50" w:hanging="2"/>
      <w:jc w:val="center"/>
    </w:pPr>
    <w:rPr>
      <w:b/>
      <w:color w:val="FF0000"/>
      <w:szCs w:val="21"/>
      <w:lang w:val="en-GB"/>
    </w:rPr>
  </w:style>
  <w:style w:type="paragraph" w:customStyle="1" w:styleId="106">
    <w:name w:val="Char Char Char Char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07">
    <w:name w:val="默认段落字体 Para Char Char Char Char"/>
    <w:basedOn w:val="1"/>
    <w:autoRedefine/>
    <w:qFormat/>
    <w:uiPriority w:val="0"/>
    <w:pPr>
      <w:spacing w:line="360" w:lineRule="auto"/>
      <w:ind w:firstLine="200" w:firstLineChars="200"/>
    </w:pPr>
    <w:rPr>
      <w:rFonts w:ascii="宋体" w:hAnsi="宋体" w:cs="宋体"/>
      <w:sz w:val="24"/>
    </w:rPr>
  </w:style>
  <w:style w:type="character" w:customStyle="1" w:styleId="108">
    <w:name w:val="正文文本缩进 Char"/>
    <w:basedOn w:val="38"/>
    <w:link w:val="13"/>
    <w:autoRedefine/>
    <w:qFormat/>
    <w:uiPriority w:val="0"/>
    <w:rPr>
      <w:rFonts w:ascii="仿宋_GB2312" w:eastAsia="仿宋_GB2312"/>
      <w:kern w:val="2"/>
      <w:sz w:val="32"/>
    </w:rPr>
  </w:style>
  <w:style w:type="character" w:customStyle="1" w:styleId="109">
    <w:name w:val="正文文本缩进 3 Char"/>
    <w:basedOn w:val="38"/>
    <w:link w:val="27"/>
    <w:autoRedefine/>
    <w:qFormat/>
    <w:uiPriority w:val="0"/>
    <w:rPr>
      <w:kern w:val="2"/>
      <w:sz w:val="21"/>
    </w:rPr>
  </w:style>
  <w:style w:type="paragraph" w:customStyle="1" w:styleId="110">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12">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3">
    <w:name w:val="表头"/>
    <w:basedOn w:val="8"/>
    <w:autoRedefine/>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4">
    <w:name w:val="正文首行缩进 Char"/>
    <w:basedOn w:val="103"/>
    <w:link w:val="35"/>
    <w:autoRedefine/>
    <w:qFormat/>
    <w:uiPriority w:val="0"/>
    <w:rPr>
      <w:kern w:val="2"/>
      <w:sz w:val="21"/>
      <w:szCs w:val="24"/>
    </w:rPr>
  </w:style>
  <w:style w:type="paragraph" w:customStyle="1" w:styleId="115">
    <w:name w:val="普通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16">
    <w:name w:val="题注5"/>
    <w:basedOn w:val="1"/>
    <w:next w:val="8"/>
    <w:autoRedefine/>
    <w:qFormat/>
    <w:uiPriority w:val="0"/>
    <w:pPr>
      <w:jc w:val="center"/>
    </w:pPr>
    <w:rPr>
      <w:b/>
      <w:color w:val="000000"/>
      <w:sz w:val="24"/>
      <w:szCs w:val="21"/>
    </w:rPr>
  </w:style>
  <w:style w:type="paragraph" w:customStyle="1" w:styleId="117">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118">
    <w:name w:val="页眉 字符1"/>
    <w:basedOn w:val="38"/>
    <w:autoRedefine/>
    <w:semiHidden/>
    <w:qFormat/>
    <w:uiPriority w:val="99"/>
    <w:rPr>
      <w:kern w:val="2"/>
      <w:sz w:val="18"/>
      <w:szCs w:val="18"/>
    </w:rPr>
  </w:style>
  <w:style w:type="character" w:customStyle="1" w:styleId="119">
    <w:name w:val="页脚 字符1"/>
    <w:basedOn w:val="38"/>
    <w:autoRedefine/>
    <w:semiHidden/>
    <w:qFormat/>
    <w:uiPriority w:val="99"/>
    <w:rPr>
      <w:kern w:val="2"/>
      <w:sz w:val="18"/>
      <w:szCs w:val="18"/>
    </w:rPr>
  </w:style>
  <w:style w:type="character" w:customStyle="1" w:styleId="120">
    <w:name w:val="批注框文本 字符1"/>
    <w:basedOn w:val="38"/>
    <w:autoRedefine/>
    <w:semiHidden/>
    <w:qFormat/>
    <w:uiPriority w:val="99"/>
    <w:rPr>
      <w:kern w:val="2"/>
      <w:sz w:val="18"/>
      <w:szCs w:val="18"/>
    </w:rPr>
  </w:style>
  <w:style w:type="table" w:customStyle="1" w:styleId="121">
    <w:name w:val="网格型2"/>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普通文字1 Char"/>
    <w:autoRedefine/>
    <w:qFormat/>
    <w:uiPriority w:val="0"/>
    <w:rPr>
      <w:rFonts w:ascii="宋体" w:hAnsi="Courier New" w:eastAsia="宋体" w:cs="Courier New"/>
      <w:kern w:val="2"/>
      <w:sz w:val="21"/>
      <w:szCs w:val="21"/>
      <w:lang w:val="en-US" w:eastAsia="zh-CN" w:bidi="ar-SA"/>
    </w:rPr>
  </w:style>
  <w:style w:type="table" w:customStyle="1" w:styleId="123">
    <w:name w:val="网格型3"/>
    <w:basedOn w:val="3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1"/>
    <w:basedOn w:val="36"/>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_Style 95"/>
    <w:basedOn w:val="1"/>
    <w:next w:val="59"/>
    <w:autoRedefine/>
    <w:qFormat/>
    <w:uiPriority w:val="0"/>
    <w:pPr>
      <w:ind w:firstLine="420" w:firstLineChars="200"/>
    </w:pPr>
    <w:rPr>
      <w:rFonts w:ascii="Calibri" w:hAnsi="Calibri"/>
      <w:szCs w:val="22"/>
    </w:rPr>
  </w:style>
  <w:style w:type="character" w:customStyle="1" w:styleId="126">
    <w:name w:val="正文文本 2 Char"/>
    <w:basedOn w:val="38"/>
    <w:link w:val="30"/>
    <w:autoRedefine/>
    <w:qFormat/>
    <w:uiPriority w:val="0"/>
    <w:rPr>
      <w:kern w:val="2"/>
      <w:sz w:val="21"/>
      <w:szCs w:val="24"/>
    </w:rPr>
  </w:style>
  <w:style w:type="character" w:customStyle="1" w:styleId="127">
    <w:name w:val="NormalCharacter"/>
    <w:autoRedefine/>
    <w:semiHidden/>
    <w:qFormat/>
    <w:uiPriority w:val="0"/>
    <w:rPr>
      <w:rFonts w:ascii="Calibri" w:hAnsi="Calibri"/>
      <w:kern w:val="2"/>
      <w:sz w:val="21"/>
      <w:szCs w:val="22"/>
      <w:lang w:val="en-US" w:eastAsia="zh-CN" w:bidi="ar-SA"/>
    </w:rPr>
  </w:style>
  <w:style w:type="paragraph" w:customStyle="1" w:styleId="128">
    <w:name w:val="UserStyle_0"/>
    <w:basedOn w:val="1"/>
    <w:autoRedefine/>
    <w:qFormat/>
    <w:uiPriority w:val="0"/>
    <w:pPr>
      <w:jc w:val="left"/>
      <w:textAlignment w:val="baseline"/>
    </w:pPr>
    <w:rPr>
      <w:bCs/>
      <w:spacing w:val="10"/>
      <w:kern w:val="0"/>
      <w:sz w:val="24"/>
      <w:szCs w:val="20"/>
    </w:rPr>
  </w:style>
  <w:style w:type="paragraph" w:customStyle="1" w:styleId="129">
    <w:name w:val="正文_0"/>
    <w:autoRedefine/>
    <w:qFormat/>
    <w:uiPriority w:val="0"/>
    <w:rPr>
      <w:rFonts w:ascii="Times New Roman" w:hAnsi="Times New Roman" w:eastAsia="宋体" w:cs="Times New Roman"/>
      <w:sz w:val="21"/>
      <w:szCs w:val="22"/>
      <w:lang w:val="en-US" w:eastAsia="zh-CN" w:bidi="ar-SA"/>
    </w:rPr>
  </w:style>
  <w:style w:type="paragraph" w:customStyle="1" w:styleId="13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1">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2">
    <w:name w:val="纯文本2"/>
    <w:basedOn w:val="1"/>
    <w:qFormat/>
    <w:uiPriority w:val="0"/>
    <w:rPr>
      <w:rFonts w:ascii="宋体" w:hAnsi="Courier New" w:cs="Courier New"/>
      <w:szCs w:val="21"/>
    </w:rPr>
  </w:style>
  <w:style w:type="paragraph" w:customStyle="1" w:styleId="133">
    <w:name w:val="正文_1"/>
    <w:next w:val="134"/>
    <w:qFormat/>
    <w:uiPriority w:val="0"/>
    <w:rPr>
      <w:rFonts w:ascii="Times New Roman" w:hAnsi="Times New Roman" w:eastAsia="宋体" w:cs="Times New Roman"/>
      <w:sz w:val="21"/>
      <w:lang w:val="en-US" w:eastAsia="zh-CN" w:bidi="ar-SA"/>
    </w:rPr>
  </w:style>
  <w:style w:type="paragraph" w:customStyle="1" w:styleId="134">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5">
    <w:name w:val="列表段落2"/>
    <w:basedOn w:val="1"/>
    <w:autoRedefine/>
    <w:qFormat/>
    <w:uiPriority w:val="34"/>
    <w:pPr>
      <w:ind w:firstLine="420" w:firstLineChars="200"/>
    </w:pPr>
  </w:style>
  <w:style w:type="paragraph" w:customStyle="1" w:styleId="136">
    <w:name w:val="列出段落11"/>
    <w:basedOn w:val="1"/>
    <w:autoRedefine/>
    <w:qFormat/>
    <w:uiPriority w:val="34"/>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2A264-E817-416A-8276-C04A4FA1B43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16590</Words>
  <Characters>17007</Characters>
  <Lines>136</Lines>
  <Paragraphs>38</Paragraphs>
  <TotalTime>14</TotalTime>
  <ScaleCrop>false</ScaleCrop>
  <LinksUpToDate>false</LinksUpToDate>
  <CharactersWithSpaces>17802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2024-08-02T10:26:00Z</dcterms:created>
  <dc:creator>Administrator</dc:creator>
  <cp:lastModifiedBy>代理机构</cp:lastModifiedBy>
  <dcterms:modified xsi:type="dcterms:W3CDTF">2024-09-04T01:26:44Z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7D67835B4CEA48B7912A5F23F4BC97C0_13</vt:lpwstr>
  </property>
</Properties>
</file>