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before="156" w:beforeLines="50"/>
        <w:jc w:val="center"/>
        <w:rPr>
          <w:rFonts w:asciiTheme="minorEastAsia" w:hAnsiTheme="minorEastAsia" w:cstheme="minorEastAsia"/>
          <w:b/>
          <w:color w:val="000000" w:themeColor="text1"/>
          <w:sz w:val="84"/>
          <w:szCs w:val="84"/>
          <w14:textFill>
            <w14:solidFill>
              <w14:schemeClr w14:val="tx1"/>
            </w14:solidFill>
          </w14:textFill>
        </w:rPr>
      </w:pPr>
      <w:bookmarkStart w:id="1" w:name="_GoBack"/>
      <w:bookmarkEnd w:id="1"/>
    </w:p>
    <w:p>
      <w:pPr>
        <w:snapToGrid w:val="0"/>
        <w:spacing w:before="156" w:beforeLines="50"/>
        <w:jc w:val="center"/>
        <w:rPr>
          <w:rFonts w:asciiTheme="minorEastAsia" w:hAnsiTheme="minorEastAsia" w:cstheme="minorEastAsia"/>
          <w:b/>
          <w:color w:val="000000" w:themeColor="text1"/>
          <w:sz w:val="84"/>
          <w:szCs w:val="84"/>
          <w14:textFill>
            <w14:solidFill>
              <w14:schemeClr w14:val="tx1"/>
            </w14:solidFill>
          </w14:textFill>
        </w:rPr>
      </w:pPr>
    </w:p>
    <w:p>
      <w:pPr>
        <w:snapToGrid w:val="0"/>
        <w:spacing w:before="156" w:beforeLines="50"/>
        <w:jc w:val="center"/>
        <w:rPr>
          <w:rFonts w:asciiTheme="minorEastAsia" w:hAnsiTheme="minorEastAsia" w:cstheme="minorEastAsia"/>
          <w:b/>
          <w:bCs/>
          <w:color w:val="000000" w:themeColor="text1"/>
          <w:sz w:val="84"/>
          <w:szCs w:val="84"/>
          <w14:textFill>
            <w14:solidFill>
              <w14:schemeClr w14:val="tx1"/>
            </w14:solidFill>
          </w14:textFill>
        </w:rPr>
      </w:pPr>
      <w:r>
        <w:rPr>
          <w:rFonts w:hint="eastAsia" w:asciiTheme="minorEastAsia" w:hAnsiTheme="minorEastAsia" w:cstheme="minorEastAsia"/>
          <w:b/>
          <w:color w:val="000000" w:themeColor="text1"/>
          <w:sz w:val="84"/>
          <w:szCs w:val="84"/>
          <w14:textFill>
            <w14:solidFill>
              <w14:schemeClr w14:val="tx1"/>
            </w14:solidFill>
          </w14:textFill>
        </w:rPr>
        <w:t>竞价文件</w:t>
      </w:r>
    </w:p>
    <w:p>
      <w:pPr>
        <w:spacing w:line="360" w:lineRule="auto"/>
        <w:jc w:val="center"/>
        <w:rPr>
          <w:rFonts w:asciiTheme="minorEastAsia" w:hAnsiTheme="minorEastAsia" w:cstheme="minorEastAsia"/>
          <w:b/>
          <w:bCs/>
          <w:color w:val="000000" w:themeColor="text1"/>
          <w:sz w:val="24"/>
          <w:szCs w:val="24"/>
          <w14:textFill>
            <w14:solidFill>
              <w14:schemeClr w14:val="tx1"/>
            </w14:solidFill>
          </w14:textFill>
        </w:rPr>
      </w:pPr>
    </w:p>
    <w:p>
      <w:pPr>
        <w:spacing w:line="360" w:lineRule="auto"/>
        <w:rPr>
          <w:rFonts w:asciiTheme="minorEastAsia" w:hAnsiTheme="minorEastAsia" w:cstheme="minorEastAsia"/>
          <w:color w:val="000000" w:themeColor="text1"/>
          <w:sz w:val="30"/>
          <w:szCs w:val="30"/>
          <w14:textFill>
            <w14:solidFill>
              <w14:schemeClr w14:val="tx1"/>
            </w14:solidFill>
          </w14:textFill>
        </w:rPr>
      </w:pPr>
    </w:p>
    <w:p>
      <w:pPr>
        <w:spacing w:line="360" w:lineRule="auto"/>
        <w:rPr>
          <w:rFonts w:asciiTheme="minorEastAsia" w:hAnsiTheme="minorEastAsia" w:cstheme="minorEastAsia"/>
          <w:color w:val="000000" w:themeColor="text1"/>
          <w:sz w:val="30"/>
          <w:szCs w:val="30"/>
          <w14:textFill>
            <w14:solidFill>
              <w14:schemeClr w14:val="tx1"/>
            </w14:solidFill>
          </w14:textFill>
        </w:rPr>
      </w:pPr>
    </w:p>
    <w:p>
      <w:pPr>
        <w:spacing w:line="360" w:lineRule="auto"/>
        <w:rPr>
          <w:rFonts w:asciiTheme="minorEastAsia" w:hAnsiTheme="minorEastAsia" w:cstheme="minorEastAsia"/>
          <w:color w:val="000000" w:themeColor="text1"/>
          <w:sz w:val="30"/>
          <w:szCs w:val="30"/>
          <w14:textFill>
            <w14:solidFill>
              <w14:schemeClr w14:val="tx1"/>
            </w14:solidFill>
          </w14:textFill>
        </w:rPr>
      </w:pPr>
    </w:p>
    <w:p>
      <w:pPr>
        <w:spacing w:line="360" w:lineRule="auto"/>
        <w:rPr>
          <w:rFonts w:asciiTheme="minorEastAsia" w:hAnsiTheme="minorEastAsia" w:cstheme="minorEastAsia"/>
          <w:color w:val="000000" w:themeColor="text1"/>
          <w:sz w:val="30"/>
          <w:szCs w:val="30"/>
          <w14:textFill>
            <w14:solidFill>
              <w14:schemeClr w14:val="tx1"/>
            </w14:solidFill>
          </w14:textFill>
        </w:rPr>
      </w:pPr>
    </w:p>
    <w:p>
      <w:pPr>
        <w:spacing w:line="360" w:lineRule="auto"/>
        <w:jc w:val="left"/>
        <w:rPr>
          <w:rFonts w:asciiTheme="minorEastAsia" w:hAnsiTheme="minorEastAsia" w:cstheme="minorEastAsia"/>
          <w:b/>
          <w:bCs/>
          <w:color w:val="000000" w:themeColor="text1"/>
          <w:sz w:val="28"/>
          <w:szCs w:val="32"/>
          <w14:textFill>
            <w14:solidFill>
              <w14:schemeClr w14:val="tx1"/>
            </w14:solidFill>
          </w14:textFill>
        </w:rPr>
      </w:pPr>
      <w:r>
        <w:rPr>
          <w:rFonts w:hint="eastAsia" w:asciiTheme="minorEastAsia" w:hAnsiTheme="minorEastAsia" w:cstheme="minorEastAsia"/>
          <w:b/>
          <w:bCs/>
          <w:color w:val="000000" w:themeColor="text1"/>
          <w:sz w:val="28"/>
          <w:szCs w:val="32"/>
          <w14:textFill>
            <w14:solidFill>
              <w14:schemeClr w14:val="tx1"/>
            </w14:solidFill>
          </w14:textFill>
        </w:rPr>
        <w:t>采购方式：线上竞价</w:t>
      </w:r>
    </w:p>
    <w:p>
      <w:pPr>
        <w:spacing w:line="360" w:lineRule="auto"/>
        <w:jc w:val="left"/>
        <w:rPr>
          <w:rFonts w:asciiTheme="minorEastAsia" w:hAnsiTheme="minorEastAsia" w:cstheme="minorEastAsia"/>
          <w:b/>
          <w:bCs/>
          <w:color w:val="000000" w:themeColor="text1"/>
          <w:sz w:val="28"/>
          <w:szCs w:val="32"/>
          <w14:textFill>
            <w14:solidFill>
              <w14:schemeClr w14:val="tx1"/>
            </w14:solidFill>
          </w14:textFill>
        </w:rPr>
      </w:pPr>
      <w:r>
        <w:rPr>
          <w:rFonts w:hint="eastAsia" w:asciiTheme="minorEastAsia" w:hAnsiTheme="minorEastAsia" w:cstheme="minorEastAsia"/>
          <w:b/>
          <w:bCs/>
          <w:color w:val="000000" w:themeColor="text1"/>
          <w:sz w:val="28"/>
          <w:szCs w:val="32"/>
          <w14:textFill>
            <w14:solidFill>
              <w14:schemeClr w14:val="tx1"/>
            </w14:solidFill>
          </w14:textFill>
        </w:rPr>
        <w:t>项目名称：</w:t>
      </w:r>
      <w:r>
        <w:rPr>
          <w:rFonts w:hint="eastAsia" w:asciiTheme="minorEastAsia" w:hAnsiTheme="minorEastAsia" w:cstheme="minorEastAsia"/>
          <w:b/>
          <w:bCs/>
          <w:color w:val="000000" w:themeColor="text1"/>
          <w:sz w:val="28"/>
          <w:szCs w:val="32"/>
          <w:u w:val="single"/>
          <w14:textFill>
            <w14:solidFill>
              <w14:schemeClr w14:val="tx1"/>
            </w14:solidFill>
          </w14:textFill>
        </w:rPr>
        <w:t>建设运维部7月辅材采购</w:t>
      </w:r>
    </w:p>
    <w:p>
      <w:pPr>
        <w:snapToGrid w:val="0"/>
        <w:spacing w:before="156" w:beforeLines="50" w:after="156" w:afterLines="50" w:line="360" w:lineRule="auto"/>
        <w:jc w:val="center"/>
        <w:rPr>
          <w:rFonts w:asciiTheme="minorEastAsia" w:hAnsiTheme="minorEastAsia" w:cstheme="minorEastAsia"/>
          <w:color w:val="000000" w:themeColor="text1"/>
          <w:sz w:val="30"/>
          <w:szCs w:val="30"/>
          <w14:textFill>
            <w14:solidFill>
              <w14:schemeClr w14:val="tx1"/>
            </w14:solidFill>
          </w14:textFill>
        </w:rPr>
      </w:pPr>
    </w:p>
    <w:p>
      <w:pPr>
        <w:autoSpaceDE w:val="0"/>
        <w:autoSpaceDN w:val="0"/>
        <w:adjustRightInd w:val="0"/>
        <w:snapToGrid w:val="0"/>
        <w:spacing w:before="156" w:beforeLines="50" w:after="156" w:afterLines="50" w:line="360" w:lineRule="auto"/>
        <w:jc w:val="center"/>
        <w:rPr>
          <w:rFonts w:asciiTheme="minorEastAsia" w:hAnsiTheme="minorEastAsia" w:cstheme="minorEastAsia"/>
          <w:color w:val="000000" w:themeColor="text1"/>
          <w:kern w:val="0"/>
          <w:sz w:val="30"/>
          <w:szCs w:val="30"/>
          <w14:textFill>
            <w14:solidFill>
              <w14:schemeClr w14:val="tx1"/>
            </w14:solidFill>
          </w14:textFill>
        </w:rPr>
      </w:pPr>
    </w:p>
    <w:p>
      <w:pPr>
        <w:autoSpaceDE w:val="0"/>
        <w:autoSpaceDN w:val="0"/>
        <w:adjustRightInd w:val="0"/>
        <w:snapToGrid w:val="0"/>
        <w:spacing w:before="156" w:beforeLines="50" w:after="156" w:afterLines="50" w:line="360" w:lineRule="auto"/>
        <w:jc w:val="left"/>
        <w:rPr>
          <w:rFonts w:asciiTheme="minorEastAsia" w:hAnsiTheme="minorEastAsia" w:cstheme="minorEastAsia"/>
          <w:color w:val="000000" w:themeColor="text1"/>
          <w:kern w:val="0"/>
          <w:sz w:val="30"/>
          <w:szCs w:val="30"/>
          <w14:textFill>
            <w14:solidFill>
              <w14:schemeClr w14:val="tx1"/>
            </w14:solidFill>
          </w14:textFill>
        </w:rPr>
      </w:pPr>
    </w:p>
    <w:p>
      <w:pPr>
        <w:autoSpaceDE w:val="0"/>
        <w:autoSpaceDN w:val="0"/>
        <w:adjustRightInd w:val="0"/>
        <w:snapToGrid w:val="0"/>
        <w:spacing w:line="360" w:lineRule="auto"/>
        <w:ind w:left="420" w:firstLine="420"/>
        <w:jc w:val="center"/>
        <w:rPr>
          <w:rFonts w:asciiTheme="minorEastAsia" w:hAnsiTheme="minorEastAsia" w:cstheme="minorEastAsia"/>
          <w:b/>
          <w:bCs/>
          <w:color w:val="000000" w:themeColor="text1"/>
          <w:sz w:val="28"/>
          <w:szCs w:val="32"/>
          <w14:textFill>
            <w14:solidFill>
              <w14:schemeClr w14:val="tx1"/>
            </w14:solidFill>
          </w14:textFill>
        </w:rPr>
      </w:pPr>
      <w:r>
        <w:rPr>
          <w:rFonts w:hint="eastAsia" w:asciiTheme="minorEastAsia" w:hAnsiTheme="minorEastAsia" w:cstheme="minorEastAsia"/>
          <w:b/>
          <w:bCs/>
          <w:color w:val="000000" w:themeColor="text1"/>
          <w:sz w:val="28"/>
          <w:szCs w:val="32"/>
          <w14:textFill>
            <w14:solidFill>
              <w14:schemeClr w14:val="tx1"/>
            </w14:solidFill>
          </w14:textFill>
        </w:rPr>
        <w:t>广东省广播电视网络股份有限公司汕尾分公司</w:t>
      </w:r>
    </w:p>
    <w:p>
      <w:pPr>
        <w:autoSpaceDE w:val="0"/>
        <w:autoSpaceDN w:val="0"/>
        <w:adjustRightInd w:val="0"/>
        <w:snapToGrid w:val="0"/>
        <w:spacing w:line="360" w:lineRule="auto"/>
        <w:ind w:left="420" w:firstLine="420"/>
        <w:jc w:val="center"/>
        <w:rPr>
          <w:rFonts w:asciiTheme="minorEastAsia" w:hAnsiTheme="minorEastAsia" w:cstheme="minorEastAsia"/>
          <w:b/>
          <w:color w:val="000000" w:themeColor="text1"/>
          <w:sz w:val="28"/>
          <w14:textFill>
            <w14:solidFill>
              <w14:schemeClr w14:val="tx1"/>
            </w14:solidFill>
          </w14:textFill>
        </w:rPr>
      </w:pPr>
      <w:r>
        <w:rPr>
          <w:rFonts w:hint="eastAsia" w:asciiTheme="minorEastAsia" w:hAnsiTheme="minorEastAsia" w:cstheme="minorEastAsia"/>
          <w:b/>
          <w:color w:val="000000" w:themeColor="text1"/>
          <w:sz w:val="28"/>
          <w14:textFill>
            <w14:solidFill>
              <w14:schemeClr w14:val="tx1"/>
            </w14:solidFill>
          </w14:textFill>
        </w:rPr>
        <w:t>采联国际招标采购集团有限公司</w:t>
      </w:r>
    </w:p>
    <w:p>
      <w:pPr>
        <w:autoSpaceDE w:val="0"/>
        <w:autoSpaceDN w:val="0"/>
        <w:adjustRightInd w:val="0"/>
        <w:snapToGrid w:val="0"/>
        <w:spacing w:line="360" w:lineRule="auto"/>
        <w:ind w:left="420" w:firstLine="420"/>
        <w:jc w:val="center"/>
        <w:rPr>
          <w:rFonts w:asciiTheme="minorEastAsia" w:hAnsiTheme="minorEastAsia" w:cstheme="minorEastAsia"/>
          <w:b/>
          <w:color w:val="000000" w:themeColor="text1"/>
          <w:sz w:val="28"/>
          <w14:textFill>
            <w14:solidFill>
              <w14:schemeClr w14:val="tx1"/>
            </w14:solidFill>
          </w14:textFill>
        </w:rPr>
      </w:pPr>
      <w:r>
        <w:rPr>
          <w:rFonts w:hint="eastAsia" w:asciiTheme="minorEastAsia" w:hAnsiTheme="minorEastAsia" w:cstheme="minorEastAsia"/>
          <w:b/>
          <w:color w:val="000000" w:themeColor="text1"/>
          <w:sz w:val="28"/>
          <w14:textFill>
            <w14:solidFill>
              <w14:schemeClr w14:val="tx1"/>
            </w14:solidFill>
          </w14:textFill>
        </w:rPr>
        <w:t>二〇二四年</w:t>
      </w:r>
      <w:r>
        <w:rPr>
          <w:rFonts w:hint="eastAsia" w:asciiTheme="minorEastAsia" w:hAnsiTheme="minorEastAsia" w:cstheme="minorEastAsia"/>
          <w:b/>
          <w:color w:val="000000" w:themeColor="text1"/>
          <w:sz w:val="28"/>
          <w:lang w:val="en-US" w:eastAsia="zh-CN"/>
          <w14:textFill>
            <w14:solidFill>
              <w14:schemeClr w14:val="tx1"/>
            </w14:solidFill>
          </w14:textFill>
        </w:rPr>
        <w:t>八</w:t>
      </w:r>
      <w:r>
        <w:rPr>
          <w:rFonts w:hint="eastAsia" w:asciiTheme="minorEastAsia" w:hAnsiTheme="minorEastAsia" w:cstheme="minorEastAsia"/>
          <w:b/>
          <w:color w:val="000000" w:themeColor="text1"/>
          <w:sz w:val="28"/>
          <w14:textFill>
            <w14:solidFill>
              <w14:schemeClr w14:val="tx1"/>
            </w14:solidFill>
          </w14:textFill>
        </w:rPr>
        <w:t>月</w:t>
      </w:r>
    </w:p>
    <w:p>
      <w:pPr>
        <w:autoSpaceDE w:val="0"/>
        <w:autoSpaceDN w:val="0"/>
        <w:adjustRightInd w:val="0"/>
        <w:snapToGrid w:val="0"/>
        <w:spacing w:line="360" w:lineRule="auto"/>
        <w:ind w:left="420" w:firstLine="420"/>
        <w:jc w:val="center"/>
        <w:rPr>
          <w:rFonts w:asciiTheme="minorEastAsia" w:hAnsiTheme="minorEastAsia" w:cstheme="minorEastAsia"/>
          <w:color w:val="000000" w:themeColor="text1"/>
          <w:sz w:val="28"/>
          <w14:textFill>
            <w14:solidFill>
              <w14:schemeClr w14:val="tx1"/>
            </w14:solidFill>
          </w14:textFill>
        </w:rPr>
      </w:pPr>
    </w:p>
    <w:p>
      <w:pPr>
        <w:autoSpaceDE w:val="0"/>
        <w:autoSpaceDN w:val="0"/>
        <w:adjustRightInd w:val="0"/>
        <w:snapToGrid w:val="0"/>
        <w:spacing w:line="360" w:lineRule="auto"/>
        <w:ind w:left="420" w:firstLine="420"/>
        <w:jc w:val="center"/>
        <w:rPr>
          <w:rFonts w:asciiTheme="minorEastAsia" w:hAnsiTheme="minorEastAsia" w:cstheme="minorEastAsia"/>
          <w:b/>
          <w:bCs/>
          <w:color w:val="000000" w:themeColor="text1"/>
          <w:sz w:val="28"/>
          <w:szCs w:val="32"/>
          <w14:textFill>
            <w14:solidFill>
              <w14:schemeClr w14:val="tx1"/>
            </w14:solidFill>
          </w14:textFill>
        </w:rPr>
        <w:sectPr>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pPr>
    </w:p>
    <w:p>
      <w:pPr>
        <w:pStyle w:val="17"/>
        <w:spacing w:before="0" w:after="0"/>
        <w:rPr>
          <w:rFonts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第一章 竞价须知</w:t>
      </w:r>
    </w:p>
    <w:p>
      <w:pPr>
        <w:pStyle w:val="27"/>
        <w:numPr>
          <w:ilvl w:val="0"/>
          <w:numId w:val="2"/>
        </w:numPr>
        <w:spacing w:line="360" w:lineRule="auto"/>
        <w:ind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本项目通过云采链线上采购一体化平台（www.choicelink.cn）进行竞价，参与竞价的供应商必须登录平台进行注册，注册成功后方可参与项目竞价。</w:t>
      </w:r>
    </w:p>
    <w:p>
      <w:pPr>
        <w:pStyle w:val="27"/>
        <w:numPr>
          <w:ilvl w:val="0"/>
          <w:numId w:val="2"/>
        </w:numPr>
        <w:spacing w:line="360" w:lineRule="auto"/>
        <w:ind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语言要求</w:t>
      </w:r>
    </w:p>
    <w:p>
      <w:pPr>
        <w:spacing w:line="360" w:lineRule="auto"/>
        <w:ind w:left="420" w:leftChars="20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供应商提交的响应文件以及供应商与采购人或平台就有关项目的所有来往函电均应使用中文书写。供应商提交的文件或资料可以用另一种语言，但相应内容应附有中文翻译本，由翻译机构盖章或者翻译人员签名。两种语言不一致时以中文翻译本为准。</w:t>
      </w:r>
    </w:p>
    <w:p>
      <w:pPr>
        <w:pStyle w:val="27"/>
        <w:numPr>
          <w:ilvl w:val="0"/>
          <w:numId w:val="2"/>
        </w:numPr>
        <w:spacing w:line="360" w:lineRule="auto"/>
        <w:ind w:firstLineChars="0"/>
        <w:rPr>
          <w:rFonts w:asciiTheme="minorEastAsia" w:hAnsiTheme="minorEastAsia" w:cstheme="minorEastAsia"/>
          <w:b/>
          <w:bCs/>
          <w:color w:val="000000" w:themeColor="text1"/>
          <w14:textFill>
            <w14:solidFill>
              <w14:schemeClr w14:val="tx1"/>
            </w14:solidFill>
          </w14:textFill>
        </w:rPr>
      </w:pPr>
      <w:r>
        <w:rPr>
          <w:rFonts w:hint="eastAsia" w:asciiTheme="minorEastAsia" w:hAnsiTheme="minorEastAsia" w:cstheme="minorEastAsia"/>
          <w:b/>
          <w:bCs/>
          <w:color w:val="000000" w:themeColor="text1"/>
          <w:szCs w:val="21"/>
          <w14:textFill>
            <w14:solidFill>
              <w14:schemeClr w14:val="tx1"/>
            </w14:solidFill>
          </w14:textFill>
        </w:rPr>
        <w:t>在云采链平台参与项目竞价后放弃成交资格超过三次（含三次）的供应商连同该供应商同一法人名下所有公司将被列入平台黑名单，永久不得参与平台的项目竞价。</w:t>
      </w:r>
    </w:p>
    <w:p>
      <w:pPr>
        <w:pStyle w:val="27"/>
        <w:numPr>
          <w:ilvl w:val="0"/>
          <w:numId w:val="2"/>
        </w:numPr>
        <w:spacing w:line="360" w:lineRule="auto"/>
        <w:ind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竞价须知</w:t>
      </w:r>
    </w:p>
    <w:p>
      <w:pPr>
        <w:pStyle w:val="27"/>
        <w:numPr>
          <w:ilvl w:val="0"/>
          <w:numId w:val="3"/>
        </w:numPr>
        <w:spacing w:line="360" w:lineRule="auto"/>
        <w:ind w:left="420" w:hanging="420" w:firstLineChars="0"/>
        <w:rPr>
          <w:rFonts w:asciiTheme="minorEastAsia" w:hAnsiTheme="minorEastAsia" w:cstheme="minorEastAsia"/>
          <w:b/>
          <w:color w:val="000000" w:themeColor="text1"/>
          <w14:textFill>
            <w14:solidFill>
              <w14:schemeClr w14:val="tx1"/>
            </w14:solidFill>
          </w14:textFill>
        </w:rPr>
      </w:pPr>
      <w:r>
        <w:rPr>
          <w:rStyle w:val="23"/>
          <w:rFonts w:hint="eastAsia" w:asciiTheme="minorEastAsia" w:hAnsiTheme="minorEastAsia" w:cstheme="minorEastAsia"/>
          <w:bCs w:val="0"/>
          <w:color w:val="000000" w:themeColor="text1"/>
          <w14:textFill>
            <w14:solidFill>
              <w14:schemeClr w14:val="tx1"/>
            </w14:solidFill>
          </w14:textFill>
        </w:rPr>
        <w:t>竞价说明</w:t>
      </w:r>
    </w:p>
    <w:p>
      <w:pPr>
        <w:pStyle w:val="27"/>
        <w:numPr>
          <w:ilvl w:val="0"/>
          <w:numId w:val="4"/>
        </w:numPr>
        <w:tabs>
          <w:tab w:val="left" w:pos="851"/>
        </w:tabs>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参与竞价的供应商应承担所有与准备和参加竞价有关的费用，不</w:t>
      </w:r>
      <w:r>
        <w:rPr>
          <w:rFonts w:hint="eastAsia" w:asciiTheme="minorEastAsia" w:hAnsiTheme="minorEastAsia" w:cstheme="minorEastAsia"/>
          <w:color w:val="000000" w:themeColor="text1"/>
          <w:szCs w:val="21"/>
          <w:lang w:eastAsia="zh-TW"/>
          <w14:textFill>
            <w14:solidFill>
              <w14:schemeClr w14:val="tx1"/>
            </w14:solidFill>
          </w14:textFill>
        </w:rPr>
        <w:t>论</w:t>
      </w:r>
      <w:r>
        <w:rPr>
          <w:rFonts w:hint="eastAsia" w:asciiTheme="minorEastAsia" w:hAnsiTheme="minorEastAsia" w:cstheme="minorEastAsia"/>
          <w:color w:val="000000" w:themeColor="text1"/>
          <w:szCs w:val="21"/>
          <w14:textFill>
            <w14:solidFill>
              <w14:schemeClr w14:val="tx1"/>
            </w14:solidFill>
          </w14:textFill>
        </w:rPr>
        <w:t>竞价</w:t>
      </w:r>
      <w:r>
        <w:rPr>
          <w:rFonts w:hint="eastAsia" w:asciiTheme="minorEastAsia" w:hAnsiTheme="minorEastAsia" w:cstheme="minorEastAsia"/>
          <w:color w:val="000000" w:themeColor="text1"/>
          <w:szCs w:val="21"/>
          <w:lang w:eastAsia="zh-TW"/>
          <w14:textFill>
            <w14:solidFill>
              <w14:schemeClr w14:val="tx1"/>
            </w14:solidFill>
          </w14:textFill>
        </w:rPr>
        <w:t>的结果如何</w:t>
      </w:r>
      <w:r>
        <w:rPr>
          <w:rFonts w:hint="eastAsia" w:asciiTheme="minorEastAsia" w:hAnsiTheme="minorEastAsia" w:cstheme="minorEastAsia"/>
          <w:color w:val="000000" w:themeColor="text1"/>
          <w:szCs w:val="21"/>
          <w14:textFill>
            <w14:solidFill>
              <w14:schemeClr w14:val="tx1"/>
            </w14:solidFill>
          </w14:textFill>
        </w:rPr>
        <w:t>，采购</w:t>
      </w:r>
      <w:r>
        <w:rPr>
          <w:rFonts w:hint="eastAsia" w:asciiTheme="minorEastAsia" w:hAnsiTheme="minorEastAsia" w:cstheme="minorEastAsia"/>
          <w:color w:val="000000" w:themeColor="text1"/>
          <w:szCs w:val="21"/>
          <w:lang w:eastAsia="zh-TW"/>
          <w14:textFill>
            <w14:solidFill>
              <w14:schemeClr w14:val="tx1"/>
            </w14:solidFill>
          </w14:textFill>
        </w:rPr>
        <w:t>人</w:t>
      </w:r>
      <w:r>
        <w:rPr>
          <w:rFonts w:hint="eastAsia" w:asciiTheme="minorEastAsia" w:hAnsiTheme="minorEastAsia" w:cstheme="minorEastAsia"/>
          <w:color w:val="000000" w:themeColor="text1"/>
          <w:szCs w:val="21"/>
          <w14:textFill>
            <w14:solidFill>
              <w14:schemeClr w14:val="tx1"/>
            </w14:solidFill>
          </w14:textFill>
        </w:rPr>
        <w:t>和</w:t>
      </w:r>
      <w:r>
        <w:rPr>
          <w:rFonts w:hint="eastAsia" w:asciiTheme="minorEastAsia" w:hAnsiTheme="minorEastAsia" w:cstheme="minorEastAsia"/>
          <w:color w:val="000000" w:themeColor="text1"/>
          <w:szCs w:val="21"/>
          <w:lang w:eastAsia="zh-TW"/>
          <w14:textFill>
            <w14:solidFill>
              <w14:schemeClr w14:val="tx1"/>
            </w14:solidFill>
          </w14:textFill>
        </w:rPr>
        <w:t>代理机构均无义务和责任承担这些费用</w:t>
      </w:r>
      <w:r>
        <w:rPr>
          <w:rFonts w:hint="eastAsia" w:asciiTheme="minorEastAsia" w:hAnsiTheme="minorEastAsia" w:cstheme="minorEastAsia"/>
          <w:color w:val="000000" w:themeColor="text1"/>
          <w:szCs w:val="21"/>
          <w14:textFill>
            <w14:solidFill>
              <w14:schemeClr w14:val="tx1"/>
            </w14:solidFill>
          </w14:textFill>
        </w:rPr>
        <w:t>。</w:t>
      </w:r>
    </w:p>
    <w:p>
      <w:pPr>
        <w:pStyle w:val="27"/>
        <w:numPr>
          <w:ilvl w:val="0"/>
          <w:numId w:val="4"/>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参与竞价的</w:t>
      </w:r>
      <w:r>
        <w:rPr>
          <w:rFonts w:hint="eastAsia" w:asciiTheme="minorEastAsia" w:hAnsiTheme="minorEastAsia" w:cstheme="minorEastAsia"/>
          <w:bCs/>
          <w:color w:val="000000" w:themeColor="text1"/>
          <w:szCs w:val="21"/>
          <w14:textFill>
            <w14:solidFill>
              <w14:schemeClr w14:val="tx1"/>
            </w14:solidFill>
          </w14:textFill>
        </w:rPr>
        <w:t>供应商必须按竞价附件的格式填写，不得随意增加或删除表格内容。除单价、金额或项目要求填写的内容外，不得擅自改动竞价附件内容，否则将有可能影响成交结果，不推荐为成交候选人。</w:t>
      </w:r>
    </w:p>
    <w:p>
      <w:pPr>
        <w:pStyle w:val="27"/>
        <w:numPr>
          <w:ilvl w:val="0"/>
          <w:numId w:val="4"/>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参与竞价的</w:t>
      </w:r>
      <w:r>
        <w:rPr>
          <w:rFonts w:hint="eastAsia" w:asciiTheme="minorEastAsia" w:hAnsiTheme="minorEastAsia" w:cstheme="minorEastAsia"/>
          <w:color w:val="000000" w:themeColor="text1"/>
          <w:szCs w:val="21"/>
          <w:lang w:val="zh-CN"/>
          <w14:textFill>
            <w14:solidFill>
              <w14:schemeClr w14:val="tx1"/>
            </w14:solidFill>
          </w14:textFill>
        </w:rPr>
        <w:t>供应商需对用户需求书的所有条款进行整体响应，用户需求书条款若有一条负偏离或不响应，</w:t>
      </w:r>
      <w:r>
        <w:rPr>
          <w:rFonts w:hint="eastAsia" w:asciiTheme="minorEastAsia" w:hAnsiTheme="minorEastAsia" w:cstheme="minorEastAsia"/>
          <w:bCs/>
          <w:color w:val="000000" w:themeColor="text1"/>
          <w:szCs w:val="21"/>
          <w14:textFill>
            <w14:solidFill>
              <w14:schemeClr w14:val="tx1"/>
            </w14:solidFill>
          </w14:textFill>
        </w:rPr>
        <w:t>不推荐为成交候选人</w:t>
      </w:r>
      <w:r>
        <w:rPr>
          <w:rFonts w:hint="eastAsia" w:asciiTheme="minorEastAsia" w:hAnsiTheme="minorEastAsia" w:cstheme="minorEastAsia"/>
          <w:color w:val="000000" w:themeColor="text1"/>
          <w:szCs w:val="21"/>
          <w:lang w:val="zh-CN"/>
          <w14:textFill>
            <w14:solidFill>
              <w14:schemeClr w14:val="tx1"/>
            </w14:solidFill>
          </w14:textFill>
        </w:rPr>
        <w:t>。</w:t>
      </w:r>
    </w:p>
    <w:p>
      <w:pPr>
        <w:pStyle w:val="27"/>
        <w:numPr>
          <w:ilvl w:val="0"/>
          <w:numId w:val="4"/>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若成交供应商自身原因无法完成本项目，则采购人有权利保留追究责任。</w:t>
      </w:r>
    </w:p>
    <w:p>
      <w:pPr>
        <w:pStyle w:val="27"/>
        <w:numPr>
          <w:ilvl w:val="0"/>
          <w:numId w:val="4"/>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成交供应商因自身原因被取消成交资格，采购人可重新启动采购或按竞价公告规定顺延推选符合要求的供应商作为成交人。</w:t>
      </w:r>
    </w:p>
    <w:p>
      <w:pPr>
        <w:pStyle w:val="27"/>
        <w:numPr>
          <w:ilvl w:val="0"/>
          <w:numId w:val="4"/>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若本项目竞价采购失败，采购人将重新采购，届时采购人有权根据项目具体情况，决定重新采购项目的采购方式。</w:t>
      </w:r>
    </w:p>
    <w:p>
      <w:pPr>
        <w:pStyle w:val="27"/>
        <w:numPr>
          <w:ilvl w:val="0"/>
          <w:numId w:val="4"/>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成交供应商若无正当理由恶意放弃成交资格，采购人有权将拒绝其参加本项目重新组织的竞价采购活动。</w:t>
      </w:r>
    </w:p>
    <w:p>
      <w:pPr>
        <w:pStyle w:val="27"/>
        <w:numPr>
          <w:ilvl w:val="0"/>
          <w:numId w:val="4"/>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如采购人或代理机构在审核或复核</w:t>
      </w:r>
      <w:r>
        <w:rPr>
          <w:rFonts w:hint="eastAsia" w:asciiTheme="minorEastAsia" w:hAnsiTheme="minorEastAsia" w:cstheme="minorEastAsia"/>
          <w:color w:val="000000" w:themeColor="text1"/>
          <w:szCs w:val="21"/>
          <w14:textFill>
            <w14:solidFill>
              <w14:schemeClr w14:val="tx1"/>
            </w14:solidFill>
          </w14:textFill>
        </w:rPr>
        <w:t>参与竞价的</w:t>
      </w:r>
      <w:r>
        <w:rPr>
          <w:rFonts w:hint="eastAsia" w:asciiTheme="minorEastAsia" w:hAnsiTheme="minorEastAsia" w:cstheme="minorEastAsia"/>
          <w:color w:val="000000" w:themeColor="text1"/>
          <w14:textFill>
            <w14:solidFill>
              <w14:schemeClr w14:val="tx1"/>
            </w14:solidFill>
          </w14:textFill>
        </w:rPr>
        <w:t>供应商所提交的竞价资料时，供应商须无条件配合；期间若发现存在弄虚作假或相关的失信记录或违反国家法律法规等相关的不良情形，采购人可取消其成交资格并保留追究责任的权力。</w:t>
      </w:r>
    </w:p>
    <w:p>
      <w:pPr>
        <w:pStyle w:val="27"/>
        <w:numPr>
          <w:ilvl w:val="0"/>
          <w:numId w:val="4"/>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参与竞价的</w:t>
      </w:r>
      <w:r>
        <w:rPr>
          <w:rFonts w:hint="eastAsia" w:asciiTheme="minorEastAsia" w:hAnsiTheme="minorEastAsia" w:cstheme="minorEastAsia"/>
          <w:color w:val="000000" w:themeColor="text1"/>
          <w:szCs w:val="21"/>
          <w:lang w:eastAsia="zh-TW"/>
          <w14:textFill>
            <w14:solidFill>
              <w14:schemeClr w14:val="tx1"/>
            </w14:solidFill>
          </w14:textFill>
        </w:rPr>
        <w:t>供应商向我司咨询的有关项目事项，一切以</w:t>
      </w:r>
      <w:r>
        <w:rPr>
          <w:rFonts w:hint="eastAsia" w:asciiTheme="minorEastAsia" w:hAnsiTheme="minorEastAsia" w:cstheme="minorEastAsia"/>
          <w:color w:val="000000" w:themeColor="text1"/>
          <w:szCs w:val="21"/>
          <w14:textFill>
            <w14:solidFill>
              <w14:schemeClr w14:val="tx1"/>
            </w14:solidFill>
          </w14:textFill>
        </w:rPr>
        <w:t>竞价文件</w:t>
      </w:r>
      <w:r>
        <w:rPr>
          <w:rFonts w:hint="eastAsia" w:asciiTheme="minorEastAsia" w:hAnsiTheme="minorEastAsia" w:cstheme="minorEastAsia"/>
          <w:color w:val="000000" w:themeColor="text1"/>
          <w:szCs w:val="21"/>
          <w:lang w:eastAsia="zh-TW"/>
          <w14:textFill>
            <w14:solidFill>
              <w14:schemeClr w14:val="tx1"/>
            </w14:solidFill>
          </w14:textFill>
        </w:rPr>
        <w:t>规定</w:t>
      </w:r>
      <w:r>
        <w:rPr>
          <w:rFonts w:hint="eastAsia" w:asciiTheme="minorEastAsia" w:hAnsiTheme="minorEastAsia" w:cstheme="minorEastAsia"/>
          <w:color w:val="000000" w:themeColor="text1"/>
          <w:szCs w:val="21"/>
          <w14:textFill>
            <w14:solidFill>
              <w14:schemeClr w14:val="tx1"/>
            </w14:solidFill>
          </w14:textFill>
        </w:rPr>
        <w:t>和竞价公告规定以及</w:t>
      </w:r>
      <w:r>
        <w:rPr>
          <w:rFonts w:hint="eastAsia" w:asciiTheme="minorEastAsia" w:hAnsiTheme="minorEastAsia" w:cstheme="minorEastAsia"/>
          <w:color w:val="000000" w:themeColor="text1"/>
          <w:szCs w:val="21"/>
          <w:lang w:eastAsia="zh-TW"/>
          <w14:textFill>
            <w14:solidFill>
              <w14:schemeClr w14:val="tx1"/>
            </w14:solidFill>
          </w14:textFill>
        </w:rPr>
        <w:t>本公司</w:t>
      </w:r>
      <w:r>
        <w:rPr>
          <w:rFonts w:hint="eastAsia" w:asciiTheme="minorEastAsia" w:hAnsiTheme="minorEastAsia" w:cstheme="minorEastAsia"/>
          <w:color w:val="000000" w:themeColor="text1"/>
          <w:szCs w:val="21"/>
          <w14:textFill>
            <w14:solidFill>
              <w14:schemeClr w14:val="tx1"/>
            </w14:solidFill>
          </w14:textFill>
        </w:rPr>
        <w:t>的</w:t>
      </w:r>
      <w:r>
        <w:rPr>
          <w:rFonts w:hint="eastAsia" w:asciiTheme="minorEastAsia" w:hAnsiTheme="minorEastAsia" w:cstheme="minorEastAsia"/>
          <w:color w:val="000000" w:themeColor="text1"/>
          <w:szCs w:val="21"/>
          <w:lang w:eastAsia="zh-TW"/>
          <w14:textFill>
            <w14:solidFill>
              <w14:schemeClr w14:val="tx1"/>
            </w14:solidFill>
          </w14:textFill>
        </w:rPr>
        <w:t>书面答复为准，其他一切形式均为个人意见，不代表本公司的意见</w:t>
      </w:r>
      <w:r>
        <w:rPr>
          <w:rFonts w:hint="eastAsia" w:asciiTheme="minorEastAsia" w:hAnsiTheme="minorEastAsia" w:cstheme="minorEastAsia"/>
          <w:color w:val="000000" w:themeColor="text1"/>
          <w:szCs w:val="21"/>
          <w14:textFill>
            <w14:solidFill>
              <w14:schemeClr w14:val="tx1"/>
            </w14:solidFill>
          </w14:textFill>
        </w:rPr>
        <w:t>。</w:t>
      </w:r>
    </w:p>
    <w:p>
      <w:pPr>
        <w:pStyle w:val="27"/>
        <w:numPr>
          <w:ilvl w:val="0"/>
          <w:numId w:val="4"/>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参与竞价的供应商应认真阅读</w:t>
      </w:r>
      <w:r>
        <w:rPr>
          <w:rFonts w:hint="eastAsia" w:asciiTheme="minorEastAsia" w:hAnsiTheme="minorEastAsia" w:cstheme="minorEastAsia"/>
          <w:color w:val="000000" w:themeColor="text1"/>
          <w:szCs w:val="21"/>
          <w:lang w:eastAsia="zh-TW"/>
          <w14:textFill>
            <w14:solidFill>
              <w14:schemeClr w14:val="tx1"/>
            </w14:solidFill>
          </w14:textFill>
        </w:rPr>
        <w:t>、并充分理解</w:t>
      </w:r>
      <w:r>
        <w:rPr>
          <w:rFonts w:hint="eastAsia" w:asciiTheme="minorEastAsia" w:hAnsiTheme="minorEastAsia" w:cstheme="minorEastAsia"/>
          <w:color w:val="000000" w:themeColor="text1"/>
          <w:szCs w:val="21"/>
          <w14:textFill>
            <w14:solidFill>
              <w14:schemeClr w14:val="tx1"/>
            </w14:solidFill>
          </w14:textFill>
        </w:rPr>
        <w:t>竞价</w:t>
      </w:r>
      <w:r>
        <w:rPr>
          <w:rFonts w:hint="eastAsia" w:asciiTheme="minorEastAsia" w:hAnsiTheme="minorEastAsia" w:cstheme="minorEastAsia"/>
          <w:color w:val="000000" w:themeColor="text1"/>
          <w:szCs w:val="21"/>
          <w:lang w:eastAsia="zh-TW"/>
          <w14:textFill>
            <w14:solidFill>
              <w14:schemeClr w14:val="tx1"/>
            </w14:solidFill>
          </w14:textFill>
        </w:rPr>
        <w:t>文件的全部内容（包括所有的补充、修改内容重要事项、格式、条款</w:t>
      </w:r>
      <w:r>
        <w:rPr>
          <w:rFonts w:hint="eastAsia" w:asciiTheme="minorEastAsia" w:hAnsiTheme="minorEastAsia" w:cstheme="minorEastAsia"/>
          <w:color w:val="000000" w:themeColor="text1"/>
          <w:szCs w:val="21"/>
          <w14:textFill>
            <w14:solidFill>
              <w14:schemeClr w14:val="tx1"/>
            </w14:solidFill>
          </w14:textFill>
        </w:rPr>
        <w:t>、服务要求</w:t>
      </w:r>
      <w:r>
        <w:rPr>
          <w:rFonts w:hint="eastAsia" w:asciiTheme="minorEastAsia" w:hAnsiTheme="minorEastAsia" w:cstheme="minorEastAsia"/>
          <w:color w:val="000000" w:themeColor="text1"/>
          <w:szCs w:val="21"/>
          <w:lang w:eastAsia="zh-TW"/>
          <w14:textFill>
            <w14:solidFill>
              <w14:schemeClr w14:val="tx1"/>
            </w14:solidFill>
          </w14:textFill>
        </w:rPr>
        <w:t>和技术规范、参数及要求等）。</w:t>
      </w:r>
      <w:r>
        <w:rPr>
          <w:rFonts w:hint="eastAsia" w:asciiTheme="minorEastAsia" w:hAnsiTheme="minorEastAsia" w:cstheme="minorEastAsia"/>
          <w:color w:val="000000" w:themeColor="text1"/>
          <w:szCs w:val="21"/>
          <w14:textFill>
            <w14:solidFill>
              <w14:schemeClr w14:val="tx1"/>
            </w14:solidFill>
          </w14:textFill>
        </w:rPr>
        <w:t>供应商</w:t>
      </w:r>
      <w:r>
        <w:rPr>
          <w:rFonts w:hint="eastAsia" w:asciiTheme="minorEastAsia" w:hAnsiTheme="minorEastAsia" w:cstheme="minorEastAsia"/>
          <w:color w:val="000000" w:themeColor="text1"/>
          <w:szCs w:val="21"/>
          <w:lang w:eastAsia="zh-TW"/>
          <w14:textFill>
            <w14:solidFill>
              <w14:schemeClr w14:val="tx1"/>
            </w14:solidFill>
          </w14:textFill>
        </w:rPr>
        <w:t>没有按照</w:t>
      </w:r>
      <w:r>
        <w:rPr>
          <w:rFonts w:hint="eastAsia" w:asciiTheme="minorEastAsia" w:hAnsiTheme="minorEastAsia" w:cstheme="minorEastAsia"/>
          <w:color w:val="000000" w:themeColor="text1"/>
          <w:szCs w:val="21"/>
          <w14:textFill>
            <w14:solidFill>
              <w14:schemeClr w14:val="tx1"/>
            </w14:solidFill>
          </w14:textFill>
        </w:rPr>
        <w:t>竞价</w:t>
      </w:r>
      <w:r>
        <w:rPr>
          <w:rFonts w:hint="eastAsia" w:asciiTheme="minorEastAsia" w:hAnsiTheme="minorEastAsia" w:cstheme="minorEastAsia"/>
          <w:color w:val="000000" w:themeColor="text1"/>
          <w:szCs w:val="21"/>
          <w:lang w:eastAsia="zh-TW"/>
          <w14:textFill>
            <w14:solidFill>
              <w14:schemeClr w14:val="tx1"/>
            </w14:solidFill>
          </w14:textFill>
        </w:rPr>
        <w:t>文件要求提交全部资料，或者</w:t>
      </w:r>
      <w:r>
        <w:rPr>
          <w:rFonts w:hint="eastAsia" w:asciiTheme="minorEastAsia" w:hAnsiTheme="minorEastAsia" w:cstheme="minorEastAsia"/>
          <w:color w:val="000000" w:themeColor="text1"/>
          <w:szCs w:val="21"/>
          <w14:textFill>
            <w14:solidFill>
              <w14:schemeClr w14:val="tx1"/>
            </w14:solidFill>
          </w14:textFill>
        </w:rPr>
        <w:t>参与竞价所上传的</w:t>
      </w:r>
      <w:r>
        <w:rPr>
          <w:rFonts w:hint="eastAsia" w:asciiTheme="minorEastAsia" w:hAnsiTheme="minorEastAsia" w:cstheme="minorEastAsia"/>
          <w:color w:val="000000" w:themeColor="text1"/>
          <w:szCs w:val="21"/>
          <w:lang w:eastAsia="zh-TW"/>
          <w14:textFill>
            <w14:solidFill>
              <w14:schemeClr w14:val="tx1"/>
            </w14:solidFill>
          </w14:textFill>
        </w:rPr>
        <w:t>文件没有对</w:t>
      </w:r>
      <w:r>
        <w:rPr>
          <w:rFonts w:hint="eastAsia" w:asciiTheme="minorEastAsia" w:hAnsiTheme="minorEastAsia" w:cstheme="minorEastAsia"/>
          <w:color w:val="000000" w:themeColor="text1"/>
          <w:szCs w:val="21"/>
          <w14:textFill>
            <w14:solidFill>
              <w14:schemeClr w14:val="tx1"/>
            </w14:solidFill>
          </w14:textFill>
        </w:rPr>
        <w:t>竞价</w:t>
      </w:r>
      <w:r>
        <w:rPr>
          <w:rFonts w:hint="eastAsia" w:asciiTheme="minorEastAsia" w:hAnsiTheme="minorEastAsia" w:cstheme="minorEastAsia"/>
          <w:color w:val="000000" w:themeColor="text1"/>
          <w:szCs w:val="21"/>
          <w:lang w:eastAsia="zh-TW"/>
          <w14:textFill>
            <w14:solidFill>
              <w14:schemeClr w14:val="tx1"/>
            </w14:solidFill>
          </w14:textFill>
        </w:rPr>
        <w:t>文件在各方面都作出实质性响应是</w:t>
      </w:r>
      <w:r>
        <w:rPr>
          <w:rFonts w:hint="eastAsia" w:asciiTheme="minorEastAsia" w:hAnsiTheme="minorEastAsia" w:cstheme="minorEastAsia"/>
          <w:color w:val="000000" w:themeColor="text1"/>
          <w:szCs w:val="21"/>
          <w14:textFill>
            <w14:solidFill>
              <w14:schemeClr w14:val="tx1"/>
            </w14:solidFill>
          </w14:textFill>
        </w:rPr>
        <w:t>供应商</w:t>
      </w:r>
      <w:r>
        <w:rPr>
          <w:rFonts w:hint="eastAsia" w:asciiTheme="minorEastAsia" w:hAnsiTheme="minorEastAsia" w:cstheme="minorEastAsia"/>
          <w:color w:val="000000" w:themeColor="text1"/>
          <w:szCs w:val="21"/>
          <w:lang w:eastAsia="zh-TW"/>
          <w14:textFill>
            <w14:solidFill>
              <w14:schemeClr w14:val="tx1"/>
            </w14:solidFill>
          </w14:textFill>
        </w:rPr>
        <w:t>的风险，有可能导致其</w:t>
      </w:r>
      <w:r>
        <w:rPr>
          <w:rFonts w:hint="eastAsia" w:asciiTheme="minorEastAsia" w:hAnsiTheme="minorEastAsia" w:cstheme="minorEastAsia"/>
          <w:color w:val="000000" w:themeColor="text1"/>
          <w:szCs w:val="21"/>
          <w14:textFill>
            <w14:solidFill>
              <w14:schemeClr w14:val="tx1"/>
            </w14:solidFill>
          </w14:textFill>
        </w:rPr>
        <w:t>竞价</w:t>
      </w:r>
      <w:r>
        <w:rPr>
          <w:rFonts w:hint="eastAsia" w:asciiTheme="minorEastAsia" w:hAnsiTheme="minorEastAsia" w:cstheme="minorEastAsia"/>
          <w:color w:val="000000" w:themeColor="text1"/>
          <w:szCs w:val="21"/>
          <w:lang w:eastAsia="zh-TW"/>
          <w14:textFill>
            <w14:solidFill>
              <w14:schemeClr w14:val="tx1"/>
            </w14:solidFill>
          </w14:textFill>
        </w:rPr>
        <w:t>被拒绝，</w:t>
      </w:r>
      <w:r>
        <w:rPr>
          <w:rFonts w:hint="eastAsia" w:asciiTheme="minorEastAsia" w:hAnsiTheme="minorEastAsia" w:cstheme="minorEastAsia"/>
          <w:color w:val="000000" w:themeColor="text1"/>
          <w:szCs w:val="21"/>
          <w14:textFill>
            <w14:solidFill>
              <w14:schemeClr w14:val="tx1"/>
            </w14:solidFill>
          </w14:textFill>
        </w:rPr>
        <w:t>或被认定为无效竞价。</w:t>
      </w:r>
    </w:p>
    <w:p>
      <w:pPr>
        <w:pStyle w:val="27"/>
        <w:numPr>
          <w:ilvl w:val="0"/>
          <w:numId w:val="4"/>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kern w:val="0"/>
          <w:szCs w:val="21"/>
          <w14:textFill>
            <w14:solidFill>
              <w14:schemeClr w14:val="tx1"/>
            </w14:solidFill>
          </w14:textFill>
        </w:rPr>
        <w:t>采购人有权拒绝接受任何不合格的货物或服务，由此产生的费用及相关后果均由成交供应商自行承担。</w:t>
      </w:r>
    </w:p>
    <w:p>
      <w:pPr>
        <w:pStyle w:val="27"/>
        <w:numPr>
          <w:ilvl w:val="0"/>
          <w:numId w:val="4"/>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供应商认为竞价结果损害其权益的，应按照云采链平台相关指引在规定的时间内向采购人或代理机构提交书面质疑，不提交的视为无异议，逾期提交将不予受理。</w:t>
      </w:r>
    </w:p>
    <w:p>
      <w:pPr>
        <w:pStyle w:val="27"/>
        <w:numPr>
          <w:ilvl w:val="0"/>
          <w:numId w:val="4"/>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本竞价公告和竞价文件的解释权归</w:t>
      </w:r>
      <w:r>
        <w:rPr>
          <w:rFonts w:hint="eastAsia" w:asciiTheme="minorEastAsia" w:hAnsiTheme="minorEastAsia" w:cstheme="minorEastAsia"/>
          <w:color w:val="000000" w:themeColor="text1"/>
          <w:szCs w:val="21"/>
          <w:lang w:eastAsia="zh-TW"/>
          <w14:textFill>
            <w14:solidFill>
              <w14:schemeClr w14:val="tx1"/>
            </w14:solidFill>
          </w14:textFill>
        </w:rPr>
        <w:t>“云采链</w:t>
      </w:r>
      <w:r>
        <w:rPr>
          <w:rFonts w:hint="eastAsia" w:asciiTheme="minorEastAsia" w:hAnsiTheme="minorEastAsia" w:cstheme="minorEastAsia"/>
          <w:color w:val="000000" w:themeColor="text1"/>
          <w14:textFill>
            <w14:solidFill>
              <w14:schemeClr w14:val="tx1"/>
            </w14:solidFill>
          </w14:textFill>
        </w:rPr>
        <w:t>线上采购一体化平台</w:t>
      </w:r>
      <w:r>
        <w:rPr>
          <w:rFonts w:hint="eastAsia" w:asciiTheme="minorEastAsia" w:hAnsiTheme="minorEastAsia" w:cstheme="minorEastAsia"/>
          <w:color w:val="000000" w:themeColor="text1"/>
          <w:szCs w:val="21"/>
          <w:lang w:eastAsia="zh-TW"/>
          <w14:textFill>
            <w14:solidFill>
              <w14:schemeClr w14:val="tx1"/>
            </w14:solidFill>
          </w14:textFill>
        </w:rPr>
        <w:t>”所有。</w:t>
      </w:r>
    </w:p>
    <w:p>
      <w:pPr>
        <w:pStyle w:val="27"/>
        <w:numPr>
          <w:ilvl w:val="0"/>
          <w:numId w:val="3"/>
        </w:numPr>
        <w:spacing w:line="360" w:lineRule="auto"/>
        <w:ind w:left="42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b/>
          <w:color w:val="000000" w:themeColor="text1"/>
          <w14:textFill>
            <w14:solidFill>
              <w14:schemeClr w14:val="tx1"/>
            </w14:solidFill>
          </w14:textFill>
        </w:rPr>
        <w:t>竞价文件的澄清或修改</w:t>
      </w:r>
    </w:p>
    <w:p>
      <w:pPr>
        <w:pStyle w:val="27"/>
        <w:numPr>
          <w:ilvl w:val="0"/>
          <w:numId w:val="5"/>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采购人或者采购代理机构可以对已发出的竞价文件进行必要的澄清或者修改。澄清或者修改的内容将在云采链平台上发布澄清（更正/变更）公告。</w:t>
      </w:r>
    </w:p>
    <w:p>
      <w:pPr>
        <w:pStyle w:val="27"/>
        <w:numPr>
          <w:ilvl w:val="0"/>
          <w:numId w:val="5"/>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无论澄清或者修改的内容是否影响竞价，平台将以短信形式通知所有的报名供应商；报名供应商应按要求履行相应的义务；</w:t>
      </w:r>
      <w:r>
        <w:rPr>
          <w:rFonts w:hint="eastAsia" w:asciiTheme="minorEastAsia" w:hAnsiTheme="minorEastAsia" w:cstheme="minorEastAsia"/>
          <w:color w:val="000000" w:themeColor="text1"/>
          <w:szCs w:val="21"/>
          <w14:textFill>
            <w14:solidFill>
              <w14:schemeClr w14:val="tx1"/>
            </w14:solidFill>
          </w14:textFill>
        </w:rPr>
        <w:t>如报名</w:t>
      </w:r>
      <w:r>
        <w:rPr>
          <w:rFonts w:hint="eastAsia" w:asciiTheme="minorEastAsia" w:hAnsiTheme="minorEastAsia" w:cstheme="minorEastAsia"/>
          <w:color w:val="000000" w:themeColor="text1"/>
          <w:szCs w:val="21"/>
          <w:lang w:eastAsia="zh-TW"/>
          <w14:textFill>
            <w14:solidFill>
              <w14:schemeClr w14:val="tx1"/>
            </w14:solidFill>
          </w14:textFill>
        </w:rPr>
        <w:t>截止时间</w:t>
      </w:r>
      <w:r>
        <w:rPr>
          <w:rFonts w:hint="eastAsia" w:asciiTheme="minorEastAsia" w:hAnsiTheme="minorEastAsia" w:cstheme="minorEastAsia"/>
          <w:color w:val="000000" w:themeColor="text1"/>
          <w:szCs w:val="21"/>
          <w14:textFill>
            <w14:solidFill>
              <w14:schemeClr w14:val="tx1"/>
            </w14:solidFill>
          </w14:textFill>
        </w:rPr>
        <w:t>少于一个工作日的，</w:t>
      </w:r>
      <w:r>
        <w:rPr>
          <w:rFonts w:hint="eastAsia" w:asciiTheme="minorEastAsia" w:hAnsiTheme="minorEastAsia" w:cstheme="minorEastAsia"/>
          <w:color w:val="000000" w:themeColor="text1"/>
          <w14:textFill>
            <w14:solidFill>
              <w14:schemeClr w14:val="tx1"/>
            </w14:solidFill>
          </w14:textFill>
        </w:rPr>
        <w:t>采购人或者采购代理机构应当相应顺延报名的截止时间。</w:t>
      </w:r>
    </w:p>
    <w:p>
      <w:pPr>
        <w:pStyle w:val="27"/>
        <w:numPr>
          <w:ilvl w:val="0"/>
          <w:numId w:val="5"/>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采购人或者采购代理机构发出的澄清或修改（更正/变更）的内容为竞价文件的组成部分，并对供应商具有约束力。</w:t>
      </w:r>
    </w:p>
    <w:p>
      <w:pPr>
        <w:pStyle w:val="27"/>
        <w:numPr>
          <w:ilvl w:val="0"/>
          <w:numId w:val="3"/>
        </w:numPr>
        <w:spacing w:line="360" w:lineRule="auto"/>
        <w:ind w:left="420" w:hanging="420" w:firstLineChars="0"/>
        <w:rPr>
          <w:rStyle w:val="23"/>
          <w:rFonts w:asciiTheme="minorEastAsia" w:hAnsiTheme="minorEastAsia" w:cstheme="minorEastAsia"/>
          <w:bCs w:val="0"/>
        </w:rPr>
      </w:pPr>
      <w:r>
        <w:rPr>
          <w:rStyle w:val="23"/>
          <w:rFonts w:hint="eastAsia" w:asciiTheme="minorEastAsia" w:hAnsiTheme="minorEastAsia" w:cstheme="minorEastAsia"/>
          <w:bCs w:val="0"/>
        </w:rPr>
        <w:t>报名要求</w:t>
      </w:r>
      <w:r>
        <w:rPr>
          <w:rStyle w:val="23"/>
          <w:rFonts w:hint="eastAsia" w:asciiTheme="minorEastAsia" w:hAnsiTheme="minorEastAsia" w:cstheme="minorEastAsia"/>
          <w:b w:val="0"/>
        </w:rPr>
        <w:t>（参与竞价的供应商资质要求: 报名时需要提供以下盖章资料，并对上传的报名文件资料承担责任）</w:t>
      </w:r>
    </w:p>
    <w:p>
      <w:pPr>
        <w:pStyle w:val="27"/>
        <w:widowControl/>
        <w:numPr>
          <w:ilvl w:val="0"/>
          <w:numId w:val="6"/>
        </w:numPr>
        <w:spacing w:line="360" w:lineRule="auto"/>
        <w:ind w:left="840" w:hanging="420" w:firstLineChars="0"/>
        <w:jc w:val="left"/>
        <w:rPr>
          <w:rFonts w:asciiTheme="minorEastAsia" w:hAnsiTheme="minorEastAsia" w:cstheme="minorEastAsia"/>
          <w:color w:val="000000" w:themeColor="text1"/>
          <w:kern w:val="0"/>
          <w:szCs w:val="20"/>
          <w14:textFill>
            <w14:solidFill>
              <w14:schemeClr w14:val="tx1"/>
            </w14:solidFill>
          </w14:textFill>
        </w:rPr>
      </w:pPr>
      <w:r>
        <w:rPr>
          <w:rFonts w:hint="eastAsia" w:asciiTheme="minorEastAsia" w:hAnsiTheme="minorEastAsia" w:cstheme="minorEastAsia"/>
          <w:color w:val="000000" w:themeColor="text1"/>
          <w:kern w:val="0"/>
          <w:szCs w:val="20"/>
          <w14:textFill>
            <w14:solidFill>
              <w14:schemeClr w14:val="tx1"/>
            </w14:solidFill>
          </w14:textFill>
        </w:rPr>
        <w:t>提供在中华人民共和国境内注册的法人或其他组织的营业执照或事业单位法人证书或社会团体法人登记证书复印件；如国家另有规定的，则从其规定；（如供应商为分公司，须取得具有法人资格的总公司（总所）出具给分公司的授权书，并提供总公司（总所）和分公司的营业执照（执业许可证）复印件。已由总公司（总所）授权的，总公司（总所）取得的相关资质证书对分公司有效，法律法规或者行业另有规定的除外。）</w:t>
      </w:r>
    </w:p>
    <w:p>
      <w:pPr>
        <w:pStyle w:val="27"/>
        <w:widowControl/>
        <w:numPr>
          <w:ilvl w:val="0"/>
          <w:numId w:val="6"/>
        </w:numPr>
        <w:spacing w:line="360" w:lineRule="auto"/>
        <w:ind w:left="840" w:hanging="420" w:firstLineChars="0"/>
        <w:jc w:val="left"/>
        <w:rPr>
          <w:rFonts w:asciiTheme="minorEastAsia" w:hAnsiTheme="minorEastAsia" w:cstheme="minorEastAsia"/>
          <w:color w:val="000000" w:themeColor="text1"/>
          <w:kern w:val="0"/>
          <w:szCs w:val="20"/>
          <w14:textFill>
            <w14:solidFill>
              <w14:schemeClr w14:val="tx1"/>
            </w14:solidFill>
          </w14:textFill>
        </w:rPr>
      </w:pPr>
      <w:r>
        <w:rPr>
          <w:rFonts w:hint="eastAsia" w:asciiTheme="minorEastAsia" w:hAnsiTheme="minorEastAsia" w:cstheme="minorEastAsia"/>
          <w:color w:val="000000" w:themeColor="text1"/>
          <w:kern w:val="0"/>
          <w:szCs w:val="20"/>
          <w14:textFill>
            <w14:solidFill>
              <w14:schemeClr w14:val="tx1"/>
            </w14:solidFill>
          </w14:textFill>
        </w:rPr>
        <w:t>满足《中华人民共和国政府采购法》第二十二条规定；本项目不允许联合竞价；不允许分包转包；为采购项目提供整体设计、规范编制或者项目管理、监理、检测等服务的供应商，不得再参加该采购项目同一合同项下的其他采购活动；法定代表人或单位负责人与所参投的本项目其他供应商的法定代表人或单位负责人不为同一人且与其他供应商之间不存在直接控股、管理关系；（提供《供应商资格声明函》，格式见附件）；</w:t>
      </w:r>
    </w:p>
    <w:p>
      <w:pPr>
        <w:pStyle w:val="27"/>
        <w:widowControl/>
        <w:numPr>
          <w:ilvl w:val="0"/>
          <w:numId w:val="6"/>
        </w:numPr>
        <w:spacing w:line="360" w:lineRule="auto"/>
        <w:ind w:left="840" w:hanging="420" w:firstLineChars="0"/>
        <w:jc w:val="left"/>
        <w:rPr>
          <w:rFonts w:ascii="宋体" w:hAnsi="宋体" w:eastAsia="宋体" w:cs="宋体"/>
          <w:color w:val="000000"/>
          <w:szCs w:val="21"/>
        </w:rPr>
      </w:pPr>
      <w:r>
        <w:rPr>
          <w:rFonts w:hint="eastAsia" w:asciiTheme="minorEastAsia" w:hAnsiTheme="minorEastAsia" w:cstheme="minorEastAsia"/>
          <w:color w:val="000000" w:themeColor="text1"/>
          <w:kern w:val="0"/>
          <w:szCs w:val="21"/>
          <w14:textFill>
            <w14:solidFill>
              <w14:schemeClr w14:val="tx1"/>
            </w14:solidFill>
          </w14:textFill>
        </w:rPr>
        <w:t>供应商完全响应本项目用户需求的条款、内容及要求的，提供用户需求书响应声明函即可</w:t>
      </w:r>
      <w:r>
        <w:rPr>
          <w:rFonts w:hint="eastAsia" w:asciiTheme="minorEastAsia" w:hAnsiTheme="minorEastAsia" w:cstheme="minorEastAsia"/>
          <w:b/>
          <w:color w:val="000000" w:themeColor="text1"/>
          <w:kern w:val="0"/>
          <w:szCs w:val="21"/>
          <w14:textFill>
            <w14:solidFill>
              <w14:schemeClr w14:val="tx1"/>
            </w14:solidFill>
          </w14:textFill>
        </w:rPr>
        <w:t>，格式详见附件；</w:t>
      </w:r>
    </w:p>
    <w:p>
      <w:pPr>
        <w:pStyle w:val="27"/>
        <w:widowControl/>
        <w:numPr>
          <w:ilvl w:val="0"/>
          <w:numId w:val="6"/>
        </w:numPr>
        <w:spacing w:line="360" w:lineRule="auto"/>
        <w:ind w:left="840" w:hanging="420" w:firstLineChars="0"/>
        <w:jc w:val="left"/>
        <w:rPr>
          <w:rFonts w:ascii="宋体" w:hAnsi="宋体" w:eastAsia="宋体" w:cs="宋体"/>
          <w:b/>
          <w:bCs/>
          <w:color w:val="000000"/>
          <w:szCs w:val="21"/>
        </w:rPr>
      </w:pPr>
      <w:r>
        <w:rPr>
          <w:rFonts w:hint="eastAsia" w:ascii="宋体" w:hAnsi="宋体" w:eastAsia="宋体" w:cs="宋体"/>
          <w:b/>
          <w:bCs/>
          <w:color w:val="000000"/>
          <w:szCs w:val="21"/>
        </w:rPr>
        <w:t>报名供应商须参与现场工程勘查并取得采购人出具的现场勘查证明。（勘查人员需要法人代表及公司技术负责人同时到场，提供营业执照原件、法人代表证明书及法人身份证原件）（勘察时间：2024年</w:t>
      </w:r>
      <w:r>
        <w:rPr>
          <w:rFonts w:hint="eastAsia" w:ascii="宋体" w:hAnsi="宋体" w:eastAsia="宋体" w:cs="宋体"/>
          <w:b/>
          <w:bCs/>
          <w:color w:val="000000"/>
          <w:szCs w:val="21"/>
          <w:lang w:val="en-US" w:eastAsia="zh-CN"/>
        </w:rPr>
        <w:t>8</w:t>
      </w:r>
      <w:r>
        <w:rPr>
          <w:rFonts w:hint="eastAsia" w:ascii="宋体" w:hAnsi="宋体" w:eastAsia="宋体" w:cs="宋体"/>
          <w:b/>
          <w:bCs/>
          <w:color w:val="000000"/>
          <w:szCs w:val="21"/>
        </w:rPr>
        <w:t>月</w:t>
      </w:r>
      <w:r>
        <w:rPr>
          <w:rFonts w:hint="eastAsia" w:ascii="宋体" w:hAnsi="宋体" w:eastAsia="宋体" w:cs="宋体"/>
          <w:b/>
          <w:bCs/>
          <w:color w:val="000000"/>
          <w:szCs w:val="21"/>
          <w:lang w:val="en-US" w:eastAsia="zh-CN"/>
        </w:rPr>
        <w:t>6</w:t>
      </w:r>
      <w:r>
        <w:rPr>
          <w:rFonts w:hint="eastAsia" w:ascii="宋体" w:hAnsi="宋体" w:eastAsia="宋体" w:cs="宋体"/>
          <w:b/>
          <w:bCs/>
          <w:color w:val="000000"/>
          <w:szCs w:val="21"/>
        </w:rPr>
        <w:t>日</w:t>
      </w:r>
      <w:r>
        <w:rPr>
          <w:rFonts w:hint="eastAsia" w:ascii="宋体" w:hAnsi="宋体" w:eastAsia="宋体" w:cs="宋体"/>
          <w:b/>
          <w:bCs/>
          <w:color w:val="000000"/>
          <w:szCs w:val="21"/>
          <w:lang w:val="en-US" w:eastAsia="zh-CN"/>
        </w:rPr>
        <w:t>10</w:t>
      </w:r>
      <w:r>
        <w:rPr>
          <w:rFonts w:hint="eastAsia" w:ascii="宋体" w:hAnsi="宋体" w:eastAsia="宋体" w:cs="宋体"/>
          <w:b/>
          <w:bCs/>
          <w:color w:val="000000"/>
          <w:szCs w:val="21"/>
        </w:rPr>
        <w:t>点整集中，勘察集中地点：广东省广播电视网络股份有限公司汕尾分公司，联系人：陈主任，电话：13828983168）</w:t>
      </w:r>
      <w:r>
        <w:rPr>
          <w:rFonts w:hint="eastAsia" w:ascii="宋体" w:hAnsi="宋体" w:eastAsia="宋体" w:cs="宋体"/>
          <w:b/>
          <w:bCs/>
          <w:color w:val="000000"/>
          <w:sz w:val="21"/>
          <w:szCs w:val="21"/>
        </w:rPr>
        <w:t>）。</w:t>
      </w:r>
    </w:p>
    <w:p>
      <w:pPr>
        <w:pStyle w:val="27"/>
        <w:numPr>
          <w:ilvl w:val="0"/>
          <w:numId w:val="3"/>
        </w:numPr>
        <w:spacing w:line="360" w:lineRule="auto"/>
        <w:ind w:left="420" w:hanging="420" w:firstLineChars="0"/>
        <w:rPr>
          <w:rStyle w:val="23"/>
          <w:rFonts w:asciiTheme="minorEastAsia" w:hAnsiTheme="minorEastAsia" w:cstheme="minorEastAsia"/>
          <w:bCs w:val="0"/>
          <w:color w:val="000000" w:themeColor="text1"/>
          <w14:textFill>
            <w14:solidFill>
              <w14:schemeClr w14:val="tx1"/>
            </w14:solidFill>
          </w14:textFill>
        </w:rPr>
      </w:pPr>
      <w:r>
        <w:rPr>
          <w:rStyle w:val="23"/>
          <w:rFonts w:hint="eastAsia" w:asciiTheme="minorEastAsia" w:hAnsiTheme="minorEastAsia" w:cstheme="minorEastAsia"/>
          <w:bCs w:val="0"/>
          <w:color w:val="000000" w:themeColor="text1"/>
          <w14:textFill>
            <w14:solidFill>
              <w14:schemeClr w14:val="tx1"/>
            </w14:solidFill>
          </w14:textFill>
        </w:rPr>
        <w:t>报价要求</w:t>
      </w:r>
      <w:r>
        <w:rPr>
          <w:rStyle w:val="23"/>
          <w:rFonts w:hint="eastAsia" w:asciiTheme="minorEastAsia" w:hAnsiTheme="minorEastAsia" w:cstheme="minorEastAsia"/>
          <w:color w:val="000000" w:themeColor="text1"/>
          <w:szCs w:val="21"/>
          <w14:textFill>
            <w14:solidFill>
              <w14:schemeClr w14:val="tx1"/>
            </w14:solidFill>
          </w14:textFill>
        </w:rPr>
        <w:t>（</w:t>
      </w:r>
      <w:r>
        <w:rPr>
          <w:rStyle w:val="23"/>
          <w:rFonts w:hint="eastAsia" w:asciiTheme="minorEastAsia" w:hAnsiTheme="minorEastAsia" w:cstheme="minorEastAsia"/>
          <w:b w:val="0"/>
          <w:color w:val="000000" w:themeColor="text1"/>
          <w:szCs w:val="21"/>
          <w14:textFill>
            <w14:solidFill>
              <w14:schemeClr w14:val="tx1"/>
            </w14:solidFill>
          </w14:textFill>
        </w:rPr>
        <w:t>报价时需要提供以下</w:t>
      </w:r>
      <w:r>
        <w:rPr>
          <w:rStyle w:val="23"/>
          <w:rFonts w:hint="eastAsia" w:asciiTheme="minorEastAsia" w:hAnsiTheme="minorEastAsia" w:cstheme="minorEastAsia"/>
          <w:color w:val="000000" w:themeColor="text1"/>
          <w:szCs w:val="21"/>
          <w:u w:val="double"/>
          <w14:textFill>
            <w14:solidFill>
              <w14:schemeClr w14:val="tx1"/>
            </w14:solidFill>
          </w14:textFill>
        </w:rPr>
        <w:t>盖章</w:t>
      </w:r>
      <w:r>
        <w:rPr>
          <w:rStyle w:val="23"/>
          <w:rFonts w:hint="eastAsia" w:asciiTheme="minorEastAsia" w:hAnsiTheme="minorEastAsia" w:cstheme="minorEastAsia"/>
          <w:b w:val="0"/>
          <w:color w:val="000000" w:themeColor="text1"/>
          <w:szCs w:val="21"/>
          <w14:textFill>
            <w14:solidFill>
              <w14:schemeClr w14:val="tx1"/>
            </w14:solidFill>
          </w14:textFill>
        </w:rPr>
        <w:t>资料，</w:t>
      </w:r>
      <w:r>
        <w:rPr>
          <w:rFonts w:hint="eastAsia" w:asciiTheme="minorEastAsia" w:hAnsiTheme="minorEastAsia" w:cstheme="minorEastAsia"/>
          <w:color w:val="000000" w:themeColor="text1"/>
          <w:szCs w:val="21"/>
          <w14:textFill>
            <w14:solidFill>
              <w14:schemeClr w14:val="tx1"/>
            </w14:solidFill>
          </w14:textFill>
        </w:rPr>
        <w:t>并对上传的竞价文件资料承担责任</w:t>
      </w:r>
      <w:r>
        <w:rPr>
          <w:rStyle w:val="23"/>
          <w:rFonts w:hint="eastAsia" w:asciiTheme="minorEastAsia" w:hAnsiTheme="minorEastAsia" w:cstheme="minorEastAsia"/>
          <w:color w:val="000000" w:themeColor="text1"/>
          <w:szCs w:val="21"/>
          <w14:textFill>
            <w14:solidFill>
              <w14:schemeClr w14:val="tx1"/>
            </w14:solidFill>
          </w14:textFill>
        </w:rPr>
        <w:t>）</w:t>
      </w:r>
    </w:p>
    <w:p>
      <w:pPr>
        <w:pStyle w:val="27"/>
        <w:numPr>
          <w:ilvl w:val="0"/>
          <w:numId w:val="7"/>
        </w:numPr>
        <w:spacing w:line="360" w:lineRule="auto"/>
        <w:ind w:left="840" w:hanging="420" w:firstLineChars="0"/>
        <w:rPr>
          <w:rFonts w:asciiTheme="minorEastAsia" w:hAnsiTheme="minorEastAsia" w:cstheme="minorEastAsia"/>
          <w:szCs w:val="21"/>
        </w:rPr>
      </w:pPr>
      <w:r>
        <w:rPr>
          <w:rFonts w:hint="eastAsia" w:asciiTheme="minorEastAsia" w:hAnsiTheme="minorEastAsia" w:cstheme="minorEastAsia"/>
          <w:color w:val="000000" w:themeColor="text1"/>
          <w:szCs w:val="21"/>
          <w14:textFill>
            <w14:solidFill>
              <w14:schemeClr w14:val="tx1"/>
            </w14:solidFill>
          </w14:textFill>
        </w:rPr>
        <w:t>通过报名供应商应根据本公告要求，在规定的竞价时间内对采购项目进行报价，同时按本公告要求完整</w:t>
      </w:r>
      <w:r>
        <w:rPr>
          <w:rFonts w:hint="eastAsia" w:asciiTheme="minorEastAsia" w:hAnsiTheme="minorEastAsia" w:cstheme="minorEastAsia"/>
          <w:color w:val="000000" w:themeColor="text1"/>
          <w:szCs w:val="21"/>
          <w:lang w:eastAsia="zh-TW"/>
          <w14:textFill>
            <w14:solidFill>
              <w14:schemeClr w14:val="tx1"/>
            </w14:solidFill>
          </w14:textFill>
        </w:rPr>
        <w:t>、真实、准确地</w:t>
      </w:r>
      <w:r>
        <w:rPr>
          <w:rFonts w:hint="eastAsia" w:asciiTheme="minorEastAsia" w:hAnsiTheme="minorEastAsia" w:cstheme="minorEastAsia"/>
          <w:color w:val="000000" w:themeColor="text1"/>
          <w:szCs w:val="21"/>
          <w14:textFill>
            <w14:solidFill>
              <w14:schemeClr w14:val="tx1"/>
            </w14:solidFill>
          </w14:textFill>
        </w:rPr>
        <w:t>填写并上传相应报价附件</w:t>
      </w:r>
      <w:r>
        <w:rPr>
          <w:rFonts w:hint="eastAsia" w:asciiTheme="minorEastAsia" w:hAnsiTheme="minorEastAsia" w:cstheme="minorEastAsia"/>
          <w:b/>
          <w:bCs/>
          <w:color w:val="000000" w:themeColor="text1"/>
          <w:szCs w:val="21"/>
          <w14:textFill>
            <w14:solidFill>
              <w14:schemeClr w14:val="tx1"/>
            </w14:solidFill>
          </w14:textFill>
        </w:rPr>
        <w:t>（</w:t>
      </w:r>
      <w:r>
        <w:rPr>
          <w:rFonts w:hint="eastAsia" w:asciiTheme="minorEastAsia" w:hAnsiTheme="minorEastAsia" w:cstheme="minorEastAsia"/>
          <w:b/>
          <w:szCs w:val="21"/>
          <w:lang w:bidi="ar"/>
        </w:rPr>
        <w:t>上传</w:t>
      </w:r>
      <w:r>
        <w:rPr>
          <w:rFonts w:hint="eastAsia" w:asciiTheme="minorEastAsia" w:hAnsiTheme="minorEastAsia" w:cstheme="minorEastAsia"/>
          <w:b/>
          <w:bCs/>
          <w:szCs w:val="21"/>
          <w:shd w:val="clear" w:color="auto" w:fill="FFFFFF"/>
          <w:lang w:bidi="ar"/>
        </w:rPr>
        <w:t>报价表）。</w:t>
      </w:r>
    </w:p>
    <w:p>
      <w:pPr>
        <w:pStyle w:val="27"/>
        <w:numPr>
          <w:ilvl w:val="0"/>
          <w:numId w:val="7"/>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b/>
          <w:color w:val="000000" w:themeColor="text1"/>
          <w:szCs w:val="21"/>
          <w:u w:val="double"/>
          <w14:textFill>
            <w14:solidFill>
              <w14:schemeClr w14:val="tx1"/>
            </w14:solidFill>
          </w14:textFill>
        </w:rPr>
        <w:t>公告中的报价次数指报价期间供应商可进行的最多报价次数。如报价次数为2次，指供应商最多可进行2次报价。如供应商只进行1次报价，则以此次报价为准；如供应商因报价有误或其他原因需重新进行第2次报价，则以第2次报价为准，以此类推。</w:t>
      </w:r>
    </w:p>
    <w:p>
      <w:pPr>
        <w:pStyle w:val="27"/>
        <w:numPr>
          <w:ilvl w:val="0"/>
          <w:numId w:val="3"/>
        </w:numPr>
        <w:spacing w:line="360" w:lineRule="auto"/>
        <w:ind w:left="420" w:hanging="420" w:firstLineChars="0"/>
        <w:rPr>
          <w:rStyle w:val="23"/>
          <w:rFonts w:asciiTheme="minorEastAsia" w:hAnsiTheme="minorEastAsia" w:cstheme="minorEastAsia"/>
          <w:bCs w:val="0"/>
          <w:color w:val="000000" w:themeColor="text1"/>
          <w14:textFill>
            <w14:solidFill>
              <w14:schemeClr w14:val="tx1"/>
            </w14:solidFill>
          </w14:textFill>
        </w:rPr>
      </w:pPr>
      <w:r>
        <w:rPr>
          <w:rStyle w:val="23"/>
          <w:rFonts w:hint="eastAsia" w:asciiTheme="minorEastAsia" w:hAnsiTheme="minorEastAsia" w:cstheme="minorEastAsia"/>
          <w:bCs w:val="0"/>
          <w:color w:val="000000" w:themeColor="text1"/>
          <w14:textFill>
            <w14:solidFill>
              <w14:schemeClr w14:val="tx1"/>
            </w14:solidFill>
          </w14:textFill>
        </w:rPr>
        <w:t>确定成交候选人</w:t>
      </w:r>
    </w:p>
    <w:p>
      <w:pPr>
        <w:pStyle w:val="27"/>
        <w:numPr>
          <w:ilvl w:val="0"/>
          <w:numId w:val="8"/>
        </w:numPr>
        <w:spacing w:line="360" w:lineRule="auto"/>
        <w:ind w:left="840" w:hanging="420"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本项目以最低价成交的方式确定成交供应商。报价时间截止后，系统按报价（经价格核准后的价格）由低到高顺序排列，</w:t>
      </w:r>
      <w:r>
        <w:rPr>
          <w:rFonts w:hint="eastAsia" w:asciiTheme="minorEastAsia" w:hAnsiTheme="minorEastAsia" w:cstheme="minorEastAsia"/>
          <w:color w:val="000000" w:themeColor="text1"/>
          <w14:textFill>
            <w14:solidFill>
              <w14:schemeClr w14:val="tx1"/>
            </w14:solidFill>
          </w14:textFill>
        </w:rPr>
        <w:t>报价最低的为第一成交候选人，报价相同的，按报价时间在前的为第一成交候选人；</w:t>
      </w:r>
      <w:r>
        <w:rPr>
          <w:rFonts w:hint="eastAsia" w:asciiTheme="minorEastAsia" w:hAnsiTheme="minorEastAsia" w:cstheme="minorEastAsia"/>
          <w:color w:val="000000" w:themeColor="text1"/>
          <w:szCs w:val="21"/>
          <w14:textFill>
            <w14:solidFill>
              <w14:schemeClr w14:val="tx1"/>
            </w14:solidFill>
          </w14:textFill>
        </w:rPr>
        <w:t>报价次低的为第二成交候选人，以此类推</w:t>
      </w:r>
      <w:r>
        <w:rPr>
          <w:rFonts w:hint="eastAsia" w:asciiTheme="minorEastAsia" w:hAnsiTheme="minorEastAsia" w:cstheme="minorEastAsia"/>
          <w:color w:val="000000" w:themeColor="text1"/>
          <w14:textFill>
            <w14:solidFill>
              <w14:schemeClr w14:val="tx1"/>
            </w14:solidFill>
          </w14:textFill>
        </w:rPr>
        <w:t>。</w:t>
      </w:r>
    </w:p>
    <w:p>
      <w:pPr>
        <w:pStyle w:val="27"/>
        <w:numPr>
          <w:ilvl w:val="0"/>
          <w:numId w:val="3"/>
        </w:numPr>
        <w:spacing w:line="360" w:lineRule="auto"/>
        <w:ind w:left="420" w:hanging="420" w:firstLineChars="0"/>
        <w:rPr>
          <w:rFonts w:asciiTheme="minorEastAsia" w:hAnsiTheme="minorEastAsia" w:cstheme="minorEastAsia"/>
          <w:b/>
          <w:color w:val="000000" w:themeColor="text1"/>
          <w:szCs w:val="21"/>
          <w14:textFill>
            <w14:solidFill>
              <w14:schemeClr w14:val="tx1"/>
            </w14:solidFill>
          </w14:textFill>
        </w:rPr>
      </w:pPr>
      <w:r>
        <w:rPr>
          <w:rFonts w:hint="eastAsia" w:asciiTheme="minorEastAsia" w:hAnsiTheme="minorEastAsia" w:cstheme="minorEastAsia"/>
          <w:b/>
          <w:color w:val="000000" w:themeColor="text1"/>
          <w:szCs w:val="21"/>
          <w14:textFill>
            <w14:solidFill>
              <w14:schemeClr w14:val="tx1"/>
            </w14:solidFill>
          </w14:textFill>
        </w:rPr>
        <w:t>无效报价</w:t>
      </w:r>
    </w:p>
    <w:p>
      <w:pPr>
        <w:pStyle w:val="27"/>
        <w:numPr>
          <w:ilvl w:val="0"/>
          <w:numId w:val="9"/>
        </w:numPr>
        <w:spacing w:line="360" w:lineRule="auto"/>
        <w:ind w:left="840" w:hanging="420" w:firstLineChars="0"/>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参与竞价的</w:t>
      </w:r>
      <w:r>
        <w:rPr>
          <w:rFonts w:hint="eastAsia" w:asciiTheme="minorEastAsia" w:hAnsiTheme="minorEastAsia" w:cstheme="minorEastAsia"/>
          <w:color w:val="000000" w:themeColor="text1"/>
          <w14:textFill>
            <w14:solidFill>
              <w14:schemeClr w14:val="tx1"/>
            </w14:solidFill>
          </w14:textFill>
        </w:rPr>
        <w:t>供应商报价超过最高限价或低于最低限价或超过项目对应产品单项最高限价的视为无效报价。</w:t>
      </w:r>
    </w:p>
    <w:p>
      <w:pPr>
        <w:pStyle w:val="27"/>
        <w:numPr>
          <w:ilvl w:val="0"/>
          <w:numId w:val="9"/>
        </w:numPr>
        <w:spacing w:line="360" w:lineRule="auto"/>
        <w:ind w:left="840" w:hanging="420" w:firstLineChars="0"/>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参与竞价的</w:t>
      </w:r>
      <w:r>
        <w:rPr>
          <w:rFonts w:hint="eastAsia" w:asciiTheme="minorEastAsia" w:hAnsiTheme="minorEastAsia" w:cstheme="minorEastAsia"/>
          <w:bCs/>
          <w:color w:val="000000" w:themeColor="text1"/>
          <w:szCs w:val="21"/>
          <w14:textFill>
            <w14:solidFill>
              <w14:schemeClr w14:val="tx1"/>
            </w14:solidFill>
          </w14:textFill>
        </w:rPr>
        <w:t>供应商须提供本项目要求的资质文件，如果不按公告规定或竞价文件要求等相关规定提供符合要求的资质文件，将被视为无效报价。</w:t>
      </w:r>
    </w:p>
    <w:p>
      <w:pPr>
        <w:pStyle w:val="27"/>
        <w:numPr>
          <w:ilvl w:val="0"/>
          <w:numId w:val="9"/>
        </w:numPr>
        <w:spacing w:line="360" w:lineRule="auto"/>
        <w:ind w:left="840" w:hanging="420" w:firstLineChars="0"/>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参与竞价的</w:t>
      </w:r>
      <w:r>
        <w:rPr>
          <w:rFonts w:hint="eastAsia" w:asciiTheme="minorEastAsia" w:hAnsiTheme="minorEastAsia" w:cstheme="minorEastAsia"/>
          <w:bCs/>
          <w:color w:val="000000" w:themeColor="text1"/>
          <w:szCs w:val="21"/>
          <w14:textFill>
            <w14:solidFill>
              <w14:schemeClr w14:val="tx1"/>
            </w14:solidFill>
          </w14:textFill>
        </w:rPr>
        <w:t>供应商须对本项目采购内容进行整体报价，任何只对其中一部分内容进行的报价都被视为无效报价。</w:t>
      </w:r>
    </w:p>
    <w:p>
      <w:pPr>
        <w:pStyle w:val="27"/>
        <w:numPr>
          <w:ilvl w:val="0"/>
          <w:numId w:val="9"/>
        </w:numPr>
        <w:spacing w:line="360" w:lineRule="auto"/>
        <w:ind w:left="840" w:hanging="420" w:firstLineChars="0"/>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u w:val="double"/>
          <w14:textFill>
            <w14:solidFill>
              <w14:schemeClr w14:val="tx1"/>
            </w14:solidFill>
          </w14:textFill>
        </w:rPr>
        <w:t>报价表以及有报价供应商落款的报价文件必须加盖报价供应商公章，否则视为无效报价。</w:t>
      </w:r>
    </w:p>
    <w:p>
      <w:pPr>
        <w:pStyle w:val="16"/>
        <w:numPr>
          <w:ilvl w:val="0"/>
          <w:numId w:val="9"/>
        </w:numPr>
        <w:shd w:val="clear" w:color="auto" w:fill="FFFFFF"/>
        <w:spacing w:before="0" w:beforeAutospacing="0" w:after="0" w:afterAutospacing="0" w:line="360" w:lineRule="auto"/>
        <w:ind w:left="840" w:hanging="420"/>
        <w:rPr>
          <w:rFonts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z w:val="21"/>
          <w:szCs w:val="21"/>
          <w14:textFill>
            <w14:solidFill>
              <w14:schemeClr w14:val="tx1"/>
            </w14:solidFill>
          </w14:textFill>
        </w:rPr>
        <w:t>大写金额和小写金额不一致的，以大写金额为准；单价金额小数点或者百分比有明显错位的，以报价表的总价为准，并修改单价；总价金额与按单价汇总金额不一致的，以单价金额计算结果为准；不接受总价优惠折扣形式的报价，供应商应将对项目的优惠直接在清单报价中体现出来。如果供应商不接受对其错误的更正，其报价将被视为无效报价。</w:t>
      </w:r>
    </w:p>
    <w:p>
      <w:pPr>
        <w:pStyle w:val="16"/>
        <w:numPr>
          <w:ilvl w:val="0"/>
          <w:numId w:val="9"/>
        </w:numPr>
        <w:shd w:val="clear" w:color="auto" w:fill="FFFFFF"/>
        <w:spacing w:before="0" w:beforeAutospacing="0" w:after="0" w:afterAutospacing="0" w:line="360" w:lineRule="auto"/>
        <w:ind w:left="840" w:hanging="420"/>
        <w:rPr>
          <w:rFonts w:asciiTheme="minorEastAsia" w:hAnsiTheme="minorEastAsia" w:eastAsiaTheme="minorEastAsia" w:cstheme="minorEastAsia"/>
          <w:b/>
          <w:bCs/>
          <w:color w:val="000000" w:themeColor="text1"/>
          <w:sz w:val="21"/>
          <w:szCs w:val="21"/>
          <w:u w:val="double"/>
          <w14:textFill>
            <w14:solidFill>
              <w14:schemeClr w14:val="tx1"/>
            </w14:solidFill>
          </w14:textFill>
        </w:rPr>
      </w:pPr>
      <w:r>
        <w:rPr>
          <w:rFonts w:hint="eastAsia" w:asciiTheme="minorEastAsia" w:hAnsiTheme="minorEastAsia" w:eastAsiaTheme="minorEastAsia" w:cstheme="minorEastAsia"/>
          <w:b/>
          <w:bCs/>
          <w:color w:val="000000" w:themeColor="text1"/>
          <w:sz w:val="21"/>
          <w:szCs w:val="21"/>
          <w:u w:val="double"/>
          <w14:textFill>
            <w14:solidFill>
              <w14:schemeClr w14:val="tx1"/>
            </w14:solidFill>
          </w14:textFill>
        </w:rPr>
        <w:t>按有关法律、法规、规章属于报价无效的。</w:t>
      </w:r>
    </w:p>
    <w:p>
      <w:pPr>
        <w:pStyle w:val="16"/>
        <w:numPr>
          <w:ilvl w:val="0"/>
          <w:numId w:val="9"/>
        </w:numPr>
        <w:shd w:val="clear" w:color="auto" w:fill="FFFFFF"/>
        <w:spacing w:before="0" w:beforeAutospacing="0" w:after="0" w:afterAutospacing="0" w:line="360" w:lineRule="auto"/>
        <w:ind w:left="840" w:hanging="420"/>
        <w:rPr>
          <w:rFonts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b/>
          <w:color w:val="000000" w:themeColor="text1"/>
          <w:sz w:val="21"/>
          <w:szCs w:val="21"/>
          <w14:textFill>
            <w14:solidFill>
              <w14:schemeClr w14:val="tx1"/>
            </w14:solidFill>
          </w14:textFill>
        </w:rPr>
        <w:t>有下列情形之一的，视为串通竞价，其报价无效：</w:t>
      </w:r>
    </w:p>
    <w:p>
      <w:pPr>
        <w:pStyle w:val="27"/>
        <w:widowControl/>
        <w:numPr>
          <w:ilvl w:val="0"/>
          <w:numId w:val="10"/>
        </w:numPr>
        <w:spacing w:line="360" w:lineRule="auto"/>
        <w:ind w:left="1418" w:hanging="567" w:firstLineChars="0"/>
        <w:jc w:val="left"/>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存在单位负责人为同一人或存在控股、管理关系的不同单位参与同一竞价项目；</w:t>
      </w:r>
    </w:p>
    <w:p>
      <w:pPr>
        <w:pStyle w:val="27"/>
        <w:widowControl/>
        <w:numPr>
          <w:ilvl w:val="0"/>
          <w:numId w:val="10"/>
        </w:numPr>
        <w:spacing w:line="360" w:lineRule="auto"/>
        <w:ind w:left="1418" w:hanging="567" w:firstLineChars="0"/>
        <w:jc w:val="left"/>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不同供应商的响应文件由同一单位或者个人编制；</w:t>
      </w:r>
    </w:p>
    <w:p>
      <w:pPr>
        <w:pStyle w:val="27"/>
        <w:widowControl/>
        <w:numPr>
          <w:ilvl w:val="0"/>
          <w:numId w:val="10"/>
        </w:numPr>
        <w:spacing w:line="360" w:lineRule="auto"/>
        <w:ind w:left="1418" w:hanging="567" w:firstLineChars="0"/>
        <w:jc w:val="left"/>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不同供应商委托同一单位或者个人办理竞价事宜；</w:t>
      </w:r>
    </w:p>
    <w:p>
      <w:pPr>
        <w:pStyle w:val="27"/>
        <w:widowControl/>
        <w:numPr>
          <w:ilvl w:val="0"/>
          <w:numId w:val="10"/>
        </w:numPr>
        <w:spacing w:line="360" w:lineRule="auto"/>
        <w:ind w:left="1418" w:hanging="567" w:firstLineChars="0"/>
        <w:jc w:val="left"/>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不同供应商使用同一IP地址参与竞价；</w:t>
      </w:r>
    </w:p>
    <w:p>
      <w:pPr>
        <w:pStyle w:val="27"/>
        <w:widowControl/>
        <w:numPr>
          <w:ilvl w:val="0"/>
          <w:numId w:val="10"/>
        </w:numPr>
        <w:spacing w:line="360" w:lineRule="auto"/>
        <w:ind w:left="1418" w:hanging="567" w:firstLineChars="0"/>
        <w:jc w:val="left"/>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不同供应商的响应文件载明的项目管理成员或者联系人员为同一人；</w:t>
      </w:r>
    </w:p>
    <w:p>
      <w:pPr>
        <w:pStyle w:val="27"/>
        <w:widowControl/>
        <w:numPr>
          <w:ilvl w:val="0"/>
          <w:numId w:val="10"/>
        </w:numPr>
        <w:spacing w:line="360" w:lineRule="auto"/>
        <w:ind w:left="1418" w:hanging="567" w:firstLineChars="0"/>
        <w:jc w:val="left"/>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不同供应商的响应文件异常一致或者报价呈规律性差异；</w:t>
      </w:r>
    </w:p>
    <w:p>
      <w:pPr>
        <w:pStyle w:val="27"/>
        <w:widowControl/>
        <w:numPr>
          <w:ilvl w:val="0"/>
          <w:numId w:val="10"/>
        </w:numPr>
        <w:spacing w:line="360" w:lineRule="auto"/>
        <w:ind w:left="1418" w:hanging="567" w:firstLineChars="0"/>
        <w:jc w:val="left"/>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不同供应商的响应文件相互混淆；</w:t>
      </w:r>
    </w:p>
    <w:p>
      <w:pPr>
        <w:pStyle w:val="27"/>
        <w:widowControl/>
        <w:numPr>
          <w:ilvl w:val="0"/>
          <w:numId w:val="10"/>
        </w:numPr>
        <w:spacing w:line="360" w:lineRule="auto"/>
        <w:ind w:left="1418" w:hanging="567" w:firstLineChars="0"/>
        <w:jc w:val="left"/>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不同供应商的平台使用费从同一单位或者个人的账户转出。</w:t>
      </w:r>
    </w:p>
    <w:p>
      <w:pPr>
        <w:pStyle w:val="27"/>
        <w:numPr>
          <w:ilvl w:val="0"/>
          <w:numId w:val="3"/>
        </w:numPr>
        <w:spacing w:line="360" w:lineRule="auto"/>
        <w:ind w:left="420" w:hanging="420" w:firstLineChars="0"/>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b/>
          <w:color w:val="000000" w:themeColor="text1"/>
          <w:szCs w:val="21"/>
          <w14:textFill>
            <w14:solidFill>
              <w14:schemeClr w14:val="tx1"/>
            </w14:solidFill>
          </w14:textFill>
        </w:rPr>
        <w:t>竞价活动失败</w:t>
      </w:r>
    </w:p>
    <w:p>
      <w:pPr>
        <w:spacing w:line="375" w:lineRule="auto"/>
        <w:ind w:left="840" w:hanging="420"/>
      </w:pPr>
      <w:r>
        <w:rPr>
          <w:rFonts w:ascii="宋体" w:hAnsi="宋体" w:eastAsia="宋体" w:cs="宋体"/>
          <w:color w:val="000000"/>
          <w:szCs w:val="21"/>
        </w:rPr>
        <w:t>1．出现下列情况的，本项目竞价活动失败：</w:t>
      </w:r>
    </w:p>
    <w:p>
      <w:pPr>
        <w:spacing w:line="375" w:lineRule="auto"/>
        <w:ind w:left="1260" w:hanging="420"/>
      </w:pPr>
      <w:r>
        <w:rPr>
          <w:rFonts w:ascii="宋体" w:hAnsi="宋体" w:eastAsia="宋体" w:cs="宋体"/>
          <w:color w:val="000000"/>
          <w:szCs w:val="21"/>
        </w:rPr>
        <w:t>（1）报名供应商不足3家；</w:t>
      </w:r>
    </w:p>
    <w:p>
      <w:pPr>
        <w:spacing w:line="375" w:lineRule="auto"/>
        <w:ind w:left="1260" w:hanging="420"/>
      </w:pPr>
      <w:r>
        <w:rPr>
          <w:rFonts w:ascii="宋体" w:hAnsi="宋体" w:eastAsia="宋体" w:cs="宋体"/>
          <w:color w:val="000000"/>
          <w:szCs w:val="21"/>
        </w:rPr>
        <w:t>（2）报价供应商不足3家。</w:t>
      </w:r>
    </w:p>
    <w:p>
      <w:pPr>
        <w:pStyle w:val="27"/>
        <w:spacing w:line="360" w:lineRule="auto"/>
        <w:ind w:left="420" w:leftChars="200" w:firstLine="0" w:firstLineChars="0"/>
        <w:rPr>
          <w:rFonts w:asciiTheme="minorEastAsia" w:hAnsiTheme="minorEastAsia" w:cstheme="minorEastAsia"/>
          <w:szCs w:val="21"/>
        </w:rPr>
      </w:pPr>
      <w:r>
        <w:rPr>
          <w:rFonts w:hint="eastAsia" w:asciiTheme="minorEastAsia" w:hAnsiTheme="minorEastAsia" w:cstheme="minorEastAsia"/>
          <w:szCs w:val="21"/>
        </w:rPr>
        <w:t>2.出现影响采购公正的违法、违规行为的。</w:t>
      </w:r>
    </w:p>
    <w:p>
      <w:pPr>
        <w:pStyle w:val="27"/>
        <w:spacing w:line="360" w:lineRule="auto"/>
        <w:ind w:left="420" w:leftChars="200" w:firstLine="0" w:firstLineChars="0"/>
        <w:rPr>
          <w:rFonts w:asciiTheme="minorEastAsia" w:hAnsiTheme="minorEastAsia" w:cstheme="minorEastAsia"/>
          <w:szCs w:val="21"/>
        </w:rPr>
      </w:pPr>
      <w:r>
        <w:rPr>
          <w:rFonts w:hint="eastAsia" w:asciiTheme="minorEastAsia" w:hAnsiTheme="minorEastAsia" w:cstheme="minorEastAsia"/>
          <w:szCs w:val="21"/>
        </w:rPr>
        <w:t>3.因重大变故，采购任务取消的。</w:t>
      </w:r>
    </w:p>
    <w:p>
      <w:pPr>
        <w:pStyle w:val="27"/>
        <w:numPr>
          <w:ilvl w:val="0"/>
          <w:numId w:val="3"/>
        </w:numPr>
        <w:spacing w:line="360" w:lineRule="auto"/>
        <w:ind w:left="420" w:hanging="420" w:firstLineChars="0"/>
        <w:rPr>
          <w:rFonts w:asciiTheme="minorEastAsia" w:hAnsiTheme="minorEastAsia" w:cstheme="minorEastAsia"/>
          <w:b/>
          <w:color w:val="000000" w:themeColor="text1"/>
          <w:szCs w:val="21"/>
          <w14:textFill>
            <w14:solidFill>
              <w14:schemeClr w14:val="tx1"/>
            </w14:solidFill>
          </w14:textFill>
        </w:rPr>
      </w:pPr>
      <w:r>
        <w:rPr>
          <w:rFonts w:hint="eastAsia" w:asciiTheme="minorEastAsia" w:hAnsiTheme="minorEastAsia" w:cstheme="minorEastAsia"/>
          <w:b/>
          <w:color w:val="000000" w:themeColor="text1"/>
          <w:szCs w:val="21"/>
          <w14:textFill>
            <w14:solidFill>
              <w14:schemeClr w14:val="tx1"/>
            </w14:solidFill>
          </w14:textFill>
        </w:rPr>
        <w:t>使用费</w:t>
      </w:r>
    </w:p>
    <w:p>
      <w:pPr>
        <w:spacing w:line="375" w:lineRule="auto"/>
        <w:ind w:left="840" w:hanging="420"/>
      </w:pPr>
      <w:r>
        <w:rPr>
          <w:rFonts w:ascii="宋体" w:hAnsi="宋体" w:eastAsia="宋体" w:cs="宋体"/>
          <w:color w:val="000000"/>
          <w:szCs w:val="21"/>
        </w:rPr>
        <w:t>1．成交供应商须向平台服务商云采链线上采购一体化平台缴纳平台使用费，金额为成交金额的1.5%（四舍五入取整数）。</w:t>
      </w:r>
    </w:p>
    <w:p>
      <w:pPr>
        <w:pStyle w:val="27"/>
        <w:spacing w:line="360" w:lineRule="auto"/>
        <w:ind w:left="839" w:hanging="420" w:firstLineChars="0"/>
        <w:rPr>
          <w:rFonts w:ascii="宋体" w:hAnsi="宋体" w:eastAsia="宋体" w:cs="Times New Roman"/>
          <w:szCs w:val="21"/>
        </w:rPr>
      </w:pPr>
      <w:r>
        <w:rPr>
          <w:rFonts w:hint="eastAsia" w:ascii="宋体" w:hAnsi="宋体" w:eastAsia="宋体" w:cs="Times New Roman"/>
          <w:szCs w:val="21"/>
        </w:rPr>
        <w:t>2.成交供应商无正当理由放弃成交资格的必须按竞价公告等相关规定缴纳相应的平台使用费。</w:t>
      </w:r>
    </w:p>
    <w:p>
      <w:pPr>
        <w:pStyle w:val="27"/>
        <w:spacing w:line="360" w:lineRule="auto"/>
        <w:ind w:left="839" w:hanging="420" w:firstLineChars="0"/>
        <w:rPr>
          <w:rFonts w:ascii="宋体" w:hAnsi="宋体" w:eastAsia="宋体" w:cs="Times New Roman"/>
          <w:szCs w:val="21"/>
        </w:rPr>
      </w:pPr>
      <w:r>
        <w:rPr>
          <w:rFonts w:hint="eastAsia" w:ascii="宋体" w:hAnsi="宋体" w:eastAsia="宋体" w:cs="Times New Roman"/>
          <w:szCs w:val="21"/>
        </w:rPr>
        <w:t>3.如确实因不可抗力放弃成交资格的，应在不可抗力发生后三个工作日内予以通知采购代理机构并提供相关的证明；如逾期，采购代理机构不予退还平台使用费。</w:t>
      </w:r>
    </w:p>
    <w:p>
      <w:pPr>
        <w:pStyle w:val="27"/>
        <w:numPr>
          <w:ilvl w:val="0"/>
          <w:numId w:val="2"/>
        </w:numPr>
        <w:spacing w:line="360" w:lineRule="auto"/>
        <w:ind w:firstLineChars="0"/>
        <w:rPr>
          <w:rFonts w:asciiTheme="minorEastAsia" w:hAnsiTheme="minorEastAsia" w:cstheme="minorEastAsia"/>
          <w:b/>
          <w:color w:val="000000" w:themeColor="text1"/>
          <w14:textFill>
            <w14:solidFill>
              <w14:schemeClr w14:val="tx1"/>
            </w14:solidFill>
          </w14:textFill>
        </w:rPr>
      </w:pPr>
      <w:r>
        <w:rPr>
          <w:rFonts w:hint="eastAsia" w:asciiTheme="minorEastAsia" w:hAnsiTheme="minorEastAsia" w:cstheme="minorEastAsia"/>
          <w:b/>
          <w:color w:val="000000" w:themeColor="text1"/>
          <w14:textFill>
            <w14:solidFill>
              <w14:schemeClr w14:val="tx1"/>
            </w14:solidFill>
          </w14:textFill>
        </w:rPr>
        <w:t>联系方式</w:t>
      </w:r>
    </w:p>
    <w:p>
      <w:pPr>
        <w:pStyle w:val="27"/>
        <w:widowControl/>
        <w:spacing w:line="360" w:lineRule="auto"/>
        <w:ind w:left="420" w:firstLine="0" w:firstLineChars="0"/>
        <w:jc w:val="left"/>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扫码关注微信公众号“云采链互联服务平台”，即可在线咨询相关事项。</w:t>
      </w:r>
    </w:p>
    <w:p>
      <w:pPr>
        <w:pStyle w:val="27"/>
        <w:widowControl/>
        <w:spacing w:line="360" w:lineRule="auto"/>
        <w:ind w:left="420" w:firstLine="0" w:firstLineChars="0"/>
        <w:jc w:val="center"/>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drawing>
          <wp:inline distT="0" distB="0" distL="0" distR="0">
            <wp:extent cx="1390650" cy="1390650"/>
            <wp:effectExtent l="0" t="0" r="0" b="0"/>
            <wp:docPr id="7" name="图片 7" descr="C:\Users\ADMINI~1\AppData\Local\Temp\360zip$Temp\360$2\智采公众号8c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C:\Users\ADMINI~1\AppData\Local\Temp\360zip$Temp\360$2\智采公众号8cm.jp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a:xfrm>
                      <a:off x="0" y="0"/>
                      <a:ext cx="1390650" cy="1390650"/>
                    </a:xfrm>
                    <a:prstGeom prst="rect">
                      <a:avLst/>
                    </a:prstGeom>
                    <a:noFill/>
                    <a:ln>
                      <a:noFill/>
                    </a:ln>
                  </pic:spPr>
                </pic:pic>
              </a:graphicData>
            </a:graphic>
          </wp:inline>
        </w:drawing>
      </w:r>
    </w:p>
    <w:p>
      <w:pPr>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br w:type="page"/>
      </w:r>
    </w:p>
    <w:p>
      <w:pPr>
        <w:snapToGrid w:val="0"/>
        <w:spacing w:line="360" w:lineRule="auto"/>
        <w:jc w:val="center"/>
        <w:outlineLvl w:val="0"/>
        <w:rPr>
          <w:rFonts w:asciiTheme="minorEastAsia" w:hAnsiTheme="minorEastAsia" w:cstheme="minorEastAsia"/>
          <w:color w:val="000000" w:themeColor="text1"/>
          <w:sz w:val="28"/>
          <w:szCs w:val="28"/>
          <w14:textFill>
            <w14:solidFill>
              <w14:schemeClr w14:val="tx1"/>
            </w14:solidFill>
          </w14:textFill>
        </w:rPr>
      </w:pPr>
      <w:r>
        <w:rPr>
          <w:rFonts w:hint="eastAsia" w:asciiTheme="minorEastAsia" w:hAnsiTheme="minorEastAsia" w:cstheme="minorEastAsia"/>
          <w:b/>
          <w:bCs/>
          <w:color w:val="000000" w:themeColor="text1"/>
          <w:sz w:val="28"/>
          <w:szCs w:val="28"/>
          <w14:textFill>
            <w14:solidFill>
              <w14:schemeClr w14:val="tx1"/>
            </w14:solidFill>
          </w14:textFill>
        </w:rPr>
        <w:t>第二章 用户需求书</w:t>
      </w:r>
    </w:p>
    <w:p>
      <w:pPr>
        <w:snapToGrid w:val="0"/>
        <w:spacing w:line="360" w:lineRule="auto"/>
        <w:ind w:left="517" w:hanging="517" w:hangingChars="245"/>
        <w:rPr>
          <w:rFonts w:asciiTheme="minorEastAsia" w:hAnsiTheme="minorEastAsia" w:cstheme="minorEastAsia"/>
          <w:b/>
          <w:bCs/>
          <w:color w:val="000000" w:themeColor="text1"/>
          <w14:textFill>
            <w14:solidFill>
              <w14:schemeClr w14:val="tx1"/>
            </w14:solidFill>
          </w14:textFill>
        </w:rPr>
      </w:pPr>
      <w:r>
        <w:rPr>
          <w:rFonts w:hint="eastAsia" w:asciiTheme="minorEastAsia" w:hAnsiTheme="minorEastAsia" w:cstheme="minorEastAsia"/>
          <w:b/>
          <w:bCs/>
          <w:color w:val="000000" w:themeColor="text1"/>
          <w14:textFill>
            <w14:solidFill>
              <w14:schemeClr w14:val="tx1"/>
            </w14:solidFill>
          </w14:textFill>
        </w:rPr>
        <w:t>说明：</w:t>
      </w:r>
    </w:p>
    <w:p>
      <w:pPr>
        <w:numPr>
          <w:ilvl w:val="0"/>
          <w:numId w:val="11"/>
        </w:numPr>
        <w:snapToGrid w:val="0"/>
        <w:spacing w:line="360" w:lineRule="auto"/>
        <w:rPr>
          <w:rFonts w:asciiTheme="minorEastAsia" w:hAnsiTheme="minorEastAsia" w:cstheme="minorEastAsia"/>
          <w:b/>
          <w:bCs/>
          <w:color w:val="000000" w:themeColor="text1"/>
          <w14:textFill>
            <w14:solidFill>
              <w14:schemeClr w14:val="tx1"/>
            </w14:solidFill>
          </w14:textFill>
        </w:rPr>
      </w:pPr>
      <w:r>
        <w:rPr>
          <w:rFonts w:hint="eastAsia" w:asciiTheme="minorEastAsia" w:hAnsiTheme="minorEastAsia" w:cstheme="minorEastAsia"/>
          <w:b/>
          <w:bCs/>
          <w:color w:val="000000" w:themeColor="text1"/>
          <w14:textFill>
            <w14:solidFill>
              <w14:schemeClr w14:val="tx1"/>
            </w14:solidFill>
          </w14:textFill>
        </w:rPr>
        <w:t xml:space="preserve">响应供应商须对本项目进行整体响应，任何只对其中一部分进行的响应都被视为无效响应。 </w:t>
      </w:r>
    </w:p>
    <w:p>
      <w:pPr>
        <w:pStyle w:val="9"/>
        <w:numPr>
          <w:ilvl w:val="0"/>
          <w:numId w:val="12"/>
        </w:numPr>
        <w:tabs>
          <w:tab w:val="left" w:pos="540"/>
        </w:tabs>
        <w:adjustRightInd w:val="0"/>
        <w:snapToGrid w:val="0"/>
        <w:spacing w:line="360" w:lineRule="auto"/>
        <w:rPr>
          <w:rFonts w:hAnsi="宋体" w:cstheme="minorEastAsia"/>
          <w:b/>
          <w:bCs/>
          <w:color w:val="000000" w:themeColor="text1"/>
          <w:sz w:val="21"/>
          <w14:textFill>
            <w14:solidFill>
              <w14:schemeClr w14:val="tx1"/>
            </w14:solidFill>
          </w14:textFill>
        </w:rPr>
      </w:pPr>
      <w:r>
        <w:rPr>
          <w:rFonts w:hint="eastAsia" w:hAnsi="宋体" w:cstheme="minorEastAsia"/>
          <w:b/>
          <w:bCs/>
          <w:color w:val="000000" w:themeColor="text1"/>
          <w:sz w:val="21"/>
          <w14:textFill>
            <w14:solidFill>
              <w14:schemeClr w14:val="tx1"/>
            </w14:solidFill>
          </w14:textFill>
        </w:rPr>
        <w:t>项目一览表</w:t>
      </w:r>
    </w:p>
    <w:tbl>
      <w:tblPr>
        <w:tblStyle w:val="20"/>
        <w:tblW w:w="4879"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3257"/>
        <w:gridCol w:w="832"/>
        <w:gridCol w:w="2524"/>
        <w:gridCol w:w="202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1884" w:type="pct"/>
            <w:tcBorders>
              <w:top w:val="single" w:color="auto" w:sz="12" w:space="0"/>
              <w:bottom w:val="single" w:color="auto" w:sz="2" w:space="0"/>
            </w:tcBorders>
            <w:shd w:val="clear" w:color="auto" w:fill="EEECE1"/>
            <w:vAlign w:val="center"/>
          </w:tcPr>
          <w:p>
            <w:pPr>
              <w:spacing w:line="360" w:lineRule="auto"/>
              <w:jc w:val="center"/>
              <w:rPr>
                <w:rFonts w:ascii="宋体" w:hAnsi="宋体" w:eastAsia="宋体" w:cs="宋体"/>
                <w:b/>
                <w:color w:val="000000"/>
                <w:szCs w:val="21"/>
              </w:rPr>
            </w:pPr>
            <w:r>
              <w:rPr>
                <w:rFonts w:hint="eastAsia" w:ascii="宋体" w:hAnsi="宋体" w:eastAsia="宋体" w:cs="宋体"/>
                <w:b/>
                <w:color w:val="000000"/>
                <w:szCs w:val="21"/>
              </w:rPr>
              <w:t>项目内容</w:t>
            </w:r>
          </w:p>
        </w:tc>
        <w:tc>
          <w:tcPr>
            <w:tcW w:w="832" w:type="dxa"/>
            <w:tcBorders>
              <w:top w:val="single" w:color="auto" w:sz="12" w:space="0"/>
              <w:bottom w:val="single" w:color="auto" w:sz="2" w:space="0"/>
            </w:tcBorders>
            <w:shd w:val="clear" w:color="auto" w:fill="EEECE1"/>
            <w:vAlign w:val="center"/>
          </w:tcPr>
          <w:p>
            <w:pPr>
              <w:spacing w:before="156" w:beforeLines="50" w:line="360" w:lineRule="auto"/>
              <w:jc w:val="center"/>
              <w:rPr>
                <w:rFonts w:ascii="宋体" w:hAnsi="宋体" w:eastAsia="宋体" w:cs="宋体"/>
                <w:b/>
                <w:color w:val="000000"/>
                <w:szCs w:val="21"/>
              </w:rPr>
            </w:pPr>
            <w:r>
              <w:rPr>
                <w:rFonts w:hint="eastAsia" w:ascii="宋体" w:hAnsi="宋体" w:cs="宋体"/>
                <w:b/>
                <w:color w:val="000000"/>
                <w:szCs w:val="21"/>
              </w:rPr>
              <w:t>数量</w:t>
            </w:r>
          </w:p>
        </w:tc>
        <w:tc>
          <w:tcPr>
            <w:tcW w:w="2524" w:type="dxa"/>
            <w:tcBorders>
              <w:top w:val="single" w:color="auto" w:sz="12" w:space="0"/>
              <w:bottom w:val="single" w:color="auto" w:sz="2" w:space="0"/>
            </w:tcBorders>
            <w:shd w:val="clear" w:color="auto" w:fill="EEECE1"/>
            <w:vAlign w:val="center"/>
          </w:tcPr>
          <w:p>
            <w:pPr>
              <w:spacing w:before="156" w:beforeLines="50" w:line="360" w:lineRule="auto"/>
              <w:jc w:val="center"/>
              <w:rPr>
                <w:rFonts w:ascii="宋体" w:hAnsi="宋体" w:eastAsia="宋体" w:cs="宋体"/>
                <w:b/>
                <w:color w:val="000000"/>
                <w:szCs w:val="21"/>
              </w:rPr>
            </w:pPr>
            <w:r>
              <w:rPr>
                <w:rFonts w:hint="eastAsia" w:ascii="宋体" w:hAnsi="宋体" w:cs="宋体"/>
                <w:b/>
                <w:color w:val="000000"/>
                <w:szCs w:val="21"/>
              </w:rPr>
              <w:t>服务期</w:t>
            </w:r>
          </w:p>
        </w:tc>
        <w:tc>
          <w:tcPr>
            <w:tcW w:w="2029" w:type="dxa"/>
            <w:tcBorders>
              <w:top w:val="single" w:color="auto" w:sz="12" w:space="0"/>
              <w:bottom w:val="single" w:color="auto" w:sz="2" w:space="0"/>
            </w:tcBorders>
            <w:shd w:val="clear" w:color="auto" w:fill="EEECE1"/>
            <w:vAlign w:val="center"/>
          </w:tcPr>
          <w:p>
            <w:pPr>
              <w:spacing w:before="156" w:beforeLines="50" w:line="360" w:lineRule="auto"/>
              <w:jc w:val="center"/>
              <w:rPr>
                <w:rFonts w:ascii="宋体" w:hAnsi="宋体" w:eastAsia="宋体" w:cs="宋体"/>
                <w:b/>
                <w:color w:val="000000"/>
                <w:szCs w:val="21"/>
              </w:rPr>
            </w:pPr>
            <w:r>
              <w:rPr>
                <w:rFonts w:hint="eastAsia" w:ascii="宋体" w:hAnsi="宋体" w:cs="宋体"/>
                <w:b/>
                <w:color w:val="000000"/>
                <w:szCs w:val="21"/>
              </w:rPr>
              <w:t>最高限价（含税）</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21" w:hRule="atLeast"/>
          <w:jc w:val="center"/>
        </w:trPr>
        <w:tc>
          <w:tcPr>
            <w:tcW w:w="1884" w:type="pct"/>
            <w:tcBorders>
              <w:top w:val="single" w:color="auto" w:sz="2" w:space="0"/>
              <w:bottom w:val="single" w:color="auto" w:sz="2" w:space="0"/>
            </w:tcBorders>
            <w:vAlign w:val="center"/>
          </w:tcPr>
          <w:p>
            <w:pPr>
              <w:spacing w:line="360" w:lineRule="auto"/>
              <w:jc w:val="center"/>
              <w:rPr>
                <w:rFonts w:ascii="宋体" w:hAnsi="宋体" w:eastAsia="宋体" w:cs="宋体"/>
                <w:szCs w:val="21"/>
              </w:rPr>
            </w:pPr>
            <w:r>
              <w:rPr>
                <w:rFonts w:hint="eastAsia" w:eastAsia="宋体" w:asciiTheme="minorEastAsia" w:hAnsiTheme="minorEastAsia" w:cstheme="minorEastAsia"/>
                <w:color w:val="000000" w:themeColor="text1"/>
                <w:szCs w:val="21"/>
                <w14:textFill>
                  <w14:solidFill>
                    <w14:schemeClr w14:val="tx1"/>
                  </w14:solidFill>
                </w14:textFill>
              </w:rPr>
              <w:t>建设运维部7月辅材采购</w:t>
            </w:r>
          </w:p>
        </w:tc>
        <w:tc>
          <w:tcPr>
            <w:tcW w:w="832" w:type="dxa"/>
            <w:tcBorders>
              <w:top w:val="single" w:color="auto" w:sz="2" w:space="0"/>
              <w:bottom w:val="single" w:color="auto" w:sz="2" w:space="0"/>
            </w:tcBorders>
            <w:vAlign w:val="center"/>
          </w:tcPr>
          <w:p>
            <w:pPr>
              <w:spacing w:before="156" w:beforeLines="50" w:line="360" w:lineRule="auto"/>
              <w:jc w:val="center"/>
              <w:rPr>
                <w:rFonts w:ascii="宋体" w:hAnsi="宋体" w:eastAsia="宋体" w:cs="宋体"/>
                <w:szCs w:val="21"/>
              </w:rPr>
            </w:pPr>
            <w:r>
              <w:rPr>
                <w:rFonts w:hint="eastAsia" w:ascii="宋体" w:hAnsi="宋体" w:cs="宋体"/>
                <w:szCs w:val="21"/>
              </w:rPr>
              <w:t>1项</w:t>
            </w:r>
          </w:p>
        </w:tc>
        <w:tc>
          <w:tcPr>
            <w:tcW w:w="2524" w:type="dxa"/>
            <w:tcBorders>
              <w:top w:val="single" w:color="auto" w:sz="2" w:space="0"/>
              <w:bottom w:val="single" w:color="auto" w:sz="2" w:space="0"/>
            </w:tcBorders>
            <w:vAlign w:val="center"/>
          </w:tcPr>
          <w:p>
            <w:pPr>
              <w:spacing w:before="156" w:beforeLines="50" w:line="360" w:lineRule="auto"/>
              <w:jc w:val="center"/>
              <w:rPr>
                <w:rFonts w:ascii="宋体" w:hAnsi="宋体" w:eastAsia="宋体" w:cs="宋体"/>
                <w:bCs/>
                <w:szCs w:val="21"/>
              </w:rPr>
            </w:pPr>
            <w:r>
              <w:rPr>
                <w:rFonts w:hint="eastAsia" w:ascii="宋体" w:hAnsi="宋体" w:cs="宋体"/>
                <w:bCs/>
                <w:szCs w:val="21"/>
              </w:rPr>
              <w:t>自合同签订之日起一年内</w:t>
            </w:r>
          </w:p>
        </w:tc>
        <w:tc>
          <w:tcPr>
            <w:tcW w:w="2029" w:type="dxa"/>
            <w:tcBorders>
              <w:top w:val="single" w:color="auto" w:sz="2" w:space="0"/>
              <w:bottom w:val="single" w:color="auto" w:sz="2" w:space="0"/>
            </w:tcBorders>
            <w:vAlign w:val="center"/>
          </w:tcPr>
          <w:p>
            <w:pPr>
              <w:spacing w:before="156" w:beforeLines="50" w:line="360" w:lineRule="auto"/>
              <w:jc w:val="center"/>
              <w:rPr>
                <w:rFonts w:ascii="宋体" w:hAnsi="宋体" w:eastAsia="宋体" w:cs="宋体"/>
                <w:szCs w:val="21"/>
              </w:rPr>
            </w:pPr>
            <w:r>
              <w:rPr>
                <w:rFonts w:hint="eastAsia" w:ascii="宋体" w:hAnsi="宋体" w:cs="宋体"/>
                <w:szCs w:val="21"/>
              </w:rPr>
              <w:t>人民币19.6万元</w:t>
            </w:r>
          </w:p>
        </w:tc>
      </w:tr>
    </w:tbl>
    <w:p>
      <w:pPr>
        <w:pStyle w:val="9"/>
        <w:numPr>
          <w:ilvl w:val="0"/>
          <w:numId w:val="12"/>
        </w:numPr>
        <w:tabs>
          <w:tab w:val="left" w:pos="540"/>
        </w:tabs>
        <w:adjustRightInd w:val="0"/>
        <w:snapToGrid w:val="0"/>
        <w:spacing w:line="360" w:lineRule="auto"/>
        <w:rPr>
          <w:b/>
          <w:bCs/>
          <w:sz w:val="21"/>
        </w:rPr>
      </w:pPr>
      <w:r>
        <w:rPr>
          <w:rFonts w:hint="eastAsia"/>
          <w:b/>
          <w:bCs/>
          <w:sz w:val="21"/>
        </w:rPr>
        <w:t>购置清单</w:t>
      </w:r>
    </w:p>
    <w:tbl>
      <w:tblPr>
        <w:tblStyle w:val="20"/>
        <w:tblW w:w="4997" w:type="pct"/>
        <w:tblInd w:w="0" w:type="dxa"/>
        <w:tblLayout w:type="autofit"/>
        <w:tblCellMar>
          <w:top w:w="0" w:type="dxa"/>
          <w:left w:w="108" w:type="dxa"/>
          <w:bottom w:w="0" w:type="dxa"/>
          <w:right w:w="108" w:type="dxa"/>
        </w:tblCellMar>
      </w:tblPr>
      <w:tblGrid>
        <w:gridCol w:w="974"/>
        <w:gridCol w:w="2106"/>
        <w:gridCol w:w="1500"/>
        <w:gridCol w:w="1617"/>
        <w:gridCol w:w="895"/>
        <w:gridCol w:w="1759"/>
      </w:tblGrid>
      <w:tr>
        <w:tblPrEx>
          <w:tblCellMar>
            <w:top w:w="0" w:type="dxa"/>
            <w:left w:w="108" w:type="dxa"/>
            <w:bottom w:w="0" w:type="dxa"/>
            <w:right w:w="108" w:type="dxa"/>
          </w:tblCellMar>
        </w:tblPrEx>
        <w:trPr>
          <w:trHeight w:val="792" w:hRule="atLeast"/>
        </w:trPr>
        <w:tc>
          <w:tcPr>
            <w:tcW w:w="639"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序号</w:t>
            </w:r>
          </w:p>
        </w:tc>
        <w:tc>
          <w:tcPr>
            <w:tcW w:w="74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物品名称</w:t>
            </w:r>
          </w:p>
        </w:tc>
        <w:tc>
          <w:tcPr>
            <w:tcW w:w="936"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型号规格</w:t>
            </w:r>
          </w:p>
        </w:tc>
        <w:tc>
          <w:tcPr>
            <w:tcW w:w="100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单位</w:t>
            </w:r>
          </w:p>
        </w:tc>
        <w:tc>
          <w:tcPr>
            <w:tcW w:w="59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数量</w:t>
            </w:r>
          </w:p>
        </w:tc>
        <w:tc>
          <w:tcPr>
            <w:tcW w:w="108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b/>
                <w:bCs/>
                <w:color w:val="000000"/>
                <w:szCs w:val="21"/>
              </w:rPr>
            </w:pPr>
            <w:r>
              <w:rPr>
                <w:rFonts w:hint="eastAsia" w:ascii="宋体" w:hAnsi="宋体" w:eastAsia="宋体" w:cs="宋体"/>
                <w:b/>
                <w:bCs/>
                <w:color w:val="000000"/>
                <w:kern w:val="0"/>
                <w:szCs w:val="21"/>
                <w:lang w:bidi="ar"/>
              </w:rPr>
              <w:t>参考单价</w:t>
            </w:r>
          </w:p>
        </w:tc>
      </w:tr>
      <w:tr>
        <w:tblPrEx>
          <w:tblCellMar>
            <w:top w:w="0" w:type="dxa"/>
            <w:left w:w="108" w:type="dxa"/>
            <w:bottom w:w="0" w:type="dxa"/>
            <w:right w:w="108" w:type="dxa"/>
          </w:tblCellMar>
        </w:tblPrEx>
        <w:trPr>
          <w:trHeight w:val="575" w:hRule="atLeast"/>
        </w:trPr>
        <w:tc>
          <w:tcPr>
            <w:tcW w:w="639"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74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箱内路由图</w:t>
            </w:r>
          </w:p>
        </w:tc>
        <w:tc>
          <w:tcPr>
            <w:tcW w:w="936" w:type="pct"/>
            <w:tcBorders>
              <w:top w:val="single" w:color="000000" w:sz="4" w:space="0"/>
              <w:left w:val="single" w:color="000000" w:sz="4" w:space="0"/>
              <w:bottom w:val="single" w:color="000000" w:sz="4" w:space="0"/>
              <w:right w:val="single" w:color="000000" w:sz="4" w:space="0"/>
            </w:tcBorders>
            <w:noWrap/>
            <w:vAlign w:val="center"/>
          </w:tcPr>
          <w:p>
            <w:pPr>
              <w:spacing w:line="360" w:lineRule="auto"/>
              <w:jc w:val="center"/>
              <w:rPr>
                <w:rFonts w:ascii="宋体" w:hAnsi="宋体" w:eastAsia="宋体" w:cs="宋体"/>
                <w:color w:val="000000"/>
                <w:szCs w:val="21"/>
              </w:rPr>
            </w:pPr>
            <w:r>
              <w:rPr>
                <w:rFonts w:hint="eastAsia" w:ascii="宋体" w:hAnsi="宋体" w:eastAsia="宋体" w:cs="宋体"/>
                <w:color w:val="000000"/>
                <w:szCs w:val="21"/>
              </w:rPr>
              <w:t>210mm*297mm</w:t>
            </w:r>
          </w:p>
        </w:tc>
        <w:tc>
          <w:tcPr>
            <w:tcW w:w="1002"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张</w:t>
            </w:r>
          </w:p>
        </w:tc>
        <w:tc>
          <w:tcPr>
            <w:tcW w:w="59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56</w:t>
            </w:r>
          </w:p>
        </w:tc>
        <w:tc>
          <w:tcPr>
            <w:tcW w:w="108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5.6</w:t>
            </w:r>
          </w:p>
        </w:tc>
      </w:tr>
      <w:tr>
        <w:tblPrEx>
          <w:tblCellMar>
            <w:top w:w="0" w:type="dxa"/>
            <w:left w:w="108" w:type="dxa"/>
            <w:bottom w:w="0" w:type="dxa"/>
            <w:right w:w="108" w:type="dxa"/>
          </w:tblCellMar>
        </w:tblPrEx>
        <w:trPr>
          <w:trHeight w:val="575" w:hRule="atLeast"/>
        </w:trPr>
        <w:tc>
          <w:tcPr>
            <w:tcW w:w="639"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74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标志牌</w:t>
            </w:r>
          </w:p>
        </w:tc>
        <w:tc>
          <w:tcPr>
            <w:tcW w:w="93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18×60MM</w:t>
            </w:r>
          </w:p>
        </w:tc>
        <w:tc>
          <w:tcPr>
            <w:tcW w:w="100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张</w:t>
            </w:r>
          </w:p>
        </w:tc>
        <w:tc>
          <w:tcPr>
            <w:tcW w:w="59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1037</w:t>
            </w:r>
          </w:p>
        </w:tc>
        <w:tc>
          <w:tcPr>
            <w:tcW w:w="108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1.5</w:t>
            </w:r>
          </w:p>
        </w:tc>
      </w:tr>
      <w:tr>
        <w:tblPrEx>
          <w:tblCellMar>
            <w:top w:w="0" w:type="dxa"/>
            <w:left w:w="108" w:type="dxa"/>
            <w:bottom w:w="0" w:type="dxa"/>
            <w:right w:w="108" w:type="dxa"/>
          </w:tblCellMar>
        </w:tblPrEx>
        <w:trPr>
          <w:trHeight w:val="575" w:hRule="atLeast"/>
        </w:trPr>
        <w:tc>
          <w:tcPr>
            <w:tcW w:w="639"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74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标志牌</w:t>
            </w:r>
          </w:p>
        </w:tc>
        <w:tc>
          <w:tcPr>
            <w:tcW w:w="93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通信线缆专用（6cm*9cm）</w:t>
            </w:r>
          </w:p>
        </w:tc>
        <w:tc>
          <w:tcPr>
            <w:tcW w:w="100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张</w:t>
            </w:r>
          </w:p>
        </w:tc>
        <w:tc>
          <w:tcPr>
            <w:tcW w:w="59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172</w:t>
            </w:r>
          </w:p>
        </w:tc>
        <w:tc>
          <w:tcPr>
            <w:tcW w:w="108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3.5</w:t>
            </w:r>
          </w:p>
        </w:tc>
      </w:tr>
      <w:tr>
        <w:tblPrEx>
          <w:tblCellMar>
            <w:top w:w="0" w:type="dxa"/>
            <w:left w:w="108" w:type="dxa"/>
            <w:bottom w:w="0" w:type="dxa"/>
            <w:right w:w="108" w:type="dxa"/>
          </w:tblCellMar>
        </w:tblPrEx>
        <w:trPr>
          <w:trHeight w:val="575" w:hRule="atLeast"/>
        </w:trPr>
        <w:tc>
          <w:tcPr>
            <w:tcW w:w="639"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74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膨胀螺丝挂钩</w:t>
            </w:r>
          </w:p>
        </w:tc>
        <w:tc>
          <w:tcPr>
            <w:tcW w:w="936"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Φ8mm</w:t>
            </w:r>
          </w:p>
        </w:tc>
        <w:tc>
          <w:tcPr>
            <w:tcW w:w="100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个</w:t>
            </w:r>
          </w:p>
        </w:tc>
        <w:tc>
          <w:tcPr>
            <w:tcW w:w="59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776</w:t>
            </w:r>
          </w:p>
        </w:tc>
        <w:tc>
          <w:tcPr>
            <w:tcW w:w="108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2.2</w:t>
            </w:r>
          </w:p>
        </w:tc>
      </w:tr>
      <w:tr>
        <w:tblPrEx>
          <w:tblCellMar>
            <w:top w:w="0" w:type="dxa"/>
            <w:left w:w="108" w:type="dxa"/>
            <w:bottom w:w="0" w:type="dxa"/>
            <w:right w:w="108" w:type="dxa"/>
          </w:tblCellMar>
        </w:tblPrEx>
        <w:trPr>
          <w:trHeight w:val="575" w:hRule="atLeast"/>
        </w:trPr>
        <w:tc>
          <w:tcPr>
            <w:tcW w:w="639"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74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编织软管</w:t>
            </w:r>
          </w:p>
        </w:tc>
        <w:tc>
          <w:tcPr>
            <w:tcW w:w="936" w:type="pct"/>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ascii="宋体" w:hAnsi="宋体" w:eastAsia="宋体" w:cs="宋体"/>
                <w:color w:val="000000"/>
                <w:szCs w:val="21"/>
              </w:rPr>
            </w:pPr>
            <w:r>
              <w:rPr>
                <w:rFonts w:hint="eastAsia" w:ascii="宋体" w:hAnsi="宋体" w:eastAsia="宋体" w:cs="宋体"/>
                <w:color w:val="000000"/>
                <w:szCs w:val="21"/>
              </w:rPr>
              <w:t>Φ20mm</w:t>
            </w:r>
          </w:p>
        </w:tc>
        <w:tc>
          <w:tcPr>
            <w:tcW w:w="100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米</w:t>
            </w:r>
          </w:p>
        </w:tc>
        <w:tc>
          <w:tcPr>
            <w:tcW w:w="59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3230</w:t>
            </w:r>
          </w:p>
        </w:tc>
        <w:tc>
          <w:tcPr>
            <w:tcW w:w="108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3.9</w:t>
            </w:r>
          </w:p>
        </w:tc>
      </w:tr>
      <w:tr>
        <w:tblPrEx>
          <w:tblCellMar>
            <w:top w:w="0" w:type="dxa"/>
            <w:left w:w="108" w:type="dxa"/>
            <w:bottom w:w="0" w:type="dxa"/>
            <w:right w:w="108" w:type="dxa"/>
          </w:tblCellMar>
        </w:tblPrEx>
        <w:trPr>
          <w:trHeight w:val="575" w:hRule="atLeast"/>
        </w:trPr>
        <w:tc>
          <w:tcPr>
            <w:tcW w:w="639"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74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PVC管管卡</w:t>
            </w:r>
          </w:p>
        </w:tc>
        <w:tc>
          <w:tcPr>
            <w:tcW w:w="93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Φ25</w:t>
            </w:r>
          </w:p>
        </w:tc>
        <w:tc>
          <w:tcPr>
            <w:tcW w:w="100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个</w:t>
            </w:r>
          </w:p>
        </w:tc>
        <w:tc>
          <w:tcPr>
            <w:tcW w:w="59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66</w:t>
            </w:r>
          </w:p>
        </w:tc>
        <w:tc>
          <w:tcPr>
            <w:tcW w:w="108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0.4</w:t>
            </w:r>
          </w:p>
        </w:tc>
      </w:tr>
      <w:tr>
        <w:tblPrEx>
          <w:tblCellMar>
            <w:top w:w="0" w:type="dxa"/>
            <w:left w:w="108" w:type="dxa"/>
            <w:bottom w:w="0" w:type="dxa"/>
            <w:right w:w="108" w:type="dxa"/>
          </w:tblCellMar>
        </w:tblPrEx>
        <w:trPr>
          <w:trHeight w:val="575" w:hRule="atLeast"/>
        </w:trPr>
        <w:tc>
          <w:tcPr>
            <w:tcW w:w="639"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w:t>
            </w:r>
          </w:p>
        </w:tc>
        <w:tc>
          <w:tcPr>
            <w:tcW w:w="74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吊线抱箍</w:t>
            </w:r>
          </w:p>
        </w:tc>
        <w:tc>
          <w:tcPr>
            <w:tcW w:w="936" w:type="pct"/>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ascii="宋体" w:hAnsi="宋体" w:eastAsia="宋体" w:cs="宋体"/>
                <w:color w:val="000000"/>
                <w:szCs w:val="21"/>
              </w:rPr>
            </w:pPr>
            <w:r>
              <w:rPr>
                <w:rFonts w:hint="eastAsia" w:ascii="宋体" w:hAnsi="宋体" w:eastAsia="宋体" w:cs="宋体"/>
                <w:color w:val="000000"/>
                <w:szCs w:val="21"/>
              </w:rPr>
              <w:t>154mm</w:t>
            </w:r>
          </w:p>
        </w:tc>
        <w:tc>
          <w:tcPr>
            <w:tcW w:w="100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个</w:t>
            </w:r>
          </w:p>
        </w:tc>
        <w:tc>
          <w:tcPr>
            <w:tcW w:w="59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w:t>
            </w:r>
          </w:p>
        </w:tc>
        <w:tc>
          <w:tcPr>
            <w:tcW w:w="108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30</w:t>
            </w:r>
          </w:p>
        </w:tc>
      </w:tr>
      <w:tr>
        <w:tblPrEx>
          <w:tblCellMar>
            <w:top w:w="0" w:type="dxa"/>
            <w:left w:w="108" w:type="dxa"/>
            <w:bottom w:w="0" w:type="dxa"/>
            <w:right w:w="108" w:type="dxa"/>
          </w:tblCellMar>
        </w:tblPrEx>
        <w:trPr>
          <w:trHeight w:val="575" w:hRule="atLeast"/>
        </w:trPr>
        <w:tc>
          <w:tcPr>
            <w:tcW w:w="639"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8</w:t>
            </w:r>
          </w:p>
        </w:tc>
        <w:tc>
          <w:tcPr>
            <w:tcW w:w="74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拉线抱箍</w:t>
            </w:r>
          </w:p>
        </w:tc>
        <w:tc>
          <w:tcPr>
            <w:tcW w:w="936" w:type="pct"/>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ascii="宋体" w:hAnsi="宋体" w:eastAsia="宋体" w:cs="宋体"/>
                <w:color w:val="000000"/>
                <w:szCs w:val="21"/>
              </w:rPr>
            </w:pPr>
            <w:r>
              <w:rPr>
                <w:rFonts w:hint="eastAsia" w:ascii="宋体" w:hAnsi="宋体" w:eastAsia="宋体" w:cs="宋体"/>
                <w:color w:val="000000"/>
                <w:szCs w:val="21"/>
              </w:rPr>
              <w:t>154mm</w:t>
            </w:r>
          </w:p>
        </w:tc>
        <w:tc>
          <w:tcPr>
            <w:tcW w:w="100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个</w:t>
            </w:r>
          </w:p>
        </w:tc>
        <w:tc>
          <w:tcPr>
            <w:tcW w:w="59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08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30</w:t>
            </w:r>
          </w:p>
        </w:tc>
      </w:tr>
      <w:tr>
        <w:tblPrEx>
          <w:tblCellMar>
            <w:top w:w="0" w:type="dxa"/>
            <w:left w:w="108" w:type="dxa"/>
            <w:bottom w:w="0" w:type="dxa"/>
            <w:right w:w="108" w:type="dxa"/>
          </w:tblCellMar>
        </w:tblPrEx>
        <w:trPr>
          <w:trHeight w:val="575" w:hRule="atLeast"/>
        </w:trPr>
        <w:tc>
          <w:tcPr>
            <w:tcW w:w="639"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9</w:t>
            </w:r>
          </w:p>
        </w:tc>
        <w:tc>
          <w:tcPr>
            <w:tcW w:w="74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抱箍</w:t>
            </w:r>
          </w:p>
        </w:tc>
        <w:tc>
          <w:tcPr>
            <w:tcW w:w="936" w:type="pct"/>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ascii="宋体" w:hAnsi="宋体" w:eastAsia="宋体" w:cs="宋体"/>
                <w:color w:val="000000"/>
                <w:szCs w:val="21"/>
              </w:rPr>
            </w:pPr>
            <w:r>
              <w:rPr>
                <w:rFonts w:hint="eastAsia" w:ascii="宋体" w:hAnsi="宋体" w:eastAsia="宋体" w:cs="宋体"/>
                <w:color w:val="000000"/>
                <w:szCs w:val="21"/>
              </w:rPr>
              <w:t>154mm</w:t>
            </w:r>
          </w:p>
        </w:tc>
        <w:tc>
          <w:tcPr>
            <w:tcW w:w="100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个</w:t>
            </w:r>
          </w:p>
        </w:tc>
        <w:tc>
          <w:tcPr>
            <w:tcW w:w="59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108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30</w:t>
            </w:r>
          </w:p>
        </w:tc>
      </w:tr>
      <w:tr>
        <w:tblPrEx>
          <w:tblCellMar>
            <w:top w:w="0" w:type="dxa"/>
            <w:left w:w="108" w:type="dxa"/>
            <w:bottom w:w="0" w:type="dxa"/>
            <w:right w:w="108" w:type="dxa"/>
          </w:tblCellMar>
        </w:tblPrEx>
        <w:trPr>
          <w:trHeight w:val="575" w:hRule="atLeast"/>
        </w:trPr>
        <w:tc>
          <w:tcPr>
            <w:tcW w:w="639"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w:t>
            </w:r>
          </w:p>
        </w:tc>
        <w:tc>
          <w:tcPr>
            <w:tcW w:w="74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井圈井盖</w:t>
            </w:r>
          </w:p>
        </w:tc>
        <w:tc>
          <w:tcPr>
            <w:tcW w:w="93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600×800mm</w:t>
            </w:r>
          </w:p>
        </w:tc>
        <w:tc>
          <w:tcPr>
            <w:tcW w:w="100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套</w:t>
            </w:r>
          </w:p>
        </w:tc>
        <w:tc>
          <w:tcPr>
            <w:tcW w:w="59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17</w:t>
            </w:r>
          </w:p>
        </w:tc>
        <w:tc>
          <w:tcPr>
            <w:tcW w:w="108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330</w:t>
            </w:r>
          </w:p>
        </w:tc>
      </w:tr>
      <w:tr>
        <w:tblPrEx>
          <w:tblCellMar>
            <w:top w:w="0" w:type="dxa"/>
            <w:left w:w="108" w:type="dxa"/>
            <w:bottom w:w="0" w:type="dxa"/>
            <w:right w:w="108" w:type="dxa"/>
          </w:tblCellMar>
        </w:tblPrEx>
        <w:trPr>
          <w:trHeight w:val="575" w:hRule="atLeast"/>
        </w:trPr>
        <w:tc>
          <w:tcPr>
            <w:tcW w:w="639"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w:t>
            </w:r>
          </w:p>
        </w:tc>
        <w:tc>
          <w:tcPr>
            <w:tcW w:w="74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井圈井盖</w:t>
            </w:r>
          </w:p>
        </w:tc>
        <w:tc>
          <w:tcPr>
            <w:tcW w:w="93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1200×800mm</w:t>
            </w:r>
          </w:p>
        </w:tc>
        <w:tc>
          <w:tcPr>
            <w:tcW w:w="100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套</w:t>
            </w:r>
          </w:p>
        </w:tc>
        <w:tc>
          <w:tcPr>
            <w:tcW w:w="59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19</w:t>
            </w:r>
          </w:p>
        </w:tc>
        <w:tc>
          <w:tcPr>
            <w:tcW w:w="108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520</w:t>
            </w:r>
          </w:p>
        </w:tc>
      </w:tr>
      <w:tr>
        <w:tblPrEx>
          <w:tblCellMar>
            <w:top w:w="0" w:type="dxa"/>
            <w:left w:w="108" w:type="dxa"/>
            <w:bottom w:w="0" w:type="dxa"/>
            <w:right w:w="108" w:type="dxa"/>
          </w:tblCellMar>
        </w:tblPrEx>
        <w:trPr>
          <w:trHeight w:val="575" w:hRule="atLeast"/>
        </w:trPr>
        <w:tc>
          <w:tcPr>
            <w:tcW w:w="639"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12</w:t>
            </w:r>
          </w:p>
        </w:tc>
        <w:tc>
          <w:tcPr>
            <w:tcW w:w="74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角钢支架</w:t>
            </w:r>
          </w:p>
        </w:tc>
        <w:tc>
          <w:tcPr>
            <w:tcW w:w="936" w:type="pct"/>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ascii="宋体" w:hAnsi="宋体" w:cs="宋体"/>
                <w:color w:val="000000"/>
                <w:sz w:val="32"/>
                <w:szCs w:val="32"/>
              </w:rPr>
            </w:pPr>
            <w:r>
              <w:rPr>
                <w:spacing w:val="-1"/>
                <w:sz w:val="16"/>
                <w:szCs w:val="18"/>
              </w:rPr>
              <w:t>含膨胀螺栓、角钢(热</w:t>
            </w:r>
            <w:r>
              <w:rPr>
                <w:sz w:val="16"/>
                <w:szCs w:val="18"/>
              </w:rPr>
              <w:t xml:space="preserve"> </w:t>
            </w:r>
            <w:r>
              <w:rPr>
                <w:spacing w:val="13"/>
                <w:sz w:val="16"/>
                <w:szCs w:val="18"/>
              </w:rPr>
              <w:t>镀锌)</w:t>
            </w:r>
            <w:r>
              <w:rPr>
                <w:rFonts w:hint="eastAsia"/>
                <w:spacing w:val="13"/>
                <w:sz w:val="16"/>
                <w:szCs w:val="18"/>
              </w:rPr>
              <w:t>1.65m</w:t>
            </w:r>
          </w:p>
        </w:tc>
        <w:tc>
          <w:tcPr>
            <w:tcW w:w="100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个</w:t>
            </w:r>
          </w:p>
        </w:tc>
        <w:tc>
          <w:tcPr>
            <w:tcW w:w="59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206</w:t>
            </w:r>
          </w:p>
        </w:tc>
        <w:tc>
          <w:tcPr>
            <w:tcW w:w="108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42</w:t>
            </w:r>
          </w:p>
        </w:tc>
      </w:tr>
      <w:tr>
        <w:tblPrEx>
          <w:tblCellMar>
            <w:top w:w="0" w:type="dxa"/>
            <w:left w:w="108" w:type="dxa"/>
            <w:bottom w:w="0" w:type="dxa"/>
            <w:right w:w="108" w:type="dxa"/>
          </w:tblCellMar>
        </w:tblPrEx>
        <w:trPr>
          <w:trHeight w:val="575" w:hRule="atLeast"/>
        </w:trPr>
        <w:tc>
          <w:tcPr>
            <w:tcW w:w="639"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13</w:t>
            </w:r>
          </w:p>
        </w:tc>
        <w:tc>
          <w:tcPr>
            <w:tcW w:w="74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镀锌铁线</w:t>
            </w:r>
          </w:p>
        </w:tc>
        <w:tc>
          <w:tcPr>
            <w:tcW w:w="93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Ф1.5</w:t>
            </w:r>
          </w:p>
        </w:tc>
        <w:tc>
          <w:tcPr>
            <w:tcW w:w="100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公斤</w:t>
            </w:r>
          </w:p>
        </w:tc>
        <w:tc>
          <w:tcPr>
            <w:tcW w:w="59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44.97</w:t>
            </w:r>
          </w:p>
        </w:tc>
        <w:tc>
          <w:tcPr>
            <w:tcW w:w="108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10.5</w:t>
            </w:r>
          </w:p>
        </w:tc>
      </w:tr>
      <w:tr>
        <w:tblPrEx>
          <w:tblCellMar>
            <w:top w:w="0" w:type="dxa"/>
            <w:left w:w="108" w:type="dxa"/>
            <w:bottom w:w="0" w:type="dxa"/>
            <w:right w:w="108" w:type="dxa"/>
          </w:tblCellMar>
        </w:tblPrEx>
        <w:trPr>
          <w:trHeight w:val="575" w:hRule="atLeast"/>
        </w:trPr>
        <w:tc>
          <w:tcPr>
            <w:tcW w:w="639"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14</w:t>
            </w:r>
          </w:p>
        </w:tc>
        <w:tc>
          <w:tcPr>
            <w:tcW w:w="74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镀锌铁线</w:t>
            </w:r>
          </w:p>
        </w:tc>
        <w:tc>
          <w:tcPr>
            <w:tcW w:w="93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Ф3.0</w:t>
            </w:r>
          </w:p>
        </w:tc>
        <w:tc>
          <w:tcPr>
            <w:tcW w:w="100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公斤</w:t>
            </w:r>
          </w:p>
        </w:tc>
        <w:tc>
          <w:tcPr>
            <w:tcW w:w="59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68.37</w:t>
            </w:r>
          </w:p>
        </w:tc>
        <w:tc>
          <w:tcPr>
            <w:tcW w:w="108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10.3</w:t>
            </w:r>
          </w:p>
        </w:tc>
      </w:tr>
      <w:tr>
        <w:tblPrEx>
          <w:tblCellMar>
            <w:top w:w="0" w:type="dxa"/>
            <w:left w:w="108" w:type="dxa"/>
            <w:bottom w:w="0" w:type="dxa"/>
            <w:right w:w="108" w:type="dxa"/>
          </w:tblCellMar>
        </w:tblPrEx>
        <w:trPr>
          <w:trHeight w:val="575" w:hRule="atLeast"/>
        </w:trPr>
        <w:tc>
          <w:tcPr>
            <w:tcW w:w="639"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15</w:t>
            </w:r>
          </w:p>
        </w:tc>
        <w:tc>
          <w:tcPr>
            <w:tcW w:w="74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镀锌铁线</w:t>
            </w:r>
          </w:p>
        </w:tc>
        <w:tc>
          <w:tcPr>
            <w:tcW w:w="93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Φ4.0mm</w:t>
            </w:r>
          </w:p>
        </w:tc>
        <w:tc>
          <w:tcPr>
            <w:tcW w:w="100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kg</w:t>
            </w:r>
          </w:p>
        </w:tc>
        <w:tc>
          <w:tcPr>
            <w:tcW w:w="59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164.82</w:t>
            </w:r>
          </w:p>
        </w:tc>
        <w:tc>
          <w:tcPr>
            <w:tcW w:w="108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w:t>
            </w:r>
          </w:p>
        </w:tc>
      </w:tr>
      <w:tr>
        <w:tblPrEx>
          <w:tblCellMar>
            <w:top w:w="0" w:type="dxa"/>
            <w:left w:w="108" w:type="dxa"/>
            <w:bottom w:w="0" w:type="dxa"/>
            <w:right w:w="108" w:type="dxa"/>
          </w:tblCellMar>
        </w:tblPrEx>
        <w:trPr>
          <w:trHeight w:val="751" w:hRule="atLeast"/>
        </w:trPr>
        <w:tc>
          <w:tcPr>
            <w:tcW w:w="639"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16</w:t>
            </w:r>
          </w:p>
        </w:tc>
        <w:tc>
          <w:tcPr>
            <w:tcW w:w="74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带铠电源线</w:t>
            </w:r>
          </w:p>
        </w:tc>
        <w:tc>
          <w:tcPr>
            <w:tcW w:w="93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YJV铜芯电线（户外地埋铠装电源线）6平方（2*6）</w:t>
            </w:r>
          </w:p>
        </w:tc>
        <w:tc>
          <w:tcPr>
            <w:tcW w:w="100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米</w:t>
            </w:r>
          </w:p>
        </w:tc>
        <w:tc>
          <w:tcPr>
            <w:tcW w:w="59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1700</w:t>
            </w:r>
          </w:p>
        </w:tc>
        <w:tc>
          <w:tcPr>
            <w:tcW w:w="108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78.5</w:t>
            </w:r>
          </w:p>
        </w:tc>
      </w:tr>
      <w:tr>
        <w:tblPrEx>
          <w:tblCellMar>
            <w:top w:w="0" w:type="dxa"/>
            <w:left w:w="108" w:type="dxa"/>
            <w:bottom w:w="0" w:type="dxa"/>
            <w:right w:w="108" w:type="dxa"/>
          </w:tblCellMar>
        </w:tblPrEx>
        <w:trPr>
          <w:trHeight w:val="575" w:hRule="atLeast"/>
        </w:trPr>
        <w:tc>
          <w:tcPr>
            <w:tcW w:w="639"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17</w:t>
            </w:r>
          </w:p>
        </w:tc>
        <w:tc>
          <w:tcPr>
            <w:tcW w:w="74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铜接线耳</w:t>
            </w:r>
          </w:p>
        </w:tc>
        <w:tc>
          <w:tcPr>
            <w:tcW w:w="93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6mm2</w:t>
            </w:r>
          </w:p>
        </w:tc>
        <w:tc>
          <w:tcPr>
            <w:tcW w:w="100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只</w:t>
            </w:r>
          </w:p>
        </w:tc>
        <w:tc>
          <w:tcPr>
            <w:tcW w:w="59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100</w:t>
            </w:r>
          </w:p>
        </w:tc>
        <w:tc>
          <w:tcPr>
            <w:tcW w:w="108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7.86</w:t>
            </w:r>
          </w:p>
        </w:tc>
      </w:tr>
      <w:tr>
        <w:tblPrEx>
          <w:tblCellMar>
            <w:top w:w="0" w:type="dxa"/>
            <w:left w:w="108" w:type="dxa"/>
            <w:bottom w:w="0" w:type="dxa"/>
            <w:right w:w="108" w:type="dxa"/>
          </w:tblCellMar>
        </w:tblPrEx>
        <w:trPr>
          <w:trHeight w:val="575" w:hRule="atLeast"/>
        </w:trPr>
        <w:tc>
          <w:tcPr>
            <w:tcW w:w="639"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18</w:t>
            </w:r>
          </w:p>
        </w:tc>
        <w:tc>
          <w:tcPr>
            <w:tcW w:w="74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空气开关</w:t>
            </w:r>
          </w:p>
        </w:tc>
        <w:tc>
          <w:tcPr>
            <w:tcW w:w="93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施耐德16A</w:t>
            </w:r>
          </w:p>
        </w:tc>
        <w:tc>
          <w:tcPr>
            <w:tcW w:w="100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个</w:t>
            </w:r>
          </w:p>
        </w:tc>
        <w:tc>
          <w:tcPr>
            <w:tcW w:w="59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25</w:t>
            </w:r>
          </w:p>
        </w:tc>
        <w:tc>
          <w:tcPr>
            <w:tcW w:w="108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75.59</w:t>
            </w:r>
          </w:p>
        </w:tc>
      </w:tr>
      <w:tr>
        <w:tblPrEx>
          <w:tblCellMar>
            <w:top w:w="0" w:type="dxa"/>
            <w:left w:w="108" w:type="dxa"/>
            <w:bottom w:w="0" w:type="dxa"/>
            <w:right w:w="108" w:type="dxa"/>
          </w:tblCellMar>
        </w:tblPrEx>
        <w:trPr>
          <w:trHeight w:val="575" w:hRule="atLeast"/>
        </w:trPr>
        <w:tc>
          <w:tcPr>
            <w:tcW w:w="639"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19</w:t>
            </w:r>
          </w:p>
        </w:tc>
        <w:tc>
          <w:tcPr>
            <w:tcW w:w="74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漏电保护断路器开关</w:t>
            </w:r>
          </w:p>
        </w:tc>
        <w:tc>
          <w:tcPr>
            <w:tcW w:w="936" w:type="pct"/>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ascii="宋体" w:hAnsi="宋体" w:eastAsia="宋体" w:cs="宋体"/>
                <w:color w:val="000000"/>
                <w:szCs w:val="21"/>
              </w:rPr>
            </w:pPr>
            <w:r>
              <w:rPr>
                <w:rFonts w:hint="eastAsia" w:ascii="宋体" w:hAnsi="宋体" w:eastAsia="宋体" w:cs="宋体"/>
                <w:color w:val="000000"/>
                <w:szCs w:val="21"/>
              </w:rPr>
              <w:t>32A</w:t>
            </w:r>
          </w:p>
        </w:tc>
        <w:tc>
          <w:tcPr>
            <w:tcW w:w="100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套</w:t>
            </w:r>
          </w:p>
        </w:tc>
        <w:tc>
          <w:tcPr>
            <w:tcW w:w="59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08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289.17</w:t>
            </w:r>
          </w:p>
        </w:tc>
      </w:tr>
      <w:tr>
        <w:tblPrEx>
          <w:tblCellMar>
            <w:top w:w="0" w:type="dxa"/>
            <w:left w:w="108" w:type="dxa"/>
            <w:bottom w:w="0" w:type="dxa"/>
            <w:right w:w="108" w:type="dxa"/>
          </w:tblCellMar>
        </w:tblPrEx>
        <w:trPr>
          <w:trHeight w:val="575" w:hRule="atLeast"/>
        </w:trPr>
        <w:tc>
          <w:tcPr>
            <w:tcW w:w="639"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20</w:t>
            </w:r>
          </w:p>
        </w:tc>
        <w:tc>
          <w:tcPr>
            <w:tcW w:w="74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波纹管</w:t>
            </w:r>
          </w:p>
        </w:tc>
        <w:tc>
          <w:tcPr>
            <w:tcW w:w="93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Ф25mm</w:t>
            </w:r>
          </w:p>
        </w:tc>
        <w:tc>
          <w:tcPr>
            <w:tcW w:w="100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米</w:t>
            </w:r>
          </w:p>
        </w:tc>
        <w:tc>
          <w:tcPr>
            <w:tcW w:w="59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1946</w:t>
            </w:r>
          </w:p>
        </w:tc>
        <w:tc>
          <w:tcPr>
            <w:tcW w:w="108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3.2</w:t>
            </w:r>
          </w:p>
        </w:tc>
      </w:tr>
      <w:tr>
        <w:tblPrEx>
          <w:tblCellMar>
            <w:top w:w="0" w:type="dxa"/>
            <w:left w:w="108" w:type="dxa"/>
            <w:bottom w:w="0" w:type="dxa"/>
            <w:right w:w="108" w:type="dxa"/>
          </w:tblCellMar>
        </w:tblPrEx>
        <w:trPr>
          <w:trHeight w:val="575" w:hRule="atLeast"/>
        </w:trPr>
        <w:tc>
          <w:tcPr>
            <w:tcW w:w="639"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21</w:t>
            </w:r>
          </w:p>
        </w:tc>
        <w:tc>
          <w:tcPr>
            <w:tcW w:w="74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波纹管</w:t>
            </w:r>
          </w:p>
        </w:tc>
        <w:tc>
          <w:tcPr>
            <w:tcW w:w="936"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Ф50</w:t>
            </w:r>
          </w:p>
        </w:tc>
        <w:tc>
          <w:tcPr>
            <w:tcW w:w="100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米</w:t>
            </w:r>
          </w:p>
        </w:tc>
        <w:tc>
          <w:tcPr>
            <w:tcW w:w="59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578</w:t>
            </w:r>
          </w:p>
        </w:tc>
        <w:tc>
          <w:tcPr>
            <w:tcW w:w="108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6.8</w:t>
            </w:r>
          </w:p>
        </w:tc>
      </w:tr>
      <w:tr>
        <w:tblPrEx>
          <w:tblCellMar>
            <w:top w:w="0" w:type="dxa"/>
            <w:left w:w="108" w:type="dxa"/>
            <w:bottom w:w="0" w:type="dxa"/>
            <w:right w:w="108" w:type="dxa"/>
          </w:tblCellMar>
        </w:tblPrEx>
        <w:trPr>
          <w:trHeight w:val="575" w:hRule="atLeast"/>
        </w:trPr>
        <w:tc>
          <w:tcPr>
            <w:tcW w:w="6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22</w:t>
            </w:r>
          </w:p>
        </w:tc>
        <w:tc>
          <w:tcPr>
            <w:tcW w:w="744"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360" w:lineRule="auto"/>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电线杆</w:t>
            </w:r>
          </w:p>
        </w:tc>
        <w:tc>
          <w:tcPr>
            <w:tcW w:w="936" w:type="pc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7米</w:t>
            </w:r>
          </w:p>
        </w:tc>
        <w:tc>
          <w:tcPr>
            <w:tcW w:w="1002" w:type="pct"/>
            <w:tcBorders>
              <w:top w:val="single" w:color="000000" w:sz="4" w:space="0"/>
              <w:left w:val="nil"/>
              <w:bottom w:val="single" w:color="000000" w:sz="4" w:space="0"/>
              <w:right w:val="single" w:color="000000" w:sz="4" w:space="0"/>
            </w:tcBorders>
            <w:shd w:val="clear" w:color="auto" w:fill="FFFFFF"/>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个</w:t>
            </w:r>
          </w:p>
        </w:tc>
        <w:tc>
          <w:tcPr>
            <w:tcW w:w="59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08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420</w:t>
            </w:r>
          </w:p>
        </w:tc>
      </w:tr>
      <w:tr>
        <w:tblPrEx>
          <w:tblCellMar>
            <w:top w:w="0" w:type="dxa"/>
            <w:left w:w="108" w:type="dxa"/>
            <w:bottom w:w="0" w:type="dxa"/>
            <w:right w:w="108" w:type="dxa"/>
          </w:tblCellMar>
        </w:tblPrEx>
        <w:trPr>
          <w:trHeight w:val="575" w:hRule="atLeast"/>
        </w:trPr>
        <w:tc>
          <w:tcPr>
            <w:tcW w:w="639"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23</w:t>
            </w:r>
          </w:p>
        </w:tc>
        <w:tc>
          <w:tcPr>
            <w:tcW w:w="74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管箍</w:t>
            </w:r>
          </w:p>
        </w:tc>
        <w:tc>
          <w:tcPr>
            <w:tcW w:w="936" w:type="pct"/>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ascii="宋体" w:hAnsi="宋体" w:eastAsia="宋体" w:cs="宋体"/>
                <w:color w:val="000000"/>
                <w:szCs w:val="21"/>
              </w:rPr>
            </w:pPr>
            <w:r>
              <w:rPr>
                <w:rFonts w:hint="eastAsia" w:ascii="宋体" w:hAnsi="宋体" w:eastAsia="宋体" w:cs="宋体"/>
                <w:color w:val="000000"/>
                <w:szCs w:val="21"/>
              </w:rPr>
              <w:t>Ф110mm</w:t>
            </w:r>
          </w:p>
        </w:tc>
        <w:tc>
          <w:tcPr>
            <w:tcW w:w="100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个</w:t>
            </w:r>
          </w:p>
        </w:tc>
        <w:tc>
          <w:tcPr>
            <w:tcW w:w="59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48</w:t>
            </w:r>
          </w:p>
        </w:tc>
        <w:tc>
          <w:tcPr>
            <w:tcW w:w="108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3.4</w:t>
            </w:r>
          </w:p>
        </w:tc>
      </w:tr>
      <w:tr>
        <w:tblPrEx>
          <w:tblCellMar>
            <w:top w:w="0" w:type="dxa"/>
            <w:left w:w="108" w:type="dxa"/>
            <w:bottom w:w="0" w:type="dxa"/>
            <w:right w:w="108" w:type="dxa"/>
          </w:tblCellMar>
        </w:tblPrEx>
        <w:trPr>
          <w:trHeight w:val="575" w:hRule="atLeast"/>
        </w:trPr>
        <w:tc>
          <w:tcPr>
            <w:tcW w:w="639"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24</w:t>
            </w:r>
          </w:p>
        </w:tc>
        <w:tc>
          <w:tcPr>
            <w:tcW w:w="74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塑料线槽</w:t>
            </w:r>
          </w:p>
        </w:tc>
        <w:tc>
          <w:tcPr>
            <w:tcW w:w="93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14*24mm</w:t>
            </w:r>
          </w:p>
        </w:tc>
        <w:tc>
          <w:tcPr>
            <w:tcW w:w="100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米</w:t>
            </w:r>
          </w:p>
        </w:tc>
        <w:tc>
          <w:tcPr>
            <w:tcW w:w="59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105</w:t>
            </w:r>
          </w:p>
        </w:tc>
        <w:tc>
          <w:tcPr>
            <w:tcW w:w="108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2.3</w:t>
            </w:r>
          </w:p>
        </w:tc>
      </w:tr>
      <w:tr>
        <w:tblPrEx>
          <w:tblCellMar>
            <w:top w:w="0" w:type="dxa"/>
            <w:left w:w="108" w:type="dxa"/>
            <w:bottom w:w="0" w:type="dxa"/>
            <w:right w:w="108" w:type="dxa"/>
          </w:tblCellMar>
        </w:tblPrEx>
        <w:trPr>
          <w:trHeight w:val="575" w:hRule="atLeast"/>
        </w:trPr>
        <w:tc>
          <w:tcPr>
            <w:tcW w:w="639"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25</w:t>
            </w:r>
          </w:p>
        </w:tc>
        <w:tc>
          <w:tcPr>
            <w:tcW w:w="74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水泥钉</w:t>
            </w:r>
          </w:p>
        </w:tc>
        <w:tc>
          <w:tcPr>
            <w:tcW w:w="936" w:type="pct"/>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ascii="宋体" w:hAnsi="宋体" w:eastAsia="宋体" w:cs="宋体"/>
                <w:color w:val="000000"/>
                <w:szCs w:val="21"/>
              </w:rPr>
            </w:pPr>
            <w:r>
              <w:rPr>
                <w:rFonts w:hint="eastAsia" w:ascii="宋体" w:hAnsi="宋体" w:eastAsia="宋体" w:cs="宋体"/>
                <w:color w:val="000000"/>
                <w:szCs w:val="21"/>
              </w:rPr>
              <w:t>1.8*20</w:t>
            </w:r>
          </w:p>
        </w:tc>
        <w:tc>
          <w:tcPr>
            <w:tcW w:w="100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kg</w:t>
            </w:r>
          </w:p>
        </w:tc>
        <w:tc>
          <w:tcPr>
            <w:tcW w:w="59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08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22</w:t>
            </w:r>
          </w:p>
        </w:tc>
      </w:tr>
      <w:tr>
        <w:tblPrEx>
          <w:tblCellMar>
            <w:top w:w="0" w:type="dxa"/>
            <w:left w:w="108" w:type="dxa"/>
            <w:bottom w:w="0" w:type="dxa"/>
            <w:right w:w="108" w:type="dxa"/>
          </w:tblCellMar>
        </w:tblPrEx>
        <w:trPr>
          <w:trHeight w:val="575" w:hRule="atLeast"/>
        </w:trPr>
        <w:tc>
          <w:tcPr>
            <w:tcW w:w="639"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26</w:t>
            </w:r>
          </w:p>
        </w:tc>
        <w:tc>
          <w:tcPr>
            <w:tcW w:w="74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电缆挂钩</w:t>
            </w:r>
          </w:p>
        </w:tc>
        <w:tc>
          <w:tcPr>
            <w:tcW w:w="936" w:type="pct"/>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45mm</w:t>
            </w:r>
          </w:p>
        </w:tc>
        <w:tc>
          <w:tcPr>
            <w:tcW w:w="100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个</w:t>
            </w:r>
          </w:p>
        </w:tc>
        <w:tc>
          <w:tcPr>
            <w:tcW w:w="59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2526</w:t>
            </w:r>
          </w:p>
        </w:tc>
        <w:tc>
          <w:tcPr>
            <w:tcW w:w="108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0.8</w:t>
            </w:r>
          </w:p>
        </w:tc>
      </w:tr>
      <w:tr>
        <w:tblPrEx>
          <w:tblCellMar>
            <w:top w:w="0" w:type="dxa"/>
            <w:left w:w="108" w:type="dxa"/>
            <w:bottom w:w="0" w:type="dxa"/>
            <w:right w:w="108" w:type="dxa"/>
          </w:tblCellMar>
        </w:tblPrEx>
        <w:trPr>
          <w:trHeight w:val="585" w:hRule="atLeast"/>
        </w:trPr>
        <w:tc>
          <w:tcPr>
            <w:tcW w:w="639"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27</w:t>
            </w:r>
          </w:p>
        </w:tc>
        <w:tc>
          <w:tcPr>
            <w:tcW w:w="74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街码</w:t>
            </w:r>
          </w:p>
        </w:tc>
        <w:tc>
          <w:tcPr>
            <w:tcW w:w="936" w:type="pct"/>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ascii="宋体" w:hAnsi="宋体" w:eastAsia="宋体" w:cs="宋体"/>
                <w:color w:val="000000"/>
                <w:szCs w:val="21"/>
              </w:rPr>
            </w:pPr>
            <w:r>
              <w:rPr>
                <w:rFonts w:hint="eastAsia" w:ascii="宋体" w:hAnsi="宋体" w:eastAsia="宋体" w:cs="宋体"/>
                <w:color w:val="000000"/>
                <w:szCs w:val="21"/>
              </w:rPr>
              <w:t>1位架，配瓷瓶螺丝</w:t>
            </w:r>
          </w:p>
        </w:tc>
        <w:tc>
          <w:tcPr>
            <w:tcW w:w="100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个</w:t>
            </w:r>
          </w:p>
        </w:tc>
        <w:tc>
          <w:tcPr>
            <w:tcW w:w="594"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20</w:t>
            </w:r>
          </w:p>
        </w:tc>
        <w:tc>
          <w:tcPr>
            <w:tcW w:w="1082" w:type="pct"/>
            <w:tcBorders>
              <w:top w:val="single" w:color="000000" w:sz="4" w:space="0"/>
              <w:left w:val="single" w:color="000000" w:sz="4" w:space="0"/>
              <w:bottom w:val="single" w:color="000000" w:sz="4" w:space="0"/>
              <w:right w:val="single" w:color="000000" w:sz="4" w:space="0"/>
            </w:tcBorders>
            <w:noWrap/>
            <w:vAlign w:val="center"/>
          </w:tcPr>
          <w:p>
            <w:pPr>
              <w:widowControl/>
              <w:spacing w:line="360" w:lineRule="auto"/>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35</w:t>
            </w:r>
          </w:p>
        </w:tc>
      </w:tr>
    </w:tbl>
    <w:p>
      <w:pPr>
        <w:pStyle w:val="9"/>
        <w:numPr>
          <w:ilvl w:val="0"/>
          <w:numId w:val="12"/>
        </w:numPr>
        <w:tabs>
          <w:tab w:val="left" w:pos="540"/>
        </w:tabs>
        <w:adjustRightInd w:val="0"/>
        <w:snapToGrid w:val="0"/>
        <w:spacing w:line="360" w:lineRule="auto"/>
        <w:rPr>
          <w:rFonts w:hAnsi="宋体" w:cs="宋体"/>
          <w:b/>
          <w:color w:val="000000"/>
        </w:rPr>
      </w:pPr>
      <w:r>
        <w:rPr>
          <w:rFonts w:hint="eastAsia" w:hAnsi="宋体" w:cs="宋体"/>
          <w:b/>
          <w:color w:val="000000"/>
        </w:rPr>
        <w:t>商务要求</w:t>
      </w:r>
    </w:p>
    <w:p>
      <w:pPr>
        <w:pStyle w:val="9"/>
        <w:numPr>
          <w:ilvl w:val="0"/>
          <w:numId w:val="13"/>
        </w:numPr>
        <w:tabs>
          <w:tab w:val="left" w:pos="540"/>
        </w:tabs>
        <w:adjustRightInd w:val="0"/>
        <w:snapToGrid w:val="0"/>
        <w:spacing w:line="360" w:lineRule="auto"/>
        <w:ind w:left="0" w:firstLine="0"/>
        <w:rPr>
          <w:rFonts w:hAnsi="宋体" w:cs="宋体"/>
          <w:color w:val="000000"/>
          <w:sz w:val="21"/>
        </w:rPr>
      </w:pPr>
      <w:r>
        <w:rPr>
          <w:rFonts w:hint="eastAsia" w:hAnsi="宋体" w:cs="宋体"/>
          <w:color w:val="000000"/>
          <w:sz w:val="21"/>
        </w:rPr>
        <w:t>质保期及售后服务要求</w:t>
      </w:r>
    </w:p>
    <w:p>
      <w:pPr>
        <w:numPr>
          <w:ilvl w:val="0"/>
          <w:numId w:val="14"/>
        </w:numPr>
        <w:autoSpaceDE w:val="0"/>
        <w:autoSpaceDN w:val="0"/>
        <w:adjustRightInd w:val="0"/>
        <w:snapToGrid w:val="0"/>
        <w:spacing w:line="360" w:lineRule="auto"/>
        <w:rPr>
          <w:rFonts w:ascii="宋体" w:hAnsi="宋体" w:eastAsia="宋体" w:cs="宋体"/>
          <w:color w:val="000000"/>
          <w:szCs w:val="21"/>
        </w:rPr>
      </w:pPr>
      <w:r>
        <w:rPr>
          <w:rFonts w:hint="eastAsia" w:ascii="宋体" w:hAnsi="宋体" w:eastAsia="宋体" w:cs="宋体"/>
          <w:color w:val="000000"/>
          <w:szCs w:val="21"/>
        </w:rPr>
        <w:t>质量保证期（简称“质保期”）为1年，质保期内成交人对所供货物实行包修、包换、包退、包维护保养。</w:t>
      </w:r>
    </w:p>
    <w:p>
      <w:pPr>
        <w:numPr>
          <w:ilvl w:val="0"/>
          <w:numId w:val="14"/>
        </w:numPr>
        <w:autoSpaceDE w:val="0"/>
        <w:autoSpaceDN w:val="0"/>
        <w:adjustRightInd w:val="0"/>
        <w:snapToGrid w:val="0"/>
        <w:spacing w:line="360" w:lineRule="auto"/>
        <w:rPr>
          <w:rFonts w:ascii="宋体" w:hAnsi="宋体" w:eastAsia="宋体" w:cs="宋体"/>
          <w:color w:val="000000"/>
          <w:szCs w:val="21"/>
        </w:rPr>
      </w:pPr>
      <w:r>
        <w:rPr>
          <w:rFonts w:hint="eastAsia" w:ascii="宋体" w:hAnsi="宋体" w:eastAsia="宋体" w:cs="宋体"/>
          <w:color w:val="000000"/>
          <w:szCs w:val="21"/>
        </w:rPr>
        <w:t>对采购人的服务通知，成交人在接报后1小时内响应，4小时内到达现场，48小时内处理完毕。若在48小时内仍未能有效解决，成交人须免费提供同档次的设备予采购人临时使用。</w:t>
      </w:r>
    </w:p>
    <w:p>
      <w:pPr>
        <w:numPr>
          <w:ilvl w:val="0"/>
          <w:numId w:val="14"/>
        </w:numPr>
        <w:autoSpaceDE w:val="0"/>
        <w:autoSpaceDN w:val="0"/>
        <w:adjustRightInd w:val="0"/>
        <w:snapToGrid w:val="0"/>
        <w:spacing w:line="360" w:lineRule="auto"/>
        <w:rPr>
          <w:rFonts w:ascii="宋体" w:hAnsi="宋体" w:eastAsia="宋体" w:cs="宋体"/>
          <w:color w:val="000000"/>
          <w:szCs w:val="21"/>
        </w:rPr>
      </w:pPr>
      <w:r>
        <w:rPr>
          <w:rFonts w:hint="eastAsia" w:ascii="宋体" w:hAnsi="宋体" w:eastAsia="宋体" w:cs="宋体"/>
          <w:color w:val="000000"/>
          <w:szCs w:val="21"/>
        </w:rPr>
        <w:t>报名供应商须参与现场工程勘查并取得采购人出具的现场勘查证明。（勘查人员需要法人代表及公司技术负责人同时到场，提供营业执照、法人代表</w:t>
      </w:r>
      <w:r>
        <w:rPr>
          <w:rFonts w:hint="eastAsia" w:ascii="宋体" w:hAnsi="宋体" w:eastAsia="宋体" w:cs="宋体"/>
          <w:color w:val="000000"/>
          <w:szCs w:val="21"/>
          <w:highlight w:val="none"/>
        </w:rPr>
        <w:t xml:space="preserve">证明书及法人身份证复印件）（勘察时间：2024年 </w:t>
      </w:r>
      <w:r>
        <w:rPr>
          <w:rFonts w:hint="eastAsia" w:ascii="宋体" w:hAnsi="宋体" w:eastAsia="宋体" w:cs="宋体"/>
          <w:color w:val="000000"/>
          <w:szCs w:val="21"/>
          <w:highlight w:val="none"/>
          <w:lang w:val="en-US" w:eastAsia="zh-CN"/>
        </w:rPr>
        <w:t>8</w:t>
      </w:r>
      <w:r>
        <w:rPr>
          <w:rFonts w:hint="eastAsia" w:ascii="宋体" w:hAnsi="宋体" w:eastAsia="宋体" w:cs="宋体"/>
          <w:color w:val="000000"/>
          <w:szCs w:val="21"/>
          <w:highlight w:val="none"/>
        </w:rPr>
        <w:t xml:space="preserve"> 月 </w:t>
      </w:r>
      <w:r>
        <w:rPr>
          <w:rFonts w:hint="eastAsia" w:ascii="宋体" w:hAnsi="宋体" w:eastAsia="宋体" w:cs="宋体"/>
          <w:color w:val="000000"/>
          <w:szCs w:val="21"/>
          <w:highlight w:val="none"/>
          <w:lang w:val="en-US" w:eastAsia="zh-CN"/>
        </w:rPr>
        <w:t>6</w:t>
      </w:r>
      <w:r>
        <w:rPr>
          <w:rFonts w:hint="eastAsia" w:ascii="宋体" w:hAnsi="宋体" w:eastAsia="宋体" w:cs="宋体"/>
          <w:color w:val="000000"/>
          <w:szCs w:val="21"/>
          <w:highlight w:val="none"/>
        </w:rPr>
        <w:t xml:space="preserve"> 日 </w:t>
      </w:r>
      <w:r>
        <w:rPr>
          <w:rFonts w:hint="eastAsia" w:ascii="宋体" w:hAnsi="宋体" w:eastAsia="宋体" w:cs="宋体"/>
          <w:color w:val="000000"/>
          <w:szCs w:val="21"/>
          <w:highlight w:val="none"/>
          <w:lang w:val="en-US" w:eastAsia="zh-CN"/>
        </w:rPr>
        <w:t>10</w:t>
      </w:r>
      <w:r>
        <w:rPr>
          <w:rFonts w:hint="eastAsia" w:ascii="宋体" w:hAnsi="宋体" w:eastAsia="宋体" w:cs="宋体"/>
          <w:color w:val="000000"/>
          <w:szCs w:val="21"/>
          <w:highlight w:val="none"/>
        </w:rPr>
        <w:t xml:space="preserve"> 点整集中，勘</w:t>
      </w:r>
      <w:r>
        <w:rPr>
          <w:rFonts w:hint="eastAsia" w:ascii="宋体" w:hAnsi="宋体" w:eastAsia="宋体" w:cs="宋体"/>
          <w:color w:val="000000"/>
          <w:szCs w:val="21"/>
        </w:rPr>
        <w:t>察集中地点：广东省广播电视网络股份有限公司汕尾分公司，联系人：陈主任，电话：13828983168）</w:t>
      </w:r>
      <w:r>
        <w:rPr>
          <w:rFonts w:hint="eastAsia" w:ascii="宋体" w:hAnsi="宋体" w:eastAsia="宋体" w:cs="宋体"/>
          <w:b w:val="0"/>
          <w:bCs w:val="0"/>
          <w:color w:val="000000"/>
          <w:szCs w:val="21"/>
        </w:rPr>
        <w:t>）</w:t>
      </w:r>
    </w:p>
    <w:p>
      <w:pPr>
        <w:pStyle w:val="9"/>
        <w:numPr>
          <w:ilvl w:val="0"/>
          <w:numId w:val="13"/>
        </w:numPr>
        <w:tabs>
          <w:tab w:val="left" w:pos="540"/>
        </w:tabs>
        <w:adjustRightInd w:val="0"/>
        <w:snapToGrid w:val="0"/>
        <w:spacing w:line="360" w:lineRule="auto"/>
        <w:ind w:left="0" w:firstLine="0"/>
        <w:rPr>
          <w:rFonts w:hAnsi="宋体" w:cs="宋体"/>
          <w:bCs/>
          <w:color w:val="000000"/>
          <w:sz w:val="21"/>
        </w:rPr>
      </w:pPr>
      <w:r>
        <w:rPr>
          <w:rFonts w:hint="eastAsia" w:hAnsi="宋体" w:cs="宋体"/>
          <w:bCs/>
          <w:color w:val="000000"/>
          <w:sz w:val="21"/>
        </w:rPr>
        <w:t>包装、保险及发运、保管要求</w:t>
      </w:r>
    </w:p>
    <w:p>
      <w:pPr>
        <w:numPr>
          <w:ilvl w:val="0"/>
          <w:numId w:val="15"/>
        </w:numPr>
        <w:adjustRightInd w:val="0"/>
        <w:snapToGrid w:val="0"/>
        <w:spacing w:line="360" w:lineRule="auto"/>
        <w:rPr>
          <w:rFonts w:ascii="宋体" w:hAnsi="宋体" w:cs="宋体"/>
          <w:color w:val="000000"/>
          <w:szCs w:val="21"/>
        </w:rPr>
      </w:pPr>
      <w:r>
        <w:rPr>
          <w:rFonts w:hint="eastAsia" w:ascii="宋体" w:hAnsi="宋体" w:cs="宋体"/>
          <w:color w:val="000000"/>
          <w:szCs w:val="21"/>
        </w:rPr>
        <w:t>设备材料的包装必须是制造商原厂包装，其包装均应有良好的防湿、防锈、防潮、防雨、防腐及防碰撞的措施。凡由于包装不良造成的损失和由此产生的费用均由供应商承担。</w:t>
      </w:r>
    </w:p>
    <w:p>
      <w:pPr>
        <w:numPr>
          <w:ilvl w:val="0"/>
          <w:numId w:val="15"/>
        </w:numPr>
        <w:adjustRightInd w:val="0"/>
        <w:snapToGrid w:val="0"/>
        <w:spacing w:line="360" w:lineRule="auto"/>
        <w:rPr>
          <w:rFonts w:ascii="宋体" w:hAnsi="宋体" w:cs="宋体"/>
          <w:color w:val="000000"/>
          <w:szCs w:val="21"/>
        </w:rPr>
      </w:pPr>
      <w:r>
        <w:rPr>
          <w:rFonts w:hint="eastAsia" w:ascii="宋体" w:hAnsi="宋体" w:cs="宋体"/>
          <w:color w:val="000000"/>
          <w:szCs w:val="21"/>
        </w:rPr>
        <w:t>成交人负责将设备材料货到现场过程中的全部运输，包括装卸车、货物现场的搬运。</w:t>
      </w:r>
    </w:p>
    <w:p>
      <w:pPr>
        <w:numPr>
          <w:ilvl w:val="0"/>
          <w:numId w:val="15"/>
        </w:numPr>
        <w:adjustRightInd w:val="0"/>
        <w:snapToGrid w:val="0"/>
        <w:spacing w:line="360" w:lineRule="auto"/>
        <w:rPr>
          <w:rFonts w:ascii="宋体" w:hAnsi="宋体" w:cs="宋体"/>
          <w:color w:val="000000"/>
          <w:szCs w:val="21"/>
        </w:rPr>
      </w:pPr>
      <w:r>
        <w:rPr>
          <w:rFonts w:hint="eastAsia" w:ascii="宋体" w:hAnsi="宋体" w:cs="宋体"/>
          <w:color w:val="000000"/>
          <w:szCs w:val="21"/>
        </w:rPr>
        <w:t>各种设备必须提供装箱清单，按装箱清单验收货物。</w:t>
      </w:r>
    </w:p>
    <w:p>
      <w:pPr>
        <w:numPr>
          <w:ilvl w:val="0"/>
          <w:numId w:val="15"/>
        </w:numPr>
        <w:adjustRightInd w:val="0"/>
        <w:snapToGrid w:val="0"/>
        <w:spacing w:line="360" w:lineRule="auto"/>
        <w:rPr>
          <w:rFonts w:ascii="宋体" w:hAnsi="宋体" w:cs="宋体"/>
          <w:color w:val="000000"/>
          <w:szCs w:val="21"/>
        </w:rPr>
      </w:pPr>
      <w:r>
        <w:rPr>
          <w:rFonts w:hint="eastAsia" w:ascii="宋体" w:hAnsi="宋体" w:cs="宋体"/>
          <w:color w:val="000000"/>
          <w:szCs w:val="21"/>
        </w:rPr>
        <w:t>货物在现场的保管由成交人负责，直至项目安装、验收完毕。</w:t>
      </w:r>
    </w:p>
    <w:p>
      <w:pPr>
        <w:numPr>
          <w:ilvl w:val="0"/>
          <w:numId w:val="15"/>
        </w:numPr>
        <w:adjustRightInd w:val="0"/>
        <w:snapToGrid w:val="0"/>
        <w:spacing w:line="360" w:lineRule="auto"/>
        <w:rPr>
          <w:rFonts w:ascii="宋体" w:hAnsi="宋体" w:cs="宋体"/>
          <w:color w:val="000000"/>
          <w:szCs w:val="21"/>
        </w:rPr>
      </w:pPr>
      <w:r>
        <w:rPr>
          <w:rFonts w:hint="eastAsia" w:ascii="宋体" w:hAnsi="宋体" w:cs="宋体"/>
          <w:color w:val="000000"/>
          <w:szCs w:val="21"/>
        </w:rPr>
        <w:t>设备至采购人指定的使用现场的包装、保险及发运等环节和费用均由成交人负责。</w:t>
      </w:r>
    </w:p>
    <w:p>
      <w:pPr>
        <w:pStyle w:val="9"/>
        <w:numPr>
          <w:ilvl w:val="0"/>
          <w:numId w:val="13"/>
        </w:numPr>
        <w:tabs>
          <w:tab w:val="left" w:pos="540"/>
        </w:tabs>
        <w:adjustRightInd w:val="0"/>
        <w:snapToGrid w:val="0"/>
        <w:spacing w:line="360" w:lineRule="auto"/>
        <w:ind w:left="0" w:firstLine="0"/>
        <w:rPr>
          <w:rFonts w:hAnsi="宋体" w:cs="宋体"/>
          <w:bCs/>
          <w:color w:val="000000"/>
          <w:sz w:val="21"/>
        </w:rPr>
      </w:pPr>
      <w:r>
        <w:rPr>
          <w:rFonts w:hint="eastAsia" w:hAnsi="宋体" w:cs="宋体"/>
          <w:bCs/>
          <w:color w:val="000000"/>
          <w:sz w:val="21"/>
        </w:rPr>
        <w:t>安装、调试与验收</w:t>
      </w:r>
    </w:p>
    <w:p>
      <w:pPr>
        <w:numPr>
          <w:ilvl w:val="0"/>
          <w:numId w:val="16"/>
        </w:numPr>
        <w:autoSpaceDE w:val="0"/>
        <w:autoSpaceDN w:val="0"/>
        <w:adjustRightInd w:val="0"/>
        <w:snapToGrid w:val="0"/>
        <w:spacing w:line="360" w:lineRule="auto"/>
        <w:rPr>
          <w:rFonts w:ascii="宋体" w:hAnsi="宋体" w:cs="宋体"/>
          <w:color w:val="000000"/>
          <w:szCs w:val="21"/>
        </w:rPr>
      </w:pPr>
      <w:r>
        <w:rPr>
          <w:rFonts w:hint="eastAsia" w:ascii="宋体" w:hAnsi="宋体" w:cs="宋体"/>
          <w:color w:val="000000"/>
          <w:szCs w:val="21"/>
        </w:rPr>
        <w:t xml:space="preserve">货物若有国家标准按照国家标准验收，若无国家标准按行业标准验收，为原制造商制造的全新产品，整机无污染，无侵权行为、表面无划损、无任何缺陷隐患，在中国境内可依常规安全合法使用。 </w:t>
      </w:r>
    </w:p>
    <w:p>
      <w:pPr>
        <w:numPr>
          <w:ilvl w:val="0"/>
          <w:numId w:val="16"/>
        </w:numPr>
        <w:tabs>
          <w:tab w:val="left" w:pos="900"/>
        </w:tabs>
        <w:autoSpaceDE w:val="0"/>
        <w:autoSpaceDN w:val="0"/>
        <w:adjustRightInd w:val="0"/>
        <w:snapToGrid w:val="0"/>
        <w:spacing w:line="360" w:lineRule="auto"/>
        <w:rPr>
          <w:rFonts w:ascii="宋体" w:hAnsi="宋体" w:cs="宋体"/>
          <w:color w:val="000000"/>
          <w:szCs w:val="21"/>
        </w:rPr>
      </w:pPr>
      <w:r>
        <w:rPr>
          <w:rFonts w:hint="eastAsia" w:ascii="宋体" w:hAnsi="宋体" w:cs="宋体"/>
          <w:color w:val="000000"/>
          <w:szCs w:val="21"/>
        </w:rPr>
        <w:t>货物为原厂商未启封全新包装，具出厂合格证，序列号、包装箱号与出厂批号一致，并可追索查阅。所有随设备的附件必须齐全。</w:t>
      </w:r>
    </w:p>
    <w:p>
      <w:pPr>
        <w:numPr>
          <w:ilvl w:val="0"/>
          <w:numId w:val="16"/>
        </w:numPr>
        <w:tabs>
          <w:tab w:val="left" w:pos="900"/>
        </w:tabs>
        <w:autoSpaceDE w:val="0"/>
        <w:autoSpaceDN w:val="0"/>
        <w:adjustRightInd w:val="0"/>
        <w:snapToGrid w:val="0"/>
        <w:spacing w:line="360" w:lineRule="auto"/>
        <w:jc w:val="left"/>
        <w:rPr>
          <w:rFonts w:ascii="宋体" w:hAnsi="宋体" w:cs="宋体"/>
          <w:color w:val="000000"/>
          <w:szCs w:val="21"/>
        </w:rPr>
      </w:pPr>
      <w:r>
        <w:rPr>
          <w:rFonts w:hint="eastAsia" w:ascii="宋体" w:hAnsi="宋体" w:cs="宋体"/>
          <w:color w:val="000000"/>
          <w:szCs w:val="21"/>
        </w:rPr>
        <w:t>采购人组成验收小组按国家有关规定、规范进行验收，必要时邀请相关的专业人员或机构参与验收。因货物质量问题发生争议时，由本地质量技术监督部门鉴定。货物符合质量技术标准的，鉴定费由采购人承担；否则鉴定费由成交人承担。</w:t>
      </w:r>
    </w:p>
    <w:p>
      <w:pPr>
        <w:pStyle w:val="9"/>
        <w:numPr>
          <w:ilvl w:val="0"/>
          <w:numId w:val="12"/>
        </w:numPr>
        <w:tabs>
          <w:tab w:val="left" w:pos="540"/>
        </w:tabs>
        <w:adjustRightInd w:val="0"/>
        <w:snapToGrid w:val="0"/>
        <w:spacing w:line="360" w:lineRule="auto"/>
        <w:rPr>
          <w:rFonts w:hAnsi="宋体" w:cs="宋体"/>
          <w:b/>
          <w:color w:val="000000"/>
        </w:rPr>
      </w:pPr>
      <w:r>
        <w:rPr>
          <w:rFonts w:hint="eastAsia" w:hAnsi="宋体" w:cs="宋体"/>
          <w:b/>
          <w:color w:val="000000"/>
        </w:rPr>
        <w:t>付款方式</w:t>
      </w:r>
    </w:p>
    <w:p>
      <w:pPr>
        <w:snapToGrid w:val="0"/>
        <w:spacing w:line="360" w:lineRule="auto"/>
        <w:ind w:firstLine="420" w:firstLineChars="200"/>
        <w:rPr>
          <w:rFonts w:ascii="宋体" w:hAnsi="宋体" w:cs="宋体"/>
          <w:szCs w:val="21"/>
        </w:rPr>
      </w:pPr>
      <w:r>
        <w:rPr>
          <w:rFonts w:hint="eastAsia" w:ascii="宋体" w:hAnsi="宋体" w:cs="宋体"/>
          <w:szCs w:val="21"/>
        </w:rPr>
        <w:t>由采购人按下列程序付款：</w:t>
      </w:r>
      <w:r>
        <w:rPr>
          <w:rFonts w:ascii="宋体" w:hAnsi="宋体" w:cs="宋体"/>
          <w:szCs w:val="21"/>
        </w:rPr>
        <w:t xml:space="preserve"> </w:t>
      </w:r>
    </w:p>
    <w:p>
      <w:pPr>
        <w:numPr>
          <w:ilvl w:val="0"/>
          <w:numId w:val="17"/>
        </w:numPr>
        <w:autoSpaceDE w:val="0"/>
        <w:autoSpaceDN w:val="0"/>
        <w:adjustRightInd w:val="0"/>
        <w:snapToGrid w:val="0"/>
        <w:spacing w:line="360" w:lineRule="auto"/>
        <w:rPr>
          <w:rFonts w:ascii="宋体" w:hAnsi="宋体" w:cs="宋体"/>
          <w:szCs w:val="21"/>
        </w:rPr>
      </w:pPr>
      <w:r>
        <w:rPr>
          <w:rFonts w:hint="eastAsia" w:ascii="宋体" w:hAnsi="宋体" w:cs="宋体"/>
          <w:szCs w:val="21"/>
        </w:rPr>
        <w:t>从验收合格之日起，正常使用1个月后，支付对应订单合同总价的</w:t>
      </w:r>
      <w:r>
        <w:rPr>
          <w:rFonts w:hint="eastAsia" w:ascii="宋体" w:hAnsi="宋体" w:cs="宋体"/>
          <w:szCs w:val="21"/>
          <w:u w:val="single"/>
        </w:rPr>
        <w:t xml:space="preserve"> 100</w:t>
      </w:r>
      <w:r>
        <w:rPr>
          <w:rFonts w:ascii="宋体" w:hAnsi="宋体" w:cs="宋体"/>
          <w:szCs w:val="21"/>
          <w:u w:val="single"/>
        </w:rPr>
        <w:t xml:space="preserve"> </w:t>
      </w:r>
      <w:r>
        <w:rPr>
          <w:rFonts w:hint="eastAsia" w:ascii="宋体" w:hAnsi="宋体" w:cs="宋体"/>
          <w:szCs w:val="21"/>
        </w:rPr>
        <w:t>%。</w:t>
      </w:r>
    </w:p>
    <w:p>
      <w:pPr>
        <w:numPr>
          <w:ilvl w:val="0"/>
          <w:numId w:val="17"/>
        </w:numPr>
        <w:autoSpaceDE w:val="0"/>
        <w:autoSpaceDN w:val="0"/>
        <w:adjustRightInd w:val="0"/>
        <w:snapToGrid w:val="0"/>
        <w:spacing w:line="360" w:lineRule="auto"/>
        <w:jc w:val="left"/>
        <w:rPr>
          <w:rFonts w:ascii="宋体" w:hAnsi="宋体"/>
          <w:kern w:val="21"/>
        </w:rPr>
      </w:pPr>
      <w:r>
        <w:rPr>
          <w:rFonts w:hint="eastAsia" w:ascii="宋体" w:hAnsi="宋体"/>
          <w:kern w:val="21"/>
        </w:rPr>
        <w:t>成交人凭以下有效文件与采购人结算：</w:t>
      </w:r>
    </w:p>
    <w:p>
      <w:pPr>
        <w:snapToGrid w:val="0"/>
        <w:spacing w:line="360" w:lineRule="auto"/>
        <w:ind w:firstLine="315" w:firstLineChars="150"/>
        <w:rPr>
          <w:rFonts w:ascii="宋体" w:hAnsi="宋体"/>
        </w:rPr>
      </w:pPr>
      <w:r>
        <w:rPr>
          <w:rFonts w:hint="eastAsia" w:ascii="宋体" w:hAnsi="宋体"/>
        </w:rPr>
        <w:t>（1）</w:t>
      </w:r>
      <w:r>
        <w:rPr>
          <w:rFonts w:ascii="宋体" w:hAnsi="宋体"/>
        </w:rPr>
        <w:t>合同；</w:t>
      </w:r>
    </w:p>
    <w:p>
      <w:pPr>
        <w:snapToGrid w:val="0"/>
        <w:spacing w:line="360" w:lineRule="auto"/>
        <w:ind w:firstLine="315" w:firstLineChars="150"/>
        <w:rPr>
          <w:rFonts w:ascii="宋体" w:hAnsi="宋体"/>
        </w:rPr>
      </w:pPr>
      <w:r>
        <w:rPr>
          <w:rFonts w:hint="eastAsia" w:ascii="宋体" w:hAnsi="宋体"/>
        </w:rPr>
        <w:t>（2）</w:t>
      </w:r>
      <w:r>
        <w:rPr>
          <w:rFonts w:ascii="宋体" w:hAnsi="宋体"/>
        </w:rPr>
        <w:t>成交人开具的正式发票；</w:t>
      </w:r>
    </w:p>
    <w:p>
      <w:pPr>
        <w:snapToGrid w:val="0"/>
        <w:spacing w:line="360" w:lineRule="auto"/>
        <w:ind w:firstLine="315" w:firstLineChars="150"/>
        <w:rPr>
          <w:rFonts w:ascii="宋体" w:hAnsi="宋体"/>
        </w:rPr>
      </w:pPr>
      <w:r>
        <w:rPr>
          <w:rFonts w:hint="eastAsia" w:ascii="宋体" w:hAnsi="宋体"/>
        </w:rPr>
        <w:t>（3）入库收货单；</w:t>
      </w:r>
    </w:p>
    <w:p>
      <w:pPr>
        <w:snapToGrid w:val="0"/>
        <w:spacing w:line="360" w:lineRule="auto"/>
        <w:ind w:firstLine="315" w:firstLineChars="150"/>
        <w:rPr>
          <w:rFonts w:ascii="宋体" w:hAnsi="宋体"/>
          <w:b/>
        </w:rPr>
      </w:pPr>
      <w:r>
        <w:rPr>
          <w:rFonts w:hint="eastAsia" w:ascii="宋体" w:hAnsi="宋体"/>
        </w:rPr>
        <w:t>（4）成交</w:t>
      </w:r>
      <w:r>
        <w:rPr>
          <w:rFonts w:ascii="宋体" w:hAnsi="宋体"/>
        </w:rPr>
        <w:t>通知书。</w:t>
      </w:r>
      <w:r>
        <w:rPr>
          <w:rFonts w:ascii="宋体" w:hAnsi="宋体"/>
          <w:b/>
        </w:rPr>
        <w:tab/>
      </w:r>
    </w:p>
    <w:p>
      <w:pPr>
        <w:rPr>
          <w:rFonts w:asciiTheme="minorEastAsia" w:hAnsiTheme="minorEastAsia" w:cstheme="minorEastAsia"/>
          <w:color w:val="000000" w:themeColor="text1"/>
          <w:lang w:val="zh-CN"/>
          <w14:textFill>
            <w14:solidFill>
              <w14:schemeClr w14:val="tx1"/>
            </w14:solidFill>
          </w14:textFill>
        </w:rPr>
      </w:pPr>
      <w:r>
        <w:rPr>
          <w:rFonts w:hint="eastAsia" w:asciiTheme="minorEastAsia" w:hAnsiTheme="minorEastAsia" w:cstheme="minorEastAsia"/>
          <w:color w:val="000000" w:themeColor="text1"/>
          <w:lang w:val="zh-CN"/>
          <w14:textFill>
            <w14:solidFill>
              <w14:schemeClr w14:val="tx1"/>
            </w14:solidFill>
          </w14:textFill>
        </w:rPr>
        <w:br w:type="page"/>
      </w:r>
    </w:p>
    <w:p>
      <w:pPr>
        <w:pStyle w:val="17"/>
        <w:spacing w:before="0" w:after="0"/>
        <w:rPr>
          <w:rFonts w:asciiTheme="minorEastAsia" w:hAnsiTheme="minorEastAsia" w:eastAsiaTheme="minorEastAsia" w:cstheme="minorEastAsia"/>
          <w:color w:val="000000" w:themeColor="text1"/>
          <w:lang w:val="zh-CN"/>
          <w14:textFill>
            <w14:solidFill>
              <w14:schemeClr w14:val="tx1"/>
            </w14:solidFill>
          </w14:textFill>
        </w:rPr>
      </w:pPr>
      <w:r>
        <w:rPr>
          <w:rFonts w:hint="eastAsia" w:asciiTheme="minorEastAsia" w:hAnsiTheme="minorEastAsia" w:eastAsiaTheme="minorEastAsia" w:cstheme="minorEastAsia"/>
          <w:color w:val="000000" w:themeColor="text1"/>
          <w:lang w:val="zh-CN"/>
          <w14:textFill>
            <w14:solidFill>
              <w14:schemeClr w14:val="tx1"/>
            </w14:solidFill>
          </w14:textFill>
        </w:rPr>
        <w:t>第三章 报价附件</w:t>
      </w:r>
    </w:p>
    <w:p>
      <w:pPr>
        <w:pStyle w:val="5"/>
        <w:spacing w:before="0" w:after="0"/>
        <w:jc w:val="center"/>
        <w:rPr>
          <w:rFonts w:asciiTheme="minorEastAsia" w:hAnsiTheme="minorEastAsia" w:eastAsiaTheme="minorEastAsia" w:cstheme="minorEastAsia"/>
          <w:color w:val="000000" w:themeColor="text1"/>
          <w:lang w:val="zh-CN"/>
          <w14:textFill>
            <w14:solidFill>
              <w14:schemeClr w14:val="tx1"/>
            </w14:solidFill>
          </w14:textFill>
        </w:rPr>
      </w:pPr>
      <w:r>
        <w:rPr>
          <w:rFonts w:hint="eastAsia" w:asciiTheme="minorEastAsia" w:hAnsiTheme="minorEastAsia" w:eastAsiaTheme="minorEastAsia" w:cstheme="minorEastAsia"/>
          <w:color w:val="000000" w:themeColor="text1"/>
          <w:lang w:val="zh-CN"/>
          <w14:textFill>
            <w14:solidFill>
              <w14:schemeClr w14:val="tx1"/>
            </w14:solidFill>
          </w14:textFill>
        </w:rPr>
        <w:t>报 价 表</w:t>
      </w:r>
    </w:p>
    <w:tbl>
      <w:tblPr>
        <w:tblStyle w:val="20"/>
        <w:tblW w:w="9299" w:type="dxa"/>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2158"/>
        <w:gridCol w:w="807"/>
        <w:gridCol w:w="1550"/>
        <w:gridCol w:w="1908"/>
        <w:gridCol w:w="1729"/>
        <w:gridCol w:w="1147"/>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62" w:hRule="atLeast"/>
          <w:jc w:val="center"/>
        </w:trPr>
        <w:tc>
          <w:tcPr>
            <w:tcW w:w="2158" w:type="dxa"/>
            <w:tcBorders>
              <w:tl2br w:val="nil"/>
              <w:tr2bl w:val="nil"/>
            </w:tcBorders>
            <w:shd w:val="clear" w:color="auto" w:fill="auto"/>
            <w:vAlign w:val="center"/>
          </w:tcPr>
          <w:p>
            <w:pPr>
              <w:shd w:val="clear" w:color="auto" w:fill="FFFFFF"/>
              <w:snapToGrid w:val="0"/>
              <w:jc w:val="center"/>
              <w:rPr>
                <w:rFonts w:asciiTheme="minorEastAsia" w:hAnsiTheme="minorEastAsia" w:cstheme="minorEastAsia"/>
                <w:b/>
                <w:szCs w:val="24"/>
                <w:shd w:val="clear" w:color="auto" w:fill="FFFFFF"/>
              </w:rPr>
            </w:pPr>
            <w:r>
              <w:rPr>
                <w:rFonts w:hint="eastAsia" w:asciiTheme="minorEastAsia" w:hAnsiTheme="minorEastAsia" w:cstheme="minorEastAsia"/>
                <w:b/>
                <w:szCs w:val="24"/>
                <w:shd w:val="clear" w:color="auto" w:fill="FFFFFF"/>
              </w:rPr>
              <w:t>采购内容</w:t>
            </w:r>
          </w:p>
        </w:tc>
        <w:tc>
          <w:tcPr>
            <w:tcW w:w="807" w:type="dxa"/>
            <w:tcBorders>
              <w:tl2br w:val="nil"/>
              <w:tr2bl w:val="nil"/>
            </w:tcBorders>
            <w:shd w:val="clear" w:color="auto" w:fill="auto"/>
            <w:vAlign w:val="center"/>
          </w:tcPr>
          <w:p>
            <w:pPr>
              <w:shd w:val="clear" w:color="auto" w:fill="FFFFFF"/>
              <w:snapToGrid w:val="0"/>
              <w:jc w:val="center"/>
              <w:rPr>
                <w:rFonts w:asciiTheme="minorEastAsia" w:hAnsiTheme="minorEastAsia" w:cstheme="minorEastAsia"/>
                <w:b/>
                <w:szCs w:val="24"/>
                <w:shd w:val="clear" w:color="auto" w:fill="FFFFFF"/>
                <w:lang w:bidi="ar"/>
              </w:rPr>
            </w:pPr>
            <w:r>
              <w:rPr>
                <w:rFonts w:hint="eastAsia" w:asciiTheme="minorEastAsia" w:hAnsiTheme="minorEastAsia" w:cstheme="minorEastAsia"/>
                <w:b/>
                <w:szCs w:val="24"/>
                <w:shd w:val="clear" w:color="auto" w:fill="FFFFFF"/>
                <w:lang w:bidi="ar"/>
              </w:rPr>
              <w:t>数量</w:t>
            </w:r>
          </w:p>
        </w:tc>
        <w:tc>
          <w:tcPr>
            <w:tcW w:w="1550" w:type="dxa"/>
            <w:tcBorders>
              <w:tl2br w:val="nil"/>
              <w:tr2bl w:val="nil"/>
            </w:tcBorders>
            <w:shd w:val="clear" w:color="auto" w:fill="auto"/>
            <w:vAlign w:val="center"/>
          </w:tcPr>
          <w:p>
            <w:pPr>
              <w:shd w:val="clear" w:color="auto" w:fill="FFFFFF"/>
              <w:snapToGrid w:val="0"/>
              <w:jc w:val="center"/>
              <w:rPr>
                <w:rFonts w:asciiTheme="minorEastAsia" w:hAnsiTheme="minorEastAsia" w:cstheme="minorEastAsia"/>
                <w:b/>
                <w:szCs w:val="24"/>
                <w:shd w:val="clear" w:color="auto" w:fill="FFFFFF"/>
              </w:rPr>
            </w:pPr>
            <w:r>
              <w:rPr>
                <w:rFonts w:hint="eastAsia" w:asciiTheme="minorEastAsia" w:hAnsiTheme="minorEastAsia" w:cstheme="minorEastAsia"/>
                <w:b/>
                <w:szCs w:val="24"/>
                <w:shd w:val="clear" w:color="auto" w:fill="FFFFFF"/>
              </w:rPr>
              <w:t>服务期</w:t>
            </w:r>
          </w:p>
        </w:tc>
        <w:tc>
          <w:tcPr>
            <w:tcW w:w="1908" w:type="dxa"/>
            <w:tcBorders>
              <w:tl2br w:val="nil"/>
              <w:tr2bl w:val="nil"/>
            </w:tcBorders>
            <w:shd w:val="clear" w:color="auto" w:fill="auto"/>
            <w:vAlign w:val="center"/>
          </w:tcPr>
          <w:p>
            <w:pPr>
              <w:shd w:val="clear" w:color="auto" w:fill="FFFFFF"/>
              <w:snapToGrid w:val="0"/>
              <w:jc w:val="center"/>
              <w:rPr>
                <w:rFonts w:asciiTheme="minorEastAsia" w:hAnsiTheme="minorEastAsia" w:cstheme="minorEastAsia"/>
                <w:b/>
                <w:szCs w:val="24"/>
                <w:shd w:val="clear" w:color="auto" w:fill="FFFFFF"/>
              </w:rPr>
            </w:pPr>
            <w:r>
              <w:rPr>
                <w:rFonts w:hint="eastAsia" w:ascii="宋体" w:hAnsi="宋体" w:eastAsia="宋体" w:cs="宋体"/>
                <w:b/>
                <w:color w:val="000000"/>
                <w:szCs w:val="21"/>
              </w:rPr>
              <w:t>项目预算（含税）</w:t>
            </w:r>
          </w:p>
        </w:tc>
        <w:tc>
          <w:tcPr>
            <w:tcW w:w="1729" w:type="dxa"/>
            <w:tcBorders>
              <w:tl2br w:val="nil"/>
              <w:tr2bl w:val="nil"/>
            </w:tcBorders>
            <w:shd w:val="clear" w:color="auto" w:fill="auto"/>
            <w:vAlign w:val="center"/>
          </w:tcPr>
          <w:p>
            <w:pPr>
              <w:shd w:val="clear" w:color="auto" w:fill="FFFFFF"/>
              <w:snapToGrid w:val="0"/>
              <w:jc w:val="center"/>
              <w:rPr>
                <w:rFonts w:asciiTheme="minorEastAsia" w:hAnsiTheme="minorEastAsia" w:cstheme="minorEastAsia"/>
                <w:b/>
                <w:szCs w:val="24"/>
                <w:shd w:val="clear" w:color="auto" w:fill="FFFFFF"/>
              </w:rPr>
            </w:pPr>
            <w:r>
              <w:rPr>
                <w:rFonts w:hint="eastAsia" w:asciiTheme="minorEastAsia" w:hAnsiTheme="minorEastAsia" w:cstheme="minorEastAsia"/>
                <w:b/>
                <w:szCs w:val="24"/>
                <w:shd w:val="clear" w:color="auto" w:fill="FFFFFF"/>
                <w:lang w:bidi="ar"/>
              </w:rPr>
              <w:t>报价（元）</w:t>
            </w:r>
          </w:p>
        </w:tc>
        <w:tc>
          <w:tcPr>
            <w:tcW w:w="1147" w:type="dxa"/>
            <w:tcBorders>
              <w:tl2br w:val="nil"/>
              <w:tr2bl w:val="nil"/>
            </w:tcBorders>
            <w:shd w:val="clear" w:color="auto" w:fill="auto"/>
            <w:vAlign w:val="center"/>
          </w:tcPr>
          <w:p>
            <w:pPr>
              <w:shd w:val="clear" w:color="auto" w:fill="FFFFFF"/>
              <w:snapToGrid w:val="0"/>
              <w:jc w:val="center"/>
              <w:rPr>
                <w:rFonts w:asciiTheme="minorEastAsia" w:hAnsiTheme="minorEastAsia" w:cstheme="minorEastAsia"/>
                <w:b/>
                <w:szCs w:val="24"/>
                <w:shd w:val="clear" w:color="auto" w:fill="FFFFFF"/>
                <w:lang w:bidi="ar"/>
              </w:rPr>
            </w:pPr>
            <w:r>
              <w:rPr>
                <w:rFonts w:hint="eastAsia" w:asciiTheme="minorEastAsia" w:hAnsiTheme="minorEastAsia" w:cstheme="minorEastAsia"/>
                <w:b/>
                <w:szCs w:val="24"/>
                <w:shd w:val="clear" w:color="auto" w:fill="FFFFFF"/>
                <w:lang w:bidi="ar"/>
              </w:rPr>
              <w:t>备注</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928" w:hRule="atLeast"/>
          <w:jc w:val="center"/>
        </w:trPr>
        <w:tc>
          <w:tcPr>
            <w:tcW w:w="2158" w:type="dxa"/>
            <w:tcBorders>
              <w:tl2br w:val="nil"/>
              <w:tr2bl w:val="nil"/>
            </w:tcBorders>
            <w:shd w:val="clear" w:color="auto" w:fill="auto"/>
            <w:vAlign w:val="center"/>
          </w:tcPr>
          <w:p>
            <w:pPr>
              <w:spacing w:line="360" w:lineRule="auto"/>
              <w:jc w:val="center"/>
              <w:rPr>
                <w:rFonts w:asciiTheme="minorEastAsia" w:hAnsiTheme="minorEastAsia" w:cstheme="minorEastAsia"/>
                <w:szCs w:val="24"/>
                <w:shd w:val="clear" w:color="auto" w:fill="FFFFFF"/>
              </w:rPr>
            </w:pPr>
            <w:r>
              <w:rPr>
                <w:rFonts w:hint="eastAsia" w:asciiTheme="minorEastAsia" w:hAnsiTheme="minorEastAsia" w:cstheme="minorEastAsia"/>
                <w:color w:val="000000" w:themeColor="text1"/>
                <w:szCs w:val="21"/>
                <w14:textFill>
                  <w14:solidFill>
                    <w14:schemeClr w14:val="tx1"/>
                  </w14:solidFill>
                </w14:textFill>
              </w:rPr>
              <w:t>建设运维部7月辅材采购</w:t>
            </w:r>
          </w:p>
        </w:tc>
        <w:tc>
          <w:tcPr>
            <w:tcW w:w="807" w:type="dxa"/>
            <w:tcBorders>
              <w:tl2br w:val="nil"/>
              <w:tr2bl w:val="nil"/>
            </w:tcBorders>
            <w:shd w:val="clear" w:color="auto" w:fill="auto"/>
            <w:vAlign w:val="center"/>
          </w:tcPr>
          <w:p>
            <w:pPr>
              <w:spacing w:line="360" w:lineRule="auto"/>
              <w:jc w:val="center"/>
              <w:rPr>
                <w:rFonts w:asciiTheme="minorEastAsia" w:hAnsiTheme="minorEastAsia" w:cstheme="minorEastAsia"/>
                <w:szCs w:val="24"/>
                <w:shd w:val="clear" w:color="auto" w:fill="FFFFFF"/>
              </w:rPr>
            </w:pPr>
            <w:r>
              <w:rPr>
                <w:rFonts w:hint="eastAsia" w:ascii="宋体" w:hAnsi="宋体" w:eastAsia="宋体" w:cs="宋体"/>
                <w:szCs w:val="21"/>
              </w:rPr>
              <w:t>1批</w:t>
            </w:r>
          </w:p>
        </w:tc>
        <w:tc>
          <w:tcPr>
            <w:tcW w:w="1550" w:type="dxa"/>
            <w:tcBorders>
              <w:tl2br w:val="nil"/>
              <w:tr2bl w:val="nil"/>
            </w:tcBorders>
            <w:shd w:val="clear" w:color="auto" w:fill="auto"/>
            <w:vAlign w:val="center"/>
          </w:tcPr>
          <w:p>
            <w:pPr>
              <w:spacing w:before="156" w:beforeLines="50" w:line="360" w:lineRule="auto"/>
              <w:jc w:val="center"/>
              <w:rPr>
                <w:rFonts w:asciiTheme="minorEastAsia" w:hAnsiTheme="minorEastAsia" w:cstheme="minorEastAsia"/>
                <w:szCs w:val="24"/>
                <w:shd w:val="clear" w:color="auto" w:fill="FFFFFF"/>
              </w:rPr>
            </w:pPr>
            <w:r>
              <w:rPr>
                <w:rFonts w:hint="eastAsia" w:ascii="宋体" w:hAnsi="宋体" w:cs="宋体"/>
                <w:bCs/>
                <w:szCs w:val="21"/>
              </w:rPr>
              <w:t>自合同签订之日起一年内</w:t>
            </w:r>
          </w:p>
        </w:tc>
        <w:tc>
          <w:tcPr>
            <w:tcW w:w="1908" w:type="dxa"/>
            <w:tcBorders>
              <w:tl2br w:val="nil"/>
              <w:tr2bl w:val="nil"/>
            </w:tcBorders>
            <w:shd w:val="clear" w:color="auto" w:fill="auto"/>
            <w:vAlign w:val="center"/>
          </w:tcPr>
          <w:p>
            <w:pPr>
              <w:spacing w:before="156" w:beforeLines="50" w:line="360" w:lineRule="auto"/>
              <w:jc w:val="center"/>
              <w:rPr>
                <w:rFonts w:asciiTheme="minorEastAsia" w:hAnsiTheme="minorEastAsia" w:cstheme="minorEastAsia"/>
                <w:szCs w:val="24"/>
                <w:shd w:val="clear" w:color="auto" w:fill="FFFFFF"/>
              </w:rPr>
            </w:pPr>
            <w:r>
              <w:rPr>
                <w:rFonts w:hint="eastAsia" w:ascii="宋体" w:hAnsi="宋体" w:cs="宋体"/>
                <w:szCs w:val="21"/>
              </w:rPr>
              <w:t>人民币19.6万元</w:t>
            </w:r>
          </w:p>
        </w:tc>
        <w:tc>
          <w:tcPr>
            <w:tcW w:w="1729" w:type="dxa"/>
            <w:tcBorders>
              <w:tl2br w:val="nil"/>
              <w:tr2bl w:val="nil"/>
            </w:tcBorders>
            <w:shd w:val="clear" w:color="auto" w:fill="auto"/>
            <w:vAlign w:val="center"/>
          </w:tcPr>
          <w:p>
            <w:pPr>
              <w:spacing w:line="360" w:lineRule="auto"/>
              <w:jc w:val="center"/>
              <w:rPr>
                <w:rFonts w:asciiTheme="minorEastAsia" w:hAnsiTheme="minorEastAsia" w:cstheme="minorEastAsia"/>
                <w:szCs w:val="24"/>
                <w:shd w:val="clear" w:color="auto" w:fill="FFFFFF"/>
              </w:rPr>
            </w:pPr>
          </w:p>
        </w:tc>
        <w:tc>
          <w:tcPr>
            <w:tcW w:w="1147" w:type="dxa"/>
            <w:tcBorders>
              <w:tl2br w:val="nil"/>
              <w:tr2bl w:val="nil"/>
            </w:tcBorders>
            <w:shd w:val="clear" w:color="auto" w:fill="auto"/>
            <w:vAlign w:val="center"/>
          </w:tcPr>
          <w:p>
            <w:pPr>
              <w:spacing w:line="360" w:lineRule="auto"/>
              <w:jc w:val="center"/>
              <w:rPr>
                <w:rFonts w:asciiTheme="minorEastAsia" w:hAnsiTheme="minorEastAsia" w:cstheme="minorEastAsia"/>
                <w:szCs w:val="24"/>
                <w:shd w:val="clear" w:color="auto" w:fill="FFFFFF"/>
              </w:rPr>
            </w:pPr>
          </w:p>
        </w:tc>
      </w:tr>
    </w:tbl>
    <w:p>
      <w:pPr>
        <w:spacing w:line="500" w:lineRule="exact"/>
        <w:rPr>
          <w:rFonts w:asciiTheme="minorEastAsia" w:hAnsiTheme="minorEastAsia" w:cstheme="minorEastAsia"/>
          <w:b/>
          <w:color w:val="000000" w:themeColor="text1"/>
          <w:spacing w:val="4"/>
          <w:szCs w:val="21"/>
          <w14:textFill>
            <w14:solidFill>
              <w14:schemeClr w14:val="tx1"/>
            </w14:solidFill>
          </w14:textFill>
        </w:rPr>
      </w:pPr>
      <w:r>
        <w:rPr>
          <w:rFonts w:hint="eastAsia" w:asciiTheme="minorEastAsia" w:hAnsiTheme="minorEastAsia" w:cstheme="minorEastAsia"/>
          <w:b/>
          <w:color w:val="000000" w:themeColor="text1"/>
          <w:spacing w:val="4"/>
          <w:szCs w:val="21"/>
          <w14:textFill>
            <w14:solidFill>
              <w14:schemeClr w14:val="tx1"/>
            </w14:solidFill>
          </w14:textFill>
        </w:rPr>
        <w:t>注：</w:t>
      </w:r>
    </w:p>
    <w:p>
      <w:pPr>
        <w:pStyle w:val="16"/>
        <w:numPr>
          <w:ilvl w:val="0"/>
          <w:numId w:val="18"/>
        </w:numPr>
        <w:shd w:val="clear" w:color="auto" w:fill="FFFFFF"/>
        <w:spacing w:before="0" w:beforeAutospacing="0" w:after="0" w:afterAutospacing="0" w:line="360" w:lineRule="auto"/>
        <w:rPr>
          <w:rFonts w:asciiTheme="minorEastAsia" w:hAnsiTheme="minorEastAsia" w:eastAsiaTheme="minorEastAsia" w:cstheme="minorEastAsia"/>
          <w:b/>
          <w:bCs/>
          <w:color w:val="000000" w:themeColor="text1"/>
          <w:sz w:val="21"/>
          <w:szCs w:val="21"/>
          <w:u w:val="single"/>
          <w14:textFill>
            <w14:solidFill>
              <w14:schemeClr w14:val="tx1"/>
            </w14:solidFill>
          </w14:textFill>
        </w:rPr>
      </w:pPr>
      <w:r>
        <w:rPr>
          <w:rFonts w:hint="eastAsia" w:asciiTheme="minorEastAsia" w:hAnsiTheme="minorEastAsia" w:eastAsiaTheme="minorEastAsia" w:cstheme="minorEastAsia"/>
          <w:b/>
          <w:bCs/>
          <w:color w:val="000000" w:themeColor="text1"/>
          <w:sz w:val="21"/>
          <w:szCs w:val="21"/>
          <w:u w:val="single"/>
          <w14:textFill>
            <w14:solidFill>
              <w14:schemeClr w14:val="tx1"/>
            </w14:solidFill>
          </w14:textFill>
        </w:rPr>
        <w:t>供应商必须按报价表的格式填写，不得增加或删除表格内容。除单价、金额或项目要求填写的内容外，不得擅自改动报价表内容，</w:t>
      </w:r>
      <w:r>
        <w:rPr>
          <w:rFonts w:hint="eastAsia" w:asciiTheme="minorEastAsia" w:hAnsiTheme="minorEastAsia" w:eastAsiaTheme="minorEastAsia" w:cstheme="minorEastAsia"/>
          <w:b/>
          <w:bCs/>
          <w:color w:val="000000" w:themeColor="text1"/>
          <w:sz w:val="21"/>
          <w:szCs w:val="21"/>
          <w14:textFill>
            <w14:solidFill>
              <w14:schemeClr w14:val="tx1"/>
            </w14:solidFill>
          </w14:textFill>
        </w:rPr>
        <w:t>否则将有可能影响成交结果，不推荐为成交候选人；</w:t>
      </w:r>
    </w:p>
    <w:p>
      <w:pPr>
        <w:pStyle w:val="16"/>
        <w:numPr>
          <w:ilvl w:val="0"/>
          <w:numId w:val="18"/>
        </w:numPr>
        <w:shd w:val="clear" w:color="auto" w:fill="FFFFFF"/>
        <w:spacing w:before="0" w:beforeAutospacing="0" w:after="0" w:afterAutospacing="0" w:line="360" w:lineRule="auto"/>
        <w:rPr>
          <w:rFonts w:asciiTheme="minorEastAsia" w:hAnsiTheme="minorEastAsia" w:eastAsiaTheme="minorEastAsia" w:cstheme="minorEastAsia"/>
          <w:b/>
          <w:color w:val="000000" w:themeColor="text1"/>
          <w:sz w:val="21"/>
          <w:szCs w:val="21"/>
          <w14:textFill>
            <w14:solidFill>
              <w14:schemeClr w14:val="tx1"/>
            </w14:solidFill>
          </w14:textFill>
        </w:rPr>
      </w:pPr>
      <w:r>
        <w:rPr>
          <w:rFonts w:hint="eastAsia" w:asciiTheme="minorEastAsia" w:hAnsiTheme="minorEastAsia" w:eastAsiaTheme="minorEastAsia" w:cstheme="minorEastAsia"/>
          <w:b/>
          <w:color w:val="000000" w:themeColor="text1"/>
          <w:sz w:val="21"/>
          <w:szCs w:val="21"/>
          <w14:textFill>
            <w14:solidFill>
              <w14:schemeClr w14:val="tx1"/>
            </w14:solidFill>
          </w14:textFill>
        </w:rPr>
        <w:t>所有价格均系用人民币表示，单位为元，</w:t>
      </w:r>
      <w:r>
        <w:rPr>
          <w:rFonts w:hint="eastAsia" w:asciiTheme="minorEastAsia" w:hAnsiTheme="minorEastAsia" w:eastAsiaTheme="minorEastAsia" w:cstheme="minorEastAsia"/>
          <w:b/>
          <w:bCs/>
          <w:color w:val="000000" w:themeColor="text1"/>
          <w:sz w:val="21"/>
          <w:szCs w:val="21"/>
          <w14:textFill>
            <w14:solidFill>
              <w14:schemeClr w14:val="tx1"/>
            </w14:solidFill>
          </w14:textFill>
        </w:rPr>
        <w:t>均为含税价</w:t>
      </w:r>
      <w:r>
        <w:rPr>
          <w:rFonts w:hint="eastAsia" w:asciiTheme="minorEastAsia" w:hAnsiTheme="minorEastAsia" w:eastAsiaTheme="minorEastAsia" w:cstheme="minorEastAsia"/>
          <w:b/>
          <w:color w:val="000000" w:themeColor="text1"/>
          <w:sz w:val="21"/>
          <w:szCs w:val="21"/>
          <w14:textFill>
            <w14:solidFill>
              <w14:schemeClr w14:val="tx1"/>
            </w14:solidFill>
          </w14:textFill>
        </w:rPr>
        <w:t>；</w:t>
      </w:r>
    </w:p>
    <w:p>
      <w:pPr>
        <w:pStyle w:val="16"/>
        <w:numPr>
          <w:ilvl w:val="0"/>
          <w:numId w:val="18"/>
        </w:numPr>
        <w:shd w:val="clear" w:color="auto" w:fill="FFFFFF"/>
        <w:spacing w:before="0" w:beforeAutospacing="0" w:after="0" w:afterAutospacing="0" w:line="360" w:lineRule="auto"/>
        <w:rPr>
          <w:rFonts w:asciiTheme="minorEastAsia" w:hAnsiTheme="minorEastAsia" w:eastAsiaTheme="minorEastAsia" w:cstheme="minorEastAsia"/>
          <w:b/>
          <w:color w:val="000000" w:themeColor="text1"/>
          <w:sz w:val="21"/>
          <w:szCs w:val="21"/>
          <w14:textFill>
            <w14:solidFill>
              <w14:schemeClr w14:val="tx1"/>
            </w14:solidFill>
          </w14:textFill>
        </w:rPr>
      </w:pPr>
      <w:r>
        <w:rPr>
          <w:rFonts w:hint="eastAsia" w:asciiTheme="minorEastAsia" w:hAnsiTheme="minorEastAsia" w:eastAsiaTheme="minorEastAsia" w:cstheme="minorEastAsia"/>
          <w:b/>
          <w:bCs/>
          <w:color w:val="000000"/>
          <w:sz w:val="21"/>
          <w:szCs w:val="21"/>
          <w:u w:val="single"/>
          <w:shd w:val="clear" w:color="auto" w:fill="FFFFFF"/>
        </w:rPr>
        <w:t>大写金额和小写金额不一致的，以大写金额为准；单价金额小数点或者百分比有明显错位的，以报价表的总价为准，并修改单价；总价金额与按单价汇总金额不一致的，以单价金额计算结果为准；不接受总价优惠折扣形式的报价，供应商应将对项目的优惠直接在清单报价中体现出来。如果供应商不接受对其错误的更正，其报价将被视为无效报价；</w:t>
      </w:r>
    </w:p>
    <w:p>
      <w:pPr>
        <w:pStyle w:val="16"/>
        <w:numPr>
          <w:ilvl w:val="0"/>
          <w:numId w:val="18"/>
        </w:numPr>
        <w:shd w:val="clear" w:color="auto" w:fill="FFFFFF"/>
        <w:spacing w:before="0" w:beforeAutospacing="0" w:after="0" w:afterAutospacing="0" w:line="360" w:lineRule="auto"/>
        <w:rPr>
          <w:rFonts w:asciiTheme="minorEastAsia" w:hAnsiTheme="minorEastAsia" w:eastAsiaTheme="minorEastAsia" w:cstheme="minorEastAsia"/>
          <w:b/>
          <w:color w:val="000000" w:themeColor="text1"/>
          <w:sz w:val="21"/>
          <w:szCs w:val="21"/>
          <w14:textFill>
            <w14:solidFill>
              <w14:schemeClr w14:val="tx1"/>
            </w14:solidFill>
          </w14:textFill>
        </w:rPr>
      </w:pPr>
      <w:r>
        <w:rPr>
          <w:rFonts w:hint="eastAsia" w:asciiTheme="minorEastAsia" w:hAnsiTheme="minorEastAsia" w:eastAsiaTheme="minorEastAsia" w:cstheme="minorEastAsia"/>
          <w:b/>
          <w:color w:val="000000" w:themeColor="text1"/>
          <w:sz w:val="21"/>
          <w:szCs w:val="21"/>
          <w14:textFill>
            <w14:solidFill>
              <w14:schemeClr w14:val="tx1"/>
            </w14:solidFill>
          </w14:textFill>
        </w:rPr>
        <w:t>平台上报价与报价表合计不一致的，以报价表合计（经价格核准后的价格）为准。</w:t>
      </w:r>
    </w:p>
    <w:p>
      <w:pPr>
        <w:pStyle w:val="16"/>
        <w:numPr>
          <w:ilvl w:val="0"/>
          <w:numId w:val="18"/>
        </w:numPr>
        <w:shd w:val="clear" w:color="auto" w:fill="FFFFFF"/>
        <w:spacing w:before="0" w:beforeAutospacing="0" w:after="0" w:afterAutospacing="0" w:line="360" w:lineRule="auto"/>
        <w:rPr>
          <w:rFonts w:asciiTheme="minorEastAsia" w:hAnsiTheme="minorEastAsia" w:eastAsiaTheme="minorEastAsia" w:cstheme="minorEastAsia"/>
          <w:b/>
          <w:color w:val="000000" w:themeColor="text1"/>
          <w:sz w:val="21"/>
          <w:szCs w:val="21"/>
          <w14:textFill>
            <w14:solidFill>
              <w14:schemeClr w14:val="tx1"/>
            </w14:solidFill>
          </w14:textFill>
        </w:rPr>
      </w:pPr>
      <w:r>
        <w:rPr>
          <w:rFonts w:hint="eastAsia" w:asciiTheme="minorEastAsia" w:hAnsiTheme="minorEastAsia" w:eastAsiaTheme="minorEastAsia" w:cstheme="minorEastAsia"/>
          <w:b/>
          <w:bCs/>
          <w:color w:val="000000"/>
          <w:sz w:val="21"/>
          <w:szCs w:val="21"/>
          <w:u w:val="single"/>
          <w:shd w:val="clear" w:color="auto" w:fill="FFFFFF"/>
        </w:rPr>
        <w:t>供应商报价表必须加盖公章，否则视作无效报价。</w:t>
      </w:r>
    </w:p>
    <w:p>
      <w:pPr>
        <w:wordWrap w:val="0"/>
        <w:spacing w:line="360" w:lineRule="auto"/>
        <w:ind w:right="218"/>
        <w:jc w:val="right"/>
        <w:rPr>
          <w:rFonts w:asciiTheme="minorEastAsia" w:hAnsiTheme="minorEastAsia" w:cstheme="minorEastAsia"/>
          <w:color w:val="000000" w:themeColor="text1"/>
          <w:spacing w:val="4"/>
          <w:szCs w:val="21"/>
          <w14:textFill>
            <w14:solidFill>
              <w14:schemeClr w14:val="tx1"/>
            </w14:solidFill>
          </w14:textFill>
        </w:rPr>
      </w:pPr>
    </w:p>
    <w:p>
      <w:pPr>
        <w:wordWrap w:val="0"/>
        <w:spacing w:line="360" w:lineRule="auto"/>
        <w:ind w:right="218"/>
        <w:jc w:val="right"/>
        <w:rPr>
          <w:rFonts w:asciiTheme="minorEastAsia" w:hAnsiTheme="minorEastAsia" w:cstheme="minorEastAsia"/>
          <w:color w:val="000000" w:themeColor="text1"/>
          <w:szCs w:val="21"/>
          <w:u w:val="single"/>
          <w14:textFill>
            <w14:solidFill>
              <w14:schemeClr w14:val="tx1"/>
            </w14:solidFill>
          </w14:textFill>
        </w:rPr>
      </w:pPr>
      <w:r>
        <w:rPr>
          <w:rFonts w:hint="eastAsia" w:asciiTheme="minorEastAsia" w:hAnsiTheme="minorEastAsia" w:cstheme="minorEastAsia"/>
          <w:color w:val="000000" w:themeColor="text1"/>
          <w:spacing w:val="4"/>
          <w:szCs w:val="21"/>
          <w14:textFill>
            <w14:solidFill>
              <w14:schemeClr w14:val="tx1"/>
            </w14:solidFill>
          </w14:textFill>
        </w:rPr>
        <w:t>供应商名称（</w:t>
      </w:r>
      <w:r>
        <w:rPr>
          <w:rFonts w:hint="eastAsia" w:asciiTheme="minorEastAsia" w:hAnsiTheme="minorEastAsia" w:cstheme="minorEastAsia"/>
          <w:color w:val="000000" w:themeColor="text1"/>
          <w:szCs w:val="21"/>
          <w14:textFill>
            <w14:solidFill>
              <w14:schemeClr w14:val="tx1"/>
            </w14:solidFill>
          </w14:textFill>
        </w:rPr>
        <w:t>单位盖</w:t>
      </w:r>
      <w:r>
        <w:rPr>
          <w:rFonts w:hint="eastAsia" w:asciiTheme="minorEastAsia" w:hAnsiTheme="minorEastAsia" w:cstheme="minorEastAsia"/>
          <w:color w:val="000000" w:themeColor="text1"/>
          <w:spacing w:val="4"/>
          <w:szCs w:val="21"/>
          <w14:textFill>
            <w14:solidFill>
              <w14:schemeClr w14:val="tx1"/>
            </w14:solidFill>
          </w14:textFill>
        </w:rPr>
        <w:t>公章）：</w:t>
      </w:r>
      <w:r>
        <w:rPr>
          <w:rFonts w:hint="eastAsia" w:asciiTheme="minorEastAsia" w:hAnsiTheme="minorEastAsia" w:cstheme="minorEastAsia"/>
          <w:color w:val="000000" w:themeColor="text1"/>
          <w:spacing w:val="4"/>
          <w:szCs w:val="21"/>
          <w:u w:val="single"/>
          <w14:textFill>
            <w14:solidFill>
              <w14:schemeClr w14:val="tx1"/>
            </w14:solidFill>
          </w14:textFill>
        </w:rPr>
        <w:t xml:space="preserve">          </w:t>
      </w:r>
    </w:p>
    <w:p>
      <w:pPr>
        <w:spacing w:line="360" w:lineRule="auto"/>
        <w:jc w:val="left"/>
        <w:rPr>
          <w:rFonts w:asciiTheme="minorEastAsia" w:hAnsiTheme="minorEastAsia" w:cstheme="minorEastAsia"/>
          <w:color w:val="000000" w:themeColor="text1"/>
          <w:lang w:val="zh-CN"/>
          <w14:textFill>
            <w14:solidFill>
              <w14:schemeClr w14:val="tx1"/>
            </w14:solidFill>
          </w14:textFill>
        </w:rPr>
      </w:pPr>
      <w:r>
        <w:rPr>
          <w:rFonts w:hint="eastAsia" w:asciiTheme="minorEastAsia" w:hAnsiTheme="minorEastAsia" w:cstheme="minorEastAsia"/>
          <w:color w:val="000000" w:themeColor="text1"/>
          <w:spacing w:val="4"/>
          <w:szCs w:val="21"/>
          <w14:textFill>
            <w14:solidFill>
              <w14:schemeClr w14:val="tx1"/>
            </w14:solidFill>
          </w14:textFill>
        </w:rPr>
        <w:t xml:space="preserve">                                         日期：</w:t>
      </w:r>
      <w:r>
        <w:rPr>
          <w:rFonts w:hint="eastAsia" w:asciiTheme="minorEastAsia" w:hAnsiTheme="minorEastAsia" w:cstheme="minorEastAsia"/>
          <w:color w:val="000000" w:themeColor="text1"/>
          <w:spacing w:val="4"/>
          <w:szCs w:val="21"/>
          <w:u w:val="single"/>
          <w14:textFill>
            <w14:solidFill>
              <w14:schemeClr w14:val="tx1"/>
            </w14:solidFill>
          </w14:textFill>
        </w:rPr>
        <w:t xml:space="preserve">          </w:t>
      </w:r>
    </w:p>
    <w:p>
      <w:pPr>
        <w:spacing w:line="360" w:lineRule="auto"/>
        <w:ind w:right="210"/>
        <w:jc w:val="right"/>
        <w:rPr>
          <w:rFonts w:asciiTheme="minorEastAsia" w:hAnsiTheme="minorEastAsia" w:cstheme="minorEastAsia"/>
          <w:color w:val="000000" w:themeColor="text1"/>
          <w:szCs w:val="21"/>
          <w:u w:val="single"/>
          <w14:textFill>
            <w14:solidFill>
              <w14:schemeClr w14:val="tx1"/>
            </w14:solidFill>
          </w14:textFill>
        </w:rPr>
      </w:pPr>
    </w:p>
    <w:p>
      <w:r>
        <w:br w:type="page"/>
      </w:r>
    </w:p>
    <w:p>
      <w:pPr>
        <w:pStyle w:val="5"/>
        <w:spacing w:before="0" w:after="0"/>
        <w:jc w:val="center"/>
        <w:rPr>
          <w:rFonts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用户需求书响应声明函</w:t>
      </w:r>
    </w:p>
    <w:p>
      <w:pPr>
        <w:spacing w:line="360" w:lineRule="auto"/>
        <w:rPr>
          <w:rFonts w:asciiTheme="minorEastAsia" w:hAnsiTheme="minorEastAsia" w:cstheme="minorEastAsia"/>
          <w:b/>
          <w:color w:val="000000" w:themeColor="text1"/>
          <w:szCs w:val="21"/>
          <w14:textFill>
            <w14:solidFill>
              <w14:schemeClr w14:val="tx1"/>
            </w14:solidFill>
          </w14:textFill>
        </w:rPr>
      </w:pPr>
      <w:r>
        <w:rPr>
          <w:rFonts w:hint="eastAsia" w:asciiTheme="minorEastAsia" w:hAnsiTheme="minorEastAsia" w:cstheme="minorEastAsia"/>
          <w:b/>
          <w:color w:val="000000" w:themeColor="text1"/>
          <w:szCs w:val="21"/>
          <w14:textFill>
            <w14:solidFill>
              <w14:schemeClr w14:val="tx1"/>
            </w14:solidFill>
          </w14:textFill>
        </w:rPr>
        <w:t>致：广东省广播电视网络股份有限公司汕尾分公司、</w:t>
      </w:r>
      <w:r>
        <w:rPr>
          <w:rFonts w:hint="eastAsia" w:asciiTheme="minorEastAsia" w:hAnsiTheme="minorEastAsia" w:cstheme="minorEastAsia"/>
          <w:b/>
          <w:color w:val="000000" w:themeColor="text1"/>
          <w14:textFill>
            <w14:solidFill>
              <w14:schemeClr w14:val="tx1"/>
            </w14:solidFill>
          </w14:textFill>
        </w:rPr>
        <w:t>采联国际招标采购集团有限公司</w:t>
      </w:r>
    </w:p>
    <w:p>
      <w:pPr>
        <w:spacing w:line="360" w:lineRule="auto"/>
        <w:rPr>
          <w:rFonts w:asciiTheme="minorEastAsia" w:hAnsiTheme="minorEastAsia" w:cstheme="minorEastAsia"/>
          <w:color w:val="000000" w:themeColor="text1"/>
          <w:lang w:val="zh-CN"/>
          <w14:textFill>
            <w14:solidFill>
              <w14:schemeClr w14:val="tx1"/>
            </w14:solidFill>
          </w14:textFill>
        </w:rPr>
      </w:pPr>
    </w:p>
    <w:p>
      <w:pPr>
        <w:snapToGrid w:val="0"/>
        <w:spacing w:line="360" w:lineRule="auto"/>
        <w:ind w:firstLine="420" w:firstLineChars="200"/>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关于贵单位、贵司发布</w:t>
      </w:r>
      <w:r>
        <w:rPr>
          <w:rFonts w:hint="eastAsia" w:asciiTheme="minorEastAsia" w:hAnsiTheme="minorEastAsia" w:cstheme="minorEastAsia"/>
          <w:b/>
          <w:bCs/>
          <w:color w:val="000000" w:themeColor="text1"/>
          <w:szCs w:val="21"/>
          <w:u w:val="single"/>
          <w14:textFill>
            <w14:solidFill>
              <w14:schemeClr w14:val="tx1"/>
            </w14:solidFill>
          </w14:textFill>
        </w:rPr>
        <w:t>建设运维部7月辅材采购</w:t>
      </w:r>
      <w:r>
        <w:rPr>
          <w:rFonts w:hint="eastAsia" w:asciiTheme="minorEastAsia" w:hAnsiTheme="minorEastAsia" w:cstheme="minorEastAsia"/>
          <w:color w:val="000000" w:themeColor="text1"/>
          <w:szCs w:val="21"/>
          <w14:textFill>
            <w14:solidFill>
              <w14:schemeClr w14:val="tx1"/>
            </w14:solidFill>
          </w14:textFill>
        </w:rPr>
        <w:t>的竞价公告，本公司（企业）愿意参加竞价活动，并作出如下声明：</w:t>
      </w:r>
    </w:p>
    <w:p>
      <w:pPr>
        <w:pStyle w:val="37"/>
        <w:tabs>
          <w:tab w:val="left" w:pos="426"/>
        </w:tabs>
        <w:snapToGrid w:val="0"/>
        <w:spacing w:line="360" w:lineRule="auto"/>
        <w:ind w:firstLineChars="0"/>
        <w:rPr>
          <w:rFonts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本公司（企业）承诺在报名时已对于用户需求书中的各项条款、内容及要求给予充分考虑，明确承诺对于本项目的用户需求中的各项条款、内容及要求均为完全响应，不存在任意一条负偏离或不响应的情况。本公司（企业）清楚，若对于用户需求书各项条款存在任意一条负偏离或不响应的情况，不被推荐为成交候选人的要求。</w:t>
      </w:r>
    </w:p>
    <w:p>
      <w:pPr>
        <w:pStyle w:val="37"/>
        <w:tabs>
          <w:tab w:val="left" w:pos="426"/>
        </w:tabs>
        <w:snapToGrid w:val="0"/>
        <w:spacing w:line="360" w:lineRule="auto"/>
        <w:ind w:firstLineChars="0"/>
        <w:rPr>
          <w:rFonts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本公司（企业）承诺在本次采购活动中，如有违法、违规、弄虚作假行为，所造成的损失、不良后果及法律责任，一律由我公司（企业）承担。</w:t>
      </w:r>
    </w:p>
    <w:p>
      <w:pPr>
        <w:autoSpaceDE w:val="0"/>
        <w:autoSpaceDN w:val="0"/>
        <w:adjustRightInd w:val="0"/>
        <w:spacing w:line="360" w:lineRule="auto"/>
        <w:ind w:firstLine="413" w:firstLineChars="196"/>
        <w:rPr>
          <w:rFonts w:asciiTheme="minorEastAsia" w:hAnsiTheme="minorEastAsia" w:cstheme="minorEastAsia"/>
          <w:b/>
          <w:color w:val="000000" w:themeColor="text1"/>
          <w14:textFill>
            <w14:solidFill>
              <w14:schemeClr w14:val="tx1"/>
            </w14:solidFill>
          </w14:textFill>
        </w:rPr>
      </w:pPr>
      <w:r>
        <w:rPr>
          <w:rFonts w:hint="eastAsia" w:asciiTheme="minorEastAsia" w:hAnsiTheme="minorEastAsia" w:cstheme="minorEastAsia"/>
          <w:b/>
          <w:color w:val="000000" w:themeColor="text1"/>
          <w14:textFill>
            <w14:solidFill>
              <w14:schemeClr w14:val="tx1"/>
            </w14:solidFill>
          </w14:textFill>
        </w:rPr>
        <w:t>备注：</w:t>
      </w:r>
    </w:p>
    <w:p>
      <w:pPr>
        <w:pStyle w:val="27"/>
        <w:numPr>
          <w:ilvl w:val="0"/>
          <w:numId w:val="19"/>
        </w:numPr>
        <w:autoSpaceDE w:val="0"/>
        <w:autoSpaceDN w:val="0"/>
        <w:adjustRightInd w:val="0"/>
        <w:spacing w:line="360" w:lineRule="auto"/>
        <w:ind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本声明函必须提供且内容不得擅自删改，否则视为响应无效。</w:t>
      </w:r>
    </w:p>
    <w:p>
      <w:pPr>
        <w:pStyle w:val="27"/>
        <w:numPr>
          <w:ilvl w:val="0"/>
          <w:numId w:val="19"/>
        </w:numPr>
        <w:snapToGrid w:val="0"/>
        <w:spacing w:line="360" w:lineRule="auto"/>
        <w:ind w:firstLineChars="0"/>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本声明函如有虚假或与事实不符的，作无效报价处理。</w:t>
      </w:r>
    </w:p>
    <w:p>
      <w:pPr>
        <w:widowControl/>
        <w:spacing w:line="360" w:lineRule="auto"/>
        <w:jc w:val="left"/>
        <w:rPr>
          <w:rFonts w:asciiTheme="minorEastAsia" w:hAnsiTheme="minorEastAsia" w:cstheme="minorEastAsia"/>
          <w:b/>
          <w:bCs/>
          <w:color w:val="000000" w:themeColor="text1"/>
          <w:kern w:val="0"/>
          <w:sz w:val="32"/>
          <w:szCs w:val="32"/>
          <w14:textFill>
            <w14:solidFill>
              <w14:schemeClr w14:val="tx1"/>
            </w14:solidFill>
          </w14:textFill>
        </w:rPr>
      </w:pPr>
    </w:p>
    <w:p>
      <w:pPr>
        <w:wordWrap w:val="0"/>
        <w:spacing w:line="360" w:lineRule="auto"/>
        <w:jc w:val="right"/>
        <w:rPr>
          <w:rFonts w:asciiTheme="minorEastAsia" w:hAnsiTheme="minorEastAsia" w:cstheme="minorEastAsia"/>
          <w:color w:val="000000" w:themeColor="text1"/>
          <w:szCs w:val="21"/>
          <w:u w:val="single"/>
          <w14:textFill>
            <w14:solidFill>
              <w14:schemeClr w14:val="tx1"/>
            </w14:solidFill>
          </w14:textFill>
        </w:rPr>
      </w:pPr>
      <w:r>
        <w:rPr>
          <w:rFonts w:hint="eastAsia" w:asciiTheme="minorEastAsia" w:hAnsiTheme="minorEastAsia" w:cstheme="minorEastAsia"/>
          <w:color w:val="000000" w:themeColor="text1"/>
          <w:spacing w:val="4"/>
          <w:szCs w:val="21"/>
          <w14:textFill>
            <w14:solidFill>
              <w14:schemeClr w14:val="tx1"/>
            </w14:solidFill>
          </w14:textFill>
        </w:rPr>
        <w:t>供应商名称（</w:t>
      </w:r>
      <w:r>
        <w:rPr>
          <w:rFonts w:hint="eastAsia" w:asciiTheme="minorEastAsia" w:hAnsiTheme="minorEastAsia" w:cstheme="minorEastAsia"/>
          <w:color w:val="000000" w:themeColor="text1"/>
          <w:szCs w:val="21"/>
          <w14:textFill>
            <w14:solidFill>
              <w14:schemeClr w14:val="tx1"/>
            </w14:solidFill>
          </w14:textFill>
        </w:rPr>
        <w:t>单位盖</w:t>
      </w:r>
      <w:r>
        <w:rPr>
          <w:rFonts w:hint="eastAsia" w:asciiTheme="minorEastAsia" w:hAnsiTheme="minorEastAsia" w:cstheme="minorEastAsia"/>
          <w:color w:val="000000" w:themeColor="text1"/>
          <w:spacing w:val="4"/>
          <w:szCs w:val="21"/>
          <w14:textFill>
            <w14:solidFill>
              <w14:schemeClr w14:val="tx1"/>
            </w14:solidFill>
          </w14:textFill>
        </w:rPr>
        <w:t>公章）：</w:t>
      </w:r>
      <w:r>
        <w:rPr>
          <w:rFonts w:hint="eastAsia" w:asciiTheme="minorEastAsia" w:hAnsiTheme="minorEastAsia" w:cstheme="minorEastAsia"/>
          <w:color w:val="000000" w:themeColor="text1"/>
          <w:spacing w:val="4"/>
          <w:szCs w:val="21"/>
          <w:u w:val="single"/>
          <w14:textFill>
            <w14:solidFill>
              <w14:schemeClr w14:val="tx1"/>
            </w14:solidFill>
          </w14:textFill>
        </w:rPr>
        <w:t xml:space="preserve">          </w:t>
      </w:r>
    </w:p>
    <w:p>
      <w:pPr>
        <w:spacing w:line="360" w:lineRule="auto"/>
        <w:ind w:firstLine="105" w:firstLineChars="50"/>
        <w:jc w:val="right"/>
        <w:rPr>
          <w:rFonts w:asciiTheme="minorEastAsia" w:hAnsiTheme="minorEastAsia" w:cstheme="minorEastAsia"/>
          <w:color w:val="000000" w:themeColor="text1"/>
          <w:szCs w:val="21"/>
          <w:u w:val="single"/>
          <w14:textFill>
            <w14:solidFill>
              <w14:schemeClr w14:val="tx1"/>
            </w14:solidFill>
          </w14:textFill>
        </w:rPr>
      </w:pPr>
    </w:p>
    <w:p>
      <w:pPr>
        <w:wordWrap w:val="0"/>
        <w:spacing w:line="360" w:lineRule="auto"/>
        <w:jc w:val="right"/>
        <w:rPr>
          <w:rFonts w:asciiTheme="minorEastAsia" w:hAnsiTheme="minorEastAsia" w:cstheme="minorEastAsia"/>
          <w:color w:val="000000" w:themeColor="text1"/>
          <w:szCs w:val="21"/>
          <w:u w:val="single"/>
          <w14:textFill>
            <w14:solidFill>
              <w14:schemeClr w14:val="tx1"/>
            </w14:solidFill>
          </w14:textFill>
        </w:rPr>
      </w:pPr>
      <w:r>
        <w:rPr>
          <w:rFonts w:hint="eastAsia" w:asciiTheme="minorEastAsia" w:hAnsiTheme="minorEastAsia" w:cstheme="minorEastAsia"/>
          <w:color w:val="000000" w:themeColor="text1"/>
          <w:spacing w:val="4"/>
          <w:szCs w:val="21"/>
          <w14:textFill>
            <w14:solidFill>
              <w14:schemeClr w14:val="tx1"/>
            </w14:solidFill>
          </w14:textFill>
        </w:rPr>
        <w:t>日期：</w:t>
      </w:r>
      <w:r>
        <w:rPr>
          <w:rFonts w:hint="eastAsia" w:asciiTheme="minorEastAsia" w:hAnsiTheme="minorEastAsia" w:cstheme="minorEastAsia"/>
          <w:color w:val="000000" w:themeColor="text1"/>
          <w:spacing w:val="4"/>
          <w:szCs w:val="21"/>
          <w:u w:val="single"/>
          <w14:textFill>
            <w14:solidFill>
              <w14:schemeClr w14:val="tx1"/>
            </w14:solidFill>
          </w14:textFill>
        </w:rPr>
        <w:t xml:space="preserve">          </w:t>
      </w:r>
    </w:p>
    <w:p>
      <w:pPr>
        <w:widowControl/>
        <w:spacing w:line="360" w:lineRule="auto"/>
        <w:jc w:val="right"/>
        <w:rPr>
          <w:rFonts w:asciiTheme="minorEastAsia" w:hAnsiTheme="minorEastAsia" w:cstheme="minorEastAsia"/>
          <w:b/>
          <w:bCs/>
          <w:color w:val="000000" w:themeColor="text1"/>
          <w:kern w:val="0"/>
          <w:sz w:val="32"/>
          <w:szCs w:val="32"/>
          <w:lang w:val="zh-CN"/>
          <w14:textFill>
            <w14:solidFill>
              <w14:schemeClr w14:val="tx1"/>
            </w14:solidFill>
          </w14:textFill>
        </w:rPr>
      </w:pPr>
    </w:p>
    <w:p>
      <w:pPr>
        <w:spacing w:line="360" w:lineRule="auto"/>
        <w:rPr>
          <w:rFonts w:asciiTheme="minorEastAsia" w:hAnsiTheme="minorEastAsia" w:cstheme="minorEastAsia"/>
          <w:color w:val="000000" w:themeColor="text1"/>
          <w14:textFill>
            <w14:solidFill>
              <w14:schemeClr w14:val="tx1"/>
            </w14:solidFill>
          </w14:textFill>
        </w:rPr>
      </w:pPr>
    </w:p>
    <w:p>
      <w:pPr>
        <w:widowControl/>
        <w:spacing w:line="360" w:lineRule="auto"/>
        <w:jc w:val="left"/>
        <w:rPr>
          <w:rFonts w:asciiTheme="minorEastAsia" w:hAnsiTheme="minorEastAsia" w:cstheme="minorEastAsia"/>
          <w:b/>
          <w:bCs/>
          <w:color w:val="000000" w:themeColor="text1"/>
          <w:kern w:val="0"/>
          <w:sz w:val="32"/>
          <w:szCs w:val="32"/>
          <w:lang w:val="zh-CN"/>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br w:type="page"/>
      </w:r>
    </w:p>
    <w:p>
      <w:pPr>
        <w:pStyle w:val="5"/>
        <w:spacing w:before="0" w:after="0"/>
        <w:jc w:val="center"/>
        <w:rPr>
          <w:rFonts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供应商资格声明函</w:t>
      </w:r>
    </w:p>
    <w:p>
      <w:pPr>
        <w:rPr>
          <w:rFonts w:asciiTheme="minorEastAsia" w:hAnsiTheme="minorEastAsia" w:cstheme="minorEastAsia"/>
          <w:b/>
          <w:color w:val="000000" w:themeColor="text1"/>
          <w:szCs w:val="24"/>
          <w14:textFill>
            <w14:solidFill>
              <w14:schemeClr w14:val="tx1"/>
            </w14:solidFill>
          </w14:textFill>
        </w:rPr>
      </w:pPr>
    </w:p>
    <w:p>
      <w:pPr>
        <w:rPr>
          <w:rFonts w:asciiTheme="minorEastAsia" w:hAnsiTheme="minorEastAsia" w:cstheme="minorEastAsia"/>
          <w:b/>
          <w:color w:val="000000" w:themeColor="text1"/>
          <w:szCs w:val="24"/>
          <w14:textFill>
            <w14:solidFill>
              <w14:schemeClr w14:val="tx1"/>
            </w14:solidFill>
          </w14:textFill>
        </w:rPr>
      </w:pPr>
      <w:r>
        <w:rPr>
          <w:rFonts w:hint="eastAsia" w:asciiTheme="minorEastAsia" w:hAnsiTheme="minorEastAsia" w:cstheme="minorEastAsia"/>
          <w:b/>
          <w:color w:val="000000" w:themeColor="text1"/>
          <w:szCs w:val="21"/>
          <w14:textFill>
            <w14:solidFill>
              <w14:schemeClr w14:val="tx1"/>
            </w14:solidFill>
          </w14:textFill>
        </w:rPr>
        <w:t>致：</w:t>
      </w:r>
      <w:r>
        <w:rPr>
          <w:rFonts w:hint="eastAsia" w:asciiTheme="minorEastAsia" w:hAnsiTheme="minorEastAsia" w:cstheme="minorEastAsia"/>
          <w:b/>
          <w:color w:val="000000" w:themeColor="text1"/>
          <w:szCs w:val="24"/>
          <w14:textFill>
            <w14:solidFill>
              <w14:schemeClr w14:val="tx1"/>
            </w14:solidFill>
          </w14:textFill>
        </w:rPr>
        <w:t>广东省广播电视网络股份有限公司汕尾分公司、</w:t>
      </w:r>
      <w:r>
        <w:rPr>
          <w:rFonts w:hint="eastAsia" w:asciiTheme="minorEastAsia" w:hAnsiTheme="minorEastAsia" w:cstheme="minorEastAsia"/>
          <w:b/>
          <w:color w:val="000000" w:themeColor="text1"/>
          <w14:textFill>
            <w14:solidFill>
              <w14:schemeClr w14:val="tx1"/>
            </w14:solidFill>
          </w14:textFill>
        </w:rPr>
        <w:t>采联国际招标采购集团有限公司</w:t>
      </w:r>
      <w:r>
        <w:rPr>
          <w:rFonts w:hint="eastAsia" w:asciiTheme="minorEastAsia" w:hAnsiTheme="minorEastAsia" w:cstheme="minorEastAsia"/>
          <w:b/>
          <w:color w:val="000000" w:themeColor="text1"/>
          <w:szCs w:val="24"/>
          <w14:textFill>
            <w14:solidFill>
              <w14:schemeClr w14:val="tx1"/>
            </w14:solidFill>
          </w14:textFill>
        </w:rPr>
        <w:t>：</w:t>
      </w:r>
    </w:p>
    <w:p>
      <w:pPr>
        <w:rPr>
          <w:rFonts w:asciiTheme="minorEastAsia" w:hAnsiTheme="minorEastAsia" w:cstheme="minorEastAsia"/>
          <w:b/>
          <w:color w:val="000000" w:themeColor="text1"/>
          <w:szCs w:val="24"/>
          <w14:textFill>
            <w14:solidFill>
              <w14:schemeClr w14:val="tx1"/>
            </w14:solidFill>
          </w14:textFill>
        </w:rPr>
      </w:pPr>
    </w:p>
    <w:p>
      <w:pPr>
        <w:snapToGrid w:val="0"/>
        <w:spacing w:line="360" w:lineRule="auto"/>
        <w:ind w:firstLine="424" w:firstLineChars="202"/>
        <w:rPr>
          <w:rFonts w:asciiTheme="minorEastAsia" w:hAnsiTheme="minorEastAsia" w:cstheme="minorEastAsia"/>
          <w:color w:val="000000" w:themeColor="text1"/>
          <w:szCs w:val="24"/>
          <w14:textFill>
            <w14:solidFill>
              <w14:schemeClr w14:val="tx1"/>
            </w14:solidFill>
          </w14:textFill>
        </w:rPr>
      </w:pPr>
      <w:r>
        <w:rPr>
          <w:rFonts w:hint="eastAsia" w:asciiTheme="minorEastAsia" w:hAnsiTheme="minorEastAsia" w:cstheme="minorEastAsia"/>
          <w:color w:val="000000" w:themeColor="text1"/>
          <w:szCs w:val="24"/>
          <w14:textFill>
            <w14:solidFill>
              <w14:schemeClr w14:val="tx1"/>
            </w14:solidFill>
          </w14:textFill>
        </w:rPr>
        <w:t>关于贵单位、贵司发布</w:t>
      </w:r>
      <w:r>
        <w:rPr>
          <w:rFonts w:hint="eastAsia" w:asciiTheme="minorEastAsia" w:hAnsiTheme="minorEastAsia" w:cstheme="minorEastAsia"/>
          <w:b/>
          <w:bCs/>
          <w:color w:val="000000" w:themeColor="text1"/>
          <w:szCs w:val="21"/>
          <w:u w:val="single"/>
          <w14:textFill>
            <w14:solidFill>
              <w14:schemeClr w14:val="tx1"/>
            </w14:solidFill>
          </w14:textFill>
        </w:rPr>
        <w:t>建设运维部7月辅材采购</w:t>
      </w:r>
      <w:r>
        <w:rPr>
          <w:rFonts w:hint="eastAsia" w:asciiTheme="minorEastAsia" w:hAnsiTheme="minorEastAsia" w:cstheme="minorEastAsia"/>
          <w:color w:val="000000" w:themeColor="text1"/>
          <w:szCs w:val="24"/>
          <w14:textFill>
            <w14:solidFill>
              <w14:schemeClr w14:val="tx1"/>
            </w14:solidFill>
          </w14:textFill>
        </w:rPr>
        <w:t>的竞价公告，本公司（企业）愿意参加竞价活动，并作出如下声明：</w:t>
      </w:r>
    </w:p>
    <w:p>
      <w:pPr>
        <w:numPr>
          <w:ilvl w:val="0"/>
          <w:numId w:val="20"/>
        </w:numPr>
        <w:snapToGrid w:val="0"/>
        <w:spacing w:line="360" w:lineRule="auto"/>
        <w:rPr>
          <w:rFonts w:asciiTheme="minorEastAsia" w:hAnsiTheme="minorEastAsia" w:cstheme="minorEastAsia"/>
          <w:bCs/>
          <w:color w:val="000000" w:themeColor="text1"/>
          <w:szCs w:val="20"/>
          <w14:textFill>
            <w14:solidFill>
              <w14:schemeClr w14:val="tx1"/>
            </w14:solidFill>
          </w14:textFill>
        </w:rPr>
      </w:pPr>
      <w:r>
        <w:rPr>
          <w:rFonts w:hint="eastAsia" w:asciiTheme="minorEastAsia" w:hAnsiTheme="minorEastAsia" w:cstheme="minorEastAsia"/>
          <w:color w:val="000000" w:themeColor="text1"/>
          <w:szCs w:val="24"/>
          <w14:textFill>
            <w14:solidFill>
              <w14:schemeClr w14:val="tx1"/>
            </w14:solidFill>
          </w14:textFill>
        </w:rPr>
        <w:t>本公司（企业）</w:t>
      </w:r>
      <w:r>
        <w:rPr>
          <w:rFonts w:hint="eastAsia" w:asciiTheme="minorEastAsia" w:hAnsiTheme="minorEastAsia" w:cstheme="minorEastAsia"/>
          <w:bCs/>
          <w:color w:val="000000" w:themeColor="text1"/>
          <w:szCs w:val="20"/>
          <w14:textFill>
            <w14:solidFill>
              <w14:schemeClr w14:val="tx1"/>
            </w14:solidFill>
          </w14:textFill>
        </w:rPr>
        <w:t>具备《中华人民共和国政府采购法》第二十二条规定的条件：</w:t>
      </w:r>
    </w:p>
    <w:p>
      <w:pPr>
        <w:widowControl/>
        <w:spacing w:line="360" w:lineRule="auto"/>
        <w:ind w:firstLine="360"/>
        <w:rPr>
          <w:rFonts w:asciiTheme="minorEastAsia" w:hAnsiTheme="minorEastAsia" w:cstheme="minorEastAsia"/>
          <w:color w:val="000000" w:themeColor="text1"/>
          <w:kern w:val="0"/>
          <w:szCs w:val="21"/>
          <w14:textFill>
            <w14:solidFill>
              <w14:schemeClr w14:val="tx1"/>
            </w14:solidFill>
          </w14:textFill>
        </w:rPr>
      </w:pPr>
      <w:r>
        <w:rPr>
          <w:rFonts w:hint="eastAsia" w:asciiTheme="minorEastAsia" w:hAnsiTheme="minorEastAsia" w:cstheme="minorEastAsia"/>
          <w:color w:val="000000" w:themeColor="text1"/>
          <w:kern w:val="0"/>
          <w:szCs w:val="21"/>
          <w14:textFill>
            <w14:solidFill>
              <w14:schemeClr w14:val="tx1"/>
            </w14:solidFill>
          </w14:textFill>
        </w:rPr>
        <w:t>（一）具有独立承担民事责任的能力；</w:t>
      </w:r>
    </w:p>
    <w:p>
      <w:pPr>
        <w:widowControl/>
        <w:spacing w:line="360" w:lineRule="auto"/>
        <w:ind w:firstLine="360"/>
        <w:rPr>
          <w:rFonts w:asciiTheme="minorEastAsia" w:hAnsiTheme="minorEastAsia" w:cstheme="minorEastAsia"/>
          <w:color w:val="000000" w:themeColor="text1"/>
          <w:kern w:val="0"/>
          <w:szCs w:val="21"/>
          <w14:textFill>
            <w14:solidFill>
              <w14:schemeClr w14:val="tx1"/>
            </w14:solidFill>
          </w14:textFill>
        </w:rPr>
      </w:pPr>
      <w:r>
        <w:rPr>
          <w:rFonts w:hint="eastAsia" w:asciiTheme="minorEastAsia" w:hAnsiTheme="minorEastAsia" w:cstheme="minorEastAsia"/>
          <w:color w:val="000000" w:themeColor="text1"/>
          <w:kern w:val="0"/>
          <w:szCs w:val="21"/>
          <w14:textFill>
            <w14:solidFill>
              <w14:schemeClr w14:val="tx1"/>
            </w14:solidFill>
          </w14:textFill>
        </w:rPr>
        <w:t xml:space="preserve">（二）具有良好的商业信誉和健全的财务会计制度； </w:t>
      </w:r>
    </w:p>
    <w:p>
      <w:pPr>
        <w:widowControl/>
        <w:spacing w:line="360" w:lineRule="auto"/>
        <w:ind w:firstLine="360"/>
        <w:rPr>
          <w:rFonts w:asciiTheme="minorEastAsia" w:hAnsiTheme="minorEastAsia" w:cstheme="minorEastAsia"/>
          <w:color w:val="000000" w:themeColor="text1"/>
          <w:kern w:val="0"/>
          <w:szCs w:val="21"/>
          <w14:textFill>
            <w14:solidFill>
              <w14:schemeClr w14:val="tx1"/>
            </w14:solidFill>
          </w14:textFill>
        </w:rPr>
      </w:pPr>
      <w:r>
        <w:rPr>
          <w:rFonts w:hint="eastAsia" w:asciiTheme="minorEastAsia" w:hAnsiTheme="minorEastAsia" w:cstheme="minorEastAsia"/>
          <w:color w:val="000000" w:themeColor="text1"/>
          <w:kern w:val="0"/>
          <w:szCs w:val="21"/>
          <w14:textFill>
            <w14:solidFill>
              <w14:schemeClr w14:val="tx1"/>
            </w14:solidFill>
          </w14:textFill>
        </w:rPr>
        <w:t>（三）具有履行合同所必需的设备和专业技术能力；</w:t>
      </w:r>
    </w:p>
    <w:p>
      <w:pPr>
        <w:widowControl/>
        <w:spacing w:line="360" w:lineRule="auto"/>
        <w:ind w:firstLine="360"/>
        <w:rPr>
          <w:rFonts w:asciiTheme="minorEastAsia" w:hAnsiTheme="minorEastAsia" w:cstheme="minorEastAsia"/>
          <w:color w:val="000000" w:themeColor="text1"/>
          <w:kern w:val="0"/>
          <w:szCs w:val="21"/>
          <w14:textFill>
            <w14:solidFill>
              <w14:schemeClr w14:val="tx1"/>
            </w14:solidFill>
          </w14:textFill>
        </w:rPr>
      </w:pPr>
      <w:r>
        <w:rPr>
          <w:rFonts w:hint="eastAsia" w:asciiTheme="minorEastAsia" w:hAnsiTheme="minorEastAsia" w:cstheme="minorEastAsia"/>
          <w:color w:val="000000" w:themeColor="text1"/>
          <w:kern w:val="0"/>
          <w:szCs w:val="21"/>
          <w14:textFill>
            <w14:solidFill>
              <w14:schemeClr w14:val="tx1"/>
            </w14:solidFill>
          </w14:textFill>
        </w:rPr>
        <w:t>（四）有依法缴纳税收和社会保障资金的良好记录；</w:t>
      </w:r>
    </w:p>
    <w:p>
      <w:pPr>
        <w:widowControl/>
        <w:spacing w:line="360" w:lineRule="auto"/>
        <w:ind w:firstLine="360"/>
        <w:rPr>
          <w:rFonts w:asciiTheme="minorEastAsia" w:hAnsiTheme="minorEastAsia" w:cstheme="minorEastAsia"/>
          <w:color w:val="000000" w:themeColor="text1"/>
          <w:kern w:val="0"/>
          <w:szCs w:val="21"/>
          <w14:textFill>
            <w14:solidFill>
              <w14:schemeClr w14:val="tx1"/>
            </w14:solidFill>
          </w14:textFill>
        </w:rPr>
      </w:pPr>
      <w:r>
        <w:rPr>
          <w:rFonts w:hint="eastAsia" w:asciiTheme="minorEastAsia" w:hAnsiTheme="minorEastAsia" w:cstheme="minorEastAsia"/>
          <w:color w:val="000000" w:themeColor="text1"/>
          <w:kern w:val="0"/>
          <w:szCs w:val="21"/>
          <w14:textFill>
            <w14:solidFill>
              <w14:schemeClr w14:val="tx1"/>
            </w14:solidFill>
          </w14:textFill>
        </w:rPr>
        <w:t>（五）参加政府采购活动前三年内，在经营活动中没有重大违法记录；</w:t>
      </w:r>
    </w:p>
    <w:p>
      <w:pPr>
        <w:widowControl/>
        <w:spacing w:line="360" w:lineRule="auto"/>
        <w:ind w:firstLine="360"/>
        <w:rPr>
          <w:rFonts w:asciiTheme="minorEastAsia" w:hAnsiTheme="minorEastAsia" w:cstheme="minorEastAsia"/>
          <w:color w:val="000000" w:themeColor="text1"/>
          <w:kern w:val="0"/>
          <w:szCs w:val="21"/>
          <w14:textFill>
            <w14:solidFill>
              <w14:schemeClr w14:val="tx1"/>
            </w14:solidFill>
          </w14:textFill>
        </w:rPr>
      </w:pPr>
      <w:r>
        <w:rPr>
          <w:rFonts w:hint="eastAsia" w:asciiTheme="minorEastAsia" w:hAnsiTheme="minorEastAsia" w:cstheme="minorEastAsia"/>
          <w:color w:val="000000" w:themeColor="text1"/>
          <w:kern w:val="0"/>
          <w:szCs w:val="21"/>
          <w14:textFill>
            <w14:solidFill>
              <w14:schemeClr w14:val="tx1"/>
            </w14:solidFill>
          </w14:textFill>
        </w:rPr>
        <w:t>（六）法律、行政法规规定的其他条件。</w:t>
      </w:r>
    </w:p>
    <w:p>
      <w:pPr>
        <w:numPr>
          <w:ilvl w:val="0"/>
          <w:numId w:val="20"/>
        </w:numPr>
        <w:snapToGrid w:val="0"/>
        <w:spacing w:line="360" w:lineRule="auto"/>
        <w:rPr>
          <w:rFonts w:asciiTheme="minorEastAsia" w:hAnsiTheme="minorEastAsia" w:cstheme="minorEastAsia"/>
          <w:color w:val="000000" w:themeColor="text1"/>
          <w:szCs w:val="24"/>
          <w14:textFill>
            <w14:solidFill>
              <w14:schemeClr w14:val="tx1"/>
            </w14:solidFill>
          </w14:textFill>
        </w:rPr>
      </w:pPr>
      <w:r>
        <w:rPr>
          <w:rFonts w:hint="eastAsia" w:asciiTheme="minorEastAsia" w:hAnsiTheme="minorEastAsia" w:cstheme="minorEastAsia"/>
          <w:color w:val="000000" w:themeColor="text1"/>
          <w:szCs w:val="24"/>
          <w14:textFill>
            <w14:solidFill>
              <w14:schemeClr w14:val="tx1"/>
            </w14:solidFill>
          </w14:textFill>
        </w:rPr>
        <w:t>本公司（企业）具有本次采购项目供货及服务能力。</w:t>
      </w:r>
    </w:p>
    <w:p>
      <w:pPr>
        <w:numPr>
          <w:ilvl w:val="0"/>
          <w:numId w:val="20"/>
        </w:numPr>
        <w:snapToGrid w:val="0"/>
        <w:spacing w:line="360" w:lineRule="auto"/>
        <w:rPr>
          <w:rFonts w:asciiTheme="minorEastAsia" w:hAnsiTheme="minorEastAsia" w:cstheme="minorEastAsia"/>
          <w:color w:val="000000" w:themeColor="text1"/>
          <w:szCs w:val="24"/>
          <w14:textFill>
            <w14:solidFill>
              <w14:schemeClr w14:val="tx1"/>
            </w14:solidFill>
          </w14:textFill>
        </w:rPr>
      </w:pPr>
      <w:r>
        <w:rPr>
          <w:rFonts w:hint="eastAsia" w:asciiTheme="minorEastAsia" w:hAnsiTheme="minorEastAsia" w:cstheme="minorEastAsia"/>
          <w:color w:val="000000" w:themeColor="text1"/>
          <w:szCs w:val="24"/>
          <w14:textFill>
            <w14:solidFill>
              <w14:schemeClr w14:val="tx1"/>
            </w14:solidFill>
          </w14:textFill>
        </w:rPr>
        <w:t>本公司（企业）有固定的经营场所，信誉良好、售后维护服务好，并且在经营活动中无严重违法记录。</w:t>
      </w:r>
    </w:p>
    <w:p>
      <w:pPr>
        <w:numPr>
          <w:ilvl w:val="0"/>
          <w:numId w:val="20"/>
        </w:numPr>
        <w:snapToGrid w:val="0"/>
        <w:spacing w:line="360" w:lineRule="auto"/>
        <w:rPr>
          <w:rFonts w:asciiTheme="minorEastAsia" w:hAnsiTheme="minorEastAsia" w:cstheme="minorEastAsia"/>
          <w:color w:val="000000" w:themeColor="text1"/>
          <w:szCs w:val="24"/>
          <w14:textFill>
            <w14:solidFill>
              <w14:schemeClr w14:val="tx1"/>
            </w14:solidFill>
          </w14:textFill>
        </w:rPr>
      </w:pPr>
      <w:r>
        <w:rPr>
          <w:rFonts w:hint="eastAsia" w:asciiTheme="minorEastAsia" w:hAnsiTheme="minorEastAsia" w:cstheme="minorEastAsia"/>
          <w:color w:val="000000" w:themeColor="text1"/>
          <w:szCs w:val="24"/>
          <w14:textFill>
            <w14:solidFill>
              <w14:schemeClr w14:val="tx1"/>
            </w14:solidFill>
          </w14:textFill>
        </w:rPr>
        <w:t>本公司（企业）没有为采购项目同一合同项下提供整体设计、规范编制或者项目管理、监理、检测等服务。</w:t>
      </w:r>
    </w:p>
    <w:p>
      <w:pPr>
        <w:numPr>
          <w:ilvl w:val="0"/>
          <w:numId w:val="20"/>
        </w:numPr>
        <w:snapToGrid w:val="0"/>
        <w:spacing w:line="360" w:lineRule="auto"/>
        <w:rPr>
          <w:rFonts w:asciiTheme="minorEastAsia" w:hAnsiTheme="minorEastAsia" w:cstheme="minorEastAsia"/>
          <w:color w:val="000000" w:themeColor="text1"/>
          <w:szCs w:val="24"/>
          <w14:textFill>
            <w14:solidFill>
              <w14:schemeClr w14:val="tx1"/>
            </w14:solidFill>
          </w14:textFill>
        </w:rPr>
      </w:pPr>
      <w:r>
        <w:rPr>
          <w:rFonts w:hint="eastAsia" w:asciiTheme="minorEastAsia" w:hAnsiTheme="minorEastAsia" w:cstheme="minorEastAsia"/>
          <w:color w:val="000000" w:themeColor="text1"/>
          <w:szCs w:val="24"/>
          <w14:textFill>
            <w14:solidFill>
              <w14:schemeClr w14:val="tx1"/>
            </w14:solidFill>
          </w14:textFill>
        </w:rPr>
        <w:t>本公司（企业）的法定代表人或单位负责人与所参投的本项目其他供应商的法定代表人或单位负责人不为同一人且与其他供应商之间不存在直接控股、管理关系。</w:t>
      </w:r>
    </w:p>
    <w:p>
      <w:pPr>
        <w:numPr>
          <w:ilvl w:val="0"/>
          <w:numId w:val="20"/>
        </w:numPr>
        <w:snapToGrid w:val="0"/>
        <w:spacing w:line="360" w:lineRule="auto"/>
        <w:rPr>
          <w:rFonts w:asciiTheme="minorEastAsia" w:hAnsiTheme="minorEastAsia" w:cstheme="minorEastAsia"/>
          <w:color w:val="000000" w:themeColor="text1"/>
          <w:szCs w:val="24"/>
          <w14:textFill>
            <w14:solidFill>
              <w14:schemeClr w14:val="tx1"/>
            </w14:solidFill>
          </w14:textFill>
        </w:rPr>
      </w:pPr>
      <w:r>
        <w:rPr>
          <w:rFonts w:hint="eastAsia" w:asciiTheme="minorEastAsia" w:hAnsiTheme="minorEastAsia" w:cstheme="minorEastAsia"/>
          <w:color w:val="000000" w:themeColor="text1"/>
          <w:szCs w:val="24"/>
          <w14:textFill>
            <w14:solidFill>
              <w14:schemeClr w14:val="tx1"/>
            </w14:solidFill>
          </w14:textFill>
        </w:rPr>
        <w:t>本公司（企业）在本项目中不分包、转包且不联合参与竞价。</w:t>
      </w:r>
    </w:p>
    <w:p>
      <w:pPr>
        <w:snapToGrid w:val="0"/>
        <w:spacing w:line="360" w:lineRule="auto"/>
        <w:ind w:firstLine="424" w:firstLineChars="202"/>
        <w:rPr>
          <w:rFonts w:asciiTheme="minorEastAsia" w:hAnsiTheme="minorEastAsia" w:cstheme="minorEastAsia"/>
          <w:color w:val="000000" w:themeColor="text1"/>
          <w:szCs w:val="24"/>
          <w14:textFill>
            <w14:solidFill>
              <w14:schemeClr w14:val="tx1"/>
            </w14:solidFill>
          </w14:textFill>
        </w:rPr>
      </w:pPr>
      <w:r>
        <w:rPr>
          <w:rFonts w:hint="eastAsia" w:asciiTheme="minorEastAsia" w:hAnsiTheme="minorEastAsia" w:cstheme="minorEastAsia"/>
          <w:color w:val="000000" w:themeColor="text1"/>
          <w:szCs w:val="24"/>
          <w14:textFill>
            <w14:solidFill>
              <w14:schemeClr w14:val="tx1"/>
            </w14:solidFill>
          </w14:textFill>
        </w:rPr>
        <w:t>本公司（企业）承诺在本次采购活动中，如有违法、违规</w:t>
      </w:r>
      <w:r>
        <w:rPr>
          <w:rFonts w:hint="eastAsia" w:asciiTheme="minorEastAsia" w:hAnsiTheme="minorEastAsia" w:cstheme="minorEastAsia"/>
          <w:color w:val="000000" w:themeColor="text1"/>
          <w:szCs w:val="21"/>
          <w14:textFill>
            <w14:solidFill>
              <w14:schemeClr w14:val="tx1"/>
            </w14:solidFill>
          </w14:textFill>
        </w:rPr>
        <w:t>、</w:t>
      </w:r>
      <w:r>
        <w:rPr>
          <w:rFonts w:hint="eastAsia" w:asciiTheme="minorEastAsia" w:hAnsiTheme="minorEastAsia" w:cstheme="minorEastAsia"/>
          <w:color w:val="000000" w:themeColor="text1"/>
          <w:szCs w:val="24"/>
          <w14:textFill>
            <w14:solidFill>
              <w14:schemeClr w14:val="tx1"/>
            </w14:solidFill>
          </w14:textFill>
        </w:rPr>
        <w:t>弄虚作假行为，所造成的损失、不良后果及法律责任，一律由我公司（企业）承担。</w:t>
      </w:r>
    </w:p>
    <w:p>
      <w:pPr>
        <w:spacing w:line="360" w:lineRule="auto"/>
        <w:ind w:firstLine="420"/>
        <w:rPr>
          <w:rFonts w:asciiTheme="minorEastAsia" w:hAnsiTheme="minorEastAsia" w:cstheme="minorEastAsia"/>
          <w:color w:val="000000" w:themeColor="text1"/>
          <w:szCs w:val="24"/>
          <w14:textFill>
            <w14:solidFill>
              <w14:schemeClr w14:val="tx1"/>
            </w14:solidFill>
          </w14:textFill>
        </w:rPr>
      </w:pPr>
      <w:r>
        <w:rPr>
          <w:rFonts w:hint="eastAsia" w:asciiTheme="minorEastAsia" w:hAnsiTheme="minorEastAsia" w:cstheme="minorEastAsia"/>
          <w:color w:val="000000" w:themeColor="text1"/>
          <w:szCs w:val="24"/>
          <w14:textFill>
            <w14:solidFill>
              <w14:schemeClr w14:val="tx1"/>
            </w14:solidFill>
          </w14:textFill>
        </w:rPr>
        <w:t>特此声明！</w:t>
      </w:r>
    </w:p>
    <w:p>
      <w:pPr>
        <w:autoSpaceDE w:val="0"/>
        <w:autoSpaceDN w:val="0"/>
        <w:adjustRightInd w:val="0"/>
        <w:spacing w:line="360" w:lineRule="auto"/>
        <w:ind w:firstLine="413" w:firstLineChars="196"/>
        <w:rPr>
          <w:rFonts w:asciiTheme="minorEastAsia" w:hAnsiTheme="minorEastAsia" w:cstheme="minorEastAsia"/>
          <w:b/>
          <w:color w:val="000000" w:themeColor="text1"/>
          <w14:textFill>
            <w14:solidFill>
              <w14:schemeClr w14:val="tx1"/>
            </w14:solidFill>
          </w14:textFill>
        </w:rPr>
      </w:pPr>
      <w:r>
        <w:rPr>
          <w:rFonts w:hint="eastAsia" w:asciiTheme="minorEastAsia" w:hAnsiTheme="minorEastAsia" w:cstheme="minorEastAsia"/>
          <w:b/>
          <w:color w:val="000000" w:themeColor="text1"/>
          <w14:textFill>
            <w14:solidFill>
              <w14:schemeClr w14:val="tx1"/>
            </w14:solidFill>
          </w14:textFill>
        </w:rPr>
        <w:t>备注：</w:t>
      </w:r>
    </w:p>
    <w:p>
      <w:pPr>
        <w:pStyle w:val="27"/>
        <w:numPr>
          <w:ilvl w:val="0"/>
          <w:numId w:val="21"/>
        </w:numPr>
        <w:autoSpaceDE w:val="0"/>
        <w:autoSpaceDN w:val="0"/>
        <w:adjustRightInd w:val="0"/>
        <w:spacing w:line="360" w:lineRule="auto"/>
        <w:ind w:firstLineChars="0"/>
        <w:rPr>
          <w:rFonts w:asciiTheme="minorEastAsia" w:hAnsiTheme="minorEastAsia" w:cstheme="minorEastAsia"/>
          <w:color w:val="000000" w:themeColor="text1"/>
          <w14:textFill>
            <w14:solidFill>
              <w14:schemeClr w14:val="tx1"/>
            </w14:solidFill>
          </w14:textFill>
        </w:rPr>
      </w:pPr>
      <w:r>
        <w:rPr>
          <w:rFonts w:hint="eastAsia" w:asciiTheme="minorEastAsia" w:hAnsiTheme="minorEastAsia" w:cstheme="minorEastAsia"/>
          <w:color w:val="000000" w:themeColor="text1"/>
          <w14:textFill>
            <w14:solidFill>
              <w14:schemeClr w14:val="tx1"/>
            </w14:solidFill>
          </w14:textFill>
        </w:rPr>
        <w:t>本声明函必须提供且内容不得擅自删改，否则视为响应无效。</w:t>
      </w:r>
    </w:p>
    <w:p>
      <w:pPr>
        <w:pStyle w:val="27"/>
        <w:numPr>
          <w:ilvl w:val="0"/>
          <w:numId w:val="21"/>
        </w:numPr>
        <w:snapToGrid w:val="0"/>
        <w:spacing w:line="360" w:lineRule="auto"/>
        <w:ind w:firstLineChars="0"/>
        <w:rPr>
          <w:rFonts w:asciiTheme="minorEastAsia" w:hAnsiTheme="minorEastAsia" w:cstheme="minorEastAsia"/>
          <w:color w:val="000000" w:themeColor="text1"/>
          <w:szCs w:val="21"/>
          <w14:textFill>
            <w14:solidFill>
              <w14:schemeClr w14:val="tx1"/>
            </w14:solidFill>
          </w14:textFill>
        </w:rPr>
      </w:pPr>
      <w:r>
        <w:rPr>
          <w:rFonts w:hint="eastAsia" w:asciiTheme="minorEastAsia" w:hAnsiTheme="minorEastAsia" w:cstheme="minorEastAsia"/>
          <w:color w:val="000000" w:themeColor="text1"/>
          <w:szCs w:val="21"/>
          <w14:textFill>
            <w14:solidFill>
              <w14:schemeClr w14:val="tx1"/>
            </w14:solidFill>
          </w14:textFill>
        </w:rPr>
        <w:t>本声明函如有虚假或与事实不符的，作无效报价处理。</w:t>
      </w:r>
    </w:p>
    <w:p>
      <w:pPr>
        <w:pStyle w:val="27"/>
        <w:wordWrap w:val="0"/>
        <w:spacing w:line="360" w:lineRule="auto"/>
        <w:ind w:left="1200" w:right="218" w:firstLine="0" w:firstLineChars="0"/>
        <w:jc w:val="right"/>
        <w:rPr>
          <w:rFonts w:asciiTheme="minorEastAsia" w:hAnsiTheme="minorEastAsia" w:cstheme="minorEastAsia"/>
          <w:color w:val="000000" w:themeColor="text1"/>
          <w:szCs w:val="21"/>
          <w:u w:val="single"/>
          <w14:textFill>
            <w14:solidFill>
              <w14:schemeClr w14:val="tx1"/>
            </w14:solidFill>
          </w14:textFill>
        </w:rPr>
      </w:pPr>
      <w:r>
        <w:rPr>
          <w:rFonts w:hint="eastAsia" w:asciiTheme="minorEastAsia" w:hAnsiTheme="minorEastAsia" w:cstheme="minorEastAsia"/>
          <w:color w:val="000000" w:themeColor="text1"/>
          <w:spacing w:val="4"/>
          <w:szCs w:val="21"/>
          <w14:textFill>
            <w14:solidFill>
              <w14:schemeClr w14:val="tx1"/>
            </w14:solidFill>
          </w14:textFill>
        </w:rPr>
        <w:t>供应商名称（</w:t>
      </w:r>
      <w:r>
        <w:rPr>
          <w:rFonts w:hint="eastAsia" w:asciiTheme="minorEastAsia" w:hAnsiTheme="minorEastAsia" w:cstheme="minorEastAsia"/>
          <w:color w:val="000000" w:themeColor="text1"/>
          <w:szCs w:val="21"/>
          <w14:textFill>
            <w14:solidFill>
              <w14:schemeClr w14:val="tx1"/>
            </w14:solidFill>
          </w14:textFill>
        </w:rPr>
        <w:t>单位盖</w:t>
      </w:r>
      <w:r>
        <w:rPr>
          <w:rFonts w:hint="eastAsia" w:asciiTheme="minorEastAsia" w:hAnsiTheme="minorEastAsia" w:cstheme="minorEastAsia"/>
          <w:color w:val="000000" w:themeColor="text1"/>
          <w:spacing w:val="4"/>
          <w:szCs w:val="21"/>
          <w14:textFill>
            <w14:solidFill>
              <w14:schemeClr w14:val="tx1"/>
            </w14:solidFill>
          </w14:textFill>
        </w:rPr>
        <w:t>公章）：</w:t>
      </w:r>
      <w:r>
        <w:rPr>
          <w:rFonts w:hint="eastAsia" w:asciiTheme="minorEastAsia" w:hAnsiTheme="minorEastAsia" w:cstheme="minorEastAsia"/>
          <w:color w:val="000000" w:themeColor="text1"/>
          <w:spacing w:val="4"/>
          <w:szCs w:val="21"/>
          <w:u w:val="single"/>
          <w14:textFill>
            <w14:solidFill>
              <w14:schemeClr w14:val="tx1"/>
            </w14:solidFill>
          </w14:textFill>
        </w:rPr>
        <w:t xml:space="preserve">          </w:t>
      </w:r>
    </w:p>
    <w:p>
      <w:pPr>
        <w:pStyle w:val="27"/>
        <w:spacing w:line="360" w:lineRule="auto"/>
        <w:ind w:left="1200" w:right="210" w:firstLine="0" w:firstLineChars="0"/>
        <w:jc w:val="right"/>
        <w:rPr>
          <w:rFonts w:asciiTheme="minorEastAsia" w:hAnsiTheme="minorEastAsia" w:cstheme="minorEastAsia"/>
          <w:color w:val="000000" w:themeColor="text1"/>
          <w:szCs w:val="21"/>
          <w:u w:val="single"/>
          <w14:textFill>
            <w14:solidFill>
              <w14:schemeClr w14:val="tx1"/>
            </w14:solidFill>
          </w14:textFill>
        </w:rPr>
      </w:pPr>
    </w:p>
    <w:p>
      <w:pPr>
        <w:wordWrap w:val="0"/>
        <w:spacing w:line="360" w:lineRule="auto"/>
        <w:ind w:left="840"/>
        <w:jc w:val="right"/>
        <w:rPr>
          <w:rFonts w:hint="eastAsia" w:asciiTheme="minorEastAsia" w:hAnsiTheme="minorEastAsia" w:cstheme="minorEastAsia"/>
          <w:color w:val="000000" w:themeColor="text1"/>
          <w:spacing w:val="4"/>
          <w:szCs w:val="21"/>
          <w:u w:val="single"/>
          <w14:textFill>
            <w14:solidFill>
              <w14:schemeClr w14:val="tx1"/>
            </w14:solidFill>
          </w14:textFill>
        </w:rPr>
      </w:pPr>
      <w:r>
        <w:rPr>
          <w:rFonts w:hint="eastAsia" w:asciiTheme="minorEastAsia" w:hAnsiTheme="minorEastAsia" w:cstheme="minorEastAsia"/>
          <w:color w:val="000000" w:themeColor="text1"/>
          <w:spacing w:val="4"/>
          <w:szCs w:val="21"/>
          <w14:textFill>
            <w14:solidFill>
              <w14:schemeClr w14:val="tx1"/>
            </w14:solidFill>
          </w14:textFill>
        </w:rPr>
        <w:t>日期：</w:t>
      </w:r>
      <w:r>
        <w:rPr>
          <w:rFonts w:hint="eastAsia" w:asciiTheme="minorEastAsia" w:hAnsiTheme="minorEastAsia" w:cstheme="minorEastAsia"/>
          <w:color w:val="000000" w:themeColor="text1"/>
          <w:spacing w:val="4"/>
          <w:szCs w:val="21"/>
          <w:u w:val="single"/>
          <w14:textFill>
            <w14:solidFill>
              <w14:schemeClr w14:val="tx1"/>
            </w14:solidFill>
          </w14:textFill>
        </w:rPr>
        <w:t xml:space="preserve">          </w:t>
      </w:r>
    </w:p>
    <w:p>
      <w:pPr>
        <w:rPr>
          <w:rFonts w:hint="eastAsia" w:asciiTheme="minorEastAsia" w:hAnsiTheme="minorEastAsia" w:cstheme="minorEastAsia"/>
          <w:color w:val="000000" w:themeColor="text1"/>
          <w:spacing w:val="4"/>
          <w:szCs w:val="21"/>
          <w:u w:val="single"/>
          <w14:textFill>
            <w14:solidFill>
              <w14:schemeClr w14:val="tx1"/>
            </w14:solidFill>
          </w14:textFill>
        </w:rPr>
      </w:pPr>
      <w:r>
        <w:rPr>
          <w:rFonts w:hint="eastAsia" w:asciiTheme="minorEastAsia" w:hAnsiTheme="minorEastAsia" w:cstheme="minorEastAsia"/>
          <w:color w:val="000000" w:themeColor="text1"/>
          <w:spacing w:val="4"/>
          <w:szCs w:val="21"/>
          <w:u w:val="single"/>
          <w14:textFill>
            <w14:solidFill>
              <w14:schemeClr w14:val="tx1"/>
            </w14:solidFill>
          </w14:textFill>
        </w:rPr>
        <w:br w:type="page"/>
      </w:r>
    </w:p>
    <w:p>
      <w:pPr>
        <w:pStyle w:val="5"/>
        <w:spacing w:before="156" w:beforeLines="50" w:line="360" w:lineRule="auto"/>
        <w:jc w:val="center"/>
        <w:rPr>
          <w:rFonts w:hint="eastAsia" w:ascii="宋体" w:hAnsi="宋体" w:eastAsia="宋体" w:cs="宋体"/>
          <w:color w:val="000000"/>
        </w:rPr>
      </w:pPr>
      <w:r>
        <w:rPr>
          <w:rFonts w:hint="eastAsia" w:ascii="宋体" w:hAnsi="宋体" w:eastAsia="宋体" w:cs="宋体"/>
          <w:color w:val="000000"/>
        </w:rPr>
        <w:t>现场踏勘场地证明</w:t>
      </w:r>
    </w:p>
    <w:p>
      <w:pPr>
        <w:spacing w:before="156" w:beforeLines="50" w:line="360" w:lineRule="auto"/>
        <w:jc w:val="left"/>
        <w:rPr>
          <w:rFonts w:hint="eastAsia" w:ascii="宋体" w:hAnsi="宋体" w:cs="宋体"/>
          <w:color w:val="000000"/>
          <w:szCs w:val="21"/>
        </w:rPr>
      </w:pPr>
      <w:r>
        <w:rPr>
          <w:rFonts w:hint="eastAsia" w:ascii="宋体" w:hAnsi="宋体" w:cs="宋体"/>
          <w:color w:val="000000"/>
          <w:szCs w:val="21"/>
        </w:rPr>
        <w:t>兹有</w:t>
      </w:r>
      <w:r>
        <w:rPr>
          <w:rFonts w:hint="eastAsia" w:ascii="宋体" w:hAnsi="宋体" w:cs="宋体"/>
          <w:color w:val="000000"/>
          <w:szCs w:val="21"/>
          <w:u w:val="single"/>
        </w:rPr>
        <w:t> （</w:t>
      </w:r>
      <w:bookmarkStart w:id="0" w:name="_Hlk21518419"/>
      <w:r>
        <w:rPr>
          <w:rFonts w:hint="eastAsia" w:ascii="宋体" w:hAnsi="宋体" w:cs="宋体"/>
          <w:color w:val="000000"/>
          <w:szCs w:val="21"/>
          <w:u w:val="single"/>
        </w:rPr>
        <w:t>响应单位</w:t>
      </w:r>
      <w:bookmarkEnd w:id="0"/>
      <w:r>
        <w:rPr>
          <w:rFonts w:hint="eastAsia" w:ascii="宋体" w:hAnsi="宋体" w:cs="宋体"/>
          <w:color w:val="000000"/>
          <w:szCs w:val="21"/>
          <w:u w:val="single"/>
        </w:rPr>
        <w:t xml:space="preserve">） </w:t>
      </w:r>
    </w:p>
    <w:p>
      <w:pPr>
        <w:spacing w:before="156" w:beforeLines="50" w:line="360" w:lineRule="auto"/>
        <w:ind w:firstLine="420" w:firstLineChars="200"/>
        <w:jc w:val="left"/>
        <w:rPr>
          <w:rFonts w:hint="eastAsia" w:ascii="宋体" w:hAnsi="宋体" w:cs="宋体"/>
          <w:color w:val="000000"/>
          <w:szCs w:val="21"/>
        </w:rPr>
      </w:pPr>
      <w:r>
        <w:rPr>
          <w:rFonts w:hint="eastAsia" w:ascii="宋体" w:hAnsi="宋体" w:cs="宋体"/>
          <w:color w:val="000000"/>
          <w:szCs w:val="21"/>
        </w:rPr>
        <w:t>企业拟派项目管理人员</w:t>
      </w:r>
      <w:r>
        <w:rPr>
          <w:rFonts w:hint="eastAsia" w:ascii="宋体" w:hAnsi="宋体" w:cs="宋体"/>
          <w:color w:val="000000"/>
          <w:szCs w:val="21"/>
          <w:u w:val="single"/>
        </w:rPr>
        <w:t xml:space="preserve">           </w:t>
      </w:r>
      <w:r>
        <w:rPr>
          <w:rFonts w:hint="eastAsia" w:ascii="宋体" w:hAnsi="宋体" w:cs="宋体"/>
          <w:color w:val="000000"/>
          <w:szCs w:val="21"/>
        </w:rPr>
        <w:t>，于</w:t>
      </w:r>
      <w:r>
        <w:rPr>
          <w:rFonts w:hint="eastAsia" w:ascii="宋体" w:hAnsi="宋体" w:cs="宋体"/>
          <w:color w:val="000000"/>
          <w:szCs w:val="21"/>
          <w:u w:val="single"/>
        </w:rPr>
        <w:t>     </w:t>
      </w:r>
      <w:r>
        <w:rPr>
          <w:rFonts w:hint="eastAsia" w:ascii="宋体" w:hAnsi="宋体" w:cs="宋体"/>
          <w:color w:val="000000"/>
          <w:szCs w:val="21"/>
        </w:rPr>
        <w:t>年</w:t>
      </w:r>
      <w:r>
        <w:rPr>
          <w:rFonts w:hint="eastAsia" w:ascii="宋体" w:hAnsi="宋体" w:cs="宋体"/>
          <w:color w:val="000000"/>
          <w:szCs w:val="21"/>
          <w:u w:val="single"/>
        </w:rPr>
        <w:t>   </w:t>
      </w:r>
      <w:r>
        <w:rPr>
          <w:rFonts w:hint="eastAsia" w:ascii="宋体" w:hAnsi="宋体" w:cs="宋体"/>
          <w:color w:val="000000"/>
          <w:szCs w:val="21"/>
        </w:rPr>
        <w:t>月</w:t>
      </w:r>
      <w:r>
        <w:rPr>
          <w:rFonts w:hint="eastAsia" w:ascii="宋体" w:hAnsi="宋体" w:cs="宋体"/>
          <w:color w:val="000000"/>
          <w:szCs w:val="21"/>
          <w:u w:val="single"/>
        </w:rPr>
        <w:t>    </w:t>
      </w:r>
      <w:r>
        <w:rPr>
          <w:rFonts w:hint="eastAsia" w:ascii="宋体" w:hAnsi="宋体" w:cs="宋体"/>
          <w:color w:val="000000"/>
          <w:szCs w:val="21"/>
        </w:rPr>
        <w:t>日已对</w:t>
      </w:r>
      <w:r>
        <w:rPr>
          <w:rFonts w:hint="eastAsia" w:ascii="宋体" w:hAnsi="宋体" w:cs="宋体"/>
          <w:b/>
          <w:bCs/>
          <w:color w:val="000000"/>
          <w:szCs w:val="21"/>
          <w:u w:val="single"/>
        </w:rPr>
        <w:t>建设运维部7月辅材采购</w:t>
      </w:r>
      <w:r>
        <w:rPr>
          <w:rFonts w:hint="eastAsia" w:ascii="宋体" w:hAnsi="宋体" w:cs="宋体"/>
          <w:color w:val="000000"/>
          <w:szCs w:val="21"/>
        </w:rPr>
        <w:t>涉及的场地实际情况进行了现场踏勘。</w:t>
      </w:r>
    </w:p>
    <w:p>
      <w:pPr>
        <w:spacing w:before="156" w:beforeLines="50" w:line="360" w:lineRule="auto"/>
        <w:ind w:firstLine="5670" w:firstLineChars="2700"/>
        <w:jc w:val="left"/>
        <w:rPr>
          <w:rFonts w:hint="eastAsia" w:ascii="宋体" w:hAnsi="宋体" w:cs="宋体"/>
          <w:color w:val="000000"/>
          <w:szCs w:val="21"/>
        </w:rPr>
      </w:pPr>
      <w:r>
        <w:rPr>
          <w:rFonts w:hint="eastAsia" w:ascii="宋体" w:hAnsi="宋体" w:cs="宋体"/>
          <w:color w:val="000000"/>
          <w:szCs w:val="21"/>
        </w:rPr>
        <w:t>特此证明。</w:t>
      </w:r>
    </w:p>
    <w:p>
      <w:pPr>
        <w:spacing w:before="156" w:beforeLines="50" w:line="360" w:lineRule="auto"/>
        <w:jc w:val="left"/>
        <w:rPr>
          <w:rFonts w:hint="eastAsia" w:ascii="宋体" w:hAnsi="宋体" w:cs="宋体"/>
          <w:color w:val="000000"/>
          <w:szCs w:val="21"/>
        </w:rPr>
      </w:pPr>
    </w:p>
    <w:p>
      <w:pPr>
        <w:spacing w:before="156" w:beforeLines="50" w:line="360" w:lineRule="auto"/>
        <w:jc w:val="left"/>
        <w:rPr>
          <w:rFonts w:hint="eastAsia" w:ascii="宋体" w:hAnsi="宋体" w:cs="宋体"/>
          <w:color w:val="000000"/>
          <w:szCs w:val="21"/>
        </w:rPr>
      </w:pPr>
      <w:r>
        <w:rPr>
          <w:rFonts w:hint="eastAsia" w:ascii="宋体" w:hAnsi="宋体" w:cs="宋体"/>
          <w:color w:val="000000"/>
          <w:szCs w:val="21"/>
        </w:rPr>
        <w:t>兹证明响应单位已到现场踏勘。</w:t>
      </w:r>
    </w:p>
    <w:p>
      <w:pPr>
        <w:spacing w:before="156" w:beforeLines="50" w:line="360" w:lineRule="auto"/>
        <w:jc w:val="left"/>
        <w:rPr>
          <w:rFonts w:hint="eastAsia" w:ascii="宋体" w:hAnsi="宋体" w:cs="宋体"/>
          <w:color w:val="000000"/>
          <w:szCs w:val="21"/>
        </w:rPr>
      </w:pPr>
      <w:r>
        <w:rPr>
          <w:rFonts w:hint="eastAsia" w:ascii="宋体" w:hAnsi="宋体" w:cs="宋体"/>
          <w:color w:val="000000"/>
          <w:szCs w:val="21"/>
        </w:rPr>
        <w:t xml:space="preserve">采购人：（盖章） </w:t>
      </w:r>
      <w:r>
        <w:rPr>
          <w:rFonts w:ascii="宋体" w:hAnsi="宋体" w:cs="宋体"/>
          <w:color w:val="000000"/>
          <w:szCs w:val="21"/>
        </w:rPr>
        <w:t xml:space="preserve">                                         </w:t>
      </w:r>
      <w:r>
        <w:rPr>
          <w:rFonts w:hint="eastAsia" w:ascii="宋体" w:hAnsi="宋体" w:cs="宋体"/>
          <w:color w:val="000000"/>
          <w:szCs w:val="21"/>
        </w:rPr>
        <w:t>响应供应商：（盖章）</w:t>
      </w:r>
    </w:p>
    <w:p>
      <w:pPr>
        <w:spacing w:before="156" w:beforeLines="50" w:line="360" w:lineRule="auto"/>
        <w:jc w:val="left"/>
        <w:rPr>
          <w:rFonts w:hint="eastAsia" w:ascii="宋体" w:hAnsi="宋体" w:cs="宋体"/>
          <w:color w:val="000000"/>
          <w:szCs w:val="21"/>
        </w:rPr>
      </w:pPr>
      <w:r>
        <w:rPr>
          <w:rFonts w:hint="eastAsia" w:ascii="宋体" w:hAnsi="宋体" w:cs="宋体"/>
          <w:color w:val="000000"/>
          <w:szCs w:val="21"/>
        </w:rPr>
        <w:t xml:space="preserve">日期： </w:t>
      </w:r>
      <w:r>
        <w:rPr>
          <w:rFonts w:ascii="宋体" w:hAnsi="宋体" w:cs="宋体"/>
          <w:color w:val="000000"/>
          <w:szCs w:val="21"/>
        </w:rPr>
        <w:t xml:space="preserve">                                                  </w:t>
      </w:r>
      <w:r>
        <w:rPr>
          <w:rFonts w:hint="eastAsia" w:ascii="宋体" w:hAnsi="宋体" w:cs="宋体"/>
          <w:color w:val="000000"/>
          <w:szCs w:val="21"/>
        </w:rPr>
        <w:t>日期：</w:t>
      </w:r>
    </w:p>
    <w:p>
      <w:pPr>
        <w:wordWrap/>
        <w:spacing w:line="360" w:lineRule="auto"/>
        <w:ind w:left="840"/>
        <w:jc w:val="center"/>
        <w:rPr>
          <w:rFonts w:hint="default" w:asciiTheme="minorEastAsia" w:hAnsiTheme="minorEastAsia" w:cstheme="minorEastAsia"/>
          <w:color w:val="000000" w:themeColor="text1"/>
          <w:spacing w:val="4"/>
          <w:sz w:val="32"/>
          <w:szCs w:val="32"/>
          <w:u w:val="none"/>
          <w:lang w:val="en-US" w:eastAsia="zh-CN"/>
          <w14:textFill>
            <w14:solidFill>
              <w14:schemeClr w14:val="tx1"/>
            </w14:solidFill>
          </w14:textFill>
        </w:rPr>
      </w:pPr>
    </w:p>
    <w:sectPr>
      <w:pgSz w:w="12240" w:h="15840"/>
      <w:pgMar w:top="1440" w:right="1800" w:bottom="1440" w:left="1800" w:header="720" w:footer="720"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21AE412"/>
    <w:multiLevelType w:val="singleLevel"/>
    <w:tmpl w:val="C21AE412"/>
    <w:lvl w:ilvl="0" w:tentative="0">
      <w:start w:val="1"/>
      <w:numFmt w:val="chineseCounting"/>
      <w:suff w:val="nothing"/>
      <w:lvlText w:val="%1、"/>
      <w:lvlJc w:val="left"/>
      <w:pPr>
        <w:ind w:left="0" w:firstLine="420"/>
      </w:pPr>
      <w:rPr>
        <w:rFonts w:hint="eastAsia"/>
      </w:rPr>
    </w:lvl>
  </w:abstractNum>
  <w:abstractNum w:abstractNumId="1">
    <w:nsid w:val="D7010DB7"/>
    <w:multiLevelType w:val="singleLevel"/>
    <w:tmpl w:val="D7010DB7"/>
    <w:lvl w:ilvl="0" w:tentative="0">
      <w:start w:val="1"/>
      <w:numFmt w:val="decimal"/>
      <w:suff w:val="nothing"/>
      <w:lvlText w:val="%1．"/>
      <w:lvlJc w:val="left"/>
      <w:pPr>
        <w:ind w:left="0" w:firstLine="400"/>
      </w:pPr>
      <w:rPr>
        <w:rFonts w:hint="default" w:ascii="宋体" w:hAnsi="宋体" w:eastAsia="宋体" w:cstheme="minorEastAsia"/>
        <w:sz w:val="21"/>
        <w:szCs w:val="21"/>
      </w:rPr>
    </w:lvl>
  </w:abstractNum>
  <w:abstractNum w:abstractNumId="2">
    <w:nsid w:val="F09CFC33"/>
    <w:multiLevelType w:val="singleLevel"/>
    <w:tmpl w:val="F09CFC33"/>
    <w:lvl w:ilvl="0" w:tentative="0">
      <w:start w:val="1"/>
      <w:numFmt w:val="decimal"/>
      <w:lvlText w:val="(%1)"/>
      <w:lvlJc w:val="left"/>
      <w:pPr>
        <w:ind w:left="425" w:hanging="425"/>
      </w:pPr>
      <w:rPr>
        <w:rFonts w:hint="default" w:ascii="宋体" w:hAnsi="宋体" w:eastAsia="宋体" w:cs="宋体"/>
        <w:sz w:val="21"/>
        <w:szCs w:val="21"/>
      </w:rPr>
    </w:lvl>
  </w:abstractNum>
  <w:abstractNum w:abstractNumId="3">
    <w:nsid w:val="F47A0796"/>
    <w:multiLevelType w:val="singleLevel"/>
    <w:tmpl w:val="F47A0796"/>
    <w:lvl w:ilvl="0" w:tentative="0">
      <w:start w:val="1"/>
      <w:numFmt w:val="chineseCounting"/>
      <w:suff w:val="nothing"/>
      <w:lvlText w:val="（%1）"/>
      <w:lvlJc w:val="left"/>
      <w:pPr>
        <w:ind w:left="0" w:firstLine="420"/>
      </w:pPr>
      <w:rPr>
        <w:rFonts w:hint="eastAsia"/>
        <w:b/>
        <w:bCs/>
      </w:rPr>
    </w:lvl>
  </w:abstractNum>
  <w:abstractNum w:abstractNumId="4">
    <w:nsid w:val="F4E25012"/>
    <w:multiLevelType w:val="multilevel"/>
    <w:tmpl w:val="F4E25012"/>
    <w:lvl w:ilvl="0" w:tentative="0">
      <w:start w:val="1"/>
      <w:numFmt w:val="chineseCountingThousand"/>
      <w:lvlText w:val="%1、"/>
      <w:lvlJc w:val="left"/>
      <w:pPr>
        <w:tabs>
          <w:tab w:val="left" w:pos="420"/>
        </w:tabs>
        <w:ind w:left="420" w:hanging="420"/>
      </w:pPr>
      <w:rPr>
        <w:rFonts w:hint="eastAsia" w:ascii="宋体" w:hAnsi="宋体" w:eastAsia="宋体" w:cs="宋体"/>
        <w:b/>
        <w:sz w:val="21"/>
        <w:szCs w:val="21"/>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00000010"/>
    <w:multiLevelType w:val="multilevel"/>
    <w:tmpl w:val="00000010"/>
    <w:lvl w:ilvl="0" w:tentative="0">
      <w:start w:val="1"/>
      <w:numFmt w:val="decimal"/>
      <w:lvlText w:val="%1."/>
      <w:lvlJc w:val="left"/>
      <w:pPr>
        <w:tabs>
          <w:tab w:val="left" w:pos="425"/>
        </w:tabs>
        <w:ind w:left="425" w:hanging="425"/>
      </w:pPr>
      <w:rPr>
        <w:rFonts w:hint="eastAsia"/>
      </w:rPr>
    </w:lvl>
    <w:lvl w:ilvl="1" w:tentative="0">
      <w:start w:val="1"/>
      <w:numFmt w:val="decimal"/>
      <w:lvlText w:val="%1.%2"/>
      <w:lvlJc w:val="left"/>
      <w:pPr>
        <w:tabs>
          <w:tab w:val="left" w:pos="567"/>
        </w:tabs>
        <w:ind w:left="567" w:hanging="567"/>
      </w:pPr>
      <w:rPr>
        <w:rFonts w:hint="default" w:ascii="宋体" w:hAnsi="宋体" w:eastAsia="宋体" w:cs="Times New Roman"/>
        <w:b w:val="0"/>
        <w:dstrike w:val="0"/>
      </w:rPr>
    </w:lvl>
    <w:lvl w:ilvl="2" w:tentative="0">
      <w:start w:val="1"/>
      <w:numFmt w:val="decimal"/>
      <w:lvlText w:val="%1.%2.%3"/>
      <w:lvlJc w:val="left"/>
      <w:pPr>
        <w:tabs>
          <w:tab w:val="left" w:pos="1703"/>
        </w:tabs>
        <w:ind w:left="1703" w:hanging="851"/>
      </w:pPr>
      <w:rPr>
        <w:rFonts w:hint="default" w:ascii="宋体" w:hAnsi="宋体" w:eastAsia="宋体" w:cs="Times New Roman"/>
        <w:b w:val="0"/>
        <w:color w:val="auto"/>
        <w:sz w:val="21"/>
        <w:szCs w:val="21"/>
      </w:rPr>
    </w:lvl>
    <w:lvl w:ilvl="3" w:tentative="0">
      <w:start w:val="1"/>
      <w:numFmt w:val="decimal"/>
      <w:pStyle w:val="36"/>
      <w:lvlText w:val="%1.%2.%3.%4"/>
      <w:lvlJc w:val="left"/>
      <w:pPr>
        <w:tabs>
          <w:tab w:val="left" w:pos="851"/>
        </w:tabs>
        <w:ind w:left="851" w:hanging="851"/>
      </w:pPr>
      <w:rPr>
        <w:rFonts w:hint="eastAsia"/>
        <w:dstrike w:val="0"/>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6">
    <w:nsid w:val="0304B097"/>
    <w:multiLevelType w:val="singleLevel"/>
    <w:tmpl w:val="0304B097"/>
    <w:lvl w:ilvl="0" w:tentative="0">
      <w:start w:val="1"/>
      <w:numFmt w:val="decimal"/>
      <w:suff w:val="nothing"/>
      <w:lvlText w:val="%1．"/>
      <w:lvlJc w:val="left"/>
      <w:pPr>
        <w:ind w:left="0" w:firstLine="400"/>
      </w:pPr>
      <w:rPr>
        <w:rFonts w:hint="default" w:ascii="宋体" w:hAnsi="宋体" w:eastAsia="宋体" w:cs="宋体"/>
        <w:sz w:val="21"/>
        <w:szCs w:val="21"/>
      </w:rPr>
    </w:lvl>
  </w:abstractNum>
  <w:abstractNum w:abstractNumId="7">
    <w:nsid w:val="1579B33C"/>
    <w:multiLevelType w:val="singleLevel"/>
    <w:tmpl w:val="1579B33C"/>
    <w:lvl w:ilvl="0" w:tentative="0">
      <w:start w:val="1"/>
      <w:numFmt w:val="decimal"/>
      <w:suff w:val="nothing"/>
      <w:lvlText w:val="%1．"/>
      <w:lvlJc w:val="left"/>
      <w:pPr>
        <w:ind w:left="0" w:firstLine="400"/>
      </w:pPr>
      <w:rPr>
        <w:rFonts w:hint="default" w:ascii="宋体" w:hAnsi="宋体" w:eastAsia="宋体" w:cs="宋体"/>
        <w:sz w:val="21"/>
        <w:szCs w:val="21"/>
      </w:rPr>
    </w:lvl>
  </w:abstractNum>
  <w:abstractNum w:abstractNumId="8">
    <w:nsid w:val="1C0F739A"/>
    <w:multiLevelType w:val="singleLevel"/>
    <w:tmpl w:val="1C0F739A"/>
    <w:lvl w:ilvl="0" w:tentative="0">
      <w:start w:val="1"/>
      <w:numFmt w:val="decimal"/>
      <w:suff w:val="nothing"/>
      <w:lvlText w:val="%1．"/>
      <w:lvlJc w:val="left"/>
      <w:pPr>
        <w:ind w:left="0" w:firstLine="400"/>
      </w:pPr>
      <w:rPr>
        <w:rFonts w:hint="default" w:ascii="宋体" w:hAnsi="宋体" w:eastAsia="宋体" w:cstheme="minorEastAsia"/>
        <w:sz w:val="21"/>
        <w:szCs w:val="21"/>
      </w:rPr>
    </w:lvl>
  </w:abstractNum>
  <w:abstractNum w:abstractNumId="9">
    <w:nsid w:val="288C32E4"/>
    <w:multiLevelType w:val="multilevel"/>
    <w:tmpl w:val="288C32E4"/>
    <w:lvl w:ilvl="0" w:tentative="0">
      <w:start w:val="1"/>
      <w:numFmt w:val="decimal"/>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0">
    <w:nsid w:val="2F0E7B2B"/>
    <w:multiLevelType w:val="multilevel"/>
    <w:tmpl w:val="2F0E7B2B"/>
    <w:lvl w:ilvl="0" w:tentative="0">
      <w:start w:val="1"/>
      <w:numFmt w:val="decimal"/>
      <w:lvlText w:val="(%1)"/>
      <w:lvlJc w:val="left"/>
      <w:pPr>
        <w:tabs>
          <w:tab w:val="left" w:pos="1200"/>
        </w:tabs>
        <w:ind w:left="1200" w:hanging="360"/>
      </w:pPr>
      <w:rPr>
        <w:rFonts w:hint="default"/>
      </w:rPr>
    </w:lvl>
    <w:lvl w:ilvl="1" w:tentative="0">
      <w:start w:val="1"/>
      <w:numFmt w:val="decimal"/>
      <w:lvlText w:val="%2．"/>
      <w:lvlJc w:val="left"/>
      <w:pPr>
        <w:tabs>
          <w:tab w:val="left" w:pos="1620"/>
        </w:tabs>
        <w:ind w:left="1620" w:hanging="360"/>
      </w:pPr>
      <w:rPr>
        <w:rFonts w:hint="default" w:ascii="宋体" w:hAnsi="宋体" w:eastAsia="宋体"/>
      </w:rPr>
    </w:lvl>
    <w:lvl w:ilvl="2" w:tentative="0">
      <w:start w:val="1"/>
      <w:numFmt w:val="lowerRoman"/>
      <w:lvlText w:val="%3."/>
      <w:lvlJc w:val="right"/>
      <w:pPr>
        <w:tabs>
          <w:tab w:val="left" w:pos="2100"/>
        </w:tabs>
        <w:ind w:left="2100" w:hanging="420"/>
      </w:pPr>
      <w:rPr>
        <w:rFonts w:hint="eastAsia"/>
      </w:rPr>
    </w:lvl>
    <w:lvl w:ilvl="3" w:tentative="0">
      <w:start w:val="1"/>
      <w:numFmt w:val="decimal"/>
      <w:lvlText w:val="%4."/>
      <w:lvlJc w:val="left"/>
      <w:pPr>
        <w:tabs>
          <w:tab w:val="left" w:pos="2520"/>
        </w:tabs>
        <w:ind w:left="2520" w:hanging="420"/>
      </w:pPr>
      <w:rPr>
        <w:rFonts w:hint="eastAsia"/>
      </w:rPr>
    </w:lvl>
    <w:lvl w:ilvl="4" w:tentative="0">
      <w:start w:val="1"/>
      <w:numFmt w:val="lowerLetter"/>
      <w:lvlText w:val="%5)"/>
      <w:lvlJc w:val="left"/>
      <w:pPr>
        <w:tabs>
          <w:tab w:val="left" w:pos="2940"/>
        </w:tabs>
        <w:ind w:left="2940" w:hanging="420"/>
      </w:pPr>
      <w:rPr>
        <w:rFonts w:hint="eastAsia"/>
      </w:rPr>
    </w:lvl>
    <w:lvl w:ilvl="5" w:tentative="0">
      <w:start w:val="1"/>
      <w:numFmt w:val="lowerRoman"/>
      <w:lvlText w:val="%6."/>
      <w:lvlJc w:val="right"/>
      <w:pPr>
        <w:tabs>
          <w:tab w:val="left" w:pos="3360"/>
        </w:tabs>
        <w:ind w:left="3360" w:hanging="420"/>
      </w:pPr>
      <w:rPr>
        <w:rFonts w:hint="eastAsia"/>
      </w:rPr>
    </w:lvl>
    <w:lvl w:ilvl="6" w:tentative="0">
      <w:start w:val="1"/>
      <w:numFmt w:val="decimal"/>
      <w:lvlText w:val="%7."/>
      <w:lvlJc w:val="left"/>
      <w:pPr>
        <w:tabs>
          <w:tab w:val="left" w:pos="3780"/>
        </w:tabs>
        <w:ind w:left="3780" w:hanging="420"/>
      </w:pPr>
      <w:rPr>
        <w:rFonts w:hint="eastAsia"/>
      </w:rPr>
    </w:lvl>
    <w:lvl w:ilvl="7" w:tentative="0">
      <w:start w:val="1"/>
      <w:numFmt w:val="lowerLetter"/>
      <w:lvlText w:val="%8)"/>
      <w:lvlJc w:val="left"/>
      <w:pPr>
        <w:tabs>
          <w:tab w:val="left" w:pos="4200"/>
        </w:tabs>
        <w:ind w:left="4200" w:hanging="420"/>
      </w:pPr>
      <w:rPr>
        <w:rFonts w:hint="eastAsia"/>
      </w:rPr>
    </w:lvl>
    <w:lvl w:ilvl="8" w:tentative="0">
      <w:start w:val="1"/>
      <w:numFmt w:val="lowerRoman"/>
      <w:lvlText w:val="%9."/>
      <w:lvlJc w:val="right"/>
      <w:pPr>
        <w:tabs>
          <w:tab w:val="left" w:pos="4620"/>
        </w:tabs>
        <w:ind w:left="4620" w:hanging="420"/>
      </w:pPr>
      <w:rPr>
        <w:rFonts w:hint="eastAsia"/>
      </w:rPr>
    </w:lvl>
  </w:abstractNum>
  <w:abstractNum w:abstractNumId="11">
    <w:nsid w:val="3F5862CA"/>
    <w:multiLevelType w:val="multilevel"/>
    <w:tmpl w:val="3F5862CA"/>
    <w:lvl w:ilvl="0" w:tentative="0">
      <w:start w:val="1"/>
      <w:numFmt w:val="decimal"/>
      <w:lvlText w:val="%1."/>
      <w:lvlJc w:val="left"/>
      <w:pPr>
        <w:tabs>
          <w:tab w:val="left" w:pos="360"/>
        </w:tabs>
        <w:ind w:left="360" w:hanging="360"/>
      </w:pPr>
      <w:rPr>
        <w:rFonts w:hint="default"/>
        <w:b w:val="0"/>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2">
    <w:nsid w:val="4CCCCDC4"/>
    <w:multiLevelType w:val="singleLevel"/>
    <w:tmpl w:val="4CCCCDC4"/>
    <w:lvl w:ilvl="0" w:tentative="0">
      <w:start w:val="1"/>
      <w:numFmt w:val="decimal"/>
      <w:suff w:val="nothing"/>
      <w:lvlText w:val="%1．"/>
      <w:lvlJc w:val="left"/>
      <w:pPr>
        <w:ind w:left="0" w:firstLine="400"/>
      </w:pPr>
      <w:rPr>
        <w:rFonts w:hint="default" w:ascii="宋体" w:hAnsi="宋体" w:eastAsia="宋体" w:cstheme="minorEastAsia"/>
        <w:sz w:val="21"/>
        <w:szCs w:val="21"/>
      </w:rPr>
    </w:lvl>
  </w:abstractNum>
  <w:abstractNum w:abstractNumId="13">
    <w:nsid w:val="4CE23F7C"/>
    <w:multiLevelType w:val="multilevel"/>
    <w:tmpl w:val="4CE23F7C"/>
    <w:lvl w:ilvl="0" w:tentative="0">
      <w:start w:val="1"/>
      <w:numFmt w:val="decimal"/>
      <w:lvlText w:val="(%1)"/>
      <w:lvlJc w:val="left"/>
      <w:pPr>
        <w:tabs>
          <w:tab w:val="left" w:pos="1200"/>
        </w:tabs>
        <w:ind w:left="1200" w:hanging="360"/>
      </w:pPr>
      <w:rPr>
        <w:rFonts w:hint="default"/>
      </w:rPr>
    </w:lvl>
    <w:lvl w:ilvl="1" w:tentative="0">
      <w:start w:val="1"/>
      <w:numFmt w:val="decimal"/>
      <w:lvlText w:val="%2．"/>
      <w:lvlJc w:val="left"/>
      <w:pPr>
        <w:tabs>
          <w:tab w:val="left" w:pos="1620"/>
        </w:tabs>
        <w:ind w:left="1620" w:hanging="360"/>
      </w:pPr>
      <w:rPr>
        <w:rFonts w:hint="default" w:ascii="宋体" w:hAnsi="宋体" w:eastAsia="宋体"/>
      </w:rPr>
    </w:lvl>
    <w:lvl w:ilvl="2" w:tentative="0">
      <w:start w:val="1"/>
      <w:numFmt w:val="lowerRoman"/>
      <w:lvlText w:val="%3."/>
      <w:lvlJc w:val="right"/>
      <w:pPr>
        <w:tabs>
          <w:tab w:val="left" w:pos="2100"/>
        </w:tabs>
        <w:ind w:left="2100" w:hanging="420"/>
      </w:pPr>
      <w:rPr>
        <w:rFonts w:hint="eastAsia"/>
      </w:rPr>
    </w:lvl>
    <w:lvl w:ilvl="3" w:tentative="0">
      <w:start w:val="1"/>
      <w:numFmt w:val="decimal"/>
      <w:lvlText w:val="%4."/>
      <w:lvlJc w:val="left"/>
      <w:pPr>
        <w:tabs>
          <w:tab w:val="left" w:pos="2520"/>
        </w:tabs>
        <w:ind w:left="2520" w:hanging="420"/>
      </w:pPr>
      <w:rPr>
        <w:rFonts w:hint="eastAsia"/>
      </w:rPr>
    </w:lvl>
    <w:lvl w:ilvl="4" w:tentative="0">
      <w:start w:val="1"/>
      <w:numFmt w:val="lowerLetter"/>
      <w:lvlText w:val="%5)"/>
      <w:lvlJc w:val="left"/>
      <w:pPr>
        <w:tabs>
          <w:tab w:val="left" w:pos="2940"/>
        </w:tabs>
        <w:ind w:left="2940" w:hanging="420"/>
      </w:pPr>
      <w:rPr>
        <w:rFonts w:hint="eastAsia"/>
      </w:rPr>
    </w:lvl>
    <w:lvl w:ilvl="5" w:tentative="0">
      <w:start w:val="1"/>
      <w:numFmt w:val="lowerRoman"/>
      <w:lvlText w:val="%6."/>
      <w:lvlJc w:val="right"/>
      <w:pPr>
        <w:tabs>
          <w:tab w:val="left" w:pos="3360"/>
        </w:tabs>
        <w:ind w:left="3360" w:hanging="420"/>
      </w:pPr>
      <w:rPr>
        <w:rFonts w:hint="eastAsia"/>
      </w:rPr>
    </w:lvl>
    <w:lvl w:ilvl="6" w:tentative="0">
      <w:start w:val="1"/>
      <w:numFmt w:val="decimal"/>
      <w:lvlText w:val="%7."/>
      <w:lvlJc w:val="left"/>
      <w:pPr>
        <w:tabs>
          <w:tab w:val="left" w:pos="3780"/>
        </w:tabs>
        <w:ind w:left="3780" w:hanging="420"/>
      </w:pPr>
      <w:rPr>
        <w:rFonts w:hint="eastAsia"/>
      </w:rPr>
    </w:lvl>
    <w:lvl w:ilvl="7" w:tentative="0">
      <w:start w:val="1"/>
      <w:numFmt w:val="lowerLetter"/>
      <w:lvlText w:val="%8)"/>
      <w:lvlJc w:val="left"/>
      <w:pPr>
        <w:tabs>
          <w:tab w:val="left" w:pos="4200"/>
        </w:tabs>
        <w:ind w:left="4200" w:hanging="420"/>
      </w:pPr>
      <w:rPr>
        <w:rFonts w:hint="eastAsia"/>
      </w:rPr>
    </w:lvl>
    <w:lvl w:ilvl="8" w:tentative="0">
      <w:start w:val="1"/>
      <w:numFmt w:val="lowerRoman"/>
      <w:lvlText w:val="%9."/>
      <w:lvlJc w:val="right"/>
      <w:pPr>
        <w:tabs>
          <w:tab w:val="left" w:pos="4620"/>
        </w:tabs>
        <w:ind w:left="4620" w:hanging="420"/>
      </w:pPr>
      <w:rPr>
        <w:rFonts w:hint="eastAsia"/>
      </w:rPr>
    </w:lvl>
  </w:abstractNum>
  <w:abstractNum w:abstractNumId="14">
    <w:nsid w:val="503C550D"/>
    <w:multiLevelType w:val="multilevel"/>
    <w:tmpl w:val="503C550D"/>
    <w:lvl w:ilvl="0" w:tentative="0">
      <w:start w:val="1"/>
      <w:numFmt w:val="decimal"/>
      <w:lvlText w:val="%1."/>
      <w:lvlJc w:val="left"/>
      <w:pPr>
        <w:tabs>
          <w:tab w:val="left" w:pos="425"/>
        </w:tabs>
        <w:ind w:left="425" w:hanging="425"/>
      </w:pPr>
    </w:lvl>
    <w:lvl w:ilvl="1" w:tentative="0">
      <w:start w:val="1"/>
      <w:numFmt w:val="decimal"/>
      <w:lvlText w:val="%1.%2."/>
      <w:lvlJc w:val="left"/>
      <w:pPr>
        <w:tabs>
          <w:tab w:val="left" w:pos="567"/>
        </w:tabs>
        <w:ind w:left="567" w:hanging="567"/>
      </w:pPr>
    </w:lvl>
    <w:lvl w:ilvl="2" w:tentative="0">
      <w:start w:val="1"/>
      <w:numFmt w:val="decimal"/>
      <w:lvlText w:val="%1.%2.%3."/>
      <w:lvlJc w:val="left"/>
      <w:pPr>
        <w:tabs>
          <w:tab w:val="left" w:pos="709"/>
        </w:tabs>
        <w:ind w:left="709" w:hanging="709"/>
      </w:pPr>
    </w:lvl>
    <w:lvl w:ilvl="3" w:tentative="0">
      <w:start w:val="1"/>
      <w:numFmt w:val="decimal"/>
      <w:lvlText w:val="%1.%2.%3.%4."/>
      <w:lvlJc w:val="left"/>
      <w:pPr>
        <w:tabs>
          <w:tab w:val="left" w:pos="851"/>
        </w:tabs>
        <w:ind w:left="851" w:hanging="851"/>
      </w:pPr>
    </w:lvl>
    <w:lvl w:ilvl="4" w:tentative="0">
      <w:start w:val="1"/>
      <w:numFmt w:val="decimal"/>
      <w:lvlText w:val="%1.%2.%3.%4.%5."/>
      <w:lvlJc w:val="left"/>
      <w:pPr>
        <w:tabs>
          <w:tab w:val="left" w:pos="992"/>
        </w:tabs>
        <w:ind w:left="992" w:hanging="992"/>
      </w:pPr>
    </w:lvl>
    <w:lvl w:ilvl="5" w:tentative="0">
      <w:start w:val="1"/>
      <w:numFmt w:val="decimal"/>
      <w:lvlText w:val="%1.%2.%3.%4.%5.%6."/>
      <w:lvlJc w:val="left"/>
      <w:pPr>
        <w:tabs>
          <w:tab w:val="left" w:pos="1134"/>
        </w:tabs>
        <w:ind w:left="1134" w:hanging="1134"/>
      </w:pPr>
    </w:lvl>
    <w:lvl w:ilvl="6" w:tentative="0">
      <w:start w:val="1"/>
      <w:numFmt w:val="decimal"/>
      <w:lvlText w:val="%1.%2.%3.%4.%5.%6.%7."/>
      <w:lvlJc w:val="left"/>
      <w:pPr>
        <w:tabs>
          <w:tab w:val="left" w:pos="1276"/>
        </w:tabs>
        <w:ind w:left="1276" w:hanging="1276"/>
      </w:pPr>
    </w:lvl>
    <w:lvl w:ilvl="7" w:tentative="0">
      <w:start w:val="1"/>
      <w:numFmt w:val="decimal"/>
      <w:lvlText w:val="%1.%2.%3.%4.%5.%6.%7.%8."/>
      <w:lvlJc w:val="left"/>
      <w:pPr>
        <w:tabs>
          <w:tab w:val="left" w:pos="1418"/>
        </w:tabs>
        <w:ind w:left="1418" w:hanging="1418"/>
      </w:pPr>
    </w:lvl>
    <w:lvl w:ilvl="8" w:tentative="0">
      <w:start w:val="1"/>
      <w:numFmt w:val="decimal"/>
      <w:lvlText w:val="%1.%2.%3.%4.%5.%6.%7.%8.%9."/>
      <w:lvlJc w:val="left"/>
      <w:pPr>
        <w:tabs>
          <w:tab w:val="left" w:pos="1559"/>
        </w:tabs>
        <w:ind w:left="1559" w:hanging="1559"/>
      </w:pPr>
    </w:lvl>
  </w:abstractNum>
  <w:abstractNum w:abstractNumId="15">
    <w:nsid w:val="590DFEAE"/>
    <w:multiLevelType w:val="singleLevel"/>
    <w:tmpl w:val="590DFEAE"/>
    <w:lvl w:ilvl="0" w:tentative="0">
      <w:start w:val="1"/>
      <w:numFmt w:val="decimal"/>
      <w:suff w:val="nothing"/>
      <w:lvlText w:val="%1．"/>
      <w:lvlJc w:val="left"/>
      <w:pPr>
        <w:ind w:left="0" w:firstLine="400"/>
      </w:pPr>
      <w:rPr>
        <w:rFonts w:hint="default" w:ascii="宋体" w:hAnsi="宋体" w:eastAsia="宋体" w:cs="宋体"/>
        <w:sz w:val="21"/>
        <w:szCs w:val="21"/>
      </w:rPr>
    </w:lvl>
  </w:abstractNum>
  <w:abstractNum w:abstractNumId="16">
    <w:nsid w:val="5EE70559"/>
    <w:multiLevelType w:val="multilevel"/>
    <w:tmpl w:val="5EE70559"/>
    <w:lvl w:ilvl="0" w:tentative="0">
      <w:start w:val="1"/>
      <w:numFmt w:val="decimal"/>
      <w:lvlText w:val="%1."/>
      <w:lvlJc w:val="left"/>
      <w:pPr>
        <w:tabs>
          <w:tab w:val="left" w:pos="425"/>
        </w:tabs>
        <w:ind w:left="425" w:hanging="425"/>
      </w:pPr>
    </w:lvl>
    <w:lvl w:ilvl="1" w:tentative="0">
      <w:start w:val="1"/>
      <w:numFmt w:val="decimal"/>
      <w:lvlText w:val="%1.%2."/>
      <w:lvlJc w:val="left"/>
      <w:pPr>
        <w:tabs>
          <w:tab w:val="left" w:pos="567"/>
        </w:tabs>
        <w:ind w:left="567" w:hanging="567"/>
      </w:pPr>
    </w:lvl>
    <w:lvl w:ilvl="2" w:tentative="0">
      <w:start w:val="1"/>
      <w:numFmt w:val="decimal"/>
      <w:lvlText w:val="%1.%2.%3."/>
      <w:lvlJc w:val="left"/>
      <w:pPr>
        <w:tabs>
          <w:tab w:val="left" w:pos="709"/>
        </w:tabs>
        <w:ind w:left="709" w:hanging="709"/>
      </w:pPr>
    </w:lvl>
    <w:lvl w:ilvl="3" w:tentative="0">
      <w:start w:val="1"/>
      <w:numFmt w:val="decimal"/>
      <w:lvlText w:val="%1.%2.%3.%4."/>
      <w:lvlJc w:val="left"/>
      <w:pPr>
        <w:tabs>
          <w:tab w:val="left" w:pos="851"/>
        </w:tabs>
        <w:ind w:left="851" w:hanging="851"/>
      </w:pPr>
    </w:lvl>
    <w:lvl w:ilvl="4" w:tentative="0">
      <w:start w:val="1"/>
      <w:numFmt w:val="decimal"/>
      <w:lvlText w:val="%1.%2.%3.%4.%5."/>
      <w:lvlJc w:val="left"/>
      <w:pPr>
        <w:tabs>
          <w:tab w:val="left" w:pos="992"/>
        </w:tabs>
        <w:ind w:left="992" w:hanging="992"/>
      </w:pPr>
    </w:lvl>
    <w:lvl w:ilvl="5" w:tentative="0">
      <w:start w:val="1"/>
      <w:numFmt w:val="decimal"/>
      <w:lvlText w:val="%1.%2.%3.%4.%5.%6."/>
      <w:lvlJc w:val="left"/>
      <w:pPr>
        <w:tabs>
          <w:tab w:val="left" w:pos="1134"/>
        </w:tabs>
        <w:ind w:left="1134" w:hanging="1134"/>
      </w:pPr>
    </w:lvl>
    <w:lvl w:ilvl="6" w:tentative="0">
      <w:start w:val="1"/>
      <w:numFmt w:val="decimal"/>
      <w:lvlText w:val="%1.%2.%3.%4.%5.%6.%7."/>
      <w:lvlJc w:val="left"/>
      <w:pPr>
        <w:tabs>
          <w:tab w:val="left" w:pos="1276"/>
        </w:tabs>
        <w:ind w:left="1276" w:hanging="1276"/>
      </w:pPr>
    </w:lvl>
    <w:lvl w:ilvl="7" w:tentative="0">
      <w:start w:val="1"/>
      <w:numFmt w:val="decimal"/>
      <w:lvlText w:val="%1.%2.%3.%4.%5.%6.%7.%8."/>
      <w:lvlJc w:val="left"/>
      <w:pPr>
        <w:tabs>
          <w:tab w:val="left" w:pos="1418"/>
        </w:tabs>
        <w:ind w:left="1418" w:hanging="1418"/>
      </w:pPr>
    </w:lvl>
    <w:lvl w:ilvl="8" w:tentative="0">
      <w:start w:val="1"/>
      <w:numFmt w:val="decimal"/>
      <w:lvlText w:val="%1.%2.%3.%4.%5.%6.%7.%8.%9."/>
      <w:lvlJc w:val="left"/>
      <w:pPr>
        <w:tabs>
          <w:tab w:val="left" w:pos="1559"/>
        </w:tabs>
        <w:ind w:left="1559" w:hanging="1559"/>
      </w:pPr>
    </w:lvl>
  </w:abstractNum>
  <w:abstractNum w:abstractNumId="17">
    <w:nsid w:val="63784A10"/>
    <w:multiLevelType w:val="multilevel"/>
    <w:tmpl w:val="63784A10"/>
    <w:lvl w:ilvl="0" w:tentative="0">
      <w:start w:val="1"/>
      <w:numFmt w:val="chineseCountingThousand"/>
      <w:suff w:val="nothing"/>
      <w:lvlText w:val="%1、"/>
      <w:lvlJc w:val="left"/>
      <w:pPr>
        <w:ind w:left="420" w:hanging="420"/>
      </w:pPr>
      <w:rPr>
        <w:rFonts w:hint="eastAsia"/>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8">
    <w:nsid w:val="683E6D1D"/>
    <w:multiLevelType w:val="multilevel"/>
    <w:tmpl w:val="683E6D1D"/>
    <w:lvl w:ilvl="0" w:tentative="0">
      <w:start w:val="1"/>
      <w:numFmt w:val="decimal"/>
      <w:lvlText w:val="%1."/>
      <w:lvlJc w:val="left"/>
      <w:pPr>
        <w:tabs>
          <w:tab w:val="left" w:pos="425"/>
        </w:tabs>
        <w:ind w:left="425" w:hanging="425"/>
      </w:pPr>
    </w:lvl>
    <w:lvl w:ilvl="1" w:tentative="0">
      <w:start w:val="1"/>
      <w:numFmt w:val="decimal"/>
      <w:lvlText w:val="%1.%2."/>
      <w:lvlJc w:val="left"/>
      <w:pPr>
        <w:tabs>
          <w:tab w:val="left" w:pos="567"/>
        </w:tabs>
        <w:ind w:left="567" w:hanging="567"/>
      </w:pPr>
    </w:lvl>
    <w:lvl w:ilvl="2" w:tentative="0">
      <w:start w:val="1"/>
      <w:numFmt w:val="decimal"/>
      <w:lvlText w:val="%1.%2.%3."/>
      <w:lvlJc w:val="left"/>
      <w:pPr>
        <w:tabs>
          <w:tab w:val="left" w:pos="709"/>
        </w:tabs>
        <w:ind w:left="709" w:hanging="709"/>
      </w:pPr>
    </w:lvl>
    <w:lvl w:ilvl="3" w:tentative="0">
      <w:start w:val="1"/>
      <w:numFmt w:val="decimal"/>
      <w:lvlText w:val="%1.%2.%3.%4."/>
      <w:lvlJc w:val="left"/>
      <w:pPr>
        <w:tabs>
          <w:tab w:val="left" w:pos="851"/>
        </w:tabs>
        <w:ind w:left="851" w:hanging="851"/>
      </w:pPr>
    </w:lvl>
    <w:lvl w:ilvl="4" w:tentative="0">
      <w:start w:val="1"/>
      <w:numFmt w:val="decimal"/>
      <w:lvlText w:val="%1.%2.%3.%4.%5."/>
      <w:lvlJc w:val="left"/>
      <w:pPr>
        <w:tabs>
          <w:tab w:val="left" w:pos="992"/>
        </w:tabs>
        <w:ind w:left="992" w:hanging="992"/>
      </w:pPr>
    </w:lvl>
    <w:lvl w:ilvl="5" w:tentative="0">
      <w:start w:val="1"/>
      <w:numFmt w:val="decimal"/>
      <w:lvlText w:val="%1.%2.%3.%4.%5.%6."/>
      <w:lvlJc w:val="left"/>
      <w:pPr>
        <w:tabs>
          <w:tab w:val="left" w:pos="1134"/>
        </w:tabs>
        <w:ind w:left="1134" w:hanging="1134"/>
      </w:pPr>
    </w:lvl>
    <w:lvl w:ilvl="6" w:tentative="0">
      <w:start w:val="1"/>
      <w:numFmt w:val="decimal"/>
      <w:lvlText w:val="%1.%2.%3.%4.%5.%6.%7."/>
      <w:lvlJc w:val="left"/>
      <w:pPr>
        <w:tabs>
          <w:tab w:val="left" w:pos="1276"/>
        </w:tabs>
        <w:ind w:left="1276" w:hanging="1276"/>
      </w:pPr>
    </w:lvl>
    <w:lvl w:ilvl="7" w:tentative="0">
      <w:start w:val="1"/>
      <w:numFmt w:val="decimal"/>
      <w:lvlText w:val="%1.%2.%3.%4.%5.%6.%7.%8."/>
      <w:lvlJc w:val="left"/>
      <w:pPr>
        <w:tabs>
          <w:tab w:val="left" w:pos="1418"/>
        </w:tabs>
        <w:ind w:left="1418" w:hanging="1418"/>
      </w:pPr>
    </w:lvl>
    <w:lvl w:ilvl="8" w:tentative="0">
      <w:start w:val="1"/>
      <w:numFmt w:val="decimal"/>
      <w:lvlText w:val="%1.%2.%3.%4.%5.%6.%7.%8.%9."/>
      <w:lvlJc w:val="left"/>
      <w:pPr>
        <w:tabs>
          <w:tab w:val="left" w:pos="1559"/>
        </w:tabs>
        <w:ind w:left="1559" w:hanging="1559"/>
      </w:pPr>
    </w:lvl>
  </w:abstractNum>
  <w:abstractNum w:abstractNumId="19">
    <w:nsid w:val="6E19083E"/>
    <w:multiLevelType w:val="multilevel"/>
    <w:tmpl w:val="6E19083E"/>
    <w:lvl w:ilvl="0" w:tentative="0">
      <w:start w:val="1"/>
      <w:numFmt w:val="decimal"/>
      <w:lvlText w:val="%1."/>
      <w:lvlJc w:val="left"/>
      <w:pPr>
        <w:ind w:left="420" w:hanging="420"/>
      </w:pPr>
      <w:rPr>
        <w:rFonts w:hint="default"/>
        <w:sz w:val="21"/>
        <w:szCs w:val="21"/>
      </w:rPr>
    </w:lvl>
    <w:lvl w:ilvl="1" w:tentative="0">
      <w:start w:val="1"/>
      <w:numFmt w:val="decimal"/>
      <w:lvlText w:val="(%2)"/>
      <w:lvlJc w:val="left"/>
      <w:pPr>
        <w:ind w:left="780" w:hanging="360"/>
      </w:pPr>
      <w:rPr>
        <w:rFonts w:hint="default"/>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0">
    <w:nsid w:val="72AE5F84"/>
    <w:multiLevelType w:val="multilevel"/>
    <w:tmpl w:val="72AE5F84"/>
    <w:lvl w:ilvl="0" w:tentative="0">
      <w:start w:val="1"/>
      <w:numFmt w:val="chineseCountingThousand"/>
      <w:lvlText w:val="(%1)"/>
      <w:lvlJc w:val="left"/>
      <w:pPr>
        <w:ind w:left="286" w:hanging="420"/>
      </w:pPr>
    </w:lvl>
    <w:lvl w:ilvl="1" w:tentative="0">
      <w:start w:val="1"/>
      <w:numFmt w:val="lowerLetter"/>
      <w:lvlText w:val="%2)"/>
      <w:lvlJc w:val="left"/>
      <w:pPr>
        <w:ind w:left="706" w:hanging="420"/>
      </w:pPr>
    </w:lvl>
    <w:lvl w:ilvl="2" w:tentative="0">
      <w:start w:val="1"/>
      <w:numFmt w:val="lowerRoman"/>
      <w:lvlText w:val="%3."/>
      <w:lvlJc w:val="right"/>
      <w:pPr>
        <w:ind w:left="1126" w:hanging="420"/>
      </w:pPr>
    </w:lvl>
    <w:lvl w:ilvl="3" w:tentative="0">
      <w:start w:val="1"/>
      <w:numFmt w:val="decimal"/>
      <w:lvlText w:val="%4."/>
      <w:lvlJc w:val="left"/>
      <w:pPr>
        <w:ind w:left="1546" w:hanging="420"/>
      </w:pPr>
    </w:lvl>
    <w:lvl w:ilvl="4" w:tentative="0">
      <w:start w:val="1"/>
      <w:numFmt w:val="lowerLetter"/>
      <w:lvlText w:val="%5)"/>
      <w:lvlJc w:val="left"/>
      <w:pPr>
        <w:ind w:left="1966" w:hanging="420"/>
      </w:pPr>
    </w:lvl>
    <w:lvl w:ilvl="5" w:tentative="0">
      <w:start w:val="1"/>
      <w:numFmt w:val="lowerRoman"/>
      <w:lvlText w:val="%6."/>
      <w:lvlJc w:val="right"/>
      <w:pPr>
        <w:ind w:left="2386" w:hanging="420"/>
      </w:pPr>
    </w:lvl>
    <w:lvl w:ilvl="6" w:tentative="0">
      <w:start w:val="1"/>
      <w:numFmt w:val="decimal"/>
      <w:lvlText w:val="%7."/>
      <w:lvlJc w:val="left"/>
      <w:pPr>
        <w:ind w:left="2806" w:hanging="420"/>
      </w:pPr>
    </w:lvl>
    <w:lvl w:ilvl="7" w:tentative="0">
      <w:start w:val="1"/>
      <w:numFmt w:val="lowerLetter"/>
      <w:lvlText w:val="%8)"/>
      <w:lvlJc w:val="left"/>
      <w:pPr>
        <w:ind w:left="3226" w:hanging="420"/>
      </w:pPr>
    </w:lvl>
    <w:lvl w:ilvl="8" w:tentative="0">
      <w:start w:val="1"/>
      <w:numFmt w:val="lowerRoman"/>
      <w:lvlText w:val="%9."/>
      <w:lvlJc w:val="right"/>
      <w:pPr>
        <w:ind w:left="3646" w:hanging="420"/>
      </w:pPr>
    </w:lvl>
  </w:abstractNum>
  <w:num w:numId="1">
    <w:abstractNumId w:val="5"/>
  </w:num>
  <w:num w:numId="2">
    <w:abstractNumId w:val="17"/>
  </w:num>
  <w:num w:numId="3">
    <w:abstractNumId w:val="3"/>
  </w:num>
  <w:num w:numId="4">
    <w:abstractNumId w:val="12"/>
  </w:num>
  <w:num w:numId="5">
    <w:abstractNumId w:val="1"/>
  </w:num>
  <w:num w:numId="6">
    <w:abstractNumId w:val="6"/>
  </w:num>
  <w:num w:numId="7">
    <w:abstractNumId w:val="7"/>
  </w:num>
  <w:num w:numId="8">
    <w:abstractNumId w:val="15"/>
  </w:num>
  <w:num w:numId="9">
    <w:abstractNumId w:val="8"/>
  </w:num>
  <w:num w:numId="10">
    <w:abstractNumId w:val="2"/>
  </w:num>
  <w:num w:numId="11">
    <w:abstractNumId w:val="9"/>
  </w:num>
  <w:num w:numId="12">
    <w:abstractNumId w:val="4"/>
  </w:num>
  <w:num w:numId="13">
    <w:abstractNumId w:val="20"/>
  </w:num>
  <w:num w:numId="14">
    <w:abstractNumId w:val="18"/>
  </w:num>
  <w:num w:numId="15">
    <w:abstractNumId w:val="11"/>
  </w:num>
  <w:num w:numId="16">
    <w:abstractNumId w:val="16"/>
  </w:num>
  <w:num w:numId="17">
    <w:abstractNumId w:val="14"/>
  </w:num>
  <w:num w:numId="18">
    <w:abstractNumId w:val="19"/>
  </w:num>
  <w:num w:numId="19">
    <w:abstractNumId w:val="10"/>
  </w:num>
  <w:num w:numId="20">
    <w:abstractNumId w:val="0"/>
  </w:num>
  <w:num w:numId="2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Q0ZTZhZTlmZmE5OTc3YTU0ZWI1NTU2ZGRhMzczYWQifQ=="/>
    <w:docVar w:name="KSO_WPS_MARK_KEY" w:val="d94bb426-f439-4ea5-b83c-b949d703864a"/>
  </w:docVars>
  <w:rsids>
    <w:rsidRoot w:val="00603670"/>
    <w:rsid w:val="0000298A"/>
    <w:rsid w:val="00011A82"/>
    <w:rsid w:val="000163AB"/>
    <w:rsid w:val="00027036"/>
    <w:rsid w:val="00042B6B"/>
    <w:rsid w:val="000431C9"/>
    <w:rsid w:val="00045E6F"/>
    <w:rsid w:val="00050534"/>
    <w:rsid w:val="00053978"/>
    <w:rsid w:val="000565F1"/>
    <w:rsid w:val="0006472A"/>
    <w:rsid w:val="00072D57"/>
    <w:rsid w:val="000749D9"/>
    <w:rsid w:val="00075391"/>
    <w:rsid w:val="00082CDE"/>
    <w:rsid w:val="00083BE6"/>
    <w:rsid w:val="00086BDC"/>
    <w:rsid w:val="00094FAA"/>
    <w:rsid w:val="000B040C"/>
    <w:rsid w:val="000B3F59"/>
    <w:rsid w:val="000C5ABD"/>
    <w:rsid w:val="000E1199"/>
    <w:rsid w:val="000E4C42"/>
    <w:rsid w:val="000F1249"/>
    <w:rsid w:val="000F423D"/>
    <w:rsid w:val="00107E2D"/>
    <w:rsid w:val="0011556A"/>
    <w:rsid w:val="00116EDF"/>
    <w:rsid w:val="00123BEA"/>
    <w:rsid w:val="001304CF"/>
    <w:rsid w:val="00140AD2"/>
    <w:rsid w:val="00145AE8"/>
    <w:rsid w:val="0016171E"/>
    <w:rsid w:val="00175ECB"/>
    <w:rsid w:val="001775AE"/>
    <w:rsid w:val="00182BE9"/>
    <w:rsid w:val="001863E0"/>
    <w:rsid w:val="001A0DDF"/>
    <w:rsid w:val="001A769F"/>
    <w:rsid w:val="001B0A70"/>
    <w:rsid w:val="001B74DB"/>
    <w:rsid w:val="001C071E"/>
    <w:rsid w:val="001C3D61"/>
    <w:rsid w:val="001C43C7"/>
    <w:rsid w:val="001C453B"/>
    <w:rsid w:val="001C6BE3"/>
    <w:rsid w:val="001D1026"/>
    <w:rsid w:val="001D33E6"/>
    <w:rsid w:val="001D3E3B"/>
    <w:rsid w:val="001E48AC"/>
    <w:rsid w:val="001E5C33"/>
    <w:rsid w:val="001F3F8C"/>
    <w:rsid w:val="002056C6"/>
    <w:rsid w:val="00220312"/>
    <w:rsid w:val="00237088"/>
    <w:rsid w:val="002379C7"/>
    <w:rsid w:val="0024390D"/>
    <w:rsid w:val="00251790"/>
    <w:rsid w:val="00253352"/>
    <w:rsid w:val="00262DAA"/>
    <w:rsid w:val="0026399A"/>
    <w:rsid w:val="002674A4"/>
    <w:rsid w:val="00270E13"/>
    <w:rsid w:val="00274FF8"/>
    <w:rsid w:val="00283853"/>
    <w:rsid w:val="00283A1B"/>
    <w:rsid w:val="002920CA"/>
    <w:rsid w:val="002A1D82"/>
    <w:rsid w:val="002A1FE5"/>
    <w:rsid w:val="002A50F6"/>
    <w:rsid w:val="002B2992"/>
    <w:rsid w:val="002B4DF8"/>
    <w:rsid w:val="002B6EEB"/>
    <w:rsid w:val="002C7CC8"/>
    <w:rsid w:val="002D4EBD"/>
    <w:rsid w:val="002D5B83"/>
    <w:rsid w:val="002E0263"/>
    <w:rsid w:val="002E61D3"/>
    <w:rsid w:val="002E66A9"/>
    <w:rsid w:val="002F352E"/>
    <w:rsid w:val="002F4A33"/>
    <w:rsid w:val="002F5E67"/>
    <w:rsid w:val="0031356B"/>
    <w:rsid w:val="00321D88"/>
    <w:rsid w:val="00327C22"/>
    <w:rsid w:val="00332AF3"/>
    <w:rsid w:val="003336BA"/>
    <w:rsid w:val="00336F07"/>
    <w:rsid w:val="00342E19"/>
    <w:rsid w:val="00355F34"/>
    <w:rsid w:val="00361074"/>
    <w:rsid w:val="00366797"/>
    <w:rsid w:val="003818F2"/>
    <w:rsid w:val="00383905"/>
    <w:rsid w:val="00384761"/>
    <w:rsid w:val="00392847"/>
    <w:rsid w:val="00393D24"/>
    <w:rsid w:val="00394537"/>
    <w:rsid w:val="00394CBD"/>
    <w:rsid w:val="00395A64"/>
    <w:rsid w:val="00395C9C"/>
    <w:rsid w:val="00396F62"/>
    <w:rsid w:val="003B0A20"/>
    <w:rsid w:val="003B48C0"/>
    <w:rsid w:val="003B5D20"/>
    <w:rsid w:val="003C419C"/>
    <w:rsid w:val="003D2DE8"/>
    <w:rsid w:val="003D3C42"/>
    <w:rsid w:val="003E273C"/>
    <w:rsid w:val="003F38D5"/>
    <w:rsid w:val="00403AB2"/>
    <w:rsid w:val="00412749"/>
    <w:rsid w:val="004211A3"/>
    <w:rsid w:val="00425F66"/>
    <w:rsid w:val="00431BF0"/>
    <w:rsid w:val="00431DBE"/>
    <w:rsid w:val="00433B9F"/>
    <w:rsid w:val="00456ED5"/>
    <w:rsid w:val="0045760A"/>
    <w:rsid w:val="004610D7"/>
    <w:rsid w:val="004613B9"/>
    <w:rsid w:val="0047081D"/>
    <w:rsid w:val="004765F8"/>
    <w:rsid w:val="00476745"/>
    <w:rsid w:val="00476899"/>
    <w:rsid w:val="00491492"/>
    <w:rsid w:val="00492B35"/>
    <w:rsid w:val="00493336"/>
    <w:rsid w:val="00494623"/>
    <w:rsid w:val="00496883"/>
    <w:rsid w:val="004A36A8"/>
    <w:rsid w:val="004A6A68"/>
    <w:rsid w:val="004B4136"/>
    <w:rsid w:val="004B57DA"/>
    <w:rsid w:val="004B7182"/>
    <w:rsid w:val="004D2165"/>
    <w:rsid w:val="004D2A3E"/>
    <w:rsid w:val="004D491B"/>
    <w:rsid w:val="004D6D34"/>
    <w:rsid w:val="004E3790"/>
    <w:rsid w:val="004F1479"/>
    <w:rsid w:val="00501334"/>
    <w:rsid w:val="00501F2E"/>
    <w:rsid w:val="00521996"/>
    <w:rsid w:val="00522280"/>
    <w:rsid w:val="005316BD"/>
    <w:rsid w:val="00533B92"/>
    <w:rsid w:val="00534F6E"/>
    <w:rsid w:val="00535EEC"/>
    <w:rsid w:val="005456E9"/>
    <w:rsid w:val="00545D9F"/>
    <w:rsid w:val="005462F7"/>
    <w:rsid w:val="005521A5"/>
    <w:rsid w:val="00555B34"/>
    <w:rsid w:val="00565168"/>
    <w:rsid w:val="005656FE"/>
    <w:rsid w:val="005678E8"/>
    <w:rsid w:val="00585A83"/>
    <w:rsid w:val="00591BC0"/>
    <w:rsid w:val="00593C7A"/>
    <w:rsid w:val="005B1D70"/>
    <w:rsid w:val="005B3711"/>
    <w:rsid w:val="005C064C"/>
    <w:rsid w:val="005C3A40"/>
    <w:rsid w:val="005D0B0F"/>
    <w:rsid w:val="005D72B7"/>
    <w:rsid w:val="005D796C"/>
    <w:rsid w:val="005E4015"/>
    <w:rsid w:val="005E748F"/>
    <w:rsid w:val="005F00ED"/>
    <w:rsid w:val="005F4F7A"/>
    <w:rsid w:val="005F6D53"/>
    <w:rsid w:val="00603670"/>
    <w:rsid w:val="006037D5"/>
    <w:rsid w:val="00616532"/>
    <w:rsid w:val="00616AE3"/>
    <w:rsid w:val="00620F2C"/>
    <w:rsid w:val="00627DD4"/>
    <w:rsid w:val="00627F1C"/>
    <w:rsid w:val="0064715C"/>
    <w:rsid w:val="0066018A"/>
    <w:rsid w:val="006628FF"/>
    <w:rsid w:val="00673379"/>
    <w:rsid w:val="006779F7"/>
    <w:rsid w:val="00680244"/>
    <w:rsid w:val="006817FD"/>
    <w:rsid w:val="006923B3"/>
    <w:rsid w:val="006A61C8"/>
    <w:rsid w:val="006B07B5"/>
    <w:rsid w:val="006B1BFB"/>
    <w:rsid w:val="006B764E"/>
    <w:rsid w:val="006D213E"/>
    <w:rsid w:val="006D5FC6"/>
    <w:rsid w:val="006D7E04"/>
    <w:rsid w:val="00700C51"/>
    <w:rsid w:val="00704006"/>
    <w:rsid w:val="00704031"/>
    <w:rsid w:val="007056A1"/>
    <w:rsid w:val="007059E9"/>
    <w:rsid w:val="0071097B"/>
    <w:rsid w:val="007128C2"/>
    <w:rsid w:val="00713BF5"/>
    <w:rsid w:val="00715D44"/>
    <w:rsid w:val="00717FA5"/>
    <w:rsid w:val="007214B0"/>
    <w:rsid w:val="00721994"/>
    <w:rsid w:val="00724E13"/>
    <w:rsid w:val="00726EDF"/>
    <w:rsid w:val="007342B9"/>
    <w:rsid w:val="00741354"/>
    <w:rsid w:val="007440B0"/>
    <w:rsid w:val="007470DA"/>
    <w:rsid w:val="00761C9A"/>
    <w:rsid w:val="00762179"/>
    <w:rsid w:val="00766BD6"/>
    <w:rsid w:val="00772ED2"/>
    <w:rsid w:val="00781170"/>
    <w:rsid w:val="00781957"/>
    <w:rsid w:val="00783B9B"/>
    <w:rsid w:val="00786D28"/>
    <w:rsid w:val="00793437"/>
    <w:rsid w:val="0079465B"/>
    <w:rsid w:val="007B645B"/>
    <w:rsid w:val="007C5792"/>
    <w:rsid w:val="007E26FA"/>
    <w:rsid w:val="007E3EDE"/>
    <w:rsid w:val="007F26F4"/>
    <w:rsid w:val="007F6B25"/>
    <w:rsid w:val="0080065E"/>
    <w:rsid w:val="008034FC"/>
    <w:rsid w:val="00803518"/>
    <w:rsid w:val="00811E08"/>
    <w:rsid w:val="00812470"/>
    <w:rsid w:val="008124C1"/>
    <w:rsid w:val="0082229E"/>
    <w:rsid w:val="00825FF0"/>
    <w:rsid w:val="00830919"/>
    <w:rsid w:val="00847407"/>
    <w:rsid w:val="008537C7"/>
    <w:rsid w:val="008556E4"/>
    <w:rsid w:val="00856F2F"/>
    <w:rsid w:val="00873FC7"/>
    <w:rsid w:val="00875023"/>
    <w:rsid w:val="00881257"/>
    <w:rsid w:val="00882269"/>
    <w:rsid w:val="008A5110"/>
    <w:rsid w:val="008A7093"/>
    <w:rsid w:val="008A75A4"/>
    <w:rsid w:val="008B7BAC"/>
    <w:rsid w:val="008B7C71"/>
    <w:rsid w:val="008C2AB1"/>
    <w:rsid w:val="008C3917"/>
    <w:rsid w:val="008C7245"/>
    <w:rsid w:val="008D0A5A"/>
    <w:rsid w:val="008E3CD8"/>
    <w:rsid w:val="008E49E5"/>
    <w:rsid w:val="008E6EDC"/>
    <w:rsid w:val="008F3BD8"/>
    <w:rsid w:val="008F3E0F"/>
    <w:rsid w:val="008F3F79"/>
    <w:rsid w:val="008F480D"/>
    <w:rsid w:val="00904D13"/>
    <w:rsid w:val="009227C3"/>
    <w:rsid w:val="00923354"/>
    <w:rsid w:val="0092421F"/>
    <w:rsid w:val="00932E40"/>
    <w:rsid w:val="009330F3"/>
    <w:rsid w:val="00937F4D"/>
    <w:rsid w:val="00940CEB"/>
    <w:rsid w:val="00945388"/>
    <w:rsid w:val="00945FC8"/>
    <w:rsid w:val="0094675A"/>
    <w:rsid w:val="009500CB"/>
    <w:rsid w:val="00950D89"/>
    <w:rsid w:val="00966193"/>
    <w:rsid w:val="009666D4"/>
    <w:rsid w:val="00966E16"/>
    <w:rsid w:val="00977403"/>
    <w:rsid w:val="00981FCF"/>
    <w:rsid w:val="009877F1"/>
    <w:rsid w:val="00990253"/>
    <w:rsid w:val="00991F41"/>
    <w:rsid w:val="009A21C0"/>
    <w:rsid w:val="009A4BF3"/>
    <w:rsid w:val="009B4D41"/>
    <w:rsid w:val="009C2904"/>
    <w:rsid w:val="009C2D78"/>
    <w:rsid w:val="009C51EA"/>
    <w:rsid w:val="009D0859"/>
    <w:rsid w:val="009D4FC9"/>
    <w:rsid w:val="009D50D8"/>
    <w:rsid w:val="009E5075"/>
    <w:rsid w:val="009E5F7B"/>
    <w:rsid w:val="009F22AA"/>
    <w:rsid w:val="00A042E3"/>
    <w:rsid w:val="00A0472A"/>
    <w:rsid w:val="00A13934"/>
    <w:rsid w:val="00A16824"/>
    <w:rsid w:val="00A16965"/>
    <w:rsid w:val="00A16C1A"/>
    <w:rsid w:val="00A202CE"/>
    <w:rsid w:val="00A258AD"/>
    <w:rsid w:val="00A30C64"/>
    <w:rsid w:val="00A35A63"/>
    <w:rsid w:val="00A444BF"/>
    <w:rsid w:val="00A446B1"/>
    <w:rsid w:val="00A45A6D"/>
    <w:rsid w:val="00A765D9"/>
    <w:rsid w:val="00A82740"/>
    <w:rsid w:val="00AA2719"/>
    <w:rsid w:val="00AA4A01"/>
    <w:rsid w:val="00AB6105"/>
    <w:rsid w:val="00AC2AF9"/>
    <w:rsid w:val="00AD08E8"/>
    <w:rsid w:val="00AD3C05"/>
    <w:rsid w:val="00AD6219"/>
    <w:rsid w:val="00AE270A"/>
    <w:rsid w:val="00AE2F48"/>
    <w:rsid w:val="00AE6B80"/>
    <w:rsid w:val="00AF1D6C"/>
    <w:rsid w:val="00AF4372"/>
    <w:rsid w:val="00B0099A"/>
    <w:rsid w:val="00B06AE0"/>
    <w:rsid w:val="00B16927"/>
    <w:rsid w:val="00B36CF5"/>
    <w:rsid w:val="00B4687C"/>
    <w:rsid w:val="00B5406D"/>
    <w:rsid w:val="00B54D59"/>
    <w:rsid w:val="00B617FE"/>
    <w:rsid w:val="00B80C5B"/>
    <w:rsid w:val="00B85FC9"/>
    <w:rsid w:val="00B9732A"/>
    <w:rsid w:val="00BA1245"/>
    <w:rsid w:val="00BA578C"/>
    <w:rsid w:val="00BB3D04"/>
    <w:rsid w:val="00BB45E3"/>
    <w:rsid w:val="00BB566D"/>
    <w:rsid w:val="00BB5881"/>
    <w:rsid w:val="00BB67EB"/>
    <w:rsid w:val="00BC4505"/>
    <w:rsid w:val="00BC697C"/>
    <w:rsid w:val="00BD3301"/>
    <w:rsid w:val="00BD4CD9"/>
    <w:rsid w:val="00BD6AB4"/>
    <w:rsid w:val="00BF04FE"/>
    <w:rsid w:val="00BF568B"/>
    <w:rsid w:val="00C00098"/>
    <w:rsid w:val="00C02598"/>
    <w:rsid w:val="00C2026A"/>
    <w:rsid w:val="00C21B82"/>
    <w:rsid w:val="00C31252"/>
    <w:rsid w:val="00C368FE"/>
    <w:rsid w:val="00C40805"/>
    <w:rsid w:val="00C455DD"/>
    <w:rsid w:val="00C476C2"/>
    <w:rsid w:val="00C541C5"/>
    <w:rsid w:val="00C56A1C"/>
    <w:rsid w:val="00C65789"/>
    <w:rsid w:val="00C668B0"/>
    <w:rsid w:val="00C776A4"/>
    <w:rsid w:val="00C83E6E"/>
    <w:rsid w:val="00C90DA1"/>
    <w:rsid w:val="00CA090A"/>
    <w:rsid w:val="00CA0CCB"/>
    <w:rsid w:val="00CA0FD7"/>
    <w:rsid w:val="00CC17D4"/>
    <w:rsid w:val="00CD143C"/>
    <w:rsid w:val="00CD57F2"/>
    <w:rsid w:val="00CE0497"/>
    <w:rsid w:val="00CE71FC"/>
    <w:rsid w:val="00CF2666"/>
    <w:rsid w:val="00CF59AA"/>
    <w:rsid w:val="00D002F2"/>
    <w:rsid w:val="00D015A2"/>
    <w:rsid w:val="00D10E67"/>
    <w:rsid w:val="00D2020D"/>
    <w:rsid w:val="00D221F4"/>
    <w:rsid w:val="00D24487"/>
    <w:rsid w:val="00D32910"/>
    <w:rsid w:val="00D4308A"/>
    <w:rsid w:val="00D467C0"/>
    <w:rsid w:val="00D533FC"/>
    <w:rsid w:val="00D61271"/>
    <w:rsid w:val="00D638E3"/>
    <w:rsid w:val="00D704B4"/>
    <w:rsid w:val="00D7179D"/>
    <w:rsid w:val="00D71805"/>
    <w:rsid w:val="00D756D0"/>
    <w:rsid w:val="00D8277B"/>
    <w:rsid w:val="00D82EF0"/>
    <w:rsid w:val="00D834B2"/>
    <w:rsid w:val="00D9501D"/>
    <w:rsid w:val="00D953AB"/>
    <w:rsid w:val="00D95437"/>
    <w:rsid w:val="00D95FC8"/>
    <w:rsid w:val="00D96CBE"/>
    <w:rsid w:val="00DA2FB4"/>
    <w:rsid w:val="00DA47E2"/>
    <w:rsid w:val="00DA5447"/>
    <w:rsid w:val="00DA677A"/>
    <w:rsid w:val="00DC2C1D"/>
    <w:rsid w:val="00DD1F0C"/>
    <w:rsid w:val="00DD2C2A"/>
    <w:rsid w:val="00DD3557"/>
    <w:rsid w:val="00DD4221"/>
    <w:rsid w:val="00E01F9F"/>
    <w:rsid w:val="00E06F98"/>
    <w:rsid w:val="00E07AB9"/>
    <w:rsid w:val="00E127FA"/>
    <w:rsid w:val="00E255DD"/>
    <w:rsid w:val="00E300EB"/>
    <w:rsid w:val="00E33E2A"/>
    <w:rsid w:val="00E3421A"/>
    <w:rsid w:val="00E34EB3"/>
    <w:rsid w:val="00E4552F"/>
    <w:rsid w:val="00E456ED"/>
    <w:rsid w:val="00E45C66"/>
    <w:rsid w:val="00E47E80"/>
    <w:rsid w:val="00E52B0C"/>
    <w:rsid w:val="00E63355"/>
    <w:rsid w:val="00E70313"/>
    <w:rsid w:val="00E81F84"/>
    <w:rsid w:val="00E84F37"/>
    <w:rsid w:val="00E94445"/>
    <w:rsid w:val="00E96562"/>
    <w:rsid w:val="00EA08B8"/>
    <w:rsid w:val="00EA1D68"/>
    <w:rsid w:val="00EA6C46"/>
    <w:rsid w:val="00EB3E5D"/>
    <w:rsid w:val="00EC1C56"/>
    <w:rsid w:val="00EC6A4D"/>
    <w:rsid w:val="00EC6B71"/>
    <w:rsid w:val="00ED5181"/>
    <w:rsid w:val="00EE203B"/>
    <w:rsid w:val="00EE22B8"/>
    <w:rsid w:val="00EE6332"/>
    <w:rsid w:val="00EE7439"/>
    <w:rsid w:val="00EF1B95"/>
    <w:rsid w:val="00EF3265"/>
    <w:rsid w:val="00EF5F21"/>
    <w:rsid w:val="00F124EF"/>
    <w:rsid w:val="00F14A8B"/>
    <w:rsid w:val="00F15985"/>
    <w:rsid w:val="00F1651A"/>
    <w:rsid w:val="00F16A55"/>
    <w:rsid w:val="00F20BBF"/>
    <w:rsid w:val="00F21AC8"/>
    <w:rsid w:val="00F21DD8"/>
    <w:rsid w:val="00F2484C"/>
    <w:rsid w:val="00F264F6"/>
    <w:rsid w:val="00F31DBA"/>
    <w:rsid w:val="00F31E19"/>
    <w:rsid w:val="00F4747C"/>
    <w:rsid w:val="00F5165D"/>
    <w:rsid w:val="00F523A2"/>
    <w:rsid w:val="00F61DA9"/>
    <w:rsid w:val="00F67ABD"/>
    <w:rsid w:val="00F705B7"/>
    <w:rsid w:val="00F71BEE"/>
    <w:rsid w:val="00F74919"/>
    <w:rsid w:val="00F965CD"/>
    <w:rsid w:val="00F96A5F"/>
    <w:rsid w:val="00FC353C"/>
    <w:rsid w:val="00FD12C6"/>
    <w:rsid w:val="00FD56B9"/>
    <w:rsid w:val="00FE1170"/>
    <w:rsid w:val="00FE3A2F"/>
    <w:rsid w:val="00FF04E2"/>
    <w:rsid w:val="00FF424F"/>
    <w:rsid w:val="015E0701"/>
    <w:rsid w:val="016A6C79"/>
    <w:rsid w:val="02181129"/>
    <w:rsid w:val="02CE4282"/>
    <w:rsid w:val="02E42FCA"/>
    <w:rsid w:val="04375C44"/>
    <w:rsid w:val="04A65CBD"/>
    <w:rsid w:val="052B2EF5"/>
    <w:rsid w:val="05FB2573"/>
    <w:rsid w:val="067C1BC2"/>
    <w:rsid w:val="06AD021E"/>
    <w:rsid w:val="06BA455D"/>
    <w:rsid w:val="06F51A39"/>
    <w:rsid w:val="07560F7E"/>
    <w:rsid w:val="08380D9F"/>
    <w:rsid w:val="08E32A0F"/>
    <w:rsid w:val="090D12BC"/>
    <w:rsid w:val="0936476E"/>
    <w:rsid w:val="09476ADF"/>
    <w:rsid w:val="098413F8"/>
    <w:rsid w:val="09ED2957"/>
    <w:rsid w:val="0A6F7AD4"/>
    <w:rsid w:val="0B430904"/>
    <w:rsid w:val="0B53226D"/>
    <w:rsid w:val="0B571438"/>
    <w:rsid w:val="0C72525B"/>
    <w:rsid w:val="0CBE46E5"/>
    <w:rsid w:val="0D040750"/>
    <w:rsid w:val="0EB2188B"/>
    <w:rsid w:val="0ED75C3A"/>
    <w:rsid w:val="0EDD0C64"/>
    <w:rsid w:val="0F5C274E"/>
    <w:rsid w:val="10864BAF"/>
    <w:rsid w:val="10CA7EC9"/>
    <w:rsid w:val="10ED1E00"/>
    <w:rsid w:val="10F548A0"/>
    <w:rsid w:val="11075A69"/>
    <w:rsid w:val="1110351D"/>
    <w:rsid w:val="112B19A0"/>
    <w:rsid w:val="114233DA"/>
    <w:rsid w:val="11493F48"/>
    <w:rsid w:val="115A3E79"/>
    <w:rsid w:val="11B60016"/>
    <w:rsid w:val="12AF2DD9"/>
    <w:rsid w:val="12B02B5B"/>
    <w:rsid w:val="12EA7C02"/>
    <w:rsid w:val="12FB03D7"/>
    <w:rsid w:val="13F34567"/>
    <w:rsid w:val="14347E1A"/>
    <w:rsid w:val="14EF039A"/>
    <w:rsid w:val="159C2AA3"/>
    <w:rsid w:val="15A13F9D"/>
    <w:rsid w:val="15CF03BA"/>
    <w:rsid w:val="15F32D11"/>
    <w:rsid w:val="16310E1E"/>
    <w:rsid w:val="169B6010"/>
    <w:rsid w:val="16AD27BB"/>
    <w:rsid w:val="16C15797"/>
    <w:rsid w:val="17276DB1"/>
    <w:rsid w:val="17340AE3"/>
    <w:rsid w:val="18017181"/>
    <w:rsid w:val="181A5423"/>
    <w:rsid w:val="1834418E"/>
    <w:rsid w:val="183C1E47"/>
    <w:rsid w:val="188B647F"/>
    <w:rsid w:val="19925F08"/>
    <w:rsid w:val="19EC2827"/>
    <w:rsid w:val="1A0A1E61"/>
    <w:rsid w:val="1A396D97"/>
    <w:rsid w:val="1B1A5A9B"/>
    <w:rsid w:val="1B1F150E"/>
    <w:rsid w:val="1B2C3661"/>
    <w:rsid w:val="1BE16AA3"/>
    <w:rsid w:val="1BE2748B"/>
    <w:rsid w:val="1BFF68AC"/>
    <w:rsid w:val="1C13053F"/>
    <w:rsid w:val="1C3A66DC"/>
    <w:rsid w:val="1D1055B3"/>
    <w:rsid w:val="1D58705A"/>
    <w:rsid w:val="1E670328"/>
    <w:rsid w:val="1E815A95"/>
    <w:rsid w:val="1EB24774"/>
    <w:rsid w:val="1ED136BD"/>
    <w:rsid w:val="1F143A1A"/>
    <w:rsid w:val="1F790D8E"/>
    <w:rsid w:val="1F92627F"/>
    <w:rsid w:val="200902A2"/>
    <w:rsid w:val="2018233B"/>
    <w:rsid w:val="202C4BA0"/>
    <w:rsid w:val="2031368A"/>
    <w:rsid w:val="20F37AF2"/>
    <w:rsid w:val="21037791"/>
    <w:rsid w:val="21B65783"/>
    <w:rsid w:val="21D175BF"/>
    <w:rsid w:val="22F000F4"/>
    <w:rsid w:val="23753379"/>
    <w:rsid w:val="240C5608"/>
    <w:rsid w:val="242E5DB2"/>
    <w:rsid w:val="24DC02C5"/>
    <w:rsid w:val="259D1B90"/>
    <w:rsid w:val="25BF29AE"/>
    <w:rsid w:val="25C76443"/>
    <w:rsid w:val="262E41C8"/>
    <w:rsid w:val="26525F4D"/>
    <w:rsid w:val="26A91D83"/>
    <w:rsid w:val="27151420"/>
    <w:rsid w:val="28154713"/>
    <w:rsid w:val="28DF3FCB"/>
    <w:rsid w:val="29D04C89"/>
    <w:rsid w:val="2A7810F6"/>
    <w:rsid w:val="2A8F0D6E"/>
    <w:rsid w:val="2AF249C8"/>
    <w:rsid w:val="2B192609"/>
    <w:rsid w:val="2B434CEA"/>
    <w:rsid w:val="2BD85A0F"/>
    <w:rsid w:val="2CB953F3"/>
    <w:rsid w:val="2CDE5811"/>
    <w:rsid w:val="2D9A1762"/>
    <w:rsid w:val="2DE67895"/>
    <w:rsid w:val="2E4F7ABC"/>
    <w:rsid w:val="2F476B85"/>
    <w:rsid w:val="2F8B41C5"/>
    <w:rsid w:val="2FD110DF"/>
    <w:rsid w:val="2FD95850"/>
    <w:rsid w:val="3009348A"/>
    <w:rsid w:val="336F2764"/>
    <w:rsid w:val="344C3B08"/>
    <w:rsid w:val="35B41300"/>
    <w:rsid w:val="3609309B"/>
    <w:rsid w:val="372E75BF"/>
    <w:rsid w:val="390458AE"/>
    <w:rsid w:val="392154C6"/>
    <w:rsid w:val="392803B0"/>
    <w:rsid w:val="39425EA4"/>
    <w:rsid w:val="398048E2"/>
    <w:rsid w:val="39A45FA5"/>
    <w:rsid w:val="39FA04A7"/>
    <w:rsid w:val="3A23021F"/>
    <w:rsid w:val="3A56195D"/>
    <w:rsid w:val="3B9260FC"/>
    <w:rsid w:val="3C4A1D69"/>
    <w:rsid w:val="3C964B49"/>
    <w:rsid w:val="3DB54D85"/>
    <w:rsid w:val="3E7616F0"/>
    <w:rsid w:val="3F025588"/>
    <w:rsid w:val="40552625"/>
    <w:rsid w:val="413435BC"/>
    <w:rsid w:val="41701D64"/>
    <w:rsid w:val="41DA1B40"/>
    <w:rsid w:val="41FC16B9"/>
    <w:rsid w:val="439D3B2B"/>
    <w:rsid w:val="43A00300"/>
    <w:rsid w:val="44861074"/>
    <w:rsid w:val="44A2656B"/>
    <w:rsid w:val="44B32765"/>
    <w:rsid w:val="450D6168"/>
    <w:rsid w:val="452A026D"/>
    <w:rsid w:val="45E345BD"/>
    <w:rsid w:val="45FB2764"/>
    <w:rsid w:val="46A3378F"/>
    <w:rsid w:val="46BA6A35"/>
    <w:rsid w:val="46C3379F"/>
    <w:rsid w:val="46EB5A91"/>
    <w:rsid w:val="47562682"/>
    <w:rsid w:val="476E7816"/>
    <w:rsid w:val="47972728"/>
    <w:rsid w:val="47C6360E"/>
    <w:rsid w:val="483A21D4"/>
    <w:rsid w:val="49163AAD"/>
    <w:rsid w:val="49466876"/>
    <w:rsid w:val="49ED12FF"/>
    <w:rsid w:val="4A164494"/>
    <w:rsid w:val="4A71531C"/>
    <w:rsid w:val="4AFD2237"/>
    <w:rsid w:val="4B1F447C"/>
    <w:rsid w:val="4BD04C50"/>
    <w:rsid w:val="4BF41FBC"/>
    <w:rsid w:val="4BFD59E8"/>
    <w:rsid w:val="4C052E47"/>
    <w:rsid w:val="4C7D3E20"/>
    <w:rsid w:val="4CB9011E"/>
    <w:rsid w:val="4CBC5A8D"/>
    <w:rsid w:val="4D156EFA"/>
    <w:rsid w:val="4D925376"/>
    <w:rsid w:val="4DA17D7B"/>
    <w:rsid w:val="4E1A4C63"/>
    <w:rsid w:val="4E510FC4"/>
    <w:rsid w:val="4E5C33D0"/>
    <w:rsid w:val="4E6D6B7D"/>
    <w:rsid w:val="4E7D77DC"/>
    <w:rsid w:val="4EAF015A"/>
    <w:rsid w:val="4EDE5EDB"/>
    <w:rsid w:val="4F407689"/>
    <w:rsid w:val="4F971025"/>
    <w:rsid w:val="4FA72089"/>
    <w:rsid w:val="4FD83BD6"/>
    <w:rsid w:val="5115591C"/>
    <w:rsid w:val="51705837"/>
    <w:rsid w:val="519F1952"/>
    <w:rsid w:val="537D3C2D"/>
    <w:rsid w:val="537F3BB6"/>
    <w:rsid w:val="53C42785"/>
    <w:rsid w:val="5430250C"/>
    <w:rsid w:val="54A82839"/>
    <w:rsid w:val="54F22F39"/>
    <w:rsid w:val="554E6FE3"/>
    <w:rsid w:val="556F72BE"/>
    <w:rsid w:val="557823D2"/>
    <w:rsid w:val="558B26A7"/>
    <w:rsid w:val="55961B06"/>
    <w:rsid w:val="55A84294"/>
    <w:rsid w:val="56AF61EA"/>
    <w:rsid w:val="5714693E"/>
    <w:rsid w:val="57290E23"/>
    <w:rsid w:val="57320A55"/>
    <w:rsid w:val="5789229C"/>
    <w:rsid w:val="57AF3F9F"/>
    <w:rsid w:val="58161CC5"/>
    <w:rsid w:val="581C5F45"/>
    <w:rsid w:val="58302FAC"/>
    <w:rsid w:val="583F0C9A"/>
    <w:rsid w:val="585C1D2F"/>
    <w:rsid w:val="5897303C"/>
    <w:rsid w:val="58B15A50"/>
    <w:rsid w:val="595819D9"/>
    <w:rsid w:val="598E2946"/>
    <w:rsid w:val="5A410F44"/>
    <w:rsid w:val="5A494331"/>
    <w:rsid w:val="5AED3F95"/>
    <w:rsid w:val="5B3577D0"/>
    <w:rsid w:val="5C386DDC"/>
    <w:rsid w:val="5C390560"/>
    <w:rsid w:val="5CBE3743"/>
    <w:rsid w:val="5CD86660"/>
    <w:rsid w:val="5D160AEB"/>
    <w:rsid w:val="5D3A70EE"/>
    <w:rsid w:val="5DB645C1"/>
    <w:rsid w:val="5E7C233A"/>
    <w:rsid w:val="5EE3329A"/>
    <w:rsid w:val="5F1A2F16"/>
    <w:rsid w:val="5F9E1458"/>
    <w:rsid w:val="60262322"/>
    <w:rsid w:val="602D0A71"/>
    <w:rsid w:val="610374C0"/>
    <w:rsid w:val="62045801"/>
    <w:rsid w:val="627A29E2"/>
    <w:rsid w:val="633C28F4"/>
    <w:rsid w:val="649164CF"/>
    <w:rsid w:val="659869BD"/>
    <w:rsid w:val="66872E2E"/>
    <w:rsid w:val="67530DE4"/>
    <w:rsid w:val="68290824"/>
    <w:rsid w:val="689F578C"/>
    <w:rsid w:val="69715434"/>
    <w:rsid w:val="69F00E5C"/>
    <w:rsid w:val="69F31A87"/>
    <w:rsid w:val="6A1E3F06"/>
    <w:rsid w:val="6B206CF4"/>
    <w:rsid w:val="6BAF79B1"/>
    <w:rsid w:val="6BEB1554"/>
    <w:rsid w:val="6C420E48"/>
    <w:rsid w:val="6CB63946"/>
    <w:rsid w:val="6D46194F"/>
    <w:rsid w:val="6DC607CE"/>
    <w:rsid w:val="6E6F3C8C"/>
    <w:rsid w:val="6EE467D5"/>
    <w:rsid w:val="6EF24EBF"/>
    <w:rsid w:val="6F07237B"/>
    <w:rsid w:val="710768CA"/>
    <w:rsid w:val="72183E2D"/>
    <w:rsid w:val="73C53042"/>
    <w:rsid w:val="740F5977"/>
    <w:rsid w:val="749B1FF5"/>
    <w:rsid w:val="75232317"/>
    <w:rsid w:val="75657B4A"/>
    <w:rsid w:val="758B0E6A"/>
    <w:rsid w:val="759C71EE"/>
    <w:rsid w:val="75B66909"/>
    <w:rsid w:val="75EB0D6F"/>
    <w:rsid w:val="762E3521"/>
    <w:rsid w:val="76916271"/>
    <w:rsid w:val="77514BED"/>
    <w:rsid w:val="7777006E"/>
    <w:rsid w:val="78724754"/>
    <w:rsid w:val="79601B1D"/>
    <w:rsid w:val="79AE2ADA"/>
    <w:rsid w:val="79CB7A30"/>
    <w:rsid w:val="7A6E74FD"/>
    <w:rsid w:val="7A7E5845"/>
    <w:rsid w:val="7B116B6D"/>
    <w:rsid w:val="7B483FB5"/>
    <w:rsid w:val="7C491C89"/>
    <w:rsid w:val="7C9469C9"/>
    <w:rsid w:val="7CED21F4"/>
    <w:rsid w:val="7CEF62FD"/>
    <w:rsid w:val="7D31799A"/>
    <w:rsid w:val="7D78565E"/>
    <w:rsid w:val="7EAB113D"/>
    <w:rsid w:val="7F6000C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iPriority="99" w:name="footnote text"/>
    <w:lsdException w:qFormat="1"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qFormat="1" w:unhideWhenUsed="0" w:uiPriority="0" w:semiHidden="0"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99"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iPriority="99" w:name="Body Text First Indent"/>
    <w:lsdException w:qFormat="1"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4">
    <w:name w:val="heading 1"/>
    <w:basedOn w:val="1"/>
    <w:next w:val="1"/>
    <w:link w:val="52"/>
    <w:qFormat/>
    <w:uiPriority w:val="9"/>
    <w:pPr>
      <w:keepNext/>
      <w:keepLines/>
      <w:spacing w:before="340" w:after="330" w:line="576" w:lineRule="auto"/>
      <w:outlineLvl w:val="0"/>
    </w:pPr>
    <w:rPr>
      <w:rFonts w:ascii="Times New Roman" w:hAnsi="Times New Roman" w:eastAsia="宋体" w:cs="Times New Roman"/>
      <w:b/>
      <w:bCs/>
      <w:kern w:val="44"/>
      <w:sz w:val="44"/>
      <w:szCs w:val="44"/>
    </w:rPr>
  </w:style>
  <w:style w:type="paragraph" w:styleId="5">
    <w:name w:val="heading 2"/>
    <w:basedOn w:val="1"/>
    <w:next w:val="1"/>
    <w:link w:val="55"/>
    <w:qFormat/>
    <w:uiPriority w:val="0"/>
    <w:pPr>
      <w:keepNext/>
      <w:keepLines/>
      <w:spacing w:before="260" w:after="260" w:line="416" w:lineRule="auto"/>
      <w:outlineLvl w:val="1"/>
    </w:pPr>
    <w:rPr>
      <w:rFonts w:ascii="Arial" w:hAnsi="Arial" w:eastAsia="黑体" w:cs="Times New Roman"/>
      <w:b/>
      <w:bCs/>
      <w:sz w:val="32"/>
      <w:szCs w:val="32"/>
    </w:rPr>
  </w:style>
  <w:style w:type="paragraph" w:styleId="6">
    <w:name w:val="heading 3"/>
    <w:basedOn w:val="1"/>
    <w:next w:val="1"/>
    <w:link w:val="58"/>
    <w:semiHidden/>
    <w:unhideWhenUsed/>
    <w:qFormat/>
    <w:uiPriority w:val="9"/>
    <w:pPr>
      <w:keepNext/>
      <w:keepLines/>
      <w:spacing w:before="260" w:after="260" w:line="413" w:lineRule="auto"/>
      <w:outlineLvl w:val="2"/>
    </w:pPr>
    <w:rPr>
      <w:b/>
      <w:sz w:val="32"/>
    </w:rPr>
  </w:style>
  <w:style w:type="character" w:default="1" w:styleId="22">
    <w:name w:val="Default Paragraph Font"/>
    <w:autoRedefine/>
    <w:semiHidden/>
    <w:unhideWhenUsed/>
    <w:qFormat/>
    <w:uiPriority w:val="1"/>
  </w:style>
  <w:style w:type="table" w:default="1" w:styleId="20">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link w:val="44"/>
    <w:semiHidden/>
    <w:unhideWhenUsed/>
    <w:qFormat/>
    <w:uiPriority w:val="99"/>
    <w:pPr>
      <w:ind w:firstLine="420" w:firstLineChars="200"/>
    </w:pPr>
  </w:style>
  <w:style w:type="paragraph" w:styleId="3">
    <w:name w:val="Body Text Indent"/>
    <w:basedOn w:val="1"/>
    <w:link w:val="43"/>
    <w:semiHidden/>
    <w:unhideWhenUsed/>
    <w:qFormat/>
    <w:uiPriority w:val="99"/>
    <w:pPr>
      <w:spacing w:after="120"/>
      <w:ind w:left="420" w:leftChars="200"/>
    </w:pPr>
  </w:style>
  <w:style w:type="paragraph" w:styleId="7">
    <w:name w:val="annotation text"/>
    <w:basedOn w:val="1"/>
    <w:link w:val="77"/>
    <w:autoRedefine/>
    <w:unhideWhenUsed/>
    <w:qFormat/>
    <w:uiPriority w:val="0"/>
    <w:pPr>
      <w:jc w:val="left"/>
    </w:pPr>
    <w:rPr>
      <w:rFonts w:ascii="Times New Roman" w:hAnsi="Times New Roman" w:eastAsia="宋体" w:cs="Times New Roman"/>
      <w:szCs w:val="24"/>
    </w:rPr>
  </w:style>
  <w:style w:type="paragraph" w:styleId="8">
    <w:name w:val="Body Text"/>
    <w:basedOn w:val="1"/>
    <w:link w:val="47"/>
    <w:semiHidden/>
    <w:unhideWhenUsed/>
    <w:qFormat/>
    <w:uiPriority w:val="99"/>
    <w:pPr>
      <w:spacing w:after="120"/>
    </w:pPr>
  </w:style>
  <w:style w:type="paragraph" w:styleId="9">
    <w:name w:val="Plain Text"/>
    <w:basedOn w:val="1"/>
    <w:link w:val="57"/>
    <w:qFormat/>
    <w:uiPriority w:val="0"/>
    <w:rPr>
      <w:rFonts w:ascii="宋体" w:hAnsi="Courier New" w:eastAsia="宋体" w:cs="Times New Roman"/>
      <w:kern w:val="0"/>
      <w:sz w:val="20"/>
      <w:szCs w:val="21"/>
    </w:rPr>
  </w:style>
  <w:style w:type="paragraph" w:styleId="10">
    <w:name w:val="Balloon Text"/>
    <w:basedOn w:val="1"/>
    <w:link w:val="29"/>
    <w:semiHidden/>
    <w:unhideWhenUsed/>
    <w:qFormat/>
    <w:uiPriority w:val="99"/>
    <w:rPr>
      <w:sz w:val="18"/>
      <w:szCs w:val="18"/>
    </w:rPr>
  </w:style>
  <w:style w:type="paragraph" w:styleId="11">
    <w:name w:val="footer"/>
    <w:basedOn w:val="1"/>
    <w:link w:val="53"/>
    <w:unhideWhenUsed/>
    <w:qFormat/>
    <w:uiPriority w:val="99"/>
    <w:pPr>
      <w:tabs>
        <w:tab w:val="center" w:pos="4153"/>
        <w:tab w:val="right" w:pos="8306"/>
      </w:tabs>
      <w:snapToGrid w:val="0"/>
      <w:jc w:val="left"/>
    </w:pPr>
    <w:rPr>
      <w:sz w:val="18"/>
      <w:szCs w:val="18"/>
    </w:rPr>
  </w:style>
  <w:style w:type="paragraph" w:styleId="12">
    <w:name w:val="envelope return"/>
    <w:basedOn w:val="1"/>
    <w:autoRedefine/>
    <w:qFormat/>
    <w:uiPriority w:val="0"/>
    <w:pPr>
      <w:snapToGrid w:val="0"/>
    </w:pPr>
    <w:rPr>
      <w:rFonts w:ascii="Arial" w:hAnsi="Arial"/>
    </w:rPr>
  </w:style>
  <w:style w:type="paragraph" w:styleId="13">
    <w:name w:val="header"/>
    <w:basedOn w:val="1"/>
    <w:link w:val="54"/>
    <w:unhideWhenUsed/>
    <w:qFormat/>
    <w:uiPriority w:val="99"/>
    <w:pPr>
      <w:pBdr>
        <w:bottom w:val="single" w:color="auto" w:sz="6" w:space="1"/>
      </w:pBdr>
      <w:tabs>
        <w:tab w:val="center" w:pos="4153"/>
        <w:tab w:val="right" w:pos="8306"/>
      </w:tabs>
      <w:snapToGrid w:val="0"/>
      <w:jc w:val="center"/>
    </w:pPr>
    <w:rPr>
      <w:sz w:val="18"/>
      <w:szCs w:val="18"/>
    </w:rPr>
  </w:style>
  <w:style w:type="paragraph" w:styleId="14">
    <w:name w:val="toc 1"/>
    <w:basedOn w:val="1"/>
    <w:next w:val="1"/>
    <w:semiHidden/>
    <w:unhideWhenUsed/>
    <w:qFormat/>
    <w:uiPriority w:val="39"/>
    <w:pPr>
      <w:spacing w:line="400" w:lineRule="exact"/>
      <w:jc w:val="center"/>
    </w:pPr>
    <w:rPr>
      <w:rFonts w:hint="eastAsia" w:ascii="宋体" w:hAnsi="宋体" w:eastAsia="宋体" w:cs="Times New Roman"/>
      <w:b/>
      <w:bCs/>
    </w:rPr>
  </w:style>
  <w:style w:type="paragraph" w:styleId="15">
    <w:name w:val="footnote text"/>
    <w:basedOn w:val="1"/>
    <w:link w:val="70"/>
    <w:autoRedefine/>
    <w:semiHidden/>
    <w:unhideWhenUsed/>
    <w:qFormat/>
    <w:uiPriority w:val="99"/>
    <w:pPr>
      <w:snapToGrid w:val="0"/>
      <w:jc w:val="left"/>
    </w:pPr>
    <w:rPr>
      <w:sz w:val="18"/>
    </w:rPr>
  </w:style>
  <w:style w:type="paragraph" w:styleId="16">
    <w:name w:val="Normal (Web)"/>
    <w:basedOn w:val="1"/>
    <w:link w:val="50"/>
    <w:autoRedefine/>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17">
    <w:name w:val="Title"/>
    <w:basedOn w:val="1"/>
    <w:next w:val="1"/>
    <w:link w:val="69"/>
    <w:qFormat/>
    <w:uiPriority w:val="0"/>
    <w:pPr>
      <w:spacing w:before="240" w:after="60"/>
      <w:jc w:val="center"/>
      <w:outlineLvl w:val="0"/>
    </w:pPr>
    <w:rPr>
      <w:rFonts w:eastAsia="宋体" w:asciiTheme="majorHAnsi" w:hAnsiTheme="majorHAnsi" w:cstheme="majorBidi"/>
      <w:b/>
      <w:bCs/>
      <w:sz w:val="32"/>
      <w:szCs w:val="32"/>
    </w:rPr>
  </w:style>
  <w:style w:type="paragraph" w:styleId="18">
    <w:name w:val="annotation subject"/>
    <w:basedOn w:val="7"/>
    <w:next w:val="7"/>
    <w:link w:val="30"/>
    <w:semiHidden/>
    <w:unhideWhenUsed/>
    <w:qFormat/>
    <w:uiPriority w:val="99"/>
    <w:rPr>
      <w:b/>
      <w:bCs/>
    </w:rPr>
  </w:style>
  <w:style w:type="paragraph" w:styleId="19">
    <w:name w:val="Body Text First Indent"/>
    <w:basedOn w:val="8"/>
    <w:link w:val="60"/>
    <w:autoRedefine/>
    <w:semiHidden/>
    <w:unhideWhenUsed/>
    <w:qFormat/>
    <w:uiPriority w:val="99"/>
    <w:pPr>
      <w:ind w:firstLine="420" w:firstLineChars="100"/>
    </w:pPr>
    <w:rPr>
      <w:rFonts w:ascii="Calibri" w:hAnsi="Calibri" w:eastAsia="宋体" w:cs="Times New Roman"/>
    </w:rPr>
  </w:style>
  <w:style w:type="table" w:styleId="21">
    <w:name w:val="Table Grid"/>
    <w:basedOn w:val="20"/>
    <w:autoRedefine/>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cPr>
      <w:tcBorders>
        <w:top w:val="single" w:color="auto" w:sz="4" w:space="0"/>
        <w:left w:val="single" w:color="auto" w:sz="4" w:space="0"/>
        <w:bottom w:val="single" w:color="auto" w:sz="4" w:space="0"/>
        <w:right w:val="single" w:color="auto" w:sz="4" w:space="0"/>
      </w:tcBorders>
    </w:tcPr>
  </w:style>
  <w:style w:type="character" w:styleId="23">
    <w:name w:val="Strong"/>
    <w:basedOn w:val="22"/>
    <w:autoRedefine/>
    <w:qFormat/>
    <w:uiPriority w:val="22"/>
    <w:rPr>
      <w:b/>
      <w:bCs/>
    </w:rPr>
  </w:style>
  <w:style w:type="character" w:styleId="24">
    <w:name w:val="annotation reference"/>
    <w:basedOn w:val="22"/>
    <w:unhideWhenUsed/>
    <w:qFormat/>
    <w:uiPriority w:val="99"/>
    <w:rPr>
      <w:sz w:val="21"/>
      <w:szCs w:val="21"/>
    </w:rPr>
  </w:style>
  <w:style w:type="character" w:customStyle="1" w:styleId="25">
    <w:name w:val="页眉 字符"/>
    <w:basedOn w:val="22"/>
    <w:qFormat/>
    <w:uiPriority w:val="99"/>
    <w:rPr>
      <w:sz w:val="18"/>
      <w:szCs w:val="18"/>
    </w:rPr>
  </w:style>
  <w:style w:type="character" w:customStyle="1" w:styleId="26">
    <w:name w:val="页脚 字符"/>
    <w:basedOn w:val="22"/>
    <w:qFormat/>
    <w:uiPriority w:val="99"/>
    <w:rPr>
      <w:sz w:val="18"/>
      <w:szCs w:val="18"/>
    </w:rPr>
  </w:style>
  <w:style w:type="paragraph" w:styleId="27">
    <w:name w:val="List Paragraph"/>
    <w:basedOn w:val="1"/>
    <w:link w:val="35"/>
    <w:qFormat/>
    <w:uiPriority w:val="99"/>
    <w:pPr>
      <w:ind w:firstLine="420" w:firstLineChars="200"/>
    </w:pPr>
  </w:style>
  <w:style w:type="character" w:customStyle="1" w:styleId="28">
    <w:name w:val="批注文字 字符"/>
    <w:basedOn w:val="22"/>
    <w:qFormat/>
    <w:uiPriority w:val="0"/>
  </w:style>
  <w:style w:type="character" w:customStyle="1" w:styleId="29">
    <w:name w:val="批注框文本 Char"/>
    <w:basedOn w:val="22"/>
    <w:link w:val="10"/>
    <w:semiHidden/>
    <w:qFormat/>
    <w:uiPriority w:val="99"/>
    <w:rPr>
      <w:sz w:val="18"/>
      <w:szCs w:val="18"/>
    </w:rPr>
  </w:style>
  <w:style w:type="character" w:customStyle="1" w:styleId="30">
    <w:name w:val="批注主题 Char"/>
    <w:basedOn w:val="28"/>
    <w:link w:val="18"/>
    <w:autoRedefine/>
    <w:semiHidden/>
    <w:qFormat/>
    <w:uiPriority w:val="99"/>
    <w:rPr>
      <w:b/>
      <w:bCs/>
    </w:rPr>
  </w:style>
  <w:style w:type="character" w:customStyle="1" w:styleId="31">
    <w:name w:val="标题 Char"/>
    <w:basedOn w:val="22"/>
    <w:qFormat/>
    <w:uiPriority w:val="0"/>
    <w:rPr>
      <w:rFonts w:eastAsia="宋体" w:asciiTheme="majorHAnsi" w:hAnsiTheme="majorHAnsi" w:cstheme="majorBidi"/>
      <w:b/>
      <w:bCs/>
      <w:sz w:val="32"/>
      <w:szCs w:val="32"/>
    </w:rPr>
  </w:style>
  <w:style w:type="character" w:customStyle="1" w:styleId="32">
    <w:name w:val="标题 2 字符"/>
    <w:basedOn w:val="22"/>
    <w:qFormat/>
    <w:uiPriority w:val="0"/>
    <w:rPr>
      <w:rFonts w:ascii="Arial" w:hAnsi="Arial" w:eastAsia="黑体" w:cs="Times New Roman"/>
      <w:b/>
      <w:bCs/>
      <w:sz w:val="32"/>
      <w:szCs w:val="32"/>
    </w:rPr>
  </w:style>
  <w:style w:type="character" w:customStyle="1" w:styleId="33">
    <w:name w:val="纯文本 字符"/>
    <w:basedOn w:val="22"/>
    <w:qFormat/>
    <w:uiPriority w:val="0"/>
    <w:rPr>
      <w:rFonts w:ascii="宋体" w:hAnsi="Courier New" w:eastAsia="宋体" w:cs="Times New Roman"/>
      <w:kern w:val="0"/>
      <w:sz w:val="20"/>
      <w:szCs w:val="21"/>
    </w:rPr>
  </w:style>
  <w:style w:type="paragraph" w:customStyle="1" w:styleId="34">
    <w:name w:val="图"/>
    <w:basedOn w:val="1"/>
    <w:qFormat/>
    <w:uiPriority w:val="0"/>
    <w:pPr>
      <w:keepNext/>
      <w:adjustRightInd w:val="0"/>
      <w:spacing w:before="60" w:after="60" w:line="300" w:lineRule="auto"/>
      <w:jc w:val="center"/>
      <w:textAlignment w:val="center"/>
    </w:pPr>
    <w:rPr>
      <w:rFonts w:ascii="Times New Roman" w:hAnsi="Times New Roman" w:eastAsia="宋体" w:cs="Times New Roman"/>
      <w:snapToGrid w:val="0"/>
      <w:spacing w:val="20"/>
      <w:kern w:val="0"/>
      <w:sz w:val="24"/>
      <w:szCs w:val="20"/>
    </w:rPr>
  </w:style>
  <w:style w:type="character" w:customStyle="1" w:styleId="35">
    <w:name w:val="列出段落 Char2"/>
    <w:link w:val="27"/>
    <w:qFormat/>
    <w:uiPriority w:val="99"/>
  </w:style>
  <w:style w:type="paragraph" w:customStyle="1" w:styleId="36">
    <w:name w:val="样式4"/>
    <w:basedOn w:val="1"/>
    <w:autoRedefine/>
    <w:qFormat/>
    <w:uiPriority w:val="0"/>
    <w:pPr>
      <w:numPr>
        <w:ilvl w:val="3"/>
        <w:numId w:val="1"/>
      </w:numPr>
      <w:tabs>
        <w:tab w:val="left" w:pos="425"/>
        <w:tab w:val="left" w:pos="1984"/>
        <w:tab w:val="clear" w:pos="851"/>
      </w:tabs>
    </w:pPr>
    <w:rPr>
      <w:rFonts w:ascii="Times New Roman" w:hAnsi="Times New Roman" w:eastAsia="宋体" w:cs="Times New Roman"/>
      <w:szCs w:val="24"/>
    </w:rPr>
  </w:style>
  <w:style w:type="paragraph" w:customStyle="1" w:styleId="37">
    <w:name w:val="列出段落1"/>
    <w:basedOn w:val="1"/>
    <w:link w:val="38"/>
    <w:qFormat/>
    <w:uiPriority w:val="99"/>
    <w:pPr>
      <w:ind w:firstLine="420" w:firstLineChars="200"/>
    </w:pPr>
    <w:rPr>
      <w:rFonts w:ascii="Times New Roman" w:hAnsi="Times New Roman" w:eastAsia="宋体" w:cs="Times New Roman"/>
      <w:szCs w:val="21"/>
    </w:rPr>
  </w:style>
  <w:style w:type="character" w:customStyle="1" w:styleId="38">
    <w:name w:val="List Paragraph Char"/>
    <w:link w:val="37"/>
    <w:autoRedefine/>
    <w:qFormat/>
    <w:locked/>
    <w:uiPriority w:val="99"/>
    <w:rPr>
      <w:rFonts w:ascii="Times New Roman" w:hAnsi="Times New Roman" w:eastAsia="宋体" w:cs="Times New Roman"/>
      <w:szCs w:val="21"/>
    </w:rPr>
  </w:style>
  <w:style w:type="paragraph" w:customStyle="1" w:styleId="39">
    <w:name w:val="_Style 121"/>
    <w:basedOn w:val="1"/>
    <w:next w:val="27"/>
    <w:qFormat/>
    <w:uiPriority w:val="34"/>
    <w:pPr>
      <w:ind w:firstLine="420" w:firstLineChars="200"/>
    </w:pPr>
    <w:rPr>
      <w:rFonts w:ascii="Calibri" w:hAnsi="Calibri" w:eastAsia="宋体" w:cs="Times New Roman"/>
    </w:rPr>
  </w:style>
  <w:style w:type="paragraph" w:customStyle="1" w:styleId="40">
    <w:name w:val="start-font-1"/>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41">
    <w:name w:val="start-font-3"/>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42">
    <w:name w:val="纯文本 Char1"/>
    <w:qFormat/>
    <w:uiPriority w:val="0"/>
    <w:rPr>
      <w:rFonts w:ascii="宋体" w:hAnsi="Courier New" w:eastAsia="宋体" w:cs="Times New Roman"/>
      <w:kern w:val="0"/>
      <w:sz w:val="20"/>
      <w:szCs w:val="21"/>
    </w:rPr>
  </w:style>
  <w:style w:type="character" w:customStyle="1" w:styleId="43">
    <w:name w:val="正文文本缩进 Char"/>
    <w:basedOn w:val="22"/>
    <w:link w:val="3"/>
    <w:qFormat/>
    <w:uiPriority w:val="0"/>
    <w:rPr>
      <w:kern w:val="2"/>
      <w:sz w:val="21"/>
      <w:szCs w:val="24"/>
    </w:rPr>
  </w:style>
  <w:style w:type="character" w:customStyle="1" w:styleId="44">
    <w:name w:val="正文首行缩进 2 Char"/>
    <w:basedOn w:val="43"/>
    <w:link w:val="2"/>
    <w:qFormat/>
    <w:uiPriority w:val="0"/>
    <w:rPr>
      <w:kern w:val="2"/>
      <w:sz w:val="21"/>
      <w:szCs w:val="24"/>
    </w:rPr>
  </w:style>
  <w:style w:type="paragraph" w:customStyle="1" w:styleId="45">
    <w:name w:val="msolistparagraph"/>
    <w:basedOn w:val="1"/>
    <w:qFormat/>
    <w:uiPriority w:val="0"/>
    <w:pPr>
      <w:ind w:firstLine="420" w:firstLineChars="200"/>
    </w:pPr>
    <w:rPr>
      <w:rFonts w:ascii="Times New Roman" w:hAnsi="Times New Roman" w:eastAsia="宋体" w:cs="Times New Roman"/>
    </w:rPr>
  </w:style>
  <w:style w:type="character" w:customStyle="1" w:styleId="46">
    <w:name w:val="列出段落 Char"/>
    <w:basedOn w:val="22"/>
    <w:qFormat/>
    <w:uiPriority w:val="34"/>
    <w:rPr>
      <w:kern w:val="2"/>
      <w:sz w:val="21"/>
      <w:szCs w:val="22"/>
    </w:rPr>
  </w:style>
  <w:style w:type="character" w:customStyle="1" w:styleId="47">
    <w:name w:val="正文文本 Char"/>
    <w:basedOn w:val="22"/>
    <w:link w:val="8"/>
    <w:autoRedefine/>
    <w:qFormat/>
    <w:uiPriority w:val="0"/>
    <w:rPr>
      <w:rFonts w:hint="default" w:ascii="Calibri" w:hAnsi="Calibri" w:eastAsia="宋体" w:cs="Times New Roman"/>
      <w:kern w:val="2"/>
      <w:sz w:val="21"/>
      <w:szCs w:val="22"/>
    </w:rPr>
  </w:style>
  <w:style w:type="character" w:customStyle="1" w:styleId="48">
    <w:name w:val="纯文本 Char"/>
    <w:basedOn w:val="22"/>
    <w:qFormat/>
    <w:uiPriority w:val="0"/>
    <w:rPr>
      <w:rFonts w:hint="eastAsia" w:ascii="宋体" w:hAnsi="Courier New" w:eastAsia="宋体" w:cs="宋体"/>
      <w:szCs w:val="21"/>
    </w:rPr>
  </w:style>
  <w:style w:type="paragraph" w:customStyle="1" w:styleId="49">
    <w:name w:val="_Style 116"/>
    <w:basedOn w:val="1"/>
    <w:next w:val="27"/>
    <w:qFormat/>
    <w:uiPriority w:val="99"/>
    <w:pPr>
      <w:ind w:firstLine="420" w:firstLineChars="200"/>
    </w:pPr>
    <w:rPr>
      <w:kern w:val="0"/>
      <w:sz w:val="20"/>
      <w:szCs w:val="20"/>
    </w:rPr>
  </w:style>
  <w:style w:type="character" w:customStyle="1" w:styleId="50">
    <w:name w:val="普通(网站) Char"/>
    <w:basedOn w:val="22"/>
    <w:link w:val="16"/>
    <w:qFormat/>
    <w:uiPriority w:val="0"/>
    <w:rPr>
      <w:rFonts w:hint="eastAsia" w:ascii="宋体" w:hAnsi="宋体" w:eastAsia="宋体" w:cs="宋体"/>
      <w:sz w:val="24"/>
      <w:szCs w:val="24"/>
    </w:rPr>
  </w:style>
  <w:style w:type="character" w:customStyle="1" w:styleId="51">
    <w:name w:val="批注文字 Char"/>
    <w:basedOn w:val="22"/>
    <w:autoRedefine/>
    <w:qFormat/>
    <w:uiPriority w:val="0"/>
    <w:rPr>
      <w:kern w:val="2"/>
      <w:sz w:val="21"/>
      <w:szCs w:val="24"/>
    </w:rPr>
  </w:style>
  <w:style w:type="character" w:customStyle="1" w:styleId="52">
    <w:name w:val="标题 1 Char"/>
    <w:basedOn w:val="22"/>
    <w:link w:val="4"/>
    <w:qFormat/>
    <w:uiPriority w:val="0"/>
    <w:rPr>
      <w:b/>
      <w:bCs/>
      <w:kern w:val="44"/>
      <w:sz w:val="44"/>
      <w:szCs w:val="44"/>
    </w:rPr>
  </w:style>
  <w:style w:type="character" w:customStyle="1" w:styleId="53">
    <w:name w:val="页脚 Char"/>
    <w:basedOn w:val="22"/>
    <w:link w:val="11"/>
    <w:qFormat/>
    <w:uiPriority w:val="0"/>
    <w:rPr>
      <w:kern w:val="2"/>
      <w:sz w:val="18"/>
      <w:szCs w:val="18"/>
    </w:rPr>
  </w:style>
  <w:style w:type="character" w:customStyle="1" w:styleId="54">
    <w:name w:val="页眉 Char"/>
    <w:basedOn w:val="22"/>
    <w:link w:val="13"/>
    <w:qFormat/>
    <w:uiPriority w:val="0"/>
    <w:rPr>
      <w:kern w:val="2"/>
      <w:sz w:val="18"/>
      <w:szCs w:val="18"/>
    </w:rPr>
  </w:style>
  <w:style w:type="character" w:customStyle="1" w:styleId="55">
    <w:name w:val="标题 2 Char"/>
    <w:basedOn w:val="22"/>
    <w:link w:val="5"/>
    <w:qFormat/>
    <w:uiPriority w:val="0"/>
    <w:rPr>
      <w:rFonts w:hint="default" w:ascii="Cambria" w:hAnsi="Cambria" w:eastAsia="Cambria" w:cs="Cambria"/>
      <w:b/>
      <w:bCs/>
      <w:kern w:val="2"/>
      <w:sz w:val="32"/>
      <w:szCs w:val="32"/>
    </w:rPr>
  </w:style>
  <w:style w:type="character" w:customStyle="1" w:styleId="56">
    <w:name w:val="列出段落 Char1"/>
    <w:basedOn w:val="22"/>
    <w:qFormat/>
    <w:uiPriority w:val="0"/>
    <w:rPr>
      <w:rFonts w:hint="default" w:ascii="Calibri" w:hAnsi="Calibri" w:cs="Calibri"/>
      <w:kern w:val="2"/>
      <w:sz w:val="21"/>
      <w:szCs w:val="22"/>
    </w:rPr>
  </w:style>
  <w:style w:type="character" w:customStyle="1" w:styleId="57">
    <w:name w:val="纯文本 Char2"/>
    <w:basedOn w:val="22"/>
    <w:link w:val="9"/>
    <w:qFormat/>
    <w:uiPriority w:val="0"/>
    <w:rPr>
      <w:rFonts w:hint="eastAsia" w:ascii="宋体" w:hAnsi="Courier New" w:eastAsia="宋体" w:cs="宋体"/>
      <w:szCs w:val="21"/>
      <w:lang w:val="zh-CN"/>
    </w:rPr>
  </w:style>
  <w:style w:type="character" w:customStyle="1" w:styleId="58">
    <w:name w:val="标题 3 Char"/>
    <w:basedOn w:val="22"/>
    <w:link w:val="6"/>
    <w:autoRedefine/>
    <w:qFormat/>
    <w:uiPriority w:val="0"/>
    <w:rPr>
      <w:b/>
      <w:bCs/>
      <w:kern w:val="2"/>
      <w:sz w:val="32"/>
      <w:szCs w:val="32"/>
    </w:rPr>
  </w:style>
  <w:style w:type="paragraph" w:customStyle="1" w:styleId="59">
    <w:name w:val="列表段落2"/>
    <w:basedOn w:val="1"/>
    <w:qFormat/>
    <w:uiPriority w:val="99"/>
    <w:pPr>
      <w:ind w:firstLine="420" w:firstLineChars="200"/>
    </w:pPr>
    <w:rPr>
      <w:rFonts w:ascii="Times New Roman" w:hAnsi="Times New Roman" w:eastAsia="宋体" w:cs="Times New Roman"/>
      <w:szCs w:val="24"/>
    </w:rPr>
  </w:style>
  <w:style w:type="character" w:customStyle="1" w:styleId="60">
    <w:name w:val="正文首行缩进 Char"/>
    <w:link w:val="19"/>
    <w:qFormat/>
    <w:uiPriority w:val="0"/>
    <w:rPr>
      <w:rFonts w:hint="default" w:ascii="Calibri" w:hAnsi="Calibri" w:eastAsia="宋体" w:cs="Times New Roman"/>
      <w:kern w:val="2"/>
      <w:sz w:val="21"/>
      <w:szCs w:val="22"/>
    </w:rPr>
  </w:style>
  <w:style w:type="paragraph" w:customStyle="1" w:styleId="61">
    <w:name w:val="p0"/>
    <w:basedOn w:val="1"/>
    <w:qFormat/>
    <w:uiPriority w:val="0"/>
    <w:pPr>
      <w:widowControl/>
    </w:pPr>
    <w:rPr>
      <w:rFonts w:ascii="Calibri" w:hAnsi="Calibri" w:eastAsia="宋体" w:cs="Times New Roman"/>
      <w:kern w:val="0"/>
      <w:szCs w:val="21"/>
    </w:rPr>
  </w:style>
  <w:style w:type="character" w:customStyle="1" w:styleId="62">
    <w:name w:val="font51"/>
    <w:basedOn w:val="22"/>
    <w:qFormat/>
    <w:uiPriority w:val="0"/>
    <w:rPr>
      <w:rFonts w:hint="eastAsia" w:ascii="宋体" w:hAnsi="宋体" w:eastAsia="宋体" w:cs="宋体"/>
      <w:color w:val="000000"/>
      <w:sz w:val="21"/>
      <w:szCs w:val="21"/>
      <w:u w:val="none"/>
    </w:rPr>
  </w:style>
  <w:style w:type="character" w:customStyle="1" w:styleId="63">
    <w:name w:val="列表段落 字符2"/>
    <w:basedOn w:val="22"/>
    <w:qFormat/>
    <w:uiPriority w:val="0"/>
  </w:style>
  <w:style w:type="character" w:customStyle="1" w:styleId="64">
    <w:name w:val="NormalCharacter"/>
    <w:basedOn w:val="22"/>
    <w:qFormat/>
    <w:uiPriority w:val="0"/>
  </w:style>
  <w:style w:type="character" w:customStyle="1" w:styleId="65">
    <w:name w:val="font31"/>
    <w:basedOn w:val="22"/>
    <w:qFormat/>
    <w:uiPriority w:val="0"/>
    <w:rPr>
      <w:rFonts w:hint="default" w:ascii="Times New Roman" w:hAnsi="Times New Roman" w:cs="Times New Roman"/>
      <w:color w:val="000000"/>
      <w:sz w:val="21"/>
      <w:szCs w:val="21"/>
      <w:u w:val="none"/>
    </w:rPr>
  </w:style>
  <w:style w:type="character" w:customStyle="1" w:styleId="66">
    <w:name w:val="font21"/>
    <w:basedOn w:val="22"/>
    <w:autoRedefine/>
    <w:qFormat/>
    <w:uiPriority w:val="0"/>
    <w:rPr>
      <w:rFonts w:hint="eastAsia" w:ascii="宋体" w:hAnsi="宋体" w:eastAsia="宋体" w:cs="宋体"/>
      <w:color w:val="000000"/>
      <w:sz w:val="24"/>
      <w:szCs w:val="24"/>
      <w:u w:val="none"/>
    </w:rPr>
  </w:style>
  <w:style w:type="character" w:customStyle="1" w:styleId="67">
    <w:name w:val="font11"/>
    <w:basedOn w:val="22"/>
    <w:qFormat/>
    <w:uiPriority w:val="0"/>
    <w:rPr>
      <w:rFonts w:hint="eastAsia" w:ascii="宋体" w:hAnsi="宋体" w:eastAsia="宋体" w:cs="宋体"/>
      <w:color w:val="000000"/>
      <w:sz w:val="21"/>
      <w:szCs w:val="21"/>
      <w:u w:val="none"/>
    </w:rPr>
  </w:style>
  <w:style w:type="character" w:customStyle="1" w:styleId="68">
    <w:name w:val="纯文本 字符1"/>
    <w:basedOn w:val="22"/>
    <w:qFormat/>
    <w:uiPriority w:val="0"/>
    <w:rPr>
      <w:rFonts w:hint="eastAsia" w:ascii="宋体" w:hAnsi="Courier New" w:eastAsia="宋体" w:cs="宋体"/>
      <w:szCs w:val="21"/>
    </w:rPr>
  </w:style>
  <w:style w:type="character" w:customStyle="1" w:styleId="69">
    <w:name w:val="标题 Char1"/>
    <w:basedOn w:val="22"/>
    <w:link w:val="17"/>
    <w:qFormat/>
    <w:uiPriority w:val="0"/>
    <w:rPr>
      <w:rFonts w:hint="default" w:ascii="Cambria" w:hAnsi="Cambria" w:eastAsia="Cambria" w:cs="Times New Roman"/>
      <w:b/>
      <w:bCs/>
      <w:kern w:val="2"/>
      <w:sz w:val="32"/>
      <w:szCs w:val="32"/>
    </w:rPr>
  </w:style>
  <w:style w:type="character" w:customStyle="1" w:styleId="70">
    <w:name w:val="脚注文本 Char"/>
    <w:basedOn w:val="22"/>
    <w:link w:val="15"/>
    <w:qFormat/>
    <w:uiPriority w:val="0"/>
    <w:rPr>
      <w:rFonts w:hint="eastAsia" w:ascii="宋体" w:hAnsi="宋体" w:eastAsia="宋体" w:cs="Times New Roman"/>
      <w:kern w:val="2"/>
      <w:sz w:val="24"/>
      <w:szCs w:val="18"/>
    </w:rPr>
  </w:style>
  <w:style w:type="character" w:customStyle="1" w:styleId="71">
    <w:name w:val="脚注文本 Char1"/>
    <w:basedOn w:val="22"/>
    <w:qFormat/>
    <w:uiPriority w:val="0"/>
    <w:rPr>
      <w:rFonts w:hint="default" w:ascii="Calibri" w:hAnsi="Calibri" w:eastAsia="宋体" w:cs="Times New Roman"/>
      <w:kern w:val="2"/>
      <w:sz w:val="18"/>
      <w:szCs w:val="18"/>
    </w:rPr>
  </w:style>
  <w:style w:type="character" w:customStyle="1" w:styleId="72">
    <w:name w:val="列表段落 字符1"/>
    <w:basedOn w:val="22"/>
    <w:qFormat/>
    <w:uiPriority w:val="0"/>
  </w:style>
  <w:style w:type="paragraph" w:customStyle="1" w:styleId="73">
    <w:name w:val="Table Paragraph"/>
    <w:basedOn w:val="1"/>
    <w:qFormat/>
    <w:uiPriority w:val="0"/>
    <w:rPr>
      <w:rFonts w:hint="eastAsia" w:ascii="宋体" w:hAnsi="宋体" w:eastAsia="宋体" w:cs="Times New Roman"/>
      <w:szCs w:val="24"/>
    </w:rPr>
  </w:style>
  <w:style w:type="character" w:customStyle="1" w:styleId="74">
    <w:name w:val="font41"/>
    <w:basedOn w:val="22"/>
    <w:qFormat/>
    <w:uiPriority w:val="0"/>
    <w:rPr>
      <w:rFonts w:hint="eastAsia" w:ascii="宋体" w:hAnsi="宋体" w:eastAsia="宋体" w:cs="宋体"/>
      <w:color w:val="FF0000"/>
      <w:sz w:val="24"/>
      <w:szCs w:val="24"/>
      <w:u w:val="none"/>
    </w:rPr>
  </w:style>
  <w:style w:type="character" w:customStyle="1" w:styleId="75">
    <w:name w:val="font91"/>
    <w:basedOn w:val="22"/>
    <w:qFormat/>
    <w:uiPriority w:val="0"/>
    <w:rPr>
      <w:rFonts w:hint="default" w:ascii="Times New Roman" w:hAnsi="Times New Roman" w:cs="Times New Roman"/>
      <w:color w:val="000000"/>
      <w:sz w:val="21"/>
      <w:szCs w:val="21"/>
      <w:u w:val="none"/>
    </w:rPr>
  </w:style>
  <w:style w:type="paragraph" w:customStyle="1" w:styleId="76">
    <w:name w:val="正文_0_0"/>
    <w:basedOn w:val="1"/>
    <w:qFormat/>
    <w:uiPriority w:val="0"/>
    <w:rPr>
      <w:rFonts w:ascii="Calibri" w:hAnsi="Calibri" w:eastAsia="宋体" w:cs="Times New Roman"/>
    </w:rPr>
  </w:style>
  <w:style w:type="character" w:customStyle="1" w:styleId="77">
    <w:name w:val="批注文字 Char1"/>
    <w:basedOn w:val="22"/>
    <w:link w:val="7"/>
    <w:qFormat/>
    <w:uiPriority w:val="0"/>
    <w:rPr>
      <w:szCs w:val="24"/>
    </w:rPr>
  </w:style>
  <w:style w:type="character" w:customStyle="1" w:styleId="78">
    <w:name w:val="列表段落 字符"/>
    <w:basedOn w:val="22"/>
    <w:link w:val="79"/>
    <w:qFormat/>
    <w:uiPriority w:val="99"/>
    <w:rPr>
      <w:rFonts w:hint="default" w:ascii="Calibri" w:hAnsi="Calibri" w:cs="Calibri"/>
      <w:kern w:val="2"/>
      <w:sz w:val="21"/>
      <w:szCs w:val="22"/>
    </w:rPr>
  </w:style>
  <w:style w:type="paragraph" w:customStyle="1" w:styleId="79">
    <w:name w:val="_Style 81"/>
    <w:basedOn w:val="1"/>
    <w:next w:val="27"/>
    <w:link w:val="78"/>
    <w:qFormat/>
    <w:uiPriority w:val="99"/>
    <w:pPr>
      <w:ind w:firstLine="420" w:firstLineChars="200"/>
    </w:pPr>
    <w:rPr>
      <w:rFonts w:ascii="Calibri" w:hAnsi="Calibri" w:eastAsia="宋体" w:cs="Calibri"/>
    </w:rPr>
  </w:style>
  <w:style w:type="paragraph" w:customStyle="1" w:styleId="80">
    <w:name w:val="_Style 24"/>
    <w:basedOn w:val="1"/>
    <w:autoRedefine/>
    <w:qFormat/>
    <w:uiPriority w:val="0"/>
    <w:pPr>
      <w:ind w:firstLine="420" w:firstLineChars="200"/>
    </w:pPr>
    <w:rPr>
      <w:rFonts w:ascii="Calibri" w:hAnsi="Calibri" w:eastAsia="宋体" w:cs="Times New Roman"/>
    </w:rPr>
  </w:style>
  <w:style w:type="character" w:customStyle="1" w:styleId="81">
    <w:name w:val="列表段落 字符3"/>
    <w:basedOn w:val="22"/>
    <w:autoRedefine/>
    <w:qFormat/>
    <w:uiPriority w:val="0"/>
    <w:rPr>
      <w:rFonts w:hint="default" w:ascii="Calibri" w:hAnsi="Calibri" w:eastAsia="宋体" w:cs="Times New Roman"/>
      <w:kern w:val="2"/>
      <w:sz w:val="21"/>
      <w:szCs w:val="22"/>
    </w:rPr>
  </w:style>
  <w:style w:type="character" w:customStyle="1" w:styleId="82">
    <w:name w:val="批注文字 字符1"/>
    <w:autoRedefine/>
    <w:qFormat/>
    <w:uiPriority w:val="0"/>
    <w:rPr>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Sky123.Org</Company>
  <Pages>13</Pages>
  <Words>6005</Words>
  <Characters>6309</Characters>
  <Lines>47</Lines>
  <Paragraphs>13</Paragraphs>
  <TotalTime>1</TotalTime>
  <ScaleCrop>false</ScaleCrop>
  <LinksUpToDate>false</LinksUpToDate>
  <CharactersWithSpaces>6530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2023-09-27T08:05:00Z</dcterms:created>
  <dc:creator>dreamsummit</dc:creator>
  <cp:lastModifiedBy>代理机构</cp:lastModifiedBy>
  <cp:lastPrinted>2018-10-16T04:01:00Z</cp:lastPrinted>
  <dcterms:modified xsi:type="dcterms:W3CDTF">2024-08-05T09:16:15Z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B130610B8FF64C3C82759D9988C07E73_13</vt:lpwstr>
  </property>
</Properties>
</file>