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竞价文件</w:t>
      </w: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rPr>
          <w:rFonts w:ascii="宋体" w:hAnsi="宋体"/>
          <w:color w:val="000000" w:themeColor="text1"/>
          <w:sz w:val="30"/>
          <w:szCs w:val="30"/>
          <w14:textFill>
            <w14:solidFill>
              <w14:schemeClr w14:val="tx1"/>
            </w14:solidFill>
          </w14:textFill>
        </w:rPr>
      </w:pPr>
    </w:p>
    <w:p>
      <w:pPr>
        <w:spacing w:line="360" w:lineRule="auto"/>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采购方式：</w:t>
      </w:r>
      <w:r>
        <w:rPr>
          <w:rFonts w:hint="eastAsia" w:ascii="宋体" w:hAnsi="宋体"/>
          <w:b/>
          <w:bCs/>
          <w:color w:val="000000" w:themeColor="text1"/>
          <w:sz w:val="28"/>
          <w:szCs w:val="32"/>
          <w14:textFill>
            <w14:solidFill>
              <w14:schemeClr w14:val="tx1"/>
            </w14:solidFill>
          </w14:textFill>
        </w:rPr>
        <w:t>线上</w:t>
      </w:r>
      <w:r>
        <w:rPr>
          <w:rFonts w:ascii="宋体" w:hAnsi="宋体"/>
          <w:b/>
          <w:bCs/>
          <w:color w:val="000000" w:themeColor="text1"/>
          <w:sz w:val="28"/>
          <w:szCs w:val="32"/>
          <w14:textFill>
            <w14:solidFill>
              <w14:schemeClr w14:val="tx1"/>
            </w14:solidFill>
          </w14:textFill>
        </w:rPr>
        <w:t>竞价</w:t>
      </w:r>
    </w:p>
    <w:p>
      <w:pPr>
        <w:autoSpaceDE w:val="0"/>
        <w:autoSpaceDN w:val="0"/>
        <w:adjustRightInd w:val="0"/>
        <w:snapToGrid w:val="0"/>
        <w:spacing w:line="360" w:lineRule="auto"/>
        <w:ind w:left="1605" w:leftChars="229" w:hanging="1124" w:hangingChars="400"/>
        <w:rPr>
          <w:rFonts w:ascii="宋体" w:hAnsi="宋体"/>
          <w:b/>
          <w:bCs/>
          <w:color w:val="000000" w:themeColor="text1"/>
          <w:sz w:val="28"/>
          <w:szCs w:val="28"/>
          <w:u w:val="single"/>
          <w:shd w:val="clear" w:color="auto" w:fill="FFC000"/>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宋体" w:hAnsi="宋体" w:eastAsia="宋体" w:cs="宋体"/>
          <w:b/>
          <w:bCs/>
          <w:color w:val="000000"/>
          <w:sz w:val="28"/>
          <w:szCs w:val="28"/>
          <w:u w:val="single"/>
        </w:rPr>
        <w:t>广东省东莞监狱购买一批训练警用装备采购项目</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广东省东莞监狱</w:t>
      </w:r>
    </w:p>
    <w:p>
      <w:pPr>
        <w:autoSpaceDE w:val="0"/>
        <w:autoSpaceDN w:val="0"/>
        <w:adjustRightInd w:val="0"/>
        <w:snapToGrid w:val="0"/>
        <w:spacing w:line="360" w:lineRule="auto"/>
        <w:ind w:left="420" w:firstLine="420"/>
        <w:jc w:val="center"/>
        <w:rPr>
          <w:rFonts w:hint="eastAsia" w:ascii="宋体" w:hAnsi="宋体" w:eastAsia="宋体" w:cs="宋体"/>
          <w:b/>
          <w:bCs/>
          <w:color w:val="000000"/>
          <w:sz w:val="28"/>
          <w:szCs w:val="32"/>
        </w:rPr>
      </w:pPr>
      <w:r>
        <w:rPr>
          <w:rFonts w:hint="eastAsia" w:ascii="宋体" w:hAnsi="宋体" w:eastAsia="宋体" w:cs="宋体"/>
          <w:b/>
          <w:bCs/>
          <w:color w:val="000000"/>
          <w:sz w:val="28"/>
          <w:szCs w:val="32"/>
        </w:rPr>
        <w:t>云采链（广州）信息科技有限公司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二〇二四年四月</w:t>
      </w:r>
    </w:p>
    <w:p>
      <w:pPr>
        <w:autoSpaceDE w:val="0"/>
        <w:autoSpaceDN w:val="0"/>
        <w:adjustRightInd w:val="0"/>
        <w:snapToGrid w:val="0"/>
        <w:spacing w:line="360" w:lineRule="auto"/>
        <w:ind w:left="420" w:firstLine="420"/>
        <w:jc w:val="center"/>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br w:type="page"/>
      </w:r>
    </w:p>
    <w:p>
      <w:pPr>
        <w:spacing w:line="360" w:lineRule="auto"/>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第一章 竞价须知</w:t>
      </w:r>
    </w:p>
    <w:p>
      <w:pPr>
        <w:pStyle w:val="21"/>
        <w:numPr>
          <w:ilvl w:val="0"/>
          <w:numId w:val="1"/>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21"/>
        <w:numPr>
          <w:ilvl w:val="0"/>
          <w:numId w:val="1"/>
        </w:numPr>
        <w:spacing w:line="360" w:lineRule="auto"/>
        <w:ind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语言要求</w:t>
      </w:r>
    </w:p>
    <w:p>
      <w:pPr>
        <w:spacing w:line="360" w:lineRule="auto"/>
        <w:ind w:left="420" w:leftChars="200"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提交的响应文件以及</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与采购人或平台就有关项目的所有来往函电均应使用中文书写。</w:t>
      </w: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提交的文件或资料可以用另一种语言，但相应内容应附有中文翻译本，由翻译机构盖章或者翻译人员签名。两种语言不一致时以中文翻译本为准。</w:t>
      </w:r>
    </w:p>
    <w:p>
      <w:pPr>
        <w:spacing w:line="360" w:lineRule="auto"/>
        <w:ind w:left="420" w:hanging="42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三、在云采链平台参与项目竞价后放弃成交资格超过三次（含三次）的供应商连同该供应商同一法人名下所有公司将被列入平台黑名单，永久不得参与平台的项目竞价。</w:t>
      </w:r>
    </w:p>
    <w:p>
      <w:pPr>
        <w:spacing w:line="360" w:lineRule="auto"/>
        <w:ind w:left="422" w:hanging="422" w:hanging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u w:val="single"/>
          <w14:textFill>
            <w14:solidFill>
              <w14:schemeClr w14:val="tx1"/>
            </w14:solidFill>
          </w14:textFill>
        </w:rPr>
        <w:t>如本项目竞价失败重新启动竞价则不允许已经成功报名参与本项目却未报价的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再次报名参与竞价。为避免恶性竞争，参与采购人竞价项目的</w:t>
      </w:r>
      <w:r>
        <w:rPr>
          <w:rFonts w:hint="eastAsia" w:ascii="宋体" w:hAnsi="宋体"/>
          <w:b/>
          <w:bCs/>
          <w:color w:val="000000" w:themeColor="text1"/>
          <w:szCs w:val="21"/>
          <w:u w:val="single"/>
          <w14:textFill>
            <w14:solidFill>
              <w14:schemeClr w14:val="tx1"/>
            </w14:solidFill>
          </w14:textFill>
        </w:rPr>
        <w:t>供应商</w:t>
      </w:r>
      <w:r>
        <w:rPr>
          <w:rFonts w:ascii="宋体" w:hAnsi="宋体"/>
          <w:b/>
          <w:bCs/>
          <w:color w:val="000000" w:themeColor="text1"/>
          <w:szCs w:val="21"/>
          <w:u w:val="single"/>
          <w14:textFill>
            <w14:solidFill>
              <w14:schemeClr w14:val="tx1"/>
            </w14:solidFill>
          </w14:textFill>
        </w:rPr>
        <w:t>连续或累计3次成功报名未报价的将列入采购人黑名单，1年内不得参与采购人的所有竞价项目。</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五、如无正当理由放弃成交资格的供应商连同该供应商同一法人名下所有公司将被列入采购人黑名单，永久不得参与采购人的项目竞价。</w:t>
      </w:r>
    </w:p>
    <w:p>
      <w:pPr>
        <w:spacing w:line="360" w:lineRule="auto"/>
        <w:ind w:left="422" w:hanging="422" w:hangingChars="200"/>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1"/>
        <w:spacing w:line="360" w:lineRule="auto"/>
        <w:ind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七、竞价须知</w:t>
      </w:r>
    </w:p>
    <w:p>
      <w:pPr>
        <w:pStyle w:val="21"/>
        <w:numPr>
          <w:ilvl w:val="0"/>
          <w:numId w:val="2"/>
        </w:numPr>
        <w:spacing w:line="360" w:lineRule="auto"/>
        <w:ind w:firstLineChars="0"/>
        <w:rPr>
          <w:rFonts w:ascii="宋体" w:hAnsi="宋体"/>
          <w:b/>
          <w:color w:val="000000" w:themeColor="text1"/>
          <w14:textFill>
            <w14:solidFill>
              <w14:schemeClr w14:val="tx1"/>
            </w14:solidFill>
          </w14:textFill>
        </w:rPr>
      </w:pPr>
      <w:r>
        <w:rPr>
          <w:rStyle w:val="17"/>
          <w:rFonts w:hint="eastAsia" w:ascii="宋体" w:hAnsi="宋体"/>
          <w:color w:val="000000" w:themeColor="text1"/>
          <w14:textFill>
            <w14:solidFill>
              <w14:schemeClr w14:val="tx1"/>
            </w14:solidFill>
          </w14:textFill>
        </w:rPr>
        <w:t>竞价说明</w:t>
      </w:r>
    </w:p>
    <w:p>
      <w:pPr>
        <w:pStyle w:val="21"/>
        <w:numPr>
          <w:ilvl w:val="0"/>
          <w:numId w:val="3"/>
        </w:numPr>
        <w:tabs>
          <w:tab w:val="left" w:pos="851"/>
        </w:tabs>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olor w:val="000000" w:themeColor="text1"/>
          <w:szCs w:val="21"/>
          <w:lang w:eastAsia="zh-TW"/>
          <w14:textFill>
            <w14:solidFill>
              <w14:schemeClr w14:val="tx1"/>
            </w14:solidFill>
          </w14:textFill>
        </w:rPr>
        <w:t>论</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的结果如何</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TW"/>
          <w14:textFill>
            <w14:solidFill>
              <w14:schemeClr w14:val="tx1"/>
            </w14:solidFill>
          </w14:textFill>
        </w:rPr>
        <w:t>人</w:t>
      </w:r>
      <w:r>
        <w:rPr>
          <w:rFonts w:hint="eastAsia" w:ascii="宋体" w:hAnsi="宋体"/>
          <w:color w:val="000000" w:themeColor="text1"/>
          <w:szCs w:val="21"/>
          <w14:textFill>
            <w14:solidFill>
              <w14:schemeClr w14:val="tx1"/>
            </w14:solidFill>
          </w14:textFill>
        </w:rPr>
        <w:t>和</w:t>
      </w:r>
      <w:r>
        <w:rPr>
          <w:rFonts w:hint="eastAsia" w:ascii="宋体" w:hAnsi="宋体"/>
          <w:color w:val="000000" w:themeColor="text1"/>
          <w:szCs w:val="21"/>
          <w:lang w:eastAsia="zh-TW"/>
          <w14:textFill>
            <w14:solidFill>
              <w14:schemeClr w14:val="tx1"/>
            </w14:solidFill>
          </w14:textFill>
        </w:rPr>
        <w:t>代理机构均无义务和责任承担这些费用</w:t>
      </w:r>
      <w:r>
        <w:rPr>
          <w:rFonts w:hint="eastAsia" w:ascii="宋体" w:hAnsi="宋体"/>
          <w:color w:val="000000" w:themeColor="text1"/>
          <w:szCs w:val="2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bCs/>
          <w:color w:val="000000" w:themeColor="text1"/>
          <w:szCs w:val="21"/>
          <w14:textFill>
            <w14:solidFill>
              <w14:schemeClr w14:val="tx1"/>
            </w14:solidFill>
          </w14:textFill>
        </w:rPr>
        <w:t>不推荐为成交候选人</w:t>
      </w:r>
      <w:r>
        <w:rPr>
          <w:rFonts w:hint="eastAsia" w:ascii="宋体" w:hAnsi="宋体"/>
          <w:color w:val="000000" w:themeColor="text1"/>
          <w:szCs w:val="21"/>
          <w:lang w:val="zh-CN"/>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若成交供应商自身原因无法完成本项目，则采购人有权利保留追究责任。</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如采购人或代理机构在审核或复核</w:t>
      </w: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w:t>
      </w:r>
      <w:r>
        <w:rPr>
          <w:rFonts w:hint="eastAsia" w:ascii="宋体" w:hAnsi="宋体"/>
          <w:color w:val="000000" w:themeColor="text1"/>
          <w:szCs w:val="21"/>
          <w:lang w:eastAsia="zh-TW"/>
          <w14:textFill>
            <w14:solidFill>
              <w14:schemeClr w14:val="tx1"/>
            </w14:solidFill>
          </w14:textFill>
        </w:rPr>
        <w:t>向我司咨询的有关项目事项，一切以</w:t>
      </w:r>
      <w:r>
        <w:rPr>
          <w:rFonts w:hint="eastAsia" w:ascii="宋体" w:hAnsi="宋体"/>
          <w:color w:val="000000" w:themeColor="text1"/>
          <w:szCs w:val="21"/>
          <w14:textFill>
            <w14:solidFill>
              <w14:schemeClr w14:val="tx1"/>
            </w14:solidFill>
          </w14:textFill>
        </w:rPr>
        <w:t>竞价文件</w:t>
      </w:r>
      <w:r>
        <w:rPr>
          <w:rFonts w:hint="eastAsia" w:ascii="宋体" w:hAnsi="宋体"/>
          <w:color w:val="000000" w:themeColor="text1"/>
          <w:szCs w:val="21"/>
          <w:lang w:eastAsia="zh-TW"/>
          <w14:textFill>
            <w14:solidFill>
              <w14:schemeClr w14:val="tx1"/>
            </w14:solidFill>
          </w14:textFill>
        </w:rPr>
        <w:t>规定</w:t>
      </w:r>
      <w:r>
        <w:rPr>
          <w:rFonts w:hint="eastAsia" w:ascii="宋体" w:hAnsi="宋体"/>
          <w:color w:val="000000" w:themeColor="text1"/>
          <w:szCs w:val="21"/>
          <w14:textFill>
            <w14:solidFill>
              <w14:schemeClr w14:val="tx1"/>
            </w14:solidFill>
          </w14:textFill>
        </w:rPr>
        <w:t>和竞价公告规定以及</w:t>
      </w:r>
      <w:r>
        <w:rPr>
          <w:rFonts w:hint="eastAsia" w:ascii="宋体" w:hAnsi="宋体"/>
          <w:color w:val="000000" w:themeColor="text1"/>
          <w:szCs w:val="21"/>
          <w:lang w:eastAsia="zh-TW"/>
          <w14:textFill>
            <w14:solidFill>
              <w14:schemeClr w14:val="tx1"/>
            </w14:solidFill>
          </w14:textFill>
        </w:rPr>
        <w:t>本公司</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olor w:val="000000" w:themeColor="text1"/>
          <w:szCs w:val="2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参与竞价的供应商应认真阅读</w:t>
      </w:r>
      <w:r>
        <w:rPr>
          <w:rFonts w:hint="eastAsia" w:ascii="宋体" w:hAnsi="宋体"/>
          <w:color w:val="000000" w:themeColor="text1"/>
          <w:szCs w:val="21"/>
          <w:lang w:eastAsia="zh-TW"/>
          <w14:textFill>
            <w14:solidFill>
              <w14:schemeClr w14:val="tx1"/>
            </w14:solidFill>
          </w14:textFill>
        </w:rPr>
        <w:t>、并充分理解</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olor w:val="000000" w:themeColor="text1"/>
          <w:szCs w:val="21"/>
          <w14:textFill>
            <w14:solidFill>
              <w14:schemeClr w14:val="tx1"/>
            </w14:solidFill>
          </w14:textFill>
        </w:rPr>
        <w:t>、服务要求</w:t>
      </w:r>
      <w:r>
        <w:rPr>
          <w:rFonts w:hint="eastAsia" w:ascii="宋体" w:hAnsi="宋体"/>
          <w:color w:val="000000" w:themeColor="text1"/>
          <w:szCs w:val="21"/>
          <w:lang w:eastAsia="zh-TW"/>
          <w14:textFill>
            <w14:solidFill>
              <w14:schemeClr w14:val="tx1"/>
            </w14:solidFill>
          </w14:textFill>
        </w:rPr>
        <w:t>和技术规范、参数及要求等）。</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没有按照</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文件要求提交全部资料，或者</w:t>
      </w:r>
      <w:r>
        <w:rPr>
          <w:rFonts w:hint="eastAsia" w:ascii="宋体" w:hAnsi="宋体"/>
          <w:color w:val="000000" w:themeColor="text1"/>
          <w:szCs w:val="21"/>
          <w14:textFill>
            <w14:solidFill>
              <w14:schemeClr w14:val="tx1"/>
            </w14:solidFill>
          </w14:textFill>
        </w:rPr>
        <w:t>参与竞价所上传的</w:t>
      </w:r>
      <w:r>
        <w:rPr>
          <w:rFonts w:hint="eastAsia" w:ascii="宋体" w:hAnsi="宋体"/>
          <w:color w:val="000000" w:themeColor="text1"/>
          <w:szCs w:val="21"/>
          <w:lang w:eastAsia="zh-TW"/>
          <w14:textFill>
            <w14:solidFill>
              <w14:schemeClr w14:val="tx1"/>
            </w14:solidFill>
          </w14:textFill>
        </w:rPr>
        <w:t>文件没有对</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文件在各方面都作出实质性响应是</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eastAsia="zh-TW"/>
          <w14:textFill>
            <w14:solidFill>
              <w14:schemeClr w14:val="tx1"/>
            </w14:solidFill>
          </w14:textFill>
        </w:rPr>
        <w:t>的风险，有可能导致其</w:t>
      </w:r>
      <w:r>
        <w:rPr>
          <w:rFonts w:hint="eastAsia" w:ascii="宋体" w:hAnsi="宋体"/>
          <w:color w:val="000000" w:themeColor="text1"/>
          <w:szCs w:val="21"/>
          <w14:textFill>
            <w14:solidFill>
              <w14:schemeClr w14:val="tx1"/>
            </w14:solidFill>
          </w14:textFill>
        </w:rPr>
        <w:t>竞价</w:t>
      </w:r>
      <w:r>
        <w:rPr>
          <w:rFonts w:hint="eastAsia" w:ascii="宋体" w:hAnsi="宋体"/>
          <w:color w:val="000000" w:themeColor="text1"/>
          <w:szCs w:val="21"/>
          <w:lang w:eastAsia="zh-TW"/>
          <w14:textFill>
            <w14:solidFill>
              <w14:schemeClr w14:val="tx1"/>
            </w14:solidFill>
          </w14:textFill>
        </w:rPr>
        <w:t>被拒绝，</w:t>
      </w:r>
      <w:r>
        <w:rPr>
          <w:rFonts w:hint="eastAsia" w:ascii="宋体" w:hAnsi="宋体"/>
          <w:color w:val="000000" w:themeColor="text1"/>
          <w:szCs w:val="21"/>
          <w14:textFill>
            <w14:solidFill>
              <w14:schemeClr w14:val="tx1"/>
            </w14:solidFill>
          </w14:textFill>
        </w:rPr>
        <w:t>或被认定为无效竞价。</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color w:val="000000" w:themeColor="text1"/>
          <w14:textFill>
            <w14:solidFill>
              <w14:schemeClr w14:val="tx1"/>
            </w14:solidFill>
          </w14:textFill>
        </w:rPr>
        <w:t>逾期提交将不予受理</w:t>
      </w:r>
      <w:r>
        <w:rPr>
          <w:rFonts w:hint="eastAsia" w:ascii="宋体" w:hAnsi="宋体"/>
          <w:color w:val="000000" w:themeColor="text1"/>
          <w14:textFill>
            <w14:solidFill>
              <w14:schemeClr w14:val="tx1"/>
            </w14:solidFill>
          </w14:textFill>
        </w:rPr>
        <w:t>。</w:t>
      </w:r>
    </w:p>
    <w:p>
      <w:pPr>
        <w:pStyle w:val="21"/>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本竞价公告和竞价文件的解释权归</w:t>
      </w:r>
      <w:r>
        <w:rPr>
          <w:rFonts w:hint="eastAsia" w:ascii="宋体" w:hAnsi="宋体"/>
          <w:color w:val="000000" w:themeColor="text1"/>
          <w:szCs w:val="21"/>
          <w:lang w:eastAsia="zh-TW"/>
          <w14:textFill>
            <w14:solidFill>
              <w14:schemeClr w14:val="tx1"/>
            </w14:solidFill>
          </w14:textFill>
        </w:rPr>
        <w:t>“</w:t>
      </w:r>
      <w:r>
        <w:rPr>
          <w:rFonts w:ascii="宋体" w:hAnsi="宋体"/>
          <w:color w:val="000000" w:themeColor="text1"/>
          <w14:textFill>
            <w14:solidFill>
              <w14:schemeClr w14:val="tx1"/>
            </w14:solidFill>
          </w14:textFill>
        </w:rPr>
        <w:t>云采链</w:t>
      </w:r>
      <w:r>
        <w:rPr>
          <w:rFonts w:hint="eastAsia" w:ascii="宋体" w:hAnsi="宋体"/>
          <w:color w:val="000000" w:themeColor="text1"/>
          <w14:textFill>
            <w14:solidFill>
              <w14:schemeClr w14:val="tx1"/>
            </w14:solidFill>
          </w14:textFill>
        </w:rPr>
        <w:t>线上采购一体化平台</w:t>
      </w:r>
      <w:r>
        <w:rPr>
          <w:rFonts w:hint="eastAsia" w:ascii="宋体" w:hAnsi="宋体"/>
          <w:color w:val="000000" w:themeColor="text1"/>
          <w:szCs w:val="21"/>
          <w:lang w:eastAsia="zh-TW"/>
          <w14:textFill>
            <w14:solidFill>
              <w14:schemeClr w14:val="tx1"/>
            </w14:solidFill>
          </w14:textFill>
        </w:rPr>
        <w:t>”所有。</w:t>
      </w:r>
    </w:p>
    <w:p>
      <w:pPr>
        <w:pStyle w:val="21"/>
        <w:numPr>
          <w:ilvl w:val="0"/>
          <w:numId w:val="4"/>
        </w:numPr>
        <w:spacing w:line="360" w:lineRule="auto"/>
        <w:ind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olor w:val="000000" w:themeColor="text1"/>
          <w:szCs w:val="21"/>
          <w14:textFill>
            <w14:solidFill>
              <w14:schemeClr w14:val="tx1"/>
            </w14:solidFill>
          </w14:textFill>
        </w:rPr>
        <w:t>如报名</w:t>
      </w:r>
      <w:r>
        <w:rPr>
          <w:rFonts w:hint="eastAsia" w:ascii="宋体" w:hAnsi="宋体"/>
          <w:color w:val="000000" w:themeColor="text1"/>
          <w:szCs w:val="21"/>
          <w:lang w:eastAsia="zh-TW"/>
          <w14:textFill>
            <w14:solidFill>
              <w14:schemeClr w14:val="tx1"/>
            </w14:solidFill>
          </w14:textFill>
        </w:rPr>
        <w:t>截止时间</w:t>
      </w:r>
      <w:r>
        <w:rPr>
          <w:rFonts w:hint="eastAsia" w:ascii="宋体" w:hAnsi="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pStyle w:val="21"/>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报名要求（</w:t>
      </w:r>
      <w:r>
        <w:rPr>
          <w:rFonts w:hint="eastAsia" w:ascii="宋体" w:hAnsi="宋体"/>
          <w:color w:val="000000" w:themeColor="text1"/>
          <w:sz w:val="21"/>
          <w:szCs w:val="21"/>
          <w14:textFill>
            <w14:solidFill>
              <w14:schemeClr w14:val="tx1"/>
            </w14:solidFill>
          </w14:textFill>
        </w:rPr>
        <w:t>参与竞价的</w:t>
      </w:r>
      <w:r>
        <w:rPr>
          <w:rFonts w:hint="eastAsia" w:ascii="宋体" w:hAnsi="宋体"/>
          <w:b/>
          <w:color w:val="000000" w:themeColor="text1"/>
          <w:sz w:val="21"/>
          <w:szCs w:val="21"/>
          <w14:textFill>
            <w14:solidFill>
              <w14:schemeClr w14:val="tx1"/>
            </w14:solidFill>
          </w14:textFill>
        </w:rPr>
        <w:t>供应商资质要求:</w:t>
      </w:r>
      <w:r>
        <w:rPr>
          <w:rFonts w:hint="eastAsia" w:ascii="宋体" w:hAnsi="宋体"/>
          <w:bCs/>
          <w:color w:val="000000" w:themeColor="text1"/>
          <w:sz w:val="21"/>
          <w:szCs w:val="21"/>
          <w14:textFill>
            <w14:solidFill>
              <w14:schemeClr w14:val="tx1"/>
            </w14:solidFill>
          </w14:textFill>
        </w:rPr>
        <w:t xml:space="preserve"> 报名时需要提供以下</w:t>
      </w:r>
      <w:r>
        <w:rPr>
          <w:rFonts w:hint="eastAsia" w:ascii="宋体" w:hAnsi="宋体"/>
          <w:b/>
          <w:bCs/>
          <w:color w:val="000000" w:themeColor="text1"/>
          <w:sz w:val="21"/>
          <w:szCs w:val="21"/>
          <w:u w:val="double"/>
          <w14:textFill>
            <w14:solidFill>
              <w14:schemeClr w14:val="tx1"/>
            </w14:solidFill>
          </w14:textFill>
        </w:rPr>
        <w:t>盖章</w:t>
      </w:r>
      <w:r>
        <w:rPr>
          <w:rFonts w:hint="eastAsia" w:ascii="宋体" w:hAnsi="宋体"/>
          <w:bCs/>
          <w:color w:val="000000" w:themeColor="text1"/>
          <w:sz w:val="21"/>
          <w:szCs w:val="21"/>
          <w14:textFill>
            <w14:solidFill>
              <w14:schemeClr w14:val="tx1"/>
            </w14:solidFill>
          </w14:textFill>
        </w:rPr>
        <w:t>资料，</w:t>
      </w:r>
      <w:r>
        <w:rPr>
          <w:rFonts w:hint="eastAsia" w:ascii="宋体" w:hAnsi="宋体"/>
          <w:color w:val="000000" w:themeColor="text1"/>
          <w:sz w:val="21"/>
          <w:szCs w:val="21"/>
          <w14:textFill>
            <w14:solidFill>
              <w14:schemeClr w14:val="tx1"/>
            </w14:solidFill>
          </w14:textFill>
        </w:rPr>
        <w:t>并对上传的报名文件资料承担责任</w:t>
      </w:r>
      <w:r>
        <w:rPr>
          <w:rFonts w:hint="eastAsia" w:ascii="宋体" w:hAnsi="宋体"/>
          <w:b/>
          <w:color w:val="000000" w:themeColor="text1"/>
          <w:sz w:val="21"/>
          <w:szCs w:val="21"/>
          <w14:textFill>
            <w14:solidFill>
              <w14:schemeClr w14:val="tx1"/>
            </w14:solidFill>
          </w14:textFill>
        </w:rPr>
        <w:t>）</w:t>
      </w:r>
    </w:p>
    <w:p>
      <w:pPr>
        <w:pStyle w:val="21"/>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供应商应符合《中华人民共和国政府采购法》第二十二条规定；供应商应有固定的经营场所，</w:t>
      </w:r>
      <w:r>
        <w:rPr>
          <w:rFonts w:hint="eastAsia" w:ascii="宋体" w:hAnsi="宋体" w:cs="宋体"/>
          <w:color w:val="000000" w:themeColor="text1"/>
          <w:szCs w:val="21"/>
          <w14:textFill>
            <w14:solidFill>
              <w14:schemeClr w14:val="tx1"/>
            </w14:solidFill>
          </w14:textFill>
        </w:rPr>
        <w:t>资金雄厚、</w:t>
      </w:r>
      <w:r>
        <w:rPr>
          <w:rFonts w:hint="eastAsia" w:ascii="宋体" w:hAnsi="宋体" w:cs="宋体"/>
          <w:color w:val="000000" w:themeColor="text1"/>
          <w:kern w:val="0"/>
          <w:szCs w:val="21"/>
          <w14:textFill>
            <w14:solidFill>
              <w14:schemeClr w14:val="tx1"/>
            </w14:solidFill>
          </w14:textFill>
        </w:rPr>
        <w:t>信誉良好、售后维护服务好，并且在经营活动中无严重违法记录；本项目不允许联合体参加竞价</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成交供应商不得分包或转包；存在隶属关系或同属一母公司或法人的企业，仅能由一家企业参与竞价；</w:t>
      </w:r>
      <w:r>
        <w:rPr>
          <w:rFonts w:hint="eastAsia" w:ascii="宋体" w:hAnsi="宋体" w:cs="宋体"/>
          <w:b/>
          <w:bCs/>
          <w:color w:val="000000" w:themeColor="text1"/>
          <w:kern w:val="0"/>
          <w:szCs w:val="21"/>
          <w14:textFill>
            <w14:solidFill>
              <w14:schemeClr w14:val="tx1"/>
            </w14:solidFill>
          </w14:textFill>
        </w:rPr>
        <w:t>提供供应商资格声明函，格式见附件</w:t>
      </w:r>
      <w:r>
        <w:rPr>
          <w:rFonts w:hint="eastAsia" w:ascii="宋体" w:hAnsi="宋体" w:cs="宋体"/>
          <w:color w:val="000000" w:themeColor="text1"/>
          <w:kern w:val="0"/>
          <w:szCs w:val="21"/>
          <w14:textFill>
            <w14:solidFill>
              <w14:schemeClr w14:val="tx1"/>
            </w14:solidFill>
          </w14:textFill>
        </w:rPr>
        <w:t>；</w:t>
      </w:r>
    </w:p>
    <w:p>
      <w:pPr>
        <w:pStyle w:val="21"/>
        <w:widowControl/>
        <w:numPr>
          <w:ilvl w:val="0"/>
          <w:numId w:val="7"/>
        </w:numPr>
        <w:spacing w:line="360" w:lineRule="auto"/>
        <w:ind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3"/>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pPr>
        <w:pStyle w:val="53"/>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提供一份近1年</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项目报名时间开始算</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同类业绩的合同（关键页，须体现采购内容或清单，签订日期以及签订双方的盖章以及名称</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以合同签订时间为判定标准</w:t>
      </w:r>
      <w:r>
        <w:rPr>
          <w:rFonts w:hint="eastAsia" w:ascii="宋体" w:hAnsi="宋体" w:eastAsia="宋体" w:cs="宋体"/>
          <w:color w:val="000000" w:themeColor="text1"/>
          <w:kern w:val="0"/>
          <w:szCs w:val="21"/>
          <w14:textFill>
            <w14:solidFill>
              <w14:schemeClr w14:val="tx1"/>
            </w14:solidFill>
          </w14:textFill>
        </w:rPr>
        <w:t>）以证明有相当的承接项目能力。</w:t>
      </w:r>
    </w:p>
    <w:p>
      <w:pPr>
        <w:pStyle w:val="53"/>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供应商须按照用户需求书规格参数要求提供以下资料：1、</w:t>
      </w:r>
      <w:r>
        <w:rPr>
          <w:rFonts w:hint="eastAsia" w:ascii="宋体" w:hAnsi="宋体" w:eastAsia="宋体" w:cs="宋体"/>
          <w:bCs/>
          <w:color w:val="000000"/>
          <w:szCs w:val="21"/>
          <w:lang w:val="en-US" w:eastAsia="zh-CN"/>
        </w:rPr>
        <w:t>应急棍(长棍)</w:t>
      </w:r>
      <w:r>
        <w:rPr>
          <w:rFonts w:hint="eastAsia" w:ascii="宋体" w:hAnsi="宋体" w:cs="宋体"/>
          <w:bCs/>
          <w:color w:val="000000"/>
          <w:szCs w:val="21"/>
          <w:lang w:val="en-US" w:eastAsia="zh-CN"/>
        </w:rPr>
        <w:t>：</w:t>
      </w:r>
      <w:r>
        <w:rPr>
          <w:rFonts w:hint="eastAsia"/>
          <w:lang w:val="en-US" w:eastAsia="zh-CN"/>
        </w:rPr>
        <w:t>报名的时候</w:t>
      </w:r>
      <w:r>
        <w:rPr>
          <w:rFonts w:hint="eastAsia" w:ascii="宋体" w:hAnsi="宋体" w:eastAsia="宋体" w:cs="宋体"/>
          <w:bCs/>
          <w:color w:val="000000"/>
          <w:szCs w:val="21"/>
          <w:lang w:val="en-US" w:eastAsia="zh-CN"/>
        </w:rPr>
        <w:t>需提国家认证认可的检验机构出具的产品合格检测报告（所有参数需在一份报告中体现，复印件加盖制造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r>
        <w:rPr>
          <w:rFonts w:hint="eastAsia" w:ascii="宋体" w:hAnsi="宋体" w:cs="宋体"/>
          <w:bCs/>
          <w:color w:val="000000"/>
          <w:szCs w:val="21"/>
          <w:lang w:val="en-US" w:eastAsia="zh-CN"/>
        </w:rPr>
        <w:t>2、</w:t>
      </w:r>
      <w:r>
        <w:rPr>
          <w:rFonts w:hint="eastAsia" w:ascii="宋体" w:hAnsi="宋体" w:eastAsia="宋体" w:cs="宋体"/>
          <w:bCs/>
          <w:color w:val="000000"/>
          <w:szCs w:val="21"/>
          <w:lang w:val="en-US" w:eastAsia="zh-CN"/>
        </w:rPr>
        <w:t>新标伸缩机械棍</w:t>
      </w:r>
      <w:r>
        <w:rPr>
          <w:rFonts w:hint="eastAsia" w:ascii="宋体" w:hAnsi="宋体" w:cs="宋体"/>
          <w:bCs/>
          <w:color w:val="000000"/>
          <w:szCs w:val="21"/>
          <w:lang w:val="en-US" w:eastAsia="zh-CN"/>
        </w:rPr>
        <w:t>：</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r>
        <w:rPr>
          <w:rFonts w:hint="eastAsia" w:ascii="宋体" w:hAnsi="宋体" w:cs="宋体"/>
          <w:bCs/>
          <w:color w:val="000000"/>
          <w:szCs w:val="21"/>
          <w:lang w:val="en-US" w:eastAsia="zh-CN"/>
        </w:rPr>
        <w:t>3、</w:t>
      </w:r>
      <w:r>
        <w:rPr>
          <w:rFonts w:hint="eastAsia" w:ascii="宋体" w:hAnsi="宋体" w:eastAsia="宋体" w:cs="宋体"/>
          <w:bCs/>
          <w:color w:val="000000"/>
          <w:szCs w:val="21"/>
          <w:lang w:val="en-US" w:eastAsia="zh-CN"/>
        </w:rPr>
        <w:t>新标强光手电</w:t>
      </w:r>
      <w:r>
        <w:rPr>
          <w:rFonts w:hint="eastAsia" w:ascii="宋体" w:hAnsi="宋体" w:cs="宋体"/>
          <w:bCs/>
          <w:color w:val="000000"/>
          <w:szCs w:val="21"/>
          <w:lang w:val="en-US" w:eastAsia="zh-CN"/>
        </w:rPr>
        <w:t>：</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r>
        <w:rPr>
          <w:rFonts w:hint="eastAsia" w:ascii="宋体" w:hAnsi="宋体" w:cs="宋体"/>
          <w:bCs/>
          <w:color w:val="000000"/>
          <w:szCs w:val="21"/>
          <w:lang w:val="en-US" w:eastAsia="zh-CN"/>
        </w:rPr>
        <w:t>4、扩音器：</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r>
        <w:rPr>
          <w:rFonts w:hint="eastAsia" w:ascii="宋体" w:hAnsi="宋体" w:cs="宋体"/>
          <w:bCs/>
          <w:color w:val="000000"/>
          <w:szCs w:val="21"/>
          <w:lang w:val="en-US" w:eastAsia="zh-CN"/>
        </w:rPr>
        <w:t>以上4份报告请按照顺序整理成一份pdf上传，如文件过大可上传压缩包，但是里面的格式须是pdf格式，须同时加盖制造商公章以及报名供应商的公章）</w:t>
      </w:r>
    </w:p>
    <w:p>
      <w:pPr>
        <w:pStyle w:val="53"/>
        <w:keepNext w:val="0"/>
        <w:keepLines w:val="0"/>
        <w:pageBreakBefore w:val="0"/>
        <w:widowControl/>
        <w:numPr>
          <w:ilvl w:val="0"/>
          <w:numId w:val="7"/>
        </w:numPr>
        <w:kinsoku/>
        <w:wordWrap/>
        <w:overflowPunct/>
        <w:topLinePunct w:val="0"/>
        <w:autoSpaceDE/>
        <w:autoSpaceDN/>
        <w:bidi w:val="0"/>
        <w:adjustRightInd/>
        <w:snapToGrid/>
        <w:spacing w:line="360" w:lineRule="auto"/>
        <w:ind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供应商须按照项目要求提供售后服务承诺函，</w:t>
      </w:r>
      <w:r>
        <w:rPr>
          <w:rFonts w:hint="eastAsia" w:ascii="宋体" w:hAnsi="宋体" w:cs="宋体"/>
          <w:b/>
          <w:color w:val="000000" w:themeColor="text1"/>
          <w:kern w:val="0"/>
          <w:szCs w:val="21"/>
          <w14:textFill>
            <w14:solidFill>
              <w14:schemeClr w14:val="tx1"/>
            </w14:solidFill>
          </w14:textFill>
        </w:rPr>
        <w:t>格式详见附件</w:t>
      </w:r>
      <w:r>
        <w:rPr>
          <w:rFonts w:hint="eastAsia" w:ascii="宋体" w:hAnsi="宋体" w:cs="宋体"/>
          <w:color w:val="000000" w:themeColor="text1"/>
          <w:kern w:val="0"/>
          <w:szCs w:val="21"/>
          <w14:textFill>
            <w14:solidFill>
              <w14:schemeClr w14:val="tx1"/>
            </w14:solidFill>
          </w14:textFill>
        </w:rPr>
        <w:t>；</w:t>
      </w:r>
    </w:p>
    <w:p>
      <w:pPr>
        <w:pStyle w:val="53"/>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rPr>
          <w:rFonts w:hint="eastAsia" w:ascii="宋体" w:hAnsi="宋体" w:eastAsia="宋体" w:cs="宋体"/>
          <w:color w:val="000000"/>
          <w:szCs w:val="21"/>
        </w:rPr>
      </w:pPr>
    </w:p>
    <w:p>
      <w:pPr>
        <w:widowControl/>
        <w:spacing w:line="360" w:lineRule="auto"/>
        <w:ind w:firstLine="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(五</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报价要求（报价时需要提供以下盖章资料，并对上传的竞价文件资料承担责任）</w:t>
      </w:r>
    </w:p>
    <w:p>
      <w:pPr>
        <w:pStyle w:val="53"/>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firstLineChars="0"/>
        <w:textAlignment w:val="auto"/>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w:t>
      </w:r>
      <w:r>
        <w:rPr>
          <w:rFonts w:hint="eastAsia" w:ascii="宋体" w:hAnsi="宋体"/>
          <w:color w:val="000000" w:themeColor="text1"/>
          <w:szCs w:val="21"/>
          <w14:textFill>
            <w14:solidFill>
              <w14:schemeClr w14:val="tx1"/>
            </w14:solidFill>
          </w14:textFill>
        </w:rPr>
        <w:t>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w:t>
      </w:r>
      <w:r>
        <w:rPr>
          <w:rFonts w:hint="eastAsia" w:ascii="宋体" w:hAnsi="宋体"/>
          <w:color w:val="000000" w:themeColor="text1"/>
          <w:szCs w:val="21"/>
          <w14:textFill>
            <w14:solidFill>
              <w14:schemeClr w14:val="tx1"/>
            </w14:solidFill>
          </w14:textFill>
        </w:rPr>
        <w:t>上传相应报价附件（</w:t>
      </w:r>
      <w:r>
        <w:rPr>
          <w:rFonts w:hint="eastAsia" w:ascii="宋体" w:hAnsi="宋体"/>
          <w:b/>
          <w:bCs/>
          <w:color w:val="000000" w:themeColor="text1"/>
          <w:szCs w:val="21"/>
          <w14:textFill>
            <w14:solidFill>
              <w14:schemeClr w14:val="tx1"/>
            </w14:solidFill>
          </w14:textFill>
        </w:rPr>
        <w:t>报价表</w:t>
      </w:r>
      <w:r>
        <w:rPr>
          <w:rFonts w:hint="eastAsia" w:ascii="宋体" w:hAnsi="宋体"/>
          <w:color w:val="000000" w:themeColor="text1"/>
          <w:szCs w:val="21"/>
          <w14:textFill>
            <w14:solidFill>
              <w14:schemeClr w14:val="tx1"/>
            </w14:solidFill>
          </w14:textFill>
        </w:rPr>
        <w:t>）。</w:t>
      </w:r>
    </w:p>
    <w:p>
      <w:pPr>
        <w:spacing w:line="360" w:lineRule="auto"/>
        <w:ind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确定成交候选人</w:t>
      </w:r>
    </w:p>
    <w:p>
      <w:pPr>
        <w:pStyle w:val="53"/>
        <w:numPr>
          <w:ilvl w:val="0"/>
          <w:numId w:val="9"/>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spacing w:line="360" w:lineRule="auto"/>
        <w:ind w:firstLine="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color w:val="000000" w:themeColor="text1"/>
          <w14:textFill>
            <w14:solidFill>
              <w14:schemeClr w14:val="tx1"/>
            </w14:solidFill>
          </w14:textFill>
        </w:rPr>
        <w:t>供应商报价超过最高限价或低于最低限价或超过项目对应产品单项最高限价的视为无效报价。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参与竞价的</w:t>
      </w:r>
      <w:r>
        <w:rPr>
          <w:rFonts w:hint="eastAsia" w:ascii="宋体" w:hAnsi="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3"/>
        <w:keepNext w:val="0"/>
        <w:keepLines w:val="0"/>
        <w:pageBreakBefore w:val="0"/>
        <w:numPr>
          <w:ilvl w:val="0"/>
          <w:numId w:val="10"/>
        </w:numPr>
        <w:kinsoku/>
        <w:wordWrap/>
        <w:overflowPunct/>
        <w:topLinePunct w:val="0"/>
        <w:autoSpaceDE/>
        <w:autoSpaceDN/>
        <w:bidi w:val="0"/>
        <w:adjustRightInd/>
        <w:snapToGrid/>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参与竞价的供应商须对本项目采购内容进行整体报价，任何只对其中一部分内容进行的报价都被视为无效报价。</w:t>
      </w:r>
    </w:p>
    <w:p>
      <w:pPr>
        <w:pStyle w:val="21"/>
        <w:numPr>
          <w:ilvl w:val="0"/>
          <w:numId w:val="10"/>
        </w:numPr>
        <w:spacing w:line="360" w:lineRule="auto"/>
        <w:ind w:firstLineChars="0"/>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r>
        <w:rPr>
          <w:rFonts w:hint="eastAsia" w:ascii="宋体" w:hAnsi="宋体"/>
          <w:color w:val="000000" w:themeColor="text1"/>
          <w14:textFill>
            <w14:solidFill>
              <w14:schemeClr w14:val="tx1"/>
            </w14:solidFill>
          </w14:textFill>
        </w:rPr>
        <w:t>；</w:t>
      </w:r>
    </w:p>
    <w:p>
      <w:pPr>
        <w:pStyle w:val="11"/>
        <w:numPr>
          <w:ilvl w:val="0"/>
          <w:numId w:val="10"/>
        </w:numPr>
        <w:shd w:val="clear" w:color="auto" w:fill="FFFFFF"/>
        <w:spacing w:before="0" w:beforeAutospacing="0" w:after="0" w:afterAutospacing="0" w:line="360"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1"/>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应将对项目的优惠直接在清单报价中体现出来。如果</w:t>
      </w:r>
      <w:r>
        <w:rPr>
          <w:rFonts w:hint="eastAsia"/>
          <w:color w:val="000000" w:themeColor="text1"/>
          <w:sz w:val="21"/>
          <w:szCs w:val="21"/>
          <w14:textFill>
            <w14:solidFill>
              <w14:schemeClr w14:val="tx1"/>
            </w14:solidFill>
          </w14:textFill>
        </w:rPr>
        <w:t>供应商</w:t>
      </w:r>
      <w:r>
        <w:rPr>
          <w:color w:val="000000" w:themeColor="text1"/>
          <w:sz w:val="21"/>
          <w:szCs w:val="21"/>
          <w14:textFill>
            <w14:solidFill>
              <w14:schemeClr w14:val="tx1"/>
            </w14:solidFill>
          </w14:textFill>
        </w:rPr>
        <w:t>不接受对其错误的更正，其报价将被视为无效报价；</w:t>
      </w:r>
    </w:p>
    <w:p>
      <w:pPr>
        <w:pStyle w:val="11"/>
        <w:numPr>
          <w:ilvl w:val="0"/>
          <w:numId w:val="10"/>
        </w:numPr>
        <w:shd w:val="clear" w:color="auto" w:fill="FFFFFF"/>
        <w:spacing w:before="0" w:beforeAutospacing="0" w:after="0" w:afterAutospacing="0" w:line="36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存在单位负责人为同一人或存在控股、管理关系的不同单位参与同一竞价项目；</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不同供应商的响应文件由同一单位或者个人编制；</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不同供应商委托同一单位或者个人办理竞价事宜；</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不同供应商使用同一IP地址参与竞价；</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不同供应商的响应文件载明的项目管理成员或者联系人员为同一人；</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不同供应商的响应文件异常一致或者报价呈规律性差异；</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不同供应商的响应文件相互混淆；</w:t>
      </w:r>
    </w:p>
    <w:p>
      <w:pPr>
        <w:pStyle w:val="21"/>
        <w:widowControl/>
        <w:numPr>
          <w:ilvl w:val="2"/>
          <w:numId w:val="11"/>
        </w:numPr>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不同供应商的平台使用费从同一单位或者个人的账户转出；</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竞价活动失败</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eastAsia="宋体" w:cs="宋体"/>
          <w:color w:val="000000"/>
          <w:lang w:val="en-US" w:eastAsia="zh-CN"/>
        </w:rPr>
        <w:t>出现下列情况的，本次竞价活动失败：</w:t>
      </w:r>
    </w:p>
    <w:p>
      <w:pPr>
        <w:pStyle w:val="2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报名</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pStyle w:val="21"/>
        <w:numPr>
          <w:ilvl w:val="0"/>
          <w:numId w:val="1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s="Tahoma"/>
          <w:color w:val="000000" w:themeColor="text1"/>
          <w:szCs w:val="21"/>
          <w:lang w:val="en-US" w:eastAsia="zh-CN"/>
          <w14:textFill>
            <w14:solidFill>
              <w14:schemeClr w14:val="tx1"/>
            </w14:solidFill>
          </w14:textFill>
        </w:rPr>
        <w:t>有效</w:t>
      </w:r>
      <w:r>
        <w:rPr>
          <w:rFonts w:ascii="宋体" w:hAnsi="宋体" w:cs="Tahoma"/>
          <w:color w:val="000000" w:themeColor="text1"/>
          <w:szCs w:val="21"/>
          <w14:textFill>
            <w14:solidFill>
              <w14:schemeClr w14:val="tx1"/>
            </w14:solidFill>
          </w14:textFill>
        </w:rPr>
        <w:t>报价</w:t>
      </w:r>
      <w:r>
        <w:rPr>
          <w:rFonts w:hint="eastAsia" w:ascii="宋体" w:hAnsi="宋体" w:cs="Tahoma"/>
          <w:color w:val="000000" w:themeColor="text1"/>
          <w:szCs w:val="21"/>
          <w14:textFill>
            <w14:solidFill>
              <w14:schemeClr w14:val="tx1"/>
            </w14:solidFill>
          </w14:textFill>
        </w:rPr>
        <w:t>供应商</w:t>
      </w:r>
      <w:r>
        <w:rPr>
          <w:rFonts w:ascii="宋体" w:hAnsi="宋体" w:cs="Tahoma"/>
          <w:color w:val="000000" w:themeColor="text1"/>
          <w:szCs w:val="21"/>
          <w14:textFill>
            <w14:solidFill>
              <w14:schemeClr w14:val="tx1"/>
            </w14:solidFill>
          </w14:textFill>
        </w:rPr>
        <w:t>不足3家；</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出现影响采购公正的违法、违规行为的；</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val="en-US" w:eastAsia="zh-CN"/>
        </w:rPr>
        <w:t>因重大变故，采购任务取消的；</w:t>
      </w:r>
    </w:p>
    <w:p>
      <w:pPr>
        <w:spacing w:line="360" w:lineRule="auto"/>
        <w:ind w:firstLine="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服务费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1．成交供应商须向平台服务商云采链线上采购一体化平台缴纳平台使用费，金额为成交金额的1.5%（四舍五入取整数）。</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成交供应商无正当理由放弃成交资格的必须按竞价公告等相关规定缴纳相应的平台使用费；</w:t>
      </w:r>
    </w:p>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如确实因不可抗力放弃成交资格的，应在不可抗力发生后三个工作日内予以通知采购代理机构并提供相关的证明；如逾期，采购代理机构不予退还平台使用费；</w:t>
      </w:r>
    </w:p>
    <w:p>
      <w:pPr>
        <w:pStyle w:val="21"/>
        <w:numPr>
          <w:ilvl w:val="1"/>
          <w:numId w:val="13"/>
        </w:numPr>
        <w:spacing w:line="360" w:lineRule="auto"/>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widowControl/>
        <w:spacing w:line="360" w:lineRule="auto"/>
        <w:ind w:left="42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扫码关注微信公众号“云采链互联服务平台”，即可在线咨询相关事项</w:t>
      </w:r>
      <w:r>
        <w:rPr>
          <w:rFonts w:hint="eastAsia" w:ascii="宋体" w:hAnsi="宋体"/>
          <w:color w:val="000000" w:themeColor="text1"/>
          <w14:textFill>
            <w14:solidFill>
              <w14:schemeClr w14:val="tx1"/>
            </w14:solidFill>
          </w14:textFill>
        </w:rPr>
        <w:t>。</w:t>
      </w:r>
    </w:p>
    <w:p>
      <w:pPr>
        <w:widowControl/>
        <w:spacing w:line="240" w:lineRule="auto"/>
        <w:ind w:firstLine="0"/>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390650" cy="13906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r>
        <w:rPr>
          <w:rFonts w:ascii="宋体" w:hAnsi="宋体"/>
          <w:b/>
          <w:color w:val="000000" w:themeColor="text1"/>
          <w14:textFill>
            <w14:solidFill>
              <w14:schemeClr w14:val="tx1"/>
            </w14:solidFill>
          </w14:textFill>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第二章 用户需求书</w:t>
      </w:r>
    </w:p>
    <w:p>
      <w:pPr>
        <w:spacing w:before="156" w:beforeLines="50" w:line="360" w:lineRule="auto"/>
        <w:ind w:left="517" w:hanging="517"/>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tabs>
          <w:tab w:val="left" w:pos="420"/>
        </w:tabs>
        <w:spacing w:before="156" w:beforeLines="50" w:line="360" w:lineRule="auto"/>
        <w:ind w:left="420" w:hanging="420"/>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ab/>
      </w:r>
      <w:r>
        <w:rPr>
          <w:rFonts w:hint="eastAsia" w:ascii="宋体" w:hAnsi="宋体" w:cs="宋体"/>
          <w:b/>
          <w:bCs/>
          <w:color w:val="000000" w:themeColor="text1"/>
          <w:szCs w:val="21"/>
          <w14:textFill>
            <w14:solidFill>
              <w14:schemeClr w14:val="tx1"/>
            </w14:solidFill>
          </w14:textFill>
        </w:rPr>
        <w:t>响应供应商须对本项目进行整体响应，任何只对其中一部分进行的响应都被视为无效响应。</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14"/>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992"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977" w:type="dxa"/>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b/>
                <w:bCs/>
                <w:color w:val="000000" w:themeColor="text1"/>
                <w:szCs w:val="21"/>
                <w14:textFill>
                  <w14:solidFill>
                    <w14:schemeClr w14:val="tx1"/>
                  </w14:solidFill>
                </w14:textFill>
              </w:rPr>
            </w:pPr>
            <w:r>
              <w:rPr>
                <w:rFonts w:hint="eastAsia" w:ascii="宋体" w:hAnsi="宋体" w:eastAsia="宋体" w:cs="宋体"/>
                <w:b/>
                <w:bCs/>
                <w:color w:val="000000"/>
                <w:szCs w:val="21"/>
                <w:lang w:val="en-US" w:eastAsia="zh-CN"/>
              </w:rPr>
              <w:t>交货期</w:t>
            </w:r>
          </w:p>
        </w:tc>
        <w:tc>
          <w:tcPr>
            <w:tcW w:w="2650" w:type="dxa"/>
            <w:tcBorders>
              <w:bottom w:val="single" w:color="auto" w:sz="4" w:space="0"/>
            </w:tcBorders>
            <w:shd w:val="clear" w:color="auto" w:fill="DCD8C2" w:themeFill="background2" w:themeFillShade="E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000000" w:themeColor="text1"/>
                <w:szCs w:val="21"/>
                <w14:textFill>
                  <w14:solidFill>
                    <w14:schemeClr w14:val="tx1"/>
                  </w14:solidFill>
                </w14:textFill>
              </w:rPr>
            </w:pPr>
            <w:r>
              <w:rPr>
                <w:rFonts w:hint="eastAsia" w:ascii="宋体" w:hAnsi="宋体" w:eastAsia="宋体" w:cs="宋体"/>
                <w:b/>
                <w:color w:val="000000"/>
                <w:szCs w:val="21"/>
              </w:rPr>
              <w:t>最高</w:t>
            </w:r>
            <w:r>
              <w:rPr>
                <w:rFonts w:hint="eastAsia" w:ascii="宋体" w:hAnsi="宋体" w:cs="宋体"/>
                <w:b/>
                <w:color w:val="000000"/>
                <w:szCs w:val="21"/>
                <w:lang w:val="en-US" w:eastAsia="zh-CN"/>
              </w:rPr>
              <w:t>限价</w:t>
            </w:r>
            <w:r>
              <w:rPr>
                <w:rFonts w:hint="eastAsia" w:ascii="宋体" w:hAnsi="宋体" w:eastAsia="宋体" w:cs="宋体"/>
                <w:b/>
                <w:color w:val="000000"/>
                <w:szCs w:val="21"/>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广东省东莞监狱购买一批训练警用装备采购项目</w:t>
            </w:r>
          </w:p>
        </w:tc>
        <w:tc>
          <w:tcPr>
            <w:tcW w:w="992"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lang w:val="en-US" w:eastAsia="zh-CN"/>
              </w:rPr>
              <w:t>1批</w:t>
            </w:r>
          </w:p>
        </w:tc>
        <w:tc>
          <w:tcPr>
            <w:tcW w:w="2977" w:type="dxa"/>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lang w:val="en-US" w:eastAsia="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en-US" w:eastAsia="zh-CN"/>
              </w:rPr>
              <w:t>10</w:t>
            </w:r>
            <w:r>
              <w:rPr>
                <w:rFonts w:hint="eastAsia" w:ascii="宋体" w:hAnsi="宋体" w:cs="宋体"/>
                <w:bCs/>
                <w:color w:val="000000"/>
                <w:szCs w:val="21"/>
                <w:lang w:val="en-US" w:eastAsia="zh-CN"/>
              </w:rPr>
              <w:t>个</w:t>
            </w:r>
            <w:r>
              <w:rPr>
                <w:rFonts w:hint="eastAsia" w:ascii="宋体" w:hAnsi="宋体" w:eastAsia="宋体" w:cs="宋体"/>
                <w:bCs/>
                <w:color w:val="000000"/>
                <w:szCs w:val="21"/>
              </w:rPr>
              <w:t>工作日</w:t>
            </w:r>
          </w:p>
        </w:tc>
        <w:tc>
          <w:tcPr>
            <w:tcW w:w="2650" w:type="dxa"/>
            <w:tcBorders>
              <w:top w:val="single" w:color="auto" w:sz="4" w:space="0"/>
              <w:bottom w:val="single" w:color="auto" w:sz="12"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bCs/>
                <w:color w:val="000000" w:themeColor="text1"/>
                <w:szCs w:val="21"/>
                <w14:textFill>
                  <w14:solidFill>
                    <w14:schemeClr w14:val="tx1"/>
                  </w14:solidFill>
                </w14:textFill>
              </w:rPr>
            </w:pPr>
            <w:r>
              <w:rPr>
                <w:rFonts w:hint="eastAsia" w:ascii="宋体" w:hAnsi="宋体" w:eastAsia="宋体" w:cs="宋体"/>
                <w:bCs/>
                <w:color w:val="000000"/>
                <w:szCs w:val="21"/>
              </w:rPr>
              <w:t>人民币</w:t>
            </w:r>
            <w:r>
              <w:rPr>
                <w:rFonts w:hint="eastAsia" w:ascii="宋体" w:hAnsi="宋体" w:eastAsia="宋体" w:cs="宋体"/>
                <w:u w:val="single"/>
                <w:lang w:val="en-US" w:eastAsia="zh-CN"/>
              </w:rPr>
              <w:t>160366.67</w:t>
            </w:r>
            <w:r>
              <w:rPr>
                <w:rFonts w:hint="eastAsia" w:ascii="宋体" w:hAnsi="宋体" w:eastAsia="宋体" w:cs="宋体"/>
                <w:bCs/>
                <w:color w:val="000000"/>
                <w:szCs w:val="21"/>
              </w:rPr>
              <w:t>元</w:t>
            </w:r>
          </w:p>
        </w:tc>
      </w:tr>
    </w:tbl>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项目概述</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项目名称：</w:t>
      </w:r>
      <w:r>
        <w:rPr>
          <w:rFonts w:hint="eastAsia" w:ascii="宋体" w:hAnsi="宋体" w:eastAsia="宋体" w:cs="宋体"/>
          <w:sz w:val="21"/>
          <w:szCs w:val="21"/>
        </w:rPr>
        <w:t>广东省东莞监狱</w:t>
      </w:r>
      <w:r>
        <w:rPr>
          <w:rFonts w:hint="eastAsia" w:ascii="宋体" w:hAnsi="宋体" w:eastAsia="宋体" w:cs="宋体"/>
          <w:sz w:val="21"/>
          <w:szCs w:val="21"/>
          <w:u w:val="single"/>
          <w:lang w:val="en-US" w:eastAsia="zh-CN"/>
        </w:rPr>
        <w:t>购买一批训练警用装备</w:t>
      </w:r>
      <w:r>
        <w:rPr>
          <w:rFonts w:hint="eastAsia" w:ascii="宋体" w:hAnsi="宋体" w:eastAsia="宋体" w:cs="宋体"/>
          <w:sz w:val="21"/>
          <w:szCs w:val="21"/>
        </w:rPr>
        <w:t xml:space="preserve">采购项目         </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最高限价：</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160366.67</w:t>
      </w:r>
      <w:r>
        <w:rPr>
          <w:rFonts w:hint="eastAsia" w:ascii="宋体" w:hAnsi="宋体" w:eastAsia="宋体" w:cs="宋体"/>
          <w:color w:val="000000"/>
          <w:kern w:val="0"/>
          <w:sz w:val="21"/>
          <w:szCs w:val="21"/>
          <w:u w:val="single"/>
          <w:lang w:val="en-US" w:eastAsia="zh-CN"/>
        </w:rPr>
        <w:t>元</w:t>
      </w:r>
      <w:r>
        <w:rPr>
          <w:rFonts w:hint="eastAsia" w:ascii="宋体" w:hAnsi="宋体" w:eastAsia="宋体" w:cs="宋体"/>
          <w:sz w:val="21"/>
          <w:szCs w:val="21"/>
        </w:rPr>
        <w:t>（大写人民币</w:t>
      </w:r>
      <w:r>
        <w:rPr>
          <w:rFonts w:hint="eastAsia" w:ascii="宋体" w:hAnsi="宋体" w:eastAsia="宋体" w:cs="宋体"/>
          <w:sz w:val="21"/>
          <w:szCs w:val="21"/>
          <w:u w:val="single"/>
          <w:lang w:val="en-US" w:eastAsia="zh-CN"/>
        </w:rPr>
        <w:t>壹拾陆万零叁佰陆拾陆元陆角柒分</w:t>
      </w:r>
      <w:r>
        <w:rPr>
          <w:rFonts w:hint="eastAsia" w:ascii="宋体" w:hAnsi="宋体" w:eastAsia="宋体" w:cs="宋体"/>
          <w:sz w:val="21"/>
          <w:szCs w:val="21"/>
        </w:rPr>
        <w:t>，含税）</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供货期及供货地点：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10 </w:t>
      </w:r>
      <w:r>
        <w:rPr>
          <w:rFonts w:hint="eastAsia" w:ascii="宋体" w:hAnsi="宋体" w:cs="宋体"/>
          <w:sz w:val="21"/>
          <w:szCs w:val="21"/>
          <w:u w:val="single"/>
          <w:lang w:val="en-US" w:eastAsia="zh-CN"/>
        </w:rPr>
        <w:t>个</w:t>
      </w:r>
      <w:r>
        <w:rPr>
          <w:rFonts w:hint="eastAsia" w:ascii="宋体" w:hAnsi="宋体" w:eastAsia="宋体" w:cs="宋体"/>
          <w:sz w:val="21"/>
          <w:szCs w:val="21"/>
        </w:rPr>
        <w:t>工作日</w:t>
      </w:r>
      <w:r>
        <w:rPr>
          <w:rFonts w:hint="eastAsia" w:ascii="宋体" w:hAnsi="宋体" w:eastAsia="宋体" w:cs="宋体"/>
          <w:sz w:val="21"/>
          <w:szCs w:val="21"/>
          <w:lang w:eastAsia="zh-CN"/>
        </w:rPr>
        <w:t>，</w:t>
      </w:r>
      <w:r>
        <w:rPr>
          <w:rFonts w:hint="eastAsia" w:ascii="宋体" w:hAnsi="宋体" w:eastAsia="宋体" w:cs="宋体"/>
          <w:sz w:val="21"/>
          <w:szCs w:val="21"/>
        </w:rPr>
        <w:t>东莞市石</w:t>
      </w:r>
      <w:r>
        <w:rPr>
          <w:rFonts w:hint="eastAsia" w:ascii="宋体" w:hAnsi="宋体" w:eastAsia="宋体" w:cs="宋体"/>
          <w:sz w:val="21"/>
          <w:szCs w:val="21"/>
          <w:lang w:eastAsia="zh-CN"/>
        </w:rPr>
        <w:t>龙</w:t>
      </w:r>
      <w:r>
        <w:rPr>
          <w:rFonts w:hint="eastAsia" w:ascii="宋体" w:hAnsi="宋体" w:eastAsia="宋体" w:cs="宋体"/>
          <w:sz w:val="21"/>
          <w:szCs w:val="21"/>
        </w:rPr>
        <w:t>镇新洲</w:t>
      </w:r>
    </w:p>
    <w:p>
      <w:pPr>
        <w:spacing w:line="360" w:lineRule="auto"/>
        <w:ind w:firstLine="422" w:firstLineChars="200"/>
        <w:rPr>
          <w:rFonts w:ascii="宋体" w:hAnsi="宋体" w:cs="仿宋"/>
        </w:rPr>
      </w:pPr>
      <w:r>
        <w:rPr>
          <w:rFonts w:hint="eastAsia" w:ascii="宋体" w:hAnsi="宋体" w:eastAsia="宋体" w:cs="宋体"/>
          <w:b/>
          <w:sz w:val="21"/>
          <w:szCs w:val="21"/>
          <w:lang w:val="en-US" w:eastAsia="zh-CN"/>
        </w:rPr>
        <w:t>（四）采购内容：</w:t>
      </w:r>
      <w:r>
        <w:rPr>
          <w:rFonts w:hint="eastAsia" w:ascii="宋体" w:hAnsi="宋体" w:eastAsia="宋体" w:cs="宋体"/>
          <w:b w:val="0"/>
          <w:bCs/>
          <w:sz w:val="21"/>
          <w:szCs w:val="21"/>
          <w:lang w:val="en-US" w:eastAsia="zh-CN"/>
        </w:rPr>
        <w:t>应急棍（长棍）100根，伸缩式警棍240根，训练脚靶50个，防爆组合盾牌（大）10块，防爆组合盾牌（小）30块，警用手电筒50支，训练折叠垫100块，可拼接防摔垫（5*5m²）4套，训练手铐（无钥匙款）50副，落地沙包（1.8米大号）10个，扩音器10个，催泪喷雾（训练水剂款）100支。</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规格参数</w:t>
      </w:r>
    </w:p>
    <w:tbl>
      <w:tblPr>
        <w:tblStyle w:val="14"/>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973"/>
        <w:gridCol w:w="1512"/>
        <w:gridCol w:w="5529"/>
        <w:gridCol w:w="55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名称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图片</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规格参数</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应急棍(长棍)</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1226185</wp:posOffset>
                  </wp:positionV>
                  <wp:extent cx="721995" cy="1367155"/>
                  <wp:effectExtent l="0" t="0" r="9525" b="4445"/>
                  <wp:wrapNone/>
                  <wp:docPr id="25" name="图片_220"/>
                  <wp:cNvGraphicFramePr/>
                  <a:graphic xmlns:a="http://schemas.openxmlformats.org/drawingml/2006/main">
                    <a:graphicData uri="http://schemas.openxmlformats.org/drawingml/2006/picture">
                      <pic:pic xmlns:pic="http://schemas.openxmlformats.org/drawingml/2006/picture">
                        <pic:nvPicPr>
                          <pic:cNvPr id="25" name="图片_220"/>
                          <pic:cNvPicPr/>
                        </pic:nvPicPr>
                        <pic:blipFill>
                          <a:blip r:embed="rId9"/>
                          <a:stretch>
                            <a:fillRect/>
                          </a:stretch>
                        </pic:blipFill>
                        <pic:spPr>
                          <a:xfrm>
                            <a:off x="0" y="0"/>
                            <a:ext cx="721995" cy="136715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外观：长警棍表面光滑，无明显的凹坑、突起、气泡、毛刺、尖角、划伤、锈蚀和起皮等缺陷，握持端有防滑结构，金属部件应进行防腐蚀处理。长警棍上有清晰永久性的产品标识（制造厂名或商标，生产日期）。</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2、颜色：黑色</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3、尺寸：长度长1.6米，外直径为30.4mm。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4、质量材质：≤1.8kg， PC橡胶。</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5、柔韧性性能：长警棍在外力作用下能弯曲，且两端夹角为120°时不出现裂纹或断裂。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6、刚性性能：长警棍一端受垂直于棍体的外力作用，经自然恢复后产生的残余变形量应为10mm～15mm。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7、棍体抗拉性能：在≥2000N的拉力作用下，棍体无裂纹或断裂。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8、抗击打性能：长警棍连续击打≥2000次后，棍体无裂纹或断裂。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9、温度适应性：-30℃～+55℃</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10、阻燃性能：长警棍具有阻燃性，棍体表面续燃时间≤5S。</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11、执行标准：《GA 1124-2013长警棍》</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4"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新标伸缩机械棍</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3674110</wp:posOffset>
                  </wp:positionV>
                  <wp:extent cx="320040" cy="1043940"/>
                  <wp:effectExtent l="0" t="0" r="0" b="7620"/>
                  <wp:wrapNone/>
                  <wp:docPr id="26" name="ID_BE726B2F4A8C43B3A5787DF48EACF052"/>
                  <wp:cNvGraphicFramePr/>
                  <a:graphic xmlns:a="http://schemas.openxmlformats.org/drawingml/2006/main">
                    <a:graphicData uri="http://schemas.openxmlformats.org/drawingml/2006/picture">
                      <pic:pic xmlns:pic="http://schemas.openxmlformats.org/drawingml/2006/picture">
                        <pic:nvPicPr>
                          <pic:cNvPr id="26" name="ID_BE726B2F4A8C43B3A5787DF48EACF052"/>
                          <pic:cNvPicPr/>
                        </pic:nvPicPr>
                        <pic:blipFill>
                          <a:blip r:embed="rId10"/>
                          <a:stretch>
                            <a:fillRect/>
                          </a:stretch>
                        </pic:blipFill>
                        <pic:spPr>
                          <a:xfrm>
                            <a:off x="0" y="0"/>
                            <a:ext cx="320040" cy="104394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1、结构：伸缩警棍由小管组件、中管组件、握把组件和开关解锁组件组成。</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2、尺寸：收回长度220mm±5mm；伸展长度510mm±5mm；握把外径26mm±2mm；中管外径20mm±2mm；小管外径15mm±2mm。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3、颜色标识：金属部件亚光黑色，握把胶套黑色,激光雕刻处颜色为银白色，伸缩警棍握把上有凸起的“警POLICE察”字样，字高10MM,宽度60MM;握把上金属部位有激光雕刻警微。</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4、质量材质：≤330g，铝合金+合金钢。</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5、防脱出性能：伸缩警棍在收回状态下，对棍头施加5N轴向拉力，不应被拉出。</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6、伸缩可靠性：能通过手拉或甩动的方式顺畅伸展，各节棍体锁定稳固，按压解锁按键回推，能顺畅收回，伸缩警棍伸展、收回为一个循环，分别用拉出伸展和甩动伸展循环3000次后，应能正常仲展和收回。</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7、轴向抗拉性能：伸缩警棍完全伸展并锁定状态下，对棍头施加轴向拉力至≥1000N，并保持1min后，伸缩警棍能正常使用。</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8、抗弯性能：伸缩警棍完全伸展并锁定状态下，对伸缩警棍的中管施加≥5000N压力，并保持1min后，能正常伸展和收回。</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9、耐击打性能：伸缩警棍完全伸展并锁定状态下，以≥3000N击打力连续击打≥3000次后，伸缩警棍不应断裂，棍头不应脱落，能正常伸展和收回。</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极限击打性能：伸缩警棍完全伸展并锁定状态下，固定在专用击打试验机上，对钢制刀具进行击打，按10000N±200N的击打力值进行试验，击打后伸缩警棍不应断裂，棍头不应脱落，应能正常伸展和收回。</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10、握把橡胶套防脱性能：伸缩警棍在收回状态下，在警棍套中进行插拔试验≥3000次后，握把橡胶套应无卷边、翘起、鼓包、龟裂、移位等现象。</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跌落可靠性：水平、正立、倒立3种姿态，从≥1.5m高度自由跌落至水泥地面上，各试验1次，伸缩警棍能正常使用。</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11、耐腐蚀性能：≥9级。</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12、温度适应性：-40℃～+60℃。</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13、防脱环跌落可靠性：水平、正立、倒立3种姿态，从≥2m高度自由跌落至水泥地面上，试验3次，防脱环不应开裂、破碎。</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13、执行标准：GA 886-2018《公安单警装备伸缩警棍》</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14、</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训练脚靶</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92710</wp:posOffset>
                  </wp:positionV>
                  <wp:extent cx="756285" cy="755650"/>
                  <wp:effectExtent l="0" t="0" r="5715" b="6350"/>
                  <wp:wrapNone/>
                  <wp:docPr id="27" name="图片_26"/>
                  <wp:cNvGraphicFramePr/>
                  <a:graphic xmlns:a="http://schemas.openxmlformats.org/drawingml/2006/main">
                    <a:graphicData uri="http://schemas.openxmlformats.org/drawingml/2006/picture">
                      <pic:pic xmlns:pic="http://schemas.openxmlformats.org/drawingml/2006/picture">
                        <pic:nvPicPr>
                          <pic:cNvPr id="27" name="图片_26"/>
                          <pic:cNvPicPr/>
                        </pic:nvPicPr>
                        <pic:blipFill>
                          <a:blip r:embed="rId11"/>
                          <a:stretch>
                            <a:fillRect/>
                          </a:stretch>
                        </pic:blipFill>
                        <pic:spPr>
                          <a:xfrm>
                            <a:off x="0" y="0"/>
                            <a:ext cx="756285" cy="75565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材质：帆布、高弹性EVA发泡、海绵制。</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颜色：军绿色</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规格：长≥40厘米*宽≥20厘米*厚≥10厘米</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4"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防暴组合盾牌(大)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109220</wp:posOffset>
                  </wp:positionH>
                  <wp:positionV relativeFrom="paragraph">
                    <wp:posOffset>514985</wp:posOffset>
                  </wp:positionV>
                  <wp:extent cx="723900" cy="1744980"/>
                  <wp:effectExtent l="0" t="0" r="7620" b="7620"/>
                  <wp:wrapNone/>
                  <wp:docPr id="28" name="图片_12"/>
                  <wp:cNvGraphicFramePr/>
                  <a:graphic xmlns:a="http://schemas.openxmlformats.org/drawingml/2006/main">
                    <a:graphicData uri="http://schemas.openxmlformats.org/drawingml/2006/picture">
                      <pic:pic xmlns:pic="http://schemas.openxmlformats.org/drawingml/2006/picture">
                        <pic:nvPicPr>
                          <pic:cNvPr id="28" name="图片_12"/>
                          <pic:cNvPicPr/>
                        </pic:nvPicPr>
                        <pic:blipFill>
                          <a:blip r:embed="rId12"/>
                          <a:stretch>
                            <a:fillRect/>
                          </a:stretch>
                        </pic:blipFill>
                        <pic:spPr>
                          <a:xfrm>
                            <a:off x="0" y="0"/>
                            <a:ext cx="723900" cy="174498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1、结构：盾体四周有防砍包边，防砍包边为橡胶材料内嵌钢丝，盾体厚度≥4.7mm，可根据不同需要进行搭接组合。</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2、外形尺寸：≥1610mm×560mm×4.7mm，防暴盾牌正面对应握持装置位置有中文“警察”和英文“POLICE”字样，字样颜色为白色。中文“警察”字体为黑色，字高为85mm±4mm,英文“POLICE”字体为Arial Black,字高为55mm±3mm.防暴盾牌上有清晰永久性的产品标识（制造厂名或商标，生产日期）</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3、防护面积：≥0.9㎡</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4、质量：≤8.5kg</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5、握把连接强度：握把与盾体间的连接应能承受≥1000N的拉力，不应有断裂、松动或脱落现象。</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6、臂带连接强度：臂带的搭扣搭合好后，臂带与盾体间连接应能承受≥1000N拉力，不应有脱落、松动、脱扣或臂带断裂现象。</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7、透光率：≥88%。</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8、耐冲击强度：防暴盾牌应能承受≥240J动能的冲击,冲击后受力点不应有穿洞或在受力点半径50mm之外出现贯穿性开裂。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9、耐穿刺性能：防暴盾牌应能承受≥170J动能的穿刺，穿刺后受力点不应有直径大于6 mm穿洞或在受力点半径20mm之外出现贯穿性开裂。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10、耐击打强度：防暴盾牌应能承受能量为450J±13J的击打,击打后盾体不应破碎或出现长度大于50mm的贯穿性开裂,击打后盾体产生的最大凹陷深度应小于或等于30mm。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11、防刀砍性能：防暴盾牌的上边沿应能抵御能量为120J±5J的击砍,试验后刀砍痕迹深度≤22mm。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12、防护性能：在距离防暴盾牌≤8m处，使用12号猎枪弹、3号弹珠进行枪击试验，在有效击中的情况下，盾牌应无破裂或穿透。</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13、阻燃性能：盾体表面未燃烧。</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14、温度适应性：-30℃～+55℃条件下。</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15、执行标准：GA 422-2019《警用防暴盾牌》</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防暴组合盾牌(小)</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2913380</wp:posOffset>
                  </wp:positionV>
                  <wp:extent cx="636905" cy="1303020"/>
                  <wp:effectExtent l="0" t="0" r="3175" b="7620"/>
                  <wp:wrapNone/>
                  <wp:docPr id="29" name="图片_11"/>
                  <wp:cNvGraphicFramePr/>
                  <a:graphic xmlns:a="http://schemas.openxmlformats.org/drawingml/2006/main">
                    <a:graphicData uri="http://schemas.openxmlformats.org/drawingml/2006/picture">
                      <pic:pic xmlns:pic="http://schemas.openxmlformats.org/drawingml/2006/picture">
                        <pic:nvPicPr>
                          <pic:cNvPr id="29" name="图片_11"/>
                          <pic:cNvPicPr/>
                        </pic:nvPicPr>
                        <pic:blipFill>
                          <a:blip r:embed="rId13"/>
                          <a:stretch>
                            <a:fillRect/>
                          </a:stretch>
                        </pic:blipFill>
                        <pic:spPr>
                          <a:xfrm>
                            <a:off x="0" y="0"/>
                            <a:ext cx="636905" cy="130302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1、结构：盾体四周有防砍包边，防砍包边为橡胶材料内嵌钢丝，盾体厚度≥4.7mm，可根据不同需要进行搭接组合。</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2、外形尺寸：≥1210mm×560mm×4.7mm，防暴盾牌正面对应握持装置位置有中文“警察”和英文“POLICE”字样，字样颜色为白色。中文“警察”字体为黑色，字高为85mm±4mm,英文“POLICE”字体为Arial Black,字高为55mm±3mm.防暴盾牌上有清晰永久性的产品标识（制造厂名或商标，生产日期）</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3、防护面积：≥0.68㎡</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4、质量：≤7kg</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5、握把连接强度：握把与盾体间的连接应能承受≥1000N的拉力，不应有断裂、松动或脱落现象。</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6、臂带连接强度：臂带的搭扣搭合好后，臂带与盾体间连接应能承受≥1000N拉力，不应有脱落、松动、脱扣或臂带断裂现象。</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7、透光率：≥88%。</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8、耐冲击强度：防暴盾牌应能承受≥240J动能的冲击,冲击后受力点不应有穿洞或在受力点半径50mm之外出现贯穿性开裂。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9、耐穿刺性能：防暴盾牌应能承受≥170J动能的穿刺，穿刺后受力点不应有直径大于6 mm穿洞或在受力点半径20mm之外出现贯穿性开裂。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10、耐击打强度：防暴盾牌应能承受能量为450J±13J的击打,击打后盾体不应破碎或出现长度大于50mm的贯穿性开裂,击打后盾体产生的最大凹陷深度应小于或等于30mm。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 xml:space="preserve">11、防刀砍性能：防暴盾牌的上边沿应能抵御能量为120J±5J的击砍,试验后刀砍痕迹深度≤22mm。 </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12、防护性能：在距离防暴盾牌≤8m处，使用12号猎枪弹、3号弹珠进行枪击试验，在有效击中的情况下，盾牌应无破裂或穿透。</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13、阻燃性能：盾体表面未燃烧。</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14、温度适应性：-30℃～+55℃条件下。</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15、执行标准：GA 422-2019《警用防暴盾牌》</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1"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新标强光手电</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-64135</wp:posOffset>
                  </wp:positionH>
                  <wp:positionV relativeFrom="paragraph">
                    <wp:posOffset>3751580</wp:posOffset>
                  </wp:positionV>
                  <wp:extent cx="1036955" cy="615315"/>
                  <wp:effectExtent l="67945" t="273685" r="68580" b="284480"/>
                  <wp:wrapNone/>
                  <wp:docPr id="30" name="图片_101"/>
                  <wp:cNvGraphicFramePr/>
                  <a:graphic xmlns:a="http://schemas.openxmlformats.org/drawingml/2006/main">
                    <a:graphicData uri="http://schemas.openxmlformats.org/drawingml/2006/picture">
                      <pic:pic xmlns:pic="http://schemas.openxmlformats.org/drawingml/2006/picture">
                        <pic:nvPicPr>
                          <pic:cNvPr id="30" name="图片_101"/>
                          <pic:cNvPicPr/>
                        </pic:nvPicPr>
                        <pic:blipFill>
                          <a:blip r:embed="rId14"/>
                          <a:stretch>
                            <a:fillRect/>
                          </a:stretch>
                        </pic:blipFill>
                        <pic:spPr>
                          <a:xfrm rot="18960000">
                            <a:off x="0" y="0"/>
                            <a:ext cx="1036955" cy="61531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结构：强光手电采用前置开关，按钮区域分为照明键和爆闪键，外壳为防滚动圆柱形结构。由头盖组件（包括头盖、攻击头等）、筒身组件（包括筒身、隐藏式USB充电接口、开关部件、4格电量提示灯等）、电池、尾盖组件及手绳（包括调节扣）组成。</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2、尺寸：手电总长度为150mm±5mm，握柄直径25mm±5mm，头盖外径35mm±1mm，手绳长度150mm±5mm。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3、颜色标识：≤215g，</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4、电池兼容性：强光手电使用1节18650锂离子充电电池、3节AAA碱性电池或1节AA碱性电池，相互兼容。</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5、强光初始通光量：使用18650锂离子充电电池，在完全充电状态下强光手电进入强光模式，初始光通量≥220 lm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6、强光初始照度：使用18650锂离子充电电池，在完全充电状态下强光手电进入强光模式，距光源5m处光斑中心初始照度应≥290 lx</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7、强光照明时间：使用18650锂电子充电电池，在完全充电状态下强光手电进入强光模式，连续照明300min，距光源5m处光斑中心照度值≥210 lx</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8、弱光初始照度：使用18650锂电子充电电池，在完全充电状态下强光手电进入弱光模式，距光源1m处光斑中心初始照度为120 lx-180 lx。</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9、光束角：强光手电的光束角为6°～9°。</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10、强光爆闪频率：10Hz±2Hz</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11、电池保护功能：18650锂离子充电电池具有过压充电保护、过流充电保护、欠压放电保护、外部短路保护功能。电池不应起火、不爆炸、不漏液。</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12、外壳温升：强光手电的外壳温升≤10K</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13、电量提示功能：强光手电设置4格电量提示灯，使用18650锂离子充电电池在开启或关闭光源时，提示灯点亮，显示剩余电量状态。</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14、外壳强度：强光手电外壳能承受≥980N的径向压力后，强光手电不变形，能正常使用，开关工作模式转换功能正常。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15、手绳强度：手绳承受≥50N的拉力无断裂。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16、碎玻璃功能：攻击头的氮化硅球部位能击碎≥5mm厚钢化玻璃，氮化硅球不掉洛，不碎裂，开关工作模式转换功能正常。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17、跌落可靠性：强光手电以水平状态、头部向下状态和尾部向下3种姿态，从≥1.5m高度自由跌落至水泥地面上，各试验3次，强光手电无裂纹、破碎，氮化硅球不脱落，开关工作模式转换功能正常。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18、防水性能：强光手电在0.5m深度水中进行防水试验≥1h，内部不应进水，且开关工作模式转换功能正常。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19、开关耐久性：对照明键爆闪键分别触压≥30000次，开关按键正常，且开关工作模式转换功能正常。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20、充电插头连接可靠性：充电插头插拔≥3000次，不应变形，且能正常充电，兼容安卓充电器。</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21、低温性能：强光手电在温度-20℃±2℃的环境下，持续放置2h，开关工作模式转换功能正常。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22、湿热性能：强光手电在温度45℃±2℃、湿度95%±2%RH的环境下，持续放置48h，开关工作模式转换功能正常。</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23、执行标准：GA 883-2018《公安单警装备 强光手电》</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24、</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训练折叠垫</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154305</wp:posOffset>
                  </wp:positionV>
                  <wp:extent cx="686435" cy="794385"/>
                  <wp:effectExtent l="0" t="0" r="14605" b="13335"/>
                  <wp:wrapNone/>
                  <wp:docPr id="33" name="图片_2"/>
                  <wp:cNvGraphicFramePr/>
                  <a:graphic xmlns:a="http://schemas.openxmlformats.org/drawingml/2006/main">
                    <a:graphicData uri="http://schemas.openxmlformats.org/drawingml/2006/picture">
                      <pic:pic xmlns:pic="http://schemas.openxmlformats.org/drawingml/2006/picture">
                        <pic:nvPicPr>
                          <pic:cNvPr id="33" name="图片_2"/>
                          <pic:cNvPicPr/>
                        </pic:nvPicPr>
                        <pic:blipFill>
                          <a:blip r:embed="rId15"/>
                          <a:stretch>
                            <a:fillRect/>
                          </a:stretch>
                        </pic:blipFill>
                        <pic:spPr>
                          <a:xfrm>
                            <a:off x="0" y="0"/>
                            <a:ext cx="686435" cy="79438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尺寸：≥200CM*100CM*10CM，根据场地大小可随意组合。</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材质：有机硅帆布+珍珠棉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可拼接防摔垫（5*5m²）</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98425</wp:posOffset>
                  </wp:positionH>
                  <wp:positionV relativeFrom="paragraph">
                    <wp:posOffset>136525</wp:posOffset>
                  </wp:positionV>
                  <wp:extent cx="666115" cy="1309370"/>
                  <wp:effectExtent l="0" t="0" r="4445" b="1270"/>
                  <wp:wrapNone/>
                  <wp:docPr id="31" name="图片_15"/>
                  <wp:cNvGraphicFramePr/>
                  <a:graphic xmlns:a="http://schemas.openxmlformats.org/drawingml/2006/main">
                    <a:graphicData uri="http://schemas.openxmlformats.org/drawingml/2006/picture">
                      <pic:pic xmlns:pic="http://schemas.openxmlformats.org/drawingml/2006/picture">
                        <pic:nvPicPr>
                          <pic:cNvPr id="31" name="图片_15"/>
                          <pic:cNvPicPr/>
                        </pic:nvPicPr>
                        <pic:blipFill>
                          <a:blip r:embed="rId16"/>
                          <a:stretch>
                            <a:fillRect/>
                          </a:stretch>
                        </pic:blipFill>
                        <pic:spPr>
                          <a:xfrm>
                            <a:off x="0" y="0"/>
                            <a:ext cx="666115" cy="130937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尺寸：≥100CM*100CM*5.0CM，根据场地大小可随意组合。</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颜色：黄蓝</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材质：优质EVA环保材质</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训练手铐（无钥匙款）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111760</wp:posOffset>
                  </wp:positionV>
                  <wp:extent cx="702310" cy="1454150"/>
                  <wp:effectExtent l="0" t="0" r="13970" b="8890"/>
                  <wp:wrapNone/>
                  <wp:docPr id="32" name="图片_1"/>
                  <wp:cNvGraphicFramePr/>
                  <a:graphic xmlns:a="http://schemas.openxmlformats.org/drawingml/2006/main">
                    <a:graphicData uri="http://schemas.openxmlformats.org/drawingml/2006/picture">
                      <pic:pic xmlns:pic="http://schemas.openxmlformats.org/drawingml/2006/picture">
                        <pic:nvPicPr>
                          <pic:cNvPr id="32" name="图片_1"/>
                          <pic:cNvPicPr/>
                        </pic:nvPicPr>
                        <pic:blipFill>
                          <a:blip r:embed="rId17"/>
                          <a:stretch>
                            <a:fillRect/>
                          </a:stretch>
                        </pic:blipFill>
                        <pic:spPr>
                          <a:xfrm>
                            <a:off x="0" y="0"/>
                            <a:ext cx="702310" cy="1454150"/>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材质:碳化钢</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重量:≤330g</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最小放开尺寸:≤55mm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环直径尺寸:45mm-76mm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全长:≤240mm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铐点:21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落地沙包（1.8米大号）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236855</wp:posOffset>
                  </wp:positionH>
                  <wp:positionV relativeFrom="paragraph">
                    <wp:posOffset>1128395</wp:posOffset>
                  </wp:positionV>
                  <wp:extent cx="460375" cy="975995"/>
                  <wp:effectExtent l="0" t="0" r="12065" b="14605"/>
                  <wp:wrapNone/>
                  <wp:docPr id="36" name="图片_21"/>
                  <wp:cNvGraphicFramePr/>
                  <a:graphic xmlns:a="http://schemas.openxmlformats.org/drawingml/2006/main">
                    <a:graphicData uri="http://schemas.openxmlformats.org/drawingml/2006/picture">
                      <pic:pic xmlns:pic="http://schemas.openxmlformats.org/drawingml/2006/picture">
                        <pic:nvPicPr>
                          <pic:cNvPr id="36" name="图片_21"/>
                          <pic:cNvPicPr/>
                        </pic:nvPicPr>
                        <pic:blipFill>
                          <a:blip r:embed="rId18"/>
                          <a:stretch>
                            <a:fillRect/>
                          </a:stretch>
                        </pic:blipFill>
                        <pic:spPr>
                          <a:xfrm>
                            <a:off x="0" y="0"/>
                            <a:ext cx="460375" cy="97599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高度：≥180CM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款式：锥形加强桶，大小桶设计，可装水100KG，可装沙150KG。</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直径：≥70CM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材质：高弹性橡胶</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特点：消音减震，强力吸盘，牢牢吸附地面；适用于大理石、木质地板、水泥地、瓷砖等。</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扩音器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-147955</wp:posOffset>
                  </wp:positionH>
                  <wp:positionV relativeFrom="paragraph">
                    <wp:posOffset>1722755</wp:posOffset>
                  </wp:positionV>
                  <wp:extent cx="1054735" cy="692785"/>
                  <wp:effectExtent l="226695" t="103505" r="238760" b="106680"/>
                  <wp:wrapNone/>
                  <wp:docPr id="35" name="图片_165"/>
                  <wp:cNvGraphicFramePr/>
                  <a:graphic xmlns:a="http://schemas.openxmlformats.org/drawingml/2006/main">
                    <a:graphicData uri="http://schemas.openxmlformats.org/drawingml/2006/picture">
                      <pic:pic xmlns:pic="http://schemas.openxmlformats.org/drawingml/2006/picture">
                        <pic:nvPicPr>
                          <pic:cNvPr id="35" name="图片_165"/>
                          <pic:cNvPicPr/>
                        </pic:nvPicPr>
                        <pic:blipFill>
                          <a:blip r:embed="rId19"/>
                          <a:stretch>
                            <a:fillRect/>
                          </a:stretch>
                        </pic:blipFill>
                        <pic:spPr>
                          <a:xfrm rot="18120000">
                            <a:off x="0" y="0"/>
                            <a:ext cx="1054735" cy="69278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1、功能：扩音、录音、警音、照明、MP3、多媒体USB插口。</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2、供电方式：使用干电池（或锂电池）供电。</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3、工作电压：≥12V。</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4、充电时间：≤4h充满，有电量不足报警。</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5、充电器：DC 10V/500mA。</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6、录音时间：≥240秒。</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7、电池使用时间：可连续使用＞20h喊话。</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8、产品重量：≤560g（不含干电池）。</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9、正常工作条件下发热测试：保护装置不工作，正常工作1小时，外壳温升≤30K。</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10、故障测试：喊话器短路情况下，声音变小，5min后，外壳温升≤40K。</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11、尺寸：≤135mm×205mm。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12、温度适应性：-10℃～+40℃</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13、结构：由喊话器和充电器组成，由可充电电池供电。</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14、执行标准：GB 8898-2001《音频、视频及类似电子设备 安全要求》。</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15、</w:t>
            </w:r>
            <w:r>
              <w:rPr>
                <w:rFonts w:hint="eastAsia"/>
                <w:lang w:val="en-US" w:eastAsia="zh-CN"/>
              </w:rPr>
              <w:t>报名的时候</w:t>
            </w:r>
            <w:r>
              <w:rPr>
                <w:rFonts w:hint="eastAsia" w:ascii="宋体" w:hAnsi="宋体" w:eastAsia="宋体" w:cs="宋体"/>
                <w:bCs/>
                <w:color w:val="000000"/>
                <w:szCs w:val="21"/>
                <w:lang w:val="en-US" w:eastAsia="zh-CN"/>
              </w:rPr>
              <w:t>需提供国家认证认可的检验机构出具的产品合格检测报告（所有参数需在一份报告中体现，复印件加盖制造</w:t>
            </w:r>
            <w:r>
              <w:rPr>
                <w:rFonts w:hint="eastAsia" w:ascii="宋体" w:hAnsi="宋体" w:cs="宋体"/>
                <w:bCs/>
                <w:color w:val="000000"/>
                <w:szCs w:val="21"/>
                <w:lang w:val="en-US" w:eastAsia="zh-CN"/>
              </w:rPr>
              <w:t>商</w:t>
            </w:r>
            <w:r>
              <w:rPr>
                <w:rFonts w:hint="eastAsia" w:ascii="宋体" w:hAnsi="宋体" w:eastAsia="宋体" w:cs="宋体"/>
                <w:bCs/>
                <w:color w:val="000000"/>
                <w:szCs w:val="21"/>
                <w:lang w:val="en-US" w:eastAsia="zh-CN"/>
              </w:rPr>
              <w:t>公章）。</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trPr>
        <w:tc>
          <w:tcPr>
            <w:tcW w:w="4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催泪喷雾（训练水剂款）</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drawing>
                <wp:anchor distT="0" distB="0" distL="114300" distR="114300" simplePos="0" relativeHeight="251659264" behindDoc="0" locked="0" layoutInCell="1" allowOverlap="1">
                  <wp:simplePos x="0" y="0"/>
                  <wp:positionH relativeFrom="column">
                    <wp:posOffset>114935</wp:posOffset>
                  </wp:positionH>
                  <wp:positionV relativeFrom="paragraph">
                    <wp:posOffset>939165</wp:posOffset>
                  </wp:positionV>
                  <wp:extent cx="503555" cy="895985"/>
                  <wp:effectExtent l="0" t="0" r="14605" b="3175"/>
                  <wp:wrapNone/>
                  <wp:docPr id="34" name="图片_20"/>
                  <wp:cNvGraphicFramePr/>
                  <a:graphic xmlns:a="http://schemas.openxmlformats.org/drawingml/2006/main">
                    <a:graphicData uri="http://schemas.openxmlformats.org/drawingml/2006/picture">
                      <pic:pic xmlns:pic="http://schemas.openxmlformats.org/drawingml/2006/picture">
                        <pic:nvPicPr>
                          <pic:cNvPr id="34" name="图片_20"/>
                          <pic:cNvPicPr/>
                        </pic:nvPicPr>
                        <pic:blipFill>
                          <a:blip r:embed="rId20"/>
                          <a:stretch>
                            <a:fillRect/>
                          </a:stretch>
                        </pic:blipFill>
                        <pic:spPr>
                          <a:xfrm>
                            <a:off x="0" y="0"/>
                            <a:ext cx="503555" cy="895985"/>
                          </a:xfrm>
                          <a:prstGeom prst="rect">
                            <a:avLst/>
                          </a:prstGeom>
                          <a:noFill/>
                          <a:ln>
                            <a:noFill/>
                          </a:ln>
                        </pic:spPr>
                      </pic:pic>
                    </a:graphicData>
                  </a:graphic>
                </wp:anchor>
              </w:drawing>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left"/>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材质：铝合金</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外径尺寸：≤36mm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高度：≤155mm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容量：≤115ml</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喷射距离：大于5m</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喷射时间：大于4s</w:t>
            </w:r>
            <w:r>
              <w:rPr>
                <w:rFonts w:hint="eastAsia" w:ascii="宋体" w:hAnsi="宋体" w:eastAsia="宋体" w:cs="宋体"/>
                <w:bCs/>
                <w:color w:val="000000"/>
                <w:szCs w:val="21"/>
                <w:lang w:val="en-US" w:eastAsia="zh-CN"/>
              </w:rPr>
              <w:br w:type="textWrapping"/>
            </w:r>
            <w:r>
              <w:rPr>
                <w:rFonts w:hint="eastAsia" w:ascii="宋体" w:hAnsi="宋体" w:eastAsia="宋体" w:cs="宋体"/>
                <w:bCs/>
                <w:color w:val="000000"/>
                <w:szCs w:val="21"/>
                <w:lang w:val="en-US" w:eastAsia="zh-CN"/>
              </w:rPr>
              <w:t>喷射速度：大于8.5g／s</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r>
    </w:tbl>
    <w:p>
      <w:pPr>
        <w:pStyle w:val="53"/>
      </w:pP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商务要求</w:t>
      </w:r>
    </w:p>
    <w:p>
      <w:pPr>
        <w:keepNext w:val="0"/>
        <w:keepLines w:val="0"/>
        <w:widowControl/>
        <w:suppressLineNumbers w:val="0"/>
        <w:spacing w:line="360" w:lineRule="auto"/>
        <w:ind w:firstLine="422" w:firstLineChars="20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val="en-US" w:eastAsia="zh-CN"/>
        </w:rPr>
        <w:t>一</w:t>
      </w: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rPr>
        <w:t>质量要求：</w:t>
      </w:r>
      <w:r>
        <w:rPr>
          <w:rFonts w:asciiTheme="minorEastAsia" w:hAnsiTheme="minorEastAsia" w:eastAsiaTheme="minorEastAsia"/>
          <w:sz w:val="21"/>
          <w:szCs w:val="21"/>
        </w:rPr>
        <w:t>所供应的器材、辅料必须正规渠道进货，产品质量达到国家标准；货物牌标识内容清晰、有出厂合格证。</w:t>
      </w:r>
      <w:r>
        <w:rPr>
          <w:rFonts w:hint="eastAsia" w:asciiTheme="minorEastAsia" w:hAnsiTheme="minorEastAsia" w:eastAsiaTheme="minorEastAsia"/>
          <w:sz w:val="21"/>
          <w:szCs w:val="21"/>
          <w:lang w:val="en-US" w:eastAsia="zh-CN"/>
        </w:rPr>
        <w:t>产品质量应符合中华人民共和国国家安全质量标准、环保标准、行业标准货货物来源国官方标准；凡属于《中华人民共和国实施强制性产品认证的产品目录》的产品，须在交货时提供该产品的《中国强制认证》（CCC认证）。</w:t>
      </w:r>
    </w:p>
    <w:p>
      <w:pPr>
        <w:keepNext w:val="0"/>
        <w:keepLines w:val="0"/>
        <w:widowControl/>
        <w:suppressLineNumbers w:val="0"/>
        <w:spacing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b/>
          <w:bCs/>
          <w:sz w:val="21"/>
          <w:szCs w:val="21"/>
          <w:lang w:val="en-US" w:eastAsia="zh-CN"/>
        </w:rPr>
        <w:t>（二）包装：</w:t>
      </w:r>
      <w:r>
        <w:rPr>
          <w:rFonts w:hint="eastAsia" w:asciiTheme="minorEastAsia" w:hAnsiTheme="minorEastAsia" w:eastAsiaTheme="minorEastAsia"/>
          <w:sz w:val="21"/>
          <w:szCs w:val="21"/>
          <w:lang w:val="en-US" w:eastAsia="zh-CN"/>
        </w:rPr>
        <w:t>全部产品均应有良好的防湿、防锈、防潮、防雨、防腐及防碰撞的措施。凡由于包装不良造成的损失和由此产生的费用均由供应商承担。</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（三）</w:t>
      </w:r>
      <w:r>
        <w:rPr>
          <w:rFonts w:hint="eastAsia" w:asciiTheme="minorEastAsia" w:hAnsiTheme="minorEastAsia" w:eastAsiaTheme="minorEastAsia"/>
          <w:b/>
          <w:sz w:val="21"/>
          <w:szCs w:val="21"/>
        </w:rPr>
        <w:t>监狱管理要求：</w:t>
      </w:r>
    </w:p>
    <w:p>
      <w:pPr>
        <w:spacing w:line="360" w:lineRule="auto"/>
        <w:ind w:firstLine="420" w:firstLineChars="200"/>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lang w:val="en-US" w:eastAsia="zh-CN"/>
        </w:rPr>
        <w:t>1.成交供应商</w:t>
      </w:r>
      <w:r>
        <w:rPr>
          <w:rFonts w:hint="eastAsia" w:asciiTheme="minorEastAsia" w:hAnsiTheme="minorEastAsia" w:eastAsiaTheme="minorEastAsia"/>
          <w:sz w:val="21"/>
          <w:szCs w:val="21"/>
        </w:rPr>
        <w:t>及送货人员必须严格遵守监狱保密及相关管理规定，</w:t>
      </w:r>
      <w:r>
        <w:rPr>
          <w:rFonts w:asciiTheme="minorEastAsia" w:hAnsiTheme="minorEastAsia" w:eastAsiaTheme="minorEastAsia"/>
          <w:sz w:val="21"/>
          <w:szCs w:val="21"/>
        </w:rPr>
        <w:t>不得</w:t>
      </w:r>
      <w:r>
        <w:rPr>
          <w:rFonts w:hint="eastAsia" w:asciiTheme="minorEastAsia" w:hAnsiTheme="minorEastAsia" w:eastAsiaTheme="minorEastAsia"/>
          <w:sz w:val="21"/>
          <w:szCs w:val="21"/>
        </w:rPr>
        <w:t>有监狱内</w:t>
      </w:r>
      <w:r>
        <w:rPr>
          <w:rFonts w:asciiTheme="minorEastAsia" w:hAnsiTheme="minorEastAsia" w:eastAsiaTheme="minorEastAsia"/>
          <w:sz w:val="21"/>
          <w:szCs w:val="21"/>
        </w:rPr>
        <w:t>建筑、场地、事项等进行拍照、录视频等行为，如发现供应商有违反监狱管理，</w:t>
      </w:r>
      <w:r>
        <w:rPr>
          <w:rFonts w:asciiTheme="minorEastAsia" w:hAnsiTheme="minorEastAsia" w:eastAsiaTheme="minorEastAsia"/>
          <w:sz w:val="21"/>
          <w:szCs w:val="21"/>
          <w:highlight w:val="none"/>
          <w:u w:val="single"/>
        </w:rPr>
        <w:t>采购人有权</w:t>
      </w:r>
      <w:r>
        <w:rPr>
          <w:rFonts w:hint="eastAsia" w:asciiTheme="minorEastAsia" w:hAnsiTheme="minorEastAsia" w:eastAsiaTheme="minorEastAsia"/>
          <w:sz w:val="21"/>
          <w:szCs w:val="21"/>
          <w:highlight w:val="none"/>
          <w:u w:val="single"/>
          <w:lang w:val="en-US" w:eastAsia="zh-CN"/>
        </w:rPr>
        <w:t>终止</w:t>
      </w:r>
      <w:r>
        <w:rPr>
          <w:rFonts w:hint="eastAsia" w:asciiTheme="minorEastAsia" w:hAnsiTheme="minorEastAsia" w:eastAsiaTheme="minorEastAsia"/>
          <w:sz w:val="21"/>
          <w:szCs w:val="21"/>
          <w:highlight w:val="none"/>
          <w:u w:val="single"/>
          <w:lang w:eastAsia="zh-CN"/>
        </w:rPr>
        <w:t>合同，</w:t>
      </w:r>
      <w:r>
        <w:rPr>
          <w:rFonts w:asciiTheme="minorEastAsia" w:hAnsiTheme="minorEastAsia" w:eastAsiaTheme="minorEastAsia"/>
          <w:sz w:val="21"/>
          <w:szCs w:val="21"/>
          <w:highlight w:val="none"/>
          <w:u w:val="single"/>
        </w:rPr>
        <w:t>重新选定</w:t>
      </w:r>
      <w:r>
        <w:rPr>
          <w:rFonts w:hint="eastAsia" w:asciiTheme="minorEastAsia" w:hAnsiTheme="minorEastAsia" w:eastAsiaTheme="minorEastAsia"/>
          <w:sz w:val="21"/>
          <w:szCs w:val="21"/>
          <w:highlight w:val="none"/>
          <w:u w:val="single"/>
          <w:lang w:eastAsia="zh-CN"/>
        </w:rPr>
        <w:t>成交供应商</w:t>
      </w:r>
      <w:r>
        <w:rPr>
          <w:rFonts w:asciiTheme="minorEastAsia" w:hAnsiTheme="minorEastAsia" w:eastAsiaTheme="minorEastAsia"/>
          <w:sz w:val="21"/>
          <w:szCs w:val="21"/>
          <w:highlight w:val="none"/>
          <w:u w:val="single"/>
        </w:rPr>
        <w:t>，</w:t>
      </w:r>
      <w:r>
        <w:rPr>
          <w:rFonts w:hint="eastAsia" w:asciiTheme="minorEastAsia" w:hAnsiTheme="minorEastAsia" w:eastAsiaTheme="minorEastAsia"/>
          <w:sz w:val="21"/>
          <w:szCs w:val="21"/>
          <w:highlight w:val="none"/>
          <w:u w:val="single"/>
          <w:lang w:eastAsia="zh-CN"/>
        </w:rPr>
        <w:t>履约保证金不予退回，</w:t>
      </w:r>
      <w:r>
        <w:rPr>
          <w:rFonts w:asciiTheme="minorEastAsia" w:hAnsiTheme="minorEastAsia" w:eastAsiaTheme="minorEastAsia"/>
          <w:sz w:val="21"/>
          <w:szCs w:val="21"/>
          <w:highlight w:val="none"/>
          <w:u w:val="single"/>
        </w:rPr>
        <w:t>并追究供应商责任。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外来人员进出监管区要求</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由于监狱工作的特殊性，</w:t>
      </w:r>
      <w:r>
        <w:rPr>
          <w:rFonts w:hint="eastAsia" w:ascii="宋体" w:hAnsi="宋体" w:eastAsia="宋体" w:cs="宋体"/>
          <w:sz w:val="21"/>
          <w:szCs w:val="21"/>
          <w:lang w:val="en-US" w:eastAsia="zh-CN"/>
        </w:rPr>
        <w:t>供应商</w:t>
      </w:r>
      <w:r>
        <w:rPr>
          <w:rFonts w:hint="eastAsia" w:ascii="宋体" w:hAnsi="宋体" w:eastAsia="宋体" w:cs="宋体"/>
          <w:sz w:val="21"/>
          <w:szCs w:val="21"/>
        </w:rPr>
        <w:t>应认真教育本单位工作人员严格遵守监狱的相关管理规定。</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（一）外来人员必须遵守法律法规，不得假借监狱名义从事有损监狱形象的行为。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（二）外来人员进入监管区应提高警惕，注意人身安全保护，加强自我防范意识；自觉与罪犯划清界线，防止被罪犯利用。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（三）外来人员进入监管区必须衣着整齐，举止文明；女士不得</w:t>
      </w:r>
      <w:r>
        <w:rPr>
          <w:rFonts w:hint="eastAsia" w:ascii="宋体" w:hAnsi="宋体" w:eastAsia="宋体" w:cs="宋体"/>
          <w:sz w:val="21"/>
          <w:szCs w:val="21"/>
          <w:lang w:val="en-US" w:eastAsia="zh-CN"/>
        </w:rPr>
        <w:t>入内</w:t>
      </w:r>
      <w:r>
        <w:rPr>
          <w:rFonts w:hint="eastAsia" w:ascii="宋体" w:hAnsi="宋体" w:eastAsia="宋体" w:cs="宋体"/>
          <w:sz w:val="21"/>
          <w:szCs w:val="21"/>
        </w:rPr>
        <w:t>。</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（四）凡需进入监管区的外来人员必须由合作方开具委派证明和身份证明原件，向狱方提出申请，经核准后办理相关手续。</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（五）外来车辆应凭审批手续并由监狱警察带领或监狱指定人员驾驶，方可进出监管区大门。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（六）所有进出监管区大门的人员、车辆和物品应接受监门警察和监门哨兵的检查，凭通行证件或经监狱审批的手续，人证相符、手续齐全方可进出监管区大门。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（七）外来人员进出监管区大门必须遵守《广东省监狱监管区大门管理规定（试行）》</w:t>
      </w:r>
      <w:r>
        <w:rPr>
          <w:rFonts w:hint="eastAsia" w:ascii="宋体" w:hAnsi="宋体" w:eastAsia="宋体" w:cs="宋体"/>
          <w:sz w:val="21"/>
          <w:szCs w:val="21"/>
          <w:lang w:eastAsia="zh-CN"/>
        </w:rPr>
        <w:t>，</w:t>
      </w:r>
      <w:r>
        <w:rPr>
          <w:rFonts w:hint="eastAsia" w:ascii="宋体" w:hAnsi="宋体" w:eastAsia="宋体" w:cs="宋体"/>
          <w:sz w:val="21"/>
          <w:szCs w:val="21"/>
        </w:rPr>
        <w:t>凭有效身份证件办理《外来人员通行证》或《外来人员临时通行证》，由监狱相关部门警察带入带出，并接受监门武警和值班警察的检查管理。</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（八）外来人员不得携带违禁品、违规品、危险品等可能影响监管安全的物品进入监管区，进入监管区时必须按规定将移动电话等物品保管在贮物箱。</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违禁品是指枪支弹药、通讯设备、现金、刀具、毒品、麻醉及精神药品、军警制服、便服、假发、反动、淫秽宣传制品等物品；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违规品是指含有酒精的饮品、火种及可用作点火的可燃物品、身份类证件、绳索及可用作绳索的生产原材料、半成品、成品、玻璃陶瓷类制品及含有玻璃制品的物品、绝缘物品、燃料炊具和电炊具等物品；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危险品是指钝器、攀高物、易燃易爆、剧毒、放射、腐蚀性等物品。</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（九）外来人员进入监管区大门后，必须将《外来人员通行证》或《外来人员临时通行证》挂于胸前，并妥善保管。</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（十）外来人员在监管区内必须遵守监狱的下列规定：</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不得擅自与罪犯接触，与罪犯认老乡、攀亲结友；</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不得为服刑人员传带、保管任何物品；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不得为罪犯邮寄信件、捎口信或替罪犯打电话；</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不得在监管区拍照、摄像或录音；</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不得在监管区内随意走动，非经许可不得进入监舍区；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不得与服刑人员交谈业务以外的内容；</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不得散布不利于服刑人员改造的言论；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不得干涉、干扰监狱对服刑人员的执法活动；</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不得破坏监狱设施；</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患有传染性疾病的外来人员严禁进入监管区；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不得向无关人员谈及监狱工作秘密，或从事其它有碍监管安全的行为。</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（十一）外来车辆应按指定位置停放并熄火，拔下钥匙，锁紧车门窗。所有车辆在当天</w:t>
      </w:r>
      <w:r>
        <w:rPr>
          <w:rFonts w:hint="eastAsia" w:ascii="宋体" w:hAnsi="宋体" w:eastAsia="宋体" w:cs="宋体"/>
          <w:sz w:val="21"/>
          <w:szCs w:val="21"/>
          <w:lang w:val="en-US" w:eastAsia="zh-CN"/>
        </w:rPr>
        <w:t>18</w:t>
      </w:r>
      <w:r>
        <w:rPr>
          <w:rFonts w:hint="eastAsia" w:ascii="宋体" w:hAnsi="宋体" w:eastAsia="宋体" w:cs="宋体"/>
          <w:sz w:val="21"/>
          <w:szCs w:val="21"/>
        </w:rPr>
        <w:t>时前应驶离监管区。</w:t>
      </w:r>
    </w:p>
    <w:p>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（十二）外来人员若违反本管理规定，监狱将责</w:t>
      </w:r>
      <w:r>
        <w:rPr>
          <w:rFonts w:hint="eastAsia" w:ascii="宋体" w:hAnsi="宋体" w:eastAsia="宋体" w:cs="宋体"/>
          <w:sz w:val="21"/>
          <w:szCs w:val="21"/>
          <w:lang w:val="en-US" w:eastAsia="zh-CN"/>
        </w:rPr>
        <w:t>成供应商</w:t>
      </w:r>
      <w:r>
        <w:rPr>
          <w:rFonts w:hint="eastAsia" w:ascii="宋体" w:hAnsi="宋体" w:eastAsia="宋体" w:cs="宋体"/>
          <w:sz w:val="21"/>
          <w:szCs w:val="21"/>
        </w:rPr>
        <w:t>将其解聘、辞退或调离，严禁其再次进入监管区，情节严重的将与</w:t>
      </w:r>
      <w:r>
        <w:rPr>
          <w:rFonts w:hint="eastAsia" w:ascii="宋体" w:hAnsi="宋体" w:eastAsia="宋体" w:cs="宋体"/>
          <w:sz w:val="21"/>
          <w:szCs w:val="21"/>
          <w:lang w:val="en-US" w:eastAsia="zh-CN"/>
        </w:rPr>
        <w:t>供应 商</w:t>
      </w:r>
      <w:r>
        <w:rPr>
          <w:rFonts w:hint="eastAsia" w:ascii="宋体" w:hAnsi="宋体" w:eastAsia="宋体" w:cs="宋体"/>
          <w:sz w:val="21"/>
          <w:szCs w:val="21"/>
        </w:rPr>
        <w:t>解除合同，有违法行为的送司法机关处理。</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 xml:space="preserve">质保售后及违约责任 </w:t>
      </w:r>
    </w:p>
    <w:p>
      <w:p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（一）免费质保期限：2</w:t>
      </w:r>
      <w:r>
        <w:rPr>
          <w:rFonts w:hint="eastAsia" w:ascii="宋体" w:hAnsi="宋体" w:eastAsia="宋体" w:cs="宋体"/>
          <w:sz w:val="21"/>
          <w:szCs w:val="21"/>
          <w:lang w:val="en-US" w:eastAsia="zh-CN"/>
        </w:rPr>
        <w:t>年。</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（二）免费质保期内售后服务要求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1.成交供应商需</w:t>
      </w:r>
      <w:r>
        <w:rPr>
          <w:rFonts w:hint="eastAsia" w:ascii="宋体" w:hAnsi="宋体" w:cs="宋体"/>
          <w:sz w:val="21"/>
          <w:szCs w:val="21"/>
          <w:lang w:val="en-US" w:eastAsia="zh-CN"/>
        </w:rPr>
        <w:t>在</w:t>
      </w:r>
      <w:r>
        <w:rPr>
          <w:rFonts w:hint="eastAsia" w:ascii="宋体" w:hAnsi="宋体" w:eastAsia="宋体" w:cs="宋体"/>
          <w:sz w:val="21"/>
          <w:szCs w:val="21"/>
          <w:lang w:val="en-US" w:eastAsia="zh-CN"/>
        </w:rPr>
        <w:t>售后服务承诺应分别列明维修点数量、人员配置等内容。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2.成交供应商负责对其提供的产品进行维修，不再向采购人收取任何费用。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保修期内，产品故障报修的响应时间：提供24小时×7技术支持热线，每天8：00-18：00期间为2小时响应，其余时间为4小时响应。报修24小时内不能修好的须提供相同品牌型号或高于原配的性能型号配件和设备代用。设备维修超过一个月的，按原型号或升级型号进行更换。</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4.保修期内，所有产品保修服务方式为成交供应商上门保修，或由采购人邮寄给供应商，邮费由供应商付。</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5.成交供应商免费质保的范围包括供货的全部设备和材料。</w:t>
      </w:r>
    </w:p>
    <w:p>
      <w:pPr>
        <w:spacing w:line="360" w:lineRule="auto"/>
        <w:ind w:firstLine="422" w:firstLineChars="200"/>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供应商违约责任</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必须根据采购人供货期要求，科学合理拟定送货（安装）计划，确保按时供货（安装）完成验收（出现不可抗力因素情形时，经双方共同认可，供货期可以顺延）。如规定供货期内未能完成的，每超出规定供货期一天，采购人有权扣除成交供应商合同金额的1%，最高不超过合同金额的5%。规定供货期到期后，根据项目情况，若因为成交供应商主观因素，采购人认为成交供应商不能达到本项目要求的，采购人有权解除合同，并就采购人所发生的损失，追究成交供应商责任。</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履约保证金条</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领取</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u w:val="single"/>
          <w:lang w:eastAsia="zh-CN"/>
        </w:rPr>
        <w:t>五个工作日</w:t>
      </w:r>
      <w:r>
        <w:rPr>
          <w:rFonts w:hint="eastAsia" w:ascii="宋体" w:hAnsi="宋体" w:eastAsia="宋体" w:cs="宋体"/>
          <w:color w:val="auto"/>
          <w:sz w:val="21"/>
          <w:szCs w:val="21"/>
          <w:u w:val="single"/>
          <w:lang w:val="en-US" w:eastAsia="zh-CN"/>
        </w:rPr>
        <w:t>内</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需缴纳</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价的</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作为履约保证金。如</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供应商不按时签订合同或弃标的，履约保证金不予退回（不可抗力原因除外）。经验收合格后，</w:t>
      </w:r>
      <w:r>
        <w:rPr>
          <w:rFonts w:hint="eastAsia" w:ascii="宋体" w:hAnsi="宋体" w:eastAsia="宋体" w:cs="宋体"/>
          <w:color w:val="auto"/>
          <w:sz w:val="21"/>
          <w:szCs w:val="21"/>
          <w:lang w:val="en-US" w:eastAsia="zh-CN"/>
        </w:rPr>
        <w:t>项目质保</w:t>
      </w:r>
      <w:r>
        <w:rPr>
          <w:rFonts w:hint="eastAsia" w:ascii="宋体" w:hAnsi="宋体" w:eastAsia="宋体" w:cs="宋体"/>
          <w:color w:val="auto"/>
          <w:sz w:val="21"/>
          <w:szCs w:val="21"/>
        </w:rPr>
        <w:t>期</w:t>
      </w:r>
      <w:r>
        <w:rPr>
          <w:rFonts w:hint="eastAsia" w:ascii="宋体" w:hAnsi="宋体" w:eastAsia="宋体" w:cs="宋体"/>
          <w:color w:val="auto"/>
          <w:sz w:val="21"/>
          <w:szCs w:val="21"/>
          <w:lang w:val="en-US" w:eastAsia="zh-CN"/>
        </w:rPr>
        <w:t>内视为项目履约期</w:t>
      </w:r>
      <w:r>
        <w:rPr>
          <w:rFonts w:hint="eastAsia" w:ascii="宋体" w:hAnsi="宋体" w:eastAsia="宋体" w:cs="宋体"/>
          <w:color w:val="auto"/>
          <w:sz w:val="21"/>
          <w:szCs w:val="21"/>
        </w:rPr>
        <w:t>，如无发生扣款情形的，</w:t>
      </w:r>
      <w:r>
        <w:rPr>
          <w:rFonts w:hint="eastAsia" w:ascii="宋体" w:hAnsi="宋体" w:eastAsia="宋体" w:cs="宋体"/>
          <w:color w:val="auto"/>
          <w:sz w:val="21"/>
          <w:szCs w:val="21"/>
          <w:lang w:val="en-US" w:eastAsia="zh-CN"/>
        </w:rPr>
        <w:t>履约保证金</w:t>
      </w:r>
      <w:r>
        <w:rPr>
          <w:rFonts w:hint="eastAsia" w:ascii="宋体" w:hAnsi="宋体" w:eastAsia="宋体" w:cs="宋体"/>
          <w:color w:val="auto"/>
          <w:sz w:val="21"/>
          <w:szCs w:val="21"/>
        </w:rPr>
        <w:t>无息退回。采购人有权根据供应商的违约责任所造成的损失，从履约保</w:t>
      </w:r>
      <w:r>
        <w:rPr>
          <w:rFonts w:hint="eastAsia" w:ascii="宋体" w:hAnsi="宋体" w:eastAsia="宋体" w:cs="宋体"/>
          <w:color w:val="auto"/>
          <w:sz w:val="21"/>
          <w:szCs w:val="21"/>
          <w:lang w:val="en-US" w:eastAsia="zh-CN"/>
        </w:rPr>
        <w:t>证</w:t>
      </w:r>
      <w:r>
        <w:rPr>
          <w:rFonts w:hint="eastAsia" w:ascii="宋体" w:hAnsi="宋体" w:eastAsia="宋体" w:cs="宋体"/>
          <w:color w:val="auto"/>
          <w:sz w:val="21"/>
          <w:szCs w:val="21"/>
        </w:rPr>
        <w:t>金中扣除相关费用。如</w:t>
      </w:r>
      <w:r>
        <w:rPr>
          <w:rFonts w:hint="eastAsia" w:ascii="宋体" w:hAnsi="宋体" w:eastAsia="宋体" w:cs="宋体"/>
          <w:color w:val="auto"/>
          <w:sz w:val="21"/>
          <w:szCs w:val="21"/>
          <w:lang w:eastAsia="zh-CN"/>
        </w:rPr>
        <w:t>履约保证金</w:t>
      </w:r>
      <w:r>
        <w:rPr>
          <w:rFonts w:hint="eastAsia" w:ascii="宋体" w:hAnsi="宋体" w:eastAsia="宋体" w:cs="宋体"/>
          <w:color w:val="auto"/>
          <w:sz w:val="21"/>
          <w:szCs w:val="21"/>
        </w:rPr>
        <w:t>不能抵扣费用的，</w:t>
      </w:r>
      <w:r>
        <w:rPr>
          <w:rFonts w:hint="eastAsia" w:ascii="宋体" w:hAnsi="宋体" w:cs="宋体"/>
          <w:color w:val="auto"/>
          <w:sz w:val="21"/>
          <w:szCs w:val="21"/>
          <w:lang w:eastAsia="zh-CN"/>
        </w:rPr>
        <w:t>成交供应商</w:t>
      </w:r>
      <w:r>
        <w:rPr>
          <w:rFonts w:hint="eastAsia" w:ascii="宋体" w:hAnsi="宋体" w:eastAsia="宋体" w:cs="宋体"/>
          <w:color w:val="auto"/>
          <w:sz w:val="21"/>
          <w:szCs w:val="21"/>
        </w:rPr>
        <w:t>应全额赔偿</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方损失。</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成交供应商须在</w:t>
      </w:r>
      <w:r>
        <w:rPr>
          <w:rFonts w:hint="eastAsia" w:ascii="宋体" w:hAnsi="宋体" w:eastAsia="宋体" w:cs="宋体"/>
          <w:color w:val="auto"/>
          <w:sz w:val="21"/>
          <w:szCs w:val="21"/>
        </w:rPr>
        <w:t>监狱</w:t>
      </w:r>
      <w:r>
        <w:rPr>
          <w:rFonts w:hint="eastAsia" w:ascii="宋体" w:hAnsi="宋体" w:eastAsia="宋体" w:cs="宋体"/>
          <w:color w:val="auto"/>
          <w:sz w:val="21"/>
          <w:szCs w:val="21"/>
          <w:lang w:val="en-US" w:eastAsia="zh-CN"/>
        </w:rPr>
        <w:t>确定成交供应商</w:t>
      </w:r>
      <w:r>
        <w:rPr>
          <w:rFonts w:hint="eastAsia" w:ascii="宋体" w:hAnsi="宋体" w:eastAsia="宋体" w:cs="宋体"/>
          <w:color w:val="auto"/>
          <w:sz w:val="21"/>
          <w:szCs w:val="21"/>
        </w:rPr>
        <w:t>之日起三十日内签订合同。</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（二）履约保证金以</w:t>
      </w:r>
      <w:r>
        <w:rPr>
          <w:rFonts w:hint="eastAsia" w:ascii="宋体" w:hAnsi="宋体" w:eastAsia="宋体" w:cs="宋体"/>
          <w:sz w:val="21"/>
          <w:szCs w:val="21"/>
          <w:lang w:eastAsia="zh-CN"/>
        </w:rPr>
        <w:t>银行转账、</w:t>
      </w:r>
      <w:r>
        <w:rPr>
          <w:rFonts w:hint="eastAsia" w:ascii="宋体" w:hAnsi="宋体" w:eastAsia="宋体" w:cs="宋体"/>
          <w:sz w:val="21"/>
          <w:szCs w:val="21"/>
        </w:rPr>
        <w:t>支票、汇票、本票或者金融机构、担保机构出具的保函等非现金形式提交。</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（三）发生以下情形，经调查属实的，扣</w:t>
      </w:r>
      <w:r>
        <w:rPr>
          <w:rFonts w:hint="eastAsia" w:ascii="宋体" w:hAnsi="宋体" w:eastAsia="宋体" w:cs="宋体"/>
          <w:sz w:val="21"/>
          <w:szCs w:val="21"/>
          <w:highlight w:val="none"/>
        </w:rPr>
        <w:t>除</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w:t>
      </w:r>
      <w:r>
        <w:rPr>
          <w:rFonts w:hint="eastAsia" w:ascii="宋体" w:hAnsi="宋体" w:eastAsia="宋体" w:cs="宋体"/>
          <w:sz w:val="21"/>
          <w:szCs w:val="21"/>
        </w:rPr>
        <w:t>履约保证金：</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未按要求随货提供相关票证；</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一个货物品种质量验收不合格，退货数量未超过50%（不含本数）的；</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未按监狱采购计划的时间供货（提前</w:t>
      </w:r>
      <w:r>
        <w:rPr>
          <w:rFonts w:hint="eastAsia" w:ascii="宋体" w:hAnsi="宋体" w:eastAsia="宋体" w:cs="宋体"/>
          <w:sz w:val="21"/>
          <w:szCs w:val="21"/>
          <w:lang w:val="en-US" w:eastAsia="zh-CN"/>
        </w:rPr>
        <w:t>三</w:t>
      </w:r>
      <w:r>
        <w:rPr>
          <w:rFonts w:hint="eastAsia" w:ascii="宋体" w:hAnsi="宋体" w:eastAsia="宋体" w:cs="宋体"/>
          <w:sz w:val="21"/>
          <w:szCs w:val="21"/>
        </w:rPr>
        <w:t>天与监狱协商，且未影响</w:t>
      </w:r>
      <w:r>
        <w:rPr>
          <w:rFonts w:hint="eastAsia" w:ascii="宋体" w:hAnsi="宋体" w:eastAsia="宋体" w:cs="宋体"/>
          <w:sz w:val="21"/>
          <w:szCs w:val="21"/>
          <w:lang w:val="en-US" w:eastAsia="zh-CN"/>
        </w:rPr>
        <w:t>监狱正常开展工作</w:t>
      </w:r>
      <w:r>
        <w:rPr>
          <w:rFonts w:hint="eastAsia" w:ascii="宋体" w:hAnsi="宋体" w:eastAsia="宋体" w:cs="宋体"/>
          <w:sz w:val="21"/>
          <w:szCs w:val="21"/>
        </w:rPr>
        <w:t>的除外）；</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供货数量仅为监狱采购计划数量的80%-90%（不含本数），且未影响</w:t>
      </w:r>
      <w:r>
        <w:rPr>
          <w:rFonts w:hint="eastAsia" w:ascii="宋体" w:hAnsi="宋体" w:eastAsia="宋体" w:cs="宋体"/>
          <w:sz w:val="21"/>
          <w:szCs w:val="21"/>
          <w:lang w:val="en-US" w:eastAsia="zh-CN"/>
        </w:rPr>
        <w:t>监狱正常开展工作</w:t>
      </w:r>
      <w:r>
        <w:rPr>
          <w:rFonts w:hint="eastAsia" w:ascii="宋体" w:hAnsi="宋体" w:eastAsia="宋体" w:cs="宋体"/>
          <w:sz w:val="21"/>
          <w:szCs w:val="21"/>
        </w:rPr>
        <w:t>；（供应数大于计划数的，可退回给供应商或验收合格后入库，不扣除履约保证金）</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未按监狱指定秩序卸货；</w:t>
      </w:r>
    </w:p>
    <w:p>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货物出现质量问题，供应商不积极配合查找原因，不及时反馈处理结果</w:t>
      </w:r>
      <w:r>
        <w:rPr>
          <w:rFonts w:hint="eastAsia" w:ascii="宋体" w:hAnsi="宋体" w:eastAsia="宋体" w:cs="宋体"/>
          <w:sz w:val="21"/>
          <w:szCs w:val="21"/>
          <w:lang w:eastAsia="zh-CN"/>
        </w:rPr>
        <w:t>。</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（四）发生以下情形，经调查属实的，扣</w:t>
      </w:r>
      <w:r>
        <w:rPr>
          <w:rFonts w:hint="eastAsia" w:ascii="宋体" w:hAnsi="宋体" w:eastAsia="宋体" w:cs="宋体"/>
          <w:sz w:val="21"/>
          <w:szCs w:val="21"/>
          <w:highlight w:val="none"/>
        </w:rPr>
        <w:t>除</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w:t>
      </w:r>
      <w:r>
        <w:rPr>
          <w:rFonts w:hint="eastAsia" w:ascii="宋体" w:hAnsi="宋体" w:eastAsia="宋体" w:cs="宋体"/>
          <w:sz w:val="21"/>
          <w:szCs w:val="21"/>
        </w:rPr>
        <w:t>履约保证金：</w:t>
      </w:r>
      <w:r>
        <w:rPr>
          <w:rFonts w:hint="eastAsia" w:ascii="宋体" w:hAnsi="宋体" w:eastAsia="宋体" w:cs="宋体"/>
          <w:sz w:val="21"/>
          <w:szCs w:val="21"/>
          <w:lang w:eastAsia="zh-CN"/>
        </w:rPr>
        <w:t>并有权解除合同</w:t>
      </w:r>
      <w:r>
        <w:rPr>
          <w:rFonts w:hint="eastAsia" w:ascii="宋体" w:hAnsi="宋体" w:eastAsia="宋体" w:cs="宋体"/>
          <w:sz w:val="21"/>
          <w:szCs w:val="21"/>
        </w:rPr>
        <w:t>：</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供应货物品种、品牌、规格或质量等级与合同不符；</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一个货物品种质量验收不合格，退货数量超过50%（含本数）的；</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提供虚假检验报告等相关票证；</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因退货或未按监狱采购计划数量、时间供应，造成</w:t>
      </w:r>
      <w:r>
        <w:rPr>
          <w:rFonts w:hint="eastAsia" w:ascii="宋体" w:hAnsi="宋体" w:eastAsia="宋体" w:cs="宋体"/>
          <w:sz w:val="21"/>
          <w:szCs w:val="21"/>
          <w:lang w:val="en-US" w:eastAsia="zh-CN"/>
        </w:rPr>
        <w:t>监狱工作</w:t>
      </w:r>
      <w:r>
        <w:rPr>
          <w:rFonts w:hint="eastAsia" w:ascii="宋体" w:hAnsi="宋体" w:eastAsia="宋体" w:cs="宋体"/>
          <w:sz w:val="21"/>
          <w:szCs w:val="21"/>
        </w:rPr>
        <w:t>无法按时</w:t>
      </w:r>
      <w:r>
        <w:rPr>
          <w:rFonts w:hint="eastAsia" w:ascii="宋体" w:hAnsi="宋体" w:eastAsia="宋体" w:cs="宋体"/>
          <w:sz w:val="21"/>
          <w:szCs w:val="21"/>
          <w:lang w:val="en-US" w:eastAsia="zh-CN"/>
        </w:rPr>
        <w:t>开展</w:t>
      </w:r>
      <w:r>
        <w:rPr>
          <w:rFonts w:hint="eastAsia" w:ascii="宋体" w:hAnsi="宋体" w:eastAsia="宋体" w:cs="宋体"/>
          <w:sz w:val="21"/>
          <w:szCs w:val="21"/>
        </w:rPr>
        <w:t>；</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供货数量低于监狱采购计划数量的80%（含本数）；</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同一品种货物连续两次验收发现质量不合格产品并退货；</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把监狱验收不合格退货的货物重新配送给监狱；</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在包装、运输、装卸等环节不符合</w:t>
      </w:r>
      <w:r>
        <w:rPr>
          <w:rFonts w:hint="eastAsia" w:ascii="宋体" w:hAnsi="宋体" w:eastAsia="宋体" w:cs="宋体"/>
          <w:sz w:val="21"/>
          <w:szCs w:val="21"/>
          <w:lang w:val="en-US" w:eastAsia="zh-CN"/>
        </w:rPr>
        <w:t>产品（</w:t>
      </w:r>
      <w:r>
        <w:rPr>
          <w:rFonts w:hint="eastAsia" w:ascii="宋体" w:hAnsi="宋体" w:eastAsia="宋体" w:cs="宋体"/>
          <w:sz w:val="21"/>
          <w:szCs w:val="21"/>
        </w:rPr>
        <w:t>食品</w:t>
      </w:r>
      <w:r>
        <w:rPr>
          <w:rFonts w:hint="eastAsia" w:ascii="宋体" w:hAnsi="宋体" w:eastAsia="宋体" w:cs="宋体"/>
          <w:sz w:val="21"/>
          <w:szCs w:val="21"/>
          <w:lang w:val="en-US" w:eastAsia="zh-CN"/>
        </w:rPr>
        <w:t>）</w:t>
      </w:r>
      <w:r>
        <w:rPr>
          <w:rFonts w:hint="eastAsia" w:ascii="宋体" w:hAnsi="宋体" w:eastAsia="宋体" w:cs="宋体"/>
          <w:sz w:val="21"/>
          <w:szCs w:val="21"/>
        </w:rPr>
        <w:t>安全要求；</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组织机构发生调整，或经营场所、联系人、联系方式变更，未及时通知监狱业务部门，造成无法及时联系；</w:t>
      </w:r>
    </w:p>
    <w:p>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rPr>
        <w:t>食品</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溯源管理制度不落实，进货查验记录不全</w:t>
      </w:r>
      <w:r>
        <w:rPr>
          <w:rFonts w:hint="eastAsia" w:ascii="宋体" w:hAnsi="宋体" w:eastAsia="宋体" w:cs="宋体"/>
          <w:sz w:val="21"/>
          <w:szCs w:val="21"/>
          <w:highlight w:val="none"/>
          <w:lang w:eastAsia="zh-CN"/>
        </w:rPr>
        <w:t>。</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（五）发生以下情形，经调查属实的，扣除</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%履约保证金</w:t>
      </w:r>
      <w:r>
        <w:rPr>
          <w:rFonts w:hint="eastAsia" w:ascii="宋体" w:hAnsi="宋体" w:eastAsia="宋体" w:cs="宋体"/>
          <w:sz w:val="21"/>
          <w:szCs w:val="21"/>
          <w:highlight w:val="none"/>
          <w:lang w:eastAsia="zh-CN"/>
        </w:rPr>
        <w:t>，并解除合同</w:t>
      </w:r>
      <w:r>
        <w:rPr>
          <w:rFonts w:hint="eastAsia" w:ascii="宋体" w:hAnsi="宋体" w:eastAsia="宋体" w:cs="宋体"/>
          <w:sz w:val="21"/>
          <w:szCs w:val="21"/>
          <w:highlight w:val="none"/>
        </w:rPr>
        <w:t>：</w:t>
      </w:r>
    </w:p>
    <w:p>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1.供应商</w:t>
      </w:r>
      <w:r>
        <w:rPr>
          <w:rFonts w:hint="eastAsia" w:ascii="宋体" w:hAnsi="宋体" w:eastAsia="宋体" w:cs="宋体"/>
          <w:sz w:val="21"/>
          <w:szCs w:val="21"/>
          <w:highlight w:val="none"/>
        </w:rPr>
        <w:t>工作人员不遵守《外来人员进出监管区</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》第十项所列事项的</w:t>
      </w:r>
      <w:r>
        <w:rPr>
          <w:rFonts w:hint="eastAsia" w:ascii="宋体" w:hAnsi="宋体" w:eastAsia="宋体" w:cs="宋体"/>
          <w:sz w:val="21"/>
          <w:szCs w:val="21"/>
          <w:highlight w:val="none"/>
          <w:lang w:eastAsia="zh-CN"/>
        </w:rPr>
        <w:t>；</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2.供应商</w:t>
      </w:r>
      <w:r>
        <w:rPr>
          <w:rFonts w:hint="eastAsia" w:ascii="宋体" w:hAnsi="宋体" w:eastAsia="宋体" w:cs="宋体"/>
          <w:sz w:val="21"/>
          <w:szCs w:val="21"/>
          <w:highlight w:val="none"/>
        </w:rPr>
        <w:t>工作人员为监狱服刑人员传带物品的；</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3.供应商</w:t>
      </w:r>
      <w:r>
        <w:rPr>
          <w:rFonts w:hint="eastAsia" w:ascii="宋体" w:hAnsi="宋体" w:eastAsia="宋体" w:cs="宋体"/>
          <w:sz w:val="21"/>
          <w:szCs w:val="21"/>
          <w:highlight w:val="none"/>
        </w:rPr>
        <w:t>对货物检查把关不严，造成现金、绳索、利器等危险品、违禁品、违规品流入狱内，影响监管安全的；</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若同时出现上述履约保证金扣除情形，则按扣除数额最大的情形执行，同时出现</w:t>
      </w:r>
      <w:r>
        <w:rPr>
          <w:rFonts w:hint="eastAsia" w:ascii="宋体" w:hAnsi="宋体" w:eastAsia="宋体" w:cs="宋体"/>
          <w:sz w:val="21"/>
          <w:szCs w:val="21"/>
          <w:highlight w:val="none"/>
          <w:lang w:val="en-US" w:eastAsia="zh-CN"/>
        </w:rPr>
        <w:t>多种扣除</w:t>
      </w:r>
      <w:r>
        <w:rPr>
          <w:rFonts w:hint="eastAsia" w:ascii="宋体" w:hAnsi="宋体" w:eastAsia="宋体" w:cs="宋体"/>
          <w:sz w:val="21"/>
          <w:szCs w:val="21"/>
          <w:highlight w:val="none"/>
        </w:rPr>
        <w:t>情形</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累计扣除履约保证金。</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）如在合同执行期间因</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违约导致履约保证金部分扣除，</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需在五个工作日内将扣除的履约保证金补齐。</w:t>
      </w:r>
    </w:p>
    <w:p>
      <w:pPr>
        <w:numPr>
          <w:ilvl w:val="0"/>
          <w:numId w:val="0"/>
        </w:numPr>
        <w:spacing w:line="360" w:lineRule="auto"/>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在合同执行过程需终止执行合同的，需提前</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十天以书面形式告知监狱，否则按单方面终止执行合同处理，履约保证金不退还。</w:t>
      </w:r>
    </w:p>
    <w:p>
      <w:pPr>
        <w:keepNext w:val="0"/>
        <w:keepLines w:val="0"/>
        <w:pageBreakBefore w:val="0"/>
        <w:widowControl w:val="0"/>
        <w:numPr>
          <w:ilvl w:val="0"/>
          <w:numId w:val="14"/>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验收支付</w:t>
      </w:r>
    </w:p>
    <w:p>
      <w:pPr>
        <w:numPr>
          <w:ilvl w:val="0"/>
          <w:numId w:val="0"/>
        </w:num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验收要求</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验收按监狱有关的规定、规范进行。验收时如发现所交付的产品有短装、次品、损坏或其它不符合本合同规定的情况，采购人现场进行详尽记录，或由采购人和供应商双方签署备忘录。此现场记录或备忘录可用作补充、缺失和更换损坏部件的有效证据。由此产生的有关费用由成交供应商承担。</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2.如果合同产品运输和安装过程中因事故造成货物短缺、损坏，供应商应及时安排换货，以保证合同产品安装调试的成功完成。换货的相关费用由供应商承担。</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检测要求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在进行货物验收时，有权随机抽取部分货物到第三方正规机构进行相关检测，如检测结果合格，则由采购人负责检测费用；如检测不合格，检测费用由供应商负责，且必须无条件更换达标货物，并扣除供应商50%履约保证金。如连续两次检测均不合格，则扣除供应商全部履约保证金，且采购人有权解除合同，采购人因此产生的成本或损失，由供应商负责。</w:t>
      </w:r>
    </w:p>
    <w:p>
      <w:pPr>
        <w:numPr>
          <w:ilvl w:val="0"/>
          <w:numId w:val="0"/>
        </w:num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支付条款</w:t>
      </w:r>
    </w:p>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textAlignment w:val="auto"/>
        <w:rPr>
          <w:rFonts w:ascii="宋体" w:hAnsi="宋体" w:cs="宋体"/>
          <w:szCs w:val="21"/>
        </w:rPr>
      </w:pPr>
      <w:r>
        <w:rPr>
          <w:rFonts w:hint="eastAsia" w:ascii="宋体" w:hAnsi="宋体" w:cs="宋体"/>
          <w:szCs w:val="21"/>
        </w:rPr>
        <w:t>该项目完成后，由采购人进行验收，验收通过后采购人向成交供应商支付合同全款。成交供应商需提交等额的增值税</w:t>
      </w:r>
      <w:r>
        <w:rPr>
          <w:rFonts w:hint="eastAsia" w:ascii="宋体" w:hAnsi="宋体" w:cs="宋体"/>
          <w:szCs w:val="21"/>
          <w:lang w:val="en-US" w:eastAsia="zh-CN"/>
        </w:rPr>
        <w:t>普通</w:t>
      </w:r>
      <w:r>
        <w:rPr>
          <w:rFonts w:hint="eastAsia" w:ascii="宋体" w:hAnsi="宋体" w:cs="宋体"/>
          <w:szCs w:val="21"/>
        </w:rPr>
        <w:t>发票，具体条款以合同约定为准。</w:t>
      </w:r>
    </w:p>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360" w:lineRule="auto"/>
        <w:jc w:val="left"/>
        <w:textAlignment w:val="auto"/>
        <w:rPr>
          <w:rFonts w:ascii="宋体" w:hAnsi="宋体"/>
          <w:kern w:val="21"/>
          <w:szCs w:val="21"/>
        </w:rPr>
      </w:pPr>
      <w:r>
        <w:rPr>
          <w:rFonts w:hint="eastAsia" w:ascii="宋体" w:hAnsi="宋体"/>
          <w:kern w:val="21"/>
          <w:szCs w:val="21"/>
        </w:rPr>
        <w:t>成交供应商凭以下有效文件与采购人结算：</w:t>
      </w:r>
    </w:p>
    <w:p>
      <w:pPr>
        <w:keepNext w:val="0"/>
        <w:keepLines w:val="0"/>
        <w:pageBreakBefore w:val="0"/>
        <w:widowControl w:val="0"/>
        <w:numPr>
          <w:ilvl w:val="0"/>
          <w:numId w:val="16"/>
        </w:numPr>
        <w:kinsoku/>
        <w:wordWrap/>
        <w:overflowPunct/>
        <w:topLinePunct w:val="0"/>
        <w:bidi w:val="0"/>
        <w:adjustRightInd w:val="0"/>
        <w:snapToGrid w:val="0"/>
        <w:spacing w:line="360" w:lineRule="auto"/>
        <w:textAlignment w:val="auto"/>
        <w:rPr>
          <w:rFonts w:ascii="宋体" w:hAnsi="宋体"/>
          <w:szCs w:val="21"/>
        </w:rPr>
      </w:pPr>
      <w:r>
        <w:rPr>
          <w:rFonts w:ascii="宋体" w:hAnsi="宋体"/>
          <w:szCs w:val="21"/>
        </w:rPr>
        <w:t>合同；</w:t>
      </w:r>
    </w:p>
    <w:p>
      <w:pPr>
        <w:keepNext w:val="0"/>
        <w:keepLines w:val="0"/>
        <w:pageBreakBefore w:val="0"/>
        <w:widowControl w:val="0"/>
        <w:numPr>
          <w:ilvl w:val="0"/>
          <w:numId w:val="16"/>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成交供应商</w:t>
      </w:r>
      <w:r>
        <w:rPr>
          <w:rFonts w:ascii="宋体" w:hAnsi="宋体"/>
          <w:szCs w:val="21"/>
        </w:rPr>
        <w:t>开具的</w:t>
      </w:r>
      <w:r>
        <w:rPr>
          <w:rFonts w:hint="eastAsia" w:ascii="宋体" w:hAnsi="宋体" w:cs="宋体"/>
          <w:b/>
          <w:bCs/>
          <w:kern w:val="0"/>
          <w:szCs w:val="21"/>
          <w:lang w:bidi="ar"/>
        </w:rPr>
        <w:t>增值税</w:t>
      </w:r>
      <w:r>
        <w:rPr>
          <w:rFonts w:hint="eastAsia" w:ascii="宋体" w:hAnsi="宋体" w:cs="宋体"/>
          <w:b/>
          <w:bCs/>
          <w:kern w:val="0"/>
          <w:szCs w:val="21"/>
          <w:lang w:val="en-US" w:eastAsia="zh-CN" w:bidi="ar"/>
        </w:rPr>
        <w:t>普通</w:t>
      </w:r>
      <w:r>
        <w:rPr>
          <w:rFonts w:hint="eastAsia" w:ascii="宋体" w:hAnsi="宋体" w:cs="宋体"/>
          <w:b/>
          <w:bCs/>
          <w:kern w:val="0"/>
          <w:szCs w:val="21"/>
          <w:lang w:bidi="ar"/>
        </w:rPr>
        <w:t>发票</w:t>
      </w:r>
      <w:r>
        <w:rPr>
          <w:rFonts w:ascii="宋体" w:hAnsi="宋体"/>
          <w:szCs w:val="21"/>
        </w:rPr>
        <w:t>；</w:t>
      </w:r>
    </w:p>
    <w:p>
      <w:pPr>
        <w:keepNext w:val="0"/>
        <w:keepLines w:val="0"/>
        <w:pageBreakBefore w:val="0"/>
        <w:widowControl w:val="0"/>
        <w:numPr>
          <w:ilvl w:val="0"/>
          <w:numId w:val="16"/>
        </w:numPr>
        <w:kinsoku/>
        <w:wordWrap/>
        <w:overflowPunct/>
        <w:topLinePunct w:val="0"/>
        <w:bidi w:val="0"/>
        <w:adjustRightInd w:val="0"/>
        <w:snapToGrid w:val="0"/>
        <w:spacing w:line="360" w:lineRule="auto"/>
        <w:textAlignment w:val="auto"/>
        <w:rPr>
          <w:rFonts w:ascii="宋体" w:hAnsi="宋体"/>
          <w:szCs w:val="21"/>
        </w:rPr>
      </w:pPr>
      <w:r>
        <w:rPr>
          <w:rFonts w:hint="eastAsia" w:ascii="宋体" w:hAnsi="宋体"/>
          <w:szCs w:val="21"/>
        </w:rPr>
        <w:t>成交</w:t>
      </w:r>
      <w:r>
        <w:rPr>
          <w:rFonts w:ascii="宋体" w:hAnsi="宋体"/>
          <w:szCs w:val="21"/>
        </w:rPr>
        <w:t>通知书。</w:t>
      </w:r>
    </w:p>
    <w:p>
      <w:pP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jc w:val="center"/>
        <w:outlineLvl w:val="0"/>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第三章 竞价附件</w:t>
      </w:r>
    </w:p>
    <w:p>
      <w:pPr>
        <w:jc w:val="center"/>
        <w:outlineLvl w:val="1"/>
        <w:rPr>
          <w:rFonts w:hint="eastAsia" w:ascii="宋体" w:hAnsi="宋体"/>
          <w:b/>
          <w:bCs/>
          <w:color w:val="000000" w:themeColor="text1"/>
          <w:kern w:val="0"/>
          <w:sz w:val="32"/>
          <w:szCs w:val="32"/>
          <w:lang w:val="zh-CN"/>
          <w14:textFill>
            <w14:solidFill>
              <w14:schemeClr w14:val="tx1"/>
            </w14:solidFill>
          </w14:textFill>
        </w:rPr>
      </w:pPr>
      <w:r>
        <w:rPr>
          <w:rFonts w:hint="eastAsia" w:ascii="宋体" w:hAnsi="宋体"/>
          <w:b/>
          <w:bCs/>
          <w:color w:val="000000" w:themeColor="text1"/>
          <w:kern w:val="0"/>
          <w:sz w:val="32"/>
          <w:szCs w:val="32"/>
          <w:lang w:val="zh-CN"/>
          <w14:textFill>
            <w14:solidFill>
              <w14:schemeClr w14:val="tx1"/>
            </w14:solidFill>
          </w14:textFill>
        </w:rPr>
        <w:t>报 价 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5"/>
        <w:gridCol w:w="1127"/>
        <w:gridCol w:w="1947"/>
        <w:gridCol w:w="19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项目名称</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数量</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交货期</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szCs w:val="24"/>
                <w:shd w:val="clear" w:color="auto" w:fill="FFFFFF"/>
                <w:lang w:bidi="ar"/>
              </w:rPr>
              <w:t>报价（人民币 元）</w:t>
            </w: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6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lang w:bidi="ar"/>
              </w:rPr>
              <w:t>广东省东莞监狱购买一批训练警用装备采购项目</w:t>
            </w:r>
          </w:p>
        </w:tc>
        <w:tc>
          <w:tcPr>
            <w:tcW w:w="572"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r>
              <w:rPr>
                <w:rFonts w:hint="eastAsia" w:ascii="宋体" w:hAnsi="宋体" w:eastAsia="宋体" w:cs="宋体"/>
                <w:szCs w:val="24"/>
                <w:shd w:val="clear" w:color="auto" w:fill="FFFFFF"/>
              </w:rPr>
              <w:t>1批</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szCs w:val="24"/>
                <w:shd w:val="clear" w:color="auto" w:fill="FFFFFF"/>
                <w:lang w:val="en-US" w:eastAsia="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en-US" w:eastAsia="zh-CN"/>
              </w:rPr>
              <w:t>10 个</w:t>
            </w:r>
            <w:r>
              <w:rPr>
                <w:rFonts w:hint="eastAsia" w:ascii="宋体" w:hAnsi="宋体" w:eastAsia="宋体" w:cs="宋体"/>
                <w:bCs/>
                <w:color w:val="000000"/>
                <w:szCs w:val="21"/>
              </w:rPr>
              <w:t>工作日</w:t>
            </w:r>
            <w:r>
              <w:rPr>
                <w:rFonts w:hint="eastAsia" w:ascii="宋体" w:hAnsi="宋体" w:eastAsia="宋体" w:cs="宋体"/>
                <w:szCs w:val="24"/>
                <w:shd w:val="clear" w:color="auto" w:fill="FFFFFF"/>
                <w:lang w:val="en-US" w:eastAsia="zh-CN"/>
              </w:rPr>
              <w:t xml:space="preserve"> </w:t>
            </w:r>
          </w:p>
        </w:tc>
        <w:tc>
          <w:tcPr>
            <w:tcW w:w="988" w:type="pct"/>
            <w:shd w:val="clear" w:color="auto" w:fill="auto"/>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c>
          <w:tcPr>
            <w:tcW w:w="788" w:type="pct"/>
            <w:vAlign w:val="center"/>
          </w:tcPr>
          <w:p>
            <w:pPr>
              <w:keepNext w:val="0"/>
              <w:keepLines w:val="0"/>
              <w:suppressLineNumbers w:val="0"/>
              <w:spacing w:before="156" w:beforeLines="50" w:beforeAutospacing="0" w:after="0" w:afterAutospacing="0" w:line="360" w:lineRule="auto"/>
              <w:ind w:left="0" w:right="0" w:firstLine="0"/>
              <w:jc w:val="center"/>
              <w:rPr>
                <w:rFonts w:hint="eastAsia" w:ascii="宋体" w:hAnsi="宋体" w:eastAsia="宋体" w:cs="宋体"/>
                <w:bCs/>
                <w:color w:val="000000"/>
                <w:szCs w:val="21"/>
              </w:rPr>
            </w:pPr>
          </w:p>
        </w:tc>
      </w:tr>
    </w:tbl>
    <w:p>
      <w:pPr>
        <w:pStyle w:val="2"/>
        <w:rPr>
          <w:rFonts w:hint="eastAsia"/>
          <w:lang w:val="zh-CN"/>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0"/>
        <w:gridCol w:w="2590"/>
        <w:gridCol w:w="1471"/>
        <w:gridCol w:w="1521"/>
        <w:gridCol w:w="15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序号</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名称</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单位</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数量</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单价（元）</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应急棍(长棍)</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新标伸缩机械棍</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根</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240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训练脚靶</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防暴组合盾牌(大)</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防暴组合盾牌(小)</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6</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新标强光手电</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7</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训练折叠垫</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块</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8</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可拼接防摔垫（5*5m²）</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套</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4</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9</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训练手铐（无钥匙款）</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副</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50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落地沙包（1.8米大号）</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11</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扩音器</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个</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62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12</w:t>
            </w:r>
          </w:p>
        </w:tc>
        <w:tc>
          <w:tcPr>
            <w:tcW w:w="1315"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催泪喷雾（训练水剂款）</w:t>
            </w:r>
          </w:p>
        </w:tc>
        <w:tc>
          <w:tcPr>
            <w:tcW w:w="747"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支</w:t>
            </w:r>
          </w:p>
        </w:tc>
        <w:tc>
          <w:tcPr>
            <w:tcW w:w="772"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100</w:t>
            </w: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c>
          <w:tcPr>
            <w:tcW w:w="770" w:type="pct"/>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cs="宋体"/>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6"/>
            <w:shd w:val="clear" w:color="auto" w:fill="auto"/>
            <w:vAlign w:val="center"/>
          </w:tcPr>
          <w:p>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000000"/>
                <w:szCs w:val="21"/>
                <w:lang w:val="en-US" w:eastAsia="zh-CN"/>
              </w:rPr>
            </w:pPr>
            <w:r>
              <w:rPr>
                <w:rFonts w:hint="eastAsia" w:ascii="宋体" w:hAnsi="宋体" w:cs="宋体"/>
                <w:bCs/>
                <w:color w:val="000000"/>
                <w:szCs w:val="21"/>
                <w:lang w:val="en-US" w:eastAsia="zh-CN"/>
              </w:rPr>
              <w:t>合计（各项小计之和）：</w:t>
            </w:r>
            <w:r>
              <w:rPr>
                <w:rFonts w:hint="eastAsia" w:ascii="宋体" w:hAnsi="宋体" w:cs="宋体"/>
                <w:bCs/>
                <w:color w:val="000000"/>
                <w:szCs w:val="21"/>
                <w:u w:val="single"/>
                <w:lang w:val="en-US" w:eastAsia="zh-CN"/>
              </w:rPr>
              <w:t xml:space="preserve">         </w:t>
            </w:r>
            <w:r>
              <w:rPr>
                <w:rFonts w:hint="eastAsia" w:ascii="宋体" w:hAnsi="宋体" w:cs="宋体"/>
                <w:bCs/>
                <w:color w:val="000000"/>
                <w:szCs w:val="21"/>
                <w:u w:val="none"/>
                <w:lang w:val="en-US" w:eastAsia="zh-CN"/>
              </w:rPr>
              <w:t>元</w:t>
            </w:r>
          </w:p>
        </w:tc>
      </w:tr>
    </w:tbl>
    <w:p>
      <w:pPr>
        <w:pStyle w:val="2"/>
        <w:rPr>
          <w:lang w:val="zh-CN"/>
        </w:rPr>
      </w:pPr>
    </w:p>
    <w:p>
      <w:pPr>
        <w:pStyle w:val="2"/>
        <w:ind w:firstLine="0" w:firstLineChars="0"/>
        <w:rPr>
          <w:lang w:val="zh-CN"/>
        </w:rPr>
      </w:pPr>
    </w:p>
    <w:p>
      <w:pPr>
        <w:ind w:firstLine="0"/>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注：</w:t>
      </w:r>
    </w:p>
    <w:p>
      <w:pPr>
        <w:widowControl/>
        <w:numPr>
          <w:ilvl w:val="0"/>
          <w:numId w:val="17"/>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7"/>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所有价格均系用人民币表示，单位为元，均为含税价；</w:t>
      </w:r>
    </w:p>
    <w:p>
      <w:pPr>
        <w:widowControl/>
        <w:numPr>
          <w:ilvl w:val="0"/>
          <w:numId w:val="17"/>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widowControl/>
        <w:numPr>
          <w:ilvl w:val="0"/>
          <w:numId w:val="17"/>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平台上报价与报价表合计不一致的，以报价表合计（经价格核准后的价格）为准。</w:t>
      </w:r>
    </w:p>
    <w:p>
      <w:pPr>
        <w:widowControl/>
        <w:numPr>
          <w:ilvl w:val="0"/>
          <w:numId w:val="17"/>
        </w:numPr>
        <w:shd w:val="clear" w:color="auto" w:fill="FFFFFF"/>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供应商报价表必须加盖公章，否则视作无效报价。</w:t>
      </w:r>
    </w:p>
    <w:p>
      <w:pPr>
        <w:spacing w:line="500" w:lineRule="exact"/>
        <w:ind w:firstLine="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ind w:firstLine="0"/>
        <w:jc w:val="right"/>
        <w:rPr>
          <w:color w:val="000000" w:themeColor="text1"/>
          <w:szCs w:val="22"/>
          <w14:textFill>
            <w14:solidFill>
              <w14:schemeClr w14:val="tx1"/>
            </w14:solidFill>
          </w14:textFill>
        </w:rPr>
        <w:sectPr>
          <w:footerReference r:id="rId5" w:type="default"/>
          <w:pgSz w:w="11906" w:h="16838"/>
          <w:pgMar w:top="1440" w:right="1134" w:bottom="1440" w:left="1134" w:header="851" w:footer="992" w:gutter="0"/>
          <w:cols w:space="425" w:num="1"/>
          <w:docGrid w:type="lines" w:linePitch="312" w:charSpace="0"/>
        </w:sectPr>
      </w:pPr>
      <w:r>
        <w:rPr>
          <w:rFonts w:hint="eastAsia"/>
          <w:color w:val="000000" w:themeColor="text1"/>
          <w:szCs w:val="22"/>
          <w14:textFill>
            <w14:solidFill>
              <w14:schemeClr w14:val="tx1"/>
            </w14:solidFill>
          </w14:textFill>
        </w:rPr>
        <w:t>日期</w:t>
      </w:r>
    </w:p>
    <w:p>
      <w:pPr>
        <w:keepNext/>
        <w:keepLines/>
        <w:spacing w:line="360" w:lineRule="auto"/>
        <w:jc w:val="center"/>
        <w:outlineLvl w:val="1"/>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用户需求书响应声明函</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bookmarkStart w:id="0" w:name="_GoBack"/>
      <w:bookmarkEnd w:id="0"/>
      <w:r>
        <w:rPr>
          <w:rFonts w:hint="eastAsia" w:ascii="宋体" w:hAnsi="宋体" w:eastAsia="宋体" w:cs="宋体"/>
          <w:b/>
          <w:color w:val="000000"/>
          <w:szCs w:val="21"/>
        </w:rPr>
        <w:t>云采链（广州）信息科技有限公司</w:t>
      </w:r>
    </w:p>
    <w:p>
      <w:pPr>
        <w:spacing w:line="360" w:lineRule="auto"/>
        <w:rPr>
          <w:rFonts w:hint="eastAsia" w:ascii="宋体" w:hAnsi="宋体" w:eastAsia="宋体" w:cs="宋体"/>
          <w:color w:val="000000"/>
          <w:szCs w:val="22"/>
          <w:lang w:val="zh-CN"/>
        </w:rPr>
      </w:pP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eastAsia="宋体" w:cs="宋体"/>
          <w:b/>
          <w:bCs/>
          <w:color w:val="000000"/>
          <w:szCs w:val="21"/>
          <w:u w:val="single"/>
        </w:rPr>
        <w:t>广东省东莞监狱购买一批训练警用装备采购项目</w:t>
      </w:r>
      <w:r>
        <w:rPr>
          <w:rFonts w:hint="eastAsia" w:ascii="宋体" w:hAnsi="宋体" w:eastAsia="宋体" w:cs="宋体"/>
          <w:color w:val="000000"/>
          <w:szCs w:val="21"/>
        </w:rPr>
        <w:t>的竞价公告，本公司（企业）愿意参加采购活动，并作出如下声明：</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cs="宋体"/>
          <w:b/>
          <w:color w:val="000000"/>
          <w:szCs w:val="22"/>
        </w:rPr>
      </w:pPr>
      <w:r>
        <w:rPr>
          <w:rFonts w:hint="eastAsia" w:ascii="宋体" w:hAnsi="宋体" w:eastAsia="宋体" w:cs="宋体"/>
          <w:b/>
          <w:color w:val="000000"/>
          <w:szCs w:val="22"/>
        </w:rPr>
        <w:t>备注：</w:t>
      </w:r>
    </w:p>
    <w:p>
      <w:pPr>
        <w:numPr>
          <w:ilvl w:val="0"/>
          <w:numId w:val="18"/>
        </w:numPr>
        <w:autoSpaceDE w:val="0"/>
        <w:autoSpaceDN w:val="0"/>
        <w:adjustRightInd w:val="0"/>
        <w:spacing w:line="360" w:lineRule="auto"/>
        <w:rPr>
          <w:rFonts w:hint="eastAsia" w:ascii="宋体" w:hAnsi="宋体" w:eastAsia="宋体" w:cs="宋体"/>
          <w:color w:val="000000"/>
          <w:szCs w:val="22"/>
        </w:rPr>
      </w:pPr>
      <w:r>
        <w:rPr>
          <w:rFonts w:hint="eastAsia" w:ascii="宋体" w:hAnsi="宋体" w:eastAsia="宋体" w:cs="宋体"/>
          <w:color w:val="000000"/>
          <w:szCs w:val="22"/>
        </w:rPr>
        <w:t>本声明函必须提供且内容不得擅自删改，否则视为响应无效。</w:t>
      </w:r>
    </w:p>
    <w:p>
      <w:pPr>
        <w:numPr>
          <w:ilvl w:val="0"/>
          <w:numId w:val="18"/>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pPr>
        <w:widowControl/>
        <w:spacing w:line="360" w:lineRule="auto"/>
        <w:jc w:val="left"/>
        <w:rPr>
          <w:rFonts w:hint="eastAsia" w:ascii="宋体" w:hAnsi="宋体" w:eastAsia="宋体" w:cs="宋体"/>
          <w:b/>
          <w:bCs/>
          <w:color w:val="000000"/>
          <w:kern w:val="0"/>
          <w:sz w:val="32"/>
          <w:szCs w:val="32"/>
        </w:rPr>
      </w:pPr>
    </w:p>
    <w:p>
      <w:pPr>
        <w:pStyle w:val="53"/>
        <w:wordWrap w:val="0"/>
        <w:spacing w:line="360" w:lineRule="auto"/>
        <w:ind w:left="1200" w:right="218" w:firstLine="0" w:firstLineChars="0"/>
        <w:jc w:val="right"/>
        <w:rPr>
          <w:rFonts w:hint="eastAsia" w:ascii="宋体" w:hAnsi="宋体" w:eastAsia="宋体" w:cs="宋体"/>
          <w:color w:val="000000"/>
          <w:szCs w:val="21"/>
          <w:u w:val="single"/>
          <w:lang w:val="en-US" w:eastAsia="zh-CN"/>
        </w:rPr>
      </w:pPr>
      <w:r>
        <w:rPr>
          <w:rFonts w:hint="eastAsia" w:ascii="宋体" w:hAnsi="宋体" w:eastAsia="宋体" w:cs="宋体"/>
          <w:color w:val="000000"/>
          <w:spacing w:val="4"/>
          <w:szCs w:val="21"/>
        </w:rPr>
        <w:t>供应商名称（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kern w:val="2"/>
          <w:sz w:val="21"/>
          <w:szCs w:val="21"/>
          <w:u w:val="single"/>
          <w:lang w:val="en-US" w:eastAsia="zh-CN" w:bidi="ar-SA"/>
        </w:rPr>
        <w:t xml:space="preserve">          </w:t>
      </w:r>
    </w:p>
    <w:p>
      <w:pPr>
        <w:pStyle w:val="53"/>
        <w:spacing w:line="360" w:lineRule="auto"/>
        <w:ind w:left="1200" w:right="210" w:firstLine="0" w:firstLineChars="0"/>
        <w:jc w:val="right"/>
        <w:rPr>
          <w:rFonts w:hint="eastAsia" w:ascii="宋体" w:hAnsi="宋体" w:eastAsia="宋体" w:cs="宋体"/>
          <w:color w:val="000000"/>
          <w:szCs w:val="21"/>
          <w:u w:val="single"/>
        </w:rPr>
      </w:pPr>
    </w:p>
    <w:p>
      <w:pPr>
        <w:spacing w:line="360" w:lineRule="auto"/>
        <w:ind w:firstLine="7688" w:firstLineChars="3527"/>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pPr>
        <w:rPr>
          <w:rFonts w:hint="eastAsia" w:ascii="宋体" w:hAnsi="宋体" w:eastAsia="宋体" w:cs="宋体"/>
          <w:color w:val="000000"/>
          <w:spacing w:val="4"/>
          <w:szCs w:val="21"/>
          <w:u w:val="single"/>
        </w:rPr>
      </w:pPr>
      <w:r>
        <w:rPr>
          <w:rFonts w:hint="eastAsia" w:ascii="宋体" w:hAnsi="宋体" w:eastAsia="宋体" w:cs="宋体"/>
          <w:color w:val="000000"/>
          <w:spacing w:val="4"/>
          <w:szCs w:val="21"/>
          <w:u w:val="single"/>
        </w:rPr>
        <w:br w:type="page"/>
      </w:r>
    </w:p>
    <w:p>
      <w:pPr>
        <w:keepNext/>
        <w:keepLines/>
        <w:spacing w:line="416" w:lineRule="auto"/>
        <w:jc w:val="center"/>
        <w:outlineLvl w:val="1"/>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eastAsia="宋体" w:cs="宋体"/>
          <w:b/>
          <w:bCs/>
          <w:color w:val="000000"/>
        </w:rPr>
        <w:t>广东省东莞监狱</w:t>
      </w:r>
      <w:r>
        <w:rPr>
          <w:rFonts w:hint="eastAsia" w:ascii="宋体" w:hAnsi="宋体" w:cs="宋体"/>
          <w:b/>
          <w:bCs/>
          <w:color w:val="000000"/>
          <w:lang w:eastAsia="zh-CN"/>
        </w:rPr>
        <w:t>、</w:t>
      </w:r>
      <w:r>
        <w:rPr>
          <w:rFonts w:hint="eastAsia" w:ascii="宋体" w:hAnsi="宋体" w:eastAsia="宋体" w:cs="宋体"/>
          <w:b/>
          <w:color w:val="000000"/>
        </w:rPr>
        <w:t>云采链（广州）信息科技有限公司</w:t>
      </w:r>
      <w:r>
        <w:rPr>
          <w:rFonts w:hint="eastAsia" w:ascii="宋体" w:hAnsi="宋体"/>
          <w:b/>
          <w:color w:val="000000" w:themeColor="text1"/>
          <w14:textFill>
            <w14:solidFill>
              <w14:schemeClr w14:val="tx1"/>
            </w14:solidFill>
          </w14:textFill>
        </w:rPr>
        <w:t>：</w:t>
      </w:r>
    </w:p>
    <w:p>
      <w:pPr>
        <w:rPr>
          <w:rFonts w:ascii="宋体" w:hAnsi="宋体"/>
          <w:b/>
          <w:color w:val="000000" w:themeColor="text1"/>
          <w14:textFill>
            <w14:solidFill>
              <w14:schemeClr w14:val="tx1"/>
            </w14:solidFill>
          </w14:textFill>
        </w:rPr>
      </w:pPr>
    </w:p>
    <w:p>
      <w:pPr>
        <w:snapToGrid w:val="0"/>
        <w:spacing w:line="360" w:lineRule="auto"/>
        <w:ind w:firstLine="634" w:firstLineChars="3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关于贵单位、贵司发布</w:t>
      </w:r>
      <w:r>
        <w:rPr>
          <w:rFonts w:hint="eastAsia" w:ascii="宋体" w:hAnsi="宋体" w:eastAsia="宋体" w:cs="宋体"/>
          <w:b/>
          <w:bCs/>
          <w:color w:val="000000"/>
          <w:szCs w:val="21"/>
          <w:u w:val="single"/>
        </w:rPr>
        <w:t>广东省东莞监狱购买一批训练警用装备采购项目</w:t>
      </w:r>
      <w:r>
        <w:rPr>
          <w:rFonts w:hint="eastAsia" w:ascii="宋体" w:hAnsi="宋体"/>
          <w:color w:val="000000" w:themeColor="text1"/>
          <w14:textFill>
            <w14:solidFill>
              <w14:schemeClr w14:val="tx1"/>
            </w14:solidFill>
          </w14:textFill>
        </w:rPr>
        <w:t>的竞价公告，本公司（企业）愿意参加竞价，并声明：</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本公司具有本次采购项目服务能力。</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本公司有固定的经营场所，资金雄厚、信誉良好、售后维护服务好，并且在经营活动中无严重违法记录。</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本公司提供的商品和服务必须符合国家和行业的有关技术及安全标准，履行合同所必须的设备和专业技术能力</w:t>
      </w:r>
      <w:r>
        <w:rPr>
          <w:rFonts w:hint="eastAsia" w:ascii="宋体" w:hAnsi="宋体" w:cs="宋体"/>
          <w:color w:val="000000" w:themeColor="text1"/>
          <w:szCs w:val="24"/>
          <w:lang w:eastAsia="zh-CN"/>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本公司在本项目中不转包分包且不联合竞价。</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本公司若存在隶属关系或同属一母公司或法人的企业，仅由一家企业参与竞价。</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0"/>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0"/>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1"/>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1"/>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pStyle w:val="53"/>
        <w:rPr>
          <w:rFonts w:hint="eastAsia" w:ascii="宋体" w:hAnsi="宋体"/>
          <w:color w:val="000000" w:themeColor="text1"/>
          <w:spacing w:val="4"/>
          <w:szCs w:val="21"/>
          <w:u w:val="single"/>
          <w14:textFill>
            <w14:solidFill>
              <w14:schemeClr w14:val="tx1"/>
            </w14:solidFill>
          </w14:textFill>
        </w:rPr>
      </w:pPr>
    </w:p>
    <w:p>
      <w:pPr>
        <w:keepNext/>
        <w:keepLines/>
        <w:spacing w:line="360" w:lineRule="auto"/>
        <w:jc w:val="center"/>
        <w:outlineLvl w:val="1"/>
        <w:rPr>
          <w:rFonts w:hint="eastAsia" w:ascii="宋体" w:hAnsi="宋体" w:eastAsia="宋体" w:cs="Times New Roman"/>
          <w:b/>
          <w:bCs/>
          <w:color w:val="000000"/>
          <w:kern w:val="0"/>
          <w:sz w:val="32"/>
          <w:szCs w:val="32"/>
          <w:lang w:val="en-US" w:eastAsia="zh-CN"/>
        </w:rPr>
      </w:pPr>
      <w:r>
        <w:rPr>
          <w:rFonts w:hint="eastAsia" w:ascii="宋体" w:hAnsi="宋体" w:eastAsia="宋体" w:cs="Times New Roman"/>
          <w:b/>
          <w:bCs/>
          <w:color w:val="000000"/>
          <w:kern w:val="0"/>
          <w:sz w:val="32"/>
          <w:szCs w:val="32"/>
          <w:lang w:val="en-US" w:eastAsia="zh-CN"/>
        </w:rPr>
        <w:t>售后服务承诺函</w:t>
      </w:r>
    </w:p>
    <w:p>
      <w:pPr>
        <w:spacing w:line="360" w:lineRule="auto"/>
        <w:rPr>
          <w:rFonts w:ascii="宋体" w:hAnsi="宋体"/>
          <w:b/>
          <w:color w:val="000000"/>
        </w:rPr>
      </w:pPr>
      <w:r>
        <w:rPr>
          <w:rFonts w:hint="eastAsia" w:ascii="宋体" w:hAnsi="宋体"/>
          <w:b/>
          <w:color w:val="000000"/>
          <w:szCs w:val="21"/>
        </w:rPr>
        <w:t>致：</w:t>
      </w:r>
      <w:r>
        <w:rPr>
          <w:rFonts w:ascii="宋体" w:hAnsi="宋体"/>
          <w:b/>
          <w:bCs/>
          <w:color w:val="000000"/>
        </w:rPr>
        <w:t>广东省东莞监狱</w:t>
      </w:r>
      <w:r>
        <w:rPr>
          <w:rFonts w:hint="eastAsia" w:ascii="宋体" w:hAnsi="宋体"/>
          <w:b/>
          <w:color w:val="000000"/>
        </w:rPr>
        <w:t>、云采链（广州）信息科技有限公司：</w:t>
      </w:r>
    </w:p>
    <w:p>
      <w:pPr>
        <w:spacing w:line="360" w:lineRule="auto"/>
        <w:rPr>
          <w:rFonts w:ascii="宋体" w:hAnsi="宋体"/>
          <w:b/>
          <w:color w:val="000000"/>
        </w:rPr>
      </w:pPr>
    </w:p>
    <w:p>
      <w:pPr>
        <w:snapToGrid w:val="0"/>
        <w:spacing w:line="360" w:lineRule="auto"/>
        <w:ind w:firstLine="634" w:firstLineChars="302"/>
        <w:rPr>
          <w:rFonts w:hint="eastAsia" w:ascii="宋体" w:hAnsi="宋体"/>
          <w:color w:val="000000"/>
        </w:rPr>
      </w:pPr>
      <w:r>
        <w:rPr>
          <w:rFonts w:hint="eastAsia" w:ascii="宋体" w:hAnsi="宋体"/>
          <w:color w:val="000000"/>
        </w:rPr>
        <w:t>关于贵单位、贵司发布</w:t>
      </w:r>
      <w:r>
        <w:rPr>
          <w:rFonts w:hint="eastAsia" w:ascii="宋体" w:hAnsi="宋体" w:eastAsia="宋体" w:cs="宋体"/>
          <w:b/>
          <w:bCs/>
          <w:color w:val="000000"/>
          <w:szCs w:val="21"/>
          <w:u w:val="single"/>
        </w:rPr>
        <w:t>广东省东莞监狱购买一批训练警用装备采购项目</w:t>
      </w:r>
      <w:r>
        <w:rPr>
          <w:rFonts w:hint="eastAsia" w:ascii="宋体" w:hAnsi="宋体"/>
          <w:color w:val="000000"/>
        </w:rPr>
        <w:t>的竞价公告，本公司（企业）愿意参加竞价，并</w:t>
      </w:r>
      <w:r>
        <w:rPr>
          <w:rFonts w:hint="eastAsia" w:ascii="宋体" w:hAnsi="宋体"/>
          <w:color w:val="000000"/>
          <w:lang w:val="en-US" w:eastAsia="zh-CN"/>
        </w:rPr>
        <w:t>承诺</w:t>
      </w:r>
      <w:r>
        <w:rPr>
          <w:rFonts w:hint="eastAsia" w:ascii="宋体" w:hAnsi="宋体"/>
          <w:color w:val="000000"/>
        </w:rPr>
        <w:t>：</w:t>
      </w:r>
    </w:p>
    <w:p>
      <w:pPr>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（一）免费质保期限：2</w:t>
      </w:r>
      <w:r>
        <w:rPr>
          <w:rFonts w:hint="eastAsia" w:ascii="宋体" w:hAnsi="宋体" w:eastAsia="宋体" w:cs="宋体"/>
          <w:sz w:val="21"/>
          <w:szCs w:val="21"/>
          <w:lang w:val="en-US" w:eastAsia="zh-CN"/>
        </w:rPr>
        <w:t>年。</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（二）免费质保期内售后服务要求</w:t>
      </w:r>
    </w:p>
    <w:p>
      <w:pPr>
        <w:numPr>
          <w:ilvl w:val="0"/>
          <w:numId w:val="21"/>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我司承诺负责对其提供的产品进行维修，不再向采购人收取任何费用。</w:t>
      </w:r>
    </w:p>
    <w:p>
      <w:pPr>
        <w:numPr>
          <w:ilvl w:val="0"/>
          <w:numId w:val="2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lang w:val="en-US" w:eastAsia="zh-CN"/>
        </w:rPr>
        <w:t>我司承诺保修期内，产品故障报修的响应时间：提供24小时×7技术支持热线，每天8：00-18：00期间为2小时响应，其余时间为4小时响应。报修24小时内不能修好的须提供相同品牌型号或高于原配的性能型号配件和设备代用。设备维修超过一个月的，按原型号或升级型号进行更换。</w:t>
      </w:r>
    </w:p>
    <w:p>
      <w:pPr>
        <w:numPr>
          <w:ilvl w:val="0"/>
          <w:numId w:val="21"/>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我司承诺保修期内，所有产品保修服务方式为成交供应商上门保修，或由采购人邮寄给供应商，邮费由供应商付。</w:t>
      </w:r>
    </w:p>
    <w:p>
      <w:pPr>
        <w:numPr>
          <w:ilvl w:val="0"/>
          <w:numId w:val="21"/>
        </w:numPr>
        <w:spacing w:line="360" w:lineRule="auto"/>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我司承诺免费质保的范围包括供货的全部设备和材料。</w:t>
      </w:r>
    </w:p>
    <w:p>
      <w:pPr>
        <w:numPr>
          <w:ilvl w:val="0"/>
          <w:numId w:val="21"/>
        </w:numPr>
        <w:tabs>
          <w:tab w:val="left" w:pos="420"/>
          <w:tab w:val="left" w:pos="540"/>
        </w:tabs>
        <w:spacing w:before="156" w:beforeLines="50" w:line="360" w:lineRule="auto"/>
        <w:ind w:left="425" w:leftChars="0" w:hanging="425" w:firstLineChars="0"/>
        <w:outlineLvl w:val="9"/>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我司提供售后配置服务人员</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none"/>
          <w:lang w:val="en-US" w:eastAsia="zh-CN"/>
        </w:rPr>
        <w:t>人，</w:t>
      </w:r>
      <w:r>
        <w:rPr>
          <w:rFonts w:hint="eastAsia" w:ascii="宋体" w:hAnsi="宋体" w:eastAsia="宋体" w:cs="Times New Roman"/>
          <w:color w:val="000000"/>
          <w:szCs w:val="21"/>
          <w:lang w:val="en-US" w:eastAsia="zh-CN"/>
        </w:rPr>
        <w:t>名单分别是：</w:t>
      </w:r>
    </w:p>
    <w:p>
      <w:pPr>
        <w:pStyle w:val="2"/>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姓名：</w:t>
      </w:r>
    </w:p>
    <w:p>
      <w:pPr>
        <w:pStyle w:val="2"/>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电话：</w:t>
      </w:r>
    </w:p>
    <w:p>
      <w:pPr>
        <w:pStyle w:val="2"/>
        <w:rPr>
          <w:rFonts w:hint="eastAsia"/>
          <w:lang w:val="en-US" w:eastAsia="zh-CN"/>
        </w:rPr>
      </w:pPr>
    </w:p>
    <w:p>
      <w:pPr>
        <w:pStyle w:val="2"/>
        <w:rPr>
          <w:rFonts w:hint="default"/>
          <w:u w:val="none"/>
          <w:lang w:val="en-US" w:eastAsia="zh-CN"/>
        </w:rPr>
      </w:pPr>
      <w:r>
        <w:rPr>
          <w:rFonts w:hint="eastAsia"/>
          <w:lang w:val="en-US" w:eastAsia="zh-CN"/>
        </w:rPr>
        <w:t>售后服务地点</w:t>
      </w:r>
      <w:r>
        <w:rPr>
          <w:rFonts w:hint="eastAsia"/>
          <w:u w:val="single"/>
          <w:lang w:val="en-US" w:eastAsia="zh-CN"/>
        </w:rPr>
        <w:t xml:space="preserve">        </w:t>
      </w:r>
      <w:r>
        <w:rPr>
          <w:rFonts w:hint="eastAsia"/>
          <w:u w:val="none"/>
          <w:lang w:val="en-US" w:eastAsia="zh-CN"/>
        </w:rPr>
        <w:t>个，地址是：</w:t>
      </w:r>
    </w:p>
    <w:p>
      <w:pPr>
        <w:pStyle w:val="53"/>
        <w:rPr>
          <w:rFonts w:hint="eastAsia" w:ascii="宋体" w:hAnsi="宋体"/>
          <w:color w:val="000000" w:themeColor="text1"/>
          <w:spacing w:val="4"/>
          <w:szCs w:val="21"/>
          <w:u w:val="single"/>
          <w14:textFill>
            <w14:solidFill>
              <w14:schemeClr w14:val="tx1"/>
            </w14:solidFill>
          </w14:textFill>
        </w:rPr>
      </w:pPr>
    </w:p>
    <w:p>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pPr>
        <w:numPr>
          <w:ilvl w:val="0"/>
          <w:numId w:val="20"/>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pPr>
        <w:numPr>
          <w:ilvl w:val="0"/>
          <w:numId w:val="20"/>
        </w:num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autoSpaceDE w:val="0"/>
        <w:autoSpaceDN w:val="0"/>
        <w:adjustRightInd w:val="0"/>
        <w:spacing w:line="360" w:lineRule="auto"/>
        <w:rPr>
          <w:rFonts w:ascii="宋体" w:hAnsi="宋体"/>
          <w:b/>
          <w:color w:val="000000" w:themeColor="text1"/>
          <w14:textFill>
            <w14:solidFill>
              <w14:schemeClr w14:val="tx1"/>
            </w14:solidFill>
          </w14:textFill>
        </w:rPr>
      </w:pPr>
    </w:p>
    <w:p>
      <w:pPr>
        <w:tabs>
          <w:tab w:val="left" w:pos="426"/>
        </w:tabs>
        <w:adjustRightInd w:val="0"/>
        <w:snapToGrid w:val="0"/>
        <w:spacing w:line="360" w:lineRule="auto"/>
        <w:rPr>
          <w:rFonts w:ascii="宋体" w:hAnsi="宋体"/>
          <w:bCs/>
          <w:color w:val="000000" w:themeColor="text1"/>
          <w:szCs w:val="20"/>
          <w14:textFill>
            <w14:solidFill>
              <w14:schemeClr w14:val="tx1"/>
            </w14:solidFill>
          </w14:textFill>
        </w:rPr>
      </w:pPr>
    </w:p>
    <w:p>
      <w:pPr>
        <w:pStyle w:val="21"/>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21"/>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spacing w:line="360" w:lineRule="auto"/>
        <w:ind w:firstLine="7688" w:firstLineChars="3527"/>
        <w:rPr>
          <w:rFonts w:hint="eastAsia"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sectPr>
      <w:footerReference r:id="rId6" w:type="default"/>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13</w:t>
    </w:r>
    <w:r>
      <w:rPr>
        <w:lang w:val="zh-CN"/>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1">
    <w:nsid w:val="BCE16E17"/>
    <w:multiLevelType w:val="singleLevel"/>
    <w:tmpl w:val="BCE16E17"/>
    <w:lvl w:ilvl="0" w:tentative="0">
      <w:start w:val="1"/>
      <w:numFmt w:val="decimal"/>
      <w:lvlText w:val="(%1)"/>
      <w:lvlJc w:val="left"/>
      <w:pPr>
        <w:ind w:left="635" w:hanging="425"/>
      </w:pPr>
      <w:rPr>
        <w:rFonts w:hint="default" w:ascii="宋体" w:hAnsi="宋体" w:eastAsia="宋体" w:cs="宋体"/>
        <w:sz w:val="21"/>
        <w:szCs w:val="21"/>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00000002"/>
    <w:multiLevelType w:val="multilevel"/>
    <w:tmpl w:val="00000002"/>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00000004"/>
    <w:multiLevelType w:val="multilevel"/>
    <w:tmpl w:val="00000004"/>
    <w:lvl w:ilvl="0" w:tentative="0">
      <w:start w:val="1"/>
      <w:numFmt w:val="decimal"/>
      <w:suff w:val="nothing"/>
      <w:lvlText w:val="%1."/>
      <w:lvlJc w:val="left"/>
      <w:pPr>
        <w:ind w:left="845" w:hanging="420"/>
      </w:pPr>
      <w:rPr>
        <w:rFonts w:hint="eastAsia" w:ascii="宋体" w:hAnsi="宋体" w:eastAsia="宋体"/>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6">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1"/>
      <w:numFmt w:val="decimal"/>
      <w:suff w:val="nothing"/>
      <w:lvlText w:val="%1."/>
      <w:lvlJc w:val="left"/>
      <w:pPr>
        <w:ind w:left="840" w:hanging="420"/>
      </w:pPr>
      <w:rPr>
        <w:rFonts w:hint="eastAsia"/>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00000009"/>
    <w:multiLevelType w:val="multilevel"/>
    <w:tmpl w:val="0000000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0">
    <w:nsid w:val="0000000A"/>
    <w:multiLevelType w:val="multilevel"/>
    <w:tmpl w:val="0000000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2">
    <w:nsid w:val="0000000D"/>
    <w:multiLevelType w:val="multilevel"/>
    <w:tmpl w:val="0000000D"/>
    <w:lvl w:ilvl="0" w:tentative="0">
      <w:start w:val="7"/>
      <w:numFmt w:val="decimal"/>
      <w:suff w:val="nothing"/>
      <w:lvlText w:val="%1、"/>
      <w:lvlJc w:val="left"/>
      <w:pPr>
        <w:ind w:left="420" w:hanging="420"/>
      </w:pPr>
      <w:rPr>
        <w:rFonts w:hint="default"/>
      </w:rPr>
    </w:lvl>
    <w:lvl w:ilvl="1" w:tentative="0">
      <w:start w:val="8"/>
      <w:numFmt w:val="japaneseCounting"/>
      <w:lvlText w:val="%2、"/>
      <w:lvlJc w:val="left"/>
      <w:pPr>
        <w:ind w:left="45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8763F60"/>
    <w:multiLevelType w:val="multilevel"/>
    <w:tmpl w:val="08763F6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20C8557A"/>
    <w:multiLevelType w:val="multilevel"/>
    <w:tmpl w:val="20C8557A"/>
    <w:lvl w:ilvl="0" w:tentative="0">
      <w:start w:val="3"/>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63AA1D"/>
    <w:multiLevelType w:val="singleLevel"/>
    <w:tmpl w:val="3763AA1D"/>
    <w:lvl w:ilvl="0" w:tentative="0">
      <w:start w:val="1"/>
      <w:numFmt w:val="decimal"/>
      <w:lvlText w:val="%1."/>
      <w:lvlJc w:val="left"/>
      <w:pPr>
        <w:ind w:left="425" w:hanging="425"/>
      </w:pPr>
      <w:rPr>
        <w:rFonts w:hint="default"/>
      </w:rPr>
    </w:lvl>
  </w:abstractNum>
  <w:abstractNum w:abstractNumId="17">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8">
    <w:nsid w:val="5B800E1E"/>
    <w:multiLevelType w:val="multilevel"/>
    <w:tmpl w:val="5B800E1E"/>
    <w:lvl w:ilvl="0" w:tentative="0">
      <w:start w:val="2"/>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1387087"/>
    <w:multiLevelType w:val="multilevel"/>
    <w:tmpl w:val="61387087"/>
    <w:lvl w:ilvl="0" w:tentative="0">
      <w:start w:val="1"/>
      <w:numFmt w:val="decimal"/>
      <w:lvlText w:val="%1."/>
      <w:lvlJc w:val="left"/>
      <w:pPr>
        <w:tabs>
          <w:tab w:val="left" w:pos="425"/>
        </w:tabs>
        <w:ind w:left="425" w:hanging="425"/>
      </w:pPr>
      <w:rPr>
        <w:rFonts w:hint="default" w:ascii="宋体" w:hAnsi="宋体" w:eastAsia="宋体" w:cs="宋体"/>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70C451F0"/>
    <w:multiLevelType w:val="multilevel"/>
    <w:tmpl w:val="70C451F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0"/>
  </w:num>
  <w:num w:numId="3">
    <w:abstractNumId w:val="8"/>
  </w:num>
  <w:num w:numId="4">
    <w:abstractNumId w:val="18"/>
  </w:num>
  <w:num w:numId="5">
    <w:abstractNumId w:val="9"/>
  </w:num>
  <w:num w:numId="6">
    <w:abstractNumId w:val="15"/>
  </w:num>
  <w:num w:numId="7">
    <w:abstractNumId w:val="7"/>
  </w:num>
  <w:num w:numId="8">
    <w:abstractNumId w:val="5"/>
  </w:num>
  <w:num w:numId="9">
    <w:abstractNumId w:val="17"/>
  </w:num>
  <w:num w:numId="10">
    <w:abstractNumId w:val="11"/>
  </w:num>
  <w:num w:numId="11">
    <w:abstractNumId w:val="13"/>
  </w:num>
  <w:num w:numId="12">
    <w:abstractNumId w:val="14"/>
  </w:num>
  <w:num w:numId="13">
    <w:abstractNumId w:val="12"/>
  </w:num>
  <w:num w:numId="14">
    <w:abstractNumId w:val="0"/>
  </w:num>
  <w:num w:numId="15">
    <w:abstractNumId w:val="19"/>
  </w:num>
  <w:num w:numId="16">
    <w:abstractNumId w:val="1"/>
  </w:num>
  <w:num w:numId="17">
    <w:abstractNumId w:val="6"/>
  </w:num>
  <w:num w:numId="18">
    <w:abstractNumId w:val="3"/>
  </w:num>
  <w:num w:numId="19">
    <w:abstractNumId w:val="2"/>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8E658B"/>
    <w:rsid w:val="00007441"/>
    <w:rsid w:val="0004244B"/>
    <w:rsid w:val="00125281"/>
    <w:rsid w:val="00127FC1"/>
    <w:rsid w:val="00144F21"/>
    <w:rsid w:val="00166F8E"/>
    <w:rsid w:val="00172702"/>
    <w:rsid w:val="001D6690"/>
    <w:rsid w:val="001E7592"/>
    <w:rsid w:val="00262739"/>
    <w:rsid w:val="00291F0F"/>
    <w:rsid w:val="003B0C75"/>
    <w:rsid w:val="003B2AE4"/>
    <w:rsid w:val="003B7344"/>
    <w:rsid w:val="003D49BF"/>
    <w:rsid w:val="003E1F40"/>
    <w:rsid w:val="003F4369"/>
    <w:rsid w:val="00435C49"/>
    <w:rsid w:val="00437D5A"/>
    <w:rsid w:val="00451312"/>
    <w:rsid w:val="0046610B"/>
    <w:rsid w:val="0047055A"/>
    <w:rsid w:val="00477F31"/>
    <w:rsid w:val="004A157A"/>
    <w:rsid w:val="004B641A"/>
    <w:rsid w:val="00504B4D"/>
    <w:rsid w:val="00516848"/>
    <w:rsid w:val="0052532F"/>
    <w:rsid w:val="00564860"/>
    <w:rsid w:val="00677AF3"/>
    <w:rsid w:val="0069271F"/>
    <w:rsid w:val="00695E83"/>
    <w:rsid w:val="006E45E4"/>
    <w:rsid w:val="00757F59"/>
    <w:rsid w:val="00763000"/>
    <w:rsid w:val="008316C7"/>
    <w:rsid w:val="008E658B"/>
    <w:rsid w:val="00970704"/>
    <w:rsid w:val="00A2454F"/>
    <w:rsid w:val="00A62462"/>
    <w:rsid w:val="00A741ED"/>
    <w:rsid w:val="00A90D7E"/>
    <w:rsid w:val="00AA1751"/>
    <w:rsid w:val="00AF4358"/>
    <w:rsid w:val="00B35248"/>
    <w:rsid w:val="00BB6EA9"/>
    <w:rsid w:val="00BC2B71"/>
    <w:rsid w:val="00C129D9"/>
    <w:rsid w:val="00C50570"/>
    <w:rsid w:val="00CA56EA"/>
    <w:rsid w:val="00DB262C"/>
    <w:rsid w:val="00DE4337"/>
    <w:rsid w:val="00E74125"/>
    <w:rsid w:val="00EB20B3"/>
    <w:rsid w:val="00F458EE"/>
    <w:rsid w:val="00F6761C"/>
    <w:rsid w:val="00F71D4B"/>
    <w:rsid w:val="00F80D17"/>
    <w:rsid w:val="00F90A8C"/>
    <w:rsid w:val="00FA27A6"/>
    <w:rsid w:val="00FE49DE"/>
    <w:rsid w:val="019D7E34"/>
    <w:rsid w:val="022F303B"/>
    <w:rsid w:val="047F71B0"/>
    <w:rsid w:val="065D5527"/>
    <w:rsid w:val="0A560A40"/>
    <w:rsid w:val="0CF42FA2"/>
    <w:rsid w:val="101A55F0"/>
    <w:rsid w:val="115C6A77"/>
    <w:rsid w:val="12F55722"/>
    <w:rsid w:val="14442001"/>
    <w:rsid w:val="151F62A1"/>
    <w:rsid w:val="183A6D72"/>
    <w:rsid w:val="18CB2738"/>
    <w:rsid w:val="1A165567"/>
    <w:rsid w:val="25956469"/>
    <w:rsid w:val="26BB662D"/>
    <w:rsid w:val="2891360D"/>
    <w:rsid w:val="2AC61E4D"/>
    <w:rsid w:val="2BFB3D26"/>
    <w:rsid w:val="2DD97383"/>
    <w:rsid w:val="2FBE6265"/>
    <w:rsid w:val="343969A2"/>
    <w:rsid w:val="382E6C2E"/>
    <w:rsid w:val="3C7E335B"/>
    <w:rsid w:val="3E682B08"/>
    <w:rsid w:val="3E7404CD"/>
    <w:rsid w:val="42104915"/>
    <w:rsid w:val="437711A8"/>
    <w:rsid w:val="4627234D"/>
    <w:rsid w:val="47C36A0E"/>
    <w:rsid w:val="4A130F71"/>
    <w:rsid w:val="4B7778F3"/>
    <w:rsid w:val="4D0F2744"/>
    <w:rsid w:val="4E9D66F5"/>
    <w:rsid w:val="4EBE15D1"/>
    <w:rsid w:val="4ED44770"/>
    <w:rsid w:val="536873AD"/>
    <w:rsid w:val="59CA7788"/>
    <w:rsid w:val="5AE55038"/>
    <w:rsid w:val="605F5E18"/>
    <w:rsid w:val="627500D5"/>
    <w:rsid w:val="672B0CE6"/>
    <w:rsid w:val="696A459B"/>
    <w:rsid w:val="6E4678CD"/>
    <w:rsid w:val="6FBB4290"/>
    <w:rsid w:val="718443CB"/>
    <w:rsid w:val="71BE59CD"/>
    <w:rsid w:val="73957960"/>
    <w:rsid w:val="73CB7772"/>
    <w:rsid w:val="75E4267A"/>
    <w:rsid w:val="75EB1D15"/>
    <w:rsid w:val="78DE5607"/>
    <w:rsid w:val="7A196B3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qFormat="1" w:unhideWhenUsed="0" w:uiPriority="0" w:semiHidden="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before="260" w:after="260" w:line="415" w:lineRule="auto"/>
      <w:ind w:firstLine="0"/>
      <w:outlineLvl w:val="1"/>
    </w:pPr>
    <w:rPr>
      <w:rFonts w:ascii="Cambria" w:hAnsi="Cambria" w:cs="宋体"/>
      <w:b/>
      <w:bCs/>
      <w:sz w:val="32"/>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4">
    <w:name w:val="toc 7"/>
    <w:basedOn w:val="1"/>
    <w:next w:val="1"/>
    <w:qFormat/>
    <w:uiPriority w:val="0"/>
    <w:pPr>
      <w:spacing w:line="240" w:lineRule="auto"/>
      <w:ind w:left="1260" w:firstLine="0"/>
      <w:jc w:val="left"/>
    </w:pPr>
    <w:rPr>
      <w:rFonts w:ascii="Calibri" w:hAnsi="Calibri" w:cs="Calibri"/>
      <w:sz w:val="18"/>
      <w:szCs w:val="18"/>
    </w:rPr>
  </w:style>
  <w:style w:type="paragraph" w:styleId="5">
    <w:name w:val="annotation text"/>
    <w:basedOn w:val="1"/>
    <w:link w:val="28"/>
    <w:qFormat/>
    <w:uiPriority w:val="99"/>
    <w:pPr>
      <w:jc w:val="left"/>
    </w:pPr>
  </w:style>
  <w:style w:type="paragraph" w:styleId="6">
    <w:name w:val="Body Text"/>
    <w:basedOn w:val="1"/>
    <w:link w:val="61"/>
    <w:semiHidden/>
    <w:unhideWhenUsed/>
    <w:qFormat/>
    <w:uiPriority w:val="0"/>
    <w:pPr>
      <w:keepNext w:val="0"/>
      <w:keepLines w:val="0"/>
      <w:widowControl w:val="0"/>
      <w:suppressLineNumbers w:val="0"/>
      <w:spacing w:before="0" w:beforeAutospacing="0" w:after="120" w:afterAutospacing="0" w:line="60" w:lineRule="auto"/>
      <w:ind w:left="0" w:right="0" w:firstLine="482"/>
      <w:jc w:val="both"/>
    </w:pPr>
    <w:rPr>
      <w:rFonts w:hint="default" w:ascii="Times New Roman" w:hAnsi="Times New Roman" w:eastAsia="宋体" w:cs="Times New Roman"/>
      <w:kern w:val="2"/>
      <w:sz w:val="21"/>
      <w:szCs w:val="24"/>
      <w:lang w:val="en-US" w:eastAsia="zh-CN" w:bidi="ar"/>
    </w:rPr>
  </w:style>
  <w:style w:type="paragraph" w:styleId="7">
    <w:name w:val="Plain Text"/>
    <w:basedOn w:val="1"/>
    <w:link w:val="35"/>
    <w:qFormat/>
    <w:uiPriority w:val="99"/>
    <w:pPr>
      <w:spacing w:line="240" w:lineRule="auto"/>
      <w:ind w:firstLine="0"/>
    </w:pPr>
    <w:rPr>
      <w:rFonts w:ascii="宋体" w:hAnsi="Courier New"/>
      <w:kern w:val="0"/>
      <w:sz w:val="20"/>
      <w:szCs w:val="21"/>
    </w:rPr>
  </w:style>
  <w:style w:type="paragraph" w:styleId="8">
    <w:name w:val="Balloon Text"/>
    <w:basedOn w:val="1"/>
    <w:link w:val="36"/>
    <w:qFormat/>
    <w:uiPriority w:val="0"/>
    <w:pPr>
      <w:spacing w:line="240" w:lineRule="auto"/>
    </w:pPr>
    <w:rPr>
      <w:sz w:val="18"/>
      <w:szCs w:val="18"/>
    </w:rPr>
  </w:style>
  <w:style w:type="paragraph" w:styleId="9">
    <w:name w:val="footer"/>
    <w:basedOn w:val="1"/>
    <w:link w:val="56"/>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99"/>
    <w:pPr>
      <w:widowControl/>
      <w:spacing w:before="100" w:beforeAutospacing="1" w:after="100" w:afterAutospacing="1" w:line="240" w:lineRule="auto"/>
      <w:ind w:firstLine="0"/>
      <w:jc w:val="left"/>
    </w:pPr>
    <w:rPr>
      <w:rFonts w:ascii="宋体" w:hAnsi="宋体" w:cs="宋体"/>
      <w:kern w:val="0"/>
      <w:sz w:val="24"/>
    </w:rPr>
  </w:style>
  <w:style w:type="paragraph" w:styleId="12">
    <w:name w:val="Title"/>
    <w:basedOn w:val="1"/>
    <w:next w:val="1"/>
    <w:link w:val="47"/>
    <w:qFormat/>
    <w:uiPriority w:val="0"/>
    <w:pPr>
      <w:spacing w:before="240" w:after="60" w:line="240" w:lineRule="auto"/>
      <w:ind w:firstLine="0"/>
      <w:jc w:val="center"/>
      <w:outlineLvl w:val="0"/>
    </w:pPr>
    <w:rPr>
      <w:rFonts w:ascii="Cambria" w:hAnsi="Cambria"/>
      <w:b/>
      <w:bCs/>
      <w:kern w:val="0"/>
      <w:sz w:val="32"/>
      <w:szCs w:val="32"/>
    </w:rPr>
  </w:style>
  <w:style w:type="paragraph" w:styleId="13">
    <w:name w:val="annotation subject"/>
    <w:basedOn w:val="5"/>
    <w:next w:val="5"/>
    <w:link w:val="29"/>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Emphasis"/>
    <w:basedOn w:val="16"/>
    <w:qFormat/>
    <w:uiPriority w:val="0"/>
    <w:rPr>
      <w:i/>
    </w:rPr>
  </w:style>
  <w:style w:type="character" w:styleId="19">
    <w:name w:val="Hyperlink"/>
    <w:basedOn w:val="16"/>
    <w:qFormat/>
    <w:uiPriority w:val="0"/>
    <w:rPr>
      <w:color w:val="0563C1"/>
      <w:u w:val="single"/>
    </w:rPr>
  </w:style>
  <w:style w:type="character" w:styleId="20">
    <w:name w:val="annotation reference"/>
    <w:basedOn w:val="16"/>
    <w:qFormat/>
    <w:uiPriority w:val="99"/>
    <w:rPr>
      <w:sz w:val="21"/>
      <w:szCs w:val="21"/>
    </w:rPr>
  </w:style>
  <w:style w:type="paragraph" w:customStyle="1" w:styleId="21">
    <w:name w:val="列出段落1"/>
    <w:basedOn w:val="1"/>
    <w:link w:val="31"/>
    <w:qFormat/>
    <w:uiPriority w:val="34"/>
    <w:pPr>
      <w:ind w:firstLine="420" w:firstLineChars="200"/>
    </w:pPr>
  </w:style>
  <w:style w:type="paragraph" w:customStyle="1" w:styleId="22">
    <w:name w:val="pf0"/>
    <w:basedOn w:val="1"/>
    <w:qFormat/>
    <w:uiPriority w:val="0"/>
    <w:pPr>
      <w:widowControl/>
      <w:spacing w:before="100" w:beforeAutospacing="1" w:after="100" w:afterAutospacing="1" w:line="240" w:lineRule="auto"/>
      <w:ind w:firstLine="0"/>
      <w:jc w:val="left"/>
    </w:pPr>
    <w:rPr>
      <w:rFonts w:ascii="宋体" w:hAnsi="宋体" w:cs="宋体"/>
      <w:kern w:val="0"/>
      <w:sz w:val="24"/>
    </w:rPr>
  </w:style>
  <w:style w:type="character" w:customStyle="1" w:styleId="23">
    <w:name w:val="cf01"/>
    <w:basedOn w:val="16"/>
    <w:autoRedefine/>
    <w:qFormat/>
    <w:uiPriority w:val="0"/>
    <w:rPr>
      <w:rFonts w:hint="eastAsia" w:ascii="Microsoft YaHei UI" w:hAnsi="Microsoft YaHei UI" w:eastAsia="Microsoft YaHei UI"/>
      <w:sz w:val="18"/>
      <w:szCs w:val="18"/>
    </w:rPr>
  </w:style>
  <w:style w:type="character" w:customStyle="1" w:styleId="24">
    <w:name w:val="页眉 字符"/>
    <w:basedOn w:val="16"/>
    <w:link w:val="10"/>
    <w:qFormat/>
    <w:uiPriority w:val="0"/>
    <w:rPr>
      <w:kern w:val="2"/>
      <w:sz w:val="18"/>
      <w:szCs w:val="18"/>
    </w:rPr>
  </w:style>
  <w:style w:type="character" w:customStyle="1" w:styleId="25">
    <w:name w:val="font01"/>
    <w:basedOn w:val="16"/>
    <w:qFormat/>
    <w:uiPriority w:val="0"/>
    <w:rPr>
      <w:rFonts w:hint="eastAsia" w:ascii="宋体" w:hAnsi="宋体" w:eastAsia="宋体" w:cs="宋体"/>
      <w:color w:val="000000"/>
      <w:sz w:val="24"/>
      <w:szCs w:val="24"/>
      <w:u w:val="none"/>
    </w:rPr>
  </w:style>
  <w:style w:type="character" w:customStyle="1" w:styleId="26">
    <w:name w:val="font11"/>
    <w:basedOn w:val="16"/>
    <w:qFormat/>
    <w:uiPriority w:val="0"/>
    <w:rPr>
      <w:rFonts w:hint="eastAsia" w:ascii="宋体" w:hAnsi="宋体" w:eastAsia="宋体" w:cs="宋体"/>
      <w:color w:val="000000"/>
      <w:sz w:val="24"/>
      <w:szCs w:val="24"/>
      <w:u w:val="none"/>
      <w:vertAlign w:val="superscript"/>
    </w:rPr>
  </w:style>
  <w:style w:type="paragraph" w:customStyle="1" w:styleId="2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批注文字 字符"/>
    <w:basedOn w:val="16"/>
    <w:link w:val="5"/>
    <w:qFormat/>
    <w:uiPriority w:val="99"/>
    <w:rPr>
      <w:kern w:val="2"/>
      <w:sz w:val="21"/>
      <w:szCs w:val="24"/>
    </w:rPr>
  </w:style>
  <w:style w:type="character" w:customStyle="1" w:styleId="29">
    <w:name w:val="批注主题 字符"/>
    <w:basedOn w:val="28"/>
    <w:link w:val="13"/>
    <w:qFormat/>
    <w:uiPriority w:val="99"/>
    <w:rPr>
      <w:b/>
      <w:bCs/>
      <w:kern w:val="2"/>
      <w:sz w:val="21"/>
      <w:szCs w:val="24"/>
    </w:rPr>
  </w:style>
  <w:style w:type="character" w:customStyle="1" w:styleId="30">
    <w:name w:val="cf11"/>
    <w:basedOn w:val="16"/>
    <w:qFormat/>
    <w:uiPriority w:val="0"/>
    <w:rPr>
      <w:rFonts w:hint="eastAsia" w:ascii="Microsoft YaHei UI" w:hAnsi="Microsoft YaHei UI" w:eastAsia="Microsoft YaHei UI"/>
      <w:sz w:val="18"/>
      <w:szCs w:val="18"/>
    </w:rPr>
  </w:style>
  <w:style w:type="character" w:customStyle="1" w:styleId="31">
    <w:name w:val="列出段落 Char1"/>
    <w:link w:val="21"/>
    <w:qFormat/>
    <w:uiPriority w:val="99"/>
    <w:rPr>
      <w:kern w:val="2"/>
      <w:sz w:val="21"/>
      <w:szCs w:val="24"/>
    </w:rPr>
  </w:style>
  <w:style w:type="character" w:customStyle="1" w:styleId="32">
    <w:name w:val="列出段落 Char"/>
    <w:link w:val="33"/>
    <w:autoRedefine/>
    <w:qFormat/>
    <w:uiPriority w:val="99"/>
    <w:rPr>
      <w:kern w:val="2"/>
      <w:sz w:val="21"/>
      <w:szCs w:val="24"/>
    </w:rPr>
  </w:style>
  <w:style w:type="paragraph" w:customStyle="1" w:styleId="33">
    <w:name w:val="_Style 27"/>
    <w:basedOn w:val="1"/>
    <w:next w:val="21"/>
    <w:link w:val="32"/>
    <w:autoRedefine/>
    <w:qFormat/>
    <w:uiPriority w:val="34"/>
    <w:pPr>
      <w:spacing w:line="240" w:lineRule="auto"/>
      <w:ind w:firstLine="420" w:firstLineChars="200"/>
    </w:pPr>
  </w:style>
  <w:style w:type="character" w:customStyle="1" w:styleId="34">
    <w:name w:val="未处理的提及1"/>
    <w:basedOn w:val="16"/>
    <w:autoRedefine/>
    <w:qFormat/>
    <w:uiPriority w:val="99"/>
    <w:rPr>
      <w:color w:val="605E5C"/>
      <w:shd w:val="clear" w:color="auto" w:fill="E1DFDD"/>
    </w:rPr>
  </w:style>
  <w:style w:type="character" w:customStyle="1" w:styleId="35">
    <w:name w:val="纯文本 字符"/>
    <w:basedOn w:val="16"/>
    <w:link w:val="7"/>
    <w:autoRedefine/>
    <w:qFormat/>
    <w:uiPriority w:val="99"/>
    <w:rPr>
      <w:rFonts w:ascii="宋体" w:hAnsi="Courier New"/>
      <w:szCs w:val="21"/>
    </w:rPr>
  </w:style>
  <w:style w:type="character" w:customStyle="1" w:styleId="36">
    <w:name w:val="批注框文本 字符"/>
    <w:basedOn w:val="16"/>
    <w:link w:val="8"/>
    <w:autoRedefine/>
    <w:qFormat/>
    <w:uiPriority w:val="0"/>
    <w:rPr>
      <w:kern w:val="2"/>
      <w:sz w:val="18"/>
      <w:szCs w:val="18"/>
    </w:rPr>
  </w:style>
  <w:style w:type="paragraph" w:customStyle="1" w:styleId="37">
    <w:name w:val="列表段落1"/>
    <w:basedOn w:val="1"/>
    <w:autoRedefine/>
    <w:qFormat/>
    <w:uiPriority w:val="0"/>
    <w:pPr>
      <w:spacing w:line="240" w:lineRule="auto"/>
      <w:ind w:firstLine="420" w:firstLineChars="200"/>
    </w:pPr>
    <w:rPr>
      <w:rFonts w:ascii="Calibri" w:hAnsi="Calibri"/>
    </w:rPr>
  </w:style>
  <w:style w:type="character" w:customStyle="1" w:styleId="38">
    <w:name w:val="列表段落 字符2"/>
    <w:autoRedefine/>
    <w:qFormat/>
    <w:uiPriority w:val="99"/>
  </w:style>
  <w:style w:type="table" w:customStyle="1" w:styleId="39">
    <w:name w:val="网格型1"/>
    <w:basedOn w:val="1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_Style 36"/>
    <w:basedOn w:val="1"/>
    <w:next w:val="21"/>
    <w:autoRedefine/>
    <w:qFormat/>
    <w:uiPriority w:val="34"/>
    <w:pPr>
      <w:spacing w:line="240" w:lineRule="auto"/>
      <w:ind w:firstLine="420" w:firstLineChars="200"/>
    </w:pPr>
  </w:style>
  <w:style w:type="character" w:customStyle="1" w:styleId="41">
    <w:name w:val="font61"/>
    <w:basedOn w:val="16"/>
    <w:autoRedefine/>
    <w:qFormat/>
    <w:uiPriority w:val="0"/>
    <w:rPr>
      <w:rFonts w:hint="eastAsia" w:ascii="宋体" w:hAnsi="宋体" w:eastAsia="宋体" w:cs="宋体"/>
      <w:color w:val="000000"/>
      <w:sz w:val="20"/>
      <w:szCs w:val="20"/>
      <w:u w:val="none"/>
    </w:rPr>
  </w:style>
  <w:style w:type="character" w:customStyle="1" w:styleId="42">
    <w:name w:val="纯文本 Char1"/>
    <w:autoRedefine/>
    <w:qFormat/>
    <w:uiPriority w:val="0"/>
    <w:rPr>
      <w:rFonts w:ascii="宋体" w:hAnsi="Courier New" w:eastAsia="宋体" w:cs="Courier New"/>
      <w:szCs w:val="21"/>
    </w:rPr>
  </w:style>
  <w:style w:type="paragraph" w:customStyle="1" w:styleId="43">
    <w:name w:val="_Style 41"/>
    <w:basedOn w:val="1"/>
    <w:next w:val="1"/>
    <w:autoRedefine/>
    <w:qFormat/>
    <w:uiPriority w:val="34"/>
    <w:pPr>
      <w:spacing w:line="240" w:lineRule="auto"/>
      <w:ind w:firstLine="420" w:firstLineChars="200"/>
    </w:pPr>
    <w:rPr>
      <w:rFonts w:ascii="Calibri" w:hAnsi="Calibri" w:eastAsiaTheme="minorEastAsia" w:cstheme="minorBidi"/>
      <w:szCs w:val="22"/>
    </w:rPr>
  </w:style>
  <w:style w:type="paragraph" w:customStyle="1" w:styleId="44">
    <w:name w:val="列出段落11"/>
    <w:basedOn w:val="1"/>
    <w:autoRedefine/>
    <w:qFormat/>
    <w:uiPriority w:val="34"/>
    <w:pPr>
      <w:widowControl/>
      <w:snapToGrid w:val="0"/>
      <w:spacing w:after="200" w:line="240" w:lineRule="auto"/>
      <w:ind w:firstLine="420" w:firstLineChars="200"/>
    </w:pPr>
    <w:rPr>
      <w:rFonts w:ascii="Tahoma" w:hAnsi="Tahoma" w:eastAsia="微软雅黑"/>
      <w:sz w:val="22"/>
      <w:szCs w:val="22"/>
    </w:rPr>
  </w:style>
  <w:style w:type="paragraph" w:customStyle="1" w:styleId="45">
    <w:name w:val="表格文字"/>
    <w:basedOn w:val="1"/>
    <w:next w:val="1"/>
    <w:autoRedefine/>
    <w:qFormat/>
    <w:uiPriority w:val="0"/>
    <w:pPr>
      <w:adjustRightInd w:val="0"/>
      <w:spacing w:before="25" w:after="25" w:line="360" w:lineRule="atLeast"/>
      <w:ind w:firstLine="0"/>
      <w:jc w:val="left"/>
      <w:textAlignment w:val="baseline"/>
    </w:pPr>
    <w:rPr>
      <w:bCs/>
      <w:spacing w:val="10"/>
      <w:kern w:val="0"/>
      <w:sz w:val="24"/>
      <w:szCs w:val="20"/>
    </w:rPr>
  </w:style>
  <w:style w:type="paragraph" w:customStyle="1" w:styleId="4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标题 字符"/>
    <w:basedOn w:val="16"/>
    <w:link w:val="12"/>
    <w:autoRedefine/>
    <w:qFormat/>
    <w:uiPriority w:val="0"/>
    <w:rPr>
      <w:rFonts w:ascii="Cambria" w:hAnsi="Cambria"/>
      <w:b/>
      <w:bCs/>
      <w:sz w:val="32"/>
      <w:szCs w:val="32"/>
    </w:rPr>
  </w:style>
  <w:style w:type="paragraph" w:customStyle="1" w:styleId="48">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9">
    <w:name w:val="纯文本 字符1"/>
    <w:autoRedefine/>
    <w:qFormat/>
    <w:uiPriority w:val="99"/>
    <w:rPr>
      <w:rFonts w:ascii="宋体" w:hAnsi="Courier New" w:eastAsia="宋体" w:cs="Times New Roman"/>
      <w:kern w:val="0"/>
      <w:sz w:val="20"/>
      <w:szCs w:val="21"/>
    </w:rPr>
  </w:style>
  <w:style w:type="paragraph" w:customStyle="1" w:styleId="50">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red1"/>
    <w:autoRedefine/>
    <w:qFormat/>
    <w:uiPriority w:val="0"/>
    <w:rPr>
      <w:color w:val="FF0000"/>
    </w:rPr>
  </w:style>
  <w:style w:type="paragraph" w:styleId="53">
    <w:name w:val="List Paragraph"/>
    <w:basedOn w:val="1"/>
    <w:autoRedefine/>
    <w:qFormat/>
    <w:uiPriority w:val="99"/>
    <w:pPr>
      <w:ind w:firstLine="420" w:firstLineChars="200"/>
    </w:pPr>
    <w:rPr>
      <w:lang w:val="zh-CN"/>
    </w:rPr>
  </w:style>
  <w:style w:type="paragraph" w:customStyle="1" w:styleId="54">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_Style 121"/>
    <w:basedOn w:val="1"/>
    <w:next w:val="53"/>
    <w:autoRedefine/>
    <w:qFormat/>
    <w:uiPriority w:val="34"/>
    <w:pPr>
      <w:spacing w:line="240" w:lineRule="auto"/>
      <w:ind w:firstLine="420" w:firstLineChars="200"/>
    </w:pPr>
    <w:rPr>
      <w:rFonts w:ascii="Calibri" w:hAnsi="Calibri"/>
      <w:szCs w:val="22"/>
    </w:rPr>
  </w:style>
  <w:style w:type="character" w:customStyle="1" w:styleId="56">
    <w:name w:val="页脚 字符"/>
    <w:basedOn w:val="16"/>
    <w:link w:val="9"/>
    <w:autoRedefine/>
    <w:qFormat/>
    <w:uiPriority w:val="99"/>
    <w:rPr>
      <w:kern w:val="2"/>
      <w:sz w:val="18"/>
      <w:szCs w:val="18"/>
    </w:rPr>
  </w:style>
  <w:style w:type="paragraph" w:customStyle="1" w:styleId="57">
    <w:name w:val="列出段落"/>
    <w:basedOn w:val="1"/>
    <w:autoRedefine/>
    <w:qFormat/>
    <w:uiPriority w:val="0"/>
    <w:pPr>
      <w:ind w:firstLine="420" w:firstLineChars="200"/>
    </w:pPr>
    <w:rPr>
      <w:szCs w:val="21"/>
    </w:rPr>
  </w:style>
  <w:style w:type="character" w:customStyle="1" w:styleId="58">
    <w:name w:val="font21"/>
    <w:basedOn w:val="16"/>
    <w:autoRedefine/>
    <w:qFormat/>
    <w:uiPriority w:val="0"/>
    <w:rPr>
      <w:rFonts w:ascii="Arial" w:hAnsi="Arial" w:cs="Arial"/>
      <w:color w:val="000000"/>
      <w:sz w:val="18"/>
      <w:szCs w:val="18"/>
      <w:u w:val="none"/>
    </w:rPr>
  </w:style>
  <w:style w:type="paragraph" w:customStyle="1" w:styleId="59">
    <w:name w:val="List Paragraph1"/>
    <w:basedOn w:val="1"/>
    <w:autoRedefine/>
    <w:qFormat/>
    <w:uiPriority w:val="0"/>
    <w:pPr>
      <w:spacing w:line="240" w:lineRule="auto"/>
      <w:ind w:firstLine="420" w:firstLineChars="200"/>
    </w:pPr>
    <w:rPr>
      <w:rFonts w:ascii="Calibri" w:hAnsi="Calibri"/>
      <w:szCs w:val="21"/>
    </w:rPr>
  </w:style>
  <w:style w:type="character" w:customStyle="1" w:styleId="60">
    <w:name w:val="15"/>
    <w:basedOn w:val="16"/>
    <w:autoRedefine/>
    <w:qFormat/>
    <w:uiPriority w:val="0"/>
    <w:rPr>
      <w:rFonts w:hint="default" w:ascii="Times New Roman" w:hAnsi="Times New Roman" w:cs="Times New Roman"/>
      <w:b/>
      <w:bCs/>
    </w:rPr>
  </w:style>
  <w:style w:type="character" w:customStyle="1" w:styleId="61">
    <w:name w:val="正文文本 字符"/>
    <w:basedOn w:val="16"/>
    <w:link w:val="6"/>
    <w:autoRedefine/>
    <w:qFormat/>
    <w:uiPriority w:val="0"/>
    <w:rPr>
      <w:kern w:val="2"/>
      <w:sz w:val="21"/>
      <w:szCs w:val="24"/>
    </w:rPr>
  </w:style>
  <w:style w:type="paragraph" w:customStyle="1" w:styleId="62">
    <w:name w:val="msolistparagraph"/>
    <w:basedOn w:val="1"/>
    <w:autoRedefine/>
    <w:qFormat/>
    <w:uiPriority w:val="0"/>
    <w:pPr>
      <w:keepNext w:val="0"/>
      <w:keepLines w:val="0"/>
      <w:widowControl w:val="0"/>
      <w:suppressLineNumbers w:val="0"/>
      <w:spacing w:before="0" w:beforeAutospacing="0" w:after="0" w:afterAutospacing="0" w:line="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63">
    <w:name w:val="列表段落 字符"/>
    <w:basedOn w:val="16"/>
    <w:autoRedefine/>
    <w:qFormat/>
    <w:uiPriority w:val="0"/>
    <w:rPr>
      <w:kern w:val="2"/>
      <w:sz w:val="21"/>
      <w:szCs w:val="24"/>
    </w:rPr>
  </w:style>
  <w:style w:type="character" w:customStyle="1" w:styleId="64">
    <w:name w:val="font71"/>
    <w:basedOn w:val="16"/>
    <w:autoRedefine/>
    <w:qFormat/>
    <w:uiPriority w:val="0"/>
    <w:rPr>
      <w:rFonts w:hint="eastAsia" w:ascii="宋体" w:hAnsi="宋体" w:eastAsia="宋体" w:cs="宋体"/>
      <w:b/>
      <w:bCs/>
      <w:color w:val="FF0000"/>
      <w:sz w:val="16"/>
      <w:szCs w:val="16"/>
      <w:u w:val="none"/>
    </w:rPr>
  </w:style>
  <w:style w:type="character" w:customStyle="1" w:styleId="65">
    <w:name w:val="font81"/>
    <w:basedOn w:val="16"/>
    <w:autoRedefine/>
    <w:qFormat/>
    <w:uiPriority w:val="0"/>
    <w:rPr>
      <w:rFonts w:hint="eastAsia" w:ascii="宋体" w:hAnsi="宋体" w:eastAsia="宋体" w:cs="宋体"/>
      <w:color w:val="FF0000"/>
      <w:sz w:val="16"/>
      <w:szCs w:val="16"/>
      <w:u w:val="none"/>
    </w:rPr>
  </w:style>
  <w:style w:type="character" w:customStyle="1" w:styleId="66">
    <w:name w:val="font91"/>
    <w:basedOn w:val="16"/>
    <w:autoRedefine/>
    <w:qFormat/>
    <w:uiPriority w:val="0"/>
    <w:rPr>
      <w:rFonts w:hint="eastAsia" w:ascii="宋体" w:hAnsi="宋体" w:eastAsia="宋体" w:cs="宋体"/>
      <w:color w:val="FF0000"/>
      <w:sz w:val="16"/>
      <w:szCs w:val="16"/>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18CE-FD7F-41CC-A30B-FDA417FFA325}">
  <ds:schemaRefs/>
</ds:datastoreItem>
</file>

<file path=docProps/app.xml><?xml version="1.0" encoding="utf-8"?>
<Properties xmlns="http://schemas.openxmlformats.org/officeDocument/2006/extended-properties" xmlns:vt="http://schemas.openxmlformats.org/officeDocument/2006/docPropsVTypes">
  <Template>Normal.dotm</Template>
  <Company>四会监狱</Company>
  <Pages>26</Pages>
  <Words>1356</Words>
  <Characters>7734</Characters>
  <Lines>64</Lines>
  <Paragraphs>18</Paragraphs>
  <TotalTime>2</TotalTime>
  <ScaleCrop>false</ScaleCrop>
  <LinksUpToDate>false</LinksUpToDate>
  <CharactersWithSpaces>9072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2022-03-10T03:21:00Z</dcterms:created>
  <dc:creator>罗金城</dc:creator>
  <cp:lastModifiedBy>代理机构</cp:lastModifiedBy>
  <dcterms:modified xsi:type="dcterms:W3CDTF">2024-04-25T00:51:33Z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1DDB4D6C7BE24413B6D9568BD223A292_13</vt:lpwstr>
  </property>
</Properties>
</file>