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D3202">
      <w:pPr>
        <w:pStyle w:val="46"/>
        <w:snapToGrid w:val="0"/>
        <w:spacing w:beforeLines="50"/>
        <w:jc w:val="center"/>
        <w:rPr>
          <w:rFonts w:ascii="宋体" w:hAnsi="宋体" w:cs="Calibri"/>
          <w:b/>
          <w:color w:val="000000" w:themeColor="text1"/>
          <w:sz w:val="84"/>
          <w:szCs w:val="84"/>
          <w14:textFill>
            <w14:solidFill>
              <w14:schemeClr w14:val="tx1"/>
            </w14:solidFill>
          </w14:textFill>
        </w:rPr>
      </w:pPr>
    </w:p>
    <w:p w14:paraId="598420B9">
      <w:pPr>
        <w:pStyle w:val="46"/>
        <w:snapToGrid w:val="0"/>
        <w:spacing w:beforeLines="50"/>
        <w:jc w:val="center"/>
        <w:rPr>
          <w:rFonts w:ascii="宋体" w:hAnsi="宋体" w:cs="Calibri"/>
          <w:b/>
          <w:color w:val="000000" w:themeColor="text1"/>
          <w:sz w:val="84"/>
          <w:szCs w:val="84"/>
          <w14:textFill>
            <w14:solidFill>
              <w14:schemeClr w14:val="tx1"/>
            </w14:solidFill>
          </w14:textFill>
        </w:rPr>
      </w:pPr>
    </w:p>
    <w:p w14:paraId="23510259">
      <w:pPr>
        <w:pStyle w:val="46"/>
        <w:snapToGrid w:val="0"/>
        <w:spacing w:beforeLines="50"/>
        <w:jc w:val="center"/>
        <w:rPr>
          <w:rFonts w:ascii="宋体" w:hAnsi="宋体"/>
          <w:b/>
          <w:bCs/>
          <w:color w:val="000000" w:themeColor="text1"/>
          <w:sz w:val="84"/>
          <w:szCs w:val="84"/>
          <w14:textFill>
            <w14:solidFill>
              <w14:schemeClr w14:val="tx1"/>
            </w14:solidFill>
          </w14:textFill>
        </w:rPr>
      </w:pPr>
      <w:r>
        <w:rPr>
          <w:rFonts w:hint="eastAsia" w:ascii="宋体" w:hAnsi="宋体" w:cs="Calibri"/>
          <w:b/>
          <w:color w:val="000000" w:themeColor="text1"/>
          <w:sz w:val="84"/>
          <w:szCs w:val="84"/>
          <w14:textFill>
            <w14:solidFill>
              <w14:schemeClr w14:val="tx1"/>
            </w14:solidFill>
          </w14:textFill>
        </w:rPr>
        <w:t>竞价文件</w:t>
      </w:r>
    </w:p>
    <w:p w14:paraId="56F59489">
      <w:pPr>
        <w:pStyle w:val="46"/>
        <w:spacing w:line="360" w:lineRule="auto"/>
        <w:jc w:val="center"/>
        <w:rPr>
          <w:rFonts w:ascii="宋体" w:hAnsi="宋体" w:cs="Calibri"/>
          <w:b/>
          <w:bCs/>
          <w:color w:val="000000" w:themeColor="text1"/>
          <w:sz w:val="24"/>
          <w14:textFill>
            <w14:solidFill>
              <w14:schemeClr w14:val="tx1"/>
            </w14:solidFill>
          </w14:textFill>
        </w:rPr>
      </w:pPr>
    </w:p>
    <w:p w14:paraId="51816432">
      <w:pPr>
        <w:pStyle w:val="46"/>
        <w:spacing w:line="360" w:lineRule="auto"/>
        <w:rPr>
          <w:rFonts w:ascii="宋体" w:hAnsi="宋体" w:cs="Calibri"/>
          <w:color w:val="000000" w:themeColor="text1"/>
          <w:sz w:val="30"/>
          <w:szCs w:val="30"/>
          <w14:textFill>
            <w14:solidFill>
              <w14:schemeClr w14:val="tx1"/>
            </w14:solidFill>
          </w14:textFill>
        </w:rPr>
      </w:pPr>
    </w:p>
    <w:p w14:paraId="72176133">
      <w:pPr>
        <w:pStyle w:val="46"/>
        <w:spacing w:line="360" w:lineRule="auto"/>
        <w:rPr>
          <w:rFonts w:ascii="宋体" w:hAnsi="宋体" w:cs="Calibri"/>
          <w:color w:val="000000" w:themeColor="text1"/>
          <w:sz w:val="30"/>
          <w:szCs w:val="30"/>
          <w14:textFill>
            <w14:solidFill>
              <w14:schemeClr w14:val="tx1"/>
            </w14:solidFill>
          </w14:textFill>
        </w:rPr>
      </w:pPr>
    </w:p>
    <w:p w14:paraId="69B070C5">
      <w:pPr>
        <w:pStyle w:val="46"/>
        <w:spacing w:line="360" w:lineRule="auto"/>
        <w:rPr>
          <w:rFonts w:ascii="宋体" w:hAnsi="宋体" w:cs="Calibri"/>
          <w:color w:val="000000" w:themeColor="text1"/>
          <w:sz w:val="30"/>
          <w:szCs w:val="30"/>
          <w14:textFill>
            <w14:solidFill>
              <w14:schemeClr w14:val="tx1"/>
            </w14:solidFill>
          </w14:textFill>
        </w:rPr>
      </w:pPr>
    </w:p>
    <w:p w14:paraId="492430E4">
      <w:pPr>
        <w:pStyle w:val="46"/>
        <w:spacing w:line="360" w:lineRule="auto"/>
        <w:rPr>
          <w:rFonts w:ascii="宋体" w:hAnsi="宋体" w:cs="Calibri"/>
          <w:color w:val="000000" w:themeColor="text1"/>
          <w:sz w:val="30"/>
          <w:szCs w:val="30"/>
          <w14:textFill>
            <w14:solidFill>
              <w14:schemeClr w14:val="tx1"/>
            </w14:solidFill>
          </w14:textFill>
        </w:rPr>
      </w:pPr>
    </w:p>
    <w:p w14:paraId="7B783512">
      <w:pPr>
        <w:pStyle w:val="46"/>
        <w:spacing w:line="360" w:lineRule="auto"/>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采购方式：线上竞价</w:t>
      </w:r>
    </w:p>
    <w:p w14:paraId="4B04F6AD">
      <w:pPr>
        <w:widowControl/>
        <w:jc w:val="left"/>
        <w:rPr>
          <w:rFonts w:ascii="宋体" w:hAnsi="宋体" w:cs="Calibri"/>
          <w:b/>
          <w:bCs/>
          <w:color w:val="000000" w:themeColor="text1"/>
          <w:w w:val="98"/>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项目名称：</w:t>
      </w:r>
      <w:bookmarkStart w:id="0" w:name="_Hlk48529998"/>
      <w:r>
        <w:rPr>
          <w:rFonts w:hint="eastAsia" w:ascii="宋体" w:hAnsi="宋体" w:cs="Calibri"/>
          <w:b/>
          <w:bCs/>
          <w:color w:val="000000" w:themeColor="text1"/>
          <w:w w:val="98"/>
          <w:sz w:val="28"/>
          <w:szCs w:val="32"/>
          <w:lang w:eastAsia="zh-CN"/>
          <w14:textFill>
            <w14:solidFill>
              <w14:schemeClr w14:val="tx1"/>
            </w14:solidFill>
          </w14:textFill>
        </w:rPr>
        <w:t>2024年佛山市顺德区内阻仪及红外热成像仪购置项目</w:t>
      </w:r>
    </w:p>
    <w:p w14:paraId="7C3EB780">
      <w:pPr>
        <w:pStyle w:val="46"/>
        <w:tabs>
          <w:tab w:val="left" w:pos="2790"/>
        </w:tabs>
        <w:spacing w:line="360" w:lineRule="auto"/>
        <w:ind w:left="1405" w:hanging="1405" w:hangingChars="500"/>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项目编号：</w:t>
      </w:r>
      <w:bookmarkEnd w:id="0"/>
      <w:r>
        <w:rPr>
          <w:rFonts w:ascii="宋体" w:hAnsi="宋体" w:cs="Calibri"/>
          <w:b/>
          <w:bCs/>
          <w:color w:val="000000" w:themeColor="text1"/>
          <w:sz w:val="28"/>
          <w:szCs w:val="32"/>
          <w14:textFill>
            <w14:solidFill>
              <w14:schemeClr w14:val="tx1"/>
            </w14:solidFill>
          </w14:textFill>
        </w:rPr>
        <w:t>SDWW202409P271</w:t>
      </w:r>
    </w:p>
    <w:p w14:paraId="28B35B42">
      <w:pPr>
        <w:pStyle w:val="46"/>
        <w:tabs>
          <w:tab w:val="left" w:pos="2790"/>
        </w:tabs>
        <w:spacing w:line="360" w:lineRule="auto"/>
        <w:ind w:left="1500" w:hanging="1500" w:hangingChars="500"/>
        <w:jc w:val="left"/>
        <w:rPr>
          <w:rFonts w:ascii="宋体" w:hAnsi="宋体" w:cs="华文中宋"/>
          <w:color w:val="000000" w:themeColor="text1"/>
          <w:sz w:val="30"/>
          <w:szCs w:val="30"/>
          <w14:textFill>
            <w14:solidFill>
              <w14:schemeClr w14:val="tx1"/>
            </w14:solidFill>
          </w14:textFill>
        </w:rPr>
      </w:pPr>
    </w:p>
    <w:p w14:paraId="306CD109">
      <w:pPr>
        <w:pStyle w:val="46"/>
        <w:autoSpaceDE w:val="0"/>
        <w:autoSpaceDN w:val="0"/>
        <w:adjustRightInd w:val="0"/>
        <w:snapToGrid w:val="0"/>
        <w:spacing w:beforeLines="50" w:afterLines="50" w:line="360" w:lineRule="auto"/>
        <w:jc w:val="left"/>
        <w:rPr>
          <w:rFonts w:ascii="宋体" w:hAnsi="宋体" w:cs="华文中宋"/>
          <w:color w:val="000000" w:themeColor="text1"/>
          <w:kern w:val="0"/>
          <w:sz w:val="30"/>
          <w:szCs w:val="30"/>
          <w14:textFill>
            <w14:solidFill>
              <w14:schemeClr w14:val="tx1"/>
            </w14:solidFill>
          </w14:textFill>
        </w:rPr>
      </w:pPr>
    </w:p>
    <w:p w14:paraId="6C0D9D74">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广东省广播电视网络股份有限公司佛山顺德分公司</w:t>
      </w:r>
    </w:p>
    <w:p w14:paraId="5D3030A3">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采联国际招标采购集团有限公司</w:t>
      </w:r>
    </w:p>
    <w:p w14:paraId="758F0348">
      <w:pPr>
        <w:pStyle w:val="46"/>
        <w:autoSpaceDE w:val="0"/>
        <w:autoSpaceDN w:val="0"/>
        <w:adjustRightInd w:val="0"/>
        <w:snapToGrid w:val="0"/>
        <w:spacing w:line="360" w:lineRule="auto"/>
        <w:ind w:left="420" w:firstLine="420"/>
        <w:jc w:val="center"/>
        <w:rPr>
          <w:rFonts w:ascii="宋体" w:hAnsi="宋体" w:cs="Calibri"/>
          <w:b/>
          <w:color w:val="000000" w:themeColor="text1"/>
          <w:sz w:val="28"/>
          <w:szCs w:val="22"/>
          <w14:textFill>
            <w14:solidFill>
              <w14:schemeClr w14:val="tx1"/>
            </w14:solidFill>
          </w14:textFill>
        </w:rPr>
      </w:pPr>
      <w:r>
        <w:rPr>
          <w:rFonts w:hint="eastAsia" w:ascii="宋体" w:hAnsi="宋体" w:cs="Calibri"/>
          <w:b/>
          <w:color w:val="000000" w:themeColor="text1"/>
          <w:sz w:val="28"/>
          <w:szCs w:val="21"/>
          <w14:textFill>
            <w14:solidFill>
              <w14:schemeClr w14:val="tx1"/>
            </w14:solidFill>
          </w14:textFill>
        </w:rPr>
        <w:t>二零二四年</w:t>
      </w:r>
      <w:r>
        <w:rPr>
          <w:rFonts w:hint="eastAsia" w:ascii="宋体" w:hAnsi="宋体" w:cs="Calibri"/>
          <w:b/>
          <w:color w:val="000000" w:themeColor="text1"/>
          <w:sz w:val="28"/>
          <w:szCs w:val="21"/>
          <w:lang w:val="en-US" w:eastAsia="zh-CN"/>
          <w14:textFill>
            <w14:solidFill>
              <w14:schemeClr w14:val="tx1"/>
            </w14:solidFill>
          </w14:textFill>
        </w:rPr>
        <w:t>十</w:t>
      </w:r>
      <w:r>
        <w:rPr>
          <w:rFonts w:hint="eastAsia" w:ascii="宋体" w:hAnsi="宋体" w:cs="Calibri"/>
          <w:b/>
          <w:color w:val="000000" w:themeColor="text1"/>
          <w:sz w:val="28"/>
          <w:szCs w:val="21"/>
          <w14:textFill>
            <w14:solidFill>
              <w14:schemeClr w14:val="tx1"/>
            </w14:solidFill>
          </w14:textFill>
        </w:rPr>
        <w:t>月</w:t>
      </w:r>
    </w:p>
    <w:p w14:paraId="720F7DF5">
      <w:pPr>
        <w:pStyle w:val="46"/>
        <w:autoSpaceDE w:val="0"/>
        <w:autoSpaceDN w:val="0"/>
        <w:adjustRightInd w:val="0"/>
        <w:snapToGrid w:val="0"/>
        <w:spacing w:line="360" w:lineRule="auto"/>
        <w:ind w:left="420" w:firstLine="420"/>
        <w:jc w:val="center"/>
        <w:rPr>
          <w:rFonts w:ascii="宋体" w:hAnsi="宋体" w:cs="Calibri"/>
          <w:color w:val="000000" w:themeColor="text1"/>
          <w:sz w:val="28"/>
          <w:szCs w:val="21"/>
          <w14:textFill>
            <w14:solidFill>
              <w14:schemeClr w14:val="tx1"/>
            </w14:solidFill>
          </w14:textFill>
        </w:rPr>
      </w:pPr>
    </w:p>
    <w:p w14:paraId="5B6A82C6">
      <w:pPr>
        <w:jc w:val="center"/>
        <w:outlineLvl w:val="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第一章</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竞价须知</w:t>
      </w:r>
    </w:p>
    <w:p w14:paraId="79B68EFF">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14:paraId="49279FE2">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语言要求</w:t>
      </w:r>
    </w:p>
    <w:p w14:paraId="2536FA18">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307C067">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在云采链平台参与项目竞价后放弃成交资格超过三次（含三次）的供应商连同该供应商同一法人名下所有公司将被列入平台黑名单，永久不得参与平台的项目竞价。  </w:t>
      </w:r>
    </w:p>
    <w:p w14:paraId="36C128F6">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竞价须知</w:t>
      </w:r>
    </w:p>
    <w:p w14:paraId="1DFCDFAC">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竞价说明</w:t>
      </w:r>
    </w:p>
    <w:p w14:paraId="73767897">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14:paraId="1BC32A83">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参与竞价的供应商必须按竞价附件的格式填写，不得增加或删除表格内容。除单价、金额或项目要求填写的内容外，不得擅自改动竞价附件内容，否则将有可能影响成交结果，不推荐为成交候选人。</w:t>
      </w:r>
    </w:p>
    <w:p w14:paraId="3B56A537">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14:paraId="6ABE1E37">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14:paraId="3E223423">
      <w:pPr>
        <w:numPr>
          <w:ilvl w:val="0"/>
          <w:numId w:val="3"/>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成交供应商因自身原因被取消成交资格、因不可抗力不能履行合同、不按照竞价文件要求提交履约保证金，或者被查实存在影响成交结果的违法行为等情形，不符合成交条件的，采购人可以按照排序依次确定其他</w:t>
      </w:r>
      <w:r>
        <w:rPr>
          <w:rFonts w:hint="eastAsia" w:ascii="宋体" w:hAnsi="宋体" w:cs="宋体"/>
          <w:b/>
          <w:bCs/>
          <w:color w:val="000000" w:themeColor="text1"/>
          <w:szCs w:val="21"/>
          <w:lang w:eastAsia="zh-CN"/>
          <w14:textFill>
            <w14:solidFill>
              <w14:schemeClr w14:val="tx1"/>
            </w14:solidFill>
          </w14:textFill>
        </w:rPr>
        <w:t>竞</w:t>
      </w:r>
      <w:r>
        <w:rPr>
          <w:rFonts w:hint="eastAsia" w:ascii="宋体" w:hAnsi="宋体" w:cs="宋体"/>
          <w:b/>
          <w:bCs/>
          <w:color w:val="000000" w:themeColor="text1"/>
          <w:szCs w:val="21"/>
          <w14:textFill>
            <w14:solidFill>
              <w14:schemeClr w14:val="tx1"/>
            </w14:solidFill>
          </w14:textFill>
        </w:rPr>
        <w:t>价人为成交人，也可以重新</w:t>
      </w:r>
      <w:r>
        <w:rPr>
          <w:rFonts w:hint="eastAsia" w:ascii="宋体" w:hAnsi="宋体" w:cs="宋体"/>
          <w:b/>
          <w:bCs/>
          <w:color w:val="000000" w:themeColor="text1"/>
          <w:szCs w:val="21"/>
          <w:lang w:eastAsia="zh-CN"/>
          <w14:textFill>
            <w14:solidFill>
              <w14:schemeClr w14:val="tx1"/>
            </w14:solidFill>
          </w14:textFill>
        </w:rPr>
        <w:t>竞</w:t>
      </w:r>
      <w:r>
        <w:rPr>
          <w:rFonts w:hint="eastAsia" w:ascii="宋体" w:hAnsi="宋体" w:cs="宋体"/>
          <w:b/>
          <w:bCs/>
          <w:color w:val="000000" w:themeColor="text1"/>
          <w:szCs w:val="21"/>
          <w14:textFill>
            <w14:solidFill>
              <w14:schemeClr w14:val="tx1"/>
            </w14:solidFill>
          </w14:textFill>
        </w:rPr>
        <w:t>价。</w:t>
      </w:r>
    </w:p>
    <w:p w14:paraId="0A7666C0">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若本项目竞价采购失败，采购人将重新采购，届时采购人有权根据项目具体情况，决定重新采购项目的采购方式。</w:t>
      </w:r>
    </w:p>
    <w:p w14:paraId="2F75CF1D">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成交供应商若无正当理由恶意放弃成交资格，采购人将有权拒绝其参加本项目重新组织的竞价采购活动。</w:t>
      </w:r>
    </w:p>
    <w:p w14:paraId="20C9BB7D">
      <w:pPr>
        <w:pStyle w:val="48"/>
        <w:numPr>
          <w:ilvl w:val="0"/>
          <w:numId w:val="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789527B">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cs="宋体"/>
          <w:color w:val="000000" w:themeColor="text1"/>
          <w:szCs w:val="21"/>
          <w14:textFill>
            <w14:solidFill>
              <w14:schemeClr w14:val="tx1"/>
            </w14:solidFill>
          </w14:textFill>
        </w:rPr>
        <w:t>竞价文件</w:t>
      </w:r>
      <w:r>
        <w:rPr>
          <w:rFonts w:hint="eastAsia" w:ascii="宋体" w:hAnsi="宋体" w:cs="宋体"/>
          <w:color w:val="000000" w:themeColor="text1"/>
          <w:szCs w:val="21"/>
          <w:lang w:eastAsia="zh-TW"/>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和竞价公告规定以及</w:t>
      </w:r>
      <w:r>
        <w:rPr>
          <w:rFonts w:hint="eastAsia" w:ascii="宋体" w:hAnsi="宋体" w:cs="宋体"/>
          <w:color w:val="000000" w:themeColor="text1"/>
          <w:szCs w:val="21"/>
          <w:lang w:eastAsia="zh-TW"/>
          <w14:textFill>
            <w14:solidFill>
              <w14:schemeClr w14:val="tx1"/>
            </w14:solidFill>
          </w14:textFill>
        </w:rPr>
        <w:t>本公司</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Cs w:val="21"/>
          <w14:textFill>
            <w14:solidFill>
              <w14:schemeClr w14:val="tx1"/>
            </w14:solidFill>
          </w14:textFill>
        </w:rPr>
        <w:t>。</w:t>
      </w:r>
    </w:p>
    <w:p w14:paraId="2CCA19D5">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参与竞价的供应商应认真阅读</w:t>
      </w:r>
      <w:r>
        <w:rPr>
          <w:rFonts w:hint="eastAsia" w:ascii="宋体" w:hAnsi="宋体" w:cs="宋体"/>
          <w:color w:val="000000" w:themeColor="text1"/>
          <w:szCs w:val="21"/>
          <w:lang w:eastAsia="zh-TW"/>
          <w14:textFill>
            <w14:solidFill>
              <w14:schemeClr w14:val="tx1"/>
            </w14:solidFill>
          </w14:textFill>
        </w:rPr>
        <w:t>、并充分理解</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lang w:eastAsia="zh-TW"/>
          <w14:textFill>
            <w14:solidFill>
              <w14:schemeClr w14:val="tx1"/>
            </w14:solidFill>
          </w14:textFill>
        </w:rPr>
        <w:t>和技术规范、参数及要求等）。</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没有按照</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文件要求提交全部资料，或者</w:t>
      </w:r>
      <w:r>
        <w:rPr>
          <w:rFonts w:hint="eastAsia" w:ascii="宋体" w:hAnsi="宋体" w:cs="宋体"/>
          <w:color w:val="000000" w:themeColor="text1"/>
          <w:szCs w:val="21"/>
          <w14:textFill>
            <w14:solidFill>
              <w14:schemeClr w14:val="tx1"/>
            </w14:solidFill>
          </w14:textFill>
        </w:rPr>
        <w:t>参与竞价所上传的</w:t>
      </w:r>
      <w:r>
        <w:rPr>
          <w:rFonts w:hint="eastAsia" w:ascii="宋体" w:hAnsi="宋体" w:cs="宋体"/>
          <w:color w:val="000000" w:themeColor="text1"/>
          <w:szCs w:val="21"/>
          <w:lang w:eastAsia="zh-TW"/>
          <w14:textFill>
            <w14:solidFill>
              <w14:schemeClr w14:val="tx1"/>
            </w14:solidFill>
          </w14:textFill>
        </w:rPr>
        <w:t>文件没有对</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文件在各方面都作出实质性响应是</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的风险，有可能导致其</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被拒绝，</w:t>
      </w:r>
      <w:r>
        <w:rPr>
          <w:rFonts w:hint="eastAsia" w:ascii="宋体" w:hAnsi="宋体" w:cs="宋体"/>
          <w:color w:val="000000" w:themeColor="text1"/>
          <w:szCs w:val="21"/>
          <w14:textFill>
            <w14:solidFill>
              <w14:schemeClr w14:val="tx1"/>
            </w14:solidFill>
          </w14:textFill>
        </w:rPr>
        <w:t>或被认定为无效竞价。</w:t>
      </w:r>
    </w:p>
    <w:p w14:paraId="098EF7DC">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采购人有权拒绝接受任何不合格的货物或服务，由此产生的费用及相关后果均由成交供应商自行承担；</w:t>
      </w:r>
    </w:p>
    <w:p w14:paraId="63C651A0">
      <w:pPr>
        <w:pStyle w:val="45"/>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2562A3BB">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本竞价公告和竞价文件的解释权归</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云采链线上采购一体化平台</w:t>
      </w:r>
      <w:r>
        <w:rPr>
          <w:rFonts w:hint="eastAsia" w:ascii="宋体" w:hAnsi="宋体" w:cs="宋体"/>
          <w:color w:val="000000" w:themeColor="text1"/>
          <w:szCs w:val="21"/>
          <w:lang w:eastAsia="zh-TW"/>
          <w14:textFill>
            <w14:solidFill>
              <w14:schemeClr w14:val="tx1"/>
            </w14:solidFill>
          </w14:textFill>
        </w:rPr>
        <w:t>”所有。</w:t>
      </w:r>
    </w:p>
    <w:p w14:paraId="45C42109">
      <w:pPr>
        <w:numPr>
          <w:ilvl w:val="0"/>
          <w:numId w:val="2"/>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14:paraId="0F566F40">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03575FAE">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14:paraId="12518AD5">
      <w:pPr>
        <w:numPr>
          <w:ilvl w:val="1"/>
          <w:numId w:val="4"/>
        </w:numPr>
        <w:shd w:val="clear" w:color="auto" w:fill="FFFFFF" w:themeFill="background1"/>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0FCCAFA2">
      <w:pPr>
        <w:numPr>
          <w:ilvl w:val="0"/>
          <w:numId w:val="2"/>
        </w:numPr>
        <w:shd w:val="clear" w:color="auto" w:fill="FFFFFF" w:themeFill="background1"/>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报名要求（</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b/>
          <w:bCs/>
          <w:color w:val="000000" w:themeColor="text1"/>
          <w:szCs w:val="21"/>
          <w14:textFill>
            <w14:solidFill>
              <w14:schemeClr w14:val="tx1"/>
            </w14:solidFill>
          </w14:textFill>
        </w:rPr>
        <w:t>供应商资质要求</w:t>
      </w:r>
      <w:r>
        <w:rPr>
          <w:rFonts w:ascii="宋体" w:hAnsi="宋体" w:cs="宋体"/>
          <w:b/>
          <w:bCs/>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报名时需要提供以下盖章资料</w:t>
      </w:r>
      <w:r>
        <w:rPr>
          <w:rFonts w:hint="eastAsia" w:ascii="宋体" w:hAnsi="宋体" w:cs="宋体"/>
          <w:color w:val="000000" w:themeColor="text1"/>
          <w:szCs w:val="21"/>
          <w14:textFill>
            <w14:solidFill>
              <w14:schemeClr w14:val="tx1"/>
            </w14:solidFill>
          </w14:textFill>
        </w:rPr>
        <w:t>，并对上传的报名文件资料承担责任</w:t>
      </w:r>
      <w:r>
        <w:rPr>
          <w:rFonts w:hint="eastAsia" w:ascii="宋体" w:hAnsi="宋体" w:cs="宋体"/>
          <w:b/>
          <w:bCs/>
          <w:color w:val="000000" w:themeColor="text1"/>
          <w:szCs w:val="21"/>
          <w14:textFill>
            <w14:solidFill>
              <w14:schemeClr w14:val="tx1"/>
            </w14:solidFill>
          </w14:textFill>
        </w:rPr>
        <w:t>）</w:t>
      </w:r>
    </w:p>
    <w:p w14:paraId="69AB7651">
      <w:pPr>
        <w:pStyle w:val="48"/>
        <w:numPr>
          <w:ilvl w:val="0"/>
          <w:numId w:val="5"/>
        </w:numPr>
        <w:shd w:val="clear" w:color="auto" w:fill="FFFFFF" w:themeFill="background1"/>
        <w:spacing w:line="360" w:lineRule="auto"/>
        <w:ind w:firstLineChars="0"/>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w:t>
      </w:r>
      <w:r>
        <w:rPr>
          <w:rFonts w:hint="eastAsia" w:ascii="宋体" w:hAnsi="宋体"/>
          <w:color w:val="000000" w:themeColor="text1"/>
          <w14:textFill>
            <w14:solidFill>
              <w14:schemeClr w14:val="tx1"/>
            </w14:solidFill>
          </w14:textFill>
        </w:rPr>
        <w:t>供应商须具有独立承担民事责任能力的在中华人民共和国境内注册的法人、其他组织或个体工商户，提供有效的营业执照或法人登记证书复印件。如为独立法人设立的分支机构参加投标，报价人需提供独立法人出具的唯一投标授权书，授权书需明确报价人的权限范围，并提交独立法人有效的营业执照或法人登记证书复印件。</w:t>
      </w:r>
    </w:p>
    <w:p w14:paraId="6B1150C7">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供应商完全响应本项目用户需求的条款、内容及要求的，提供用户需求书响应声明函，格式详见附件。</w:t>
      </w:r>
    </w:p>
    <w:p w14:paraId="640B0BDF">
      <w:pPr>
        <w:pStyle w:val="48"/>
        <w:numPr>
          <w:ilvl w:val="0"/>
          <w:numId w:val="5"/>
        </w:numPr>
        <w:spacing w:line="360" w:lineRule="auto"/>
        <w:ind w:firstLineChars="0"/>
        <w:rPr>
          <w:rFonts w:hint="default" w:ascii="宋体" w:hAnsi="宋体"/>
          <w:color w:val="000000" w:themeColor="text1"/>
          <w:lang w:val="en-US"/>
          <w14:textFill>
            <w14:solidFill>
              <w14:schemeClr w14:val="tx1"/>
            </w14:solidFill>
          </w14:textFill>
        </w:rPr>
      </w:pPr>
      <w:r>
        <w:rPr>
          <w:rFonts w:hint="eastAsia" w:ascii="宋体" w:hAnsi="宋体"/>
          <w:color w:val="000000"/>
        </w:rPr>
        <w:t>本</w:t>
      </w:r>
      <w:r>
        <w:rPr>
          <w:rFonts w:hint="eastAsia" w:ascii="宋体" w:hAnsi="宋体" w:cs="宋体"/>
          <w:szCs w:val="21"/>
        </w:rPr>
        <w:t>项目不接受联合体，不得转包、不得分包。</w:t>
      </w:r>
      <w:r>
        <w:rPr>
          <w:rFonts w:hint="eastAsia" w:ascii="宋体" w:hAnsi="宋体"/>
          <w:color w:val="000000"/>
        </w:rPr>
        <w:t>供应商须提供供应商资格声明函，格式详见附件</w:t>
      </w:r>
      <w:r>
        <w:rPr>
          <w:rFonts w:hint="eastAsia" w:ascii="宋体" w:hAnsi="宋体"/>
          <w:color w:val="000000"/>
          <w:lang w:val="en-US" w:eastAsia="zh-CN"/>
        </w:rPr>
        <w:t>。</w:t>
      </w:r>
    </w:p>
    <w:p w14:paraId="1008F9AE">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报价要求（报价时需要提供以下盖章资料</w:t>
      </w:r>
      <w:r>
        <w:rPr>
          <w:rFonts w:hint="eastAsia" w:ascii="宋体" w:hAnsi="宋体" w:cs="宋体"/>
          <w:color w:val="000000" w:themeColor="text1"/>
          <w:szCs w:val="21"/>
          <w14:textFill>
            <w14:solidFill>
              <w14:schemeClr w14:val="tx1"/>
            </w14:solidFill>
          </w14:textFill>
        </w:rPr>
        <w:t>，并对上传的竞价文件资料承担责任</w:t>
      </w:r>
      <w:r>
        <w:rPr>
          <w:rFonts w:hint="eastAsia" w:ascii="宋体" w:hAnsi="宋体" w:cs="宋体"/>
          <w:b/>
          <w:bCs/>
          <w:color w:val="000000" w:themeColor="text1"/>
          <w:szCs w:val="21"/>
          <w14:textFill>
            <w14:solidFill>
              <w14:schemeClr w14:val="tx1"/>
            </w14:solidFill>
          </w14:textFill>
        </w:rPr>
        <w:t>）</w:t>
      </w:r>
    </w:p>
    <w:p w14:paraId="4D29A409">
      <w:pPr>
        <w:numPr>
          <w:ilvl w:val="0"/>
          <w:numId w:val="6"/>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填写并上传相应报价附件（报价表）。</w:t>
      </w:r>
    </w:p>
    <w:p w14:paraId="73E07926">
      <w:pPr>
        <w:pStyle w:val="48"/>
        <w:numPr>
          <w:ilvl w:val="0"/>
          <w:numId w:val="6"/>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EE3C5AE">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确定成交候选人</w:t>
      </w:r>
    </w:p>
    <w:p w14:paraId="72A647CC">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4252E627">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如各报价供应商提供的税率不一致时，则分别按下述规定计算各价格，如全部报价供应商税率都一致则无需转换价格。</w:t>
      </w:r>
    </w:p>
    <w:tbl>
      <w:tblPr>
        <w:tblStyle w:val="36"/>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2414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4" w:type="dxa"/>
            <w:shd w:val="clear" w:color="auto" w:fill="auto"/>
          </w:tcPr>
          <w:p w14:paraId="35D2F5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报价供应商提供的发票类型</w:t>
            </w:r>
          </w:p>
        </w:tc>
        <w:tc>
          <w:tcPr>
            <w:tcW w:w="3264" w:type="dxa"/>
            <w:shd w:val="clear" w:color="auto" w:fill="auto"/>
          </w:tcPr>
          <w:p w14:paraId="6FBDAC95">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价格计算</w:t>
            </w:r>
          </w:p>
        </w:tc>
      </w:tr>
      <w:tr w14:paraId="3EBC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14:paraId="749DEF6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增值税专用发票</w:t>
            </w:r>
          </w:p>
        </w:tc>
        <w:tc>
          <w:tcPr>
            <w:tcW w:w="3264" w:type="dxa"/>
            <w:shd w:val="clear" w:color="auto" w:fill="auto"/>
          </w:tcPr>
          <w:p w14:paraId="4B30003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报价/（1+增值税率）</w:t>
            </w:r>
          </w:p>
        </w:tc>
      </w:tr>
    </w:tbl>
    <w:p w14:paraId="0C26AB0D">
      <w:pPr>
        <w:numPr>
          <w:ilvl w:val="0"/>
          <w:numId w:val="2"/>
        </w:numPr>
        <w:spacing w:line="360" w:lineRule="auto"/>
        <w:rPr>
          <w:rFonts w:ascii="宋体" w:hAnsi="宋体"/>
          <w:b/>
          <w:bCs/>
          <w:color w:val="000000" w:themeColor="text1"/>
          <w:szCs w:val="21"/>
          <w14:textFill>
            <w14:solidFill>
              <w14:schemeClr w14:val="tx1"/>
            </w14:solidFill>
          </w14:textFill>
        </w:rPr>
      </w:pPr>
      <w:bookmarkStart w:id="1" w:name="_Hlk54791406"/>
      <w:r>
        <w:rPr>
          <w:rFonts w:hint="eastAsia" w:ascii="宋体" w:hAnsi="宋体" w:cs="宋体"/>
          <w:b/>
          <w:bCs/>
          <w:color w:val="000000" w:themeColor="text1"/>
          <w:szCs w:val="21"/>
          <w14:textFill>
            <w14:solidFill>
              <w14:schemeClr w14:val="tx1"/>
            </w14:solidFill>
          </w14:textFill>
        </w:rPr>
        <w:t>无效报价</w:t>
      </w:r>
    </w:p>
    <w:p w14:paraId="4FE0B9F5">
      <w:pPr>
        <w:pStyle w:val="48"/>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045614E4">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参与竞价的供应商须提供本项目要求的资质文件，如果不按公告规定或竞价文件要求等相关规定提供符合要求的资质文件，将被视为无效报价；</w:t>
      </w:r>
    </w:p>
    <w:p w14:paraId="396D0D28">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参与竞价的供应商须对本项目采购内容进行整体报价，任何只对其中一部分内容进行的报价都被视为无效报价。</w:t>
      </w:r>
    </w:p>
    <w:p w14:paraId="6C44AC8B">
      <w:pPr>
        <w:numPr>
          <w:ilvl w:val="0"/>
          <w:numId w:val="8"/>
        </w:num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p>
    <w:p w14:paraId="3E6B133E">
      <w:pPr>
        <w:pStyle w:val="48"/>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D9CD78E">
      <w:pPr>
        <w:pStyle w:val="48"/>
        <w:numPr>
          <w:ilvl w:val="0"/>
          <w:numId w:val="8"/>
        </w:numPr>
        <w:spacing w:line="360" w:lineRule="auto"/>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按有关法律、法规、规章属于报价无效的。</w:t>
      </w:r>
    </w:p>
    <w:p w14:paraId="3162075F">
      <w:pPr>
        <w:numPr>
          <w:ilvl w:val="0"/>
          <w:numId w:val="8"/>
        </w:numPr>
        <w:shd w:val="clear" w:color="auto" w:fill="FFFFFF"/>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有下列情形之一的，视为串通竞价，其报价无效：</w:t>
      </w:r>
    </w:p>
    <w:p w14:paraId="64ACB142">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存在单位负责人为同一人或存在控股、管理关系的不同单位参与同一竞价项目；</w:t>
      </w:r>
    </w:p>
    <w:p w14:paraId="7BD4A5C0">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不同供应商的响应文件由同一单位或者个人编制；</w:t>
      </w:r>
    </w:p>
    <w:p w14:paraId="136B1890">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不同供应商委托同一单位或者个人办理竞价事宜；</w:t>
      </w:r>
    </w:p>
    <w:p w14:paraId="7B9B236A">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不同供应商使用同一</w:t>
      </w:r>
      <w:r>
        <w:rPr>
          <w:rFonts w:ascii="宋体" w:hAnsi="宋体" w:cs="宋体"/>
          <w:color w:val="000000" w:themeColor="text1"/>
          <w:szCs w:val="21"/>
          <w14:textFill>
            <w14:solidFill>
              <w14:schemeClr w14:val="tx1"/>
            </w14:solidFill>
          </w14:textFill>
        </w:rPr>
        <w:t>IP</w:t>
      </w:r>
      <w:r>
        <w:rPr>
          <w:rFonts w:hint="eastAsia" w:ascii="宋体" w:hAnsi="宋体" w:cs="宋体"/>
          <w:color w:val="000000" w:themeColor="text1"/>
          <w:szCs w:val="21"/>
          <w14:textFill>
            <w14:solidFill>
              <w14:schemeClr w14:val="tx1"/>
            </w14:solidFill>
          </w14:textFill>
        </w:rPr>
        <w:t>地址参与竞价；</w:t>
      </w:r>
    </w:p>
    <w:p w14:paraId="797C9494">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不同供应商的响应文件载明的项目管理成员或者联系人员为同一人；</w:t>
      </w:r>
    </w:p>
    <w:p w14:paraId="4A403ECA">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14:paraId="65ECF361">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不同供应商的响应文件相互混淆；</w:t>
      </w:r>
    </w:p>
    <w:p w14:paraId="5214A159">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不同供应商的平台使用费从同一单位或者个人的账户转出；</w:t>
      </w:r>
    </w:p>
    <w:p w14:paraId="51809ECF">
      <w:pPr>
        <w:numPr>
          <w:ilvl w:val="0"/>
          <w:numId w:val="2"/>
        </w:numPr>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竞价活动失败</w:t>
      </w:r>
    </w:p>
    <w:p w14:paraId="606F9909">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家，本次竞价活动失败；</w:t>
      </w:r>
    </w:p>
    <w:p w14:paraId="13B49A96">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14:paraId="754B6045">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14:paraId="79D96F92">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使用费</w:t>
      </w:r>
    </w:p>
    <w:p w14:paraId="424E85C8">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p>
    <w:p w14:paraId="79F91A9D">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成交供应商无正当理由放弃成交资格的必须按竞价公告等相关规定缴纳相应的平台使用费；</w:t>
      </w:r>
    </w:p>
    <w:p w14:paraId="7E55A734">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14:paraId="51172BDF">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联系方式</w:t>
      </w:r>
    </w:p>
    <w:p w14:paraId="417054D8">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扫码关注微信公众号</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云采链互联服务平台</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，即可在线咨询相关事项；</w:t>
      </w:r>
    </w:p>
    <w:p w14:paraId="57351952">
      <w:pPr>
        <w:widowControl/>
        <w:jc w:val="center"/>
        <w:rPr>
          <w:rFonts w:ascii="宋体" w:hAnsi="宋体" w:cs="宋体"/>
          <w:b/>
          <w:bCs/>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 代码&#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p>
    <w:p w14:paraId="44F459A4">
      <w:pPr>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采购需求书</w:t>
      </w:r>
    </w:p>
    <w:p w14:paraId="4A21BC1B">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p w14:paraId="483DD87C">
      <w:p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供应商须对本项目采购内容进行整体响应，任何只对采购内容其中一部分内容进行的响应都被视为无效报价。</w:t>
      </w:r>
    </w:p>
    <w:p w14:paraId="19466FD2">
      <w:pPr>
        <w:numPr>
          <w:ilvl w:val="0"/>
          <w:numId w:val="12"/>
        </w:num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采购清单</w:t>
      </w:r>
    </w:p>
    <w:bookmarkEnd w:id="1"/>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11"/>
        <w:gridCol w:w="866"/>
        <w:gridCol w:w="992"/>
        <w:gridCol w:w="1488"/>
        <w:gridCol w:w="1362"/>
      </w:tblGrid>
      <w:tr w14:paraId="43AA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7" w:type="pct"/>
            <w:vAlign w:val="center"/>
          </w:tcPr>
          <w:p w14:paraId="4CF3CD53">
            <w:pPr>
              <w:jc w:val="center"/>
              <w:rPr>
                <w:rFonts w:ascii="宋体" w:hAnsi="宋体"/>
                <w:szCs w:val="21"/>
              </w:rPr>
            </w:pPr>
            <w:r>
              <w:rPr>
                <w:rFonts w:hint="eastAsia" w:ascii="宋体" w:hAnsi="宋体"/>
                <w:szCs w:val="21"/>
              </w:rPr>
              <w:t>名称</w:t>
            </w:r>
          </w:p>
        </w:tc>
        <w:tc>
          <w:tcPr>
            <w:tcW w:w="508" w:type="pct"/>
            <w:tcBorders>
              <w:right w:val="single" w:color="auto" w:sz="4" w:space="0"/>
            </w:tcBorders>
            <w:vAlign w:val="center"/>
          </w:tcPr>
          <w:p w14:paraId="485B7422">
            <w:pPr>
              <w:jc w:val="center"/>
              <w:rPr>
                <w:rFonts w:ascii="宋体" w:hAnsi="宋体"/>
                <w:szCs w:val="21"/>
              </w:rPr>
            </w:pPr>
            <w:r>
              <w:rPr>
                <w:rFonts w:hint="eastAsia" w:ascii="宋体" w:hAnsi="宋体"/>
                <w:szCs w:val="21"/>
              </w:rPr>
              <w:t>数量</w:t>
            </w:r>
          </w:p>
        </w:tc>
        <w:tc>
          <w:tcPr>
            <w:tcW w:w="582" w:type="pct"/>
            <w:tcBorders>
              <w:left w:val="single" w:color="auto" w:sz="4" w:space="0"/>
            </w:tcBorders>
            <w:vAlign w:val="center"/>
          </w:tcPr>
          <w:p w14:paraId="596462D7">
            <w:pPr>
              <w:jc w:val="center"/>
              <w:rPr>
                <w:rFonts w:ascii="宋体" w:hAnsi="宋体"/>
                <w:szCs w:val="21"/>
              </w:rPr>
            </w:pPr>
            <w:r>
              <w:rPr>
                <w:rFonts w:hint="eastAsia" w:ascii="宋体" w:hAnsi="宋体"/>
                <w:szCs w:val="21"/>
              </w:rPr>
              <w:t>单位</w:t>
            </w:r>
          </w:p>
        </w:tc>
        <w:tc>
          <w:tcPr>
            <w:tcW w:w="872" w:type="pct"/>
            <w:vAlign w:val="center"/>
          </w:tcPr>
          <w:p w14:paraId="047A36DA">
            <w:pPr>
              <w:jc w:val="center"/>
              <w:rPr>
                <w:rFonts w:ascii="宋体" w:hAnsi="宋体"/>
                <w:szCs w:val="21"/>
              </w:rPr>
            </w:pPr>
            <w:r>
              <w:rPr>
                <w:rFonts w:hint="eastAsia" w:ascii="宋体" w:hAnsi="宋体"/>
                <w:szCs w:val="21"/>
              </w:rPr>
              <w:t>最高单价限价（元）</w:t>
            </w:r>
          </w:p>
        </w:tc>
        <w:tc>
          <w:tcPr>
            <w:tcW w:w="799" w:type="pct"/>
            <w:vAlign w:val="center"/>
          </w:tcPr>
          <w:p w14:paraId="4DFE0967">
            <w:pPr>
              <w:jc w:val="center"/>
              <w:rPr>
                <w:rFonts w:ascii="宋体" w:hAnsi="宋体"/>
                <w:szCs w:val="21"/>
              </w:rPr>
            </w:pPr>
            <w:r>
              <w:rPr>
                <w:rFonts w:hint="eastAsia" w:ascii="宋体" w:hAnsi="宋体"/>
                <w:szCs w:val="21"/>
              </w:rPr>
              <w:t>小计（元）</w:t>
            </w:r>
          </w:p>
        </w:tc>
      </w:tr>
      <w:tr w14:paraId="58C4F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7" w:type="pct"/>
            <w:vAlign w:val="center"/>
          </w:tcPr>
          <w:p w14:paraId="7D582A03">
            <w:pPr>
              <w:jc w:val="center"/>
              <w:rPr>
                <w:rFonts w:ascii="宋体" w:hAnsi="宋体"/>
                <w:szCs w:val="21"/>
              </w:rPr>
            </w:pPr>
            <w:r>
              <w:rPr>
                <w:rFonts w:hint="eastAsia" w:ascii="宋体" w:hAnsi="宋体"/>
                <w:szCs w:val="21"/>
              </w:rPr>
              <w:t>带蓝牙UPS蓄电池内阻仪</w:t>
            </w:r>
          </w:p>
          <w:p w14:paraId="02B93CE3">
            <w:pPr>
              <w:jc w:val="center"/>
              <w:rPr>
                <w:rFonts w:ascii="宋体" w:hAnsi="宋体"/>
                <w:szCs w:val="21"/>
              </w:rPr>
            </w:pPr>
            <w:r>
              <w:rPr>
                <w:rFonts w:hint="eastAsia" w:ascii="宋体" w:hAnsi="宋体"/>
                <w:szCs w:val="21"/>
              </w:rPr>
              <w:t>（内阻检测仪）</w:t>
            </w:r>
          </w:p>
        </w:tc>
        <w:tc>
          <w:tcPr>
            <w:tcW w:w="508" w:type="pct"/>
            <w:tcBorders>
              <w:right w:val="single" w:color="auto" w:sz="4" w:space="0"/>
            </w:tcBorders>
            <w:vAlign w:val="center"/>
          </w:tcPr>
          <w:p w14:paraId="596BF72C">
            <w:pPr>
              <w:jc w:val="center"/>
              <w:rPr>
                <w:rFonts w:ascii="宋体" w:hAnsi="宋体"/>
                <w:szCs w:val="21"/>
              </w:rPr>
            </w:pPr>
            <w:r>
              <w:rPr>
                <w:rFonts w:hint="eastAsia" w:ascii="宋体" w:hAnsi="宋体"/>
                <w:szCs w:val="21"/>
              </w:rPr>
              <w:t>2</w:t>
            </w:r>
          </w:p>
        </w:tc>
        <w:tc>
          <w:tcPr>
            <w:tcW w:w="582" w:type="pct"/>
            <w:tcBorders>
              <w:left w:val="single" w:color="auto" w:sz="4" w:space="0"/>
            </w:tcBorders>
            <w:vAlign w:val="center"/>
          </w:tcPr>
          <w:p w14:paraId="5121759C">
            <w:pPr>
              <w:jc w:val="center"/>
              <w:rPr>
                <w:rFonts w:ascii="宋体" w:hAnsi="宋体"/>
                <w:szCs w:val="21"/>
              </w:rPr>
            </w:pPr>
            <w:r>
              <w:rPr>
                <w:rFonts w:hint="eastAsia" w:ascii="宋体" w:hAnsi="宋体"/>
                <w:szCs w:val="21"/>
              </w:rPr>
              <w:t>台</w:t>
            </w:r>
          </w:p>
        </w:tc>
        <w:tc>
          <w:tcPr>
            <w:tcW w:w="872" w:type="pct"/>
            <w:vAlign w:val="center"/>
          </w:tcPr>
          <w:p w14:paraId="7A79CFA6">
            <w:pPr>
              <w:jc w:val="center"/>
              <w:rPr>
                <w:rFonts w:ascii="宋体" w:hAnsi="宋体"/>
                <w:szCs w:val="21"/>
              </w:rPr>
            </w:pPr>
            <w:r>
              <w:rPr>
                <w:rFonts w:hint="eastAsia" w:ascii="宋体" w:hAnsi="宋体"/>
                <w:szCs w:val="21"/>
              </w:rPr>
              <w:t>20500</w:t>
            </w:r>
          </w:p>
        </w:tc>
        <w:tc>
          <w:tcPr>
            <w:tcW w:w="799" w:type="pct"/>
            <w:vAlign w:val="center"/>
          </w:tcPr>
          <w:p w14:paraId="4655286F">
            <w:pPr>
              <w:jc w:val="center"/>
              <w:rPr>
                <w:rFonts w:ascii="宋体" w:hAnsi="宋体"/>
                <w:szCs w:val="21"/>
              </w:rPr>
            </w:pPr>
            <w:r>
              <w:rPr>
                <w:rFonts w:hint="eastAsia" w:ascii="宋体" w:hAnsi="宋体"/>
                <w:szCs w:val="21"/>
              </w:rPr>
              <w:t>41000</w:t>
            </w:r>
          </w:p>
        </w:tc>
      </w:tr>
      <w:tr w14:paraId="1260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7" w:type="pct"/>
            <w:vAlign w:val="center"/>
          </w:tcPr>
          <w:p w14:paraId="6398468D">
            <w:pPr>
              <w:jc w:val="center"/>
              <w:rPr>
                <w:rFonts w:ascii="宋体" w:hAnsi="宋体"/>
                <w:szCs w:val="21"/>
              </w:rPr>
            </w:pPr>
            <w:r>
              <w:rPr>
                <w:rFonts w:hint="eastAsia" w:ascii="宋体" w:hAnsi="宋体"/>
                <w:szCs w:val="21"/>
              </w:rPr>
              <w:t>高精度红外热成像仪</w:t>
            </w:r>
          </w:p>
        </w:tc>
        <w:tc>
          <w:tcPr>
            <w:tcW w:w="508" w:type="pct"/>
            <w:tcBorders>
              <w:right w:val="single" w:color="auto" w:sz="4" w:space="0"/>
            </w:tcBorders>
            <w:vAlign w:val="center"/>
          </w:tcPr>
          <w:p w14:paraId="5DBC0E96">
            <w:pPr>
              <w:jc w:val="center"/>
              <w:rPr>
                <w:rFonts w:ascii="宋体" w:hAnsi="宋体"/>
                <w:szCs w:val="21"/>
              </w:rPr>
            </w:pPr>
            <w:r>
              <w:rPr>
                <w:rFonts w:hint="eastAsia" w:ascii="宋体" w:hAnsi="宋体"/>
                <w:szCs w:val="21"/>
              </w:rPr>
              <w:t>10</w:t>
            </w:r>
          </w:p>
        </w:tc>
        <w:tc>
          <w:tcPr>
            <w:tcW w:w="582" w:type="pct"/>
            <w:tcBorders>
              <w:left w:val="single" w:color="auto" w:sz="4" w:space="0"/>
            </w:tcBorders>
            <w:vAlign w:val="center"/>
          </w:tcPr>
          <w:p w14:paraId="4BB62E90">
            <w:pPr>
              <w:jc w:val="center"/>
              <w:rPr>
                <w:rFonts w:ascii="宋体" w:hAnsi="宋体"/>
                <w:szCs w:val="21"/>
              </w:rPr>
            </w:pPr>
            <w:r>
              <w:rPr>
                <w:rFonts w:hint="eastAsia" w:ascii="宋体" w:hAnsi="宋体"/>
                <w:szCs w:val="21"/>
              </w:rPr>
              <w:t>台</w:t>
            </w:r>
          </w:p>
        </w:tc>
        <w:tc>
          <w:tcPr>
            <w:tcW w:w="872" w:type="pct"/>
            <w:vAlign w:val="center"/>
          </w:tcPr>
          <w:p w14:paraId="6A627E71">
            <w:pPr>
              <w:jc w:val="center"/>
              <w:rPr>
                <w:rFonts w:ascii="宋体" w:hAnsi="宋体"/>
                <w:szCs w:val="21"/>
              </w:rPr>
            </w:pPr>
            <w:r>
              <w:rPr>
                <w:rFonts w:ascii="宋体" w:hAnsi="宋体"/>
                <w:szCs w:val="21"/>
              </w:rPr>
              <w:t>3</w:t>
            </w:r>
            <w:r>
              <w:rPr>
                <w:rFonts w:hint="eastAsia" w:ascii="宋体" w:hAnsi="宋体"/>
                <w:szCs w:val="21"/>
              </w:rPr>
              <w:t>40</w:t>
            </w:r>
            <w:r>
              <w:rPr>
                <w:rFonts w:ascii="宋体" w:hAnsi="宋体"/>
                <w:szCs w:val="21"/>
              </w:rPr>
              <w:t>0</w:t>
            </w:r>
          </w:p>
        </w:tc>
        <w:tc>
          <w:tcPr>
            <w:tcW w:w="799" w:type="pct"/>
            <w:vAlign w:val="center"/>
          </w:tcPr>
          <w:p w14:paraId="3E2BB4BE">
            <w:pPr>
              <w:jc w:val="center"/>
              <w:rPr>
                <w:rFonts w:ascii="宋体" w:hAnsi="宋体"/>
                <w:szCs w:val="21"/>
              </w:rPr>
            </w:pPr>
            <w:r>
              <w:rPr>
                <w:rFonts w:hint="eastAsia" w:ascii="宋体" w:hAnsi="宋体"/>
                <w:szCs w:val="21"/>
              </w:rPr>
              <w:t>34000</w:t>
            </w:r>
          </w:p>
        </w:tc>
      </w:tr>
      <w:tr w14:paraId="01478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00" w:type="pct"/>
            <w:gridSpan w:val="4"/>
            <w:vAlign w:val="center"/>
          </w:tcPr>
          <w:p w14:paraId="7235D8D7">
            <w:pPr>
              <w:jc w:val="center"/>
              <w:rPr>
                <w:rFonts w:ascii="宋体" w:hAnsi="宋体"/>
                <w:szCs w:val="21"/>
              </w:rPr>
            </w:pPr>
            <w:r>
              <w:rPr>
                <w:rFonts w:hint="eastAsia" w:ascii="宋体" w:hAnsi="宋体"/>
                <w:szCs w:val="21"/>
                <w:lang w:val="en-US" w:eastAsia="zh-CN"/>
              </w:rPr>
              <w:t>合</w:t>
            </w:r>
            <w:r>
              <w:rPr>
                <w:rFonts w:hint="eastAsia" w:ascii="宋体" w:hAnsi="宋体"/>
                <w:szCs w:val="21"/>
              </w:rPr>
              <w:t>计</w:t>
            </w:r>
          </w:p>
        </w:tc>
        <w:tc>
          <w:tcPr>
            <w:tcW w:w="799" w:type="pct"/>
            <w:vAlign w:val="center"/>
          </w:tcPr>
          <w:p w14:paraId="260C835A">
            <w:pPr>
              <w:jc w:val="center"/>
              <w:rPr>
                <w:rFonts w:ascii="宋体" w:hAnsi="宋体"/>
                <w:szCs w:val="21"/>
              </w:rPr>
            </w:pPr>
            <w:r>
              <w:rPr>
                <w:rFonts w:hint="eastAsia" w:ascii="宋体" w:hAnsi="宋体"/>
                <w:szCs w:val="21"/>
              </w:rPr>
              <w:t>75000</w:t>
            </w:r>
          </w:p>
        </w:tc>
      </w:tr>
    </w:tbl>
    <w:p w14:paraId="181907B4">
      <w:pPr>
        <w:numPr>
          <w:ilvl w:val="0"/>
          <w:numId w:val="12"/>
        </w:numPr>
        <w:tabs>
          <w:tab w:val="left" w:pos="420"/>
        </w:tabs>
        <w:snapToGrid w:val="0"/>
        <w:spacing w:line="360" w:lineRule="auto"/>
        <w:rPr>
          <w:rFonts w:ascii="宋体" w:hAnsi="宋体" w:cs="宋体"/>
          <w:b/>
          <w:szCs w:val="21"/>
        </w:rPr>
      </w:pPr>
      <w:r>
        <w:rPr>
          <w:rFonts w:hint="eastAsia" w:ascii="宋体" w:hAnsi="宋体" w:cs="宋体"/>
          <w:b/>
          <w:szCs w:val="21"/>
        </w:rPr>
        <w:t>技术要求</w:t>
      </w:r>
    </w:p>
    <w:p w14:paraId="2172F59D">
      <w:pPr>
        <w:spacing w:line="360" w:lineRule="auto"/>
        <w:rPr>
          <w:rFonts w:ascii="宋体" w:hAnsi="宋体" w:cs="宋体"/>
          <w:szCs w:val="21"/>
        </w:rPr>
      </w:pPr>
      <w:r>
        <w:rPr>
          <w:rFonts w:hint="eastAsia" w:ascii="宋体" w:hAnsi="宋体" w:cs="宋体"/>
          <w:b/>
          <w:szCs w:val="21"/>
        </w:rPr>
        <w:t>1、带蓝牙UPS蓄电池</w:t>
      </w:r>
      <w:r>
        <w:rPr>
          <w:rFonts w:hint="eastAsia" w:ascii="宋体" w:hAnsi="宋体" w:cs="宋体"/>
          <w:b/>
          <w:bCs/>
          <w:kern w:val="0"/>
          <w:szCs w:val="21"/>
        </w:rPr>
        <w:t>内阻仪</w:t>
      </w:r>
      <w:r>
        <w:rPr>
          <w:rFonts w:hint="eastAsia" w:ascii="宋体" w:hAnsi="宋体" w:cs="宋体"/>
          <w:b/>
          <w:bCs/>
          <w:szCs w:val="21"/>
        </w:rPr>
        <w:t>（内阻检测仪）</w:t>
      </w:r>
      <w:r>
        <w:rPr>
          <w:rFonts w:hint="eastAsia" w:ascii="宋体" w:hAnsi="宋体" w:cs="宋体"/>
          <w:b/>
          <w:szCs w:val="21"/>
        </w:rPr>
        <w:t xml:space="preserve"> </w:t>
      </w:r>
      <w:r>
        <w:rPr>
          <w:rFonts w:hint="eastAsia" w:ascii="宋体" w:hAnsi="宋体" w:cs="宋体"/>
          <w:szCs w:val="21"/>
        </w:rPr>
        <w:t xml:space="preserve"> </w:t>
      </w:r>
    </w:p>
    <w:p w14:paraId="1FFAE18B">
      <w:pPr>
        <w:snapToGrid w:val="0"/>
        <w:spacing w:line="360" w:lineRule="auto"/>
        <w:rPr>
          <w:rFonts w:ascii="宋体" w:hAnsi="宋体" w:cs="宋体"/>
          <w:szCs w:val="21"/>
        </w:rPr>
      </w:pPr>
      <w:r>
        <w:rPr>
          <w:rFonts w:hint="eastAsia" w:ascii="宋体" w:hAnsi="宋体" w:cs="宋体"/>
          <w:szCs w:val="21"/>
        </w:rPr>
        <w:t>（1）能快速地判断铅蓄电池劣化情况，从测量到保存≤2秒, 仅需将测试线接触端口即可轻松保存数据。无需开关操作，在测量值稳定后即可自动</w:t>
      </w:r>
      <w:r>
        <w:rPr>
          <w:rFonts w:hint="eastAsia" w:ascii="宋体" w:hAnsi="宋体" w:cs="宋体"/>
          <w:szCs w:val="21"/>
          <w:lang w:eastAsia="zh-CN"/>
        </w:rPr>
        <w:t>进行</w:t>
      </w:r>
      <w:r>
        <w:rPr>
          <w:rFonts w:hint="eastAsia" w:ascii="宋体" w:hAnsi="宋体" w:cs="宋体"/>
          <w:szCs w:val="21"/>
        </w:rPr>
        <w:t>保存（自动保持功能、自动存储功能，能存储不少于4800</w:t>
      </w:r>
      <w:r>
        <w:rPr>
          <w:rFonts w:hint="eastAsia" w:ascii="宋体" w:hAnsi="宋体" w:cs="宋体"/>
          <w:szCs w:val="21"/>
          <w:lang w:eastAsia="zh-CN"/>
        </w:rPr>
        <w:t>份</w:t>
      </w:r>
      <w:r>
        <w:rPr>
          <w:rFonts w:hint="eastAsia" w:ascii="宋体" w:hAnsi="宋体" w:cs="宋体"/>
          <w:szCs w:val="21"/>
        </w:rPr>
        <w:t>数据）。可以为UPS系统的电池提供快速、完全的内阻与电压诊断。测量内部电阻/电压,并瞬间判断劣化状态(合格/警告/不合格)。</w:t>
      </w:r>
    </w:p>
    <w:p w14:paraId="1EF498B6">
      <w:pPr>
        <w:snapToGrid w:val="0"/>
        <w:spacing w:line="360" w:lineRule="auto"/>
        <w:rPr>
          <w:rFonts w:ascii="宋体" w:hAnsi="宋体" w:cs="宋体"/>
          <w:szCs w:val="21"/>
        </w:rPr>
      </w:pPr>
      <w:r>
        <w:rPr>
          <w:rFonts w:hint="eastAsia" w:ascii="宋体" w:hAnsi="宋体" w:cs="宋体"/>
          <w:szCs w:val="21"/>
        </w:rPr>
        <w:t>（2）需搭载降噪技术,提高抗干扰性：无需停止装置运行，可在线测量，并迅速诊断电池的劣化情况，提高生产效率。</w:t>
      </w:r>
    </w:p>
    <w:p w14:paraId="4AFDBD0E">
      <w:pPr>
        <w:snapToGrid w:val="0"/>
        <w:spacing w:line="360" w:lineRule="auto"/>
        <w:rPr>
          <w:rFonts w:ascii="宋体" w:hAnsi="宋体" w:cs="宋体"/>
          <w:szCs w:val="21"/>
        </w:rPr>
      </w:pPr>
      <w:r>
        <w:rPr>
          <w:rFonts w:hint="eastAsia" w:ascii="宋体" w:hAnsi="宋体" w:cs="宋体"/>
          <w:szCs w:val="21"/>
        </w:rPr>
        <w:t>（3）需自带蓝牙功能,可通过 Bluetooth无线技术,实时发送并显示测量值：</w:t>
      </w:r>
    </w:p>
    <w:p w14:paraId="3819FF4C">
      <w:pPr>
        <w:snapToGrid w:val="0"/>
        <w:spacing w:line="360" w:lineRule="auto"/>
        <w:ind w:firstLine="420" w:firstLineChars="200"/>
        <w:rPr>
          <w:rFonts w:ascii="宋体" w:hAnsi="宋体" w:cs="宋体"/>
          <w:szCs w:val="21"/>
        </w:rPr>
      </w:pPr>
      <w:r>
        <w:rPr>
          <w:rFonts w:hint="eastAsia" w:ascii="宋体" w:hAnsi="宋体" w:cs="宋体"/>
          <w:szCs w:val="21"/>
        </w:rPr>
        <w:t>电池测试仪需安装</w:t>
      </w:r>
      <w:r>
        <w:rPr>
          <w:rFonts w:hint="eastAsia" w:ascii="宋体" w:hAnsi="宋体" w:cs="宋体"/>
          <w:szCs w:val="21"/>
          <w:highlight w:val="none"/>
        </w:rPr>
        <w:t>Bluetooth</w:t>
      </w:r>
      <w:r>
        <w:rPr>
          <w:rFonts w:hint="eastAsia" w:ascii="宋体" w:hAnsi="宋体" w:cs="宋体"/>
          <w:szCs w:val="21"/>
        </w:rPr>
        <w:t>的无线技术。需免费提供厂家应用软件,能把电池测试仪的测量数据通过专业软件读取至电脑、平板和智能手机等设备，在电脑、平板和智能手机等终端可以将显示、保存的数据制作成报告，还能绘制曲线图以把握一整个电池柜的电池(最多500个)的情况。能够在现场马上制作报告，提高现场工作的效率。而且，使用该应用软件，能使用计算机读取数据，并以图表的形式显示出所选电池从之前到现在的变化情况。</w:t>
      </w:r>
    </w:p>
    <w:p w14:paraId="7DBE8654">
      <w:pPr>
        <w:snapToGrid w:val="0"/>
        <w:spacing w:line="360" w:lineRule="auto"/>
        <w:rPr>
          <w:rFonts w:ascii="宋体" w:hAnsi="宋体" w:cs="宋体"/>
          <w:szCs w:val="21"/>
        </w:rPr>
      </w:pPr>
      <w:r>
        <w:rPr>
          <w:rFonts w:hint="eastAsia" w:ascii="宋体" w:hAnsi="宋体" w:cs="宋体"/>
          <w:szCs w:val="21"/>
        </w:rPr>
        <w:t>（4）需装备体积小，重量轻的新型探头，提高测量效率，需配备L型测试线，即使在狭窄处也能深入配电盘，测试线形状更加容易接触电极端子，并能更快</w:t>
      </w:r>
      <w:r>
        <w:rPr>
          <w:rFonts w:hint="eastAsia" w:ascii="宋体" w:hAnsi="宋体" w:cs="宋体"/>
          <w:szCs w:val="21"/>
          <w:lang w:eastAsia="zh-CN"/>
        </w:rPr>
        <w:t>地</w:t>
      </w:r>
      <w:r>
        <w:rPr>
          <w:rFonts w:hint="eastAsia" w:ascii="宋体" w:hAnsi="宋体" w:cs="宋体"/>
          <w:szCs w:val="21"/>
        </w:rPr>
        <w:t>测量多个电池。</w:t>
      </w:r>
    </w:p>
    <w:p w14:paraId="4AD29457">
      <w:pPr>
        <w:widowControl/>
        <w:shd w:val="clear" w:color="auto" w:fill="FFFFFF"/>
        <w:snapToGrid w:val="0"/>
        <w:spacing w:line="360" w:lineRule="auto"/>
        <w:jc w:val="left"/>
        <w:rPr>
          <w:rFonts w:ascii="宋体" w:hAnsi="宋体" w:cs="宋体"/>
          <w:szCs w:val="21"/>
        </w:rPr>
      </w:pPr>
      <w:r>
        <w:rPr>
          <w:rFonts w:hint="eastAsia" w:ascii="宋体" w:hAnsi="宋体" w:cs="宋体"/>
          <w:szCs w:val="21"/>
        </w:rPr>
        <w:t>（5）电池测试仪的保险丝需采用和主电路</w:t>
      </w:r>
      <w:r>
        <w:rPr>
          <w:rFonts w:hint="eastAsia" w:ascii="宋体" w:hAnsi="宋体" w:cs="宋体"/>
          <w:szCs w:val="21"/>
          <w:lang w:val="en-US" w:eastAsia="zh-CN"/>
        </w:rPr>
        <w:t>板</w:t>
      </w:r>
      <w:r>
        <w:rPr>
          <w:rFonts w:hint="eastAsia" w:ascii="宋体" w:hAnsi="宋体" w:cs="宋体"/>
          <w:szCs w:val="21"/>
        </w:rPr>
        <w:t>分离式设计，客户不用打开主机就能自己方便地更换烧坏的保险丝。</w:t>
      </w:r>
    </w:p>
    <w:p w14:paraId="4FCEA24B">
      <w:pPr>
        <w:widowControl/>
        <w:shd w:val="clear" w:color="auto" w:fill="FFFFFF"/>
        <w:snapToGrid w:val="0"/>
        <w:spacing w:line="360" w:lineRule="auto"/>
        <w:ind w:left="210" w:hanging="210" w:hangingChars="100"/>
        <w:jc w:val="left"/>
        <w:rPr>
          <w:rFonts w:hint="eastAsia" w:ascii="宋体" w:hAnsi="宋体" w:cs="宋体"/>
          <w:szCs w:val="21"/>
        </w:rPr>
      </w:pPr>
      <w:r>
        <w:rPr>
          <w:rFonts w:hint="eastAsia" w:ascii="宋体" w:hAnsi="宋体" w:cs="宋体"/>
          <w:szCs w:val="21"/>
        </w:rPr>
        <w:t>（6）坚固外壳设计</w:t>
      </w:r>
      <w:r>
        <w:rPr>
          <w:rFonts w:hint="eastAsia" w:ascii="宋体" w:hAnsi="宋体" w:cs="宋体"/>
          <w:szCs w:val="21"/>
        </w:rPr>
        <w:br w:type="textWrapping"/>
      </w:r>
      <w:r>
        <w:rPr>
          <w:rFonts w:hint="eastAsia" w:ascii="宋体" w:hAnsi="宋体" w:cs="宋体"/>
          <w:szCs w:val="21"/>
        </w:rPr>
        <w:t>采用便携式设计，附件携带箱能为测量移动中的UPS电池提供避震效用。</w:t>
      </w:r>
    </w:p>
    <w:p w14:paraId="5D0CF65F">
      <w:pPr>
        <w:widowControl/>
        <w:shd w:val="clear" w:color="auto" w:fill="FFFFFF"/>
        <w:snapToGrid w:val="0"/>
        <w:spacing w:line="360" w:lineRule="auto"/>
        <w:ind w:left="210" w:hanging="210" w:hangingChars="100"/>
        <w:jc w:val="left"/>
        <w:rPr>
          <w:rFonts w:ascii="宋体" w:hAnsi="宋体" w:cs="宋体"/>
          <w:szCs w:val="21"/>
        </w:rPr>
      </w:pPr>
      <w:r>
        <w:rPr>
          <w:rFonts w:hint="eastAsia" w:ascii="宋体" w:hAnsi="宋体" w:cs="宋体"/>
          <w:szCs w:val="21"/>
        </w:rPr>
        <w:t>（7）基本参数</w:t>
      </w:r>
    </w:p>
    <w:tbl>
      <w:tblPr>
        <w:tblStyle w:val="36"/>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3"/>
        <w:gridCol w:w="6713"/>
      </w:tblGrid>
      <w:tr w14:paraId="5E3AD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00000882">
            <w:pPr>
              <w:pStyle w:val="148"/>
              <w:spacing w:line="360" w:lineRule="auto"/>
              <w:ind w:firstLine="0" w:firstLineChars="0"/>
              <w:jc w:val="center"/>
              <w:rPr>
                <w:rFonts w:ascii="宋体" w:hAnsi="宋体" w:cs="宋体"/>
                <w:szCs w:val="21"/>
              </w:rPr>
            </w:pPr>
            <w:r>
              <w:rPr>
                <w:rFonts w:hint="eastAsia" w:ascii="宋体" w:hAnsi="宋体" w:cs="宋体"/>
                <w:szCs w:val="21"/>
              </w:rPr>
              <w:t>电阻测量量程</w:t>
            </w:r>
          </w:p>
        </w:tc>
        <w:tc>
          <w:tcPr>
            <w:tcW w:w="6713" w:type="dxa"/>
          </w:tcPr>
          <w:p w14:paraId="52792D63">
            <w:pPr>
              <w:pStyle w:val="148"/>
              <w:spacing w:line="360" w:lineRule="auto"/>
              <w:ind w:firstLine="0" w:firstLineChars="0"/>
              <w:rPr>
                <w:rFonts w:ascii="宋体" w:hAnsi="宋体" w:cs="宋体"/>
                <w:szCs w:val="21"/>
              </w:rPr>
            </w:pPr>
            <w:r>
              <w:rPr>
                <w:rFonts w:hint="eastAsia" w:ascii="宋体" w:hAnsi="宋体" w:cs="宋体"/>
                <w:szCs w:val="21"/>
              </w:rPr>
              <w:t>量程3 mΩ (最大显示3.100 mΩ, 分辨率 1 μΩ)～3 Ω(最大显示3.100 Ω, 分辨率 1 mΩ), 4档切换</w:t>
            </w:r>
            <w:r>
              <w:rPr>
                <w:rFonts w:hint="eastAsia" w:ascii="宋体" w:hAnsi="宋体" w:cs="宋体"/>
                <w:szCs w:val="21"/>
              </w:rPr>
              <w:br w:type="textWrapping"/>
            </w:r>
            <w:r>
              <w:rPr>
                <w:rFonts w:hint="eastAsia" w:ascii="宋体" w:hAnsi="宋体" w:cs="宋体"/>
                <w:szCs w:val="21"/>
              </w:rPr>
              <w:t>测量精度: ±0.8% rdg. ±6 dgt. (仅限3 mΩ量程 ±1.0% rdg. ±8 dgt.)</w:t>
            </w:r>
            <w:r>
              <w:rPr>
                <w:rFonts w:hint="eastAsia" w:ascii="宋体" w:hAnsi="宋体" w:cs="宋体"/>
                <w:szCs w:val="21"/>
              </w:rPr>
              <w:br w:type="textWrapping"/>
            </w:r>
            <w:r>
              <w:rPr>
                <w:rFonts w:hint="eastAsia" w:ascii="宋体" w:hAnsi="宋体" w:cs="宋体"/>
                <w:szCs w:val="21"/>
              </w:rPr>
              <w:t>测试电流频率: 1 kHz ±30 Hz, 干扰频率回避功能有效时为1 kHz ±80 Hz. 测试电流: 160 mA (3 m/30 mΩ量程), 16 mA (300 mΩ量程), 1.6 mA (3 Ω量程), 开路端口电压: 5 V max.</w:t>
            </w:r>
          </w:p>
        </w:tc>
      </w:tr>
      <w:tr w14:paraId="0C463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23C83F58">
            <w:pPr>
              <w:pStyle w:val="148"/>
              <w:spacing w:line="360" w:lineRule="auto"/>
              <w:ind w:firstLine="0" w:firstLineChars="0"/>
              <w:jc w:val="center"/>
              <w:rPr>
                <w:rFonts w:ascii="宋体" w:hAnsi="宋体" w:cs="宋体"/>
                <w:szCs w:val="21"/>
              </w:rPr>
            </w:pPr>
            <w:r>
              <w:rPr>
                <w:rFonts w:hint="eastAsia" w:ascii="宋体" w:hAnsi="宋体" w:cs="宋体"/>
                <w:szCs w:val="21"/>
              </w:rPr>
              <w:t>电压测量量程</w:t>
            </w:r>
          </w:p>
        </w:tc>
        <w:tc>
          <w:tcPr>
            <w:tcW w:w="6713" w:type="dxa"/>
            <w:vAlign w:val="center"/>
          </w:tcPr>
          <w:p w14:paraId="5C0BDAD7">
            <w:pPr>
              <w:spacing w:line="360" w:lineRule="auto"/>
              <w:rPr>
                <w:rFonts w:ascii="宋体" w:hAnsi="宋体" w:cs="宋体"/>
                <w:szCs w:val="21"/>
              </w:rPr>
            </w:pPr>
            <w:r>
              <w:rPr>
                <w:rFonts w:hint="eastAsia" w:ascii="宋体" w:hAnsi="宋体" w:cs="宋体"/>
                <w:szCs w:val="21"/>
              </w:rPr>
              <w:t>±6 V (最大显示±6.000 V, 分辨率: 1 mV)～±60 V (最大显示±60.00 V, 分辨率: 10 mV), 2档切换, 测量精度: ±0.08% rdg. ±6 dgt.</w:t>
            </w:r>
          </w:p>
        </w:tc>
      </w:tr>
      <w:tr w14:paraId="42531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768C797B">
            <w:pPr>
              <w:pStyle w:val="148"/>
              <w:spacing w:line="360" w:lineRule="auto"/>
              <w:ind w:firstLine="0" w:firstLineChars="0"/>
              <w:jc w:val="center"/>
              <w:rPr>
                <w:rFonts w:ascii="宋体" w:hAnsi="宋体" w:cs="宋体"/>
                <w:szCs w:val="21"/>
              </w:rPr>
            </w:pPr>
            <w:r>
              <w:rPr>
                <w:rFonts w:hint="eastAsia" w:ascii="宋体" w:hAnsi="宋体" w:cs="宋体"/>
                <w:szCs w:val="21"/>
              </w:rPr>
              <w:t>最大允许输入电压</w:t>
            </w:r>
          </w:p>
        </w:tc>
        <w:tc>
          <w:tcPr>
            <w:tcW w:w="6713" w:type="dxa"/>
            <w:vAlign w:val="center"/>
          </w:tcPr>
          <w:p w14:paraId="204041D2">
            <w:pPr>
              <w:spacing w:line="360" w:lineRule="auto"/>
              <w:rPr>
                <w:rFonts w:ascii="宋体" w:hAnsi="宋体" w:cs="宋体"/>
                <w:szCs w:val="21"/>
              </w:rPr>
            </w:pPr>
            <w:r>
              <w:rPr>
                <w:rFonts w:hint="eastAsia" w:ascii="宋体" w:hAnsi="宋体" w:cs="宋体"/>
                <w:szCs w:val="21"/>
              </w:rPr>
              <w:t>DC 60 V max.，不能输入 AC</w:t>
            </w:r>
          </w:p>
        </w:tc>
      </w:tr>
      <w:tr w14:paraId="58791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14:paraId="56D1E93A">
            <w:pPr>
              <w:spacing w:line="360" w:lineRule="auto"/>
              <w:jc w:val="center"/>
              <w:rPr>
                <w:rFonts w:ascii="宋体" w:hAnsi="宋体" w:cs="宋体"/>
                <w:szCs w:val="21"/>
              </w:rPr>
            </w:pPr>
            <w:r>
              <w:rPr>
                <w:rFonts w:hint="eastAsia" w:ascii="宋体" w:hAnsi="宋体" w:cs="宋体"/>
                <w:szCs w:val="21"/>
              </w:rPr>
              <w:t>显示更新率</w:t>
            </w:r>
          </w:p>
        </w:tc>
        <w:tc>
          <w:tcPr>
            <w:tcW w:w="6713" w:type="dxa"/>
            <w:vAlign w:val="center"/>
          </w:tcPr>
          <w:p w14:paraId="30A360C0">
            <w:pPr>
              <w:spacing w:line="360" w:lineRule="auto"/>
              <w:rPr>
                <w:rFonts w:ascii="宋体" w:hAnsi="宋体" w:cs="宋体"/>
                <w:szCs w:val="21"/>
              </w:rPr>
            </w:pPr>
            <w:r>
              <w:rPr>
                <w:rFonts w:hint="eastAsia" w:ascii="宋体" w:hAnsi="宋体" w:cs="宋体"/>
                <w:szCs w:val="21"/>
              </w:rPr>
              <w:t>大于或等于3次/秒</w:t>
            </w:r>
          </w:p>
        </w:tc>
      </w:tr>
      <w:tr w14:paraId="04C8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14:paraId="4C5AD5E9">
            <w:pPr>
              <w:spacing w:line="360" w:lineRule="auto"/>
              <w:jc w:val="center"/>
              <w:rPr>
                <w:rFonts w:ascii="宋体" w:hAnsi="宋体" w:cs="宋体"/>
                <w:szCs w:val="21"/>
              </w:rPr>
            </w:pPr>
            <w:r>
              <w:rPr>
                <w:rFonts w:hint="eastAsia" w:ascii="宋体" w:hAnsi="宋体" w:cs="宋体"/>
                <w:szCs w:val="21"/>
              </w:rPr>
              <w:t>比较器</w:t>
            </w:r>
          </w:p>
        </w:tc>
        <w:tc>
          <w:tcPr>
            <w:tcW w:w="6713" w:type="dxa"/>
            <w:vAlign w:val="center"/>
          </w:tcPr>
          <w:p w14:paraId="1E7FC164">
            <w:pPr>
              <w:spacing w:line="360" w:lineRule="auto"/>
              <w:rPr>
                <w:rFonts w:ascii="宋体" w:hAnsi="宋体" w:cs="宋体"/>
                <w:szCs w:val="21"/>
              </w:rPr>
            </w:pPr>
            <w:r>
              <w:rPr>
                <w:rFonts w:hint="eastAsia" w:ascii="宋体" w:hAnsi="宋体" w:cs="宋体"/>
                <w:szCs w:val="21"/>
              </w:rPr>
              <w:t>电阻的第1上限值/第2上限值以及电压的下限值设置，比较器设置数量200个，判断结果PASS时蜂鸣，判断结果FAIL/WARNING时蜂鸣</w:t>
            </w:r>
          </w:p>
        </w:tc>
      </w:tr>
      <w:tr w14:paraId="0803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14:paraId="0B75AF73">
            <w:pPr>
              <w:spacing w:line="360" w:lineRule="auto"/>
              <w:jc w:val="center"/>
              <w:rPr>
                <w:rFonts w:ascii="宋体" w:hAnsi="宋体" w:cs="宋体"/>
                <w:szCs w:val="21"/>
              </w:rPr>
            </w:pPr>
            <w:r>
              <w:rPr>
                <w:rFonts w:hint="eastAsia" w:ascii="宋体" w:hAnsi="宋体" w:cs="宋体"/>
                <w:szCs w:val="21"/>
              </w:rPr>
              <w:t>数据记录</w:t>
            </w:r>
          </w:p>
        </w:tc>
        <w:tc>
          <w:tcPr>
            <w:tcW w:w="6713" w:type="dxa"/>
            <w:vAlign w:val="center"/>
          </w:tcPr>
          <w:p w14:paraId="38B278D6">
            <w:pPr>
              <w:spacing w:line="360" w:lineRule="auto"/>
              <w:rPr>
                <w:rFonts w:ascii="宋体" w:hAnsi="宋体" w:cs="宋体"/>
                <w:szCs w:val="21"/>
              </w:rPr>
            </w:pPr>
            <w:r>
              <w:rPr>
                <w:rFonts w:hint="eastAsia" w:ascii="宋体" w:hAnsi="宋体" w:cs="宋体"/>
                <w:szCs w:val="21"/>
              </w:rPr>
              <w:t>6000个（时间、电阻值、电压值、温度、比较阈值、判断结果）</w:t>
            </w:r>
          </w:p>
        </w:tc>
      </w:tr>
      <w:tr w14:paraId="7F0A6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5B75331E">
            <w:pPr>
              <w:pStyle w:val="148"/>
              <w:spacing w:line="360" w:lineRule="auto"/>
              <w:ind w:firstLine="0" w:firstLineChars="0"/>
              <w:jc w:val="center"/>
              <w:rPr>
                <w:rFonts w:ascii="宋体" w:hAnsi="宋体" w:cs="宋体"/>
                <w:szCs w:val="21"/>
              </w:rPr>
            </w:pPr>
            <w:r>
              <w:rPr>
                <w:rFonts w:hint="eastAsia" w:ascii="宋体" w:hAnsi="宋体" w:cs="宋体"/>
                <w:szCs w:val="21"/>
              </w:rPr>
              <w:t>通讯接口</w:t>
            </w:r>
          </w:p>
        </w:tc>
        <w:tc>
          <w:tcPr>
            <w:tcW w:w="6713" w:type="dxa"/>
          </w:tcPr>
          <w:p w14:paraId="6B4524F5">
            <w:pPr>
              <w:pStyle w:val="148"/>
              <w:spacing w:line="360" w:lineRule="auto"/>
              <w:ind w:firstLine="0" w:firstLineChars="0"/>
              <w:rPr>
                <w:rFonts w:ascii="宋体" w:hAnsi="宋体" w:cs="宋体"/>
                <w:szCs w:val="21"/>
              </w:rPr>
            </w:pPr>
            <w:r>
              <w:rPr>
                <w:rFonts w:hint="eastAsia" w:ascii="宋体" w:hAnsi="宋体" w:cs="宋体"/>
                <w:szCs w:val="21"/>
              </w:rPr>
              <w:t>USB（数据传输至PC/标配专用软件），Bluetooth®4.0LE (Bluetooth® SMART), 适用设备：安装了iOS8以上, Android™4.3以上的智能手机/平板设备 GENNECT Cross (免费下载): 测量值的列表显示、报告制作、趋势显示（仅限PC应用软件）</w:t>
            </w:r>
          </w:p>
        </w:tc>
      </w:tr>
      <w:tr w14:paraId="1962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14:paraId="0BDA412F">
            <w:pPr>
              <w:spacing w:line="360" w:lineRule="auto"/>
              <w:jc w:val="center"/>
              <w:rPr>
                <w:rFonts w:ascii="宋体" w:hAnsi="宋体" w:cs="宋体"/>
                <w:szCs w:val="21"/>
              </w:rPr>
            </w:pPr>
            <w:r>
              <w:rPr>
                <w:rFonts w:hint="eastAsia" w:ascii="宋体" w:hAnsi="宋体" w:cs="宋体"/>
                <w:szCs w:val="21"/>
              </w:rPr>
              <w:t>其他功能</w:t>
            </w:r>
          </w:p>
        </w:tc>
        <w:tc>
          <w:tcPr>
            <w:tcW w:w="6713" w:type="dxa"/>
            <w:vAlign w:val="center"/>
          </w:tcPr>
          <w:p w14:paraId="1B909CE7">
            <w:pPr>
              <w:spacing w:line="360" w:lineRule="auto"/>
              <w:rPr>
                <w:rFonts w:ascii="宋体" w:hAnsi="宋体" w:cs="宋体"/>
                <w:szCs w:val="21"/>
              </w:rPr>
            </w:pPr>
            <w:r>
              <w:rPr>
                <w:rFonts w:hint="eastAsia" w:ascii="宋体" w:hAnsi="宋体" w:cs="宋体"/>
                <w:szCs w:val="21"/>
              </w:rPr>
              <w:t>温度测量(-10.0～60.0°C)、调零、保持、自动保持、自动存储、自动省电、时钟</w:t>
            </w:r>
          </w:p>
        </w:tc>
      </w:tr>
      <w:tr w14:paraId="77F9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14:paraId="5B6DDFCE">
            <w:pPr>
              <w:spacing w:line="360" w:lineRule="auto"/>
              <w:jc w:val="center"/>
              <w:rPr>
                <w:rFonts w:ascii="宋体" w:hAnsi="宋体" w:cs="宋体"/>
                <w:szCs w:val="21"/>
              </w:rPr>
            </w:pPr>
            <w:r>
              <w:rPr>
                <w:rFonts w:hint="eastAsia" w:ascii="宋体" w:hAnsi="宋体" w:cs="宋体"/>
                <w:szCs w:val="21"/>
              </w:rPr>
              <w:t>电源</w:t>
            </w:r>
          </w:p>
        </w:tc>
        <w:tc>
          <w:tcPr>
            <w:tcW w:w="6713" w:type="dxa"/>
            <w:vAlign w:val="center"/>
          </w:tcPr>
          <w:p w14:paraId="4F2C24F7">
            <w:pPr>
              <w:spacing w:line="360" w:lineRule="auto"/>
              <w:rPr>
                <w:rFonts w:ascii="宋体" w:hAnsi="宋体" w:cs="宋体"/>
                <w:szCs w:val="21"/>
              </w:rPr>
            </w:pPr>
            <w:r>
              <w:rPr>
                <w:rFonts w:hint="eastAsia" w:ascii="宋体" w:hAnsi="宋体" w:cs="宋体"/>
                <w:szCs w:val="21"/>
              </w:rPr>
              <w:t>5号碱性电池（LR6）×8，连接使用时间：≧8.5小时</w:t>
            </w:r>
          </w:p>
        </w:tc>
      </w:tr>
      <w:tr w14:paraId="763A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6BC7E793">
            <w:pPr>
              <w:pStyle w:val="148"/>
              <w:spacing w:line="360" w:lineRule="auto"/>
              <w:ind w:firstLine="0" w:firstLineChars="0"/>
              <w:jc w:val="center"/>
              <w:rPr>
                <w:rFonts w:ascii="宋体" w:hAnsi="宋体" w:cs="宋体"/>
                <w:szCs w:val="21"/>
              </w:rPr>
            </w:pPr>
            <w:r>
              <w:rPr>
                <w:rFonts w:hint="eastAsia" w:ascii="宋体" w:hAnsi="宋体" w:cs="宋体"/>
                <w:szCs w:val="21"/>
              </w:rPr>
              <w:t>体积及重量</w:t>
            </w:r>
          </w:p>
        </w:tc>
        <w:tc>
          <w:tcPr>
            <w:tcW w:w="6713" w:type="dxa"/>
          </w:tcPr>
          <w:p w14:paraId="377738CF">
            <w:pPr>
              <w:pStyle w:val="148"/>
              <w:spacing w:line="360" w:lineRule="auto"/>
              <w:ind w:firstLine="0" w:firstLineChars="0"/>
              <w:rPr>
                <w:rFonts w:ascii="宋体" w:hAnsi="宋体" w:cs="宋体"/>
                <w:szCs w:val="21"/>
              </w:rPr>
            </w:pPr>
            <w:r>
              <w:rPr>
                <w:rFonts w:hint="eastAsia" w:ascii="宋体" w:hAnsi="宋体" w:cs="宋体"/>
                <w:szCs w:val="21"/>
              </w:rPr>
              <w:t>199W × 132H × 60.6D mm, 947 g (含电池)</w:t>
            </w:r>
          </w:p>
        </w:tc>
      </w:tr>
      <w:tr w14:paraId="1307E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14:paraId="0781C68E">
            <w:pPr>
              <w:spacing w:line="360" w:lineRule="auto"/>
              <w:jc w:val="center"/>
              <w:rPr>
                <w:rFonts w:ascii="宋体" w:hAnsi="宋体" w:cs="宋体"/>
                <w:szCs w:val="21"/>
              </w:rPr>
            </w:pPr>
            <w:r>
              <w:rPr>
                <w:rFonts w:hint="eastAsia" w:ascii="宋体" w:hAnsi="宋体" w:cs="宋体"/>
                <w:szCs w:val="21"/>
              </w:rPr>
              <w:t>附件</w:t>
            </w:r>
          </w:p>
        </w:tc>
        <w:tc>
          <w:tcPr>
            <w:tcW w:w="6713" w:type="dxa"/>
            <w:vAlign w:val="center"/>
          </w:tcPr>
          <w:p w14:paraId="39FCA9EE">
            <w:pPr>
              <w:spacing w:line="360" w:lineRule="auto"/>
              <w:rPr>
                <w:rFonts w:ascii="宋体" w:hAnsi="宋体" w:cs="宋体"/>
                <w:szCs w:val="21"/>
              </w:rPr>
            </w:pPr>
            <w:r>
              <w:rPr>
                <w:rFonts w:hint="eastAsia" w:ascii="宋体" w:hAnsi="宋体" w:cs="宋体"/>
                <w:szCs w:val="21"/>
              </w:rPr>
              <w:t>调零板 ×1, 中文使用说明书 ×1, 应用软件CD ×1, 开机选项贴纸×1, 携带箱×1, 5号碱性电池(LR6) ×8, 保险丝×20, USB连接线×1, L型测试线×1, 针型测试线×1,</w:t>
            </w:r>
            <w:r>
              <w:rPr>
                <w:rFonts w:hint="eastAsia" w:ascii="宋体" w:hAnsi="宋体" w:cs="宋体"/>
                <w:szCs w:val="21"/>
                <w:lang w:val="en-US" w:eastAsia="zh-CN"/>
              </w:rPr>
              <w:t xml:space="preserve"> </w:t>
            </w:r>
            <w:r>
              <w:rPr>
                <w:rFonts w:hint="eastAsia" w:ascii="宋体" w:hAnsi="宋体" w:cs="宋体"/>
                <w:szCs w:val="21"/>
              </w:rPr>
              <w:t>挂绳×1</w:t>
            </w:r>
          </w:p>
        </w:tc>
      </w:tr>
    </w:tbl>
    <w:p w14:paraId="586BFB9A">
      <w:pPr>
        <w:pStyle w:val="2"/>
        <w:widowControl/>
        <w:shd w:val="clear" w:color="auto" w:fill="FFFFFF"/>
        <w:spacing w:before="0" w:after="0" w:line="12" w:lineRule="atLeast"/>
        <w:rPr>
          <w:rFonts w:hint="default" w:cs="宋体"/>
          <w:sz w:val="21"/>
          <w:szCs w:val="21"/>
        </w:rPr>
      </w:pPr>
      <w:r>
        <w:rPr>
          <w:rFonts w:cs="宋体"/>
          <w:kern w:val="2"/>
          <w:sz w:val="21"/>
          <w:szCs w:val="21"/>
        </w:rPr>
        <w:t>2、高精度红外热成像仪</w:t>
      </w:r>
    </w:p>
    <w:p w14:paraId="0C28169F">
      <w:pPr>
        <w:pStyle w:val="2"/>
        <w:shd w:val="clear" w:color="auto" w:fill="FFFFFF"/>
        <w:spacing w:before="0" w:after="0"/>
        <w:rPr>
          <w:rFonts w:hint="default" w:cs="宋体"/>
          <w:b w:val="0"/>
          <w:kern w:val="2"/>
          <w:sz w:val="21"/>
          <w:szCs w:val="21"/>
        </w:rPr>
      </w:pPr>
      <w:r>
        <w:rPr>
          <w:rFonts w:cs="宋体"/>
          <w:b w:val="0"/>
          <w:kern w:val="2"/>
          <w:sz w:val="21"/>
          <w:szCs w:val="21"/>
        </w:rPr>
        <w:t>技术规格要求及参数 ：</w:t>
      </w:r>
    </w:p>
    <w:tbl>
      <w:tblPr>
        <w:tblStyle w:val="36"/>
        <w:tblW w:w="4999" w:type="pct"/>
        <w:tblInd w:w="0" w:type="dxa"/>
        <w:tblLayout w:type="autofit"/>
        <w:tblCellMar>
          <w:top w:w="0" w:type="dxa"/>
          <w:left w:w="0" w:type="dxa"/>
          <w:bottom w:w="0" w:type="dxa"/>
          <w:right w:w="0" w:type="dxa"/>
        </w:tblCellMar>
      </w:tblPr>
      <w:tblGrid>
        <w:gridCol w:w="744"/>
        <w:gridCol w:w="7584"/>
      </w:tblGrid>
      <w:tr w14:paraId="303269EF">
        <w:tblPrEx>
          <w:tblCellMar>
            <w:top w:w="0" w:type="dxa"/>
            <w:left w:w="0" w:type="dxa"/>
            <w:bottom w:w="0" w:type="dxa"/>
            <w:right w:w="0" w:type="dxa"/>
          </w:tblCellMar>
        </w:tblPrEx>
        <w:trPr>
          <w:trHeight w:val="312" w:hRule="atLeast"/>
        </w:trPr>
        <w:tc>
          <w:tcPr>
            <w:tcW w:w="447" w:type="pct"/>
            <w:tcBorders>
              <w:top w:val="single" w:color="000000" w:sz="8" w:space="0"/>
              <w:left w:val="single" w:color="000000" w:sz="8" w:space="0"/>
              <w:bottom w:val="single" w:color="000000" w:sz="4" w:space="0"/>
              <w:right w:val="single" w:color="000000" w:sz="4" w:space="0"/>
            </w:tcBorders>
            <w:shd w:val="clear" w:color="auto" w:fill="D9D9D9"/>
            <w:noWrap/>
            <w:tcMar>
              <w:top w:w="12" w:type="dxa"/>
              <w:left w:w="12" w:type="dxa"/>
              <w:right w:w="12" w:type="dxa"/>
            </w:tcMar>
            <w:vAlign w:val="center"/>
          </w:tcPr>
          <w:p w14:paraId="0BB754C8">
            <w:pPr>
              <w:widowControl/>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4552" w:type="pct"/>
            <w:tcBorders>
              <w:top w:val="single" w:color="000000" w:sz="8" w:space="0"/>
              <w:left w:val="single" w:color="000000" w:sz="4" w:space="0"/>
              <w:bottom w:val="single" w:color="000000" w:sz="4" w:space="0"/>
              <w:right w:val="single" w:color="000000" w:sz="8" w:space="0"/>
            </w:tcBorders>
            <w:shd w:val="clear" w:color="auto" w:fill="D9D9D9"/>
            <w:tcMar>
              <w:top w:w="12" w:type="dxa"/>
              <w:left w:w="12" w:type="dxa"/>
              <w:right w:w="12" w:type="dxa"/>
            </w:tcMar>
            <w:vAlign w:val="center"/>
          </w:tcPr>
          <w:p w14:paraId="74987680">
            <w:pPr>
              <w:widowControl/>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技术参数</w:t>
            </w:r>
          </w:p>
        </w:tc>
      </w:tr>
      <w:tr w14:paraId="08D98BC7">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3B486C6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1DB388B4">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热成像探测器分辨率≥256×192</w:t>
            </w:r>
          </w:p>
        </w:tc>
      </w:tr>
      <w:tr w14:paraId="69C1D815">
        <w:tblPrEx>
          <w:tblCellMar>
            <w:top w:w="0" w:type="dxa"/>
            <w:left w:w="0" w:type="dxa"/>
            <w:bottom w:w="0" w:type="dxa"/>
            <w:right w:w="0" w:type="dxa"/>
          </w:tblCellMar>
        </w:tblPrEx>
        <w:trPr>
          <w:trHeight w:val="576"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30BF70D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4F50B7C8">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为保证产品稳定性，</w:t>
            </w:r>
            <w:r>
              <w:rPr>
                <w:rFonts w:hint="eastAsia" w:ascii="宋体" w:hAnsi="宋体" w:cs="宋体"/>
                <w:color w:val="000000"/>
                <w:kern w:val="0"/>
                <w:szCs w:val="21"/>
                <w:lang w:eastAsia="zh-CN"/>
              </w:rPr>
              <w:t>热成像仪中的</w:t>
            </w:r>
            <w:r>
              <w:rPr>
                <w:rFonts w:hint="eastAsia" w:ascii="宋体" w:hAnsi="宋体" w:cs="宋体"/>
                <w:color w:val="000000"/>
                <w:kern w:val="0"/>
                <w:szCs w:val="21"/>
              </w:rPr>
              <w:t>探测器</w:t>
            </w:r>
            <w:r>
              <w:rPr>
                <w:rFonts w:hint="eastAsia" w:ascii="宋体" w:hAnsi="宋体" w:cs="宋体"/>
                <w:color w:val="000000"/>
                <w:kern w:val="0"/>
                <w:szCs w:val="21"/>
                <w:lang w:eastAsia="zh-CN"/>
              </w:rPr>
              <w:t>需</w:t>
            </w:r>
            <w:r>
              <w:rPr>
                <w:rFonts w:hint="eastAsia" w:ascii="宋体" w:hAnsi="宋体" w:cs="宋体"/>
                <w:color w:val="000000"/>
                <w:kern w:val="0"/>
                <w:szCs w:val="21"/>
              </w:rPr>
              <w:t>和热成像探测器整机由同一厂商生产</w:t>
            </w:r>
          </w:p>
        </w:tc>
      </w:tr>
      <w:tr w14:paraId="4D043549">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6EDF5FC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50D447CC">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显示屏尺寸≥3.2英寸LCD屏</w:t>
            </w:r>
          </w:p>
        </w:tc>
      </w:tr>
      <w:tr w14:paraId="09B6A2E9">
        <w:tblPrEx>
          <w:tblCellMar>
            <w:top w:w="0" w:type="dxa"/>
            <w:left w:w="0" w:type="dxa"/>
            <w:bottom w:w="0" w:type="dxa"/>
            <w:right w:w="0" w:type="dxa"/>
          </w:tblCellMar>
        </w:tblPrEx>
        <w:trPr>
          <w:trHeight w:val="314"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1299E4B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3EE321D3">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热成像镜头焦距检验：</w:t>
            </w:r>
            <w:r>
              <w:rPr>
                <w:rFonts w:hint="eastAsia" w:ascii="宋体" w:hAnsi="宋体" w:cs="宋体"/>
                <w:color w:val="000000"/>
                <w:kern w:val="0"/>
                <w:szCs w:val="21"/>
                <w:highlight w:val="none"/>
              </w:rPr>
              <w:t>3.6mm</w:t>
            </w:r>
          </w:p>
        </w:tc>
      </w:tr>
      <w:tr w14:paraId="232230E1">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7D62103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73AB9E2C">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支持UVC投屏</w:t>
            </w:r>
          </w:p>
        </w:tc>
      </w:tr>
      <w:tr w14:paraId="64C7796A">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294FA9C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72131226">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测温范围：-20℃～550℃；精度±2℃或读数的±2%(取最大值)</w:t>
            </w:r>
          </w:p>
        </w:tc>
      </w:tr>
      <w:tr w14:paraId="1B7EE870">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0AD3BF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6D61A54F">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画面显示模式：不少于融合、热成像、可见光、画中画等4种</w:t>
            </w:r>
          </w:p>
        </w:tc>
      </w:tr>
      <w:tr w14:paraId="62C6BA2F">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1AA70F2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75EC459B">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支持无线WiFi接入；同时可开启热点被其他终端APP接入</w:t>
            </w:r>
          </w:p>
        </w:tc>
      </w:tr>
      <w:tr w14:paraId="21CA4399">
        <w:tblPrEx>
          <w:tblCellMar>
            <w:top w:w="0" w:type="dxa"/>
            <w:left w:w="0" w:type="dxa"/>
            <w:bottom w:w="0" w:type="dxa"/>
            <w:right w:w="0" w:type="dxa"/>
          </w:tblCellMar>
        </w:tblPrEx>
        <w:trPr>
          <w:trHeight w:val="576"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652AA50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02E0F31A">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噪声等效温差（NETD）检验≤20mk；最小可分辨温差（MRTD）检验≤300mk</w:t>
            </w:r>
          </w:p>
        </w:tc>
      </w:tr>
      <w:tr w14:paraId="401AA172">
        <w:tblPrEx>
          <w:tblCellMar>
            <w:top w:w="0" w:type="dxa"/>
            <w:left w:w="0" w:type="dxa"/>
            <w:bottom w:w="0" w:type="dxa"/>
            <w:right w:w="0" w:type="dxa"/>
          </w:tblCellMar>
        </w:tblPrEx>
        <w:trPr>
          <w:trHeight w:val="864"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5872805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59239752">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具有报警功能，当检测到目标温度超过设定警示温度阈值时，可通过 0SD闪烁、目标颜色凸显并给出声音报警和灯光报警，报警条件及报警温度</w:t>
            </w:r>
            <w:r>
              <w:rPr>
                <w:rFonts w:hint="eastAsia" w:ascii="宋体" w:hAnsi="宋体" w:cs="宋体"/>
                <w:color w:val="000000"/>
                <w:kern w:val="0"/>
                <w:szCs w:val="21"/>
                <w:lang w:eastAsia="zh-CN"/>
              </w:rPr>
              <w:t>阈</w:t>
            </w:r>
            <w:r>
              <w:rPr>
                <w:rFonts w:hint="eastAsia" w:ascii="宋体" w:hAnsi="宋体" w:cs="宋体"/>
                <w:color w:val="000000"/>
                <w:kern w:val="0"/>
                <w:szCs w:val="21"/>
              </w:rPr>
              <w:t>值可设置</w:t>
            </w:r>
          </w:p>
        </w:tc>
      </w:tr>
      <w:tr w14:paraId="03065EC7">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568C334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3E8B72DB">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图像格式：带有测温信息的JPEG图像，支持客户端离线分析</w:t>
            </w:r>
          </w:p>
        </w:tc>
      </w:tr>
      <w:tr w14:paraId="2CC0C08B">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10CF1EF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0A646CDD">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测温规则：不少于6个测温点 (中心点，最高温、最低温、3个自定义点)</w:t>
            </w:r>
          </w:p>
        </w:tc>
      </w:tr>
      <w:tr w14:paraId="0487D287">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0B3E322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5F2434A7">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机身存储≥16GB内置emmc</w:t>
            </w:r>
          </w:p>
        </w:tc>
      </w:tr>
      <w:tr w14:paraId="3B777A8A">
        <w:tblPrEx>
          <w:tblCellMar>
            <w:top w:w="0" w:type="dxa"/>
            <w:left w:w="0" w:type="dxa"/>
            <w:bottom w:w="0" w:type="dxa"/>
            <w:right w:w="0" w:type="dxa"/>
          </w:tblCellMar>
        </w:tblPrEx>
        <w:trPr>
          <w:trHeight w:val="576"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1096911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43A58A7A">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使用内置电池供电，连续稳定工作时间应不小于6h</w:t>
            </w:r>
          </w:p>
        </w:tc>
      </w:tr>
      <w:tr w14:paraId="387A643F">
        <w:tblPrEx>
          <w:tblCellMar>
            <w:top w:w="0" w:type="dxa"/>
            <w:left w:w="0" w:type="dxa"/>
            <w:bottom w:w="0" w:type="dxa"/>
            <w:right w:w="0" w:type="dxa"/>
          </w:tblCellMar>
        </w:tblPrEx>
        <w:trPr>
          <w:trHeight w:val="350"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57000C7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35C5E13C">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质量检验：≤</w:t>
            </w:r>
            <w:r>
              <w:rPr>
                <w:rFonts w:hint="eastAsia" w:ascii="宋体" w:hAnsi="宋体" w:cs="宋体"/>
                <w:color w:val="000000"/>
                <w:kern w:val="0"/>
                <w:szCs w:val="21"/>
                <w:lang w:val="en-US" w:eastAsia="zh-CN"/>
              </w:rPr>
              <w:t>400</w:t>
            </w:r>
            <w:r>
              <w:rPr>
                <w:rFonts w:hint="eastAsia" w:ascii="宋体" w:hAnsi="宋体" w:cs="宋体"/>
                <w:color w:val="000000"/>
                <w:kern w:val="0"/>
                <w:szCs w:val="21"/>
              </w:rPr>
              <w:t>g（含电池）</w:t>
            </w:r>
          </w:p>
        </w:tc>
      </w:tr>
      <w:tr w14:paraId="0637F753">
        <w:tblPrEx>
          <w:tblCellMar>
            <w:top w:w="0" w:type="dxa"/>
            <w:left w:w="0" w:type="dxa"/>
            <w:bottom w:w="0" w:type="dxa"/>
            <w:right w:w="0" w:type="dxa"/>
          </w:tblCellMar>
        </w:tblPrEx>
        <w:trPr>
          <w:trHeight w:val="288"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17FC314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32C3F4C2">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防护等级：IP54</w:t>
            </w:r>
          </w:p>
        </w:tc>
      </w:tr>
      <w:tr w14:paraId="4D8E114F">
        <w:tblPrEx>
          <w:tblCellMar>
            <w:top w:w="0" w:type="dxa"/>
            <w:left w:w="0" w:type="dxa"/>
            <w:bottom w:w="0" w:type="dxa"/>
            <w:right w:w="0" w:type="dxa"/>
          </w:tblCellMar>
        </w:tblPrEx>
        <w:trPr>
          <w:trHeight w:val="326"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7AA6381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4552" w:type="pc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bottom"/>
          </w:tcPr>
          <w:p w14:paraId="45E781BA">
            <w:pPr>
              <w:widowControl/>
              <w:spacing w:line="360" w:lineRule="auto"/>
              <w:jc w:val="left"/>
              <w:textAlignment w:val="bottom"/>
              <w:rPr>
                <w:rFonts w:ascii="宋体" w:hAnsi="宋体" w:cs="宋体"/>
                <w:color w:val="000000"/>
                <w:szCs w:val="21"/>
              </w:rPr>
            </w:pPr>
            <w:r>
              <w:rPr>
                <w:rFonts w:hint="eastAsia" w:ascii="宋体" w:hAnsi="宋体" w:cs="宋体"/>
                <w:color w:val="000000"/>
                <w:kern w:val="0"/>
                <w:szCs w:val="21"/>
              </w:rPr>
              <w:t>测温响应时间检验≤400ms</w:t>
            </w:r>
          </w:p>
        </w:tc>
      </w:tr>
      <w:tr w14:paraId="2C0CB53A">
        <w:tblPrEx>
          <w:tblCellMar>
            <w:top w:w="0" w:type="dxa"/>
            <w:left w:w="0" w:type="dxa"/>
            <w:bottom w:w="0" w:type="dxa"/>
            <w:right w:w="0" w:type="dxa"/>
          </w:tblCellMar>
        </w:tblPrEx>
        <w:trPr>
          <w:trHeight w:val="345" w:hRule="atLeast"/>
        </w:trPr>
        <w:tc>
          <w:tcPr>
            <w:tcW w:w="447" w:type="pc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14:paraId="2562322A">
            <w:pPr>
              <w:widowControl/>
              <w:spacing w:line="360" w:lineRule="auto"/>
              <w:jc w:val="center"/>
              <w:textAlignment w:val="center"/>
              <w:rPr>
                <w:rFonts w:hint="default" w:ascii="宋体" w:hAnsi="宋体" w:eastAsia="宋体" w:cs="宋体"/>
                <w:color w:val="000000"/>
                <w:szCs w:val="21"/>
                <w:lang w:val="en-US" w:eastAsia="zh-CN"/>
              </w:rPr>
            </w:pPr>
            <w:r>
              <w:rPr>
                <w:rFonts w:hint="eastAsia" w:ascii="宋体" w:hAnsi="宋体" w:cs="宋体"/>
                <w:szCs w:val="21"/>
                <w:lang w:val="en-US" w:eastAsia="zh-CN"/>
              </w:rPr>
              <w:t>18</w:t>
            </w:r>
          </w:p>
        </w:tc>
        <w:tc>
          <w:tcPr>
            <w:tcW w:w="4552" w:type="pct"/>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bottom"/>
          </w:tcPr>
          <w:p w14:paraId="16387B1C">
            <w:pPr>
              <w:widowControl/>
              <w:spacing w:line="360" w:lineRule="auto"/>
              <w:jc w:val="left"/>
              <w:textAlignment w:val="bottom"/>
              <w:rPr>
                <w:rFonts w:ascii="宋体" w:hAnsi="宋体" w:cs="宋体"/>
                <w:color w:val="000000"/>
                <w:szCs w:val="21"/>
              </w:rPr>
            </w:pPr>
            <w:r>
              <w:rPr>
                <w:rFonts w:hint="eastAsia" w:ascii="宋体" w:hAnsi="宋体" w:cs="宋体"/>
                <w:szCs w:val="21"/>
                <w:lang w:eastAsia="zh-CN"/>
              </w:rPr>
              <w:t>配件：</w:t>
            </w:r>
            <w:r>
              <w:rPr>
                <w:rFonts w:hint="eastAsia" w:ascii="宋体" w:hAnsi="宋体" w:cs="宋体"/>
                <w:szCs w:val="21"/>
              </w:rPr>
              <w:t>中文使用说明书</w:t>
            </w:r>
            <w:r>
              <w:rPr>
                <w:rFonts w:hint="eastAsia" w:ascii="宋体" w:hAnsi="宋体" w:cs="宋体"/>
                <w:szCs w:val="21"/>
                <w:lang w:eastAsia="zh-CN"/>
              </w:rPr>
              <w:t>；电源适配器</w:t>
            </w:r>
          </w:p>
        </w:tc>
      </w:tr>
    </w:tbl>
    <w:p w14:paraId="0BA3B139">
      <w:pPr>
        <w:numPr>
          <w:ilvl w:val="0"/>
          <w:numId w:val="12"/>
        </w:numPr>
        <w:tabs>
          <w:tab w:val="left" w:pos="420"/>
        </w:tabs>
        <w:snapToGrid w:val="0"/>
        <w:spacing w:line="360" w:lineRule="auto"/>
        <w:rPr>
          <w:rFonts w:ascii="宋体" w:hAnsi="宋体"/>
          <w:b/>
          <w:szCs w:val="21"/>
        </w:rPr>
      </w:pPr>
      <w:r>
        <w:rPr>
          <w:rFonts w:hint="eastAsia" w:ascii="宋体" w:hAnsi="宋体"/>
          <w:b/>
          <w:szCs w:val="21"/>
        </w:rPr>
        <w:t>报价要求</w:t>
      </w:r>
    </w:p>
    <w:p w14:paraId="5B60FA84">
      <w:pPr>
        <w:widowControl/>
        <w:spacing w:line="360" w:lineRule="auto"/>
        <w:ind w:firstLine="420" w:firstLineChars="200"/>
        <w:rPr>
          <w:rFonts w:hint="eastAsia" w:ascii="宋体" w:hAnsi="宋体" w:cs="Courier New"/>
          <w:szCs w:val="21"/>
        </w:rPr>
      </w:pPr>
      <w:r>
        <w:rPr>
          <w:rFonts w:hint="eastAsia" w:ascii="宋体" w:hAnsi="宋体"/>
          <w:szCs w:val="21"/>
        </w:rPr>
        <w:t xml:space="preserve"> 报价方式为广</w:t>
      </w:r>
      <w:r>
        <w:rPr>
          <w:rFonts w:hint="eastAsia" w:ascii="宋体" w:hAnsi="宋体" w:cs="Courier New"/>
          <w:szCs w:val="21"/>
        </w:rPr>
        <w:t>东省</w:t>
      </w:r>
      <w:r>
        <w:rPr>
          <w:rFonts w:hint="eastAsia" w:ascii="宋体" w:hAnsi="宋体"/>
          <w:szCs w:val="21"/>
        </w:rPr>
        <w:t>佛山市</w:t>
      </w:r>
      <w:r>
        <w:rPr>
          <w:rFonts w:hint="eastAsia" w:ascii="宋体" w:hAnsi="宋体" w:cs="Courier New"/>
          <w:szCs w:val="21"/>
        </w:rPr>
        <w:t>目的地验收交付价（含税）。报价以人民币为结算货币。所报货物单价包括原材料费、制作加工费、零配件的购置和包装费、运输费、保险费、装卸费、培训辅导、质保期售后服务、税费等以及采购人在成交人完全履行本合同约定义务后应向成交人支付的所有相关款项和费用。</w:t>
      </w:r>
    </w:p>
    <w:p w14:paraId="0232C846">
      <w:pPr>
        <w:numPr>
          <w:ilvl w:val="0"/>
          <w:numId w:val="12"/>
        </w:numPr>
        <w:tabs>
          <w:tab w:val="left" w:pos="420"/>
        </w:tabs>
        <w:snapToGrid w:val="0"/>
        <w:spacing w:line="360" w:lineRule="auto"/>
        <w:rPr>
          <w:rFonts w:ascii="宋体" w:hAnsi="宋体"/>
          <w:b/>
          <w:szCs w:val="21"/>
        </w:rPr>
      </w:pPr>
      <w:r>
        <w:rPr>
          <w:rFonts w:hint="eastAsia" w:ascii="宋体" w:hAnsi="宋体"/>
          <w:b/>
          <w:szCs w:val="21"/>
        </w:rPr>
        <w:t>付款方式</w:t>
      </w:r>
    </w:p>
    <w:p w14:paraId="71C2E89B">
      <w:pPr>
        <w:pStyle w:val="16"/>
        <w:numPr>
          <w:ilvl w:val="1"/>
          <w:numId w:val="13"/>
        </w:numPr>
        <w:spacing w:line="360" w:lineRule="auto"/>
        <w:rPr>
          <w:rFonts w:hAnsi="宋体"/>
          <w:sz w:val="21"/>
        </w:rPr>
      </w:pPr>
      <w:r>
        <w:rPr>
          <w:rFonts w:hint="eastAsia" w:hAnsi="宋体"/>
          <w:sz w:val="21"/>
        </w:rPr>
        <w:t>采购人按照以下方式向成交人付款：</w:t>
      </w:r>
    </w:p>
    <w:p w14:paraId="200A1C69">
      <w:pPr>
        <w:spacing w:line="360" w:lineRule="auto"/>
        <w:ind w:firstLine="493" w:firstLineChars="235"/>
        <w:rPr>
          <w:rFonts w:ascii="宋体" w:hAnsi="宋体"/>
          <w:szCs w:val="21"/>
        </w:rPr>
      </w:pPr>
      <w:r>
        <w:rPr>
          <w:rFonts w:hint="eastAsia" w:ascii="宋体" w:hAnsi="宋体"/>
          <w:szCs w:val="21"/>
        </w:rPr>
        <w:t>第一期：成交人自采购货物经采购人验收合格之日起</w:t>
      </w:r>
      <w:r>
        <w:rPr>
          <w:rFonts w:hint="cs" w:ascii="宋体" w:hAnsi="宋体"/>
          <w:szCs w:val="21"/>
          <w:cs/>
        </w:rPr>
        <w:t>1</w:t>
      </w:r>
      <w:r>
        <w:rPr>
          <w:rFonts w:hint="eastAsia" w:ascii="宋体" w:hAnsi="宋体"/>
          <w:szCs w:val="21"/>
        </w:rPr>
        <w:t>个月内，提供采购货物的全额增值税专用发票给采购人，采购人自收到合法有效发票之日起3个月内，支付相应货款的【</w:t>
      </w:r>
      <w:r>
        <w:rPr>
          <w:rFonts w:ascii="宋体" w:hAnsi="宋体"/>
          <w:szCs w:val="21"/>
        </w:rPr>
        <w:t>95</w:t>
      </w:r>
      <w:r>
        <w:rPr>
          <w:rFonts w:hint="eastAsia" w:ascii="宋体" w:hAnsi="宋体"/>
          <w:szCs w:val="21"/>
        </w:rPr>
        <w:t>%】。</w:t>
      </w:r>
    </w:p>
    <w:p w14:paraId="4A31F26D">
      <w:pPr>
        <w:spacing w:line="360" w:lineRule="auto"/>
        <w:ind w:firstLine="493" w:firstLineChars="235"/>
        <w:rPr>
          <w:rFonts w:ascii="宋体" w:hAnsi="宋体"/>
          <w:szCs w:val="21"/>
        </w:rPr>
      </w:pPr>
      <w:r>
        <w:rPr>
          <w:rFonts w:hint="eastAsia" w:ascii="宋体" w:hAnsi="宋体"/>
          <w:szCs w:val="21"/>
        </w:rPr>
        <w:t>第二期：剩余【5%】货款为质量保证金（即质保金），如无质量问题，质保期满后</w:t>
      </w:r>
      <w:r>
        <w:rPr>
          <w:rFonts w:ascii="宋体" w:hAnsi="宋体"/>
          <w:szCs w:val="21"/>
        </w:rPr>
        <w:t>3</w:t>
      </w:r>
      <w:r>
        <w:rPr>
          <w:rFonts w:hint="eastAsia" w:ascii="宋体" w:hAnsi="宋体"/>
          <w:szCs w:val="21"/>
        </w:rPr>
        <w:t>个月内无息支付。</w:t>
      </w:r>
    </w:p>
    <w:p w14:paraId="49F3F2CA">
      <w:pPr>
        <w:pStyle w:val="16"/>
        <w:numPr>
          <w:ilvl w:val="1"/>
          <w:numId w:val="13"/>
        </w:numPr>
        <w:spacing w:line="360" w:lineRule="auto"/>
        <w:rPr>
          <w:rFonts w:hAnsi="宋体"/>
          <w:sz w:val="21"/>
        </w:rPr>
      </w:pPr>
      <w:r>
        <w:rPr>
          <w:rFonts w:hint="eastAsia" w:hAnsi="宋体"/>
          <w:sz w:val="21"/>
        </w:rPr>
        <w:t>成交人须按照采购人要求提供合法增值税专用发票，否则，采购人有权延期付款，由此造成迟延付款的责任由成交人自行承担。</w:t>
      </w:r>
    </w:p>
    <w:p w14:paraId="318CE310">
      <w:pPr>
        <w:pStyle w:val="16"/>
        <w:numPr>
          <w:ilvl w:val="1"/>
          <w:numId w:val="13"/>
        </w:numPr>
        <w:spacing w:line="360" w:lineRule="auto"/>
        <w:rPr>
          <w:rFonts w:hAnsi="宋体"/>
          <w:sz w:val="21"/>
        </w:rPr>
      </w:pPr>
      <w:r>
        <w:rPr>
          <w:rFonts w:hint="eastAsia" w:hAnsi="宋体"/>
          <w:sz w:val="21"/>
        </w:rPr>
        <w:t xml:space="preserve">出现国家税收政策调整时，双方应根据实际税收调整情况，以货物不含税单价为依据相应调整受影响的含税金额，成交人需按照税收调整政策规定开具合法合规发票。 </w:t>
      </w:r>
    </w:p>
    <w:p w14:paraId="40484CAD">
      <w:pPr>
        <w:numPr>
          <w:ilvl w:val="0"/>
          <w:numId w:val="12"/>
        </w:numPr>
        <w:tabs>
          <w:tab w:val="left" w:pos="420"/>
        </w:tabs>
        <w:snapToGrid w:val="0"/>
        <w:spacing w:line="360" w:lineRule="auto"/>
        <w:rPr>
          <w:rFonts w:ascii="宋体" w:hAnsi="宋体"/>
          <w:b/>
          <w:szCs w:val="21"/>
        </w:rPr>
      </w:pPr>
      <w:r>
        <w:rPr>
          <w:rFonts w:hint="eastAsia" w:ascii="宋体" w:hAnsi="宋体"/>
          <w:b/>
          <w:szCs w:val="21"/>
        </w:rPr>
        <w:t>包装和运输</w:t>
      </w:r>
    </w:p>
    <w:p w14:paraId="21DD3043">
      <w:pPr>
        <w:pStyle w:val="148"/>
        <w:numPr>
          <w:ilvl w:val="0"/>
          <w:numId w:val="14"/>
        </w:numPr>
        <w:spacing w:line="360" w:lineRule="auto"/>
        <w:ind w:firstLineChars="0"/>
        <w:rPr>
          <w:rFonts w:ascii="宋体" w:hAnsi="宋体"/>
          <w:vanish/>
          <w:szCs w:val="21"/>
        </w:rPr>
      </w:pPr>
    </w:p>
    <w:p w14:paraId="42C00FD7">
      <w:pPr>
        <w:pStyle w:val="16"/>
        <w:numPr>
          <w:ilvl w:val="1"/>
          <w:numId w:val="14"/>
        </w:numPr>
        <w:spacing w:line="360" w:lineRule="auto"/>
        <w:rPr>
          <w:rFonts w:hAnsi="宋体"/>
          <w:sz w:val="21"/>
        </w:rPr>
      </w:pPr>
      <w:r>
        <w:rPr>
          <w:rFonts w:hint="eastAsia" w:hAnsi="宋体"/>
          <w:sz w:val="21"/>
        </w:rPr>
        <w:t>成交人应根据货物特点对货物进行坚固包装使其防水、防潮、防腐、防锈、防震等，并适于货物装卸和运输要求。凡因包装不善致使货物遭到损坏或丢失的，由成交人承担责任。</w:t>
      </w:r>
    </w:p>
    <w:p w14:paraId="3959CF0C">
      <w:pPr>
        <w:pStyle w:val="16"/>
        <w:numPr>
          <w:ilvl w:val="1"/>
          <w:numId w:val="14"/>
        </w:numPr>
        <w:spacing w:line="360" w:lineRule="auto"/>
        <w:rPr>
          <w:rFonts w:hAnsi="宋体"/>
          <w:sz w:val="21"/>
        </w:rPr>
      </w:pPr>
      <w:r>
        <w:rPr>
          <w:rFonts w:hint="eastAsia" w:hAnsi="宋体"/>
          <w:sz w:val="21"/>
        </w:rPr>
        <w:t>包装标准为原厂制造商未启封全新包装，序列号、包装箱号与出厂批号一致，并可追索查阅。包装物成交人不回收。</w:t>
      </w:r>
    </w:p>
    <w:p w14:paraId="48F0CA83">
      <w:pPr>
        <w:numPr>
          <w:ilvl w:val="0"/>
          <w:numId w:val="12"/>
        </w:numPr>
        <w:tabs>
          <w:tab w:val="left" w:pos="420"/>
        </w:tabs>
        <w:snapToGrid w:val="0"/>
        <w:spacing w:line="360" w:lineRule="auto"/>
        <w:rPr>
          <w:rFonts w:ascii="宋体" w:hAnsi="宋体"/>
          <w:b/>
          <w:szCs w:val="21"/>
        </w:rPr>
      </w:pPr>
      <w:r>
        <w:rPr>
          <w:rFonts w:hint="eastAsia" w:ascii="宋体" w:hAnsi="宋体"/>
          <w:b/>
          <w:szCs w:val="21"/>
        </w:rPr>
        <w:t>交付验收</w:t>
      </w:r>
    </w:p>
    <w:p w14:paraId="5B95CDC5">
      <w:pPr>
        <w:pStyle w:val="148"/>
        <w:numPr>
          <w:ilvl w:val="0"/>
          <w:numId w:val="14"/>
        </w:numPr>
        <w:spacing w:line="360" w:lineRule="auto"/>
        <w:ind w:firstLineChars="0"/>
        <w:rPr>
          <w:rFonts w:ascii="宋体" w:hAnsi="宋体"/>
          <w:vanish/>
          <w:szCs w:val="21"/>
        </w:rPr>
      </w:pPr>
    </w:p>
    <w:p w14:paraId="507AF15F">
      <w:pPr>
        <w:pStyle w:val="16"/>
        <w:numPr>
          <w:ilvl w:val="1"/>
          <w:numId w:val="14"/>
        </w:numPr>
        <w:spacing w:line="360" w:lineRule="auto"/>
        <w:rPr>
          <w:rFonts w:hAnsi="宋体"/>
          <w:sz w:val="21"/>
        </w:rPr>
      </w:pPr>
      <w:r>
        <w:rPr>
          <w:rFonts w:hint="eastAsia" w:hAnsi="宋体"/>
          <w:sz w:val="21"/>
        </w:rPr>
        <w:t>交货时间：</w:t>
      </w:r>
      <w:r>
        <w:rPr>
          <w:rFonts w:hint="eastAsia" w:hAnsi="宋体"/>
          <w:b/>
          <w:bCs/>
          <w:sz w:val="21"/>
        </w:rPr>
        <w:t>成交人按采购人要求在合同生效后【30】天内完成供货</w:t>
      </w:r>
      <w:r>
        <w:rPr>
          <w:rFonts w:hint="eastAsia" w:hAnsi="宋体"/>
          <w:sz w:val="21"/>
        </w:rPr>
        <w:t>。</w:t>
      </w:r>
    </w:p>
    <w:p w14:paraId="74F9282C">
      <w:pPr>
        <w:pStyle w:val="16"/>
        <w:numPr>
          <w:ilvl w:val="1"/>
          <w:numId w:val="14"/>
        </w:numPr>
        <w:spacing w:line="360" w:lineRule="auto"/>
        <w:rPr>
          <w:rFonts w:hAnsi="宋体"/>
          <w:sz w:val="21"/>
        </w:rPr>
      </w:pPr>
      <w:r>
        <w:rPr>
          <w:rFonts w:hint="eastAsia" w:hAnsi="宋体"/>
          <w:sz w:val="21"/>
        </w:rPr>
        <w:t>交货地点：按采购人要求将货物送到大良延年路11-2号或采购人指定收货地点。成交人须出具送货单，由采购人收货人员签收。如果发现货物短缺、毁损等与合同约定不符的情况，采购人有权拒收。</w:t>
      </w:r>
    </w:p>
    <w:p w14:paraId="0DF97FC9">
      <w:pPr>
        <w:pStyle w:val="16"/>
        <w:numPr>
          <w:ilvl w:val="1"/>
          <w:numId w:val="14"/>
        </w:numPr>
        <w:spacing w:line="360" w:lineRule="auto"/>
        <w:rPr>
          <w:rFonts w:hAnsi="宋体"/>
        </w:rPr>
      </w:pPr>
      <w:r>
        <w:rPr>
          <w:rFonts w:hint="eastAsia" w:hAnsi="宋体"/>
          <w:sz w:val="21"/>
        </w:rPr>
        <w:t>送货单/收货单签收仅视为采购人确认货物的数量、外观等外在情况符合要求，非采购人对货物质量的确认，货物质量的确认以采购人另行出具的书面验收结论报告为准。送货单/收货单的签署不使采购人丧失因质量问题而向成交人索赔和求偿的权利，同时不免除成交人对于货物质量缺陷或瑕疵负有的相应担保责任</w:t>
      </w:r>
      <w:r>
        <w:rPr>
          <w:rFonts w:hint="eastAsia" w:hAnsi="宋体"/>
        </w:rPr>
        <w:t>。</w:t>
      </w:r>
    </w:p>
    <w:p w14:paraId="49DD0A08">
      <w:pPr>
        <w:pStyle w:val="16"/>
        <w:numPr>
          <w:ilvl w:val="1"/>
          <w:numId w:val="14"/>
        </w:numPr>
        <w:spacing w:line="360" w:lineRule="auto"/>
        <w:rPr>
          <w:rFonts w:hAnsi="宋体"/>
          <w:sz w:val="21"/>
        </w:rPr>
      </w:pPr>
      <w:r>
        <w:rPr>
          <w:rFonts w:hint="eastAsia" w:hAnsi="宋体"/>
          <w:sz w:val="21"/>
        </w:rPr>
        <w:t>采购人签收货物后（如需安装调试的货物在安装调试完成后）采购人根据货物检验结果出具书面到货验收结论，货物质量的确认以采购人出具的书面验收结论为准。对验收不通过的，成交人需在7个自然日内进行更换，更换货物所产生的费用由成交人自行承担。</w:t>
      </w:r>
    </w:p>
    <w:p w14:paraId="2CB4F966">
      <w:pPr>
        <w:pStyle w:val="16"/>
        <w:numPr>
          <w:ilvl w:val="1"/>
          <w:numId w:val="14"/>
        </w:numPr>
        <w:spacing w:line="360" w:lineRule="auto"/>
        <w:rPr>
          <w:rFonts w:hAnsi="宋体"/>
          <w:sz w:val="21"/>
        </w:rPr>
      </w:pPr>
      <w:r>
        <w:rPr>
          <w:rFonts w:hint="eastAsia" w:hAnsi="宋体"/>
          <w:sz w:val="21"/>
        </w:rPr>
        <w:t>如采购人因成交人交货不符合合同要求或双方约定的质量、规格等原因而拒收或者解除合同的，货物毁损、灭失的风险、迟交货责任由成交人自行承担。</w:t>
      </w:r>
    </w:p>
    <w:p w14:paraId="1D400632">
      <w:pPr>
        <w:numPr>
          <w:ilvl w:val="0"/>
          <w:numId w:val="12"/>
        </w:numPr>
        <w:tabs>
          <w:tab w:val="left" w:pos="420"/>
        </w:tabs>
        <w:snapToGrid w:val="0"/>
        <w:spacing w:line="360" w:lineRule="auto"/>
        <w:rPr>
          <w:rFonts w:ascii="宋体" w:hAnsi="宋体"/>
          <w:b/>
          <w:szCs w:val="21"/>
        </w:rPr>
      </w:pPr>
      <w:r>
        <w:rPr>
          <w:rFonts w:hint="eastAsia" w:ascii="宋体" w:hAnsi="宋体"/>
          <w:b/>
          <w:szCs w:val="21"/>
        </w:rPr>
        <w:t>货物质量要求</w:t>
      </w:r>
    </w:p>
    <w:p w14:paraId="3C505875">
      <w:pPr>
        <w:pStyle w:val="148"/>
        <w:numPr>
          <w:ilvl w:val="0"/>
          <w:numId w:val="14"/>
        </w:numPr>
        <w:spacing w:line="360" w:lineRule="auto"/>
        <w:ind w:firstLineChars="0"/>
        <w:rPr>
          <w:rFonts w:ascii="宋体" w:hAnsi="宋体"/>
          <w:vanish/>
          <w:szCs w:val="21"/>
        </w:rPr>
      </w:pPr>
    </w:p>
    <w:p w14:paraId="206FDD0B">
      <w:pPr>
        <w:pStyle w:val="16"/>
        <w:numPr>
          <w:ilvl w:val="1"/>
          <w:numId w:val="14"/>
        </w:numPr>
        <w:spacing w:line="360" w:lineRule="auto"/>
        <w:rPr>
          <w:rFonts w:hAnsi="宋体"/>
          <w:sz w:val="21"/>
        </w:rPr>
      </w:pPr>
      <w:r>
        <w:rPr>
          <w:rFonts w:hint="eastAsia" w:hAnsi="宋体"/>
          <w:sz w:val="21"/>
        </w:rPr>
        <w:t>货物适用下列技术和质量标准(以其中标准最高者为准)：①符合中华人民共和国国家和履约地相关安全质量标准、行业技术规范标准、环保节能标准；②符合采购人采购文件和响应承诺中合同约定的合理最佳配置、参数规格及各项要求；③符合产品来源国官方颁布的最新标准；④双方约定的质量标准。</w:t>
      </w:r>
    </w:p>
    <w:p w14:paraId="6FD67E20">
      <w:pPr>
        <w:pStyle w:val="16"/>
        <w:numPr>
          <w:ilvl w:val="1"/>
          <w:numId w:val="14"/>
        </w:numPr>
        <w:spacing w:line="360" w:lineRule="auto"/>
        <w:rPr>
          <w:rFonts w:hAnsi="宋体"/>
          <w:sz w:val="21"/>
        </w:rPr>
      </w:pPr>
      <w:r>
        <w:rPr>
          <w:rFonts w:hint="eastAsia" w:hAnsi="宋体"/>
          <w:sz w:val="21"/>
        </w:rPr>
        <w:t>中国境内制造的产品必须提供出厂合格证。关键产品/主机设备的用户手册、保修手册、有关单证资料及配备件、随机工具等，使用操作及安全须知等重要资料应附有中文说明。</w:t>
      </w:r>
    </w:p>
    <w:p w14:paraId="7E933D57">
      <w:pPr>
        <w:pStyle w:val="16"/>
        <w:numPr>
          <w:ilvl w:val="1"/>
          <w:numId w:val="14"/>
        </w:numPr>
        <w:spacing w:line="360" w:lineRule="auto"/>
        <w:rPr>
          <w:rFonts w:hAnsi="宋体"/>
          <w:sz w:val="21"/>
        </w:rPr>
      </w:pPr>
      <w:r>
        <w:rPr>
          <w:rFonts w:hint="eastAsia" w:hAnsi="宋体"/>
          <w:sz w:val="21"/>
        </w:rPr>
        <w:t>当货物来源于中华人民共和国境外时，货物必须附有原产地证明、中华人民共和国商检机构的检验证明、合法进货渠道证明及海关完税证明，此外，有关技术资料中须附有全文翻译的、完整的中文文本。</w:t>
      </w:r>
    </w:p>
    <w:p w14:paraId="2080ADEF">
      <w:pPr>
        <w:pStyle w:val="16"/>
        <w:numPr>
          <w:ilvl w:val="1"/>
          <w:numId w:val="14"/>
        </w:numPr>
        <w:spacing w:line="360" w:lineRule="auto"/>
        <w:rPr>
          <w:rFonts w:hAnsi="宋体"/>
          <w:sz w:val="21"/>
        </w:rPr>
      </w:pPr>
      <w:r>
        <w:rPr>
          <w:rFonts w:hint="eastAsia" w:hAnsi="宋体"/>
          <w:sz w:val="21"/>
        </w:rPr>
        <w:t>产品均为近12个月内原厂制造的全新合格产品，且有合法透明的来源渠道，如为整机须无污染、无侵权行为、表面无划损、无任何缺陷隐患，可依常规合法安全使用。</w:t>
      </w:r>
    </w:p>
    <w:p w14:paraId="48FF5C6E">
      <w:pPr>
        <w:pStyle w:val="16"/>
        <w:numPr>
          <w:ilvl w:val="1"/>
          <w:numId w:val="14"/>
        </w:numPr>
        <w:spacing w:line="360" w:lineRule="auto"/>
        <w:rPr>
          <w:rFonts w:hAnsi="宋体"/>
          <w:sz w:val="21"/>
        </w:rPr>
      </w:pPr>
      <w:r>
        <w:rPr>
          <w:rFonts w:hint="eastAsia" w:hAnsi="宋体"/>
          <w:sz w:val="21"/>
        </w:rPr>
        <w:t>成交人必须确保货物及所有配套件的完整性，对于竞价文件没有列出，而对货物的正常运行和维护必不可少的且应属于货物配带的部件、配件等，成交人有责任给予补充。</w:t>
      </w:r>
    </w:p>
    <w:p w14:paraId="0A91040B">
      <w:pPr>
        <w:numPr>
          <w:ilvl w:val="0"/>
          <w:numId w:val="12"/>
        </w:numPr>
        <w:tabs>
          <w:tab w:val="left" w:pos="420"/>
        </w:tabs>
        <w:snapToGrid w:val="0"/>
        <w:spacing w:line="360" w:lineRule="auto"/>
        <w:rPr>
          <w:rFonts w:ascii="宋体" w:hAnsi="宋体"/>
          <w:b/>
          <w:szCs w:val="21"/>
        </w:rPr>
      </w:pPr>
      <w:r>
        <w:rPr>
          <w:rFonts w:hint="eastAsia" w:ascii="宋体" w:hAnsi="宋体"/>
          <w:b/>
          <w:szCs w:val="21"/>
        </w:rPr>
        <w:t>质量检测</w:t>
      </w:r>
    </w:p>
    <w:p w14:paraId="1845A374">
      <w:pPr>
        <w:pStyle w:val="148"/>
        <w:numPr>
          <w:ilvl w:val="0"/>
          <w:numId w:val="14"/>
        </w:numPr>
        <w:spacing w:line="360" w:lineRule="auto"/>
        <w:ind w:firstLineChars="0"/>
        <w:rPr>
          <w:rFonts w:ascii="宋体" w:hAnsi="宋体"/>
          <w:vanish/>
          <w:szCs w:val="21"/>
        </w:rPr>
      </w:pPr>
    </w:p>
    <w:p w14:paraId="585DB785">
      <w:pPr>
        <w:pStyle w:val="16"/>
        <w:numPr>
          <w:ilvl w:val="1"/>
          <w:numId w:val="14"/>
        </w:numPr>
        <w:spacing w:line="360" w:lineRule="auto"/>
        <w:rPr>
          <w:rFonts w:hAnsi="宋体"/>
          <w:sz w:val="21"/>
        </w:rPr>
      </w:pPr>
      <w:r>
        <w:rPr>
          <w:rFonts w:hint="eastAsia" w:hAnsi="宋体"/>
          <w:sz w:val="21"/>
        </w:rPr>
        <w:t>采购人有权在合同期内委托第三方检测机构对成交人所供货物进行质量专项检测，检测结果对双方有约束力。</w:t>
      </w:r>
    </w:p>
    <w:p w14:paraId="29594178">
      <w:pPr>
        <w:pStyle w:val="16"/>
        <w:numPr>
          <w:ilvl w:val="1"/>
          <w:numId w:val="14"/>
        </w:numPr>
        <w:spacing w:line="360" w:lineRule="auto"/>
        <w:rPr>
          <w:rFonts w:hAnsi="宋体"/>
          <w:sz w:val="21"/>
        </w:rPr>
      </w:pPr>
      <w:r>
        <w:rPr>
          <w:rFonts w:hint="eastAsia" w:hAnsi="宋体"/>
          <w:sz w:val="21"/>
        </w:rPr>
        <w:t>检测结果不符合合同约定的，采购人有权单方解除合同，退回成交人已供货物。成交人必须在接到采购人检测结果通知的【5】个工作日内返还采购人已付货款，并承担违约责任，赔偿由此给采购人造成的全部损失。检测结果不符合合同约定的，检测费用由成交人承担。</w:t>
      </w:r>
    </w:p>
    <w:p w14:paraId="6FD547FC">
      <w:pPr>
        <w:numPr>
          <w:ilvl w:val="0"/>
          <w:numId w:val="12"/>
        </w:numPr>
        <w:tabs>
          <w:tab w:val="left" w:pos="420"/>
        </w:tabs>
        <w:snapToGrid w:val="0"/>
        <w:spacing w:line="360" w:lineRule="auto"/>
        <w:rPr>
          <w:rFonts w:ascii="宋体" w:hAnsi="宋体"/>
          <w:b/>
          <w:szCs w:val="21"/>
        </w:rPr>
      </w:pPr>
      <w:r>
        <w:rPr>
          <w:rFonts w:hint="eastAsia" w:ascii="宋体" w:hAnsi="宋体"/>
          <w:b/>
          <w:szCs w:val="21"/>
        </w:rPr>
        <w:t>质保期和售后服务</w:t>
      </w:r>
    </w:p>
    <w:p w14:paraId="37402D15">
      <w:pPr>
        <w:pStyle w:val="148"/>
        <w:numPr>
          <w:ilvl w:val="0"/>
          <w:numId w:val="14"/>
        </w:numPr>
        <w:spacing w:line="360" w:lineRule="auto"/>
        <w:ind w:firstLineChars="0"/>
        <w:rPr>
          <w:rFonts w:ascii="宋体" w:hAnsi="宋体"/>
          <w:vanish/>
          <w:szCs w:val="21"/>
        </w:rPr>
      </w:pPr>
    </w:p>
    <w:p w14:paraId="3DE1F651">
      <w:pPr>
        <w:pStyle w:val="16"/>
        <w:numPr>
          <w:ilvl w:val="1"/>
          <w:numId w:val="14"/>
        </w:numPr>
        <w:spacing w:line="360" w:lineRule="auto"/>
        <w:rPr>
          <w:rFonts w:hAnsi="宋体"/>
          <w:sz w:val="21"/>
        </w:rPr>
      </w:pPr>
      <w:r>
        <w:rPr>
          <w:rFonts w:hint="eastAsia" w:hAnsi="宋体"/>
          <w:sz w:val="21"/>
        </w:rPr>
        <w:t>质量保证期（简称“质保期”）：货物验收合格之日起【1】年。配件与主产品的质保期一致。</w:t>
      </w:r>
    </w:p>
    <w:p w14:paraId="65B2AB90">
      <w:pPr>
        <w:pStyle w:val="16"/>
        <w:numPr>
          <w:ilvl w:val="1"/>
          <w:numId w:val="14"/>
        </w:numPr>
        <w:spacing w:line="360" w:lineRule="auto"/>
        <w:rPr>
          <w:rFonts w:hAnsi="宋体"/>
          <w:sz w:val="21"/>
        </w:rPr>
      </w:pPr>
      <w:r>
        <w:rPr>
          <w:rFonts w:hint="eastAsia" w:hAnsi="宋体"/>
          <w:sz w:val="21"/>
        </w:rPr>
        <w:t>质保期内，成交人对所供货物实行免费包修、包换、包退、包维修保养，由此产生的相关费用均由成交人承担。</w:t>
      </w:r>
    </w:p>
    <w:p w14:paraId="3338C531">
      <w:pPr>
        <w:pStyle w:val="16"/>
        <w:numPr>
          <w:ilvl w:val="1"/>
          <w:numId w:val="14"/>
        </w:numPr>
        <w:spacing w:line="360" w:lineRule="auto"/>
        <w:rPr>
          <w:rFonts w:hAnsi="宋体"/>
          <w:sz w:val="21"/>
        </w:rPr>
      </w:pPr>
      <w:r>
        <w:rPr>
          <w:rFonts w:hint="eastAsia" w:hAnsi="宋体"/>
          <w:sz w:val="21"/>
        </w:rPr>
        <w:t>质保期内，采购人在使用货物过程中出现问题的，成交人应在接到采购人通知后2小时内响应，8小时内到达现场，24小时内处理完毕。若在到场后24小时内故障仍未处理完毕，成交人必须免费提供不低于同档次的货物予采购人临时使用或采取应急措施解决，不得影响采购人的正常工作业务。成交人须提供常设每周7天×24小时热线服务和长期的免费技术支持。期满后可提供优质终身（有偿）维修保养服务。</w:t>
      </w:r>
    </w:p>
    <w:p w14:paraId="5E2C8BC9">
      <w:pPr>
        <w:pStyle w:val="16"/>
        <w:numPr>
          <w:ilvl w:val="1"/>
          <w:numId w:val="14"/>
        </w:numPr>
        <w:spacing w:line="360" w:lineRule="auto"/>
        <w:rPr>
          <w:rFonts w:hAnsi="宋体"/>
          <w:sz w:val="21"/>
        </w:rPr>
      </w:pPr>
      <w:r>
        <w:rPr>
          <w:rFonts w:hint="eastAsia" w:hAnsi="宋体"/>
          <w:sz w:val="21"/>
        </w:rPr>
        <w:t>质保期内，对保修范围内的保修服务所发生的全部物质损耗和人员费用，均由成交人予以承担。成交人未及时承担保修责任的，采购人有权采用其他渠道和方式对成交人货物进行维修、补正，由此产生的费用由成交人承担。</w:t>
      </w:r>
    </w:p>
    <w:p w14:paraId="46017E9F">
      <w:pPr>
        <w:pStyle w:val="16"/>
        <w:numPr>
          <w:ilvl w:val="1"/>
          <w:numId w:val="14"/>
        </w:numPr>
        <w:spacing w:line="360" w:lineRule="auto"/>
        <w:rPr>
          <w:rFonts w:hAnsi="宋体"/>
          <w:sz w:val="21"/>
        </w:rPr>
      </w:pPr>
      <w:r>
        <w:rPr>
          <w:rFonts w:hint="eastAsia" w:hAnsi="宋体"/>
          <w:sz w:val="21"/>
        </w:rPr>
        <w:t>质保期内, 如设备或零部件非人为因素出现故障而造成短期停用时，则质保期相应顺延。如设备因自身故障致停用时间累计超过30天则质保期在状态恢复正常时重新起计。</w:t>
      </w:r>
    </w:p>
    <w:p w14:paraId="0991C29E">
      <w:pPr>
        <w:pStyle w:val="16"/>
        <w:numPr>
          <w:ilvl w:val="1"/>
          <w:numId w:val="14"/>
        </w:numPr>
        <w:spacing w:line="360" w:lineRule="auto"/>
        <w:rPr>
          <w:rFonts w:hAnsi="宋体"/>
          <w:sz w:val="21"/>
        </w:rPr>
      </w:pPr>
      <w:r>
        <w:rPr>
          <w:rFonts w:hint="eastAsia" w:hAnsi="宋体"/>
          <w:sz w:val="21"/>
        </w:rPr>
        <w:t>成交人须派出技术人员到佛山市顺德区现场提供实操及理论使用培训。</w:t>
      </w:r>
    </w:p>
    <w:p w14:paraId="15D95EAD">
      <w:pPr>
        <w:rPr>
          <w:rFonts w:ascii="宋体" w:hAnsi="宋体" w:cs="宋体"/>
          <w:b/>
          <w:bCs/>
          <w:color w:val="000000" w:themeColor="text1"/>
          <w:sz w:val="32"/>
          <w:szCs w:val="32"/>
          <w14:textFill>
            <w14:solidFill>
              <w14:schemeClr w14:val="tx1"/>
            </w14:solidFill>
          </w14:textFill>
        </w:rPr>
      </w:pPr>
    </w:p>
    <w:p w14:paraId="77A5850E">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2660F9A4">
      <w:pPr>
        <w:widowControl/>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第三章 竞价附件</w:t>
      </w:r>
    </w:p>
    <w:p w14:paraId="3FD10A7D">
      <w:pPr>
        <w:spacing w:line="360" w:lineRule="auto"/>
        <w:jc w:val="center"/>
        <w:outlineLvl w:val="1"/>
        <w:rPr>
          <w:rFonts w:ascii="仿宋" w:hAnsi="仿宋" w:eastAsia="仿宋" w:cs="仿宋"/>
          <w:b/>
          <w:sz w:val="30"/>
          <w:szCs w:val="30"/>
        </w:rPr>
      </w:pPr>
      <w:r>
        <w:rPr>
          <w:rFonts w:hint="eastAsia" w:ascii="仿宋" w:hAnsi="仿宋" w:eastAsia="仿宋" w:cs="仿宋"/>
          <w:b/>
          <w:sz w:val="30"/>
          <w:szCs w:val="30"/>
        </w:rPr>
        <w:t>报价明细表</w:t>
      </w:r>
    </w:p>
    <w:p w14:paraId="46E251EC">
      <w:pPr>
        <w:pStyle w:val="46"/>
        <w:tabs>
          <w:tab w:val="left" w:pos="2790"/>
        </w:tabs>
        <w:spacing w:line="360" w:lineRule="auto"/>
        <w:ind w:left="1050" w:leftChars="100" w:hanging="840" w:hangingChars="400"/>
        <w:jc w:val="left"/>
        <w:rPr>
          <w:rFonts w:ascii="宋体" w:hAnsi="宋体" w:cs="宋体"/>
          <w:szCs w:val="21"/>
        </w:rPr>
      </w:pPr>
      <w:r>
        <w:rPr>
          <w:rFonts w:hint="eastAsia" w:ascii="宋体" w:hAnsi="宋体" w:cs="宋体"/>
          <w:szCs w:val="21"/>
        </w:rPr>
        <w:t xml:space="preserve">项目编号： </w:t>
      </w:r>
      <w:r>
        <w:rPr>
          <w:rFonts w:ascii="宋体" w:hAnsi="宋体" w:cs="Calibri"/>
          <w:b/>
          <w:bCs/>
          <w:color w:val="000000" w:themeColor="text1"/>
          <w:sz w:val="21"/>
          <w:szCs w:val="21"/>
          <w14:textFill>
            <w14:solidFill>
              <w14:schemeClr w14:val="tx1"/>
            </w14:solidFill>
          </w14:textFill>
        </w:rPr>
        <w:t>SDWW202409P271</w:t>
      </w:r>
      <w:r>
        <w:rPr>
          <w:rFonts w:hint="eastAsia" w:ascii="宋体" w:hAnsi="宋体" w:cs="宋体"/>
          <w:sz w:val="21"/>
          <w:szCs w:val="21"/>
        </w:rPr>
        <w:t xml:space="preserve"> </w:t>
      </w:r>
    </w:p>
    <w:p w14:paraId="5589FF71">
      <w:pPr>
        <w:spacing w:line="360" w:lineRule="auto"/>
        <w:ind w:left="210" w:leftChars="100"/>
        <w:jc w:val="left"/>
        <w:rPr>
          <w:rFonts w:ascii="宋体" w:hAnsi="宋体" w:cs="宋体"/>
          <w:szCs w:val="21"/>
        </w:rPr>
      </w:pPr>
      <w:r>
        <w:rPr>
          <w:rFonts w:hint="eastAsia" w:ascii="宋体" w:hAnsi="宋体" w:cs="宋体"/>
          <w:szCs w:val="21"/>
        </w:rPr>
        <w:t>项目名称：</w:t>
      </w:r>
      <w:bookmarkStart w:id="40" w:name="_GoBack"/>
      <w:r>
        <w:rPr>
          <w:rFonts w:hint="eastAsia" w:ascii="宋体" w:hAnsi="宋体" w:cs="宋体"/>
          <w:kern w:val="0"/>
          <w:szCs w:val="21"/>
          <w:lang w:eastAsia="zh-CN"/>
        </w:rPr>
        <w:t>2024年佛山市顺德区内阻仪及红外热成像仪购置项目</w:t>
      </w:r>
      <w:r>
        <w:rPr>
          <w:rFonts w:hint="eastAsia" w:ascii="宋体" w:hAnsi="宋体" w:cs="宋体"/>
          <w:szCs w:val="21"/>
        </w:rPr>
        <w:t xml:space="preserve"> </w:t>
      </w:r>
      <w:bookmarkEnd w:id="40"/>
      <w:r>
        <w:rPr>
          <w:rFonts w:hint="eastAsia" w:ascii="宋体" w:hAnsi="宋体" w:cs="宋体"/>
          <w:szCs w:val="21"/>
        </w:rPr>
        <w:t xml:space="preserve">                                                  </w:t>
      </w:r>
    </w:p>
    <w:tbl>
      <w:tblPr>
        <w:tblStyle w:val="36"/>
        <w:tblW w:w="4992" w:type="pct"/>
        <w:jc w:val="right"/>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15" w:type="dxa"/>
          <w:left w:w="15" w:type="dxa"/>
          <w:bottom w:w="15" w:type="dxa"/>
          <w:right w:w="15" w:type="dxa"/>
        </w:tblCellMar>
      </w:tblPr>
      <w:tblGrid>
        <w:gridCol w:w="2339"/>
        <w:gridCol w:w="650"/>
        <w:gridCol w:w="700"/>
        <w:gridCol w:w="1560"/>
        <w:gridCol w:w="1066"/>
        <w:gridCol w:w="1012"/>
        <w:gridCol w:w="984"/>
        <w:gridCol w:w="12"/>
      </w:tblGrid>
      <w:tr w14:paraId="1A0703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gridAfter w:val="1"/>
          <w:wAfter w:w="12" w:type="dxa"/>
          <w:trHeight w:val="541" w:hRule="atLeast"/>
          <w:jc w:val="right"/>
        </w:trPr>
        <w:tc>
          <w:tcPr>
            <w:tcW w:w="2339" w:type="dxa"/>
            <w:tcBorders>
              <w:top w:val="single" w:color="auto" w:sz="4" w:space="0"/>
              <w:left w:val="single" w:color="auto" w:sz="4" w:space="0"/>
              <w:bottom w:val="single" w:color="auto" w:sz="4" w:space="0"/>
              <w:right w:val="single" w:color="auto" w:sz="4" w:space="0"/>
            </w:tcBorders>
            <w:vAlign w:val="center"/>
          </w:tcPr>
          <w:p w14:paraId="7A393CED">
            <w:pPr>
              <w:widowControl/>
              <w:spacing w:line="360" w:lineRule="auto"/>
              <w:jc w:val="center"/>
              <w:textAlignment w:val="center"/>
              <w:rPr>
                <w:rFonts w:ascii="宋体" w:hAnsi="宋体" w:cs="宋体"/>
                <w:bCs/>
                <w:szCs w:val="21"/>
              </w:rPr>
            </w:pPr>
            <w:r>
              <w:rPr>
                <w:rFonts w:hint="eastAsia" w:ascii="宋体" w:hAnsi="宋体" w:cs="宋体"/>
                <w:bCs/>
                <w:color w:val="000000"/>
                <w:kern w:val="0"/>
                <w:szCs w:val="21"/>
              </w:rPr>
              <w:t>材料名称</w:t>
            </w:r>
          </w:p>
        </w:tc>
        <w:tc>
          <w:tcPr>
            <w:tcW w:w="650" w:type="dxa"/>
            <w:tcBorders>
              <w:top w:val="single" w:color="auto" w:sz="4" w:space="0"/>
              <w:left w:val="single" w:color="auto" w:sz="4" w:space="0"/>
              <w:bottom w:val="single" w:color="auto" w:sz="4" w:space="0"/>
              <w:right w:val="single" w:color="auto" w:sz="4" w:space="0"/>
            </w:tcBorders>
            <w:vAlign w:val="center"/>
          </w:tcPr>
          <w:p w14:paraId="3525F595">
            <w:pPr>
              <w:widowControl/>
              <w:spacing w:line="360" w:lineRule="auto"/>
              <w:jc w:val="center"/>
              <w:textAlignment w:val="center"/>
              <w:rPr>
                <w:rFonts w:ascii="宋体" w:hAnsi="宋体" w:cs="宋体"/>
                <w:bCs/>
                <w:color w:val="000000"/>
                <w:kern w:val="0"/>
                <w:szCs w:val="21"/>
              </w:rPr>
            </w:pPr>
            <w:r>
              <w:rPr>
                <w:rFonts w:hint="eastAsia" w:ascii="宋体" w:hAnsi="宋体" w:cs="宋体"/>
                <w:bCs/>
                <w:color w:val="000000"/>
                <w:kern w:val="0"/>
                <w:szCs w:val="21"/>
              </w:rPr>
              <w:t>数量</w:t>
            </w:r>
          </w:p>
        </w:tc>
        <w:tc>
          <w:tcPr>
            <w:tcW w:w="700" w:type="dxa"/>
            <w:tcBorders>
              <w:top w:val="single" w:color="auto" w:sz="4" w:space="0"/>
              <w:left w:val="single" w:color="auto" w:sz="4" w:space="0"/>
              <w:bottom w:val="single" w:color="auto" w:sz="4" w:space="0"/>
              <w:right w:val="single" w:color="auto" w:sz="4" w:space="0"/>
            </w:tcBorders>
            <w:vAlign w:val="center"/>
          </w:tcPr>
          <w:p w14:paraId="3DE869A7">
            <w:pPr>
              <w:widowControl/>
              <w:spacing w:line="360" w:lineRule="auto"/>
              <w:jc w:val="center"/>
              <w:textAlignment w:val="center"/>
              <w:rPr>
                <w:rFonts w:ascii="宋体" w:hAnsi="宋体" w:cs="宋体"/>
                <w:bCs/>
                <w:szCs w:val="21"/>
              </w:rPr>
            </w:pPr>
            <w:r>
              <w:rPr>
                <w:rFonts w:hint="eastAsia" w:ascii="宋体" w:hAnsi="宋体" w:cs="宋体"/>
                <w:bCs/>
                <w:color w:val="000000"/>
                <w:kern w:val="0"/>
                <w:szCs w:val="21"/>
              </w:rPr>
              <w:t>单位</w:t>
            </w:r>
          </w:p>
        </w:tc>
        <w:tc>
          <w:tcPr>
            <w:tcW w:w="1560" w:type="dxa"/>
            <w:tcBorders>
              <w:top w:val="single" w:color="auto" w:sz="4" w:space="0"/>
              <w:left w:val="single" w:color="auto" w:sz="4" w:space="0"/>
              <w:bottom w:val="single" w:color="auto" w:sz="4" w:space="0"/>
              <w:right w:val="single" w:color="auto" w:sz="4" w:space="0"/>
            </w:tcBorders>
            <w:vAlign w:val="center"/>
          </w:tcPr>
          <w:p w14:paraId="389C9057">
            <w:pPr>
              <w:widowControl/>
              <w:spacing w:line="360" w:lineRule="auto"/>
              <w:jc w:val="center"/>
              <w:textAlignment w:val="center"/>
              <w:rPr>
                <w:rFonts w:ascii="宋体" w:hAnsi="宋体" w:cs="宋体"/>
                <w:bCs/>
                <w:kern w:val="0"/>
                <w:szCs w:val="21"/>
              </w:rPr>
            </w:pPr>
            <w:r>
              <w:rPr>
                <w:rFonts w:hint="eastAsia" w:ascii="宋体" w:hAnsi="宋体" w:cs="宋体"/>
                <w:bCs/>
                <w:color w:val="000000"/>
                <w:kern w:val="0"/>
                <w:szCs w:val="21"/>
              </w:rPr>
              <w:t>最高单价限价(元)</w:t>
            </w:r>
          </w:p>
        </w:tc>
        <w:tc>
          <w:tcPr>
            <w:tcW w:w="1066" w:type="dxa"/>
            <w:tcBorders>
              <w:top w:val="single" w:color="auto" w:sz="4" w:space="0"/>
              <w:left w:val="single" w:color="auto" w:sz="4" w:space="0"/>
              <w:bottom w:val="single" w:color="auto" w:sz="4" w:space="0"/>
              <w:right w:val="single" w:color="auto" w:sz="4" w:space="0"/>
            </w:tcBorders>
            <w:vAlign w:val="center"/>
          </w:tcPr>
          <w:p w14:paraId="0C2B7921">
            <w:pPr>
              <w:widowControl/>
              <w:spacing w:line="360" w:lineRule="auto"/>
              <w:jc w:val="center"/>
              <w:textAlignment w:val="center"/>
              <w:rPr>
                <w:rFonts w:hint="eastAsia" w:ascii="宋体" w:hAnsi="宋体" w:cs="宋体"/>
                <w:bCs/>
                <w:color w:val="000000"/>
                <w:kern w:val="0"/>
                <w:szCs w:val="21"/>
              </w:rPr>
            </w:pPr>
            <w:r>
              <w:rPr>
                <w:rFonts w:hint="eastAsia" w:ascii="宋体" w:hAnsi="宋体" w:cs="宋体"/>
                <w:bCs/>
                <w:color w:val="000000"/>
                <w:kern w:val="0"/>
                <w:szCs w:val="21"/>
              </w:rPr>
              <w:t>品牌</w:t>
            </w:r>
          </w:p>
          <w:p w14:paraId="5387609D">
            <w:pPr>
              <w:widowControl/>
              <w:spacing w:line="360" w:lineRule="auto"/>
              <w:jc w:val="center"/>
              <w:textAlignment w:val="center"/>
              <w:rPr>
                <w:rFonts w:ascii="宋体" w:hAnsi="宋体" w:cs="宋体"/>
                <w:bCs/>
                <w:kern w:val="0"/>
                <w:szCs w:val="21"/>
              </w:rPr>
            </w:pPr>
            <w:r>
              <w:rPr>
                <w:rFonts w:hint="eastAsia" w:ascii="宋体" w:hAnsi="宋体" w:cs="宋体"/>
                <w:bCs/>
                <w:color w:val="000000"/>
                <w:kern w:val="0"/>
                <w:szCs w:val="21"/>
                <w:lang w:eastAsia="zh-CN"/>
              </w:rPr>
              <w:t>型号</w:t>
            </w:r>
          </w:p>
        </w:tc>
        <w:tc>
          <w:tcPr>
            <w:tcW w:w="1012" w:type="dxa"/>
            <w:tcBorders>
              <w:top w:val="single" w:color="auto" w:sz="4" w:space="0"/>
              <w:left w:val="single" w:color="auto" w:sz="4" w:space="0"/>
              <w:bottom w:val="single" w:color="auto" w:sz="4" w:space="0"/>
              <w:right w:val="single" w:color="auto" w:sz="4" w:space="0"/>
            </w:tcBorders>
            <w:vAlign w:val="center"/>
          </w:tcPr>
          <w:p w14:paraId="6744A189">
            <w:pPr>
              <w:widowControl/>
              <w:spacing w:line="360" w:lineRule="auto"/>
              <w:jc w:val="center"/>
              <w:textAlignment w:val="center"/>
              <w:rPr>
                <w:rFonts w:ascii="宋体" w:hAnsi="宋体" w:cs="宋体"/>
                <w:bCs/>
                <w:kern w:val="0"/>
                <w:szCs w:val="21"/>
              </w:rPr>
            </w:pPr>
            <w:r>
              <w:rPr>
                <w:rFonts w:hint="eastAsia" w:ascii="宋体" w:hAnsi="宋体" w:cs="宋体"/>
                <w:bCs/>
                <w:color w:val="000000"/>
                <w:kern w:val="0"/>
                <w:szCs w:val="21"/>
              </w:rPr>
              <w:t>单价(元)</w:t>
            </w:r>
          </w:p>
        </w:tc>
        <w:tc>
          <w:tcPr>
            <w:tcW w:w="984" w:type="dxa"/>
            <w:tcBorders>
              <w:top w:val="single" w:color="auto" w:sz="4" w:space="0"/>
              <w:left w:val="single" w:color="auto" w:sz="4" w:space="0"/>
              <w:bottom w:val="single" w:color="auto" w:sz="4" w:space="0"/>
              <w:right w:val="single" w:color="auto" w:sz="4" w:space="0"/>
            </w:tcBorders>
            <w:vAlign w:val="center"/>
          </w:tcPr>
          <w:p w14:paraId="2EF4B056">
            <w:pPr>
              <w:widowControl/>
              <w:spacing w:line="360" w:lineRule="auto"/>
              <w:jc w:val="center"/>
              <w:textAlignment w:val="center"/>
              <w:rPr>
                <w:rFonts w:ascii="宋体" w:hAnsi="宋体" w:cs="宋体"/>
                <w:bCs/>
                <w:color w:val="000000"/>
                <w:kern w:val="0"/>
                <w:szCs w:val="21"/>
              </w:rPr>
            </w:pPr>
            <w:r>
              <w:rPr>
                <w:rFonts w:hint="eastAsia" w:ascii="宋体" w:hAnsi="宋体" w:cs="宋体"/>
                <w:bCs/>
                <w:color w:val="000000"/>
                <w:kern w:val="0"/>
                <w:szCs w:val="21"/>
              </w:rPr>
              <w:t>小计(元)</w:t>
            </w:r>
          </w:p>
        </w:tc>
      </w:tr>
      <w:tr w14:paraId="0B90D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gridAfter w:val="1"/>
          <w:wAfter w:w="12" w:type="dxa"/>
          <w:trHeight w:val="691" w:hRule="atLeast"/>
          <w:jc w:val="right"/>
        </w:trPr>
        <w:tc>
          <w:tcPr>
            <w:tcW w:w="2339" w:type="dxa"/>
            <w:tcBorders>
              <w:top w:val="single" w:color="auto" w:sz="4" w:space="0"/>
              <w:left w:val="single" w:color="auto" w:sz="4" w:space="0"/>
              <w:bottom w:val="single" w:color="auto" w:sz="4" w:space="0"/>
              <w:right w:val="single" w:color="auto" w:sz="4" w:space="0"/>
            </w:tcBorders>
            <w:vAlign w:val="center"/>
          </w:tcPr>
          <w:p w14:paraId="20E041C6">
            <w:pPr>
              <w:widowControl/>
              <w:spacing w:line="360" w:lineRule="auto"/>
              <w:jc w:val="center"/>
              <w:rPr>
                <w:rFonts w:ascii="宋体" w:hAnsi="宋体" w:cs="宋体"/>
                <w:bCs/>
                <w:szCs w:val="21"/>
              </w:rPr>
            </w:pPr>
            <w:r>
              <w:rPr>
                <w:rFonts w:hint="eastAsia" w:ascii="宋体" w:hAnsi="宋体" w:cs="宋体"/>
                <w:bCs/>
                <w:szCs w:val="21"/>
              </w:rPr>
              <w:t>带蓝牙UPS蓄电池内阻仪</w:t>
            </w:r>
          </w:p>
          <w:p w14:paraId="123F79C4">
            <w:pPr>
              <w:widowControl/>
              <w:spacing w:line="360" w:lineRule="auto"/>
              <w:jc w:val="center"/>
              <w:rPr>
                <w:rFonts w:ascii="宋体" w:hAnsi="宋体" w:cs="宋体"/>
                <w:bCs/>
                <w:szCs w:val="21"/>
              </w:rPr>
            </w:pPr>
            <w:r>
              <w:rPr>
                <w:rFonts w:hint="eastAsia" w:ascii="宋体" w:hAnsi="宋体" w:cs="宋体"/>
                <w:bCs/>
                <w:szCs w:val="21"/>
              </w:rPr>
              <w:t xml:space="preserve">（内阻检测仪）  </w:t>
            </w:r>
          </w:p>
        </w:tc>
        <w:tc>
          <w:tcPr>
            <w:tcW w:w="650" w:type="dxa"/>
            <w:tcBorders>
              <w:top w:val="single" w:color="auto" w:sz="4" w:space="0"/>
              <w:left w:val="single" w:color="auto" w:sz="4" w:space="0"/>
              <w:bottom w:val="single" w:color="auto" w:sz="4" w:space="0"/>
              <w:right w:val="single" w:color="auto" w:sz="4" w:space="0"/>
            </w:tcBorders>
            <w:vAlign w:val="center"/>
          </w:tcPr>
          <w:p w14:paraId="580E6E22">
            <w:pPr>
              <w:widowControl/>
              <w:spacing w:line="360" w:lineRule="auto"/>
              <w:jc w:val="center"/>
              <w:rPr>
                <w:rFonts w:ascii="宋体" w:hAnsi="宋体" w:cs="宋体"/>
                <w:bCs/>
                <w:szCs w:val="21"/>
              </w:rPr>
            </w:pPr>
            <w:r>
              <w:rPr>
                <w:rFonts w:hint="eastAsia" w:ascii="宋体" w:hAnsi="宋体" w:cs="宋体"/>
                <w:bCs/>
                <w:szCs w:val="21"/>
              </w:rPr>
              <w:t>2</w:t>
            </w:r>
          </w:p>
        </w:tc>
        <w:tc>
          <w:tcPr>
            <w:tcW w:w="700" w:type="dxa"/>
            <w:tcBorders>
              <w:top w:val="single" w:color="auto" w:sz="4" w:space="0"/>
              <w:left w:val="single" w:color="auto" w:sz="4" w:space="0"/>
              <w:bottom w:val="single" w:color="auto" w:sz="4" w:space="0"/>
              <w:right w:val="single" w:color="auto" w:sz="4" w:space="0"/>
            </w:tcBorders>
            <w:vAlign w:val="center"/>
          </w:tcPr>
          <w:p w14:paraId="11F9B472">
            <w:pPr>
              <w:widowControl/>
              <w:spacing w:line="360" w:lineRule="auto"/>
              <w:jc w:val="center"/>
              <w:rPr>
                <w:rFonts w:ascii="宋体" w:hAnsi="宋体" w:cs="宋体"/>
                <w:bCs/>
                <w:szCs w:val="21"/>
              </w:rPr>
            </w:pPr>
            <w:r>
              <w:rPr>
                <w:rFonts w:hint="eastAsia" w:ascii="宋体" w:hAnsi="宋体" w:cs="宋体"/>
                <w:bCs/>
                <w:szCs w:val="21"/>
              </w:rPr>
              <w:t>台</w:t>
            </w:r>
          </w:p>
        </w:tc>
        <w:tc>
          <w:tcPr>
            <w:tcW w:w="1560" w:type="dxa"/>
            <w:tcBorders>
              <w:top w:val="single" w:color="auto" w:sz="4" w:space="0"/>
              <w:left w:val="single" w:color="auto" w:sz="4" w:space="0"/>
              <w:bottom w:val="single" w:color="auto" w:sz="4" w:space="0"/>
              <w:right w:val="single" w:color="auto" w:sz="4" w:space="0"/>
            </w:tcBorders>
            <w:vAlign w:val="center"/>
          </w:tcPr>
          <w:p w14:paraId="53BAAB1F">
            <w:pPr>
              <w:widowControl/>
              <w:spacing w:line="360" w:lineRule="auto"/>
              <w:jc w:val="center"/>
              <w:rPr>
                <w:rFonts w:ascii="宋体" w:hAnsi="宋体" w:cs="宋体"/>
                <w:bCs/>
                <w:szCs w:val="21"/>
              </w:rPr>
            </w:pPr>
            <w:r>
              <w:rPr>
                <w:rFonts w:hint="eastAsia" w:ascii="宋体" w:hAnsi="宋体" w:cs="宋体"/>
                <w:bCs/>
                <w:szCs w:val="21"/>
              </w:rPr>
              <w:t>20500</w:t>
            </w:r>
          </w:p>
        </w:tc>
        <w:tc>
          <w:tcPr>
            <w:tcW w:w="1066" w:type="dxa"/>
            <w:tcBorders>
              <w:top w:val="single" w:color="auto" w:sz="4" w:space="0"/>
              <w:left w:val="single" w:color="auto" w:sz="4" w:space="0"/>
              <w:bottom w:val="single" w:color="auto" w:sz="4" w:space="0"/>
              <w:right w:val="single" w:color="auto" w:sz="4" w:space="0"/>
            </w:tcBorders>
            <w:vAlign w:val="center"/>
          </w:tcPr>
          <w:p w14:paraId="36971280">
            <w:pPr>
              <w:widowControl/>
              <w:spacing w:line="360" w:lineRule="auto"/>
              <w:jc w:val="center"/>
              <w:rPr>
                <w:rFonts w:ascii="宋体" w:hAnsi="宋体" w:cs="宋体"/>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78666E8">
            <w:pPr>
              <w:widowControl/>
              <w:spacing w:line="360" w:lineRule="auto"/>
              <w:jc w:val="center"/>
              <w:rPr>
                <w:rFonts w:ascii="宋体" w:hAnsi="宋体" w:cs="宋体"/>
                <w:bCs/>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EA80FB1">
            <w:pPr>
              <w:widowControl/>
              <w:spacing w:line="360" w:lineRule="auto"/>
              <w:jc w:val="center"/>
              <w:textAlignment w:val="center"/>
              <w:rPr>
                <w:rFonts w:ascii="宋体" w:hAnsi="宋体" w:cs="宋体"/>
                <w:bCs/>
                <w:color w:val="000000"/>
                <w:kern w:val="0"/>
                <w:szCs w:val="21"/>
              </w:rPr>
            </w:pPr>
          </w:p>
        </w:tc>
      </w:tr>
      <w:tr w14:paraId="6660B7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gridAfter w:val="1"/>
          <w:wAfter w:w="12" w:type="dxa"/>
          <w:trHeight w:val="803" w:hRule="atLeast"/>
          <w:jc w:val="right"/>
        </w:trPr>
        <w:tc>
          <w:tcPr>
            <w:tcW w:w="2339" w:type="dxa"/>
            <w:tcBorders>
              <w:top w:val="single" w:color="auto" w:sz="4" w:space="0"/>
              <w:left w:val="single" w:color="auto" w:sz="4" w:space="0"/>
              <w:bottom w:val="single" w:color="auto" w:sz="4" w:space="0"/>
              <w:right w:val="single" w:color="auto" w:sz="4" w:space="0"/>
            </w:tcBorders>
            <w:vAlign w:val="center"/>
          </w:tcPr>
          <w:p w14:paraId="19CBCDFD">
            <w:pPr>
              <w:widowControl/>
              <w:spacing w:line="360" w:lineRule="auto"/>
              <w:jc w:val="center"/>
              <w:rPr>
                <w:rFonts w:ascii="宋体" w:hAnsi="宋体" w:cs="宋体"/>
                <w:szCs w:val="21"/>
              </w:rPr>
            </w:pPr>
            <w:r>
              <w:rPr>
                <w:rFonts w:hint="eastAsia" w:ascii="宋体" w:hAnsi="宋体" w:cs="宋体"/>
                <w:szCs w:val="21"/>
              </w:rPr>
              <w:t>高精度红外热成像仪</w:t>
            </w:r>
          </w:p>
        </w:tc>
        <w:tc>
          <w:tcPr>
            <w:tcW w:w="650" w:type="dxa"/>
            <w:tcBorders>
              <w:top w:val="single" w:color="auto" w:sz="4" w:space="0"/>
              <w:left w:val="single" w:color="auto" w:sz="4" w:space="0"/>
              <w:bottom w:val="single" w:color="auto" w:sz="4" w:space="0"/>
              <w:right w:val="single" w:color="auto" w:sz="4" w:space="0"/>
            </w:tcBorders>
            <w:vAlign w:val="center"/>
          </w:tcPr>
          <w:p w14:paraId="67CD3AF7">
            <w:pPr>
              <w:widowControl/>
              <w:spacing w:line="360" w:lineRule="auto"/>
              <w:jc w:val="center"/>
              <w:rPr>
                <w:rFonts w:ascii="宋体" w:hAnsi="宋体" w:cs="宋体"/>
                <w:szCs w:val="21"/>
              </w:rPr>
            </w:pPr>
            <w:r>
              <w:rPr>
                <w:rFonts w:hint="eastAsia" w:ascii="宋体" w:hAnsi="宋体" w:cs="宋体"/>
                <w:szCs w:val="21"/>
              </w:rPr>
              <w:t>10</w:t>
            </w:r>
          </w:p>
        </w:tc>
        <w:tc>
          <w:tcPr>
            <w:tcW w:w="700" w:type="dxa"/>
            <w:tcBorders>
              <w:top w:val="single" w:color="auto" w:sz="4" w:space="0"/>
              <w:left w:val="single" w:color="auto" w:sz="4" w:space="0"/>
              <w:bottom w:val="single" w:color="auto" w:sz="4" w:space="0"/>
              <w:right w:val="single" w:color="auto" w:sz="4" w:space="0"/>
            </w:tcBorders>
            <w:vAlign w:val="center"/>
          </w:tcPr>
          <w:p w14:paraId="242198E6">
            <w:pPr>
              <w:widowControl/>
              <w:spacing w:line="360" w:lineRule="auto"/>
              <w:jc w:val="center"/>
              <w:rPr>
                <w:rFonts w:ascii="宋体" w:hAnsi="宋体" w:cs="宋体"/>
                <w:szCs w:val="21"/>
              </w:rPr>
            </w:pPr>
            <w:r>
              <w:rPr>
                <w:rFonts w:hint="eastAsia" w:ascii="宋体" w:hAnsi="宋体" w:cs="宋体"/>
                <w:szCs w:val="21"/>
              </w:rPr>
              <w:t>台</w:t>
            </w:r>
          </w:p>
        </w:tc>
        <w:tc>
          <w:tcPr>
            <w:tcW w:w="1560" w:type="dxa"/>
            <w:tcBorders>
              <w:top w:val="single" w:color="auto" w:sz="4" w:space="0"/>
              <w:left w:val="single" w:color="auto" w:sz="4" w:space="0"/>
              <w:bottom w:val="single" w:color="auto" w:sz="4" w:space="0"/>
              <w:right w:val="single" w:color="auto" w:sz="4" w:space="0"/>
            </w:tcBorders>
            <w:vAlign w:val="center"/>
          </w:tcPr>
          <w:p w14:paraId="03974D8C">
            <w:pPr>
              <w:widowControl/>
              <w:spacing w:line="360" w:lineRule="auto"/>
              <w:jc w:val="center"/>
              <w:rPr>
                <w:rFonts w:ascii="宋体" w:hAnsi="宋体" w:cs="宋体"/>
                <w:szCs w:val="21"/>
              </w:rPr>
            </w:pPr>
            <w:r>
              <w:rPr>
                <w:rFonts w:hint="eastAsia" w:ascii="宋体" w:hAnsi="宋体" w:cs="宋体"/>
                <w:szCs w:val="21"/>
              </w:rPr>
              <w:t>3400</w:t>
            </w:r>
          </w:p>
        </w:tc>
        <w:tc>
          <w:tcPr>
            <w:tcW w:w="1066" w:type="dxa"/>
            <w:tcBorders>
              <w:top w:val="single" w:color="auto" w:sz="4" w:space="0"/>
              <w:left w:val="single" w:color="auto" w:sz="4" w:space="0"/>
              <w:bottom w:val="single" w:color="auto" w:sz="4" w:space="0"/>
              <w:right w:val="single" w:color="auto" w:sz="4" w:space="0"/>
            </w:tcBorders>
            <w:vAlign w:val="center"/>
          </w:tcPr>
          <w:p w14:paraId="1A4578FD">
            <w:pPr>
              <w:widowControl/>
              <w:spacing w:line="360" w:lineRule="auto"/>
              <w:jc w:val="center"/>
              <w:rPr>
                <w:rFonts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BAC8EBC">
            <w:pPr>
              <w:widowControl/>
              <w:spacing w:line="360" w:lineRule="auto"/>
              <w:jc w:val="center"/>
              <w:rPr>
                <w:rFonts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22DBE3DD">
            <w:pPr>
              <w:widowControl/>
              <w:spacing w:line="360" w:lineRule="auto"/>
              <w:jc w:val="center"/>
              <w:textAlignment w:val="center"/>
              <w:rPr>
                <w:rFonts w:ascii="宋体" w:hAnsi="宋体" w:cs="宋体"/>
                <w:bCs/>
                <w:color w:val="000000"/>
                <w:kern w:val="0"/>
                <w:szCs w:val="21"/>
              </w:rPr>
            </w:pPr>
          </w:p>
        </w:tc>
      </w:tr>
      <w:tr w14:paraId="77901D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78" w:hRule="atLeast"/>
          <w:jc w:val="right"/>
        </w:trPr>
        <w:tc>
          <w:tcPr>
            <w:tcW w:w="2339" w:type="dxa"/>
            <w:tcBorders>
              <w:top w:val="single" w:color="auto" w:sz="4" w:space="0"/>
              <w:left w:val="single" w:color="auto" w:sz="4" w:space="0"/>
              <w:bottom w:val="single" w:color="auto" w:sz="4" w:space="0"/>
              <w:right w:val="single" w:color="auto" w:sz="4" w:space="0"/>
            </w:tcBorders>
            <w:vAlign w:val="center"/>
          </w:tcPr>
          <w:p w14:paraId="05600DB1">
            <w:pPr>
              <w:widowControl/>
              <w:spacing w:line="360" w:lineRule="auto"/>
              <w:jc w:val="center"/>
              <w:textAlignment w:val="center"/>
              <w:rPr>
                <w:rFonts w:ascii="宋体" w:hAnsi="宋体" w:cs="宋体"/>
                <w:bCs/>
                <w:color w:val="000000"/>
                <w:kern w:val="0"/>
                <w:szCs w:val="21"/>
              </w:rPr>
            </w:pPr>
            <w:r>
              <w:rPr>
                <w:rFonts w:hint="eastAsia" w:ascii="宋体" w:hAnsi="宋体" w:cs="宋体"/>
                <w:bCs/>
                <w:color w:val="000000"/>
                <w:kern w:val="0"/>
                <w:szCs w:val="21"/>
              </w:rPr>
              <w:t>合计</w:t>
            </w:r>
          </w:p>
        </w:tc>
        <w:tc>
          <w:tcPr>
            <w:tcW w:w="5984" w:type="dxa"/>
            <w:gridSpan w:val="7"/>
            <w:tcBorders>
              <w:top w:val="single" w:color="auto" w:sz="4" w:space="0"/>
              <w:left w:val="single" w:color="auto" w:sz="4" w:space="0"/>
              <w:bottom w:val="single" w:color="auto" w:sz="4" w:space="0"/>
              <w:right w:val="single" w:color="auto" w:sz="4" w:space="0"/>
            </w:tcBorders>
            <w:vAlign w:val="center"/>
          </w:tcPr>
          <w:p w14:paraId="4B51552B">
            <w:pPr>
              <w:widowControl/>
              <w:tabs>
                <w:tab w:val="left" w:pos="720"/>
              </w:tabs>
              <w:spacing w:before="120" w:after="120" w:line="360" w:lineRule="auto"/>
              <w:jc w:val="left"/>
              <w:outlineLvl w:val="2"/>
              <w:rPr>
                <w:rFonts w:ascii="宋体" w:hAnsi="宋体" w:cs="宋体"/>
                <w:bCs/>
                <w:szCs w:val="21"/>
              </w:rPr>
            </w:pPr>
            <w:r>
              <w:rPr>
                <w:rFonts w:hint="eastAsia" w:ascii="宋体" w:hAnsi="宋体" w:cs="宋体"/>
                <w:bCs/>
                <w:szCs w:val="21"/>
              </w:rPr>
              <w:t>小写：</w:t>
            </w:r>
          </w:p>
          <w:p w14:paraId="54292541">
            <w:pPr>
              <w:widowControl/>
              <w:tabs>
                <w:tab w:val="left" w:pos="720"/>
              </w:tabs>
              <w:spacing w:before="120" w:after="120" w:line="360" w:lineRule="auto"/>
              <w:jc w:val="left"/>
              <w:outlineLvl w:val="2"/>
              <w:rPr>
                <w:rFonts w:ascii="宋体" w:hAnsi="宋体" w:cs="宋体"/>
                <w:bCs/>
                <w:color w:val="000000"/>
                <w:kern w:val="0"/>
                <w:szCs w:val="21"/>
              </w:rPr>
            </w:pPr>
            <w:r>
              <w:rPr>
                <w:rFonts w:hint="eastAsia" w:ascii="宋体" w:hAnsi="宋体" w:cs="宋体"/>
                <w:bCs/>
                <w:szCs w:val="21"/>
              </w:rPr>
              <w:t>大写：</w:t>
            </w:r>
          </w:p>
        </w:tc>
      </w:tr>
      <w:tr w14:paraId="6A67A6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15" w:hRule="atLeast"/>
          <w:jc w:val="right"/>
        </w:trPr>
        <w:tc>
          <w:tcPr>
            <w:tcW w:w="2339" w:type="dxa"/>
            <w:vMerge w:val="restart"/>
            <w:tcBorders>
              <w:top w:val="single" w:color="auto" w:sz="4" w:space="0"/>
              <w:left w:val="single" w:color="auto" w:sz="4" w:space="0"/>
              <w:bottom w:val="single" w:color="auto" w:sz="4" w:space="0"/>
              <w:right w:val="single" w:color="auto" w:sz="4" w:space="0"/>
            </w:tcBorders>
            <w:vAlign w:val="center"/>
          </w:tcPr>
          <w:p w14:paraId="14CFA021">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发票类型和税率：</w:t>
            </w:r>
          </w:p>
          <w:p w14:paraId="71997B64">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（在相应项目打“√”）</w:t>
            </w:r>
          </w:p>
        </w:tc>
        <w:tc>
          <w:tcPr>
            <w:tcW w:w="5984" w:type="dxa"/>
            <w:gridSpan w:val="7"/>
            <w:tcBorders>
              <w:top w:val="single" w:color="auto" w:sz="4" w:space="0"/>
              <w:left w:val="single" w:color="auto" w:sz="4" w:space="0"/>
              <w:bottom w:val="single" w:color="auto" w:sz="4" w:space="0"/>
              <w:right w:val="single" w:color="auto" w:sz="4" w:space="0"/>
            </w:tcBorders>
            <w:vAlign w:val="center"/>
          </w:tcPr>
          <w:p w14:paraId="571D982C">
            <w:pPr>
              <w:widowControl/>
              <w:spacing w:line="360" w:lineRule="auto"/>
              <w:jc w:val="left"/>
              <w:textAlignment w:val="center"/>
              <w:rPr>
                <w:rFonts w:ascii="宋体" w:hAnsi="宋体" w:cs="宋体"/>
                <w:bCs/>
                <w:kern w:val="0"/>
                <w:szCs w:val="21"/>
              </w:rPr>
            </w:pPr>
            <w:r>
              <w:rPr>
                <w:rFonts w:hint="eastAsia" w:ascii="宋体" w:hAnsi="宋体" w:cs="宋体"/>
                <w:bCs/>
                <w:kern w:val="0"/>
                <w:szCs w:val="21"/>
              </w:rPr>
              <w:t>□发票类型：增值税专用发票，税率：13%</w:t>
            </w:r>
          </w:p>
        </w:tc>
      </w:tr>
      <w:tr w14:paraId="107FCA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05" w:hRule="atLeast"/>
          <w:jc w:val="right"/>
        </w:trPr>
        <w:tc>
          <w:tcPr>
            <w:tcW w:w="2339" w:type="dxa"/>
            <w:vMerge w:val="continue"/>
            <w:tcBorders>
              <w:top w:val="single" w:color="auto" w:sz="4" w:space="0"/>
              <w:left w:val="single" w:color="auto" w:sz="4" w:space="0"/>
              <w:bottom w:val="single" w:color="auto" w:sz="4" w:space="0"/>
              <w:right w:val="single" w:color="auto" w:sz="4" w:space="0"/>
            </w:tcBorders>
            <w:vAlign w:val="center"/>
          </w:tcPr>
          <w:p w14:paraId="1208875A">
            <w:pPr>
              <w:widowControl/>
              <w:spacing w:line="360" w:lineRule="auto"/>
              <w:jc w:val="center"/>
              <w:rPr>
                <w:rFonts w:ascii="宋体" w:hAnsi="宋体" w:cs="宋体"/>
                <w:bCs/>
                <w:szCs w:val="21"/>
              </w:rPr>
            </w:pPr>
          </w:p>
        </w:tc>
        <w:tc>
          <w:tcPr>
            <w:tcW w:w="5984" w:type="dxa"/>
            <w:gridSpan w:val="7"/>
            <w:tcBorders>
              <w:top w:val="single" w:color="auto" w:sz="4" w:space="0"/>
              <w:left w:val="single" w:color="auto" w:sz="4" w:space="0"/>
              <w:bottom w:val="single" w:color="auto" w:sz="4" w:space="0"/>
              <w:right w:val="single" w:color="auto" w:sz="4" w:space="0"/>
            </w:tcBorders>
            <w:vAlign w:val="center"/>
          </w:tcPr>
          <w:p w14:paraId="29CCDBF9">
            <w:pPr>
              <w:widowControl/>
              <w:spacing w:line="360" w:lineRule="auto"/>
              <w:jc w:val="left"/>
              <w:textAlignment w:val="center"/>
              <w:rPr>
                <w:rFonts w:ascii="宋体" w:hAnsi="宋体" w:cs="宋体"/>
                <w:bCs/>
                <w:kern w:val="0"/>
                <w:szCs w:val="21"/>
              </w:rPr>
            </w:pPr>
            <w:r>
              <w:rPr>
                <w:rFonts w:hint="eastAsia" w:ascii="宋体" w:hAnsi="宋体" w:cs="宋体"/>
                <w:bCs/>
                <w:kern w:val="0"/>
                <w:szCs w:val="21"/>
              </w:rPr>
              <w:t>□发票类型：增值税专用发票，税率：3%</w:t>
            </w:r>
          </w:p>
        </w:tc>
      </w:tr>
    </w:tbl>
    <w:p w14:paraId="548AB71F">
      <w:pPr>
        <w:spacing w:line="192" w:lineRule="auto"/>
        <w:jc w:val="left"/>
        <w:rPr>
          <w:rFonts w:ascii="宋体" w:hAnsi="宋体" w:cs="宋体"/>
          <w:kern w:val="0"/>
          <w:sz w:val="18"/>
          <w:szCs w:val="18"/>
        </w:rPr>
      </w:pPr>
      <w:r>
        <w:rPr>
          <w:rFonts w:hint="eastAsia" w:ascii="宋体" w:hAnsi="宋体" w:cs="宋体"/>
          <w:kern w:val="0"/>
          <w:sz w:val="18"/>
          <w:szCs w:val="18"/>
        </w:rPr>
        <w:t>备注：</w:t>
      </w:r>
    </w:p>
    <w:p w14:paraId="403C2D61">
      <w:pPr>
        <w:numPr>
          <w:ilvl w:val="0"/>
          <w:numId w:val="15"/>
        </w:numPr>
        <w:spacing w:line="360" w:lineRule="auto"/>
        <w:jc w:val="left"/>
        <w:rPr>
          <w:rFonts w:ascii="宋体" w:hAnsi="宋体" w:cs="宋体"/>
          <w:kern w:val="0"/>
          <w:szCs w:val="21"/>
        </w:rPr>
      </w:pPr>
      <w:r>
        <w:rPr>
          <w:rFonts w:hint="eastAsia" w:ascii="宋体" w:hAnsi="宋体" w:cs="宋体"/>
          <w:kern w:val="0"/>
          <w:szCs w:val="21"/>
        </w:rPr>
        <w:t>当国家税收政策调整导致增值税税率发生变化时，保持不含税单价不变，根据政策规定的适用税率调整情况，调整增值税税率、税额、含税价格以及合同结算金额。</w:t>
      </w:r>
    </w:p>
    <w:p w14:paraId="0345624B">
      <w:pPr>
        <w:numPr>
          <w:ilvl w:val="0"/>
          <w:numId w:val="15"/>
        </w:numPr>
        <w:spacing w:line="360" w:lineRule="auto"/>
        <w:jc w:val="left"/>
        <w:rPr>
          <w:rFonts w:ascii="宋体" w:hAnsi="宋体" w:cs="宋体"/>
          <w:kern w:val="0"/>
          <w:szCs w:val="21"/>
        </w:rPr>
      </w:pPr>
      <w:r>
        <w:rPr>
          <w:rFonts w:hint="eastAsia" w:ascii="宋体" w:hAnsi="宋体" w:cs="宋体"/>
          <w:kern w:val="0"/>
          <w:szCs w:val="21"/>
        </w:rPr>
        <w:t>本报价为一价全包价，包括设备及零配件的生产、购置、送货上门、运输装卸、安装调试、配件及质保期售后服务、全额含税发票及合同实施过程中可能产生的一切费用。</w:t>
      </w:r>
    </w:p>
    <w:p w14:paraId="0D02D31C">
      <w:pPr>
        <w:numPr>
          <w:ilvl w:val="0"/>
          <w:numId w:val="15"/>
        </w:numPr>
        <w:spacing w:line="360" w:lineRule="auto"/>
        <w:jc w:val="left"/>
        <w:rPr>
          <w:rFonts w:ascii="宋体" w:hAnsi="宋体" w:cs="宋体"/>
          <w:kern w:val="0"/>
          <w:szCs w:val="21"/>
        </w:rPr>
      </w:pPr>
      <w:r>
        <w:rPr>
          <w:rFonts w:hint="eastAsia" w:ascii="宋体" w:hAnsi="宋体" w:cs="宋体"/>
          <w:kern w:val="0"/>
          <w:szCs w:val="21"/>
        </w:rPr>
        <w:t>税率不同，应折算税率（不含税价=投标价/（1+税率））。</w:t>
      </w:r>
    </w:p>
    <w:p w14:paraId="24056AD9">
      <w:pPr>
        <w:numPr>
          <w:ilvl w:val="0"/>
          <w:numId w:val="15"/>
        </w:numPr>
        <w:spacing w:line="360" w:lineRule="auto"/>
        <w:jc w:val="left"/>
        <w:rPr>
          <w:rFonts w:ascii="宋体" w:hAnsi="宋体"/>
          <w:szCs w:val="21"/>
        </w:rPr>
      </w:pPr>
      <w:r>
        <w:rPr>
          <w:rFonts w:hint="eastAsia" w:ascii="宋体" w:hAnsi="宋体"/>
          <w:szCs w:val="21"/>
        </w:rPr>
        <w:t>本表中报价单位为人民币，单位为元。</w:t>
      </w:r>
    </w:p>
    <w:p w14:paraId="2B3F4742">
      <w:pPr>
        <w:numPr>
          <w:ilvl w:val="0"/>
          <w:numId w:val="15"/>
        </w:numPr>
        <w:spacing w:line="360" w:lineRule="auto"/>
        <w:jc w:val="left"/>
      </w:pPr>
      <w:r>
        <w:rPr>
          <w:rFonts w:hint="eastAsia"/>
        </w:rPr>
        <w:t>以上报价均含税。</w:t>
      </w:r>
    </w:p>
    <w:p w14:paraId="6420A28D">
      <w:pPr>
        <w:numPr>
          <w:ilvl w:val="0"/>
          <w:numId w:val="15"/>
        </w:numPr>
        <w:spacing w:line="360" w:lineRule="auto"/>
        <w:jc w:val="left"/>
      </w:pPr>
      <w:r>
        <w:rPr>
          <w:rFonts w:hint="eastAsia"/>
        </w:rPr>
        <w:t>单价报价不得超过单价最高限价，否则为无效报价。</w:t>
      </w:r>
    </w:p>
    <w:p w14:paraId="18EAB369">
      <w:pPr>
        <w:numPr>
          <w:ilvl w:val="0"/>
          <w:numId w:val="15"/>
        </w:numPr>
        <w:spacing w:line="360" w:lineRule="auto"/>
        <w:jc w:val="left"/>
      </w:pPr>
      <w:r>
        <w:rPr>
          <w:rFonts w:hint="eastAsia"/>
        </w:rPr>
        <w:t>分项报价表中的总计金额须与报价一览表中的总报价一致，不一致以分项报价表中的单价和数量计算后的总计为准。</w:t>
      </w:r>
    </w:p>
    <w:p w14:paraId="456BB4F1">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报价人名称（盖公章）：</w:t>
      </w:r>
    </w:p>
    <w:p w14:paraId="1231D320">
      <w:pPr>
        <w:rPr>
          <w:rFonts w:ascii="宋体" w:hAnsi="宋体"/>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spacing w:val="4"/>
          <w:szCs w:val="21"/>
          <w14:textFill>
            <w14:solidFill>
              <w14:schemeClr w14:val="tx1"/>
            </w14:solidFill>
          </w14:textFill>
        </w:rPr>
        <w:t>报价人</w:t>
      </w:r>
      <w:r>
        <w:rPr>
          <w:rFonts w:hint="eastAsia" w:ascii="宋体" w:hAnsi="宋体"/>
          <w:color w:val="000000" w:themeColor="text1"/>
          <w:szCs w:val="21"/>
          <w14:textFill>
            <w14:solidFill>
              <w14:schemeClr w14:val="tx1"/>
            </w14:solidFill>
          </w14:textFill>
        </w:rPr>
        <w:t>授权代表（</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pacing w:val="4"/>
          <w:szCs w:val="21"/>
          <w14:textFill>
            <w14:solidFill>
              <w14:schemeClr w14:val="tx1"/>
            </w14:solidFill>
          </w14:textFill>
        </w:rPr>
        <w:t>：</w:t>
      </w:r>
    </w:p>
    <w:p w14:paraId="0606C6EA">
      <w:pPr>
        <w:rPr>
          <w:rFonts w:ascii="宋体" w:hAnsi="宋体"/>
          <w:color w:val="000000" w:themeColor="text1"/>
          <w:spacing w:val="4"/>
          <w:szCs w:val="21"/>
          <w14:textFill>
            <w14:solidFill>
              <w14:schemeClr w14:val="tx1"/>
            </w14:solidFill>
          </w14:textFill>
        </w:rPr>
      </w:pPr>
    </w:p>
    <w:p w14:paraId="53A97237">
      <w:pPr>
        <w:rPr>
          <w:rFonts w:ascii="宋体" w:hAnsi="宋体"/>
          <w:color w:val="000000" w:themeColor="text1"/>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p>
    <w:p w14:paraId="53C24216">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2AD90C17">
      <w:pPr>
        <w:pStyle w:val="3"/>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14:paraId="484BB575">
      <w:pPr>
        <w:rPr>
          <w:rFonts w:ascii="宋体" w:hAnsi="宋体"/>
          <w:b/>
          <w:color w:val="000000" w:themeColor="text1"/>
          <w14:textFill>
            <w14:solidFill>
              <w14:schemeClr w14:val="tx1"/>
            </w14:solidFill>
          </w14:textFill>
        </w:rPr>
      </w:pPr>
    </w:p>
    <w:p w14:paraId="432CDC89">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广东省广播电视网络股份有限公司佛山顺德分公司</w:t>
      </w:r>
      <w:r>
        <w:rPr>
          <w:rFonts w:hint="eastAsia" w:ascii="宋体" w:hAnsi="宋体"/>
          <w:b/>
          <w:color w:val="000000" w:themeColor="text1"/>
          <w:szCs w:val="21"/>
          <w14:textFill>
            <w14:solidFill>
              <w14:schemeClr w14:val="tx1"/>
            </w14:solidFill>
          </w14:textFill>
        </w:rPr>
        <w:t>、采联国际招标采购集团有限公司</w:t>
      </w:r>
    </w:p>
    <w:p w14:paraId="539A2C63">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2024年佛山市顺德区内阻仪及红外热成像仪购置项目</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r>
        <w:rPr>
          <w:rFonts w:ascii="宋体" w:hAnsi="宋体" w:cs="宋体"/>
          <w:szCs w:val="21"/>
        </w:rPr>
        <w:t>投标人不得存在下列情形之一</w:t>
      </w:r>
      <w:r>
        <w:rPr>
          <w:rFonts w:hint="eastAsia" w:ascii="宋体" w:hAnsi="宋体" w:cs="宋体"/>
          <w:szCs w:val="21"/>
        </w:rPr>
        <w:t>：</w:t>
      </w:r>
    </w:p>
    <w:p w14:paraId="2BC616DC">
      <w:pPr>
        <w:snapToGrid w:val="0"/>
        <w:spacing w:line="360" w:lineRule="auto"/>
        <w:ind w:firstLine="424" w:firstLineChars="202"/>
        <w:jc w:val="left"/>
        <w:rPr>
          <w:rFonts w:ascii="宋体" w:hAnsi="宋体" w:cs="宋体"/>
          <w:szCs w:val="21"/>
        </w:rPr>
      </w:pPr>
      <w:r>
        <w:rPr>
          <w:rFonts w:ascii="宋体" w:hAnsi="宋体" w:cs="宋体"/>
          <w:szCs w:val="21"/>
        </w:rPr>
        <w:t>（1）与招标人存在利害关系且可能影响招标公正性；</w:t>
      </w:r>
    </w:p>
    <w:p w14:paraId="06D279E7">
      <w:pPr>
        <w:snapToGrid w:val="0"/>
        <w:spacing w:line="360" w:lineRule="auto"/>
        <w:ind w:firstLine="424" w:firstLineChars="202"/>
        <w:jc w:val="left"/>
        <w:rPr>
          <w:rFonts w:ascii="宋体" w:hAnsi="宋体" w:cs="宋体"/>
          <w:szCs w:val="21"/>
        </w:rPr>
      </w:pPr>
      <w:r>
        <w:rPr>
          <w:rFonts w:ascii="宋体" w:hAnsi="宋体" w:cs="宋体"/>
          <w:szCs w:val="21"/>
        </w:rPr>
        <w:t>（2）与本项目同一标包或未划分标包的同一招标项目的其他投标人为同一个单位负责人；</w:t>
      </w:r>
    </w:p>
    <w:p w14:paraId="23BA72FD">
      <w:pPr>
        <w:snapToGrid w:val="0"/>
        <w:spacing w:line="360" w:lineRule="auto"/>
        <w:ind w:firstLine="424" w:firstLineChars="202"/>
        <w:jc w:val="left"/>
        <w:rPr>
          <w:rFonts w:ascii="宋体" w:hAnsi="宋体" w:cs="宋体"/>
          <w:szCs w:val="21"/>
        </w:rPr>
      </w:pPr>
      <w:r>
        <w:rPr>
          <w:rFonts w:ascii="宋体" w:hAnsi="宋体" w:cs="宋体"/>
          <w:szCs w:val="21"/>
        </w:rPr>
        <w:t>（3）与本项目同一标包或未划分标包的同一招标项目的其他投标人存在控股、管理关系；</w:t>
      </w:r>
    </w:p>
    <w:p w14:paraId="3B2B4D37">
      <w:pPr>
        <w:snapToGrid w:val="0"/>
        <w:spacing w:line="360" w:lineRule="auto"/>
        <w:ind w:firstLine="424" w:firstLineChars="202"/>
        <w:jc w:val="left"/>
        <w:rPr>
          <w:rFonts w:ascii="宋体" w:hAnsi="宋体" w:cs="宋体"/>
          <w:szCs w:val="21"/>
        </w:rPr>
      </w:pPr>
      <w:r>
        <w:rPr>
          <w:rFonts w:ascii="宋体" w:hAnsi="宋体" w:cs="宋体"/>
          <w:szCs w:val="21"/>
        </w:rPr>
        <w:t>（4）为本项目的招标代理机构；</w:t>
      </w:r>
    </w:p>
    <w:p w14:paraId="2EF2ED0A">
      <w:pPr>
        <w:snapToGrid w:val="0"/>
        <w:spacing w:line="360" w:lineRule="auto"/>
        <w:ind w:firstLine="424" w:firstLineChars="202"/>
        <w:jc w:val="left"/>
        <w:rPr>
          <w:rFonts w:ascii="宋体" w:hAnsi="宋体" w:cs="宋体"/>
          <w:szCs w:val="21"/>
        </w:rPr>
      </w:pPr>
      <w:r>
        <w:rPr>
          <w:rFonts w:ascii="宋体" w:hAnsi="宋体" w:cs="宋体"/>
          <w:szCs w:val="21"/>
        </w:rPr>
        <w:t>（5）与本项目的招标代理机构同为一个法定代表人；</w:t>
      </w:r>
    </w:p>
    <w:p w14:paraId="1699CC20">
      <w:pPr>
        <w:snapToGrid w:val="0"/>
        <w:spacing w:line="360" w:lineRule="auto"/>
        <w:ind w:firstLine="424" w:firstLineChars="202"/>
        <w:jc w:val="left"/>
        <w:rPr>
          <w:rFonts w:ascii="宋体" w:hAnsi="宋体" w:cs="宋体"/>
          <w:szCs w:val="21"/>
        </w:rPr>
      </w:pPr>
      <w:r>
        <w:rPr>
          <w:rFonts w:ascii="宋体" w:hAnsi="宋体" w:cs="宋体"/>
          <w:szCs w:val="21"/>
        </w:rPr>
        <w:t>（6）与本项目的招标代理机构存在控股或参股关系；</w:t>
      </w:r>
    </w:p>
    <w:p w14:paraId="2B148A10">
      <w:pPr>
        <w:snapToGrid w:val="0"/>
        <w:spacing w:line="360" w:lineRule="auto"/>
        <w:ind w:firstLine="424" w:firstLineChars="202"/>
        <w:jc w:val="left"/>
        <w:rPr>
          <w:rFonts w:ascii="宋体" w:hAnsi="宋体" w:cs="宋体"/>
          <w:szCs w:val="21"/>
        </w:rPr>
      </w:pPr>
      <w:r>
        <w:rPr>
          <w:rFonts w:ascii="宋体" w:hAnsi="宋体" w:cs="宋体"/>
          <w:szCs w:val="21"/>
        </w:rPr>
        <w:t>（7）被依法暂停或者取消投标资格；</w:t>
      </w:r>
    </w:p>
    <w:p w14:paraId="5A392F56">
      <w:pPr>
        <w:snapToGrid w:val="0"/>
        <w:spacing w:line="360" w:lineRule="auto"/>
        <w:ind w:firstLine="424" w:firstLineChars="202"/>
        <w:jc w:val="left"/>
        <w:rPr>
          <w:rFonts w:ascii="宋体" w:hAnsi="宋体" w:cs="宋体"/>
          <w:szCs w:val="21"/>
        </w:rPr>
      </w:pPr>
      <w:r>
        <w:rPr>
          <w:rFonts w:ascii="宋体" w:hAnsi="宋体" w:cs="宋体"/>
          <w:szCs w:val="21"/>
        </w:rPr>
        <w:t>（8）在招标公告发布之日至投标截止之日任意一日，存在因违反招标人（或广东省广播电视网络股份有限公司）供应商管理规定而受到禁止参与采购活动的处罚的情形；</w:t>
      </w:r>
    </w:p>
    <w:p w14:paraId="439FBB5F">
      <w:pPr>
        <w:snapToGrid w:val="0"/>
        <w:spacing w:line="360" w:lineRule="auto"/>
        <w:ind w:firstLine="424" w:firstLineChars="202"/>
        <w:jc w:val="left"/>
        <w:rPr>
          <w:rFonts w:ascii="宋体" w:hAnsi="宋体" w:cs="宋体"/>
          <w:szCs w:val="21"/>
        </w:rPr>
      </w:pPr>
      <w:r>
        <w:rPr>
          <w:rFonts w:ascii="宋体" w:hAnsi="宋体" w:cs="宋体"/>
          <w:szCs w:val="21"/>
        </w:rPr>
        <w:t>（9）被责令停产停业、暂扣或者吊销许可证、暂扣或者吊销执照；</w:t>
      </w:r>
    </w:p>
    <w:p w14:paraId="2260D0A6">
      <w:pPr>
        <w:snapToGrid w:val="0"/>
        <w:spacing w:line="360" w:lineRule="auto"/>
        <w:ind w:firstLine="424" w:firstLineChars="202"/>
        <w:jc w:val="left"/>
        <w:rPr>
          <w:rFonts w:ascii="宋体" w:hAnsi="宋体" w:cs="宋体"/>
          <w:szCs w:val="21"/>
        </w:rPr>
      </w:pPr>
      <w:r>
        <w:rPr>
          <w:rFonts w:ascii="宋体" w:hAnsi="宋体" w:cs="宋体"/>
          <w:szCs w:val="21"/>
        </w:rPr>
        <w:t>（10）进入清算程序，或被宣告破产，或其他丧失履约能力的情形；</w:t>
      </w:r>
    </w:p>
    <w:p w14:paraId="67AAD583">
      <w:pPr>
        <w:snapToGrid w:val="0"/>
        <w:spacing w:line="360" w:lineRule="auto"/>
        <w:ind w:firstLine="424" w:firstLineChars="202"/>
        <w:jc w:val="left"/>
        <w:rPr>
          <w:rFonts w:ascii="宋体" w:hAnsi="宋体" w:cs="宋体"/>
          <w:szCs w:val="21"/>
        </w:rPr>
      </w:pPr>
      <w:r>
        <w:rPr>
          <w:rFonts w:ascii="宋体" w:hAnsi="宋体" w:cs="宋体"/>
          <w:szCs w:val="21"/>
        </w:rPr>
        <w:t>（11）在最近三年内发生重大安全生产事故（以相关行业主管部门的行政处罚决定或司法机关出具的有关法律文书为准）；</w:t>
      </w:r>
    </w:p>
    <w:p w14:paraId="65E6776C">
      <w:pPr>
        <w:snapToGrid w:val="0"/>
        <w:spacing w:line="360" w:lineRule="auto"/>
        <w:ind w:firstLine="424" w:firstLineChars="202"/>
        <w:jc w:val="left"/>
        <w:rPr>
          <w:rFonts w:ascii="宋体" w:hAnsi="宋体" w:cs="宋体"/>
          <w:szCs w:val="21"/>
        </w:rPr>
      </w:pPr>
      <w:r>
        <w:rPr>
          <w:rFonts w:ascii="宋体" w:hAnsi="宋体" w:cs="宋体"/>
          <w:szCs w:val="21"/>
        </w:rPr>
        <w:t>（12）被工商行政管理机关在全国企业信用信息公示系统中列入严重违法失信企业名单；</w:t>
      </w:r>
    </w:p>
    <w:p w14:paraId="5AEE73AC">
      <w:pPr>
        <w:snapToGrid w:val="0"/>
        <w:spacing w:line="360" w:lineRule="auto"/>
        <w:ind w:firstLine="424" w:firstLineChars="202"/>
        <w:jc w:val="left"/>
        <w:rPr>
          <w:rFonts w:ascii="宋体" w:hAnsi="宋体" w:cs="宋体"/>
          <w:szCs w:val="21"/>
        </w:rPr>
      </w:pPr>
      <w:r>
        <w:rPr>
          <w:rFonts w:ascii="宋体" w:hAnsi="宋体" w:cs="宋体"/>
          <w:szCs w:val="21"/>
        </w:rPr>
        <w:t>（13）被最高人民法院在“信用中国”网站或各级信用信息共享平台中列入失信被执行人名单；</w:t>
      </w:r>
    </w:p>
    <w:p w14:paraId="1591121D">
      <w:pPr>
        <w:snapToGrid w:val="0"/>
        <w:spacing w:line="360" w:lineRule="auto"/>
        <w:ind w:firstLine="424" w:firstLineChars="202"/>
        <w:jc w:val="left"/>
        <w:rPr>
          <w:rFonts w:ascii="宋体" w:hAnsi="宋体" w:cs="宋体"/>
          <w:szCs w:val="21"/>
        </w:rPr>
      </w:pPr>
      <w:r>
        <w:rPr>
          <w:rFonts w:ascii="宋体" w:hAnsi="宋体" w:cs="宋体"/>
          <w:szCs w:val="21"/>
        </w:rPr>
        <w:t>（14）在近三年内投标人或其法定代表人、拟委任的项目负责人或投标人授权代表有行贿犯罪行为的；</w:t>
      </w:r>
    </w:p>
    <w:p w14:paraId="4EEF4C31">
      <w:pPr>
        <w:snapToGrid w:val="0"/>
        <w:spacing w:line="360" w:lineRule="auto"/>
        <w:ind w:firstLine="424" w:firstLineChars="202"/>
        <w:jc w:val="left"/>
        <w:rPr>
          <w:rFonts w:ascii="宋体" w:hAnsi="宋体" w:cs="宋体"/>
          <w:szCs w:val="21"/>
        </w:rPr>
      </w:pPr>
      <w:r>
        <w:rPr>
          <w:rFonts w:ascii="宋体" w:hAnsi="宋体" w:cs="宋体"/>
          <w:szCs w:val="21"/>
        </w:rPr>
        <w:t>（15）法律法规或本招标文件规定的其他禁止情形。</w:t>
      </w:r>
    </w:p>
    <w:p w14:paraId="6F949941">
      <w:pPr>
        <w:snapToGrid w:val="0"/>
        <w:spacing w:line="360" w:lineRule="auto"/>
        <w:ind w:firstLine="424" w:firstLineChars="202"/>
        <w:jc w:val="left"/>
        <w:rPr>
          <w:rFonts w:ascii="宋体" w:hAnsi="宋体" w:cs="宋体"/>
          <w:szCs w:val="21"/>
        </w:rPr>
      </w:pPr>
    </w:p>
    <w:p w14:paraId="2AE87DD7">
      <w:pPr>
        <w:snapToGrid w:val="0"/>
        <w:spacing w:line="360" w:lineRule="auto"/>
        <w:ind w:firstLine="424" w:firstLineChars="202"/>
        <w:jc w:val="left"/>
        <w:rPr>
          <w:rFonts w:ascii="宋体" w:hAnsi="宋体"/>
          <w:b/>
          <w:bCs/>
          <w:color w:val="000000"/>
          <w:kern w:val="28"/>
          <w:szCs w:val="21"/>
        </w:rPr>
      </w:pPr>
      <w:r>
        <w:rPr>
          <w:rFonts w:ascii="宋体" w:hAnsi="宋体" w:cs="宋体"/>
          <w:szCs w:val="21"/>
        </w:rPr>
        <w:t>投标人须提供盖章的《投标人资格声明函》，承诺不存在上述情形之一。若发现承诺与事实不符，将视为弄虚作假，进行否决投标处理。</w:t>
      </w:r>
    </w:p>
    <w:p w14:paraId="26A23FB9">
      <w:pPr>
        <w:autoSpaceDE w:val="0"/>
        <w:autoSpaceDN w:val="0"/>
        <w:adjustRightInd w:val="0"/>
        <w:snapToGrid w:val="0"/>
        <w:spacing w:line="360" w:lineRule="auto"/>
        <w:ind w:right="436" w:firstLine="3488" w:firstLineChars="1600"/>
        <w:rPr>
          <w:rFonts w:ascii="宋体" w:hAnsi="宋体"/>
          <w:color w:val="000000"/>
          <w:spacing w:val="4"/>
          <w:szCs w:val="21"/>
        </w:rPr>
      </w:pPr>
    </w:p>
    <w:p w14:paraId="59758EDD">
      <w:pPr>
        <w:autoSpaceDE w:val="0"/>
        <w:autoSpaceDN w:val="0"/>
        <w:adjustRightInd w:val="0"/>
        <w:snapToGrid w:val="0"/>
        <w:spacing w:line="360" w:lineRule="auto"/>
        <w:ind w:right="436" w:firstLine="3488" w:firstLineChars="1600"/>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14:paraId="0ACD7E42">
      <w:pPr>
        <w:autoSpaceDE w:val="0"/>
        <w:autoSpaceDN w:val="0"/>
        <w:adjustRightInd w:val="0"/>
        <w:snapToGrid w:val="0"/>
        <w:spacing w:line="360" w:lineRule="auto"/>
        <w:ind w:firstLine="105" w:firstLineChars="50"/>
        <w:jc w:val="right"/>
        <w:rPr>
          <w:rFonts w:ascii="宋体" w:hAnsi="宋体"/>
          <w:color w:val="000000"/>
          <w:szCs w:val="21"/>
          <w:u w:val="single"/>
        </w:rPr>
      </w:pPr>
    </w:p>
    <w:p w14:paraId="76EF2434">
      <w:pPr>
        <w:autoSpaceDE w:val="0"/>
        <w:autoSpaceDN w:val="0"/>
        <w:adjustRightInd w:val="0"/>
        <w:snapToGrid w:val="0"/>
        <w:spacing w:line="360" w:lineRule="auto"/>
        <w:ind w:right="436" w:firstLine="2625" w:firstLineChars="1250"/>
        <w:jc w:val="center"/>
        <w:rPr>
          <w:rFonts w:ascii="宋体" w:hAnsi="宋体"/>
          <w:spacing w:val="4"/>
          <w:szCs w:val="21"/>
          <w:u w:val="single"/>
        </w:rPr>
      </w:pPr>
      <w:r>
        <w:rPr>
          <w:rFonts w:hint="eastAsia" w:ascii="宋体" w:hAnsi="宋体" w:cs="宋体"/>
          <w:color w:val="000000"/>
          <w:szCs w:val="21"/>
        </w:rPr>
        <w:t xml:space="preserve">           日期：</w:t>
      </w:r>
      <w:r>
        <w:rPr>
          <w:rFonts w:hint="eastAsia" w:ascii="宋体" w:hAnsi="宋体"/>
          <w:spacing w:val="4"/>
          <w:szCs w:val="21"/>
          <w:u w:val="single"/>
        </w:rPr>
        <w:t xml:space="preserve">  </w:t>
      </w:r>
    </w:p>
    <w:p w14:paraId="64BD0E52">
      <w:pPr>
        <w:pStyle w:val="148"/>
        <w:wordWrap w:val="0"/>
        <w:spacing w:line="720" w:lineRule="auto"/>
        <w:ind w:right="218" w:firstLine="0" w:firstLineChars="0"/>
        <w:jc w:val="center"/>
        <w:outlineLvl w:val="1"/>
        <w:rPr>
          <w:rFonts w:ascii="宋体" w:hAnsi="宋体"/>
          <w:b/>
          <w:bCs/>
          <w:color w:val="000000" w:themeColor="text1"/>
          <w:kern w:val="28"/>
          <w:sz w:val="32"/>
          <w:szCs w:val="32"/>
          <w14:textFill>
            <w14:solidFill>
              <w14:schemeClr w14:val="tx1"/>
            </w14:solidFill>
          </w14:textFill>
        </w:rPr>
      </w:pPr>
      <w:r>
        <w:rPr>
          <w:rFonts w:hint="eastAsia" w:ascii="宋体" w:hAnsi="宋体"/>
          <w:b/>
          <w:bCs/>
          <w:color w:val="000000" w:themeColor="text1"/>
          <w:kern w:val="28"/>
          <w:sz w:val="32"/>
          <w:szCs w:val="32"/>
          <w14:textFill>
            <w14:solidFill>
              <w14:schemeClr w14:val="tx1"/>
            </w14:solidFill>
          </w14:textFill>
        </w:rPr>
        <w:t>用户需求书响应声明函</w:t>
      </w:r>
    </w:p>
    <w:p w14:paraId="7D5AD233">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bookmarkStart w:id="2" w:name="_Hlk74835188"/>
      <w:bookmarkStart w:id="3" w:name="_Hlk70414952"/>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广东省广播电视网络股份有限公司佛山顺德分公司</w:t>
      </w:r>
      <w:r>
        <w:rPr>
          <w:rFonts w:hint="eastAsia" w:ascii="宋体" w:hAnsi="宋体"/>
          <w:b/>
          <w:color w:val="000000" w:themeColor="text1"/>
          <w:szCs w:val="21"/>
          <w14:textFill>
            <w14:solidFill>
              <w14:schemeClr w14:val="tx1"/>
            </w14:solidFill>
          </w14:textFill>
        </w:rPr>
        <w:t>、采联国际招标采购集团有限公司</w:t>
      </w:r>
    </w:p>
    <w:p w14:paraId="771F65B2">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14:paraId="63C8E2FF">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2024年佛山市顺德区内阻仪及红外热成像仪购置项目</w:t>
      </w:r>
      <w:r>
        <w:rPr>
          <w:rFonts w:hint="eastAsia" w:ascii="宋体" w:hAnsi="宋体"/>
          <w:color w:val="000000" w:themeColor="text1"/>
          <w:szCs w:val="21"/>
          <w14:textFill>
            <w14:solidFill>
              <w14:schemeClr w14:val="tx1"/>
            </w14:solidFill>
          </w14:textFill>
        </w:rPr>
        <w:t>的竞价公告</w:t>
      </w:r>
      <w:bookmarkEnd w:id="2"/>
      <w:r>
        <w:rPr>
          <w:rFonts w:hint="eastAsia" w:ascii="宋体" w:hAnsi="宋体"/>
          <w:color w:val="000000" w:themeColor="text1"/>
          <w:szCs w:val="21"/>
          <w14:textFill>
            <w14:solidFill>
              <w14:schemeClr w14:val="tx1"/>
            </w14:solidFill>
          </w14:textFill>
        </w:rPr>
        <w:t>，本公司（企业）愿意参加采购活动，并作出如下声明：</w:t>
      </w:r>
    </w:p>
    <w:bookmarkEnd w:id="3"/>
    <w:p w14:paraId="05DD163D">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1DA7DD96">
      <w:pPr>
        <w:autoSpaceDE w:val="0"/>
        <w:autoSpaceDN w:val="0"/>
        <w:adjustRightInd w:val="0"/>
        <w:snapToGrid w:val="0"/>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14:paraId="2316C341">
      <w:pPr>
        <w:autoSpaceDE w:val="0"/>
        <w:autoSpaceDN w:val="0"/>
        <w:adjustRightInd w:val="0"/>
        <w:snapToGrid w:val="0"/>
        <w:spacing w:line="360" w:lineRule="auto"/>
        <w:rPr>
          <w:rFonts w:ascii="宋体" w:hAnsi="宋体"/>
          <w:b/>
          <w:bCs/>
          <w:color w:val="000000" w:themeColor="text1"/>
          <w:szCs w:val="21"/>
          <w14:textFill>
            <w14:solidFill>
              <w14:schemeClr w14:val="tx1"/>
            </w14:solidFill>
          </w14:textFill>
        </w:rPr>
      </w:pPr>
    </w:p>
    <w:p w14:paraId="59C273BB">
      <w:pPr>
        <w:autoSpaceDE w:val="0"/>
        <w:autoSpaceDN w:val="0"/>
        <w:adjustRightInd w:val="0"/>
        <w:snapToGrid w:val="0"/>
        <w:spacing w:line="360" w:lineRule="auto"/>
        <w:ind w:right="436" w:firstLine="3488" w:firstLineChars="16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14:paraId="3FCE77EA">
      <w:pPr>
        <w:autoSpaceDE w:val="0"/>
        <w:autoSpaceDN w:val="0"/>
        <w:adjustRightInd w:val="0"/>
        <w:snapToGrid w:val="0"/>
        <w:spacing w:line="360" w:lineRule="auto"/>
        <w:ind w:firstLine="105" w:firstLineChars="50"/>
        <w:jc w:val="right"/>
        <w:rPr>
          <w:rFonts w:ascii="宋体" w:hAnsi="宋体"/>
          <w:color w:val="000000" w:themeColor="text1"/>
          <w:szCs w:val="21"/>
          <w:u w:val="single"/>
          <w14:textFill>
            <w14:solidFill>
              <w14:schemeClr w14:val="tx1"/>
            </w14:solidFill>
          </w14:textFill>
        </w:rPr>
      </w:pPr>
    </w:p>
    <w:p w14:paraId="5FA24A48">
      <w:pPr>
        <w:autoSpaceDE w:val="0"/>
        <w:autoSpaceDN w:val="0"/>
        <w:adjustRightInd w:val="0"/>
        <w:snapToGrid w:val="0"/>
        <w:spacing w:line="360" w:lineRule="auto"/>
        <w:ind w:right="436" w:firstLine="2625" w:firstLineChars="12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p>
    <w:p w14:paraId="628071FE">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417D8068">
      <w:pPr>
        <w:pStyle w:val="2"/>
        <w:spacing w:before="0" w:after="0" w:line="360" w:lineRule="auto"/>
        <w:jc w:val="center"/>
        <w:rPr>
          <w:rFonts w:hint="default"/>
          <w:sz w:val="32"/>
          <w:szCs w:val="32"/>
        </w:rPr>
      </w:pPr>
      <w:bookmarkStart w:id="4" w:name="_Toc369726594"/>
      <w:r>
        <w:rPr>
          <w:bCs/>
          <w:sz w:val="32"/>
          <w:szCs w:val="32"/>
        </w:rPr>
        <w:t>第二部分　</w:t>
      </w:r>
      <w:r>
        <w:rPr>
          <w:sz w:val="32"/>
          <w:szCs w:val="32"/>
        </w:rPr>
        <w:t>合同书格式</w:t>
      </w:r>
      <w:bookmarkEnd w:id="4"/>
    </w:p>
    <w:p w14:paraId="26A96F3E">
      <w:pPr>
        <w:tabs>
          <w:tab w:val="left" w:pos="720"/>
        </w:tabs>
        <w:spacing w:line="360" w:lineRule="auto"/>
        <w:jc w:val="left"/>
        <w:rPr>
          <w:rFonts w:ascii="宋体" w:hAnsi="宋体"/>
          <w:b/>
          <w:szCs w:val="21"/>
        </w:rPr>
      </w:pPr>
      <w:r>
        <w:rPr>
          <w:b/>
          <w:sz w:val="24"/>
        </w:rPr>
        <w:t>注：本合同仅为合同的参考文本，合同签订双方可根据</w:t>
      </w:r>
      <w:r>
        <w:rPr>
          <w:rFonts w:hint="eastAsia"/>
          <w:b/>
          <w:sz w:val="24"/>
        </w:rPr>
        <w:t>竞价</w:t>
      </w:r>
      <w:r>
        <w:rPr>
          <w:b/>
          <w:sz w:val="24"/>
        </w:rPr>
        <w:t>文件及</w:t>
      </w:r>
      <w:r>
        <w:rPr>
          <w:rFonts w:hint="eastAsia"/>
          <w:b/>
          <w:sz w:val="24"/>
        </w:rPr>
        <w:t>成交人报价</w:t>
      </w:r>
      <w:r>
        <w:rPr>
          <w:b/>
          <w:sz w:val="24"/>
        </w:rPr>
        <w:t>文件具体内容进行修订。</w:t>
      </w:r>
    </w:p>
    <w:p w14:paraId="2DF30F9F"/>
    <w:p w14:paraId="748A95B0">
      <w:pPr>
        <w:spacing w:line="360" w:lineRule="auto"/>
        <w:jc w:val="right"/>
        <w:rPr>
          <w:rFonts w:ascii="宋体" w:hAnsi="宋体"/>
          <w:b/>
          <w:sz w:val="24"/>
        </w:rPr>
      </w:pPr>
      <w:r>
        <w:rPr>
          <w:rFonts w:hint="eastAsia" w:ascii="宋体" w:hAnsi="宋体"/>
          <w:b/>
          <w:sz w:val="24"/>
        </w:rPr>
        <w:t>合同编号：【</w:t>
      </w:r>
      <w:r>
        <w:rPr>
          <w:rFonts w:ascii="宋体" w:hAnsi="宋体"/>
          <w:b/>
          <w:sz w:val="24"/>
        </w:rPr>
        <w:fldChar w:fldCharType="begin">
          <w:ffData>
            <w:name w:val="文字1"/>
            <w:enabled/>
            <w:calcOnExit w:val="0"/>
            <w:textInput/>
          </w:ffData>
        </w:fldChar>
      </w:r>
      <w:r>
        <w:rPr>
          <w:rFonts w:hint="eastAsia" w:ascii="宋体" w:hAnsi="宋体"/>
          <w:b/>
          <w:sz w:val="24"/>
        </w:rPr>
        <w:instrText xml:space="preserve">FORMTEXT</w:instrText>
      </w:r>
      <w:r>
        <w:rPr>
          <w:rFonts w:ascii="宋体" w:hAnsi="宋体"/>
          <w:b/>
          <w:sz w:val="24"/>
        </w:rPr>
        <w:fldChar w:fldCharType="separate"/>
      </w:r>
      <w:r>
        <w:rPr>
          <w:rFonts w:ascii="宋体" w:hAnsi="宋体"/>
          <w:b/>
          <w:sz w:val="24"/>
        </w:rPr>
        <w:t>     </w:t>
      </w:r>
      <w:r>
        <w:rPr>
          <w:rFonts w:ascii="宋体" w:hAnsi="宋体"/>
          <w:b/>
          <w:sz w:val="24"/>
        </w:rPr>
        <w:fldChar w:fldCharType="end"/>
      </w:r>
      <w:r>
        <w:rPr>
          <w:rFonts w:hint="eastAsia" w:ascii="宋体" w:hAnsi="宋体"/>
          <w:b/>
          <w:sz w:val="24"/>
        </w:rPr>
        <w:t>】</w:t>
      </w:r>
    </w:p>
    <w:p w14:paraId="6F30652E">
      <w:pPr>
        <w:spacing w:line="360" w:lineRule="auto"/>
        <w:rPr>
          <w:rFonts w:ascii="宋体" w:hAnsi="宋体"/>
          <w:sz w:val="24"/>
        </w:rPr>
      </w:pPr>
    </w:p>
    <w:p w14:paraId="55C4663F">
      <w:pPr>
        <w:spacing w:line="360" w:lineRule="auto"/>
        <w:rPr>
          <w:rFonts w:ascii="宋体" w:hAnsi="宋体"/>
          <w:sz w:val="24"/>
        </w:rPr>
      </w:pPr>
    </w:p>
    <w:p w14:paraId="55782652">
      <w:pPr>
        <w:spacing w:line="360" w:lineRule="auto"/>
        <w:rPr>
          <w:rFonts w:ascii="宋体" w:hAnsi="宋体"/>
          <w:sz w:val="24"/>
        </w:rPr>
      </w:pPr>
    </w:p>
    <w:p w14:paraId="6E107933">
      <w:pPr>
        <w:spacing w:line="360" w:lineRule="auto"/>
        <w:rPr>
          <w:rFonts w:ascii="宋体" w:hAnsi="宋体"/>
          <w:sz w:val="24"/>
        </w:rPr>
      </w:pPr>
    </w:p>
    <w:p w14:paraId="16B27397">
      <w:pPr>
        <w:spacing w:line="360" w:lineRule="auto"/>
        <w:rPr>
          <w:rFonts w:ascii="宋体" w:hAnsi="宋体"/>
          <w:sz w:val="24"/>
        </w:rPr>
      </w:pPr>
    </w:p>
    <w:p w14:paraId="02563BA1">
      <w:pPr>
        <w:spacing w:line="360" w:lineRule="auto"/>
        <w:rPr>
          <w:rFonts w:ascii="宋体" w:hAnsi="宋体"/>
          <w:sz w:val="24"/>
        </w:rPr>
      </w:pPr>
    </w:p>
    <w:p w14:paraId="22400A0B">
      <w:pPr>
        <w:spacing w:line="480" w:lineRule="auto"/>
        <w:jc w:val="center"/>
        <w:rPr>
          <w:rFonts w:ascii="宋体" w:hAnsi="宋体"/>
          <w:b/>
          <w:bCs/>
          <w:sz w:val="28"/>
          <w:szCs w:val="28"/>
        </w:rPr>
      </w:pPr>
      <w:bookmarkStart w:id="5" w:name="_Hlk12884316"/>
      <w:r>
        <w:rPr>
          <w:rFonts w:hint="eastAsia" w:ascii="宋体" w:hAnsi="宋体"/>
          <w:b/>
          <w:bCs/>
          <w:sz w:val="28"/>
          <w:szCs w:val="28"/>
        </w:rPr>
        <w:t>广东省广播电视网络股份有限公司</w:t>
      </w:r>
    </w:p>
    <w:p w14:paraId="2655C531">
      <w:pPr>
        <w:pStyle w:val="16"/>
        <w:tabs>
          <w:tab w:val="left" w:pos="4120"/>
        </w:tabs>
        <w:adjustRightInd w:val="0"/>
        <w:spacing w:line="480" w:lineRule="auto"/>
        <w:jc w:val="center"/>
        <w:rPr>
          <w:rFonts w:hAnsi="宋体"/>
          <w:b/>
          <w:sz w:val="28"/>
          <w:szCs w:val="28"/>
        </w:rPr>
      </w:pPr>
      <w:r>
        <w:rPr>
          <w:rFonts w:hint="eastAsia" w:hAnsi="宋体"/>
          <w:b/>
          <w:bCs/>
          <w:sz w:val="28"/>
          <w:szCs w:val="28"/>
        </w:rPr>
        <w:t>【</w:t>
      </w:r>
      <w:r>
        <w:rPr>
          <w:rFonts w:hint="eastAsia" w:hAnsi="宋体" w:cs="宋体"/>
          <w:b/>
          <w:bCs/>
          <w:sz w:val="28"/>
          <w:szCs w:val="28"/>
          <w:lang w:eastAsia="zh-CN"/>
        </w:rPr>
        <w:t>2024年佛山市顺德区内阻仪及红外热成像仪购置项目</w:t>
      </w:r>
      <w:r>
        <w:rPr>
          <w:rFonts w:hint="eastAsia" w:hAnsi="宋体"/>
          <w:b/>
          <w:bCs/>
          <w:sz w:val="28"/>
          <w:szCs w:val="28"/>
        </w:rPr>
        <w:t>】</w:t>
      </w:r>
      <w:r>
        <w:rPr>
          <w:rFonts w:hint="eastAsia" w:hAnsi="宋体"/>
          <w:b/>
          <w:sz w:val="28"/>
          <w:szCs w:val="28"/>
        </w:rPr>
        <w:t>小额货物采购合同</w:t>
      </w:r>
    </w:p>
    <w:p w14:paraId="453CCD59">
      <w:pPr>
        <w:pStyle w:val="16"/>
        <w:tabs>
          <w:tab w:val="left" w:pos="4120"/>
        </w:tabs>
        <w:adjustRightInd w:val="0"/>
        <w:spacing w:line="480" w:lineRule="auto"/>
        <w:jc w:val="center"/>
        <w:rPr>
          <w:rFonts w:hAnsi="宋体"/>
          <w:b/>
          <w:sz w:val="28"/>
          <w:szCs w:val="28"/>
        </w:rPr>
      </w:pPr>
    </w:p>
    <w:bookmarkEnd w:id="5"/>
    <w:p w14:paraId="2B549564">
      <w:pPr>
        <w:spacing w:line="360" w:lineRule="auto"/>
        <w:rPr>
          <w:rFonts w:ascii="宋体" w:hAnsi="宋体"/>
          <w:b/>
          <w:bCs/>
          <w:sz w:val="24"/>
        </w:rPr>
      </w:pPr>
    </w:p>
    <w:p w14:paraId="204E2153">
      <w:pPr>
        <w:spacing w:line="360" w:lineRule="auto"/>
        <w:rPr>
          <w:rFonts w:ascii="宋体" w:hAnsi="宋体"/>
          <w:b/>
          <w:bCs/>
          <w:sz w:val="24"/>
        </w:rPr>
      </w:pPr>
    </w:p>
    <w:p w14:paraId="5C65FAA3">
      <w:pPr>
        <w:spacing w:line="360" w:lineRule="auto"/>
        <w:rPr>
          <w:rFonts w:ascii="宋体" w:hAnsi="宋体"/>
          <w:b/>
          <w:bCs/>
          <w:sz w:val="24"/>
        </w:rPr>
      </w:pPr>
    </w:p>
    <w:p w14:paraId="5EFC989E">
      <w:pPr>
        <w:tabs>
          <w:tab w:val="left" w:pos="3296"/>
        </w:tabs>
        <w:adjustRightInd w:val="0"/>
        <w:snapToGrid w:val="0"/>
        <w:spacing w:line="360" w:lineRule="auto"/>
        <w:rPr>
          <w:rFonts w:ascii="宋体" w:hAnsi="宋体"/>
          <w:b/>
          <w:bCs/>
          <w:sz w:val="24"/>
        </w:rPr>
      </w:pPr>
    </w:p>
    <w:p w14:paraId="69F86C53">
      <w:pPr>
        <w:tabs>
          <w:tab w:val="left" w:pos="3296"/>
        </w:tabs>
        <w:adjustRightInd w:val="0"/>
        <w:snapToGrid w:val="0"/>
        <w:spacing w:line="360" w:lineRule="auto"/>
        <w:rPr>
          <w:rFonts w:ascii="宋体" w:hAnsi="宋体"/>
          <w:b/>
          <w:bCs/>
          <w:sz w:val="24"/>
        </w:rPr>
      </w:pPr>
    </w:p>
    <w:p w14:paraId="3E7513A7">
      <w:pPr>
        <w:tabs>
          <w:tab w:val="left" w:pos="3296"/>
        </w:tabs>
        <w:adjustRightInd w:val="0"/>
        <w:snapToGrid w:val="0"/>
        <w:spacing w:line="360" w:lineRule="auto"/>
        <w:rPr>
          <w:rFonts w:ascii="宋体" w:hAnsi="宋体"/>
          <w:b/>
          <w:bCs/>
          <w:sz w:val="24"/>
        </w:rPr>
      </w:pPr>
    </w:p>
    <w:p w14:paraId="42B2F0AF">
      <w:pPr>
        <w:tabs>
          <w:tab w:val="left" w:pos="3296"/>
        </w:tabs>
        <w:adjustRightInd w:val="0"/>
        <w:snapToGrid w:val="0"/>
        <w:spacing w:line="360" w:lineRule="auto"/>
        <w:rPr>
          <w:rFonts w:ascii="宋体" w:hAnsi="宋体"/>
          <w:b/>
          <w:bCs/>
          <w:sz w:val="24"/>
        </w:rPr>
      </w:pPr>
    </w:p>
    <w:p w14:paraId="56A73F6B">
      <w:pPr>
        <w:tabs>
          <w:tab w:val="left" w:pos="3296"/>
        </w:tabs>
        <w:adjustRightInd w:val="0"/>
        <w:snapToGrid w:val="0"/>
        <w:spacing w:line="360" w:lineRule="auto"/>
        <w:rPr>
          <w:rFonts w:ascii="宋体" w:hAnsi="宋体"/>
          <w:b/>
          <w:bCs/>
          <w:sz w:val="24"/>
        </w:rPr>
      </w:pPr>
    </w:p>
    <w:p w14:paraId="7A5EA456">
      <w:pPr>
        <w:tabs>
          <w:tab w:val="left" w:pos="3296"/>
        </w:tabs>
        <w:adjustRightInd w:val="0"/>
        <w:snapToGrid w:val="0"/>
        <w:spacing w:line="360" w:lineRule="auto"/>
        <w:rPr>
          <w:rFonts w:ascii="宋体" w:hAnsi="宋体"/>
          <w:b/>
          <w:bCs/>
          <w:sz w:val="24"/>
        </w:rPr>
      </w:pPr>
    </w:p>
    <w:p w14:paraId="0AE029B0">
      <w:pPr>
        <w:tabs>
          <w:tab w:val="left" w:pos="3296"/>
        </w:tabs>
        <w:adjustRightInd w:val="0"/>
        <w:snapToGrid w:val="0"/>
        <w:spacing w:line="360" w:lineRule="auto"/>
        <w:rPr>
          <w:rFonts w:ascii="宋体" w:hAnsi="宋体"/>
          <w:b/>
          <w:bCs/>
          <w:sz w:val="24"/>
        </w:rPr>
      </w:pPr>
    </w:p>
    <w:p w14:paraId="2FF2331B">
      <w:pPr>
        <w:tabs>
          <w:tab w:val="left" w:pos="3296"/>
        </w:tabs>
        <w:adjustRightInd w:val="0"/>
        <w:snapToGrid w:val="0"/>
        <w:spacing w:line="480" w:lineRule="auto"/>
        <w:rPr>
          <w:rFonts w:ascii="宋体" w:hAnsi="宋体"/>
          <w:b/>
          <w:bCs/>
          <w:sz w:val="28"/>
          <w:szCs w:val="28"/>
        </w:rPr>
      </w:pPr>
      <w:r>
        <w:rPr>
          <w:rFonts w:hint="eastAsia" w:ascii="宋体" w:hAnsi="宋体"/>
          <w:b/>
          <w:bCs/>
          <w:sz w:val="28"/>
          <w:szCs w:val="28"/>
        </w:rPr>
        <w:t>甲方（采购人）</w:t>
      </w:r>
      <w:r>
        <w:rPr>
          <w:rFonts w:ascii="宋体" w:hAnsi="宋体"/>
          <w:b/>
          <w:bCs/>
          <w:sz w:val="28"/>
          <w:szCs w:val="28"/>
        </w:rPr>
        <w:t>：</w:t>
      </w:r>
      <w:r>
        <w:rPr>
          <w:rFonts w:hint="eastAsia" w:ascii="宋体" w:hAnsi="宋体"/>
          <w:b/>
          <w:bCs/>
          <w:sz w:val="28"/>
          <w:szCs w:val="28"/>
        </w:rPr>
        <w:t>广东省广播电视网络股份有限公司佛山顺德分公司</w:t>
      </w:r>
    </w:p>
    <w:p w14:paraId="709D5065">
      <w:pPr>
        <w:tabs>
          <w:tab w:val="left" w:pos="3296"/>
        </w:tabs>
        <w:adjustRightInd w:val="0"/>
        <w:snapToGrid w:val="0"/>
        <w:spacing w:line="480" w:lineRule="auto"/>
        <w:rPr>
          <w:rFonts w:ascii="宋体" w:hAnsi="宋体"/>
          <w:b/>
          <w:bCs/>
          <w:sz w:val="28"/>
          <w:szCs w:val="28"/>
        </w:rPr>
      </w:pPr>
      <w:r>
        <w:rPr>
          <w:rFonts w:hint="eastAsia" w:ascii="宋体" w:hAnsi="宋体"/>
          <w:b/>
          <w:bCs/>
          <w:sz w:val="28"/>
          <w:szCs w:val="28"/>
        </w:rPr>
        <w:t>乙方（供应商）</w:t>
      </w:r>
      <w:r>
        <w:rPr>
          <w:rFonts w:ascii="宋体" w:hAnsi="宋体"/>
          <w:b/>
          <w:bCs/>
          <w:sz w:val="28"/>
          <w:szCs w:val="28"/>
        </w:rPr>
        <w:t xml:space="preserve">： </w:t>
      </w:r>
      <w:r>
        <w:rPr>
          <w:rFonts w:ascii="宋体" w:hAnsi="宋体"/>
          <w:b/>
          <w:bCs/>
          <w:sz w:val="28"/>
          <w:szCs w:val="28"/>
        </w:rPr>
        <w:fldChar w:fldCharType="begin">
          <w:ffData>
            <w:name w:val="文字3"/>
            <w:enabled/>
            <w:calcOnExit w:val="0"/>
            <w:textInput/>
          </w:ffData>
        </w:fldChar>
      </w:r>
      <w:r>
        <w:rPr>
          <w:rFonts w:ascii="宋体" w:hAnsi="宋体"/>
          <w:b/>
          <w:bCs/>
          <w:sz w:val="28"/>
          <w:szCs w:val="28"/>
        </w:rPr>
        <w:instrText xml:space="preserve"> FORMTEXT </w:instrText>
      </w:r>
      <w:r>
        <w:rPr>
          <w:rFonts w:ascii="宋体" w:hAnsi="宋体"/>
          <w:b/>
          <w:bCs/>
          <w:sz w:val="28"/>
          <w:szCs w:val="28"/>
        </w:rPr>
        <w:fldChar w:fldCharType="separate"/>
      </w:r>
      <w:r>
        <w:rPr>
          <w:rFonts w:ascii="宋体" w:hAnsi="宋体"/>
          <w:b/>
          <w:bCs/>
          <w:sz w:val="28"/>
          <w:szCs w:val="28"/>
        </w:rPr>
        <w:t>     </w:t>
      </w:r>
      <w:r>
        <w:rPr>
          <w:rFonts w:ascii="宋体" w:hAnsi="宋体"/>
          <w:b/>
          <w:bCs/>
          <w:sz w:val="28"/>
          <w:szCs w:val="28"/>
        </w:rPr>
        <w:fldChar w:fldCharType="end"/>
      </w:r>
    </w:p>
    <w:p w14:paraId="4C59E27F">
      <w:pPr>
        <w:widowControl/>
        <w:spacing w:line="360" w:lineRule="auto"/>
        <w:rPr>
          <w:rFonts w:ascii="宋体" w:hAnsi="宋体"/>
          <w:szCs w:val="21"/>
        </w:rPr>
      </w:pPr>
      <w:r>
        <w:rPr>
          <w:rFonts w:hint="eastAsia" w:ascii="宋体" w:hAnsi="宋体"/>
          <w:szCs w:val="21"/>
        </w:rPr>
        <w:t>甲方：</w:t>
      </w:r>
      <w:bookmarkStart w:id="6" w:name="_Hlk12867808"/>
      <w:r>
        <w:rPr>
          <w:rFonts w:hint="eastAsia" w:ascii="宋体" w:hAnsi="宋体"/>
          <w:szCs w:val="21"/>
        </w:rPr>
        <w:t>广东省广播电视网络股份有限公司佛山顺德</w:t>
      </w:r>
      <w:r>
        <w:rPr>
          <w:rFonts w:hint="eastAsia" w:ascii="宋体" w:hAnsi="宋体"/>
          <w:bCs/>
          <w:szCs w:val="21"/>
        </w:rPr>
        <w:t>分公司</w:t>
      </w:r>
      <w:bookmarkEnd w:id="6"/>
    </w:p>
    <w:p w14:paraId="5E53E629">
      <w:pPr>
        <w:snapToGrid w:val="0"/>
        <w:spacing w:line="360" w:lineRule="auto"/>
        <w:rPr>
          <w:rFonts w:ascii="宋体" w:hAnsi="宋体"/>
          <w:szCs w:val="21"/>
        </w:rPr>
      </w:pPr>
      <w:bookmarkStart w:id="7" w:name="_Hlk519765214"/>
      <w:r>
        <w:rPr>
          <w:rFonts w:hint="eastAsia" w:ascii="宋体" w:hAnsi="宋体"/>
          <w:szCs w:val="21"/>
        </w:rPr>
        <w:t>住所地：佛山市顺德区大良延年路11-2号</w:t>
      </w:r>
    </w:p>
    <w:p w14:paraId="06FB80DA">
      <w:pPr>
        <w:snapToGrid w:val="0"/>
        <w:spacing w:line="360" w:lineRule="auto"/>
        <w:rPr>
          <w:rFonts w:ascii="宋体" w:hAnsi="宋体"/>
          <w:szCs w:val="21"/>
        </w:rPr>
      </w:pPr>
      <w:r>
        <w:rPr>
          <w:rFonts w:hint="eastAsia" w:ascii="宋体" w:hAnsi="宋体"/>
          <w:szCs w:val="21"/>
        </w:rPr>
        <w:t>法定代表人：</w:t>
      </w:r>
    </w:p>
    <w:p w14:paraId="7E500A02">
      <w:pPr>
        <w:snapToGrid w:val="0"/>
        <w:spacing w:line="360" w:lineRule="auto"/>
        <w:rPr>
          <w:rFonts w:ascii="宋体" w:hAnsi="宋体"/>
          <w:szCs w:val="21"/>
        </w:rPr>
      </w:pPr>
      <w:r>
        <w:rPr>
          <w:rFonts w:hint="eastAsia" w:ascii="宋体" w:hAnsi="宋体"/>
          <w:szCs w:val="21"/>
        </w:rPr>
        <w:t>联系人：</w:t>
      </w:r>
    </w:p>
    <w:p w14:paraId="6E106A75">
      <w:pPr>
        <w:snapToGrid w:val="0"/>
        <w:spacing w:line="360" w:lineRule="auto"/>
        <w:rPr>
          <w:rFonts w:ascii="宋体" w:hAnsi="宋体"/>
          <w:szCs w:val="21"/>
        </w:rPr>
      </w:pPr>
      <w:r>
        <w:rPr>
          <w:rFonts w:hint="eastAsia" w:ascii="宋体" w:hAnsi="宋体"/>
          <w:szCs w:val="21"/>
        </w:rPr>
        <w:t>联系电话：</w:t>
      </w:r>
    </w:p>
    <w:p w14:paraId="2247BE2B">
      <w:pPr>
        <w:snapToGrid w:val="0"/>
        <w:spacing w:line="360" w:lineRule="auto"/>
        <w:rPr>
          <w:rFonts w:ascii="宋体" w:hAnsi="宋体"/>
          <w:szCs w:val="21"/>
        </w:rPr>
      </w:pPr>
      <w:r>
        <w:rPr>
          <w:rFonts w:hint="eastAsia" w:ascii="宋体" w:hAnsi="宋体"/>
          <w:szCs w:val="21"/>
        </w:rPr>
        <w:t>传真：</w:t>
      </w:r>
      <w:bookmarkEnd w:id="7"/>
      <w:r>
        <w:rPr>
          <w:rFonts w:ascii="宋体" w:hAnsi="宋体"/>
          <w:b/>
          <w:bCs/>
          <w:szCs w:val="21"/>
        </w:rPr>
        <w:t xml:space="preserve"> </w:t>
      </w:r>
    </w:p>
    <w:p w14:paraId="67593EAE">
      <w:pPr>
        <w:snapToGrid w:val="0"/>
        <w:spacing w:line="360" w:lineRule="auto"/>
        <w:rPr>
          <w:rFonts w:ascii="宋体" w:hAnsi="宋体"/>
          <w:szCs w:val="21"/>
        </w:rPr>
      </w:pPr>
      <w:r>
        <w:rPr>
          <w:rFonts w:hint="eastAsia" w:ascii="宋体" w:hAnsi="宋体"/>
          <w:szCs w:val="21"/>
        </w:rPr>
        <w:t>邮箱：</w:t>
      </w:r>
      <w:r>
        <w:rPr>
          <w:rFonts w:ascii="宋体" w:hAnsi="宋体"/>
          <w:b/>
          <w:bCs/>
          <w:szCs w:val="21"/>
        </w:rPr>
        <w:t xml:space="preserve"> </w:t>
      </w:r>
    </w:p>
    <w:p w14:paraId="1AC7F12A">
      <w:pPr>
        <w:snapToGrid w:val="0"/>
        <w:spacing w:line="360" w:lineRule="auto"/>
        <w:rPr>
          <w:rFonts w:ascii="宋体" w:hAnsi="宋体"/>
          <w:szCs w:val="21"/>
        </w:rPr>
      </w:pPr>
      <w:r>
        <w:rPr>
          <w:rFonts w:hint="eastAsia" w:ascii="宋体" w:hAnsi="宋体"/>
          <w:szCs w:val="21"/>
        </w:rPr>
        <w:t>通讯地址：佛山市顺德区大良延年路11-2号</w:t>
      </w:r>
    </w:p>
    <w:p w14:paraId="7B2B3CCB">
      <w:pPr>
        <w:snapToGrid w:val="0"/>
        <w:spacing w:line="360" w:lineRule="auto"/>
        <w:rPr>
          <w:rFonts w:ascii="宋体" w:hAnsi="宋体"/>
          <w:bCs/>
          <w:szCs w:val="21"/>
          <w:u w:val="single"/>
        </w:rPr>
      </w:pPr>
    </w:p>
    <w:p w14:paraId="46FCE047">
      <w:pPr>
        <w:snapToGrid w:val="0"/>
        <w:spacing w:line="360" w:lineRule="auto"/>
        <w:rPr>
          <w:rFonts w:ascii="宋体" w:hAnsi="宋体"/>
          <w:szCs w:val="21"/>
        </w:rPr>
      </w:pPr>
      <w:r>
        <w:rPr>
          <w:rFonts w:hint="eastAsia" w:ascii="宋体" w:hAnsi="宋体"/>
          <w:szCs w:val="21"/>
        </w:rPr>
        <w:t>乙方：</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54BF7C90">
      <w:pPr>
        <w:snapToGrid w:val="0"/>
        <w:spacing w:line="360" w:lineRule="auto"/>
        <w:rPr>
          <w:rFonts w:ascii="宋体" w:hAnsi="宋体"/>
          <w:szCs w:val="21"/>
        </w:rPr>
      </w:pPr>
      <w:r>
        <w:rPr>
          <w:rFonts w:hint="eastAsia" w:ascii="宋体" w:hAnsi="宋体"/>
          <w:szCs w:val="21"/>
        </w:rPr>
        <w:t>住所地：</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3DEF1340">
      <w:pPr>
        <w:snapToGrid w:val="0"/>
        <w:spacing w:line="360" w:lineRule="auto"/>
        <w:rPr>
          <w:rFonts w:ascii="宋体" w:hAnsi="宋体"/>
          <w:szCs w:val="21"/>
        </w:rPr>
      </w:pPr>
      <w:r>
        <w:rPr>
          <w:rFonts w:hint="eastAsia" w:ascii="宋体" w:hAnsi="宋体"/>
          <w:szCs w:val="21"/>
        </w:rPr>
        <w:t>法定代表人：</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431BD7EB">
      <w:pPr>
        <w:snapToGrid w:val="0"/>
        <w:spacing w:line="360" w:lineRule="auto"/>
        <w:rPr>
          <w:rFonts w:ascii="宋体" w:hAnsi="宋体"/>
          <w:szCs w:val="21"/>
        </w:rPr>
      </w:pPr>
      <w:r>
        <w:rPr>
          <w:rFonts w:hint="eastAsia" w:ascii="宋体" w:hAnsi="宋体"/>
          <w:szCs w:val="21"/>
        </w:rPr>
        <w:t>联系人：</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4E0023C6">
      <w:pPr>
        <w:snapToGrid w:val="0"/>
        <w:spacing w:line="360" w:lineRule="auto"/>
        <w:rPr>
          <w:rFonts w:ascii="宋体" w:hAnsi="宋体"/>
          <w:szCs w:val="21"/>
        </w:rPr>
      </w:pPr>
      <w:r>
        <w:rPr>
          <w:rFonts w:hint="eastAsia" w:ascii="宋体" w:hAnsi="宋体"/>
          <w:szCs w:val="21"/>
        </w:rPr>
        <w:t>联系电话：</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038F09FB">
      <w:pPr>
        <w:snapToGrid w:val="0"/>
        <w:spacing w:line="360" w:lineRule="auto"/>
        <w:rPr>
          <w:rFonts w:ascii="宋体" w:hAnsi="宋体"/>
          <w:szCs w:val="21"/>
        </w:rPr>
      </w:pPr>
      <w:r>
        <w:rPr>
          <w:rFonts w:hint="eastAsia" w:ascii="宋体" w:hAnsi="宋体"/>
          <w:szCs w:val="21"/>
        </w:rPr>
        <w:t>传真：</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205E68E6">
      <w:pPr>
        <w:snapToGrid w:val="0"/>
        <w:spacing w:line="360" w:lineRule="auto"/>
        <w:rPr>
          <w:rFonts w:ascii="宋体" w:hAnsi="宋体"/>
          <w:szCs w:val="21"/>
        </w:rPr>
      </w:pPr>
      <w:r>
        <w:rPr>
          <w:rFonts w:hint="eastAsia" w:ascii="宋体" w:hAnsi="宋体"/>
          <w:szCs w:val="21"/>
        </w:rPr>
        <w:t>邮箱：</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515F8D00">
      <w:pPr>
        <w:snapToGrid w:val="0"/>
        <w:spacing w:line="360" w:lineRule="auto"/>
        <w:rPr>
          <w:rFonts w:ascii="宋体" w:hAnsi="宋体"/>
          <w:szCs w:val="21"/>
        </w:rPr>
      </w:pPr>
      <w:r>
        <w:rPr>
          <w:rFonts w:hint="eastAsia" w:ascii="宋体" w:hAnsi="宋体"/>
          <w:szCs w:val="21"/>
        </w:rPr>
        <w:t>通讯地址：</w:t>
      </w:r>
      <w:r>
        <w:rPr>
          <w:rFonts w:ascii="宋体" w:hAnsi="宋体"/>
          <w:b/>
          <w:bCs/>
          <w:szCs w:val="21"/>
        </w:rPr>
        <w:fldChar w:fldCharType="begin">
          <w:ffData>
            <w:name w:val="文字3"/>
            <w:enabled/>
            <w:calcOnExit w:val="0"/>
            <w:textInput/>
          </w:ffData>
        </w:fldChar>
      </w:r>
      <w:r>
        <w:rPr>
          <w:rFonts w:hint="eastAsia" w:ascii="宋体" w:hAnsi="宋体"/>
          <w:b/>
          <w:bCs/>
          <w:szCs w:val="21"/>
        </w:rPr>
        <w:instrText xml:space="preserve">FORMTEXT</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p>
    <w:p w14:paraId="1D078BAD">
      <w:pPr>
        <w:snapToGrid w:val="0"/>
        <w:spacing w:line="360" w:lineRule="auto"/>
        <w:rPr>
          <w:rFonts w:ascii="宋体" w:hAnsi="宋体"/>
          <w:bCs/>
          <w:szCs w:val="21"/>
          <w:u w:val="single"/>
        </w:rPr>
      </w:pPr>
    </w:p>
    <w:p w14:paraId="11093A66">
      <w:pPr>
        <w:widowControl/>
        <w:autoSpaceDE w:val="0"/>
        <w:autoSpaceDN w:val="0"/>
        <w:spacing w:line="360" w:lineRule="auto"/>
        <w:ind w:firstLine="420" w:firstLineChars="200"/>
        <w:textAlignment w:val="bottom"/>
        <w:rPr>
          <w:rFonts w:ascii="宋体" w:hAnsi="宋体"/>
          <w:szCs w:val="21"/>
        </w:rPr>
      </w:pPr>
      <w:bookmarkStart w:id="8" w:name="_Hlk12965013"/>
      <w:r>
        <w:rPr>
          <w:rFonts w:hint="eastAsia" w:ascii="宋体" w:hAnsi="宋体" w:cs="宋体"/>
          <w:szCs w:val="21"/>
        </w:rPr>
        <w:t>甲乙双方按照</w:t>
      </w:r>
      <w:r>
        <w:rPr>
          <w:rFonts w:hint="eastAsia" w:ascii="宋体" w:hAnsi="宋体" w:cs="宋体"/>
          <w:szCs w:val="21"/>
          <w:lang w:eastAsia="zh-CN"/>
        </w:rPr>
        <w:t>2024年佛山市顺德区内阻仪及红外热成像仪购置项目</w:t>
      </w:r>
      <w:r>
        <w:rPr>
          <w:rFonts w:hint="eastAsia" w:ascii="宋体" w:hAnsi="宋体" w:cs="宋体"/>
          <w:szCs w:val="21"/>
        </w:rPr>
        <w:t>（采购编号：</w:t>
      </w:r>
      <w:r>
        <w:rPr>
          <w:rFonts w:ascii="宋体" w:hAnsi="宋体" w:cs="宋体"/>
          <w:szCs w:val="21"/>
        </w:rPr>
        <w:t>SDWW202409P271</w:t>
      </w:r>
      <w:r>
        <w:rPr>
          <w:rFonts w:hint="eastAsia" w:ascii="宋体" w:hAnsi="宋体" w:cs="宋体"/>
          <w:szCs w:val="21"/>
        </w:rPr>
        <w:t>）采购文件的要求以及相关法律法规的规定，经双方协商，本着</w:t>
      </w:r>
      <w:r>
        <w:rPr>
          <w:rFonts w:hint="eastAsia" w:ascii="宋体" w:hAnsi="宋体"/>
          <w:szCs w:val="21"/>
        </w:rPr>
        <w:t>“平等、自愿、诚实、信用”的原则，经双方友好协商，订立本采购合同。</w:t>
      </w:r>
    </w:p>
    <w:p w14:paraId="499D913D">
      <w:pPr>
        <w:pStyle w:val="148"/>
        <w:numPr>
          <w:ilvl w:val="0"/>
          <w:numId w:val="16"/>
        </w:numPr>
        <w:tabs>
          <w:tab w:val="clear" w:pos="1102"/>
        </w:tabs>
        <w:spacing w:before="240" w:line="480" w:lineRule="auto"/>
        <w:ind w:left="982" w:hanging="420" w:firstLineChars="0"/>
        <w:rPr>
          <w:rFonts w:ascii="宋体" w:hAnsi="宋体"/>
          <w:b/>
          <w:szCs w:val="21"/>
        </w:rPr>
      </w:pPr>
      <w:r>
        <w:rPr>
          <w:rFonts w:hint="eastAsia" w:ascii="宋体" w:hAnsi="宋体"/>
          <w:b/>
          <w:szCs w:val="21"/>
        </w:rPr>
        <w:t>货物内容、单位、数量及要求</w:t>
      </w:r>
    </w:p>
    <w:bookmarkEnd w:id="8"/>
    <w:p w14:paraId="482C31CA">
      <w:pPr>
        <w:pStyle w:val="16"/>
        <w:numPr>
          <w:ilvl w:val="0"/>
          <w:numId w:val="17"/>
        </w:numPr>
        <w:spacing w:line="360" w:lineRule="auto"/>
        <w:ind w:left="567"/>
        <w:rPr>
          <w:rFonts w:hAnsi="宋体"/>
        </w:rPr>
      </w:pPr>
      <w:r>
        <w:rPr>
          <w:rFonts w:hint="eastAsia" w:hAnsi="宋体"/>
        </w:rPr>
        <w:t>货物基本内容</w:t>
      </w:r>
    </w:p>
    <w:tbl>
      <w:tblPr>
        <w:tblStyle w:val="36"/>
        <w:tblW w:w="4998" w:type="pct"/>
        <w:tblInd w:w="0" w:type="dxa"/>
        <w:tblLayout w:type="autofit"/>
        <w:tblCellMar>
          <w:top w:w="0" w:type="dxa"/>
          <w:left w:w="0" w:type="dxa"/>
          <w:bottom w:w="0" w:type="dxa"/>
          <w:right w:w="0" w:type="dxa"/>
        </w:tblCellMar>
      </w:tblPr>
      <w:tblGrid>
        <w:gridCol w:w="2991"/>
        <w:gridCol w:w="952"/>
        <w:gridCol w:w="900"/>
        <w:gridCol w:w="842"/>
        <w:gridCol w:w="993"/>
        <w:gridCol w:w="1655"/>
      </w:tblGrid>
      <w:tr w14:paraId="3F7C9F8D">
        <w:tblPrEx>
          <w:tblCellMar>
            <w:top w:w="0" w:type="dxa"/>
            <w:left w:w="0" w:type="dxa"/>
            <w:bottom w:w="0" w:type="dxa"/>
            <w:right w:w="0" w:type="dxa"/>
          </w:tblCellMar>
        </w:tblPrEx>
        <w:trPr>
          <w:trHeight w:val="540" w:hRule="atLeast"/>
        </w:trPr>
        <w:tc>
          <w:tcPr>
            <w:tcW w:w="17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E54BC">
            <w:pPr>
              <w:widowControl/>
              <w:jc w:val="center"/>
              <w:textAlignment w:val="center"/>
              <w:rPr>
                <w:rFonts w:ascii="宋体" w:hAnsi="宋体" w:cs="宋体"/>
                <w:b/>
                <w:color w:val="000000"/>
                <w:szCs w:val="21"/>
              </w:rPr>
            </w:pPr>
            <w:r>
              <w:rPr>
                <w:rFonts w:hint="eastAsia" w:ascii="宋体" w:hAnsi="宋体" w:cs="宋体"/>
                <w:b/>
                <w:color w:val="000000"/>
                <w:kern w:val="0"/>
                <w:szCs w:val="21"/>
              </w:rPr>
              <w:t>材料名称</w:t>
            </w:r>
          </w:p>
        </w:tc>
        <w:tc>
          <w:tcPr>
            <w:tcW w:w="57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E8167CD">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数量</w:t>
            </w:r>
          </w:p>
        </w:tc>
        <w:tc>
          <w:tcPr>
            <w:tcW w:w="540" w:type="pct"/>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B497894">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单位</w:t>
            </w:r>
          </w:p>
        </w:tc>
        <w:tc>
          <w:tcPr>
            <w:tcW w:w="505" w:type="pct"/>
            <w:tcBorders>
              <w:top w:val="single" w:color="000000" w:sz="4" w:space="0"/>
              <w:left w:val="single" w:color="auto" w:sz="4" w:space="0"/>
              <w:bottom w:val="single" w:color="000000" w:sz="4" w:space="0"/>
              <w:right w:val="single" w:color="000000" w:sz="4" w:space="0"/>
            </w:tcBorders>
            <w:vAlign w:val="center"/>
          </w:tcPr>
          <w:p w14:paraId="7AA074FD">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品牌</w:t>
            </w:r>
          </w:p>
          <w:p w14:paraId="1924EDDA">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型号</w:t>
            </w: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682E0">
            <w:pPr>
              <w:widowControl/>
              <w:jc w:val="center"/>
              <w:textAlignment w:val="center"/>
              <w:rPr>
                <w:rFonts w:ascii="宋体" w:hAnsi="宋体" w:cs="宋体"/>
                <w:b/>
                <w:color w:val="000000"/>
                <w:szCs w:val="21"/>
              </w:rPr>
            </w:pPr>
            <w:r>
              <w:rPr>
                <w:rFonts w:hint="eastAsia" w:ascii="宋体" w:hAnsi="宋体" w:cs="宋体"/>
                <w:b/>
                <w:color w:val="000000"/>
                <w:kern w:val="0"/>
                <w:szCs w:val="21"/>
              </w:rPr>
              <w:t>单价(元)</w:t>
            </w:r>
          </w:p>
        </w:tc>
        <w:tc>
          <w:tcPr>
            <w:tcW w:w="9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C5D0E">
            <w:pPr>
              <w:widowControl/>
              <w:jc w:val="center"/>
              <w:textAlignment w:val="center"/>
              <w:rPr>
                <w:rFonts w:ascii="宋体" w:hAnsi="宋体" w:cs="宋体"/>
                <w:b/>
                <w:color w:val="000000"/>
                <w:szCs w:val="21"/>
              </w:rPr>
            </w:pPr>
            <w:r>
              <w:rPr>
                <w:rFonts w:hint="eastAsia" w:ascii="宋体" w:hAnsi="宋体" w:cs="宋体"/>
                <w:b/>
                <w:color w:val="000000"/>
                <w:kern w:val="0"/>
                <w:szCs w:val="21"/>
              </w:rPr>
              <w:t>小计(元)</w:t>
            </w:r>
          </w:p>
        </w:tc>
      </w:tr>
      <w:tr w14:paraId="64F10D6C">
        <w:tblPrEx>
          <w:tblCellMar>
            <w:top w:w="0" w:type="dxa"/>
            <w:left w:w="0" w:type="dxa"/>
            <w:bottom w:w="0" w:type="dxa"/>
            <w:right w:w="0" w:type="dxa"/>
          </w:tblCellMar>
        </w:tblPrEx>
        <w:trPr>
          <w:trHeight w:val="567" w:hRule="atLeast"/>
        </w:trPr>
        <w:tc>
          <w:tcPr>
            <w:tcW w:w="17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95632">
            <w:pPr>
              <w:jc w:val="center"/>
              <w:rPr>
                <w:rFonts w:ascii="宋体" w:hAnsi="宋体"/>
                <w:szCs w:val="21"/>
              </w:rPr>
            </w:pPr>
            <w:r>
              <w:rPr>
                <w:rFonts w:hint="eastAsia" w:ascii="宋体" w:hAnsi="宋体"/>
                <w:szCs w:val="21"/>
              </w:rPr>
              <w:t>带蓝牙UPS蓄电池内阻仪</w:t>
            </w:r>
          </w:p>
          <w:p w14:paraId="6209E684">
            <w:pPr>
              <w:jc w:val="center"/>
              <w:rPr>
                <w:rFonts w:ascii="宋体" w:hAnsi="宋体"/>
                <w:szCs w:val="21"/>
              </w:rPr>
            </w:pPr>
            <w:r>
              <w:rPr>
                <w:rFonts w:hint="eastAsia" w:ascii="宋体" w:hAnsi="宋体" w:cs="宋体"/>
                <w:b/>
                <w:bCs/>
                <w:szCs w:val="21"/>
              </w:rPr>
              <w:t>（内阻检测仪）</w:t>
            </w:r>
            <w:r>
              <w:rPr>
                <w:rFonts w:hint="eastAsia" w:ascii="宋体" w:hAnsi="宋体" w:cs="宋体"/>
                <w:b/>
                <w:szCs w:val="21"/>
              </w:rPr>
              <w:t xml:space="preserve"> </w:t>
            </w:r>
            <w:r>
              <w:rPr>
                <w:rFonts w:hint="eastAsia" w:ascii="宋体" w:hAnsi="宋体" w:cs="宋体"/>
                <w:szCs w:val="21"/>
              </w:rPr>
              <w:t xml:space="preserve"> </w:t>
            </w:r>
          </w:p>
        </w:tc>
        <w:tc>
          <w:tcPr>
            <w:tcW w:w="57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61E3A5C">
            <w:pPr>
              <w:jc w:val="center"/>
              <w:rPr>
                <w:rFonts w:ascii="宋体" w:hAnsi="宋体"/>
                <w:szCs w:val="21"/>
              </w:rPr>
            </w:pPr>
            <w:r>
              <w:rPr>
                <w:rFonts w:hint="eastAsia" w:ascii="宋体" w:hAnsi="宋体"/>
                <w:szCs w:val="21"/>
              </w:rPr>
              <w:t>2</w:t>
            </w:r>
          </w:p>
        </w:tc>
        <w:tc>
          <w:tcPr>
            <w:tcW w:w="540" w:type="pct"/>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07A60F4">
            <w:pPr>
              <w:jc w:val="center"/>
              <w:rPr>
                <w:rFonts w:ascii="宋体" w:hAnsi="宋体"/>
                <w:szCs w:val="21"/>
              </w:rPr>
            </w:pPr>
            <w:r>
              <w:rPr>
                <w:rFonts w:hint="eastAsia" w:ascii="宋体" w:hAnsi="宋体"/>
                <w:szCs w:val="21"/>
              </w:rPr>
              <w:t>台</w:t>
            </w:r>
          </w:p>
        </w:tc>
        <w:tc>
          <w:tcPr>
            <w:tcW w:w="505" w:type="pct"/>
            <w:tcBorders>
              <w:top w:val="single" w:color="000000" w:sz="4" w:space="0"/>
              <w:left w:val="single" w:color="auto" w:sz="4" w:space="0"/>
              <w:bottom w:val="single" w:color="000000" w:sz="4" w:space="0"/>
              <w:right w:val="single" w:color="000000" w:sz="4" w:space="0"/>
            </w:tcBorders>
            <w:vAlign w:val="center"/>
          </w:tcPr>
          <w:p w14:paraId="5264D4F6">
            <w:pPr>
              <w:jc w:val="center"/>
              <w:rPr>
                <w:rFonts w:ascii="宋体" w:hAnsi="宋体"/>
                <w:szCs w:val="21"/>
              </w:rPr>
            </w:pP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60A1C">
            <w:pPr>
              <w:jc w:val="center"/>
              <w:rPr>
                <w:rFonts w:ascii="宋体" w:hAnsi="宋体"/>
                <w:szCs w:val="21"/>
              </w:rPr>
            </w:pPr>
          </w:p>
        </w:tc>
        <w:tc>
          <w:tcPr>
            <w:tcW w:w="9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85ED1">
            <w:pPr>
              <w:jc w:val="center"/>
              <w:rPr>
                <w:rFonts w:ascii="宋体" w:hAnsi="宋体"/>
                <w:szCs w:val="21"/>
              </w:rPr>
            </w:pPr>
          </w:p>
        </w:tc>
      </w:tr>
      <w:tr w14:paraId="2460B816">
        <w:tblPrEx>
          <w:tblCellMar>
            <w:top w:w="0" w:type="dxa"/>
            <w:left w:w="0" w:type="dxa"/>
            <w:bottom w:w="0" w:type="dxa"/>
            <w:right w:w="0" w:type="dxa"/>
          </w:tblCellMar>
        </w:tblPrEx>
        <w:trPr>
          <w:trHeight w:val="567" w:hRule="atLeast"/>
        </w:trPr>
        <w:tc>
          <w:tcPr>
            <w:tcW w:w="17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929BC">
            <w:pPr>
              <w:jc w:val="center"/>
              <w:rPr>
                <w:rFonts w:ascii="宋体" w:hAnsi="宋体"/>
                <w:szCs w:val="21"/>
              </w:rPr>
            </w:pPr>
            <w:r>
              <w:rPr>
                <w:rFonts w:hint="eastAsia" w:ascii="宋体" w:hAnsi="宋体"/>
                <w:szCs w:val="21"/>
              </w:rPr>
              <w:t>高精度红外热成像仪</w:t>
            </w:r>
          </w:p>
        </w:tc>
        <w:tc>
          <w:tcPr>
            <w:tcW w:w="57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42BD8E2">
            <w:pPr>
              <w:jc w:val="center"/>
              <w:rPr>
                <w:rFonts w:ascii="宋体" w:hAnsi="宋体"/>
                <w:szCs w:val="21"/>
              </w:rPr>
            </w:pPr>
            <w:r>
              <w:rPr>
                <w:rFonts w:hint="eastAsia" w:ascii="宋体" w:hAnsi="宋体"/>
                <w:szCs w:val="21"/>
              </w:rPr>
              <w:t>10</w:t>
            </w:r>
          </w:p>
        </w:tc>
        <w:tc>
          <w:tcPr>
            <w:tcW w:w="540" w:type="pct"/>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395BDBA">
            <w:pPr>
              <w:jc w:val="center"/>
              <w:rPr>
                <w:rFonts w:ascii="宋体" w:hAnsi="宋体"/>
                <w:szCs w:val="21"/>
              </w:rPr>
            </w:pPr>
            <w:r>
              <w:rPr>
                <w:rFonts w:hint="eastAsia" w:ascii="宋体" w:hAnsi="宋体"/>
                <w:szCs w:val="21"/>
              </w:rPr>
              <w:t>台</w:t>
            </w:r>
          </w:p>
        </w:tc>
        <w:tc>
          <w:tcPr>
            <w:tcW w:w="505" w:type="pct"/>
            <w:tcBorders>
              <w:top w:val="single" w:color="000000" w:sz="4" w:space="0"/>
              <w:left w:val="single" w:color="auto" w:sz="4" w:space="0"/>
              <w:bottom w:val="single" w:color="000000" w:sz="4" w:space="0"/>
              <w:right w:val="single" w:color="000000" w:sz="4" w:space="0"/>
            </w:tcBorders>
            <w:vAlign w:val="center"/>
          </w:tcPr>
          <w:p w14:paraId="12749A71">
            <w:pPr>
              <w:jc w:val="center"/>
              <w:rPr>
                <w:rFonts w:ascii="宋体" w:hAnsi="宋体"/>
                <w:szCs w:val="21"/>
              </w:rPr>
            </w:pPr>
          </w:p>
        </w:tc>
        <w:tc>
          <w:tcPr>
            <w:tcW w:w="5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22E57">
            <w:pPr>
              <w:jc w:val="center"/>
              <w:rPr>
                <w:rFonts w:ascii="宋体" w:hAnsi="宋体"/>
                <w:szCs w:val="21"/>
              </w:rPr>
            </w:pPr>
          </w:p>
        </w:tc>
        <w:tc>
          <w:tcPr>
            <w:tcW w:w="9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B68FA">
            <w:pPr>
              <w:jc w:val="center"/>
              <w:rPr>
                <w:rFonts w:ascii="宋体" w:hAnsi="宋体"/>
                <w:szCs w:val="21"/>
              </w:rPr>
            </w:pPr>
          </w:p>
        </w:tc>
      </w:tr>
      <w:tr w14:paraId="7D24D4AD">
        <w:tblPrEx>
          <w:tblCellMar>
            <w:top w:w="0" w:type="dxa"/>
            <w:left w:w="0" w:type="dxa"/>
            <w:bottom w:w="0" w:type="dxa"/>
            <w:right w:w="0" w:type="dxa"/>
          </w:tblCellMar>
        </w:tblPrEx>
        <w:trPr>
          <w:trHeight w:val="567" w:hRule="atLeast"/>
        </w:trPr>
        <w:tc>
          <w:tcPr>
            <w:tcW w:w="4007"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FF8EC">
            <w:pPr>
              <w:jc w:val="center"/>
              <w:rPr>
                <w:rFonts w:ascii="宋体" w:hAnsi="宋体" w:cs="宋体"/>
                <w:color w:val="000000"/>
                <w:szCs w:val="21"/>
              </w:rPr>
            </w:pPr>
            <w:r>
              <w:rPr>
                <w:rFonts w:hint="eastAsia" w:ascii="宋体" w:hAnsi="宋体" w:cs="宋体"/>
                <w:color w:val="000000"/>
                <w:szCs w:val="21"/>
              </w:rPr>
              <w:t>合计</w:t>
            </w:r>
          </w:p>
        </w:tc>
        <w:tc>
          <w:tcPr>
            <w:tcW w:w="9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BEE4A">
            <w:pPr>
              <w:widowControl/>
              <w:jc w:val="center"/>
              <w:textAlignment w:val="center"/>
              <w:rPr>
                <w:rFonts w:ascii="宋体" w:hAnsi="宋体" w:cs="宋体"/>
                <w:color w:val="000000"/>
                <w:szCs w:val="21"/>
              </w:rPr>
            </w:pPr>
          </w:p>
        </w:tc>
      </w:tr>
    </w:tbl>
    <w:p w14:paraId="176518CD">
      <w:pPr>
        <w:pStyle w:val="16"/>
        <w:spacing w:line="360" w:lineRule="auto"/>
        <w:rPr>
          <w:rFonts w:hAnsi="宋体"/>
        </w:rPr>
      </w:pPr>
    </w:p>
    <w:p w14:paraId="754D2F7C">
      <w:pPr>
        <w:pStyle w:val="16"/>
        <w:spacing w:line="360" w:lineRule="auto"/>
        <w:rPr>
          <w:rFonts w:hAnsi="宋体"/>
        </w:rPr>
      </w:pPr>
    </w:p>
    <w:p w14:paraId="779292F6">
      <w:pPr>
        <w:autoSpaceDE w:val="0"/>
        <w:autoSpaceDN w:val="0"/>
        <w:jc w:val="center"/>
        <w:outlineLvl w:val="1"/>
        <w:rPr>
          <w:rFonts w:ascii="宋体" w:hAnsi="宋体" w:cs="宋体"/>
          <w:b/>
          <w:szCs w:val="21"/>
        </w:rPr>
      </w:pPr>
    </w:p>
    <w:p w14:paraId="2D3DD989">
      <w:pPr>
        <w:pStyle w:val="148"/>
        <w:tabs>
          <w:tab w:val="left" w:pos="1418"/>
        </w:tabs>
        <w:spacing w:line="360" w:lineRule="auto"/>
        <w:ind w:left="567" w:firstLine="0" w:firstLineChars="0"/>
        <w:rPr>
          <w:rFonts w:ascii="宋体" w:hAnsi="宋体"/>
          <w:szCs w:val="21"/>
        </w:rPr>
      </w:pPr>
      <w:r>
        <w:rPr>
          <w:rFonts w:hint="eastAsia" w:ascii="宋体" w:hAnsi="宋体"/>
          <w:szCs w:val="21"/>
        </w:rPr>
        <w:t>2.合同总额（含税）人民币小写：¥ 【</w:t>
      </w:r>
      <w:r>
        <w:rPr>
          <w:rFonts w:ascii="宋体" w:hAnsi="宋体"/>
          <w:szCs w:val="21"/>
        </w:rPr>
        <w:fldChar w:fldCharType="begin">
          <w:ffData>
            <w:name w:val="文字3"/>
            <w:enabled/>
            <w:calcOnExit w:val="0"/>
            <w:textInput/>
          </w:ffData>
        </w:fldChar>
      </w:r>
      <w:r>
        <w:rPr>
          <w:rFonts w:hint="eastAsia" w:ascii="宋体" w:hAnsi="宋体"/>
          <w:szCs w:val="21"/>
        </w:rPr>
        <w:instrText xml:space="preserve">FORMTEXT</w:instrText>
      </w:r>
      <w:r>
        <w:rPr>
          <w:rFonts w:ascii="宋体" w:hAnsi="宋体"/>
          <w:szCs w:val="21"/>
        </w:rPr>
        <w:fldChar w:fldCharType="separate"/>
      </w:r>
      <w:r>
        <w:rPr>
          <w:szCs w:val="21"/>
        </w:rPr>
        <w:t>     </w:t>
      </w:r>
      <w:r>
        <w:rPr>
          <w:rFonts w:ascii="宋体" w:hAnsi="宋体"/>
          <w:szCs w:val="21"/>
        </w:rPr>
        <w:fldChar w:fldCharType="end"/>
      </w:r>
      <w:r>
        <w:rPr>
          <w:rFonts w:hint="eastAsia" w:ascii="宋体" w:hAnsi="宋体"/>
          <w:szCs w:val="21"/>
        </w:rPr>
        <w:t>】元（大写：</w:t>
      </w:r>
      <w:r>
        <w:rPr>
          <w:rFonts w:ascii="宋体" w:hAnsi="宋体"/>
          <w:szCs w:val="21"/>
        </w:rPr>
        <w:fldChar w:fldCharType="begin">
          <w:ffData>
            <w:name w:val="文字3"/>
            <w:enabled/>
            <w:calcOnExit w:val="0"/>
            <w:textInput/>
          </w:ffData>
        </w:fldChar>
      </w:r>
      <w:r>
        <w:rPr>
          <w:rFonts w:hint="eastAsia" w:ascii="宋体" w:hAnsi="宋体"/>
          <w:szCs w:val="21"/>
        </w:rPr>
        <w:instrText xml:space="preserve">FORMTEXT</w:instrText>
      </w:r>
      <w:r>
        <w:rPr>
          <w:rFonts w:ascii="宋体" w:hAnsi="宋体"/>
          <w:szCs w:val="21"/>
        </w:rPr>
        <w:fldChar w:fldCharType="separate"/>
      </w:r>
      <w:r>
        <w:rPr>
          <w:szCs w:val="21"/>
        </w:rPr>
        <w:t>     </w:t>
      </w:r>
      <w:r>
        <w:rPr>
          <w:rFonts w:ascii="宋体" w:hAnsi="宋体"/>
          <w:szCs w:val="21"/>
        </w:rPr>
        <w:fldChar w:fldCharType="end"/>
      </w:r>
      <w:r>
        <w:rPr>
          <w:rFonts w:hint="eastAsia" w:ascii="宋体" w:hAnsi="宋体"/>
          <w:szCs w:val="21"/>
        </w:rPr>
        <w:t>元整）。税率</w:t>
      </w:r>
      <w:r>
        <w:rPr>
          <w:rFonts w:hint="eastAsia" w:ascii="宋体" w:hAnsi="宋体" w:cs="宋体"/>
          <w:szCs w:val="21"/>
        </w:rPr>
        <w:t xml:space="preserve">      。</w:t>
      </w:r>
      <w:r>
        <w:rPr>
          <w:rFonts w:hint="eastAsia" w:ascii="宋体" w:hAnsi="宋体"/>
          <w:szCs w:val="21"/>
        </w:rPr>
        <w:t xml:space="preserve">  </w:t>
      </w:r>
    </w:p>
    <w:p w14:paraId="184E39A8">
      <w:pPr>
        <w:pStyle w:val="148"/>
        <w:tabs>
          <w:tab w:val="left" w:pos="1134"/>
          <w:tab w:val="left" w:pos="1418"/>
        </w:tabs>
        <w:spacing w:line="360" w:lineRule="auto"/>
        <w:ind w:left="567" w:firstLine="0" w:firstLineChars="0"/>
        <w:rPr>
          <w:rFonts w:ascii="宋体" w:hAnsi="宋体"/>
          <w:szCs w:val="21"/>
        </w:rPr>
      </w:pPr>
      <w:r>
        <w:rPr>
          <w:rFonts w:hint="eastAsia" w:ascii="宋体" w:hAnsi="宋体"/>
          <w:szCs w:val="21"/>
        </w:rPr>
        <w:t>3.合同总额包括</w:t>
      </w:r>
      <w:r>
        <w:rPr>
          <w:rFonts w:hint="eastAsia" w:ascii="宋体" w:hAnsi="宋体" w:cs="Courier New"/>
          <w:szCs w:val="21"/>
        </w:rPr>
        <w:t>原材料费、制作加工费、零配件的购置和包装费、运输费、保险费、装卸费、培训辅导、质保期售后服务、税费等</w:t>
      </w:r>
      <w:r>
        <w:rPr>
          <w:rFonts w:hint="eastAsia" w:ascii="宋体" w:hAnsi="宋体"/>
          <w:szCs w:val="21"/>
        </w:rPr>
        <w:t>以及甲方在乙方完全履行本合同约定义务后应向乙方支付的所有相关款项和费用。</w:t>
      </w:r>
    </w:p>
    <w:p w14:paraId="77221A81">
      <w:pPr>
        <w:pStyle w:val="148"/>
        <w:numPr>
          <w:ilvl w:val="0"/>
          <w:numId w:val="16"/>
        </w:numPr>
        <w:tabs>
          <w:tab w:val="clear" w:pos="1102"/>
        </w:tabs>
        <w:spacing w:before="240" w:line="480" w:lineRule="auto"/>
        <w:ind w:left="981" w:hanging="420" w:firstLineChars="0"/>
        <w:rPr>
          <w:rFonts w:ascii="宋体" w:hAnsi="宋体"/>
          <w:b/>
          <w:szCs w:val="21"/>
        </w:rPr>
      </w:pPr>
      <w:bookmarkStart w:id="9" w:name="_Toc518311988"/>
      <w:r>
        <w:rPr>
          <w:rFonts w:hint="eastAsia" w:ascii="宋体" w:hAnsi="宋体"/>
          <w:b/>
          <w:szCs w:val="21"/>
        </w:rPr>
        <w:t>货款支付方式</w:t>
      </w:r>
      <w:bookmarkEnd w:id="9"/>
    </w:p>
    <w:p w14:paraId="63996C93">
      <w:pPr>
        <w:pStyle w:val="148"/>
        <w:numPr>
          <w:ilvl w:val="0"/>
          <w:numId w:val="14"/>
        </w:numPr>
        <w:spacing w:line="360" w:lineRule="auto"/>
        <w:ind w:firstLineChars="0"/>
        <w:rPr>
          <w:rFonts w:ascii="宋体" w:hAnsi="宋体"/>
          <w:vanish/>
          <w:szCs w:val="21"/>
        </w:rPr>
      </w:pPr>
    </w:p>
    <w:p w14:paraId="1562287F">
      <w:pPr>
        <w:pStyle w:val="148"/>
        <w:numPr>
          <w:ilvl w:val="0"/>
          <w:numId w:val="14"/>
        </w:numPr>
        <w:spacing w:line="360" w:lineRule="auto"/>
        <w:ind w:firstLineChars="0"/>
        <w:rPr>
          <w:rFonts w:ascii="宋体" w:hAnsi="宋体"/>
          <w:vanish/>
          <w:szCs w:val="21"/>
        </w:rPr>
      </w:pPr>
    </w:p>
    <w:p w14:paraId="543AACAC">
      <w:pPr>
        <w:pStyle w:val="16"/>
        <w:spacing w:line="360" w:lineRule="auto"/>
        <w:ind w:left="567"/>
        <w:rPr>
          <w:rFonts w:hAnsi="宋体"/>
          <w:sz w:val="21"/>
        </w:rPr>
      </w:pPr>
      <w:r>
        <w:rPr>
          <w:rFonts w:hint="eastAsia" w:hAnsi="宋体"/>
          <w:sz w:val="21"/>
        </w:rPr>
        <w:t>甲方采购货物按照以下方式向乙方付款：</w:t>
      </w:r>
    </w:p>
    <w:p w14:paraId="1C5FFFA7">
      <w:pPr>
        <w:spacing w:line="360" w:lineRule="auto"/>
        <w:ind w:firstLine="493" w:firstLineChars="235"/>
        <w:rPr>
          <w:rFonts w:ascii="宋体" w:hAnsi="宋体"/>
          <w:szCs w:val="21"/>
        </w:rPr>
      </w:pPr>
      <w:r>
        <w:rPr>
          <w:rFonts w:hint="eastAsia" w:ascii="宋体" w:hAnsi="宋体"/>
          <w:szCs w:val="21"/>
        </w:rPr>
        <w:t>第一期：乙方自采购货物经甲方验收合格之日起</w:t>
      </w:r>
      <w:r>
        <w:rPr>
          <w:rFonts w:hint="cs" w:ascii="宋体" w:hAnsi="宋体"/>
          <w:szCs w:val="21"/>
          <w:cs/>
        </w:rPr>
        <w:t>1</w:t>
      </w:r>
      <w:r>
        <w:rPr>
          <w:rFonts w:hint="eastAsia" w:ascii="宋体" w:hAnsi="宋体"/>
          <w:szCs w:val="21"/>
        </w:rPr>
        <w:t>个月内，提供该采购货物的全额增值税专用发票给甲方，甲方自收到合法有效发票之日起3个月内，支付相应货款的【</w:t>
      </w:r>
      <w:r>
        <w:rPr>
          <w:rFonts w:ascii="宋体" w:hAnsi="宋体"/>
          <w:szCs w:val="21"/>
        </w:rPr>
        <w:t>95</w:t>
      </w:r>
      <w:r>
        <w:rPr>
          <w:rFonts w:hint="eastAsia" w:ascii="宋体" w:hAnsi="宋体"/>
          <w:szCs w:val="21"/>
        </w:rPr>
        <w:t>%】。</w:t>
      </w:r>
    </w:p>
    <w:p w14:paraId="3C135B43">
      <w:pPr>
        <w:spacing w:line="360" w:lineRule="auto"/>
        <w:ind w:firstLine="493" w:firstLineChars="235"/>
        <w:rPr>
          <w:rFonts w:ascii="宋体" w:hAnsi="宋体"/>
          <w:szCs w:val="21"/>
        </w:rPr>
      </w:pPr>
      <w:r>
        <w:rPr>
          <w:rFonts w:hint="eastAsia" w:ascii="宋体" w:hAnsi="宋体"/>
          <w:szCs w:val="21"/>
        </w:rPr>
        <w:t>第二期：剩余【5%】货款为质量保证金（即质保金），如无质量问题，质保期满后</w:t>
      </w:r>
      <w:r>
        <w:rPr>
          <w:rFonts w:ascii="宋体" w:hAnsi="宋体"/>
          <w:szCs w:val="21"/>
        </w:rPr>
        <w:t>3</w:t>
      </w:r>
      <w:r>
        <w:rPr>
          <w:rFonts w:hint="eastAsia" w:ascii="宋体" w:hAnsi="宋体"/>
          <w:szCs w:val="21"/>
        </w:rPr>
        <w:t>个月内无息支付。</w:t>
      </w:r>
    </w:p>
    <w:p w14:paraId="2DB08FE9">
      <w:pPr>
        <w:pStyle w:val="16"/>
        <w:numPr>
          <w:ilvl w:val="1"/>
          <w:numId w:val="14"/>
        </w:numPr>
        <w:spacing w:line="360" w:lineRule="auto"/>
        <w:rPr>
          <w:rFonts w:hAnsi="宋体"/>
          <w:sz w:val="21"/>
        </w:rPr>
      </w:pPr>
      <w:bookmarkStart w:id="10" w:name="_Hlk520054790"/>
      <w:r>
        <w:rPr>
          <w:rFonts w:hint="eastAsia" w:hAnsi="宋体"/>
          <w:sz w:val="21"/>
        </w:rPr>
        <w:t>乙方须按照甲方要求提供合法增值税专用发票</w:t>
      </w:r>
      <w:bookmarkEnd w:id="10"/>
      <w:r>
        <w:rPr>
          <w:rFonts w:hint="eastAsia" w:hAnsi="宋体"/>
          <w:sz w:val="21"/>
        </w:rPr>
        <w:t>，否则，甲方有权延期付款，由此造成迟延付款的责任由乙方自行承担。</w:t>
      </w:r>
    </w:p>
    <w:p w14:paraId="549BC72B">
      <w:pPr>
        <w:pStyle w:val="16"/>
        <w:numPr>
          <w:ilvl w:val="1"/>
          <w:numId w:val="14"/>
        </w:numPr>
        <w:spacing w:line="360" w:lineRule="auto"/>
        <w:rPr>
          <w:rFonts w:hAnsi="宋体"/>
          <w:sz w:val="21"/>
        </w:rPr>
      </w:pPr>
      <w:bookmarkStart w:id="11" w:name="_Hlk519866474"/>
      <w:bookmarkStart w:id="12" w:name="_Hlk520055077"/>
      <w:r>
        <w:rPr>
          <w:rFonts w:hint="eastAsia" w:hAnsi="宋体"/>
          <w:sz w:val="21"/>
        </w:rPr>
        <w:t>出现国家税收政策调整时，双方应根据实际税收调整情况，以本合同中的货物不含税单价为依据相应调整受影响的合同含税金额，乙方需按照税收调整政策规定开具合法合规发票</w:t>
      </w:r>
      <w:bookmarkEnd w:id="11"/>
      <w:r>
        <w:rPr>
          <w:rFonts w:hint="eastAsia" w:hAnsi="宋体"/>
          <w:sz w:val="21"/>
        </w:rPr>
        <w:t>。</w:t>
      </w:r>
    </w:p>
    <w:bookmarkEnd w:id="12"/>
    <w:p w14:paraId="0B4968BA">
      <w:pPr>
        <w:pStyle w:val="16"/>
        <w:numPr>
          <w:ilvl w:val="1"/>
          <w:numId w:val="14"/>
        </w:numPr>
        <w:spacing w:line="360" w:lineRule="auto"/>
        <w:rPr>
          <w:rFonts w:hAnsi="宋体"/>
          <w:sz w:val="21"/>
        </w:rPr>
      </w:pPr>
      <w:bookmarkStart w:id="13" w:name="_Hlk519866191"/>
      <w:bookmarkStart w:id="14" w:name="_Hlk519866172"/>
      <w:r>
        <w:rPr>
          <w:rFonts w:hint="eastAsia" w:hAnsi="宋体"/>
          <w:sz w:val="21"/>
        </w:rPr>
        <w:t>乙方指定收款账户如下</w:t>
      </w:r>
      <w:bookmarkEnd w:id="13"/>
      <w:r>
        <w:rPr>
          <w:rFonts w:hint="eastAsia" w:hAnsi="宋体"/>
          <w:sz w:val="21"/>
        </w:rPr>
        <w:t>：</w:t>
      </w:r>
    </w:p>
    <w:bookmarkEnd w:id="14"/>
    <w:p w14:paraId="724B37A1">
      <w:pPr>
        <w:spacing w:line="360" w:lineRule="auto"/>
        <w:ind w:firstLine="422" w:firstLineChars="200"/>
        <w:rPr>
          <w:rFonts w:ascii="宋体" w:hAnsi="宋体"/>
          <w:b/>
          <w:szCs w:val="21"/>
          <w:u w:val="single"/>
        </w:rPr>
      </w:pPr>
      <w:r>
        <w:rPr>
          <w:rFonts w:hint="eastAsia" w:ascii="宋体" w:hAnsi="宋体"/>
          <w:b/>
          <w:szCs w:val="21"/>
        </w:rPr>
        <w:t>账号：</w:t>
      </w:r>
      <w:r>
        <w:rPr>
          <w:rFonts w:ascii="宋体" w:hAnsi="宋体"/>
          <w:szCs w:val="21"/>
        </w:rPr>
        <w:fldChar w:fldCharType="begin">
          <w:ffData>
            <w:name w:val="文字13"/>
            <w:enabled/>
            <w:calcOnExit w:val="0"/>
            <w:textInput/>
          </w:ffData>
        </w:fldChar>
      </w:r>
      <w:bookmarkStart w:id="15" w:name="文字13"/>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15"/>
    </w:p>
    <w:p w14:paraId="13BAFA71">
      <w:pPr>
        <w:spacing w:line="360" w:lineRule="auto"/>
        <w:ind w:firstLine="422" w:firstLineChars="200"/>
        <w:rPr>
          <w:rFonts w:ascii="宋体" w:hAnsi="宋体"/>
          <w:b/>
          <w:szCs w:val="21"/>
        </w:rPr>
      </w:pPr>
      <w:r>
        <w:rPr>
          <w:rFonts w:hint="eastAsia" w:ascii="宋体" w:hAnsi="宋体"/>
          <w:b/>
          <w:szCs w:val="21"/>
        </w:rPr>
        <w:t>账户名称：</w:t>
      </w:r>
      <w:r>
        <w:rPr>
          <w:rFonts w:ascii="宋体" w:hAnsi="宋体"/>
          <w:szCs w:val="21"/>
        </w:rPr>
        <w:fldChar w:fldCharType="begin">
          <w:ffData>
            <w:name w:val="文字14"/>
            <w:enabled/>
            <w:calcOnExit w:val="0"/>
            <w:textInput/>
          </w:ffData>
        </w:fldChar>
      </w:r>
      <w:bookmarkStart w:id="16" w:name="文字14"/>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16"/>
    </w:p>
    <w:p w14:paraId="7E927979">
      <w:pPr>
        <w:spacing w:line="360" w:lineRule="auto"/>
        <w:ind w:firstLine="422" w:firstLineChars="200"/>
        <w:rPr>
          <w:rFonts w:ascii="宋体" w:hAnsi="宋体"/>
          <w:b/>
          <w:szCs w:val="21"/>
        </w:rPr>
      </w:pPr>
      <w:r>
        <w:rPr>
          <w:rFonts w:hint="eastAsia" w:ascii="宋体" w:hAnsi="宋体"/>
          <w:b/>
          <w:szCs w:val="21"/>
        </w:rPr>
        <w:t>开户行：</w:t>
      </w:r>
      <w:r>
        <w:rPr>
          <w:rFonts w:ascii="宋体" w:hAnsi="宋体"/>
          <w:szCs w:val="21"/>
        </w:rPr>
        <w:fldChar w:fldCharType="begin">
          <w:ffData>
            <w:name w:val="文字15"/>
            <w:enabled/>
            <w:calcOnExit w:val="0"/>
            <w:textInput/>
          </w:ffData>
        </w:fldChar>
      </w:r>
      <w:bookmarkStart w:id="17" w:name="文字15"/>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bookmarkEnd w:id="17"/>
    </w:p>
    <w:p w14:paraId="1BACEA87">
      <w:pPr>
        <w:pStyle w:val="16"/>
        <w:numPr>
          <w:ilvl w:val="1"/>
          <w:numId w:val="14"/>
        </w:numPr>
        <w:spacing w:line="360" w:lineRule="auto"/>
        <w:rPr>
          <w:rFonts w:hAnsi="宋体"/>
          <w:sz w:val="21"/>
        </w:rPr>
      </w:pPr>
      <w:bookmarkStart w:id="18" w:name="_Hlk519866249"/>
      <w:r>
        <w:rPr>
          <w:rFonts w:hint="eastAsia" w:hAnsi="宋体"/>
          <w:sz w:val="21"/>
        </w:rPr>
        <w:t>若乙方需要改变上述账户，应提前【10】个工作日以书面形式通知甲方，否则，因此造成的损失由乙方自行承担。</w:t>
      </w:r>
    </w:p>
    <w:bookmarkEnd w:id="18"/>
    <w:p w14:paraId="296CCE90">
      <w:pPr>
        <w:pStyle w:val="148"/>
        <w:numPr>
          <w:ilvl w:val="0"/>
          <w:numId w:val="16"/>
        </w:numPr>
        <w:tabs>
          <w:tab w:val="clear" w:pos="1102"/>
        </w:tabs>
        <w:spacing w:before="240" w:line="480" w:lineRule="auto"/>
        <w:ind w:left="982" w:hanging="420" w:firstLineChars="0"/>
        <w:rPr>
          <w:rFonts w:ascii="宋体" w:hAnsi="宋体"/>
          <w:b/>
          <w:szCs w:val="21"/>
        </w:rPr>
      </w:pPr>
      <w:bookmarkStart w:id="19" w:name="_Toc518311989"/>
      <w:r>
        <w:rPr>
          <w:rFonts w:hint="eastAsia" w:ascii="宋体" w:hAnsi="宋体"/>
          <w:b/>
          <w:szCs w:val="21"/>
        </w:rPr>
        <w:t>包装和运输</w:t>
      </w:r>
      <w:bookmarkEnd w:id="19"/>
    </w:p>
    <w:p w14:paraId="13B1009F">
      <w:pPr>
        <w:pStyle w:val="148"/>
        <w:numPr>
          <w:ilvl w:val="0"/>
          <w:numId w:val="14"/>
        </w:numPr>
        <w:spacing w:line="360" w:lineRule="auto"/>
        <w:ind w:firstLineChars="0"/>
        <w:rPr>
          <w:rFonts w:ascii="宋体" w:hAnsi="宋体"/>
          <w:vanish/>
          <w:szCs w:val="21"/>
        </w:rPr>
      </w:pPr>
    </w:p>
    <w:p w14:paraId="4E03FC8E">
      <w:pPr>
        <w:pStyle w:val="16"/>
        <w:numPr>
          <w:ilvl w:val="1"/>
          <w:numId w:val="14"/>
        </w:numPr>
        <w:spacing w:line="360" w:lineRule="auto"/>
        <w:rPr>
          <w:rFonts w:hAnsi="宋体"/>
          <w:sz w:val="21"/>
        </w:rPr>
      </w:pPr>
      <w:r>
        <w:rPr>
          <w:rFonts w:hint="eastAsia" w:hAnsi="宋体"/>
          <w:sz w:val="21"/>
        </w:rPr>
        <w:t>乙方应根据货物特点对货物进行坚固包装使其防水、防潮、防腐、防锈、防震等，并适于货物装卸和运输要求。凡因包装不善致使货物遭到损坏或丢失的，由乙方承担责任。</w:t>
      </w:r>
    </w:p>
    <w:p w14:paraId="01DB148D">
      <w:pPr>
        <w:pStyle w:val="16"/>
        <w:numPr>
          <w:ilvl w:val="1"/>
          <w:numId w:val="14"/>
        </w:numPr>
        <w:spacing w:line="360" w:lineRule="auto"/>
        <w:rPr>
          <w:rFonts w:hAnsi="宋体"/>
          <w:sz w:val="21"/>
        </w:rPr>
      </w:pPr>
      <w:r>
        <w:rPr>
          <w:rFonts w:hint="eastAsia" w:hAnsi="宋体"/>
          <w:sz w:val="21"/>
        </w:rPr>
        <w:t>包装标准为原厂制造商未启封全新包装，序列号、包装箱号与出厂批号一致，并可追索查阅。包装物乙方不回收。</w:t>
      </w:r>
    </w:p>
    <w:p w14:paraId="2E4AC321">
      <w:pPr>
        <w:pStyle w:val="148"/>
        <w:numPr>
          <w:ilvl w:val="0"/>
          <w:numId w:val="16"/>
        </w:numPr>
        <w:tabs>
          <w:tab w:val="clear" w:pos="1102"/>
        </w:tabs>
        <w:spacing w:before="240" w:line="480" w:lineRule="auto"/>
        <w:ind w:left="982" w:hanging="420" w:firstLineChars="0"/>
        <w:rPr>
          <w:rFonts w:ascii="宋体" w:hAnsi="宋体"/>
          <w:b/>
          <w:szCs w:val="21"/>
        </w:rPr>
      </w:pPr>
      <w:bookmarkStart w:id="20" w:name="_Toc518311990"/>
      <w:r>
        <w:rPr>
          <w:rFonts w:hint="eastAsia" w:ascii="宋体" w:hAnsi="宋体"/>
          <w:b/>
          <w:szCs w:val="21"/>
        </w:rPr>
        <w:t>交付验收</w:t>
      </w:r>
      <w:bookmarkEnd w:id="20"/>
    </w:p>
    <w:p w14:paraId="4A83D845">
      <w:pPr>
        <w:pStyle w:val="148"/>
        <w:numPr>
          <w:ilvl w:val="0"/>
          <w:numId w:val="14"/>
        </w:numPr>
        <w:spacing w:line="360" w:lineRule="auto"/>
        <w:ind w:firstLineChars="0"/>
        <w:rPr>
          <w:rFonts w:ascii="宋体" w:hAnsi="宋体"/>
          <w:vanish/>
          <w:szCs w:val="21"/>
        </w:rPr>
      </w:pPr>
    </w:p>
    <w:p w14:paraId="25CE82F7">
      <w:pPr>
        <w:pStyle w:val="16"/>
        <w:numPr>
          <w:ilvl w:val="1"/>
          <w:numId w:val="14"/>
        </w:numPr>
        <w:spacing w:line="360" w:lineRule="auto"/>
        <w:rPr>
          <w:rFonts w:hAnsi="宋体"/>
          <w:sz w:val="21"/>
        </w:rPr>
      </w:pPr>
      <w:r>
        <w:rPr>
          <w:rFonts w:hint="eastAsia" w:hAnsi="宋体"/>
          <w:sz w:val="21"/>
        </w:rPr>
        <w:t>交货时间：乙方按甲方要求在合同生效后【30】天内完成供货。</w:t>
      </w:r>
    </w:p>
    <w:p w14:paraId="5E713BB7">
      <w:pPr>
        <w:pStyle w:val="16"/>
        <w:numPr>
          <w:ilvl w:val="1"/>
          <w:numId w:val="14"/>
        </w:numPr>
        <w:spacing w:line="360" w:lineRule="auto"/>
        <w:rPr>
          <w:rFonts w:hAnsi="宋体"/>
          <w:sz w:val="21"/>
        </w:rPr>
      </w:pPr>
      <w:r>
        <w:rPr>
          <w:rFonts w:hint="eastAsia" w:hAnsi="宋体"/>
          <w:sz w:val="21"/>
        </w:rPr>
        <w:t>交货地点：按甲方要求将货物送到大良延年路11-2或甲方指定收货地点。乙方须出具送货单，由甲方收货人员签收。如果发现货物短缺、毁损等与合同约定不符的情况，甲方有权拒收。</w:t>
      </w:r>
    </w:p>
    <w:p w14:paraId="032A2E8B">
      <w:pPr>
        <w:pStyle w:val="16"/>
        <w:numPr>
          <w:ilvl w:val="1"/>
          <w:numId w:val="14"/>
        </w:numPr>
        <w:spacing w:line="360" w:lineRule="auto"/>
        <w:rPr>
          <w:rFonts w:hAnsi="宋体"/>
          <w:sz w:val="21"/>
        </w:rPr>
      </w:pPr>
      <w:r>
        <w:rPr>
          <w:rFonts w:hint="eastAsia" w:hAnsi="宋体"/>
          <w:sz w:val="21"/>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不免除乙方对于货物质量缺陷或瑕疵负有的相应担保责任。</w:t>
      </w:r>
    </w:p>
    <w:p w14:paraId="1E8512E2">
      <w:pPr>
        <w:pStyle w:val="16"/>
        <w:numPr>
          <w:ilvl w:val="1"/>
          <w:numId w:val="14"/>
        </w:numPr>
        <w:spacing w:line="360" w:lineRule="auto"/>
        <w:rPr>
          <w:rFonts w:hAnsi="宋体"/>
          <w:sz w:val="21"/>
        </w:rPr>
      </w:pPr>
      <w:r>
        <w:rPr>
          <w:rFonts w:hint="eastAsia" w:hAnsi="宋体"/>
          <w:sz w:val="21"/>
        </w:rPr>
        <w:t>甲方签收货物后（如需安装调试的货物在安装调试完成后）甲方根据货物检验结果出具书面到货验收结论，货物质量的确认以甲方出具的书面验收结论为准。对验收不通过的，乙方需在7个自然日内进行更换，更换货物所产生的费用由乙方自行承担。</w:t>
      </w:r>
    </w:p>
    <w:p w14:paraId="4C1EB8CC">
      <w:pPr>
        <w:pStyle w:val="16"/>
        <w:numPr>
          <w:ilvl w:val="1"/>
          <w:numId w:val="14"/>
        </w:numPr>
        <w:spacing w:line="360" w:lineRule="auto"/>
        <w:rPr>
          <w:rFonts w:hAnsi="宋体"/>
          <w:sz w:val="21"/>
        </w:rPr>
      </w:pPr>
      <w:r>
        <w:rPr>
          <w:rFonts w:hint="eastAsia" w:hAnsi="宋体"/>
          <w:sz w:val="21"/>
        </w:rPr>
        <w:t>如甲方因乙方交货不符合合同要求或双方约定的质量、规格等原因而拒收或者解除合同的，货物毁损、灭失的风险、迟交货责任由乙方自行承担。</w:t>
      </w:r>
    </w:p>
    <w:p w14:paraId="76575CEA">
      <w:pPr>
        <w:pStyle w:val="148"/>
        <w:numPr>
          <w:ilvl w:val="0"/>
          <w:numId w:val="16"/>
        </w:numPr>
        <w:tabs>
          <w:tab w:val="clear" w:pos="1102"/>
        </w:tabs>
        <w:spacing w:before="120" w:line="480" w:lineRule="auto"/>
        <w:ind w:left="981" w:hanging="420" w:firstLineChars="0"/>
        <w:rPr>
          <w:rFonts w:ascii="宋体" w:hAnsi="宋体"/>
          <w:b/>
          <w:szCs w:val="21"/>
        </w:rPr>
      </w:pPr>
      <w:bookmarkStart w:id="21" w:name="_Toc518311991"/>
      <w:r>
        <w:rPr>
          <w:rFonts w:hint="eastAsia" w:ascii="宋体" w:hAnsi="宋体"/>
          <w:b/>
          <w:szCs w:val="21"/>
        </w:rPr>
        <w:t>货物质量要求</w:t>
      </w:r>
      <w:bookmarkEnd w:id="21"/>
    </w:p>
    <w:p w14:paraId="0A32F5DF">
      <w:pPr>
        <w:pStyle w:val="148"/>
        <w:numPr>
          <w:ilvl w:val="0"/>
          <w:numId w:val="14"/>
        </w:numPr>
        <w:spacing w:line="360" w:lineRule="auto"/>
        <w:ind w:firstLineChars="0"/>
        <w:rPr>
          <w:rFonts w:ascii="宋体" w:hAnsi="宋体"/>
          <w:vanish/>
          <w:szCs w:val="21"/>
        </w:rPr>
      </w:pPr>
    </w:p>
    <w:p w14:paraId="7B85419C">
      <w:pPr>
        <w:pStyle w:val="16"/>
        <w:numPr>
          <w:ilvl w:val="1"/>
          <w:numId w:val="14"/>
        </w:numPr>
        <w:spacing w:line="360" w:lineRule="auto"/>
        <w:rPr>
          <w:rFonts w:hAnsi="宋体"/>
          <w:sz w:val="21"/>
        </w:rPr>
      </w:pPr>
      <w:r>
        <w:rPr>
          <w:rFonts w:hint="eastAsia" w:hAnsi="宋体"/>
          <w:sz w:val="21"/>
        </w:rPr>
        <w:t>本合同项下的货物适用下列技术和质量标准</w:t>
      </w:r>
      <w:bookmarkStart w:id="22" w:name="_Hlk520055294"/>
      <w:r>
        <w:rPr>
          <w:rFonts w:hint="eastAsia" w:hAnsi="宋体"/>
          <w:sz w:val="21"/>
        </w:rPr>
        <w:t>(以其中标准最高者为准</w:t>
      </w:r>
      <w:r>
        <w:rPr>
          <w:rFonts w:hAnsi="宋体"/>
          <w:sz w:val="21"/>
        </w:rPr>
        <w:t>)</w:t>
      </w:r>
      <w:r>
        <w:rPr>
          <w:rFonts w:hint="eastAsia" w:hAnsi="宋体"/>
          <w:sz w:val="21"/>
        </w:rPr>
        <w:t>：</w:t>
      </w:r>
      <w:bookmarkEnd w:id="22"/>
      <w:r>
        <w:rPr>
          <w:rFonts w:hint="eastAsia" w:hAnsi="宋体"/>
          <w:sz w:val="21"/>
        </w:rPr>
        <w:t>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14:paraId="5829319C">
      <w:pPr>
        <w:pStyle w:val="16"/>
        <w:numPr>
          <w:ilvl w:val="1"/>
          <w:numId w:val="14"/>
        </w:numPr>
        <w:spacing w:line="360" w:lineRule="auto"/>
        <w:rPr>
          <w:rFonts w:hAnsi="宋体"/>
          <w:sz w:val="21"/>
        </w:rPr>
      </w:pPr>
      <w:r>
        <w:rPr>
          <w:rFonts w:hint="eastAsia" w:hAnsi="宋体"/>
          <w:sz w:val="21"/>
        </w:rPr>
        <w:t>中国境内制造的产品必须提供出厂合格证。关键产品/主机设备的用户手册、保修手册、有关单证资料及配备件、随机工具等，使用操作及安全须知等重要资料应附有中文说明。</w:t>
      </w:r>
    </w:p>
    <w:p w14:paraId="16DFD947">
      <w:pPr>
        <w:pStyle w:val="16"/>
        <w:numPr>
          <w:ilvl w:val="1"/>
          <w:numId w:val="14"/>
        </w:numPr>
        <w:spacing w:line="360" w:lineRule="auto"/>
        <w:rPr>
          <w:rFonts w:hAnsi="宋体"/>
          <w:sz w:val="21"/>
        </w:rPr>
      </w:pPr>
      <w:r>
        <w:rPr>
          <w:rFonts w:hint="eastAsia" w:hAnsi="宋体"/>
          <w:sz w:val="21"/>
        </w:rPr>
        <w:t>当货物来源于中华人民共和国境外时，货物必须附有原产地证明、中华人民共和国商检机构的检验证明、合法进货渠道证明及海关完税证明，此外，有关技术资料中须附有全文翻译的、完整的中文文本。</w:t>
      </w:r>
    </w:p>
    <w:p w14:paraId="0F84D6A0">
      <w:pPr>
        <w:pStyle w:val="16"/>
        <w:numPr>
          <w:ilvl w:val="1"/>
          <w:numId w:val="14"/>
        </w:numPr>
        <w:spacing w:line="360" w:lineRule="auto"/>
        <w:rPr>
          <w:rFonts w:hAnsi="宋体"/>
          <w:sz w:val="21"/>
        </w:rPr>
      </w:pPr>
      <w:r>
        <w:rPr>
          <w:rFonts w:hint="eastAsia" w:hAnsi="宋体"/>
          <w:sz w:val="21"/>
        </w:rPr>
        <w:t>产品均为近12个月内原厂制造的全新合格产品，且有合法透明的来源渠道，如为整机须无污染、无侵权行为、表面无划损、无任何缺陷隐患，可依常规合法安全使用。</w:t>
      </w:r>
    </w:p>
    <w:p w14:paraId="3D9BA65E">
      <w:pPr>
        <w:pStyle w:val="16"/>
        <w:numPr>
          <w:ilvl w:val="1"/>
          <w:numId w:val="14"/>
        </w:numPr>
        <w:spacing w:line="360" w:lineRule="auto"/>
        <w:rPr>
          <w:rFonts w:hAnsi="宋体"/>
          <w:sz w:val="21"/>
        </w:rPr>
      </w:pPr>
      <w:r>
        <w:rPr>
          <w:rFonts w:hint="eastAsia" w:hAnsi="宋体"/>
          <w:sz w:val="21"/>
        </w:rPr>
        <w:t>乙方必须确保货物及所有配套件的完整性，对于竞价文件没有列出，而对货物的正常运行和维护必不可少的且应属于货物配带的部件、配件等，乙方有责任给予补充。</w:t>
      </w:r>
    </w:p>
    <w:p w14:paraId="77264610">
      <w:pPr>
        <w:pStyle w:val="148"/>
        <w:numPr>
          <w:ilvl w:val="0"/>
          <w:numId w:val="16"/>
        </w:numPr>
        <w:tabs>
          <w:tab w:val="clear" w:pos="1102"/>
        </w:tabs>
        <w:spacing w:line="480" w:lineRule="auto"/>
        <w:ind w:left="981" w:hanging="420" w:firstLineChars="0"/>
        <w:rPr>
          <w:rFonts w:ascii="宋体" w:hAnsi="宋体"/>
          <w:b/>
          <w:szCs w:val="21"/>
        </w:rPr>
      </w:pPr>
      <w:bookmarkStart w:id="23" w:name="_Toc518311995"/>
      <w:r>
        <w:rPr>
          <w:rFonts w:hint="eastAsia" w:ascii="宋体" w:hAnsi="宋体"/>
          <w:b/>
          <w:szCs w:val="21"/>
        </w:rPr>
        <w:t>质量检测</w:t>
      </w:r>
      <w:bookmarkEnd w:id="23"/>
    </w:p>
    <w:p w14:paraId="371FA291">
      <w:pPr>
        <w:pStyle w:val="148"/>
        <w:numPr>
          <w:ilvl w:val="0"/>
          <w:numId w:val="14"/>
        </w:numPr>
        <w:spacing w:line="360" w:lineRule="auto"/>
        <w:ind w:firstLineChars="0"/>
        <w:rPr>
          <w:rFonts w:ascii="宋体" w:hAnsi="宋体"/>
          <w:vanish/>
          <w:szCs w:val="21"/>
        </w:rPr>
      </w:pPr>
    </w:p>
    <w:p w14:paraId="42285997">
      <w:pPr>
        <w:pStyle w:val="16"/>
        <w:numPr>
          <w:ilvl w:val="1"/>
          <w:numId w:val="14"/>
        </w:numPr>
        <w:spacing w:line="360" w:lineRule="auto"/>
        <w:rPr>
          <w:rFonts w:hAnsi="宋体"/>
          <w:sz w:val="21"/>
        </w:rPr>
      </w:pPr>
      <w:r>
        <w:rPr>
          <w:rFonts w:hint="eastAsia" w:hAnsi="宋体"/>
          <w:sz w:val="21"/>
        </w:rPr>
        <w:t>甲方有权在合同期内委托第三方检测机构对乙方所供货物进行质量专项检测，检测结果对双方有约束力。</w:t>
      </w:r>
    </w:p>
    <w:p w14:paraId="374220D7">
      <w:pPr>
        <w:pStyle w:val="16"/>
        <w:numPr>
          <w:ilvl w:val="1"/>
          <w:numId w:val="14"/>
        </w:numPr>
        <w:spacing w:line="360" w:lineRule="auto"/>
        <w:rPr>
          <w:rFonts w:hAnsi="宋体"/>
          <w:sz w:val="21"/>
        </w:rPr>
      </w:pPr>
      <w:r>
        <w:rPr>
          <w:rFonts w:hint="eastAsia" w:hAnsi="宋体"/>
          <w:sz w:val="21"/>
        </w:rPr>
        <w:t>检测结果不符合合同约定的，甲方有权单方解除合同，退回乙方已供货物。乙方必须在接到甲方检测结果通知的【5】个工作日内返还甲方已付货款，并承担违约责任，赔偿由此给甲方造成的全部损失。检测结果不符合合同约定的，检测费用由乙方承担。</w:t>
      </w:r>
    </w:p>
    <w:p w14:paraId="7FC38408">
      <w:pPr>
        <w:pStyle w:val="148"/>
        <w:numPr>
          <w:ilvl w:val="0"/>
          <w:numId w:val="16"/>
        </w:numPr>
        <w:tabs>
          <w:tab w:val="clear" w:pos="1102"/>
        </w:tabs>
        <w:spacing w:before="120" w:line="480" w:lineRule="auto"/>
        <w:ind w:left="981" w:hanging="420" w:firstLineChars="0"/>
        <w:rPr>
          <w:rFonts w:ascii="宋体" w:hAnsi="宋体"/>
          <w:b/>
          <w:szCs w:val="21"/>
        </w:rPr>
      </w:pPr>
      <w:bookmarkStart w:id="24" w:name="_Toc518311996"/>
      <w:r>
        <w:rPr>
          <w:rFonts w:hint="eastAsia" w:ascii="宋体" w:hAnsi="宋体"/>
          <w:b/>
          <w:szCs w:val="21"/>
        </w:rPr>
        <w:t>质保期和售后服务</w:t>
      </w:r>
      <w:bookmarkEnd w:id="24"/>
    </w:p>
    <w:p w14:paraId="38B75BDC">
      <w:pPr>
        <w:pStyle w:val="148"/>
        <w:numPr>
          <w:ilvl w:val="0"/>
          <w:numId w:val="14"/>
        </w:numPr>
        <w:spacing w:line="360" w:lineRule="auto"/>
        <w:ind w:firstLineChars="0"/>
        <w:rPr>
          <w:rFonts w:ascii="宋体" w:hAnsi="宋体"/>
          <w:vanish/>
          <w:szCs w:val="21"/>
        </w:rPr>
      </w:pPr>
    </w:p>
    <w:p w14:paraId="49D0D674">
      <w:pPr>
        <w:pStyle w:val="16"/>
        <w:numPr>
          <w:ilvl w:val="1"/>
          <w:numId w:val="14"/>
        </w:numPr>
        <w:spacing w:line="360" w:lineRule="auto"/>
        <w:rPr>
          <w:rFonts w:hAnsi="宋体"/>
          <w:sz w:val="21"/>
        </w:rPr>
      </w:pPr>
      <w:r>
        <w:rPr>
          <w:rFonts w:hint="eastAsia" w:hAnsi="宋体"/>
          <w:sz w:val="21"/>
        </w:rPr>
        <w:t>质量保证期（简称“质保期”）：货物验收合格之日起【1】年。配件与主产品的质保期一致。</w:t>
      </w:r>
    </w:p>
    <w:p w14:paraId="140F755B">
      <w:pPr>
        <w:pStyle w:val="16"/>
        <w:numPr>
          <w:ilvl w:val="1"/>
          <w:numId w:val="14"/>
        </w:numPr>
        <w:spacing w:line="360" w:lineRule="auto"/>
        <w:rPr>
          <w:rFonts w:hAnsi="宋体"/>
          <w:sz w:val="21"/>
        </w:rPr>
      </w:pPr>
      <w:r>
        <w:rPr>
          <w:rFonts w:hint="eastAsia" w:hAnsi="宋体"/>
          <w:sz w:val="21"/>
        </w:rPr>
        <w:t>质保期内，乙方对所供货物实行免费包修、包换、包退、包维修保养，由此产生的相关费用均由乙方承担。</w:t>
      </w:r>
    </w:p>
    <w:p w14:paraId="230F881C">
      <w:pPr>
        <w:pStyle w:val="16"/>
        <w:numPr>
          <w:ilvl w:val="1"/>
          <w:numId w:val="14"/>
        </w:numPr>
        <w:spacing w:line="360" w:lineRule="auto"/>
        <w:rPr>
          <w:rFonts w:hAnsi="宋体"/>
          <w:sz w:val="21"/>
        </w:rPr>
      </w:pPr>
      <w:r>
        <w:rPr>
          <w:rFonts w:hint="eastAsia" w:hAnsi="宋体"/>
          <w:sz w:val="21"/>
        </w:rPr>
        <w:t>质保期内，甲方在使用货物过程中出现问题的，乙方应在接到甲方通知后2小时内响应，8小时内到达现场，24小时内处理完毕。若在到场后24小时内故障仍未处理完毕，乙方必须免费提供不低于同档次的货物予甲方临时使用或采取应急措施解决，不得影响甲方的正常工作业务。乙方须提供常设每周7天×24小时热线服务和长期的免费技术支持。期满后可提供优质终身（有偿）维修保养服务。</w:t>
      </w:r>
    </w:p>
    <w:p w14:paraId="7929C451">
      <w:pPr>
        <w:pStyle w:val="16"/>
        <w:numPr>
          <w:ilvl w:val="1"/>
          <w:numId w:val="14"/>
        </w:numPr>
        <w:spacing w:line="360" w:lineRule="auto"/>
        <w:rPr>
          <w:rFonts w:hAnsi="宋体"/>
          <w:sz w:val="21"/>
        </w:rPr>
      </w:pPr>
      <w:r>
        <w:rPr>
          <w:rFonts w:hint="eastAsia" w:hAnsi="宋体"/>
          <w:sz w:val="21"/>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096425DC">
      <w:pPr>
        <w:pStyle w:val="16"/>
        <w:numPr>
          <w:ilvl w:val="1"/>
          <w:numId w:val="14"/>
        </w:numPr>
        <w:spacing w:line="360" w:lineRule="auto"/>
        <w:rPr>
          <w:rFonts w:hAnsi="宋体"/>
          <w:sz w:val="21"/>
        </w:rPr>
      </w:pPr>
      <w:r>
        <w:rPr>
          <w:rFonts w:hint="eastAsia" w:hAnsi="宋体"/>
          <w:sz w:val="21"/>
        </w:rPr>
        <w:t>质保期内, 如设备或零部件非人为因素出现故障而造成短期停用时，则质保期相应顺延。如设备因自身故障致停用时间累计超过30天则质保期在状态恢复正常时重新起计。</w:t>
      </w:r>
    </w:p>
    <w:p w14:paraId="73115E88">
      <w:pPr>
        <w:pStyle w:val="16"/>
        <w:numPr>
          <w:ilvl w:val="1"/>
          <w:numId w:val="14"/>
        </w:numPr>
        <w:spacing w:line="360" w:lineRule="auto"/>
        <w:rPr>
          <w:rFonts w:hAnsi="宋体"/>
          <w:sz w:val="21"/>
        </w:rPr>
      </w:pPr>
      <w:r>
        <w:rPr>
          <w:rFonts w:hint="eastAsia" w:hAnsi="宋体"/>
          <w:sz w:val="21"/>
        </w:rPr>
        <w:t>乙方须派出技术人员到佛山市顺德区现场提供实操及理论使用培训。</w:t>
      </w:r>
    </w:p>
    <w:p w14:paraId="6C04ACCD">
      <w:pPr>
        <w:pStyle w:val="148"/>
        <w:numPr>
          <w:ilvl w:val="0"/>
          <w:numId w:val="16"/>
        </w:numPr>
        <w:tabs>
          <w:tab w:val="clear" w:pos="1102"/>
        </w:tabs>
        <w:spacing w:before="120" w:line="480" w:lineRule="auto"/>
        <w:ind w:left="981" w:hanging="420" w:firstLineChars="0"/>
        <w:rPr>
          <w:rFonts w:ascii="宋体" w:hAnsi="宋体"/>
          <w:b/>
          <w:szCs w:val="21"/>
        </w:rPr>
      </w:pPr>
      <w:bookmarkStart w:id="25" w:name="_Toc518311997"/>
      <w:r>
        <w:rPr>
          <w:rFonts w:hint="eastAsia" w:ascii="宋体" w:hAnsi="宋体"/>
          <w:b/>
          <w:szCs w:val="21"/>
        </w:rPr>
        <w:t>知识产权</w:t>
      </w:r>
      <w:bookmarkEnd w:id="25"/>
    </w:p>
    <w:p w14:paraId="03D48431">
      <w:pPr>
        <w:pStyle w:val="148"/>
        <w:numPr>
          <w:ilvl w:val="0"/>
          <w:numId w:val="14"/>
        </w:numPr>
        <w:spacing w:line="360" w:lineRule="auto"/>
        <w:ind w:firstLineChars="0"/>
        <w:rPr>
          <w:rFonts w:ascii="宋体" w:hAnsi="宋体"/>
          <w:vanish/>
          <w:szCs w:val="21"/>
        </w:rPr>
      </w:pPr>
    </w:p>
    <w:p w14:paraId="167725FE">
      <w:pPr>
        <w:pStyle w:val="16"/>
        <w:numPr>
          <w:ilvl w:val="1"/>
          <w:numId w:val="14"/>
        </w:numPr>
        <w:spacing w:line="360" w:lineRule="auto"/>
        <w:rPr>
          <w:rFonts w:hAnsi="宋体"/>
          <w:sz w:val="21"/>
        </w:rPr>
      </w:pPr>
      <w:r>
        <w:rPr>
          <w:rFonts w:hint="eastAsia" w:hAnsi="宋体"/>
          <w:sz w:val="21"/>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14:paraId="2F3511ED">
      <w:pPr>
        <w:pStyle w:val="16"/>
        <w:numPr>
          <w:ilvl w:val="1"/>
          <w:numId w:val="14"/>
        </w:numPr>
        <w:spacing w:line="360" w:lineRule="auto"/>
        <w:rPr>
          <w:rFonts w:hAnsi="宋体"/>
          <w:sz w:val="21"/>
        </w:rPr>
      </w:pPr>
      <w:r>
        <w:rPr>
          <w:rFonts w:hint="eastAsia" w:hAnsi="宋体"/>
          <w:sz w:val="21"/>
        </w:rPr>
        <w:t>除非为完成本合同所需的目的，乙方不得对甲方定制的产品复制拷贝或挪作他用。未经甲方同意，乙方所使用甲方提供的资料和物品不得用于与履行合同无关的事项。否则视</w:t>
      </w:r>
      <w:r>
        <w:rPr>
          <w:rFonts w:hint="eastAsia" w:hAnsi="宋体"/>
          <w:sz w:val="21"/>
          <w:lang w:eastAsia="zh-CN"/>
        </w:rPr>
        <w:t>为</w:t>
      </w:r>
      <w:r>
        <w:rPr>
          <w:rFonts w:hint="eastAsia" w:hAnsi="宋体"/>
          <w:sz w:val="21"/>
        </w:rPr>
        <w:t>乙方违约，造成甲方的损失需予以赔偿。</w:t>
      </w:r>
    </w:p>
    <w:p w14:paraId="5E7D027C">
      <w:pPr>
        <w:pStyle w:val="148"/>
        <w:numPr>
          <w:ilvl w:val="0"/>
          <w:numId w:val="16"/>
        </w:numPr>
        <w:tabs>
          <w:tab w:val="clear" w:pos="1102"/>
        </w:tabs>
        <w:spacing w:line="480" w:lineRule="auto"/>
        <w:ind w:left="981" w:hanging="420" w:firstLineChars="0"/>
        <w:rPr>
          <w:rFonts w:ascii="宋体" w:hAnsi="宋体"/>
          <w:b/>
          <w:szCs w:val="21"/>
        </w:rPr>
      </w:pPr>
      <w:r>
        <w:rPr>
          <w:rFonts w:hint="eastAsia" w:ascii="宋体" w:hAnsi="宋体"/>
          <w:b/>
          <w:szCs w:val="21"/>
        </w:rPr>
        <w:t>通知条款</w:t>
      </w:r>
      <w:r>
        <w:rPr>
          <w:rFonts w:ascii="宋体" w:hAnsi="宋体"/>
          <w:b/>
          <w:szCs w:val="21"/>
        </w:rPr>
        <w:t> </w:t>
      </w:r>
    </w:p>
    <w:p w14:paraId="5566F7C9">
      <w:pPr>
        <w:pStyle w:val="148"/>
        <w:numPr>
          <w:ilvl w:val="0"/>
          <w:numId w:val="14"/>
        </w:numPr>
        <w:spacing w:line="360" w:lineRule="auto"/>
        <w:ind w:firstLineChars="0"/>
        <w:rPr>
          <w:rFonts w:ascii="宋体" w:hAnsi="宋体"/>
          <w:vanish/>
          <w:szCs w:val="21"/>
        </w:rPr>
      </w:pPr>
    </w:p>
    <w:p w14:paraId="0A68F636">
      <w:pPr>
        <w:pStyle w:val="16"/>
        <w:numPr>
          <w:ilvl w:val="1"/>
          <w:numId w:val="14"/>
        </w:numPr>
        <w:spacing w:line="360" w:lineRule="auto"/>
        <w:rPr>
          <w:rFonts w:hAnsi="宋体"/>
          <w:sz w:val="21"/>
        </w:rPr>
      </w:pPr>
      <w:r>
        <w:rPr>
          <w:rFonts w:hint="eastAsia" w:hAnsi="宋体"/>
          <w:sz w:val="21"/>
        </w:rPr>
        <w:t>双方确认本合同所载明的通讯地址、住所地、联系人、联系电话、邮箱等信息（以下统称“送达地址”）为对方、人民法院（或仲裁机构）发送各类纸质或电子数据通知、信函、法律文书（以下统称“文书”）的送达地址。</w:t>
      </w:r>
    </w:p>
    <w:p w14:paraId="2CD51DA9">
      <w:pPr>
        <w:pStyle w:val="16"/>
        <w:numPr>
          <w:ilvl w:val="1"/>
          <w:numId w:val="14"/>
        </w:numPr>
        <w:spacing w:line="360" w:lineRule="auto"/>
        <w:rPr>
          <w:rFonts w:hAnsi="宋体"/>
          <w:sz w:val="21"/>
        </w:rPr>
      </w:pPr>
      <w:r>
        <w:rPr>
          <w:rFonts w:hint="eastAsia" w:hAnsi="宋体"/>
          <w:sz w:val="21"/>
        </w:rPr>
        <w:t>一方对其送达地址作出变更的，应将变更后的送达地址书面告知另一方，否则送达地址仍以本合同载明为准。</w:t>
      </w:r>
    </w:p>
    <w:p w14:paraId="638B9C65">
      <w:pPr>
        <w:pStyle w:val="16"/>
        <w:numPr>
          <w:ilvl w:val="1"/>
          <w:numId w:val="14"/>
        </w:numPr>
        <w:spacing w:line="360" w:lineRule="auto"/>
        <w:rPr>
          <w:rFonts w:hAnsi="宋体"/>
          <w:sz w:val="21"/>
        </w:rPr>
      </w:pPr>
      <w:r>
        <w:rPr>
          <w:rFonts w:hint="eastAsia" w:hAnsi="宋体"/>
          <w:sz w:val="21"/>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700407C4">
      <w:pPr>
        <w:pStyle w:val="148"/>
        <w:numPr>
          <w:ilvl w:val="0"/>
          <w:numId w:val="16"/>
        </w:numPr>
        <w:tabs>
          <w:tab w:val="clear" w:pos="1102"/>
        </w:tabs>
        <w:spacing w:before="120" w:line="480" w:lineRule="auto"/>
        <w:ind w:left="981" w:hanging="420" w:firstLineChars="0"/>
        <w:rPr>
          <w:rFonts w:ascii="宋体" w:hAnsi="宋体"/>
          <w:b/>
          <w:szCs w:val="21"/>
        </w:rPr>
      </w:pPr>
      <w:r>
        <w:rPr>
          <w:rFonts w:hint="eastAsia" w:ascii="宋体" w:hAnsi="宋体"/>
          <w:b/>
          <w:szCs w:val="21"/>
        </w:rPr>
        <w:t>不可抗力</w:t>
      </w:r>
    </w:p>
    <w:p w14:paraId="634EC7ED">
      <w:pPr>
        <w:pStyle w:val="148"/>
        <w:numPr>
          <w:ilvl w:val="0"/>
          <w:numId w:val="14"/>
        </w:numPr>
        <w:spacing w:line="360" w:lineRule="auto"/>
        <w:ind w:firstLineChars="0"/>
        <w:rPr>
          <w:rFonts w:ascii="宋体" w:hAnsi="宋体"/>
          <w:vanish/>
          <w:szCs w:val="21"/>
        </w:rPr>
      </w:pPr>
    </w:p>
    <w:p w14:paraId="58920CDF">
      <w:pPr>
        <w:pStyle w:val="16"/>
        <w:numPr>
          <w:ilvl w:val="1"/>
          <w:numId w:val="14"/>
        </w:numPr>
        <w:spacing w:line="360" w:lineRule="auto"/>
        <w:rPr>
          <w:rFonts w:hAnsi="宋体"/>
          <w:sz w:val="21"/>
        </w:rPr>
      </w:pPr>
      <w:r>
        <w:rPr>
          <w:rFonts w:hint="eastAsia" w:hAnsi="宋体"/>
          <w:sz w:val="21"/>
        </w:rPr>
        <w:t>“不可抗力事件”指</w:t>
      </w:r>
      <w:r>
        <w:rPr>
          <w:rFonts w:hAnsi="宋体"/>
          <w:sz w:val="21"/>
        </w:rPr>
        <w:t>不能预见、不能避免</w:t>
      </w:r>
      <w:r>
        <w:rPr>
          <w:rFonts w:hint="eastAsia" w:hAnsi="宋体"/>
          <w:sz w:val="21"/>
        </w:rPr>
        <w:t>且</w:t>
      </w:r>
      <w:r>
        <w:rPr>
          <w:rFonts w:hAnsi="宋体"/>
          <w:sz w:val="21"/>
        </w:rPr>
        <w:t>不能克服的客观情况</w:t>
      </w:r>
      <w:r>
        <w:rPr>
          <w:rFonts w:hint="eastAsia" w:hAnsi="宋体"/>
          <w:sz w:val="21"/>
        </w:rPr>
        <w:t>。包括但不限于：</w:t>
      </w:r>
      <w:bookmarkStart w:id="26" w:name="_Hlk5978400"/>
      <w:r>
        <w:rPr>
          <w:rFonts w:hint="eastAsia" w:hAnsi="宋体"/>
          <w:sz w:val="21"/>
        </w:rPr>
        <w:t>政府或政府机构的禁令或行为（包括甲方上级主管部门下达的政策性文件）、暴乱、战争、水灾、地震、海啸或其他自然现象</w:t>
      </w:r>
      <w:bookmarkEnd w:id="26"/>
      <w:r>
        <w:rPr>
          <w:rFonts w:hint="eastAsia" w:hAnsi="宋体"/>
          <w:sz w:val="21"/>
        </w:rPr>
        <w:t>。若一方因不可抗力事件而不能履行本合同所约定的义务，该方应在不可抗力事件发生后及时书面通知另一方，并在不可抗力时间结束后1</w:t>
      </w:r>
      <w:r>
        <w:rPr>
          <w:rFonts w:hAnsi="宋体"/>
          <w:sz w:val="21"/>
        </w:rPr>
        <w:t>4</w:t>
      </w:r>
      <w:r>
        <w:rPr>
          <w:rFonts w:hint="eastAsia" w:hAnsi="宋体"/>
          <w:sz w:val="21"/>
        </w:rPr>
        <w:t>日内向对方提供相关证明材料，双方应尽其最大可能地减少损失。若发生不可抗力事件，一方无需对因不能履行或迟延履行义务而导致另一方遭受的任何损害承担责任。</w:t>
      </w:r>
    </w:p>
    <w:p w14:paraId="250333CD">
      <w:pPr>
        <w:pStyle w:val="16"/>
        <w:numPr>
          <w:ilvl w:val="1"/>
          <w:numId w:val="14"/>
        </w:numPr>
        <w:spacing w:line="360" w:lineRule="auto"/>
        <w:rPr>
          <w:rFonts w:hAnsi="宋体"/>
          <w:sz w:val="21"/>
        </w:rPr>
      </w:pPr>
      <w:r>
        <w:rPr>
          <w:rFonts w:hint="eastAsia" w:hAnsi="宋体"/>
          <w:sz w:val="21"/>
        </w:rPr>
        <w:t>一方迟延履行义务后发生不可抗力的，不能免除该方的法律责任。</w:t>
      </w:r>
    </w:p>
    <w:p w14:paraId="087377B0">
      <w:pPr>
        <w:pStyle w:val="148"/>
        <w:numPr>
          <w:ilvl w:val="0"/>
          <w:numId w:val="16"/>
        </w:numPr>
        <w:tabs>
          <w:tab w:val="clear" w:pos="1102"/>
        </w:tabs>
        <w:spacing w:beforeLines="50" w:line="480" w:lineRule="auto"/>
        <w:ind w:left="981" w:hanging="420" w:firstLineChars="0"/>
        <w:rPr>
          <w:rFonts w:ascii="宋体" w:hAnsi="宋体"/>
          <w:b/>
          <w:szCs w:val="21"/>
        </w:rPr>
      </w:pPr>
      <w:bookmarkStart w:id="27" w:name="_Toc518311999"/>
      <w:r>
        <w:rPr>
          <w:rFonts w:hint="eastAsia" w:ascii="宋体" w:hAnsi="宋体"/>
          <w:b/>
          <w:szCs w:val="21"/>
        </w:rPr>
        <w:t>违约责任与合同解除</w:t>
      </w:r>
      <w:bookmarkEnd w:id="27"/>
    </w:p>
    <w:p w14:paraId="14A8C84A">
      <w:pPr>
        <w:pStyle w:val="148"/>
        <w:numPr>
          <w:ilvl w:val="0"/>
          <w:numId w:val="14"/>
        </w:numPr>
        <w:spacing w:line="360" w:lineRule="auto"/>
        <w:ind w:firstLineChars="0"/>
        <w:rPr>
          <w:rFonts w:ascii="宋体" w:hAnsi="宋体"/>
          <w:vanish/>
          <w:szCs w:val="21"/>
        </w:rPr>
      </w:pPr>
    </w:p>
    <w:p w14:paraId="617E1477">
      <w:pPr>
        <w:pStyle w:val="16"/>
        <w:numPr>
          <w:ilvl w:val="1"/>
          <w:numId w:val="14"/>
        </w:numPr>
        <w:spacing w:line="360" w:lineRule="auto"/>
        <w:rPr>
          <w:rFonts w:hAnsi="宋体"/>
          <w:sz w:val="21"/>
        </w:rPr>
      </w:pPr>
      <w:r>
        <w:rPr>
          <w:rFonts w:hAnsi="宋体"/>
          <w:sz w:val="21"/>
        </w:rPr>
        <w:t>乙方违反本合同规定逾期交货或逾期提供服务的，每逾期</w:t>
      </w:r>
      <w:r>
        <w:rPr>
          <w:rFonts w:hint="eastAsia" w:hAnsi="宋体"/>
          <w:sz w:val="21"/>
        </w:rPr>
        <w:t>1</w:t>
      </w:r>
      <w:r>
        <w:rPr>
          <w:rFonts w:hAnsi="宋体"/>
          <w:sz w:val="21"/>
        </w:rPr>
        <w:t>日，须按</w:t>
      </w:r>
      <w:r>
        <w:rPr>
          <w:rFonts w:hint="eastAsia" w:hAnsi="宋体"/>
          <w:sz w:val="21"/>
        </w:rPr>
        <w:t>合同总金额</w:t>
      </w:r>
      <w:r>
        <w:rPr>
          <w:rFonts w:hAnsi="宋体"/>
          <w:sz w:val="21"/>
        </w:rPr>
        <w:t>的【0.5%】支付违约金给</w:t>
      </w:r>
      <w:r>
        <w:rPr>
          <w:rFonts w:hint="eastAsia" w:hAnsi="宋体"/>
          <w:sz w:val="21"/>
        </w:rPr>
        <w:t>甲方。</w:t>
      </w:r>
    </w:p>
    <w:p w14:paraId="43C8144E">
      <w:pPr>
        <w:pStyle w:val="16"/>
        <w:numPr>
          <w:ilvl w:val="1"/>
          <w:numId w:val="14"/>
        </w:numPr>
        <w:spacing w:line="360" w:lineRule="auto"/>
        <w:rPr>
          <w:rFonts w:hAnsi="宋体"/>
          <w:sz w:val="21"/>
        </w:rPr>
      </w:pPr>
      <w:r>
        <w:rPr>
          <w:rFonts w:hint="eastAsia" w:hAnsi="宋体"/>
          <w:sz w:val="21"/>
        </w:rPr>
        <w:t>逾期交货超过【</w:t>
      </w:r>
      <w:r>
        <w:rPr>
          <w:rFonts w:hAnsi="宋体"/>
          <w:sz w:val="21"/>
        </w:rPr>
        <w:t>10</w:t>
      </w:r>
      <w:r>
        <w:rPr>
          <w:rFonts w:hint="eastAsia" w:hAnsi="宋体"/>
          <w:sz w:val="21"/>
        </w:rPr>
        <w:t>】日的，视为乙方不能交货，甲方有权单方解除合同，乙方须向甲方支付合同总金额【</w:t>
      </w:r>
      <w:r>
        <w:rPr>
          <w:rFonts w:hAnsi="宋体"/>
          <w:sz w:val="21"/>
        </w:rPr>
        <w:t>20%】违约金</w:t>
      </w:r>
      <w:r>
        <w:rPr>
          <w:rFonts w:hint="eastAsia" w:hAnsi="宋体"/>
          <w:sz w:val="21"/>
        </w:rPr>
        <w:t>，并另行赔偿因此造成甲方的其它损失。</w:t>
      </w:r>
    </w:p>
    <w:p w14:paraId="7E877CDD">
      <w:pPr>
        <w:pStyle w:val="16"/>
        <w:numPr>
          <w:ilvl w:val="1"/>
          <w:numId w:val="14"/>
        </w:numPr>
        <w:spacing w:line="360" w:lineRule="auto"/>
        <w:rPr>
          <w:rFonts w:hAnsi="宋体"/>
          <w:sz w:val="21"/>
        </w:rPr>
      </w:pPr>
      <w:r>
        <w:rPr>
          <w:rFonts w:hint="eastAsia" w:hAnsi="宋体"/>
          <w:sz w:val="21"/>
        </w:rPr>
        <w:t>如乙方所供货物存在质量问题，或存在其他严重违约行为的，甲方有权单方解除合同或要求乙方整改、退换，乙方须向甲方支付合同总金额【</w:t>
      </w:r>
      <w:r>
        <w:rPr>
          <w:rFonts w:hAnsi="宋体"/>
          <w:sz w:val="21"/>
        </w:rPr>
        <w:t>20%】</w:t>
      </w:r>
      <w:r>
        <w:rPr>
          <w:rFonts w:hint="eastAsia" w:hAnsi="宋体"/>
          <w:sz w:val="21"/>
        </w:rPr>
        <w:t>违约金，由此给甲方或其他第三方造成的损失由乙方另行赔偿。</w:t>
      </w:r>
    </w:p>
    <w:p w14:paraId="1A7E6FD5">
      <w:pPr>
        <w:pStyle w:val="16"/>
        <w:numPr>
          <w:ilvl w:val="1"/>
          <w:numId w:val="14"/>
        </w:numPr>
        <w:spacing w:line="360" w:lineRule="auto"/>
        <w:rPr>
          <w:rFonts w:hAnsi="宋体"/>
          <w:sz w:val="21"/>
        </w:rPr>
      </w:pPr>
      <w:bookmarkStart w:id="28" w:name="_Hlk519870361"/>
      <w:r>
        <w:rPr>
          <w:rFonts w:hAnsi="宋体"/>
          <w:sz w:val="21"/>
        </w:rPr>
        <w:t>上述条款约定的违约金</w:t>
      </w:r>
      <w:r>
        <w:rPr>
          <w:rFonts w:hint="eastAsia" w:hAnsi="宋体"/>
          <w:sz w:val="21"/>
        </w:rPr>
        <w:t>、赔偿金甲方</w:t>
      </w:r>
      <w:bookmarkStart w:id="29" w:name="_Hlk520059152"/>
      <w:r>
        <w:rPr>
          <w:rFonts w:hint="eastAsia" w:hAnsi="宋体"/>
          <w:sz w:val="21"/>
        </w:rPr>
        <w:t>有权从任一批次合同款、质保金中扣除。</w:t>
      </w:r>
      <w:bookmarkEnd w:id="29"/>
      <w:r>
        <w:rPr>
          <w:rFonts w:hint="eastAsia" w:hAnsi="宋体"/>
          <w:sz w:val="21"/>
        </w:rPr>
        <w:t>甲方因向乙方主张权利或因本合同相关事宜被第三方追究责任而支付的合理费用包括但不限于律师费、财产保全担保费、公证费、鉴定费、差旅费及其他为实现权利而发生的费用由乙方承担。</w:t>
      </w:r>
    </w:p>
    <w:bookmarkEnd w:id="28"/>
    <w:p w14:paraId="6ADD088B">
      <w:pPr>
        <w:pStyle w:val="16"/>
        <w:numPr>
          <w:ilvl w:val="1"/>
          <w:numId w:val="14"/>
        </w:numPr>
        <w:spacing w:line="360" w:lineRule="auto"/>
        <w:rPr>
          <w:rFonts w:hAnsi="宋体"/>
          <w:sz w:val="21"/>
        </w:rPr>
      </w:pPr>
      <w:bookmarkStart w:id="30" w:name="_Hlk519870520"/>
      <w:r>
        <w:rPr>
          <w:rFonts w:hint="eastAsia" w:hAnsi="宋体"/>
          <w:sz w:val="21"/>
        </w:rPr>
        <w:t>在乙方履行合同规定的各项义务的前提下，甲方无正当理由逾期支付价款的，每逾期1日，则甲方应按应付未付金额的</w:t>
      </w:r>
      <w:r>
        <w:rPr>
          <w:rFonts w:hAnsi="宋体"/>
          <w:sz w:val="21"/>
        </w:rPr>
        <w:t>0.1</w:t>
      </w:r>
      <w:r>
        <w:rPr>
          <w:rFonts w:hint="eastAsia" w:hAnsi="宋体"/>
          <w:sz w:val="21"/>
        </w:rPr>
        <w:t>%向乙方支付违约金。</w:t>
      </w:r>
      <w:bookmarkEnd w:id="30"/>
    </w:p>
    <w:p w14:paraId="6DD2B3F7">
      <w:pPr>
        <w:pStyle w:val="148"/>
        <w:numPr>
          <w:ilvl w:val="0"/>
          <w:numId w:val="16"/>
        </w:numPr>
        <w:tabs>
          <w:tab w:val="clear" w:pos="1102"/>
        </w:tabs>
        <w:spacing w:beforeLines="50" w:line="480" w:lineRule="auto"/>
        <w:ind w:left="981" w:hanging="420" w:firstLineChars="0"/>
        <w:rPr>
          <w:rFonts w:ascii="宋体" w:hAnsi="宋体"/>
          <w:b/>
          <w:szCs w:val="21"/>
        </w:rPr>
      </w:pPr>
      <w:bookmarkStart w:id="31" w:name="_Toc518312001"/>
      <w:r>
        <w:rPr>
          <w:rFonts w:hint="eastAsia" w:ascii="宋体" w:hAnsi="宋体"/>
          <w:b/>
          <w:szCs w:val="21"/>
        </w:rPr>
        <w:t>争议解决</w:t>
      </w:r>
      <w:bookmarkEnd w:id="31"/>
    </w:p>
    <w:p w14:paraId="5B1A8799">
      <w:pPr>
        <w:widowControl/>
        <w:spacing w:line="360" w:lineRule="auto"/>
        <w:ind w:firstLine="420" w:firstLineChars="200"/>
        <w:textAlignment w:val="bottom"/>
        <w:rPr>
          <w:rFonts w:ascii="宋体" w:hAnsi="宋体"/>
          <w:szCs w:val="21"/>
        </w:rPr>
      </w:pPr>
      <w:bookmarkStart w:id="32" w:name="_Hlk520710740"/>
      <w:bookmarkStart w:id="33" w:name="_Hlk520710721"/>
      <w:r>
        <w:rPr>
          <w:rFonts w:hint="eastAsia" w:ascii="宋体" w:hAnsi="宋体"/>
          <w:szCs w:val="21"/>
        </w:rPr>
        <w:t>本合同履行过程中如发生争议，双方应友好协商解决。协商不成的，任何一方有权向甲方住所地有管辖权的人民法院提起诉讼</w:t>
      </w:r>
      <w:bookmarkStart w:id="34" w:name="_Hlk520059954"/>
      <w:bookmarkStart w:id="35" w:name="_Hlk520059941"/>
      <w:r>
        <w:rPr>
          <w:rFonts w:hint="eastAsia" w:ascii="宋体" w:hAnsi="宋体"/>
          <w:szCs w:val="21"/>
        </w:rPr>
        <w:t>。</w:t>
      </w:r>
      <w:bookmarkEnd w:id="32"/>
      <w:bookmarkEnd w:id="34"/>
    </w:p>
    <w:bookmarkEnd w:id="33"/>
    <w:bookmarkEnd w:id="35"/>
    <w:p w14:paraId="2D6E0DF5">
      <w:pPr>
        <w:pStyle w:val="148"/>
        <w:numPr>
          <w:ilvl w:val="0"/>
          <w:numId w:val="16"/>
        </w:numPr>
        <w:tabs>
          <w:tab w:val="clear" w:pos="1102"/>
        </w:tabs>
        <w:spacing w:beforeLines="50" w:line="480" w:lineRule="auto"/>
        <w:ind w:left="981" w:hanging="420" w:firstLineChars="0"/>
        <w:rPr>
          <w:rFonts w:ascii="宋体" w:hAnsi="宋体"/>
          <w:b/>
          <w:szCs w:val="21"/>
        </w:rPr>
      </w:pPr>
      <w:bookmarkStart w:id="36" w:name="_Toc518312003"/>
      <w:r>
        <w:rPr>
          <w:rFonts w:hint="eastAsia" w:ascii="宋体" w:hAnsi="宋体"/>
          <w:b/>
          <w:szCs w:val="21"/>
        </w:rPr>
        <w:t>其他</w:t>
      </w:r>
      <w:bookmarkEnd w:id="36"/>
    </w:p>
    <w:p w14:paraId="61230B2D">
      <w:pPr>
        <w:pStyle w:val="148"/>
        <w:numPr>
          <w:ilvl w:val="0"/>
          <w:numId w:val="14"/>
        </w:numPr>
        <w:spacing w:line="360" w:lineRule="auto"/>
        <w:ind w:firstLineChars="0"/>
        <w:rPr>
          <w:rFonts w:ascii="宋体" w:hAnsi="宋体"/>
          <w:vanish/>
          <w:szCs w:val="21"/>
        </w:rPr>
      </w:pPr>
    </w:p>
    <w:p w14:paraId="1F666640">
      <w:pPr>
        <w:pStyle w:val="148"/>
        <w:numPr>
          <w:ilvl w:val="0"/>
          <w:numId w:val="14"/>
        </w:numPr>
        <w:spacing w:line="360" w:lineRule="auto"/>
        <w:ind w:firstLineChars="0"/>
        <w:rPr>
          <w:rFonts w:ascii="宋体" w:hAnsi="宋体"/>
          <w:vanish/>
          <w:szCs w:val="21"/>
        </w:rPr>
      </w:pPr>
    </w:p>
    <w:p w14:paraId="581912C7">
      <w:pPr>
        <w:pStyle w:val="16"/>
        <w:numPr>
          <w:ilvl w:val="1"/>
          <w:numId w:val="18"/>
        </w:numPr>
        <w:spacing w:line="360" w:lineRule="auto"/>
        <w:rPr>
          <w:rFonts w:hAnsi="宋体"/>
          <w:sz w:val="21"/>
        </w:rPr>
      </w:pPr>
      <w:r>
        <w:rPr>
          <w:rFonts w:hint="eastAsia" w:hAnsi="宋体"/>
          <w:sz w:val="21"/>
        </w:rPr>
        <w:t>合同修改和补充。合同未尽事宜，应由双方友好协商解决。如需对合同及其附件作任何修改或补充，须由双方以书面做出方为有效。修改或补充文件与本合同有不一致的，以修改或补充文件为准。</w:t>
      </w:r>
    </w:p>
    <w:p w14:paraId="417F8C52">
      <w:pPr>
        <w:pStyle w:val="16"/>
        <w:numPr>
          <w:ilvl w:val="1"/>
          <w:numId w:val="18"/>
        </w:numPr>
        <w:spacing w:line="360" w:lineRule="auto"/>
        <w:rPr>
          <w:rFonts w:hAnsi="宋体"/>
          <w:sz w:val="21"/>
        </w:rPr>
      </w:pPr>
      <w:r>
        <w:rPr>
          <w:rFonts w:hAnsi="宋体"/>
          <w:sz w:val="21"/>
        </w:rPr>
        <w:t>本</w:t>
      </w:r>
      <w:r>
        <w:rPr>
          <w:rFonts w:hint="eastAsia" w:hAnsi="宋体"/>
          <w:sz w:val="21"/>
        </w:rPr>
        <w:t>合同</w:t>
      </w:r>
      <w:r>
        <w:rPr>
          <w:rFonts w:hAnsi="宋体"/>
          <w:sz w:val="21"/>
        </w:rPr>
        <w:t>自</w:t>
      </w:r>
      <w:r>
        <w:rPr>
          <w:rFonts w:hint="eastAsia" w:hAnsi="宋体"/>
          <w:sz w:val="21"/>
        </w:rPr>
        <w:t>双方签署（单位加盖公章、法定代表人或授权代表签名）</w:t>
      </w:r>
      <w:r>
        <w:rPr>
          <w:rFonts w:hAnsi="宋体"/>
          <w:sz w:val="21"/>
        </w:rPr>
        <w:t>之日起生效。</w:t>
      </w:r>
      <w:r>
        <w:rPr>
          <w:rFonts w:hint="eastAsia" w:hAnsi="宋体"/>
          <w:sz w:val="21"/>
        </w:rPr>
        <w:t>本合同壹</w:t>
      </w:r>
      <w:r>
        <w:rPr>
          <w:rFonts w:hAnsi="宋体"/>
          <w:sz w:val="21"/>
        </w:rPr>
        <w:t>式</w:t>
      </w:r>
      <w:r>
        <w:rPr>
          <w:rFonts w:hint="eastAsia" w:hAnsi="宋体"/>
          <w:sz w:val="21"/>
        </w:rPr>
        <w:t>【肆】</w:t>
      </w:r>
      <w:r>
        <w:rPr>
          <w:rFonts w:hAnsi="宋体"/>
          <w:sz w:val="21"/>
        </w:rPr>
        <w:t>份，甲</w:t>
      </w:r>
      <w:r>
        <w:rPr>
          <w:rFonts w:hint="eastAsia" w:hAnsi="宋体"/>
          <w:sz w:val="21"/>
        </w:rPr>
        <w:t>、</w:t>
      </w:r>
      <w:r>
        <w:rPr>
          <w:rFonts w:hAnsi="宋体"/>
          <w:sz w:val="21"/>
        </w:rPr>
        <w:t>乙</w:t>
      </w:r>
      <w:r>
        <w:rPr>
          <w:rFonts w:hint="eastAsia" w:hAnsi="宋体"/>
          <w:sz w:val="21"/>
        </w:rPr>
        <w:t>双方</w:t>
      </w:r>
      <w:r>
        <w:rPr>
          <w:rFonts w:hAnsi="宋体"/>
          <w:sz w:val="21"/>
        </w:rPr>
        <w:t>各执</w:t>
      </w:r>
      <w:r>
        <w:rPr>
          <w:rFonts w:hint="eastAsia" w:hAnsi="宋体"/>
          <w:sz w:val="21"/>
        </w:rPr>
        <w:t>【两】</w:t>
      </w:r>
      <w:r>
        <w:rPr>
          <w:rFonts w:hAnsi="宋体"/>
          <w:sz w:val="21"/>
        </w:rPr>
        <w:t>份，具有同等法律效力。</w:t>
      </w:r>
    </w:p>
    <w:p w14:paraId="26436FDA">
      <w:pPr>
        <w:widowControl/>
        <w:spacing w:line="360" w:lineRule="auto"/>
        <w:ind w:firstLine="371" w:firstLineChars="177"/>
        <w:textAlignment w:val="bottom"/>
        <w:rPr>
          <w:rFonts w:ascii="宋体" w:hAnsi="宋体"/>
          <w:szCs w:val="21"/>
        </w:rPr>
      </w:pPr>
      <w:r>
        <w:rPr>
          <w:rFonts w:hint="eastAsia" w:ascii="宋体" w:hAnsi="宋体"/>
          <w:szCs w:val="21"/>
        </w:rPr>
        <w:t>（以下无正文）</w:t>
      </w:r>
    </w:p>
    <w:p w14:paraId="33D5C8A8">
      <w:pPr>
        <w:pageBreakBefore/>
        <w:spacing w:line="360" w:lineRule="auto"/>
        <w:rPr>
          <w:rFonts w:ascii="宋体" w:hAnsi="宋体"/>
          <w:szCs w:val="21"/>
        </w:rPr>
      </w:pPr>
      <w:bookmarkStart w:id="37" w:name="_Hlk12866345"/>
      <w:bookmarkStart w:id="38" w:name="_Hlk12873992"/>
      <w:r>
        <w:rPr>
          <w:rFonts w:hint="eastAsia" w:ascii="宋体" w:hAnsi="宋体"/>
          <w:szCs w:val="21"/>
        </w:rPr>
        <w:t>（此页无正文，为《</w:t>
      </w:r>
      <w:r>
        <w:rPr>
          <w:rFonts w:hint="eastAsia" w:ascii="宋体" w:hAnsi="宋体"/>
          <w:szCs w:val="21"/>
          <w:lang w:eastAsia="zh-CN"/>
        </w:rPr>
        <w:t>2024年佛山市顺德区内阻仪及红外热成像仪购置项目</w:t>
      </w:r>
      <w:r>
        <w:rPr>
          <w:rFonts w:hint="eastAsia" w:ascii="宋体" w:hAnsi="宋体"/>
          <w:szCs w:val="21"/>
        </w:rPr>
        <w:t>货物采购合同》签署页【合同编号：</w:t>
      </w:r>
      <w:r>
        <w:rPr>
          <w:rFonts w:ascii="宋体" w:hAnsi="宋体"/>
          <w:szCs w:val="21"/>
        </w:rPr>
        <w:fldChar w:fldCharType="begin">
          <w:ffData>
            <w:name w:val="文字13"/>
            <w:enabled/>
            <w:calcOnExit w:val="0"/>
            <w:textInput/>
          </w:ffData>
        </w:fldChar>
      </w:r>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szCs w:val="21"/>
        </w:rPr>
        <w:t>】）</w:t>
      </w:r>
    </w:p>
    <w:bookmarkEnd w:id="37"/>
    <w:p w14:paraId="64C57103">
      <w:pPr>
        <w:spacing w:line="360" w:lineRule="auto"/>
        <w:rPr>
          <w:rFonts w:ascii="宋体" w:hAnsi="宋体"/>
          <w:szCs w:val="21"/>
        </w:rPr>
      </w:pPr>
      <w:bookmarkStart w:id="39" w:name="_Hlk12866387"/>
    </w:p>
    <w:p w14:paraId="13BB1E3A">
      <w:pPr>
        <w:spacing w:line="360" w:lineRule="auto"/>
        <w:rPr>
          <w:rFonts w:ascii="宋体" w:hAnsi="宋体"/>
          <w:szCs w:val="21"/>
        </w:rPr>
      </w:pPr>
    </w:p>
    <w:p w14:paraId="1757E87F">
      <w:pPr>
        <w:spacing w:line="360" w:lineRule="auto"/>
        <w:rPr>
          <w:rFonts w:ascii="宋体" w:hAnsi="宋体"/>
          <w:szCs w:val="21"/>
        </w:rPr>
      </w:pPr>
      <w:r>
        <w:rPr>
          <w:rFonts w:hint="eastAsia" w:ascii="宋体" w:hAnsi="宋体"/>
          <w:szCs w:val="21"/>
        </w:rPr>
        <w:t>甲方（盖章）：广东省广播电视网络股份有限公司佛山顺德分公司</w:t>
      </w:r>
    </w:p>
    <w:p w14:paraId="10D848EF">
      <w:pPr>
        <w:spacing w:line="360" w:lineRule="auto"/>
        <w:rPr>
          <w:rFonts w:ascii="宋体" w:hAnsi="宋体"/>
          <w:szCs w:val="21"/>
        </w:rPr>
      </w:pPr>
    </w:p>
    <w:p w14:paraId="055D4ACB">
      <w:pPr>
        <w:spacing w:line="360" w:lineRule="auto"/>
        <w:rPr>
          <w:rFonts w:ascii="宋体" w:hAnsi="宋体"/>
          <w:szCs w:val="21"/>
        </w:rPr>
      </w:pPr>
      <w:r>
        <w:rPr>
          <w:rFonts w:hint="eastAsia" w:ascii="宋体" w:hAnsi="宋体"/>
          <w:szCs w:val="21"/>
        </w:rPr>
        <w:t>法定代表人或授权代表（签名）：</w:t>
      </w:r>
    </w:p>
    <w:p w14:paraId="6C3C13E4">
      <w:pPr>
        <w:spacing w:line="360" w:lineRule="auto"/>
        <w:rPr>
          <w:rFonts w:ascii="宋体" w:hAnsi="宋体"/>
          <w:szCs w:val="21"/>
        </w:rPr>
      </w:pPr>
    </w:p>
    <w:p w14:paraId="412C8029">
      <w:pPr>
        <w:spacing w:line="360" w:lineRule="auto"/>
        <w:rPr>
          <w:rFonts w:ascii="宋体" w:hAnsi="宋体"/>
          <w:szCs w:val="21"/>
        </w:rPr>
      </w:pPr>
      <w:r>
        <w:rPr>
          <w:rFonts w:hint="eastAsia" w:ascii="宋体" w:hAnsi="宋体"/>
          <w:szCs w:val="21"/>
        </w:rPr>
        <w:t>经办人（签名）：</w:t>
      </w:r>
    </w:p>
    <w:p w14:paraId="415C5CCD">
      <w:pPr>
        <w:spacing w:line="360" w:lineRule="auto"/>
        <w:rPr>
          <w:rFonts w:ascii="宋体" w:hAnsi="宋体"/>
          <w:szCs w:val="21"/>
        </w:rPr>
      </w:pPr>
    </w:p>
    <w:p w14:paraId="76172593">
      <w:pPr>
        <w:spacing w:line="360" w:lineRule="auto"/>
        <w:rPr>
          <w:rFonts w:ascii="宋体" w:hAnsi="宋体"/>
          <w:szCs w:val="21"/>
        </w:rPr>
      </w:pPr>
      <w:r>
        <w:rPr>
          <w:rFonts w:hint="eastAsia" w:ascii="宋体" w:hAnsi="宋体"/>
          <w:szCs w:val="21"/>
        </w:rPr>
        <w:t>签署日期：     年     月     日</w:t>
      </w:r>
    </w:p>
    <w:p w14:paraId="22AACFF9">
      <w:pPr>
        <w:spacing w:line="360" w:lineRule="auto"/>
        <w:rPr>
          <w:rFonts w:ascii="宋体" w:hAnsi="宋体"/>
          <w:szCs w:val="21"/>
        </w:rPr>
      </w:pPr>
    </w:p>
    <w:p w14:paraId="30C90C46">
      <w:pPr>
        <w:spacing w:line="360" w:lineRule="auto"/>
        <w:rPr>
          <w:rFonts w:ascii="宋体" w:hAnsi="宋体"/>
          <w:szCs w:val="21"/>
        </w:rPr>
      </w:pPr>
    </w:p>
    <w:p w14:paraId="3EB7A346">
      <w:pPr>
        <w:spacing w:line="360" w:lineRule="auto"/>
        <w:rPr>
          <w:rFonts w:ascii="宋体" w:hAnsi="宋体"/>
          <w:szCs w:val="21"/>
        </w:rPr>
      </w:pPr>
    </w:p>
    <w:p w14:paraId="3DD3BA4A">
      <w:pPr>
        <w:spacing w:line="360" w:lineRule="auto"/>
        <w:rPr>
          <w:rFonts w:ascii="宋体" w:hAnsi="宋体"/>
          <w:szCs w:val="21"/>
        </w:rPr>
      </w:pPr>
      <w:r>
        <w:rPr>
          <w:rFonts w:hint="eastAsia" w:ascii="宋体" w:hAnsi="宋体"/>
          <w:szCs w:val="21"/>
        </w:rPr>
        <w:t xml:space="preserve">乙方（盖章）：  </w:t>
      </w:r>
      <w:r>
        <w:rPr>
          <w:rFonts w:ascii="宋体" w:hAnsi="宋体"/>
          <w:szCs w:val="21"/>
        </w:rPr>
        <w:fldChar w:fldCharType="begin">
          <w:ffData>
            <w:name w:val="文字13"/>
            <w:enabled/>
            <w:calcOnExit w:val="0"/>
            <w:textInput/>
          </w:ffData>
        </w:fldChar>
      </w:r>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p>
    <w:p w14:paraId="215CDCA4">
      <w:pPr>
        <w:spacing w:line="360" w:lineRule="auto"/>
        <w:rPr>
          <w:rFonts w:ascii="宋体" w:hAnsi="宋体"/>
          <w:szCs w:val="21"/>
        </w:rPr>
      </w:pPr>
    </w:p>
    <w:p w14:paraId="29D9EBA5">
      <w:pPr>
        <w:spacing w:line="360" w:lineRule="auto"/>
        <w:rPr>
          <w:rFonts w:ascii="宋体" w:hAnsi="宋体"/>
          <w:szCs w:val="21"/>
        </w:rPr>
      </w:pPr>
      <w:r>
        <w:rPr>
          <w:rFonts w:hint="eastAsia" w:ascii="宋体" w:hAnsi="宋体"/>
          <w:szCs w:val="21"/>
        </w:rPr>
        <w:t>法定代表人或授权代表（签名）：</w:t>
      </w:r>
    </w:p>
    <w:p w14:paraId="1764A650">
      <w:pPr>
        <w:spacing w:line="360" w:lineRule="auto"/>
        <w:rPr>
          <w:rFonts w:ascii="宋体" w:hAnsi="宋体"/>
          <w:szCs w:val="21"/>
        </w:rPr>
      </w:pPr>
    </w:p>
    <w:p w14:paraId="54C2BA20">
      <w:pPr>
        <w:spacing w:line="360" w:lineRule="auto"/>
        <w:rPr>
          <w:rFonts w:ascii="宋体" w:hAnsi="宋体"/>
          <w:szCs w:val="21"/>
        </w:rPr>
      </w:pPr>
      <w:r>
        <w:rPr>
          <w:rFonts w:hint="eastAsia" w:ascii="宋体" w:hAnsi="宋体"/>
          <w:szCs w:val="21"/>
        </w:rPr>
        <w:t>经办人（签名）：</w:t>
      </w:r>
    </w:p>
    <w:p w14:paraId="2672AACA">
      <w:pPr>
        <w:spacing w:line="360" w:lineRule="auto"/>
        <w:rPr>
          <w:rFonts w:ascii="宋体" w:hAnsi="宋体"/>
          <w:szCs w:val="21"/>
        </w:rPr>
      </w:pPr>
    </w:p>
    <w:p w14:paraId="09C0B142">
      <w:pPr>
        <w:spacing w:line="360" w:lineRule="auto"/>
        <w:rPr>
          <w:rFonts w:ascii="宋体" w:hAnsi="宋体"/>
          <w:szCs w:val="21"/>
        </w:rPr>
      </w:pPr>
      <w:r>
        <w:rPr>
          <w:rFonts w:hint="eastAsia" w:ascii="宋体" w:hAnsi="宋体"/>
          <w:szCs w:val="21"/>
        </w:rPr>
        <w:t>签署日期：      年     月      日</w:t>
      </w:r>
    </w:p>
    <w:bookmarkEnd w:id="39"/>
    <w:p w14:paraId="43C73A9C">
      <w:pPr>
        <w:spacing w:line="360" w:lineRule="auto"/>
        <w:rPr>
          <w:rFonts w:ascii="宋体" w:hAnsi="宋体"/>
          <w:szCs w:val="21"/>
        </w:rPr>
      </w:pPr>
    </w:p>
    <w:p w14:paraId="4AA0A6FD">
      <w:pPr>
        <w:spacing w:line="360" w:lineRule="auto"/>
        <w:rPr>
          <w:rFonts w:ascii="宋体" w:hAnsi="宋体"/>
          <w:szCs w:val="21"/>
        </w:rPr>
      </w:pPr>
    </w:p>
    <w:p w14:paraId="60B6CBC8">
      <w:pPr>
        <w:spacing w:line="360" w:lineRule="auto"/>
        <w:rPr>
          <w:rFonts w:ascii="宋体" w:hAnsi="宋体"/>
          <w:szCs w:val="21"/>
        </w:rPr>
      </w:pPr>
      <w:r>
        <w:rPr>
          <w:rFonts w:hint="eastAsia" w:ascii="宋体" w:hAnsi="宋体"/>
          <w:szCs w:val="21"/>
        </w:rPr>
        <w:t>合同签订地：</w:t>
      </w:r>
      <w:bookmarkEnd w:id="38"/>
    </w:p>
    <w:p w14:paraId="134C414F">
      <w:pPr>
        <w:spacing w:line="360" w:lineRule="auto"/>
        <w:ind w:firstLine="420" w:firstLineChars="200"/>
        <w:rPr>
          <w:rFonts w:ascii="宋体" w:hAnsi="宋体" w:cs="宋体"/>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A07C9">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p w14:paraId="3C068B01">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EF3BF"/>
    <w:multiLevelType w:val="multilevel"/>
    <w:tmpl w:val="97AEF3B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BA02F80"/>
    <w:multiLevelType w:val="multilevel"/>
    <w:tmpl w:val="9BA02F80"/>
    <w:lvl w:ilvl="0" w:tentative="0">
      <w:start w:val="1"/>
      <w:numFmt w:val="chineseCountingThousand"/>
      <w:lvlText w:val="第%1条"/>
      <w:lvlJc w:val="left"/>
      <w:pPr>
        <w:tabs>
          <w:tab w:val="left" w:pos="1102"/>
        </w:tabs>
        <w:ind w:left="1102" w:hanging="960"/>
      </w:pPr>
      <w:rPr>
        <w:rFonts w:hint="eastAsia"/>
        <w:b/>
        <w:i w:val="0"/>
        <w:lang w:val="en-US"/>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ind w:left="502"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6E4AC65"/>
    <w:multiLevelType w:val="singleLevel"/>
    <w:tmpl w:val="B6E4AC65"/>
    <w:lvl w:ilvl="0" w:tentative="0">
      <w:start w:val="1"/>
      <w:numFmt w:val="decimal"/>
      <w:lvlText w:val="%1."/>
      <w:lvlJc w:val="left"/>
      <w:pPr>
        <w:tabs>
          <w:tab w:val="left" w:pos="312"/>
        </w:tabs>
      </w:pPr>
    </w:lvl>
  </w:abstractNum>
  <w:abstractNum w:abstractNumId="3">
    <w:nsid w:val="C77C168D"/>
    <w:multiLevelType w:val="singleLevel"/>
    <w:tmpl w:val="C77C168D"/>
    <w:lvl w:ilvl="0" w:tentative="0">
      <w:start w:val="1"/>
      <w:numFmt w:val="chineseCounting"/>
      <w:suff w:val="nothing"/>
      <w:lvlText w:val="%1、"/>
      <w:lvlJc w:val="left"/>
      <w:pPr>
        <w:ind w:left="-420" w:firstLine="420"/>
      </w:pPr>
      <w:rPr>
        <w:rFonts w:hint="eastAsia"/>
      </w:rPr>
    </w:lvl>
  </w:abstractNum>
  <w:abstractNum w:abstractNumId="4">
    <w:nsid w:val="D4F961EE"/>
    <w:multiLevelType w:val="singleLevel"/>
    <w:tmpl w:val="D4F961EE"/>
    <w:lvl w:ilvl="0" w:tentative="0">
      <w:start w:val="1"/>
      <w:numFmt w:val="decimal"/>
      <w:suff w:val="space"/>
      <w:lvlText w:val="%1."/>
      <w:lvlJc w:val="left"/>
      <w:pPr>
        <w:ind w:left="425" w:hanging="425"/>
      </w:pPr>
      <w:rPr>
        <w:rFonts w:hint="default"/>
      </w:r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45719D"/>
    <w:multiLevelType w:val="multilevel"/>
    <w:tmpl w:val="2245719D"/>
    <w:lvl w:ilvl="0" w:tentative="0">
      <w:start w:val="1"/>
      <w:numFmt w:val="chineseCountingThousand"/>
      <w:suff w:val="space"/>
      <w:lvlText w:val="%1、"/>
      <w:lvlJc w:val="left"/>
      <w:pPr>
        <w:ind w:left="420" w:hanging="420"/>
      </w:pPr>
      <w:rPr>
        <w:rFonts w:hint="eastAsia" w:cs="仿宋_GB2312"/>
        <w:b w:val="0"/>
        <w:color w:val="auto"/>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259C1D66"/>
    <w:multiLevelType w:val="multilevel"/>
    <w:tmpl w:val="259C1D66"/>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DBAA469"/>
    <w:multiLevelType w:val="multilevel"/>
    <w:tmpl w:val="2DBAA46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34433F59"/>
    <w:multiLevelType w:val="multilevel"/>
    <w:tmpl w:val="34433F59"/>
    <w:lvl w:ilvl="0" w:tentative="0">
      <w:start w:val="1"/>
      <w:numFmt w:val="decimal"/>
      <w:suff w:val="nothing"/>
      <w:lvlText w:val="%1."/>
      <w:lvlJc w:val="left"/>
      <w:pPr>
        <w:ind w:left="420" w:hanging="420"/>
      </w:pPr>
      <w:rPr>
        <w:rFonts w:hint="default"/>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56D9617"/>
    <w:multiLevelType w:val="multilevel"/>
    <w:tmpl w:val="556D9617"/>
    <w:lvl w:ilvl="0" w:tentative="0">
      <w:start w:val="1"/>
      <w:numFmt w:val="chineseCounting"/>
      <w:suff w:val="nothing"/>
      <w:lvlText w:val="（%1）"/>
      <w:lvlJc w:val="left"/>
      <w:pPr>
        <w:ind w:left="735" w:firstLine="400"/>
      </w:pPr>
      <w:rPr>
        <w:rFonts w:hint="eastAsia"/>
      </w:rPr>
    </w:lvl>
    <w:lvl w:ilvl="1" w:tentative="0">
      <w:start w:val="1"/>
      <w:numFmt w:val="decimal"/>
      <w:suff w:val="nothing"/>
      <w:lvlText w:val="%2．"/>
      <w:lvlJc w:val="left"/>
      <w:pPr>
        <w:ind w:left="26"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9"/>
  </w:num>
  <w:num w:numId="2">
    <w:abstractNumId w:val="13"/>
  </w:num>
  <w:num w:numId="3">
    <w:abstractNumId w:val="14"/>
  </w:num>
  <w:num w:numId="4">
    <w:abstractNumId w:val="8"/>
  </w:num>
  <w:num w:numId="5">
    <w:abstractNumId w:val="11"/>
  </w:num>
  <w:num w:numId="6">
    <w:abstractNumId w:val="17"/>
  </w:num>
  <w:num w:numId="7">
    <w:abstractNumId w:val="5"/>
  </w:num>
  <w:num w:numId="8">
    <w:abstractNumId w:val="6"/>
  </w:num>
  <w:num w:numId="9">
    <w:abstractNumId w:val="15"/>
  </w:num>
  <w:num w:numId="10">
    <w:abstractNumId w:val="7"/>
  </w:num>
  <w:num w:numId="11">
    <w:abstractNumId w:val="10"/>
  </w:num>
  <w:num w:numId="12">
    <w:abstractNumId w:val="3"/>
  </w:num>
  <w:num w:numId="13">
    <w:abstractNumId w:val="12"/>
  </w:num>
  <w:num w:numId="14">
    <w:abstractNumId w:val="16"/>
  </w:num>
  <w:num w:numId="15">
    <w:abstractNumId w:val="4"/>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82A85"/>
    <w:rsid w:val="000004AD"/>
    <w:rsid w:val="0000166B"/>
    <w:rsid w:val="00002AEF"/>
    <w:rsid w:val="00002FF5"/>
    <w:rsid w:val="0000601A"/>
    <w:rsid w:val="0000694E"/>
    <w:rsid w:val="000072B1"/>
    <w:rsid w:val="00007FAE"/>
    <w:rsid w:val="00012357"/>
    <w:rsid w:val="00013778"/>
    <w:rsid w:val="00013B79"/>
    <w:rsid w:val="00013CBD"/>
    <w:rsid w:val="00015F62"/>
    <w:rsid w:val="00017E85"/>
    <w:rsid w:val="00020817"/>
    <w:rsid w:val="00020C4E"/>
    <w:rsid w:val="00022BA8"/>
    <w:rsid w:val="00022CFC"/>
    <w:rsid w:val="00022E1E"/>
    <w:rsid w:val="000243AE"/>
    <w:rsid w:val="00025123"/>
    <w:rsid w:val="00025C07"/>
    <w:rsid w:val="00026161"/>
    <w:rsid w:val="0002789D"/>
    <w:rsid w:val="00027B41"/>
    <w:rsid w:val="00027D53"/>
    <w:rsid w:val="00030AA4"/>
    <w:rsid w:val="0003162D"/>
    <w:rsid w:val="000339E7"/>
    <w:rsid w:val="00033C58"/>
    <w:rsid w:val="00033DF8"/>
    <w:rsid w:val="000353FF"/>
    <w:rsid w:val="000356AB"/>
    <w:rsid w:val="00040958"/>
    <w:rsid w:val="0004362F"/>
    <w:rsid w:val="00043EDC"/>
    <w:rsid w:val="00044CCF"/>
    <w:rsid w:val="00046821"/>
    <w:rsid w:val="00047817"/>
    <w:rsid w:val="000525A8"/>
    <w:rsid w:val="00052ED9"/>
    <w:rsid w:val="00054850"/>
    <w:rsid w:val="00054D90"/>
    <w:rsid w:val="000578DB"/>
    <w:rsid w:val="00057A4C"/>
    <w:rsid w:val="0006011A"/>
    <w:rsid w:val="00060CC7"/>
    <w:rsid w:val="00060F78"/>
    <w:rsid w:val="00062631"/>
    <w:rsid w:val="00062CB7"/>
    <w:rsid w:val="00064769"/>
    <w:rsid w:val="00065921"/>
    <w:rsid w:val="00065BC8"/>
    <w:rsid w:val="00065C20"/>
    <w:rsid w:val="00065F20"/>
    <w:rsid w:val="00066C1E"/>
    <w:rsid w:val="00070575"/>
    <w:rsid w:val="000718D3"/>
    <w:rsid w:val="00073029"/>
    <w:rsid w:val="00074C93"/>
    <w:rsid w:val="00075128"/>
    <w:rsid w:val="00075181"/>
    <w:rsid w:val="000762D2"/>
    <w:rsid w:val="000775BA"/>
    <w:rsid w:val="0007767B"/>
    <w:rsid w:val="00082175"/>
    <w:rsid w:val="00082903"/>
    <w:rsid w:val="00083903"/>
    <w:rsid w:val="00084EA8"/>
    <w:rsid w:val="00086EF0"/>
    <w:rsid w:val="00087E87"/>
    <w:rsid w:val="00087F63"/>
    <w:rsid w:val="000902E3"/>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5C45"/>
    <w:rsid w:val="000D6196"/>
    <w:rsid w:val="000D6C2A"/>
    <w:rsid w:val="000E05BC"/>
    <w:rsid w:val="000E6013"/>
    <w:rsid w:val="000E6636"/>
    <w:rsid w:val="000E6CAC"/>
    <w:rsid w:val="000F0AF2"/>
    <w:rsid w:val="000F191C"/>
    <w:rsid w:val="000F3D41"/>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1014B"/>
    <w:rsid w:val="0011085A"/>
    <w:rsid w:val="001141AB"/>
    <w:rsid w:val="001156A8"/>
    <w:rsid w:val="00121369"/>
    <w:rsid w:val="00122334"/>
    <w:rsid w:val="001227D9"/>
    <w:rsid w:val="00122E20"/>
    <w:rsid w:val="0012332C"/>
    <w:rsid w:val="00124616"/>
    <w:rsid w:val="0012467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025B"/>
    <w:rsid w:val="0014121D"/>
    <w:rsid w:val="00141A88"/>
    <w:rsid w:val="00142609"/>
    <w:rsid w:val="00142BA2"/>
    <w:rsid w:val="00144CC0"/>
    <w:rsid w:val="00150DC2"/>
    <w:rsid w:val="00154DC5"/>
    <w:rsid w:val="00155252"/>
    <w:rsid w:val="00155A56"/>
    <w:rsid w:val="00157D2F"/>
    <w:rsid w:val="001601A5"/>
    <w:rsid w:val="001627EF"/>
    <w:rsid w:val="0016331B"/>
    <w:rsid w:val="00163E2D"/>
    <w:rsid w:val="00165C71"/>
    <w:rsid w:val="001661BD"/>
    <w:rsid w:val="00166511"/>
    <w:rsid w:val="001713DD"/>
    <w:rsid w:val="00171E6F"/>
    <w:rsid w:val="001720B6"/>
    <w:rsid w:val="00173E34"/>
    <w:rsid w:val="00174598"/>
    <w:rsid w:val="00174634"/>
    <w:rsid w:val="00175C47"/>
    <w:rsid w:val="00175D51"/>
    <w:rsid w:val="00176CE4"/>
    <w:rsid w:val="0018057B"/>
    <w:rsid w:val="00180FFA"/>
    <w:rsid w:val="00181679"/>
    <w:rsid w:val="00181DA6"/>
    <w:rsid w:val="00182016"/>
    <w:rsid w:val="00183884"/>
    <w:rsid w:val="001849C1"/>
    <w:rsid w:val="00185212"/>
    <w:rsid w:val="001857F8"/>
    <w:rsid w:val="00186E0C"/>
    <w:rsid w:val="001874FD"/>
    <w:rsid w:val="00192899"/>
    <w:rsid w:val="00193AA2"/>
    <w:rsid w:val="001948DD"/>
    <w:rsid w:val="001954D2"/>
    <w:rsid w:val="001968FF"/>
    <w:rsid w:val="00196BA3"/>
    <w:rsid w:val="00197395"/>
    <w:rsid w:val="00197A38"/>
    <w:rsid w:val="001A0039"/>
    <w:rsid w:val="001A077A"/>
    <w:rsid w:val="001A28D3"/>
    <w:rsid w:val="001A4BFC"/>
    <w:rsid w:val="001A4EAD"/>
    <w:rsid w:val="001A552D"/>
    <w:rsid w:val="001A7BA3"/>
    <w:rsid w:val="001B0868"/>
    <w:rsid w:val="001B114A"/>
    <w:rsid w:val="001B1D4E"/>
    <w:rsid w:val="001B24E3"/>
    <w:rsid w:val="001B3F7F"/>
    <w:rsid w:val="001B42FB"/>
    <w:rsid w:val="001B49EA"/>
    <w:rsid w:val="001B5734"/>
    <w:rsid w:val="001B6168"/>
    <w:rsid w:val="001B632A"/>
    <w:rsid w:val="001C137D"/>
    <w:rsid w:val="001C1A03"/>
    <w:rsid w:val="001C384F"/>
    <w:rsid w:val="001C628B"/>
    <w:rsid w:val="001C6404"/>
    <w:rsid w:val="001C68A3"/>
    <w:rsid w:val="001C6AEB"/>
    <w:rsid w:val="001C7C20"/>
    <w:rsid w:val="001D068F"/>
    <w:rsid w:val="001D1318"/>
    <w:rsid w:val="001D3363"/>
    <w:rsid w:val="001D387E"/>
    <w:rsid w:val="001D53A0"/>
    <w:rsid w:val="001D5CE8"/>
    <w:rsid w:val="001D641C"/>
    <w:rsid w:val="001E01E5"/>
    <w:rsid w:val="001E1784"/>
    <w:rsid w:val="001E1EB4"/>
    <w:rsid w:val="001E214D"/>
    <w:rsid w:val="001E338A"/>
    <w:rsid w:val="001E3487"/>
    <w:rsid w:val="001E5303"/>
    <w:rsid w:val="001E5BC0"/>
    <w:rsid w:val="001E658A"/>
    <w:rsid w:val="001E6A32"/>
    <w:rsid w:val="001E7EA8"/>
    <w:rsid w:val="001F035C"/>
    <w:rsid w:val="001F6B91"/>
    <w:rsid w:val="002010B9"/>
    <w:rsid w:val="00203015"/>
    <w:rsid w:val="00203A7B"/>
    <w:rsid w:val="00203AAC"/>
    <w:rsid w:val="002040B5"/>
    <w:rsid w:val="00204B05"/>
    <w:rsid w:val="00204CCE"/>
    <w:rsid w:val="00205EB3"/>
    <w:rsid w:val="0020699F"/>
    <w:rsid w:val="00207530"/>
    <w:rsid w:val="0021731B"/>
    <w:rsid w:val="0022004C"/>
    <w:rsid w:val="0022017F"/>
    <w:rsid w:val="002201F5"/>
    <w:rsid w:val="00221187"/>
    <w:rsid w:val="002218AA"/>
    <w:rsid w:val="00222803"/>
    <w:rsid w:val="002239EA"/>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0475"/>
    <w:rsid w:val="00251245"/>
    <w:rsid w:val="00251851"/>
    <w:rsid w:val="00253392"/>
    <w:rsid w:val="0025746D"/>
    <w:rsid w:val="00257CD4"/>
    <w:rsid w:val="00260A5B"/>
    <w:rsid w:val="00261419"/>
    <w:rsid w:val="00261DEB"/>
    <w:rsid w:val="002630C1"/>
    <w:rsid w:val="00266FDC"/>
    <w:rsid w:val="00270713"/>
    <w:rsid w:val="00270F81"/>
    <w:rsid w:val="00272D6D"/>
    <w:rsid w:val="00276AC7"/>
    <w:rsid w:val="002772C8"/>
    <w:rsid w:val="00281992"/>
    <w:rsid w:val="0028218B"/>
    <w:rsid w:val="00282263"/>
    <w:rsid w:val="00282627"/>
    <w:rsid w:val="00283200"/>
    <w:rsid w:val="00284C06"/>
    <w:rsid w:val="002856F0"/>
    <w:rsid w:val="002857A2"/>
    <w:rsid w:val="0028593E"/>
    <w:rsid w:val="00287A48"/>
    <w:rsid w:val="00291B25"/>
    <w:rsid w:val="002937E9"/>
    <w:rsid w:val="002955EF"/>
    <w:rsid w:val="00295D41"/>
    <w:rsid w:val="0029640E"/>
    <w:rsid w:val="002967C9"/>
    <w:rsid w:val="0029732E"/>
    <w:rsid w:val="00297745"/>
    <w:rsid w:val="00297C61"/>
    <w:rsid w:val="002A23E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310"/>
    <w:rsid w:val="002C2D03"/>
    <w:rsid w:val="002C4618"/>
    <w:rsid w:val="002D12CC"/>
    <w:rsid w:val="002D281F"/>
    <w:rsid w:val="002D3D93"/>
    <w:rsid w:val="002D4683"/>
    <w:rsid w:val="002D6CA7"/>
    <w:rsid w:val="002E01F5"/>
    <w:rsid w:val="002E2682"/>
    <w:rsid w:val="002E3921"/>
    <w:rsid w:val="002E46CD"/>
    <w:rsid w:val="002E56C2"/>
    <w:rsid w:val="002E5AE4"/>
    <w:rsid w:val="002E764A"/>
    <w:rsid w:val="002F0D67"/>
    <w:rsid w:val="002F1117"/>
    <w:rsid w:val="002F1533"/>
    <w:rsid w:val="002F27D3"/>
    <w:rsid w:val="002F28C6"/>
    <w:rsid w:val="002F37E6"/>
    <w:rsid w:val="002F3B36"/>
    <w:rsid w:val="002F5270"/>
    <w:rsid w:val="002F5A2E"/>
    <w:rsid w:val="002F5BE4"/>
    <w:rsid w:val="002F62B9"/>
    <w:rsid w:val="00302EE6"/>
    <w:rsid w:val="00303408"/>
    <w:rsid w:val="00304646"/>
    <w:rsid w:val="00305689"/>
    <w:rsid w:val="00306707"/>
    <w:rsid w:val="00307274"/>
    <w:rsid w:val="003078D8"/>
    <w:rsid w:val="0031155C"/>
    <w:rsid w:val="003125AD"/>
    <w:rsid w:val="00313DA9"/>
    <w:rsid w:val="00313DE3"/>
    <w:rsid w:val="00314B2E"/>
    <w:rsid w:val="00314E41"/>
    <w:rsid w:val="00314EC8"/>
    <w:rsid w:val="00315D72"/>
    <w:rsid w:val="00317D71"/>
    <w:rsid w:val="003217A8"/>
    <w:rsid w:val="0032637C"/>
    <w:rsid w:val="00326D5B"/>
    <w:rsid w:val="00330512"/>
    <w:rsid w:val="00331A72"/>
    <w:rsid w:val="003337CB"/>
    <w:rsid w:val="00335FB5"/>
    <w:rsid w:val="003369E9"/>
    <w:rsid w:val="00337911"/>
    <w:rsid w:val="00337D27"/>
    <w:rsid w:val="00341508"/>
    <w:rsid w:val="003424F1"/>
    <w:rsid w:val="00342DA7"/>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120"/>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774B8"/>
    <w:rsid w:val="0038349B"/>
    <w:rsid w:val="00385101"/>
    <w:rsid w:val="003865FC"/>
    <w:rsid w:val="0038670A"/>
    <w:rsid w:val="003901CB"/>
    <w:rsid w:val="0039250E"/>
    <w:rsid w:val="003930CE"/>
    <w:rsid w:val="003967F6"/>
    <w:rsid w:val="00396A5C"/>
    <w:rsid w:val="00397270"/>
    <w:rsid w:val="00397F7D"/>
    <w:rsid w:val="003A0562"/>
    <w:rsid w:val="003A1526"/>
    <w:rsid w:val="003A34A8"/>
    <w:rsid w:val="003A58EE"/>
    <w:rsid w:val="003A67C0"/>
    <w:rsid w:val="003B05EF"/>
    <w:rsid w:val="003B0B39"/>
    <w:rsid w:val="003B0EFA"/>
    <w:rsid w:val="003B20E8"/>
    <w:rsid w:val="003B2C89"/>
    <w:rsid w:val="003B2E1D"/>
    <w:rsid w:val="003B3EDA"/>
    <w:rsid w:val="003B4796"/>
    <w:rsid w:val="003B4829"/>
    <w:rsid w:val="003B4F9B"/>
    <w:rsid w:val="003C0343"/>
    <w:rsid w:val="003C2E45"/>
    <w:rsid w:val="003C4094"/>
    <w:rsid w:val="003C5149"/>
    <w:rsid w:val="003C5F99"/>
    <w:rsid w:val="003C6075"/>
    <w:rsid w:val="003D04A8"/>
    <w:rsid w:val="003D0B3C"/>
    <w:rsid w:val="003D1B74"/>
    <w:rsid w:val="003D2BF8"/>
    <w:rsid w:val="003D3925"/>
    <w:rsid w:val="003D4D12"/>
    <w:rsid w:val="003D5F1A"/>
    <w:rsid w:val="003E183F"/>
    <w:rsid w:val="003E23EC"/>
    <w:rsid w:val="003E605F"/>
    <w:rsid w:val="003E681C"/>
    <w:rsid w:val="003F03FC"/>
    <w:rsid w:val="003F0FBC"/>
    <w:rsid w:val="003F1469"/>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744D"/>
    <w:rsid w:val="004078E1"/>
    <w:rsid w:val="00412370"/>
    <w:rsid w:val="004127C8"/>
    <w:rsid w:val="0041295E"/>
    <w:rsid w:val="00413E66"/>
    <w:rsid w:val="004147D5"/>
    <w:rsid w:val="0041647C"/>
    <w:rsid w:val="0041797C"/>
    <w:rsid w:val="00420E2E"/>
    <w:rsid w:val="004216F6"/>
    <w:rsid w:val="00421B40"/>
    <w:rsid w:val="00423A23"/>
    <w:rsid w:val="0042407C"/>
    <w:rsid w:val="0042608F"/>
    <w:rsid w:val="00426188"/>
    <w:rsid w:val="00426932"/>
    <w:rsid w:val="00427E43"/>
    <w:rsid w:val="004308BE"/>
    <w:rsid w:val="00431640"/>
    <w:rsid w:val="0043178F"/>
    <w:rsid w:val="00434AB3"/>
    <w:rsid w:val="004353BE"/>
    <w:rsid w:val="00436349"/>
    <w:rsid w:val="00437C51"/>
    <w:rsid w:val="00441B65"/>
    <w:rsid w:val="00441D67"/>
    <w:rsid w:val="00441FBD"/>
    <w:rsid w:val="004432DA"/>
    <w:rsid w:val="00444443"/>
    <w:rsid w:val="004450E0"/>
    <w:rsid w:val="00445E0D"/>
    <w:rsid w:val="004461EA"/>
    <w:rsid w:val="00446604"/>
    <w:rsid w:val="004468C0"/>
    <w:rsid w:val="00447AE8"/>
    <w:rsid w:val="00451115"/>
    <w:rsid w:val="00451149"/>
    <w:rsid w:val="00452322"/>
    <w:rsid w:val="00452614"/>
    <w:rsid w:val="00453929"/>
    <w:rsid w:val="00453B3E"/>
    <w:rsid w:val="00456206"/>
    <w:rsid w:val="00460087"/>
    <w:rsid w:val="00461908"/>
    <w:rsid w:val="0046204A"/>
    <w:rsid w:val="0046239A"/>
    <w:rsid w:val="004623A4"/>
    <w:rsid w:val="0046276D"/>
    <w:rsid w:val="00462ACB"/>
    <w:rsid w:val="0046311B"/>
    <w:rsid w:val="0046333B"/>
    <w:rsid w:val="004638AD"/>
    <w:rsid w:val="00464C9E"/>
    <w:rsid w:val="00465F69"/>
    <w:rsid w:val="004679EE"/>
    <w:rsid w:val="00467C40"/>
    <w:rsid w:val="0047063B"/>
    <w:rsid w:val="00475E48"/>
    <w:rsid w:val="004761CB"/>
    <w:rsid w:val="0048061F"/>
    <w:rsid w:val="00483CB1"/>
    <w:rsid w:val="004877BE"/>
    <w:rsid w:val="00487A68"/>
    <w:rsid w:val="00487CD4"/>
    <w:rsid w:val="004905C4"/>
    <w:rsid w:val="004933C4"/>
    <w:rsid w:val="004948FC"/>
    <w:rsid w:val="0049650F"/>
    <w:rsid w:val="004A1C28"/>
    <w:rsid w:val="004A36B8"/>
    <w:rsid w:val="004A37D0"/>
    <w:rsid w:val="004A3911"/>
    <w:rsid w:val="004A3F40"/>
    <w:rsid w:val="004A475D"/>
    <w:rsid w:val="004A4F41"/>
    <w:rsid w:val="004A559B"/>
    <w:rsid w:val="004A5726"/>
    <w:rsid w:val="004A5D34"/>
    <w:rsid w:val="004B05AC"/>
    <w:rsid w:val="004B1E4D"/>
    <w:rsid w:val="004B2621"/>
    <w:rsid w:val="004B2E70"/>
    <w:rsid w:val="004B4996"/>
    <w:rsid w:val="004B5361"/>
    <w:rsid w:val="004B5B40"/>
    <w:rsid w:val="004B5C83"/>
    <w:rsid w:val="004B7402"/>
    <w:rsid w:val="004B7FE8"/>
    <w:rsid w:val="004C0358"/>
    <w:rsid w:val="004C141D"/>
    <w:rsid w:val="004C31A2"/>
    <w:rsid w:val="004C4D70"/>
    <w:rsid w:val="004C716A"/>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671"/>
    <w:rsid w:val="004E6AAA"/>
    <w:rsid w:val="004F160C"/>
    <w:rsid w:val="004F17C0"/>
    <w:rsid w:val="004F2189"/>
    <w:rsid w:val="004F38D7"/>
    <w:rsid w:val="004F3E15"/>
    <w:rsid w:val="004F400F"/>
    <w:rsid w:val="004F46B5"/>
    <w:rsid w:val="004F4A64"/>
    <w:rsid w:val="004F4B15"/>
    <w:rsid w:val="004F5BCA"/>
    <w:rsid w:val="004F6600"/>
    <w:rsid w:val="004F661C"/>
    <w:rsid w:val="004F6CF7"/>
    <w:rsid w:val="004F6D58"/>
    <w:rsid w:val="004F7528"/>
    <w:rsid w:val="005003E6"/>
    <w:rsid w:val="005007D7"/>
    <w:rsid w:val="005037A6"/>
    <w:rsid w:val="005038DD"/>
    <w:rsid w:val="00503C93"/>
    <w:rsid w:val="00504C45"/>
    <w:rsid w:val="00506149"/>
    <w:rsid w:val="0050678D"/>
    <w:rsid w:val="0050695F"/>
    <w:rsid w:val="00507172"/>
    <w:rsid w:val="00507DE0"/>
    <w:rsid w:val="005114E0"/>
    <w:rsid w:val="0051589E"/>
    <w:rsid w:val="005158BA"/>
    <w:rsid w:val="0052061C"/>
    <w:rsid w:val="00520919"/>
    <w:rsid w:val="00522454"/>
    <w:rsid w:val="00522DD5"/>
    <w:rsid w:val="00524791"/>
    <w:rsid w:val="005257FB"/>
    <w:rsid w:val="00527E64"/>
    <w:rsid w:val="00533537"/>
    <w:rsid w:val="00534097"/>
    <w:rsid w:val="00535420"/>
    <w:rsid w:val="005366A5"/>
    <w:rsid w:val="005409A5"/>
    <w:rsid w:val="00540B5C"/>
    <w:rsid w:val="00544E6B"/>
    <w:rsid w:val="00544EBF"/>
    <w:rsid w:val="00546D26"/>
    <w:rsid w:val="00551759"/>
    <w:rsid w:val="00553D8A"/>
    <w:rsid w:val="00555465"/>
    <w:rsid w:val="00555B5B"/>
    <w:rsid w:val="005602B6"/>
    <w:rsid w:val="00561BBE"/>
    <w:rsid w:val="00561E85"/>
    <w:rsid w:val="00563AB0"/>
    <w:rsid w:val="00564D85"/>
    <w:rsid w:val="005653F0"/>
    <w:rsid w:val="00570912"/>
    <w:rsid w:val="00570E49"/>
    <w:rsid w:val="00576BF2"/>
    <w:rsid w:val="00577B76"/>
    <w:rsid w:val="00580099"/>
    <w:rsid w:val="00580D34"/>
    <w:rsid w:val="00583A46"/>
    <w:rsid w:val="00583A8F"/>
    <w:rsid w:val="005846E4"/>
    <w:rsid w:val="005858EF"/>
    <w:rsid w:val="0058707A"/>
    <w:rsid w:val="00587087"/>
    <w:rsid w:val="005876F8"/>
    <w:rsid w:val="00590C54"/>
    <w:rsid w:val="00591603"/>
    <w:rsid w:val="00592D8F"/>
    <w:rsid w:val="00593AC7"/>
    <w:rsid w:val="00593E9F"/>
    <w:rsid w:val="005975E2"/>
    <w:rsid w:val="005978D3"/>
    <w:rsid w:val="005A0EE2"/>
    <w:rsid w:val="005A134F"/>
    <w:rsid w:val="005A1864"/>
    <w:rsid w:val="005A1B29"/>
    <w:rsid w:val="005A4EE2"/>
    <w:rsid w:val="005A60BB"/>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C7DAE"/>
    <w:rsid w:val="005D0399"/>
    <w:rsid w:val="005D14A8"/>
    <w:rsid w:val="005D31FC"/>
    <w:rsid w:val="005D3212"/>
    <w:rsid w:val="005D49B8"/>
    <w:rsid w:val="005D4B21"/>
    <w:rsid w:val="005D4FED"/>
    <w:rsid w:val="005D5B5A"/>
    <w:rsid w:val="005D7DC9"/>
    <w:rsid w:val="005E0C5B"/>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09A4"/>
    <w:rsid w:val="0060460D"/>
    <w:rsid w:val="0060530F"/>
    <w:rsid w:val="006054CB"/>
    <w:rsid w:val="006059BF"/>
    <w:rsid w:val="00605FB8"/>
    <w:rsid w:val="006064E3"/>
    <w:rsid w:val="0060707F"/>
    <w:rsid w:val="00607280"/>
    <w:rsid w:val="00610B9C"/>
    <w:rsid w:val="00610C57"/>
    <w:rsid w:val="00611693"/>
    <w:rsid w:val="00612085"/>
    <w:rsid w:val="006128A7"/>
    <w:rsid w:val="00613694"/>
    <w:rsid w:val="0061499F"/>
    <w:rsid w:val="006154BB"/>
    <w:rsid w:val="0061748A"/>
    <w:rsid w:val="00617D33"/>
    <w:rsid w:val="00620924"/>
    <w:rsid w:val="00621C91"/>
    <w:rsid w:val="0062435D"/>
    <w:rsid w:val="00624618"/>
    <w:rsid w:val="006262AF"/>
    <w:rsid w:val="006271E4"/>
    <w:rsid w:val="006274EA"/>
    <w:rsid w:val="00627CD2"/>
    <w:rsid w:val="00632A27"/>
    <w:rsid w:val="00632F9F"/>
    <w:rsid w:val="00634678"/>
    <w:rsid w:val="00634B4B"/>
    <w:rsid w:val="00636ED9"/>
    <w:rsid w:val="006371C6"/>
    <w:rsid w:val="0063788E"/>
    <w:rsid w:val="006421F6"/>
    <w:rsid w:val="00642EC1"/>
    <w:rsid w:val="00646440"/>
    <w:rsid w:val="00650CE9"/>
    <w:rsid w:val="0065165A"/>
    <w:rsid w:val="006532B6"/>
    <w:rsid w:val="00654384"/>
    <w:rsid w:val="0065548D"/>
    <w:rsid w:val="006557F3"/>
    <w:rsid w:val="0065640A"/>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725"/>
    <w:rsid w:val="00683D0F"/>
    <w:rsid w:val="00685383"/>
    <w:rsid w:val="0068539F"/>
    <w:rsid w:val="00685BD7"/>
    <w:rsid w:val="00685F85"/>
    <w:rsid w:val="006871EF"/>
    <w:rsid w:val="00690166"/>
    <w:rsid w:val="0069016D"/>
    <w:rsid w:val="006901F2"/>
    <w:rsid w:val="00690862"/>
    <w:rsid w:val="00690BD4"/>
    <w:rsid w:val="00691506"/>
    <w:rsid w:val="00691659"/>
    <w:rsid w:val="006933B4"/>
    <w:rsid w:val="0069525B"/>
    <w:rsid w:val="00696843"/>
    <w:rsid w:val="00696E0F"/>
    <w:rsid w:val="006971A2"/>
    <w:rsid w:val="00697C1D"/>
    <w:rsid w:val="006A11D8"/>
    <w:rsid w:val="006A682C"/>
    <w:rsid w:val="006A6C8E"/>
    <w:rsid w:val="006A7A3F"/>
    <w:rsid w:val="006B121A"/>
    <w:rsid w:val="006B1B49"/>
    <w:rsid w:val="006B1EA0"/>
    <w:rsid w:val="006B4041"/>
    <w:rsid w:val="006B4F74"/>
    <w:rsid w:val="006B5731"/>
    <w:rsid w:val="006B5A1F"/>
    <w:rsid w:val="006B68B9"/>
    <w:rsid w:val="006B7B2A"/>
    <w:rsid w:val="006C0AC7"/>
    <w:rsid w:val="006C172D"/>
    <w:rsid w:val="006C2214"/>
    <w:rsid w:val="006C3647"/>
    <w:rsid w:val="006C4E03"/>
    <w:rsid w:val="006C4F78"/>
    <w:rsid w:val="006C69F0"/>
    <w:rsid w:val="006C70D5"/>
    <w:rsid w:val="006C746D"/>
    <w:rsid w:val="006C7C99"/>
    <w:rsid w:val="006D08A5"/>
    <w:rsid w:val="006D0D8B"/>
    <w:rsid w:val="006D140D"/>
    <w:rsid w:val="006D25D1"/>
    <w:rsid w:val="006D378B"/>
    <w:rsid w:val="006D3EDA"/>
    <w:rsid w:val="006D5266"/>
    <w:rsid w:val="006D784A"/>
    <w:rsid w:val="006D7B74"/>
    <w:rsid w:val="006E05AB"/>
    <w:rsid w:val="006E2B74"/>
    <w:rsid w:val="006E2BE3"/>
    <w:rsid w:val="006E30E0"/>
    <w:rsid w:val="006E37C1"/>
    <w:rsid w:val="006E69CA"/>
    <w:rsid w:val="006E7DD5"/>
    <w:rsid w:val="006F0393"/>
    <w:rsid w:val="006F1054"/>
    <w:rsid w:val="006F4BC7"/>
    <w:rsid w:val="006F4D75"/>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27A25"/>
    <w:rsid w:val="00731180"/>
    <w:rsid w:val="007312F6"/>
    <w:rsid w:val="0073229A"/>
    <w:rsid w:val="00732FD7"/>
    <w:rsid w:val="007345D2"/>
    <w:rsid w:val="00736D9C"/>
    <w:rsid w:val="00737412"/>
    <w:rsid w:val="007374E9"/>
    <w:rsid w:val="00737959"/>
    <w:rsid w:val="00737C92"/>
    <w:rsid w:val="007400C7"/>
    <w:rsid w:val="00740508"/>
    <w:rsid w:val="0074058D"/>
    <w:rsid w:val="00741D12"/>
    <w:rsid w:val="00742487"/>
    <w:rsid w:val="0074297E"/>
    <w:rsid w:val="007444BD"/>
    <w:rsid w:val="00746270"/>
    <w:rsid w:val="00747509"/>
    <w:rsid w:val="00747E83"/>
    <w:rsid w:val="00750101"/>
    <w:rsid w:val="00752396"/>
    <w:rsid w:val="00752B15"/>
    <w:rsid w:val="00752E44"/>
    <w:rsid w:val="00754E35"/>
    <w:rsid w:val="00756DA6"/>
    <w:rsid w:val="0075705D"/>
    <w:rsid w:val="00761B13"/>
    <w:rsid w:val="00762E03"/>
    <w:rsid w:val="00764349"/>
    <w:rsid w:val="007649A8"/>
    <w:rsid w:val="007649E6"/>
    <w:rsid w:val="007663A1"/>
    <w:rsid w:val="00767133"/>
    <w:rsid w:val="007700A7"/>
    <w:rsid w:val="00772F09"/>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5C19"/>
    <w:rsid w:val="007A6F65"/>
    <w:rsid w:val="007B0734"/>
    <w:rsid w:val="007B09B5"/>
    <w:rsid w:val="007B31EF"/>
    <w:rsid w:val="007B403B"/>
    <w:rsid w:val="007B5158"/>
    <w:rsid w:val="007B63DA"/>
    <w:rsid w:val="007B643C"/>
    <w:rsid w:val="007B6604"/>
    <w:rsid w:val="007B666F"/>
    <w:rsid w:val="007B7908"/>
    <w:rsid w:val="007B7F6F"/>
    <w:rsid w:val="007C0641"/>
    <w:rsid w:val="007C25A7"/>
    <w:rsid w:val="007C2968"/>
    <w:rsid w:val="007C3058"/>
    <w:rsid w:val="007C4BFD"/>
    <w:rsid w:val="007C6B41"/>
    <w:rsid w:val="007C75CE"/>
    <w:rsid w:val="007D128F"/>
    <w:rsid w:val="007D2B99"/>
    <w:rsid w:val="007D3479"/>
    <w:rsid w:val="007D390B"/>
    <w:rsid w:val="007D48D1"/>
    <w:rsid w:val="007D6126"/>
    <w:rsid w:val="007E0155"/>
    <w:rsid w:val="007E15DB"/>
    <w:rsid w:val="007E1B16"/>
    <w:rsid w:val="007E1D82"/>
    <w:rsid w:val="007E310D"/>
    <w:rsid w:val="007E4628"/>
    <w:rsid w:val="007E5070"/>
    <w:rsid w:val="007E5685"/>
    <w:rsid w:val="007E660D"/>
    <w:rsid w:val="007F1FC8"/>
    <w:rsid w:val="007F2580"/>
    <w:rsid w:val="007F3082"/>
    <w:rsid w:val="007F6FD1"/>
    <w:rsid w:val="007F7367"/>
    <w:rsid w:val="007F73BE"/>
    <w:rsid w:val="00801ADF"/>
    <w:rsid w:val="00801C1B"/>
    <w:rsid w:val="00804BF9"/>
    <w:rsid w:val="008059B7"/>
    <w:rsid w:val="00805AC3"/>
    <w:rsid w:val="00805D56"/>
    <w:rsid w:val="0080766F"/>
    <w:rsid w:val="00811499"/>
    <w:rsid w:val="008115D2"/>
    <w:rsid w:val="008128A5"/>
    <w:rsid w:val="00813DCE"/>
    <w:rsid w:val="008147AE"/>
    <w:rsid w:val="00814CDB"/>
    <w:rsid w:val="0081543C"/>
    <w:rsid w:val="00815E73"/>
    <w:rsid w:val="00816F71"/>
    <w:rsid w:val="00821485"/>
    <w:rsid w:val="008218F6"/>
    <w:rsid w:val="00821913"/>
    <w:rsid w:val="0082330E"/>
    <w:rsid w:val="00824083"/>
    <w:rsid w:val="00826B5F"/>
    <w:rsid w:val="00827D3E"/>
    <w:rsid w:val="00827D86"/>
    <w:rsid w:val="00827FB6"/>
    <w:rsid w:val="00830163"/>
    <w:rsid w:val="00830C34"/>
    <w:rsid w:val="00831669"/>
    <w:rsid w:val="00832FC5"/>
    <w:rsid w:val="0083301D"/>
    <w:rsid w:val="008334C9"/>
    <w:rsid w:val="00833803"/>
    <w:rsid w:val="00833E19"/>
    <w:rsid w:val="00833EA3"/>
    <w:rsid w:val="00833EB7"/>
    <w:rsid w:val="00834588"/>
    <w:rsid w:val="0083484D"/>
    <w:rsid w:val="008352F8"/>
    <w:rsid w:val="00837090"/>
    <w:rsid w:val="008404D1"/>
    <w:rsid w:val="008444CD"/>
    <w:rsid w:val="00844811"/>
    <w:rsid w:val="00844BD0"/>
    <w:rsid w:val="00846482"/>
    <w:rsid w:val="0084657E"/>
    <w:rsid w:val="00847071"/>
    <w:rsid w:val="0084791A"/>
    <w:rsid w:val="00850143"/>
    <w:rsid w:val="00850400"/>
    <w:rsid w:val="00851B83"/>
    <w:rsid w:val="0085232E"/>
    <w:rsid w:val="00852535"/>
    <w:rsid w:val="00852EFB"/>
    <w:rsid w:val="00853AB1"/>
    <w:rsid w:val="00855089"/>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2701"/>
    <w:rsid w:val="00883837"/>
    <w:rsid w:val="008838E3"/>
    <w:rsid w:val="008848C9"/>
    <w:rsid w:val="00884E3A"/>
    <w:rsid w:val="0088512F"/>
    <w:rsid w:val="00885FFA"/>
    <w:rsid w:val="00890245"/>
    <w:rsid w:val="0089150A"/>
    <w:rsid w:val="0089402C"/>
    <w:rsid w:val="008946B2"/>
    <w:rsid w:val="00896691"/>
    <w:rsid w:val="00896988"/>
    <w:rsid w:val="0089706B"/>
    <w:rsid w:val="008971F4"/>
    <w:rsid w:val="008A1223"/>
    <w:rsid w:val="008A1920"/>
    <w:rsid w:val="008A208C"/>
    <w:rsid w:val="008A20D0"/>
    <w:rsid w:val="008A379D"/>
    <w:rsid w:val="008A5CBB"/>
    <w:rsid w:val="008B2574"/>
    <w:rsid w:val="008B3C0A"/>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2AE1"/>
    <w:rsid w:val="008D3041"/>
    <w:rsid w:val="008D620A"/>
    <w:rsid w:val="008D6A1B"/>
    <w:rsid w:val="008D7602"/>
    <w:rsid w:val="008E032C"/>
    <w:rsid w:val="008E19F4"/>
    <w:rsid w:val="008E1BA5"/>
    <w:rsid w:val="008E3F89"/>
    <w:rsid w:val="008E59F2"/>
    <w:rsid w:val="008E5CCF"/>
    <w:rsid w:val="008F07DA"/>
    <w:rsid w:val="008F0D90"/>
    <w:rsid w:val="008F182E"/>
    <w:rsid w:val="008F3840"/>
    <w:rsid w:val="008F392E"/>
    <w:rsid w:val="008F3C85"/>
    <w:rsid w:val="008F4237"/>
    <w:rsid w:val="008F5CD5"/>
    <w:rsid w:val="008F6472"/>
    <w:rsid w:val="009008D8"/>
    <w:rsid w:val="009009EB"/>
    <w:rsid w:val="009028CD"/>
    <w:rsid w:val="009046C1"/>
    <w:rsid w:val="00904886"/>
    <w:rsid w:val="00904DA9"/>
    <w:rsid w:val="00904E98"/>
    <w:rsid w:val="00905733"/>
    <w:rsid w:val="00905850"/>
    <w:rsid w:val="0090639A"/>
    <w:rsid w:val="00906C0D"/>
    <w:rsid w:val="00910D6E"/>
    <w:rsid w:val="0091145D"/>
    <w:rsid w:val="0091371C"/>
    <w:rsid w:val="0091395D"/>
    <w:rsid w:val="00913F64"/>
    <w:rsid w:val="00916F69"/>
    <w:rsid w:val="009170E2"/>
    <w:rsid w:val="0092303C"/>
    <w:rsid w:val="00924C87"/>
    <w:rsid w:val="00925ADB"/>
    <w:rsid w:val="00925D09"/>
    <w:rsid w:val="00927463"/>
    <w:rsid w:val="00927B3C"/>
    <w:rsid w:val="00927F31"/>
    <w:rsid w:val="009308BF"/>
    <w:rsid w:val="0093156F"/>
    <w:rsid w:val="00931A98"/>
    <w:rsid w:val="00931EDC"/>
    <w:rsid w:val="009344ED"/>
    <w:rsid w:val="00935E67"/>
    <w:rsid w:val="009365B2"/>
    <w:rsid w:val="00937770"/>
    <w:rsid w:val="00940C09"/>
    <w:rsid w:val="00941F99"/>
    <w:rsid w:val="0095021E"/>
    <w:rsid w:val="00951362"/>
    <w:rsid w:val="00951880"/>
    <w:rsid w:val="00952316"/>
    <w:rsid w:val="0095285D"/>
    <w:rsid w:val="00953EFB"/>
    <w:rsid w:val="009546E9"/>
    <w:rsid w:val="00955076"/>
    <w:rsid w:val="0095713D"/>
    <w:rsid w:val="00957520"/>
    <w:rsid w:val="00960126"/>
    <w:rsid w:val="00960A89"/>
    <w:rsid w:val="00962257"/>
    <w:rsid w:val="009622BD"/>
    <w:rsid w:val="0096573D"/>
    <w:rsid w:val="00966D02"/>
    <w:rsid w:val="009672AB"/>
    <w:rsid w:val="00967F7A"/>
    <w:rsid w:val="00970DED"/>
    <w:rsid w:val="00971A70"/>
    <w:rsid w:val="009728B3"/>
    <w:rsid w:val="009745C8"/>
    <w:rsid w:val="00974A83"/>
    <w:rsid w:val="00974AAC"/>
    <w:rsid w:val="009762B8"/>
    <w:rsid w:val="00976A14"/>
    <w:rsid w:val="00976BB2"/>
    <w:rsid w:val="0097776F"/>
    <w:rsid w:val="009777AE"/>
    <w:rsid w:val="00982A85"/>
    <w:rsid w:val="00982BC2"/>
    <w:rsid w:val="00983584"/>
    <w:rsid w:val="009838FA"/>
    <w:rsid w:val="00983B66"/>
    <w:rsid w:val="0098492F"/>
    <w:rsid w:val="0098500E"/>
    <w:rsid w:val="00986D2C"/>
    <w:rsid w:val="009916B7"/>
    <w:rsid w:val="009927C8"/>
    <w:rsid w:val="009929F6"/>
    <w:rsid w:val="00992B23"/>
    <w:rsid w:val="00992F66"/>
    <w:rsid w:val="009932AC"/>
    <w:rsid w:val="00994D67"/>
    <w:rsid w:val="009A0F60"/>
    <w:rsid w:val="009A184E"/>
    <w:rsid w:val="009A39EF"/>
    <w:rsid w:val="009A4132"/>
    <w:rsid w:val="009A4982"/>
    <w:rsid w:val="009B298A"/>
    <w:rsid w:val="009C0014"/>
    <w:rsid w:val="009C0071"/>
    <w:rsid w:val="009C01DB"/>
    <w:rsid w:val="009C0C57"/>
    <w:rsid w:val="009C145D"/>
    <w:rsid w:val="009C2A16"/>
    <w:rsid w:val="009C33E0"/>
    <w:rsid w:val="009C589D"/>
    <w:rsid w:val="009C58D3"/>
    <w:rsid w:val="009C5E3B"/>
    <w:rsid w:val="009C7B3A"/>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DF8"/>
    <w:rsid w:val="009F70E0"/>
    <w:rsid w:val="009F768A"/>
    <w:rsid w:val="009F7DA8"/>
    <w:rsid w:val="00A00445"/>
    <w:rsid w:val="00A01BB5"/>
    <w:rsid w:val="00A02F29"/>
    <w:rsid w:val="00A03765"/>
    <w:rsid w:val="00A038CA"/>
    <w:rsid w:val="00A039DD"/>
    <w:rsid w:val="00A10A6C"/>
    <w:rsid w:val="00A10EAD"/>
    <w:rsid w:val="00A13801"/>
    <w:rsid w:val="00A157E8"/>
    <w:rsid w:val="00A21D85"/>
    <w:rsid w:val="00A22D8B"/>
    <w:rsid w:val="00A23E67"/>
    <w:rsid w:val="00A2445F"/>
    <w:rsid w:val="00A25277"/>
    <w:rsid w:val="00A26585"/>
    <w:rsid w:val="00A30DA2"/>
    <w:rsid w:val="00A31978"/>
    <w:rsid w:val="00A31F67"/>
    <w:rsid w:val="00A341A1"/>
    <w:rsid w:val="00A363EB"/>
    <w:rsid w:val="00A41E03"/>
    <w:rsid w:val="00A44919"/>
    <w:rsid w:val="00A51818"/>
    <w:rsid w:val="00A51D0D"/>
    <w:rsid w:val="00A52474"/>
    <w:rsid w:val="00A52762"/>
    <w:rsid w:val="00A529FE"/>
    <w:rsid w:val="00A5365A"/>
    <w:rsid w:val="00A53B74"/>
    <w:rsid w:val="00A53F1C"/>
    <w:rsid w:val="00A56A19"/>
    <w:rsid w:val="00A57994"/>
    <w:rsid w:val="00A57C5B"/>
    <w:rsid w:val="00A605B8"/>
    <w:rsid w:val="00A620D8"/>
    <w:rsid w:val="00A62A43"/>
    <w:rsid w:val="00A66E63"/>
    <w:rsid w:val="00A66FD0"/>
    <w:rsid w:val="00A7000B"/>
    <w:rsid w:val="00A73730"/>
    <w:rsid w:val="00A75130"/>
    <w:rsid w:val="00A75B61"/>
    <w:rsid w:val="00A76359"/>
    <w:rsid w:val="00A800A5"/>
    <w:rsid w:val="00A803B7"/>
    <w:rsid w:val="00A80A61"/>
    <w:rsid w:val="00A81014"/>
    <w:rsid w:val="00A839BB"/>
    <w:rsid w:val="00A84E12"/>
    <w:rsid w:val="00A84EF0"/>
    <w:rsid w:val="00A85872"/>
    <w:rsid w:val="00A9285F"/>
    <w:rsid w:val="00A93A35"/>
    <w:rsid w:val="00A94B46"/>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37"/>
    <w:rsid w:val="00AD35B4"/>
    <w:rsid w:val="00AD4DA0"/>
    <w:rsid w:val="00AD53E5"/>
    <w:rsid w:val="00AD5CBC"/>
    <w:rsid w:val="00AD6A9E"/>
    <w:rsid w:val="00AE003B"/>
    <w:rsid w:val="00AE0C44"/>
    <w:rsid w:val="00AE1D5A"/>
    <w:rsid w:val="00AE1F1E"/>
    <w:rsid w:val="00AE2B00"/>
    <w:rsid w:val="00AE4B30"/>
    <w:rsid w:val="00AE4F0E"/>
    <w:rsid w:val="00AE5135"/>
    <w:rsid w:val="00AE6B34"/>
    <w:rsid w:val="00AE6BA0"/>
    <w:rsid w:val="00AF149A"/>
    <w:rsid w:val="00AF1876"/>
    <w:rsid w:val="00AF26DF"/>
    <w:rsid w:val="00AF79F8"/>
    <w:rsid w:val="00B02E0B"/>
    <w:rsid w:val="00B045B0"/>
    <w:rsid w:val="00B064BB"/>
    <w:rsid w:val="00B06C11"/>
    <w:rsid w:val="00B074F9"/>
    <w:rsid w:val="00B07C40"/>
    <w:rsid w:val="00B1304C"/>
    <w:rsid w:val="00B133D1"/>
    <w:rsid w:val="00B159B0"/>
    <w:rsid w:val="00B15D00"/>
    <w:rsid w:val="00B16688"/>
    <w:rsid w:val="00B177FC"/>
    <w:rsid w:val="00B20466"/>
    <w:rsid w:val="00B20A02"/>
    <w:rsid w:val="00B24633"/>
    <w:rsid w:val="00B25BFA"/>
    <w:rsid w:val="00B2666F"/>
    <w:rsid w:val="00B27874"/>
    <w:rsid w:val="00B307E4"/>
    <w:rsid w:val="00B31212"/>
    <w:rsid w:val="00B32BB6"/>
    <w:rsid w:val="00B33122"/>
    <w:rsid w:val="00B33C5A"/>
    <w:rsid w:val="00B3633A"/>
    <w:rsid w:val="00B403A1"/>
    <w:rsid w:val="00B404F7"/>
    <w:rsid w:val="00B41860"/>
    <w:rsid w:val="00B43844"/>
    <w:rsid w:val="00B523FB"/>
    <w:rsid w:val="00B55D52"/>
    <w:rsid w:val="00B56BEF"/>
    <w:rsid w:val="00B600F9"/>
    <w:rsid w:val="00B60E77"/>
    <w:rsid w:val="00B60EEF"/>
    <w:rsid w:val="00B62AC9"/>
    <w:rsid w:val="00B63764"/>
    <w:rsid w:val="00B64A97"/>
    <w:rsid w:val="00B65C12"/>
    <w:rsid w:val="00B67F2B"/>
    <w:rsid w:val="00B70436"/>
    <w:rsid w:val="00B70C83"/>
    <w:rsid w:val="00B717FC"/>
    <w:rsid w:val="00B71A82"/>
    <w:rsid w:val="00B72A7C"/>
    <w:rsid w:val="00B72F76"/>
    <w:rsid w:val="00B73EFA"/>
    <w:rsid w:val="00B74AD1"/>
    <w:rsid w:val="00B75338"/>
    <w:rsid w:val="00B75E9D"/>
    <w:rsid w:val="00B834D3"/>
    <w:rsid w:val="00B83773"/>
    <w:rsid w:val="00B83A91"/>
    <w:rsid w:val="00B84EAE"/>
    <w:rsid w:val="00B85E2B"/>
    <w:rsid w:val="00B86E6F"/>
    <w:rsid w:val="00B901AA"/>
    <w:rsid w:val="00B90A6E"/>
    <w:rsid w:val="00B90DA6"/>
    <w:rsid w:val="00B931E3"/>
    <w:rsid w:val="00B93F3C"/>
    <w:rsid w:val="00B94A45"/>
    <w:rsid w:val="00B94EDA"/>
    <w:rsid w:val="00B95E82"/>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182D"/>
    <w:rsid w:val="00BC3EC1"/>
    <w:rsid w:val="00BC6039"/>
    <w:rsid w:val="00BC66B4"/>
    <w:rsid w:val="00BC6BDA"/>
    <w:rsid w:val="00BD146B"/>
    <w:rsid w:val="00BD1A78"/>
    <w:rsid w:val="00BD2489"/>
    <w:rsid w:val="00BD28ED"/>
    <w:rsid w:val="00BD2B90"/>
    <w:rsid w:val="00BD3763"/>
    <w:rsid w:val="00BD5A40"/>
    <w:rsid w:val="00BE2D7C"/>
    <w:rsid w:val="00BE3138"/>
    <w:rsid w:val="00BE3437"/>
    <w:rsid w:val="00BE397D"/>
    <w:rsid w:val="00BE3A8F"/>
    <w:rsid w:val="00BE3AB8"/>
    <w:rsid w:val="00BE64EF"/>
    <w:rsid w:val="00BE6BBE"/>
    <w:rsid w:val="00BE7F02"/>
    <w:rsid w:val="00BF1FD8"/>
    <w:rsid w:val="00BF3349"/>
    <w:rsid w:val="00BF36E7"/>
    <w:rsid w:val="00BF3AE8"/>
    <w:rsid w:val="00BF685B"/>
    <w:rsid w:val="00BF7090"/>
    <w:rsid w:val="00BF74B0"/>
    <w:rsid w:val="00BF7D96"/>
    <w:rsid w:val="00C02361"/>
    <w:rsid w:val="00C03ACC"/>
    <w:rsid w:val="00C05BBD"/>
    <w:rsid w:val="00C104AE"/>
    <w:rsid w:val="00C10DAA"/>
    <w:rsid w:val="00C12BF0"/>
    <w:rsid w:val="00C13214"/>
    <w:rsid w:val="00C1362C"/>
    <w:rsid w:val="00C140B0"/>
    <w:rsid w:val="00C144CB"/>
    <w:rsid w:val="00C219F8"/>
    <w:rsid w:val="00C21EA4"/>
    <w:rsid w:val="00C22662"/>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37FC2"/>
    <w:rsid w:val="00C4062E"/>
    <w:rsid w:val="00C410A8"/>
    <w:rsid w:val="00C425DC"/>
    <w:rsid w:val="00C444C2"/>
    <w:rsid w:val="00C44ACF"/>
    <w:rsid w:val="00C44CC4"/>
    <w:rsid w:val="00C4551C"/>
    <w:rsid w:val="00C45AC6"/>
    <w:rsid w:val="00C475DA"/>
    <w:rsid w:val="00C47D85"/>
    <w:rsid w:val="00C52A27"/>
    <w:rsid w:val="00C53C26"/>
    <w:rsid w:val="00C55B2B"/>
    <w:rsid w:val="00C56112"/>
    <w:rsid w:val="00C56D44"/>
    <w:rsid w:val="00C5796F"/>
    <w:rsid w:val="00C57AA9"/>
    <w:rsid w:val="00C62370"/>
    <w:rsid w:val="00C63AAE"/>
    <w:rsid w:val="00C653FB"/>
    <w:rsid w:val="00C6581F"/>
    <w:rsid w:val="00C6787E"/>
    <w:rsid w:val="00C67A1C"/>
    <w:rsid w:val="00C7039F"/>
    <w:rsid w:val="00C709D6"/>
    <w:rsid w:val="00C70C2C"/>
    <w:rsid w:val="00C7148E"/>
    <w:rsid w:val="00C7258C"/>
    <w:rsid w:val="00C7696A"/>
    <w:rsid w:val="00C7719A"/>
    <w:rsid w:val="00C77568"/>
    <w:rsid w:val="00C81181"/>
    <w:rsid w:val="00C8137B"/>
    <w:rsid w:val="00C81B4B"/>
    <w:rsid w:val="00C81F8E"/>
    <w:rsid w:val="00C82CBF"/>
    <w:rsid w:val="00C8344D"/>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6961"/>
    <w:rsid w:val="00C976EC"/>
    <w:rsid w:val="00C97C87"/>
    <w:rsid w:val="00C97D5B"/>
    <w:rsid w:val="00CA0A1C"/>
    <w:rsid w:val="00CA2550"/>
    <w:rsid w:val="00CA4151"/>
    <w:rsid w:val="00CA44AE"/>
    <w:rsid w:val="00CA45A1"/>
    <w:rsid w:val="00CA5D72"/>
    <w:rsid w:val="00CA6E90"/>
    <w:rsid w:val="00CB1F1B"/>
    <w:rsid w:val="00CB3674"/>
    <w:rsid w:val="00CB4DA2"/>
    <w:rsid w:val="00CB6A88"/>
    <w:rsid w:val="00CB6BCD"/>
    <w:rsid w:val="00CC0843"/>
    <w:rsid w:val="00CC3104"/>
    <w:rsid w:val="00CC412D"/>
    <w:rsid w:val="00CC4D1B"/>
    <w:rsid w:val="00CD4ABA"/>
    <w:rsid w:val="00CD4D63"/>
    <w:rsid w:val="00CD52CD"/>
    <w:rsid w:val="00CD5D0B"/>
    <w:rsid w:val="00CD6523"/>
    <w:rsid w:val="00CD6C37"/>
    <w:rsid w:val="00CD7266"/>
    <w:rsid w:val="00CE26EE"/>
    <w:rsid w:val="00CE3BC4"/>
    <w:rsid w:val="00CE3BE1"/>
    <w:rsid w:val="00CE45C3"/>
    <w:rsid w:val="00CE479E"/>
    <w:rsid w:val="00CE50BC"/>
    <w:rsid w:val="00CE650E"/>
    <w:rsid w:val="00CE70DC"/>
    <w:rsid w:val="00CF15C2"/>
    <w:rsid w:val="00CF1636"/>
    <w:rsid w:val="00CF2642"/>
    <w:rsid w:val="00CF3248"/>
    <w:rsid w:val="00CF46A7"/>
    <w:rsid w:val="00CF4746"/>
    <w:rsid w:val="00CF54FB"/>
    <w:rsid w:val="00CF68A4"/>
    <w:rsid w:val="00D0053C"/>
    <w:rsid w:val="00D015D5"/>
    <w:rsid w:val="00D021DF"/>
    <w:rsid w:val="00D03639"/>
    <w:rsid w:val="00D047E0"/>
    <w:rsid w:val="00D07714"/>
    <w:rsid w:val="00D12626"/>
    <w:rsid w:val="00D148DD"/>
    <w:rsid w:val="00D16706"/>
    <w:rsid w:val="00D17164"/>
    <w:rsid w:val="00D215F4"/>
    <w:rsid w:val="00D23FA7"/>
    <w:rsid w:val="00D259AA"/>
    <w:rsid w:val="00D27B98"/>
    <w:rsid w:val="00D30849"/>
    <w:rsid w:val="00D31633"/>
    <w:rsid w:val="00D33868"/>
    <w:rsid w:val="00D34132"/>
    <w:rsid w:val="00D34E5D"/>
    <w:rsid w:val="00D371DE"/>
    <w:rsid w:val="00D40BC9"/>
    <w:rsid w:val="00D4372D"/>
    <w:rsid w:val="00D43FA4"/>
    <w:rsid w:val="00D4438C"/>
    <w:rsid w:val="00D47376"/>
    <w:rsid w:val="00D50ACD"/>
    <w:rsid w:val="00D518FA"/>
    <w:rsid w:val="00D52236"/>
    <w:rsid w:val="00D52BC7"/>
    <w:rsid w:val="00D52F30"/>
    <w:rsid w:val="00D53337"/>
    <w:rsid w:val="00D55504"/>
    <w:rsid w:val="00D56A2E"/>
    <w:rsid w:val="00D574A2"/>
    <w:rsid w:val="00D617D5"/>
    <w:rsid w:val="00D61A80"/>
    <w:rsid w:val="00D61D57"/>
    <w:rsid w:val="00D63DB7"/>
    <w:rsid w:val="00D655C6"/>
    <w:rsid w:val="00D72BE1"/>
    <w:rsid w:val="00D74425"/>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7EA"/>
    <w:rsid w:val="00DA11E0"/>
    <w:rsid w:val="00DA1328"/>
    <w:rsid w:val="00DA155B"/>
    <w:rsid w:val="00DA2A89"/>
    <w:rsid w:val="00DA4AE2"/>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184B"/>
    <w:rsid w:val="00DC5D60"/>
    <w:rsid w:val="00DC7236"/>
    <w:rsid w:val="00DD05E9"/>
    <w:rsid w:val="00DD0E1D"/>
    <w:rsid w:val="00DD1906"/>
    <w:rsid w:val="00DD2134"/>
    <w:rsid w:val="00DD2F96"/>
    <w:rsid w:val="00DD3BE8"/>
    <w:rsid w:val="00DD4058"/>
    <w:rsid w:val="00DD45C9"/>
    <w:rsid w:val="00DD6E24"/>
    <w:rsid w:val="00DE0266"/>
    <w:rsid w:val="00DE230B"/>
    <w:rsid w:val="00DE3F89"/>
    <w:rsid w:val="00DE4166"/>
    <w:rsid w:val="00DE4168"/>
    <w:rsid w:val="00DE42BB"/>
    <w:rsid w:val="00DE43BF"/>
    <w:rsid w:val="00DE5003"/>
    <w:rsid w:val="00DE609B"/>
    <w:rsid w:val="00DE67F5"/>
    <w:rsid w:val="00DE6A16"/>
    <w:rsid w:val="00DE76DB"/>
    <w:rsid w:val="00DF11B3"/>
    <w:rsid w:val="00DF16B0"/>
    <w:rsid w:val="00DF2830"/>
    <w:rsid w:val="00DF4315"/>
    <w:rsid w:val="00DF4592"/>
    <w:rsid w:val="00DF53F7"/>
    <w:rsid w:val="00DF6488"/>
    <w:rsid w:val="00DF7595"/>
    <w:rsid w:val="00E00E04"/>
    <w:rsid w:val="00E028C1"/>
    <w:rsid w:val="00E02ED5"/>
    <w:rsid w:val="00E03944"/>
    <w:rsid w:val="00E05ACD"/>
    <w:rsid w:val="00E07701"/>
    <w:rsid w:val="00E13B44"/>
    <w:rsid w:val="00E140B7"/>
    <w:rsid w:val="00E143A9"/>
    <w:rsid w:val="00E14976"/>
    <w:rsid w:val="00E16C3E"/>
    <w:rsid w:val="00E202D8"/>
    <w:rsid w:val="00E22215"/>
    <w:rsid w:val="00E23765"/>
    <w:rsid w:val="00E24CFF"/>
    <w:rsid w:val="00E256BF"/>
    <w:rsid w:val="00E30397"/>
    <w:rsid w:val="00E31E67"/>
    <w:rsid w:val="00E34D37"/>
    <w:rsid w:val="00E35182"/>
    <w:rsid w:val="00E3545F"/>
    <w:rsid w:val="00E35807"/>
    <w:rsid w:val="00E42863"/>
    <w:rsid w:val="00E44969"/>
    <w:rsid w:val="00E44A97"/>
    <w:rsid w:val="00E4537A"/>
    <w:rsid w:val="00E45E6A"/>
    <w:rsid w:val="00E466B6"/>
    <w:rsid w:val="00E46DCC"/>
    <w:rsid w:val="00E50EAC"/>
    <w:rsid w:val="00E512FE"/>
    <w:rsid w:val="00E52BC1"/>
    <w:rsid w:val="00E53C09"/>
    <w:rsid w:val="00E53F5C"/>
    <w:rsid w:val="00E54262"/>
    <w:rsid w:val="00E54544"/>
    <w:rsid w:val="00E54972"/>
    <w:rsid w:val="00E56865"/>
    <w:rsid w:val="00E57996"/>
    <w:rsid w:val="00E606BF"/>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2FC0"/>
    <w:rsid w:val="00E75044"/>
    <w:rsid w:val="00E7667C"/>
    <w:rsid w:val="00E77047"/>
    <w:rsid w:val="00E774FD"/>
    <w:rsid w:val="00E77705"/>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C6F"/>
    <w:rsid w:val="00EA11C1"/>
    <w:rsid w:val="00EA170D"/>
    <w:rsid w:val="00EA1D3C"/>
    <w:rsid w:val="00EA3CC5"/>
    <w:rsid w:val="00EA428E"/>
    <w:rsid w:val="00EA6340"/>
    <w:rsid w:val="00EB0B36"/>
    <w:rsid w:val="00EB103B"/>
    <w:rsid w:val="00EB20AD"/>
    <w:rsid w:val="00EB255F"/>
    <w:rsid w:val="00EB2D53"/>
    <w:rsid w:val="00EB3438"/>
    <w:rsid w:val="00EB4267"/>
    <w:rsid w:val="00EB48F9"/>
    <w:rsid w:val="00EB4DD9"/>
    <w:rsid w:val="00EB7C72"/>
    <w:rsid w:val="00EC059C"/>
    <w:rsid w:val="00EC0A70"/>
    <w:rsid w:val="00EC3284"/>
    <w:rsid w:val="00EC5BA6"/>
    <w:rsid w:val="00EC771E"/>
    <w:rsid w:val="00EC78A3"/>
    <w:rsid w:val="00ED798A"/>
    <w:rsid w:val="00EE016F"/>
    <w:rsid w:val="00EE0251"/>
    <w:rsid w:val="00EE2A58"/>
    <w:rsid w:val="00EE35A5"/>
    <w:rsid w:val="00EE385E"/>
    <w:rsid w:val="00EE5849"/>
    <w:rsid w:val="00EE7F76"/>
    <w:rsid w:val="00EF01CA"/>
    <w:rsid w:val="00EF1102"/>
    <w:rsid w:val="00EF1378"/>
    <w:rsid w:val="00EF2AD8"/>
    <w:rsid w:val="00EF3291"/>
    <w:rsid w:val="00EF68BF"/>
    <w:rsid w:val="00EF7C33"/>
    <w:rsid w:val="00F00800"/>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5AD"/>
    <w:rsid w:val="00F26C42"/>
    <w:rsid w:val="00F30A8B"/>
    <w:rsid w:val="00F31056"/>
    <w:rsid w:val="00F310E1"/>
    <w:rsid w:val="00F3161A"/>
    <w:rsid w:val="00F32D3C"/>
    <w:rsid w:val="00F3493F"/>
    <w:rsid w:val="00F34E5E"/>
    <w:rsid w:val="00F351DF"/>
    <w:rsid w:val="00F3526D"/>
    <w:rsid w:val="00F35F8D"/>
    <w:rsid w:val="00F36046"/>
    <w:rsid w:val="00F378A0"/>
    <w:rsid w:val="00F40240"/>
    <w:rsid w:val="00F448A8"/>
    <w:rsid w:val="00F45D54"/>
    <w:rsid w:val="00F46B1D"/>
    <w:rsid w:val="00F46B67"/>
    <w:rsid w:val="00F52239"/>
    <w:rsid w:val="00F52876"/>
    <w:rsid w:val="00F530AE"/>
    <w:rsid w:val="00F53270"/>
    <w:rsid w:val="00F559C3"/>
    <w:rsid w:val="00F5615B"/>
    <w:rsid w:val="00F57722"/>
    <w:rsid w:val="00F60AC0"/>
    <w:rsid w:val="00F619A4"/>
    <w:rsid w:val="00F63458"/>
    <w:rsid w:val="00F6396B"/>
    <w:rsid w:val="00F639B5"/>
    <w:rsid w:val="00F63AA2"/>
    <w:rsid w:val="00F6428E"/>
    <w:rsid w:val="00F646B5"/>
    <w:rsid w:val="00F65B86"/>
    <w:rsid w:val="00F66B15"/>
    <w:rsid w:val="00F66BF6"/>
    <w:rsid w:val="00F677FD"/>
    <w:rsid w:val="00F702C0"/>
    <w:rsid w:val="00F713C5"/>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619"/>
    <w:rsid w:val="00F92A6D"/>
    <w:rsid w:val="00F92D77"/>
    <w:rsid w:val="00F93A5D"/>
    <w:rsid w:val="00F954B5"/>
    <w:rsid w:val="00F959D1"/>
    <w:rsid w:val="00FA0D7A"/>
    <w:rsid w:val="00FA1835"/>
    <w:rsid w:val="00FA2445"/>
    <w:rsid w:val="00FA38C8"/>
    <w:rsid w:val="00FA407B"/>
    <w:rsid w:val="00FA41F6"/>
    <w:rsid w:val="00FA521A"/>
    <w:rsid w:val="00FA5780"/>
    <w:rsid w:val="00FA58FC"/>
    <w:rsid w:val="00FA676E"/>
    <w:rsid w:val="00FA6B51"/>
    <w:rsid w:val="00FA7CA6"/>
    <w:rsid w:val="00FA7E3F"/>
    <w:rsid w:val="00FB086E"/>
    <w:rsid w:val="00FB088F"/>
    <w:rsid w:val="00FB13D2"/>
    <w:rsid w:val="00FB1D08"/>
    <w:rsid w:val="00FB1D27"/>
    <w:rsid w:val="00FB403C"/>
    <w:rsid w:val="00FC0F8E"/>
    <w:rsid w:val="00FC29A1"/>
    <w:rsid w:val="00FC45EF"/>
    <w:rsid w:val="00FC4DE7"/>
    <w:rsid w:val="00FC500A"/>
    <w:rsid w:val="00FC5035"/>
    <w:rsid w:val="00FC5F5C"/>
    <w:rsid w:val="00FC6A81"/>
    <w:rsid w:val="00FC6C11"/>
    <w:rsid w:val="00FC6E9D"/>
    <w:rsid w:val="00FC778E"/>
    <w:rsid w:val="00FC7D3A"/>
    <w:rsid w:val="00FD0134"/>
    <w:rsid w:val="00FD11A3"/>
    <w:rsid w:val="00FD22AF"/>
    <w:rsid w:val="00FD2413"/>
    <w:rsid w:val="00FD2B39"/>
    <w:rsid w:val="00FD3BCD"/>
    <w:rsid w:val="00FD6D6E"/>
    <w:rsid w:val="00FE13B0"/>
    <w:rsid w:val="00FE35C6"/>
    <w:rsid w:val="00FE458D"/>
    <w:rsid w:val="00FE5DDE"/>
    <w:rsid w:val="00FE75D1"/>
    <w:rsid w:val="00FE7627"/>
    <w:rsid w:val="00FF1A45"/>
    <w:rsid w:val="00FF1FF7"/>
    <w:rsid w:val="00FF2DC3"/>
    <w:rsid w:val="00FF4173"/>
    <w:rsid w:val="00FF5262"/>
    <w:rsid w:val="00FF5943"/>
    <w:rsid w:val="00FF5A73"/>
    <w:rsid w:val="00FF7E17"/>
    <w:rsid w:val="01D51113"/>
    <w:rsid w:val="023A2E2C"/>
    <w:rsid w:val="02F355D2"/>
    <w:rsid w:val="0339199B"/>
    <w:rsid w:val="035C6341"/>
    <w:rsid w:val="03776CFE"/>
    <w:rsid w:val="03815C1E"/>
    <w:rsid w:val="04CF481B"/>
    <w:rsid w:val="05516998"/>
    <w:rsid w:val="055238A3"/>
    <w:rsid w:val="0554557E"/>
    <w:rsid w:val="059C3DC1"/>
    <w:rsid w:val="06164F56"/>
    <w:rsid w:val="06776987"/>
    <w:rsid w:val="08026668"/>
    <w:rsid w:val="085D29AB"/>
    <w:rsid w:val="085F0594"/>
    <w:rsid w:val="08AD4124"/>
    <w:rsid w:val="08E80AB4"/>
    <w:rsid w:val="09761BF8"/>
    <w:rsid w:val="09AC0089"/>
    <w:rsid w:val="09E21FE2"/>
    <w:rsid w:val="0A143D51"/>
    <w:rsid w:val="0A7D1B00"/>
    <w:rsid w:val="0A7F09E6"/>
    <w:rsid w:val="0AAC68B2"/>
    <w:rsid w:val="0ADC7583"/>
    <w:rsid w:val="0AEE4ADC"/>
    <w:rsid w:val="0B4C367F"/>
    <w:rsid w:val="0B95651A"/>
    <w:rsid w:val="0BA7117B"/>
    <w:rsid w:val="0BBC3DC2"/>
    <w:rsid w:val="0D6358AB"/>
    <w:rsid w:val="0D77267A"/>
    <w:rsid w:val="0DAF047E"/>
    <w:rsid w:val="0DB241E0"/>
    <w:rsid w:val="0DD77445"/>
    <w:rsid w:val="0E994293"/>
    <w:rsid w:val="0EA91425"/>
    <w:rsid w:val="0EAB697C"/>
    <w:rsid w:val="0EE053D2"/>
    <w:rsid w:val="0EED1247"/>
    <w:rsid w:val="0F602361"/>
    <w:rsid w:val="0F6E581A"/>
    <w:rsid w:val="0F7A0910"/>
    <w:rsid w:val="10071B5D"/>
    <w:rsid w:val="11653413"/>
    <w:rsid w:val="11DA4319"/>
    <w:rsid w:val="124E2F7E"/>
    <w:rsid w:val="12B00485"/>
    <w:rsid w:val="1312729B"/>
    <w:rsid w:val="13B1655E"/>
    <w:rsid w:val="13B1687F"/>
    <w:rsid w:val="13ED6070"/>
    <w:rsid w:val="153515A4"/>
    <w:rsid w:val="153D1B8E"/>
    <w:rsid w:val="15452A87"/>
    <w:rsid w:val="156E18E9"/>
    <w:rsid w:val="15A2020C"/>
    <w:rsid w:val="16145045"/>
    <w:rsid w:val="16293AD8"/>
    <w:rsid w:val="1730439B"/>
    <w:rsid w:val="17814F21"/>
    <w:rsid w:val="1793394F"/>
    <w:rsid w:val="17BB7323"/>
    <w:rsid w:val="18830246"/>
    <w:rsid w:val="18904AA8"/>
    <w:rsid w:val="19436102"/>
    <w:rsid w:val="19D90F8F"/>
    <w:rsid w:val="1A1270E3"/>
    <w:rsid w:val="1A212CF6"/>
    <w:rsid w:val="1A4E444C"/>
    <w:rsid w:val="1A5C6FD8"/>
    <w:rsid w:val="1B0E5A7A"/>
    <w:rsid w:val="1B14193F"/>
    <w:rsid w:val="1B46686F"/>
    <w:rsid w:val="1BA67963"/>
    <w:rsid w:val="1C500F63"/>
    <w:rsid w:val="1C97655E"/>
    <w:rsid w:val="1D1F16A7"/>
    <w:rsid w:val="1D2E512B"/>
    <w:rsid w:val="1DB904C5"/>
    <w:rsid w:val="1E6B0B45"/>
    <w:rsid w:val="1F164BA3"/>
    <w:rsid w:val="1F372E01"/>
    <w:rsid w:val="1F5A0134"/>
    <w:rsid w:val="1F7D602E"/>
    <w:rsid w:val="20224CC1"/>
    <w:rsid w:val="204513EF"/>
    <w:rsid w:val="2094332F"/>
    <w:rsid w:val="213D1BBA"/>
    <w:rsid w:val="216A25EE"/>
    <w:rsid w:val="217253F2"/>
    <w:rsid w:val="21972EF0"/>
    <w:rsid w:val="221A0BA8"/>
    <w:rsid w:val="222C5B99"/>
    <w:rsid w:val="22331AEF"/>
    <w:rsid w:val="22AC7E3E"/>
    <w:rsid w:val="23030608"/>
    <w:rsid w:val="24000B0D"/>
    <w:rsid w:val="243B796B"/>
    <w:rsid w:val="24D33CEE"/>
    <w:rsid w:val="264D28A0"/>
    <w:rsid w:val="269B185D"/>
    <w:rsid w:val="26AA3F9A"/>
    <w:rsid w:val="27252BF1"/>
    <w:rsid w:val="27583DCB"/>
    <w:rsid w:val="278D6C65"/>
    <w:rsid w:val="283D61C9"/>
    <w:rsid w:val="288527C5"/>
    <w:rsid w:val="288A7E1F"/>
    <w:rsid w:val="28920674"/>
    <w:rsid w:val="289B7554"/>
    <w:rsid w:val="2917568E"/>
    <w:rsid w:val="2924087A"/>
    <w:rsid w:val="29944486"/>
    <w:rsid w:val="29D356AD"/>
    <w:rsid w:val="2B0A37B2"/>
    <w:rsid w:val="2B263EBD"/>
    <w:rsid w:val="2B545055"/>
    <w:rsid w:val="2CB9783E"/>
    <w:rsid w:val="2CD81EA7"/>
    <w:rsid w:val="2D2A7C52"/>
    <w:rsid w:val="2E362BA9"/>
    <w:rsid w:val="2E7A51ED"/>
    <w:rsid w:val="2E830A4C"/>
    <w:rsid w:val="2EA73716"/>
    <w:rsid w:val="2FA84FEB"/>
    <w:rsid w:val="30327475"/>
    <w:rsid w:val="30561C05"/>
    <w:rsid w:val="30E6493A"/>
    <w:rsid w:val="311F205E"/>
    <w:rsid w:val="312A0642"/>
    <w:rsid w:val="319B560D"/>
    <w:rsid w:val="31E81418"/>
    <w:rsid w:val="329830F5"/>
    <w:rsid w:val="32C804EA"/>
    <w:rsid w:val="32E62B90"/>
    <w:rsid w:val="331B6501"/>
    <w:rsid w:val="34C12764"/>
    <w:rsid w:val="34D62B32"/>
    <w:rsid w:val="34EA7A1E"/>
    <w:rsid w:val="34F85D8A"/>
    <w:rsid w:val="354A59C6"/>
    <w:rsid w:val="369F27AF"/>
    <w:rsid w:val="36A77C00"/>
    <w:rsid w:val="36D91C7E"/>
    <w:rsid w:val="37120A1E"/>
    <w:rsid w:val="376E0A72"/>
    <w:rsid w:val="3771091F"/>
    <w:rsid w:val="377A2F10"/>
    <w:rsid w:val="37983D42"/>
    <w:rsid w:val="37DD1DEF"/>
    <w:rsid w:val="37FA4319"/>
    <w:rsid w:val="381B4B51"/>
    <w:rsid w:val="38DC24F6"/>
    <w:rsid w:val="38E45431"/>
    <w:rsid w:val="39E27207"/>
    <w:rsid w:val="3A0E3D7F"/>
    <w:rsid w:val="3A167C26"/>
    <w:rsid w:val="3A75445C"/>
    <w:rsid w:val="3A9A79E6"/>
    <w:rsid w:val="3ACA7BAC"/>
    <w:rsid w:val="3AF74FDF"/>
    <w:rsid w:val="3B0C58DD"/>
    <w:rsid w:val="3B0F22ED"/>
    <w:rsid w:val="3B2E1671"/>
    <w:rsid w:val="3B515C19"/>
    <w:rsid w:val="3B975572"/>
    <w:rsid w:val="3C0E0E11"/>
    <w:rsid w:val="3C224E6C"/>
    <w:rsid w:val="3C791504"/>
    <w:rsid w:val="3D511C43"/>
    <w:rsid w:val="3D9E42A7"/>
    <w:rsid w:val="3E135096"/>
    <w:rsid w:val="3E492A9D"/>
    <w:rsid w:val="3EFE69D5"/>
    <w:rsid w:val="3F3A6CC1"/>
    <w:rsid w:val="3F6C4C64"/>
    <w:rsid w:val="3FA12AE7"/>
    <w:rsid w:val="3FBD2818"/>
    <w:rsid w:val="3FDE185C"/>
    <w:rsid w:val="3FE756BB"/>
    <w:rsid w:val="402C4AA5"/>
    <w:rsid w:val="404E159F"/>
    <w:rsid w:val="406C4A22"/>
    <w:rsid w:val="40A22263"/>
    <w:rsid w:val="41951CC4"/>
    <w:rsid w:val="41B45826"/>
    <w:rsid w:val="42811FDE"/>
    <w:rsid w:val="42F540EF"/>
    <w:rsid w:val="440B1B55"/>
    <w:rsid w:val="448D16D6"/>
    <w:rsid w:val="44DD6308"/>
    <w:rsid w:val="450C5A74"/>
    <w:rsid w:val="4548009D"/>
    <w:rsid w:val="45A208FF"/>
    <w:rsid w:val="45D34A34"/>
    <w:rsid w:val="45E20462"/>
    <w:rsid w:val="465504C9"/>
    <w:rsid w:val="46830090"/>
    <w:rsid w:val="46C7170C"/>
    <w:rsid w:val="46D37977"/>
    <w:rsid w:val="479E5F2A"/>
    <w:rsid w:val="47A36E74"/>
    <w:rsid w:val="47E96303"/>
    <w:rsid w:val="486442FE"/>
    <w:rsid w:val="48D06FFE"/>
    <w:rsid w:val="491922AA"/>
    <w:rsid w:val="49253C58"/>
    <w:rsid w:val="4928683B"/>
    <w:rsid w:val="492A46E4"/>
    <w:rsid w:val="495F0E1B"/>
    <w:rsid w:val="496843D5"/>
    <w:rsid w:val="49B26B9D"/>
    <w:rsid w:val="49D259D6"/>
    <w:rsid w:val="4A2251C4"/>
    <w:rsid w:val="4A5F1DE4"/>
    <w:rsid w:val="4B1B667D"/>
    <w:rsid w:val="4C2B1AAF"/>
    <w:rsid w:val="4C316C9E"/>
    <w:rsid w:val="4C9A38A4"/>
    <w:rsid w:val="4CB2108E"/>
    <w:rsid w:val="4CF1409B"/>
    <w:rsid w:val="4D2964E3"/>
    <w:rsid w:val="4D2E08E9"/>
    <w:rsid w:val="4D9C7AE5"/>
    <w:rsid w:val="4DD97BFA"/>
    <w:rsid w:val="4DE3275E"/>
    <w:rsid w:val="4E4B6B90"/>
    <w:rsid w:val="4F2605B3"/>
    <w:rsid w:val="4F5551B4"/>
    <w:rsid w:val="51F95026"/>
    <w:rsid w:val="52594F23"/>
    <w:rsid w:val="52A82366"/>
    <w:rsid w:val="52A92D1D"/>
    <w:rsid w:val="52B93069"/>
    <w:rsid w:val="534E5FDD"/>
    <w:rsid w:val="539411E0"/>
    <w:rsid w:val="53CA72F5"/>
    <w:rsid w:val="54122549"/>
    <w:rsid w:val="541330D5"/>
    <w:rsid w:val="54746B86"/>
    <w:rsid w:val="54A91265"/>
    <w:rsid w:val="54E06452"/>
    <w:rsid w:val="55382D7B"/>
    <w:rsid w:val="555E56FA"/>
    <w:rsid w:val="556F3C64"/>
    <w:rsid w:val="55C55442"/>
    <w:rsid w:val="55EC7130"/>
    <w:rsid w:val="565F5399"/>
    <w:rsid w:val="569C630A"/>
    <w:rsid w:val="56B35FC8"/>
    <w:rsid w:val="56D471B9"/>
    <w:rsid w:val="5741113E"/>
    <w:rsid w:val="574D7D61"/>
    <w:rsid w:val="58817EFF"/>
    <w:rsid w:val="589F3CA9"/>
    <w:rsid w:val="58A950FF"/>
    <w:rsid w:val="58D646AA"/>
    <w:rsid w:val="590523E4"/>
    <w:rsid w:val="597C6A1D"/>
    <w:rsid w:val="59A321FB"/>
    <w:rsid w:val="5A037552"/>
    <w:rsid w:val="5A2E76B3"/>
    <w:rsid w:val="5ABC4DE1"/>
    <w:rsid w:val="5ACE46A6"/>
    <w:rsid w:val="5BEF1B84"/>
    <w:rsid w:val="5C630B77"/>
    <w:rsid w:val="5C982E14"/>
    <w:rsid w:val="5C9C18A8"/>
    <w:rsid w:val="5CA17795"/>
    <w:rsid w:val="5CA60A2B"/>
    <w:rsid w:val="5CD851F3"/>
    <w:rsid w:val="5CDB0592"/>
    <w:rsid w:val="5D2C4095"/>
    <w:rsid w:val="5D494E68"/>
    <w:rsid w:val="5DD4783F"/>
    <w:rsid w:val="5E423CC7"/>
    <w:rsid w:val="5E6E17AA"/>
    <w:rsid w:val="5E826189"/>
    <w:rsid w:val="5EAE0BD4"/>
    <w:rsid w:val="5EF22C19"/>
    <w:rsid w:val="5F0720C0"/>
    <w:rsid w:val="5F0C1449"/>
    <w:rsid w:val="5F180B40"/>
    <w:rsid w:val="5F4762BC"/>
    <w:rsid w:val="5F477198"/>
    <w:rsid w:val="5F994D4B"/>
    <w:rsid w:val="60206B9C"/>
    <w:rsid w:val="61B91604"/>
    <w:rsid w:val="621C14AD"/>
    <w:rsid w:val="62557A34"/>
    <w:rsid w:val="62926B95"/>
    <w:rsid w:val="62FC61E6"/>
    <w:rsid w:val="631338FF"/>
    <w:rsid w:val="63EC6927"/>
    <w:rsid w:val="643F41AB"/>
    <w:rsid w:val="6470105F"/>
    <w:rsid w:val="64E90B6D"/>
    <w:rsid w:val="653C162C"/>
    <w:rsid w:val="67110DC2"/>
    <w:rsid w:val="672A5E48"/>
    <w:rsid w:val="681204BC"/>
    <w:rsid w:val="686D5EAE"/>
    <w:rsid w:val="68771BD2"/>
    <w:rsid w:val="69061E11"/>
    <w:rsid w:val="69123C78"/>
    <w:rsid w:val="691F6E62"/>
    <w:rsid w:val="69FD6FD7"/>
    <w:rsid w:val="6A0B5B1A"/>
    <w:rsid w:val="6A974BDB"/>
    <w:rsid w:val="6AD07D8E"/>
    <w:rsid w:val="6AFE2D65"/>
    <w:rsid w:val="6B0E00E5"/>
    <w:rsid w:val="6B626C6F"/>
    <w:rsid w:val="6B65775B"/>
    <w:rsid w:val="6BE94F1F"/>
    <w:rsid w:val="6C353187"/>
    <w:rsid w:val="6CB65398"/>
    <w:rsid w:val="6D431148"/>
    <w:rsid w:val="6D532F72"/>
    <w:rsid w:val="6D7101EF"/>
    <w:rsid w:val="6D7F1741"/>
    <w:rsid w:val="6E6E13D6"/>
    <w:rsid w:val="6EB97CB1"/>
    <w:rsid w:val="6F6873AE"/>
    <w:rsid w:val="6F971E6E"/>
    <w:rsid w:val="6FAC6BCC"/>
    <w:rsid w:val="6FCE356B"/>
    <w:rsid w:val="701F4BD7"/>
    <w:rsid w:val="70926A15"/>
    <w:rsid w:val="70D32296"/>
    <w:rsid w:val="70E23ED0"/>
    <w:rsid w:val="715B1CF9"/>
    <w:rsid w:val="717413BA"/>
    <w:rsid w:val="71B918A5"/>
    <w:rsid w:val="72004D0D"/>
    <w:rsid w:val="724F7815"/>
    <w:rsid w:val="72697ED9"/>
    <w:rsid w:val="72D2080E"/>
    <w:rsid w:val="73412D47"/>
    <w:rsid w:val="735367A0"/>
    <w:rsid w:val="740B754B"/>
    <w:rsid w:val="75E46B48"/>
    <w:rsid w:val="760A5DBE"/>
    <w:rsid w:val="766133B3"/>
    <w:rsid w:val="78283036"/>
    <w:rsid w:val="791B09EB"/>
    <w:rsid w:val="791D0378"/>
    <w:rsid w:val="7956473D"/>
    <w:rsid w:val="798126C5"/>
    <w:rsid w:val="79A228E7"/>
    <w:rsid w:val="7B614FBB"/>
    <w:rsid w:val="7BA46A5C"/>
    <w:rsid w:val="7BE82AE3"/>
    <w:rsid w:val="7CB849F5"/>
    <w:rsid w:val="7CB91D79"/>
    <w:rsid w:val="7D50686A"/>
    <w:rsid w:val="7DA23B0D"/>
    <w:rsid w:val="7DD2140A"/>
    <w:rsid w:val="7E532A16"/>
    <w:rsid w:val="7EC27EA3"/>
    <w:rsid w:val="7F6C4CBA"/>
    <w:rsid w:val="7F767479"/>
    <w:rsid w:val="7FD40C10"/>
    <w:rsid w:val="7FDF6D63"/>
    <w:rsid w:val="DC1F267C"/>
    <w:rsid w:val="E77DB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4"/>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10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115"/>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98"/>
    <w:unhideWhenUsed/>
    <w:qFormat/>
    <w:uiPriority w:val="0"/>
    <w:rPr>
      <w:rFonts w:ascii="宋体"/>
      <w:sz w:val="18"/>
      <w:szCs w:val="18"/>
    </w:rPr>
  </w:style>
  <w:style w:type="paragraph" w:styleId="10">
    <w:name w:val="annotation text"/>
    <w:basedOn w:val="1"/>
    <w:link w:val="95"/>
    <w:unhideWhenUsed/>
    <w:qFormat/>
    <w:uiPriority w:val="0"/>
    <w:pPr>
      <w:jc w:val="left"/>
    </w:pPr>
  </w:style>
  <w:style w:type="paragraph" w:styleId="11">
    <w:name w:val="Body Text 3"/>
    <w:basedOn w:val="1"/>
    <w:link w:val="119"/>
    <w:qFormat/>
    <w:uiPriority w:val="0"/>
    <w:pPr>
      <w:spacing w:after="120"/>
    </w:pPr>
    <w:rPr>
      <w:sz w:val="16"/>
      <w:szCs w:val="16"/>
    </w:rPr>
  </w:style>
  <w:style w:type="paragraph" w:styleId="12">
    <w:name w:val="Body Text"/>
    <w:basedOn w:val="1"/>
    <w:link w:val="120"/>
    <w:qFormat/>
    <w:uiPriority w:val="0"/>
    <w:pPr>
      <w:spacing w:line="360" w:lineRule="auto"/>
    </w:pPr>
    <w:rPr>
      <w:szCs w:val="20"/>
    </w:rPr>
  </w:style>
  <w:style w:type="paragraph" w:styleId="13">
    <w:name w:val="Body Text Indent"/>
    <w:basedOn w:val="1"/>
    <w:link w:val="121"/>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97"/>
    <w:qFormat/>
    <w:uiPriority w:val="0"/>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106"/>
    <w:qFormat/>
    <w:uiPriority w:val="0"/>
    <w:rPr>
      <w:rFonts w:ascii="Calibri" w:hAnsi="Calibri"/>
      <w:szCs w:val="20"/>
    </w:rPr>
  </w:style>
  <w:style w:type="paragraph" w:styleId="19">
    <w:name w:val="Balloon Text"/>
    <w:basedOn w:val="1"/>
    <w:link w:val="93"/>
    <w:unhideWhenUsed/>
    <w:qFormat/>
    <w:uiPriority w:val="0"/>
    <w:rPr>
      <w:kern w:val="0"/>
      <w:sz w:val="18"/>
      <w:szCs w:val="18"/>
    </w:rPr>
  </w:style>
  <w:style w:type="paragraph" w:styleId="20">
    <w:name w:val="footer"/>
    <w:basedOn w:val="1"/>
    <w:link w:val="92"/>
    <w:unhideWhenUsed/>
    <w:qFormat/>
    <w:uiPriority w:val="0"/>
    <w:pPr>
      <w:tabs>
        <w:tab w:val="center" w:pos="4153"/>
        <w:tab w:val="right" w:pos="8306"/>
      </w:tabs>
      <w:snapToGrid w:val="0"/>
      <w:jc w:val="left"/>
    </w:pPr>
    <w:rPr>
      <w:sz w:val="18"/>
      <w:szCs w:val="18"/>
    </w:rPr>
  </w:style>
  <w:style w:type="paragraph" w:styleId="21">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22"/>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8"/>
    <w:qFormat/>
    <w:uiPriority w:val="0"/>
    <w:pPr>
      <w:spacing w:after="120" w:line="480" w:lineRule="auto"/>
    </w:pPr>
  </w:style>
  <w:style w:type="paragraph" w:styleId="31">
    <w:name w:val="HTML Preformatted"/>
    <w:basedOn w:val="1"/>
    <w:link w:val="110"/>
    <w:qFormat/>
    <w:uiPriority w:val="99"/>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118"/>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96"/>
    <w:unhideWhenUsed/>
    <w:qFormat/>
    <w:uiPriority w:val="0"/>
    <w:rPr>
      <w:b/>
      <w:bCs/>
    </w:rPr>
  </w:style>
  <w:style w:type="paragraph" w:styleId="35">
    <w:name w:val="Body Text First Indent"/>
    <w:basedOn w:val="12"/>
    <w:link w:val="123"/>
    <w:qFormat/>
    <w:uiPriority w:val="0"/>
    <w:pPr>
      <w:spacing w:after="120" w:line="240" w:lineRule="auto"/>
      <w:ind w:firstLine="420" w:firstLineChars="100"/>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列表段落1"/>
    <w:basedOn w:val="1"/>
    <w:link w:val="94"/>
    <w:qFormat/>
    <w:uiPriority w:val="0"/>
    <w:pPr>
      <w:ind w:firstLine="420" w:firstLineChars="200"/>
    </w:pPr>
  </w:style>
  <w:style w:type="paragraph" w:customStyle="1" w:styleId="45">
    <w:name w:val="列出段落1"/>
    <w:basedOn w:val="1"/>
    <w:qFormat/>
    <w:uiPriority w:val="0"/>
    <w:pPr>
      <w:ind w:firstLine="420" w:firstLineChars="200"/>
    </w:pPr>
  </w:style>
  <w:style w:type="paragraph" w:customStyle="1" w:styleId="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1"/>
    <w:basedOn w:val="1"/>
    <w:link w:val="101"/>
    <w:qFormat/>
    <w:uiPriority w:val="0"/>
    <w:rPr>
      <w:rFonts w:ascii="宋体" w:hAnsi="Courier New"/>
      <w:kern w:val="0"/>
      <w:sz w:val="20"/>
      <w:szCs w:val="20"/>
    </w:rPr>
  </w:style>
  <w:style w:type="paragraph" w:customStyle="1" w:styleId="48">
    <w:name w:val="列表段落2"/>
    <w:basedOn w:val="1"/>
    <w:qFormat/>
    <w:uiPriority w:val="34"/>
    <w:pPr>
      <w:ind w:firstLine="420" w:firstLineChars="200"/>
    </w:pPr>
  </w:style>
  <w:style w:type="paragraph" w:customStyle="1" w:styleId="49">
    <w:name w:val="表格文字"/>
    <w:basedOn w:val="1"/>
    <w:qFormat/>
    <w:uiPriority w:val="0"/>
    <w:pPr>
      <w:jc w:val="left"/>
    </w:pPr>
    <w:rPr>
      <w:rFonts w:ascii="Calibri" w:hAnsi="Calibri"/>
      <w:bCs/>
      <w:spacing w:val="10"/>
      <w:kern w:val="0"/>
      <w:sz w:val="24"/>
      <w:szCs w:val="20"/>
    </w:rPr>
  </w:style>
  <w:style w:type="paragraph" w:customStyle="1" w:styleId="50">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1">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7">
    <w:name w:val="Char Char2 Char"/>
    <w:basedOn w:val="1"/>
    <w:qFormat/>
    <w:uiPriority w:val="0"/>
    <w:rPr>
      <w:rFonts w:ascii="宋体" w:hAnsi="宋体"/>
      <w:b/>
      <w:sz w:val="28"/>
      <w:szCs w:val="28"/>
    </w:rPr>
  </w:style>
  <w:style w:type="paragraph" w:customStyle="1" w:styleId="58">
    <w:name w:val="Char Char Char Char Char Char Char Char Char Char"/>
    <w:basedOn w:val="1"/>
    <w:qFormat/>
    <w:uiPriority w:val="0"/>
    <w:rPr>
      <w:rFonts w:ascii="Tahoma" w:hAnsi="Tahoma"/>
      <w:sz w:val="24"/>
      <w:szCs w:val="20"/>
    </w:rPr>
  </w:style>
  <w:style w:type="paragraph" w:customStyle="1" w:styleId="59">
    <w:name w:val="Char Char Char Char Char Char Char"/>
    <w:basedOn w:val="1"/>
    <w:qFormat/>
    <w:uiPriority w:val="0"/>
    <w:pPr>
      <w:tabs>
        <w:tab w:val="left" w:pos="425"/>
      </w:tabs>
      <w:ind w:left="425" w:hanging="425"/>
    </w:pPr>
    <w:rPr>
      <w:rFonts w:eastAsia="仿宋_GB2312"/>
      <w:kern w:val="24"/>
      <w:sz w:val="24"/>
    </w:rPr>
  </w:style>
  <w:style w:type="paragraph" w:customStyle="1" w:styleId="60">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65">
    <w:name w:val="_Style 2"/>
    <w:basedOn w:val="1"/>
    <w:qFormat/>
    <w:uiPriority w:val="34"/>
    <w:pPr>
      <w:ind w:firstLine="420" w:firstLineChars="200"/>
    </w:pPr>
  </w:style>
  <w:style w:type="paragraph" w:customStyle="1" w:styleId="66">
    <w:name w:val="Char Char1"/>
    <w:basedOn w:val="1"/>
    <w:qFormat/>
    <w:uiPriority w:val="0"/>
    <w:rPr>
      <w:rFonts w:ascii="宋体" w:hAnsi="宋体"/>
      <w:b/>
      <w:sz w:val="28"/>
      <w:szCs w:val="28"/>
    </w:rPr>
  </w:style>
  <w:style w:type="paragraph" w:customStyle="1" w:styleId="67">
    <w:name w:val="默认段落字体 Para Char"/>
    <w:basedOn w:val="1"/>
    <w:qFormat/>
    <w:uiPriority w:val="0"/>
    <w:rPr>
      <w:rFonts w:ascii="宋体" w:hAnsi="宋体"/>
      <w:b/>
      <w:sz w:val="28"/>
      <w:szCs w:val="28"/>
    </w:rPr>
  </w:style>
  <w:style w:type="paragraph" w:customStyle="1" w:styleId="68">
    <w:name w:val="办公自动化专用标题"/>
    <w:basedOn w:val="33"/>
    <w:qFormat/>
    <w:uiPriority w:val="0"/>
    <w:pPr>
      <w:spacing w:line="560" w:lineRule="atLeast"/>
    </w:pPr>
    <w:rPr>
      <w:rFonts w:ascii="宋体" w:cs="Times New Roman"/>
      <w:bCs w:val="0"/>
      <w:sz w:val="44"/>
      <w:szCs w:val="20"/>
    </w:rPr>
  </w:style>
  <w:style w:type="paragraph" w:customStyle="1" w:styleId="69">
    <w:name w:val="_Style 1"/>
    <w:basedOn w:val="1"/>
    <w:qFormat/>
    <w:uiPriority w:val="34"/>
    <w:pPr>
      <w:ind w:firstLine="420" w:firstLineChars="200"/>
    </w:pPr>
  </w:style>
  <w:style w:type="paragraph" w:customStyle="1" w:styleId="70">
    <w:name w:val="p0"/>
    <w:basedOn w:val="1"/>
    <w:qFormat/>
    <w:uiPriority w:val="0"/>
    <w:pPr>
      <w:widowControl/>
    </w:pPr>
    <w:rPr>
      <w:kern w:val="0"/>
      <w:szCs w:val="21"/>
    </w:rPr>
  </w:style>
  <w:style w:type="paragraph" w:customStyle="1" w:styleId="7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72">
    <w:name w:val="HLegal 2"/>
    <w:basedOn w:val="1"/>
    <w:qFormat/>
    <w:uiPriority w:val="0"/>
    <w:pPr>
      <w:widowControl/>
      <w:spacing w:beforeLines="50" w:afterLines="50" w:line="300" w:lineRule="auto"/>
      <w:ind w:left="1"/>
      <w:jc w:val="left"/>
    </w:pPr>
    <w:rPr>
      <w:rFonts w:ascii="宋体" w:hAnsi="宋体" w:cs="宋体"/>
      <w:bCs/>
      <w:kern w:val="0"/>
      <w:sz w:val="24"/>
    </w:rPr>
  </w:style>
  <w:style w:type="paragraph" w:customStyle="1" w:styleId="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题注4"/>
    <w:basedOn w:val="1"/>
    <w:next w:val="8"/>
    <w:qFormat/>
    <w:uiPriority w:val="0"/>
    <w:pPr>
      <w:ind w:left="-132" w:leftChars="-64" w:right="-105" w:rightChars="-50" w:hanging="2"/>
      <w:jc w:val="center"/>
    </w:pPr>
    <w:rPr>
      <w:b/>
      <w:color w:val="FF0000"/>
      <w:szCs w:val="21"/>
    </w:rPr>
  </w:style>
  <w:style w:type="paragraph" w:customStyle="1" w:styleId="75">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7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0">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2">
    <w:name w:val="题注5"/>
    <w:basedOn w:val="1"/>
    <w:next w:val="8"/>
    <w:qFormat/>
    <w:uiPriority w:val="0"/>
    <w:pPr>
      <w:jc w:val="center"/>
    </w:pPr>
    <w:rPr>
      <w:b/>
      <w:color w:val="000000"/>
      <w:sz w:val="24"/>
      <w:szCs w:val="21"/>
    </w:rPr>
  </w:style>
  <w:style w:type="paragraph" w:customStyle="1" w:styleId="83">
    <w:name w:val="修订1"/>
    <w:hidden/>
    <w:unhideWhenUsed/>
    <w:qFormat/>
    <w:uiPriority w:val="99"/>
    <w:rPr>
      <w:rFonts w:ascii="Calibri" w:hAnsi="Calibri" w:eastAsia="宋体" w:cs="Times New Roman"/>
      <w:kern w:val="2"/>
      <w:sz w:val="21"/>
      <w:szCs w:val="24"/>
      <w:lang w:val="en-US" w:eastAsia="zh-CN" w:bidi="ar-SA"/>
    </w:rPr>
  </w:style>
  <w:style w:type="paragraph" w:customStyle="1" w:styleId="84">
    <w:name w:val="_Style 95"/>
    <w:basedOn w:val="1"/>
    <w:next w:val="48"/>
    <w:qFormat/>
    <w:uiPriority w:val="0"/>
    <w:pPr>
      <w:ind w:firstLine="420" w:firstLineChars="200"/>
    </w:pPr>
    <w:rPr>
      <w:rFonts w:ascii="Calibri" w:hAnsi="Calibri"/>
      <w:szCs w:val="22"/>
    </w:rPr>
  </w:style>
  <w:style w:type="paragraph" w:customStyle="1" w:styleId="85">
    <w:name w:val="_Style 126"/>
    <w:basedOn w:val="1"/>
    <w:next w:val="48"/>
    <w:qFormat/>
    <w:uiPriority w:val="34"/>
    <w:pPr>
      <w:ind w:firstLine="420" w:firstLineChars="200"/>
    </w:pPr>
    <w:rPr>
      <w:rFonts w:ascii="Calibri" w:hAnsi="Calibri"/>
      <w:szCs w:val="22"/>
    </w:rPr>
  </w:style>
  <w:style w:type="paragraph" w:customStyle="1" w:styleId="86">
    <w:name w:val="4"/>
    <w:basedOn w:val="1"/>
    <w:next w:val="1"/>
    <w:qFormat/>
    <w:uiPriority w:val="0"/>
    <w:pPr>
      <w:spacing w:after="120"/>
    </w:pPr>
    <w:rPr>
      <w:szCs w:val="20"/>
    </w:rPr>
  </w:style>
  <w:style w:type="paragraph" w:customStyle="1" w:styleId="87">
    <w:name w:val="_Style 128"/>
    <w:basedOn w:val="1"/>
    <w:next w:val="48"/>
    <w:qFormat/>
    <w:uiPriority w:val="34"/>
    <w:pPr>
      <w:ind w:firstLine="420" w:firstLineChars="200"/>
    </w:pPr>
    <w:rPr>
      <w:rFonts w:ascii="Calibri" w:hAnsi="Calibri"/>
      <w:szCs w:val="22"/>
    </w:rPr>
  </w:style>
  <w:style w:type="paragraph" w:customStyle="1" w:styleId="8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列出段落2"/>
    <w:basedOn w:val="1"/>
    <w:qFormat/>
    <w:uiPriority w:val="99"/>
    <w:pPr>
      <w:ind w:firstLine="420" w:firstLineChars="200"/>
    </w:pPr>
    <w:rPr>
      <w:szCs w:val="21"/>
    </w:rPr>
  </w:style>
  <w:style w:type="paragraph" w:customStyle="1" w:styleId="90">
    <w:name w:val="HTML 预设格式3"/>
    <w:basedOn w:val="1"/>
    <w:qFormat/>
    <w:uiPriority w:val="0"/>
    <w:pPr>
      <w:widowControl/>
      <w:jc w:val="left"/>
    </w:pPr>
    <w:rPr>
      <w:rFonts w:hint="eastAsia" w:ascii="黑体" w:hAnsi="Courier New" w:eastAsia="黑体"/>
      <w:szCs w:val="21"/>
    </w:rPr>
  </w:style>
  <w:style w:type="character" w:customStyle="1" w:styleId="91">
    <w:name w:val="页眉 Char"/>
    <w:link w:val="21"/>
    <w:qFormat/>
    <w:uiPriority w:val="99"/>
    <w:rPr>
      <w:rFonts w:ascii="Times New Roman" w:hAnsi="Times New Roman"/>
      <w:kern w:val="2"/>
      <w:sz w:val="18"/>
      <w:szCs w:val="18"/>
    </w:rPr>
  </w:style>
  <w:style w:type="character" w:customStyle="1" w:styleId="92">
    <w:name w:val="页脚 Char"/>
    <w:link w:val="20"/>
    <w:qFormat/>
    <w:uiPriority w:val="99"/>
    <w:rPr>
      <w:rFonts w:ascii="Times New Roman" w:hAnsi="Times New Roman"/>
      <w:kern w:val="2"/>
      <w:sz w:val="18"/>
      <w:szCs w:val="18"/>
    </w:rPr>
  </w:style>
  <w:style w:type="character" w:customStyle="1" w:styleId="93">
    <w:name w:val="批注框文本 Char"/>
    <w:link w:val="19"/>
    <w:qFormat/>
    <w:uiPriority w:val="0"/>
    <w:rPr>
      <w:rFonts w:ascii="Times New Roman" w:hAnsi="Times New Roman" w:eastAsia="宋体" w:cs="Times New Roman"/>
      <w:sz w:val="18"/>
      <w:szCs w:val="18"/>
    </w:rPr>
  </w:style>
  <w:style w:type="character" w:customStyle="1" w:styleId="94">
    <w:name w:val="列表段落 字符"/>
    <w:link w:val="44"/>
    <w:qFormat/>
    <w:uiPriority w:val="34"/>
    <w:rPr>
      <w:kern w:val="2"/>
      <w:sz w:val="21"/>
      <w:szCs w:val="24"/>
    </w:rPr>
  </w:style>
  <w:style w:type="character" w:customStyle="1" w:styleId="95">
    <w:name w:val="批注文字 Char"/>
    <w:link w:val="10"/>
    <w:qFormat/>
    <w:uiPriority w:val="0"/>
    <w:rPr>
      <w:kern w:val="2"/>
      <w:sz w:val="21"/>
      <w:szCs w:val="24"/>
    </w:rPr>
  </w:style>
  <w:style w:type="character" w:customStyle="1" w:styleId="96">
    <w:name w:val="批注主题 Char"/>
    <w:link w:val="34"/>
    <w:qFormat/>
    <w:uiPriority w:val="0"/>
    <w:rPr>
      <w:b/>
      <w:bCs/>
      <w:kern w:val="2"/>
      <w:sz w:val="21"/>
      <w:szCs w:val="24"/>
    </w:rPr>
  </w:style>
  <w:style w:type="character" w:customStyle="1" w:styleId="97">
    <w:name w:val="纯文本 Char2"/>
    <w:link w:val="16"/>
    <w:qFormat/>
    <w:uiPriority w:val="99"/>
    <w:rPr>
      <w:rFonts w:ascii="宋体" w:hAnsi="Courier New"/>
      <w:szCs w:val="21"/>
    </w:rPr>
  </w:style>
  <w:style w:type="character" w:customStyle="1" w:styleId="98">
    <w:name w:val="文档结构图 Char"/>
    <w:link w:val="9"/>
    <w:qFormat/>
    <w:uiPriority w:val="0"/>
    <w:rPr>
      <w:rFonts w:ascii="宋体"/>
      <w:kern w:val="2"/>
      <w:sz w:val="18"/>
      <w:szCs w:val="18"/>
    </w:rPr>
  </w:style>
  <w:style w:type="character" w:customStyle="1" w:styleId="99">
    <w:name w:val="纯文本 Char"/>
    <w:semiHidden/>
    <w:qFormat/>
    <w:uiPriority w:val="99"/>
    <w:rPr>
      <w:rFonts w:ascii="宋体" w:hAnsi="Courier New"/>
      <w:kern w:val="2"/>
      <w:sz w:val="21"/>
    </w:rPr>
  </w:style>
  <w:style w:type="character" w:customStyle="1" w:styleId="100">
    <w:name w:val="列出段落 Char"/>
    <w:qFormat/>
    <w:locked/>
    <w:uiPriority w:val="99"/>
  </w:style>
  <w:style w:type="character" w:customStyle="1" w:styleId="101">
    <w:name w:val="纯文本 Char1"/>
    <w:link w:val="47"/>
    <w:qFormat/>
    <w:locked/>
    <w:uiPriority w:val="99"/>
    <w:rPr>
      <w:rFonts w:ascii="宋体" w:hAnsi="Courier New"/>
    </w:rPr>
  </w:style>
  <w:style w:type="character" w:customStyle="1" w:styleId="102">
    <w:name w:val="标题 1 Char"/>
    <w:link w:val="2"/>
    <w:qFormat/>
    <w:uiPriority w:val="0"/>
    <w:rPr>
      <w:rFonts w:ascii="宋体" w:hAnsi="宋体"/>
      <w:b/>
      <w:kern w:val="44"/>
      <w:sz w:val="48"/>
      <w:szCs w:val="48"/>
    </w:rPr>
  </w:style>
  <w:style w:type="character" w:customStyle="1" w:styleId="103">
    <w:name w:val="标题 2 Char1"/>
    <w:link w:val="3"/>
    <w:qFormat/>
    <w:uiPriority w:val="0"/>
    <w:rPr>
      <w:rFonts w:ascii="Arial" w:hAnsi="Arial" w:eastAsia="黑体"/>
      <w:b/>
      <w:kern w:val="2"/>
      <w:sz w:val="32"/>
      <w:szCs w:val="24"/>
    </w:rPr>
  </w:style>
  <w:style w:type="character" w:customStyle="1" w:styleId="104">
    <w:name w:val="标题 3 Char"/>
    <w:link w:val="4"/>
    <w:qFormat/>
    <w:uiPriority w:val="0"/>
    <w:rPr>
      <w:rFonts w:ascii="宋体" w:hAnsi="宋体"/>
      <w:b/>
      <w:sz w:val="27"/>
      <w:szCs w:val="27"/>
    </w:rPr>
  </w:style>
  <w:style w:type="character" w:customStyle="1" w:styleId="105">
    <w:name w:val="标题 4 Char"/>
    <w:link w:val="5"/>
    <w:qFormat/>
    <w:uiPriority w:val="0"/>
    <w:rPr>
      <w:rFonts w:ascii="Arial" w:hAnsi="Arial" w:eastAsia="黑体"/>
      <w:b/>
      <w:kern w:val="2"/>
      <w:sz w:val="28"/>
      <w:szCs w:val="24"/>
    </w:rPr>
  </w:style>
  <w:style w:type="character" w:customStyle="1" w:styleId="106">
    <w:name w:val="日期 Char"/>
    <w:link w:val="18"/>
    <w:qFormat/>
    <w:uiPriority w:val="0"/>
    <w:rPr>
      <w:rFonts w:ascii="Calibri" w:hAnsi="Calibri"/>
      <w:kern w:val="2"/>
      <w:sz w:val="21"/>
    </w:rPr>
  </w:style>
  <w:style w:type="character" w:customStyle="1" w:styleId="107">
    <w:name w:val="A4"/>
    <w:qFormat/>
    <w:uiPriority w:val="0"/>
    <w:rPr>
      <w:rFonts w:hint="eastAsia" w:ascii="新宋体" w:hAnsi="新宋体" w:eastAsia="新宋体" w:cs="新宋体"/>
      <w:color w:val="000000"/>
    </w:rPr>
  </w:style>
  <w:style w:type="character" w:customStyle="1" w:styleId="108">
    <w:name w:val="纯文本 Char Char1"/>
    <w:qFormat/>
    <w:uiPriority w:val="0"/>
    <w:rPr>
      <w:rFonts w:ascii="宋体" w:hAnsi="Courier New" w:eastAsia="宋体"/>
      <w:kern w:val="2"/>
      <w:sz w:val="21"/>
      <w:szCs w:val="24"/>
      <w:lang w:val="en-US" w:eastAsia="zh-CN" w:bidi="ar-SA"/>
    </w:rPr>
  </w:style>
  <w:style w:type="character" w:customStyle="1" w:styleId="109">
    <w:name w:val="文档结构图 字符1"/>
    <w:semiHidden/>
    <w:qFormat/>
    <w:uiPriority w:val="0"/>
    <w:rPr>
      <w:rFonts w:ascii="Microsoft YaHei UI" w:hAnsi="Calibri" w:eastAsia="Microsoft YaHei UI"/>
      <w:kern w:val="2"/>
      <w:sz w:val="18"/>
      <w:szCs w:val="18"/>
    </w:rPr>
  </w:style>
  <w:style w:type="character" w:customStyle="1" w:styleId="110">
    <w:name w:val="HTML 预设格式 Char2"/>
    <w:link w:val="31"/>
    <w:qFormat/>
    <w:uiPriority w:val="99"/>
    <w:rPr>
      <w:rFonts w:ascii="黑体" w:hAnsi="Courier New" w:eastAsia="黑体" w:cs="Courier New"/>
      <w:szCs w:val="21"/>
    </w:rPr>
  </w:style>
  <w:style w:type="character" w:customStyle="1" w:styleId="111">
    <w:name w:val="HTML 预设格式 字符1"/>
    <w:qFormat/>
    <w:uiPriority w:val="0"/>
    <w:rPr>
      <w:rFonts w:ascii="Courier New" w:hAnsi="Courier New" w:cs="Courier New"/>
      <w:kern w:val="2"/>
    </w:rPr>
  </w:style>
  <w:style w:type="character" w:customStyle="1" w:styleId="112">
    <w:name w:val="font141"/>
    <w:basedOn w:val="38"/>
    <w:qFormat/>
    <w:uiPriority w:val="0"/>
  </w:style>
  <w:style w:type="character" w:customStyle="1" w:styleId="113">
    <w:name w:val="HTML 预设格式 Char1"/>
    <w:qFormat/>
    <w:uiPriority w:val="0"/>
    <w:rPr>
      <w:rFonts w:ascii="Courier New" w:hAnsi="Courier New" w:cs="Courier New"/>
      <w:kern w:val="2"/>
    </w:rPr>
  </w:style>
  <w:style w:type="character" w:customStyle="1" w:styleId="114">
    <w:name w:val="small"/>
    <w:basedOn w:val="38"/>
    <w:qFormat/>
    <w:uiPriority w:val="0"/>
  </w:style>
  <w:style w:type="character" w:customStyle="1" w:styleId="115">
    <w:name w:val="正文缩进 Char"/>
    <w:link w:val="7"/>
    <w:qFormat/>
    <w:uiPriority w:val="0"/>
    <w:rPr>
      <w:kern w:val="2"/>
      <w:sz w:val="21"/>
    </w:rPr>
  </w:style>
  <w:style w:type="character" w:customStyle="1" w:styleId="116">
    <w:name w:val="bold1"/>
    <w:qFormat/>
    <w:uiPriority w:val="0"/>
    <w:rPr>
      <w:b/>
      <w:bCs/>
      <w:shd w:val="clear" w:color="auto" w:fill="FFFFFF"/>
    </w:rPr>
  </w:style>
  <w:style w:type="character" w:customStyle="1" w:styleId="117">
    <w:name w:val="标题 2 Char"/>
    <w:qFormat/>
    <w:uiPriority w:val="0"/>
    <w:rPr>
      <w:rFonts w:ascii="Arial" w:hAnsi="Arial" w:eastAsia="黑体"/>
      <w:b/>
      <w:bCs/>
      <w:kern w:val="2"/>
      <w:sz w:val="32"/>
      <w:szCs w:val="32"/>
      <w:lang w:val="en-US" w:eastAsia="zh-CN" w:bidi="ar-SA"/>
    </w:rPr>
  </w:style>
  <w:style w:type="character" w:customStyle="1" w:styleId="118">
    <w:name w:val="标题 Char"/>
    <w:link w:val="33"/>
    <w:qFormat/>
    <w:uiPriority w:val="0"/>
    <w:rPr>
      <w:rFonts w:ascii="Arial" w:hAnsi="Arial" w:cs="Arial"/>
      <w:b/>
      <w:bCs/>
      <w:kern w:val="2"/>
      <w:sz w:val="32"/>
      <w:szCs w:val="32"/>
    </w:rPr>
  </w:style>
  <w:style w:type="character" w:customStyle="1" w:styleId="119">
    <w:name w:val="正文文本 3 Char"/>
    <w:link w:val="11"/>
    <w:qFormat/>
    <w:uiPriority w:val="0"/>
    <w:rPr>
      <w:kern w:val="2"/>
      <w:sz w:val="16"/>
      <w:szCs w:val="16"/>
    </w:rPr>
  </w:style>
  <w:style w:type="character" w:customStyle="1" w:styleId="120">
    <w:name w:val="正文文本 Char"/>
    <w:link w:val="12"/>
    <w:qFormat/>
    <w:uiPriority w:val="0"/>
    <w:rPr>
      <w:kern w:val="2"/>
      <w:sz w:val="21"/>
    </w:rPr>
  </w:style>
  <w:style w:type="character" w:customStyle="1" w:styleId="121">
    <w:name w:val="正文文本缩进 Char"/>
    <w:link w:val="13"/>
    <w:qFormat/>
    <w:uiPriority w:val="0"/>
    <w:rPr>
      <w:rFonts w:ascii="仿宋_GB2312" w:eastAsia="仿宋_GB2312"/>
      <w:kern w:val="2"/>
      <w:sz w:val="32"/>
    </w:rPr>
  </w:style>
  <w:style w:type="character" w:customStyle="1" w:styleId="122">
    <w:name w:val="正文文本缩进 3 Char"/>
    <w:link w:val="27"/>
    <w:qFormat/>
    <w:uiPriority w:val="0"/>
    <w:rPr>
      <w:kern w:val="2"/>
      <w:sz w:val="21"/>
    </w:rPr>
  </w:style>
  <w:style w:type="character" w:customStyle="1" w:styleId="123">
    <w:name w:val="正文首行缩进 Char"/>
    <w:link w:val="35"/>
    <w:qFormat/>
    <w:uiPriority w:val="0"/>
    <w:rPr>
      <w:kern w:val="2"/>
      <w:sz w:val="21"/>
      <w:szCs w:val="24"/>
    </w:rPr>
  </w:style>
  <w:style w:type="character" w:customStyle="1" w:styleId="124">
    <w:name w:val="页眉 字符1"/>
    <w:semiHidden/>
    <w:qFormat/>
    <w:uiPriority w:val="99"/>
    <w:rPr>
      <w:kern w:val="2"/>
      <w:sz w:val="18"/>
      <w:szCs w:val="18"/>
    </w:rPr>
  </w:style>
  <w:style w:type="character" w:customStyle="1" w:styleId="125">
    <w:name w:val="页脚 字符1"/>
    <w:semiHidden/>
    <w:qFormat/>
    <w:uiPriority w:val="99"/>
    <w:rPr>
      <w:kern w:val="2"/>
      <w:sz w:val="18"/>
      <w:szCs w:val="18"/>
    </w:rPr>
  </w:style>
  <w:style w:type="character" w:customStyle="1" w:styleId="126">
    <w:name w:val="批注框文本 字符1"/>
    <w:semiHidden/>
    <w:qFormat/>
    <w:uiPriority w:val="99"/>
    <w:rPr>
      <w:kern w:val="2"/>
      <w:sz w:val="18"/>
      <w:szCs w:val="18"/>
    </w:rPr>
  </w:style>
  <w:style w:type="character" w:customStyle="1" w:styleId="127">
    <w:name w:val="普通文字1 Char"/>
    <w:qFormat/>
    <w:uiPriority w:val="0"/>
    <w:rPr>
      <w:rFonts w:ascii="宋体" w:hAnsi="Courier New" w:eastAsia="宋体" w:cs="Courier New"/>
      <w:kern w:val="2"/>
      <w:sz w:val="21"/>
      <w:szCs w:val="21"/>
      <w:lang w:val="en-US" w:eastAsia="zh-CN" w:bidi="ar-SA"/>
    </w:rPr>
  </w:style>
  <w:style w:type="character" w:customStyle="1" w:styleId="128">
    <w:name w:val="正文文本 2 Char"/>
    <w:link w:val="30"/>
    <w:qFormat/>
    <w:uiPriority w:val="0"/>
    <w:rPr>
      <w:kern w:val="2"/>
      <w:sz w:val="21"/>
      <w:szCs w:val="24"/>
    </w:rPr>
  </w:style>
  <w:style w:type="character" w:customStyle="1" w:styleId="129">
    <w:name w:val="HTML 预设格式 Char"/>
    <w:qFormat/>
    <w:uiPriority w:val="99"/>
    <w:rPr>
      <w:rFonts w:ascii="黑体" w:hAnsi="Courier New" w:eastAsia="黑体" w:cs="Courier New"/>
    </w:rPr>
  </w:style>
  <w:style w:type="table" w:customStyle="1" w:styleId="130">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1">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
    <w:name w:val="列表段落3"/>
    <w:basedOn w:val="1"/>
    <w:qFormat/>
    <w:uiPriority w:val="34"/>
    <w:pPr>
      <w:ind w:firstLine="420" w:firstLineChars="200"/>
    </w:pPr>
  </w:style>
  <w:style w:type="paragraph" w:customStyle="1" w:styleId="13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36">
    <w:name w:val="样式"/>
    <w:basedOn w:val="7"/>
    <w:qFormat/>
    <w:uiPriority w:val="0"/>
    <w:pPr>
      <w:spacing w:line="360" w:lineRule="auto"/>
      <w:ind w:firstLine="0"/>
    </w:pPr>
    <w:rPr>
      <w:rFonts w:ascii="宋体" w:hAnsi="宋体" w:cs="Arial"/>
      <w:b/>
      <w:color w:val="000000"/>
      <w:kern w:val="0"/>
      <w:sz w:val="24"/>
      <w:szCs w:val="24"/>
    </w:rPr>
  </w:style>
  <w:style w:type="paragraph" w:customStyle="1" w:styleId="13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List Paragraph1"/>
    <w:basedOn w:val="1"/>
    <w:qFormat/>
    <w:uiPriority w:val="0"/>
    <w:pPr>
      <w:adjustRightInd w:val="0"/>
      <w:ind w:firstLine="420" w:firstLineChars="200"/>
      <w:jc w:val="left"/>
    </w:pPr>
    <w:rPr>
      <w:kern w:val="0"/>
      <w:szCs w:val="20"/>
    </w:rPr>
  </w:style>
  <w:style w:type="paragraph" w:customStyle="1" w:styleId="142">
    <w:name w:val="纯文本2"/>
    <w:basedOn w:val="1"/>
    <w:qFormat/>
    <w:uiPriority w:val="0"/>
    <w:rPr>
      <w:rFonts w:ascii="宋体" w:hAnsi="Courier New"/>
      <w:kern w:val="0"/>
      <w:sz w:val="20"/>
      <w:szCs w:val="21"/>
    </w:rPr>
  </w:style>
  <w:style w:type="paragraph" w:customStyle="1" w:styleId="143">
    <w:name w:val="样式1"/>
    <w:basedOn w:val="1"/>
    <w:qFormat/>
    <w:uiPriority w:val="0"/>
    <w:pPr>
      <w:jc w:val="left"/>
    </w:pPr>
    <w:rPr>
      <w:rFonts w:ascii="Calibri" w:hAnsi="Calibri"/>
      <w:sz w:val="24"/>
      <w:szCs w:val="22"/>
    </w:rPr>
  </w:style>
  <w:style w:type="paragraph" w:customStyle="1" w:styleId="144">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45">
    <w:name w:val="正文_0_1"/>
    <w:qFormat/>
    <w:uiPriority w:val="99"/>
    <w:pPr>
      <w:widowControl w:val="0"/>
      <w:jc w:val="both"/>
    </w:pPr>
    <w:rPr>
      <w:rFonts w:ascii="Calibri" w:hAnsi="Calibri" w:eastAsia="宋体" w:cs="Calibri"/>
      <w:kern w:val="2"/>
      <w:sz w:val="21"/>
      <w:szCs w:val="21"/>
      <w:lang w:val="en-US" w:eastAsia="zh-CN" w:bidi="ar-SA"/>
    </w:rPr>
  </w:style>
  <w:style w:type="paragraph" w:customStyle="1" w:styleId="146">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147">
    <w:name w:val="15"/>
    <w:basedOn w:val="38"/>
    <w:qFormat/>
    <w:uiPriority w:val="0"/>
    <w:rPr>
      <w:rFonts w:hint="default" w:ascii="Times New Roman" w:hAnsi="Times New Roman" w:cs="Times New Roman"/>
      <w:color w:val="0000FF"/>
      <w:u w:val="single"/>
    </w:rPr>
  </w:style>
  <w:style w:type="paragraph" w:styleId="148">
    <w:name w:val="List Paragraph"/>
    <w:basedOn w:val="1"/>
    <w:qFormat/>
    <w:uiPriority w:val="34"/>
    <w:pPr>
      <w:ind w:firstLine="420" w:firstLineChars="200"/>
    </w:pPr>
  </w:style>
  <w:style w:type="paragraph" w:customStyle="1" w:styleId="149">
    <w:name w:val="列出段落11"/>
    <w:basedOn w:val="1"/>
    <w:autoRedefine/>
    <w:qFormat/>
    <w:uiPriority w:val="34"/>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A3E8-62D1-4582-93E9-C23AC5E3A5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12535</Words>
  <Characters>13080</Characters>
  <Lines>102</Lines>
  <Paragraphs>28</Paragraphs>
  <TotalTime>29</TotalTime>
  <ScaleCrop>false</ScaleCrop>
  <LinksUpToDate>false</LinksUpToDate>
  <CharactersWithSpaces>13326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2024-01-12T09:12:00Z</dcterms:created>
  <dc:creator>Administrator</dc:creator>
  <cp:lastModifiedBy>代理机构</cp:lastModifiedBy>
  <dcterms:modified xsi:type="dcterms:W3CDTF">2024-10-10T08:27:22Z</dcterms:modified>
  <dc:title>竞价文件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A2F4EB35DDA24D788037071AEEDB92C8_13</vt:lpwstr>
  </property>
</Properties>
</file>