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napToGrid w:val="0"/>
        <w:spacing w:before="156" w:beforeLines="50"/>
        <w:jc w:val="center"/>
        <w:rPr>
          <w:rFonts w:ascii="宋体" w:hAnsi="宋体" w:cs="Calibri"/>
          <w:b/>
          <w:color w:val="000000" w:themeColor="text1"/>
          <w:sz w:val="84"/>
          <w:szCs w:val="84"/>
          <w14:textFill>
            <w14:solidFill>
              <w14:schemeClr w14:val="tx1"/>
            </w14:solidFill>
          </w14:textFill>
        </w:rPr>
      </w:pPr>
    </w:p>
    <w:p>
      <w:pPr>
        <w:pStyle w:val="46"/>
        <w:snapToGrid w:val="0"/>
        <w:spacing w:before="156" w:beforeLines="50"/>
        <w:jc w:val="center"/>
        <w:rPr>
          <w:rFonts w:ascii="宋体" w:hAnsi="宋体" w:cs="Calibri"/>
          <w:b/>
          <w:color w:val="000000" w:themeColor="text1"/>
          <w:sz w:val="84"/>
          <w:szCs w:val="84"/>
          <w14:textFill>
            <w14:solidFill>
              <w14:schemeClr w14:val="tx1"/>
            </w14:solidFill>
          </w14:textFill>
        </w:rPr>
      </w:pPr>
    </w:p>
    <w:p>
      <w:pPr>
        <w:pStyle w:val="46"/>
        <w:snapToGrid w:val="0"/>
        <w:spacing w:before="156" w:beforeLines="50"/>
        <w:jc w:val="center"/>
        <w:rPr>
          <w:rFonts w:ascii="宋体" w:hAnsi="宋体"/>
          <w:b/>
          <w:bCs/>
          <w:color w:val="000000" w:themeColor="text1"/>
          <w:sz w:val="84"/>
          <w:szCs w:val="84"/>
          <w14:textFill>
            <w14:solidFill>
              <w14:schemeClr w14:val="tx1"/>
            </w14:solidFill>
          </w14:textFill>
        </w:rPr>
      </w:pPr>
      <w:r>
        <w:rPr>
          <w:rFonts w:hint="eastAsia" w:ascii="宋体" w:hAnsi="宋体" w:cs="Calibri"/>
          <w:b/>
          <w:color w:val="000000" w:themeColor="text1"/>
          <w:sz w:val="84"/>
          <w:szCs w:val="84"/>
          <w14:textFill>
            <w14:solidFill>
              <w14:schemeClr w14:val="tx1"/>
            </w14:solidFill>
          </w14:textFill>
        </w:rPr>
        <w:t>竞价文件</w:t>
      </w:r>
    </w:p>
    <w:p>
      <w:pPr>
        <w:pStyle w:val="46"/>
        <w:spacing w:line="360" w:lineRule="auto"/>
        <w:jc w:val="center"/>
        <w:rPr>
          <w:rFonts w:ascii="宋体" w:hAnsi="宋体" w:cs="Calibri"/>
          <w:b/>
          <w:bCs/>
          <w:color w:val="000000" w:themeColor="text1"/>
          <w:sz w:val="24"/>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jc w:val="left"/>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采购方式：线上竞价</w:t>
      </w:r>
    </w:p>
    <w:p>
      <w:pPr>
        <w:pStyle w:val="10"/>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项目名称</w:t>
      </w:r>
      <w:r>
        <w:rPr>
          <w:rFonts w:hint="eastAsia" w:ascii="宋体" w:hAnsi="宋体" w:cs="Calibri"/>
          <w:b/>
          <w:bCs/>
          <w:color w:val="000000" w:themeColor="text1"/>
          <w:szCs w:val="21"/>
          <w14:textFill>
            <w14:solidFill>
              <w14:schemeClr w14:val="tx1"/>
            </w14:solidFill>
          </w14:textFill>
        </w:rPr>
        <w:t>：</w:t>
      </w:r>
      <w:bookmarkStart w:id="0" w:name="_Hlk48529998"/>
      <w:r>
        <w:rPr>
          <w:rFonts w:hint="eastAsia" w:ascii="宋体" w:hAnsi="宋体" w:cs="宋体"/>
          <w:b/>
          <w:bCs/>
          <w:color w:val="000000" w:themeColor="text1"/>
          <w:sz w:val="28"/>
          <w:szCs w:val="28"/>
          <w14:textFill>
            <w14:solidFill>
              <w14:schemeClr w14:val="tx1"/>
            </w14:solidFill>
          </w14:textFill>
        </w:rPr>
        <w:t>2023年高明分公司UPS主机购置项目</w:t>
      </w:r>
      <w:r>
        <w:rPr>
          <w:rFonts w:hint="eastAsia" w:ascii="宋体" w:hAnsi="宋体"/>
          <w:b/>
          <w:szCs w:val="21"/>
        </w:rPr>
        <w:t xml:space="preserve"> </w:t>
      </w:r>
    </w:p>
    <w:p>
      <w:pPr>
        <w:pStyle w:val="46"/>
        <w:tabs>
          <w:tab w:val="left" w:pos="2790"/>
        </w:tabs>
        <w:spacing w:line="360" w:lineRule="auto"/>
        <w:ind w:left="1405" w:hanging="1405" w:hangingChars="500"/>
        <w:jc w:val="left"/>
        <w:rPr>
          <w:rFonts w:ascii="宋体" w:hAnsi="宋体" w:cs="华文中宋"/>
          <w:color w:val="000000" w:themeColor="text1"/>
          <w:sz w:val="30"/>
          <w:szCs w:val="30"/>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项目编号：</w:t>
      </w:r>
      <w:bookmarkEnd w:id="0"/>
    </w:p>
    <w:p>
      <w:pPr>
        <w:pStyle w:val="46"/>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pPr>
        <w:pStyle w:val="46"/>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pStyle w:val="46"/>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广东省广播电视网络股份有限公司佛山高明分公司</w:t>
      </w:r>
    </w:p>
    <w:p>
      <w:pPr>
        <w:pStyle w:val="46"/>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采联国际招标采购集团有限公司</w:t>
      </w:r>
    </w:p>
    <w:p>
      <w:pPr>
        <w:pStyle w:val="46"/>
        <w:autoSpaceDE w:val="0"/>
        <w:autoSpaceDN w:val="0"/>
        <w:adjustRightInd w:val="0"/>
        <w:snapToGrid w:val="0"/>
        <w:spacing w:line="360" w:lineRule="auto"/>
        <w:ind w:left="420" w:firstLine="420"/>
        <w:jc w:val="center"/>
        <w:rPr>
          <w:rFonts w:ascii="宋体" w:hAnsi="宋体" w:cs="Calibri"/>
          <w:b/>
          <w:color w:val="000000" w:themeColor="text1"/>
          <w:sz w:val="28"/>
          <w:szCs w:val="22"/>
          <w14:textFill>
            <w14:solidFill>
              <w14:schemeClr w14:val="tx1"/>
            </w14:solidFill>
          </w14:textFill>
        </w:rPr>
      </w:pPr>
      <w:r>
        <w:rPr>
          <w:rFonts w:hint="eastAsia" w:ascii="宋体" w:hAnsi="宋体" w:cs="Calibri"/>
          <w:b/>
          <w:color w:val="000000" w:themeColor="text1"/>
          <w:sz w:val="28"/>
          <w:szCs w:val="21"/>
          <w14:textFill>
            <w14:solidFill>
              <w14:schemeClr w14:val="tx1"/>
            </w14:solidFill>
          </w14:textFill>
        </w:rPr>
        <w:t>二零二四年一月</w:t>
      </w:r>
    </w:p>
    <w:p>
      <w:pPr>
        <w:pStyle w:val="46"/>
        <w:autoSpaceDE w:val="0"/>
        <w:autoSpaceDN w:val="0"/>
        <w:adjustRightInd w:val="0"/>
        <w:snapToGrid w:val="0"/>
        <w:spacing w:line="360" w:lineRule="auto"/>
        <w:ind w:left="420" w:firstLine="420"/>
        <w:jc w:val="center"/>
        <w:rPr>
          <w:rFonts w:ascii="宋体" w:hAnsi="宋体" w:cs="Calibri"/>
          <w:color w:val="000000" w:themeColor="text1"/>
          <w:sz w:val="28"/>
          <w:szCs w:val="21"/>
          <w14:textFill>
            <w14:solidFill>
              <w14:schemeClr w14:val="tx1"/>
            </w14:solidFill>
          </w14:textFill>
        </w:rPr>
      </w:pPr>
    </w:p>
    <w:p>
      <w:pPr>
        <w:jc w:val="center"/>
        <w:outlineLvl w:val="0"/>
        <w:rPr>
          <w:rFonts w:ascii="宋体" w:hAnsi="宋体" w:cs="宋体"/>
          <w:b/>
          <w:bCs/>
          <w:color w:val="000000" w:themeColor="text1"/>
          <w:sz w:val="32"/>
          <w:szCs w:val="32"/>
          <w14:textFill>
            <w14:solidFill>
              <w14:schemeClr w14:val="tx1"/>
            </w14:solidFill>
          </w14:textFill>
        </w:rPr>
      </w:pPr>
      <w:r>
        <w:rPr>
          <w:rFonts w:ascii="宋体" w:hAnsi="宋体"/>
          <w:b/>
          <w:color w:val="000000" w:themeColor="text1"/>
          <w:sz w:val="44"/>
          <w:szCs w:val="4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第一章</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竞价须知</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语言要求</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在云采链平台参与项目竞价后放弃成交资格超过三次（含三次）的供应商连同该供应商同一法人名下所有公司将被列入平台黑名单，永久不得参与平台的项目竞价。  </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竞价须知</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竞价说明</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s="宋体"/>
          <w:color w:val="000000" w:themeColor="text1"/>
          <w:szCs w:val="21"/>
          <w:lang w:eastAsia="zh-TW"/>
          <w14:textFill>
            <w14:solidFill>
              <w14:schemeClr w14:val="tx1"/>
            </w14:solidFill>
          </w14:textFill>
        </w:rPr>
        <w:t>论</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的结果如何</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eastAsia="zh-TW"/>
          <w14:textFill>
            <w14:solidFill>
              <w14:schemeClr w14:val="tx1"/>
            </w14:solidFill>
          </w14:textFill>
        </w:rPr>
        <w:t>人</w:t>
      </w:r>
      <w:r>
        <w:rPr>
          <w:rFonts w:hint="eastAsia" w:ascii="宋体" w:hAnsi="宋体" w:cs="宋体"/>
          <w:color w:val="000000" w:themeColor="text1"/>
          <w:szCs w:val="21"/>
          <w14:textFill>
            <w14:solidFill>
              <w14:schemeClr w14:val="tx1"/>
            </w14:solidFill>
          </w14:textFill>
        </w:rPr>
        <w:t>和</w:t>
      </w:r>
      <w:r>
        <w:rPr>
          <w:rFonts w:hint="eastAsia" w:ascii="宋体" w:hAnsi="宋体" w:cs="宋体"/>
          <w:color w:val="000000" w:themeColor="text1"/>
          <w:szCs w:val="21"/>
          <w:lang w:eastAsia="zh-TW"/>
          <w14:textFill>
            <w14:solidFill>
              <w14:schemeClr w14:val="tx1"/>
            </w14:solidFill>
          </w14:textFill>
        </w:rPr>
        <w:t>代理机构均无义务和责任承担这些费用</w:t>
      </w:r>
      <w:r>
        <w:rPr>
          <w:rFonts w:hint="eastAsia" w:ascii="宋体" w:hAnsi="宋体" w:cs="宋体"/>
          <w:color w:val="000000" w:themeColor="text1"/>
          <w:szCs w:val="21"/>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color w:val="000000" w:themeColor="text1"/>
          <w:szCs w:val="21"/>
          <w14:textFill>
            <w14:solidFill>
              <w14:schemeClr w14:val="tx1"/>
            </w14:solidFill>
          </w14:textFill>
        </w:rPr>
        <w:t>不推荐为成交候选人</w:t>
      </w:r>
      <w:r>
        <w:rPr>
          <w:rFonts w:hint="eastAsia" w:ascii="宋体" w:hAnsi="宋体" w:cs="宋体"/>
          <w:color w:val="000000" w:themeColor="text1"/>
          <w:szCs w:val="21"/>
          <w:lang w:val="zh-CN"/>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若成交供应商自身原因无法完成本项目，则采购人有权利保留追究责任。</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成交供应商因自身原因被取消成交资格，采购人可重新启动采购或按竞价公告规定顺延推选符合要求的供应商作为成交人。</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若本项目竞价采购失败，采购人将重新采购，届时采购人有权根据项目具体情况，决定重新采购项目的采购方式。</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成交供应商若无正当理由恶意放弃成交资格，采购人有权将拒绝其参加本项目重新组织的竞价采购活动。</w:t>
      </w:r>
    </w:p>
    <w:p>
      <w:pPr>
        <w:pStyle w:val="48"/>
        <w:numPr>
          <w:ilvl w:val="0"/>
          <w:numId w:val="3"/>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cs="宋体"/>
          <w:color w:val="000000" w:themeColor="text1"/>
          <w:szCs w:val="21"/>
          <w14:textFill>
            <w14:solidFill>
              <w14:schemeClr w14:val="tx1"/>
            </w14:solidFill>
          </w14:textFill>
        </w:rPr>
        <w:t>竞价文件</w:t>
      </w:r>
      <w:r>
        <w:rPr>
          <w:rFonts w:hint="eastAsia" w:ascii="宋体" w:hAnsi="宋体" w:cs="宋体"/>
          <w:color w:val="000000" w:themeColor="text1"/>
          <w:szCs w:val="21"/>
          <w:lang w:eastAsia="zh-TW"/>
          <w14:textFill>
            <w14:solidFill>
              <w14:schemeClr w14:val="tx1"/>
            </w14:solidFill>
          </w14:textFill>
        </w:rPr>
        <w:t>规定</w:t>
      </w:r>
      <w:r>
        <w:rPr>
          <w:rFonts w:hint="eastAsia" w:ascii="宋体" w:hAnsi="宋体" w:cs="宋体"/>
          <w:color w:val="000000" w:themeColor="text1"/>
          <w:szCs w:val="21"/>
          <w14:textFill>
            <w14:solidFill>
              <w14:schemeClr w14:val="tx1"/>
            </w14:solidFill>
          </w14:textFill>
        </w:rPr>
        <w:t>和竞价公告规定以及</w:t>
      </w:r>
      <w:r>
        <w:rPr>
          <w:rFonts w:hint="eastAsia" w:ascii="宋体" w:hAnsi="宋体" w:cs="宋体"/>
          <w:color w:val="000000" w:themeColor="text1"/>
          <w:szCs w:val="21"/>
          <w:lang w:eastAsia="zh-TW"/>
          <w14:textFill>
            <w14:solidFill>
              <w14:schemeClr w14:val="tx1"/>
            </w14:solidFill>
          </w14:textFill>
        </w:rPr>
        <w:t>本公司</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szCs w:val="21"/>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参与竞价的供应商应认真阅读</w:t>
      </w:r>
      <w:r>
        <w:rPr>
          <w:rFonts w:hint="eastAsia" w:ascii="宋体" w:hAnsi="宋体" w:cs="宋体"/>
          <w:color w:val="000000" w:themeColor="text1"/>
          <w:szCs w:val="21"/>
          <w:lang w:eastAsia="zh-TW"/>
          <w14:textFill>
            <w14:solidFill>
              <w14:schemeClr w14:val="tx1"/>
            </w14:solidFill>
          </w14:textFill>
        </w:rPr>
        <w:t>、并充分理解</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s="宋体"/>
          <w:color w:val="000000" w:themeColor="text1"/>
          <w:szCs w:val="21"/>
          <w14:textFill>
            <w14:solidFill>
              <w14:schemeClr w14:val="tx1"/>
            </w14:solidFill>
          </w14:textFill>
        </w:rPr>
        <w:t>、服务要求</w:t>
      </w:r>
      <w:r>
        <w:rPr>
          <w:rFonts w:hint="eastAsia" w:ascii="宋体" w:hAnsi="宋体" w:cs="宋体"/>
          <w:color w:val="000000" w:themeColor="text1"/>
          <w:szCs w:val="21"/>
          <w:lang w:eastAsia="zh-TW"/>
          <w14:textFill>
            <w14:solidFill>
              <w14:schemeClr w14:val="tx1"/>
            </w14:solidFill>
          </w14:textFill>
        </w:rPr>
        <w:t>和技术规范、参数及要求等）。</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没有按照</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文件要求提交全部资料，或者</w:t>
      </w:r>
      <w:r>
        <w:rPr>
          <w:rFonts w:hint="eastAsia" w:ascii="宋体" w:hAnsi="宋体" w:cs="宋体"/>
          <w:color w:val="000000" w:themeColor="text1"/>
          <w:szCs w:val="21"/>
          <w14:textFill>
            <w14:solidFill>
              <w14:schemeClr w14:val="tx1"/>
            </w14:solidFill>
          </w14:textFill>
        </w:rPr>
        <w:t>参与竞价所上传的</w:t>
      </w:r>
      <w:r>
        <w:rPr>
          <w:rFonts w:hint="eastAsia" w:ascii="宋体" w:hAnsi="宋体" w:cs="宋体"/>
          <w:color w:val="000000" w:themeColor="text1"/>
          <w:szCs w:val="21"/>
          <w:lang w:eastAsia="zh-TW"/>
          <w14:textFill>
            <w14:solidFill>
              <w14:schemeClr w14:val="tx1"/>
            </w14:solidFill>
          </w14:textFill>
        </w:rPr>
        <w:t>文件没有对</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文件在各方面都作出实质性响应是</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的风险，有可能导致其</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被拒绝，</w:t>
      </w:r>
      <w:r>
        <w:rPr>
          <w:rFonts w:hint="eastAsia" w:ascii="宋体" w:hAnsi="宋体" w:cs="宋体"/>
          <w:color w:val="000000" w:themeColor="text1"/>
          <w:szCs w:val="21"/>
          <w14:textFill>
            <w14:solidFill>
              <w14:schemeClr w14:val="tx1"/>
            </w14:solidFill>
          </w14:textFill>
        </w:rPr>
        <w:t>或被认定为无效竞价。</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采购人有权拒绝接受任何不合格的货物或服务，由此产生的费用及相关后果均由成交供应商自行承担；</w:t>
      </w:r>
    </w:p>
    <w:p>
      <w:pPr>
        <w:pStyle w:val="45"/>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本竞价公告和竞价文件的解释权归</w:t>
      </w:r>
      <w:r>
        <w:rPr>
          <w:rFonts w:hint="eastAsia" w:ascii="宋体" w:hAnsi="宋体" w:cs="宋体"/>
          <w:color w:val="000000" w:themeColor="text1"/>
          <w:szCs w:val="21"/>
          <w:lang w:eastAsia="zh-TW"/>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云采链线上采购一体化平台</w:t>
      </w:r>
      <w:r>
        <w:rPr>
          <w:rFonts w:hint="eastAsia" w:ascii="宋体" w:hAnsi="宋体" w:cs="宋体"/>
          <w:color w:val="000000" w:themeColor="text1"/>
          <w:szCs w:val="21"/>
          <w:lang w:eastAsia="zh-TW"/>
          <w14:textFill>
            <w14:solidFill>
              <w14:schemeClr w14:val="tx1"/>
            </w14:solidFill>
          </w14:textFill>
        </w:rPr>
        <w:t>”所有。</w:t>
      </w:r>
    </w:p>
    <w:p>
      <w:pPr>
        <w:numPr>
          <w:ilvl w:val="0"/>
          <w:numId w:val="2"/>
        </w:num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s="宋体"/>
          <w:color w:val="000000" w:themeColor="text1"/>
          <w:szCs w:val="21"/>
          <w14:textFill>
            <w14:solidFill>
              <w14:schemeClr w14:val="tx1"/>
            </w14:solidFill>
          </w14:textFill>
        </w:rPr>
        <w:t>如报名</w:t>
      </w:r>
      <w:r>
        <w:rPr>
          <w:rFonts w:hint="eastAsia" w:ascii="宋体" w:hAnsi="宋体" w:cs="宋体"/>
          <w:color w:val="000000" w:themeColor="text1"/>
          <w:szCs w:val="21"/>
          <w:lang w:eastAsia="zh-TW"/>
          <w14:textFill>
            <w14:solidFill>
              <w14:schemeClr w14:val="tx1"/>
            </w14:solidFill>
          </w14:textFill>
        </w:rPr>
        <w:t>截止时间</w:t>
      </w:r>
      <w:r>
        <w:rPr>
          <w:rFonts w:hint="eastAsia" w:ascii="宋体" w:hAnsi="宋体" w:cs="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报名要求（</w:t>
      </w: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b/>
          <w:bCs/>
          <w:color w:val="000000" w:themeColor="text1"/>
          <w:szCs w:val="21"/>
          <w14:textFill>
            <w14:solidFill>
              <w14:schemeClr w14:val="tx1"/>
            </w14:solidFill>
          </w14:textFill>
        </w:rPr>
        <w:t>供应商资质要求</w:t>
      </w:r>
      <w:r>
        <w:rPr>
          <w:rFonts w:ascii="宋体" w:hAnsi="宋体" w:cs="宋体"/>
          <w:b/>
          <w:bCs/>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报名时需要提供以下盖章资料，并对上传的报名文件资料承担责任</w:t>
      </w:r>
      <w:r>
        <w:rPr>
          <w:rFonts w:hint="eastAsia" w:ascii="宋体" w:hAnsi="宋体" w:cs="宋体"/>
          <w:b/>
          <w:bCs/>
          <w:color w:val="000000" w:themeColor="text1"/>
          <w:szCs w:val="21"/>
          <w14:textFill>
            <w14:solidFill>
              <w14:schemeClr w14:val="tx1"/>
            </w14:solidFill>
          </w14:textFill>
        </w:rPr>
        <w:t>）</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名供应商具有独立承担民事责任能力的在中华人民共和国境内注册的法人或其他组织（提供有效的营业执照或法人登记证书复印件）；如为独立法人设立的分支机构参加，响应人需提供独立法人出具的唯一响应授权书，授权书需明确响应人的权限范围，并提交独立法人有效的营业执照或法人登记证书复印件；</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供应商不得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供应商须提供供应商资格声明函，格式详见附件；</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供应商完全响应本项目用户需求的条款、内容及要求的，提供用户需求书响应声明函，格式详见附件。</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确定成交候选人</w:t>
      </w:r>
    </w:p>
    <w:p>
      <w:pPr>
        <w:pStyle w:val="140"/>
        <w:numPr>
          <w:ilvl w:val="0"/>
          <w:numId w:val="6"/>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无效报价</w:t>
      </w:r>
    </w:p>
    <w:p>
      <w:pPr>
        <w:numPr>
          <w:ilvl w:val="0"/>
          <w:numId w:val="7"/>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参与竞价的供应商报价低于最低限价的视为无效报价。</w:t>
      </w:r>
    </w:p>
    <w:p>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参与竞价的供应商须提供本项目要求的资质文件，如果不按公告规定或竞价文件要求等相关规定提供符合要求的资质文件，将被视为无效报价；</w:t>
      </w:r>
    </w:p>
    <w:p>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参与竞价的供应商须对本项目采购内容进行整体报价，任何只对其中一部分内容进行的报价都被视为无效报价。</w:t>
      </w:r>
    </w:p>
    <w:p>
      <w:pPr>
        <w:pStyle w:val="48"/>
        <w:numPr>
          <w:ilvl w:val="0"/>
          <w:numId w:val="7"/>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48"/>
        <w:numPr>
          <w:ilvl w:val="0"/>
          <w:numId w:val="7"/>
        </w:numPr>
        <w:ind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按有关法律、法规、规章属于报价无效的。</w:t>
      </w:r>
    </w:p>
    <w:p>
      <w:pPr>
        <w:numPr>
          <w:ilvl w:val="0"/>
          <w:numId w:val="7"/>
        </w:numPr>
        <w:shd w:val="clear" w:color="auto" w:fill="FFFFFF"/>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有下列情形之一的，视为串通竞价，其报价无效：</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存在单位负责人为同一人或存在控股、管理关系的不同单位参与同一竞价项目；</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不同供应商的响应文件由同一单位或者个人编制；</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不同供应商委托同一单位或者个人办理竞价事宜；</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不同供应商使用同一</w:t>
      </w:r>
      <w:r>
        <w:rPr>
          <w:rFonts w:ascii="宋体" w:hAnsi="宋体" w:cs="宋体"/>
          <w:color w:val="000000" w:themeColor="text1"/>
          <w:szCs w:val="21"/>
          <w14:textFill>
            <w14:solidFill>
              <w14:schemeClr w14:val="tx1"/>
            </w14:solidFill>
          </w14:textFill>
        </w:rPr>
        <w:t>IP</w:t>
      </w:r>
      <w:r>
        <w:rPr>
          <w:rFonts w:hint="eastAsia" w:ascii="宋体" w:hAnsi="宋体" w:cs="宋体"/>
          <w:color w:val="000000" w:themeColor="text1"/>
          <w:szCs w:val="21"/>
          <w14:textFill>
            <w14:solidFill>
              <w14:schemeClr w14:val="tx1"/>
            </w14:solidFill>
          </w14:textFill>
        </w:rPr>
        <w:t>地址参与竞价；</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不同供应商的响应文件载明的项目管理成员或者联系人员为同一人；</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不同供应商的响应文件异常一致或者报价呈规律性差异；</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不同供应商的响应文件相互混淆；</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不同供应商的平台使用费从同一单位或者个人的账户转出；</w:t>
      </w:r>
    </w:p>
    <w:p>
      <w:pPr>
        <w:numPr>
          <w:ilvl w:val="0"/>
          <w:numId w:val="2"/>
        </w:numPr>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竞价活动失败</w:t>
      </w:r>
    </w:p>
    <w:p>
      <w:pPr>
        <w:numPr>
          <w:ilvl w:val="0"/>
          <w:numId w:val="9"/>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报价供应商不足</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家，本次竞价活动失败；</w:t>
      </w:r>
    </w:p>
    <w:p>
      <w:pPr>
        <w:numPr>
          <w:ilvl w:val="0"/>
          <w:numId w:val="9"/>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出现影响采购公正的违法、违规行为的；</w:t>
      </w:r>
    </w:p>
    <w:p>
      <w:pPr>
        <w:numPr>
          <w:ilvl w:val="0"/>
          <w:numId w:val="9"/>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因重大变故，采购任务取消的；</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使用费</w:t>
      </w:r>
    </w:p>
    <w:p>
      <w:pPr>
        <w:numPr>
          <w:ilvl w:val="0"/>
          <w:numId w:val="10"/>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成交供应商须向平台服务商云采链线上采购一体化平台缴纳平台使用费，金额为成交金额的1.5%（四舍五入取整数）。</w:t>
      </w:r>
    </w:p>
    <w:p>
      <w:pPr>
        <w:numPr>
          <w:ilvl w:val="0"/>
          <w:numId w:val="10"/>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成交供应商无正当理由放弃成交资格的必须按竞价公告等相关规定缴纳相应的平台使用费；</w:t>
      </w:r>
    </w:p>
    <w:p>
      <w:pPr>
        <w:numPr>
          <w:ilvl w:val="0"/>
          <w:numId w:val="10"/>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如确实因不可抗力放弃成交资格的，应在不可抗力发生后三个工作日内予以通知采购代理机构并提供相关的证明；如逾期，采购代理机构不予退还平台使用费；</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联系方式</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扫码关注微信公众号</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云采链互联服务平台</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，即可在线咨询相关事项；</w:t>
      </w:r>
    </w:p>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r>
        <w:rPr>
          <w:rFonts w:ascii="宋体" w:hAnsi="宋体"/>
          <w:color w:val="000000" w:themeColor="text1"/>
          <w14:textFill>
            <w14:solidFill>
              <w14:schemeClr w14:val="tx1"/>
            </w14:solidFill>
          </w14:textFill>
        </w:rPr>
        <w:br w:type="page"/>
      </w:r>
    </w:p>
    <w:p>
      <w:pPr>
        <w:jc w:val="center"/>
        <w:outlineLvl w:val="0"/>
        <w:rPr>
          <w:rFonts w:ascii="宋体" w:hAnsi="宋体" w:cs="宋体"/>
          <w:b/>
          <w:bCs/>
          <w:color w:val="000000" w:themeColor="text1"/>
          <w:sz w:val="32"/>
          <w:szCs w:val="32"/>
          <w14:textFill>
            <w14:solidFill>
              <w14:schemeClr w14:val="tx1"/>
            </w14:solidFill>
          </w14:textFill>
        </w:rPr>
      </w:pPr>
      <w:bookmarkStart w:id="1" w:name="_Hlk54791406"/>
      <w:r>
        <w:rPr>
          <w:rFonts w:hint="eastAsia" w:ascii="宋体" w:hAnsi="宋体" w:cs="宋体"/>
          <w:b/>
          <w:bCs/>
          <w:color w:val="000000" w:themeColor="text1"/>
          <w:sz w:val="32"/>
          <w:szCs w:val="32"/>
          <w14:textFill>
            <w14:solidFill>
              <w14:schemeClr w14:val="tx1"/>
            </w14:solidFill>
          </w14:textFill>
        </w:rPr>
        <w:t>第二章 采购需求书</w:t>
      </w:r>
    </w:p>
    <w:p>
      <w:pPr>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说明：</w:t>
      </w:r>
    </w:p>
    <w:p>
      <w:pPr>
        <w:tabs>
          <w:tab w:val="left" w:pos="420"/>
        </w:tabs>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供应商须对本项目采购内容进行整体响应，任何只对采购内容其中一部分内容进行的响应都被视为无效报价。</w:t>
      </w:r>
    </w:p>
    <w:p>
      <w:pPr>
        <w:pStyle w:val="48"/>
        <w:numPr>
          <w:ilvl w:val="0"/>
          <w:numId w:val="11"/>
        </w:numPr>
        <w:spacing w:line="360" w:lineRule="auto"/>
        <w:ind w:left="0" w:firstLine="0"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项目一览表</w:t>
      </w:r>
    </w:p>
    <w:tbl>
      <w:tblPr>
        <w:tblStyle w:val="36"/>
        <w:tblW w:w="8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09"/>
        <w:gridCol w:w="3603"/>
        <w:gridCol w:w="1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70" w:type="dxa"/>
            <w:tcBorders>
              <w:top w:val="single" w:color="auto" w:sz="12" w:space="0"/>
              <w:bottom w:val="single" w:color="auto" w:sz="2" w:space="0"/>
            </w:tcBorders>
            <w:shd w:val="clear" w:color="auto" w:fill="EEECE1"/>
            <w:vAlign w:val="center"/>
          </w:tcPr>
          <w:p>
            <w:pPr>
              <w:jc w:val="center"/>
              <w:rPr>
                <w:rFonts w:ascii="宋体" w:hAnsi="宋体"/>
                <w:b/>
                <w:color w:val="000000" w:themeColor="text1"/>
                <w:szCs w:val="21"/>
                <w14:textFill>
                  <w14:solidFill>
                    <w14:schemeClr w14:val="tx1"/>
                  </w14:solidFill>
                </w14:textFill>
              </w:rPr>
            </w:pPr>
            <w:bookmarkStart w:id="2" w:name="_Hlk536436587"/>
            <w:r>
              <w:rPr>
                <w:rFonts w:hint="eastAsia" w:ascii="宋体" w:hAnsi="宋体"/>
                <w:b/>
                <w:color w:val="000000" w:themeColor="text1"/>
                <w:szCs w:val="21"/>
                <w14:textFill>
                  <w14:solidFill>
                    <w14:schemeClr w14:val="tx1"/>
                  </w14:solidFill>
                </w14:textFill>
              </w:rPr>
              <w:t>项目内容</w:t>
            </w:r>
          </w:p>
        </w:tc>
        <w:tc>
          <w:tcPr>
            <w:tcW w:w="709" w:type="dxa"/>
            <w:tcBorders>
              <w:top w:val="single" w:color="auto" w:sz="12" w:space="0"/>
              <w:bottom w:val="single" w:color="auto" w:sz="2" w:space="0"/>
            </w:tcBorders>
            <w:shd w:val="clear" w:color="auto" w:fill="EEECE1"/>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3603" w:type="dxa"/>
            <w:tcBorders>
              <w:top w:val="single" w:color="auto" w:sz="12" w:space="0"/>
              <w:bottom w:val="single" w:color="auto" w:sz="2" w:space="0"/>
            </w:tcBorders>
            <w:shd w:val="clear" w:color="auto" w:fill="EEECE1"/>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交货期</w:t>
            </w:r>
          </w:p>
        </w:tc>
        <w:tc>
          <w:tcPr>
            <w:tcW w:w="1940" w:type="dxa"/>
            <w:tcBorders>
              <w:top w:val="single" w:color="auto" w:sz="12" w:space="0"/>
              <w:bottom w:val="single" w:color="auto" w:sz="2" w:space="0"/>
            </w:tcBorders>
            <w:shd w:val="clear" w:color="auto" w:fill="EEECE1"/>
            <w:vAlign w:val="center"/>
          </w:tcPr>
          <w:p>
            <w:pPr>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最高限价（含税）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970" w:type="dxa"/>
            <w:tcBorders>
              <w:top w:val="single" w:color="auto" w:sz="2" w:space="0"/>
            </w:tcBorders>
            <w:vAlign w:val="center"/>
          </w:tcPr>
          <w:p>
            <w:pPr>
              <w:spacing w:line="360" w:lineRule="auto"/>
              <w:jc w:val="center"/>
              <w:rPr>
                <w:rFonts w:ascii="宋体" w:hAnsi="宋体"/>
                <w:bCs/>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2023年高明分公司UPS主机购置项目</w:t>
            </w:r>
          </w:p>
        </w:tc>
        <w:tc>
          <w:tcPr>
            <w:tcW w:w="709" w:type="dxa"/>
            <w:tcBorders>
              <w:top w:val="single" w:color="auto" w:sz="2" w:space="0"/>
            </w:tcBorders>
            <w:vAlign w:val="center"/>
          </w:tcPr>
          <w:p>
            <w:pPr>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3603" w:type="dxa"/>
            <w:tcBorders>
              <w:top w:val="single" w:color="auto" w:sz="2" w:space="0"/>
            </w:tcBorders>
            <w:vAlign w:val="center"/>
          </w:tcPr>
          <w:p>
            <w:pPr>
              <w:widowControl/>
              <w:adjustRightInd w:val="0"/>
              <w:snapToGrid w:val="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szCs w:val="21"/>
              </w:rPr>
              <w:t>合同签订生效且收到书面订货单后5个工作日内成交供应商完成所有设备的送货安装调试。</w:t>
            </w:r>
          </w:p>
        </w:tc>
        <w:tc>
          <w:tcPr>
            <w:tcW w:w="1940" w:type="dxa"/>
            <w:tcBorders>
              <w:top w:val="single" w:color="auto" w:sz="2" w:space="0"/>
            </w:tcBorders>
            <w:vAlign w:val="center"/>
          </w:tcPr>
          <w:p>
            <w:pPr>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人民</w:t>
            </w:r>
            <w:r>
              <w:rPr>
                <w:rFonts w:hint="eastAsia" w:ascii="宋体" w:hAnsi="宋体" w:cs="宋体"/>
                <w:color w:val="000000" w:themeColor="text1"/>
                <w:kern w:val="0"/>
                <w:szCs w:val="21"/>
                <w14:textFill>
                  <w14:solidFill>
                    <w14:schemeClr w14:val="tx1"/>
                  </w14:solidFill>
                </w14:textFill>
              </w:rPr>
              <w:t>币</w:t>
            </w:r>
            <w:r>
              <w:rPr>
                <w:rFonts w:hint="eastAsia" w:ascii="宋体" w:hAnsi="宋体"/>
                <w:bCs/>
                <w:szCs w:val="21"/>
              </w:rPr>
              <w:t>60000</w:t>
            </w:r>
            <w:r>
              <w:rPr>
                <w:rFonts w:hint="eastAsia" w:ascii="宋体" w:hAnsi="宋体"/>
                <w:color w:val="000000" w:themeColor="text1"/>
                <w:kern w:val="0"/>
                <w:szCs w:val="21"/>
                <w14:textFill>
                  <w14:solidFill>
                    <w14:schemeClr w14:val="tx1"/>
                  </w14:solidFill>
                </w14:textFill>
              </w:rPr>
              <w:t>元</w:t>
            </w:r>
          </w:p>
        </w:tc>
      </w:tr>
      <w:bookmarkEnd w:id="1"/>
      <w:bookmarkEnd w:id="2"/>
    </w:tbl>
    <w:p>
      <w:pPr>
        <w:pStyle w:val="48"/>
        <w:numPr>
          <w:ilvl w:val="0"/>
          <w:numId w:val="11"/>
        </w:numPr>
        <w:spacing w:line="360" w:lineRule="auto"/>
        <w:ind w:left="0" w:firstLine="0" w:firstLineChars="0"/>
        <w:rPr>
          <w:rFonts w:ascii="宋体" w:hAnsi="宋体" w:cs="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项目概述</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1、单位：广东省广播电视网络股份有限公司佛山高明分公司。</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2、项目名称：2023年高明分公司UPS主机购置项目</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3、项目简介：根据2023年高明分公司机房动力系统的安全需求，需新购置两台10KVA UPS电源。</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4、项目预算总金额：60000.00元。</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5、交货期：合同签订生效且收到书面订货单后5个工作日内成交供应商完成所有设备的送货安装调试。</w:t>
      </w:r>
    </w:p>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6、供货及安装地点：①高明区荷城街道益和一巷10号3梯侧；②高明区荷城街道三洲碧桂</w:t>
      </w:r>
      <w:r>
        <w:rPr>
          <w:rFonts w:hint="eastAsia" w:asciiTheme="minorEastAsia" w:hAnsiTheme="minorEastAsia" w:eastAsiaTheme="minorEastAsia"/>
          <w:szCs w:val="21"/>
          <w:lang w:val="en-US" w:eastAsia="zh-CN"/>
        </w:rPr>
        <w:t>园二期</w:t>
      </w:r>
      <w:r>
        <w:rPr>
          <w:rFonts w:hint="eastAsia" w:asciiTheme="minorEastAsia" w:hAnsiTheme="minorEastAsia" w:eastAsiaTheme="minorEastAsia"/>
          <w:szCs w:val="21"/>
        </w:rPr>
        <w:t>翠岸莺啼1街4号；</w:t>
      </w:r>
    </w:p>
    <w:p>
      <w:pPr>
        <w:pStyle w:val="140"/>
        <w:widowControl/>
        <w:numPr>
          <w:ilvl w:val="0"/>
          <w:numId w:val="11"/>
        </w:numPr>
        <w:spacing w:line="360" w:lineRule="auto"/>
        <w:ind w:firstLineChars="0"/>
        <w:jc w:val="left"/>
        <w:rPr>
          <w:rFonts w:cs="Tahoma" w:asciiTheme="minorEastAsia" w:hAnsiTheme="minorEastAsia" w:eastAsiaTheme="minorEastAsia"/>
          <w:kern w:val="0"/>
          <w:szCs w:val="21"/>
        </w:rPr>
      </w:pPr>
      <w:r>
        <w:rPr>
          <w:rFonts w:hint="eastAsia" w:cs="Tahoma" w:asciiTheme="minorEastAsia" w:hAnsiTheme="minorEastAsia" w:eastAsiaTheme="minorEastAsia"/>
          <w:b/>
          <w:bCs/>
          <w:kern w:val="0"/>
          <w:szCs w:val="21"/>
        </w:rPr>
        <w:t>采购内容</w:t>
      </w:r>
    </w:p>
    <w:p>
      <w:pPr>
        <w:spacing w:line="360" w:lineRule="auto"/>
        <w:rPr>
          <w:rFonts w:ascii="宋体" w:hAnsi="宋体"/>
          <w:color w:val="000000"/>
          <w:szCs w:val="21"/>
        </w:rPr>
      </w:pPr>
      <w:r>
        <w:rPr>
          <w:rFonts w:hint="eastAsia" w:ascii="宋体" w:hAnsi="宋体"/>
          <w:color w:val="000000"/>
          <w:szCs w:val="21"/>
        </w:rPr>
        <w:t>设备采购明细表</w:t>
      </w:r>
    </w:p>
    <w:tbl>
      <w:tblPr>
        <w:tblStyle w:val="36"/>
        <w:tblW w:w="9120" w:type="dxa"/>
        <w:tblInd w:w="97" w:type="dxa"/>
        <w:tblLayout w:type="fixed"/>
        <w:tblCellMar>
          <w:top w:w="0" w:type="dxa"/>
          <w:left w:w="108" w:type="dxa"/>
          <w:bottom w:w="0" w:type="dxa"/>
          <w:right w:w="108" w:type="dxa"/>
        </w:tblCellMar>
      </w:tblPr>
      <w:tblGrid>
        <w:gridCol w:w="780"/>
        <w:gridCol w:w="1584"/>
        <w:gridCol w:w="2446"/>
        <w:gridCol w:w="2289"/>
        <w:gridCol w:w="821"/>
        <w:gridCol w:w="1200"/>
      </w:tblGrid>
      <w:tr>
        <w:tblPrEx>
          <w:tblCellMar>
            <w:top w:w="0" w:type="dxa"/>
            <w:left w:w="108" w:type="dxa"/>
            <w:bottom w:w="0" w:type="dxa"/>
            <w:right w:w="108" w:type="dxa"/>
          </w:tblCellMar>
        </w:tblPrEx>
        <w:trPr>
          <w:trHeight w:val="532" w:hRule="atLeast"/>
        </w:trPr>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宋体" w:hAnsi="宋体"/>
                <w:b/>
                <w:color w:val="000000"/>
                <w:kern w:val="0"/>
                <w:szCs w:val="21"/>
              </w:rPr>
            </w:pPr>
            <w:r>
              <w:rPr>
                <w:rFonts w:hint="eastAsia" w:ascii="宋体" w:hAnsi="宋体" w:cs="宋体"/>
                <w:b/>
                <w:kern w:val="0"/>
                <w:szCs w:val="21"/>
              </w:rPr>
              <w:t>序号</w:t>
            </w:r>
          </w:p>
        </w:tc>
        <w:tc>
          <w:tcPr>
            <w:tcW w:w="158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b/>
                <w:color w:val="000000"/>
                <w:kern w:val="0"/>
                <w:szCs w:val="21"/>
              </w:rPr>
            </w:pPr>
            <w:r>
              <w:rPr>
                <w:rFonts w:hint="eastAsia" w:ascii="宋体" w:hAnsi="宋体" w:cs="宋体"/>
                <w:b/>
                <w:color w:val="000000"/>
                <w:kern w:val="0"/>
                <w:szCs w:val="21"/>
              </w:rPr>
              <w:t>前端机房</w:t>
            </w:r>
          </w:p>
        </w:tc>
        <w:tc>
          <w:tcPr>
            <w:tcW w:w="2446"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b/>
                <w:color w:val="000000"/>
                <w:kern w:val="0"/>
                <w:szCs w:val="21"/>
              </w:rPr>
            </w:pPr>
            <w:r>
              <w:rPr>
                <w:rFonts w:hint="eastAsia" w:ascii="宋体" w:hAnsi="宋体"/>
                <w:b/>
                <w:szCs w:val="21"/>
              </w:rPr>
              <w:t>原有UPS主机</w:t>
            </w:r>
          </w:p>
        </w:tc>
        <w:tc>
          <w:tcPr>
            <w:tcW w:w="2289"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b/>
                <w:color w:val="000000"/>
                <w:kern w:val="0"/>
                <w:szCs w:val="21"/>
              </w:rPr>
            </w:pPr>
            <w:r>
              <w:rPr>
                <w:rFonts w:hint="eastAsia" w:ascii="宋体" w:hAnsi="宋体"/>
                <w:b/>
                <w:szCs w:val="21"/>
              </w:rPr>
              <w:t>采购主机规格要求</w:t>
            </w:r>
          </w:p>
        </w:tc>
        <w:tc>
          <w:tcPr>
            <w:tcW w:w="8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cs="宋体"/>
                <w:b/>
                <w:color w:val="000000"/>
                <w:kern w:val="0"/>
                <w:szCs w:val="21"/>
                <w:lang w:bidi="ar"/>
              </w:rPr>
            </w:pPr>
            <w:r>
              <w:rPr>
                <w:rFonts w:hint="eastAsia" w:ascii="宋体" w:hAnsi="宋体"/>
                <w:b/>
                <w:szCs w:val="21"/>
              </w:rPr>
              <w:t>数量</w:t>
            </w:r>
          </w:p>
        </w:tc>
        <w:tc>
          <w:tcPr>
            <w:tcW w:w="1200"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cs="宋体"/>
                <w:b/>
                <w:color w:val="000000"/>
                <w:kern w:val="0"/>
                <w:szCs w:val="21"/>
                <w:lang w:bidi="ar"/>
              </w:rPr>
            </w:pPr>
            <w:r>
              <w:rPr>
                <w:rFonts w:hint="eastAsia" w:ascii="宋体" w:hAnsi="宋体"/>
                <w:b/>
                <w:bCs/>
                <w:szCs w:val="21"/>
              </w:rPr>
              <w:t>备注</w:t>
            </w:r>
          </w:p>
        </w:tc>
      </w:tr>
      <w:tr>
        <w:tblPrEx>
          <w:tblCellMar>
            <w:top w:w="0" w:type="dxa"/>
            <w:left w:w="108" w:type="dxa"/>
            <w:bottom w:w="0" w:type="dxa"/>
            <w:right w:w="108" w:type="dxa"/>
          </w:tblCellMar>
        </w:tblPrEx>
        <w:trPr>
          <w:trHeight w:val="625" w:hRule="atLeast"/>
        </w:trPr>
        <w:tc>
          <w:tcPr>
            <w:tcW w:w="780" w:type="dxa"/>
            <w:tcBorders>
              <w:top w:val="nil"/>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宋体" w:hAnsi="宋体"/>
                <w:color w:val="000000"/>
                <w:kern w:val="0"/>
                <w:szCs w:val="21"/>
              </w:rPr>
            </w:pPr>
            <w:r>
              <w:rPr>
                <w:rFonts w:hint="eastAsia" w:ascii="宋体" w:hAnsi="宋体"/>
                <w:bCs/>
                <w:szCs w:val="21"/>
              </w:rPr>
              <w:t>1</w:t>
            </w:r>
          </w:p>
        </w:tc>
        <w:tc>
          <w:tcPr>
            <w:tcW w:w="158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ascii="宋体" w:hAnsi="宋体" w:cs="宋体"/>
                <w:color w:val="000000"/>
                <w:szCs w:val="21"/>
              </w:rPr>
              <w:t>祥和机房</w:t>
            </w:r>
          </w:p>
        </w:tc>
        <w:tc>
          <w:tcPr>
            <w:tcW w:w="2446"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ascii="宋体" w:hAnsi="宋体" w:cs="宋体"/>
                <w:color w:val="000000"/>
                <w:szCs w:val="21"/>
              </w:rPr>
              <w:t>爱默生UHA1R-01001</w:t>
            </w:r>
          </w:p>
        </w:tc>
        <w:tc>
          <w:tcPr>
            <w:tcW w:w="2289" w:type="dxa"/>
            <w:tcBorders>
              <w:top w:val="nil"/>
              <w:left w:val="nil"/>
              <w:bottom w:val="single" w:color="auto" w:sz="4" w:space="0"/>
              <w:right w:val="single" w:color="auto" w:sz="4" w:space="0"/>
            </w:tcBorders>
            <w:shd w:val="clear" w:color="auto" w:fill="FFFFFF"/>
            <w:vAlign w:val="center"/>
          </w:tcPr>
          <w:p>
            <w:pPr>
              <w:widowControl/>
              <w:ind w:firstLine="105" w:firstLineChars="50"/>
              <w:jc w:val="center"/>
              <w:rPr>
                <w:rFonts w:ascii="宋体" w:hAnsi="宋体"/>
                <w:color w:val="000000"/>
                <w:kern w:val="0"/>
                <w:szCs w:val="21"/>
              </w:rPr>
            </w:pPr>
            <w:r>
              <w:rPr>
                <w:rFonts w:hint="eastAsia" w:ascii="宋体" w:hAnsi="宋体"/>
                <w:color w:val="000000"/>
                <w:kern w:val="0"/>
                <w:szCs w:val="21"/>
              </w:rPr>
              <w:t>10KVA</w:t>
            </w:r>
          </w:p>
        </w:tc>
        <w:tc>
          <w:tcPr>
            <w:tcW w:w="821"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1200" w:type="dxa"/>
            <w:tcBorders>
              <w:top w:val="nil"/>
              <w:left w:val="nil"/>
              <w:bottom w:val="single" w:color="auto" w:sz="4" w:space="0"/>
              <w:right w:val="single" w:color="auto" w:sz="4" w:space="0"/>
            </w:tcBorders>
            <w:shd w:val="clear" w:color="auto" w:fill="FFFFFF"/>
            <w:vAlign w:val="center"/>
          </w:tcPr>
          <w:p>
            <w:pPr>
              <w:rPr>
                <w:rFonts w:ascii="宋体" w:hAnsi="宋体" w:cs="宋体"/>
                <w:color w:val="000000"/>
                <w:kern w:val="0"/>
                <w:szCs w:val="21"/>
                <w:lang w:bidi="ar"/>
              </w:rPr>
            </w:pPr>
            <w:r>
              <w:rPr>
                <w:rFonts w:hint="eastAsia" w:ascii="宋体" w:hAnsi="宋体" w:cs="宋体"/>
                <w:color w:val="000000"/>
                <w:kern w:val="0"/>
                <w:szCs w:val="21"/>
                <w:lang w:bidi="ar"/>
              </w:rPr>
              <w:t>单进单出</w:t>
            </w:r>
          </w:p>
        </w:tc>
      </w:tr>
      <w:tr>
        <w:tblPrEx>
          <w:tblCellMar>
            <w:top w:w="0" w:type="dxa"/>
            <w:left w:w="108" w:type="dxa"/>
            <w:bottom w:w="0" w:type="dxa"/>
            <w:right w:w="108" w:type="dxa"/>
          </w:tblCellMar>
        </w:tblPrEx>
        <w:trPr>
          <w:trHeight w:val="250" w:hRule="atLeast"/>
        </w:trPr>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2</w:t>
            </w:r>
          </w:p>
        </w:tc>
        <w:tc>
          <w:tcPr>
            <w:tcW w:w="158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ascii="宋体" w:hAnsi="宋体" w:cs="宋体"/>
                <w:color w:val="000000"/>
                <w:szCs w:val="21"/>
              </w:rPr>
              <w:t>碧桂园机房</w:t>
            </w:r>
          </w:p>
        </w:tc>
        <w:tc>
          <w:tcPr>
            <w:tcW w:w="2446"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创电CDP5KL-S/16</w:t>
            </w:r>
          </w:p>
        </w:tc>
        <w:tc>
          <w:tcPr>
            <w:tcW w:w="228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olor w:val="000000"/>
                <w:kern w:val="0"/>
                <w:szCs w:val="21"/>
              </w:rPr>
            </w:pPr>
            <w:r>
              <w:rPr>
                <w:rFonts w:hint="eastAsia" w:ascii="宋体" w:hAnsi="宋体"/>
                <w:color w:val="000000"/>
                <w:kern w:val="0"/>
                <w:szCs w:val="21"/>
              </w:rPr>
              <w:t>10KVA</w:t>
            </w:r>
          </w:p>
        </w:tc>
        <w:tc>
          <w:tcPr>
            <w:tcW w:w="821"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1200" w:type="dxa"/>
            <w:tcBorders>
              <w:top w:val="single" w:color="auto" w:sz="4" w:space="0"/>
              <w:left w:val="nil"/>
              <w:bottom w:val="single" w:color="auto" w:sz="4" w:space="0"/>
              <w:right w:val="single" w:color="auto" w:sz="4" w:space="0"/>
            </w:tcBorders>
            <w:shd w:val="clear" w:color="auto" w:fill="FFFFFF"/>
            <w:vAlign w:val="center"/>
          </w:tcPr>
          <w:p>
            <w:pPr>
              <w:pStyle w:val="45"/>
              <w:ind w:firstLine="0" w:firstLineChars="0"/>
              <w:rPr>
                <w:rFonts w:ascii="宋体" w:hAnsi="宋体" w:cs="宋体"/>
                <w:color w:val="000000"/>
                <w:kern w:val="0"/>
                <w:szCs w:val="21"/>
                <w:lang w:bidi="ar"/>
              </w:rPr>
            </w:pPr>
            <w:r>
              <w:rPr>
                <w:rFonts w:hint="eastAsia" w:ascii="宋体" w:hAnsi="宋体" w:cs="宋体"/>
                <w:color w:val="000000"/>
                <w:kern w:val="0"/>
                <w:szCs w:val="21"/>
                <w:lang w:bidi="ar"/>
              </w:rPr>
              <w:t>单进单出</w:t>
            </w:r>
          </w:p>
        </w:tc>
      </w:tr>
    </w:tbl>
    <w:p>
      <w:pPr>
        <w:tabs>
          <w:tab w:val="left" w:pos="420"/>
        </w:tabs>
        <w:spacing w:line="360" w:lineRule="auto"/>
        <w:rPr>
          <w:rFonts w:hint="eastAsia" w:ascii="宋体" w:hAnsi="宋体"/>
          <w:kern w:val="0"/>
          <w:szCs w:val="21"/>
        </w:rPr>
      </w:pPr>
      <w:r>
        <w:rPr>
          <w:rFonts w:hint="eastAsia" w:ascii="宋体" w:hAnsi="宋体"/>
          <w:b/>
          <w:bCs/>
          <w:kern w:val="0"/>
          <w:szCs w:val="21"/>
        </w:rPr>
        <w:t>注：</w:t>
      </w:r>
      <w:r>
        <w:rPr>
          <w:rFonts w:hint="eastAsia" w:ascii="宋体" w:hAnsi="宋体"/>
          <w:b/>
          <w:bCs/>
          <w:kern w:val="0"/>
          <w:szCs w:val="21"/>
          <w:lang w:val="en-US" w:eastAsia="zh-CN"/>
        </w:rPr>
        <w:t>1、</w:t>
      </w:r>
      <w:r>
        <w:rPr>
          <w:rFonts w:hint="eastAsia" w:ascii="宋体" w:hAnsi="宋体"/>
          <w:kern w:val="0"/>
          <w:szCs w:val="21"/>
        </w:rPr>
        <w:t>采购明细表中的提出的品牌是参考品牌，报价时不限于报价人提供其他品牌，质量等同或优于参考品牌均可；</w:t>
      </w:r>
    </w:p>
    <w:p>
      <w:pPr>
        <w:tabs>
          <w:tab w:val="left" w:pos="420"/>
        </w:tabs>
        <w:spacing w:line="360" w:lineRule="auto"/>
        <w:ind w:firstLine="420" w:firstLineChars="200"/>
        <w:rPr>
          <w:rFonts w:hint="eastAsia" w:ascii="宋体" w:hAnsi="宋体" w:eastAsia="宋体"/>
          <w:kern w:val="0"/>
          <w:szCs w:val="21"/>
          <w:lang w:val="en-US" w:eastAsia="zh-CN"/>
        </w:rPr>
      </w:pPr>
      <w:r>
        <w:rPr>
          <w:rFonts w:hint="eastAsia" w:ascii="宋体" w:hAnsi="宋体"/>
          <w:kern w:val="0"/>
          <w:szCs w:val="21"/>
          <w:lang w:val="en-US" w:eastAsia="zh-CN"/>
        </w:rPr>
        <w:t>2、报价包括但不限于接入我司动环系统接入费用；接入UPS的输入、输出电源线所需费用。</w:t>
      </w:r>
    </w:p>
    <w:p>
      <w:pPr>
        <w:widowControl/>
        <w:jc w:val="left"/>
        <w:rPr>
          <w:rFonts w:ascii="宋体" w:hAnsi="宋体"/>
          <w:b/>
          <w:szCs w:val="21"/>
        </w:rPr>
      </w:pPr>
      <w:r>
        <w:rPr>
          <w:rFonts w:ascii="宋体" w:hAnsi="宋体"/>
          <w:b/>
          <w:szCs w:val="21"/>
        </w:rPr>
        <w:br w:type="page"/>
      </w:r>
    </w:p>
    <w:p>
      <w:pPr>
        <w:widowControl/>
        <w:spacing w:line="360" w:lineRule="auto"/>
        <w:jc w:val="left"/>
        <w:rPr>
          <w:rFonts w:ascii="宋体" w:hAnsi="宋体"/>
          <w:b/>
          <w:szCs w:val="21"/>
        </w:rPr>
      </w:pPr>
      <w:r>
        <w:rPr>
          <w:rFonts w:hint="eastAsia" w:ascii="宋体" w:hAnsi="宋体"/>
          <w:b/>
          <w:szCs w:val="21"/>
        </w:rPr>
        <w:t>四、商务要求</w:t>
      </w:r>
    </w:p>
    <w:p>
      <w:pPr>
        <w:widowControl/>
        <w:spacing w:line="360" w:lineRule="auto"/>
        <w:jc w:val="left"/>
        <w:rPr>
          <w:rFonts w:ascii="宋体" w:hAnsi="宋体"/>
          <w:szCs w:val="21"/>
        </w:rPr>
      </w:pPr>
      <w:r>
        <w:rPr>
          <w:rFonts w:hint="eastAsia" w:ascii="宋体" w:hAnsi="宋体"/>
          <w:szCs w:val="21"/>
        </w:rPr>
        <w:t>（一）报价要求</w:t>
      </w:r>
    </w:p>
    <w:p>
      <w:pPr>
        <w:widowControl/>
        <w:spacing w:line="360" w:lineRule="auto"/>
        <w:jc w:val="left"/>
        <w:rPr>
          <w:rFonts w:ascii="宋体" w:hAnsi="宋体"/>
          <w:szCs w:val="21"/>
        </w:rPr>
      </w:pPr>
      <w:r>
        <w:rPr>
          <w:rFonts w:hint="eastAsia" w:ascii="宋体" w:hAnsi="宋体"/>
          <w:szCs w:val="21"/>
        </w:rPr>
        <w:t>1、报价方式为广东省佛山市交货价，以人民币为报价货币，提供正式增值税专用发票。</w:t>
      </w:r>
    </w:p>
    <w:p>
      <w:pPr>
        <w:widowControl/>
        <w:spacing w:line="360" w:lineRule="auto"/>
        <w:jc w:val="left"/>
        <w:rPr>
          <w:rFonts w:ascii="宋体" w:hAnsi="宋体"/>
          <w:szCs w:val="21"/>
        </w:rPr>
      </w:pPr>
      <w:r>
        <w:rPr>
          <w:rFonts w:hint="eastAsia" w:ascii="宋体" w:hAnsi="宋体"/>
          <w:szCs w:val="21"/>
        </w:rPr>
        <w:t>2、响应报价表中所填入的综合单价，包括货物及零配件的生产、购置、送货上门、运输装卸、保险费、安装调试费、送检费、质保期售后服务、技术培训费（包括技术资料等）、全额含税发票及合同实施过程中可能产生的其他费用等。响应人对每种型号（规格）货物只允许有一个报价，采购人不接受有任何选择的报价。</w:t>
      </w:r>
    </w:p>
    <w:p>
      <w:pPr>
        <w:widowControl/>
        <w:spacing w:line="360" w:lineRule="auto"/>
        <w:jc w:val="left"/>
        <w:rPr>
          <w:rFonts w:ascii="宋体" w:hAnsi="宋体"/>
          <w:szCs w:val="21"/>
        </w:rPr>
      </w:pPr>
      <w:r>
        <w:rPr>
          <w:rFonts w:hint="eastAsia" w:ascii="宋体" w:hAnsi="宋体"/>
          <w:szCs w:val="21"/>
        </w:rPr>
        <w:t>3、响应报价不得超过预算的最高限价，响应人的报价若明显低于市场价格，响应人必须对其报价作出书面说明，并提供相应的证明材料。否则采购单位有权认定该响应人以低于成本报价，响应无效。</w:t>
      </w:r>
    </w:p>
    <w:p>
      <w:pPr>
        <w:widowControl/>
        <w:spacing w:line="360" w:lineRule="auto"/>
        <w:jc w:val="left"/>
        <w:rPr>
          <w:rFonts w:ascii="宋体" w:hAnsi="宋体"/>
          <w:szCs w:val="21"/>
        </w:rPr>
      </w:pPr>
      <w:r>
        <w:rPr>
          <w:rFonts w:hint="eastAsia" w:ascii="宋体" w:hAnsi="宋体"/>
          <w:szCs w:val="21"/>
        </w:rPr>
        <w:t>4、成交人应保证所提供的货物是全新、未使用过的，并完全符合合同规定的质量、规格和性能的要求。在货物质量保证期之内，成交人应对由于设计、工艺或材料的缺陷而发生的任何不足或故障负责。</w:t>
      </w:r>
    </w:p>
    <w:p>
      <w:pPr>
        <w:widowControl/>
        <w:spacing w:line="360" w:lineRule="auto"/>
        <w:jc w:val="left"/>
        <w:rPr>
          <w:rFonts w:ascii="宋体" w:hAnsi="宋体"/>
          <w:szCs w:val="21"/>
        </w:rPr>
      </w:pPr>
      <w:r>
        <w:rPr>
          <w:rFonts w:hint="eastAsia" w:ascii="宋体" w:hAnsi="宋体"/>
          <w:szCs w:val="21"/>
        </w:rPr>
        <w:t>（二）质保期、售后服务</w:t>
      </w:r>
    </w:p>
    <w:p>
      <w:pPr>
        <w:widowControl/>
        <w:spacing w:line="360" w:lineRule="auto"/>
        <w:jc w:val="left"/>
        <w:rPr>
          <w:rFonts w:ascii="宋体" w:hAnsi="宋体"/>
          <w:szCs w:val="21"/>
        </w:rPr>
      </w:pPr>
      <w:r>
        <w:rPr>
          <w:rFonts w:hint="eastAsia" w:ascii="宋体" w:hAnsi="宋体"/>
          <w:szCs w:val="21"/>
        </w:rPr>
        <w:t>1、货物保质期1年，如成交人保质期承诺高于1年，则以成交人承诺为准，质保期从货物验收合格之日开始计算。</w:t>
      </w:r>
    </w:p>
    <w:p>
      <w:pPr>
        <w:widowControl/>
        <w:spacing w:line="360" w:lineRule="auto"/>
        <w:jc w:val="left"/>
        <w:rPr>
          <w:rFonts w:ascii="宋体" w:hAnsi="宋体"/>
          <w:szCs w:val="21"/>
        </w:rPr>
      </w:pPr>
      <w:r>
        <w:rPr>
          <w:rFonts w:hint="eastAsia" w:ascii="宋体" w:hAnsi="宋体"/>
          <w:szCs w:val="21"/>
        </w:rPr>
        <w:t>（1）质保期内，成交人对所供货物实行免费包修、包换、包退、包维护保养，期满后可同时提供终身、有偿维修保养服务。</w:t>
      </w:r>
    </w:p>
    <w:p>
      <w:pPr>
        <w:widowControl/>
        <w:spacing w:line="360" w:lineRule="auto"/>
        <w:jc w:val="left"/>
        <w:rPr>
          <w:rFonts w:ascii="宋体" w:hAnsi="宋体"/>
          <w:szCs w:val="21"/>
        </w:rPr>
      </w:pPr>
      <w:r>
        <w:rPr>
          <w:rFonts w:hint="eastAsia" w:ascii="宋体" w:hAnsi="宋体"/>
          <w:szCs w:val="21"/>
        </w:rPr>
        <w:t>（2）质保期内，如设备或零部件因非人为因素出现故障而造成短期停用时，则质保期和免费维修期相应顺延。</w:t>
      </w:r>
    </w:p>
    <w:p>
      <w:pPr>
        <w:widowControl/>
        <w:spacing w:line="360" w:lineRule="auto"/>
        <w:jc w:val="left"/>
        <w:rPr>
          <w:rFonts w:ascii="宋体" w:hAnsi="宋体"/>
          <w:szCs w:val="21"/>
        </w:rPr>
      </w:pPr>
      <w:r>
        <w:rPr>
          <w:rFonts w:hint="eastAsia" w:ascii="宋体" w:hAnsi="宋体"/>
          <w:szCs w:val="21"/>
        </w:rPr>
        <w:t xml:space="preserve">（三）服务要求    </w:t>
      </w:r>
    </w:p>
    <w:p>
      <w:pPr>
        <w:widowControl/>
        <w:spacing w:line="360" w:lineRule="auto"/>
        <w:jc w:val="left"/>
        <w:rPr>
          <w:rFonts w:ascii="宋体" w:hAnsi="宋体"/>
          <w:szCs w:val="21"/>
        </w:rPr>
      </w:pPr>
      <w:r>
        <w:rPr>
          <w:rFonts w:hint="eastAsia" w:ascii="宋体" w:hAnsi="宋体"/>
          <w:szCs w:val="21"/>
        </w:rPr>
        <w:t>1、成交供应商不得将本项目转包、分包，否则采购人有权单方终止合同，由此产生的一切经济损失由成交供应商自行承担。</w:t>
      </w:r>
    </w:p>
    <w:p>
      <w:pPr>
        <w:widowControl/>
        <w:spacing w:line="360" w:lineRule="auto"/>
        <w:jc w:val="left"/>
        <w:rPr>
          <w:rFonts w:ascii="宋体" w:hAnsi="宋体"/>
          <w:szCs w:val="21"/>
        </w:rPr>
      </w:pPr>
      <w:r>
        <w:rPr>
          <w:rFonts w:hint="eastAsia" w:ascii="宋体" w:hAnsi="宋体"/>
          <w:szCs w:val="21"/>
        </w:rPr>
        <w:t>2、成交供应商不得变更供应商品，应严格按合同要求供应，否则，采购人有权拒收。如因特殊问题需要变更的，应书面通知采购人。</w:t>
      </w:r>
    </w:p>
    <w:p>
      <w:pPr>
        <w:widowControl/>
        <w:spacing w:line="360" w:lineRule="auto"/>
        <w:jc w:val="left"/>
        <w:rPr>
          <w:rFonts w:ascii="宋体" w:hAnsi="宋体"/>
          <w:szCs w:val="21"/>
        </w:rPr>
      </w:pPr>
      <w:r>
        <w:rPr>
          <w:rFonts w:hint="eastAsia" w:ascii="宋体" w:hAnsi="宋体"/>
          <w:szCs w:val="21"/>
        </w:rPr>
        <w:t>3、所提供的产品须与成交供应商报价文件响应的品牌、规格、产地和厂家相符，且符合国家或行业标准，若不相符，成交供应商须无条件退换，损失由成交供应商承担。</w:t>
      </w:r>
    </w:p>
    <w:p>
      <w:pPr>
        <w:widowControl/>
        <w:spacing w:line="360" w:lineRule="auto"/>
        <w:jc w:val="left"/>
        <w:rPr>
          <w:rFonts w:ascii="宋体" w:hAnsi="宋体"/>
          <w:szCs w:val="21"/>
        </w:rPr>
      </w:pPr>
      <w:r>
        <w:rPr>
          <w:rFonts w:hint="eastAsia" w:ascii="宋体" w:hAnsi="宋体"/>
          <w:szCs w:val="21"/>
        </w:rPr>
        <w:t>4、成交供应商应保证所提供的货物是全新、未使用过的，并完全符合采购人规定的质量、规格和性能的要求。</w:t>
      </w:r>
    </w:p>
    <w:p>
      <w:pPr>
        <w:widowControl/>
        <w:spacing w:line="360" w:lineRule="auto"/>
        <w:jc w:val="left"/>
        <w:rPr>
          <w:rFonts w:ascii="宋体" w:hAnsi="宋体"/>
          <w:szCs w:val="21"/>
        </w:rPr>
      </w:pPr>
      <w:r>
        <w:rPr>
          <w:rFonts w:hint="eastAsia" w:ascii="宋体" w:hAnsi="宋体"/>
          <w:szCs w:val="21"/>
        </w:rPr>
        <w:t xml:space="preserve">5、成交供应商配送人员稳定，衣着整齐，统一佩戴工作牌，服从采购人的相关管理规定。 </w:t>
      </w:r>
    </w:p>
    <w:p>
      <w:pPr>
        <w:widowControl/>
        <w:spacing w:line="360" w:lineRule="auto"/>
        <w:jc w:val="left"/>
        <w:rPr>
          <w:rFonts w:ascii="宋体" w:hAnsi="宋体"/>
          <w:szCs w:val="21"/>
        </w:rPr>
      </w:pPr>
      <w:r>
        <w:rPr>
          <w:rFonts w:hint="eastAsia" w:ascii="宋体" w:hAnsi="宋体"/>
          <w:szCs w:val="21"/>
        </w:rPr>
        <w:t>（四）交货要求</w:t>
      </w:r>
    </w:p>
    <w:p>
      <w:pPr>
        <w:widowControl/>
        <w:spacing w:line="360" w:lineRule="auto"/>
        <w:jc w:val="left"/>
        <w:rPr>
          <w:rFonts w:ascii="宋体" w:hAnsi="宋体"/>
          <w:szCs w:val="21"/>
        </w:rPr>
      </w:pPr>
      <w:r>
        <w:rPr>
          <w:rFonts w:hint="eastAsia" w:ascii="宋体" w:hAnsi="宋体"/>
          <w:szCs w:val="21"/>
        </w:rPr>
        <w:t>1、成交供应商收到采购人书面订货单后5个工作日内将货物送到指定地点交付并完成安装。</w:t>
      </w:r>
    </w:p>
    <w:p>
      <w:pPr>
        <w:widowControl/>
        <w:spacing w:line="360" w:lineRule="auto"/>
        <w:jc w:val="left"/>
        <w:rPr>
          <w:rFonts w:ascii="宋体" w:hAnsi="宋体"/>
          <w:szCs w:val="21"/>
        </w:rPr>
      </w:pPr>
      <w:r>
        <w:rPr>
          <w:rFonts w:hint="eastAsia" w:ascii="宋体" w:hAnsi="宋体"/>
          <w:szCs w:val="21"/>
        </w:rPr>
        <w:t>2、成交供应商售后服务包括：免费送货，应急送货的在收到订货后2小时内运送到佛山市高明区指定地交付。应急送货不分工作日、休息日。</w:t>
      </w:r>
    </w:p>
    <w:p>
      <w:pPr>
        <w:widowControl/>
        <w:spacing w:line="360" w:lineRule="auto"/>
        <w:jc w:val="left"/>
        <w:rPr>
          <w:rFonts w:ascii="宋体" w:hAnsi="宋体"/>
          <w:szCs w:val="21"/>
        </w:rPr>
      </w:pPr>
      <w:r>
        <w:rPr>
          <w:rFonts w:hint="eastAsia" w:ascii="宋体" w:hAnsi="宋体"/>
          <w:szCs w:val="21"/>
        </w:rPr>
        <w:t>（五）付款方式</w:t>
      </w:r>
    </w:p>
    <w:p>
      <w:pPr>
        <w:widowControl/>
        <w:spacing w:line="360" w:lineRule="auto"/>
        <w:jc w:val="left"/>
        <w:rPr>
          <w:rFonts w:ascii="宋体" w:hAnsi="宋体"/>
          <w:szCs w:val="21"/>
        </w:rPr>
      </w:pPr>
      <w:r>
        <w:rPr>
          <w:rFonts w:hint="eastAsia" w:ascii="宋体" w:hAnsi="宋体"/>
          <w:szCs w:val="21"/>
        </w:rPr>
        <w:t>1、合同中确定的单价为所供货物的最高限价。</w:t>
      </w:r>
    </w:p>
    <w:p>
      <w:pPr>
        <w:widowControl/>
        <w:spacing w:line="360" w:lineRule="auto"/>
        <w:jc w:val="left"/>
        <w:rPr>
          <w:rFonts w:ascii="宋体" w:hAnsi="宋体"/>
          <w:szCs w:val="21"/>
        </w:rPr>
      </w:pPr>
      <w:r>
        <w:rPr>
          <w:rFonts w:hint="eastAsia" w:ascii="宋体" w:hAnsi="宋体"/>
          <w:szCs w:val="21"/>
        </w:rPr>
        <w:t>2、结算单价包含货物的价款、仓储和运输费、装卸费及为进口应缴纳的一切关税等费用，采购人无须向成交供应商另外支付任何费用。</w:t>
      </w:r>
    </w:p>
    <w:p>
      <w:pPr>
        <w:widowControl/>
        <w:spacing w:line="360" w:lineRule="auto"/>
        <w:jc w:val="left"/>
        <w:rPr>
          <w:rFonts w:ascii="宋体" w:hAnsi="宋体"/>
          <w:szCs w:val="21"/>
        </w:rPr>
      </w:pPr>
      <w:r>
        <w:rPr>
          <w:rFonts w:hint="eastAsia" w:ascii="宋体" w:hAnsi="宋体"/>
          <w:szCs w:val="21"/>
        </w:rPr>
        <w:t>（六）结算方式</w:t>
      </w:r>
    </w:p>
    <w:p>
      <w:pPr>
        <w:widowControl/>
        <w:spacing w:line="360" w:lineRule="auto"/>
        <w:jc w:val="left"/>
        <w:rPr>
          <w:rFonts w:ascii="宋体" w:hAnsi="宋体"/>
          <w:szCs w:val="21"/>
        </w:rPr>
      </w:pPr>
      <w:r>
        <w:rPr>
          <w:rFonts w:hint="eastAsia" w:ascii="宋体" w:hAnsi="宋体"/>
          <w:szCs w:val="21"/>
        </w:rPr>
        <w:t>1、第一期：成交供应商自采购货物经采购人验收合格之日起1个月内，提供该采购货物的全额增值税专用发票给采购人，采购人自收到合法有效发票之日6个月内，支付相应货款的【95%】。</w:t>
      </w:r>
    </w:p>
    <w:p>
      <w:pPr>
        <w:widowControl/>
        <w:spacing w:line="360" w:lineRule="auto"/>
        <w:jc w:val="left"/>
        <w:rPr>
          <w:rFonts w:ascii="宋体" w:hAnsi="宋体"/>
          <w:szCs w:val="21"/>
        </w:rPr>
      </w:pPr>
      <w:r>
        <w:rPr>
          <w:rFonts w:hint="eastAsia" w:ascii="宋体" w:hAnsi="宋体"/>
          <w:szCs w:val="21"/>
        </w:rPr>
        <w:t>2、第二期：剩余【5%】货款为质量保证金（即质保金），如无质量问题，质保期满后3个月内无息支付。</w:t>
      </w:r>
    </w:p>
    <w:p>
      <w:pPr>
        <w:widowControl/>
        <w:spacing w:line="360" w:lineRule="auto"/>
        <w:jc w:val="left"/>
        <w:rPr>
          <w:rFonts w:ascii="宋体" w:hAnsi="宋体"/>
          <w:szCs w:val="21"/>
        </w:rPr>
      </w:pPr>
      <w:r>
        <w:rPr>
          <w:rFonts w:hint="eastAsia" w:ascii="宋体" w:hAnsi="宋体"/>
          <w:szCs w:val="21"/>
        </w:rPr>
        <w:t>3、付款方式：采用银行汇付（含电汇）形式。</w:t>
      </w:r>
    </w:p>
    <w:p>
      <w:pPr>
        <w:widowControl/>
        <w:spacing w:line="360" w:lineRule="auto"/>
        <w:jc w:val="left"/>
        <w:rPr>
          <w:rFonts w:ascii="宋体" w:hAnsi="宋体"/>
          <w:szCs w:val="21"/>
        </w:rPr>
      </w:pPr>
      <w:r>
        <w:rPr>
          <w:rFonts w:hint="eastAsia" w:ascii="宋体" w:hAnsi="宋体"/>
          <w:szCs w:val="21"/>
        </w:rPr>
        <w:t>4、成交供应商须按照采购人要求提供合法增值税专用发票，否则，采购人有权延期付款，由此造成迟延付款的责任由成交供应商自行承担。</w:t>
      </w:r>
    </w:p>
    <w:p>
      <w:pPr>
        <w:widowControl/>
        <w:spacing w:line="360" w:lineRule="auto"/>
        <w:jc w:val="left"/>
        <w:rPr>
          <w:rFonts w:ascii="宋体" w:hAnsi="宋体"/>
          <w:szCs w:val="21"/>
        </w:rPr>
      </w:pPr>
      <w:r>
        <w:rPr>
          <w:rFonts w:hint="eastAsia" w:ascii="宋体" w:hAnsi="宋体"/>
          <w:szCs w:val="21"/>
        </w:rPr>
        <w:t>5、出现国家税收政策调整时，双方应根据实际税收调整情况，以本合同中的货物不含税单价为依据相应调整受影响的合同含税金额，成交供应商需按照税收调整政策规定开具合法合规发票。</w:t>
      </w:r>
    </w:p>
    <w:p>
      <w:pPr>
        <w:widowControl/>
        <w:jc w:val="left"/>
        <w:rPr>
          <w:rFonts w:ascii="宋体" w:hAnsi="宋体"/>
          <w:szCs w:val="21"/>
        </w:rPr>
      </w:pPr>
      <w:r>
        <w:rPr>
          <w:rFonts w:ascii="宋体" w:hAnsi="宋体"/>
          <w:szCs w:val="21"/>
        </w:rPr>
        <w:br w:type="page"/>
      </w:r>
    </w:p>
    <w:p>
      <w:pPr>
        <w:snapToGrid w:val="0"/>
        <w:spacing w:line="360" w:lineRule="auto"/>
        <w:jc w:val="center"/>
        <w:outlineLvl w:val="0"/>
        <w:rPr>
          <w:rFonts w:ascii="宋体" w:hAnsi="宋体"/>
          <w:b/>
          <w:bCs/>
          <w:sz w:val="32"/>
          <w:szCs w:val="32"/>
        </w:rPr>
      </w:pPr>
      <w:r>
        <w:rPr>
          <w:rFonts w:hint="eastAsia" w:ascii="宋体" w:hAnsi="宋体"/>
          <w:b/>
          <w:bCs/>
          <w:sz w:val="32"/>
          <w:szCs w:val="32"/>
        </w:rPr>
        <w:t>第三章竞价附件</w:t>
      </w:r>
    </w:p>
    <w:p>
      <w:pPr>
        <w:pStyle w:val="3"/>
        <w:spacing w:before="0" w:after="0"/>
        <w:jc w:val="center"/>
        <w:rPr>
          <w:rFonts w:ascii="宋体" w:hAnsi="宋体"/>
          <w:lang w:val="zh-CN"/>
        </w:rPr>
      </w:pPr>
      <w:r>
        <w:rPr>
          <w:rFonts w:hint="eastAsia" w:ascii="宋体" w:hAnsi="宋体"/>
          <w:lang w:val="zh-CN"/>
        </w:rPr>
        <w:t>报 价 表</w:t>
      </w:r>
    </w:p>
    <w:tbl>
      <w:tblPr>
        <w:tblStyle w:val="36"/>
        <w:tblW w:w="11658" w:type="dxa"/>
        <w:jc w:val="center"/>
        <w:tblLayout w:type="fixed"/>
        <w:tblCellMar>
          <w:top w:w="0" w:type="dxa"/>
          <w:left w:w="108" w:type="dxa"/>
          <w:bottom w:w="0" w:type="dxa"/>
          <w:right w:w="108" w:type="dxa"/>
        </w:tblCellMar>
      </w:tblPr>
      <w:tblGrid>
        <w:gridCol w:w="567"/>
        <w:gridCol w:w="1390"/>
        <w:gridCol w:w="2216"/>
        <w:gridCol w:w="1534"/>
        <w:gridCol w:w="851"/>
        <w:gridCol w:w="1275"/>
        <w:gridCol w:w="1275"/>
        <w:gridCol w:w="1275"/>
        <w:gridCol w:w="1275"/>
      </w:tblGrid>
      <w:tr>
        <w:tblPrEx>
          <w:tblCellMar>
            <w:top w:w="0" w:type="dxa"/>
            <w:left w:w="108" w:type="dxa"/>
            <w:bottom w:w="0" w:type="dxa"/>
            <w:right w:w="108" w:type="dxa"/>
          </w:tblCellMar>
        </w:tblPrEx>
        <w:trPr>
          <w:trHeight w:val="532"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宋体" w:hAnsi="宋体"/>
                <w:b/>
                <w:color w:val="000000"/>
                <w:kern w:val="0"/>
                <w:szCs w:val="21"/>
              </w:rPr>
            </w:pPr>
            <w:r>
              <w:rPr>
                <w:rFonts w:hint="eastAsia" w:ascii="宋体" w:hAnsi="宋体" w:cs="宋体"/>
                <w:b/>
                <w:kern w:val="0"/>
                <w:szCs w:val="21"/>
              </w:rPr>
              <w:t>序号</w:t>
            </w:r>
          </w:p>
        </w:tc>
        <w:tc>
          <w:tcPr>
            <w:tcW w:w="1390"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b/>
                <w:color w:val="000000"/>
                <w:kern w:val="0"/>
                <w:szCs w:val="21"/>
              </w:rPr>
            </w:pPr>
            <w:r>
              <w:rPr>
                <w:rFonts w:hint="eastAsia" w:ascii="宋体" w:hAnsi="宋体" w:cs="宋体"/>
                <w:b/>
                <w:color w:val="000000"/>
                <w:kern w:val="0"/>
                <w:szCs w:val="21"/>
              </w:rPr>
              <w:t>前端机房</w:t>
            </w:r>
          </w:p>
        </w:tc>
        <w:tc>
          <w:tcPr>
            <w:tcW w:w="2216"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b/>
                <w:color w:val="000000"/>
                <w:kern w:val="0"/>
                <w:szCs w:val="21"/>
              </w:rPr>
            </w:pPr>
            <w:r>
              <w:rPr>
                <w:rFonts w:hint="eastAsia" w:ascii="宋体" w:hAnsi="宋体"/>
                <w:b/>
                <w:szCs w:val="21"/>
              </w:rPr>
              <w:t>原有UPS主机</w:t>
            </w:r>
          </w:p>
        </w:tc>
        <w:tc>
          <w:tcPr>
            <w:tcW w:w="153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b/>
                <w:color w:val="000000"/>
                <w:kern w:val="0"/>
                <w:szCs w:val="21"/>
              </w:rPr>
            </w:pPr>
            <w:r>
              <w:rPr>
                <w:rFonts w:hint="eastAsia" w:ascii="宋体" w:hAnsi="宋体"/>
                <w:b/>
                <w:szCs w:val="21"/>
              </w:rPr>
              <w:t>采购主机规格要求</w:t>
            </w:r>
          </w:p>
        </w:tc>
        <w:tc>
          <w:tcPr>
            <w:tcW w:w="85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cs="宋体"/>
                <w:b/>
                <w:color w:val="000000"/>
                <w:kern w:val="0"/>
                <w:szCs w:val="21"/>
                <w:lang w:bidi="ar"/>
              </w:rPr>
            </w:pPr>
            <w:r>
              <w:rPr>
                <w:rFonts w:hint="eastAsia" w:ascii="宋体" w:hAnsi="宋体"/>
                <w:b/>
                <w:szCs w:val="21"/>
              </w:rPr>
              <w:t>数量</w:t>
            </w:r>
          </w:p>
        </w:tc>
        <w:tc>
          <w:tcPr>
            <w:tcW w:w="1275"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cs="宋体"/>
                <w:b/>
                <w:color w:val="000000"/>
                <w:kern w:val="0"/>
                <w:szCs w:val="21"/>
                <w:lang w:bidi="ar"/>
              </w:rPr>
            </w:pPr>
            <w:r>
              <w:rPr>
                <w:rFonts w:hint="eastAsia" w:ascii="宋体" w:hAnsi="宋体"/>
                <w:b/>
                <w:bCs/>
                <w:szCs w:val="21"/>
              </w:rPr>
              <w:t>采购人备注</w:t>
            </w:r>
          </w:p>
        </w:tc>
        <w:tc>
          <w:tcPr>
            <w:tcW w:w="1275"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b/>
                <w:bCs/>
                <w:szCs w:val="21"/>
              </w:rPr>
            </w:pPr>
            <w:r>
              <w:rPr>
                <w:rFonts w:hint="eastAsia" w:ascii="宋体" w:hAnsi="宋体"/>
                <w:b/>
                <w:bCs/>
                <w:szCs w:val="21"/>
              </w:rPr>
              <w:t>所报品牌/型号</w:t>
            </w:r>
          </w:p>
        </w:tc>
        <w:tc>
          <w:tcPr>
            <w:tcW w:w="1275"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b/>
                <w:bCs/>
                <w:szCs w:val="21"/>
              </w:rPr>
            </w:pPr>
            <w:r>
              <w:rPr>
                <w:rFonts w:hint="eastAsia" w:ascii="宋体" w:hAnsi="宋体"/>
                <w:b/>
                <w:bCs/>
                <w:szCs w:val="21"/>
              </w:rPr>
              <w:t>报价</w:t>
            </w:r>
          </w:p>
          <w:p>
            <w:pPr>
              <w:snapToGrid w:val="0"/>
              <w:spacing w:line="360" w:lineRule="auto"/>
              <w:jc w:val="center"/>
              <w:rPr>
                <w:rFonts w:ascii="宋体" w:hAnsi="宋体"/>
                <w:b/>
                <w:bCs/>
                <w:szCs w:val="21"/>
              </w:rPr>
            </w:pPr>
            <w:r>
              <w:rPr>
                <w:rFonts w:hint="eastAsia" w:ascii="宋体" w:hAnsi="宋体"/>
                <w:b/>
                <w:bCs/>
                <w:szCs w:val="21"/>
              </w:rPr>
              <w:t>（元）</w:t>
            </w:r>
          </w:p>
        </w:tc>
        <w:tc>
          <w:tcPr>
            <w:tcW w:w="1275"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宋体" w:hAnsi="宋体"/>
                <w:b/>
                <w:bCs/>
                <w:szCs w:val="21"/>
              </w:rPr>
            </w:pPr>
            <w:r>
              <w:rPr>
                <w:rFonts w:hint="eastAsia" w:ascii="宋体" w:hAnsi="宋体"/>
                <w:b/>
                <w:bCs/>
                <w:szCs w:val="21"/>
              </w:rPr>
              <w:t>备注</w:t>
            </w:r>
          </w:p>
        </w:tc>
      </w:tr>
      <w:tr>
        <w:tblPrEx>
          <w:tblCellMar>
            <w:top w:w="0" w:type="dxa"/>
            <w:left w:w="108" w:type="dxa"/>
            <w:bottom w:w="0" w:type="dxa"/>
            <w:right w:w="108" w:type="dxa"/>
          </w:tblCellMar>
        </w:tblPrEx>
        <w:trPr>
          <w:trHeight w:val="625" w:hRule="atLeast"/>
          <w:jc w:val="center"/>
        </w:trPr>
        <w:tc>
          <w:tcPr>
            <w:tcW w:w="567" w:type="dxa"/>
            <w:tcBorders>
              <w:top w:val="nil"/>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宋体" w:hAnsi="宋体"/>
                <w:color w:val="000000"/>
                <w:kern w:val="0"/>
                <w:szCs w:val="21"/>
              </w:rPr>
            </w:pPr>
            <w:r>
              <w:rPr>
                <w:rFonts w:hint="eastAsia" w:ascii="宋体" w:hAnsi="宋体"/>
                <w:bCs/>
                <w:szCs w:val="21"/>
              </w:rPr>
              <w:t>1</w:t>
            </w:r>
          </w:p>
        </w:tc>
        <w:tc>
          <w:tcPr>
            <w:tcW w:w="1390" w:type="dxa"/>
            <w:tcBorders>
              <w:top w:val="nil"/>
              <w:left w:val="nil"/>
              <w:bottom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szCs w:val="21"/>
              </w:rPr>
              <w:t>祥和机房</w:t>
            </w:r>
          </w:p>
        </w:tc>
        <w:tc>
          <w:tcPr>
            <w:tcW w:w="2216" w:type="dxa"/>
            <w:tcBorders>
              <w:top w:val="nil"/>
              <w:left w:val="nil"/>
              <w:bottom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szCs w:val="21"/>
              </w:rPr>
              <w:t>爱默生UHA1R-01001</w:t>
            </w:r>
          </w:p>
        </w:tc>
        <w:tc>
          <w:tcPr>
            <w:tcW w:w="1534"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10KVA</w:t>
            </w:r>
          </w:p>
        </w:tc>
        <w:tc>
          <w:tcPr>
            <w:tcW w:w="851" w:type="dxa"/>
            <w:tcBorders>
              <w:top w:val="nil"/>
              <w:left w:val="nil"/>
              <w:bottom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2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kern w:val="0"/>
                <w:szCs w:val="21"/>
                <w:lang w:bidi="ar"/>
              </w:rPr>
            </w:pPr>
            <w:r>
              <w:rPr>
                <w:rFonts w:hint="eastAsia" w:ascii="宋体" w:hAnsi="宋体" w:cs="宋体"/>
                <w:color w:val="000000"/>
                <w:kern w:val="0"/>
                <w:szCs w:val="21"/>
                <w:lang w:bidi="ar"/>
              </w:rPr>
              <w:t>单进单出</w:t>
            </w:r>
          </w:p>
        </w:tc>
        <w:tc>
          <w:tcPr>
            <w:tcW w:w="12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kern w:val="0"/>
                <w:szCs w:val="21"/>
                <w:lang w:bidi="ar"/>
              </w:rPr>
            </w:pPr>
          </w:p>
        </w:tc>
        <w:tc>
          <w:tcPr>
            <w:tcW w:w="12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kern w:val="0"/>
                <w:szCs w:val="21"/>
                <w:lang w:bidi="ar"/>
              </w:rPr>
            </w:pPr>
          </w:p>
        </w:tc>
        <w:tc>
          <w:tcPr>
            <w:tcW w:w="12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5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宋体" w:hAnsi="宋体"/>
                <w:color w:val="000000"/>
                <w:kern w:val="0"/>
                <w:szCs w:val="21"/>
              </w:rPr>
            </w:pPr>
            <w:r>
              <w:rPr>
                <w:rFonts w:hint="eastAsia" w:ascii="宋体" w:hAnsi="宋体"/>
                <w:color w:val="000000"/>
                <w:kern w:val="0"/>
                <w:szCs w:val="21"/>
              </w:rPr>
              <w:t>2</w:t>
            </w:r>
          </w:p>
        </w:tc>
        <w:tc>
          <w:tcPr>
            <w:tcW w:w="1390"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szCs w:val="21"/>
              </w:rPr>
              <w:t>碧桂园机房</w:t>
            </w:r>
          </w:p>
        </w:tc>
        <w:tc>
          <w:tcPr>
            <w:tcW w:w="221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szCs w:val="21"/>
              </w:rPr>
              <w:t>创电CDP5KL-S/16</w:t>
            </w:r>
          </w:p>
        </w:tc>
        <w:tc>
          <w:tcPr>
            <w:tcW w:w="1534"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10KVA</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275" w:type="dxa"/>
            <w:tcBorders>
              <w:top w:val="single" w:color="auto" w:sz="4" w:space="0"/>
              <w:left w:val="nil"/>
              <w:bottom w:val="single" w:color="auto" w:sz="4" w:space="0"/>
              <w:right w:val="single" w:color="auto" w:sz="4" w:space="0"/>
            </w:tcBorders>
            <w:shd w:val="clear" w:color="auto" w:fill="FFFFFF"/>
            <w:vAlign w:val="center"/>
          </w:tcPr>
          <w:p>
            <w:pPr>
              <w:pStyle w:val="45"/>
              <w:spacing w:line="360" w:lineRule="auto"/>
              <w:ind w:firstLine="0" w:firstLineChars="0"/>
              <w:jc w:val="center"/>
              <w:rPr>
                <w:rFonts w:ascii="宋体" w:hAnsi="宋体" w:cs="宋体"/>
                <w:color w:val="000000"/>
                <w:kern w:val="0"/>
                <w:szCs w:val="21"/>
                <w:lang w:bidi="ar"/>
              </w:rPr>
            </w:pPr>
            <w:r>
              <w:rPr>
                <w:rFonts w:hint="eastAsia" w:ascii="宋体" w:hAnsi="宋体" w:cs="宋体"/>
                <w:color w:val="000000"/>
                <w:kern w:val="0"/>
                <w:szCs w:val="21"/>
                <w:lang w:bidi="ar"/>
              </w:rPr>
              <w:t>单进单出</w:t>
            </w:r>
          </w:p>
        </w:tc>
        <w:tc>
          <w:tcPr>
            <w:tcW w:w="1275" w:type="dxa"/>
            <w:tcBorders>
              <w:top w:val="single" w:color="auto" w:sz="4" w:space="0"/>
              <w:left w:val="nil"/>
              <w:bottom w:val="single" w:color="auto" w:sz="4" w:space="0"/>
              <w:right w:val="single" w:color="auto" w:sz="4" w:space="0"/>
            </w:tcBorders>
            <w:shd w:val="clear" w:color="auto" w:fill="FFFFFF"/>
            <w:vAlign w:val="center"/>
          </w:tcPr>
          <w:p>
            <w:pPr>
              <w:pStyle w:val="45"/>
              <w:spacing w:line="360" w:lineRule="auto"/>
              <w:ind w:firstLine="0" w:firstLineChars="0"/>
              <w:jc w:val="center"/>
              <w:rPr>
                <w:rFonts w:ascii="宋体" w:hAnsi="宋体" w:cs="宋体"/>
                <w:color w:val="000000"/>
                <w:kern w:val="0"/>
                <w:szCs w:val="21"/>
                <w:lang w:bidi="ar"/>
              </w:rPr>
            </w:pPr>
          </w:p>
        </w:tc>
        <w:tc>
          <w:tcPr>
            <w:tcW w:w="1275" w:type="dxa"/>
            <w:tcBorders>
              <w:top w:val="single" w:color="auto" w:sz="4" w:space="0"/>
              <w:left w:val="nil"/>
              <w:bottom w:val="single" w:color="auto" w:sz="4" w:space="0"/>
              <w:right w:val="single" w:color="auto" w:sz="4" w:space="0"/>
            </w:tcBorders>
            <w:shd w:val="clear" w:color="auto" w:fill="FFFFFF"/>
            <w:vAlign w:val="center"/>
          </w:tcPr>
          <w:p>
            <w:pPr>
              <w:pStyle w:val="45"/>
              <w:spacing w:line="360" w:lineRule="auto"/>
              <w:ind w:firstLine="0" w:firstLineChars="0"/>
              <w:jc w:val="center"/>
              <w:rPr>
                <w:rFonts w:ascii="宋体" w:hAnsi="宋体" w:cs="宋体"/>
                <w:color w:val="000000"/>
                <w:kern w:val="0"/>
                <w:szCs w:val="21"/>
                <w:lang w:bidi="ar"/>
              </w:rPr>
            </w:pPr>
          </w:p>
        </w:tc>
        <w:tc>
          <w:tcPr>
            <w:tcW w:w="1275" w:type="dxa"/>
            <w:tcBorders>
              <w:top w:val="single" w:color="auto" w:sz="4" w:space="0"/>
              <w:left w:val="nil"/>
              <w:bottom w:val="single" w:color="auto" w:sz="4" w:space="0"/>
              <w:right w:val="single" w:color="auto" w:sz="4" w:space="0"/>
            </w:tcBorders>
            <w:shd w:val="clear" w:color="auto" w:fill="FFFFFF"/>
            <w:vAlign w:val="center"/>
          </w:tcPr>
          <w:p>
            <w:pPr>
              <w:pStyle w:val="45"/>
              <w:spacing w:line="360" w:lineRule="auto"/>
              <w:ind w:firstLine="0" w:firstLineChars="0"/>
              <w:jc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50" w:hRule="atLeast"/>
          <w:jc w:val="center"/>
        </w:trPr>
        <w:tc>
          <w:tcPr>
            <w:tcW w:w="11658"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pStyle w:val="45"/>
              <w:spacing w:line="360" w:lineRule="auto"/>
              <w:ind w:firstLine="0" w:firstLineChars="0"/>
              <w:jc w:val="center"/>
              <w:rPr>
                <w:rFonts w:ascii="宋体" w:hAnsi="宋体" w:cs="宋体"/>
                <w:b/>
                <w:color w:val="000000"/>
                <w:kern w:val="0"/>
                <w:szCs w:val="21"/>
                <w:lang w:bidi="ar"/>
              </w:rPr>
            </w:pPr>
            <w:r>
              <w:rPr>
                <w:rFonts w:hint="eastAsia" w:ascii="宋体" w:hAnsi="宋体" w:cs="宋体"/>
                <w:b/>
                <w:color w:val="000000"/>
                <w:kern w:val="0"/>
                <w:szCs w:val="21"/>
                <w:lang w:bidi="ar"/>
              </w:rPr>
              <w:t>合计报价：人民币     元</w:t>
            </w:r>
          </w:p>
        </w:tc>
      </w:tr>
    </w:tbl>
    <w:p/>
    <w:p>
      <w:pPr>
        <w:spacing w:line="360" w:lineRule="auto"/>
        <w:rPr>
          <w:rFonts w:ascii="宋体" w:hAnsi="宋体"/>
          <w:b/>
          <w:bCs/>
          <w:color w:val="000000"/>
          <w:spacing w:val="4"/>
        </w:rPr>
      </w:pPr>
      <w:r>
        <w:rPr>
          <w:rFonts w:hint="eastAsia" w:ascii="宋体" w:hAnsi="宋体"/>
          <w:b/>
          <w:bCs/>
          <w:color w:val="000000"/>
          <w:spacing w:val="4"/>
        </w:rPr>
        <w:t>注：</w:t>
      </w:r>
    </w:p>
    <w:p>
      <w:pPr>
        <w:widowControl/>
        <w:numPr>
          <w:ilvl w:val="0"/>
          <w:numId w:val="12"/>
        </w:numPr>
        <w:spacing w:line="340" w:lineRule="exact"/>
        <w:jc w:val="left"/>
        <w:rPr>
          <w:rFonts w:ascii="宋体" w:hAnsi="宋体"/>
          <w:b/>
          <w:bCs/>
          <w:color w:val="000000"/>
          <w:kern w:val="0"/>
          <w:u w:val="single"/>
        </w:rPr>
      </w:pPr>
      <w:r>
        <w:rPr>
          <w:rFonts w:hint="eastAsia" w:ascii="宋体" w:hAnsi="宋体"/>
          <w:b/>
          <w:bCs/>
          <w:color w:val="000000"/>
          <w:kern w:val="0"/>
          <w:u w:val="single"/>
        </w:rPr>
        <w:t>供应商必须按报价表的格式填写，不得增加或删除表格内容。除单价、金额或项目要求填写的内容外，不得擅自改动报价表内容，</w:t>
      </w:r>
      <w:r>
        <w:rPr>
          <w:rFonts w:hint="eastAsia" w:ascii="宋体" w:hAnsi="宋体"/>
          <w:b/>
          <w:bCs/>
          <w:color w:val="000000"/>
          <w:kern w:val="0"/>
        </w:rPr>
        <w:t>否则将有可能影响成交结果，不推荐为成交候选人；</w:t>
      </w:r>
    </w:p>
    <w:p>
      <w:pPr>
        <w:widowControl/>
        <w:numPr>
          <w:ilvl w:val="0"/>
          <w:numId w:val="12"/>
        </w:numPr>
        <w:spacing w:line="340" w:lineRule="exact"/>
        <w:jc w:val="left"/>
        <w:rPr>
          <w:rFonts w:ascii="宋体" w:hAnsi="宋体"/>
          <w:b/>
          <w:bCs/>
          <w:color w:val="000000"/>
          <w:kern w:val="0"/>
        </w:rPr>
      </w:pPr>
      <w:r>
        <w:rPr>
          <w:rFonts w:hint="eastAsia" w:ascii="宋体" w:hAnsi="宋体"/>
          <w:b/>
          <w:bCs/>
          <w:color w:val="000000"/>
          <w:kern w:val="0"/>
        </w:rPr>
        <w:t>所有价格均用人民币表示，单位为元，所有报价均为全包价。</w:t>
      </w:r>
    </w:p>
    <w:p>
      <w:pPr>
        <w:widowControl/>
        <w:numPr>
          <w:ilvl w:val="0"/>
          <w:numId w:val="12"/>
        </w:numPr>
        <w:spacing w:line="340" w:lineRule="exact"/>
        <w:jc w:val="left"/>
        <w:rPr>
          <w:rFonts w:ascii="宋体" w:hAnsi="宋体"/>
          <w:b/>
          <w:bCs/>
          <w:color w:val="000000"/>
          <w:kern w:val="0"/>
        </w:rPr>
      </w:pPr>
      <w:r>
        <w:rPr>
          <w:rFonts w:hint="eastAsia" w:ascii="宋体" w:hAnsi="宋体"/>
          <w:b/>
          <w:bCs/>
          <w:color w:val="000000"/>
          <w:kern w:val="0"/>
        </w:rPr>
        <w:t>报价表必须加盖单位公章，否则视为无效报价。</w:t>
      </w:r>
    </w:p>
    <w:p>
      <w:pPr>
        <w:pStyle w:val="32"/>
        <w:numPr>
          <w:ilvl w:val="0"/>
          <w:numId w:val="12"/>
        </w:numPr>
        <w:shd w:val="clear" w:color="auto" w:fill="FFFFFF"/>
        <w:spacing w:beforeAutospacing="0" w:afterAutospacing="0" w:line="276" w:lineRule="auto"/>
        <w:rPr>
          <w:b/>
          <w:sz w:val="21"/>
          <w:szCs w:val="21"/>
        </w:rPr>
      </w:pPr>
      <w:r>
        <w:rPr>
          <w:rFonts w:hint="eastAsia"/>
          <w:b/>
          <w:sz w:val="21"/>
          <w:szCs w:val="21"/>
        </w:rPr>
        <w:t>平台上报价与上表合计不一致的，以报价表为准。</w:t>
      </w:r>
    </w:p>
    <w:p>
      <w:pPr>
        <w:pStyle w:val="32"/>
        <w:numPr>
          <w:ilvl w:val="0"/>
          <w:numId w:val="12"/>
        </w:numPr>
        <w:shd w:val="clear" w:color="auto" w:fill="FFFFFF"/>
        <w:spacing w:beforeAutospacing="0" w:afterAutospacing="0" w:line="276" w:lineRule="auto"/>
        <w:rPr>
          <w:b/>
          <w:sz w:val="21"/>
          <w:szCs w:val="21"/>
        </w:rPr>
      </w:pPr>
      <w:r>
        <w:rPr>
          <w:rFonts w:hint="eastAsia"/>
          <w:b/>
          <w:sz w:val="21"/>
          <w:szCs w:val="21"/>
        </w:rPr>
        <w:t>报价包括但不限于接入</w:t>
      </w:r>
      <w:r>
        <w:rPr>
          <w:rFonts w:hint="eastAsia"/>
          <w:b/>
          <w:sz w:val="21"/>
          <w:szCs w:val="21"/>
          <w:lang w:val="en-US" w:eastAsia="zh-CN"/>
        </w:rPr>
        <w:t>采购人</w:t>
      </w:r>
      <w:r>
        <w:rPr>
          <w:rFonts w:hint="eastAsia"/>
          <w:b/>
          <w:sz w:val="21"/>
          <w:szCs w:val="21"/>
        </w:rPr>
        <w:t>动环系统接入费用；接入UPS的输入、输出电源线所需费用。</w:t>
      </w:r>
    </w:p>
    <w:p>
      <w:pPr>
        <w:spacing w:line="500" w:lineRule="exac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ascii="宋体" w:hAnsi="宋体"/>
          <w:color w:val="000000"/>
          <w:spacing w:val="4"/>
          <w:szCs w:val="21"/>
          <w:u w:val="single"/>
        </w:rPr>
        <w:t xml:space="preserve">                     </w:t>
      </w:r>
    </w:p>
    <w:p>
      <w:pPr>
        <w:spacing w:line="520" w:lineRule="exact"/>
        <w:rPr>
          <w:rFonts w:ascii="宋体" w:hAnsi="宋体"/>
          <w:color w:val="000000"/>
          <w:spacing w:val="4"/>
          <w:szCs w:val="21"/>
          <w:u w:val="single"/>
        </w:rPr>
      </w:pPr>
      <w:r>
        <w:rPr>
          <w:rFonts w:hint="eastAsia" w:ascii="宋体" w:hAnsi="宋体"/>
          <w:color w:val="000000"/>
          <w:spacing w:val="4"/>
          <w:szCs w:val="21"/>
        </w:rPr>
        <w:t>日期：</w:t>
      </w:r>
      <w:r>
        <w:rPr>
          <w:rFonts w:ascii="宋体" w:hAnsi="宋体"/>
          <w:color w:val="000000"/>
          <w:spacing w:val="4"/>
          <w:szCs w:val="21"/>
          <w:u w:val="single"/>
        </w:rPr>
        <w:t xml:space="preserve">                     </w:t>
      </w:r>
      <w:bookmarkStart w:id="3" w:name="_Toc435515303"/>
      <w:bookmarkStart w:id="4" w:name="_Toc435514863"/>
    </w:p>
    <w:bookmarkEnd w:id="3"/>
    <w:bookmarkEnd w:id="4"/>
    <w:p>
      <w:pPr>
        <w:widowControl/>
        <w:spacing w:line="360" w:lineRule="auto"/>
        <w:jc w:val="left"/>
        <w:rPr>
          <w:rFonts w:ascii="宋体" w:hAnsi="宋体"/>
          <w:szCs w:val="21"/>
        </w:rPr>
      </w:pPr>
    </w:p>
    <w:p>
      <w:pPr>
        <w:widowControl/>
        <w:spacing w:line="360" w:lineRule="auto"/>
        <w:jc w:val="left"/>
        <w:rPr>
          <w:rFonts w:ascii="宋体" w:hAnsi="宋体"/>
          <w:szCs w:val="21"/>
        </w:rPr>
      </w:pPr>
      <w:r>
        <w:rPr>
          <w:rFonts w:ascii="宋体" w:hAnsi="宋体"/>
          <w:szCs w:val="21"/>
        </w:rPr>
        <w:br w:type="page"/>
      </w:r>
    </w:p>
    <w:p>
      <w:pPr>
        <w:widowControl/>
        <w:jc w:val="center"/>
        <w:outlineLvl w:val="0"/>
        <w:rPr>
          <w:rFonts w:ascii="宋体" w:hAnsi="宋体" w:cs="宋体"/>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3"/>
        <w:spacing w:before="0" w:after="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供应商资格声明函</w:t>
      </w:r>
    </w:p>
    <w:p>
      <w:pPr>
        <w:rPr>
          <w:rFonts w:ascii="宋体" w:hAnsi="宋体"/>
          <w:b/>
          <w:color w:val="000000" w:themeColor="text1"/>
          <w14:textFill>
            <w14:solidFill>
              <w14:schemeClr w14:val="tx1"/>
            </w14:solidFill>
          </w14:textFill>
        </w:rPr>
      </w:pP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广东省广播电视网络股份有限公司佛山高明分公司</w:t>
      </w:r>
      <w:r>
        <w:rPr>
          <w:rFonts w:hint="eastAsia" w:ascii="宋体" w:hAnsi="宋体"/>
          <w:b/>
          <w:color w:val="000000" w:themeColor="text1"/>
          <w:szCs w:val="21"/>
          <w14:textFill>
            <w14:solidFill>
              <w14:schemeClr w14:val="tx1"/>
            </w14:solidFill>
          </w14:textFill>
        </w:rPr>
        <w:t>、采联国际招标采购集团有限公司</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b/>
          <w:bCs/>
          <w:color w:val="000000" w:themeColor="text1"/>
          <w:szCs w:val="21"/>
          <w:u w:val="single"/>
          <w14:textFill>
            <w14:solidFill>
              <w14:schemeClr w14:val="tx1"/>
            </w14:solidFill>
          </w14:textFill>
        </w:rPr>
        <w:t>2023年高明分公司UPS主机购置项目</w:t>
      </w:r>
      <w:r>
        <w:rPr>
          <w:rFonts w:hint="eastAsia" w:ascii="宋体" w:hAnsi="宋体"/>
          <w:color w:val="000000" w:themeColor="text1"/>
          <w:szCs w:val="21"/>
          <w14:textFill>
            <w14:solidFill>
              <w14:schemeClr w14:val="tx1"/>
            </w14:solidFill>
          </w14:textFill>
        </w:rPr>
        <w:t>的竞价公告</w:t>
      </w:r>
      <w:r>
        <w:rPr>
          <w:rFonts w:hint="eastAsia" w:ascii="宋体" w:hAnsi="宋体"/>
          <w:color w:val="000000" w:themeColor="text1"/>
          <w14:textFill>
            <w14:solidFill>
              <w14:schemeClr w14:val="tx1"/>
            </w14:solidFill>
          </w14:textFill>
        </w:rPr>
        <w:t>，并声明：</w:t>
      </w:r>
    </w:p>
    <w:p>
      <w:pPr>
        <w:snapToGrid w:val="0"/>
        <w:spacing w:line="360" w:lineRule="auto"/>
        <w:ind w:firstLine="420" w:firstLineChars="200"/>
        <w:rPr>
          <w:rFonts w:ascii="宋体" w:hAnsi="宋体"/>
          <w:bCs/>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一、本公司（企业）</w:t>
      </w:r>
      <w:r>
        <w:rPr>
          <w:rFonts w:hint="eastAsia" w:ascii="宋体" w:hAnsi="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r>
        <w:rPr>
          <w:rFonts w:ascii="宋体" w:hAnsi="宋体" w:cs="宋体"/>
          <w:color w:val="000000" w:themeColor="text1"/>
          <w:kern w:val="0"/>
          <w:szCs w:val="21"/>
          <w14:textFill>
            <w14:solidFill>
              <w14:schemeClr w14:val="tx1"/>
            </w14:solidFill>
          </w14:textFill>
        </w:rPr>
        <w:t xml:space="preserve"> </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二、本公司具有本次采购项目服务能力。</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三、本公司有固定的经营场所，信誉良好、售后维护服务好，并且在经营活动中无严重违法记录。</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四、本公司不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 </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p>
      <w:pPr>
        <w:pStyle w:val="48"/>
        <w:numPr>
          <w:ilvl w:val="0"/>
          <w:numId w:val="13"/>
        </w:numPr>
        <w:autoSpaceDE w:val="0"/>
        <w:autoSpaceDN w:val="0"/>
        <w:adjustRightInd w:val="0"/>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本声明函必须提供且内容不得擅自删改，否则视为响应无效。</w:t>
      </w:r>
    </w:p>
    <w:p>
      <w:pPr>
        <w:pStyle w:val="48"/>
        <w:numPr>
          <w:ilvl w:val="0"/>
          <w:numId w:val="13"/>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widowControl/>
        <w:spacing w:line="360" w:lineRule="auto"/>
        <w:ind w:left="840"/>
        <w:jc w:val="left"/>
        <w:rPr>
          <w:rFonts w:ascii="宋体" w:hAnsi="宋体"/>
          <w:b/>
          <w:bCs/>
          <w:color w:val="000000" w:themeColor="text1"/>
          <w:kern w:val="0"/>
          <w:sz w:val="32"/>
          <w:szCs w:val="32"/>
          <w14:textFill>
            <w14:solidFill>
              <w14:schemeClr w14:val="tx1"/>
            </w14:solidFill>
          </w14:textFill>
        </w:rPr>
      </w:pPr>
    </w:p>
    <w:p>
      <w:pPr>
        <w:pStyle w:val="48"/>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48"/>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wordWrap w:val="0"/>
        <w:spacing w:line="360" w:lineRule="auto"/>
        <w:ind w:left="84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autoSpaceDE w:val="0"/>
        <w:autoSpaceDN w:val="0"/>
        <w:adjustRightInd w:val="0"/>
        <w:spacing w:before="240" w:after="60" w:line="312" w:lineRule="auto"/>
        <w:jc w:val="center"/>
        <w:outlineLvl w:val="1"/>
        <w:rPr>
          <w:rFonts w:ascii="宋体" w:hAnsi="宋体"/>
          <w:b/>
          <w:bCs/>
          <w:color w:val="000000" w:themeColor="text1"/>
          <w:kern w:val="28"/>
          <w:sz w:val="32"/>
          <w:szCs w:val="32"/>
          <w14:textFill>
            <w14:solidFill>
              <w14:schemeClr w14:val="tx1"/>
            </w14:solidFill>
          </w14:textFill>
        </w:rPr>
      </w:pPr>
      <w:r>
        <w:rPr>
          <w:rFonts w:hint="eastAsia" w:ascii="宋体" w:hAnsi="宋体"/>
          <w:b/>
          <w:bCs/>
          <w:color w:val="000000" w:themeColor="text1"/>
          <w:kern w:val="28"/>
          <w:sz w:val="32"/>
          <w:szCs w:val="32"/>
          <w14:textFill>
            <w14:solidFill>
              <w14:schemeClr w14:val="tx1"/>
            </w14:solidFill>
          </w14:textFill>
        </w:rPr>
        <w:t>用户需求书响应声明函</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bookmarkStart w:id="5" w:name="_Hlk74835188"/>
      <w:bookmarkStart w:id="6" w:name="_Hlk70414952"/>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广东省广播电视网络股份有限公司佛山高明分公司</w:t>
      </w:r>
      <w:r>
        <w:rPr>
          <w:rFonts w:hint="eastAsia" w:ascii="宋体" w:hAnsi="宋体"/>
          <w:b/>
          <w:color w:val="000000" w:themeColor="text1"/>
          <w:szCs w:val="21"/>
          <w14:textFill>
            <w14:solidFill>
              <w14:schemeClr w14:val="tx1"/>
            </w14:solidFill>
          </w14:textFill>
        </w:rPr>
        <w:t>、采联国际招标采购集团有限公司</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14:textFill>
            <w14:solidFill>
              <w14:schemeClr w14:val="tx1"/>
            </w14:solidFill>
          </w14:textFill>
        </w:rPr>
        <w:t>2023年高明分公司UPS主机购置项目</w:t>
      </w:r>
      <w:r>
        <w:rPr>
          <w:rFonts w:hint="eastAsia" w:ascii="宋体" w:hAnsi="宋体"/>
          <w:color w:val="000000" w:themeColor="text1"/>
          <w:szCs w:val="21"/>
          <w14:textFill>
            <w14:solidFill>
              <w14:schemeClr w14:val="tx1"/>
            </w14:solidFill>
          </w14:textFill>
        </w:rPr>
        <w:t>的竞价公告</w:t>
      </w:r>
      <w:bookmarkEnd w:id="5"/>
      <w:r>
        <w:rPr>
          <w:rFonts w:hint="eastAsia" w:ascii="宋体" w:hAnsi="宋体"/>
          <w:color w:val="000000" w:themeColor="text1"/>
          <w:szCs w:val="21"/>
          <w14:textFill>
            <w14:solidFill>
              <w14:schemeClr w14:val="tx1"/>
            </w14:solidFill>
          </w14:textFill>
        </w:rPr>
        <w:t>，本公司（企业）愿意参加采购活动，并作出如下声明：</w:t>
      </w:r>
    </w:p>
    <w:bookmarkEnd w:id="6"/>
    <w:p>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autoSpaceDE w:val="0"/>
        <w:autoSpaceDN w:val="0"/>
        <w:adjustRightInd w:val="0"/>
        <w:snapToGrid w:val="0"/>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napToGrid w:val="0"/>
        <w:spacing w:line="360" w:lineRule="auto"/>
        <w:rPr>
          <w:rFonts w:ascii="宋体" w:hAnsi="宋体"/>
          <w:b/>
          <w:bCs/>
          <w:color w:val="000000" w:themeColor="text1"/>
          <w:szCs w:val="21"/>
          <w14:textFill>
            <w14:solidFill>
              <w14:schemeClr w14:val="tx1"/>
            </w14:solidFill>
          </w14:textFill>
        </w:rPr>
      </w:pPr>
    </w:p>
    <w:p>
      <w:pPr>
        <w:autoSpaceDE w:val="0"/>
        <w:autoSpaceDN w:val="0"/>
        <w:adjustRightInd w:val="0"/>
        <w:snapToGrid w:val="0"/>
        <w:spacing w:line="360" w:lineRule="auto"/>
        <w:ind w:right="436"/>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pPr>
        <w:autoSpaceDE w:val="0"/>
        <w:autoSpaceDN w:val="0"/>
        <w:adjustRightInd w:val="0"/>
        <w:snapToGrid w:val="0"/>
        <w:spacing w:line="360" w:lineRule="auto"/>
        <w:ind w:firstLine="105" w:firstLineChars="50"/>
        <w:jc w:val="right"/>
        <w:rPr>
          <w:rFonts w:ascii="宋体" w:hAnsi="宋体"/>
          <w:color w:val="000000" w:themeColor="text1"/>
          <w:szCs w:val="21"/>
          <w:u w:val="single"/>
          <w14:textFill>
            <w14:solidFill>
              <w14:schemeClr w14:val="tx1"/>
            </w14:solidFill>
          </w14:textFill>
        </w:rPr>
      </w:pPr>
    </w:p>
    <w:p>
      <w:pPr>
        <w:widowControl/>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spacing w:line="360" w:lineRule="auto"/>
        <w:ind w:firstLine="482" w:firstLineChars="200"/>
        <w:rPr>
          <w:rFonts w:cs="Tahoma" w:asciiTheme="minorEastAsia" w:hAnsiTheme="minorEastAsia" w:eastAsiaTheme="minorEastAsia"/>
          <w:b/>
          <w:color w:val="000000"/>
          <w:sz w:val="24"/>
        </w:rPr>
      </w:pPr>
    </w:p>
    <w:p>
      <w:pPr>
        <w:spacing w:line="360" w:lineRule="auto"/>
        <w:rPr>
          <w:rFonts w:cs="Tahoma" w:asciiTheme="minorEastAsia" w:hAnsiTheme="minorEastAsia" w:eastAsiaTheme="minorEastAsia"/>
          <w:b/>
          <w:color w:val="000000"/>
          <w:sz w:val="24"/>
        </w:rPr>
      </w:pPr>
      <w:r>
        <w:rPr>
          <w:rFonts w:hint="eastAsia" w:cs="Tahoma" w:asciiTheme="minorEastAsia" w:hAnsiTheme="minorEastAsia" w:eastAsiaTheme="minorEastAsia"/>
          <w:b/>
          <w:color w:val="000000"/>
          <w:sz w:val="24"/>
        </w:rPr>
        <w:t xml:space="preserve">四、合同模板 </w:t>
      </w:r>
    </w:p>
    <w:p>
      <w:pPr>
        <w:spacing w:line="360" w:lineRule="auto"/>
        <w:jc w:val="right"/>
        <w:rPr>
          <w:rFonts w:asciiTheme="minorEastAsia" w:hAnsiTheme="minorEastAsia" w:eastAsiaTheme="minorEastAsia"/>
          <w:b/>
          <w:sz w:val="24"/>
        </w:rPr>
      </w:pPr>
      <w:r>
        <w:rPr>
          <w:rFonts w:asciiTheme="minorEastAsia" w:hAnsiTheme="minorEastAsia" w:eastAsiaTheme="minorEastAsia"/>
          <w:sz w:val="24"/>
        </w:rPr>
        <w:t xml:space="preserve"> </w:t>
      </w:r>
      <w:r>
        <w:rPr>
          <w:rFonts w:hint="eastAsia" w:asciiTheme="minorEastAsia" w:hAnsiTheme="minorEastAsia" w:eastAsiaTheme="minorEastAsia"/>
          <w:b/>
          <w:sz w:val="24"/>
        </w:rPr>
        <w:t>合同编号：【</w:t>
      </w:r>
      <w:r>
        <w:rPr>
          <w:rFonts w:asciiTheme="minorEastAsia" w:hAnsiTheme="minorEastAsia" w:eastAsiaTheme="minorEastAsia"/>
          <w:b/>
          <w:sz w:val="24"/>
        </w:rPr>
        <w:fldChar w:fldCharType="begin">
          <w:ffData>
            <w:name w:val="文字1"/>
            <w:enabled/>
            <w:calcOnExit w:val="0"/>
            <w:textInput/>
          </w:ffData>
        </w:fldChar>
      </w:r>
      <w:r>
        <w:rPr>
          <w:rFonts w:asciiTheme="minorEastAsia" w:hAnsiTheme="minorEastAsia" w:eastAsiaTheme="minorEastAsia"/>
          <w:b/>
          <w:sz w:val="24"/>
        </w:rPr>
        <w:instrText xml:space="preserve"> </w:instrText>
      </w:r>
      <w:r>
        <w:rPr>
          <w:rFonts w:hint="eastAsia" w:asciiTheme="minorEastAsia" w:hAnsiTheme="minorEastAsia" w:eastAsiaTheme="minorEastAsia"/>
          <w:b/>
          <w:sz w:val="24"/>
        </w:rPr>
        <w:instrText xml:space="preserve">FORMTEXT</w:instrText>
      </w:r>
      <w:r>
        <w:rPr>
          <w:rFonts w:asciiTheme="minorEastAsia" w:hAnsiTheme="minorEastAsia" w:eastAsiaTheme="minorEastAsia"/>
          <w:b/>
          <w:sz w:val="24"/>
        </w:rPr>
        <w:instrText xml:space="preserve"> </w:instrText>
      </w:r>
      <w:r>
        <w:rPr>
          <w:rFonts w:asciiTheme="minorEastAsia" w:hAnsiTheme="minorEastAsia" w:eastAsiaTheme="minorEastAsia"/>
          <w:b/>
          <w:sz w:val="24"/>
        </w:rPr>
        <w:fldChar w:fldCharType="separate"/>
      </w:r>
      <w:r>
        <w:rPr>
          <w:rFonts w:asciiTheme="minorEastAsia" w:hAnsiTheme="minorEastAsia" w:eastAsiaTheme="minorEastAsia"/>
          <w:b/>
          <w:sz w:val="24"/>
        </w:rPr>
        <w:t>     </w:t>
      </w:r>
      <w:r>
        <w:rPr>
          <w:rFonts w:asciiTheme="minorEastAsia" w:hAnsiTheme="minorEastAsia" w:eastAsiaTheme="minorEastAsia"/>
          <w:b/>
          <w:sz w:val="24"/>
        </w:rPr>
        <w:fldChar w:fldCharType="end"/>
      </w:r>
      <w:r>
        <w:rPr>
          <w:rFonts w:hint="eastAsia" w:asciiTheme="minorEastAsia" w:hAnsiTheme="minorEastAsia" w:eastAsiaTheme="minorEastAsia"/>
          <w:b/>
          <w:sz w:val="24"/>
        </w:rPr>
        <w:t>】</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480" w:lineRule="auto"/>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广东省广播电视网络股份有限公司</w:t>
      </w:r>
    </w:p>
    <w:p>
      <w:pPr>
        <w:pStyle w:val="16"/>
        <w:tabs>
          <w:tab w:val="left" w:pos="4120"/>
        </w:tabs>
        <w:adjustRightInd w:val="0"/>
        <w:spacing w:line="480" w:lineRule="auto"/>
        <w:jc w:val="center"/>
        <w:rPr>
          <w:rFonts w:asciiTheme="minorEastAsia" w:hAnsiTheme="minorEastAsia" w:eastAsiaTheme="minorEastAsia"/>
          <w:b/>
          <w:sz w:val="36"/>
          <w:szCs w:val="36"/>
        </w:rPr>
      </w:pPr>
      <w:bookmarkStart w:id="7" w:name="_Hlk12884316"/>
      <w:r>
        <w:rPr>
          <w:rFonts w:hint="eastAsia" w:asciiTheme="minorEastAsia" w:hAnsiTheme="minorEastAsia" w:eastAsiaTheme="minorEastAsia"/>
          <w:b/>
          <w:sz w:val="36"/>
          <w:szCs w:val="36"/>
        </w:rPr>
        <w:t>【</w:t>
      </w:r>
      <w:r>
        <w:rPr>
          <w:rFonts w:hint="eastAsia" w:asciiTheme="minorEastAsia" w:hAnsiTheme="minorEastAsia" w:eastAsiaTheme="minorEastAsia"/>
          <w:b/>
          <w:bCs/>
          <w:kern w:val="2"/>
          <w:sz w:val="36"/>
          <w:szCs w:val="36"/>
        </w:rPr>
        <w:t>2023年佛山高明分公司购置办公设备项目</w:t>
      </w:r>
      <w:r>
        <w:rPr>
          <w:rFonts w:hint="eastAsia" w:asciiTheme="minorEastAsia" w:hAnsiTheme="minorEastAsia" w:eastAsiaTheme="minorEastAsia"/>
          <w:b/>
          <w:sz w:val="36"/>
          <w:szCs w:val="36"/>
        </w:rPr>
        <w:t>】</w:t>
      </w:r>
    </w:p>
    <w:p>
      <w:pPr>
        <w:pStyle w:val="16"/>
        <w:tabs>
          <w:tab w:val="left" w:pos="4120"/>
        </w:tabs>
        <w:adjustRightInd w:val="0"/>
        <w:spacing w:line="48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小额货物采购合同</w:t>
      </w:r>
    </w:p>
    <w:bookmarkEnd w:id="7"/>
    <w:p>
      <w:pPr>
        <w:tabs>
          <w:tab w:val="left" w:pos="3296"/>
        </w:tabs>
        <w:adjustRightInd w:val="0"/>
        <w:snapToGrid w:val="0"/>
        <w:spacing w:line="360" w:lineRule="auto"/>
        <w:rPr>
          <w:rFonts w:asciiTheme="minorEastAsia" w:hAnsiTheme="minorEastAsia" w:eastAsiaTheme="minorEastAsia"/>
          <w:b/>
          <w:bCs/>
          <w:sz w:val="24"/>
        </w:rPr>
      </w:pPr>
    </w:p>
    <w:p>
      <w:pPr>
        <w:tabs>
          <w:tab w:val="left" w:pos="3296"/>
        </w:tabs>
        <w:adjustRightInd w:val="0"/>
        <w:snapToGrid w:val="0"/>
        <w:spacing w:line="360" w:lineRule="auto"/>
        <w:rPr>
          <w:rFonts w:asciiTheme="minorEastAsia" w:hAnsiTheme="minorEastAsia" w:eastAsiaTheme="minorEastAsia"/>
          <w:b/>
          <w:bCs/>
          <w:sz w:val="24"/>
        </w:rPr>
      </w:pPr>
    </w:p>
    <w:p>
      <w:pPr>
        <w:tabs>
          <w:tab w:val="left" w:pos="3296"/>
        </w:tabs>
        <w:adjustRightInd w:val="0"/>
        <w:snapToGrid w:val="0"/>
        <w:spacing w:line="360" w:lineRule="auto"/>
        <w:rPr>
          <w:rFonts w:asciiTheme="minorEastAsia" w:hAnsiTheme="minorEastAsia" w:eastAsiaTheme="minorEastAsia"/>
          <w:b/>
          <w:bCs/>
          <w:sz w:val="24"/>
        </w:rPr>
      </w:pPr>
    </w:p>
    <w:p>
      <w:pPr>
        <w:tabs>
          <w:tab w:val="left" w:pos="3296"/>
        </w:tabs>
        <w:adjustRightInd w:val="0"/>
        <w:snapToGrid w:val="0"/>
        <w:spacing w:line="360" w:lineRule="auto"/>
        <w:rPr>
          <w:rFonts w:asciiTheme="minorEastAsia" w:hAnsiTheme="minorEastAsia" w:eastAsiaTheme="minorEastAsia"/>
          <w:b/>
          <w:bCs/>
          <w:sz w:val="24"/>
        </w:rPr>
      </w:pPr>
    </w:p>
    <w:p>
      <w:pPr>
        <w:tabs>
          <w:tab w:val="left" w:pos="3296"/>
        </w:tabs>
        <w:adjustRightInd w:val="0"/>
        <w:snapToGrid w:val="0"/>
        <w:spacing w:line="360" w:lineRule="auto"/>
        <w:rPr>
          <w:rFonts w:asciiTheme="minorEastAsia" w:hAnsiTheme="minorEastAsia" w:eastAsiaTheme="minorEastAsia"/>
          <w:b/>
          <w:bCs/>
          <w:sz w:val="24"/>
        </w:rPr>
      </w:pPr>
    </w:p>
    <w:p>
      <w:pPr>
        <w:tabs>
          <w:tab w:val="left" w:pos="3296"/>
        </w:tabs>
        <w:adjustRightInd w:val="0"/>
        <w:snapToGrid w:val="0"/>
        <w:spacing w:line="360" w:lineRule="auto"/>
        <w:rPr>
          <w:rFonts w:asciiTheme="minorEastAsia" w:hAnsiTheme="minorEastAsia" w:eastAsiaTheme="minorEastAsia"/>
          <w:b/>
          <w:bCs/>
          <w:sz w:val="24"/>
        </w:rPr>
      </w:pPr>
    </w:p>
    <w:p>
      <w:pPr>
        <w:tabs>
          <w:tab w:val="left" w:pos="3296"/>
        </w:tabs>
        <w:adjustRightInd w:val="0"/>
        <w:snapToGrid w:val="0"/>
        <w:spacing w:line="360" w:lineRule="auto"/>
        <w:rPr>
          <w:rFonts w:asciiTheme="minorEastAsia" w:hAnsiTheme="minorEastAsia" w:eastAsiaTheme="minorEastAsia"/>
          <w:b/>
          <w:bCs/>
          <w:sz w:val="24"/>
        </w:rPr>
      </w:pPr>
    </w:p>
    <w:p>
      <w:pPr>
        <w:tabs>
          <w:tab w:val="left" w:pos="3296"/>
        </w:tabs>
        <w:adjustRightInd w:val="0"/>
        <w:snapToGrid w:val="0"/>
        <w:spacing w:line="480" w:lineRule="auto"/>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甲方（采购人）</w:t>
      </w:r>
      <w:r>
        <w:rPr>
          <w:rFonts w:asciiTheme="minorEastAsia" w:hAnsiTheme="minorEastAsia" w:eastAsiaTheme="minorEastAsia"/>
          <w:b/>
          <w:bCs/>
          <w:sz w:val="32"/>
          <w:szCs w:val="32"/>
        </w:rPr>
        <w:t>：</w:t>
      </w:r>
      <w:r>
        <w:rPr>
          <w:rFonts w:hint="eastAsia" w:asciiTheme="minorEastAsia" w:hAnsiTheme="minorEastAsia" w:eastAsiaTheme="minorEastAsia"/>
          <w:b/>
          <w:bCs/>
          <w:sz w:val="32"/>
          <w:szCs w:val="32"/>
        </w:rPr>
        <w:t>广东省广播电视网络股份有限公司</w:t>
      </w:r>
    </w:p>
    <w:p>
      <w:pPr>
        <w:tabs>
          <w:tab w:val="left" w:pos="3296"/>
        </w:tabs>
        <w:adjustRightInd w:val="0"/>
        <w:snapToGrid w:val="0"/>
        <w:spacing w:line="480" w:lineRule="auto"/>
        <w:ind w:firstLine="3534" w:firstLineChars="11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佛山高明分公司</w:t>
      </w:r>
    </w:p>
    <w:p>
      <w:pPr>
        <w:tabs>
          <w:tab w:val="left" w:pos="3296"/>
        </w:tabs>
        <w:adjustRightInd w:val="0"/>
        <w:snapToGrid w:val="0"/>
        <w:spacing w:line="480" w:lineRule="auto"/>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乙方（供应商）</w:t>
      </w:r>
      <w:r>
        <w:rPr>
          <w:rFonts w:asciiTheme="minorEastAsia" w:hAnsiTheme="minorEastAsia" w:eastAsiaTheme="minorEastAsia"/>
          <w:b/>
          <w:bCs/>
          <w:sz w:val="32"/>
          <w:szCs w:val="32"/>
        </w:rPr>
        <w:t xml:space="preserve">： </w:t>
      </w:r>
      <w:r>
        <w:rPr>
          <w:rFonts w:asciiTheme="minorEastAsia" w:hAnsiTheme="minorEastAsia" w:eastAsiaTheme="minorEastAsia"/>
          <w:b/>
          <w:bCs/>
          <w:sz w:val="36"/>
          <w:szCs w:val="36"/>
        </w:rPr>
        <w:fldChar w:fldCharType="begin">
          <w:ffData>
            <w:name w:val="文字3"/>
            <w:enabled/>
            <w:calcOnExit w:val="0"/>
            <w:textInput/>
          </w:ffData>
        </w:fldChar>
      </w:r>
      <w:r>
        <w:rPr>
          <w:rFonts w:asciiTheme="minorEastAsia" w:hAnsiTheme="minorEastAsia" w:eastAsiaTheme="minorEastAsia"/>
          <w:b/>
          <w:bCs/>
          <w:sz w:val="36"/>
          <w:szCs w:val="36"/>
        </w:rPr>
        <w:instrText xml:space="preserve"> FORMTEXT </w:instrText>
      </w:r>
      <w:r>
        <w:rPr>
          <w:rFonts w:asciiTheme="minorEastAsia" w:hAnsiTheme="minorEastAsia" w:eastAsiaTheme="minorEastAsia"/>
          <w:b/>
          <w:bCs/>
          <w:sz w:val="36"/>
          <w:szCs w:val="36"/>
        </w:rPr>
        <w:fldChar w:fldCharType="separate"/>
      </w:r>
      <w:r>
        <w:rPr>
          <w:rFonts w:asciiTheme="minorEastAsia" w:hAnsiTheme="minorEastAsia" w:eastAsiaTheme="minorEastAsia"/>
          <w:b/>
          <w:bCs/>
          <w:sz w:val="36"/>
          <w:szCs w:val="36"/>
        </w:rPr>
        <w:t>     </w:t>
      </w:r>
      <w:r>
        <w:rPr>
          <w:rFonts w:asciiTheme="minorEastAsia" w:hAnsiTheme="minorEastAsia" w:eastAsiaTheme="minorEastAsia"/>
          <w:b/>
          <w:bCs/>
          <w:sz w:val="36"/>
          <w:szCs w:val="36"/>
        </w:rPr>
        <w:fldChar w:fldCharType="end"/>
      </w:r>
    </w:p>
    <w:p>
      <w:pPr>
        <w:widowControl/>
        <w:spacing w:line="360" w:lineRule="auto"/>
        <w:rPr>
          <w:rFonts w:asciiTheme="minorEastAsia" w:hAnsiTheme="minorEastAsia" w:eastAsiaTheme="minorEastAsia"/>
          <w:sz w:val="24"/>
        </w:rPr>
      </w:pPr>
      <w:r>
        <w:rPr>
          <w:rFonts w:hint="eastAsia" w:asciiTheme="minorEastAsia" w:hAnsiTheme="minorEastAsia" w:eastAsiaTheme="minorEastAsia"/>
          <w:sz w:val="24"/>
        </w:rPr>
        <w:t>甲方：</w:t>
      </w:r>
      <w:bookmarkStart w:id="8" w:name="_Hlk12867808"/>
      <w:r>
        <w:rPr>
          <w:rFonts w:hint="eastAsia" w:asciiTheme="minorEastAsia" w:hAnsiTheme="minorEastAsia" w:eastAsiaTheme="minorEastAsia"/>
          <w:sz w:val="24"/>
        </w:rPr>
        <w:t>广东省广播电视网络股份有限公司</w:t>
      </w:r>
      <w:r>
        <w:rPr>
          <w:rFonts w:hint="eastAsia" w:asciiTheme="minorEastAsia" w:hAnsiTheme="minorEastAsia" w:eastAsiaTheme="minorEastAsia"/>
          <w:bCs/>
          <w:sz w:val="24"/>
        </w:rPr>
        <w:t>佛山高明分公司</w:t>
      </w:r>
      <w:bookmarkEnd w:id="8"/>
    </w:p>
    <w:p>
      <w:pPr>
        <w:snapToGrid w:val="0"/>
        <w:spacing w:line="360" w:lineRule="auto"/>
        <w:rPr>
          <w:rFonts w:asciiTheme="minorEastAsia" w:hAnsiTheme="minorEastAsia" w:eastAsiaTheme="minorEastAsia"/>
          <w:sz w:val="24"/>
        </w:rPr>
      </w:pPr>
      <w:bookmarkStart w:id="9" w:name="_Hlk519765214"/>
      <w:r>
        <w:rPr>
          <w:rFonts w:hint="eastAsia" w:asciiTheme="minorEastAsia" w:hAnsiTheme="minorEastAsia" w:eastAsiaTheme="minorEastAsia"/>
          <w:sz w:val="24"/>
        </w:rPr>
        <w:t>住所地：</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传真：</w:t>
      </w:r>
      <w:bookmarkEnd w:id="9"/>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邮箱：</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通讯地址：</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bCs/>
          <w:sz w:val="24"/>
          <w:u w:val="single"/>
        </w:rPr>
      </w:pP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乙方：</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住所地：</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联系人：</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传真：</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邮箱：</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通讯地址：</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pPr>
        <w:snapToGrid w:val="0"/>
        <w:spacing w:line="360" w:lineRule="auto"/>
        <w:rPr>
          <w:rFonts w:asciiTheme="minorEastAsia" w:hAnsiTheme="minorEastAsia" w:eastAsiaTheme="minorEastAsia"/>
          <w:bCs/>
          <w:sz w:val="24"/>
          <w:u w:val="single"/>
        </w:rPr>
      </w:pPr>
    </w:p>
    <w:p>
      <w:pPr>
        <w:widowControl/>
        <w:autoSpaceDE w:val="0"/>
        <w:autoSpaceDN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甲乙双方根据</w:t>
      </w:r>
      <w:r>
        <w:rPr>
          <w:rFonts w:hint="eastAsia" w:ascii="宋体" w:hAnsi="宋体"/>
          <w:sz w:val="24"/>
          <w:lang w:val="en-GB"/>
        </w:rPr>
        <w:t>《中华人民共和国民法典》及相关法律法规的规定</w:t>
      </w:r>
      <w:r>
        <w:rPr>
          <w:rFonts w:hint="eastAsia" w:asciiTheme="minorEastAsia" w:hAnsiTheme="minorEastAsia" w:eastAsiaTheme="minorEastAsia"/>
          <w:sz w:val="24"/>
        </w:rPr>
        <w:t>，本着“平等、自愿、诚实、信用”的原则，经双方友好协商，订立本采购合同。</w:t>
      </w:r>
    </w:p>
    <w:p>
      <w:pPr>
        <w:pStyle w:val="140"/>
        <w:numPr>
          <w:ilvl w:val="0"/>
          <w:numId w:val="14"/>
        </w:numPr>
        <w:tabs>
          <w:tab w:val="clear" w:pos="1102"/>
        </w:tabs>
        <w:spacing w:before="240" w:line="480" w:lineRule="auto"/>
        <w:ind w:left="982" w:hanging="420" w:firstLineChars="0"/>
        <w:rPr>
          <w:rFonts w:ascii="宋体" w:hAnsi="宋体"/>
          <w:b/>
          <w:sz w:val="24"/>
        </w:rPr>
      </w:pPr>
      <w:bookmarkStart w:id="10" w:name="_Hlk12965013"/>
      <w:r>
        <w:rPr>
          <w:rFonts w:hint="eastAsia" w:ascii="宋体" w:hAnsi="宋体"/>
          <w:b/>
          <w:sz w:val="24"/>
        </w:rPr>
        <w:t>货物内容、单位、数量及要求</w:t>
      </w:r>
    </w:p>
    <w:bookmarkEnd w:id="10"/>
    <w:p>
      <w:pPr>
        <w:pStyle w:val="16"/>
        <w:numPr>
          <w:ilvl w:val="1"/>
          <w:numId w:val="15"/>
        </w:numPr>
        <w:spacing w:line="360" w:lineRule="auto"/>
        <w:ind w:left="0" w:firstLine="567"/>
        <w:rPr>
          <w:rFonts w:asciiTheme="minorEastAsia" w:hAnsiTheme="minorEastAsia" w:eastAsiaTheme="minorEastAsia"/>
          <w:sz w:val="24"/>
        </w:rPr>
      </w:pPr>
      <w:r>
        <w:rPr>
          <w:rFonts w:hint="eastAsia" w:asciiTheme="minorEastAsia" w:hAnsiTheme="minorEastAsia" w:eastAsiaTheme="minorEastAsia"/>
          <w:sz w:val="24"/>
        </w:rPr>
        <w:t>货物基本内容</w:t>
      </w:r>
    </w:p>
    <w:tbl>
      <w:tblPr>
        <w:tblStyle w:val="36"/>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
        <w:gridCol w:w="2050"/>
        <w:gridCol w:w="1494"/>
        <w:gridCol w:w="992"/>
        <w:gridCol w:w="1134"/>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47" w:type="dxa"/>
            <w:gridSpan w:val="2"/>
            <w:vAlign w:val="center"/>
          </w:tcPr>
          <w:p>
            <w:pPr>
              <w:spacing w:before="156" w:beforeLines="50" w:line="360" w:lineRule="auto"/>
              <w:ind w:left="-210" w:leftChars="-100" w:firstLine="211" w:firstLineChars="88"/>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序号</w:t>
            </w:r>
          </w:p>
        </w:tc>
        <w:tc>
          <w:tcPr>
            <w:tcW w:w="2050" w:type="dxa"/>
            <w:vAlign w:val="center"/>
          </w:tcPr>
          <w:p>
            <w:pPr>
              <w:spacing w:before="156" w:beforeLines="50" w:line="360" w:lineRule="auto"/>
              <w:ind w:left="-210" w:leftChars="-100" w:firstLine="211" w:firstLineChars="88"/>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货物名称</w:t>
            </w:r>
          </w:p>
        </w:tc>
        <w:tc>
          <w:tcPr>
            <w:tcW w:w="1494" w:type="dxa"/>
            <w:vAlign w:val="center"/>
          </w:tcPr>
          <w:p>
            <w:pPr>
              <w:spacing w:before="156" w:beforeLines="50" w:line="360" w:lineRule="auto"/>
              <w:ind w:left="-210" w:leftChars="-100" w:firstLine="211" w:firstLineChars="88"/>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规格参数</w:t>
            </w:r>
          </w:p>
        </w:tc>
        <w:tc>
          <w:tcPr>
            <w:tcW w:w="992" w:type="dxa"/>
            <w:vAlign w:val="center"/>
          </w:tcPr>
          <w:p>
            <w:pPr>
              <w:spacing w:before="156" w:beforeLines="50" w:line="360" w:lineRule="auto"/>
              <w:ind w:left="-210" w:leftChars="-100" w:firstLine="211" w:firstLineChars="88"/>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数量</w:t>
            </w:r>
          </w:p>
        </w:tc>
        <w:tc>
          <w:tcPr>
            <w:tcW w:w="1134" w:type="dxa"/>
            <w:vAlign w:val="center"/>
          </w:tcPr>
          <w:p>
            <w:pPr>
              <w:spacing w:before="156" w:beforeLines="50" w:line="360" w:lineRule="auto"/>
              <w:ind w:left="-210" w:leftChars="-100" w:firstLine="184" w:firstLineChars="88"/>
              <w:jc w:val="center"/>
              <w:rPr>
                <w:rFonts w:asciiTheme="minorEastAsia" w:hAnsiTheme="minorEastAsia" w:eastAsiaTheme="minorEastAsia"/>
                <w:sz w:val="24"/>
                <w:szCs w:val="20"/>
              </w:rPr>
            </w:pPr>
            <w:r>
              <w:rPr>
                <w:rFonts w:hint="eastAsia"/>
              </w:rPr>
              <w:t>含税单价（元）</w:t>
            </w:r>
          </w:p>
        </w:tc>
        <w:tc>
          <w:tcPr>
            <w:tcW w:w="1276" w:type="dxa"/>
            <w:vAlign w:val="center"/>
          </w:tcPr>
          <w:p>
            <w:pPr>
              <w:spacing w:before="156" w:beforeLines="50" w:line="360" w:lineRule="auto"/>
              <w:ind w:left="-210" w:leftChars="-100" w:firstLine="184" w:firstLineChars="88"/>
              <w:jc w:val="center"/>
              <w:rPr>
                <w:rFonts w:asciiTheme="minorEastAsia" w:hAnsiTheme="minorEastAsia" w:eastAsiaTheme="minorEastAsia"/>
                <w:sz w:val="24"/>
                <w:szCs w:val="20"/>
              </w:rPr>
            </w:pPr>
            <w:r>
              <w:rPr>
                <w:rFonts w:hint="eastAsia"/>
              </w:rPr>
              <w:t>总价</w:t>
            </w:r>
            <w:r>
              <w:rPr>
                <w:rFonts w:hint="cs"/>
              </w:rPr>
              <w:t xml:space="preserve"> </w:t>
            </w:r>
            <w:r>
              <w:t xml:space="preserve">  </w:t>
            </w:r>
            <w:r>
              <w:rPr>
                <w:rFonts w:hint="eastAsia"/>
              </w:rPr>
              <w:t>（元）</w:t>
            </w:r>
          </w:p>
        </w:tc>
        <w:tc>
          <w:tcPr>
            <w:tcW w:w="1418" w:type="dxa"/>
            <w:vAlign w:val="center"/>
          </w:tcPr>
          <w:p>
            <w:pPr>
              <w:spacing w:before="156" w:beforeLines="50" w:line="360" w:lineRule="auto"/>
              <w:ind w:left="-210" w:leftChars="-100" w:firstLine="211" w:firstLineChars="88"/>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7" w:type="dxa"/>
            <w:gridSpan w:val="2"/>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2050"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494"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992"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134"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276"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418"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47" w:type="dxa"/>
            <w:gridSpan w:val="2"/>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2050"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494"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992"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134"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276"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418"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47" w:type="dxa"/>
            <w:gridSpan w:val="2"/>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2050"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494"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992"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134"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276"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c>
          <w:tcPr>
            <w:tcW w:w="1418"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797" w:type="dxa"/>
            <w:gridSpan w:val="3"/>
            <w:vAlign w:val="center"/>
          </w:tcPr>
          <w:p>
            <w:pPr>
              <w:spacing w:before="156" w:beforeLines="50" w:line="360" w:lineRule="auto"/>
              <w:ind w:left="-210" w:leftChars="-100" w:firstLine="211" w:firstLineChars="88"/>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合计</w:t>
            </w:r>
          </w:p>
        </w:tc>
        <w:tc>
          <w:tcPr>
            <w:tcW w:w="6314" w:type="dxa"/>
            <w:gridSpan w:val="5"/>
            <w:vAlign w:val="center"/>
          </w:tcPr>
          <w:p>
            <w:pPr>
              <w:spacing w:before="156" w:beforeLines="50" w:line="360" w:lineRule="auto"/>
              <w:ind w:left="-210" w:leftChars="-100" w:firstLine="211" w:firstLineChars="88"/>
              <w:rPr>
                <w:rFonts w:asciiTheme="minorEastAsia" w:hAnsiTheme="minorEastAsia" w:eastAsiaTheme="minorEastAsia"/>
                <w:sz w:val="24"/>
                <w:szCs w:val="20"/>
              </w:rPr>
            </w:pPr>
            <w:r>
              <w:rPr>
                <w:rFonts w:asciiTheme="minorEastAsia" w:hAnsiTheme="minorEastAsia" w:eastAsiaTheme="minorEastAsia"/>
                <w:sz w:val="24"/>
                <w:szCs w:val="20"/>
              </w:rPr>
              <w:fldChar w:fldCharType="begin">
                <w:ffData>
                  <w:name w:val="文字3"/>
                  <w:enabled/>
                  <w:calcOnExit w:val="0"/>
                  <w:textInput/>
                </w:ffData>
              </w:fldChar>
            </w:r>
            <w:r>
              <w:rPr>
                <w:rFonts w:asciiTheme="minorEastAsia" w:hAnsiTheme="minorEastAsia" w:eastAsiaTheme="minorEastAsia"/>
                <w:sz w:val="24"/>
                <w:szCs w:val="20"/>
              </w:rPr>
              <w:instrText xml:space="preserve"> </w:instrText>
            </w:r>
            <w:r>
              <w:rPr>
                <w:rFonts w:hint="eastAsia" w:asciiTheme="minorEastAsia" w:hAnsiTheme="minorEastAsia" w:eastAsiaTheme="minorEastAsia"/>
                <w:sz w:val="24"/>
                <w:szCs w:val="20"/>
              </w:rPr>
              <w:instrText xml:space="preserve">FORMTEXT</w:instrText>
            </w:r>
            <w:r>
              <w:rPr>
                <w:rFonts w:asciiTheme="minorEastAsia" w:hAnsiTheme="minorEastAsia" w:eastAsiaTheme="minorEastAsia"/>
                <w:sz w:val="24"/>
                <w:szCs w:val="20"/>
              </w:rPr>
              <w:instrText xml:space="preserve"> </w:instrText>
            </w:r>
            <w:r>
              <w:rPr>
                <w:rFonts w:asciiTheme="minorEastAsia" w:hAnsiTheme="minorEastAsia" w:eastAsiaTheme="minorEastAsia"/>
                <w:sz w:val="24"/>
                <w:szCs w:val="20"/>
              </w:rPr>
              <w:fldChar w:fldCharType="separate"/>
            </w:r>
            <w:r>
              <w:rPr>
                <w:rFonts w:asciiTheme="minorEastAsia" w:hAnsiTheme="minorEastAsia" w:eastAsiaTheme="minorEastAsia"/>
                <w:sz w:val="24"/>
                <w:szCs w:val="20"/>
              </w:rPr>
              <w:t>     </w:t>
            </w:r>
            <w:r>
              <w:rPr>
                <w:rFonts w:asciiTheme="minorEastAsia" w:hAnsiTheme="minorEastAsia" w:eastAsiaTheme="minorEastAsia"/>
                <w:sz w:val="24"/>
                <w:szCs w:val="20"/>
              </w:rPr>
              <w:fldChar w:fldCharType="end"/>
            </w:r>
            <w:r>
              <w:rPr>
                <w:rFonts w:hint="eastAsia" w:asciiTheme="minorEastAsia" w:hAnsiTheme="minorEastAsia" w:eastAsiaTheme="minorEastAsia"/>
                <w:sz w:val="24"/>
                <w:szCs w:val="20"/>
              </w:rPr>
              <w:t>元  （含税）提供发票种类：增值税</w:t>
            </w:r>
            <w:r>
              <w:rPr>
                <w:rFonts w:asciiTheme="minorEastAsia" w:hAnsiTheme="minorEastAsia" w:eastAsiaTheme="minorEastAsia"/>
                <w:sz w:val="24"/>
              </w:rPr>
              <w:fldChar w:fldCharType="begin">
                <w:ffData>
                  <w:name w:val="文字3"/>
                  <w:enabled/>
                  <w:calcOnExit w:val="0"/>
                  <w:textInput/>
                </w:ffData>
              </w:fldChar>
            </w:r>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t>     </w:t>
            </w:r>
            <w:r>
              <w:rPr>
                <w:rFonts w:asciiTheme="minorEastAsia" w:hAnsiTheme="minorEastAsia" w:eastAsiaTheme="minorEastAsia"/>
                <w:sz w:val="24"/>
              </w:rPr>
              <w:fldChar w:fldCharType="end"/>
            </w:r>
            <w:r>
              <w:rPr>
                <w:rFonts w:hint="eastAsia" w:asciiTheme="minorEastAsia" w:hAnsiTheme="minorEastAsia" w:eastAsiaTheme="minorEastAsia"/>
                <w:sz w:val="24"/>
                <w:szCs w:val="20"/>
              </w:rPr>
              <w:t>发票 税率：</w:t>
            </w:r>
            <w:r>
              <w:rPr>
                <w:rFonts w:hint="eastAsia" w:asciiTheme="minorEastAsia" w:hAnsiTheme="minorEastAsia" w:eastAsiaTheme="minorEastAsia"/>
                <w:sz w:val="24"/>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40" w:type="dxa"/>
            <w:vAlign w:val="center"/>
          </w:tcPr>
          <w:p>
            <w:pPr>
              <w:spacing w:before="156" w:beforeLines="50" w:line="360" w:lineRule="auto"/>
              <w:ind w:left="-210" w:leftChars="-100" w:firstLine="211" w:firstLineChars="88"/>
              <w:rPr>
                <w:rFonts w:asciiTheme="minorEastAsia" w:hAnsiTheme="minorEastAsia" w:eastAsiaTheme="minorEastAsia"/>
                <w:sz w:val="24"/>
                <w:szCs w:val="20"/>
              </w:rPr>
            </w:pPr>
            <w:r>
              <w:rPr>
                <w:rFonts w:hint="eastAsia" w:asciiTheme="minorEastAsia" w:hAnsiTheme="minorEastAsia" w:eastAsiaTheme="minorEastAsia"/>
                <w:sz w:val="24"/>
                <w:szCs w:val="20"/>
              </w:rPr>
              <w:t>备注</w:t>
            </w:r>
          </w:p>
        </w:tc>
        <w:tc>
          <w:tcPr>
            <w:tcW w:w="8371" w:type="dxa"/>
            <w:gridSpan w:val="7"/>
            <w:vAlign w:val="center"/>
          </w:tcPr>
          <w:p>
            <w:pPr>
              <w:spacing w:before="156" w:beforeLines="50" w:line="360" w:lineRule="auto"/>
              <w:ind w:left="-210" w:leftChars="-100" w:firstLine="211" w:firstLineChars="88"/>
              <w:rPr>
                <w:rFonts w:asciiTheme="minorEastAsia" w:hAnsiTheme="minorEastAsia" w:eastAsiaTheme="minorEastAsia"/>
                <w:sz w:val="24"/>
                <w:szCs w:val="20"/>
              </w:rPr>
            </w:pPr>
            <w:r>
              <w:rPr>
                <w:rFonts w:asciiTheme="minorEastAsia" w:hAnsiTheme="minorEastAsia" w:eastAsiaTheme="minorEastAsia"/>
                <w:sz w:val="24"/>
                <w:szCs w:val="20"/>
              </w:rPr>
              <w:fldChar w:fldCharType="begin">
                <w:ffData>
                  <w:name w:val="文字3"/>
                  <w:enabled/>
                  <w:calcOnExit w:val="0"/>
                  <w:textInput/>
                </w:ffData>
              </w:fldChar>
            </w:r>
            <w:r>
              <w:rPr>
                <w:rFonts w:asciiTheme="minorEastAsia" w:hAnsiTheme="minorEastAsia" w:eastAsiaTheme="minorEastAsia"/>
                <w:sz w:val="24"/>
                <w:szCs w:val="20"/>
              </w:rPr>
              <w:instrText xml:space="preserve"> </w:instrText>
            </w:r>
            <w:r>
              <w:rPr>
                <w:rFonts w:hint="eastAsia" w:asciiTheme="minorEastAsia" w:hAnsiTheme="minorEastAsia" w:eastAsiaTheme="minorEastAsia"/>
                <w:sz w:val="24"/>
                <w:szCs w:val="20"/>
              </w:rPr>
              <w:instrText xml:space="preserve">FORMTEXT</w:instrText>
            </w:r>
            <w:r>
              <w:rPr>
                <w:rFonts w:asciiTheme="minorEastAsia" w:hAnsiTheme="minorEastAsia" w:eastAsiaTheme="minorEastAsia"/>
                <w:sz w:val="24"/>
                <w:szCs w:val="20"/>
              </w:rPr>
              <w:instrText xml:space="preserve"> </w:instrText>
            </w:r>
            <w:r>
              <w:rPr>
                <w:rFonts w:asciiTheme="minorEastAsia" w:hAnsiTheme="minorEastAsia" w:eastAsiaTheme="minorEastAsia"/>
                <w:sz w:val="24"/>
                <w:szCs w:val="20"/>
              </w:rPr>
              <w:fldChar w:fldCharType="separate"/>
            </w:r>
            <w:r>
              <w:rPr>
                <w:rFonts w:asciiTheme="minorEastAsia" w:hAnsiTheme="minorEastAsia" w:eastAsiaTheme="minorEastAsia"/>
                <w:sz w:val="24"/>
                <w:szCs w:val="20"/>
              </w:rPr>
              <w:t>     </w:t>
            </w:r>
            <w:r>
              <w:rPr>
                <w:rFonts w:asciiTheme="minorEastAsia" w:hAnsiTheme="minorEastAsia" w:eastAsiaTheme="minorEastAsia"/>
                <w:sz w:val="24"/>
                <w:szCs w:val="20"/>
              </w:rPr>
              <w:fldChar w:fldCharType="end"/>
            </w:r>
          </w:p>
        </w:tc>
      </w:tr>
    </w:tbl>
    <w:p>
      <w:pPr>
        <w:spacing w:line="360" w:lineRule="auto"/>
        <w:rPr>
          <w:rFonts w:asciiTheme="minorEastAsia" w:hAnsiTheme="minorEastAsia" w:eastAsiaTheme="minorEastAsia"/>
        </w:rPr>
      </w:pPr>
    </w:p>
    <w:p>
      <w:pPr>
        <w:pStyle w:val="140"/>
        <w:numPr>
          <w:ilvl w:val="2"/>
          <w:numId w:val="16"/>
        </w:numPr>
        <w:tabs>
          <w:tab w:val="left" w:pos="1418"/>
        </w:tabs>
        <w:spacing w:line="360" w:lineRule="auto"/>
        <w:ind w:left="0" w:firstLine="567" w:firstLineChars="0"/>
        <w:rPr>
          <w:rFonts w:asciiTheme="minorEastAsia" w:hAnsiTheme="minorEastAsia" w:eastAsiaTheme="minorEastAsia"/>
          <w:sz w:val="24"/>
        </w:rPr>
      </w:pPr>
      <w:r>
        <w:rPr>
          <w:rFonts w:hint="eastAsia" w:asciiTheme="minorEastAsia" w:hAnsiTheme="minorEastAsia" w:eastAsiaTheme="minorEastAsia"/>
          <w:sz w:val="24"/>
        </w:rPr>
        <w:t>合同总额（含税）人民币小写：¥ 【</w:t>
      </w:r>
      <w:r>
        <w:rPr>
          <w:rFonts w:asciiTheme="minorEastAsia" w:hAnsiTheme="minorEastAsia" w:eastAsiaTheme="minorEastAsia"/>
          <w:sz w:val="24"/>
        </w:rPr>
        <w:fldChar w:fldCharType="begin">
          <w:ffData>
            <w:name w:val="文字3"/>
            <w:enabled/>
            <w:calcOnExit w:val="0"/>
            <w:textInput/>
          </w:ffData>
        </w:fldChar>
      </w:r>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t>     </w:t>
      </w:r>
      <w:r>
        <w:rPr>
          <w:rFonts w:asciiTheme="minorEastAsia" w:hAnsiTheme="minorEastAsia" w:eastAsiaTheme="minorEastAsia"/>
          <w:sz w:val="24"/>
        </w:rPr>
        <w:fldChar w:fldCharType="end"/>
      </w:r>
      <w:r>
        <w:rPr>
          <w:rFonts w:hint="eastAsia" w:asciiTheme="minorEastAsia" w:hAnsiTheme="minorEastAsia" w:eastAsiaTheme="minorEastAsia"/>
          <w:sz w:val="24"/>
        </w:rPr>
        <w:t>】元（大写：</w:t>
      </w:r>
      <w:r>
        <w:rPr>
          <w:rFonts w:asciiTheme="minorEastAsia" w:hAnsiTheme="minorEastAsia" w:eastAsiaTheme="minorEastAsia"/>
          <w:sz w:val="24"/>
        </w:rPr>
        <w:fldChar w:fldCharType="begin">
          <w:ffData>
            <w:name w:val="文字3"/>
            <w:enabled/>
            <w:calcOnExit w:val="0"/>
            <w:textInput/>
          </w:ffData>
        </w:fldChar>
      </w:r>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t>     </w:t>
      </w:r>
      <w:r>
        <w:rPr>
          <w:rFonts w:asciiTheme="minorEastAsia" w:hAnsiTheme="minorEastAsia" w:eastAsiaTheme="minorEastAsia"/>
          <w:sz w:val="24"/>
        </w:rPr>
        <w:fldChar w:fldCharType="end"/>
      </w:r>
      <w:r>
        <w:rPr>
          <w:rFonts w:hint="eastAsia" w:asciiTheme="minorEastAsia" w:hAnsiTheme="minorEastAsia" w:eastAsiaTheme="minorEastAsia"/>
          <w:sz w:val="24"/>
        </w:rPr>
        <w:t>元整），不含税金额为人民币</w:t>
      </w:r>
      <w:r>
        <w:rPr>
          <w:rFonts w:asciiTheme="minorEastAsia" w:hAnsiTheme="minorEastAsia" w:eastAsiaTheme="minorEastAsia"/>
          <w:sz w:val="24"/>
        </w:rPr>
        <w:fldChar w:fldCharType="begin">
          <w:ffData>
            <w:name w:val="文字3"/>
            <w:enabled/>
            <w:calcOnExit w:val="0"/>
            <w:textInput/>
          </w:ffData>
        </w:fldChar>
      </w:r>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t>     </w:t>
      </w:r>
      <w:r>
        <w:rPr>
          <w:rFonts w:asciiTheme="minorEastAsia" w:hAnsiTheme="minorEastAsia" w:eastAsiaTheme="minorEastAsia"/>
          <w:sz w:val="24"/>
        </w:rPr>
        <w:fldChar w:fldCharType="end"/>
      </w:r>
      <w:r>
        <w:rPr>
          <w:rFonts w:hint="eastAsia" w:asciiTheme="minorEastAsia" w:hAnsiTheme="minorEastAsia" w:eastAsiaTheme="minorEastAsia"/>
          <w:sz w:val="24"/>
        </w:rPr>
        <w:t>元，税金金额为人民币</w:t>
      </w:r>
      <w:r>
        <w:rPr>
          <w:rFonts w:asciiTheme="minorEastAsia" w:hAnsiTheme="minorEastAsia" w:eastAsiaTheme="minorEastAsia"/>
          <w:sz w:val="24"/>
        </w:rPr>
        <w:fldChar w:fldCharType="begin">
          <w:ffData>
            <w:name w:val="文字3"/>
            <w:enabled/>
            <w:calcOnExit w:val="0"/>
            <w:textInput/>
          </w:ffData>
        </w:fldChar>
      </w:r>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t>     </w:t>
      </w:r>
      <w:r>
        <w:rPr>
          <w:rFonts w:asciiTheme="minorEastAsia" w:hAnsiTheme="minorEastAsia" w:eastAsiaTheme="minorEastAsia"/>
          <w:sz w:val="24"/>
        </w:rPr>
        <w:fldChar w:fldCharType="end"/>
      </w:r>
      <w:r>
        <w:rPr>
          <w:rFonts w:hint="eastAsia" w:asciiTheme="minorEastAsia" w:hAnsiTheme="minorEastAsia" w:eastAsiaTheme="minorEastAsia"/>
          <w:sz w:val="24"/>
        </w:rPr>
        <w:t xml:space="preserve">元。  </w:t>
      </w:r>
    </w:p>
    <w:p>
      <w:pPr>
        <w:pStyle w:val="140"/>
        <w:numPr>
          <w:ilvl w:val="2"/>
          <w:numId w:val="16"/>
        </w:numPr>
        <w:tabs>
          <w:tab w:val="left" w:pos="1134"/>
          <w:tab w:val="left" w:pos="1418"/>
        </w:tabs>
        <w:spacing w:line="360" w:lineRule="auto"/>
        <w:ind w:left="0" w:firstLine="567" w:firstLineChars="0"/>
        <w:rPr>
          <w:rFonts w:asciiTheme="minorEastAsia" w:hAnsiTheme="minorEastAsia" w:eastAsiaTheme="minorEastAsia"/>
          <w:sz w:val="24"/>
        </w:rPr>
      </w:pPr>
      <w:r>
        <w:rPr>
          <w:rFonts w:hint="eastAsia" w:asciiTheme="minorEastAsia" w:hAnsiTheme="minorEastAsia" w:eastAsiaTheme="minorEastAsia"/>
          <w:sz w:val="24"/>
        </w:rPr>
        <w:t>合同总额包括货物及零配件的生产、购置、送货上门、运输装卸、保险费、安装调试费、送检费、质保期售后服务、技术培训费（包括技术资料等）、</w:t>
      </w:r>
      <w:r>
        <w:rPr>
          <w:rFonts w:hint="eastAsia" w:asciiTheme="minorEastAsia" w:hAnsiTheme="minorEastAsia" w:eastAsiaTheme="minorEastAsia"/>
          <w:sz w:val="24"/>
          <w:lang w:eastAsia="zh-CN"/>
        </w:rPr>
        <w:t>接入</w:t>
      </w:r>
      <w:r>
        <w:rPr>
          <w:rFonts w:hint="eastAsia" w:asciiTheme="minorEastAsia" w:hAnsiTheme="minorEastAsia" w:eastAsiaTheme="minorEastAsia"/>
          <w:sz w:val="24"/>
          <w:lang w:val="en-US" w:eastAsia="zh-CN"/>
        </w:rPr>
        <w:t>甲方</w:t>
      </w:r>
      <w:r>
        <w:rPr>
          <w:rFonts w:hint="eastAsia" w:asciiTheme="minorEastAsia" w:hAnsiTheme="minorEastAsia" w:eastAsiaTheme="minorEastAsia"/>
          <w:sz w:val="24"/>
          <w:lang w:eastAsia="zh-CN"/>
        </w:rPr>
        <w:t>动环系统接入费用、接入UPS的输入、输出电源线所需费用、</w:t>
      </w:r>
      <w:r>
        <w:rPr>
          <w:rFonts w:hint="eastAsia" w:asciiTheme="minorEastAsia" w:hAnsiTheme="minorEastAsia" w:eastAsiaTheme="minorEastAsia"/>
          <w:sz w:val="24"/>
        </w:rPr>
        <w:t>全额含税发票及合同实施过程中可能产生的其他费用等。</w:t>
      </w:r>
    </w:p>
    <w:p>
      <w:pPr>
        <w:pStyle w:val="140"/>
        <w:numPr>
          <w:ilvl w:val="0"/>
          <w:numId w:val="14"/>
        </w:numPr>
        <w:tabs>
          <w:tab w:val="clear" w:pos="1102"/>
        </w:tabs>
        <w:spacing w:before="240" w:line="480" w:lineRule="auto"/>
        <w:ind w:left="981" w:hanging="420" w:firstLineChars="0"/>
        <w:rPr>
          <w:rFonts w:ascii="宋体" w:hAnsi="宋体"/>
          <w:b/>
          <w:sz w:val="24"/>
        </w:rPr>
      </w:pPr>
      <w:bookmarkStart w:id="11" w:name="_Toc518311988"/>
      <w:r>
        <w:rPr>
          <w:rFonts w:hint="eastAsia" w:ascii="宋体" w:hAnsi="宋体"/>
          <w:b/>
          <w:sz w:val="24"/>
        </w:rPr>
        <w:t>货款支付方式</w:t>
      </w:r>
      <w:bookmarkEnd w:id="11"/>
    </w:p>
    <w:p>
      <w:pPr>
        <w:pStyle w:val="140"/>
        <w:numPr>
          <w:ilvl w:val="0"/>
          <w:numId w:val="17"/>
        </w:numPr>
        <w:spacing w:line="360" w:lineRule="auto"/>
        <w:ind w:firstLineChars="0"/>
        <w:rPr>
          <w:rFonts w:asciiTheme="minorEastAsia" w:hAnsiTheme="minorEastAsia" w:eastAsiaTheme="minorEastAsia"/>
          <w:vanish/>
          <w:sz w:val="24"/>
        </w:rPr>
      </w:pPr>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甲方采购货物按照以下【方式二】向乙方付款：</w:t>
      </w:r>
    </w:p>
    <w:p>
      <w:pPr>
        <w:spacing w:line="360" w:lineRule="auto"/>
        <w:ind w:firstLine="566" w:firstLineChars="235"/>
        <w:rPr>
          <w:rFonts w:asciiTheme="minorEastAsia" w:hAnsiTheme="minorEastAsia" w:eastAsiaTheme="minorEastAsia"/>
          <w:b/>
          <w:sz w:val="24"/>
        </w:rPr>
      </w:pPr>
      <w:r>
        <w:rPr>
          <w:rFonts w:hint="eastAsia" w:asciiTheme="minorEastAsia" w:hAnsiTheme="minorEastAsia" w:eastAsiaTheme="minorEastAsia"/>
          <w:b/>
          <w:sz w:val="24"/>
        </w:rPr>
        <w:t>方式一：</w:t>
      </w:r>
    </w:p>
    <w:p>
      <w:pPr>
        <w:spacing w:line="360" w:lineRule="auto"/>
        <w:ind w:firstLine="564" w:firstLineChars="235"/>
        <w:rPr>
          <w:rFonts w:asciiTheme="minorEastAsia" w:hAnsiTheme="minorEastAsia" w:eastAsiaTheme="minorEastAsia"/>
          <w:b/>
          <w:sz w:val="24"/>
        </w:rPr>
      </w:pPr>
      <w:r>
        <w:rPr>
          <w:rFonts w:hint="eastAsia" w:asciiTheme="minorEastAsia" w:hAnsiTheme="minorEastAsia" w:eastAsiaTheme="minorEastAsia"/>
          <w:sz w:val="24"/>
        </w:rPr>
        <w:t>乙方自采购货物经甲方验收合格之日起</w:t>
      </w:r>
      <w:r>
        <w:rPr>
          <w:rFonts w:hint="cs" w:asciiTheme="minorEastAsia" w:hAnsiTheme="minorEastAsia" w:eastAsiaTheme="minorEastAsia"/>
          <w:sz w:val="24"/>
        </w:rPr>
        <w:t>1</w:t>
      </w:r>
      <w:r>
        <w:rPr>
          <w:rFonts w:hint="eastAsia" w:asciiTheme="minorEastAsia" w:hAnsiTheme="minorEastAsia" w:eastAsiaTheme="minorEastAsia"/>
          <w:sz w:val="24"/>
        </w:rPr>
        <w:t>个月内，提供该采购货物的全额增值税专用发票给甲方，甲方自收到合法有效发票之日起6个月内，一次性通过转账方式支付全额货款。</w:t>
      </w:r>
    </w:p>
    <w:p>
      <w:pPr>
        <w:spacing w:line="360" w:lineRule="auto"/>
        <w:ind w:firstLine="566" w:firstLineChars="235"/>
        <w:rPr>
          <w:rFonts w:asciiTheme="minorEastAsia" w:hAnsiTheme="minorEastAsia" w:eastAsiaTheme="minorEastAsia"/>
          <w:sz w:val="24"/>
        </w:rPr>
      </w:pPr>
      <w:r>
        <w:rPr>
          <w:rFonts w:hint="eastAsia" w:asciiTheme="minorEastAsia" w:hAnsiTheme="minorEastAsia" w:eastAsiaTheme="minorEastAsia"/>
          <w:b/>
          <w:sz w:val="24"/>
        </w:rPr>
        <w:t>方式二：</w:t>
      </w:r>
    </w:p>
    <w:p>
      <w:pPr>
        <w:spacing w:line="360" w:lineRule="auto"/>
        <w:ind w:firstLine="564" w:firstLineChars="235"/>
        <w:rPr>
          <w:rFonts w:asciiTheme="minorEastAsia" w:hAnsiTheme="minorEastAsia" w:eastAsiaTheme="minorEastAsia"/>
          <w:sz w:val="24"/>
        </w:rPr>
      </w:pPr>
      <w:r>
        <w:rPr>
          <w:rFonts w:hint="eastAsia" w:asciiTheme="minorEastAsia" w:hAnsiTheme="minorEastAsia" w:eastAsiaTheme="minorEastAsia"/>
          <w:sz w:val="24"/>
        </w:rPr>
        <w:t>第一期：乙方自采购货物经甲方验收合格之日起</w:t>
      </w:r>
      <w:r>
        <w:rPr>
          <w:rFonts w:hint="cs" w:asciiTheme="minorEastAsia" w:hAnsiTheme="minorEastAsia" w:eastAsiaTheme="minorEastAsia"/>
          <w:sz w:val="24"/>
        </w:rPr>
        <w:t>1</w:t>
      </w:r>
      <w:r>
        <w:rPr>
          <w:rFonts w:hint="eastAsia" w:asciiTheme="minorEastAsia" w:hAnsiTheme="minorEastAsia" w:eastAsiaTheme="minorEastAsia"/>
          <w:sz w:val="24"/>
        </w:rPr>
        <w:t>个月内，提供该采购货物的全额增值税专用发票给甲方，甲方自收到合法有效发票之日6个月内，支付相应货款的【</w:t>
      </w:r>
      <w:r>
        <w:rPr>
          <w:rFonts w:asciiTheme="minorEastAsia" w:hAnsiTheme="minorEastAsia" w:eastAsiaTheme="minorEastAsia"/>
          <w:sz w:val="24"/>
        </w:rPr>
        <w:t>95</w:t>
      </w:r>
      <w:r>
        <w:rPr>
          <w:rFonts w:hint="eastAsia" w:asciiTheme="minorEastAsia" w:hAnsiTheme="minorEastAsia" w:eastAsiaTheme="minorEastAsia"/>
          <w:sz w:val="24"/>
        </w:rPr>
        <w:t>%】。</w:t>
      </w:r>
    </w:p>
    <w:p>
      <w:pPr>
        <w:spacing w:line="360" w:lineRule="auto"/>
        <w:ind w:firstLine="564" w:firstLineChars="235"/>
        <w:rPr>
          <w:rFonts w:asciiTheme="minorEastAsia" w:hAnsiTheme="minorEastAsia" w:eastAsiaTheme="minorEastAsia"/>
          <w:sz w:val="24"/>
        </w:rPr>
      </w:pPr>
      <w:r>
        <w:rPr>
          <w:rFonts w:hint="eastAsia" w:asciiTheme="minorEastAsia" w:hAnsiTheme="minorEastAsia" w:eastAsiaTheme="minorEastAsia"/>
          <w:sz w:val="24"/>
        </w:rPr>
        <w:t>第二期：剩余【5%】货款为质量保证金（即质保金），如无质量问题，质保期满后</w:t>
      </w:r>
      <w:r>
        <w:rPr>
          <w:rFonts w:asciiTheme="minorEastAsia" w:hAnsiTheme="minorEastAsia" w:eastAsiaTheme="minorEastAsia"/>
          <w:sz w:val="24"/>
        </w:rPr>
        <w:t>3</w:t>
      </w:r>
      <w:r>
        <w:rPr>
          <w:rFonts w:hint="eastAsia" w:asciiTheme="minorEastAsia" w:hAnsiTheme="minorEastAsia" w:eastAsiaTheme="minorEastAsia"/>
          <w:sz w:val="24"/>
        </w:rPr>
        <w:t>个月内无息支付。</w:t>
      </w:r>
    </w:p>
    <w:p>
      <w:pPr>
        <w:pStyle w:val="16"/>
        <w:numPr>
          <w:ilvl w:val="1"/>
          <w:numId w:val="17"/>
        </w:numPr>
        <w:spacing w:line="360" w:lineRule="auto"/>
        <w:ind w:left="0" w:firstLine="567"/>
        <w:rPr>
          <w:rFonts w:asciiTheme="minorEastAsia" w:hAnsiTheme="minorEastAsia" w:eastAsiaTheme="minorEastAsia"/>
          <w:sz w:val="24"/>
        </w:rPr>
      </w:pPr>
      <w:bookmarkStart w:id="12" w:name="_Hlk520054790"/>
      <w:r>
        <w:rPr>
          <w:rFonts w:hint="eastAsia" w:asciiTheme="minorEastAsia" w:hAnsiTheme="minorEastAsia" w:eastAsiaTheme="minorEastAsia"/>
          <w:sz w:val="24"/>
        </w:rPr>
        <w:t>乙方须按照甲方要求提供合法增值税专用发票</w:t>
      </w:r>
      <w:bookmarkEnd w:id="12"/>
      <w:r>
        <w:rPr>
          <w:rFonts w:hint="eastAsia" w:asciiTheme="minorEastAsia" w:hAnsiTheme="minorEastAsia" w:eastAsiaTheme="minorEastAsia"/>
          <w:sz w:val="24"/>
        </w:rPr>
        <w:t>，否则，甲方有权延期付款，由此造成迟延付款的责任由乙方自行承担。</w:t>
      </w:r>
    </w:p>
    <w:p>
      <w:pPr>
        <w:pStyle w:val="16"/>
        <w:numPr>
          <w:ilvl w:val="1"/>
          <w:numId w:val="17"/>
        </w:numPr>
        <w:spacing w:line="360" w:lineRule="auto"/>
        <w:ind w:left="0" w:firstLine="567"/>
        <w:rPr>
          <w:rFonts w:asciiTheme="minorEastAsia" w:hAnsiTheme="minorEastAsia" w:eastAsiaTheme="minorEastAsia"/>
          <w:sz w:val="24"/>
          <w:szCs w:val="24"/>
        </w:rPr>
      </w:pPr>
      <w:bookmarkStart w:id="13" w:name="_Hlk519866474"/>
      <w:bookmarkStart w:id="14" w:name="_Hlk520055077"/>
      <w:r>
        <w:rPr>
          <w:rFonts w:hint="eastAsia" w:asciiTheme="minorEastAsia" w:hAnsiTheme="minorEastAsia" w:eastAsiaTheme="minorEastAsia"/>
          <w:sz w:val="24"/>
          <w:szCs w:val="24"/>
        </w:rPr>
        <w:t>出现国家税收政策调整时，双方应根据实际税收调整情况，以本合同中的货物不含税单价为依据相应调整受影响的合同含税金额，乙方需按照税收调整政策规定开具合法合规发票</w:t>
      </w:r>
      <w:bookmarkEnd w:id="13"/>
      <w:r>
        <w:rPr>
          <w:rFonts w:hint="eastAsia" w:asciiTheme="minorEastAsia" w:hAnsiTheme="minorEastAsia" w:eastAsiaTheme="minorEastAsia"/>
          <w:sz w:val="24"/>
          <w:szCs w:val="24"/>
        </w:rPr>
        <w:t>。</w:t>
      </w:r>
    </w:p>
    <w:bookmarkEnd w:id="14"/>
    <w:p>
      <w:pPr>
        <w:pStyle w:val="16"/>
        <w:numPr>
          <w:ilvl w:val="1"/>
          <w:numId w:val="17"/>
        </w:numPr>
        <w:spacing w:line="360" w:lineRule="auto"/>
        <w:ind w:left="0" w:firstLine="567"/>
        <w:rPr>
          <w:rFonts w:asciiTheme="minorEastAsia" w:hAnsiTheme="minorEastAsia" w:eastAsiaTheme="minorEastAsia"/>
          <w:sz w:val="24"/>
          <w:szCs w:val="24"/>
        </w:rPr>
      </w:pPr>
      <w:bookmarkStart w:id="15" w:name="_Hlk519866191"/>
      <w:bookmarkStart w:id="16" w:name="_Hlk519866172"/>
      <w:r>
        <w:rPr>
          <w:rFonts w:hint="eastAsia" w:asciiTheme="minorEastAsia" w:hAnsiTheme="minorEastAsia" w:eastAsiaTheme="minorEastAsia"/>
          <w:sz w:val="24"/>
          <w:szCs w:val="24"/>
        </w:rPr>
        <w:t>乙方指定收款账户如下</w:t>
      </w:r>
      <w:bookmarkEnd w:id="15"/>
      <w:r>
        <w:rPr>
          <w:rFonts w:hint="eastAsia" w:asciiTheme="minorEastAsia" w:hAnsiTheme="minorEastAsia" w:eastAsiaTheme="minorEastAsia"/>
          <w:sz w:val="24"/>
          <w:szCs w:val="24"/>
        </w:rPr>
        <w:t>：</w:t>
      </w:r>
    </w:p>
    <w:bookmarkEnd w:id="16"/>
    <w:p>
      <w:pPr>
        <w:spacing w:line="360" w:lineRule="auto"/>
        <w:ind w:firstLine="482" w:firstLineChars="200"/>
        <w:rPr>
          <w:rFonts w:asciiTheme="minorEastAsia" w:hAnsiTheme="minorEastAsia" w:eastAsiaTheme="minorEastAsia"/>
          <w:b/>
          <w:sz w:val="24"/>
          <w:u w:val="single"/>
        </w:rPr>
      </w:pPr>
      <w:r>
        <w:rPr>
          <w:rFonts w:hint="eastAsia" w:asciiTheme="minorEastAsia" w:hAnsiTheme="minorEastAsia" w:eastAsiaTheme="minorEastAsia"/>
          <w:b/>
          <w:sz w:val="24"/>
        </w:rPr>
        <w:t>账号：</w:t>
      </w:r>
      <w:r>
        <w:rPr>
          <w:rFonts w:asciiTheme="minorEastAsia" w:hAnsiTheme="minorEastAsia" w:eastAsiaTheme="minorEastAsia"/>
          <w:sz w:val="24"/>
        </w:rPr>
        <w:t xml:space="preserve"> </w:t>
      </w:r>
      <w:r>
        <w:rPr>
          <w:rFonts w:asciiTheme="minorEastAsia" w:hAnsiTheme="minorEastAsia" w:eastAsiaTheme="minorEastAsia"/>
          <w:sz w:val="24"/>
        </w:rPr>
        <w:fldChar w:fldCharType="begin">
          <w:ffData>
            <w:name w:val="文字13"/>
            <w:enabled/>
            <w:calcOnExit w:val="0"/>
            <w:textInput/>
          </w:ffData>
        </w:fldChar>
      </w:r>
      <w:bookmarkStart w:id="17" w:name="文字13"/>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rPr>
          <w:rFonts w:asciiTheme="minorEastAsia" w:hAnsiTheme="minorEastAsia" w:eastAsiaTheme="minorEastAsia"/>
          <w:sz w:val="24"/>
        </w:rPr>
        <w:t>     </w:t>
      </w:r>
      <w:r>
        <w:rPr>
          <w:rFonts w:asciiTheme="minorEastAsia" w:hAnsiTheme="minorEastAsia" w:eastAsiaTheme="minorEastAsia"/>
          <w:sz w:val="24"/>
        </w:rPr>
        <w:fldChar w:fldCharType="end"/>
      </w:r>
      <w:bookmarkEnd w:id="17"/>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账户名称：</w:t>
      </w:r>
      <w:r>
        <w:rPr>
          <w:rFonts w:asciiTheme="minorEastAsia" w:hAnsiTheme="minorEastAsia" w:eastAsiaTheme="minorEastAsia"/>
          <w:sz w:val="24"/>
        </w:rPr>
        <w:t xml:space="preserve"> </w:t>
      </w:r>
      <w:r>
        <w:rPr>
          <w:rFonts w:asciiTheme="minorEastAsia" w:hAnsiTheme="minorEastAsia" w:eastAsiaTheme="minorEastAsia"/>
          <w:sz w:val="24"/>
        </w:rPr>
        <w:fldChar w:fldCharType="begin">
          <w:ffData>
            <w:name w:val="文字14"/>
            <w:enabled/>
            <w:calcOnExit w:val="0"/>
            <w:textInput/>
          </w:ffData>
        </w:fldChar>
      </w:r>
      <w:bookmarkStart w:id="18" w:name="文字14"/>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rPr>
          <w:rFonts w:asciiTheme="minorEastAsia" w:hAnsiTheme="minorEastAsia" w:eastAsiaTheme="minorEastAsia"/>
          <w:sz w:val="24"/>
        </w:rPr>
        <w:t>     </w:t>
      </w:r>
      <w:r>
        <w:rPr>
          <w:rFonts w:asciiTheme="minorEastAsia" w:hAnsiTheme="minorEastAsia" w:eastAsiaTheme="minorEastAsia"/>
          <w:sz w:val="24"/>
        </w:rPr>
        <w:fldChar w:fldCharType="end"/>
      </w:r>
      <w:bookmarkEnd w:id="18"/>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开户行：</w:t>
      </w:r>
      <w:r>
        <w:rPr>
          <w:rFonts w:asciiTheme="minorEastAsia" w:hAnsiTheme="minorEastAsia" w:eastAsiaTheme="minorEastAsia"/>
          <w:sz w:val="24"/>
        </w:rPr>
        <w:t xml:space="preserve"> </w:t>
      </w:r>
      <w:r>
        <w:rPr>
          <w:rFonts w:asciiTheme="minorEastAsia" w:hAnsiTheme="minorEastAsia" w:eastAsiaTheme="minorEastAsia"/>
          <w:sz w:val="24"/>
        </w:rPr>
        <w:fldChar w:fldCharType="begin">
          <w:ffData>
            <w:name w:val="文字15"/>
            <w:enabled/>
            <w:calcOnExit w:val="0"/>
            <w:textInput/>
          </w:ffData>
        </w:fldChar>
      </w:r>
      <w:bookmarkStart w:id="19" w:name="文字15"/>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rPr>
          <w:rFonts w:asciiTheme="minorEastAsia" w:hAnsiTheme="minorEastAsia" w:eastAsiaTheme="minorEastAsia"/>
          <w:sz w:val="24"/>
        </w:rPr>
        <w:t>     </w:t>
      </w:r>
      <w:r>
        <w:rPr>
          <w:rFonts w:asciiTheme="minorEastAsia" w:hAnsiTheme="minorEastAsia" w:eastAsiaTheme="minorEastAsia"/>
          <w:sz w:val="24"/>
        </w:rPr>
        <w:fldChar w:fldCharType="end"/>
      </w:r>
      <w:bookmarkEnd w:id="19"/>
    </w:p>
    <w:p>
      <w:pPr>
        <w:pStyle w:val="16"/>
        <w:numPr>
          <w:ilvl w:val="1"/>
          <w:numId w:val="17"/>
        </w:numPr>
        <w:spacing w:line="360" w:lineRule="auto"/>
        <w:ind w:left="0" w:firstLine="567"/>
        <w:rPr>
          <w:rFonts w:asciiTheme="minorEastAsia" w:hAnsiTheme="minorEastAsia" w:eastAsiaTheme="minorEastAsia"/>
          <w:sz w:val="24"/>
          <w:szCs w:val="24"/>
        </w:rPr>
      </w:pPr>
      <w:bookmarkStart w:id="20" w:name="_Hlk519866249"/>
      <w:r>
        <w:rPr>
          <w:rFonts w:hint="eastAsia" w:asciiTheme="minorEastAsia" w:hAnsiTheme="minorEastAsia" w:eastAsiaTheme="minorEastAsia"/>
          <w:sz w:val="24"/>
          <w:szCs w:val="24"/>
        </w:rPr>
        <w:t>若乙方需要改变上述账户，应提前【10】个工作日以书面形式通知甲方，否则，因此造成的损失由乙方自行承担。</w:t>
      </w:r>
    </w:p>
    <w:bookmarkEnd w:id="20"/>
    <w:p>
      <w:pPr>
        <w:pStyle w:val="140"/>
        <w:numPr>
          <w:ilvl w:val="0"/>
          <w:numId w:val="14"/>
        </w:numPr>
        <w:tabs>
          <w:tab w:val="clear" w:pos="1102"/>
        </w:tabs>
        <w:spacing w:before="240" w:line="480" w:lineRule="auto"/>
        <w:ind w:left="982" w:hanging="420" w:firstLineChars="0"/>
        <w:rPr>
          <w:rFonts w:ascii="宋体" w:hAnsi="宋体"/>
          <w:b/>
          <w:sz w:val="24"/>
        </w:rPr>
      </w:pPr>
      <w:bookmarkStart w:id="21" w:name="_Toc518311989"/>
      <w:r>
        <w:rPr>
          <w:rFonts w:hint="eastAsia" w:ascii="宋体" w:hAnsi="宋体"/>
          <w:b/>
          <w:sz w:val="24"/>
        </w:rPr>
        <w:t>包装和运输</w:t>
      </w:r>
      <w:bookmarkEnd w:id="21"/>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乙方应根据货物特点对货物进行坚固包装使其防水、防潮、防腐、防锈、防震等，并适于货物装卸和运输要求。凡因包装不善致使货物遭到损坏或丢失的，由乙方承担责任。</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包装标准为原厂制造商未启封全新包装，序列号、包装箱号与出厂批号一致，并可追索查阅。包装物乙方不回收。</w:t>
      </w:r>
    </w:p>
    <w:p>
      <w:pPr>
        <w:pStyle w:val="140"/>
        <w:numPr>
          <w:ilvl w:val="0"/>
          <w:numId w:val="14"/>
        </w:numPr>
        <w:tabs>
          <w:tab w:val="clear" w:pos="1102"/>
        </w:tabs>
        <w:spacing w:before="240" w:line="480" w:lineRule="auto"/>
        <w:ind w:left="982" w:hanging="420" w:firstLineChars="0"/>
        <w:rPr>
          <w:rFonts w:ascii="宋体" w:hAnsi="宋体"/>
          <w:b/>
          <w:sz w:val="24"/>
        </w:rPr>
      </w:pPr>
      <w:bookmarkStart w:id="22" w:name="_Toc518311990"/>
      <w:r>
        <w:rPr>
          <w:rFonts w:hint="eastAsia" w:ascii="宋体" w:hAnsi="宋体"/>
          <w:b/>
          <w:sz w:val="24"/>
        </w:rPr>
        <w:t>交付验收</w:t>
      </w:r>
      <w:bookmarkEnd w:id="22"/>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交货时间：乙方按甲方要求在书面订货单后【5】个工作日内完成供货、安装、调试。</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按甲方要求将货物送到甲方指定收货地点（供货及安装地点：</w:t>
      </w:r>
      <w:r>
        <w:rPr>
          <w:rFonts w:hint="eastAsia" w:cs="Times New Roman" w:asciiTheme="minorEastAsia" w:hAnsiTheme="minorEastAsia" w:eastAsiaTheme="minorEastAsia"/>
          <w:sz w:val="24"/>
          <w:szCs w:val="24"/>
        </w:rPr>
        <w:t>①高明区荷城街道益和一巷10号3梯侧；②高明区荷城街道三洲碧桂</w:t>
      </w:r>
      <w:r>
        <w:rPr>
          <w:rFonts w:hint="eastAsia" w:cs="Times New Roman" w:asciiTheme="minorEastAsia" w:hAnsiTheme="minorEastAsia" w:eastAsiaTheme="minorEastAsia"/>
          <w:sz w:val="24"/>
          <w:szCs w:val="24"/>
          <w:lang w:val="en-US" w:eastAsia="zh-CN"/>
        </w:rPr>
        <w:t>园二期</w:t>
      </w:r>
      <w:r>
        <w:rPr>
          <w:rFonts w:hint="eastAsia" w:cs="Times New Roman" w:asciiTheme="minorEastAsia" w:hAnsiTheme="minorEastAsia" w:eastAsiaTheme="minorEastAsia"/>
          <w:sz w:val="24"/>
          <w:szCs w:val="24"/>
        </w:rPr>
        <w:t>翠岸莺啼1街4号</w:t>
      </w:r>
      <w:r>
        <w:rPr>
          <w:rFonts w:hint="eastAsia"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rPr>
        <w:t>。乙方须出具送货</w:t>
      </w:r>
      <w:r>
        <w:rPr>
          <w:rFonts w:hint="eastAsia" w:asciiTheme="minorEastAsia" w:hAnsiTheme="minorEastAsia" w:eastAsiaTheme="minorEastAsia"/>
          <w:sz w:val="24"/>
          <w:szCs w:val="24"/>
        </w:rPr>
        <w:t>单，由甲方收货人员签收。如果发现货物短缺、毁损等与合同约定不符的情况，甲方有权拒收。</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送货单/收货单签收仅视为甲方确认货物的数量、外观等外在情况符合要求，非甲方对货物质量的确认，货物质量的确认以甲方另行出具的书面验收结论报告为准。送货单/收货单的签署不使甲方丧失因质量问题而向乙方索赔和求偿的权利，同时不免除乙方对于货物质量缺陷或瑕疵负有的相应担保责任。</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甲方签收货物后（如需安装调试的货物在安装调试完成后</w:t>
      </w:r>
      <w:bookmarkStart w:id="42" w:name="_GoBack"/>
      <w:bookmarkEnd w:id="42"/>
      <w:r>
        <w:rPr>
          <w:rFonts w:hint="eastAsia" w:asciiTheme="minorEastAsia" w:hAnsiTheme="minorEastAsia" w:eastAsiaTheme="minorEastAsia"/>
          <w:sz w:val="24"/>
          <w:szCs w:val="24"/>
        </w:rPr>
        <w:t>）甲方根据货物检验结果出具书面到货验收结论，货物质量的确认以甲方出具的书面验收结论为准</w:t>
      </w:r>
      <w:r>
        <w:rPr>
          <w:rFonts w:hint="eastAsia" w:asciiTheme="minorEastAsia" w:hAnsiTheme="minorEastAsia" w:eastAsiaTheme="minorEastAsia"/>
          <w:sz w:val="24"/>
          <w:szCs w:val="24"/>
          <w:lang w:eastAsia="zh-CN"/>
        </w:rPr>
        <w:t>；</w:t>
      </w:r>
      <w:r>
        <w:rPr>
          <w:rFonts w:hint="eastAsia" w:ascii="宋体" w:hAnsi="宋体"/>
          <w:sz w:val="24"/>
          <w:szCs w:val="24"/>
        </w:rPr>
        <w:t>无需安装调试的货物，</w:t>
      </w:r>
      <w:r>
        <w:rPr>
          <w:rFonts w:hint="eastAsia" w:ascii="宋体" w:hAnsi="宋体"/>
          <w:kern w:val="2"/>
          <w:sz w:val="24"/>
          <w:szCs w:val="24"/>
        </w:rPr>
        <w:t>“到货验收合格”视为“货物验收合格”</w:t>
      </w:r>
      <w:r>
        <w:rPr>
          <w:rFonts w:hint="eastAsia" w:asciiTheme="minorEastAsia" w:hAnsiTheme="minorEastAsia" w:eastAsiaTheme="minorEastAsia"/>
          <w:sz w:val="24"/>
          <w:szCs w:val="24"/>
        </w:rPr>
        <w:t>。</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如甲方因乙方交货不符合合同要求或双方约定的质量、规格等原因而拒收或者解除合同的，货物毁损、灭失的风险、迟交货责任由乙方自行承担。</w:t>
      </w:r>
    </w:p>
    <w:p>
      <w:pPr>
        <w:pStyle w:val="140"/>
        <w:numPr>
          <w:ilvl w:val="0"/>
          <w:numId w:val="14"/>
        </w:numPr>
        <w:tabs>
          <w:tab w:val="clear" w:pos="1102"/>
        </w:tabs>
        <w:spacing w:before="240" w:line="480" w:lineRule="auto"/>
        <w:ind w:left="982" w:hanging="420" w:firstLineChars="0"/>
        <w:rPr>
          <w:rFonts w:ascii="宋体" w:hAnsi="宋体"/>
          <w:b/>
          <w:sz w:val="24"/>
        </w:rPr>
      </w:pPr>
      <w:bookmarkStart w:id="23" w:name="_Toc518311991"/>
      <w:r>
        <w:rPr>
          <w:rFonts w:hint="eastAsia" w:ascii="宋体" w:hAnsi="宋体"/>
          <w:b/>
          <w:sz w:val="24"/>
        </w:rPr>
        <w:t>货物质量要求</w:t>
      </w:r>
      <w:bookmarkEnd w:id="23"/>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本合同项下的货物适用下列技术和质量标准</w:t>
      </w:r>
      <w:bookmarkStart w:id="24" w:name="_Hlk520055294"/>
      <w:r>
        <w:rPr>
          <w:rFonts w:hint="eastAsia" w:asciiTheme="minorEastAsia" w:hAnsiTheme="minorEastAsia" w:eastAsiaTheme="minorEastAsia"/>
          <w:sz w:val="24"/>
          <w:szCs w:val="24"/>
        </w:rPr>
        <w:t>(以其中标准最高者为准</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bookmarkEnd w:id="24"/>
      <w:r>
        <w:rPr>
          <w:rFonts w:hint="eastAsia" w:asciiTheme="minorEastAsia" w:hAnsiTheme="minorEastAsia" w:eastAsiaTheme="minorEastAsia"/>
          <w:sz w:val="24"/>
          <w:szCs w:val="24"/>
        </w:rPr>
        <w:t xml:space="preserve"> ①符合中华人民共和国国家和履约地相关安全质量标准、行业技术规范标准、环保节能标准；②符合甲方采购文件和响应承诺中合同约定的合理最佳配置、参数规格及各项要求；③符合产品来源国官方颁布的最新标准；④双方约定的质量标准。</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中国境内制造的产品必须提供出厂合格证，并向甲方名下终端客户提供保修注册资料。关键产品/主机设备的用户手册、保修手册、有关单证资料及配备件、随机工具等，使用操作及安全须知等重要资料应附有中文说明。</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当货物来源于中华人民共和国境外时，货物必须附有原产地证明、中华人民共和国商检机构的检验证明、合法进货渠道证明及海关完税证明，此外，有关技术资料中须附有全文翻译的、完整的中文文本。</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产品均为近12个月内原厂制造的全新合格产品，且有合法透明的来源渠道，如为整机须无污染、无侵权行为、表面无划损、无任何缺陷隐患，可依常规合法安全使用。</w:t>
      </w:r>
    </w:p>
    <w:p>
      <w:pPr>
        <w:pStyle w:val="140"/>
        <w:numPr>
          <w:ilvl w:val="0"/>
          <w:numId w:val="14"/>
        </w:numPr>
        <w:tabs>
          <w:tab w:val="clear" w:pos="1102"/>
        </w:tabs>
        <w:spacing w:before="240" w:line="480" w:lineRule="auto"/>
        <w:ind w:left="982" w:hanging="420" w:firstLineChars="0"/>
        <w:rPr>
          <w:rFonts w:ascii="宋体" w:hAnsi="宋体"/>
          <w:b/>
          <w:sz w:val="24"/>
        </w:rPr>
      </w:pPr>
      <w:bookmarkStart w:id="25" w:name="_Toc518311995"/>
      <w:r>
        <w:rPr>
          <w:rFonts w:hint="eastAsia" w:ascii="宋体" w:hAnsi="宋体"/>
          <w:b/>
          <w:sz w:val="24"/>
        </w:rPr>
        <w:t>质量检测</w:t>
      </w:r>
      <w:bookmarkEnd w:id="25"/>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甲方有权在合同期内委托第三方检测机构对乙方所供货物进行质量专项检测，检测结果对双方有约束力。</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检测结果不符合合同约定的，甲方有权单方解除合同，退回乙方已供货物。乙方必须在接到甲方检测结果通知的【5】个工作日内返还甲方已付货款，并承担违约责任，赔偿由此给甲方造成的全部损失。检测结果不符合合同约定的，检测费用由乙方承担。</w:t>
      </w:r>
    </w:p>
    <w:p>
      <w:pPr>
        <w:pStyle w:val="140"/>
        <w:numPr>
          <w:ilvl w:val="0"/>
          <w:numId w:val="14"/>
        </w:numPr>
        <w:tabs>
          <w:tab w:val="clear" w:pos="1102"/>
        </w:tabs>
        <w:spacing w:before="240" w:line="480" w:lineRule="auto"/>
        <w:ind w:left="982" w:hanging="420" w:firstLineChars="0"/>
        <w:rPr>
          <w:rFonts w:ascii="宋体" w:hAnsi="宋体"/>
          <w:b/>
          <w:sz w:val="24"/>
        </w:rPr>
      </w:pPr>
      <w:bookmarkStart w:id="26" w:name="_Toc518311996"/>
      <w:r>
        <w:rPr>
          <w:rFonts w:hint="eastAsia" w:ascii="宋体" w:hAnsi="宋体"/>
          <w:b/>
          <w:sz w:val="24"/>
        </w:rPr>
        <w:t>质保期和售后服务</w:t>
      </w:r>
      <w:bookmarkEnd w:id="26"/>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质量保证期（简称“质保期”）：货物验收合格之日起【壹】年。配件与主产品的质保期一致。</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保期内，甲方在使用货物过程中出现问题的，乙方应在接到甲方通知后2小时内响应，4小时内到达现场，24小时内处理完毕。乙方须提供常设每周7天×24小时热线服务和长期的免费技术支持。期满后可提供优质终身（有偿）维修保养服务。</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质保期内，对保修范围内的保修服务所发生的全部物质损耗和人员费用，均由乙方予以承担。乙方未及时承担保修责任的，甲方有权采用其他渠道和方式对乙方货物进行维修、补正，由此产生的费用由乙方承担。</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质保期内, 如设备或零部件非人为因素出现故障而造成短期停用时，则质保期相应顺延。如设备因自身故障致停用时间累计超过30天则质保期在状态恢复正常时重新起计。</w:t>
      </w:r>
    </w:p>
    <w:p>
      <w:pPr>
        <w:pStyle w:val="140"/>
        <w:numPr>
          <w:ilvl w:val="0"/>
          <w:numId w:val="14"/>
        </w:numPr>
        <w:tabs>
          <w:tab w:val="clear" w:pos="1102"/>
        </w:tabs>
        <w:spacing w:before="240" w:line="480" w:lineRule="auto"/>
        <w:ind w:left="982" w:hanging="420" w:firstLineChars="0"/>
        <w:rPr>
          <w:rFonts w:ascii="宋体" w:hAnsi="宋体"/>
          <w:b/>
          <w:sz w:val="24"/>
        </w:rPr>
      </w:pPr>
      <w:bookmarkStart w:id="27" w:name="_Toc518311997"/>
      <w:r>
        <w:rPr>
          <w:rFonts w:hint="eastAsia" w:ascii="宋体" w:hAnsi="宋体"/>
          <w:b/>
          <w:sz w:val="24"/>
        </w:rPr>
        <w:t>知识产权</w:t>
      </w:r>
      <w:bookmarkEnd w:id="27"/>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乙方保证对其销售的货物及服务拥有完全的所有权/处分权，无任何知识产权方面的权利限制或瑕疵并不会侵犯第三方的合法权利。如果甲方因按照合同的约定使用货物或服务而侵犯第三方的合法权利，并因此涉入诉讼、索赔或造成甲方损失的，乙方应在上述侵权诉讼进行过程中就诉讼策略及其他事宜向甲方提供必要的支持与协助，并承担所产生的一切诉讼费用、律师费用、差旅费用、和解金额或生效法律文书中规定的损害赔偿金额等费用以及由此给甲方造成的全部损失。</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除非为完成本合同所需的目的，乙方不得对甲方定制的产品复制拷贝或挪作他用。未经甲方同意，乙方所使用甲方提供的资料和物品不得用于与履行合同无关的事项。否则视乙方违约，造成甲方的损失需予以赔偿。</w:t>
      </w:r>
    </w:p>
    <w:p>
      <w:pPr>
        <w:pStyle w:val="140"/>
        <w:numPr>
          <w:ilvl w:val="0"/>
          <w:numId w:val="14"/>
        </w:numPr>
        <w:tabs>
          <w:tab w:val="clear" w:pos="1102"/>
        </w:tabs>
        <w:spacing w:before="240" w:line="480" w:lineRule="auto"/>
        <w:ind w:left="982" w:hanging="420" w:firstLineChars="0"/>
        <w:rPr>
          <w:rFonts w:ascii="宋体" w:hAnsi="宋体"/>
          <w:b/>
          <w:sz w:val="24"/>
        </w:rPr>
      </w:pPr>
      <w:r>
        <w:rPr>
          <w:rFonts w:hint="eastAsia" w:ascii="宋体" w:hAnsi="宋体"/>
          <w:b/>
          <w:sz w:val="24"/>
        </w:rPr>
        <w:t>通知条款</w:t>
      </w:r>
      <w:r>
        <w:rPr>
          <w:rFonts w:ascii="宋体" w:hAnsi="宋体"/>
          <w:b/>
          <w:sz w:val="24"/>
        </w:rPr>
        <w:t> </w:t>
      </w:r>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双方确认本合同所载明的通讯地址、住所地、联系人、联系电话、邮箱等信息（以下统称“送达地址”）为对方、人民法院（或仲裁机构）发送各类纸质或电子数据通知、信函、法律文书（以下统称“文书”）的送达地址。</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一方对其送达地址作出变更的，应将变更后的送达地址书面告知另一方，否则送达地址仍以本合同载明为准。</w:t>
      </w:r>
      <w:r>
        <w:rPr>
          <w:rFonts w:asciiTheme="minorEastAsia" w:hAnsiTheme="minorEastAsia" w:eastAsiaTheme="minorEastAsia"/>
          <w:sz w:val="24"/>
          <w:szCs w:val="24"/>
        </w:rPr>
        <w:t xml:space="preserve"> </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因一方确认的送达地址不准确、送达地址变更后未及时告知对方或发生接收人、收件人拒绝签收等情形，导致文书未能被实际接收的，拒绝接收方应自行承担有效送达的法律后果。邮寄送达的，以付邮后第7日视为送达之日；直接送达的，送达人当场在送达回证上记明情况之日为送达之日。</w:t>
      </w:r>
    </w:p>
    <w:p>
      <w:pPr>
        <w:pStyle w:val="140"/>
        <w:numPr>
          <w:ilvl w:val="0"/>
          <w:numId w:val="14"/>
        </w:numPr>
        <w:tabs>
          <w:tab w:val="clear" w:pos="1102"/>
        </w:tabs>
        <w:spacing w:before="240" w:line="480" w:lineRule="auto"/>
        <w:ind w:left="982" w:hanging="420" w:firstLineChars="0"/>
        <w:rPr>
          <w:rFonts w:ascii="宋体" w:hAnsi="宋体"/>
          <w:b/>
          <w:sz w:val="24"/>
        </w:rPr>
      </w:pPr>
      <w:r>
        <w:rPr>
          <w:rFonts w:hint="eastAsia" w:ascii="宋体" w:hAnsi="宋体"/>
          <w:b/>
          <w:sz w:val="24"/>
        </w:rPr>
        <w:t>不可抗力</w:t>
      </w:r>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“不可抗力事件”指</w:t>
      </w:r>
      <w:r>
        <w:rPr>
          <w:rFonts w:asciiTheme="minorEastAsia" w:hAnsiTheme="minorEastAsia" w:eastAsiaTheme="minorEastAsia"/>
          <w:sz w:val="24"/>
          <w:szCs w:val="24"/>
        </w:rPr>
        <w:t>不能预见、不能避免</w:t>
      </w:r>
      <w:r>
        <w:rPr>
          <w:rFonts w:hint="eastAsia" w:asciiTheme="minorEastAsia" w:hAnsiTheme="minorEastAsia" w:eastAsiaTheme="minorEastAsia"/>
          <w:sz w:val="24"/>
          <w:szCs w:val="24"/>
        </w:rPr>
        <w:t>且</w:t>
      </w:r>
      <w:r>
        <w:rPr>
          <w:rFonts w:asciiTheme="minorEastAsia" w:hAnsiTheme="minorEastAsia" w:eastAsiaTheme="minorEastAsia"/>
          <w:sz w:val="24"/>
          <w:szCs w:val="24"/>
        </w:rPr>
        <w:t>不能克服的客观情况</w:t>
      </w:r>
      <w:r>
        <w:rPr>
          <w:rFonts w:hint="eastAsia" w:asciiTheme="minorEastAsia" w:hAnsiTheme="minorEastAsia" w:eastAsiaTheme="minorEastAsia"/>
          <w:sz w:val="24"/>
          <w:szCs w:val="24"/>
        </w:rPr>
        <w:t>。包括但不限于：</w:t>
      </w:r>
      <w:bookmarkStart w:id="28" w:name="_Hlk5978400"/>
      <w:r>
        <w:rPr>
          <w:rFonts w:hint="eastAsia" w:asciiTheme="minorEastAsia" w:hAnsiTheme="minorEastAsia" w:eastAsiaTheme="minorEastAsia"/>
          <w:sz w:val="24"/>
          <w:szCs w:val="24"/>
        </w:rPr>
        <w:t>政府或政府机构的禁令或行为（包括甲方上级主管部门下达的政策性文件）、暴乱、战争、水灾、地震、海啸或其他自然现象</w:t>
      </w:r>
      <w:bookmarkEnd w:id="28"/>
      <w:r>
        <w:rPr>
          <w:rFonts w:hint="eastAsia" w:asciiTheme="minorEastAsia" w:hAnsiTheme="minorEastAsia" w:eastAsiaTheme="minorEastAsia"/>
          <w:sz w:val="24"/>
          <w:szCs w:val="24"/>
        </w:rPr>
        <w:t>。若一方因不可抗力事件而不能履行本合同所约定的义务，该方应在不可抗力事件发生后及时书面通知另一方，并在不可抗力时间结束后1</w:t>
      </w:r>
      <w:r>
        <w:rPr>
          <w:rFonts w:asciiTheme="minorEastAsia" w:hAnsiTheme="minorEastAsia" w:eastAsiaTheme="minorEastAsia"/>
          <w:sz w:val="24"/>
          <w:szCs w:val="24"/>
        </w:rPr>
        <w:t>4</w:t>
      </w:r>
      <w:r>
        <w:rPr>
          <w:rFonts w:hint="eastAsia" w:asciiTheme="minorEastAsia" w:hAnsiTheme="minorEastAsia" w:eastAsiaTheme="minorEastAsia"/>
          <w:sz w:val="24"/>
          <w:szCs w:val="24"/>
        </w:rPr>
        <w:t>日内向对方提供相关证明材料，双方应尽其最大可能地减少损失。若发生不可抗力事件，一方无需对因不能履行或迟延履行义务而导致另一方遭受的任何损害承担责任。</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一方迟延履行义务后发生不可抗力的，不能免除该方的法律责任。</w:t>
      </w:r>
    </w:p>
    <w:p>
      <w:pPr>
        <w:pStyle w:val="140"/>
        <w:numPr>
          <w:ilvl w:val="0"/>
          <w:numId w:val="14"/>
        </w:numPr>
        <w:tabs>
          <w:tab w:val="clear" w:pos="1102"/>
        </w:tabs>
        <w:spacing w:before="240" w:line="480" w:lineRule="auto"/>
        <w:ind w:left="982" w:hanging="420" w:firstLineChars="0"/>
        <w:rPr>
          <w:rFonts w:ascii="宋体" w:hAnsi="宋体"/>
          <w:b/>
          <w:sz w:val="24"/>
        </w:rPr>
      </w:pPr>
      <w:bookmarkStart w:id="29" w:name="_Toc518311999"/>
      <w:r>
        <w:rPr>
          <w:rFonts w:hint="eastAsia" w:ascii="宋体" w:hAnsi="宋体"/>
          <w:b/>
          <w:sz w:val="24"/>
        </w:rPr>
        <w:t>违约责任与合同解除</w:t>
      </w:r>
      <w:bookmarkEnd w:id="29"/>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asciiTheme="minorEastAsia" w:hAnsiTheme="minorEastAsia" w:eastAsiaTheme="minorEastAsia"/>
          <w:sz w:val="24"/>
          <w:szCs w:val="24"/>
        </w:rPr>
        <w:t>乙方违反本合同规定逾期交货（含安装调试）或逾期提供服务的，每逾期</w:t>
      </w:r>
      <w:r>
        <w:rPr>
          <w:rFonts w:hint="eastAsia" w:asciiTheme="minorEastAsia" w:hAnsiTheme="minorEastAsia" w:eastAsiaTheme="minorEastAsia"/>
          <w:sz w:val="24"/>
          <w:szCs w:val="24"/>
        </w:rPr>
        <w:t>1</w:t>
      </w:r>
      <w:r>
        <w:rPr>
          <w:rFonts w:asciiTheme="minorEastAsia" w:hAnsiTheme="minorEastAsia" w:eastAsiaTheme="minorEastAsia"/>
          <w:sz w:val="24"/>
          <w:szCs w:val="24"/>
        </w:rPr>
        <w:t>日，须按</w:t>
      </w:r>
      <w:r>
        <w:rPr>
          <w:rFonts w:hint="eastAsia" w:asciiTheme="minorEastAsia" w:hAnsiTheme="minorEastAsia" w:eastAsiaTheme="minorEastAsia"/>
          <w:sz w:val="24"/>
          <w:szCs w:val="24"/>
        </w:rPr>
        <w:t>合同总金额</w:t>
      </w:r>
      <w:r>
        <w:rPr>
          <w:rFonts w:asciiTheme="minorEastAsia" w:hAnsiTheme="minorEastAsia" w:eastAsiaTheme="minorEastAsia"/>
          <w:sz w:val="24"/>
          <w:szCs w:val="24"/>
        </w:rPr>
        <w:t>的【0.5%】支付违约金给</w:t>
      </w:r>
      <w:r>
        <w:rPr>
          <w:rFonts w:hint="eastAsia" w:asciiTheme="minorEastAsia" w:hAnsiTheme="minorEastAsia" w:eastAsiaTheme="minorEastAsia"/>
          <w:sz w:val="24"/>
          <w:szCs w:val="24"/>
        </w:rPr>
        <w:t>甲方。</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逾期交货超过【</w:t>
      </w:r>
      <w:r>
        <w:rPr>
          <w:rFonts w:asciiTheme="minorEastAsia" w:hAnsiTheme="minorEastAsia" w:eastAsiaTheme="minorEastAsia"/>
          <w:sz w:val="24"/>
          <w:szCs w:val="24"/>
        </w:rPr>
        <w:t>10</w:t>
      </w:r>
      <w:r>
        <w:rPr>
          <w:rFonts w:hint="eastAsia" w:asciiTheme="minorEastAsia" w:hAnsiTheme="minorEastAsia" w:eastAsiaTheme="minorEastAsia"/>
          <w:sz w:val="24"/>
          <w:szCs w:val="24"/>
        </w:rPr>
        <w:t>】日的，视为乙方不能交货，甲方有权单方解除合同，乙方须向甲方支付合同总金额【</w:t>
      </w:r>
      <w:r>
        <w:rPr>
          <w:rFonts w:asciiTheme="minorEastAsia" w:hAnsiTheme="minorEastAsia" w:eastAsiaTheme="minorEastAsia"/>
          <w:sz w:val="24"/>
          <w:szCs w:val="24"/>
        </w:rPr>
        <w:t>20%】违约金</w:t>
      </w:r>
      <w:r>
        <w:rPr>
          <w:rFonts w:hint="eastAsia" w:asciiTheme="minorEastAsia" w:hAnsiTheme="minorEastAsia" w:eastAsiaTheme="minorEastAsia"/>
          <w:sz w:val="24"/>
          <w:szCs w:val="24"/>
        </w:rPr>
        <w:t>，并另行赔偿因此造成甲方的其它损失。</w:t>
      </w: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如乙方所供货物存在质量问题，或存在其他严重违约行为的，甲方有权单方解除合同或要求乙方整改、退换，乙方须向甲方支付合同总金额【</w:t>
      </w:r>
      <w:r>
        <w:rPr>
          <w:rFonts w:asciiTheme="minorEastAsia" w:hAnsiTheme="minorEastAsia" w:eastAsiaTheme="minorEastAsia"/>
          <w:sz w:val="24"/>
          <w:szCs w:val="24"/>
        </w:rPr>
        <w:t>20%】</w:t>
      </w:r>
      <w:r>
        <w:rPr>
          <w:rFonts w:hint="eastAsia" w:asciiTheme="minorEastAsia" w:hAnsiTheme="minorEastAsia" w:eastAsiaTheme="minorEastAsia"/>
          <w:sz w:val="24"/>
          <w:szCs w:val="24"/>
        </w:rPr>
        <w:t>违约金，由此给甲方或其他第三方造成的损失由乙方另行赔偿。</w:t>
      </w:r>
    </w:p>
    <w:p>
      <w:pPr>
        <w:pStyle w:val="16"/>
        <w:numPr>
          <w:ilvl w:val="1"/>
          <w:numId w:val="17"/>
        </w:numPr>
        <w:spacing w:line="360" w:lineRule="auto"/>
        <w:ind w:left="0" w:firstLine="567"/>
        <w:rPr>
          <w:rFonts w:asciiTheme="minorEastAsia" w:hAnsiTheme="minorEastAsia" w:eastAsiaTheme="minorEastAsia"/>
          <w:sz w:val="24"/>
          <w:szCs w:val="24"/>
        </w:rPr>
      </w:pPr>
      <w:bookmarkStart w:id="30" w:name="_Hlk519870361"/>
      <w:r>
        <w:rPr>
          <w:rFonts w:asciiTheme="minorEastAsia" w:hAnsiTheme="minorEastAsia" w:eastAsiaTheme="minorEastAsia"/>
          <w:sz w:val="24"/>
          <w:szCs w:val="24"/>
        </w:rPr>
        <w:t>上述条款约定的违约金</w:t>
      </w:r>
      <w:r>
        <w:rPr>
          <w:rFonts w:hint="eastAsia" w:asciiTheme="minorEastAsia" w:hAnsiTheme="minorEastAsia" w:eastAsiaTheme="minorEastAsia"/>
          <w:sz w:val="24"/>
          <w:szCs w:val="24"/>
        </w:rPr>
        <w:t>、赔偿金甲方</w:t>
      </w:r>
      <w:bookmarkStart w:id="31" w:name="_Hlk520059152"/>
      <w:r>
        <w:rPr>
          <w:rFonts w:hint="eastAsia" w:asciiTheme="minorEastAsia" w:hAnsiTheme="minorEastAsia" w:eastAsiaTheme="minorEastAsia"/>
          <w:sz w:val="24"/>
          <w:szCs w:val="24"/>
        </w:rPr>
        <w:t>有权从任一批次合同款、质保金中扣除。</w:t>
      </w:r>
      <w:bookmarkEnd w:id="31"/>
      <w:r>
        <w:rPr>
          <w:rFonts w:hint="eastAsia" w:asciiTheme="minorEastAsia" w:hAnsiTheme="minorEastAsia" w:eastAsiaTheme="minorEastAsia"/>
          <w:sz w:val="24"/>
          <w:szCs w:val="24"/>
        </w:rPr>
        <w:t>甲方因向乙方主张权利或因本合同相关事宜被第三方追究责任而支付的合理费用包括但不限于律师费、财产保全担保费、公证费、鉴定费、差旅费及其他为实现权利而发生的费用由乙方承担。</w:t>
      </w:r>
    </w:p>
    <w:bookmarkEnd w:id="30"/>
    <w:p>
      <w:pPr>
        <w:pStyle w:val="16"/>
        <w:numPr>
          <w:ilvl w:val="1"/>
          <w:numId w:val="17"/>
        </w:numPr>
        <w:spacing w:line="360" w:lineRule="auto"/>
        <w:ind w:left="0" w:firstLine="567"/>
        <w:rPr>
          <w:rFonts w:asciiTheme="minorEastAsia" w:hAnsiTheme="minorEastAsia" w:eastAsiaTheme="minorEastAsia"/>
          <w:sz w:val="24"/>
          <w:szCs w:val="24"/>
        </w:rPr>
      </w:pPr>
      <w:bookmarkStart w:id="32" w:name="_Hlk519870520"/>
      <w:r>
        <w:rPr>
          <w:rFonts w:hint="eastAsia" w:asciiTheme="minorEastAsia" w:hAnsiTheme="minorEastAsia" w:eastAsiaTheme="minorEastAsia"/>
          <w:sz w:val="24"/>
          <w:szCs w:val="24"/>
        </w:rPr>
        <w:t>在乙方履行合同规定的各项义务的前提下，甲方无正当理由逾期支付价款的，每逾期1日，则甲方应按应付未付金额的</w:t>
      </w:r>
      <w:r>
        <w:rPr>
          <w:rFonts w:asciiTheme="minorEastAsia" w:hAnsiTheme="minorEastAsia" w:eastAsiaTheme="minorEastAsia"/>
          <w:sz w:val="24"/>
          <w:szCs w:val="24"/>
        </w:rPr>
        <w:t>0.1</w:t>
      </w:r>
      <w:r>
        <w:rPr>
          <w:rFonts w:hint="eastAsia" w:asciiTheme="minorEastAsia" w:hAnsiTheme="minorEastAsia" w:eastAsiaTheme="minorEastAsia"/>
          <w:sz w:val="24"/>
          <w:szCs w:val="24"/>
        </w:rPr>
        <w:t>%向乙方支付违约金。</w:t>
      </w:r>
      <w:bookmarkEnd w:id="32"/>
    </w:p>
    <w:p>
      <w:pPr>
        <w:pStyle w:val="140"/>
        <w:numPr>
          <w:ilvl w:val="0"/>
          <w:numId w:val="14"/>
        </w:numPr>
        <w:tabs>
          <w:tab w:val="clear" w:pos="1102"/>
        </w:tabs>
        <w:spacing w:before="240" w:line="480" w:lineRule="auto"/>
        <w:ind w:left="982" w:hanging="420" w:firstLineChars="0"/>
        <w:rPr>
          <w:rFonts w:ascii="宋体" w:hAnsi="宋体"/>
          <w:b/>
          <w:sz w:val="24"/>
        </w:rPr>
      </w:pPr>
      <w:bookmarkStart w:id="33" w:name="_Toc518312001"/>
      <w:r>
        <w:rPr>
          <w:rFonts w:hint="eastAsia" w:ascii="宋体" w:hAnsi="宋体"/>
          <w:b/>
          <w:sz w:val="24"/>
        </w:rPr>
        <w:t>争议解决</w:t>
      </w:r>
      <w:bookmarkEnd w:id="33"/>
    </w:p>
    <w:p>
      <w:pPr>
        <w:widowControl/>
        <w:spacing w:line="360" w:lineRule="auto"/>
        <w:ind w:firstLine="480" w:firstLineChars="200"/>
        <w:textAlignment w:val="bottom"/>
        <w:rPr>
          <w:rFonts w:asciiTheme="minorEastAsia" w:hAnsiTheme="minorEastAsia" w:eastAsiaTheme="minorEastAsia"/>
          <w:sz w:val="24"/>
        </w:rPr>
      </w:pPr>
      <w:bookmarkStart w:id="34" w:name="_Hlk520710740"/>
      <w:bookmarkStart w:id="35" w:name="_Hlk520710721"/>
      <w:r>
        <w:rPr>
          <w:rFonts w:hint="eastAsia" w:asciiTheme="minorEastAsia" w:hAnsiTheme="minorEastAsia" w:eastAsiaTheme="minorEastAsia"/>
          <w:sz w:val="24"/>
        </w:rPr>
        <w:t>本合同履行过程中如发生争议，双方应友好协商解决。协商不成的，任何一方有权向甲方住所地有管辖权的人民法院提起诉讼</w:t>
      </w:r>
      <w:bookmarkStart w:id="36" w:name="_Hlk520059954"/>
      <w:bookmarkStart w:id="37" w:name="_Hlk520059941"/>
      <w:r>
        <w:rPr>
          <w:rFonts w:hint="eastAsia" w:asciiTheme="minorEastAsia" w:hAnsiTheme="minorEastAsia" w:eastAsiaTheme="minorEastAsia"/>
          <w:sz w:val="24"/>
        </w:rPr>
        <w:t>。</w:t>
      </w:r>
      <w:bookmarkEnd w:id="34"/>
      <w:bookmarkEnd w:id="36"/>
    </w:p>
    <w:bookmarkEnd w:id="35"/>
    <w:bookmarkEnd w:id="37"/>
    <w:p>
      <w:pPr>
        <w:pStyle w:val="140"/>
        <w:numPr>
          <w:ilvl w:val="0"/>
          <w:numId w:val="14"/>
        </w:numPr>
        <w:tabs>
          <w:tab w:val="clear" w:pos="1102"/>
        </w:tabs>
        <w:spacing w:before="240" w:line="480" w:lineRule="auto"/>
        <w:ind w:left="982" w:hanging="420" w:firstLineChars="0"/>
        <w:rPr>
          <w:rFonts w:ascii="宋体" w:hAnsi="宋体"/>
          <w:b/>
          <w:sz w:val="24"/>
        </w:rPr>
      </w:pPr>
      <w:bookmarkStart w:id="38" w:name="_Toc518312003"/>
      <w:r>
        <w:rPr>
          <w:rFonts w:hint="eastAsia" w:ascii="宋体" w:hAnsi="宋体"/>
          <w:b/>
          <w:sz w:val="24"/>
        </w:rPr>
        <w:t>其他</w:t>
      </w:r>
      <w:bookmarkEnd w:id="38"/>
    </w:p>
    <w:p>
      <w:pPr>
        <w:pStyle w:val="140"/>
        <w:numPr>
          <w:ilvl w:val="0"/>
          <w:numId w:val="17"/>
        </w:numPr>
        <w:spacing w:line="360" w:lineRule="auto"/>
        <w:ind w:firstLineChars="0"/>
        <w:rPr>
          <w:rFonts w:asciiTheme="minorEastAsia" w:hAnsiTheme="minorEastAsia" w:eastAsiaTheme="minorEastAsia"/>
          <w:vanish/>
          <w:sz w:val="24"/>
        </w:rPr>
      </w:pPr>
    </w:p>
    <w:p>
      <w:pPr>
        <w:pStyle w:val="140"/>
        <w:numPr>
          <w:ilvl w:val="0"/>
          <w:numId w:val="17"/>
        </w:numPr>
        <w:spacing w:line="360" w:lineRule="auto"/>
        <w:ind w:firstLineChars="0"/>
        <w:rPr>
          <w:rFonts w:asciiTheme="minorEastAsia" w:hAnsiTheme="minorEastAsia" w:eastAsiaTheme="minorEastAsia"/>
          <w:vanish/>
          <w:sz w:val="24"/>
        </w:rPr>
      </w:pPr>
    </w:p>
    <w:p>
      <w:pPr>
        <w:pStyle w:val="16"/>
        <w:numPr>
          <w:ilvl w:val="1"/>
          <w:numId w:val="17"/>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合同修改和补充。合同未尽事宜，应由双方友好协商解决。如需对合同及其附件作任何修改或补充，须由双方以书面做出方为有效。修改或补充文件与本合同有不一致的，以修改或补充文件为准。</w:t>
      </w:r>
    </w:p>
    <w:p>
      <w:pPr>
        <w:pStyle w:val="16"/>
        <w:numPr>
          <w:ilvl w:val="1"/>
          <w:numId w:val="17"/>
        </w:numPr>
        <w:spacing w:line="360" w:lineRule="auto"/>
        <w:ind w:left="0" w:firstLine="567"/>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合同</w:t>
      </w:r>
      <w:r>
        <w:rPr>
          <w:rFonts w:asciiTheme="minorEastAsia" w:hAnsiTheme="minorEastAsia" w:eastAsiaTheme="minorEastAsia"/>
          <w:sz w:val="24"/>
          <w:szCs w:val="24"/>
        </w:rPr>
        <w:t>自</w:t>
      </w:r>
      <w:r>
        <w:rPr>
          <w:rFonts w:hint="eastAsia" w:asciiTheme="minorEastAsia" w:hAnsiTheme="minorEastAsia" w:eastAsiaTheme="minorEastAsia"/>
          <w:sz w:val="24"/>
          <w:szCs w:val="24"/>
        </w:rPr>
        <w:t>双方签署（单位加盖公章、法定代表人或授权代表签名）</w:t>
      </w:r>
      <w:r>
        <w:rPr>
          <w:rFonts w:asciiTheme="minorEastAsia" w:hAnsiTheme="minorEastAsia" w:eastAsiaTheme="minorEastAsia"/>
          <w:sz w:val="24"/>
          <w:szCs w:val="24"/>
        </w:rPr>
        <w:t>之日起生效之日起生效。</w:t>
      </w:r>
      <w:r>
        <w:rPr>
          <w:rFonts w:hint="eastAsia" w:asciiTheme="minorEastAsia" w:hAnsiTheme="minorEastAsia" w:eastAsiaTheme="minorEastAsia"/>
          <w:sz w:val="24"/>
          <w:szCs w:val="24"/>
        </w:rPr>
        <w:t>本合同壹</w:t>
      </w:r>
      <w:r>
        <w:rPr>
          <w:rFonts w:asciiTheme="minorEastAsia" w:hAnsiTheme="minorEastAsia" w:eastAsiaTheme="minorEastAsia"/>
          <w:sz w:val="24"/>
          <w:szCs w:val="24"/>
        </w:rPr>
        <w:t>式</w:t>
      </w: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ffData>
            <w:name w:val="文字33"/>
            <w:enabled/>
            <w:calcOnExit w:val="0"/>
            <w:textInput/>
          </w:ffData>
        </w:fldChar>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FORMTEXT</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     </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rPr>
          <w:rFonts w:asciiTheme="minorEastAsia" w:hAnsiTheme="minorEastAsia" w:eastAsiaTheme="minorEastAsia"/>
          <w:sz w:val="24"/>
          <w:szCs w:val="24"/>
        </w:rPr>
        <w:t>份，甲</w:t>
      </w:r>
      <w:r>
        <w:rPr>
          <w:rFonts w:hint="eastAsia" w:asciiTheme="minorEastAsia" w:hAnsiTheme="minorEastAsia" w:eastAsiaTheme="minorEastAsia"/>
          <w:sz w:val="24"/>
          <w:szCs w:val="24"/>
        </w:rPr>
        <w:t>、</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双方</w:t>
      </w:r>
      <w:r>
        <w:rPr>
          <w:rFonts w:asciiTheme="minorEastAsia" w:hAnsiTheme="minorEastAsia" w:eastAsiaTheme="minorEastAsia"/>
          <w:sz w:val="24"/>
          <w:szCs w:val="24"/>
        </w:rPr>
        <w:t>各执</w:t>
      </w: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ffData>
            <w:name w:val="文字33"/>
            <w:enabled/>
            <w:calcOnExit w:val="0"/>
            <w:textInput/>
          </w:ffData>
        </w:fldChar>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FORMTEXT</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     </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rPr>
          <w:rFonts w:asciiTheme="minorEastAsia" w:hAnsiTheme="minorEastAsia" w:eastAsiaTheme="minorEastAsia"/>
          <w:sz w:val="24"/>
          <w:szCs w:val="24"/>
        </w:rPr>
        <w:t>份，具有同等法律效力。</w:t>
      </w:r>
    </w:p>
    <w:p>
      <w:pPr>
        <w:widowControl/>
        <w:spacing w:line="360" w:lineRule="auto"/>
        <w:ind w:firstLine="424" w:firstLineChars="177"/>
        <w:textAlignment w:val="bottom"/>
        <w:rPr>
          <w:rFonts w:asciiTheme="minorEastAsia" w:hAnsiTheme="minorEastAsia" w:eastAsiaTheme="minorEastAsia"/>
          <w:sz w:val="24"/>
        </w:rPr>
      </w:pPr>
      <w:r>
        <w:rPr>
          <w:rFonts w:hint="eastAsia" w:asciiTheme="minorEastAsia" w:hAnsiTheme="minorEastAsia" w:eastAsiaTheme="minorEastAsia"/>
          <w:sz w:val="24"/>
        </w:rPr>
        <w:t>（以下无正文）</w:t>
      </w:r>
    </w:p>
    <w:p>
      <w:pPr>
        <w:spacing w:line="360" w:lineRule="auto"/>
        <w:rPr>
          <w:rFonts w:asciiTheme="minorEastAsia" w:hAnsiTheme="minorEastAsia" w:eastAsiaTheme="minorEastAsia"/>
          <w:sz w:val="24"/>
        </w:rPr>
      </w:pPr>
      <w:bookmarkStart w:id="39" w:name="_Hlk12866345"/>
      <w:bookmarkStart w:id="40" w:name="_Hlk12873992"/>
      <w:r>
        <w:rPr>
          <w:rFonts w:hint="eastAsia" w:asciiTheme="minorEastAsia" w:hAnsiTheme="minorEastAsia" w:eastAsiaTheme="minorEastAsia"/>
          <w:sz w:val="24"/>
        </w:rPr>
        <w:t>（此页无正文，为《</w:t>
      </w:r>
      <w:r>
        <w:rPr>
          <w:rFonts w:asciiTheme="minorEastAsia" w:hAnsiTheme="minorEastAsia" w:eastAsiaTheme="minorEastAsia"/>
          <w:sz w:val="24"/>
        </w:rPr>
        <w:fldChar w:fldCharType="begin">
          <w:ffData>
            <w:name w:val="文字13"/>
            <w:enabled/>
            <w:calcOnExit w:val="0"/>
            <w:textInput/>
          </w:ffData>
        </w:fldChar>
      </w:r>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rPr>
          <w:rFonts w:asciiTheme="minorEastAsia" w:hAnsiTheme="minorEastAsia" w:eastAsiaTheme="minorEastAsia"/>
          <w:sz w:val="24"/>
        </w:rPr>
        <w:t>     </w:t>
      </w:r>
      <w:r>
        <w:rPr>
          <w:rFonts w:asciiTheme="minorEastAsia" w:hAnsiTheme="minorEastAsia" w:eastAsiaTheme="minorEastAsia"/>
          <w:sz w:val="24"/>
        </w:rPr>
        <w:fldChar w:fldCharType="end"/>
      </w:r>
      <w:r>
        <w:rPr>
          <w:rFonts w:hint="eastAsia" w:asciiTheme="minorEastAsia" w:hAnsiTheme="minorEastAsia" w:eastAsiaTheme="minorEastAsia"/>
          <w:sz w:val="24"/>
        </w:rPr>
        <w:t>小额货物采购合同》签署页【合同编号：</w:t>
      </w:r>
      <w:r>
        <w:rPr>
          <w:rFonts w:asciiTheme="minorEastAsia" w:hAnsiTheme="minorEastAsia" w:eastAsiaTheme="minorEastAsia"/>
          <w:sz w:val="24"/>
        </w:rPr>
        <w:fldChar w:fldCharType="begin">
          <w:ffData>
            <w:name w:val="文字13"/>
            <w:enabled/>
            <w:calcOnExit w:val="0"/>
            <w:textInput/>
          </w:ffData>
        </w:fldChar>
      </w:r>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rPr>
          <w:rFonts w:asciiTheme="minorEastAsia" w:hAnsiTheme="minorEastAsia" w:eastAsiaTheme="minorEastAsia"/>
          <w:sz w:val="24"/>
        </w:rPr>
        <w:t>     </w:t>
      </w:r>
      <w:r>
        <w:rPr>
          <w:rFonts w:asciiTheme="minorEastAsia" w:hAnsiTheme="minorEastAsia" w:eastAsiaTheme="minorEastAsia"/>
          <w:sz w:val="24"/>
        </w:rPr>
        <w:fldChar w:fldCharType="end"/>
      </w:r>
      <w:r>
        <w:rPr>
          <w:rFonts w:hint="eastAsia" w:asciiTheme="minorEastAsia" w:hAnsiTheme="minorEastAsia" w:eastAsiaTheme="minorEastAsia"/>
          <w:sz w:val="24"/>
        </w:rPr>
        <w:t>】）</w:t>
      </w:r>
    </w:p>
    <w:bookmarkEnd w:id="39"/>
    <w:p>
      <w:pPr>
        <w:spacing w:line="360" w:lineRule="auto"/>
        <w:rPr>
          <w:rFonts w:asciiTheme="minorEastAsia" w:hAnsiTheme="minorEastAsia" w:eastAsiaTheme="minorEastAsia"/>
          <w:sz w:val="24"/>
        </w:rPr>
      </w:pPr>
      <w:bookmarkStart w:id="41" w:name="_Hlk12866387"/>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甲方（盖章）：广东省广播电视网络股份有限公司佛山高明分公司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负责人或授权代表（签名）：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经办人（签名）：</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签署日期：     年     月     日</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乙方（盖章）：  </w:t>
      </w:r>
      <w:r>
        <w:rPr>
          <w:rFonts w:asciiTheme="minorEastAsia" w:hAnsiTheme="minorEastAsia" w:eastAsiaTheme="minorEastAsia"/>
          <w:sz w:val="24"/>
        </w:rPr>
        <w:fldChar w:fldCharType="begin">
          <w:ffData>
            <w:name w:val="文字13"/>
            <w:enabled/>
            <w:calcOnExit w:val="0"/>
            <w:textInput/>
          </w:ffData>
        </w:fldChar>
      </w:r>
      <w:r>
        <w:rPr>
          <w:rFonts w:asciiTheme="minorEastAsia" w:hAnsiTheme="minorEastAsia" w:eastAsiaTheme="minorEastAsia"/>
          <w:sz w:val="24"/>
        </w:rPr>
        <w:instrText xml:space="preserve"> </w:instrText>
      </w:r>
      <w:r>
        <w:rPr>
          <w:rFonts w:hint="eastAsia" w:asciiTheme="minorEastAsia" w:hAnsiTheme="minorEastAsia" w:eastAsiaTheme="minorEastAsia"/>
          <w:sz w:val="24"/>
        </w:rPr>
        <w:instrText xml:space="preserve">FORMTEXT</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rPr>
          <w:rFonts w:asciiTheme="minorEastAsia" w:hAnsiTheme="minorEastAsia" w:eastAsiaTheme="minorEastAsia"/>
          <w:sz w:val="24"/>
        </w:rPr>
        <w:t>     </w:t>
      </w:r>
      <w:r>
        <w:rPr>
          <w:rFonts w:asciiTheme="minorEastAsia" w:hAnsiTheme="minorEastAsia" w:eastAsiaTheme="minorEastAsia"/>
          <w:sz w:val="24"/>
        </w:rPr>
        <w:fldChar w:fldCharType="end"/>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法定代表人或授权代表（签名）：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经办人（签名）：</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签署日期：      年     月      日</w:t>
      </w:r>
    </w:p>
    <w:bookmarkEnd w:id="41"/>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合同签订地：</w:t>
      </w:r>
      <w:bookmarkEnd w:id="40"/>
    </w:p>
    <w:p>
      <w:pPr>
        <w:autoSpaceDE w:val="0"/>
        <w:autoSpaceDN w:val="0"/>
        <w:adjustRightInd w:val="0"/>
        <w:snapToGrid w:val="0"/>
        <w:spacing w:line="360" w:lineRule="auto"/>
        <w:ind w:right="646" w:firstLine="2625" w:firstLineChars="1250"/>
        <w:jc w:val="right"/>
        <w:rPr>
          <w:rFonts w:ascii="宋体" w:hAnsi="宋体" w:cs="宋体"/>
          <w:color w:val="000000" w:themeColor="text1"/>
          <w:szCs w:val="2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hint="eastAsia"/>
      </w:rPr>
      <w:t>第</w:t>
    </w:r>
    <w:r>
      <w:rPr>
        <w:bCs/>
      </w:rPr>
      <w:fldChar w:fldCharType="begin"/>
    </w:r>
    <w:r>
      <w:rPr>
        <w:bCs/>
      </w:rPr>
      <w:instrText xml:space="preserve">PAGE</w:instrText>
    </w:r>
    <w:r>
      <w:rPr>
        <w:bCs/>
      </w:rPr>
      <w:fldChar w:fldCharType="separate"/>
    </w:r>
    <w:r>
      <w:rPr>
        <w:bCs/>
      </w:rPr>
      <w:t>18</w:t>
    </w:r>
    <w:r>
      <w:rPr>
        <w:bCs/>
      </w:rPr>
      <w:fldChar w:fldCharType="end"/>
    </w:r>
    <w:r>
      <w:rPr>
        <w:rFonts w:hint="eastAsia"/>
        <w:bCs/>
      </w:rPr>
      <w:t>页</w:t>
    </w:r>
    <w:r>
      <w:rPr>
        <w:lang w:val="zh-CN"/>
      </w:rPr>
      <w:t xml:space="preserve"> /</w:t>
    </w:r>
    <w:r>
      <w:rPr>
        <w:rFonts w:hint="eastAsia"/>
        <w:lang w:val="zh-CN"/>
      </w:rPr>
      <w:t>共</w:t>
    </w:r>
    <w:r>
      <w:rPr>
        <w:bCs/>
      </w:rPr>
      <w:fldChar w:fldCharType="begin"/>
    </w:r>
    <w:r>
      <w:rPr>
        <w:bCs/>
      </w:rPr>
      <w:instrText xml:space="preserve">NUMPAGES</w:instrText>
    </w:r>
    <w:r>
      <w:rPr>
        <w:bCs/>
      </w:rPr>
      <w:fldChar w:fldCharType="separate"/>
    </w:r>
    <w:r>
      <w:rPr>
        <w:bCs/>
      </w:rPr>
      <w:t>19</w:t>
    </w:r>
    <w:r>
      <w:rPr>
        <w:bCs/>
      </w:rPr>
      <w:fldChar w:fldCharType="end"/>
    </w:r>
    <w:r>
      <w:rPr>
        <w:rFonts w:hint="eastAsia"/>
        <w:bCs/>
      </w:rPr>
      <w:t>页</w:t>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5C32D49"/>
    <w:multiLevelType w:val="multilevel"/>
    <w:tmpl w:val="05C32D49"/>
    <w:lvl w:ilvl="0" w:tentative="0">
      <w:start w:val="1"/>
      <w:numFmt w:val="chineseCountingThousand"/>
      <w:suff w:val="space"/>
      <w:lvlText w:val="%1、"/>
      <w:lvlJc w:val="left"/>
      <w:pPr>
        <w:ind w:left="450" w:hanging="450"/>
      </w:pPr>
      <w:rPr>
        <w:rFonts w:hint="eastAsia" w:eastAsia="宋体"/>
        <w:b/>
        <w:bCs w:val="0"/>
        <w:i w:val="0"/>
        <w:sz w:val="21"/>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b w:val="0"/>
        <w:bCs w:val="0"/>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11A3326"/>
    <w:multiLevelType w:val="multilevel"/>
    <w:tmpl w:val="111A3326"/>
    <w:lvl w:ilvl="0" w:tentative="0">
      <w:start w:val="1"/>
      <w:numFmt w:val="chineseCountingThousand"/>
      <w:lvlText w:val="%1、"/>
      <w:lvlJc w:val="left"/>
      <w:pPr>
        <w:ind w:left="420" w:hanging="420"/>
      </w:pPr>
      <w:rPr>
        <w:rFonts w:hint="default" w:cs="仿宋_GB2312"/>
        <w:b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5214F2"/>
    <w:multiLevelType w:val="multilevel"/>
    <w:tmpl w:val="125214F2"/>
    <w:lvl w:ilvl="0" w:tentative="0">
      <w:start w:val="1"/>
      <w:numFmt w:val="decimal"/>
      <w:suff w:val="nothing"/>
      <w:lvlText w:val="%1)"/>
      <w:lvlJc w:val="left"/>
      <w:pPr>
        <w:ind w:left="845"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836572"/>
    <w:multiLevelType w:val="multilevel"/>
    <w:tmpl w:val="1283657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139D1937"/>
    <w:multiLevelType w:val="multilevel"/>
    <w:tmpl w:val="139D1937"/>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59C1D66"/>
    <w:multiLevelType w:val="multilevel"/>
    <w:tmpl w:val="259C1D66"/>
    <w:lvl w:ilvl="0" w:tentative="0">
      <w:start w:val="1"/>
      <w:numFmt w:val="decimal"/>
      <w:suff w:val="noth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63A2675"/>
    <w:multiLevelType w:val="multilevel"/>
    <w:tmpl w:val="263A267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7CB216F1"/>
    <w:multiLevelType w:val="multilevel"/>
    <w:tmpl w:val="7CB216F1"/>
    <w:lvl w:ilvl="0" w:tentative="0">
      <w:start w:val="1"/>
      <w:numFmt w:val="chineseCountingThousand"/>
      <w:lvlText w:val="第%1条"/>
      <w:lvlJc w:val="left"/>
      <w:pPr>
        <w:tabs>
          <w:tab w:val="left" w:pos="1102"/>
        </w:tabs>
        <w:ind w:left="1102" w:hanging="960"/>
      </w:pPr>
      <w:rPr>
        <w:rFonts w:hint="eastAsia"/>
        <w:b/>
        <w:i w:val="0"/>
        <w:lang w:val="en-US"/>
      </w:rPr>
    </w:lvl>
    <w:lvl w:ilvl="1" w:tentative="0">
      <w:start w:val="1"/>
      <w:numFmt w:val="decimal"/>
      <w:lvlText w:val="（%2）"/>
      <w:lvlJc w:val="left"/>
      <w:pPr>
        <w:tabs>
          <w:tab w:val="left" w:pos="720"/>
        </w:tabs>
        <w:ind w:left="720" w:hanging="720"/>
      </w:pPr>
      <w:rPr>
        <w:rFonts w:hint="default"/>
        <w:lang w:val="en-US"/>
      </w:rPr>
    </w:lvl>
    <w:lvl w:ilvl="2" w:tentative="0">
      <w:start w:val="1"/>
      <w:numFmt w:val="decimal"/>
      <w:lvlText w:val="%3."/>
      <w:lvlJc w:val="left"/>
      <w:pPr>
        <w:ind w:left="502"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2"/>
  </w:num>
  <w:num w:numId="3">
    <w:abstractNumId w:val="13"/>
  </w:num>
  <w:num w:numId="4">
    <w:abstractNumId w:val="8"/>
  </w:num>
  <w:num w:numId="5">
    <w:abstractNumId w:val="10"/>
  </w:num>
  <w:num w:numId="6">
    <w:abstractNumId w:val="1"/>
  </w:num>
  <w:num w:numId="7">
    <w:abstractNumId w:val="4"/>
  </w:num>
  <w:num w:numId="8">
    <w:abstractNumId w:val="14"/>
  </w:num>
  <w:num w:numId="9">
    <w:abstractNumId w:val="7"/>
  </w:num>
  <w:num w:numId="10">
    <w:abstractNumId w:val="9"/>
  </w:num>
  <w:num w:numId="11">
    <w:abstractNumId w:val="2"/>
  </w:num>
  <w:num w:numId="12">
    <w:abstractNumId w:val="0"/>
  </w:num>
  <w:num w:numId="13">
    <w:abstractNumId w:val="15"/>
  </w:num>
  <w:num w:numId="14">
    <w:abstractNumId w:val="16"/>
  </w:num>
  <w:num w:numId="15">
    <w:abstractNumId w:val="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mVjNTAzZTAzYmI2OTM4YTQxNzNlMDlmNjA2ZWYifQ=="/>
  </w:docVars>
  <w:rsids>
    <w:rsidRoot w:val="00982A85"/>
    <w:rsid w:val="000004AD"/>
    <w:rsid w:val="0000166B"/>
    <w:rsid w:val="00002FF5"/>
    <w:rsid w:val="0000601A"/>
    <w:rsid w:val="0000694E"/>
    <w:rsid w:val="000072B1"/>
    <w:rsid w:val="00007FAE"/>
    <w:rsid w:val="00012357"/>
    <w:rsid w:val="00013778"/>
    <w:rsid w:val="00013B79"/>
    <w:rsid w:val="00013CBD"/>
    <w:rsid w:val="00013F6A"/>
    <w:rsid w:val="00015F62"/>
    <w:rsid w:val="00017E85"/>
    <w:rsid w:val="00020817"/>
    <w:rsid w:val="00022BA8"/>
    <w:rsid w:val="00022CFC"/>
    <w:rsid w:val="00022E1E"/>
    <w:rsid w:val="000243AE"/>
    <w:rsid w:val="00025123"/>
    <w:rsid w:val="00026161"/>
    <w:rsid w:val="0002789D"/>
    <w:rsid w:val="00027B41"/>
    <w:rsid w:val="00027D53"/>
    <w:rsid w:val="00030AA4"/>
    <w:rsid w:val="0003162D"/>
    <w:rsid w:val="00033C58"/>
    <w:rsid w:val="00033DF8"/>
    <w:rsid w:val="000353FF"/>
    <w:rsid w:val="000356AB"/>
    <w:rsid w:val="000372CA"/>
    <w:rsid w:val="00040958"/>
    <w:rsid w:val="0004362F"/>
    <w:rsid w:val="00043EDC"/>
    <w:rsid w:val="00047817"/>
    <w:rsid w:val="000525A8"/>
    <w:rsid w:val="00054850"/>
    <w:rsid w:val="00054D90"/>
    <w:rsid w:val="000555D5"/>
    <w:rsid w:val="00056D8F"/>
    <w:rsid w:val="000578DB"/>
    <w:rsid w:val="00057A4C"/>
    <w:rsid w:val="0006011A"/>
    <w:rsid w:val="00060CC7"/>
    <w:rsid w:val="00060F78"/>
    <w:rsid w:val="00062631"/>
    <w:rsid w:val="00062CB7"/>
    <w:rsid w:val="00064769"/>
    <w:rsid w:val="00065921"/>
    <w:rsid w:val="00065C20"/>
    <w:rsid w:val="00065F20"/>
    <w:rsid w:val="00066C1E"/>
    <w:rsid w:val="00070575"/>
    <w:rsid w:val="000714AB"/>
    <w:rsid w:val="000718D3"/>
    <w:rsid w:val="00074C93"/>
    <w:rsid w:val="00075128"/>
    <w:rsid w:val="000762D2"/>
    <w:rsid w:val="000775BA"/>
    <w:rsid w:val="0007767B"/>
    <w:rsid w:val="00082175"/>
    <w:rsid w:val="00082271"/>
    <w:rsid w:val="00082903"/>
    <w:rsid w:val="00083903"/>
    <w:rsid w:val="00084EA8"/>
    <w:rsid w:val="00086EF0"/>
    <w:rsid w:val="00087E87"/>
    <w:rsid w:val="000902E3"/>
    <w:rsid w:val="0009245A"/>
    <w:rsid w:val="00092B0A"/>
    <w:rsid w:val="00092E24"/>
    <w:rsid w:val="00094059"/>
    <w:rsid w:val="0009405C"/>
    <w:rsid w:val="00094BC5"/>
    <w:rsid w:val="000950AD"/>
    <w:rsid w:val="000A11F6"/>
    <w:rsid w:val="000A1F19"/>
    <w:rsid w:val="000A237A"/>
    <w:rsid w:val="000A4C0F"/>
    <w:rsid w:val="000B0865"/>
    <w:rsid w:val="000B1E95"/>
    <w:rsid w:val="000B3769"/>
    <w:rsid w:val="000B4261"/>
    <w:rsid w:val="000B4E75"/>
    <w:rsid w:val="000B5DB8"/>
    <w:rsid w:val="000B6CF6"/>
    <w:rsid w:val="000B6D58"/>
    <w:rsid w:val="000B6D8E"/>
    <w:rsid w:val="000C01BD"/>
    <w:rsid w:val="000C11C9"/>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60F"/>
    <w:rsid w:val="000D5B59"/>
    <w:rsid w:val="000D6196"/>
    <w:rsid w:val="000D6C2A"/>
    <w:rsid w:val="000E22C9"/>
    <w:rsid w:val="000E6013"/>
    <w:rsid w:val="000E6636"/>
    <w:rsid w:val="000E6CAC"/>
    <w:rsid w:val="000F0AF2"/>
    <w:rsid w:val="000F191C"/>
    <w:rsid w:val="000F3D41"/>
    <w:rsid w:val="000F4BC7"/>
    <w:rsid w:val="000F4ED1"/>
    <w:rsid w:val="000F550C"/>
    <w:rsid w:val="000F60C3"/>
    <w:rsid w:val="000F6735"/>
    <w:rsid w:val="001007FC"/>
    <w:rsid w:val="00100FA9"/>
    <w:rsid w:val="001016EE"/>
    <w:rsid w:val="00101E33"/>
    <w:rsid w:val="001029DF"/>
    <w:rsid w:val="00102E3B"/>
    <w:rsid w:val="00103F7C"/>
    <w:rsid w:val="0010492F"/>
    <w:rsid w:val="00105761"/>
    <w:rsid w:val="00105E54"/>
    <w:rsid w:val="0010650C"/>
    <w:rsid w:val="00107951"/>
    <w:rsid w:val="0011014B"/>
    <w:rsid w:val="0011085A"/>
    <w:rsid w:val="00110A17"/>
    <w:rsid w:val="001141AB"/>
    <w:rsid w:val="00114F81"/>
    <w:rsid w:val="001156A8"/>
    <w:rsid w:val="00121369"/>
    <w:rsid w:val="00121D7B"/>
    <w:rsid w:val="00122334"/>
    <w:rsid w:val="001227D9"/>
    <w:rsid w:val="00122E20"/>
    <w:rsid w:val="0012332C"/>
    <w:rsid w:val="00124673"/>
    <w:rsid w:val="00124E48"/>
    <w:rsid w:val="0012566B"/>
    <w:rsid w:val="001273FD"/>
    <w:rsid w:val="00131EF8"/>
    <w:rsid w:val="00132949"/>
    <w:rsid w:val="00132BD5"/>
    <w:rsid w:val="00132EB7"/>
    <w:rsid w:val="00133482"/>
    <w:rsid w:val="00133C28"/>
    <w:rsid w:val="001342C6"/>
    <w:rsid w:val="0013463B"/>
    <w:rsid w:val="00134FCD"/>
    <w:rsid w:val="00135482"/>
    <w:rsid w:val="001359F0"/>
    <w:rsid w:val="001369BE"/>
    <w:rsid w:val="00137AAB"/>
    <w:rsid w:val="0014121D"/>
    <w:rsid w:val="00141A88"/>
    <w:rsid w:val="00142609"/>
    <w:rsid w:val="00142BA2"/>
    <w:rsid w:val="00144CC0"/>
    <w:rsid w:val="00150DC2"/>
    <w:rsid w:val="00155252"/>
    <w:rsid w:val="00155A56"/>
    <w:rsid w:val="00157D2F"/>
    <w:rsid w:val="001601A5"/>
    <w:rsid w:val="00161762"/>
    <w:rsid w:val="001627EF"/>
    <w:rsid w:val="0016331B"/>
    <w:rsid w:val="00163E2D"/>
    <w:rsid w:val="001661BD"/>
    <w:rsid w:val="00166511"/>
    <w:rsid w:val="001713DD"/>
    <w:rsid w:val="00171E6F"/>
    <w:rsid w:val="001720B6"/>
    <w:rsid w:val="00173E34"/>
    <w:rsid w:val="00174598"/>
    <w:rsid w:val="00174634"/>
    <w:rsid w:val="00175C47"/>
    <w:rsid w:val="00175D51"/>
    <w:rsid w:val="0018057B"/>
    <w:rsid w:val="00180FFA"/>
    <w:rsid w:val="00181679"/>
    <w:rsid w:val="00182016"/>
    <w:rsid w:val="0018240E"/>
    <w:rsid w:val="00183884"/>
    <w:rsid w:val="001849C1"/>
    <w:rsid w:val="00184BBC"/>
    <w:rsid w:val="00185212"/>
    <w:rsid w:val="001857F8"/>
    <w:rsid w:val="001874FD"/>
    <w:rsid w:val="00192899"/>
    <w:rsid w:val="00193AA2"/>
    <w:rsid w:val="001948DD"/>
    <w:rsid w:val="001954D2"/>
    <w:rsid w:val="00195E9B"/>
    <w:rsid w:val="001968FF"/>
    <w:rsid w:val="00196BA3"/>
    <w:rsid w:val="00197395"/>
    <w:rsid w:val="00197A38"/>
    <w:rsid w:val="001A0039"/>
    <w:rsid w:val="001A077A"/>
    <w:rsid w:val="001A3107"/>
    <w:rsid w:val="001A3931"/>
    <w:rsid w:val="001A4BFC"/>
    <w:rsid w:val="001A4EAD"/>
    <w:rsid w:val="001A552D"/>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34"/>
    <w:rsid w:val="001E338A"/>
    <w:rsid w:val="001E3487"/>
    <w:rsid w:val="001E3E6B"/>
    <w:rsid w:val="001E5303"/>
    <w:rsid w:val="001E658A"/>
    <w:rsid w:val="001E6A32"/>
    <w:rsid w:val="001E7EA8"/>
    <w:rsid w:val="001F035C"/>
    <w:rsid w:val="001F6B91"/>
    <w:rsid w:val="002010B9"/>
    <w:rsid w:val="00203015"/>
    <w:rsid w:val="00203A7B"/>
    <w:rsid w:val="00203AAC"/>
    <w:rsid w:val="002040B5"/>
    <w:rsid w:val="00204503"/>
    <w:rsid w:val="00204B05"/>
    <w:rsid w:val="00204CCE"/>
    <w:rsid w:val="00205EB3"/>
    <w:rsid w:val="0020699F"/>
    <w:rsid w:val="00207B8A"/>
    <w:rsid w:val="00212008"/>
    <w:rsid w:val="00213C05"/>
    <w:rsid w:val="0021650E"/>
    <w:rsid w:val="0021731B"/>
    <w:rsid w:val="0022004C"/>
    <w:rsid w:val="0022017F"/>
    <w:rsid w:val="002201F5"/>
    <w:rsid w:val="00221187"/>
    <w:rsid w:val="00222803"/>
    <w:rsid w:val="002239EA"/>
    <w:rsid w:val="002240DE"/>
    <w:rsid w:val="002241FC"/>
    <w:rsid w:val="00224B88"/>
    <w:rsid w:val="002250A6"/>
    <w:rsid w:val="00227B69"/>
    <w:rsid w:val="00230171"/>
    <w:rsid w:val="0023050A"/>
    <w:rsid w:val="002307EF"/>
    <w:rsid w:val="002309D8"/>
    <w:rsid w:val="00232387"/>
    <w:rsid w:val="00233077"/>
    <w:rsid w:val="002333A8"/>
    <w:rsid w:val="00234599"/>
    <w:rsid w:val="002352EE"/>
    <w:rsid w:val="00235CCE"/>
    <w:rsid w:val="002372AE"/>
    <w:rsid w:val="0023788F"/>
    <w:rsid w:val="00237BA5"/>
    <w:rsid w:val="0024089F"/>
    <w:rsid w:val="00241906"/>
    <w:rsid w:val="00243A59"/>
    <w:rsid w:val="00244632"/>
    <w:rsid w:val="002451F1"/>
    <w:rsid w:val="00245769"/>
    <w:rsid w:val="00246F4C"/>
    <w:rsid w:val="00247265"/>
    <w:rsid w:val="00247847"/>
    <w:rsid w:val="00247C52"/>
    <w:rsid w:val="00251245"/>
    <w:rsid w:val="00251607"/>
    <w:rsid w:val="00251851"/>
    <w:rsid w:val="00251A44"/>
    <w:rsid w:val="00253392"/>
    <w:rsid w:val="0025594F"/>
    <w:rsid w:val="0025746D"/>
    <w:rsid w:val="00257CD4"/>
    <w:rsid w:val="00260A5B"/>
    <w:rsid w:val="00261419"/>
    <w:rsid w:val="00261DEB"/>
    <w:rsid w:val="002630C1"/>
    <w:rsid w:val="00266FDC"/>
    <w:rsid w:val="00270519"/>
    <w:rsid w:val="00270713"/>
    <w:rsid w:val="00271506"/>
    <w:rsid w:val="00272D6D"/>
    <w:rsid w:val="00275C3E"/>
    <w:rsid w:val="00276AC7"/>
    <w:rsid w:val="002772C8"/>
    <w:rsid w:val="00281992"/>
    <w:rsid w:val="0028218B"/>
    <w:rsid w:val="00282627"/>
    <w:rsid w:val="00283200"/>
    <w:rsid w:val="00284C06"/>
    <w:rsid w:val="002856F0"/>
    <w:rsid w:val="002857A2"/>
    <w:rsid w:val="0028593E"/>
    <w:rsid w:val="00287A48"/>
    <w:rsid w:val="00290DD7"/>
    <w:rsid w:val="00291B25"/>
    <w:rsid w:val="002937E9"/>
    <w:rsid w:val="002955EF"/>
    <w:rsid w:val="00295D41"/>
    <w:rsid w:val="0029640E"/>
    <w:rsid w:val="002967C9"/>
    <w:rsid w:val="00297745"/>
    <w:rsid w:val="00297C61"/>
    <w:rsid w:val="002A23EA"/>
    <w:rsid w:val="002A4E7A"/>
    <w:rsid w:val="002A4E98"/>
    <w:rsid w:val="002A4FAE"/>
    <w:rsid w:val="002A626B"/>
    <w:rsid w:val="002A67B4"/>
    <w:rsid w:val="002A6D9B"/>
    <w:rsid w:val="002B2317"/>
    <w:rsid w:val="002B2931"/>
    <w:rsid w:val="002B2F9B"/>
    <w:rsid w:val="002B3C66"/>
    <w:rsid w:val="002B3DB5"/>
    <w:rsid w:val="002B574F"/>
    <w:rsid w:val="002B6395"/>
    <w:rsid w:val="002B66D9"/>
    <w:rsid w:val="002B6B9B"/>
    <w:rsid w:val="002B773B"/>
    <w:rsid w:val="002C01ED"/>
    <w:rsid w:val="002C2D03"/>
    <w:rsid w:val="002C4618"/>
    <w:rsid w:val="002D12CC"/>
    <w:rsid w:val="002D281F"/>
    <w:rsid w:val="002D3D93"/>
    <w:rsid w:val="002D4683"/>
    <w:rsid w:val="002D6DE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16D"/>
    <w:rsid w:val="00302EE6"/>
    <w:rsid w:val="00303408"/>
    <w:rsid w:val="00304646"/>
    <w:rsid w:val="00304B60"/>
    <w:rsid w:val="00305689"/>
    <w:rsid w:val="00306707"/>
    <w:rsid w:val="00307274"/>
    <w:rsid w:val="003078D8"/>
    <w:rsid w:val="0031155C"/>
    <w:rsid w:val="00311EC5"/>
    <w:rsid w:val="00312101"/>
    <w:rsid w:val="003125AD"/>
    <w:rsid w:val="00313DA9"/>
    <w:rsid w:val="00313DE3"/>
    <w:rsid w:val="00314B2E"/>
    <w:rsid w:val="00314E41"/>
    <w:rsid w:val="00314EC8"/>
    <w:rsid w:val="00315D72"/>
    <w:rsid w:val="00317D71"/>
    <w:rsid w:val="003217A8"/>
    <w:rsid w:val="0032637C"/>
    <w:rsid w:val="00330512"/>
    <w:rsid w:val="003337CB"/>
    <w:rsid w:val="00335FB5"/>
    <w:rsid w:val="003369E9"/>
    <w:rsid w:val="00337911"/>
    <w:rsid w:val="00341508"/>
    <w:rsid w:val="003424F1"/>
    <w:rsid w:val="003433F4"/>
    <w:rsid w:val="00344740"/>
    <w:rsid w:val="00344C42"/>
    <w:rsid w:val="003458B6"/>
    <w:rsid w:val="00346281"/>
    <w:rsid w:val="00346FE2"/>
    <w:rsid w:val="00347C73"/>
    <w:rsid w:val="0035266C"/>
    <w:rsid w:val="00354ED0"/>
    <w:rsid w:val="003561C6"/>
    <w:rsid w:val="0035776D"/>
    <w:rsid w:val="003578B0"/>
    <w:rsid w:val="00357E4F"/>
    <w:rsid w:val="00360039"/>
    <w:rsid w:val="00360226"/>
    <w:rsid w:val="003608DA"/>
    <w:rsid w:val="00363B27"/>
    <w:rsid w:val="00366ACA"/>
    <w:rsid w:val="00367B8F"/>
    <w:rsid w:val="003712F2"/>
    <w:rsid w:val="0037174C"/>
    <w:rsid w:val="00372CF0"/>
    <w:rsid w:val="00373145"/>
    <w:rsid w:val="0037324E"/>
    <w:rsid w:val="00373990"/>
    <w:rsid w:val="00373E8C"/>
    <w:rsid w:val="003742E7"/>
    <w:rsid w:val="00374FF1"/>
    <w:rsid w:val="0037518C"/>
    <w:rsid w:val="0037529C"/>
    <w:rsid w:val="003753AC"/>
    <w:rsid w:val="00375817"/>
    <w:rsid w:val="00375F11"/>
    <w:rsid w:val="00376651"/>
    <w:rsid w:val="0038349B"/>
    <w:rsid w:val="00385101"/>
    <w:rsid w:val="003865FC"/>
    <w:rsid w:val="0038670A"/>
    <w:rsid w:val="0039250E"/>
    <w:rsid w:val="003930CE"/>
    <w:rsid w:val="00394845"/>
    <w:rsid w:val="003967F6"/>
    <w:rsid w:val="00396A5C"/>
    <w:rsid w:val="00397270"/>
    <w:rsid w:val="003A1526"/>
    <w:rsid w:val="003A1F3F"/>
    <w:rsid w:val="003A3457"/>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2B2B"/>
    <w:rsid w:val="003D3925"/>
    <w:rsid w:val="003D4D12"/>
    <w:rsid w:val="003D5F1A"/>
    <w:rsid w:val="003E183F"/>
    <w:rsid w:val="003E23EC"/>
    <w:rsid w:val="003E605F"/>
    <w:rsid w:val="003E681C"/>
    <w:rsid w:val="003F03FC"/>
    <w:rsid w:val="003F1469"/>
    <w:rsid w:val="003F1B87"/>
    <w:rsid w:val="003F1E37"/>
    <w:rsid w:val="003F2252"/>
    <w:rsid w:val="003F248F"/>
    <w:rsid w:val="003F2589"/>
    <w:rsid w:val="003F28D5"/>
    <w:rsid w:val="003F30D7"/>
    <w:rsid w:val="003F3D8E"/>
    <w:rsid w:val="003F45D2"/>
    <w:rsid w:val="003F5332"/>
    <w:rsid w:val="003F54B7"/>
    <w:rsid w:val="003F5879"/>
    <w:rsid w:val="003F6AB0"/>
    <w:rsid w:val="003F6AC4"/>
    <w:rsid w:val="00400369"/>
    <w:rsid w:val="00400814"/>
    <w:rsid w:val="00401798"/>
    <w:rsid w:val="004039EB"/>
    <w:rsid w:val="00403B2E"/>
    <w:rsid w:val="00404F70"/>
    <w:rsid w:val="00405B31"/>
    <w:rsid w:val="0040603F"/>
    <w:rsid w:val="0040744D"/>
    <w:rsid w:val="004078E1"/>
    <w:rsid w:val="00412370"/>
    <w:rsid w:val="0041295E"/>
    <w:rsid w:val="0041341D"/>
    <w:rsid w:val="00413E66"/>
    <w:rsid w:val="004147D5"/>
    <w:rsid w:val="0041647C"/>
    <w:rsid w:val="00420E2E"/>
    <w:rsid w:val="004216F6"/>
    <w:rsid w:val="0042280E"/>
    <w:rsid w:val="00423A23"/>
    <w:rsid w:val="0042407C"/>
    <w:rsid w:val="0042608F"/>
    <w:rsid w:val="00426188"/>
    <w:rsid w:val="00426932"/>
    <w:rsid w:val="004308BE"/>
    <w:rsid w:val="00431640"/>
    <w:rsid w:val="0043178F"/>
    <w:rsid w:val="00432CEA"/>
    <w:rsid w:val="00433653"/>
    <w:rsid w:val="00434AB3"/>
    <w:rsid w:val="004353BE"/>
    <w:rsid w:val="00436349"/>
    <w:rsid w:val="00437C51"/>
    <w:rsid w:val="00441B65"/>
    <w:rsid w:val="00441D67"/>
    <w:rsid w:val="00441FBD"/>
    <w:rsid w:val="00444443"/>
    <w:rsid w:val="004450E0"/>
    <w:rsid w:val="00445E0D"/>
    <w:rsid w:val="00445EEB"/>
    <w:rsid w:val="004461EA"/>
    <w:rsid w:val="00446604"/>
    <w:rsid w:val="004468C0"/>
    <w:rsid w:val="00451115"/>
    <w:rsid w:val="00451149"/>
    <w:rsid w:val="00452322"/>
    <w:rsid w:val="00452614"/>
    <w:rsid w:val="00453929"/>
    <w:rsid w:val="00453B3E"/>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5DA8"/>
    <w:rsid w:val="00475E48"/>
    <w:rsid w:val="004761CB"/>
    <w:rsid w:val="0048061F"/>
    <w:rsid w:val="00483CB1"/>
    <w:rsid w:val="004877BE"/>
    <w:rsid w:val="00487A68"/>
    <w:rsid w:val="004933C4"/>
    <w:rsid w:val="004948FC"/>
    <w:rsid w:val="0049650F"/>
    <w:rsid w:val="004A1C28"/>
    <w:rsid w:val="004A37D0"/>
    <w:rsid w:val="004A3911"/>
    <w:rsid w:val="004A475D"/>
    <w:rsid w:val="004A559B"/>
    <w:rsid w:val="004A5726"/>
    <w:rsid w:val="004A5CF7"/>
    <w:rsid w:val="004A70C4"/>
    <w:rsid w:val="004B05AC"/>
    <w:rsid w:val="004B1E4D"/>
    <w:rsid w:val="004B2019"/>
    <w:rsid w:val="004B2621"/>
    <w:rsid w:val="004B2E70"/>
    <w:rsid w:val="004B3F86"/>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BE8"/>
    <w:rsid w:val="004E0C4E"/>
    <w:rsid w:val="004E1080"/>
    <w:rsid w:val="004E21A5"/>
    <w:rsid w:val="004E2ECA"/>
    <w:rsid w:val="004E2FAA"/>
    <w:rsid w:val="004E33C4"/>
    <w:rsid w:val="004E3A74"/>
    <w:rsid w:val="004E4511"/>
    <w:rsid w:val="004E4579"/>
    <w:rsid w:val="004E59D5"/>
    <w:rsid w:val="004E61CB"/>
    <w:rsid w:val="004E6AAA"/>
    <w:rsid w:val="004F10E7"/>
    <w:rsid w:val="004F160C"/>
    <w:rsid w:val="004F17C0"/>
    <w:rsid w:val="004F2189"/>
    <w:rsid w:val="004F38D7"/>
    <w:rsid w:val="004F3E15"/>
    <w:rsid w:val="004F400F"/>
    <w:rsid w:val="004F46B5"/>
    <w:rsid w:val="004F4A64"/>
    <w:rsid w:val="004F4B15"/>
    <w:rsid w:val="004F4E7D"/>
    <w:rsid w:val="004F5BCA"/>
    <w:rsid w:val="004F6600"/>
    <w:rsid w:val="004F661C"/>
    <w:rsid w:val="004F6CF7"/>
    <w:rsid w:val="004F6D58"/>
    <w:rsid w:val="004F7528"/>
    <w:rsid w:val="005003E6"/>
    <w:rsid w:val="005007D7"/>
    <w:rsid w:val="005037A6"/>
    <w:rsid w:val="005038DD"/>
    <w:rsid w:val="00503C93"/>
    <w:rsid w:val="00504C45"/>
    <w:rsid w:val="00506149"/>
    <w:rsid w:val="00507172"/>
    <w:rsid w:val="00507DE0"/>
    <w:rsid w:val="005114E0"/>
    <w:rsid w:val="0051589E"/>
    <w:rsid w:val="005158BA"/>
    <w:rsid w:val="0052061C"/>
    <w:rsid w:val="00520919"/>
    <w:rsid w:val="00522454"/>
    <w:rsid w:val="00522DD5"/>
    <w:rsid w:val="00524791"/>
    <w:rsid w:val="005257FB"/>
    <w:rsid w:val="00527E64"/>
    <w:rsid w:val="00533537"/>
    <w:rsid w:val="00535420"/>
    <w:rsid w:val="005366A5"/>
    <w:rsid w:val="00540B5C"/>
    <w:rsid w:val="0054187E"/>
    <w:rsid w:val="00541AE9"/>
    <w:rsid w:val="00544E6B"/>
    <w:rsid w:val="00544EBF"/>
    <w:rsid w:val="00546D26"/>
    <w:rsid w:val="00546EA3"/>
    <w:rsid w:val="00551759"/>
    <w:rsid w:val="00553D8A"/>
    <w:rsid w:val="00555465"/>
    <w:rsid w:val="00555B5B"/>
    <w:rsid w:val="00556839"/>
    <w:rsid w:val="005602B6"/>
    <w:rsid w:val="00561E85"/>
    <w:rsid w:val="00563AB0"/>
    <w:rsid w:val="005653F0"/>
    <w:rsid w:val="00565F46"/>
    <w:rsid w:val="00570E49"/>
    <w:rsid w:val="005725E3"/>
    <w:rsid w:val="00573AC1"/>
    <w:rsid w:val="00576BF2"/>
    <w:rsid w:val="00577B76"/>
    <w:rsid w:val="00580099"/>
    <w:rsid w:val="00580D34"/>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350"/>
    <w:rsid w:val="005A6AF8"/>
    <w:rsid w:val="005A6E95"/>
    <w:rsid w:val="005B103A"/>
    <w:rsid w:val="005B21A8"/>
    <w:rsid w:val="005B2485"/>
    <w:rsid w:val="005B261B"/>
    <w:rsid w:val="005B26D7"/>
    <w:rsid w:val="005B5B34"/>
    <w:rsid w:val="005B6BFC"/>
    <w:rsid w:val="005C0A35"/>
    <w:rsid w:val="005C118A"/>
    <w:rsid w:val="005C147F"/>
    <w:rsid w:val="005C2442"/>
    <w:rsid w:val="005C2C7B"/>
    <w:rsid w:val="005C43EA"/>
    <w:rsid w:val="005C5C76"/>
    <w:rsid w:val="005C6C99"/>
    <w:rsid w:val="005C7733"/>
    <w:rsid w:val="005D0399"/>
    <w:rsid w:val="005D14A8"/>
    <w:rsid w:val="005D31FC"/>
    <w:rsid w:val="005D380A"/>
    <w:rsid w:val="005D49B8"/>
    <w:rsid w:val="005D4B21"/>
    <w:rsid w:val="005D4FED"/>
    <w:rsid w:val="005D5B5A"/>
    <w:rsid w:val="005D7DC9"/>
    <w:rsid w:val="005E0C5B"/>
    <w:rsid w:val="005E2328"/>
    <w:rsid w:val="005E2ACB"/>
    <w:rsid w:val="005E40A6"/>
    <w:rsid w:val="005E4434"/>
    <w:rsid w:val="005E4EA8"/>
    <w:rsid w:val="005E5136"/>
    <w:rsid w:val="005E65C3"/>
    <w:rsid w:val="005E7899"/>
    <w:rsid w:val="005F015E"/>
    <w:rsid w:val="005F2095"/>
    <w:rsid w:val="005F3572"/>
    <w:rsid w:val="005F3614"/>
    <w:rsid w:val="005F3BD0"/>
    <w:rsid w:val="005F4229"/>
    <w:rsid w:val="005F4C64"/>
    <w:rsid w:val="005F4E5B"/>
    <w:rsid w:val="005F60B9"/>
    <w:rsid w:val="005F7160"/>
    <w:rsid w:val="005F7665"/>
    <w:rsid w:val="0060530F"/>
    <w:rsid w:val="006054CB"/>
    <w:rsid w:val="00605FB8"/>
    <w:rsid w:val="006064E3"/>
    <w:rsid w:val="0060707F"/>
    <w:rsid w:val="00610B9C"/>
    <w:rsid w:val="00610C57"/>
    <w:rsid w:val="00611693"/>
    <w:rsid w:val="00612085"/>
    <w:rsid w:val="006128A7"/>
    <w:rsid w:val="00613694"/>
    <w:rsid w:val="0061499F"/>
    <w:rsid w:val="006150D2"/>
    <w:rsid w:val="006154BB"/>
    <w:rsid w:val="0061748A"/>
    <w:rsid w:val="00617D33"/>
    <w:rsid w:val="00620924"/>
    <w:rsid w:val="006215C1"/>
    <w:rsid w:val="00621C91"/>
    <w:rsid w:val="0062435D"/>
    <w:rsid w:val="00624618"/>
    <w:rsid w:val="006262AF"/>
    <w:rsid w:val="00626DA1"/>
    <w:rsid w:val="006271E4"/>
    <w:rsid w:val="006274EA"/>
    <w:rsid w:val="00627CD2"/>
    <w:rsid w:val="006317CE"/>
    <w:rsid w:val="00632A27"/>
    <w:rsid w:val="00632F9F"/>
    <w:rsid w:val="00634678"/>
    <w:rsid w:val="00634B4B"/>
    <w:rsid w:val="00636ED9"/>
    <w:rsid w:val="006371C6"/>
    <w:rsid w:val="0063788E"/>
    <w:rsid w:val="00640A0A"/>
    <w:rsid w:val="006421F6"/>
    <w:rsid w:val="00646440"/>
    <w:rsid w:val="00650CE9"/>
    <w:rsid w:val="0065165A"/>
    <w:rsid w:val="00654384"/>
    <w:rsid w:val="006557F3"/>
    <w:rsid w:val="0065640A"/>
    <w:rsid w:val="006607DA"/>
    <w:rsid w:val="00661BBC"/>
    <w:rsid w:val="00662B2D"/>
    <w:rsid w:val="00662E3E"/>
    <w:rsid w:val="006645A1"/>
    <w:rsid w:val="00666151"/>
    <w:rsid w:val="006666F2"/>
    <w:rsid w:val="00667575"/>
    <w:rsid w:val="00667593"/>
    <w:rsid w:val="00670112"/>
    <w:rsid w:val="00670A51"/>
    <w:rsid w:val="006731DC"/>
    <w:rsid w:val="006755A9"/>
    <w:rsid w:val="006759BD"/>
    <w:rsid w:val="00680BCE"/>
    <w:rsid w:val="00680FE7"/>
    <w:rsid w:val="006817FC"/>
    <w:rsid w:val="00683D0F"/>
    <w:rsid w:val="00685383"/>
    <w:rsid w:val="0068539F"/>
    <w:rsid w:val="00685947"/>
    <w:rsid w:val="00685BD7"/>
    <w:rsid w:val="00685F85"/>
    <w:rsid w:val="006871EF"/>
    <w:rsid w:val="0069016D"/>
    <w:rsid w:val="00690862"/>
    <w:rsid w:val="00690BD4"/>
    <w:rsid w:val="00691506"/>
    <w:rsid w:val="006933B4"/>
    <w:rsid w:val="0069525B"/>
    <w:rsid w:val="00696843"/>
    <w:rsid w:val="00696E0F"/>
    <w:rsid w:val="00697C1D"/>
    <w:rsid w:val="006A11D8"/>
    <w:rsid w:val="006A682C"/>
    <w:rsid w:val="006A6C8E"/>
    <w:rsid w:val="006A7A3F"/>
    <w:rsid w:val="006A7CD3"/>
    <w:rsid w:val="006B121A"/>
    <w:rsid w:val="006B1B49"/>
    <w:rsid w:val="006B1EA0"/>
    <w:rsid w:val="006B4041"/>
    <w:rsid w:val="006B5731"/>
    <w:rsid w:val="006B5A1F"/>
    <w:rsid w:val="006B68B9"/>
    <w:rsid w:val="006B7B2A"/>
    <w:rsid w:val="006C0AC7"/>
    <w:rsid w:val="006C1220"/>
    <w:rsid w:val="006C172D"/>
    <w:rsid w:val="006C2214"/>
    <w:rsid w:val="006C56F8"/>
    <w:rsid w:val="006C6B67"/>
    <w:rsid w:val="006C70D5"/>
    <w:rsid w:val="006C746D"/>
    <w:rsid w:val="006C7C99"/>
    <w:rsid w:val="006D08A5"/>
    <w:rsid w:val="006D0D8B"/>
    <w:rsid w:val="006D140D"/>
    <w:rsid w:val="006D1C8F"/>
    <w:rsid w:val="006D25D1"/>
    <w:rsid w:val="006D378B"/>
    <w:rsid w:val="006D3EDA"/>
    <w:rsid w:val="006D4805"/>
    <w:rsid w:val="006D5266"/>
    <w:rsid w:val="006D784A"/>
    <w:rsid w:val="006D7B74"/>
    <w:rsid w:val="006E05AB"/>
    <w:rsid w:val="006E209F"/>
    <w:rsid w:val="006E2B74"/>
    <w:rsid w:val="006E2BE3"/>
    <w:rsid w:val="006E30E0"/>
    <w:rsid w:val="006E37C1"/>
    <w:rsid w:val="006E69CA"/>
    <w:rsid w:val="006E7DD5"/>
    <w:rsid w:val="006F0393"/>
    <w:rsid w:val="006F2EC9"/>
    <w:rsid w:val="006F4BC7"/>
    <w:rsid w:val="006F4D75"/>
    <w:rsid w:val="006F52EB"/>
    <w:rsid w:val="006F5446"/>
    <w:rsid w:val="006F5892"/>
    <w:rsid w:val="006F59DF"/>
    <w:rsid w:val="006F5C81"/>
    <w:rsid w:val="006F6AF0"/>
    <w:rsid w:val="006F6CDD"/>
    <w:rsid w:val="006F7440"/>
    <w:rsid w:val="00700F73"/>
    <w:rsid w:val="0070208E"/>
    <w:rsid w:val="007036E1"/>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1460"/>
    <w:rsid w:val="00723A33"/>
    <w:rsid w:val="00724348"/>
    <w:rsid w:val="00724FBA"/>
    <w:rsid w:val="007251B0"/>
    <w:rsid w:val="00725449"/>
    <w:rsid w:val="007265A7"/>
    <w:rsid w:val="00730554"/>
    <w:rsid w:val="00731180"/>
    <w:rsid w:val="007312F6"/>
    <w:rsid w:val="0073229A"/>
    <w:rsid w:val="00732FD7"/>
    <w:rsid w:val="007345D2"/>
    <w:rsid w:val="00735776"/>
    <w:rsid w:val="00736D9C"/>
    <w:rsid w:val="00737412"/>
    <w:rsid w:val="007374E9"/>
    <w:rsid w:val="00737959"/>
    <w:rsid w:val="00737C92"/>
    <w:rsid w:val="007400C7"/>
    <w:rsid w:val="0074058D"/>
    <w:rsid w:val="00741D12"/>
    <w:rsid w:val="00742487"/>
    <w:rsid w:val="0074297E"/>
    <w:rsid w:val="007444BD"/>
    <w:rsid w:val="00746270"/>
    <w:rsid w:val="00747509"/>
    <w:rsid w:val="00747E83"/>
    <w:rsid w:val="007505BF"/>
    <w:rsid w:val="00752396"/>
    <w:rsid w:val="00752B15"/>
    <w:rsid w:val="00752E44"/>
    <w:rsid w:val="00754E35"/>
    <w:rsid w:val="00756DA6"/>
    <w:rsid w:val="0075705D"/>
    <w:rsid w:val="00761B13"/>
    <w:rsid w:val="00762E03"/>
    <w:rsid w:val="00764174"/>
    <w:rsid w:val="00764349"/>
    <w:rsid w:val="007649A8"/>
    <w:rsid w:val="007649E6"/>
    <w:rsid w:val="007663A1"/>
    <w:rsid w:val="00767133"/>
    <w:rsid w:val="007700A7"/>
    <w:rsid w:val="00772F09"/>
    <w:rsid w:val="00775166"/>
    <w:rsid w:val="00776458"/>
    <w:rsid w:val="007778A7"/>
    <w:rsid w:val="007817E8"/>
    <w:rsid w:val="00782164"/>
    <w:rsid w:val="00784F12"/>
    <w:rsid w:val="007852EC"/>
    <w:rsid w:val="00790A49"/>
    <w:rsid w:val="00791C36"/>
    <w:rsid w:val="00792F73"/>
    <w:rsid w:val="00793900"/>
    <w:rsid w:val="0079421E"/>
    <w:rsid w:val="00796C18"/>
    <w:rsid w:val="00796FB5"/>
    <w:rsid w:val="00797285"/>
    <w:rsid w:val="007A50A8"/>
    <w:rsid w:val="007A5165"/>
    <w:rsid w:val="007A6C9A"/>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A92"/>
    <w:rsid w:val="007C4BFD"/>
    <w:rsid w:val="007C6B41"/>
    <w:rsid w:val="007C75CE"/>
    <w:rsid w:val="007D128F"/>
    <w:rsid w:val="007D2B99"/>
    <w:rsid w:val="007D3479"/>
    <w:rsid w:val="007D390B"/>
    <w:rsid w:val="007D48D1"/>
    <w:rsid w:val="007D6126"/>
    <w:rsid w:val="007E0155"/>
    <w:rsid w:val="007E15DB"/>
    <w:rsid w:val="007E1B16"/>
    <w:rsid w:val="007E310D"/>
    <w:rsid w:val="007E4628"/>
    <w:rsid w:val="007E5070"/>
    <w:rsid w:val="007E5685"/>
    <w:rsid w:val="007E660D"/>
    <w:rsid w:val="007F2580"/>
    <w:rsid w:val="007F3082"/>
    <w:rsid w:val="007F3FDE"/>
    <w:rsid w:val="007F4EB1"/>
    <w:rsid w:val="007F6FD1"/>
    <w:rsid w:val="007F7367"/>
    <w:rsid w:val="007F73BE"/>
    <w:rsid w:val="00801ADF"/>
    <w:rsid w:val="00801C1B"/>
    <w:rsid w:val="00804BF9"/>
    <w:rsid w:val="008059B7"/>
    <w:rsid w:val="00805D56"/>
    <w:rsid w:val="0080766F"/>
    <w:rsid w:val="00811499"/>
    <w:rsid w:val="008115D2"/>
    <w:rsid w:val="008128A5"/>
    <w:rsid w:val="00813BB8"/>
    <w:rsid w:val="00813DCE"/>
    <w:rsid w:val="008147AE"/>
    <w:rsid w:val="00814CDB"/>
    <w:rsid w:val="0081543C"/>
    <w:rsid w:val="00815E73"/>
    <w:rsid w:val="00816259"/>
    <w:rsid w:val="00816F71"/>
    <w:rsid w:val="008218F6"/>
    <w:rsid w:val="00821913"/>
    <w:rsid w:val="0082330E"/>
    <w:rsid w:val="00826B5F"/>
    <w:rsid w:val="00827D3E"/>
    <w:rsid w:val="00827D86"/>
    <w:rsid w:val="00827FB6"/>
    <w:rsid w:val="00830C34"/>
    <w:rsid w:val="00831669"/>
    <w:rsid w:val="00832FC5"/>
    <w:rsid w:val="0083301D"/>
    <w:rsid w:val="00833803"/>
    <w:rsid w:val="00833E19"/>
    <w:rsid w:val="00833EA3"/>
    <w:rsid w:val="00833EB7"/>
    <w:rsid w:val="00834588"/>
    <w:rsid w:val="0083484D"/>
    <w:rsid w:val="008352F8"/>
    <w:rsid w:val="00837090"/>
    <w:rsid w:val="008404D1"/>
    <w:rsid w:val="008444CD"/>
    <w:rsid w:val="00844811"/>
    <w:rsid w:val="00846482"/>
    <w:rsid w:val="0084657E"/>
    <w:rsid w:val="00847071"/>
    <w:rsid w:val="00850400"/>
    <w:rsid w:val="00851B83"/>
    <w:rsid w:val="0085232E"/>
    <w:rsid w:val="00852535"/>
    <w:rsid w:val="00852EFB"/>
    <w:rsid w:val="00853AB1"/>
    <w:rsid w:val="00855CFF"/>
    <w:rsid w:val="00862090"/>
    <w:rsid w:val="00863346"/>
    <w:rsid w:val="008646C0"/>
    <w:rsid w:val="00864F02"/>
    <w:rsid w:val="0086596B"/>
    <w:rsid w:val="00866506"/>
    <w:rsid w:val="00867AB6"/>
    <w:rsid w:val="008702D7"/>
    <w:rsid w:val="0087285F"/>
    <w:rsid w:val="00873456"/>
    <w:rsid w:val="00876365"/>
    <w:rsid w:val="00880030"/>
    <w:rsid w:val="0088033E"/>
    <w:rsid w:val="00880AF4"/>
    <w:rsid w:val="00881959"/>
    <w:rsid w:val="00882165"/>
    <w:rsid w:val="008825CA"/>
    <w:rsid w:val="00882701"/>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3EE6"/>
    <w:rsid w:val="008A5CBB"/>
    <w:rsid w:val="008B0527"/>
    <w:rsid w:val="008B2574"/>
    <w:rsid w:val="008B3C0A"/>
    <w:rsid w:val="008B5FAF"/>
    <w:rsid w:val="008B60C1"/>
    <w:rsid w:val="008B61C1"/>
    <w:rsid w:val="008B6450"/>
    <w:rsid w:val="008B7C82"/>
    <w:rsid w:val="008C0A6D"/>
    <w:rsid w:val="008C1B18"/>
    <w:rsid w:val="008C259C"/>
    <w:rsid w:val="008C6A2F"/>
    <w:rsid w:val="008C73CC"/>
    <w:rsid w:val="008C7470"/>
    <w:rsid w:val="008C7991"/>
    <w:rsid w:val="008D052B"/>
    <w:rsid w:val="008D14FF"/>
    <w:rsid w:val="008D1E53"/>
    <w:rsid w:val="008D3041"/>
    <w:rsid w:val="008D620A"/>
    <w:rsid w:val="008D6A1B"/>
    <w:rsid w:val="008D7602"/>
    <w:rsid w:val="008E032C"/>
    <w:rsid w:val="008E19F4"/>
    <w:rsid w:val="008E1BA5"/>
    <w:rsid w:val="008E3F89"/>
    <w:rsid w:val="008E59F2"/>
    <w:rsid w:val="008E5CCF"/>
    <w:rsid w:val="008F0D90"/>
    <w:rsid w:val="008F182E"/>
    <w:rsid w:val="008F392E"/>
    <w:rsid w:val="008F3C85"/>
    <w:rsid w:val="008F4237"/>
    <w:rsid w:val="008F5124"/>
    <w:rsid w:val="008F5CD5"/>
    <w:rsid w:val="008F6D38"/>
    <w:rsid w:val="009008D8"/>
    <w:rsid w:val="009009EB"/>
    <w:rsid w:val="009028CD"/>
    <w:rsid w:val="009038F1"/>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4C87"/>
    <w:rsid w:val="00925ADB"/>
    <w:rsid w:val="00925D09"/>
    <w:rsid w:val="00926663"/>
    <w:rsid w:val="00927463"/>
    <w:rsid w:val="00927F31"/>
    <w:rsid w:val="009308BF"/>
    <w:rsid w:val="009314C3"/>
    <w:rsid w:val="0093156F"/>
    <w:rsid w:val="00931A98"/>
    <w:rsid w:val="00931EDC"/>
    <w:rsid w:val="009328E6"/>
    <w:rsid w:val="0093379D"/>
    <w:rsid w:val="009344ED"/>
    <w:rsid w:val="00935E67"/>
    <w:rsid w:val="009365B2"/>
    <w:rsid w:val="00937770"/>
    <w:rsid w:val="00940C09"/>
    <w:rsid w:val="00941F99"/>
    <w:rsid w:val="00943908"/>
    <w:rsid w:val="0095021E"/>
    <w:rsid w:val="00951362"/>
    <w:rsid w:val="00951880"/>
    <w:rsid w:val="00952316"/>
    <w:rsid w:val="00953EFB"/>
    <w:rsid w:val="009546E9"/>
    <w:rsid w:val="00955076"/>
    <w:rsid w:val="0095713D"/>
    <w:rsid w:val="00960126"/>
    <w:rsid w:val="00960A89"/>
    <w:rsid w:val="00962257"/>
    <w:rsid w:val="009622BD"/>
    <w:rsid w:val="00963C04"/>
    <w:rsid w:val="009653E4"/>
    <w:rsid w:val="0096573D"/>
    <w:rsid w:val="00966D02"/>
    <w:rsid w:val="009672AB"/>
    <w:rsid w:val="00967F7A"/>
    <w:rsid w:val="00970DED"/>
    <w:rsid w:val="00971A70"/>
    <w:rsid w:val="00972600"/>
    <w:rsid w:val="009728B3"/>
    <w:rsid w:val="009745C8"/>
    <w:rsid w:val="00974A83"/>
    <w:rsid w:val="00974AAC"/>
    <w:rsid w:val="009762B8"/>
    <w:rsid w:val="00976A14"/>
    <w:rsid w:val="00976BB2"/>
    <w:rsid w:val="0097776F"/>
    <w:rsid w:val="009777AE"/>
    <w:rsid w:val="0097797A"/>
    <w:rsid w:val="009812A6"/>
    <w:rsid w:val="00982A85"/>
    <w:rsid w:val="00982BC2"/>
    <w:rsid w:val="00983584"/>
    <w:rsid w:val="00983B66"/>
    <w:rsid w:val="0098492F"/>
    <w:rsid w:val="0098500E"/>
    <w:rsid w:val="00985FC5"/>
    <w:rsid w:val="00986D2C"/>
    <w:rsid w:val="00987A90"/>
    <w:rsid w:val="009916B7"/>
    <w:rsid w:val="009927C8"/>
    <w:rsid w:val="009929F6"/>
    <w:rsid w:val="00992B23"/>
    <w:rsid w:val="00992F66"/>
    <w:rsid w:val="009932AC"/>
    <w:rsid w:val="00994D67"/>
    <w:rsid w:val="0099590F"/>
    <w:rsid w:val="00996DA6"/>
    <w:rsid w:val="009A0C36"/>
    <w:rsid w:val="009A0F60"/>
    <w:rsid w:val="009A184E"/>
    <w:rsid w:val="009A39EF"/>
    <w:rsid w:val="009A4132"/>
    <w:rsid w:val="009B146C"/>
    <w:rsid w:val="009B298A"/>
    <w:rsid w:val="009C0071"/>
    <w:rsid w:val="009C01DB"/>
    <w:rsid w:val="009C0C57"/>
    <w:rsid w:val="009C145D"/>
    <w:rsid w:val="009C2A16"/>
    <w:rsid w:val="009C33E0"/>
    <w:rsid w:val="009C589D"/>
    <w:rsid w:val="009C58D3"/>
    <w:rsid w:val="009C5E3B"/>
    <w:rsid w:val="009D0508"/>
    <w:rsid w:val="009D09EE"/>
    <w:rsid w:val="009D1904"/>
    <w:rsid w:val="009D20F7"/>
    <w:rsid w:val="009D34D5"/>
    <w:rsid w:val="009D45CF"/>
    <w:rsid w:val="009D4720"/>
    <w:rsid w:val="009D4FF5"/>
    <w:rsid w:val="009D67B6"/>
    <w:rsid w:val="009E01EB"/>
    <w:rsid w:val="009E02DF"/>
    <w:rsid w:val="009E1D05"/>
    <w:rsid w:val="009E2BFE"/>
    <w:rsid w:val="009E2C79"/>
    <w:rsid w:val="009E38A7"/>
    <w:rsid w:val="009E4459"/>
    <w:rsid w:val="009E50BF"/>
    <w:rsid w:val="009E5BE5"/>
    <w:rsid w:val="009E64D3"/>
    <w:rsid w:val="009E78CD"/>
    <w:rsid w:val="009F19FC"/>
    <w:rsid w:val="009F1EF9"/>
    <w:rsid w:val="009F3C14"/>
    <w:rsid w:val="009F54B1"/>
    <w:rsid w:val="009F56E8"/>
    <w:rsid w:val="009F5D49"/>
    <w:rsid w:val="009F6C06"/>
    <w:rsid w:val="009F6DF8"/>
    <w:rsid w:val="009F768A"/>
    <w:rsid w:val="009F7DA8"/>
    <w:rsid w:val="00A00445"/>
    <w:rsid w:val="00A01BB5"/>
    <w:rsid w:val="00A02F29"/>
    <w:rsid w:val="00A03765"/>
    <w:rsid w:val="00A038CA"/>
    <w:rsid w:val="00A039DD"/>
    <w:rsid w:val="00A0555F"/>
    <w:rsid w:val="00A10EAD"/>
    <w:rsid w:val="00A13801"/>
    <w:rsid w:val="00A1410E"/>
    <w:rsid w:val="00A157E8"/>
    <w:rsid w:val="00A22D8B"/>
    <w:rsid w:val="00A23E67"/>
    <w:rsid w:val="00A2445F"/>
    <w:rsid w:val="00A25277"/>
    <w:rsid w:val="00A26585"/>
    <w:rsid w:val="00A30DA2"/>
    <w:rsid w:val="00A31978"/>
    <w:rsid w:val="00A31F67"/>
    <w:rsid w:val="00A341A1"/>
    <w:rsid w:val="00A35E38"/>
    <w:rsid w:val="00A363EB"/>
    <w:rsid w:val="00A41E03"/>
    <w:rsid w:val="00A44524"/>
    <w:rsid w:val="00A44919"/>
    <w:rsid w:val="00A51818"/>
    <w:rsid w:val="00A51D0D"/>
    <w:rsid w:val="00A51FE1"/>
    <w:rsid w:val="00A52474"/>
    <w:rsid w:val="00A52762"/>
    <w:rsid w:val="00A529FE"/>
    <w:rsid w:val="00A5365A"/>
    <w:rsid w:val="00A53B74"/>
    <w:rsid w:val="00A53F1C"/>
    <w:rsid w:val="00A56A19"/>
    <w:rsid w:val="00A57994"/>
    <w:rsid w:val="00A605B8"/>
    <w:rsid w:val="00A62A43"/>
    <w:rsid w:val="00A66E63"/>
    <w:rsid w:val="00A66FD0"/>
    <w:rsid w:val="00A7000B"/>
    <w:rsid w:val="00A73730"/>
    <w:rsid w:val="00A75130"/>
    <w:rsid w:val="00A75B61"/>
    <w:rsid w:val="00A76359"/>
    <w:rsid w:val="00A800A5"/>
    <w:rsid w:val="00A803B7"/>
    <w:rsid w:val="00A80A61"/>
    <w:rsid w:val="00A80B01"/>
    <w:rsid w:val="00A81014"/>
    <w:rsid w:val="00A8103B"/>
    <w:rsid w:val="00A84E12"/>
    <w:rsid w:val="00A84EF0"/>
    <w:rsid w:val="00A85872"/>
    <w:rsid w:val="00A9285F"/>
    <w:rsid w:val="00A95225"/>
    <w:rsid w:val="00A97CE8"/>
    <w:rsid w:val="00AA0464"/>
    <w:rsid w:val="00AA08FB"/>
    <w:rsid w:val="00AA0AFE"/>
    <w:rsid w:val="00AA26B7"/>
    <w:rsid w:val="00AA327F"/>
    <w:rsid w:val="00AA4597"/>
    <w:rsid w:val="00AB0443"/>
    <w:rsid w:val="00AB127E"/>
    <w:rsid w:val="00AB2F38"/>
    <w:rsid w:val="00AB371D"/>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35B4"/>
    <w:rsid w:val="00AD4DA0"/>
    <w:rsid w:val="00AD53E5"/>
    <w:rsid w:val="00AD5CBC"/>
    <w:rsid w:val="00AD6A9E"/>
    <w:rsid w:val="00AE0C44"/>
    <w:rsid w:val="00AE1D5A"/>
    <w:rsid w:val="00AE2B00"/>
    <w:rsid w:val="00AE4B30"/>
    <w:rsid w:val="00AE4F0E"/>
    <w:rsid w:val="00AE5135"/>
    <w:rsid w:val="00AE6B34"/>
    <w:rsid w:val="00AE6BA0"/>
    <w:rsid w:val="00AF03EA"/>
    <w:rsid w:val="00AF1876"/>
    <w:rsid w:val="00AF6B84"/>
    <w:rsid w:val="00AF79F8"/>
    <w:rsid w:val="00B02E0B"/>
    <w:rsid w:val="00B045B0"/>
    <w:rsid w:val="00B064BB"/>
    <w:rsid w:val="00B06C11"/>
    <w:rsid w:val="00B074F9"/>
    <w:rsid w:val="00B07C40"/>
    <w:rsid w:val="00B11587"/>
    <w:rsid w:val="00B1304C"/>
    <w:rsid w:val="00B133D1"/>
    <w:rsid w:val="00B159B0"/>
    <w:rsid w:val="00B15D00"/>
    <w:rsid w:val="00B16688"/>
    <w:rsid w:val="00B177FC"/>
    <w:rsid w:val="00B20466"/>
    <w:rsid w:val="00B20A02"/>
    <w:rsid w:val="00B24633"/>
    <w:rsid w:val="00B25BFA"/>
    <w:rsid w:val="00B2666F"/>
    <w:rsid w:val="00B27874"/>
    <w:rsid w:val="00B27FC1"/>
    <w:rsid w:val="00B307E4"/>
    <w:rsid w:val="00B31212"/>
    <w:rsid w:val="00B32BB6"/>
    <w:rsid w:val="00B33122"/>
    <w:rsid w:val="00B33C5A"/>
    <w:rsid w:val="00B3633A"/>
    <w:rsid w:val="00B404F7"/>
    <w:rsid w:val="00B41860"/>
    <w:rsid w:val="00B4235C"/>
    <w:rsid w:val="00B43844"/>
    <w:rsid w:val="00B523FB"/>
    <w:rsid w:val="00B55D52"/>
    <w:rsid w:val="00B56BEF"/>
    <w:rsid w:val="00B600F9"/>
    <w:rsid w:val="00B60E77"/>
    <w:rsid w:val="00B60EEF"/>
    <w:rsid w:val="00B62AC9"/>
    <w:rsid w:val="00B63764"/>
    <w:rsid w:val="00B64A97"/>
    <w:rsid w:val="00B65C12"/>
    <w:rsid w:val="00B67F2B"/>
    <w:rsid w:val="00B70C83"/>
    <w:rsid w:val="00B717FC"/>
    <w:rsid w:val="00B71A82"/>
    <w:rsid w:val="00B72A7C"/>
    <w:rsid w:val="00B73EFA"/>
    <w:rsid w:val="00B74AD1"/>
    <w:rsid w:val="00B75338"/>
    <w:rsid w:val="00B75E9D"/>
    <w:rsid w:val="00B834D3"/>
    <w:rsid w:val="00B83773"/>
    <w:rsid w:val="00B83A91"/>
    <w:rsid w:val="00B84EAE"/>
    <w:rsid w:val="00B85E2B"/>
    <w:rsid w:val="00B85F1E"/>
    <w:rsid w:val="00B86E6F"/>
    <w:rsid w:val="00B901AA"/>
    <w:rsid w:val="00B90A6E"/>
    <w:rsid w:val="00B90DA6"/>
    <w:rsid w:val="00B93F3C"/>
    <w:rsid w:val="00B94A45"/>
    <w:rsid w:val="00B94EDA"/>
    <w:rsid w:val="00B9716C"/>
    <w:rsid w:val="00BA0A61"/>
    <w:rsid w:val="00BA0D58"/>
    <w:rsid w:val="00BA180E"/>
    <w:rsid w:val="00BA188A"/>
    <w:rsid w:val="00BA2753"/>
    <w:rsid w:val="00BA4912"/>
    <w:rsid w:val="00BA53D8"/>
    <w:rsid w:val="00BA56BC"/>
    <w:rsid w:val="00BA59CB"/>
    <w:rsid w:val="00BA69C1"/>
    <w:rsid w:val="00BA6A96"/>
    <w:rsid w:val="00BB30CC"/>
    <w:rsid w:val="00BB395B"/>
    <w:rsid w:val="00BB3DE8"/>
    <w:rsid w:val="00BB4025"/>
    <w:rsid w:val="00BB606D"/>
    <w:rsid w:val="00BB72BA"/>
    <w:rsid w:val="00BB79B0"/>
    <w:rsid w:val="00BB7BF9"/>
    <w:rsid w:val="00BC056D"/>
    <w:rsid w:val="00BC0DC9"/>
    <w:rsid w:val="00BC2BF1"/>
    <w:rsid w:val="00BC3EC1"/>
    <w:rsid w:val="00BC50D2"/>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F02"/>
    <w:rsid w:val="00BF1FD8"/>
    <w:rsid w:val="00BF3349"/>
    <w:rsid w:val="00BF36E7"/>
    <w:rsid w:val="00BF3AE8"/>
    <w:rsid w:val="00BF3F79"/>
    <w:rsid w:val="00BF501B"/>
    <w:rsid w:val="00BF5C90"/>
    <w:rsid w:val="00BF7090"/>
    <w:rsid w:val="00BF74B0"/>
    <w:rsid w:val="00BF7D96"/>
    <w:rsid w:val="00C02361"/>
    <w:rsid w:val="00C03ACC"/>
    <w:rsid w:val="00C05BBD"/>
    <w:rsid w:val="00C104AE"/>
    <w:rsid w:val="00C10DAA"/>
    <w:rsid w:val="00C12BF0"/>
    <w:rsid w:val="00C13214"/>
    <w:rsid w:val="00C144CB"/>
    <w:rsid w:val="00C219F8"/>
    <w:rsid w:val="00C21EA4"/>
    <w:rsid w:val="00C22662"/>
    <w:rsid w:val="00C26898"/>
    <w:rsid w:val="00C26DE6"/>
    <w:rsid w:val="00C2705A"/>
    <w:rsid w:val="00C27BA8"/>
    <w:rsid w:val="00C30B9C"/>
    <w:rsid w:val="00C31A81"/>
    <w:rsid w:val="00C31BCD"/>
    <w:rsid w:val="00C32165"/>
    <w:rsid w:val="00C3273D"/>
    <w:rsid w:val="00C328E3"/>
    <w:rsid w:val="00C32CDD"/>
    <w:rsid w:val="00C34846"/>
    <w:rsid w:val="00C34973"/>
    <w:rsid w:val="00C34DEC"/>
    <w:rsid w:val="00C35004"/>
    <w:rsid w:val="00C37D12"/>
    <w:rsid w:val="00C37D56"/>
    <w:rsid w:val="00C37EF5"/>
    <w:rsid w:val="00C410A8"/>
    <w:rsid w:val="00C4158F"/>
    <w:rsid w:val="00C425DC"/>
    <w:rsid w:val="00C444C2"/>
    <w:rsid w:val="00C44CC4"/>
    <w:rsid w:val="00C4551C"/>
    <w:rsid w:val="00C45AC6"/>
    <w:rsid w:val="00C475DA"/>
    <w:rsid w:val="00C47D85"/>
    <w:rsid w:val="00C52A27"/>
    <w:rsid w:val="00C53C26"/>
    <w:rsid w:val="00C55B2B"/>
    <w:rsid w:val="00C56112"/>
    <w:rsid w:val="00C56D44"/>
    <w:rsid w:val="00C5796F"/>
    <w:rsid w:val="00C57AA9"/>
    <w:rsid w:val="00C610BF"/>
    <w:rsid w:val="00C62370"/>
    <w:rsid w:val="00C653FB"/>
    <w:rsid w:val="00C6581F"/>
    <w:rsid w:val="00C6787E"/>
    <w:rsid w:val="00C67A1C"/>
    <w:rsid w:val="00C7039F"/>
    <w:rsid w:val="00C709D6"/>
    <w:rsid w:val="00C70C2C"/>
    <w:rsid w:val="00C7148E"/>
    <w:rsid w:val="00C720B8"/>
    <w:rsid w:val="00C7258C"/>
    <w:rsid w:val="00C7696A"/>
    <w:rsid w:val="00C76AE7"/>
    <w:rsid w:val="00C771E2"/>
    <w:rsid w:val="00C77568"/>
    <w:rsid w:val="00C81181"/>
    <w:rsid w:val="00C8137B"/>
    <w:rsid w:val="00C81B4B"/>
    <w:rsid w:val="00C81F8E"/>
    <w:rsid w:val="00C82CBF"/>
    <w:rsid w:val="00C8511E"/>
    <w:rsid w:val="00C860A1"/>
    <w:rsid w:val="00C86A4E"/>
    <w:rsid w:val="00C86E7A"/>
    <w:rsid w:val="00C87EB5"/>
    <w:rsid w:val="00C9041C"/>
    <w:rsid w:val="00C91F84"/>
    <w:rsid w:val="00C925C1"/>
    <w:rsid w:val="00C92605"/>
    <w:rsid w:val="00C93822"/>
    <w:rsid w:val="00C93984"/>
    <w:rsid w:val="00C9483A"/>
    <w:rsid w:val="00C95419"/>
    <w:rsid w:val="00C95F56"/>
    <w:rsid w:val="00C976EC"/>
    <w:rsid w:val="00C97C87"/>
    <w:rsid w:val="00C97D5B"/>
    <w:rsid w:val="00CA0522"/>
    <w:rsid w:val="00CA2550"/>
    <w:rsid w:val="00CA4151"/>
    <w:rsid w:val="00CA44AE"/>
    <w:rsid w:val="00CA45A1"/>
    <w:rsid w:val="00CA5D72"/>
    <w:rsid w:val="00CA6E90"/>
    <w:rsid w:val="00CB1F1B"/>
    <w:rsid w:val="00CB3674"/>
    <w:rsid w:val="00CB4DA2"/>
    <w:rsid w:val="00CB6A88"/>
    <w:rsid w:val="00CB6BCD"/>
    <w:rsid w:val="00CC0843"/>
    <w:rsid w:val="00CC3104"/>
    <w:rsid w:val="00CC35F8"/>
    <w:rsid w:val="00CC412D"/>
    <w:rsid w:val="00CC4D1B"/>
    <w:rsid w:val="00CD4D63"/>
    <w:rsid w:val="00CD52CD"/>
    <w:rsid w:val="00CD5D0B"/>
    <w:rsid w:val="00CD6523"/>
    <w:rsid w:val="00CD6C37"/>
    <w:rsid w:val="00CD7266"/>
    <w:rsid w:val="00CE26EE"/>
    <w:rsid w:val="00CE3BE1"/>
    <w:rsid w:val="00CE45C3"/>
    <w:rsid w:val="00CE50BC"/>
    <w:rsid w:val="00CE650E"/>
    <w:rsid w:val="00CE70DC"/>
    <w:rsid w:val="00CF15C2"/>
    <w:rsid w:val="00CF2642"/>
    <w:rsid w:val="00CF3248"/>
    <w:rsid w:val="00CF46A7"/>
    <w:rsid w:val="00CF4746"/>
    <w:rsid w:val="00CF54FB"/>
    <w:rsid w:val="00CF68A4"/>
    <w:rsid w:val="00D0053C"/>
    <w:rsid w:val="00D015D5"/>
    <w:rsid w:val="00D021DF"/>
    <w:rsid w:val="00D03639"/>
    <w:rsid w:val="00D047E0"/>
    <w:rsid w:val="00D07714"/>
    <w:rsid w:val="00D12626"/>
    <w:rsid w:val="00D12629"/>
    <w:rsid w:val="00D148DD"/>
    <w:rsid w:val="00D16706"/>
    <w:rsid w:val="00D17164"/>
    <w:rsid w:val="00D20BEC"/>
    <w:rsid w:val="00D215F4"/>
    <w:rsid w:val="00D23FA7"/>
    <w:rsid w:val="00D259AA"/>
    <w:rsid w:val="00D27B98"/>
    <w:rsid w:val="00D30849"/>
    <w:rsid w:val="00D31633"/>
    <w:rsid w:val="00D33868"/>
    <w:rsid w:val="00D343CA"/>
    <w:rsid w:val="00D34E5D"/>
    <w:rsid w:val="00D371DE"/>
    <w:rsid w:val="00D40BC9"/>
    <w:rsid w:val="00D4372D"/>
    <w:rsid w:val="00D4409C"/>
    <w:rsid w:val="00D4423C"/>
    <w:rsid w:val="00D47376"/>
    <w:rsid w:val="00D50ACD"/>
    <w:rsid w:val="00D518FA"/>
    <w:rsid w:val="00D51C5E"/>
    <w:rsid w:val="00D52236"/>
    <w:rsid w:val="00D52BC7"/>
    <w:rsid w:val="00D52F30"/>
    <w:rsid w:val="00D53337"/>
    <w:rsid w:val="00D55504"/>
    <w:rsid w:val="00D56A2E"/>
    <w:rsid w:val="00D574A2"/>
    <w:rsid w:val="00D617D5"/>
    <w:rsid w:val="00D61A80"/>
    <w:rsid w:val="00D61D57"/>
    <w:rsid w:val="00D62C74"/>
    <w:rsid w:val="00D63DB7"/>
    <w:rsid w:val="00D655C6"/>
    <w:rsid w:val="00D72BE1"/>
    <w:rsid w:val="00D763E1"/>
    <w:rsid w:val="00D76671"/>
    <w:rsid w:val="00D771E9"/>
    <w:rsid w:val="00D80829"/>
    <w:rsid w:val="00D81551"/>
    <w:rsid w:val="00D8156D"/>
    <w:rsid w:val="00D81F33"/>
    <w:rsid w:val="00D82072"/>
    <w:rsid w:val="00D82450"/>
    <w:rsid w:val="00D825E3"/>
    <w:rsid w:val="00D83688"/>
    <w:rsid w:val="00D91265"/>
    <w:rsid w:val="00D924AB"/>
    <w:rsid w:val="00D92751"/>
    <w:rsid w:val="00D92EFD"/>
    <w:rsid w:val="00D94804"/>
    <w:rsid w:val="00D94D8F"/>
    <w:rsid w:val="00D95293"/>
    <w:rsid w:val="00D95E77"/>
    <w:rsid w:val="00D96103"/>
    <w:rsid w:val="00D967EA"/>
    <w:rsid w:val="00DA11E0"/>
    <w:rsid w:val="00DA1328"/>
    <w:rsid w:val="00DA155B"/>
    <w:rsid w:val="00DA2A89"/>
    <w:rsid w:val="00DB094A"/>
    <w:rsid w:val="00DB162E"/>
    <w:rsid w:val="00DB1F65"/>
    <w:rsid w:val="00DB3445"/>
    <w:rsid w:val="00DB4587"/>
    <w:rsid w:val="00DB4889"/>
    <w:rsid w:val="00DB4BAE"/>
    <w:rsid w:val="00DB53F3"/>
    <w:rsid w:val="00DB65B9"/>
    <w:rsid w:val="00DB662E"/>
    <w:rsid w:val="00DB69A6"/>
    <w:rsid w:val="00DB72EC"/>
    <w:rsid w:val="00DB7C91"/>
    <w:rsid w:val="00DB7FF8"/>
    <w:rsid w:val="00DC0734"/>
    <w:rsid w:val="00DC08B1"/>
    <w:rsid w:val="00DC09EF"/>
    <w:rsid w:val="00DC5D60"/>
    <w:rsid w:val="00DC7236"/>
    <w:rsid w:val="00DD05E9"/>
    <w:rsid w:val="00DD0D9E"/>
    <w:rsid w:val="00DD0E1D"/>
    <w:rsid w:val="00DD1906"/>
    <w:rsid w:val="00DD2134"/>
    <w:rsid w:val="00DD2F96"/>
    <w:rsid w:val="00DD3BE8"/>
    <w:rsid w:val="00DD4058"/>
    <w:rsid w:val="00DD45C9"/>
    <w:rsid w:val="00DD62FB"/>
    <w:rsid w:val="00DD6E24"/>
    <w:rsid w:val="00DE0089"/>
    <w:rsid w:val="00DE0266"/>
    <w:rsid w:val="00DE230B"/>
    <w:rsid w:val="00DE3F89"/>
    <w:rsid w:val="00DE4166"/>
    <w:rsid w:val="00DE4168"/>
    <w:rsid w:val="00DE42BB"/>
    <w:rsid w:val="00DE4315"/>
    <w:rsid w:val="00DE4A4E"/>
    <w:rsid w:val="00DE5003"/>
    <w:rsid w:val="00DE67F5"/>
    <w:rsid w:val="00DE6A16"/>
    <w:rsid w:val="00DE76DB"/>
    <w:rsid w:val="00DF11B3"/>
    <w:rsid w:val="00DF16B0"/>
    <w:rsid w:val="00DF2830"/>
    <w:rsid w:val="00DF4315"/>
    <w:rsid w:val="00DF466F"/>
    <w:rsid w:val="00DF481F"/>
    <w:rsid w:val="00DF6488"/>
    <w:rsid w:val="00DF7595"/>
    <w:rsid w:val="00E00E04"/>
    <w:rsid w:val="00E028C1"/>
    <w:rsid w:val="00E02D0A"/>
    <w:rsid w:val="00E02ED5"/>
    <w:rsid w:val="00E03944"/>
    <w:rsid w:val="00E13B44"/>
    <w:rsid w:val="00E140B7"/>
    <w:rsid w:val="00E143A9"/>
    <w:rsid w:val="00E14976"/>
    <w:rsid w:val="00E16C3E"/>
    <w:rsid w:val="00E202D8"/>
    <w:rsid w:val="00E22215"/>
    <w:rsid w:val="00E224D7"/>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083"/>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39A5"/>
    <w:rsid w:val="00E75044"/>
    <w:rsid w:val="00E7667C"/>
    <w:rsid w:val="00E768C8"/>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6111"/>
    <w:rsid w:val="00EA11C1"/>
    <w:rsid w:val="00EA170D"/>
    <w:rsid w:val="00EA1D3C"/>
    <w:rsid w:val="00EA6340"/>
    <w:rsid w:val="00EB0B36"/>
    <w:rsid w:val="00EB103B"/>
    <w:rsid w:val="00EB20AD"/>
    <w:rsid w:val="00EB255F"/>
    <w:rsid w:val="00EB2D53"/>
    <w:rsid w:val="00EB3438"/>
    <w:rsid w:val="00EB4267"/>
    <w:rsid w:val="00EB48F9"/>
    <w:rsid w:val="00EB4DD9"/>
    <w:rsid w:val="00EC059C"/>
    <w:rsid w:val="00EC0655"/>
    <w:rsid w:val="00EC0A70"/>
    <w:rsid w:val="00EC3284"/>
    <w:rsid w:val="00EC5BA6"/>
    <w:rsid w:val="00EC78A3"/>
    <w:rsid w:val="00ED5477"/>
    <w:rsid w:val="00ED6074"/>
    <w:rsid w:val="00ED6200"/>
    <w:rsid w:val="00ED798A"/>
    <w:rsid w:val="00EE016F"/>
    <w:rsid w:val="00EE0251"/>
    <w:rsid w:val="00EE096B"/>
    <w:rsid w:val="00EE2A58"/>
    <w:rsid w:val="00EE35A5"/>
    <w:rsid w:val="00EE7F76"/>
    <w:rsid w:val="00EF01CA"/>
    <w:rsid w:val="00EF1102"/>
    <w:rsid w:val="00EF1378"/>
    <w:rsid w:val="00EF2AD8"/>
    <w:rsid w:val="00EF3291"/>
    <w:rsid w:val="00EF68BF"/>
    <w:rsid w:val="00EF7B15"/>
    <w:rsid w:val="00F01E13"/>
    <w:rsid w:val="00F0376B"/>
    <w:rsid w:val="00F04394"/>
    <w:rsid w:val="00F05559"/>
    <w:rsid w:val="00F0596C"/>
    <w:rsid w:val="00F06091"/>
    <w:rsid w:val="00F0697E"/>
    <w:rsid w:val="00F07867"/>
    <w:rsid w:val="00F07F8B"/>
    <w:rsid w:val="00F1011F"/>
    <w:rsid w:val="00F11DE9"/>
    <w:rsid w:val="00F143AE"/>
    <w:rsid w:val="00F152DF"/>
    <w:rsid w:val="00F175EE"/>
    <w:rsid w:val="00F17EF1"/>
    <w:rsid w:val="00F223FA"/>
    <w:rsid w:val="00F23B36"/>
    <w:rsid w:val="00F2437D"/>
    <w:rsid w:val="00F256A9"/>
    <w:rsid w:val="00F26C42"/>
    <w:rsid w:val="00F30A8B"/>
    <w:rsid w:val="00F310E1"/>
    <w:rsid w:val="00F31CEE"/>
    <w:rsid w:val="00F32D3C"/>
    <w:rsid w:val="00F3493F"/>
    <w:rsid w:val="00F34E5E"/>
    <w:rsid w:val="00F351DF"/>
    <w:rsid w:val="00F3526D"/>
    <w:rsid w:val="00F35F8D"/>
    <w:rsid w:val="00F378A0"/>
    <w:rsid w:val="00F40853"/>
    <w:rsid w:val="00F448A8"/>
    <w:rsid w:val="00F45D54"/>
    <w:rsid w:val="00F46B1D"/>
    <w:rsid w:val="00F47B80"/>
    <w:rsid w:val="00F52239"/>
    <w:rsid w:val="00F52876"/>
    <w:rsid w:val="00F530AE"/>
    <w:rsid w:val="00F53270"/>
    <w:rsid w:val="00F559C3"/>
    <w:rsid w:val="00F5615B"/>
    <w:rsid w:val="00F57722"/>
    <w:rsid w:val="00F619A4"/>
    <w:rsid w:val="00F63458"/>
    <w:rsid w:val="00F6396B"/>
    <w:rsid w:val="00F639B5"/>
    <w:rsid w:val="00F63AA2"/>
    <w:rsid w:val="00F6428E"/>
    <w:rsid w:val="00F65B86"/>
    <w:rsid w:val="00F66B15"/>
    <w:rsid w:val="00F66BF6"/>
    <w:rsid w:val="00F677FD"/>
    <w:rsid w:val="00F702C0"/>
    <w:rsid w:val="00F713C5"/>
    <w:rsid w:val="00F7237C"/>
    <w:rsid w:val="00F72512"/>
    <w:rsid w:val="00F7255E"/>
    <w:rsid w:val="00F72BD8"/>
    <w:rsid w:val="00F734C3"/>
    <w:rsid w:val="00F7517E"/>
    <w:rsid w:val="00F76DFD"/>
    <w:rsid w:val="00F807A0"/>
    <w:rsid w:val="00F81532"/>
    <w:rsid w:val="00F816E6"/>
    <w:rsid w:val="00F841AD"/>
    <w:rsid w:val="00F843D6"/>
    <w:rsid w:val="00F862B0"/>
    <w:rsid w:val="00F91EBC"/>
    <w:rsid w:val="00F92074"/>
    <w:rsid w:val="00F920C2"/>
    <w:rsid w:val="00F92A6D"/>
    <w:rsid w:val="00F93A5D"/>
    <w:rsid w:val="00F954B5"/>
    <w:rsid w:val="00F959D1"/>
    <w:rsid w:val="00F95C03"/>
    <w:rsid w:val="00F971FD"/>
    <w:rsid w:val="00FA0D7A"/>
    <w:rsid w:val="00FA1835"/>
    <w:rsid w:val="00FA2445"/>
    <w:rsid w:val="00FA38C8"/>
    <w:rsid w:val="00FA407B"/>
    <w:rsid w:val="00FA41F6"/>
    <w:rsid w:val="00FA5780"/>
    <w:rsid w:val="00FA58FC"/>
    <w:rsid w:val="00FA676E"/>
    <w:rsid w:val="00FA6B51"/>
    <w:rsid w:val="00FA7CA6"/>
    <w:rsid w:val="00FA7E3F"/>
    <w:rsid w:val="00FB086E"/>
    <w:rsid w:val="00FB088F"/>
    <w:rsid w:val="00FB1D08"/>
    <w:rsid w:val="00FB1D27"/>
    <w:rsid w:val="00FB403C"/>
    <w:rsid w:val="00FC0F8E"/>
    <w:rsid w:val="00FC2D0B"/>
    <w:rsid w:val="00FC45EF"/>
    <w:rsid w:val="00FC4DE7"/>
    <w:rsid w:val="00FC500A"/>
    <w:rsid w:val="00FC5F5C"/>
    <w:rsid w:val="00FC6A81"/>
    <w:rsid w:val="00FC6C11"/>
    <w:rsid w:val="00FC6E9D"/>
    <w:rsid w:val="00FC76E1"/>
    <w:rsid w:val="00FC778E"/>
    <w:rsid w:val="00FC7B2C"/>
    <w:rsid w:val="00FC7D3A"/>
    <w:rsid w:val="00FD0134"/>
    <w:rsid w:val="00FD11A3"/>
    <w:rsid w:val="00FD22AF"/>
    <w:rsid w:val="00FD2413"/>
    <w:rsid w:val="00FD2652"/>
    <w:rsid w:val="00FD2B39"/>
    <w:rsid w:val="00FD3BCD"/>
    <w:rsid w:val="00FD5519"/>
    <w:rsid w:val="00FD76EC"/>
    <w:rsid w:val="00FD7D55"/>
    <w:rsid w:val="00FE13B0"/>
    <w:rsid w:val="00FE2C54"/>
    <w:rsid w:val="00FE35C6"/>
    <w:rsid w:val="00FE458D"/>
    <w:rsid w:val="00FE75D1"/>
    <w:rsid w:val="00FE7627"/>
    <w:rsid w:val="00FE7E54"/>
    <w:rsid w:val="00FF1A45"/>
    <w:rsid w:val="00FF1FF7"/>
    <w:rsid w:val="00FF2DC3"/>
    <w:rsid w:val="00FF3308"/>
    <w:rsid w:val="00FF4173"/>
    <w:rsid w:val="00FF5262"/>
    <w:rsid w:val="00FF5943"/>
    <w:rsid w:val="00FF5A73"/>
    <w:rsid w:val="00FF7364"/>
    <w:rsid w:val="00FF7E17"/>
    <w:rsid w:val="023A2E2C"/>
    <w:rsid w:val="0339199B"/>
    <w:rsid w:val="04CF481B"/>
    <w:rsid w:val="055238A3"/>
    <w:rsid w:val="059C3DC1"/>
    <w:rsid w:val="06164F56"/>
    <w:rsid w:val="08026668"/>
    <w:rsid w:val="09E21FE2"/>
    <w:rsid w:val="0A7F09E6"/>
    <w:rsid w:val="0D6358AB"/>
    <w:rsid w:val="0D77267A"/>
    <w:rsid w:val="0EE053D2"/>
    <w:rsid w:val="0EED1247"/>
    <w:rsid w:val="116B6E1C"/>
    <w:rsid w:val="12B00485"/>
    <w:rsid w:val="13B1655E"/>
    <w:rsid w:val="153D1B8E"/>
    <w:rsid w:val="18830246"/>
    <w:rsid w:val="1AF641BA"/>
    <w:rsid w:val="1B0E5A7A"/>
    <w:rsid w:val="1D2E512B"/>
    <w:rsid w:val="1F5A0134"/>
    <w:rsid w:val="20224CC1"/>
    <w:rsid w:val="20FE2B0D"/>
    <w:rsid w:val="217253F2"/>
    <w:rsid w:val="21B6666F"/>
    <w:rsid w:val="222C5B99"/>
    <w:rsid w:val="22331AEF"/>
    <w:rsid w:val="22AC7E3E"/>
    <w:rsid w:val="243B796B"/>
    <w:rsid w:val="27583DCB"/>
    <w:rsid w:val="278D6C65"/>
    <w:rsid w:val="288A7E1F"/>
    <w:rsid w:val="2917568E"/>
    <w:rsid w:val="29D356AD"/>
    <w:rsid w:val="2D2A7C52"/>
    <w:rsid w:val="2E362BA9"/>
    <w:rsid w:val="2EA73716"/>
    <w:rsid w:val="30E6493A"/>
    <w:rsid w:val="311F205E"/>
    <w:rsid w:val="32342F34"/>
    <w:rsid w:val="331B6501"/>
    <w:rsid w:val="34C12764"/>
    <w:rsid w:val="34EA7A1E"/>
    <w:rsid w:val="354A59C6"/>
    <w:rsid w:val="36A77C00"/>
    <w:rsid w:val="36D1103C"/>
    <w:rsid w:val="36D91C7E"/>
    <w:rsid w:val="376E0A72"/>
    <w:rsid w:val="37983D42"/>
    <w:rsid w:val="37DD1DEF"/>
    <w:rsid w:val="37FA4319"/>
    <w:rsid w:val="38E45431"/>
    <w:rsid w:val="39E27207"/>
    <w:rsid w:val="3A0E3D7F"/>
    <w:rsid w:val="3ACA7BAC"/>
    <w:rsid w:val="3AF74FDF"/>
    <w:rsid w:val="3B0C58DD"/>
    <w:rsid w:val="3B975572"/>
    <w:rsid w:val="3C791504"/>
    <w:rsid w:val="3FA12AE7"/>
    <w:rsid w:val="3FDE185C"/>
    <w:rsid w:val="4090667E"/>
    <w:rsid w:val="42B41F43"/>
    <w:rsid w:val="436B7A60"/>
    <w:rsid w:val="448D16D6"/>
    <w:rsid w:val="450C5A74"/>
    <w:rsid w:val="45757428"/>
    <w:rsid w:val="45D34A34"/>
    <w:rsid w:val="45E20462"/>
    <w:rsid w:val="46830090"/>
    <w:rsid w:val="47A36E74"/>
    <w:rsid w:val="47E96303"/>
    <w:rsid w:val="48D06FFE"/>
    <w:rsid w:val="495F0E1B"/>
    <w:rsid w:val="4C2B1AAF"/>
    <w:rsid w:val="4C9A38A4"/>
    <w:rsid w:val="4CB2108E"/>
    <w:rsid w:val="4D2964E3"/>
    <w:rsid w:val="4DE3275E"/>
    <w:rsid w:val="51F95026"/>
    <w:rsid w:val="52B93069"/>
    <w:rsid w:val="534E5FDD"/>
    <w:rsid w:val="539411E0"/>
    <w:rsid w:val="53CA72F5"/>
    <w:rsid w:val="53D86795"/>
    <w:rsid w:val="54122549"/>
    <w:rsid w:val="541330D5"/>
    <w:rsid w:val="54746B86"/>
    <w:rsid w:val="54A91265"/>
    <w:rsid w:val="55C55442"/>
    <w:rsid w:val="55EC7130"/>
    <w:rsid w:val="56523583"/>
    <w:rsid w:val="569C630A"/>
    <w:rsid w:val="56D471B9"/>
    <w:rsid w:val="5741113E"/>
    <w:rsid w:val="58817EFF"/>
    <w:rsid w:val="5A037552"/>
    <w:rsid w:val="5ABC4DE1"/>
    <w:rsid w:val="5ACE46A6"/>
    <w:rsid w:val="5ADE51A0"/>
    <w:rsid w:val="5C630B77"/>
    <w:rsid w:val="5C7C6DB6"/>
    <w:rsid w:val="5C982E14"/>
    <w:rsid w:val="5CA60A2B"/>
    <w:rsid w:val="5CDB0592"/>
    <w:rsid w:val="5DD4783F"/>
    <w:rsid w:val="5E423CC7"/>
    <w:rsid w:val="5EF22C19"/>
    <w:rsid w:val="5F0720C0"/>
    <w:rsid w:val="5F0C1449"/>
    <w:rsid w:val="5F477198"/>
    <w:rsid w:val="5F994D4B"/>
    <w:rsid w:val="60206B9C"/>
    <w:rsid w:val="61B91604"/>
    <w:rsid w:val="62FC61E6"/>
    <w:rsid w:val="631338FF"/>
    <w:rsid w:val="63567A5B"/>
    <w:rsid w:val="6470105F"/>
    <w:rsid w:val="69061E11"/>
    <w:rsid w:val="691F6E62"/>
    <w:rsid w:val="6A0B5B1A"/>
    <w:rsid w:val="6AD07D8E"/>
    <w:rsid w:val="6AFE2D65"/>
    <w:rsid w:val="6B0E00E5"/>
    <w:rsid w:val="6B65775B"/>
    <w:rsid w:val="6D431148"/>
    <w:rsid w:val="6D532F72"/>
    <w:rsid w:val="6D7101EF"/>
    <w:rsid w:val="6FAC6BCC"/>
    <w:rsid w:val="6FCE356B"/>
    <w:rsid w:val="717413BA"/>
    <w:rsid w:val="727D58F1"/>
    <w:rsid w:val="72D2080E"/>
    <w:rsid w:val="73412D47"/>
    <w:rsid w:val="740B754B"/>
    <w:rsid w:val="75E46B48"/>
    <w:rsid w:val="766133B3"/>
    <w:rsid w:val="791D0378"/>
    <w:rsid w:val="798126C5"/>
    <w:rsid w:val="79A228E7"/>
    <w:rsid w:val="7B614FBB"/>
    <w:rsid w:val="7CB849F5"/>
    <w:rsid w:val="7CB91D79"/>
    <w:rsid w:val="7DA23B0D"/>
    <w:rsid w:val="7EC27EA3"/>
    <w:rsid w:val="7FDF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4"/>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05"/>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6"/>
    <w:autoRedefine/>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107"/>
    <w:autoRedefine/>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autoRedefine/>
    <w:semiHidden/>
    <w:unhideWhenUsed/>
    <w:qFormat/>
    <w:uiPriority w:val="1"/>
  </w:style>
  <w:style w:type="table" w:default="1" w:styleId="36">
    <w:name w:val="Normal Table"/>
    <w:autoRedefine/>
    <w:semiHidden/>
    <w:unhideWhenUsed/>
    <w:uiPriority w:val="99"/>
    <w:tblPr>
      <w:tblCellMar>
        <w:top w:w="0" w:type="dxa"/>
        <w:left w:w="108" w:type="dxa"/>
        <w:bottom w:w="0" w:type="dxa"/>
        <w:right w:w="108" w:type="dxa"/>
      </w:tblCellMar>
    </w:tblPr>
  </w:style>
  <w:style w:type="paragraph" w:styleId="6">
    <w:name w:val="toc 7"/>
    <w:basedOn w:val="1"/>
    <w:next w:val="1"/>
    <w:autoRedefine/>
    <w:qFormat/>
    <w:uiPriority w:val="39"/>
    <w:pPr>
      <w:ind w:left="1260"/>
      <w:jc w:val="left"/>
    </w:pPr>
    <w:rPr>
      <w:sz w:val="18"/>
      <w:szCs w:val="18"/>
    </w:rPr>
  </w:style>
  <w:style w:type="paragraph" w:styleId="7">
    <w:name w:val="Normal Indent"/>
    <w:basedOn w:val="1"/>
    <w:link w:val="117"/>
    <w:autoRedefine/>
    <w:qFormat/>
    <w:uiPriority w:val="99"/>
    <w:pPr>
      <w:ind w:firstLine="420"/>
    </w:pPr>
    <w:rPr>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98"/>
    <w:autoRedefine/>
    <w:unhideWhenUsed/>
    <w:qFormat/>
    <w:uiPriority w:val="0"/>
    <w:rPr>
      <w:rFonts w:ascii="宋体"/>
      <w:sz w:val="18"/>
      <w:szCs w:val="18"/>
    </w:rPr>
  </w:style>
  <w:style w:type="paragraph" w:styleId="10">
    <w:name w:val="annotation text"/>
    <w:basedOn w:val="1"/>
    <w:link w:val="95"/>
    <w:autoRedefine/>
    <w:unhideWhenUsed/>
    <w:qFormat/>
    <w:uiPriority w:val="0"/>
    <w:pPr>
      <w:jc w:val="left"/>
    </w:pPr>
  </w:style>
  <w:style w:type="paragraph" w:styleId="11">
    <w:name w:val="Body Text 3"/>
    <w:basedOn w:val="1"/>
    <w:link w:val="121"/>
    <w:autoRedefine/>
    <w:qFormat/>
    <w:uiPriority w:val="0"/>
    <w:pPr>
      <w:spacing w:after="120"/>
    </w:pPr>
    <w:rPr>
      <w:sz w:val="16"/>
      <w:szCs w:val="16"/>
    </w:rPr>
  </w:style>
  <w:style w:type="paragraph" w:styleId="12">
    <w:name w:val="Body Text"/>
    <w:basedOn w:val="1"/>
    <w:link w:val="122"/>
    <w:qFormat/>
    <w:uiPriority w:val="0"/>
    <w:pPr>
      <w:spacing w:line="360" w:lineRule="auto"/>
    </w:pPr>
    <w:rPr>
      <w:szCs w:val="20"/>
    </w:rPr>
  </w:style>
  <w:style w:type="paragraph" w:styleId="13">
    <w:name w:val="Body Text Indent"/>
    <w:basedOn w:val="1"/>
    <w:link w:val="123"/>
    <w:autoRedefine/>
    <w:qFormat/>
    <w:uiPriority w:val="0"/>
    <w:pPr>
      <w:ind w:firstLine="830" w:firstLineChars="352"/>
    </w:pPr>
    <w:rPr>
      <w:rFonts w:ascii="仿宋_GB2312" w:eastAsia="仿宋_GB2312"/>
      <w:sz w:val="32"/>
      <w:szCs w:val="20"/>
    </w:rPr>
  </w:style>
  <w:style w:type="paragraph" w:styleId="14">
    <w:name w:val="toc 5"/>
    <w:basedOn w:val="1"/>
    <w:next w:val="1"/>
    <w:autoRedefine/>
    <w:qFormat/>
    <w:uiPriority w:val="39"/>
    <w:pPr>
      <w:ind w:left="840"/>
      <w:jc w:val="left"/>
    </w:pPr>
    <w:rPr>
      <w:sz w:val="18"/>
      <w:szCs w:val="18"/>
    </w:rPr>
  </w:style>
  <w:style w:type="paragraph" w:styleId="15">
    <w:name w:val="toc 3"/>
    <w:basedOn w:val="1"/>
    <w:next w:val="1"/>
    <w:autoRedefine/>
    <w:qFormat/>
    <w:uiPriority w:val="39"/>
    <w:pPr>
      <w:spacing w:line="300" w:lineRule="auto"/>
      <w:ind w:left="420"/>
      <w:jc w:val="left"/>
    </w:pPr>
    <w:rPr>
      <w:i/>
      <w:iCs/>
      <w:szCs w:val="20"/>
    </w:rPr>
  </w:style>
  <w:style w:type="paragraph" w:styleId="16">
    <w:name w:val="Plain Text"/>
    <w:basedOn w:val="1"/>
    <w:link w:val="97"/>
    <w:autoRedefine/>
    <w:qFormat/>
    <w:uiPriority w:val="0"/>
    <w:rPr>
      <w:rFonts w:ascii="宋体" w:hAnsi="Courier New"/>
      <w:kern w:val="0"/>
      <w:sz w:val="20"/>
      <w:szCs w:val="21"/>
    </w:rPr>
  </w:style>
  <w:style w:type="paragraph" w:styleId="17">
    <w:name w:val="toc 8"/>
    <w:basedOn w:val="1"/>
    <w:next w:val="1"/>
    <w:autoRedefine/>
    <w:qFormat/>
    <w:uiPriority w:val="39"/>
    <w:pPr>
      <w:ind w:left="1470"/>
      <w:jc w:val="left"/>
    </w:pPr>
    <w:rPr>
      <w:sz w:val="18"/>
      <w:szCs w:val="18"/>
    </w:rPr>
  </w:style>
  <w:style w:type="paragraph" w:styleId="18">
    <w:name w:val="Date"/>
    <w:basedOn w:val="1"/>
    <w:next w:val="1"/>
    <w:link w:val="108"/>
    <w:autoRedefine/>
    <w:qFormat/>
    <w:uiPriority w:val="0"/>
    <w:rPr>
      <w:rFonts w:ascii="Calibri" w:hAnsi="Calibri"/>
      <w:szCs w:val="20"/>
    </w:rPr>
  </w:style>
  <w:style w:type="paragraph" w:styleId="19">
    <w:name w:val="Balloon Text"/>
    <w:basedOn w:val="1"/>
    <w:link w:val="93"/>
    <w:autoRedefine/>
    <w:unhideWhenUsed/>
    <w:qFormat/>
    <w:uiPriority w:val="0"/>
    <w:rPr>
      <w:kern w:val="0"/>
      <w:sz w:val="18"/>
      <w:szCs w:val="18"/>
    </w:rPr>
  </w:style>
  <w:style w:type="paragraph" w:styleId="20">
    <w:name w:val="footer"/>
    <w:basedOn w:val="1"/>
    <w:link w:val="92"/>
    <w:autoRedefine/>
    <w:unhideWhenUsed/>
    <w:qFormat/>
    <w:uiPriority w:val="99"/>
    <w:pPr>
      <w:tabs>
        <w:tab w:val="center" w:pos="4153"/>
        <w:tab w:val="right" w:pos="8306"/>
      </w:tabs>
      <w:snapToGrid w:val="0"/>
      <w:jc w:val="left"/>
    </w:pPr>
    <w:rPr>
      <w:sz w:val="18"/>
      <w:szCs w:val="18"/>
    </w:rPr>
  </w:style>
  <w:style w:type="paragraph" w:styleId="21">
    <w:name w:val="header"/>
    <w:basedOn w:val="1"/>
    <w:link w:val="9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line="360" w:lineRule="auto"/>
      <w:jc w:val="left"/>
    </w:pPr>
    <w:rPr>
      <w:b/>
      <w:bCs/>
      <w:caps/>
      <w:szCs w:val="20"/>
    </w:rPr>
  </w:style>
  <w:style w:type="paragraph" w:styleId="23">
    <w:name w:val="toc 4"/>
    <w:basedOn w:val="1"/>
    <w:next w:val="1"/>
    <w:autoRedefine/>
    <w:qFormat/>
    <w:uiPriority w:val="39"/>
    <w:pPr>
      <w:ind w:left="630"/>
      <w:jc w:val="left"/>
    </w:pPr>
    <w:rPr>
      <w:sz w:val="18"/>
      <w:szCs w:val="18"/>
    </w:rPr>
  </w:style>
  <w:style w:type="paragraph" w:styleId="24">
    <w:name w:val="index heading"/>
    <w:basedOn w:val="1"/>
    <w:next w:val="25"/>
    <w:autoRedefine/>
    <w:qFormat/>
    <w:uiPriority w:val="0"/>
    <w:rPr>
      <w:szCs w:val="20"/>
    </w:rPr>
  </w:style>
  <w:style w:type="paragraph" w:styleId="25">
    <w:name w:val="index 1"/>
    <w:basedOn w:val="1"/>
    <w:next w:val="1"/>
    <w:autoRedefine/>
    <w:unhideWhenUsed/>
    <w:qFormat/>
    <w:uiPriority w:val="0"/>
    <w:rPr>
      <w:rFonts w:ascii="Calibri" w:hAnsi="Calibri"/>
    </w:rPr>
  </w:style>
  <w:style w:type="paragraph" w:styleId="26">
    <w:name w:val="toc 6"/>
    <w:basedOn w:val="1"/>
    <w:next w:val="1"/>
    <w:autoRedefine/>
    <w:qFormat/>
    <w:uiPriority w:val="39"/>
    <w:pPr>
      <w:ind w:left="1050"/>
      <w:jc w:val="left"/>
    </w:pPr>
    <w:rPr>
      <w:sz w:val="18"/>
      <w:szCs w:val="18"/>
    </w:rPr>
  </w:style>
  <w:style w:type="paragraph" w:styleId="27">
    <w:name w:val="Body Text Indent 3"/>
    <w:basedOn w:val="1"/>
    <w:link w:val="124"/>
    <w:autoRedefine/>
    <w:qFormat/>
    <w:uiPriority w:val="0"/>
    <w:pPr>
      <w:spacing w:line="360" w:lineRule="auto"/>
      <w:ind w:firstLine="420" w:firstLineChars="200"/>
    </w:pPr>
    <w:rPr>
      <w:szCs w:val="20"/>
    </w:rPr>
  </w:style>
  <w:style w:type="paragraph" w:styleId="28">
    <w:name w:val="toc 2"/>
    <w:basedOn w:val="1"/>
    <w:next w:val="1"/>
    <w:autoRedefine/>
    <w:qFormat/>
    <w:uiPriority w:val="39"/>
    <w:pPr>
      <w:spacing w:line="360" w:lineRule="auto"/>
      <w:ind w:left="210"/>
      <w:jc w:val="left"/>
    </w:pPr>
    <w:rPr>
      <w:smallCaps/>
      <w:szCs w:val="20"/>
    </w:rPr>
  </w:style>
  <w:style w:type="paragraph" w:styleId="29">
    <w:name w:val="toc 9"/>
    <w:basedOn w:val="1"/>
    <w:next w:val="1"/>
    <w:autoRedefine/>
    <w:qFormat/>
    <w:uiPriority w:val="39"/>
    <w:pPr>
      <w:ind w:left="1680"/>
      <w:jc w:val="left"/>
    </w:pPr>
    <w:rPr>
      <w:sz w:val="18"/>
      <w:szCs w:val="18"/>
    </w:rPr>
  </w:style>
  <w:style w:type="paragraph" w:styleId="30">
    <w:name w:val="Body Text 2"/>
    <w:basedOn w:val="1"/>
    <w:link w:val="130"/>
    <w:autoRedefine/>
    <w:qFormat/>
    <w:uiPriority w:val="0"/>
    <w:pPr>
      <w:spacing w:after="120" w:line="480" w:lineRule="auto"/>
    </w:pPr>
  </w:style>
  <w:style w:type="paragraph" w:styleId="31">
    <w:name w:val="HTML Preformatted"/>
    <w:basedOn w:val="1"/>
    <w:link w:val="112"/>
    <w:autoRedefine/>
    <w:qFormat/>
    <w:uiPriority w:val="99"/>
    <w:pPr>
      <w:widowControl/>
      <w:jc w:val="left"/>
    </w:pPr>
    <w:rPr>
      <w:rFonts w:ascii="黑体" w:hAnsi="Courier New" w:eastAsia="黑体" w:cs="Courier New"/>
      <w:kern w:val="0"/>
      <w:sz w:val="20"/>
      <w:szCs w:val="21"/>
    </w:rPr>
  </w:style>
  <w:style w:type="paragraph" w:styleId="32">
    <w:name w:val="Normal (Web)"/>
    <w:basedOn w:val="1"/>
    <w:autoRedefine/>
    <w:qFormat/>
    <w:uiPriority w:val="0"/>
    <w:pPr>
      <w:widowControl/>
      <w:spacing w:beforeAutospacing="1" w:afterAutospacing="1"/>
      <w:jc w:val="left"/>
    </w:pPr>
    <w:rPr>
      <w:rFonts w:ascii="宋体" w:hAnsi="宋体"/>
      <w:color w:val="000000"/>
      <w:kern w:val="0"/>
      <w:sz w:val="24"/>
    </w:rPr>
  </w:style>
  <w:style w:type="paragraph" w:styleId="33">
    <w:name w:val="Title"/>
    <w:basedOn w:val="1"/>
    <w:link w:val="120"/>
    <w:autoRedefine/>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96"/>
    <w:autoRedefine/>
    <w:unhideWhenUsed/>
    <w:qFormat/>
    <w:uiPriority w:val="0"/>
    <w:rPr>
      <w:b/>
      <w:bCs/>
    </w:rPr>
  </w:style>
  <w:style w:type="paragraph" w:styleId="35">
    <w:name w:val="Body Text First Indent"/>
    <w:basedOn w:val="12"/>
    <w:link w:val="125"/>
    <w:autoRedefine/>
    <w:qFormat/>
    <w:uiPriority w:val="0"/>
    <w:pPr>
      <w:spacing w:after="120" w:line="240" w:lineRule="auto"/>
      <w:ind w:firstLine="420" w:firstLineChars="100"/>
    </w:pPr>
    <w:rPr>
      <w:szCs w:val="24"/>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unhideWhenUsed/>
    <w:qFormat/>
    <w:uiPriority w:val="99"/>
    <w:rPr>
      <w:color w:val="954F72"/>
      <w:u w:val="single"/>
    </w:rPr>
  </w:style>
  <w:style w:type="character" w:styleId="42">
    <w:name w:val="Hyperlink"/>
    <w:autoRedefine/>
    <w:unhideWhenUsed/>
    <w:qFormat/>
    <w:uiPriority w:val="99"/>
    <w:rPr>
      <w:color w:val="0000FF"/>
      <w:u w:val="single"/>
    </w:rPr>
  </w:style>
  <w:style w:type="character" w:styleId="43">
    <w:name w:val="annotation reference"/>
    <w:autoRedefine/>
    <w:unhideWhenUsed/>
    <w:qFormat/>
    <w:uiPriority w:val="0"/>
    <w:rPr>
      <w:sz w:val="21"/>
      <w:szCs w:val="21"/>
    </w:rPr>
  </w:style>
  <w:style w:type="paragraph" w:customStyle="1" w:styleId="44">
    <w:name w:val="列表段落1"/>
    <w:basedOn w:val="1"/>
    <w:link w:val="94"/>
    <w:autoRedefine/>
    <w:qFormat/>
    <w:uiPriority w:val="0"/>
    <w:pPr>
      <w:ind w:firstLine="420" w:firstLineChars="200"/>
    </w:pPr>
  </w:style>
  <w:style w:type="paragraph" w:customStyle="1" w:styleId="45">
    <w:name w:val="列出段落1"/>
    <w:basedOn w:val="1"/>
    <w:autoRedefine/>
    <w:qFormat/>
    <w:uiPriority w:val="0"/>
    <w:pPr>
      <w:ind w:firstLine="420" w:firstLineChars="200"/>
    </w:pPr>
  </w:style>
  <w:style w:type="paragraph" w:customStyle="1" w:styleId="4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1"/>
    <w:basedOn w:val="1"/>
    <w:link w:val="103"/>
    <w:autoRedefine/>
    <w:qFormat/>
    <w:uiPriority w:val="0"/>
    <w:rPr>
      <w:rFonts w:ascii="宋体" w:hAnsi="Courier New"/>
      <w:kern w:val="0"/>
      <w:sz w:val="20"/>
      <w:szCs w:val="20"/>
    </w:rPr>
  </w:style>
  <w:style w:type="paragraph" w:customStyle="1" w:styleId="48">
    <w:name w:val="列表段落2"/>
    <w:basedOn w:val="1"/>
    <w:autoRedefine/>
    <w:qFormat/>
    <w:uiPriority w:val="34"/>
    <w:pPr>
      <w:ind w:firstLine="420" w:firstLineChars="200"/>
    </w:pPr>
  </w:style>
  <w:style w:type="paragraph" w:customStyle="1" w:styleId="49">
    <w:name w:val="表格文字"/>
    <w:basedOn w:val="1"/>
    <w:autoRedefine/>
    <w:qFormat/>
    <w:uiPriority w:val="0"/>
    <w:pPr>
      <w:jc w:val="left"/>
    </w:pPr>
    <w:rPr>
      <w:rFonts w:ascii="Calibri" w:hAnsi="Calibri"/>
      <w:bCs/>
      <w:spacing w:val="10"/>
      <w:kern w:val="0"/>
      <w:sz w:val="24"/>
      <w:szCs w:val="20"/>
    </w:rPr>
  </w:style>
  <w:style w:type="paragraph" w:customStyle="1" w:styleId="50">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51">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52">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4">
    <w:name w:val="xl6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5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7">
    <w:name w:val="Char Char2 Char"/>
    <w:basedOn w:val="1"/>
    <w:autoRedefine/>
    <w:qFormat/>
    <w:uiPriority w:val="0"/>
    <w:rPr>
      <w:rFonts w:ascii="宋体" w:hAnsi="宋体"/>
      <w:b/>
      <w:sz w:val="28"/>
      <w:szCs w:val="28"/>
    </w:rPr>
  </w:style>
  <w:style w:type="paragraph" w:customStyle="1" w:styleId="58">
    <w:name w:val="Char Char Char Char Char Char Char Char Char Char"/>
    <w:basedOn w:val="1"/>
    <w:autoRedefine/>
    <w:qFormat/>
    <w:uiPriority w:val="0"/>
    <w:rPr>
      <w:rFonts w:ascii="Tahoma" w:hAnsi="Tahoma"/>
      <w:sz w:val="24"/>
      <w:szCs w:val="20"/>
    </w:rPr>
  </w:style>
  <w:style w:type="paragraph" w:customStyle="1" w:styleId="59">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60">
    <w:name w:val="table"/>
    <w:basedOn w:val="1"/>
    <w:autoRedefine/>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61">
    <w:name w:val="正文标题"/>
    <w:basedOn w:val="1"/>
    <w:autoRedefine/>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大标题"/>
    <w:basedOn w:val="2"/>
    <w:autoRedefine/>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63">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5">
    <w:name w:val="_Style 2"/>
    <w:basedOn w:val="1"/>
    <w:autoRedefine/>
    <w:qFormat/>
    <w:uiPriority w:val="34"/>
    <w:pPr>
      <w:ind w:firstLine="420" w:firstLineChars="200"/>
    </w:pPr>
  </w:style>
  <w:style w:type="paragraph" w:customStyle="1" w:styleId="66">
    <w:name w:val="Char Char1"/>
    <w:basedOn w:val="1"/>
    <w:autoRedefine/>
    <w:qFormat/>
    <w:uiPriority w:val="0"/>
    <w:rPr>
      <w:rFonts w:ascii="宋体" w:hAnsi="宋体"/>
      <w:b/>
      <w:sz w:val="28"/>
      <w:szCs w:val="28"/>
    </w:rPr>
  </w:style>
  <w:style w:type="paragraph" w:customStyle="1" w:styleId="67">
    <w:name w:val="默认段落字体 Para Char"/>
    <w:basedOn w:val="1"/>
    <w:autoRedefine/>
    <w:qFormat/>
    <w:uiPriority w:val="0"/>
    <w:rPr>
      <w:rFonts w:ascii="宋体" w:hAnsi="宋体"/>
      <w:b/>
      <w:sz w:val="28"/>
      <w:szCs w:val="28"/>
    </w:rPr>
  </w:style>
  <w:style w:type="paragraph" w:customStyle="1" w:styleId="68">
    <w:name w:val="办公自动化专用标题"/>
    <w:basedOn w:val="33"/>
    <w:autoRedefine/>
    <w:qFormat/>
    <w:uiPriority w:val="0"/>
    <w:pPr>
      <w:spacing w:line="560" w:lineRule="atLeast"/>
    </w:pPr>
    <w:rPr>
      <w:rFonts w:ascii="宋体" w:cs="Times New Roman"/>
      <w:bCs w:val="0"/>
      <w:sz w:val="44"/>
      <w:szCs w:val="20"/>
    </w:rPr>
  </w:style>
  <w:style w:type="paragraph" w:customStyle="1" w:styleId="69">
    <w:name w:val="_Style 1"/>
    <w:basedOn w:val="1"/>
    <w:autoRedefine/>
    <w:qFormat/>
    <w:uiPriority w:val="34"/>
    <w:pPr>
      <w:ind w:firstLine="420" w:firstLineChars="200"/>
    </w:pPr>
  </w:style>
  <w:style w:type="paragraph" w:customStyle="1" w:styleId="70">
    <w:name w:val="p0"/>
    <w:basedOn w:val="1"/>
    <w:autoRedefine/>
    <w:qFormat/>
    <w:uiPriority w:val="0"/>
    <w:pPr>
      <w:widowControl/>
    </w:pPr>
    <w:rPr>
      <w:kern w:val="0"/>
      <w:szCs w:val="21"/>
    </w:rPr>
  </w:style>
  <w:style w:type="paragraph" w:customStyle="1" w:styleId="71">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szCs w:val="20"/>
    </w:rPr>
  </w:style>
  <w:style w:type="paragraph" w:customStyle="1" w:styleId="72">
    <w:name w:val="HLegal 2"/>
    <w:basedOn w:val="1"/>
    <w:autoRedefine/>
    <w:qFormat/>
    <w:uiPriority w:val="0"/>
    <w:pPr>
      <w:widowControl/>
      <w:spacing w:beforeLines="50" w:afterLines="50" w:line="300" w:lineRule="auto"/>
      <w:ind w:left="1"/>
      <w:jc w:val="left"/>
    </w:pPr>
    <w:rPr>
      <w:rFonts w:ascii="宋体" w:hAnsi="宋体" w:cs="宋体"/>
      <w:bCs/>
      <w:kern w:val="0"/>
      <w:sz w:val="24"/>
    </w:rPr>
  </w:style>
  <w:style w:type="paragraph" w:customStyle="1" w:styleId="7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题注4"/>
    <w:basedOn w:val="1"/>
    <w:next w:val="8"/>
    <w:autoRedefine/>
    <w:qFormat/>
    <w:uiPriority w:val="0"/>
    <w:pPr>
      <w:ind w:left="-132" w:leftChars="-64" w:right="-105" w:rightChars="-50" w:hanging="2"/>
      <w:jc w:val="center"/>
    </w:pPr>
    <w:rPr>
      <w:b/>
      <w:color w:val="FF0000"/>
      <w:szCs w:val="21"/>
    </w:rPr>
  </w:style>
  <w:style w:type="paragraph" w:customStyle="1" w:styleId="75">
    <w:name w:val="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6">
    <w:name w:val="默认段落字体 Para Char Char Char Char"/>
    <w:basedOn w:val="1"/>
    <w:autoRedefine/>
    <w:qFormat/>
    <w:uiPriority w:val="0"/>
    <w:pPr>
      <w:spacing w:line="360" w:lineRule="auto"/>
      <w:ind w:firstLine="200" w:firstLineChars="200"/>
    </w:pPr>
    <w:rPr>
      <w:rFonts w:ascii="宋体" w:hAnsi="宋体" w:cs="宋体"/>
      <w:sz w:val="24"/>
    </w:rPr>
  </w:style>
  <w:style w:type="paragraph" w:customStyle="1" w:styleId="7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8">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7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0">
    <w:name w:val="表头"/>
    <w:basedOn w:val="8"/>
    <w:autoRedefine/>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81">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82">
    <w:name w:val="题注5"/>
    <w:basedOn w:val="1"/>
    <w:next w:val="8"/>
    <w:autoRedefine/>
    <w:qFormat/>
    <w:uiPriority w:val="0"/>
    <w:pPr>
      <w:jc w:val="center"/>
    </w:pPr>
    <w:rPr>
      <w:b/>
      <w:color w:val="000000"/>
      <w:sz w:val="24"/>
      <w:szCs w:val="21"/>
    </w:rPr>
  </w:style>
  <w:style w:type="paragraph" w:customStyle="1" w:styleId="83">
    <w:name w:val="修订1"/>
    <w:autoRedefine/>
    <w:hidden/>
    <w:unhideWhenUsed/>
    <w:qFormat/>
    <w:uiPriority w:val="99"/>
    <w:rPr>
      <w:rFonts w:ascii="Calibri" w:hAnsi="Calibri" w:eastAsia="宋体" w:cs="Times New Roman"/>
      <w:kern w:val="2"/>
      <w:sz w:val="21"/>
      <w:szCs w:val="24"/>
      <w:lang w:val="en-US" w:eastAsia="zh-CN" w:bidi="ar-SA"/>
    </w:rPr>
  </w:style>
  <w:style w:type="paragraph" w:customStyle="1" w:styleId="84">
    <w:name w:val="_Style 95"/>
    <w:basedOn w:val="1"/>
    <w:next w:val="48"/>
    <w:autoRedefine/>
    <w:qFormat/>
    <w:uiPriority w:val="0"/>
    <w:pPr>
      <w:ind w:firstLine="420" w:firstLineChars="200"/>
    </w:pPr>
    <w:rPr>
      <w:rFonts w:ascii="Calibri" w:hAnsi="Calibri"/>
      <w:szCs w:val="22"/>
    </w:rPr>
  </w:style>
  <w:style w:type="paragraph" w:customStyle="1" w:styleId="85">
    <w:name w:val="_Style 126"/>
    <w:basedOn w:val="1"/>
    <w:next w:val="48"/>
    <w:autoRedefine/>
    <w:qFormat/>
    <w:uiPriority w:val="34"/>
    <w:pPr>
      <w:ind w:firstLine="420" w:firstLineChars="200"/>
    </w:pPr>
    <w:rPr>
      <w:rFonts w:ascii="Calibri" w:hAnsi="Calibri"/>
      <w:szCs w:val="22"/>
    </w:rPr>
  </w:style>
  <w:style w:type="paragraph" w:customStyle="1" w:styleId="86">
    <w:name w:val="4"/>
    <w:basedOn w:val="1"/>
    <w:next w:val="1"/>
    <w:autoRedefine/>
    <w:qFormat/>
    <w:uiPriority w:val="0"/>
    <w:pPr>
      <w:spacing w:after="120"/>
    </w:pPr>
    <w:rPr>
      <w:szCs w:val="20"/>
    </w:rPr>
  </w:style>
  <w:style w:type="paragraph" w:customStyle="1" w:styleId="87">
    <w:name w:val="_Style 128"/>
    <w:basedOn w:val="1"/>
    <w:next w:val="48"/>
    <w:autoRedefine/>
    <w:qFormat/>
    <w:uiPriority w:val="34"/>
    <w:pPr>
      <w:ind w:firstLine="420" w:firstLineChars="200"/>
    </w:pPr>
    <w:rPr>
      <w:rFonts w:ascii="Calibri" w:hAnsi="Calibri"/>
      <w:szCs w:val="22"/>
    </w:rPr>
  </w:style>
  <w:style w:type="paragraph" w:customStyle="1" w:styleId="8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9">
    <w:name w:val="列出段落2"/>
    <w:basedOn w:val="1"/>
    <w:autoRedefine/>
    <w:qFormat/>
    <w:uiPriority w:val="0"/>
    <w:pPr>
      <w:ind w:firstLine="420" w:firstLineChars="200"/>
    </w:pPr>
    <w:rPr>
      <w:szCs w:val="21"/>
    </w:rPr>
  </w:style>
  <w:style w:type="paragraph" w:customStyle="1" w:styleId="90">
    <w:name w:val="HTML 预设格式3"/>
    <w:basedOn w:val="1"/>
    <w:autoRedefine/>
    <w:qFormat/>
    <w:uiPriority w:val="0"/>
    <w:pPr>
      <w:widowControl/>
      <w:jc w:val="left"/>
    </w:pPr>
    <w:rPr>
      <w:rFonts w:hint="eastAsia" w:ascii="黑体" w:hAnsi="Courier New" w:eastAsia="黑体"/>
      <w:szCs w:val="21"/>
    </w:rPr>
  </w:style>
  <w:style w:type="character" w:customStyle="1" w:styleId="91">
    <w:name w:val="页眉 Char"/>
    <w:link w:val="21"/>
    <w:autoRedefine/>
    <w:qFormat/>
    <w:uiPriority w:val="99"/>
    <w:rPr>
      <w:rFonts w:ascii="Times New Roman" w:hAnsi="Times New Roman"/>
      <w:kern w:val="2"/>
      <w:sz w:val="18"/>
      <w:szCs w:val="18"/>
    </w:rPr>
  </w:style>
  <w:style w:type="character" w:customStyle="1" w:styleId="92">
    <w:name w:val="页脚 Char"/>
    <w:link w:val="20"/>
    <w:autoRedefine/>
    <w:qFormat/>
    <w:uiPriority w:val="99"/>
    <w:rPr>
      <w:rFonts w:ascii="Times New Roman" w:hAnsi="Times New Roman"/>
      <w:kern w:val="2"/>
      <w:sz w:val="18"/>
      <w:szCs w:val="18"/>
    </w:rPr>
  </w:style>
  <w:style w:type="character" w:customStyle="1" w:styleId="93">
    <w:name w:val="批注框文本 Char"/>
    <w:link w:val="19"/>
    <w:autoRedefine/>
    <w:qFormat/>
    <w:uiPriority w:val="0"/>
    <w:rPr>
      <w:rFonts w:ascii="Times New Roman" w:hAnsi="Times New Roman" w:eastAsia="宋体" w:cs="Times New Roman"/>
      <w:sz w:val="18"/>
      <w:szCs w:val="18"/>
    </w:rPr>
  </w:style>
  <w:style w:type="character" w:customStyle="1" w:styleId="94">
    <w:name w:val="列表段落 字符"/>
    <w:link w:val="44"/>
    <w:autoRedefine/>
    <w:qFormat/>
    <w:uiPriority w:val="0"/>
    <w:rPr>
      <w:kern w:val="2"/>
      <w:sz w:val="21"/>
      <w:szCs w:val="24"/>
    </w:rPr>
  </w:style>
  <w:style w:type="character" w:customStyle="1" w:styleId="95">
    <w:name w:val="批注文字 Char"/>
    <w:link w:val="10"/>
    <w:autoRedefine/>
    <w:qFormat/>
    <w:uiPriority w:val="0"/>
    <w:rPr>
      <w:kern w:val="2"/>
      <w:sz w:val="21"/>
      <w:szCs w:val="24"/>
    </w:rPr>
  </w:style>
  <w:style w:type="character" w:customStyle="1" w:styleId="96">
    <w:name w:val="批注主题 Char"/>
    <w:link w:val="34"/>
    <w:autoRedefine/>
    <w:qFormat/>
    <w:uiPriority w:val="0"/>
    <w:rPr>
      <w:b/>
      <w:bCs/>
      <w:kern w:val="2"/>
      <w:sz w:val="21"/>
      <w:szCs w:val="24"/>
    </w:rPr>
  </w:style>
  <w:style w:type="character" w:customStyle="1" w:styleId="97">
    <w:name w:val="纯文本 Char2"/>
    <w:link w:val="16"/>
    <w:autoRedefine/>
    <w:qFormat/>
    <w:uiPriority w:val="0"/>
    <w:rPr>
      <w:rFonts w:ascii="宋体" w:hAnsi="Courier New"/>
      <w:szCs w:val="21"/>
    </w:rPr>
  </w:style>
  <w:style w:type="character" w:customStyle="1" w:styleId="98">
    <w:name w:val="文档结构图 Char"/>
    <w:link w:val="9"/>
    <w:autoRedefine/>
    <w:qFormat/>
    <w:uiPriority w:val="0"/>
    <w:rPr>
      <w:rFonts w:ascii="宋体"/>
      <w:kern w:val="2"/>
      <w:sz w:val="18"/>
      <w:szCs w:val="18"/>
    </w:rPr>
  </w:style>
  <w:style w:type="character" w:customStyle="1" w:styleId="99">
    <w:name w:val="纯文本 Char"/>
    <w:autoRedefine/>
    <w:qFormat/>
    <w:uiPriority w:val="0"/>
    <w:rPr>
      <w:rFonts w:ascii="宋体" w:hAnsi="Courier New"/>
      <w:kern w:val="2"/>
      <w:sz w:val="21"/>
    </w:rPr>
  </w:style>
  <w:style w:type="character" w:customStyle="1" w:styleId="100">
    <w:name w:val="列出段落 Char"/>
    <w:link w:val="101"/>
    <w:autoRedefine/>
    <w:qFormat/>
    <w:locked/>
    <w:uiPriority w:val="0"/>
  </w:style>
  <w:style w:type="paragraph" w:customStyle="1" w:styleId="101">
    <w:name w:val="_Style 137"/>
    <w:basedOn w:val="1"/>
    <w:next w:val="102"/>
    <w:link w:val="100"/>
    <w:autoRedefine/>
    <w:qFormat/>
    <w:uiPriority w:val="0"/>
    <w:pPr>
      <w:ind w:firstLine="420" w:firstLineChars="200"/>
    </w:pPr>
    <w:rPr>
      <w:kern w:val="0"/>
      <w:sz w:val="20"/>
      <w:szCs w:val="20"/>
    </w:rPr>
  </w:style>
  <w:style w:type="paragraph" w:customStyle="1" w:styleId="102">
    <w:name w:val="列表段落3"/>
    <w:basedOn w:val="1"/>
    <w:autoRedefine/>
    <w:qFormat/>
    <w:uiPriority w:val="34"/>
    <w:pPr>
      <w:ind w:firstLine="420" w:firstLineChars="200"/>
    </w:pPr>
  </w:style>
  <w:style w:type="character" w:customStyle="1" w:styleId="103">
    <w:name w:val="纯文本 Char1"/>
    <w:link w:val="47"/>
    <w:autoRedefine/>
    <w:qFormat/>
    <w:locked/>
    <w:uiPriority w:val="99"/>
    <w:rPr>
      <w:rFonts w:ascii="宋体" w:hAnsi="Courier New"/>
    </w:rPr>
  </w:style>
  <w:style w:type="character" w:customStyle="1" w:styleId="104">
    <w:name w:val="标题 1 Char"/>
    <w:link w:val="2"/>
    <w:autoRedefine/>
    <w:qFormat/>
    <w:uiPriority w:val="0"/>
    <w:rPr>
      <w:rFonts w:ascii="宋体" w:hAnsi="宋体"/>
      <w:b/>
      <w:kern w:val="44"/>
      <w:sz w:val="48"/>
      <w:szCs w:val="48"/>
    </w:rPr>
  </w:style>
  <w:style w:type="character" w:customStyle="1" w:styleId="105">
    <w:name w:val="标题 2 Char1"/>
    <w:link w:val="3"/>
    <w:autoRedefine/>
    <w:qFormat/>
    <w:uiPriority w:val="0"/>
    <w:rPr>
      <w:rFonts w:ascii="Arial" w:hAnsi="Arial" w:eastAsia="黑体"/>
      <w:b/>
      <w:kern w:val="2"/>
      <w:sz w:val="32"/>
      <w:szCs w:val="24"/>
    </w:rPr>
  </w:style>
  <w:style w:type="character" w:customStyle="1" w:styleId="106">
    <w:name w:val="标题 3 Char"/>
    <w:link w:val="4"/>
    <w:autoRedefine/>
    <w:qFormat/>
    <w:uiPriority w:val="0"/>
    <w:rPr>
      <w:rFonts w:ascii="宋体" w:hAnsi="宋体"/>
      <w:b/>
      <w:sz w:val="27"/>
      <w:szCs w:val="27"/>
    </w:rPr>
  </w:style>
  <w:style w:type="character" w:customStyle="1" w:styleId="107">
    <w:name w:val="标题 4 Char"/>
    <w:link w:val="5"/>
    <w:autoRedefine/>
    <w:qFormat/>
    <w:uiPriority w:val="0"/>
    <w:rPr>
      <w:rFonts w:ascii="Arial" w:hAnsi="Arial" w:eastAsia="黑体"/>
      <w:b/>
      <w:kern w:val="2"/>
      <w:sz w:val="28"/>
      <w:szCs w:val="24"/>
    </w:rPr>
  </w:style>
  <w:style w:type="character" w:customStyle="1" w:styleId="108">
    <w:name w:val="日期 Char"/>
    <w:link w:val="18"/>
    <w:autoRedefine/>
    <w:qFormat/>
    <w:uiPriority w:val="0"/>
    <w:rPr>
      <w:rFonts w:ascii="Calibri" w:hAnsi="Calibri"/>
      <w:kern w:val="2"/>
      <w:sz w:val="21"/>
    </w:rPr>
  </w:style>
  <w:style w:type="character" w:customStyle="1" w:styleId="109">
    <w:name w:val="A4"/>
    <w:autoRedefine/>
    <w:qFormat/>
    <w:uiPriority w:val="0"/>
    <w:rPr>
      <w:rFonts w:hint="eastAsia" w:ascii="新宋体" w:hAnsi="新宋体" w:eastAsia="新宋体" w:cs="新宋体"/>
      <w:color w:val="000000"/>
    </w:rPr>
  </w:style>
  <w:style w:type="character" w:customStyle="1" w:styleId="110">
    <w:name w:val="纯文本 Char Char1"/>
    <w:autoRedefine/>
    <w:qFormat/>
    <w:uiPriority w:val="0"/>
    <w:rPr>
      <w:rFonts w:ascii="宋体" w:hAnsi="Courier New" w:eastAsia="宋体"/>
      <w:kern w:val="2"/>
      <w:sz w:val="21"/>
      <w:szCs w:val="24"/>
      <w:lang w:val="en-US" w:eastAsia="zh-CN" w:bidi="ar-SA"/>
    </w:rPr>
  </w:style>
  <w:style w:type="character" w:customStyle="1" w:styleId="111">
    <w:name w:val="文档结构图 字符1"/>
    <w:autoRedefine/>
    <w:semiHidden/>
    <w:qFormat/>
    <w:uiPriority w:val="0"/>
    <w:rPr>
      <w:rFonts w:ascii="Microsoft YaHei UI" w:hAnsi="Calibri" w:eastAsia="Microsoft YaHei UI"/>
      <w:kern w:val="2"/>
      <w:sz w:val="18"/>
      <w:szCs w:val="18"/>
    </w:rPr>
  </w:style>
  <w:style w:type="character" w:customStyle="1" w:styleId="112">
    <w:name w:val="HTML 预设格式 Char2"/>
    <w:link w:val="31"/>
    <w:autoRedefine/>
    <w:qFormat/>
    <w:uiPriority w:val="99"/>
    <w:rPr>
      <w:rFonts w:ascii="黑体" w:hAnsi="Courier New" w:eastAsia="黑体" w:cs="Courier New"/>
      <w:szCs w:val="21"/>
    </w:rPr>
  </w:style>
  <w:style w:type="character" w:customStyle="1" w:styleId="113">
    <w:name w:val="HTML 预设格式 字符1"/>
    <w:autoRedefine/>
    <w:qFormat/>
    <w:uiPriority w:val="0"/>
    <w:rPr>
      <w:rFonts w:ascii="Courier New" w:hAnsi="Courier New" w:cs="Courier New"/>
      <w:kern w:val="2"/>
    </w:rPr>
  </w:style>
  <w:style w:type="character" w:customStyle="1" w:styleId="114">
    <w:name w:val="font141"/>
    <w:basedOn w:val="38"/>
    <w:autoRedefine/>
    <w:qFormat/>
    <w:uiPriority w:val="0"/>
  </w:style>
  <w:style w:type="character" w:customStyle="1" w:styleId="115">
    <w:name w:val="HTML 预设格式 Char1"/>
    <w:autoRedefine/>
    <w:qFormat/>
    <w:uiPriority w:val="0"/>
    <w:rPr>
      <w:rFonts w:ascii="Courier New" w:hAnsi="Courier New" w:cs="Courier New"/>
      <w:kern w:val="2"/>
    </w:rPr>
  </w:style>
  <w:style w:type="character" w:customStyle="1" w:styleId="116">
    <w:name w:val="small"/>
    <w:basedOn w:val="38"/>
    <w:autoRedefine/>
    <w:qFormat/>
    <w:uiPriority w:val="0"/>
  </w:style>
  <w:style w:type="character" w:customStyle="1" w:styleId="117">
    <w:name w:val="正文缩进 Char"/>
    <w:link w:val="7"/>
    <w:autoRedefine/>
    <w:qFormat/>
    <w:uiPriority w:val="0"/>
    <w:rPr>
      <w:kern w:val="2"/>
      <w:sz w:val="21"/>
    </w:rPr>
  </w:style>
  <w:style w:type="character" w:customStyle="1" w:styleId="118">
    <w:name w:val="bold1"/>
    <w:autoRedefine/>
    <w:qFormat/>
    <w:uiPriority w:val="0"/>
    <w:rPr>
      <w:b/>
      <w:bCs/>
      <w:shd w:val="clear" w:color="auto" w:fill="FFFFFF"/>
    </w:rPr>
  </w:style>
  <w:style w:type="character" w:customStyle="1" w:styleId="119">
    <w:name w:val="标题 2 Char"/>
    <w:autoRedefine/>
    <w:qFormat/>
    <w:uiPriority w:val="0"/>
    <w:rPr>
      <w:rFonts w:ascii="Arial" w:hAnsi="Arial" w:eastAsia="黑体"/>
      <w:b/>
      <w:bCs/>
      <w:kern w:val="2"/>
      <w:sz w:val="32"/>
      <w:szCs w:val="32"/>
      <w:lang w:val="en-US" w:eastAsia="zh-CN" w:bidi="ar-SA"/>
    </w:rPr>
  </w:style>
  <w:style w:type="character" w:customStyle="1" w:styleId="120">
    <w:name w:val="标题 Char"/>
    <w:link w:val="33"/>
    <w:autoRedefine/>
    <w:qFormat/>
    <w:uiPriority w:val="0"/>
    <w:rPr>
      <w:rFonts w:ascii="Arial" w:hAnsi="Arial" w:cs="Arial"/>
      <w:b/>
      <w:bCs/>
      <w:kern w:val="2"/>
      <w:sz w:val="32"/>
      <w:szCs w:val="32"/>
    </w:rPr>
  </w:style>
  <w:style w:type="character" w:customStyle="1" w:styleId="121">
    <w:name w:val="正文文本 3 Char"/>
    <w:link w:val="11"/>
    <w:autoRedefine/>
    <w:qFormat/>
    <w:uiPriority w:val="0"/>
    <w:rPr>
      <w:kern w:val="2"/>
      <w:sz w:val="16"/>
      <w:szCs w:val="16"/>
    </w:rPr>
  </w:style>
  <w:style w:type="character" w:customStyle="1" w:styleId="122">
    <w:name w:val="正文文本 Char"/>
    <w:link w:val="12"/>
    <w:autoRedefine/>
    <w:qFormat/>
    <w:uiPriority w:val="0"/>
    <w:rPr>
      <w:kern w:val="2"/>
      <w:sz w:val="21"/>
    </w:rPr>
  </w:style>
  <w:style w:type="character" w:customStyle="1" w:styleId="123">
    <w:name w:val="正文文本缩进 Char"/>
    <w:link w:val="13"/>
    <w:autoRedefine/>
    <w:qFormat/>
    <w:uiPriority w:val="0"/>
    <w:rPr>
      <w:rFonts w:ascii="仿宋_GB2312" w:eastAsia="仿宋_GB2312"/>
      <w:kern w:val="2"/>
      <w:sz w:val="32"/>
    </w:rPr>
  </w:style>
  <w:style w:type="character" w:customStyle="1" w:styleId="124">
    <w:name w:val="正文文本缩进 3 Char"/>
    <w:link w:val="27"/>
    <w:autoRedefine/>
    <w:qFormat/>
    <w:uiPriority w:val="0"/>
    <w:rPr>
      <w:kern w:val="2"/>
      <w:sz w:val="21"/>
    </w:rPr>
  </w:style>
  <w:style w:type="character" w:customStyle="1" w:styleId="125">
    <w:name w:val="正文首行缩进 Char"/>
    <w:link w:val="35"/>
    <w:autoRedefine/>
    <w:qFormat/>
    <w:uiPriority w:val="0"/>
    <w:rPr>
      <w:kern w:val="2"/>
      <w:sz w:val="21"/>
      <w:szCs w:val="24"/>
    </w:rPr>
  </w:style>
  <w:style w:type="character" w:customStyle="1" w:styleId="126">
    <w:name w:val="页眉 字符1"/>
    <w:autoRedefine/>
    <w:semiHidden/>
    <w:qFormat/>
    <w:uiPriority w:val="99"/>
    <w:rPr>
      <w:kern w:val="2"/>
      <w:sz w:val="18"/>
      <w:szCs w:val="18"/>
    </w:rPr>
  </w:style>
  <w:style w:type="character" w:customStyle="1" w:styleId="127">
    <w:name w:val="页脚 字符1"/>
    <w:autoRedefine/>
    <w:semiHidden/>
    <w:qFormat/>
    <w:uiPriority w:val="99"/>
    <w:rPr>
      <w:kern w:val="2"/>
      <w:sz w:val="18"/>
      <w:szCs w:val="18"/>
    </w:rPr>
  </w:style>
  <w:style w:type="character" w:customStyle="1" w:styleId="128">
    <w:name w:val="批注框文本 字符1"/>
    <w:autoRedefine/>
    <w:semiHidden/>
    <w:qFormat/>
    <w:uiPriority w:val="99"/>
    <w:rPr>
      <w:kern w:val="2"/>
      <w:sz w:val="18"/>
      <w:szCs w:val="18"/>
    </w:rPr>
  </w:style>
  <w:style w:type="character" w:customStyle="1" w:styleId="129">
    <w:name w:val="普通文字1 Char"/>
    <w:autoRedefine/>
    <w:qFormat/>
    <w:uiPriority w:val="0"/>
    <w:rPr>
      <w:rFonts w:ascii="宋体" w:hAnsi="Courier New" w:eastAsia="宋体" w:cs="Courier New"/>
      <w:kern w:val="2"/>
      <w:sz w:val="21"/>
      <w:szCs w:val="21"/>
      <w:lang w:val="en-US" w:eastAsia="zh-CN" w:bidi="ar-SA"/>
    </w:rPr>
  </w:style>
  <w:style w:type="character" w:customStyle="1" w:styleId="130">
    <w:name w:val="正文文本 2 Char"/>
    <w:link w:val="30"/>
    <w:autoRedefine/>
    <w:qFormat/>
    <w:uiPriority w:val="0"/>
    <w:rPr>
      <w:kern w:val="2"/>
      <w:sz w:val="21"/>
      <w:szCs w:val="24"/>
    </w:rPr>
  </w:style>
  <w:style w:type="character" w:customStyle="1" w:styleId="131">
    <w:name w:val="HTML 预设格式 Char"/>
    <w:autoRedefine/>
    <w:qFormat/>
    <w:uiPriority w:val="99"/>
    <w:rPr>
      <w:rFonts w:ascii="黑体" w:hAnsi="Courier New" w:eastAsia="黑体" w:cs="Courier New"/>
    </w:rPr>
  </w:style>
  <w:style w:type="table" w:customStyle="1" w:styleId="132">
    <w:name w:val="网格型1"/>
    <w:basedOn w:val="36"/>
    <w:autoRedefine/>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3">
    <w:name w:val="网格型2"/>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3"/>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11"/>
    <w:basedOn w:val="36"/>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6">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37">
    <w:name w:val="font51"/>
    <w:basedOn w:val="38"/>
    <w:autoRedefine/>
    <w:qFormat/>
    <w:uiPriority w:val="0"/>
    <w:rPr>
      <w:rFonts w:hint="default" w:ascii="Times New Roman" w:hAnsi="Times New Roman" w:cs="Times New Roman"/>
      <w:color w:val="000000"/>
      <w:sz w:val="18"/>
      <w:szCs w:val="18"/>
      <w:u w:val="none"/>
    </w:rPr>
  </w:style>
  <w:style w:type="paragraph" w:customStyle="1" w:styleId="13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39">
    <w:name w:val="_Style 138"/>
    <w:basedOn w:val="1"/>
    <w:next w:val="102"/>
    <w:autoRedefine/>
    <w:qFormat/>
    <w:uiPriority w:val="0"/>
    <w:pPr>
      <w:ind w:firstLine="420" w:firstLineChars="200"/>
    </w:pPr>
    <w:rPr>
      <w:lang w:val="zh-CN"/>
    </w:rPr>
  </w:style>
  <w:style w:type="paragraph" w:styleId="140">
    <w:name w:val="List Paragraph"/>
    <w:basedOn w:val="1"/>
    <w:autoRedefine/>
    <w:qFormat/>
    <w:uiPriority w:val="34"/>
    <w:pPr>
      <w:ind w:firstLine="420" w:firstLineChars="200"/>
    </w:pPr>
  </w:style>
  <w:style w:type="table" w:customStyle="1" w:styleId="14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19</Pages>
  <Words>1647</Words>
  <Characters>9392</Characters>
  <Lines>78</Lines>
  <Paragraphs>22</Paragraphs>
  <TotalTime>0</TotalTime>
  <ScaleCrop>false</ScaleCrop>
  <LinksUpToDate>false</LinksUpToDate>
  <CharactersWithSpaces>11017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2024-01-19T08:59:00Z</dcterms:created>
  <dc:creator>Administrator</dc:creator>
  <cp:lastModifiedBy>陆启文</cp:lastModifiedBy>
  <dcterms:modified xsi:type="dcterms:W3CDTF">2024-01-23T03:55:20Z</dcterms:modified>
  <dc:title>竞价文件</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022907FD411C44CD925223CBC9E1702F_13</vt:lpwstr>
  </property>
</Properties>
</file>