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7"/>
        <w:snapToGrid w:val="0"/>
        <w:spacing w:beforeLines="50"/>
        <w:jc w:val="center"/>
        <w:rPr>
          <w:rFonts w:ascii="宋体" w:hAnsi="宋体" w:cs="Calibri"/>
          <w:b/>
          <w:color w:val="000000" w:themeColor="text1"/>
          <w:sz w:val="84"/>
          <w:szCs w:val="84"/>
          <w14:textFill>
            <w14:solidFill>
              <w14:schemeClr w14:val="tx1"/>
            </w14:solidFill>
          </w14:textFill>
        </w:rPr>
      </w:pPr>
    </w:p>
    <w:p>
      <w:pPr>
        <w:pStyle w:val="47"/>
        <w:snapToGrid w:val="0"/>
        <w:spacing w:beforeLines="50"/>
        <w:jc w:val="center"/>
        <w:rPr>
          <w:rFonts w:ascii="宋体" w:hAnsi="宋体" w:cs="Calibri"/>
          <w:b/>
          <w:color w:val="000000" w:themeColor="text1"/>
          <w:sz w:val="84"/>
          <w:szCs w:val="84"/>
          <w14:textFill>
            <w14:solidFill>
              <w14:schemeClr w14:val="tx1"/>
            </w14:solidFill>
          </w14:textFill>
        </w:rPr>
      </w:pPr>
    </w:p>
    <w:p>
      <w:pPr>
        <w:pStyle w:val="47"/>
        <w:snapToGrid w:val="0"/>
        <w:spacing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pPr>
        <w:pStyle w:val="47"/>
        <w:spacing w:line="360" w:lineRule="auto"/>
        <w:jc w:val="center"/>
        <w:rPr>
          <w:rFonts w:ascii="宋体" w:hAnsi="宋体" w:cs="Calibri"/>
          <w:b/>
          <w:bCs/>
          <w:color w:val="000000" w:themeColor="text1"/>
          <w:sz w:val="24"/>
          <w14:textFill>
            <w14:solidFill>
              <w14:schemeClr w14:val="tx1"/>
            </w14:solidFill>
          </w14:textFill>
        </w:rPr>
      </w:pPr>
    </w:p>
    <w:p>
      <w:pPr>
        <w:pStyle w:val="47"/>
        <w:spacing w:line="360" w:lineRule="auto"/>
        <w:rPr>
          <w:rFonts w:ascii="宋体" w:hAnsi="宋体" w:cs="Calibri"/>
          <w:color w:val="000000" w:themeColor="text1"/>
          <w:sz w:val="30"/>
          <w:szCs w:val="30"/>
          <w14:textFill>
            <w14:solidFill>
              <w14:schemeClr w14:val="tx1"/>
            </w14:solidFill>
          </w14:textFill>
        </w:rPr>
      </w:pPr>
    </w:p>
    <w:p>
      <w:pPr>
        <w:pStyle w:val="47"/>
        <w:spacing w:line="360" w:lineRule="auto"/>
        <w:rPr>
          <w:rFonts w:ascii="宋体" w:hAnsi="宋体" w:cs="Calibri"/>
          <w:color w:val="000000" w:themeColor="text1"/>
          <w:sz w:val="30"/>
          <w:szCs w:val="30"/>
          <w14:textFill>
            <w14:solidFill>
              <w14:schemeClr w14:val="tx1"/>
            </w14:solidFill>
          </w14:textFill>
        </w:rPr>
      </w:pPr>
    </w:p>
    <w:p>
      <w:pPr>
        <w:pStyle w:val="47"/>
        <w:spacing w:line="360" w:lineRule="auto"/>
        <w:rPr>
          <w:rFonts w:ascii="宋体" w:hAnsi="宋体" w:cs="Calibri"/>
          <w:color w:val="000000" w:themeColor="text1"/>
          <w:sz w:val="30"/>
          <w:szCs w:val="30"/>
          <w14:textFill>
            <w14:solidFill>
              <w14:schemeClr w14:val="tx1"/>
            </w14:solidFill>
          </w14:textFill>
        </w:rPr>
      </w:pPr>
    </w:p>
    <w:p>
      <w:pPr>
        <w:pStyle w:val="47"/>
        <w:spacing w:line="360" w:lineRule="auto"/>
        <w:rPr>
          <w:rFonts w:ascii="宋体" w:hAnsi="宋体" w:cs="Calibri"/>
          <w:color w:val="000000" w:themeColor="text1"/>
          <w:sz w:val="30"/>
          <w:szCs w:val="30"/>
          <w14:textFill>
            <w14:solidFill>
              <w14:schemeClr w14:val="tx1"/>
            </w14:solidFill>
          </w14:textFill>
        </w:rPr>
      </w:pPr>
    </w:p>
    <w:p>
      <w:pPr>
        <w:pStyle w:val="47"/>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pPr>
        <w:widowControl/>
        <w:jc w:val="left"/>
        <w:rPr>
          <w:rFonts w:ascii="宋体" w:hAnsi="宋体" w:cs="Calibri"/>
          <w:b/>
          <w:bCs/>
          <w:color w:val="000000" w:themeColor="text1"/>
          <w:w w:val="95"/>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bookmarkStart w:id="0" w:name="_Hlk48529998"/>
      <w:r>
        <w:rPr>
          <w:rFonts w:hint="eastAsia" w:ascii="宋体" w:hAnsi="宋体" w:cs="宋体"/>
          <w:b/>
          <w:w w:val="95"/>
          <w:sz w:val="28"/>
          <w:szCs w:val="28"/>
        </w:rPr>
        <w:t>顺德分公司本部大楼2024-2026年度消防系统维护保养项目</w:t>
      </w:r>
    </w:p>
    <w:p>
      <w:pPr>
        <w:pStyle w:val="47"/>
        <w:tabs>
          <w:tab w:val="left" w:pos="2790"/>
        </w:tabs>
        <w:spacing w:line="360" w:lineRule="auto"/>
        <w:ind w:left="1405" w:hanging="1405" w:hangingChars="500"/>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项目编号：</w:t>
      </w:r>
      <w:bookmarkEnd w:id="0"/>
      <w:r>
        <w:rPr>
          <w:rFonts w:hint="eastAsia" w:ascii="宋体" w:hAnsi="宋体" w:cs="Calibri"/>
          <w:b/>
          <w:bCs/>
          <w:color w:val="000000" w:themeColor="text1"/>
          <w:sz w:val="28"/>
          <w:szCs w:val="32"/>
          <w14:textFill>
            <w14:solidFill>
              <w14:schemeClr w14:val="tx1"/>
            </w14:solidFill>
          </w14:textFill>
        </w:rPr>
        <w:t>SDZH202404S136</w:t>
      </w:r>
    </w:p>
    <w:p>
      <w:pPr>
        <w:pStyle w:val="47"/>
        <w:tabs>
          <w:tab w:val="left" w:pos="2790"/>
        </w:tabs>
        <w:spacing w:line="360" w:lineRule="auto"/>
        <w:ind w:left="1500" w:hanging="1500" w:hangingChars="500"/>
        <w:jc w:val="left"/>
        <w:rPr>
          <w:rFonts w:ascii="宋体" w:hAnsi="宋体" w:cs="华文中宋"/>
          <w:color w:val="000000" w:themeColor="text1"/>
          <w:sz w:val="30"/>
          <w:szCs w:val="30"/>
          <w14:textFill>
            <w14:solidFill>
              <w14:schemeClr w14:val="tx1"/>
            </w14:solidFill>
          </w14:textFill>
        </w:rPr>
      </w:pPr>
    </w:p>
    <w:p>
      <w:pPr>
        <w:pStyle w:val="47"/>
        <w:autoSpaceDE w:val="0"/>
        <w:autoSpaceDN w:val="0"/>
        <w:adjustRightInd w:val="0"/>
        <w:snapToGrid w:val="0"/>
        <w:spacing w:beforeLines="50" w:afterLines="50" w:line="360" w:lineRule="auto"/>
        <w:jc w:val="left"/>
        <w:rPr>
          <w:rFonts w:ascii="宋体" w:hAnsi="宋体" w:cs="华文中宋"/>
          <w:color w:val="000000" w:themeColor="text1"/>
          <w:kern w:val="0"/>
          <w:sz w:val="30"/>
          <w:szCs w:val="30"/>
          <w14:textFill>
            <w14:solidFill>
              <w14:schemeClr w14:val="tx1"/>
            </w14:solidFill>
          </w14:textFill>
        </w:rPr>
      </w:pPr>
    </w:p>
    <w:p>
      <w:pPr>
        <w:pStyle w:val="47"/>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广东省广播电视网络股份有限公司佛山顺德分公司</w:t>
      </w:r>
    </w:p>
    <w:p>
      <w:pPr>
        <w:pStyle w:val="47"/>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pPr>
        <w:pStyle w:val="47"/>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二零二四年五月</w:t>
      </w:r>
    </w:p>
    <w:p>
      <w:pPr>
        <w:pStyle w:val="47"/>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竞价须知</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pPr>
        <w:numPr>
          <w:ilvl w:val="0"/>
          <w:numId w:val="2"/>
        </w:numPr>
        <w:spacing w:line="360" w:lineRule="auto"/>
        <w:ind w:left="-420" w:leftChars="0" w:firstLineChars="0"/>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若成交供应商自身原因无法完成本项目，则采购人有权利保留追究责任。</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成交供应商因自身原因被取消成交资格，采购人可重新启动采购或按竞价公告规定顺延推选符合要求的供应商作为成交人。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成交供应商若无正当理由恶意放弃成交资格，采购人有权将拒绝其参加本项目重新组织的竞价采购活动。</w:t>
      </w:r>
    </w:p>
    <w:p>
      <w:pPr>
        <w:pStyle w:val="49"/>
        <w:numPr>
          <w:ilvl w:val="0"/>
          <w:numId w:val="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采购人有权拒绝接受任何不合格的货物或服务，由此产生的费用及相关后果均由成交供应商自行承担；</w:t>
      </w:r>
    </w:p>
    <w:p>
      <w:pPr>
        <w:pStyle w:val="46"/>
        <w:numPr>
          <w:ilvl w:val="0"/>
          <w:numId w:val="3"/>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pPr>
        <w:numPr>
          <w:ilvl w:val="0"/>
          <w:numId w:val="2"/>
        </w:numPr>
        <w:spacing w:line="360" w:lineRule="auto"/>
        <w:ind w:left="-420" w:leftChars="0" w:firstLineChars="0"/>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采购人或者采购代理机构发出的澄清或修改（更正/变更）的内容为竞价文件的组成部分，并对供应商具有约束力。</w:t>
      </w:r>
    </w:p>
    <w:p>
      <w:pPr>
        <w:numPr>
          <w:ilvl w:val="0"/>
          <w:numId w:val="2"/>
        </w:numPr>
        <w:spacing w:line="360" w:lineRule="auto"/>
        <w:ind w:left="-420" w:leftChars="0" w:firstLineChars="0"/>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报名要求（</w:t>
      </w: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b/>
          <w:bCs/>
          <w:color w:val="000000" w:themeColor="text1"/>
          <w:szCs w:val="21"/>
          <w14:textFill>
            <w14:solidFill>
              <w14:schemeClr w14:val="tx1"/>
            </w14:solidFill>
          </w14:textFill>
        </w:rPr>
        <w:t>供应商资质要求</w:t>
      </w:r>
      <w:r>
        <w:rPr>
          <w:rFonts w:ascii="宋体" w:hAnsi="宋体" w:cs="宋体"/>
          <w:b/>
          <w:bCs/>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报名时需要提供以下盖章资料</w:t>
      </w:r>
      <w:r>
        <w:rPr>
          <w:rFonts w:hint="eastAsia" w:ascii="宋体" w:hAnsi="宋体" w:cs="宋体"/>
          <w:color w:val="000000" w:themeColor="text1"/>
          <w:szCs w:val="21"/>
          <w14:textFill>
            <w14:solidFill>
              <w14:schemeClr w14:val="tx1"/>
            </w14:solidFill>
          </w14:textFill>
        </w:rPr>
        <w:t>，并对上传的报名文件资料承担责任</w:t>
      </w:r>
      <w:r>
        <w:rPr>
          <w:rFonts w:hint="eastAsia" w:ascii="宋体" w:hAnsi="宋体" w:cs="宋体"/>
          <w:b/>
          <w:bCs/>
          <w:color w:val="000000" w:themeColor="text1"/>
          <w:szCs w:val="21"/>
          <w14:textFill>
            <w14:solidFill>
              <w14:schemeClr w14:val="tx1"/>
            </w14:solidFill>
          </w14:textFill>
        </w:rPr>
        <w:t>）</w:t>
      </w:r>
    </w:p>
    <w:p>
      <w:pPr>
        <w:pStyle w:val="49"/>
        <w:numPr>
          <w:ilvl w:val="0"/>
          <w:numId w:val="5"/>
        </w:numPr>
        <w:spacing w:line="360" w:lineRule="auto"/>
        <w:ind w:left="635" w:leftChars="0" w:firstLineChars="0"/>
        <w:rPr>
          <w:rFonts w:ascii="宋体" w:hAnsi="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w:t>
      </w:r>
      <w:r>
        <w:rPr>
          <w:rFonts w:hint="eastAsia" w:ascii="宋体" w:hAnsi="宋体"/>
          <w:color w:val="000000" w:themeColor="text1"/>
          <w14:textFill>
            <w14:solidFill>
              <w14:schemeClr w14:val="tx1"/>
            </w14:solidFill>
          </w14:textFill>
        </w:rPr>
        <w:t>供应商须具有独立承担民事责任能力的在中华人民共和国境内注册的法人、其他组织，提供有效的营业执照或法人登记证书复印件。如为独立法人设立的分支机构参加竞价，报价人需提供独立法人出具的唯一竞价授权书，授权书需明确报价人的权限范围，并提交独立法人有效的营业执照或法人登记证书复印件。</w:t>
      </w:r>
    </w:p>
    <w:p>
      <w:pPr>
        <w:pStyle w:val="49"/>
        <w:numPr>
          <w:ilvl w:val="0"/>
          <w:numId w:val="5"/>
        </w:numPr>
        <w:spacing w:line="360" w:lineRule="auto"/>
        <w:ind w:left="635" w:leftChars="0"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项目供应商不得存在下列情形之一：被责令停业的；被暂停或取消竞价资格的；财产被接管或冻结的；在最近三年内有骗取中标或严重违约的；在竞价过程中因重大违规被采购人处罚的；在“信用中国”（www.creditchina.gov.cn）、中国政府采购网（www.ccgp.gov.cn）被列入失信被执行人、重大税收违法失信主体、政府采购严重违法失信行为记录名单。</w:t>
      </w:r>
      <w:r>
        <w:rPr>
          <w:rFonts w:hint="eastAsia" w:ascii="宋体" w:hAnsi="宋体" w:cs="宋体"/>
          <w:szCs w:val="21"/>
        </w:rPr>
        <w:t>本项目不接受联合体，不得转包、不得分包。</w:t>
      </w:r>
      <w:r>
        <w:rPr>
          <w:rFonts w:hint="eastAsia" w:ascii="宋体" w:hAnsi="宋体"/>
          <w:color w:val="000000" w:themeColor="text1"/>
          <w14:textFill>
            <w14:solidFill>
              <w14:schemeClr w14:val="tx1"/>
            </w14:solidFill>
          </w14:textFill>
        </w:rPr>
        <w:t>供应商须提供承诺函，格式详见附件；</w:t>
      </w:r>
    </w:p>
    <w:p>
      <w:pPr>
        <w:pStyle w:val="49"/>
        <w:numPr>
          <w:ilvl w:val="0"/>
          <w:numId w:val="5"/>
        </w:numPr>
        <w:spacing w:line="360" w:lineRule="auto"/>
        <w:ind w:left="635" w:leftChars="0" w:firstLineChars="0"/>
        <w:rPr>
          <w:rFonts w:ascii="宋体" w:hAnsi="宋体" w:cs="宋体"/>
          <w:b/>
          <w:bCs/>
          <w:szCs w:val="21"/>
        </w:rPr>
      </w:pPr>
      <w:r>
        <w:rPr>
          <w:rFonts w:hint="eastAsia" w:ascii="宋体" w:hAnsi="宋体" w:cs="宋体"/>
          <w:szCs w:val="21"/>
        </w:rPr>
        <w:t>供应商具备应急管理部制定的《社会消防技术服务管理规定》（应急管理部令第7号）的要求，已在社会消防技术服务信息系统（服务类型包含消防设施维护保养检测）登记注册并审核通过（附网页截图）；</w:t>
      </w:r>
    </w:p>
    <w:p>
      <w:pPr>
        <w:pStyle w:val="49"/>
        <w:numPr>
          <w:ilvl w:val="0"/>
          <w:numId w:val="5"/>
        </w:numPr>
        <w:spacing w:line="360" w:lineRule="auto"/>
        <w:ind w:left="635" w:leftChars="0" w:firstLineChars="0"/>
        <w:rPr>
          <w:rFonts w:ascii="宋体" w:hAnsi="宋体" w:cs="宋体"/>
          <w:b/>
          <w:bCs/>
          <w:szCs w:val="21"/>
        </w:rPr>
      </w:pPr>
      <w:r>
        <w:rPr>
          <w:rFonts w:hint="eastAsia" w:ascii="宋体" w:hAnsi="宋体" w:cs="宋体"/>
          <w:szCs w:val="21"/>
        </w:rPr>
        <w:t>供应商具有消防主管部门审核批准的二级以上（含二级）消防设施工程专业承包企业资质证书（提供证书复印件并加盖公章）。</w:t>
      </w:r>
    </w:p>
    <w:p>
      <w:pPr>
        <w:numPr>
          <w:ilvl w:val="0"/>
          <w:numId w:val="2"/>
        </w:numPr>
        <w:spacing w:line="360" w:lineRule="auto"/>
        <w:ind w:left="-420" w:leftChars="0" w:firstLineChars="0"/>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报价要求（报价时需要提供以下盖章资料</w:t>
      </w:r>
      <w:r>
        <w:rPr>
          <w:rFonts w:hint="eastAsia" w:ascii="宋体" w:hAnsi="宋体" w:cs="宋体"/>
          <w:color w:val="000000" w:themeColor="text1"/>
          <w:szCs w:val="21"/>
          <w14:textFill>
            <w14:solidFill>
              <w14:schemeClr w14:val="tx1"/>
            </w14:solidFill>
          </w14:textFill>
        </w:rPr>
        <w:t>，并对上传的竞价文件资料承担责任</w:t>
      </w:r>
      <w:r>
        <w:rPr>
          <w:rFonts w:hint="eastAsia" w:ascii="宋体" w:hAnsi="宋体" w:cs="宋体"/>
          <w:b/>
          <w:bCs/>
          <w:color w:val="000000" w:themeColor="text1"/>
          <w:szCs w:val="21"/>
          <w14:textFill>
            <w14:solidFill>
              <w14:schemeClr w14:val="tx1"/>
            </w14:solidFill>
          </w14:textFill>
        </w:rPr>
        <w:t>）</w:t>
      </w:r>
    </w:p>
    <w:p>
      <w:pPr>
        <w:numPr>
          <w:ilvl w:val="0"/>
          <w:numId w:val="6"/>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宋体" w:hAnsi="宋体" w:cs="宋体"/>
          <w:color w:val="000000" w:themeColor="text1"/>
          <w:szCs w:val="21"/>
          <w:lang w:eastAsia="zh-TW"/>
          <w14:textFill>
            <w14:solidFill>
              <w14:schemeClr w14:val="tx1"/>
            </w14:solidFill>
          </w14:textFill>
        </w:rPr>
        <w:t>、真实、准确地</w:t>
      </w:r>
      <w:r>
        <w:rPr>
          <w:rFonts w:hint="eastAsia" w:ascii="宋体" w:hAnsi="宋体" w:cs="宋体"/>
          <w:color w:val="000000" w:themeColor="text1"/>
          <w:szCs w:val="21"/>
          <w14:textFill>
            <w14:solidFill>
              <w14:schemeClr w14:val="tx1"/>
            </w14:solidFill>
          </w14:textFill>
        </w:rPr>
        <w:t>填写并上传相应</w:t>
      </w:r>
      <w:r>
        <w:rPr>
          <w:rFonts w:hint="eastAsia" w:ascii="宋体" w:hAnsi="宋体" w:cs="宋体"/>
          <w:b/>
          <w:bCs/>
          <w:color w:val="000000" w:themeColor="text1"/>
          <w:szCs w:val="21"/>
          <w14:textFill>
            <w14:solidFill>
              <w14:schemeClr w14:val="tx1"/>
            </w14:solidFill>
          </w14:textFill>
        </w:rPr>
        <w:t>报价附件（报价表）</w:t>
      </w:r>
      <w:r>
        <w:rPr>
          <w:rFonts w:hint="eastAsia" w:ascii="宋体" w:hAnsi="宋体" w:cs="宋体"/>
          <w:color w:val="000000" w:themeColor="text1"/>
          <w:szCs w:val="21"/>
          <w14:textFill>
            <w14:solidFill>
              <w14:schemeClr w14:val="tx1"/>
            </w14:solidFill>
          </w14:textFill>
        </w:rPr>
        <w:t>。</w:t>
      </w:r>
    </w:p>
    <w:p>
      <w:pPr>
        <w:pStyle w:val="49"/>
        <w:numPr>
          <w:ilvl w:val="0"/>
          <w:numId w:val="6"/>
        </w:numPr>
        <w:spacing w:line="360" w:lineRule="auto"/>
        <w:ind w:left="635" w:leftChars="0"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numPr>
          <w:ilvl w:val="0"/>
          <w:numId w:val="2"/>
        </w:numPr>
        <w:spacing w:line="360" w:lineRule="auto"/>
        <w:ind w:left="-420" w:leftChars="0" w:firstLineChars="0"/>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pPr>
        <w:numPr>
          <w:ilvl w:val="0"/>
          <w:numId w:val="7"/>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如各报价供应商提供的税率不一致时，则分别按下述规定计算各价格，如全部报价供应商税率都一致则无需转换价格。</w:t>
      </w:r>
    </w:p>
    <w:tbl>
      <w:tblPr>
        <w:tblStyle w:val="37"/>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报价供应商提供的发票类型</w:t>
            </w:r>
          </w:p>
        </w:tc>
        <w:tc>
          <w:tcPr>
            <w:tcW w:w="326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增值税专用发票</w:t>
            </w:r>
          </w:p>
        </w:tc>
        <w:tc>
          <w:tcPr>
            <w:tcW w:w="326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报价/（1+增值税率）</w:t>
            </w:r>
          </w:p>
        </w:tc>
      </w:tr>
    </w:tbl>
    <w:p>
      <w:pPr>
        <w:numPr>
          <w:ilvl w:val="0"/>
          <w:numId w:val="2"/>
        </w:numPr>
        <w:spacing w:line="360" w:lineRule="auto"/>
        <w:ind w:left="-420" w:leftChars="0" w:firstLineChars="0"/>
        <w:rPr>
          <w:rFonts w:ascii="宋体" w:hAnsi="宋体"/>
          <w:b/>
          <w:bCs/>
          <w:color w:val="000000" w:themeColor="text1"/>
          <w:szCs w:val="21"/>
          <w14:textFill>
            <w14:solidFill>
              <w14:schemeClr w14:val="tx1"/>
            </w14:solidFill>
          </w14:textFill>
        </w:rPr>
      </w:pPr>
      <w:bookmarkStart w:id="1" w:name="_Hlk54791406"/>
      <w:r>
        <w:rPr>
          <w:rFonts w:hint="eastAsia" w:ascii="宋体" w:hAnsi="宋体" w:cs="宋体"/>
          <w:b/>
          <w:bCs/>
          <w:color w:val="000000" w:themeColor="text1"/>
          <w:szCs w:val="21"/>
          <w14:textFill>
            <w14:solidFill>
              <w14:schemeClr w14:val="tx1"/>
            </w14:solidFill>
          </w14:textFill>
        </w:rPr>
        <w:t>无效报价</w:t>
      </w:r>
    </w:p>
    <w:p>
      <w:pPr>
        <w:pStyle w:val="49"/>
        <w:numPr>
          <w:ilvl w:val="0"/>
          <w:numId w:val="8"/>
        </w:numPr>
        <w:spacing w:line="360" w:lineRule="auto"/>
        <w:ind w:left="635" w:leftChars="0"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参与竞价的供应商报价超过最高限价或低于最低限价或超过项目对应产品单项最高限价的视为无效报价。</w:t>
      </w:r>
    </w:p>
    <w:p>
      <w:pPr>
        <w:numPr>
          <w:ilvl w:val="0"/>
          <w:numId w:val="8"/>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pPr>
        <w:numPr>
          <w:ilvl w:val="0"/>
          <w:numId w:val="8"/>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pPr>
        <w:numPr>
          <w:ilvl w:val="0"/>
          <w:numId w:val="8"/>
        </w:numPr>
        <w:spacing w:line="360" w:lineRule="auto"/>
        <w:ind w:left="635" w:leftChars="0" w:firstLineChars="0"/>
        <w:rPr>
          <w:rFonts w:ascii="宋体" w:hAnsi="宋体"/>
          <w:color w:val="000000" w:themeColor="text1"/>
          <w:szCs w:val="21"/>
          <w14:textFill>
            <w14:solidFill>
              <w14:schemeClr w14:val="tx1"/>
            </w14:solidFill>
          </w14:textFill>
        </w:rPr>
      </w:pPr>
      <w:r>
        <w:rPr>
          <w:rFonts w:ascii="宋体" w:hAnsi="宋体"/>
          <w:color w:val="000000" w:themeColor="text1"/>
          <w:u w:val="double"/>
          <w14:textFill>
            <w14:solidFill>
              <w14:schemeClr w14:val="tx1"/>
            </w14:solidFill>
          </w14:textFill>
        </w:rPr>
        <w:t>报价表</w:t>
      </w:r>
      <w:r>
        <w:rPr>
          <w:rFonts w:hint="eastAsia" w:ascii="宋体" w:hAnsi="宋体"/>
          <w:color w:val="000000" w:themeColor="text1"/>
          <w:u w:val="double"/>
          <w14:textFill>
            <w14:solidFill>
              <w14:schemeClr w14:val="tx1"/>
            </w14:solidFill>
          </w14:textFill>
        </w:rPr>
        <w:t>以及有报价供应商落款的报价文件</w:t>
      </w:r>
      <w:r>
        <w:rPr>
          <w:rFonts w:ascii="宋体" w:hAnsi="宋体"/>
          <w:color w:val="000000" w:themeColor="text1"/>
          <w:u w:val="double"/>
          <w14:textFill>
            <w14:solidFill>
              <w14:schemeClr w14:val="tx1"/>
            </w14:solidFill>
          </w14:textFill>
        </w:rPr>
        <w:t>必须加盖</w:t>
      </w:r>
      <w:r>
        <w:rPr>
          <w:rFonts w:hint="eastAsia" w:ascii="宋体" w:hAnsi="宋体"/>
          <w:color w:val="000000" w:themeColor="text1"/>
          <w:u w:val="double"/>
          <w14:textFill>
            <w14:solidFill>
              <w14:schemeClr w14:val="tx1"/>
            </w14:solidFill>
          </w14:textFill>
        </w:rPr>
        <w:t>报价供应商</w:t>
      </w:r>
      <w:r>
        <w:rPr>
          <w:rFonts w:ascii="宋体" w:hAnsi="宋体"/>
          <w:color w:val="000000" w:themeColor="text1"/>
          <w:u w:val="double"/>
          <w14:textFill>
            <w14:solidFill>
              <w14:schemeClr w14:val="tx1"/>
            </w14:solidFill>
          </w14:textFill>
        </w:rPr>
        <w:t>公章，否则视为无效报价</w:t>
      </w:r>
    </w:p>
    <w:p>
      <w:pPr>
        <w:pStyle w:val="49"/>
        <w:numPr>
          <w:ilvl w:val="0"/>
          <w:numId w:val="8"/>
        </w:numPr>
        <w:spacing w:line="360" w:lineRule="auto"/>
        <w:ind w:left="635" w:leftChars="0"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49"/>
        <w:numPr>
          <w:ilvl w:val="0"/>
          <w:numId w:val="8"/>
        </w:numPr>
        <w:spacing w:line="360" w:lineRule="auto"/>
        <w:ind w:left="635" w:leftChars="0"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按有关法律、法规、规章属于报价无效的。</w:t>
      </w:r>
    </w:p>
    <w:p>
      <w:pPr>
        <w:numPr>
          <w:ilvl w:val="0"/>
          <w:numId w:val="8"/>
        </w:numPr>
        <w:shd w:val="clear" w:color="auto" w:fill="FFFFFF"/>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pPr>
        <w:numPr>
          <w:ilvl w:val="0"/>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pPr>
        <w:numPr>
          <w:ilvl w:val="0"/>
          <w:numId w:val="2"/>
        </w:numPr>
        <w:spacing w:line="360" w:lineRule="auto"/>
        <w:ind w:left="-420" w:leftChars="0" w:firstLineChars="0"/>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pPr>
        <w:numPr>
          <w:ilvl w:val="0"/>
          <w:numId w:val="10"/>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pPr>
        <w:numPr>
          <w:ilvl w:val="0"/>
          <w:numId w:val="10"/>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pPr>
        <w:numPr>
          <w:ilvl w:val="0"/>
          <w:numId w:val="10"/>
        </w:numPr>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pPr>
        <w:numPr>
          <w:ilvl w:val="0"/>
          <w:numId w:val="2"/>
        </w:numPr>
        <w:spacing w:line="360" w:lineRule="auto"/>
        <w:ind w:left="-420" w:leftChars="0" w:firstLineChars="0"/>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pPr>
        <w:numPr>
          <w:ilvl w:val="0"/>
          <w:numId w:val="11"/>
        </w:numPr>
        <w:tabs>
          <w:tab w:val="left" w:pos="425"/>
        </w:tabs>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成交供应商须向平台服务商云采链线上采购一体化平台缴纳平台使用费，金额为成交金额的1.5%（四舍五入取整数）。</w:t>
      </w:r>
    </w:p>
    <w:p>
      <w:pPr>
        <w:numPr>
          <w:ilvl w:val="0"/>
          <w:numId w:val="11"/>
        </w:numPr>
        <w:tabs>
          <w:tab w:val="left" w:pos="425"/>
        </w:tabs>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成交供应商无正当理由放弃成交资格的必须按竞价公告等相关规定缴纳相应的平台使用费；</w:t>
      </w:r>
    </w:p>
    <w:p>
      <w:pPr>
        <w:numPr>
          <w:ilvl w:val="0"/>
          <w:numId w:val="11"/>
        </w:numPr>
        <w:tabs>
          <w:tab w:val="left" w:pos="425"/>
        </w:tabs>
        <w:spacing w:line="360" w:lineRule="auto"/>
        <w:ind w:left="635" w:leftChars="0" w:firstLineChars="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pPr>
        <w:numPr>
          <w:ilvl w:val="0"/>
          <w:numId w:val="2"/>
        </w:numPr>
        <w:spacing w:line="360" w:lineRule="auto"/>
        <w:ind w:left="-420" w:leftChars="0" w:firstLineChars="0"/>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pPr>
        <w:widowControl/>
        <w:jc w:val="center"/>
        <w:rPr>
          <w:rFonts w:ascii="宋体" w:hAnsi="宋体" w:cs="宋体"/>
          <w:b/>
          <w:bCs/>
          <w:color w:val="000000" w:themeColor="text1"/>
          <w:sz w:val="32"/>
          <w:szCs w:val="32"/>
          <w14:textFill>
            <w14:solidFill>
              <w14:schemeClr w14:val="tx1"/>
            </w14:solidFill>
          </w14:textFill>
        </w:rPr>
        <w:sectPr>
          <w:pgSz w:w="11906" w:h="16838"/>
          <w:pgMar w:top="1440" w:right="1800" w:bottom="1440" w:left="1800" w:header="851" w:footer="992" w:gutter="0"/>
          <w:cols w:space="720" w:num="1"/>
          <w:docGrid w:type="lines" w:linePitch="312" w:charSpace="0"/>
        </w:sect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p>
    <w:p>
      <w:pPr>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第二章 采购需求书</w:t>
      </w:r>
    </w:p>
    <w:p>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bookmarkEnd w:id="1"/>
    <w:p>
      <w:pPr>
        <w:numPr>
          <w:ilvl w:val="0"/>
          <w:numId w:val="12"/>
        </w:numPr>
        <w:spacing w:line="360" w:lineRule="auto"/>
        <w:rPr>
          <w:rFonts w:ascii="宋体" w:hAnsi="宋体" w:cs="宋体"/>
          <w:szCs w:val="21"/>
        </w:rPr>
      </w:pPr>
      <w:r>
        <w:rPr>
          <w:rFonts w:hint="eastAsia" w:ascii="宋体" w:hAnsi="宋体" w:cs="宋体"/>
          <w:szCs w:val="21"/>
        </w:rPr>
        <w:t>项目编号：SDZH202404S136</w:t>
      </w:r>
    </w:p>
    <w:p>
      <w:pPr>
        <w:numPr>
          <w:ilvl w:val="0"/>
          <w:numId w:val="12"/>
        </w:numPr>
        <w:spacing w:line="360" w:lineRule="auto"/>
        <w:rPr>
          <w:rFonts w:ascii="宋体" w:hAnsi="宋体" w:cs="宋体"/>
          <w:szCs w:val="21"/>
        </w:rPr>
      </w:pPr>
      <w:r>
        <w:rPr>
          <w:rFonts w:hint="eastAsia" w:ascii="宋体" w:hAnsi="宋体" w:cs="宋体"/>
          <w:szCs w:val="21"/>
        </w:rPr>
        <w:t>项目名称：顺德分公司本部大楼2024-2026年度消防系统维护保养项目</w:t>
      </w:r>
    </w:p>
    <w:p>
      <w:pPr>
        <w:numPr>
          <w:ilvl w:val="0"/>
          <w:numId w:val="12"/>
        </w:numPr>
        <w:spacing w:line="360" w:lineRule="auto"/>
        <w:rPr>
          <w:rFonts w:ascii="宋体" w:hAnsi="宋体" w:cs="宋体"/>
          <w:szCs w:val="21"/>
        </w:rPr>
      </w:pPr>
      <w:r>
        <w:rPr>
          <w:rFonts w:hint="eastAsia" w:ascii="宋体" w:hAnsi="宋体" w:cs="宋体"/>
          <w:szCs w:val="21"/>
        </w:rPr>
        <w:t>项目内容：顺德分公司本部大楼（含主楼和副楼）及德冠仓库的消防系统包括火灾自动报警及联动控制系统，自动水喷淋灭火系统，室内外消防栓系统，应急照明及疏散标志灯系统，火灾事故广播系统，手提式/移动式灭火器 ，消防排烟系统，气体灭火系统等所有消防设施系统，大楼消防报警主机安装在大楼一层的监控室。本项目采购一家有资质消防维保单位，对顺德分公司本部大楼的消防系统进行维护保养。</w:t>
      </w:r>
    </w:p>
    <w:p>
      <w:pPr>
        <w:numPr>
          <w:ilvl w:val="0"/>
          <w:numId w:val="12"/>
        </w:numPr>
        <w:spacing w:line="360" w:lineRule="auto"/>
        <w:rPr>
          <w:rFonts w:ascii="宋体" w:hAnsi="宋体" w:cs="宋体"/>
          <w:szCs w:val="21"/>
        </w:rPr>
      </w:pPr>
      <w:r>
        <w:rPr>
          <w:rFonts w:hint="eastAsia" w:ascii="宋体" w:hAnsi="宋体" w:cs="宋体"/>
          <w:szCs w:val="21"/>
        </w:rPr>
        <w:t>项目地址：佛山市顺德区大良街道延年路11-2号及佛山市顺德大良广珠路南一路2号广东德冠灯饰一厂6号仓库。</w:t>
      </w:r>
    </w:p>
    <w:p>
      <w:pPr>
        <w:numPr>
          <w:ilvl w:val="0"/>
          <w:numId w:val="12"/>
        </w:numPr>
        <w:spacing w:line="360" w:lineRule="auto"/>
        <w:rPr>
          <w:rFonts w:ascii="宋体" w:hAnsi="宋体" w:cs="宋体"/>
          <w:szCs w:val="21"/>
        </w:rPr>
      </w:pPr>
      <w:r>
        <w:rPr>
          <w:rFonts w:hint="eastAsia" w:ascii="宋体" w:hAnsi="宋体" w:cs="宋体"/>
          <w:szCs w:val="21"/>
        </w:rPr>
        <w:t>合同期限及项目预算：</w:t>
      </w:r>
    </w:p>
    <w:tbl>
      <w:tblPr>
        <w:tblStyle w:val="37"/>
        <w:tblW w:w="866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327"/>
        <w:gridCol w:w="893"/>
        <w:gridCol w:w="2637"/>
        <w:gridCol w:w="180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3327" w:type="dxa"/>
            <w:tcBorders>
              <w:top w:val="single" w:color="auto" w:sz="12" w:space="0"/>
              <w:bottom w:val="single" w:color="auto" w:sz="2" w:space="0"/>
            </w:tcBorders>
            <w:shd w:val="clear" w:color="auto" w:fill="EEECE1"/>
            <w:vAlign w:val="center"/>
          </w:tcPr>
          <w:p>
            <w:pPr>
              <w:spacing w:line="360" w:lineRule="auto"/>
              <w:jc w:val="center"/>
              <w:rPr>
                <w:rFonts w:ascii="宋体" w:hAnsi="宋体" w:cs="宋体"/>
                <w:b/>
                <w:szCs w:val="21"/>
              </w:rPr>
            </w:pPr>
            <w:bookmarkStart w:id="2" w:name="_Hlk536436587"/>
            <w:r>
              <w:rPr>
                <w:rFonts w:hint="eastAsia" w:ascii="宋体" w:hAnsi="宋体" w:cs="宋体"/>
                <w:b/>
                <w:szCs w:val="21"/>
              </w:rPr>
              <w:t>采购内容</w:t>
            </w:r>
          </w:p>
        </w:tc>
        <w:tc>
          <w:tcPr>
            <w:tcW w:w="893" w:type="dxa"/>
            <w:tcBorders>
              <w:top w:val="single" w:color="auto" w:sz="12" w:space="0"/>
              <w:bottom w:val="single" w:color="auto" w:sz="2" w:space="0"/>
            </w:tcBorders>
            <w:shd w:val="clear" w:color="auto" w:fill="EEECE1"/>
            <w:vAlign w:val="center"/>
          </w:tcPr>
          <w:p>
            <w:pPr>
              <w:spacing w:line="360" w:lineRule="auto"/>
              <w:jc w:val="center"/>
              <w:rPr>
                <w:rFonts w:ascii="宋体" w:hAnsi="宋体" w:cs="宋体"/>
                <w:b/>
                <w:szCs w:val="21"/>
              </w:rPr>
            </w:pPr>
            <w:r>
              <w:rPr>
                <w:rFonts w:hint="eastAsia" w:ascii="宋体" w:hAnsi="宋体" w:cs="宋体"/>
                <w:b/>
                <w:szCs w:val="21"/>
              </w:rPr>
              <w:t>数量</w:t>
            </w:r>
          </w:p>
        </w:tc>
        <w:tc>
          <w:tcPr>
            <w:tcW w:w="2637" w:type="dxa"/>
            <w:tcBorders>
              <w:top w:val="single" w:color="auto" w:sz="12" w:space="0"/>
              <w:bottom w:val="single" w:color="auto" w:sz="2" w:space="0"/>
            </w:tcBorders>
            <w:shd w:val="clear" w:color="auto" w:fill="EEECE1"/>
            <w:vAlign w:val="center"/>
          </w:tcPr>
          <w:p>
            <w:pPr>
              <w:spacing w:line="360" w:lineRule="auto"/>
              <w:jc w:val="center"/>
              <w:rPr>
                <w:rFonts w:ascii="宋体" w:hAnsi="宋体" w:cs="宋体"/>
                <w:b/>
                <w:szCs w:val="21"/>
              </w:rPr>
            </w:pPr>
            <w:r>
              <w:rPr>
                <w:rFonts w:hint="eastAsia" w:ascii="宋体" w:hAnsi="宋体" w:cs="宋体"/>
                <w:b/>
                <w:szCs w:val="21"/>
              </w:rPr>
              <w:t>服务期</w:t>
            </w:r>
          </w:p>
        </w:tc>
        <w:tc>
          <w:tcPr>
            <w:tcW w:w="1808" w:type="dxa"/>
            <w:tcBorders>
              <w:top w:val="single" w:color="auto" w:sz="12" w:space="0"/>
              <w:bottom w:val="single" w:color="auto" w:sz="2" w:space="0"/>
            </w:tcBorders>
            <w:shd w:val="clear" w:color="auto" w:fill="EEECE1"/>
            <w:vAlign w:val="center"/>
          </w:tcPr>
          <w:p>
            <w:pPr>
              <w:spacing w:line="360" w:lineRule="auto"/>
              <w:jc w:val="center"/>
              <w:rPr>
                <w:rFonts w:ascii="宋体" w:hAnsi="宋体" w:cs="宋体"/>
                <w:b/>
                <w:szCs w:val="21"/>
              </w:rPr>
            </w:pPr>
            <w:r>
              <w:rPr>
                <w:rFonts w:hint="eastAsia" w:ascii="宋体" w:hAnsi="宋体" w:cs="宋体"/>
                <w:b/>
                <w:szCs w:val="21"/>
              </w:rPr>
              <w:t>项目预算（含税）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3327" w:type="dxa"/>
            <w:tcBorders>
              <w:top w:val="single" w:color="auto" w:sz="2" w:space="0"/>
              <w:bottom w:val="single" w:color="auto" w:sz="2" w:space="0"/>
            </w:tcBorders>
            <w:vAlign w:val="center"/>
          </w:tcPr>
          <w:p>
            <w:pPr>
              <w:widowControl/>
              <w:jc w:val="center"/>
              <w:rPr>
                <w:rFonts w:ascii="宋体" w:hAnsi="宋体" w:cs="宋体"/>
                <w:szCs w:val="21"/>
              </w:rPr>
            </w:pPr>
            <w:r>
              <w:rPr>
                <w:rFonts w:hint="eastAsia" w:ascii="宋体" w:hAnsi="宋体" w:cs="宋体"/>
                <w:szCs w:val="21"/>
              </w:rPr>
              <w:t>顺德分公司本部大楼2024-2026年度消防系统维护保养项目</w:t>
            </w:r>
          </w:p>
        </w:tc>
        <w:tc>
          <w:tcPr>
            <w:tcW w:w="893" w:type="dxa"/>
            <w:tcBorders>
              <w:top w:val="single" w:color="auto" w:sz="2" w:space="0"/>
              <w:bottom w:val="single" w:color="auto" w:sz="2" w:space="0"/>
            </w:tcBorders>
            <w:vAlign w:val="center"/>
          </w:tcPr>
          <w:p>
            <w:pPr>
              <w:spacing w:line="360" w:lineRule="auto"/>
              <w:jc w:val="center"/>
              <w:rPr>
                <w:rFonts w:ascii="宋体" w:hAnsi="宋体" w:cs="宋体"/>
                <w:szCs w:val="21"/>
              </w:rPr>
            </w:pPr>
            <w:r>
              <w:rPr>
                <w:rFonts w:hint="eastAsia" w:ascii="宋体" w:hAnsi="宋体" w:cs="宋体"/>
                <w:szCs w:val="21"/>
              </w:rPr>
              <w:t>1项</w:t>
            </w:r>
          </w:p>
        </w:tc>
        <w:tc>
          <w:tcPr>
            <w:tcW w:w="2637" w:type="dxa"/>
            <w:tcBorders>
              <w:top w:val="single" w:color="auto" w:sz="2" w:space="0"/>
              <w:bottom w:val="single" w:color="auto" w:sz="2" w:space="0"/>
            </w:tcBorders>
            <w:vAlign w:val="center"/>
          </w:tcPr>
          <w:p>
            <w:pPr>
              <w:keepNext/>
              <w:adjustRightInd w:val="0"/>
              <w:spacing w:line="360" w:lineRule="auto"/>
              <w:jc w:val="center"/>
              <w:textAlignment w:val="center"/>
              <w:rPr>
                <w:rFonts w:ascii="宋体" w:hAnsi="宋体" w:cs="宋体"/>
                <w:szCs w:val="21"/>
              </w:rPr>
            </w:pPr>
            <w:r>
              <w:rPr>
                <w:rFonts w:hint="eastAsia" w:ascii="宋体" w:hAnsi="宋体" w:cs="宋体"/>
                <w:szCs w:val="21"/>
              </w:rPr>
              <w:t>签订合同之日起2年</w:t>
            </w:r>
          </w:p>
        </w:tc>
        <w:tc>
          <w:tcPr>
            <w:tcW w:w="1808" w:type="dxa"/>
            <w:tcBorders>
              <w:top w:val="single" w:color="auto" w:sz="2" w:space="0"/>
              <w:bottom w:val="single" w:color="auto" w:sz="2" w:space="0"/>
            </w:tcBorders>
            <w:vAlign w:val="center"/>
          </w:tcPr>
          <w:p>
            <w:pPr>
              <w:spacing w:line="360" w:lineRule="auto"/>
              <w:jc w:val="center"/>
              <w:rPr>
                <w:rFonts w:ascii="宋体" w:hAnsi="宋体" w:cs="宋体"/>
                <w:szCs w:val="21"/>
              </w:rPr>
            </w:pPr>
            <w:r>
              <w:rPr>
                <w:rFonts w:hint="eastAsia" w:ascii="宋体" w:hAnsi="宋体" w:cs="宋体"/>
                <w:szCs w:val="21"/>
              </w:rPr>
              <w:t>人民币8.2万元</w:t>
            </w:r>
          </w:p>
        </w:tc>
      </w:tr>
      <w:bookmarkEnd w:id="2"/>
    </w:tbl>
    <w:p>
      <w:pPr>
        <w:numPr>
          <w:ilvl w:val="0"/>
          <w:numId w:val="12"/>
        </w:numPr>
        <w:spacing w:line="360" w:lineRule="auto"/>
        <w:rPr>
          <w:rFonts w:ascii="宋体" w:hAnsi="宋体" w:cs="宋体"/>
          <w:szCs w:val="21"/>
        </w:rPr>
      </w:pPr>
      <w:r>
        <w:rPr>
          <w:rFonts w:hint="eastAsia" w:ascii="宋体" w:hAnsi="宋体" w:cs="宋体"/>
          <w:szCs w:val="21"/>
        </w:rPr>
        <w:t>项目要求：</w:t>
      </w:r>
    </w:p>
    <w:p>
      <w:pPr>
        <w:numPr>
          <w:ilvl w:val="0"/>
          <w:numId w:val="13"/>
        </w:numPr>
        <w:spacing w:line="360" w:lineRule="auto"/>
        <w:rPr>
          <w:rFonts w:ascii="宋体" w:hAnsi="宋体" w:cs="宋体"/>
          <w:szCs w:val="21"/>
        </w:rPr>
      </w:pPr>
      <w:r>
        <w:rPr>
          <w:rFonts w:hint="eastAsia" w:ascii="宋体" w:hAnsi="宋体" w:cs="宋体"/>
          <w:szCs w:val="21"/>
        </w:rPr>
        <w:t>一般保养与月检同时进行，每月保养检测结果用表格形式呈交给采购人，留作存档备查。对月检发现的小问题即时处理，若要购买零件的则在零件买到后维修或更换。对较复杂问题则马上投入处理，直到问题解决。如系统平时出现故障，成交人在接到采购人通知后，30分钟内赶到现场处理。</w:t>
      </w:r>
    </w:p>
    <w:p>
      <w:pPr>
        <w:numPr>
          <w:ilvl w:val="0"/>
          <w:numId w:val="13"/>
        </w:numPr>
        <w:spacing w:line="360" w:lineRule="auto"/>
        <w:rPr>
          <w:rFonts w:ascii="宋体" w:hAnsi="宋体" w:cs="宋体"/>
          <w:szCs w:val="21"/>
        </w:rPr>
      </w:pPr>
      <w:r>
        <w:rPr>
          <w:rFonts w:hint="eastAsia" w:ascii="宋体" w:hAnsi="宋体" w:cs="宋体"/>
          <w:szCs w:val="21"/>
        </w:rPr>
        <w:t>消防设施、设备、器材维修更换的费用（单价在200元内，含200元）已包含在消防维护保养服务费内，由成交人自行承担（如200元以下的零配件，拆除、安装和维修人工费及调试费、喷淋头和各类探测器的清洗等费用），费用超出200元的由采购人根据有关规定采购后由成交人负责维修更换。</w:t>
      </w:r>
    </w:p>
    <w:p>
      <w:pPr>
        <w:numPr>
          <w:ilvl w:val="0"/>
          <w:numId w:val="12"/>
        </w:numPr>
        <w:spacing w:line="360" w:lineRule="auto"/>
        <w:rPr>
          <w:rFonts w:ascii="宋体" w:hAnsi="宋体" w:cs="宋体"/>
          <w:szCs w:val="21"/>
        </w:rPr>
      </w:pPr>
      <w:r>
        <w:rPr>
          <w:rFonts w:hint="eastAsia" w:ascii="宋体" w:hAnsi="宋体" w:cs="宋体"/>
          <w:szCs w:val="21"/>
        </w:rPr>
        <w:t>消防系统维护保养方案</w:t>
      </w:r>
    </w:p>
    <w:p>
      <w:pPr>
        <w:spacing w:line="360" w:lineRule="auto"/>
        <w:ind w:firstLine="420" w:firstLineChars="200"/>
        <w:jc w:val="left"/>
        <w:rPr>
          <w:rFonts w:ascii="宋体" w:hAnsi="宋体" w:cs="宋体"/>
          <w:szCs w:val="21"/>
        </w:rPr>
      </w:pPr>
      <w:r>
        <w:rPr>
          <w:rFonts w:hint="eastAsia" w:ascii="宋体" w:hAnsi="宋体" w:cs="宋体"/>
          <w:szCs w:val="21"/>
        </w:rPr>
        <w:t>消防系统必须建立日常监督、检测、维护保养制度，保证系统处于正常工作状态，确保大楼的消防安全。每月须进行一次消防检测和一般维护保养，具体方案如下：</w:t>
      </w:r>
    </w:p>
    <w:p>
      <w:pPr>
        <w:spacing w:line="360" w:lineRule="auto"/>
        <w:ind w:left="400"/>
        <w:jc w:val="left"/>
        <w:rPr>
          <w:rFonts w:ascii="宋体" w:hAnsi="宋体" w:cs="宋体"/>
          <w:b/>
          <w:szCs w:val="21"/>
        </w:rPr>
      </w:pPr>
      <w:r>
        <w:rPr>
          <w:rFonts w:hint="eastAsia" w:ascii="宋体" w:hAnsi="宋体" w:cs="宋体"/>
          <w:b/>
          <w:szCs w:val="21"/>
        </w:rPr>
        <w:t>（一）火灾自动报警系统和联动控制系统</w:t>
      </w:r>
    </w:p>
    <w:p>
      <w:pPr>
        <w:numPr>
          <w:ilvl w:val="0"/>
          <w:numId w:val="14"/>
        </w:numPr>
        <w:spacing w:line="360" w:lineRule="auto"/>
        <w:jc w:val="left"/>
        <w:rPr>
          <w:rFonts w:ascii="宋体" w:hAnsi="宋体" w:cs="宋体"/>
          <w:szCs w:val="21"/>
        </w:rPr>
      </w:pPr>
      <w:r>
        <w:rPr>
          <w:rFonts w:hint="eastAsia" w:ascii="宋体" w:hAnsi="宋体" w:cs="宋体"/>
          <w:szCs w:val="21"/>
        </w:rPr>
        <w:t>检查报警控制器的自检、巡检功能是否正常，同时检查消音、复位、故障报警等功能是否正常(每月)；</w:t>
      </w:r>
    </w:p>
    <w:p>
      <w:pPr>
        <w:numPr>
          <w:ilvl w:val="0"/>
          <w:numId w:val="14"/>
        </w:numPr>
        <w:spacing w:line="360" w:lineRule="auto"/>
        <w:jc w:val="left"/>
        <w:rPr>
          <w:rFonts w:ascii="宋体" w:hAnsi="宋体" w:cs="宋体"/>
          <w:szCs w:val="21"/>
        </w:rPr>
      </w:pPr>
      <w:r>
        <w:rPr>
          <w:rFonts w:hint="eastAsia" w:ascii="宋体" w:hAnsi="宋体" w:cs="宋体"/>
          <w:szCs w:val="21"/>
        </w:rPr>
        <w:t>检查报警控制器的主电源与备用电源的切换、保险丝，测试直流电源和备用电源工作电压是否正常(每月)；</w:t>
      </w:r>
    </w:p>
    <w:p>
      <w:pPr>
        <w:numPr>
          <w:ilvl w:val="0"/>
          <w:numId w:val="14"/>
        </w:numPr>
        <w:spacing w:line="360" w:lineRule="auto"/>
        <w:jc w:val="left"/>
        <w:rPr>
          <w:rFonts w:ascii="宋体" w:hAnsi="宋体" w:cs="宋体"/>
          <w:szCs w:val="21"/>
        </w:rPr>
      </w:pPr>
      <w:r>
        <w:rPr>
          <w:rFonts w:hint="eastAsia" w:ascii="宋体" w:hAnsi="宋体" w:cs="宋体"/>
          <w:szCs w:val="21"/>
        </w:rPr>
        <w:t>每月抽查10%数量的探头进行报故障和报火警试验及探头外观清洁；</w:t>
      </w:r>
    </w:p>
    <w:p>
      <w:pPr>
        <w:numPr>
          <w:ilvl w:val="0"/>
          <w:numId w:val="14"/>
        </w:numPr>
        <w:spacing w:line="360" w:lineRule="auto"/>
        <w:jc w:val="left"/>
        <w:rPr>
          <w:rFonts w:ascii="宋体" w:hAnsi="宋体" w:cs="宋体"/>
          <w:szCs w:val="21"/>
        </w:rPr>
      </w:pPr>
      <w:r>
        <w:rPr>
          <w:rFonts w:hint="eastAsia" w:ascii="宋体" w:hAnsi="宋体" w:cs="宋体"/>
          <w:szCs w:val="21"/>
        </w:rPr>
        <w:t>每月抽查10%数量的手动报警按钮进行报火警试验；</w:t>
      </w:r>
    </w:p>
    <w:p>
      <w:pPr>
        <w:numPr>
          <w:ilvl w:val="0"/>
          <w:numId w:val="14"/>
        </w:numPr>
        <w:spacing w:line="360" w:lineRule="auto"/>
        <w:jc w:val="left"/>
        <w:rPr>
          <w:rFonts w:ascii="宋体" w:hAnsi="宋体" w:cs="宋体"/>
          <w:szCs w:val="21"/>
        </w:rPr>
      </w:pPr>
      <w:r>
        <w:rPr>
          <w:rFonts w:hint="eastAsia" w:ascii="宋体" w:hAnsi="宋体" w:cs="宋体"/>
          <w:szCs w:val="21"/>
        </w:rPr>
        <w:t>对备用电源进行1至2次充放电试验(每季)；</w:t>
      </w:r>
    </w:p>
    <w:p>
      <w:pPr>
        <w:numPr>
          <w:ilvl w:val="0"/>
          <w:numId w:val="14"/>
        </w:numPr>
        <w:spacing w:line="360" w:lineRule="auto"/>
        <w:jc w:val="left"/>
        <w:rPr>
          <w:rFonts w:ascii="宋体" w:hAnsi="宋体" w:cs="宋体"/>
          <w:szCs w:val="21"/>
        </w:rPr>
      </w:pPr>
      <w:r>
        <w:rPr>
          <w:rFonts w:hint="eastAsia" w:ascii="宋体" w:hAnsi="宋体" w:cs="宋体"/>
          <w:szCs w:val="21"/>
        </w:rPr>
        <w:t>检查报警控制器，保证其内的各接线端子坚固、箱内干净，无灰尘杂物(每月)；</w:t>
      </w:r>
    </w:p>
    <w:p>
      <w:pPr>
        <w:numPr>
          <w:ilvl w:val="0"/>
          <w:numId w:val="14"/>
        </w:numPr>
        <w:spacing w:line="360" w:lineRule="auto"/>
        <w:jc w:val="left"/>
        <w:rPr>
          <w:rFonts w:ascii="宋体" w:hAnsi="宋体" w:cs="宋体"/>
          <w:szCs w:val="21"/>
        </w:rPr>
      </w:pPr>
      <w:r>
        <w:rPr>
          <w:rFonts w:hint="eastAsia" w:ascii="宋体" w:hAnsi="宋体" w:cs="宋体"/>
          <w:szCs w:val="21"/>
        </w:rPr>
        <w:t>每半年对系统进行全面检查，模拟火警下系统的动作信号是否正常；</w:t>
      </w:r>
    </w:p>
    <w:p>
      <w:pPr>
        <w:numPr>
          <w:ilvl w:val="0"/>
          <w:numId w:val="14"/>
        </w:numPr>
        <w:spacing w:line="360" w:lineRule="auto"/>
        <w:jc w:val="left"/>
        <w:rPr>
          <w:rFonts w:ascii="宋体" w:hAnsi="宋体" w:cs="宋体"/>
          <w:szCs w:val="21"/>
        </w:rPr>
      </w:pPr>
      <w:r>
        <w:rPr>
          <w:rFonts w:hint="eastAsia" w:ascii="宋体" w:hAnsi="宋体" w:cs="宋体"/>
          <w:szCs w:val="21"/>
        </w:rPr>
        <w:t>消防联动控制系统。</w:t>
      </w:r>
    </w:p>
    <w:p>
      <w:pPr>
        <w:numPr>
          <w:ilvl w:val="0"/>
          <w:numId w:val="15"/>
        </w:numPr>
        <w:spacing w:line="360" w:lineRule="auto"/>
        <w:jc w:val="left"/>
        <w:rPr>
          <w:rFonts w:ascii="宋体" w:hAnsi="宋体" w:cs="宋体"/>
          <w:szCs w:val="21"/>
        </w:rPr>
      </w:pPr>
      <w:r>
        <w:rPr>
          <w:rFonts w:hint="eastAsia" w:ascii="宋体" w:hAnsi="宋体" w:cs="宋体"/>
          <w:szCs w:val="21"/>
        </w:rPr>
        <w:t>每月检查和模拟试验联动柜的下列功能：</w:t>
      </w:r>
    </w:p>
    <w:p>
      <w:pPr>
        <w:spacing w:line="360" w:lineRule="auto"/>
        <w:ind w:firstLine="420" w:firstLineChars="200"/>
        <w:jc w:val="left"/>
        <w:rPr>
          <w:rFonts w:ascii="宋体" w:hAnsi="宋体" w:cs="宋体"/>
          <w:szCs w:val="21"/>
        </w:rPr>
      </w:pPr>
      <w:r>
        <w:rPr>
          <w:rFonts w:hint="eastAsia" w:ascii="宋体" w:hAnsi="宋体" w:cs="宋体"/>
          <w:szCs w:val="21"/>
        </w:rPr>
        <w:t>① 对联动柜进行外观检查，试灯及清洁等工作；</w:t>
      </w:r>
    </w:p>
    <w:p>
      <w:pPr>
        <w:spacing w:line="360" w:lineRule="auto"/>
        <w:ind w:firstLine="420" w:firstLineChars="200"/>
        <w:jc w:val="left"/>
        <w:rPr>
          <w:rFonts w:ascii="宋体" w:hAnsi="宋体" w:cs="宋体"/>
          <w:szCs w:val="21"/>
        </w:rPr>
      </w:pPr>
      <w:r>
        <w:rPr>
          <w:rFonts w:hint="eastAsia" w:ascii="宋体" w:hAnsi="宋体" w:cs="宋体"/>
          <w:szCs w:val="21"/>
        </w:rPr>
        <w:t>② 对备用电源进行充放电试验及自动切换试验；</w:t>
      </w:r>
    </w:p>
    <w:p>
      <w:pPr>
        <w:spacing w:line="360" w:lineRule="auto"/>
        <w:ind w:firstLine="420" w:firstLineChars="200"/>
        <w:jc w:val="left"/>
        <w:rPr>
          <w:rFonts w:ascii="宋体" w:hAnsi="宋体" w:cs="宋体"/>
          <w:szCs w:val="21"/>
        </w:rPr>
      </w:pPr>
      <w:r>
        <w:rPr>
          <w:rFonts w:hint="eastAsia" w:ascii="宋体" w:hAnsi="宋体" w:cs="宋体"/>
          <w:szCs w:val="21"/>
        </w:rPr>
        <w:t>③ 在现场进行模拟测试时，消防联动柜能否显示报警部位，以及消防联动的功能；</w:t>
      </w:r>
    </w:p>
    <w:p>
      <w:pPr>
        <w:numPr>
          <w:ilvl w:val="0"/>
          <w:numId w:val="15"/>
        </w:numPr>
        <w:spacing w:line="360" w:lineRule="auto"/>
        <w:jc w:val="left"/>
        <w:rPr>
          <w:rFonts w:ascii="宋体" w:hAnsi="宋体" w:cs="宋体"/>
          <w:szCs w:val="21"/>
        </w:rPr>
      </w:pPr>
      <w:r>
        <w:rPr>
          <w:rFonts w:hint="eastAsia" w:ascii="宋体" w:hAnsi="宋体" w:cs="宋体"/>
          <w:szCs w:val="21"/>
        </w:rPr>
        <w:t>每月检查消火栓泵、消防风机等联动控制设备的控制和显示功能。</w:t>
      </w:r>
    </w:p>
    <w:p>
      <w:pPr>
        <w:spacing w:line="360" w:lineRule="auto"/>
        <w:jc w:val="left"/>
        <w:rPr>
          <w:rFonts w:ascii="宋体" w:hAnsi="宋体" w:cs="宋体"/>
          <w:b/>
          <w:szCs w:val="21"/>
        </w:rPr>
      </w:pPr>
      <w:r>
        <w:rPr>
          <w:rFonts w:hint="eastAsia" w:ascii="宋体" w:hAnsi="宋体" w:cs="宋体"/>
          <w:b/>
          <w:szCs w:val="21"/>
        </w:rPr>
        <w:t>（二）消防自动水喷淋系统</w:t>
      </w:r>
    </w:p>
    <w:p>
      <w:pPr>
        <w:numPr>
          <w:ilvl w:val="0"/>
          <w:numId w:val="16"/>
        </w:numPr>
        <w:spacing w:line="360" w:lineRule="auto"/>
        <w:jc w:val="left"/>
        <w:rPr>
          <w:rFonts w:ascii="宋体" w:hAnsi="宋体" w:cs="宋体"/>
          <w:szCs w:val="21"/>
        </w:rPr>
      </w:pPr>
      <w:r>
        <w:rPr>
          <w:rFonts w:hint="eastAsia" w:ascii="宋体" w:hAnsi="宋体" w:cs="宋体"/>
          <w:szCs w:val="21"/>
        </w:rPr>
        <w:t>维护管理人员定期应对进水阀、报警阀进行外观检查，并应保证系统处于无故障状态(每月)；</w:t>
      </w:r>
    </w:p>
    <w:p>
      <w:pPr>
        <w:numPr>
          <w:ilvl w:val="0"/>
          <w:numId w:val="16"/>
        </w:numPr>
        <w:spacing w:line="360" w:lineRule="auto"/>
        <w:jc w:val="left"/>
        <w:rPr>
          <w:rFonts w:ascii="宋体" w:hAnsi="宋体" w:cs="宋体"/>
          <w:szCs w:val="21"/>
        </w:rPr>
      </w:pPr>
      <w:r>
        <w:rPr>
          <w:rFonts w:hint="eastAsia" w:ascii="宋体" w:hAnsi="宋体" w:cs="宋体"/>
          <w:szCs w:val="21"/>
        </w:rPr>
        <w:t>对喷头进行外观检查，当发现有不正常的喷头应及时更换(每月)；当喷头上有异物时应及时清除(每月)；每半年完成所有的喷头的检查；</w:t>
      </w:r>
    </w:p>
    <w:p>
      <w:pPr>
        <w:numPr>
          <w:ilvl w:val="0"/>
          <w:numId w:val="16"/>
        </w:numPr>
        <w:spacing w:line="360" w:lineRule="auto"/>
        <w:jc w:val="left"/>
        <w:rPr>
          <w:rFonts w:ascii="宋体" w:hAnsi="宋体" w:cs="宋体"/>
          <w:szCs w:val="21"/>
        </w:rPr>
      </w:pPr>
      <w:r>
        <w:rPr>
          <w:rFonts w:hint="eastAsia" w:ascii="宋体" w:hAnsi="宋体" w:cs="宋体"/>
          <w:szCs w:val="21"/>
        </w:rPr>
        <w:t>检查喷淋泵启动时，消防控制中心能否显示其动作信号(每月)；</w:t>
      </w:r>
    </w:p>
    <w:p>
      <w:pPr>
        <w:numPr>
          <w:ilvl w:val="0"/>
          <w:numId w:val="16"/>
        </w:numPr>
        <w:spacing w:line="360" w:lineRule="auto"/>
        <w:jc w:val="left"/>
        <w:rPr>
          <w:rFonts w:ascii="宋体" w:hAnsi="宋体" w:cs="宋体"/>
          <w:szCs w:val="21"/>
        </w:rPr>
      </w:pPr>
      <w:r>
        <w:rPr>
          <w:rFonts w:hint="eastAsia" w:ascii="宋体" w:hAnsi="宋体" w:cs="宋体"/>
          <w:szCs w:val="21"/>
        </w:rPr>
        <w:t>检查喷淋泵启动时，出水口压力是否正常(每半年)；</w:t>
      </w:r>
    </w:p>
    <w:p>
      <w:pPr>
        <w:numPr>
          <w:ilvl w:val="0"/>
          <w:numId w:val="16"/>
        </w:numPr>
        <w:spacing w:line="360" w:lineRule="auto"/>
        <w:jc w:val="left"/>
        <w:rPr>
          <w:rFonts w:ascii="宋体" w:hAnsi="宋体" w:cs="宋体"/>
          <w:szCs w:val="21"/>
        </w:rPr>
      </w:pPr>
      <w:r>
        <w:rPr>
          <w:rFonts w:hint="eastAsia" w:ascii="宋体" w:hAnsi="宋体" w:cs="宋体"/>
          <w:szCs w:val="21"/>
        </w:rPr>
        <w:t>检查喷淋泵投入自动状态时，消防控制中心能否控制其启动和停止(每月)；</w:t>
      </w:r>
    </w:p>
    <w:p>
      <w:pPr>
        <w:numPr>
          <w:ilvl w:val="0"/>
          <w:numId w:val="16"/>
        </w:numPr>
        <w:spacing w:line="360" w:lineRule="auto"/>
        <w:jc w:val="left"/>
        <w:rPr>
          <w:rFonts w:ascii="宋体" w:hAnsi="宋体" w:cs="宋体"/>
          <w:szCs w:val="21"/>
        </w:rPr>
      </w:pPr>
      <w:r>
        <w:rPr>
          <w:rFonts w:hint="eastAsia" w:ascii="宋体" w:hAnsi="宋体" w:cs="宋体"/>
          <w:szCs w:val="21"/>
        </w:rPr>
        <w:t>手动启动运行5~10分钟/台(每月)；</w:t>
      </w:r>
    </w:p>
    <w:p>
      <w:pPr>
        <w:numPr>
          <w:ilvl w:val="0"/>
          <w:numId w:val="16"/>
        </w:numPr>
        <w:spacing w:line="360" w:lineRule="auto"/>
        <w:jc w:val="left"/>
        <w:rPr>
          <w:rFonts w:ascii="宋体" w:hAnsi="宋体" w:cs="宋体"/>
          <w:szCs w:val="21"/>
        </w:rPr>
      </w:pPr>
      <w:r>
        <w:rPr>
          <w:rFonts w:hint="eastAsia" w:ascii="宋体" w:hAnsi="宋体" w:cs="宋体"/>
          <w:szCs w:val="21"/>
        </w:rPr>
        <w:t>定期清洗减压阀、过滤器、止回阀(每年)；</w:t>
      </w:r>
    </w:p>
    <w:p>
      <w:pPr>
        <w:numPr>
          <w:ilvl w:val="0"/>
          <w:numId w:val="16"/>
        </w:numPr>
        <w:spacing w:line="360" w:lineRule="auto"/>
        <w:jc w:val="left"/>
        <w:rPr>
          <w:rFonts w:ascii="宋体" w:hAnsi="宋体" w:cs="宋体"/>
          <w:szCs w:val="21"/>
        </w:rPr>
      </w:pPr>
      <w:r>
        <w:rPr>
          <w:rFonts w:hint="eastAsia" w:ascii="宋体" w:hAnsi="宋体" w:cs="宋体"/>
          <w:szCs w:val="21"/>
        </w:rPr>
        <w:t>定期给水泵添加润滑油(每半年)；</w:t>
      </w:r>
    </w:p>
    <w:p>
      <w:pPr>
        <w:numPr>
          <w:ilvl w:val="0"/>
          <w:numId w:val="16"/>
        </w:numPr>
        <w:spacing w:line="360" w:lineRule="auto"/>
        <w:jc w:val="left"/>
        <w:rPr>
          <w:rFonts w:ascii="宋体" w:hAnsi="宋体" w:cs="宋体"/>
          <w:szCs w:val="21"/>
        </w:rPr>
      </w:pPr>
      <w:r>
        <w:rPr>
          <w:rFonts w:hint="eastAsia" w:ascii="宋体" w:hAnsi="宋体" w:cs="宋体"/>
          <w:szCs w:val="21"/>
        </w:rPr>
        <w:t>检查消防水池是否能正常自动补水;（每月）</w:t>
      </w:r>
    </w:p>
    <w:p>
      <w:pPr>
        <w:numPr>
          <w:ilvl w:val="0"/>
          <w:numId w:val="16"/>
        </w:numPr>
        <w:spacing w:line="360" w:lineRule="auto"/>
        <w:jc w:val="left"/>
        <w:rPr>
          <w:rFonts w:ascii="宋体" w:hAnsi="宋体" w:cs="宋体"/>
          <w:szCs w:val="21"/>
        </w:rPr>
      </w:pPr>
      <w:r>
        <w:rPr>
          <w:rFonts w:hint="eastAsia" w:ascii="宋体" w:hAnsi="宋体" w:cs="宋体"/>
          <w:szCs w:val="21"/>
        </w:rPr>
        <w:t>每月对系统在自动控制的条件下模拟火警信号，检查以下内容：</w:t>
      </w:r>
    </w:p>
    <w:p>
      <w:pPr>
        <w:spacing w:line="360" w:lineRule="auto"/>
        <w:ind w:firstLine="420" w:firstLineChars="200"/>
        <w:jc w:val="left"/>
        <w:rPr>
          <w:rFonts w:ascii="宋体" w:hAnsi="宋体" w:cs="宋体"/>
          <w:szCs w:val="21"/>
        </w:rPr>
      </w:pPr>
      <w:r>
        <w:rPr>
          <w:rFonts w:hint="eastAsia" w:ascii="宋体" w:hAnsi="宋体" w:cs="宋体"/>
          <w:szCs w:val="21"/>
        </w:rPr>
        <w:t>该区水流指示器是否动作，动作时消防控制中心能否收到其报警信号并显示所在位置；</w:t>
      </w:r>
    </w:p>
    <w:p>
      <w:pPr>
        <w:spacing w:line="360" w:lineRule="auto"/>
        <w:ind w:firstLine="420" w:firstLineChars="200"/>
        <w:jc w:val="left"/>
        <w:rPr>
          <w:rFonts w:ascii="宋体" w:hAnsi="宋体" w:cs="宋体"/>
          <w:szCs w:val="21"/>
        </w:rPr>
      </w:pPr>
      <w:r>
        <w:rPr>
          <w:rFonts w:hint="eastAsia" w:ascii="宋体" w:hAnsi="宋体" w:cs="宋体"/>
          <w:szCs w:val="21"/>
        </w:rPr>
        <w:t>该区对应的湿式报警阀是否动作，动作延时时间是否正常；</w:t>
      </w:r>
    </w:p>
    <w:p>
      <w:pPr>
        <w:spacing w:line="360" w:lineRule="auto"/>
        <w:ind w:firstLine="420" w:firstLineChars="200"/>
        <w:jc w:val="left"/>
        <w:rPr>
          <w:rFonts w:ascii="宋体" w:hAnsi="宋体" w:cs="宋体"/>
          <w:szCs w:val="21"/>
        </w:rPr>
      </w:pPr>
      <w:r>
        <w:rPr>
          <w:rFonts w:hint="eastAsia" w:ascii="宋体" w:hAnsi="宋体" w:cs="宋体"/>
          <w:szCs w:val="21"/>
        </w:rPr>
        <w:t>湿式报警阀动作时，水力警铃是否报警，铃声是否响亮，能否达到报警效果；</w:t>
      </w:r>
    </w:p>
    <w:p>
      <w:pPr>
        <w:spacing w:line="360" w:lineRule="auto"/>
        <w:ind w:firstLine="420" w:firstLineChars="200"/>
        <w:jc w:val="left"/>
        <w:rPr>
          <w:rFonts w:ascii="宋体" w:hAnsi="宋体" w:cs="宋体"/>
          <w:szCs w:val="21"/>
        </w:rPr>
      </w:pPr>
      <w:r>
        <w:rPr>
          <w:rFonts w:hint="eastAsia" w:ascii="宋体" w:hAnsi="宋体" w:cs="宋体"/>
          <w:szCs w:val="21"/>
        </w:rPr>
        <w:t>湿式报警阀动作时，压力开关是否动作，动作时消防控制中心能否收到其报警信号并显示所在位置；主泵和备用泵的切换情况。</w:t>
      </w:r>
    </w:p>
    <w:p>
      <w:pPr>
        <w:spacing w:line="360" w:lineRule="auto"/>
        <w:jc w:val="left"/>
        <w:rPr>
          <w:rFonts w:ascii="宋体" w:hAnsi="宋体" w:cs="宋体"/>
          <w:b/>
          <w:szCs w:val="21"/>
        </w:rPr>
      </w:pPr>
      <w:r>
        <w:rPr>
          <w:rFonts w:hint="eastAsia" w:ascii="宋体" w:hAnsi="宋体" w:cs="宋体"/>
          <w:b/>
          <w:szCs w:val="21"/>
        </w:rPr>
        <w:t>（三）室内外消火栓系统</w:t>
      </w:r>
    </w:p>
    <w:p>
      <w:pPr>
        <w:numPr>
          <w:ilvl w:val="0"/>
          <w:numId w:val="17"/>
        </w:numPr>
        <w:spacing w:line="360" w:lineRule="auto"/>
        <w:jc w:val="left"/>
        <w:rPr>
          <w:rFonts w:ascii="宋体" w:hAnsi="宋体" w:cs="宋体"/>
          <w:szCs w:val="21"/>
        </w:rPr>
      </w:pPr>
      <w:r>
        <w:rPr>
          <w:rFonts w:hint="eastAsia" w:ascii="宋体" w:hAnsi="宋体" w:cs="宋体"/>
          <w:szCs w:val="21"/>
        </w:rPr>
        <w:t>检查消火栓箱是否变形、损伤，周围有无障碍物(每月)；</w:t>
      </w:r>
    </w:p>
    <w:p>
      <w:pPr>
        <w:numPr>
          <w:ilvl w:val="0"/>
          <w:numId w:val="17"/>
        </w:numPr>
        <w:spacing w:line="360" w:lineRule="auto"/>
        <w:jc w:val="left"/>
        <w:rPr>
          <w:rFonts w:ascii="宋体" w:hAnsi="宋体" w:cs="宋体"/>
          <w:szCs w:val="21"/>
        </w:rPr>
      </w:pPr>
      <w:r>
        <w:rPr>
          <w:rFonts w:hint="eastAsia" w:ascii="宋体" w:hAnsi="宋体" w:cs="宋体"/>
          <w:szCs w:val="21"/>
        </w:rPr>
        <w:t>检查箱内水带是否潮湿、霉烂、破损。潮湿的水带取出晾晒，霉烂和破损的水带报请采购人更换(每月)；</w:t>
      </w:r>
    </w:p>
    <w:p>
      <w:pPr>
        <w:numPr>
          <w:ilvl w:val="0"/>
          <w:numId w:val="17"/>
        </w:numPr>
        <w:spacing w:line="360" w:lineRule="auto"/>
        <w:jc w:val="left"/>
        <w:rPr>
          <w:rFonts w:ascii="宋体" w:hAnsi="宋体" w:cs="宋体"/>
          <w:szCs w:val="21"/>
        </w:rPr>
      </w:pPr>
      <w:r>
        <w:rPr>
          <w:rFonts w:hint="eastAsia" w:ascii="宋体" w:hAnsi="宋体" w:cs="宋体"/>
          <w:szCs w:val="21"/>
        </w:rPr>
        <w:t>检查箱内水枪内是否有杂物，消火栓水带水枪接口处的密封垫是否老化，卷盘是否有漏水现象(每月)；</w:t>
      </w:r>
    </w:p>
    <w:p>
      <w:pPr>
        <w:numPr>
          <w:ilvl w:val="0"/>
          <w:numId w:val="17"/>
        </w:numPr>
        <w:spacing w:line="360" w:lineRule="auto"/>
        <w:jc w:val="left"/>
        <w:rPr>
          <w:rFonts w:ascii="宋体" w:hAnsi="宋体" w:cs="宋体"/>
          <w:szCs w:val="21"/>
        </w:rPr>
      </w:pPr>
      <w:r>
        <w:rPr>
          <w:rFonts w:hint="eastAsia" w:ascii="宋体" w:hAnsi="宋体" w:cs="宋体"/>
          <w:szCs w:val="21"/>
        </w:rPr>
        <w:t>检查减压阀高、低压端压力表读数是否处于正常范围(每月)；</w:t>
      </w:r>
    </w:p>
    <w:p>
      <w:pPr>
        <w:numPr>
          <w:ilvl w:val="0"/>
          <w:numId w:val="17"/>
        </w:numPr>
        <w:spacing w:line="360" w:lineRule="auto"/>
        <w:jc w:val="left"/>
        <w:rPr>
          <w:rFonts w:ascii="宋体" w:hAnsi="宋体" w:cs="宋体"/>
          <w:szCs w:val="21"/>
        </w:rPr>
      </w:pPr>
      <w:r>
        <w:rPr>
          <w:rFonts w:hint="eastAsia" w:ascii="宋体" w:hAnsi="宋体" w:cs="宋体"/>
          <w:szCs w:val="21"/>
        </w:rPr>
        <w:t>检查消火栓管道上各阀门是否处于正确的位置，管道接口及阀门是否有漏水和锈蚀现象(每月)；</w:t>
      </w:r>
    </w:p>
    <w:p>
      <w:pPr>
        <w:numPr>
          <w:ilvl w:val="0"/>
          <w:numId w:val="17"/>
        </w:numPr>
        <w:spacing w:line="360" w:lineRule="auto"/>
        <w:jc w:val="left"/>
        <w:rPr>
          <w:rFonts w:ascii="宋体" w:hAnsi="宋体" w:cs="宋体"/>
          <w:szCs w:val="21"/>
        </w:rPr>
      </w:pPr>
      <w:r>
        <w:rPr>
          <w:rFonts w:hint="eastAsia" w:ascii="宋体" w:hAnsi="宋体" w:cs="宋体"/>
          <w:szCs w:val="21"/>
        </w:rPr>
        <w:t>检查贮水池储水量是否满足要求(每月)；</w:t>
      </w:r>
    </w:p>
    <w:p>
      <w:pPr>
        <w:numPr>
          <w:ilvl w:val="0"/>
          <w:numId w:val="17"/>
        </w:numPr>
        <w:spacing w:line="360" w:lineRule="auto"/>
        <w:jc w:val="left"/>
        <w:rPr>
          <w:rFonts w:ascii="宋体" w:hAnsi="宋体" w:cs="宋体"/>
          <w:szCs w:val="21"/>
        </w:rPr>
      </w:pPr>
      <w:r>
        <w:rPr>
          <w:rFonts w:hint="eastAsia" w:ascii="宋体" w:hAnsi="宋体" w:cs="宋体"/>
          <w:szCs w:val="21"/>
        </w:rPr>
        <w:t>每月启动各台消火栓泵，每次试验运行5-10分钟。试验完毕后，在最</w:t>
      </w:r>
      <w:r>
        <w:rPr>
          <w:rFonts w:hint="eastAsia" w:ascii="宋体" w:hAnsi="宋体" w:eastAsia="宋体" w:cs="宋体"/>
          <w:sz w:val="21"/>
          <w:szCs w:val="21"/>
        </w:rPr>
        <w:t>不利点的</w:t>
      </w:r>
      <w:r>
        <w:rPr>
          <w:rFonts w:hint="eastAsia" w:ascii="宋体" w:hAnsi="宋体" w:cs="宋体"/>
          <w:szCs w:val="21"/>
        </w:rPr>
        <w:t>消火栓放水，观察其出水压力及流量是否足够(每月)；</w:t>
      </w:r>
    </w:p>
    <w:p>
      <w:pPr>
        <w:numPr>
          <w:ilvl w:val="0"/>
          <w:numId w:val="17"/>
        </w:numPr>
        <w:spacing w:line="360" w:lineRule="auto"/>
        <w:jc w:val="left"/>
        <w:rPr>
          <w:rFonts w:ascii="宋体" w:hAnsi="宋体" w:cs="宋体"/>
          <w:szCs w:val="21"/>
        </w:rPr>
      </w:pPr>
      <w:r>
        <w:rPr>
          <w:rFonts w:hint="eastAsia" w:ascii="宋体" w:hAnsi="宋体" w:cs="宋体"/>
          <w:szCs w:val="21"/>
        </w:rPr>
        <w:t>检查消火泵启动时，消防控制中心能否显示其动作信号。自动状态时，消防控制中心能否控制其启动和停止，并检查主泵和备用泵的切换情况(每月)；</w:t>
      </w:r>
    </w:p>
    <w:p>
      <w:pPr>
        <w:numPr>
          <w:ilvl w:val="0"/>
          <w:numId w:val="17"/>
        </w:numPr>
        <w:spacing w:line="360" w:lineRule="auto"/>
        <w:jc w:val="left"/>
        <w:rPr>
          <w:rFonts w:ascii="宋体" w:hAnsi="宋体" w:cs="宋体"/>
          <w:szCs w:val="21"/>
        </w:rPr>
      </w:pPr>
      <w:r>
        <w:rPr>
          <w:rFonts w:hint="eastAsia" w:ascii="宋体" w:hAnsi="宋体" w:cs="宋体"/>
          <w:szCs w:val="21"/>
        </w:rPr>
        <w:t>定期清洗减压阀、过滤器、止回阀(每月)；</w:t>
      </w:r>
    </w:p>
    <w:p>
      <w:pPr>
        <w:numPr>
          <w:ilvl w:val="0"/>
          <w:numId w:val="17"/>
        </w:numPr>
        <w:spacing w:line="360" w:lineRule="auto"/>
        <w:jc w:val="left"/>
        <w:rPr>
          <w:rFonts w:ascii="宋体" w:hAnsi="宋体" w:cs="宋体"/>
          <w:szCs w:val="21"/>
        </w:rPr>
      </w:pPr>
      <w:r>
        <w:rPr>
          <w:rFonts w:hint="eastAsia" w:ascii="宋体" w:hAnsi="宋体" w:cs="宋体"/>
          <w:szCs w:val="21"/>
        </w:rPr>
        <w:t>检查消防火栓水泵接合器，保证接口完好、无渗漏，检查密封垫是否老化(每月)；</w:t>
      </w:r>
    </w:p>
    <w:p>
      <w:pPr>
        <w:numPr>
          <w:ilvl w:val="0"/>
          <w:numId w:val="17"/>
        </w:numPr>
        <w:spacing w:line="360" w:lineRule="auto"/>
        <w:jc w:val="left"/>
        <w:rPr>
          <w:rFonts w:ascii="宋体" w:hAnsi="宋体" w:cs="宋体"/>
          <w:szCs w:val="21"/>
        </w:rPr>
      </w:pPr>
      <w:r>
        <w:rPr>
          <w:rFonts w:hint="eastAsia" w:ascii="宋体" w:hAnsi="宋体" w:cs="宋体"/>
          <w:szCs w:val="21"/>
        </w:rPr>
        <w:t>定期给水泵添加润滑油(半年)。</w:t>
      </w:r>
    </w:p>
    <w:p>
      <w:pPr>
        <w:spacing w:line="360" w:lineRule="auto"/>
        <w:jc w:val="left"/>
        <w:rPr>
          <w:rFonts w:ascii="宋体" w:hAnsi="宋体" w:cs="宋体"/>
          <w:b/>
          <w:szCs w:val="21"/>
        </w:rPr>
      </w:pPr>
      <w:r>
        <w:rPr>
          <w:rFonts w:hint="eastAsia" w:ascii="宋体" w:hAnsi="宋体" w:cs="宋体"/>
          <w:b/>
          <w:szCs w:val="21"/>
        </w:rPr>
        <w:t>（四）应急照明及疏散指示系统</w:t>
      </w:r>
    </w:p>
    <w:p>
      <w:pPr>
        <w:numPr>
          <w:ilvl w:val="0"/>
          <w:numId w:val="18"/>
        </w:numPr>
        <w:spacing w:line="360" w:lineRule="auto"/>
        <w:jc w:val="left"/>
        <w:rPr>
          <w:rFonts w:ascii="宋体" w:hAnsi="宋体" w:cs="宋体"/>
          <w:szCs w:val="21"/>
        </w:rPr>
      </w:pPr>
      <w:r>
        <w:rPr>
          <w:rFonts w:hint="eastAsia" w:ascii="宋体" w:hAnsi="宋体" w:cs="宋体"/>
          <w:szCs w:val="21"/>
        </w:rPr>
        <w:t>检查应急灯在平时作照明使用时光管是否完好，火灾时能否自动切换成应急照明(每月)；</w:t>
      </w:r>
    </w:p>
    <w:p>
      <w:pPr>
        <w:numPr>
          <w:ilvl w:val="0"/>
          <w:numId w:val="18"/>
        </w:numPr>
        <w:spacing w:line="360" w:lineRule="auto"/>
        <w:jc w:val="left"/>
        <w:rPr>
          <w:rFonts w:ascii="宋体" w:hAnsi="宋体" w:cs="宋体"/>
          <w:szCs w:val="21"/>
        </w:rPr>
      </w:pPr>
      <w:r>
        <w:rPr>
          <w:rFonts w:hint="eastAsia" w:ascii="宋体" w:hAnsi="宋体" w:cs="宋体"/>
          <w:szCs w:val="21"/>
        </w:rPr>
        <w:t>检查出口疏导指示灯是否齐全，外形有无破损，发光是否正常。(每月)；</w:t>
      </w:r>
    </w:p>
    <w:p>
      <w:pPr>
        <w:numPr>
          <w:ilvl w:val="0"/>
          <w:numId w:val="18"/>
        </w:numPr>
        <w:spacing w:line="360" w:lineRule="auto"/>
        <w:jc w:val="left"/>
        <w:rPr>
          <w:rFonts w:ascii="宋体" w:hAnsi="宋体" w:cs="宋体"/>
          <w:szCs w:val="21"/>
        </w:rPr>
      </w:pPr>
      <w:r>
        <w:rPr>
          <w:rFonts w:hint="eastAsia" w:ascii="宋体" w:hAnsi="宋体" w:cs="宋体"/>
          <w:szCs w:val="21"/>
        </w:rPr>
        <w:t>检查出口疏导指示灯充电是否正常，按下试验按钮能否转换亮灯。(每月)；</w:t>
      </w:r>
    </w:p>
    <w:p>
      <w:pPr>
        <w:numPr>
          <w:ilvl w:val="0"/>
          <w:numId w:val="18"/>
        </w:numPr>
        <w:spacing w:line="360" w:lineRule="auto"/>
        <w:jc w:val="left"/>
        <w:rPr>
          <w:rFonts w:ascii="宋体" w:hAnsi="宋体" w:cs="宋体"/>
          <w:szCs w:val="21"/>
        </w:rPr>
      </w:pPr>
      <w:r>
        <w:rPr>
          <w:rFonts w:hint="eastAsia" w:ascii="宋体" w:hAnsi="宋体" w:cs="宋体"/>
          <w:szCs w:val="21"/>
        </w:rPr>
        <w:t>模拟火灾切断市电，检查疏导灯能否亮灯(每月)；</w:t>
      </w:r>
    </w:p>
    <w:p>
      <w:pPr>
        <w:numPr>
          <w:ilvl w:val="0"/>
          <w:numId w:val="18"/>
        </w:numPr>
        <w:spacing w:line="360" w:lineRule="auto"/>
        <w:jc w:val="left"/>
        <w:rPr>
          <w:rFonts w:ascii="宋体" w:hAnsi="宋体" w:cs="宋体"/>
          <w:szCs w:val="21"/>
        </w:rPr>
      </w:pPr>
      <w:r>
        <w:rPr>
          <w:rFonts w:hint="eastAsia" w:ascii="宋体" w:hAnsi="宋体" w:cs="宋体"/>
          <w:szCs w:val="21"/>
        </w:rPr>
        <w:t>应急照明灯和疏导指示灯应定期对其电池进行放电一次(每月)；</w:t>
      </w:r>
    </w:p>
    <w:p>
      <w:pPr>
        <w:numPr>
          <w:ilvl w:val="0"/>
          <w:numId w:val="18"/>
        </w:numPr>
        <w:spacing w:line="360" w:lineRule="auto"/>
        <w:jc w:val="left"/>
        <w:rPr>
          <w:rFonts w:ascii="宋体" w:hAnsi="宋体" w:cs="宋体"/>
          <w:szCs w:val="21"/>
        </w:rPr>
      </w:pPr>
      <w:r>
        <w:rPr>
          <w:rFonts w:hint="eastAsia" w:ascii="宋体" w:hAnsi="宋体" w:cs="宋体"/>
          <w:szCs w:val="21"/>
        </w:rPr>
        <w:t>对检查有问题的应急照明灯和疏导指示灯，作维修处理，需要更换元器件的提出申请并附元器件清单；</w:t>
      </w:r>
    </w:p>
    <w:p>
      <w:pPr>
        <w:numPr>
          <w:ilvl w:val="0"/>
          <w:numId w:val="18"/>
        </w:numPr>
        <w:spacing w:line="360" w:lineRule="auto"/>
        <w:jc w:val="left"/>
        <w:rPr>
          <w:rFonts w:ascii="宋体" w:hAnsi="宋体" w:cs="宋体"/>
          <w:szCs w:val="21"/>
        </w:rPr>
      </w:pPr>
      <w:r>
        <w:rPr>
          <w:rFonts w:hint="eastAsia" w:ascii="宋体" w:hAnsi="宋体" w:cs="宋体"/>
          <w:szCs w:val="21"/>
        </w:rPr>
        <w:t>每月对应急照明灯和疏导指示灯进行外观检查，保证灯具外观清洁，无灰尘杂物。</w:t>
      </w:r>
    </w:p>
    <w:p>
      <w:pPr>
        <w:spacing w:line="360" w:lineRule="auto"/>
        <w:jc w:val="left"/>
        <w:rPr>
          <w:rFonts w:ascii="宋体" w:hAnsi="宋体" w:cs="宋体"/>
          <w:b/>
          <w:szCs w:val="21"/>
        </w:rPr>
      </w:pPr>
      <w:r>
        <w:rPr>
          <w:rFonts w:hint="eastAsia" w:ascii="宋体" w:hAnsi="宋体" w:cs="宋体"/>
          <w:b/>
          <w:szCs w:val="21"/>
        </w:rPr>
        <w:t>（五）火灾事故广播、电话系统</w:t>
      </w:r>
    </w:p>
    <w:p>
      <w:pPr>
        <w:numPr>
          <w:ilvl w:val="0"/>
          <w:numId w:val="19"/>
        </w:numPr>
        <w:spacing w:line="360" w:lineRule="auto"/>
        <w:jc w:val="left"/>
        <w:rPr>
          <w:rFonts w:ascii="宋体" w:hAnsi="宋体" w:cs="宋体"/>
          <w:szCs w:val="21"/>
        </w:rPr>
      </w:pPr>
      <w:r>
        <w:rPr>
          <w:rFonts w:hint="eastAsia" w:ascii="宋体" w:hAnsi="宋体" w:cs="宋体"/>
          <w:szCs w:val="21"/>
        </w:rPr>
        <w:t>每月检查消防事故广播机的运行状态和功能测试；</w:t>
      </w:r>
    </w:p>
    <w:p>
      <w:pPr>
        <w:numPr>
          <w:ilvl w:val="0"/>
          <w:numId w:val="19"/>
        </w:numPr>
        <w:spacing w:line="360" w:lineRule="auto"/>
        <w:jc w:val="left"/>
        <w:rPr>
          <w:rFonts w:ascii="宋体" w:hAnsi="宋体" w:cs="宋体"/>
          <w:szCs w:val="21"/>
        </w:rPr>
      </w:pPr>
      <w:r>
        <w:rPr>
          <w:rFonts w:hint="eastAsia" w:ascii="宋体" w:hAnsi="宋体" w:cs="宋体"/>
          <w:szCs w:val="21"/>
        </w:rPr>
        <w:t>每月抽查50%的楼层扬声器进行报火警试验，检查其声压级是否符合要求；</w:t>
      </w:r>
    </w:p>
    <w:p>
      <w:pPr>
        <w:numPr>
          <w:ilvl w:val="0"/>
          <w:numId w:val="19"/>
        </w:numPr>
        <w:spacing w:line="360" w:lineRule="auto"/>
        <w:jc w:val="left"/>
        <w:rPr>
          <w:rFonts w:ascii="宋体" w:hAnsi="宋体" w:cs="宋体"/>
          <w:szCs w:val="21"/>
        </w:rPr>
      </w:pPr>
      <w:r>
        <w:rPr>
          <w:rFonts w:hint="eastAsia" w:ascii="宋体" w:hAnsi="宋体" w:cs="宋体"/>
          <w:szCs w:val="21"/>
        </w:rPr>
        <w:t>每月检查消防电话机的运行状态和各功能测试；</w:t>
      </w:r>
    </w:p>
    <w:p>
      <w:pPr>
        <w:numPr>
          <w:ilvl w:val="0"/>
          <w:numId w:val="19"/>
        </w:numPr>
        <w:spacing w:line="360" w:lineRule="auto"/>
        <w:jc w:val="left"/>
        <w:rPr>
          <w:rFonts w:ascii="宋体" w:hAnsi="宋体" w:cs="宋体"/>
          <w:szCs w:val="21"/>
        </w:rPr>
      </w:pPr>
      <w:r>
        <w:rPr>
          <w:rFonts w:hint="eastAsia" w:ascii="宋体" w:hAnsi="宋体" w:cs="宋体"/>
          <w:szCs w:val="21"/>
        </w:rPr>
        <w:t>每季对备用电源进行1~2次充放电试验。</w:t>
      </w:r>
    </w:p>
    <w:p>
      <w:pPr>
        <w:spacing w:line="360" w:lineRule="auto"/>
        <w:jc w:val="left"/>
        <w:rPr>
          <w:rFonts w:ascii="宋体" w:hAnsi="宋体" w:cs="宋体"/>
          <w:b/>
          <w:szCs w:val="21"/>
        </w:rPr>
      </w:pPr>
      <w:r>
        <w:rPr>
          <w:rFonts w:hint="eastAsia" w:ascii="宋体" w:hAnsi="宋体" w:cs="宋体"/>
          <w:b/>
          <w:szCs w:val="21"/>
        </w:rPr>
        <w:t>（六）</w:t>
      </w:r>
      <w:r>
        <w:rPr>
          <w:rFonts w:hint="eastAsia" w:ascii="宋体" w:hAnsi="宋体" w:cs="宋体"/>
          <w:szCs w:val="21"/>
        </w:rPr>
        <w:t>本部大楼（含主楼和副楼）及德冠仓库</w:t>
      </w:r>
      <w:r>
        <w:rPr>
          <w:rFonts w:hint="eastAsia" w:ascii="宋体" w:hAnsi="宋体" w:cs="宋体"/>
          <w:b/>
          <w:szCs w:val="21"/>
        </w:rPr>
        <w:t>手提式/移动式/悬挂式灭火器检查保养</w:t>
      </w:r>
    </w:p>
    <w:p>
      <w:pPr>
        <w:numPr>
          <w:ilvl w:val="0"/>
          <w:numId w:val="20"/>
        </w:numPr>
        <w:spacing w:line="360" w:lineRule="auto"/>
        <w:jc w:val="left"/>
        <w:rPr>
          <w:rFonts w:ascii="宋体" w:hAnsi="宋体" w:cs="宋体"/>
          <w:szCs w:val="21"/>
        </w:rPr>
      </w:pPr>
      <w:r>
        <w:rPr>
          <w:rFonts w:hint="eastAsia" w:ascii="宋体" w:hAnsi="宋体" w:cs="宋体"/>
          <w:szCs w:val="21"/>
        </w:rPr>
        <w:t>每月外观检查灭火器压力情况；</w:t>
      </w:r>
    </w:p>
    <w:p>
      <w:pPr>
        <w:numPr>
          <w:ilvl w:val="0"/>
          <w:numId w:val="20"/>
        </w:numPr>
        <w:spacing w:line="360" w:lineRule="auto"/>
        <w:jc w:val="left"/>
        <w:rPr>
          <w:rFonts w:ascii="宋体" w:hAnsi="宋体" w:cs="宋体"/>
          <w:szCs w:val="21"/>
        </w:rPr>
      </w:pPr>
      <w:r>
        <w:rPr>
          <w:rFonts w:hint="eastAsia" w:ascii="宋体" w:hAnsi="宋体" w:cs="宋体"/>
          <w:szCs w:val="21"/>
        </w:rPr>
        <w:t>定期进行实际称重；</w:t>
      </w:r>
    </w:p>
    <w:p>
      <w:pPr>
        <w:numPr>
          <w:ilvl w:val="0"/>
          <w:numId w:val="20"/>
        </w:numPr>
        <w:spacing w:line="360" w:lineRule="auto"/>
        <w:jc w:val="left"/>
        <w:rPr>
          <w:rFonts w:ascii="宋体" w:hAnsi="宋体" w:cs="宋体"/>
          <w:szCs w:val="21"/>
        </w:rPr>
      </w:pPr>
      <w:r>
        <w:rPr>
          <w:rFonts w:hint="eastAsia" w:ascii="宋体" w:hAnsi="宋体" w:cs="宋体"/>
          <w:szCs w:val="21"/>
        </w:rPr>
        <w:t>定期进行外观清洁。</w:t>
      </w:r>
    </w:p>
    <w:p>
      <w:pPr>
        <w:spacing w:line="360" w:lineRule="auto"/>
        <w:jc w:val="left"/>
        <w:rPr>
          <w:rFonts w:ascii="宋体" w:hAnsi="宋体" w:cs="宋体"/>
          <w:b/>
          <w:szCs w:val="21"/>
        </w:rPr>
      </w:pPr>
      <w:r>
        <w:rPr>
          <w:rFonts w:hint="eastAsia" w:ascii="宋体" w:hAnsi="宋体" w:cs="宋体"/>
          <w:b/>
          <w:szCs w:val="21"/>
        </w:rPr>
        <w:t>（七）消防防排烟系统</w:t>
      </w:r>
    </w:p>
    <w:p>
      <w:pPr>
        <w:numPr>
          <w:ilvl w:val="0"/>
          <w:numId w:val="21"/>
        </w:numPr>
        <w:spacing w:line="360" w:lineRule="auto"/>
        <w:jc w:val="left"/>
        <w:rPr>
          <w:rFonts w:ascii="宋体" w:hAnsi="宋体" w:cs="宋体"/>
          <w:szCs w:val="21"/>
        </w:rPr>
      </w:pPr>
      <w:r>
        <w:rPr>
          <w:rFonts w:hint="eastAsia" w:ascii="宋体" w:hAnsi="宋体" w:cs="宋体"/>
          <w:szCs w:val="21"/>
        </w:rPr>
        <w:t>每月检查送风（排烟）口有无变形、损伤，周围有无影响使用的障碍。</w:t>
      </w:r>
    </w:p>
    <w:p>
      <w:pPr>
        <w:numPr>
          <w:ilvl w:val="0"/>
          <w:numId w:val="21"/>
        </w:numPr>
        <w:spacing w:line="360" w:lineRule="auto"/>
        <w:jc w:val="left"/>
        <w:rPr>
          <w:rFonts w:ascii="宋体" w:hAnsi="宋体" w:cs="宋体"/>
          <w:szCs w:val="21"/>
        </w:rPr>
      </w:pPr>
      <w:r>
        <w:rPr>
          <w:rFonts w:hint="eastAsia" w:ascii="宋体" w:hAnsi="宋体" w:cs="宋体"/>
          <w:szCs w:val="21"/>
        </w:rPr>
        <w:t>每月检查风机与风口连接部位的法兰有无损伤，螺栓是否松动。</w:t>
      </w:r>
    </w:p>
    <w:p>
      <w:pPr>
        <w:numPr>
          <w:ilvl w:val="0"/>
          <w:numId w:val="21"/>
        </w:numPr>
        <w:spacing w:line="360" w:lineRule="auto"/>
        <w:jc w:val="left"/>
        <w:rPr>
          <w:rFonts w:ascii="宋体" w:hAnsi="宋体" w:cs="宋体"/>
          <w:szCs w:val="21"/>
        </w:rPr>
      </w:pPr>
      <w:r>
        <w:rPr>
          <w:rFonts w:hint="eastAsia" w:ascii="宋体" w:hAnsi="宋体" w:cs="宋体"/>
          <w:szCs w:val="21"/>
        </w:rPr>
        <w:t>每月检查送风机周围有无可燃物，安装螺栓是否松动、损伤。</w:t>
      </w:r>
    </w:p>
    <w:p>
      <w:pPr>
        <w:numPr>
          <w:ilvl w:val="0"/>
          <w:numId w:val="21"/>
        </w:numPr>
        <w:spacing w:line="360" w:lineRule="auto"/>
        <w:jc w:val="left"/>
        <w:rPr>
          <w:rFonts w:ascii="宋体" w:hAnsi="宋体" w:cs="宋体"/>
          <w:szCs w:val="21"/>
        </w:rPr>
      </w:pPr>
      <w:r>
        <w:rPr>
          <w:rFonts w:hint="eastAsia" w:ascii="宋体" w:hAnsi="宋体" w:cs="宋体"/>
          <w:szCs w:val="21"/>
        </w:rPr>
        <w:t>每月检查风机控制箱电源电压情况及指示灯显示是否正常，点动各台风机，检查起动和停止按钮控制是否正常。</w:t>
      </w:r>
    </w:p>
    <w:p>
      <w:pPr>
        <w:numPr>
          <w:ilvl w:val="0"/>
          <w:numId w:val="21"/>
        </w:numPr>
        <w:spacing w:line="360" w:lineRule="auto"/>
        <w:jc w:val="left"/>
        <w:rPr>
          <w:rFonts w:ascii="宋体" w:hAnsi="宋体" w:cs="宋体"/>
          <w:szCs w:val="21"/>
        </w:rPr>
      </w:pPr>
      <w:r>
        <w:rPr>
          <w:rFonts w:hint="eastAsia" w:ascii="宋体" w:hAnsi="宋体" w:cs="宋体"/>
          <w:szCs w:val="21"/>
        </w:rPr>
        <w:t>每月对系统进行模拟火警的动作试验，检查下列事项：</w:t>
      </w:r>
    </w:p>
    <w:p>
      <w:pPr>
        <w:numPr>
          <w:ilvl w:val="0"/>
          <w:numId w:val="22"/>
        </w:numPr>
        <w:spacing w:line="360" w:lineRule="auto"/>
        <w:jc w:val="left"/>
        <w:rPr>
          <w:rFonts w:ascii="宋体" w:hAnsi="宋体" w:cs="宋体"/>
          <w:szCs w:val="21"/>
        </w:rPr>
      </w:pPr>
      <w:r>
        <w:rPr>
          <w:rFonts w:hint="eastAsia" w:ascii="宋体" w:hAnsi="宋体" w:cs="宋体"/>
          <w:szCs w:val="21"/>
        </w:rPr>
        <w:t>送风阀（排烟阀）能否开启，消防中心能否显示其动作信号；</w:t>
      </w:r>
    </w:p>
    <w:p>
      <w:pPr>
        <w:numPr>
          <w:ilvl w:val="0"/>
          <w:numId w:val="22"/>
        </w:numPr>
        <w:spacing w:line="360" w:lineRule="auto"/>
        <w:jc w:val="left"/>
        <w:rPr>
          <w:rFonts w:ascii="宋体" w:hAnsi="宋体" w:cs="宋体"/>
          <w:szCs w:val="21"/>
        </w:rPr>
      </w:pPr>
      <w:r>
        <w:rPr>
          <w:rFonts w:hint="eastAsia" w:ascii="宋体" w:hAnsi="宋体" w:cs="宋体"/>
          <w:szCs w:val="21"/>
        </w:rPr>
        <w:t>风机能否开启，消防中心能否显示其动作信号；</w:t>
      </w:r>
    </w:p>
    <w:p>
      <w:pPr>
        <w:numPr>
          <w:ilvl w:val="0"/>
          <w:numId w:val="22"/>
        </w:numPr>
        <w:spacing w:line="360" w:lineRule="auto"/>
        <w:jc w:val="left"/>
        <w:rPr>
          <w:rFonts w:ascii="宋体" w:hAnsi="宋体" w:cs="宋体"/>
          <w:szCs w:val="21"/>
        </w:rPr>
      </w:pPr>
      <w:r>
        <w:rPr>
          <w:rFonts w:hint="eastAsia" w:ascii="宋体" w:hAnsi="宋体" w:cs="宋体"/>
          <w:szCs w:val="21"/>
        </w:rPr>
        <w:t>在送风阀（排烟阀）开启部位检查风量是否足够。</w:t>
      </w:r>
    </w:p>
    <w:p>
      <w:pPr>
        <w:numPr>
          <w:ilvl w:val="0"/>
          <w:numId w:val="22"/>
        </w:numPr>
        <w:spacing w:line="360" w:lineRule="auto"/>
        <w:jc w:val="left"/>
        <w:rPr>
          <w:rFonts w:ascii="宋体" w:hAnsi="宋体" w:cs="宋体"/>
          <w:szCs w:val="21"/>
        </w:rPr>
      </w:pPr>
      <w:r>
        <w:rPr>
          <w:rFonts w:hint="eastAsia" w:ascii="宋体" w:hAnsi="宋体" w:cs="宋体"/>
          <w:szCs w:val="21"/>
        </w:rPr>
        <w:t>轴承转动是否需加润滑油。</w:t>
      </w:r>
    </w:p>
    <w:p>
      <w:pPr>
        <w:spacing w:line="360" w:lineRule="auto"/>
        <w:jc w:val="left"/>
        <w:rPr>
          <w:rFonts w:ascii="宋体" w:hAnsi="宋体" w:cs="宋体"/>
          <w:b/>
          <w:szCs w:val="21"/>
        </w:rPr>
      </w:pPr>
      <w:r>
        <w:rPr>
          <w:rFonts w:hint="eastAsia" w:ascii="宋体" w:hAnsi="宋体" w:cs="宋体"/>
          <w:b/>
          <w:szCs w:val="21"/>
        </w:rPr>
        <w:t>（八）气体自动灭火系统</w:t>
      </w:r>
    </w:p>
    <w:p>
      <w:pPr>
        <w:numPr>
          <w:ilvl w:val="0"/>
          <w:numId w:val="23"/>
        </w:numPr>
        <w:spacing w:line="360" w:lineRule="auto"/>
        <w:jc w:val="left"/>
        <w:rPr>
          <w:rFonts w:ascii="宋体" w:hAnsi="宋体" w:cs="宋体"/>
          <w:szCs w:val="21"/>
        </w:rPr>
      </w:pPr>
      <w:r>
        <w:rPr>
          <w:rFonts w:hint="eastAsia" w:ascii="宋体" w:hAnsi="宋体" w:cs="宋体"/>
          <w:szCs w:val="21"/>
        </w:rPr>
        <w:t>每月检查和试验烟感火灾报警系统下列功能：</w:t>
      </w:r>
    </w:p>
    <w:p>
      <w:pPr>
        <w:numPr>
          <w:ilvl w:val="0"/>
          <w:numId w:val="24"/>
        </w:numPr>
        <w:spacing w:line="360" w:lineRule="auto"/>
        <w:jc w:val="left"/>
        <w:rPr>
          <w:rFonts w:ascii="宋体" w:hAnsi="宋体" w:cs="宋体"/>
          <w:szCs w:val="21"/>
        </w:rPr>
      </w:pPr>
      <w:r>
        <w:rPr>
          <w:rFonts w:hint="eastAsia" w:ascii="宋体" w:hAnsi="宋体" w:cs="宋体"/>
          <w:szCs w:val="21"/>
        </w:rPr>
        <w:t>检查报警控制器的自检、巡检功能是否正常，同时检查消音、复位、故障报警等功能是否正常。对备用电源进行充放电试验及自动切换试验；</w:t>
      </w:r>
    </w:p>
    <w:p>
      <w:pPr>
        <w:numPr>
          <w:ilvl w:val="0"/>
          <w:numId w:val="24"/>
        </w:numPr>
        <w:spacing w:line="360" w:lineRule="auto"/>
        <w:jc w:val="left"/>
        <w:rPr>
          <w:rFonts w:ascii="宋体" w:hAnsi="宋体" w:cs="宋体"/>
          <w:szCs w:val="21"/>
        </w:rPr>
      </w:pPr>
      <w:r>
        <w:rPr>
          <w:rFonts w:hint="eastAsia" w:ascii="宋体" w:hAnsi="宋体" w:cs="宋体"/>
          <w:szCs w:val="21"/>
        </w:rPr>
        <w:t>对火灾探测器进行抽查模拟火警测试，检查报警控制器的动作功能。</w:t>
      </w:r>
    </w:p>
    <w:p>
      <w:pPr>
        <w:numPr>
          <w:ilvl w:val="0"/>
          <w:numId w:val="23"/>
        </w:numPr>
        <w:spacing w:line="360" w:lineRule="auto"/>
        <w:jc w:val="left"/>
        <w:rPr>
          <w:rFonts w:ascii="宋体" w:hAnsi="宋体" w:cs="宋体"/>
          <w:szCs w:val="21"/>
        </w:rPr>
      </w:pPr>
      <w:r>
        <w:rPr>
          <w:rFonts w:hint="eastAsia" w:ascii="宋体" w:hAnsi="宋体" w:cs="宋体"/>
          <w:szCs w:val="21"/>
        </w:rPr>
        <w:t>每月对瓶组组件进行外观检查，系统组件应无碰撞变形及其他机械损伤，表面应无锈蚀，保护涂层应完好，铭牌应清晰。</w:t>
      </w:r>
    </w:p>
    <w:p>
      <w:pPr>
        <w:numPr>
          <w:ilvl w:val="0"/>
          <w:numId w:val="23"/>
        </w:numPr>
        <w:spacing w:line="360" w:lineRule="auto"/>
        <w:jc w:val="left"/>
        <w:rPr>
          <w:rFonts w:ascii="宋体" w:hAnsi="宋体" w:cs="宋体"/>
          <w:szCs w:val="21"/>
        </w:rPr>
      </w:pPr>
      <w:r>
        <w:rPr>
          <w:rFonts w:hint="eastAsia" w:ascii="宋体" w:hAnsi="宋体" w:cs="宋体"/>
          <w:szCs w:val="21"/>
        </w:rPr>
        <w:t>每月检查气体驱动瓶的压力值是否满足使用要求。</w:t>
      </w:r>
    </w:p>
    <w:p>
      <w:pPr>
        <w:numPr>
          <w:ilvl w:val="0"/>
          <w:numId w:val="23"/>
        </w:numPr>
        <w:spacing w:line="360" w:lineRule="auto"/>
        <w:jc w:val="left"/>
        <w:rPr>
          <w:rFonts w:ascii="宋体" w:hAnsi="宋体" w:cs="宋体"/>
          <w:szCs w:val="21"/>
        </w:rPr>
      </w:pPr>
      <w:r>
        <w:rPr>
          <w:rFonts w:hint="eastAsia" w:ascii="宋体" w:hAnsi="宋体" w:cs="宋体"/>
          <w:szCs w:val="21"/>
        </w:rPr>
        <w:t>电磁阀每季度应作启动试验，动作失常时应及时报请更换。</w:t>
      </w:r>
    </w:p>
    <w:p>
      <w:pPr>
        <w:numPr>
          <w:ilvl w:val="0"/>
          <w:numId w:val="12"/>
        </w:numPr>
        <w:spacing w:line="360" w:lineRule="auto"/>
        <w:rPr>
          <w:rFonts w:ascii="宋体" w:hAnsi="宋体" w:cs="宋体"/>
          <w:b/>
          <w:bCs/>
          <w:szCs w:val="21"/>
        </w:rPr>
      </w:pPr>
      <w:r>
        <w:rPr>
          <w:rFonts w:hint="eastAsia" w:ascii="宋体" w:hAnsi="宋体" w:cs="宋体"/>
          <w:b/>
          <w:bCs/>
          <w:szCs w:val="21"/>
        </w:rPr>
        <w:t>项目其他要求：</w:t>
      </w:r>
    </w:p>
    <w:p>
      <w:pPr>
        <w:numPr>
          <w:ilvl w:val="0"/>
          <w:numId w:val="25"/>
        </w:numPr>
        <w:tabs>
          <w:tab w:val="left" w:pos="0"/>
        </w:tabs>
        <w:autoSpaceDE w:val="0"/>
        <w:autoSpaceDN w:val="0"/>
        <w:snapToGrid w:val="0"/>
        <w:spacing w:line="360" w:lineRule="auto"/>
        <w:ind w:left="0" w:firstLine="0"/>
        <w:jc w:val="left"/>
        <w:rPr>
          <w:rFonts w:ascii="宋体" w:hAnsi="宋体" w:cs="宋体"/>
          <w:szCs w:val="21"/>
        </w:rPr>
      </w:pPr>
      <w:r>
        <w:rPr>
          <w:rFonts w:hint="eastAsia" w:ascii="宋体" w:hAnsi="宋体" w:cs="宋体"/>
          <w:b/>
          <w:bCs/>
          <w:szCs w:val="21"/>
        </w:rPr>
        <w:t>成交人每月至少安排3位技术人员对消防系统进行定期检测和保养，其中项目负责人1名须持有一级注册消防工程师证书和高级工程师职称（机电工程专业）证书，维保技术员2名须持四级/中级</w:t>
      </w:r>
      <w:r>
        <w:rPr>
          <w:rFonts w:hint="eastAsia" w:ascii="宋体" w:hAnsi="宋体" w:cs="宋体"/>
          <w:szCs w:val="21"/>
        </w:rPr>
        <w:t>或以上消防设施操作员职业资格证书。（成交人签订合同前向采购人提供人员职称证书）。</w:t>
      </w:r>
    </w:p>
    <w:p>
      <w:pPr>
        <w:numPr>
          <w:ilvl w:val="0"/>
          <w:numId w:val="25"/>
        </w:numPr>
        <w:tabs>
          <w:tab w:val="left" w:pos="0"/>
        </w:tabs>
        <w:autoSpaceDE w:val="0"/>
        <w:autoSpaceDN w:val="0"/>
        <w:snapToGrid w:val="0"/>
        <w:spacing w:line="360" w:lineRule="auto"/>
        <w:ind w:left="0" w:firstLine="0"/>
        <w:jc w:val="left"/>
        <w:rPr>
          <w:rFonts w:ascii="宋体" w:hAnsi="宋体" w:cs="宋体"/>
          <w:szCs w:val="21"/>
        </w:rPr>
      </w:pPr>
      <w:r>
        <w:rPr>
          <w:rFonts w:hint="eastAsia" w:ascii="宋体" w:hAnsi="宋体" w:cs="宋体"/>
          <w:szCs w:val="21"/>
        </w:rPr>
        <w:t>消防设施出现故障，成交人接到采购人报修后，一般故障8小时内完成，需更换部件的经采购人同意后，24小时内完成。</w:t>
      </w:r>
    </w:p>
    <w:p>
      <w:pPr>
        <w:numPr>
          <w:ilvl w:val="0"/>
          <w:numId w:val="25"/>
        </w:numPr>
        <w:tabs>
          <w:tab w:val="left" w:pos="0"/>
        </w:tabs>
        <w:autoSpaceDE w:val="0"/>
        <w:autoSpaceDN w:val="0"/>
        <w:snapToGrid w:val="0"/>
        <w:spacing w:line="360" w:lineRule="auto"/>
        <w:ind w:left="0" w:firstLine="0"/>
        <w:jc w:val="left"/>
        <w:rPr>
          <w:rFonts w:ascii="宋体" w:hAnsi="宋体" w:cs="宋体"/>
          <w:szCs w:val="21"/>
        </w:rPr>
      </w:pPr>
      <w:r>
        <w:rPr>
          <w:rFonts w:hint="eastAsia" w:ascii="宋体" w:hAnsi="宋体" w:cs="宋体"/>
          <w:szCs w:val="21"/>
        </w:rPr>
        <w:t>每年对消防系统进行一次综合实验，出具检测报告。</w:t>
      </w:r>
    </w:p>
    <w:p>
      <w:pPr>
        <w:numPr>
          <w:ilvl w:val="0"/>
          <w:numId w:val="25"/>
        </w:numPr>
        <w:tabs>
          <w:tab w:val="left" w:pos="0"/>
        </w:tabs>
        <w:autoSpaceDE w:val="0"/>
        <w:autoSpaceDN w:val="0"/>
        <w:snapToGrid w:val="0"/>
        <w:spacing w:line="360" w:lineRule="auto"/>
        <w:ind w:left="0" w:firstLine="0"/>
        <w:jc w:val="left"/>
        <w:rPr>
          <w:rFonts w:ascii="宋体" w:hAnsi="宋体" w:cs="宋体"/>
          <w:szCs w:val="21"/>
        </w:rPr>
      </w:pPr>
      <w:r>
        <w:rPr>
          <w:rFonts w:hint="eastAsia" w:ascii="宋体" w:hAnsi="宋体" w:cs="宋体"/>
          <w:szCs w:val="21"/>
        </w:rPr>
        <w:t>成交人每年免费提供一次不带营销性质的消防应急演练培训及每年组织一次消防安全培训，成交人需安排相关消防经验讲师给采购人进行培训。通过消防应急演练培训和消防安全培训，提高采购人员工消防安全应急意识，让采购人员工熟悉办公大楼的消防逃生路线、掌握正确逃生的方法，学会正确使用灭火器材，以此提高采购人员工遇到火灾突发事件时的应变能力。</w:t>
      </w:r>
    </w:p>
    <w:p>
      <w:pPr>
        <w:numPr>
          <w:ilvl w:val="0"/>
          <w:numId w:val="12"/>
        </w:numPr>
        <w:spacing w:line="360" w:lineRule="auto"/>
        <w:rPr>
          <w:rFonts w:ascii="宋体" w:hAnsi="宋体" w:cs="宋体"/>
          <w:b/>
          <w:bCs/>
          <w:szCs w:val="21"/>
        </w:rPr>
      </w:pPr>
      <w:r>
        <w:rPr>
          <w:rFonts w:hint="eastAsia" w:ascii="宋体" w:hAnsi="宋体" w:cs="宋体"/>
          <w:b/>
          <w:bCs/>
          <w:szCs w:val="21"/>
        </w:rPr>
        <w:t>付款方式：</w:t>
      </w:r>
    </w:p>
    <w:p>
      <w:pPr>
        <w:numPr>
          <w:ilvl w:val="0"/>
          <w:numId w:val="26"/>
        </w:numPr>
        <w:tabs>
          <w:tab w:val="left" w:pos="0"/>
        </w:tabs>
        <w:autoSpaceDE w:val="0"/>
        <w:autoSpaceDN w:val="0"/>
        <w:snapToGrid w:val="0"/>
        <w:spacing w:line="360" w:lineRule="auto"/>
        <w:jc w:val="left"/>
        <w:rPr>
          <w:rFonts w:ascii="宋体" w:hAnsi="宋体" w:cs="宋体"/>
          <w:szCs w:val="21"/>
        </w:rPr>
      </w:pPr>
      <w:r>
        <w:rPr>
          <w:rFonts w:hint="eastAsia" w:ascii="宋体" w:hAnsi="宋体" w:cs="宋体"/>
          <w:szCs w:val="21"/>
        </w:rPr>
        <w:t>每三个月结算一次，第四个月初结算前三个月维护保养费用。</w:t>
      </w:r>
    </w:p>
    <w:p>
      <w:pPr>
        <w:numPr>
          <w:ilvl w:val="0"/>
          <w:numId w:val="26"/>
        </w:numPr>
        <w:tabs>
          <w:tab w:val="left" w:pos="0"/>
        </w:tabs>
        <w:autoSpaceDE w:val="0"/>
        <w:autoSpaceDN w:val="0"/>
        <w:snapToGrid w:val="0"/>
        <w:spacing w:line="360" w:lineRule="auto"/>
        <w:jc w:val="left"/>
        <w:rPr>
          <w:rFonts w:ascii="宋体" w:hAnsi="宋体" w:cs="宋体"/>
          <w:szCs w:val="21"/>
        </w:rPr>
      </w:pPr>
      <w:r>
        <w:rPr>
          <w:rFonts w:hint="eastAsia" w:ascii="宋体" w:hAnsi="宋体" w:cs="宋体"/>
          <w:szCs w:val="21"/>
        </w:rPr>
        <w:t>付款前成交人应凭上一季度《顺德分公司本部大楼消防维护保养服务评分表》出具与付款金额等额的增值税专用发票，采购人在收到发票后三个月内支付款项。收款方、出具发票方、合同乙方均必须与成交人名称一致。如成交人未及时提供发票导致采购人无法按期付款，不构成采购人迟延付款违约责任。</w:t>
      </w:r>
    </w:p>
    <w:p>
      <w:pPr>
        <w:numPr>
          <w:ilvl w:val="0"/>
          <w:numId w:val="26"/>
        </w:numPr>
        <w:tabs>
          <w:tab w:val="left" w:pos="0"/>
        </w:tabs>
        <w:autoSpaceDE w:val="0"/>
        <w:autoSpaceDN w:val="0"/>
        <w:snapToGrid w:val="0"/>
        <w:spacing w:line="360" w:lineRule="auto"/>
        <w:jc w:val="left"/>
        <w:rPr>
          <w:rFonts w:ascii="宋体" w:hAnsi="宋体" w:cs="宋体"/>
          <w:szCs w:val="21"/>
        </w:rPr>
      </w:pPr>
      <w:r>
        <w:rPr>
          <w:rFonts w:hint="eastAsia" w:ascii="宋体" w:hAnsi="宋体" w:cs="宋体"/>
          <w:szCs w:val="21"/>
        </w:rPr>
        <w:t>采购人根据成交人提供的服务质量按100分制给予考评（详细见顺德分公司本部大楼消防维护保养服务评分表），采购人在每3个月（一个季度）的维护工作完成后，对成交人的服务质量进行考核，考核结果经双方确认后，季度维护保养费用按以下考核办法进行结算。</w:t>
      </w:r>
    </w:p>
    <w:p>
      <w:pPr>
        <w:numPr>
          <w:ilvl w:val="0"/>
          <w:numId w:val="26"/>
        </w:numPr>
        <w:tabs>
          <w:tab w:val="left" w:pos="0"/>
        </w:tabs>
        <w:autoSpaceDE w:val="0"/>
        <w:autoSpaceDN w:val="0"/>
        <w:snapToGrid w:val="0"/>
        <w:spacing w:line="360" w:lineRule="auto"/>
        <w:jc w:val="left"/>
        <w:rPr>
          <w:rFonts w:ascii="宋体" w:hAnsi="宋体" w:cs="宋体"/>
          <w:szCs w:val="21"/>
        </w:rPr>
      </w:pPr>
      <w:r>
        <w:rPr>
          <w:rFonts w:hint="eastAsia" w:ascii="宋体" w:hAnsi="宋体" w:cs="宋体"/>
          <w:szCs w:val="21"/>
        </w:rPr>
        <w:t>维护考核办法：考核分数满分为100分， 考核分数为95分以上（含95分）支付全款季度维护保养费，不扣除维护保养费用；考核分数为85—94分（含85分）支付季度维护保养费用款的90%；考核分数为75—84分（含75分）支付季度维护保养费用款的70%；考核分数为65-74分（含65分）支付季度维护保养费用款的50%；考核分数为低于65分的，季度维护保养费用为零。连续两个季度考核分数低于65分的，采购人有权终止合同。</w:t>
      </w:r>
    </w:p>
    <w:p>
      <w:pPr>
        <w:numPr>
          <w:ilvl w:val="0"/>
          <w:numId w:val="26"/>
        </w:numPr>
        <w:tabs>
          <w:tab w:val="left" w:pos="0"/>
        </w:tabs>
        <w:autoSpaceDE w:val="0"/>
        <w:autoSpaceDN w:val="0"/>
        <w:snapToGrid w:val="0"/>
        <w:spacing w:line="360" w:lineRule="auto"/>
        <w:jc w:val="left"/>
        <w:rPr>
          <w:rFonts w:ascii="宋体" w:hAnsi="宋体" w:cs="宋体"/>
          <w:szCs w:val="21"/>
        </w:rPr>
      </w:pPr>
      <w:r>
        <w:rPr>
          <w:rFonts w:hint="eastAsia" w:ascii="宋体" w:hAnsi="宋体" w:cs="宋体"/>
          <w:szCs w:val="21"/>
        </w:rPr>
        <w:t>税务</w:t>
      </w:r>
    </w:p>
    <w:p>
      <w:pPr>
        <w:numPr>
          <w:ilvl w:val="0"/>
          <w:numId w:val="27"/>
        </w:numPr>
        <w:autoSpaceDE w:val="0"/>
        <w:autoSpaceDN w:val="0"/>
        <w:snapToGrid w:val="0"/>
        <w:spacing w:line="360" w:lineRule="auto"/>
        <w:jc w:val="left"/>
        <w:rPr>
          <w:rFonts w:ascii="宋体" w:hAnsi="宋体" w:cs="宋体"/>
          <w:szCs w:val="21"/>
        </w:rPr>
      </w:pPr>
      <w:r>
        <w:rPr>
          <w:rFonts w:hint="eastAsia" w:ascii="宋体" w:hAnsi="宋体" w:cs="宋体"/>
          <w:szCs w:val="21"/>
        </w:rPr>
        <w:t xml:space="preserve">成交供应商承诺其开具增值税专用发票的形式与内容均合法、有效、完整、准确。不开具或开具不合格的增值税专用发票，采购人有权顺延支付应付款项且不承担任何违约责任，且成交供应商的各项合同义务仍应按合同约定履行。 </w:t>
      </w:r>
    </w:p>
    <w:p>
      <w:pPr>
        <w:numPr>
          <w:ilvl w:val="0"/>
          <w:numId w:val="27"/>
        </w:numPr>
        <w:autoSpaceDE w:val="0"/>
        <w:autoSpaceDN w:val="0"/>
        <w:snapToGrid w:val="0"/>
        <w:spacing w:line="360" w:lineRule="auto"/>
        <w:jc w:val="left"/>
        <w:rPr>
          <w:rFonts w:ascii="宋体" w:hAnsi="宋体" w:cs="宋体"/>
          <w:szCs w:val="21"/>
        </w:rPr>
      </w:pPr>
      <w:r>
        <w:rPr>
          <w:rFonts w:hint="eastAsia" w:ascii="宋体" w:hAnsi="宋体" w:cs="宋体"/>
          <w:szCs w:val="21"/>
        </w:rPr>
        <w:t>如出现国家税收政策调整时，双方应根据实际税收调整情况，以本合同中的不含税单价（不含税单价=含税单价/（1+税率）为依据相应调整受影响的合同含税金额，成交供应商需按照税收调整政策规定开具合法合规发票。</w:t>
      </w:r>
    </w:p>
    <w:p>
      <w:pPr>
        <w:rPr>
          <w:rFonts w:ascii="仿宋" w:hAnsi="仿宋" w:eastAsia="仿宋" w:cs="仿宋"/>
          <w:b/>
          <w:sz w:val="24"/>
        </w:rPr>
      </w:pPr>
      <w:r>
        <w:rPr>
          <w:rFonts w:ascii="仿宋" w:hAnsi="仿宋" w:eastAsia="仿宋" w:cs="仿宋"/>
          <w:b/>
          <w:sz w:val="24"/>
        </w:rPr>
        <w:br w:type="page"/>
      </w:r>
    </w:p>
    <w:p>
      <w:pPr>
        <w:rPr>
          <w:rFonts w:ascii="仿宋" w:hAnsi="仿宋" w:eastAsia="仿宋" w:cs="仿宋"/>
          <w:b/>
          <w:sz w:val="24"/>
        </w:rPr>
      </w:pPr>
    </w:p>
    <w:p>
      <w:pPr>
        <w:rPr>
          <w:rFonts w:hint="eastAsia" w:ascii="宋体" w:hAnsi="宋体" w:eastAsia="宋体" w:cs="宋体"/>
          <w:b/>
          <w:spacing w:val="-20"/>
          <w:sz w:val="24"/>
        </w:rPr>
      </w:pPr>
      <w:r>
        <w:rPr>
          <w:rFonts w:hint="eastAsia" w:ascii="宋体" w:hAnsi="宋体" w:eastAsia="宋体" w:cs="宋体"/>
          <w:b/>
          <w:sz w:val="24"/>
        </w:rPr>
        <w:t xml:space="preserve">附件：       </w:t>
      </w:r>
      <w:r>
        <w:rPr>
          <w:rFonts w:hint="eastAsia" w:ascii="宋体" w:hAnsi="宋体" w:cs="宋体"/>
          <w:b/>
          <w:sz w:val="28"/>
          <w:szCs w:val="28"/>
        </w:rPr>
        <w:t xml:space="preserve">    </w:t>
      </w:r>
      <w:r>
        <w:rPr>
          <w:rFonts w:hint="eastAsia" w:ascii="宋体" w:hAnsi="宋体" w:cs="宋体"/>
          <w:b/>
          <w:spacing w:val="-20"/>
          <w:sz w:val="28"/>
          <w:szCs w:val="28"/>
        </w:rPr>
        <w:t>顺德分公司本部大楼消防维护保养服务评分表</w:t>
      </w:r>
    </w:p>
    <w:p>
      <w:pPr>
        <w:jc w:val="center"/>
        <w:rPr>
          <w:rFonts w:hint="eastAsia" w:ascii="宋体" w:hAnsi="宋体" w:eastAsia="宋体" w:cs="宋体"/>
          <w:b/>
          <w:sz w:val="24"/>
        </w:rPr>
      </w:pPr>
      <w:r>
        <w:rPr>
          <w:rFonts w:hint="eastAsia" w:ascii="宋体" w:hAnsi="宋体" w:eastAsia="宋体" w:cs="宋体"/>
          <w:b/>
          <w:sz w:val="24"/>
        </w:rPr>
        <w:t xml:space="preserve">服务时间: </w:t>
      </w:r>
      <w:r>
        <w:rPr>
          <w:rFonts w:hint="eastAsia" w:ascii="宋体" w:hAnsi="宋体" w:eastAsia="宋体" w:cs="宋体"/>
          <w:b/>
          <w:sz w:val="24"/>
          <w:u w:val="single"/>
        </w:rPr>
        <w:t xml:space="preserve">   </w:t>
      </w:r>
      <w:r>
        <w:rPr>
          <w:rFonts w:hint="eastAsia" w:ascii="宋体" w:hAnsi="宋体" w:eastAsia="宋体" w:cs="宋体"/>
          <w:b/>
          <w:sz w:val="24"/>
        </w:rPr>
        <w:t>年</w:t>
      </w:r>
      <w:r>
        <w:rPr>
          <w:rFonts w:hint="eastAsia" w:ascii="宋体" w:hAnsi="宋体" w:eastAsia="宋体" w:cs="宋体"/>
          <w:b/>
          <w:sz w:val="24"/>
          <w:u w:val="single"/>
        </w:rPr>
        <w:t xml:space="preserve">   </w:t>
      </w:r>
      <w:r>
        <w:rPr>
          <w:rFonts w:hint="eastAsia" w:ascii="宋体" w:hAnsi="宋体" w:eastAsia="宋体" w:cs="宋体"/>
          <w:b/>
          <w:sz w:val="24"/>
        </w:rPr>
        <w:t>月</w:t>
      </w:r>
      <w:r>
        <w:rPr>
          <w:rFonts w:hint="eastAsia" w:ascii="宋体" w:hAnsi="宋体" w:eastAsia="宋体" w:cs="宋体"/>
          <w:b/>
          <w:sz w:val="24"/>
          <w:u w:val="single"/>
        </w:rPr>
        <w:t xml:space="preserve">   </w:t>
      </w:r>
      <w:r>
        <w:rPr>
          <w:rFonts w:hint="eastAsia" w:ascii="宋体" w:hAnsi="宋体" w:eastAsia="宋体" w:cs="宋体"/>
          <w:b/>
          <w:sz w:val="24"/>
        </w:rPr>
        <w:t>日至</w:t>
      </w:r>
      <w:r>
        <w:rPr>
          <w:rFonts w:hint="eastAsia" w:ascii="宋体" w:hAnsi="宋体" w:eastAsia="宋体" w:cs="宋体"/>
          <w:b/>
          <w:sz w:val="24"/>
          <w:u w:val="single"/>
        </w:rPr>
        <w:t xml:space="preserve">   </w:t>
      </w:r>
      <w:r>
        <w:rPr>
          <w:rFonts w:hint="eastAsia" w:ascii="宋体" w:hAnsi="宋体" w:eastAsia="宋体" w:cs="宋体"/>
          <w:b/>
          <w:sz w:val="24"/>
        </w:rPr>
        <w:t>年</w:t>
      </w:r>
      <w:r>
        <w:rPr>
          <w:rFonts w:hint="eastAsia" w:ascii="宋体" w:hAnsi="宋体" w:eastAsia="宋体" w:cs="宋体"/>
          <w:b/>
          <w:sz w:val="24"/>
          <w:u w:val="single"/>
        </w:rPr>
        <w:t xml:space="preserve">   </w:t>
      </w:r>
      <w:r>
        <w:rPr>
          <w:rFonts w:hint="eastAsia" w:ascii="宋体" w:hAnsi="宋体" w:eastAsia="宋体" w:cs="宋体"/>
          <w:b/>
          <w:sz w:val="24"/>
        </w:rPr>
        <w:t>月</w:t>
      </w:r>
      <w:r>
        <w:rPr>
          <w:rFonts w:hint="eastAsia" w:ascii="宋体" w:hAnsi="宋体" w:eastAsia="宋体" w:cs="宋体"/>
          <w:b/>
          <w:sz w:val="24"/>
          <w:u w:val="single"/>
        </w:rPr>
        <w:t xml:space="preserve">   </w:t>
      </w:r>
      <w:r>
        <w:rPr>
          <w:rFonts w:hint="eastAsia" w:ascii="宋体" w:hAnsi="宋体" w:eastAsia="宋体" w:cs="宋体"/>
          <w:b/>
          <w:sz w:val="24"/>
        </w:rPr>
        <w:t>日</w:t>
      </w:r>
    </w:p>
    <w:tbl>
      <w:tblPr>
        <w:tblStyle w:val="37"/>
        <w:tblW w:w="4998" w:type="pct"/>
        <w:jc w:val="center"/>
        <w:tblLayout w:type="autofit"/>
        <w:tblCellMar>
          <w:top w:w="0" w:type="dxa"/>
          <w:left w:w="108" w:type="dxa"/>
          <w:bottom w:w="0" w:type="dxa"/>
          <w:right w:w="108" w:type="dxa"/>
        </w:tblCellMar>
      </w:tblPr>
      <w:tblGrid>
        <w:gridCol w:w="615"/>
        <w:gridCol w:w="2982"/>
        <w:gridCol w:w="745"/>
        <w:gridCol w:w="1437"/>
        <w:gridCol w:w="1922"/>
        <w:gridCol w:w="818"/>
      </w:tblGrid>
      <w:tr>
        <w:tblPrEx>
          <w:tblCellMar>
            <w:top w:w="0" w:type="dxa"/>
            <w:left w:w="108" w:type="dxa"/>
            <w:bottom w:w="0" w:type="dxa"/>
            <w:right w:w="108" w:type="dxa"/>
          </w:tblCellMar>
        </w:tblPrEx>
        <w:trPr>
          <w:trHeight w:val="613"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序号</w:t>
            </w:r>
          </w:p>
        </w:tc>
        <w:tc>
          <w:tcPr>
            <w:tcW w:w="1750"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评价标准</w:t>
            </w:r>
          </w:p>
        </w:tc>
        <w:tc>
          <w:tcPr>
            <w:tcW w:w="437"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分值</w:t>
            </w:r>
          </w:p>
        </w:tc>
        <w:tc>
          <w:tcPr>
            <w:tcW w:w="843"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评价方法</w:t>
            </w:r>
          </w:p>
        </w:tc>
        <w:tc>
          <w:tcPr>
            <w:tcW w:w="1127"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扣分事实描述</w:t>
            </w:r>
          </w:p>
        </w:tc>
        <w:tc>
          <w:tcPr>
            <w:tcW w:w="480"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实际</w:t>
            </w:r>
          </w:p>
          <w:p>
            <w:pPr>
              <w:jc w:val="center"/>
              <w:rPr>
                <w:rFonts w:hint="eastAsia" w:ascii="宋体" w:hAnsi="宋体" w:eastAsia="宋体" w:cs="宋体"/>
                <w:b/>
                <w:szCs w:val="21"/>
              </w:rPr>
            </w:pPr>
            <w:r>
              <w:rPr>
                <w:rFonts w:hint="eastAsia" w:ascii="宋体" w:hAnsi="宋体" w:eastAsia="宋体" w:cs="宋体"/>
                <w:b/>
                <w:szCs w:val="21"/>
              </w:rPr>
              <w:t>得分</w:t>
            </w:r>
          </w:p>
        </w:tc>
      </w:tr>
      <w:tr>
        <w:tblPrEx>
          <w:tblCellMar>
            <w:top w:w="0" w:type="dxa"/>
            <w:left w:w="108" w:type="dxa"/>
            <w:bottom w:w="0" w:type="dxa"/>
            <w:right w:w="108" w:type="dxa"/>
          </w:tblCellMar>
        </w:tblPrEx>
        <w:trPr>
          <w:trHeight w:val="67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消防维保单位巡检人员持证上岗，项目负责人未到现场实地开展工作的扣5分/人次。维保技术员2名未持消防设施操作员职业资格证书的，扣5分/人次。其中1名维保人员不具备资格的，此次巡检无效。</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查看维保人员证件</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67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2</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每月定期进行1次消防设施检测，每漏检1设施，扣1分</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20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核对消防设施检查记录表</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58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3</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巡检、值班人员定期对消防设施进行检查保养，出具记录，未出具或维护保养记录与实际不符扣5分/次</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20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查看记录，与报警系统记录比对</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58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4</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消防维保单位具有抢修服务，电话24小时保持畅通。服务要求小于30分钟，制定负责人和服务电话不能接听的，每次扣2分，扣完为止。</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按实际情况评价</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900"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5</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消防设施出现故障，维保单位接到报修后，一般故障8小时内完成，需更换部件的经服务单位同意后，24小时内完成，未按时排除故障扣2分/项</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核对故障处理时间</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686"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6</w:t>
            </w:r>
          </w:p>
        </w:tc>
        <w:tc>
          <w:tcPr>
            <w:tcW w:w="1750"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每季度对所有的烟（温）感探测器清理一次，确保其灵敏度，使其功能达标，发现有未清理的，每个扣0.5分。</w:t>
            </w:r>
          </w:p>
        </w:tc>
        <w:tc>
          <w:tcPr>
            <w:tcW w:w="437" w:type="pct"/>
            <w:tcBorders>
              <w:top w:val="single" w:color="auto" w:sz="4" w:space="0"/>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查看清理记录</w:t>
            </w:r>
          </w:p>
        </w:tc>
        <w:tc>
          <w:tcPr>
            <w:tcW w:w="1127" w:type="pct"/>
            <w:tcBorders>
              <w:top w:val="single" w:color="auto" w:sz="4" w:space="0"/>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90"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highlight w:val="yellow"/>
              </w:rPr>
            </w:pPr>
            <w:r>
              <w:rPr>
                <w:rFonts w:hint="eastAsia" w:ascii="宋体" w:hAnsi="宋体" w:eastAsia="宋体" w:cs="宋体"/>
                <w:szCs w:val="21"/>
                <w:highlight w:val="none"/>
              </w:rPr>
              <w:t>7</w:t>
            </w:r>
          </w:p>
        </w:tc>
        <w:tc>
          <w:tcPr>
            <w:tcW w:w="1750"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highlight w:val="none"/>
              </w:rPr>
            </w:pPr>
            <w:r>
              <w:rPr>
                <w:rFonts w:hint="eastAsia" w:ascii="宋体" w:hAnsi="宋体" w:eastAsia="宋体" w:cs="宋体"/>
                <w:szCs w:val="21"/>
                <w:highlight w:val="none"/>
              </w:rPr>
              <w:t>未按时上报巡检记录表，一次扣5分。每年对消防系统进行一次综合实验，出具检测报告，未出具检测报告扣10分。</w:t>
            </w:r>
          </w:p>
        </w:tc>
        <w:tc>
          <w:tcPr>
            <w:tcW w:w="437" w:type="pct"/>
            <w:tcBorders>
              <w:top w:val="single" w:color="auto" w:sz="4" w:space="0"/>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highlight w:val="none"/>
              </w:rPr>
            </w:pPr>
            <w:r>
              <w:rPr>
                <w:rFonts w:hint="eastAsia" w:ascii="宋体" w:hAnsi="宋体" w:eastAsia="宋体" w:cs="宋体"/>
                <w:szCs w:val="21"/>
                <w:highlight w:val="none"/>
              </w:rPr>
              <w:t>10</w:t>
            </w:r>
          </w:p>
        </w:tc>
        <w:tc>
          <w:tcPr>
            <w:tcW w:w="843"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highlight w:val="none"/>
              </w:rPr>
            </w:pPr>
            <w:r>
              <w:rPr>
                <w:rFonts w:hint="eastAsia" w:ascii="宋体" w:hAnsi="宋体" w:eastAsia="宋体" w:cs="宋体"/>
                <w:szCs w:val="21"/>
                <w:highlight w:val="none"/>
              </w:rPr>
              <w:t>次月10号前上报上月巡检记录表，查看检测报告及检测单位资质。</w:t>
            </w:r>
          </w:p>
        </w:tc>
        <w:tc>
          <w:tcPr>
            <w:tcW w:w="1127" w:type="pct"/>
            <w:tcBorders>
              <w:top w:val="single" w:color="auto" w:sz="4" w:space="0"/>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447"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8</w:t>
            </w:r>
          </w:p>
        </w:tc>
        <w:tc>
          <w:tcPr>
            <w:tcW w:w="1750"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消防维保项目内容，我司人员检查时每发现一处不合格扣1分，如消防设施损坏、不能正常运行、擅自关闭或屏蔽消防报警器等，每发现一处扣5分。</w:t>
            </w:r>
          </w:p>
        </w:tc>
        <w:tc>
          <w:tcPr>
            <w:tcW w:w="437" w:type="pct"/>
            <w:tcBorders>
              <w:top w:val="single" w:color="auto" w:sz="4" w:space="0"/>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现场检查</w:t>
            </w:r>
          </w:p>
        </w:tc>
        <w:tc>
          <w:tcPr>
            <w:tcW w:w="1127" w:type="pct"/>
            <w:tcBorders>
              <w:top w:val="single" w:color="auto" w:sz="4" w:space="0"/>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564" w:hRule="atLeast"/>
          <w:jc w:val="center"/>
        </w:trPr>
        <w:tc>
          <w:tcPr>
            <w:tcW w:w="4519" w:type="pct"/>
            <w:gridSpan w:val="5"/>
            <w:tcBorders>
              <w:top w:val="single" w:color="auto" w:sz="4" w:space="0"/>
              <w:left w:val="single" w:color="auto" w:sz="4" w:space="0"/>
              <w:bottom w:val="single" w:color="auto" w:sz="4" w:space="0"/>
              <w:right w:val="single" w:color="auto" w:sz="4" w:space="0"/>
            </w:tcBorders>
            <w:vAlign w:val="center"/>
          </w:tcPr>
          <w:p>
            <w:pPr>
              <w:spacing w:line="260" w:lineRule="exact"/>
              <w:ind w:firstLine="420" w:firstLineChars="200"/>
              <w:jc w:val="center"/>
              <w:rPr>
                <w:rFonts w:hint="eastAsia" w:ascii="宋体" w:hAnsi="宋体" w:eastAsia="宋体" w:cs="宋体"/>
                <w:szCs w:val="21"/>
              </w:rPr>
            </w:pPr>
            <w:r>
              <w:rPr>
                <w:rFonts w:hint="eastAsia" w:ascii="宋体" w:hAnsi="宋体" w:eastAsia="宋体" w:cs="宋体"/>
                <w:szCs w:val="21"/>
              </w:rPr>
              <w:t>评价结果</w:t>
            </w: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bl>
    <w:p>
      <w:pPr>
        <w:ind w:firstLine="420" w:firstLineChars="200"/>
        <w:rPr>
          <w:rFonts w:hint="eastAsia" w:ascii="宋体" w:hAnsi="宋体" w:eastAsia="宋体" w:cs="宋体"/>
          <w:szCs w:val="21"/>
        </w:rPr>
      </w:pPr>
      <w:r>
        <w:rPr>
          <w:rFonts w:hint="eastAsia" w:ascii="宋体" w:hAnsi="宋体" w:eastAsia="宋体" w:cs="宋体"/>
          <w:szCs w:val="21"/>
        </w:rPr>
        <w:t xml:space="preserve"> </w:t>
      </w:r>
    </w:p>
    <w:p>
      <w:pPr>
        <w:pStyle w:val="6"/>
        <w:ind w:firstLine="0"/>
        <w:rPr>
          <w:rFonts w:ascii="仿宋" w:hAnsi="仿宋" w:eastAsia="仿宋" w:cs="仿宋"/>
          <w:sz w:val="24"/>
          <w:szCs w:val="24"/>
        </w:rPr>
      </w:pPr>
      <w:r>
        <w:rPr>
          <w:rFonts w:hint="eastAsia" w:ascii="宋体" w:hAnsi="宋体" w:eastAsia="宋体" w:cs="宋体"/>
          <w:szCs w:val="21"/>
        </w:rPr>
        <w:t>考核单位（签字盖章）：                        被考核单位（签字盖章）：</w:t>
      </w:r>
    </w:p>
    <w:p>
      <w:pPr>
        <w:pStyle w:val="6"/>
        <w:numPr>
          <w:ilvl w:val="255"/>
          <w:numId w:val="0"/>
        </w:numPr>
        <w:spacing w:line="360" w:lineRule="auto"/>
        <w:rPr>
          <w:rFonts w:ascii="宋体" w:hAnsi="宋体" w:cs="宋体"/>
          <w:szCs w:val="21"/>
        </w:rPr>
      </w:pPr>
    </w:p>
    <w:p>
      <w:pPr>
        <w:widowControl/>
        <w:jc w:val="center"/>
        <w:outlineLvl w:val="0"/>
        <w:rPr>
          <w:rFonts w:ascii="宋体" w:hAnsi="宋体" w:cs="宋体"/>
          <w:b/>
          <w:bCs/>
          <w:color w:val="000000" w:themeColor="text1"/>
          <w:sz w:val="32"/>
          <w:szCs w:val="32"/>
          <w14:textFill>
            <w14:solidFill>
              <w14:schemeClr w14:val="tx1"/>
            </w14:solidFill>
          </w14:textFill>
        </w:rPr>
        <w:sectPr>
          <w:footerReference r:id="rId4" w:type="first"/>
          <w:footerReference r:id="rId3" w:type="default"/>
          <w:pgSz w:w="11906" w:h="16838"/>
          <w:pgMar w:top="1440" w:right="1800" w:bottom="1440" w:left="1800" w:header="851" w:footer="992" w:gutter="0"/>
          <w:cols w:space="720" w:num="1"/>
          <w:docGrid w:type="lines" w:linePitch="312" w:charSpace="0"/>
        </w:sectPr>
      </w:pPr>
    </w:p>
    <w:p>
      <w:pPr>
        <w:widowControl/>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第三章 竞价附件</w:t>
      </w:r>
    </w:p>
    <w:p>
      <w:pPr>
        <w:pStyle w:val="148"/>
        <w:tabs>
          <w:tab w:val="left" w:pos="426"/>
        </w:tabs>
        <w:adjustRightInd w:val="0"/>
        <w:snapToGrid w:val="0"/>
        <w:spacing w:line="360" w:lineRule="auto"/>
        <w:ind w:firstLine="0" w:firstLineChars="0"/>
        <w:jc w:val="center"/>
        <w:outlineLvl w:val="1"/>
        <w:rPr>
          <w:rFonts w:ascii="仿宋" w:hAnsi="仿宋" w:eastAsia="仿宋" w:cs="仿宋"/>
          <w:b/>
          <w:sz w:val="30"/>
          <w:szCs w:val="30"/>
        </w:rPr>
      </w:pPr>
      <w:r>
        <w:rPr>
          <w:rFonts w:hint="eastAsia" w:hAnsi="宋体" w:cs="宋体"/>
          <w:b/>
          <w:bCs/>
          <w:color w:val="000000" w:themeColor="text1"/>
          <w:sz w:val="32"/>
          <w:szCs w:val="32"/>
          <w14:textFill>
            <w14:solidFill>
              <w14:schemeClr w14:val="tx1"/>
            </w14:solidFill>
          </w14:textFill>
        </w:rPr>
        <w:t>报价表</w:t>
      </w:r>
    </w:p>
    <w:p>
      <w:pPr>
        <w:spacing w:line="360" w:lineRule="auto"/>
        <w:rPr>
          <w:rFonts w:ascii="仿宋" w:hAnsi="仿宋" w:eastAsia="仿宋" w:cs="仿宋"/>
          <w:b/>
          <w:sz w:val="24"/>
        </w:rPr>
      </w:pPr>
      <w:r>
        <w:rPr>
          <w:rFonts w:hint="eastAsia" w:ascii="仿宋" w:hAnsi="仿宋" w:eastAsia="仿宋" w:cs="仿宋"/>
          <w:b/>
          <w:sz w:val="24"/>
        </w:rPr>
        <w:t>项目名称：</w:t>
      </w:r>
      <w:r>
        <w:rPr>
          <w:rFonts w:hint="eastAsia" w:ascii="宋体" w:hAnsi="宋体" w:cs="宋体"/>
          <w:szCs w:val="21"/>
        </w:rPr>
        <w:t>顺德分公司本部大楼2024-2026年度消防系统维护保养项目</w:t>
      </w:r>
    </w:p>
    <w:p>
      <w:pPr>
        <w:spacing w:line="360" w:lineRule="auto"/>
        <w:rPr>
          <w:rFonts w:ascii="仿宋" w:hAnsi="仿宋" w:eastAsia="仿宋" w:cs="仿宋"/>
          <w:b/>
          <w:sz w:val="24"/>
        </w:rPr>
      </w:pPr>
      <w:r>
        <w:rPr>
          <w:rFonts w:hint="eastAsia" w:ascii="仿宋" w:hAnsi="仿宋" w:eastAsia="仿宋" w:cs="仿宋"/>
          <w:b/>
          <w:sz w:val="24"/>
        </w:rPr>
        <w:t>项目编号：</w:t>
      </w:r>
      <w:r>
        <w:rPr>
          <w:rFonts w:hint="eastAsia" w:ascii="仿宋" w:hAnsi="仿宋" w:eastAsia="仿宋" w:cs="仿宋"/>
          <w:sz w:val="24"/>
        </w:rPr>
        <w:t>SDZH202404S136</w:t>
      </w:r>
      <w:r>
        <w:rPr>
          <w:rFonts w:ascii="仿宋" w:hAnsi="仿宋" w:eastAsia="仿宋" w:cs="仿宋"/>
          <w:b/>
          <w:sz w:val="24"/>
        </w:rPr>
        <w:t xml:space="preserve"> </w:t>
      </w:r>
    </w:p>
    <w:tbl>
      <w:tblPr>
        <w:tblStyle w:val="37"/>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500"/>
        <w:gridCol w:w="1401"/>
        <w:gridCol w:w="1479"/>
        <w:gridCol w:w="2047"/>
        <w:gridCol w:w="20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702" w:type="pct"/>
            <w:gridSpan w:val="2"/>
            <w:tcBorders>
              <w:top w:val="single" w:color="auto" w:sz="4" w:space="0"/>
              <w:left w:val="single" w:color="auto" w:sz="4" w:space="0"/>
              <w:bottom w:val="single" w:color="auto" w:sz="4" w:space="0"/>
              <w:right w:val="single" w:color="auto" w:sz="4" w:space="0"/>
            </w:tcBorders>
            <w:shd w:val="clear" w:color="auto" w:fill="EEECE1"/>
            <w:vAlign w:val="center"/>
          </w:tcPr>
          <w:p>
            <w:pPr>
              <w:spacing w:line="0" w:lineRule="atLeast"/>
              <w:jc w:val="center"/>
              <w:rPr>
                <w:rFonts w:ascii="宋体" w:hAnsi="宋体" w:cs="宋体"/>
                <w:b/>
                <w:bCs/>
                <w:szCs w:val="21"/>
              </w:rPr>
            </w:pPr>
            <w:r>
              <w:rPr>
                <w:rFonts w:hint="eastAsia" w:ascii="宋体" w:hAnsi="宋体" w:cs="宋体"/>
                <w:b/>
                <w:bCs/>
                <w:szCs w:val="21"/>
              </w:rPr>
              <w:t>报价内容</w:t>
            </w:r>
          </w:p>
        </w:tc>
        <w:tc>
          <w:tcPr>
            <w:tcW w:w="868" w:type="pct"/>
            <w:tcBorders>
              <w:top w:val="single" w:color="auto" w:sz="4" w:space="0"/>
              <w:left w:val="single" w:color="auto" w:sz="4" w:space="0"/>
              <w:bottom w:val="single" w:color="auto" w:sz="4" w:space="0"/>
              <w:right w:val="single" w:color="auto" w:sz="4" w:space="0"/>
            </w:tcBorders>
            <w:shd w:val="clear" w:color="auto" w:fill="EEECE1"/>
          </w:tcPr>
          <w:p>
            <w:pPr>
              <w:spacing w:line="0" w:lineRule="atLeast"/>
              <w:jc w:val="center"/>
              <w:rPr>
                <w:rFonts w:ascii="宋体" w:hAnsi="宋体" w:cs="宋体"/>
                <w:b/>
                <w:bCs/>
                <w:szCs w:val="21"/>
              </w:rPr>
            </w:pPr>
            <w:r>
              <w:rPr>
                <w:rFonts w:hint="eastAsia" w:ascii="宋体" w:hAnsi="宋体" w:cs="宋体"/>
                <w:b/>
                <w:bCs/>
                <w:szCs w:val="21"/>
              </w:rPr>
              <w:t>报价（元）</w:t>
            </w:r>
          </w:p>
        </w:tc>
        <w:tc>
          <w:tcPr>
            <w:tcW w:w="1201" w:type="pct"/>
            <w:tcBorders>
              <w:top w:val="single" w:color="auto" w:sz="4" w:space="0"/>
              <w:left w:val="single" w:color="auto" w:sz="4" w:space="0"/>
              <w:bottom w:val="single" w:color="auto" w:sz="4" w:space="0"/>
              <w:right w:val="single" w:color="auto" w:sz="4" w:space="0"/>
            </w:tcBorders>
            <w:shd w:val="clear" w:color="auto" w:fill="EEECE1"/>
            <w:vAlign w:val="center"/>
          </w:tcPr>
          <w:p>
            <w:pPr>
              <w:spacing w:line="0" w:lineRule="atLeast"/>
              <w:jc w:val="center"/>
              <w:rPr>
                <w:rFonts w:ascii="宋体" w:hAnsi="宋体" w:cs="宋体"/>
                <w:b/>
                <w:bCs/>
                <w:szCs w:val="21"/>
              </w:rPr>
            </w:pPr>
            <w:r>
              <w:rPr>
                <w:rFonts w:hint="eastAsia" w:ascii="宋体" w:hAnsi="宋体" w:cs="宋体"/>
                <w:b/>
                <w:bCs/>
                <w:szCs w:val="21"/>
              </w:rPr>
              <w:t>备注</w:t>
            </w:r>
          </w:p>
        </w:tc>
        <w:tc>
          <w:tcPr>
            <w:tcW w:w="1227" w:type="pct"/>
            <w:tcBorders>
              <w:top w:val="single" w:color="auto" w:sz="4" w:space="0"/>
              <w:left w:val="single" w:color="auto" w:sz="4" w:space="0"/>
              <w:bottom w:val="single" w:color="auto" w:sz="4" w:space="0"/>
              <w:right w:val="single" w:color="auto" w:sz="4" w:space="0"/>
            </w:tcBorders>
            <w:shd w:val="clear" w:color="auto" w:fill="EEECE1"/>
            <w:vAlign w:val="center"/>
          </w:tcPr>
          <w:p>
            <w:pPr>
              <w:spacing w:line="0" w:lineRule="atLeast"/>
              <w:jc w:val="center"/>
              <w:rPr>
                <w:rFonts w:ascii="宋体" w:hAnsi="宋体" w:cs="宋体"/>
                <w:b/>
                <w:bCs/>
                <w:szCs w:val="21"/>
              </w:rPr>
            </w:pPr>
            <w:r>
              <w:rPr>
                <w:rFonts w:hint="eastAsia" w:ascii="宋体" w:hAnsi="宋体" w:cs="宋体"/>
                <w:b/>
                <w:bCs/>
                <w:szCs w:val="21"/>
              </w:rPr>
              <w:t>发票及税率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20" w:hRule="atLeast"/>
          <w:jc w:val="center"/>
        </w:trPr>
        <w:tc>
          <w:tcPr>
            <w:tcW w:w="880" w:type="pct"/>
            <w:vMerge w:val="restart"/>
            <w:tcBorders>
              <w:top w:val="single" w:color="auto" w:sz="4" w:space="0"/>
              <w:left w:val="single" w:color="auto" w:sz="4" w:space="0"/>
              <w:right w:val="single" w:color="auto" w:sz="4" w:space="0"/>
            </w:tcBorders>
            <w:vAlign w:val="center"/>
          </w:tcPr>
          <w:p>
            <w:pPr>
              <w:spacing w:line="0" w:lineRule="atLeast"/>
              <w:jc w:val="center"/>
              <w:rPr>
                <w:rFonts w:ascii="宋体" w:hAnsi="宋体" w:cs="宋体"/>
                <w:szCs w:val="21"/>
              </w:rPr>
            </w:pPr>
            <w:r>
              <w:rPr>
                <w:rFonts w:hint="eastAsia" w:ascii="宋体" w:hAnsi="宋体" w:cs="宋体"/>
                <w:szCs w:val="21"/>
              </w:rPr>
              <w:t>顺德分公司本部大楼2024-2026年度消防系统维护保养项目</w:t>
            </w:r>
          </w:p>
        </w:tc>
        <w:tc>
          <w:tcPr>
            <w:tcW w:w="822"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hAnsi="宋体" w:cs="宋体"/>
                <w:szCs w:val="21"/>
              </w:rPr>
            </w:pPr>
            <w:r>
              <w:rPr>
                <w:rFonts w:hint="eastAsia" w:ascii="宋体" w:hAnsi="宋体" w:cs="宋体"/>
                <w:szCs w:val="21"/>
              </w:rPr>
              <w:t>（3个月）季度维护保养费</w:t>
            </w:r>
          </w:p>
        </w:tc>
        <w:tc>
          <w:tcPr>
            <w:tcW w:w="868"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ascii="宋体" w:hAnsi="宋体" w:cs="宋体"/>
                <w:szCs w:val="21"/>
              </w:rPr>
            </w:pPr>
          </w:p>
        </w:tc>
        <w:tc>
          <w:tcPr>
            <w:tcW w:w="1201"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ascii="宋体" w:hAnsi="宋体" w:cs="宋体"/>
                <w:szCs w:val="21"/>
              </w:rPr>
            </w:pPr>
            <w:r>
              <w:rPr>
                <w:rFonts w:hint="eastAsia" w:ascii="宋体" w:hAnsi="宋体" w:cs="宋体"/>
                <w:szCs w:val="21"/>
              </w:rPr>
              <w:t>/</w:t>
            </w:r>
          </w:p>
        </w:tc>
        <w:tc>
          <w:tcPr>
            <w:tcW w:w="1227" w:type="pct"/>
            <w:vMerge w:val="restart"/>
            <w:tcBorders>
              <w:top w:val="single" w:color="auto" w:sz="4" w:space="0"/>
              <w:left w:val="single" w:color="auto" w:sz="4" w:space="0"/>
              <w:right w:val="single" w:color="auto" w:sz="4" w:space="0"/>
            </w:tcBorders>
            <w:vAlign w:val="center"/>
          </w:tcPr>
          <w:p>
            <w:pPr>
              <w:keepNext/>
              <w:keepLines/>
              <w:tabs>
                <w:tab w:val="left" w:pos="720"/>
              </w:tabs>
              <w:adjustRightInd w:val="0"/>
              <w:snapToGrid w:val="0"/>
              <w:spacing w:before="120" w:after="120" w:line="0" w:lineRule="atLeast"/>
              <w:jc w:val="left"/>
              <w:outlineLvl w:val="2"/>
              <w:rPr>
                <w:rFonts w:ascii="宋体" w:hAnsi="宋体" w:cs="宋体"/>
                <w:b/>
                <w:szCs w:val="21"/>
              </w:rPr>
            </w:pPr>
            <w:r>
              <w:rPr>
                <w:rFonts w:hint="eastAsia" w:ascii="宋体" w:hAnsi="宋体" w:cs="宋体"/>
                <w:b/>
                <w:szCs w:val="21"/>
              </w:rPr>
              <w:t>发票类型：增值税专用发票</w:t>
            </w:r>
          </w:p>
          <w:p>
            <w:pPr>
              <w:keepNext/>
              <w:keepLines/>
              <w:tabs>
                <w:tab w:val="left" w:pos="720"/>
              </w:tabs>
              <w:adjustRightInd w:val="0"/>
              <w:snapToGrid w:val="0"/>
              <w:spacing w:before="120" w:after="120" w:line="0" w:lineRule="atLeast"/>
              <w:jc w:val="left"/>
              <w:outlineLvl w:val="2"/>
              <w:rPr>
                <w:rFonts w:ascii="宋体" w:hAnsi="宋体" w:cs="宋体"/>
                <w:b/>
                <w:szCs w:val="21"/>
              </w:rPr>
            </w:pPr>
            <w:r>
              <w:rPr>
                <w:rFonts w:hint="eastAsia" w:ascii="宋体" w:hAnsi="宋体" w:cs="宋体"/>
                <w:b/>
                <w:szCs w:val="21"/>
              </w:rPr>
              <w:t>税率：</w:t>
            </w:r>
          </w:p>
          <w:p>
            <w:pPr>
              <w:pStyle w:val="6"/>
              <w:ind w:firstLine="0"/>
              <w:rPr>
                <w:rFonts w:ascii="宋体" w:hAnsi="宋体" w:cs="宋体"/>
                <w:szCs w:val="21"/>
              </w:rPr>
            </w:pPr>
            <w:r>
              <w:rPr>
                <w:rFonts w:hint="eastAsia" w:ascii="宋体" w:hAnsi="宋体" w:cs="宋体"/>
                <w:b/>
                <w:szCs w:val="21"/>
              </w:rPr>
              <w:t>□一般纳税人6%</w:t>
            </w:r>
          </w:p>
          <w:p>
            <w:pPr>
              <w:keepNext/>
              <w:keepLines/>
              <w:tabs>
                <w:tab w:val="left" w:pos="720"/>
              </w:tabs>
              <w:adjustRightInd w:val="0"/>
              <w:snapToGrid w:val="0"/>
              <w:spacing w:before="120" w:after="120" w:line="0" w:lineRule="atLeast"/>
              <w:jc w:val="left"/>
              <w:outlineLvl w:val="2"/>
              <w:rPr>
                <w:rFonts w:ascii="宋体" w:hAnsi="宋体" w:cs="宋体"/>
                <w:b/>
                <w:szCs w:val="21"/>
              </w:rPr>
            </w:pPr>
            <w:r>
              <w:rPr>
                <w:rFonts w:hint="eastAsia" w:ascii="宋体" w:hAnsi="宋体" w:cs="宋体"/>
                <w:b/>
                <w:szCs w:val="21"/>
              </w:rPr>
              <w:t>□小规模纳税人3%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62" w:hRule="atLeast"/>
          <w:jc w:val="center"/>
        </w:trPr>
        <w:tc>
          <w:tcPr>
            <w:tcW w:w="880" w:type="pct"/>
            <w:vMerge w:val="continue"/>
            <w:tcBorders>
              <w:left w:val="single" w:color="auto" w:sz="4" w:space="0"/>
              <w:right w:val="single" w:color="auto" w:sz="4" w:space="0"/>
            </w:tcBorders>
            <w:vAlign w:val="center"/>
          </w:tcPr>
          <w:p>
            <w:pPr>
              <w:spacing w:line="0" w:lineRule="atLeast"/>
              <w:jc w:val="center"/>
              <w:rPr>
                <w:rFonts w:ascii="宋体" w:hAnsi="宋体" w:cs="宋体"/>
                <w:szCs w:val="21"/>
              </w:rPr>
            </w:pPr>
          </w:p>
        </w:tc>
        <w:tc>
          <w:tcPr>
            <w:tcW w:w="822"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hAnsi="宋体" w:cs="宋体"/>
                <w:szCs w:val="21"/>
              </w:rPr>
            </w:pPr>
            <w:r>
              <w:rPr>
                <w:rFonts w:hint="eastAsia" w:ascii="宋体" w:hAnsi="宋体" w:cs="宋体"/>
                <w:szCs w:val="21"/>
              </w:rPr>
              <w:t>（24个月）总维护保养费</w:t>
            </w:r>
          </w:p>
        </w:tc>
        <w:tc>
          <w:tcPr>
            <w:tcW w:w="868"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ascii="宋体" w:hAnsi="宋体" w:cs="宋体"/>
                <w:szCs w:val="21"/>
              </w:rPr>
            </w:pPr>
          </w:p>
        </w:tc>
        <w:tc>
          <w:tcPr>
            <w:tcW w:w="1201"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ascii="宋体" w:hAnsi="宋体" w:cs="宋体"/>
                <w:szCs w:val="21"/>
              </w:rPr>
            </w:pPr>
            <w:r>
              <w:rPr>
                <w:rFonts w:hint="eastAsia" w:ascii="宋体" w:hAnsi="宋体" w:cs="宋体"/>
                <w:szCs w:val="21"/>
              </w:rPr>
              <w:t>总维护保养费=季度维护保养费*8</w:t>
            </w:r>
          </w:p>
        </w:tc>
        <w:tc>
          <w:tcPr>
            <w:tcW w:w="1227" w:type="pct"/>
            <w:vMerge w:val="continue"/>
            <w:tcBorders>
              <w:left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ascii="宋体" w:hAnsi="宋体" w:cs="宋体"/>
                <w:b/>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24" w:hRule="atLeast"/>
          <w:jc w:val="center"/>
        </w:trPr>
        <w:tc>
          <w:tcPr>
            <w:tcW w:w="5000" w:type="pct"/>
            <w:gridSpan w:val="5"/>
            <w:tcBorders>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ascii="宋体" w:hAnsi="宋体" w:cs="宋体"/>
                <w:b/>
                <w:szCs w:val="21"/>
              </w:rPr>
            </w:pPr>
            <w:r>
              <w:rPr>
                <w:rFonts w:hint="eastAsia" w:ascii="宋体" w:hAnsi="宋体" w:cs="宋体"/>
                <w:b/>
                <w:szCs w:val="21"/>
              </w:rPr>
              <w:t>合计：人民币</w:t>
            </w:r>
            <w:r>
              <w:rPr>
                <w:rFonts w:hint="eastAsia" w:ascii="宋体" w:hAnsi="宋体" w:cs="宋体"/>
                <w:b/>
                <w:szCs w:val="21"/>
                <w:u w:val="single"/>
              </w:rPr>
              <w:t xml:space="preserve">         </w:t>
            </w:r>
            <w:r>
              <w:rPr>
                <w:rFonts w:hint="eastAsia" w:ascii="宋体" w:hAnsi="宋体" w:cs="宋体"/>
                <w:b/>
                <w:szCs w:val="21"/>
              </w:rPr>
              <w:t>元</w:t>
            </w:r>
          </w:p>
        </w:tc>
      </w:tr>
    </w:tbl>
    <w:p>
      <w:pPr>
        <w:spacing w:line="360" w:lineRule="auto"/>
        <w:rPr>
          <w:rFonts w:ascii="宋体" w:hAnsi="宋体" w:cs="宋体"/>
          <w:szCs w:val="21"/>
        </w:rPr>
      </w:pPr>
      <w:r>
        <w:rPr>
          <w:rFonts w:hint="eastAsia" w:ascii="宋体" w:hAnsi="宋体" w:cs="宋体"/>
          <w:szCs w:val="21"/>
        </w:rPr>
        <w:t>报价填写说明：</w:t>
      </w:r>
    </w:p>
    <w:p>
      <w:pPr>
        <w:spacing w:line="360" w:lineRule="auto"/>
        <w:rPr>
          <w:rFonts w:ascii="宋体" w:hAnsi="宋体" w:cs="宋体"/>
          <w:szCs w:val="21"/>
        </w:rPr>
      </w:pPr>
      <w:r>
        <w:rPr>
          <w:rFonts w:hint="eastAsia" w:ascii="宋体" w:hAnsi="宋体" w:cs="宋体"/>
          <w:szCs w:val="21"/>
        </w:rPr>
        <w:t>1.请严格按照报价表格式及内容填写报价，本表中报价均为含税报价，单位为元（人民币）。</w:t>
      </w:r>
    </w:p>
    <w:p>
      <w:pPr>
        <w:spacing w:line="360" w:lineRule="auto"/>
        <w:rPr>
          <w:rFonts w:ascii="宋体" w:hAnsi="宋体" w:cs="宋体"/>
          <w:szCs w:val="21"/>
        </w:rPr>
      </w:pPr>
      <w:r>
        <w:rPr>
          <w:rFonts w:hint="eastAsia" w:ascii="宋体" w:hAnsi="宋体" w:cs="宋体"/>
          <w:szCs w:val="21"/>
        </w:rPr>
        <w:t>2.报价必须包括所有人力成本、设备成本、管理费、技术服务费、培训费、利润、增值税专用发票、税金等费用在内的全部费用。竞价人漏报或不报，采购人将视为该漏报或不报部分的费用已包括在已报的分项报价中而不予支付。</w:t>
      </w:r>
    </w:p>
    <w:p>
      <w:pPr>
        <w:spacing w:line="360" w:lineRule="auto"/>
        <w:rPr>
          <w:rFonts w:ascii="宋体" w:hAnsi="宋体" w:cs="宋体"/>
          <w:b/>
          <w:szCs w:val="21"/>
        </w:rPr>
      </w:pPr>
      <w:r>
        <w:rPr>
          <w:rFonts w:hint="eastAsia" w:ascii="宋体" w:hAnsi="宋体" w:cs="宋体"/>
          <w:b/>
          <w:szCs w:val="21"/>
        </w:rPr>
        <w:t>3.竞价人的报价高于对应的最高限价（总维护保养费的报价不得高于8.2万元）。</w:t>
      </w:r>
    </w:p>
    <w:p>
      <w:pPr>
        <w:spacing w:line="360" w:lineRule="auto"/>
        <w:rPr>
          <w:rFonts w:ascii="宋体" w:hAnsi="宋体" w:cs="宋体"/>
          <w:szCs w:val="21"/>
        </w:rPr>
      </w:pPr>
      <w:r>
        <w:rPr>
          <w:rFonts w:hint="eastAsia" w:ascii="宋体" w:hAnsi="宋体" w:cs="宋体"/>
          <w:szCs w:val="21"/>
        </w:rPr>
        <w:t>4.竞价人不得以低于成本的报价竞标，采购人有权要求竞价人提供成本说明及证明材料。</w:t>
      </w:r>
    </w:p>
    <w:p>
      <w:pPr>
        <w:spacing w:line="480" w:lineRule="auto"/>
        <w:jc w:val="left"/>
        <w:rPr>
          <w:rFonts w:ascii="宋体" w:hAnsi="宋体" w:cs="宋体"/>
          <w:bCs/>
          <w:kern w:val="0"/>
          <w:szCs w:val="21"/>
        </w:rPr>
      </w:pPr>
      <w:r>
        <w:rPr>
          <w:rFonts w:hint="eastAsia" w:ascii="宋体" w:hAnsi="宋体" w:cs="宋体"/>
          <w:bCs/>
          <w:kern w:val="0"/>
          <w:szCs w:val="21"/>
        </w:rPr>
        <w:t>竞价人：______________________________（盖单位章）</w:t>
      </w:r>
    </w:p>
    <w:p>
      <w:pPr>
        <w:spacing w:line="480" w:lineRule="auto"/>
        <w:jc w:val="left"/>
        <w:rPr>
          <w:rFonts w:ascii="宋体" w:hAnsi="宋体" w:cs="宋体"/>
          <w:bCs/>
          <w:kern w:val="0"/>
          <w:szCs w:val="21"/>
        </w:rPr>
      </w:pPr>
    </w:p>
    <w:p>
      <w:pPr>
        <w:spacing w:line="480" w:lineRule="auto"/>
        <w:jc w:val="left"/>
        <w:rPr>
          <w:rFonts w:ascii="宋体" w:hAnsi="宋体" w:cs="宋体"/>
          <w:bCs/>
          <w:kern w:val="0"/>
          <w:szCs w:val="21"/>
        </w:rPr>
      </w:pPr>
      <w:r>
        <w:rPr>
          <w:rFonts w:hint="eastAsia" w:ascii="宋体" w:hAnsi="宋体" w:cs="宋体"/>
          <w:bCs/>
          <w:kern w:val="0"/>
          <w:szCs w:val="21"/>
        </w:rPr>
        <w:t>法定代表人或其委托代理人：_____________（签字或签章）</w:t>
      </w:r>
    </w:p>
    <w:p>
      <w:pPr>
        <w:spacing w:line="480" w:lineRule="auto"/>
        <w:jc w:val="left"/>
        <w:rPr>
          <w:rFonts w:ascii="宋体" w:hAnsi="宋体" w:cs="宋体"/>
          <w:bCs/>
          <w:kern w:val="0"/>
          <w:szCs w:val="21"/>
        </w:rPr>
      </w:pPr>
    </w:p>
    <w:p>
      <w:pPr>
        <w:spacing w:line="480" w:lineRule="auto"/>
        <w:ind w:firstLine="2480" w:firstLineChars="1181"/>
        <w:rPr>
          <w:rFonts w:ascii="宋体" w:hAnsi="宋体" w:cs="宋体"/>
          <w:szCs w:val="21"/>
        </w:rPr>
      </w:pPr>
      <w:r>
        <w:rPr>
          <w:rFonts w:hint="eastAsia" w:ascii="宋体" w:hAnsi="宋体" w:cs="宋体"/>
          <w:bCs/>
          <w:kern w:val="0"/>
          <w:szCs w:val="21"/>
        </w:rPr>
        <w:t>日期：      年    月    日</w:t>
      </w:r>
    </w:p>
    <w:p>
      <w:pPr>
        <w:rPr>
          <w:rFonts w:ascii="宋体" w:hAnsi="宋体"/>
          <w:color w:val="000000" w:themeColor="text1"/>
          <w14:textFill>
            <w14:solidFill>
              <w14:schemeClr w14:val="tx1"/>
            </w14:solidFill>
          </w14:textFill>
        </w:rPr>
      </w:pPr>
    </w:p>
    <w:p>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br w:type="page"/>
      </w:r>
    </w:p>
    <w:p>
      <w:pPr>
        <w:pStyle w:val="5"/>
        <w:spacing w:before="0" w:after="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承诺函</w:t>
      </w:r>
    </w:p>
    <w:p>
      <w:pPr>
        <w:rPr>
          <w:rFonts w:ascii="宋体" w:hAnsi="宋体"/>
          <w:b/>
          <w:color w:val="000000" w:themeColor="text1"/>
          <w14:textFill>
            <w14:solidFill>
              <w14:schemeClr w14:val="tx1"/>
            </w14:solidFill>
          </w14:textFill>
        </w:rPr>
      </w:pP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广东省广播电视网络股份有限公司佛山顺德分公司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b/>
          <w:bCs/>
          <w:color w:val="000000" w:themeColor="text1"/>
          <w:u w:val="single"/>
          <w14:textFill>
            <w14:solidFill>
              <w14:schemeClr w14:val="tx1"/>
            </w14:solidFill>
          </w14:textFill>
        </w:rPr>
        <w:t>顺德分公司本部大楼2024-2026年度消防系统维护保养项目</w:t>
      </w:r>
      <w:r>
        <w:rPr>
          <w:rFonts w:hint="eastAsia" w:ascii="宋体" w:hAnsi="宋体"/>
          <w:color w:val="000000" w:themeColor="text1"/>
          <w:szCs w:val="21"/>
          <w14:textFill>
            <w14:solidFill>
              <w14:schemeClr w14:val="tx1"/>
            </w14:solidFill>
          </w14:textFill>
        </w:rPr>
        <w:t>的竞价公告</w:t>
      </w:r>
      <w:r>
        <w:rPr>
          <w:rFonts w:hint="eastAsia" w:ascii="宋体" w:hAnsi="宋体"/>
          <w:color w:val="000000" w:themeColor="text1"/>
          <w14:textFill>
            <w14:solidFill>
              <w14:schemeClr w14:val="tx1"/>
            </w14:solidFill>
          </w14:textFill>
        </w:rPr>
        <w:t>，并声明：</w:t>
      </w:r>
    </w:p>
    <w:p>
      <w:pPr>
        <w:snapToGrid w:val="0"/>
        <w:spacing w:line="360" w:lineRule="auto"/>
        <w:ind w:firstLine="420" w:firstLineChars="200"/>
        <w:rPr>
          <w:rFonts w:ascii="宋体" w:hAnsi="宋体"/>
          <w:bCs/>
          <w:color w:val="000000" w:themeColor="text1"/>
          <w:szCs w:val="20"/>
          <w14:textFill>
            <w14:solidFill>
              <w14:schemeClr w14:val="tx1"/>
            </w14:solidFill>
          </w14:textFill>
        </w:rPr>
      </w:pPr>
      <w:r>
        <w:rPr>
          <w:rFonts w:hint="eastAsia" w:ascii="宋体" w:hAnsi="宋体"/>
          <w:color w:val="000000" w:themeColor="text1"/>
          <w14:textFill>
            <w14:solidFill>
              <w14:schemeClr w14:val="tx1"/>
            </w14:solidFill>
          </w14:textFill>
        </w:rPr>
        <w:t>一、本公司（企业）</w:t>
      </w:r>
      <w:r>
        <w:rPr>
          <w:rFonts w:hint="eastAsia" w:ascii="宋体" w:hAnsi="宋体"/>
          <w:bCs/>
          <w:color w:val="000000" w:themeColor="text1"/>
          <w:szCs w:val="20"/>
          <w14:textFill>
            <w14:solidFill>
              <w14:schemeClr w14:val="tx1"/>
            </w14:solidFill>
          </w14:textFill>
        </w:rPr>
        <w:t>具备《中华人民共和国政府采购法》第二十二条规定的条件：</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（一）具有独立承担民事责任的能力；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（二）具有良好的商业信誉和健全的财务会计制度；</w:t>
      </w:r>
      <w:r>
        <w:rPr>
          <w:rFonts w:ascii="宋体" w:hAnsi="宋体" w:cs="宋体"/>
          <w:color w:val="000000" w:themeColor="text1"/>
          <w:kern w:val="0"/>
          <w:szCs w:val="21"/>
          <w14:textFill>
            <w14:solidFill>
              <w14:schemeClr w14:val="tx1"/>
            </w14:solidFill>
          </w14:textFill>
        </w:rPr>
        <w:t xml:space="preserve"> </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（三）具有履行合同所必需的设备和专业技术能力；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（四）有依法缴纳税收和社会保障资金的良好记录；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（五）参加政府采购活动前三年内，在经营活动中没有重大违法记录；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（六）法律、行政法规规定的其他条件。</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二、本公司具有本次采购项目服务能力。</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三、本公司有固定的经营场所，信誉良好、售后维护服务好，并且在经营活动中无严重违法记录。</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 xml:space="preserve">四、本公司不存在下列情形之一：被责令停业的；被暂停或取消竞价资格的；财产被接管或冻结的；在最近三年内有骗取中标或严重违约的；在竞价过程中因重大违规被采购人处罚的；在“信用中国”（www.creditchina.gov.cn）、中国政府采购网www.ccgp.gov.cn）被列入失信被执行人、重大税收违法失信主体、政府采购严重违法失信行为记录名单。本公司不分包或转包，不联合体参加本次采购项目。 </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本公司（企业）承诺在本次采购活动中，如有违法、违规</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14:textFill>
            <w14:solidFill>
              <w14:schemeClr w14:val="tx1"/>
            </w14:solidFill>
          </w14:textFill>
        </w:rPr>
        <w:t>弄虚作假行为，所造成的损失、不良后果及法律责任，一律由我公司（企业）承担。</w:t>
      </w:r>
    </w:p>
    <w:p>
      <w:pPr>
        <w:spacing w:line="360" w:lineRule="auto"/>
        <w:ind w:firstLine="42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特此声明！</w:t>
      </w:r>
    </w:p>
    <w:p>
      <w:pPr>
        <w:autoSpaceDE w:val="0"/>
        <w:autoSpaceDN w:val="0"/>
        <w:adjustRightInd w:val="0"/>
        <w:spacing w:line="360" w:lineRule="auto"/>
        <w:ind w:firstLine="413" w:firstLineChars="196"/>
        <w:rPr>
          <w:rFonts w:ascii="宋体" w:hAnsi="宋体"/>
          <w:b/>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备注：</w:t>
      </w:r>
    </w:p>
    <w:p>
      <w:pPr>
        <w:pStyle w:val="49"/>
        <w:numPr>
          <w:ilvl w:val="0"/>
          <w:numId w:val="28"/>
        </w:numPr>
        <w:autoSpaceDE w:val="0"/>
        <w:autoSpaceDN w:val="0"/>
        <w:adjustRightInd w:val="0"/>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本声明函必须提供且内容不得擅自删改，否则视为响应无效。</w:t>
      </w:r>
    </w:p>
    <w:p>
      <w:pPr>
        <w:pStyle w:val="49"/>
        <w:numPr>
          <w:ilvl w:val="0"/>
          <w:numId w:val="28"/>
        </w:numPr>
        <w:snapToGrid w:val="0"/>
        <w:spacing w:line="360" w:lineRule="auto"/>
        <w:ind w:firstLineChars="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本声明函如有虚假或与事实不符的，作无效报价处理。</w:t>
      </w:r>
    </w:p>
    <w:p>
      <w:pPr>
        <w:widowControl/>
        <w:spacing w:line="360" w:lineRule="auto"/>
        <w:ind w:left="840"/>
        <w:jc w:val="left"/>
        <w:rPr>
          <w:rFonts w:ascii="宋体" w:hAnsi="宋体"/>
          <w:b/>
          <w:bCs/>
          <w:color w:val="000000" w:themeColor="text1"/>
          <w:kern w:val="0"/>
          <w:sz w:val="32"/>
          <w:szCs w:val="32"/>
          <w14:textFill>
            <w14:solidFill>
              <w14:schemeClr w14:val="tx1"/>
            </w14:solidFill>
          </w14:textFill>
        </w:rPr>
      </w:pPr>
    </w:p>
    <w:p>
      <w:pPr>
        <w:pStyle w:val="49"/>
        <w:wordWrap w:val="0"/>
        <w:spacing w:line="360" w:lineRule="auto"/>
        <w:ind w:left="1200" w:right="218" w:firstLine="0" w:firstLineChars="0"/>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r>
        <w:rPr>
          <w:rFonts w:hint="eastAsia" w:ascii="宋体" w:hAnsi="宋体"/>
          <w:color w:val="000000" w:themeColor="text1"/>
          <w:spacing w:val="4"/>
          <w:szCs w:val="21"/>
          <w:u w:val="single"/>
          <w14:textFill>
            <w14:solidFill>
              <w14:schemeClr w14:val="tx1"/>
            </w14:solidFill>
          </w14:textFill>
        </w:rPr>
        <w:t xml:space="preserve">          </w:t>
      </w:r>
    </w:p>
    <w:p>
      <w:pPr>
        <w:pStyle w:val="49"/>
        <w:spacing w:line="360" w:lineRule="auto"/>
        <w:ind w:left="1200" w:right="210" w:firstLine="0" w:firstLineChars="0"/>
        <w:jc w:val="right"/>
        <w:rPr>
          <w:rFonts w:ascii="宋体" w:hAnsi="宋体"/>
          <w:color w:val="000000" w:themeColor="text1"/>
          <w:szCs w:val="21"/>
          <w:u w:val="single"/>
          <w14:textFill>
            <w14:solidFill>
              <w14:schemeClr w14:val="tx1"/>
            </w14:solidFill>
          </w14:textFill>
        </w:rPr>
      </w:pPr>
    </w:p>
    <w:p>
      <w:pPr>
        <w:wordWrap w:val="0"/>
        <w:spacing w:line="360" w:lineRule="auto"/>
        <w:ind w:left="840"/>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r>
        <w:rPr>
          <w:rFonts w:hint="eastAsia" w:ascii="宋体" w:hAnsi="宋体"/>
          <w:color w:val="000000" w:themeColor="text1"/>
          <w:spacing w:val="4"/>
          <w:szCs w:val="21"/>
          <w:u w:val="single"/>
          <w14:textFill>
            <w14:solidFill>
              <w14:schemeClr w14:val="tx1"/>
            </w14:solidFill>
          </w14:textFill>
        </w:rPr>
        <w:t xml:space="preserve">          </w:t>
      </w:r>
    </w:p>
    <w:p>
      <w:pPr>
        <w:autoSpaceDE w:val="0"/>
        <w:autoSpaceDN w:val="0"/>
        <w:adjustRightInd w:val="0"/>
        <w:spacing w:before="240" w:after="60" w:line="312" w:lineRule="auto"/>
        <w:jc w:val="center"/>
        <w:outlineLvl w:val="1"/>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bookmarkStart w:id="3" w:name="_Hlk74835188"/>
      <w:bookmarkStart w:id="4"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广东省广播电视网络股份有限公司佛山顺德分公司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bookmarkStart w:id="14" w:name="_GoBack"/>
      <w:r>
        <w:rPr>
          <w:rFonts w:hint="eastAsia" w:ascii="宋体" w:hAnsi="宋体"/>
          <w:b/>
          <w:bCs/>
          <w:color w:val="000000" w:themeColor="text1"/>
          <w:u w:val="single"/>
          <w14:textFill>
            <w14:solidFill>
              <w14:schemeClr w14:val="tx1"/>
            </w14:solidFill>
          </w14:textFill>
        </w:rPr>
        <w:t>顺德分公司本部大楼2024-2026年度消防系统维护保养项目</w:t>
      </w:r>
      <w:bookmarkEnd w:id="14"/>
      <w:r>
        <w:rPr>
          <w:rFonts w:hint="eastAsia" w:ascii="宋体" w:hAnsi="宋体"/>
          <w:color w:val="000000" w:themeColor="text1"/>
          <w:szCs w:val="21"/>
          <w14:textFill>
            <w14:solidFill>
              <w14:schemeClr w14:val="tx1"/>
            </w14:solidFill>
          </w14:textFill>
        </w:rPr>
        <w:t>的竞价公告</w:t>
      </w:r>
      <w:bookmarkEnd w:id="3"/>
      <w:r>
        <w:rPr>
          <w:rFonts w:hint="eastAsia" w:ascii="宋体" w:hAnsi="宋体"/>
          <w:color w:val="000000" w:themeColor="text1"/>
          <w:szCs w:val="21"/>
          <w14:textFill>
            <w14:solidFill>
              <w14:schemeClr w14:val="tx1"/>
            </w14:solidFill>
          </w14:textFill>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pPr>
        <w:autoSpaceDE w:val="0"/>
        <w:autoSpaceDN w:val="0"/>
        <w:adjustRightInd w:val="0"/>
        <w:snapToGrid w:val="0"/>
        <w:spacing w:line="360" w:lineRule="auto"/>
        <w:ind w:right="436" w:firstLine="3488" w:firstLineChars="16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pPr>
        <w:autoSpaceDE w:val="0"/>
        <w:autoSpaceDN w:val="0"/>
        <w:adjustRightInd w:val="0"/>
        <w:snapToGrid w:val="0"/>
        <w:spacing w:line="360" w:lineRule="auto"/>
        <w:ind w:firstLine="105" w:firstLineChars="50"/>
        <w:jc w:val="right"/>
        <w:rPr>
          <w:rFonts w:ascii="宋体" w:hAnsi="宋体"/>
          <w:color w:val="000000" w:themeColor="text1"/>
          <w:szCs w:val="21"/>
          <w:u w:val="single"/>
          <w14:textFill>
            <w14:solidFill>
              <w14:schemeClr w14:val="tx1"/>
            </w14:solidFill>
          </w14:textFill>
        </w:rPr>
      </w:pPr>
    </w:p>
    <w:p>
      <w:pPr>
        <w:autoSpaceDE w:val="0"/>
        <w:autoSpaceDN w:val="0"/>
        <w:adjustRightInd w:val="0"/>
        <w:snapToGrid w:val="0"/>
        <w:spacing w:line="360" w:lineRule="auto"/>
        <w:ind w:right="436" w:firstLine="2625" w:firstLineChars="12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日期：</w:t>
      </w:r>
    </w:p>
    <w:p>
      <w:pPr>
        <w:pStyle w:val="17"/>
      </w:pPr>
      <w:bookmarkStart w:id="5" w:name="_Toc9362"/>
      <w:bookmarkStart w:id="6" w:name="_Toc5769"/>
      <w:bookmarkStart w:id="7" w:name="_Toc15461"/>
      <w:bookmarkStart w:id="8" w:name="_Toc11252"/>
    </w:p>
    <w:p>
      <w:pPr>
        <w:rPr>
          <w:rFonts w:ascii="宋体" w:hAnsi="宋体"/>
          <w:b/>
          <w:sz w:val="32"/>
          <w:szCs w:val="32"/>
        </w:rPr>
      </w:pPr>
      <w:r>
        <w:rPr>
          <w:rFonts w:hint="eastAsia" w:ascii="宋体" w:hAnsi="宋体"/>
          <w:b/>
          <w:sz w:val="32"/>
          <w:szCs w:val="32"/>
        </w:rPr>
        <w:br w:type="page"/>
      </w:r>
    </w:p>
    <w:bookmarkEnd w:id="5"/>
    <w:bookmarkEnd w:id="6"/>
    <w:bookmarkEnd w:id="7"/>
    <w:bookmarkEnd w:id="8"/>
    <w:p>
      <w:pPr>
        <w:pageBreakBefore/>
        <w:jc w:val="center"/>
        <w:outlineLvl w:val="0"/>
        <w:rPr>
          <w:rFonts w:ascii="宋体" w:hAnsi="宋体"/>
          <w:b/>
          <w:spacing w:val="-26"/>
          <w:sz w:val="44"/>
          <w:szCs w:val="44"/>
        </w:rPr>
      </w:pPr>
      <w:r>
        <w:rPr>
          <w:rFonts w:hint="eastAsia" w:ascii="宋体" w:hAnsi="宋体"/>
          <w:b/>
          <w:spacing w:val="-26"/>
          <w:sz w:val="44"/>
          <w:szCs w:val="44"/>
        </w:rPr>
        <w:t>顺德分公司本部大楼2024-2026年度消防系统维护保养项目合同书</w:t>
      </w:r>
    </w:p>
    <w:p>
      <w:pPr>
        <w:tabs>
          <w:tab w:val="left" w:pos="720"/>
        </w:tabs>
        <w:spacing w:line="360" w:lineRule="auto"/>
        <w:jc w:val="center"/>
        <w:rPr>
          <w:rFonts w:ascii="宋体" w:hAnsi="宋体"/>
          <w:b/>
          <w:sz w:val="44"/>
          <w:szCs w:val="44"/>
        </w:rPr>
      </w:pPr>
    </w:p>
    <w:p>
      <w:pPr>
        <w:tabs>
          <w:tab w:val="left" w:pos="720"/>
        </w:tabs>
        <w:spacing w:line="360" w:lineRule="auto"/>
        <w:rPr>
          <w:rFonts w:ascii="宋体" w:hAnsi="宋体"/>
          <w:b/>
          <w:szCs w:val="21"/>
        </w:rPr>
      </w:pPr>
      <w:bookmarkStart w:id="9" w:name="_Hlk16514726"/>
    </w:p>
    <w:p>
      <w:pPr>
        <w:tabs>
          <w:tab w:val="left" w:pos="720"/>
        </w:tabs>
        <w:spacing w:line="360" w:lineRule="auto"/>
        <w:rPr>
          <w:rFonts w:hint="eastAsia" w:ascii="宋体" w:hAnsi="宋体" w:eastAsia="宋体" w:cs="宋体"/>
          <w:b/>
          <w:sz w:val="21"/>
          <w:szCs w:val="21"/>
        </w:rPr>
      </w:pPr>
      <w:r>
        <w:rPr>
          <w:rFonts w:hint="eastAsia" w:ascii="宋体" w:hAnsi="宋体" w:eastAsia="宋体" w:cs="宋体"/>
          <w:b/>
          <w:sz w:val="21"/>
          <w:szCs w:val="21"/>
        </w:rPr>
        <w:t>甲    方：广东省广播电视网络股份有限公司佛山分公司</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 xml:space="preserve">住 所 地：                                            </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 xml:space="preserve">授权代表：                                                       </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 xml:space="preserve">联 系 人：                                            </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联系电话：</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 xml:space="preserve">乙    方：                                        </w:t>
      </w:r>
    </w:p>
    <w:p>
      <w:pPr>
        <w:pStyle w:val="6"/>
        <w:ind w:firstLine="0"/>
        <w:rPr>
          <w:rFonts w:hint="eastAsia" w:ascii="宋体" w:hAnsi="宋体" w:eastAsia="宋体" w:cs="宋体"/>
          <w:b/>
          <w:sz w:val="21"/>
          <w:szCs w:val="21"/>
        </w:rPr>
      </w:pPr>
      <w:bookmarkStart w:id="10" w:name="_Hlk16514501"/>
      <w:r>
        <w:rPr>
          <w:rFonts w:hint="eastAsia" w:ascii="宋体" w:hAnsi="宋体" w:eastAsia="宋体" w:cs="宋体"/>
          <w:b/>
          <w:sz w:val="21"/>
          <w:szCs w:val="21"/>
        </w:rPr>
        <w:t>住 所 地：</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法定代表人：</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联 系 人：</w:t>
      </w:r>
    </w:p>
    <w:p>
      <w:pPr>
        <w:pStyle w:val="6"/>
        <w:ind w:firstLine="0"/>
        <w:rPr>
          <w:rFonts w:hint="eastAsia" w:ascii="宋体" w:hAnsi="宋体" w:eastAsia="宋体" w:cs="宋体"/>
          <w:b/>
          <w:sz w:val="21"/>
          <w:szCs w:val="21"/>
        </w:rPr>
      </w:pPr>
      <w:r>
        <w:rPr>
          <w:rFonts w:hint="eastAsia" w:ascii="宋体" w:hAnsi="宋体" w:eastAsia="宋体" w:cs="宋体"/>
          <w:b/>
          <w:sz w:val="21"/>
          <w:szCs w:val="21"/>
        </w:rPr>
        <w:t>联系电话：</w:t>
      </w:r>
    </w:p>
    <w:p>
      <w:pPr>
        <w:tabs>
          <w:tab w:val="left" w:pos="720"/>
        </w:tabs>
        <w:spacing w:line="360" w:lineRule="auto"/>
        <w:rPr>
          <w:rFonts w:ascii="仿宋" w:hAnsi="仿宋" w:eastAsia="仿宋"/>
          <w:b/>
          <w:sz w:val="21"/>
          <w:szCs w:val="21"/>
        </w:rPr>
      </w:pP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kern w:val="28"/>
          <w:sz w:val="21"/>
          <w:szCs w:val="21"/>
        </w:rPr>
        <w:t>根</w:t>
      </w:r>
      <w:r>
        <w:rPr>
          <w:rFonts w:hint="eastAsia" w:ascii="宋体" w:hAnsi="宋体" w:eastAsia="宋体" w:cs="宋体"/>
          <w:sz w:val="21"/>
          <w:szCs w:val="21"/>
        </w:rPr>
        <w:t>据</w:t>
      </w:r>
      <w:r>
        <w:rPr>
          <w:rFonts w:hint="eastAsia" w:ascii="宋体" w:hAnsi="宋体" w:eastAsia="宋体" w:cs="宋体"/>
          <w:sz w:val="21"/>
          <w:szCs w:val="21"/>
          <w:u w:val="single"/>
        </w:rPr>
        <w:t>顺德分公司本部大楼2024-2026年度消防系统维护保养项目（项目编号：    ）的</w:t>
      </w:r>
      <w:r>
        <w:rPr>
          <w:rFonts w:hint="eastAsia" w:ascii="宋体" w:hAnsi="宋体" w:eastAsia="宋体" w:cs="宋体"/>
          <w:sz w:val="21"/>
          <w:szCs w:val="21"/>
        </w:rPr>
        <w:t>采购结果及相关法律法规，经甲乙双方协商，本着平等互利和诚实信用的原则，一致同意签订本合同，共同遵守如下条款：</w:t>
      </w:r>
    </w:p>
    <w:p>
      <w:pPr>
        <w:numPr>
          <w:ilvl w:val="0"/>
          <w:numId w:val="29"/>
        </w:numPr>
        <w:spacing w:line="360" w:lineRule="auto"/>
        <w:jc w:val="left"/>
        <w:rPr>
          <w:rFonts w:hint="eastAsia" w:ascii="宋体" w:hAnsi="宋体" w:eastAsia="宋体" w:cs="宋体"/>
          <w:sz w:val="21"/>
          <w:szCs w:val="21"/>
        </w:rPr>
      </w:pPr>
      <w:r>
        <w:rPr>
          <w:rFonts w:hint="eastAsia" w:ascii="宋体" w:hAnsi="宋体" w:eastAsia="宋体" w:cs="宋体"/>
          <w:b/>
          <w:bCs/>
          <w:sz w:val="21"/>
          <w:szCs w:val="21"/>
        </w:rPr>
        <w:t>合同期限</w:t>
      </w:r>
      <w:r>
        <w:rPr>
          <w:rFonts w:hint="eastAsia" w:ascii="宋体" w:hAnsi="宋体" w:eastAsia="宋体" w:cs="宋体"/>
          <w:sz w:val="21"/>
          <w:szCs w:val="21"/>
        </w:rPr>
        <w:t>：自合同生效之日起2年。</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合同金额：</w:t>
      </w:r>
    </w:p>
    <w:tbl>
      <w:tblPr>
        <w:tblStyle w:val="37"/>
        <w:tblW w:w="843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101"/>
        <w:gridCol w:w="1061"/>
        <w:gridCol w:w="2469"/>
        <w:gridCol w:w="180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3101" w:type="dxa"/>
            <w:tcBorders>
              <w:top w:val="single" w:color="auto" w:sz="12" w:space="0"/>
              <w:bottom w:val="single" w:color="auto" w:sz="2" w:space="0"/>
            </w:tcBorders>
            <w:shd w:val="clear" w:color="auto" w:fill="EEECE1"/>
            <w:vAlign w:val="center"/>
          </w:tcPr>
          <w:p>
            <w:pPr>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内容</w:t>
            </w:r>
          </w:p>
        </w:tc>
        <w:tc>
          <w:tcPr>
            <w:tcW w:w="1061" w:type="dxa"/>
            <w:tcBorders>
              <w:top w:val="single" w:color="auto" w:sz="12" w:space="0"/>
              <w:bottom w:val="single" w:color="auto" w:sz="2" w:space="0"/>
            </w:tcBorders>
            <w:shd w:val="clear" w:color="auto" w:fill="EEECE1"/>
            <w:vAlign w:val="center"/>
          </w:tcPr>
          <w:p>
            <w:pPr>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数量</w:t>
            </w:r>
          </w:p>
        </w:tc>
        <w:tc>
          <w:tcPr>
            <w:tcW w:w="2469" w:type="dxa"/>
            <w:tcBorders>
              <w:top w:val="single" w:color="auto" w:sz="12" w:space="0"/>
              <w:bottom w:val="single" w:color="auto" w:sz="2" w:space="0"/>
            </w:tcBorders>
            <w:shd w:val="clear" w:color="auto" w:fill="EEECE1"/>
            <w:vAlign w:val="center"/>
          </w:tcPr>
          <w:p>
            <w:pPr>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服务期</w:t>
            </w:r>
          </w:p>
        </w:tc>
        <w:tc>
          <w:tcPr>
            <w:tcW w:w="1808" w:type="dxa"/>
            <w:tcBorders>
              <w:top w:val="single" w:color="auto" w:sz="12" w:space="0"/>
              <w:bottom w:val="single" w:color="auto" w:sz="2" w:space="0"/>
            </w:tcBorders>
            <w:shd w:val="clear" w:color="auto" w:fill="EEECE1"/>
            <w:vAlign w:val="center"/>
          </w:tcPr>
          <w:p>
            <w:pPr>
              <w:spacing w:line="360" w:lineRule="auto"/>
              <w:jc w:val="center"/>
              <w:rPr>
                <w:rFonts w:hint="eastAsia" w:ascii="宋体" w:hAnsi="宋体" w:eastAsia="宋体" w:cs="宋体"/>
                <w:sz w:val="21"/>
                <w:szCs w:val="21"/>
              </w:rPr>
            </w:pPr>
            <w:r>
              <w:rPr>
                <w:rFonts w:hint="eastAsia" w:ascii="宋体" w:hAnsi="宋体" w:eastAsia="宋体" w:cs="宋体"/>
                <w:b/>
                <w:sz w:val="21"/>
                <w:szCs w:val="21"/>
              </w:rPr>
              <w:t>金额（含税）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3101" w:type="dxa"/>
            <w:tcBorders>
              <w:top w:val="single" w:color="auto" w:sz="2" w:space="0"/>
              <w:bottom w:val="single" w:color="auto" w:sz="2" w:space="0"/>
            </w:tcBorders>
            <w:vAlign w:val="center"/>
          </w:tcPr>
          <w:p>
            <w:pPr>
              <w:widowControl/>
              <w:jc w:val="center"/>
              <w:rPr>
                <w:rFonts w:hint="eastAsia" w:ascii="宋体" w:hAnsi="宋体" w:eastAsia="宋体" w:cs="宋体"/>
                <w:sz w:val="21"/>
                <w:szCs w:val="21"/>
              </w:rPr>
            </w:pPr>
            <w:r>
              <w:rPr>
                <w:rFonts w:hint="eastAsia" w:ascii="宋体" w:hAnsi="宋体" w:cs="宋体"/>
                <w:szCs w:val="21"/>
              </w:rPr>
              <w:t>顺德分公司本部大楼2024-2026年度消防系统维护保养项目</w:t>
            </w:r>
          </w:p>
        </w:tc>
        <w:tc>
          <w:tcPr>
            <w:tcW w:w="1061" w:type="dxa"/>
            <w:tcBorders>
              <w:top w:val="single" w:color="auto" w:sz="2" w:space="0"/>
              <w:bottom w:val="single" w:color="auto" w:sz="2" w:space="0"/>
            </w:tcBorders>
            <w:vAlign w:val="center"/>
          </w:tcPr>
          <w:p>
            <w:pPr>
              <w:spacing w:line="360" w:lineRule="auto"/>
              <w:jc w:val="center"/>
              <w:rPr>
                <w:rFonts w:hint="eastAsia" w:ascii="宋体" w:hAnsi="宋体" w:eastAsia="宋体" w:cs="宋体"/>
                <w:kern w:val="0"/>
                <w:sz w:val="21"/>
                <w:szCs w:val="21"/>
              </w:rPr>
            </w:pPr>
            <w:r>
              <w:rPr>
                <w:rFonts w:hint="eastAsia" w:ascii="宋体" w:hAnsi="宋体" w:eastAsia="宋体" w:cs="宋体"/>
                <w:kern w:val="0"/>
                <w:sz w:val="21"/>
                <w:szCs w:val="21"/>
              </w:rPr>
              <w:t>1项</w:t>
            </w:r>
          </w:p>
        </w:tc>
        <w:tc>
          <w:tcPr>
            <w:tcW w:w="2469" w:type="dxa"/>
            <w:tcBorders>
              <w:top w:val="single" w:color="auto" w:sz="2" w:space="0"/>
              <w:bottom w:val="single" w:color="auto" w:sz="2" w:space="0"/>
            </w:tcBorders>
            <w:vAlign w:val="center"/>
          </w:tcPr>
          <w:p>
            <w:pPr>
              <w:keepNext/>
              <w:adjustRightInd w:val="0"/>
              <w:spacing w:line="360" w:lineRule="auto"/>
              <w:jc w:val="center"/>
              <w:textAlignment w:val="center"/>
              <w:rPr>
                <w:rFonts w:hint="eastAsia" w:ascii="宋体" w:hAnsi="宋体" w:eastAsia="宋体" w:cs="宋体"/>
                <w:sz w:val="21"/>
                <w:szCs w:val="21"/>
              </w:rPr>
            </w:pPr>
            <w:r>
              <w:rPr>
                <w:rFonts w:hint="eastAsia" w:ascii="宋体" w:hAnsi="宋体" w:eastAsia="宋体" w:cs="宋体"/>
                <w:sz w:val="21"/>
                <w:szCs w:val="21"/>
              </w:rPr>
              <w:t>签订合同之日起2年</w:t>
            </w:r>
          </w:p>
        </w:tc>
        <w:tc>
          <w:tcPr>
            <w:tcW w:w="1808" w:type="dxa"/>
            <w:tcBorders>
              <w:top w:val="single" w:color="auto" w:sz="2" w:space="0"/>
              <w:bottom w:val="single" w:color="auto" w:sz="2" w:space="0"/>
            </w:tcBorders>
            <w:vAlign w:val="center"/>
          </w:tcPr>
          <w:p>
            <w:pPr>
              <w:spacing w:line="360" w:lineRule="auto"/>
              <w:jc w:val="center"/>
              <w:rPr>
                <w:rFonts w:hint="eastAsia" w:ascii="宋体" w:hAnsi="宋体" w:eastAsia="宋体" w:cs="宋体"/>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31" w:type="dxa"/>
            <w:gridSpan w:val="3"/>
            <w:tcBorders>
              <w:top w:val="single" w:color="auto" w:sz="2" w:space="0"/>
            </w:tcBorders>
            <w:vAlign w:val="center"/>
          </w:tcPr>
          <w:p>
            <w:pPr>
              <w:keepNext/>
              <w:adjustRightInd w:val="0"/>
              <w:spacing w:line="360" w:lineRule="auto"/>
              <w:jc w:val="center"/>
              <w:textAlignment w:val="center"/>
              <w:rPr>
                <w:rFonts w:hint="eastAsia" w:ascii="宋体" w:hAnsi="宋体" w:eastAsia="宋体" w:cs="宋体"/>
                <w:sz w:val="21"/>
                <w:szCs w:val="21"/>
              </w:rPr>
            </w:pPr>
            <w:r>
              <w:rPr>
                <w:rFonts w:hint="eastAsia" w:ascii="宋体" w:hAnsi="宋体" w:eastAsia="宋体" w:cs="宋体"/>
                <w:sz w:val="21"/>
                <w:szCs w:val="21"/>
              </w:rPr>
              <w:t>合计</w:t>
            </w:r>
          </w:p>
        </w:tc>
        <w:tc>
          <w:tcPr>
            <w:tcW w:w="1808" w:type="dxa"/>
            <w:tcBorders>
              <w:top w:val="single" w:color="auto" w:sz="2" w:space="0"/>
            </w:tcBorders>
            <w:vAlign w:val="center"/>
          </w:tcPr>
          <w:p>
            <w:pPr>
              <w:spacing w:line="360" w:lineRule="auto"/>
              <w:jc w:val="center"/>
              <w:rPr>
                <w:rFonts w:hint="eastAsia" w:ascii="宋体" w:hAnsi="宋体" w:eastAsia="宋体" w:cs="宋体"/>
                <w:kern w:val="0"/>
                <w:sz w:val="21"/>
                <w:szCs w:val="21"/>
              </w:rPr>
            </w:pPr>
          </w:p>
        </w:tc>
      </w:tr>
    </w:tbl>
    <w:p>
      <w:pPr>
        <w:spacing w:line="360" w:lineRule="auto"/>
        <w:ind w:left="420"/>
        <w:jc w:val="left"/>
        <w:rPr>
          <w:rFonts w:hint="eastAsia" w:ascii="宋体" w:hAnsi="宋体" w:eastAsia="宋体" w:cs="宋体"/>
          <w:b/>
          <w:bCs/>
          <w:sz w:val="21"/>
          <w:szCs w:val="21"/>
        </w:rPr>
      </w:pPr>
      <w:r>
        <w:rPr>
          <w:rFonts w:hint="eastAsia" w:ascii="宋体" w:hAnsi="宋体" w:eastAsia="宋体" w:cs="宋体"/>
          <w:b/>
          <w:bCs/>
          <w:sz w:val="21"/>
          <w:szCs w:val="21"/>
        </w:rPr>
        <w:t>合同金额已包括所有人力成本、设备成本、管理费、技术服务费、培训费、利润、增值税专用发票、税金等费用在内的全部费用。</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付款方式</w:t>
      </w:r>
    </w:p>
    <w:p>
      <w:pPr>
        <w:numPr>
          <w:ilvl w:val="0"/>
          <w:numId w:val="30"/>
        </w:numPr>
        <w:autoSpaceDE w:val="0"/>
        <w:autoSpaceDN w:val="0"/>
        <w:spacing w:line="360" w:lineRule="auto"/>
        <w:rPr>
          <w:rFonts w:hint="eastAsia" w:ascii="宋体" w:hAnsi="宋体" w:eastAsia="宋体" w:cs="宋体"/>
          <w:sz w:val="21"/>
          <w:szCs w:val="21"/>
        </w:rPr>
      </w:pPr>
      <w:r>
        <w:rPr>
          <w:rFonts w:hint="eastAsia" w:ascii="宋体" w:hAnsi="宋体" w:eastAsia="宋体" w:cs="宋体"/>
          <w:sz w:val="21"/>
          <w:szCs w:val="21"/>
        </w:rPr>
        <w:t>每三个月结算一次，第四个月初结算前三个月维护保养费用。</w:t>
      </w:r>
    </w:p>
    <w:p>
      <w:pPr>
        <w:numPr>
          <w:ilvl w:val="0"/>
          <w:numId w:val="30"/>
        </w:numPr>
        <w:spacing w:line="360" w:lineRule="auto"/>
        <w:jc w:val="left"/>
        <w:rPr>
          <w:rFonts w:hint="eastAsia" w:ascii="宋体" w:hAnsi="宋体" w:eastAsia="宋体" w:cs="宋体"/>
          <w:sz w:val="21"/>
          <w:szCs w:val="21"/>
        </w:rPr>
      </w:pPr>
      <w:r>
        <w:rPr>
          <w:rFonts w:hint="eastAsia" w:ascii="宋体" w:hAnsi="宋体" w:eastAsia="宋体" w:cs="宋体"/>
          <w:sz w:val="21"/>
          <w:szCs w:val="21"/>
        </w:rPr>
        <w:t>付款前乙方应凭上一季度《顺德分公司本部大楼消防维护保养服务评分表》出具与付款金额等额的增值税专用发票（税率</w:t>
      </w:r>
      <w:r>
        <w:rPr>
          <w:rFonts w:hint="eastAsia" w:ascii="宋体" w:hAnsi="宋体" w:eastAsia="宋体" w:cs="宋体"/>
          <w:sz w:val="21"/>
          <w:szCs w:val="21"/>
          <w:u w:val="single"/>
        </w:rPr>
        <w:t xml:space="preserve">    </w:t>
      </w:r>
      <w:r>
        <w:rPr>
          <w:rFonts w:hint="eastAsia" w:ascii="宋体" w:hAnsi="宋体" w:eastAsia="宋体" w:cs="宋体"/>
          <w:sz w:val="21"/>
          <w:szCs w:val="21"/>
        </w:rPr>
        <w:t>%），甲方在收到发票后三个月内支付款项。收款方、出具发票方均必须与合同乙方名称一致。如乙方未及时提供发票导致甲方无法按期付款，不构成甲方迟延付款的违约责任。</w:t>
      </w:r>
    </w:p>
    <w:p>
      <w:pPr>
        <w:numPr>
          <w:ilvl w:val="0"/>
          <w:numId w:val="30"/>
        </w:numPr>
        <w:spacing w:line="360" w:lineRule="auto"/>
        <w:jc w:val="left"/>
        <w:rPr>
          <w:rFonts w:hint="eastAsia" w:ascii="宋体" w:hAnsi="宋体" w:eastAsia="宋体" w:cs="宋体"/>
          <w:sz w:val="21"/>
          <w:szCs w:val="21"/>
        </w:rPr>
      </w:pPr>
      <w:r>
        <w:rPr>
          <w:rFonts w:hint="eastAsia" w:ascii="宋体" w:hAnsi="宋体" w:eastAsia="宋体" w:cs="宋体"/>
          <w:sz w:val="21"/>
          <w:szCs w:val="21"/>
        </w:rPr>
        <w:t>甲方根据乙方提供的服务质量按100分制给予考评（详细见</w:t>
      </w:r>
      <w:bookmarkStart w:id="11" w:name="_Hlk16498711"/>
      <w:r>
        <w:rPr>
          <w:rFonts w:hint="eastAsia" w:ascii="宋体" w:hAnsi="宋体" w:eastAsia="宋体" w:cs="宋体"/>
          <w:sz w:val="21"/>
          <w:szCs w:val="21"/>
        </w:rPr>
        <w:t>顺德分公司本部大楼消防维护保养服务评分表</w:t>
      </w:r>
      <w:bookmarkEnd w:id="11"/>
      <w:r>
        <w:rPr>
          <w:rFonts w:hint="eastAsia" w:ascii="宋体" w:hAnsi="宋体" w:eastAsia="宋体" w:cs="宋体"/>
          <w:sz w:val="21"/>
          <w:szCs w:val="21"/>
        </w:rPr>
        <w:t>），甲方在每3个月（一个季度）的维护工作完成后，对乙方的服务质量进行考核，考核结果经双方确认后，</w:t>
      </w:r>
      <w:bookmarkStart w:id="12" w:name="_Hlk16168948"/>
      <w:r>
        <w:rPr>
          <w:rFonts w:hint="eastAsia" w:ascii="宋体" w:hAnsi="宋体" w:eastAsia="宋体" w:cs="宋体"/>
          <w:sz w:val="21"/>
          <w:szCs w:val="21"/>
        </w:rPr>
        <w:t>季度</w:t>
      </w:r>
      <w:r>
        <w:rPr>
          <w:rFonts w:hint="eastAsia" w:ascii="宋体" w:hAnsi="宋体" w:eastAsia="宋体" w:cs="宋体"/>
          <w:bCs/>
          <w:sz w:val="21"/>
          <w:szCs w:val="21"/>
        </w:rPr>
        <w:t>维护</w:t>
      </w:r>
      <w:r>
        <w:rPr>
          <w:rFonts w:hint="eastAsia" w:ascii="宋体" w:hAnsi="宋体" w:eastAsia="宋体" w:cs="宋体"/>
          <w:sz w:val="21"/>
          <w:szCs w:val="21"/>
        </w:rPr>
        <w:t>保养费用</w:t>
      </w:r>
      <w:bookmarkEnd w:id="12"/>
      <w:r>
        <w:rPr>
          <w:rFonts w:hint="eastAsia" w:ascii="宋体" w:hAnsi="宋体" w:eastAsia="宋体" w:cs="宋体"/>
          <w:sz w:val="21"/>
          <w:szCs w:val="21"/>
        </w:rPr>
        <w:t>按以下考核办法进行结算 。</w:t>
      </w:r>
    </w:p>
    <w:p>
      <w:pPr>
        <w:numPr>
          <w:ilvl w:val="0"/>
          <w:numId w:val="30"/>
        </w:numPr>
        <w:spacing w:line="360" w:lineRule="auto"/>
        <w:jc w:val="left"/>
        <w:rPr>
          <w:rFonts w:hint="eastAsia" w:ascii="宋体" w:hAnsi="宋体" w:eastAsia="宋体" w:cs="宋体"/>
          <w:sz w:val="21"/>
          <w:szCs w:val="21"/>
        </w:rPr>
      </w:pPr>
      <w:r>
        <w:rPr>
          <w:rFonts w:hint="eastAsia" w:ascii="宋体" w:hAnsi="宋体" w:eastAsia="宋体" w:cs="宋体"/>
          <w:sz w:val="21"/>
          <w:szCs w:val="21"/>
        </w:rPr>
        <w:t xml:space="preserve">维护考核办法：满分为100分， </w:t>
      </w:r>
      <w:bookmarkStart w:id="13" w:name="_Hlk16168858"/>
      <w:r>
        <w:rPr>
          <w:rFonts w:hint="eastAsia" w:ascii="宋体" w:hAnsi="宋体" w:eastAsia="宋体" w:cs="宋体"/>
          <w:sz w:val="21"/>
          <w:szCs w:val="21"/>
        </w:rPr>
        <w:t>考核分数为</w:t>
      </w:r>
      <w:bookmarkEnd w:id="13"/>
      <w:r>
        <w:rPr>
          <w:rFonts w:hint="eastAsia" w:ascii="宋体" w:hAnsi="宋体" w:eastAsia="宋体" w:cs="宋体"/>
          <w:sz w:val="21"/>
          <w:szCs w:val="21"/>
        </w:rPr>
        <w:t>95分以上（含95分）支付全款季度</w:t>
      </w:r>
      <w:r>
        <w:rPr>
          <w:rFonts w:hint="eastAsia" w:ascii="宋体" w:hAnsi="宋体" w:eastAsia="宋体" w:cs="宋体"/>
          <w:bCs/>
          <w:sz w:val="21"/>
          <w:szCs w:val="21"/>
        </w:rPr>
        <w:t>维护</w:t>
      </w:r>
      <w:r>
        <w:rPr>
          <w:rFonts w:hint="eastAsia" w:ascii="宋体" w:hAnsi="宋体" w:eastAsia="宋体" w:cs="宋体"/>
          <w:sz w:val="21"/>
          <w:szCs w:val="21"/>
        </w:rPr>
        <w:t>保养费，不扣除</w:t>
      </w:r>
      <w:r>
        <w:rPr>
          <w:rFonts w:hint="eastAsia" w:ascii="宋体" w:hAnsi="宋体" w:eastAsia="宋体" w:cs="宋体"/>
          <w:bCs/>
          <w:sz w:val="21"/>
          <w:szCs w:val="21"/>
        </w:rPr>
        <w:t>维护</w:t>
      </w:r>
      <w:r>
        <w:rPr>
          <w:rFonts w:hint="eastAsia" w:ascii="宋体" w:hAnsi="宋体" w:eastAsia="宋体" w:cs="宋体"/>
          <w:sz w:val="21"/>
          <w:szCs w:val="21"/>
        </w:rPr>
        <w:t>保养费用；考核分数为85—94分（含85分）支付季度</w:t>
      </w:r>
      <w:r>
        <w:rPr>
          <w:rFonts w:hint="eastAsia" w:ascii="宋体" w:hAnsi="宋体" w:eastAsia="宋体" w:cs="宋体"/>
          <w:bCs/>
          <w:sz w:val="21"/>
          <w:szCs w:val="21"/>
        </w:rPr>
        <w:t>维护</w:t>
      </w:r>
      <w:r>
        <w:rPr>
          <w:rFonts w:hint="eastAsia" w:ascii="宋体" w:hAnsi="宋体" w:eastAsia="宋体" w:cs="宋体"/>
          <w:sz w:val="21"/>
          <w:szCs w:val="21"/>
        </w:rPr>
        <w:t>保养费用款的90% ；考核分数为75—84分（含75分）支付季度</w:t>
      </w:r>
      <w:r>
        <w:rPr>
          <w:rFonts w:hint="eastAsia" w:ascii="宋体" w:hAnsi="宋体" w:eastAsia="宋体" w:cs="宋体"/>
          <w:bCs/>
          <w:sz w:val="21"/>
          <w:szCs w:val="21"/>
        </w:rPr>
        <w:t>维护</w:t>
      </w:r>
      <w:r>
        <w:rPr>
          <w:rFonts w:hint="eastAsia" w:ascii="宋体" w:hAnsi="宋体" w:eastAsia="宋体" w:cs="宋体"/>
          <w:sz w:val="21"/>
          <w:szCs w:val="21"/>
        </w:rPr>
        <w:t>保养费用款的70%；考核分数为65-74分（含65分）支付季度</w:t>
      </w:r>
      <w:r>
        <w:rPr>
          <w:rFonts w:hint="eastAsia" w:ascii="宋体" w:hAnsi="宋体" w:eastAsia="宋体" w:cs="宋体"/>
          <w:bCs/>
          <w:sz w:val="21"/>
          <w:szCs w:val="21"/>
        </w:rPr>
        <w:t>维护</w:t>
      </w:r>
      <w:r>
        <w:rPr>
          <w:rFonts w:hint="eastAsia" w:ascii="宋体" w:hAnsi="宋体" w:eastAsia="宋体" w:cs="宋体"/>
          <w:sz w:val="21"/>
          <w:szCs w:val="21"/>
        </w:rPr>
        <w:t>保养费用款的50%；考核分数为低于65分的，季度</w:t>
      </w:r>
      <w:r>
        <w:rPr>
          <w:rFonts w:hint="eastAsia" w:ascii="宋体" w:hAnsi="宋体" w:eastAsia="宋体" w:cs="宋体"/>
          <w:bCs/>
          <w:sz w:val="21"/>
          <w:szCs w:val="21"/>
        </w:rPr>
        <w:t>维护</w:t>
      </w:r>
      <w:r>
        <w:rPr>
          <w:rFonts w:hint="eastAsia" w:ascii="宋体" w:hAnsi="宋体" w:eastAsia="宋体" w:cs="宋体"/>
          <w:sz w:val="21"/>
          <w:szCs w:val="21"/>
        </w:rPr>
        <w:t>保养费用为零。连续两个季度考核分数低于65分的，甲方有权终止合同。</w:t>
      </w:r>
    </w:p>
    <w:p>
      <w:pPr>
        <w:numPr>
          <w:ilvl w:val="0"/>
          <w:numId w:val="30"/>
        </w:numPr>
        <w:spacing w:line="360" w:lineRule="auto"/>
        <w:jc w:val="left"/>
        <w:rPr>
          <w:rFonts w:hint="eastAsia" w:ascii="宋体" w:hAnsi="宋体" w:eastAsia="宋体" w:cs="宋体"/>
          <w:sz w:val="21"/>
          <w:szCs w:val="21"/>
        </w:rPr>
      </w:pPr>
      <w:r>
        <w:rPr>
          <w:rFonts w:hint="eastAsia" w:ascii="宋体" w:hAnsi="宋体" w:eastAsia="宋体" w:cs="宋体"/>
          <w:sz w:val="21"/>
          <w:szCs w:val="21"/>
        </w:rPr>
        <w:t>税务</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 xml:space="preserve">5.1乙方承诺其开具增值税专用发票的形式与内容均合法、有效、完整、准确。不开具或开具不合格的增值税专用发票，甲方有权顺延支付应付款项且不承担任何违约责任，且乙方的各项合同义务仍应按合同约定履行。 </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5.2如出现国家税收政策调整时，双方应根据实际税收调整情况，以本合同中的不含税单价（不含税单价=含税单价/（1+税率）为依据相应调整受影响的合同含税金额，乙方需按照税收调整政策规定开具合法合规发票。</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服务地点：</w:t>
      </w:r>
      <w:r>
        <w:rPr>
          <w:rFonts w:hint="eastAsia" w:ascii="宋体" w:hAnsi="宋体" w:eastAsia="宋体" w:cs="宋体"/>
          <w:sz w:val="21"/>
          <w:szCs w:val="21"/>
        </w:rPr>
        <w:t>佛山市顺德区大良街道延年路11-2号</w:t>
      </w:r>
      <w:r>
        <w:rPr>
          <w:rFonts w:hint="eastAsia" w:ascii="宋体" w:hAnsi="宋体" w:cs="宋体"/>
          <w:szCs w:val="21"/>
        </w:rPr>
        <w:t>及佛山市顺德大良广珠路南一路2号广东德冠灯饰一厂6号仓库</w:t>
      </w:r>
      <w:r>
        <w:rPr>
          <w:rFonts w:hint="eastAsia" w:ascii="宋体" w:hAnsi="宋体" w:eastAsia="宋体" w:cs="宋体"/>
          <w:sz w:val="21"/>
          <w:szCs w:val="21"/>
        </w:rPr>
        <w:t>。</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服务内容及要求：</w:t>
      </w:r>
    </w:p>
    <w:p>
      <w:pPr>
        <w:numPr>
          <w:ilvl w:val="0"/>
          <w:numId w:val="31"/>
        </w:numPr>
        <w:spacing w:line="360" w:lineRule="auto"/>
        <w:jc w:val="left"/>
        <w:rPr>
          <w:rFonts w:hint="eastAsia" w:ascii="宋体" w:hAnsi="宋体" w:eastAsia="宋体" w:cs="宋体"/>
          <w:sz w:val="21"/>
          <w:szCs w:val="21"/>
        </w:rPr>
      </w:pPr>
      <w:r>
        <w:rPr>
          <w:rFonts w:hint="eastAsia" w:ascii="宋体" w:hAnsi="宋体" w:eastAsia="宋体" w:cs="宋体"/>
          <w:sz w:val="21"/>
          <w:szCs w:val="21"/>
        </w:rPr>
        <w:t>一般保养与月检同时进行，每月保养检测结果用表格形式呈交给甲方，留作存档备查。对月检发现的小问题即时处理，若要购买零件的则在零件买到后维修或更换。对较复杂问题则马上投入处理，直到问题解决。如系统平时出现故障，乙方维修班组须在接到甲方通知后30分钟内赶到现场处理。</w:t>
      </w:r>
    </w:p>
    <w:p>
      <w:pPr>
        <w:numPr>
          <w:ilvl w:val="0"/>
          <w:numId w:val="31"/>
        </w:numPr>
        <w:spacing w:line="360" w:lineRule="auto"/>
        <w:jc w:val="left"/>
        <w:rPr>
          <w:rFonts w:hint="eastAsia" w:ascii="宋体" w:hAnsi="宋体" w:eastAsia="宋体" w:cs="宋体"/>
          <w:sz w:val="21"/>
          <w:szCs w:val="21"/>
        </w:rPr>
      </w:pPr>
      <w:r>
        <w:rPr>
          <w:rFonts w:hint="eastAsia" w:ascii="宋体" w:hAnsi="宋体" w:eastAsia="宋体" w:cs="宋体"/>
          <w:sz w:val="21"/>
          <w:szCs w:val="21"/>
        </w:rPr>
        <w:t>消防设施、设备、器材维修更换的费用（单价在200元内，含200元）已包含在消防维护保养服务费内，由乙方自行承担（如200元以下的零配件，拆除、安装和维修人工费及调试费、喷淋头和各类探测器的清洗等费用），费用超出200元的由甲方根据有关规定采购后由乙方负责维修更换。</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详细服务要求：</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火灾自动报警系统和联动控制系统</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1.1.检查报警控制器的自检、巡检功能是否正常，同时检查消音、复位、故障报警等功能是否正常(每月)；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1.2.检查报警控制器的主电源与备用电源的切换、保险丝，测试直流电源和备用电源工作电压是否正常(每月)；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1.3.每月抽查10%数量的探头进行报故障和报火警试验及探头外观清洁；</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1.4.每月抽查10%数量的手动报警按钮进行报火警试验；</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1.5.对备用电源进行1至2次充放电试验(每季)；</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1.6.检查报警控制器，保证其内的各接线端子坚固、箱内干净，无灰尘杂物(每月)；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1.7.每半年对系统进行全面检查，模拟火警下系统的动作信号是否正常；</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bCs/>
          <w:sz w:val="21"/>
          <w:szCs w:val="21"/>
        </w:rPr>
        <w:t>1.8.消防联动控制系统。</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1.8.1.每月检查和模拟试验联动柜的下列功能：</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1 \* GB3 </w:instrText>
      </w:r>
      <w:r>
        <w:rPr>
          <w:rFonts w:hint="eastAsia" w:ascii="宋体" w:hAnsi="宋体" w:eastAsia="宋体" w:cs="宋体"/>
          <w:sz w:val="21"/>
          <w:szCs w:val="21"/>
        </w:rPr>
        <w:fldChar w:fldCharType="separate"/>
      </w:r>
      <w:r>
        <w:rPr>
          <w:rFonts w:hint="eastAsia" w:ascii="宋体" w:hAnsi="宋体" w:eastAsia="宋体" w:cs="宋体"/>
          <w:sz w:val="21"/>
          <w:szCs w:val="21"/>
        </w:rPr>
        <w:t>①</w:t>
      </w:r>
      <w:r>
        <w:rPr>
          <w:rFonts w:hint="eastAsia" w:ascii="宋体" w:hAnsi="宋体" w:eastAsia="宋体" w:cs="宋体"/>
          <w:sz w:val="21"/>
          <w:szCs w:val="21"/>
        </w:rPr>
        <w:fldChar w:fldCharType="end"/>
      </w:r>
      <w:r>
        <w:rPr>
          <w:rFonts w:hint="eastAsia" w:ascii="宋体" w:hAnsi="宋体" w:eastAsia="宋体" w:cs="宋体"/>
          <w:sz w:val="21"/>
          <w:szCs w:val="21"/>
        </w:rPr>
        <w:t xml:space="preserve"> 对联动柜进行外观检查，试灯及清洁等工作；</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2 \* GB3 </w:instrText>
      </w:r>
      <w:r>
        <w:rPr>
          <w:rFonts w:hint="eastAsia" w:ascii="宋体" w:hAnsi="宋体" w:eastAsia="宋体" w:cs="宋体"/>
          <w:sz w:val="21"/>
          <w:szCs w:val="21"/>
        </w:rPr>
        <w:fldChar w:fldCharType="separate"/>
      </w:r>
      <w:r>
        <w:rPr>
          <w:rFonts w:hint="eastAsia" w:ascii="宋体" w:hAnsi="宋体" w:eastAsia="宋体" w:cs="宋体"/>
          <w:sz w:val="21"/>
          <w:szCs w:val="21"/>
        </w:rPr>
        <w:t>②</w:t>
      </w:r>
      <w:r>
        <w:rPr>
          <w:rFonts w:hint="eastAsia" w:ascii="宋体" w:hAnsi="宋体" w:eastAsia="宋体" w:cs="宋体"/>
          <w:sz w:val="21"/>
          <w:szCs w:val="21"/>
        </w:rPr>
        <w:fldChar w:fldCharType="end"/>
      </w:r>
      <w:r>
        <w:rPr>
          <w:rFonts w:hint="eastAsia" w:ascii="宋体" w:hAnsi="宋体" w:eastAsia="宋体" w:cs="宋体"/>
          <w:sz w:val="21"/>
          <w:szCs w:val="21"/>
        </w:rPr>
        <w:t xml:space="preserve"> 对备用电源进行充放电试验及自动切换试验；</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3 \* GB3 </w:instrText>
      </w:r>
      <w:r>
        <w:rPr>
          <w:rFonts w:hint="eastAsia" w:ascii="宋体" w:hAnsi="宋体" w:eastAsia="宋体" w:cs="宋体"/>
          <w:sz w:val="21"/>
          <w:szCs w:val="21"/>
        </w:rPr>
        <w:fldChar w:fldCharType="separate"/>
      </w:r>
      <w:r>
        <w:rPr>
          <w:rFonts w:hint="eastAsia" w:ascii="宋体" w:hAnsi="宋体" w:eastAsia="宋体" w:cs="宋体"/>
          <w:sz w:val="21"/>
          <w:szCs w:val="21"/>
        </w:rPr>
        <w:t>③</w:t>
      </w:r>
      <w:r>
        <w:rPr>
          <w:rFonts w:hint="eastAsia" w:ascii="宋体" w:hAnsi="宋体" w:eastAsia="宋体" w:cs="宋体"/>
          <w:sz w:val="21"/>
          <w:szCs w:val="21"/>
        </w:rPr>
        <w:fldChar w:fldCharType="end"/>
      </w:r>
      <w:r>
        <w:rPr>
          <w:rFonts w:hint="eastAsia" w:ascii="宋体" w:hAnsi="宋体" w:eastAsia="宋体" w:cs="宋体"/>
          <w:sz w:val="21"/>
          <w:szCs w:val="21"/>
        </w:rPr>
        <w:t xml:space="preserve"> 在现场进行模拟测试时，消防联动柜能否显示报警部位，以及消防联动的功能；</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1.8.2.每月检查消火栓泵、消防风机等联动控制设备的控制和显示功能。</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消防自动水喷淋系统</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2.1.维护管理人员定期应对进水阀、报警阀进行外观检查，并应保证系统处于无故障状态(每月)；</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2.2.对喷头进行外观检查，当发现有不正常的喷头应及时更换（每月）；当喷头上有异物时应及时清除(每月)；每半年完成所有的喷头的检查；</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2.3.检查喷淋泵启动时，消防控制中心能否显示其动作信号(每月)；</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2.4.检查喷淋泵启动时，出水口压力是否正常(每半年)；</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2.5.检查喷淋泵投入自动状态时，消防控制中心能否控制其启动和停止(每月)；</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2.6.手动启动运行5~10分钟/台(每月)；</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2.7.定期清洗减压阀、过滤器、止回阀(每年)；</w:t>
      </w:r>
    </w:p>
    <w:p>
      <w:pPr>
        <w:spacing w:line="400" w:lineRule="exact"/>
        <w:ind w:left="1" w:firstLine="424" w:firstLineChars="202"/>
        <w:rPr>
          <w:rFonts w:hint="eastAsia" w:ascii="宋体" w:hAnsi="宋体" w:eastAsia="宋体" w:cs="宋体"/>
          <w:sz w:val="21"/>
          <w:szCs w:val="21"/>
        </w:rPr>
      </w:pPr>
      <w:r>
        <w:rPr>
          <w:rFonts w:hint="eastAsia" w:ascii="宋体" w:hAnsi="宋体" w:eastAsia="宋体" w:cs="宋体"/>
          <w:sz w:val="21"/>
          <w:szCs w:val="21"/>
        </w:rPr>
        <w:t>2.8.定期给水泵添加润滑油(每半年)；</w:t>
      </w:r>
    </w:p>
    <w:p>
      <w:pPr>
        <w:pStyle w:val="6"/>
        <w:ind w:firstLine="424"/>
        <w:rPr>
          <w:rFonts w:hint="eastAsia" w:ascii="宋体" w:hAnsi="宋体" w:eastAsia="宋体" w:cs="宋体"/>
          <w:sz w:val="21"/>
          <w:szCs w:val="21"/>
        </w:rPr>
      </w:pPr>
      <w:r>
        <w:rPr>
          <w:rFonts w:hint="eastAsia" w:ascii="宋体" w:hAnsi="宋体" w:eastAsia="宋体" w:cs="宋体"/>
          <w:sz w:val="21"/>
          <w:szCs w:val="21"/>
        </w:rPr>
        <w:t>2.9.检查消防水池是否能正常自动补水;（每月）</w:t>
      </w:r>
    </w:p>
    <w:p>
      <w:pPr>
        <w:pStyle w:val="6"/>
        <w:ind w:firstLine="424"/>
        <w:rPr>
          <w:rFonts w:hint="eastAsia" w:ascii="宋体" w:hAnsi="宋体" w:eastAsia="宋体" w:cs="宋体"/>
          <w:sz w:val="21"/>
          <w:szCs w:val="21"/>
        </w:rPr>
      </w:pPr>
      <w:r>
        <w:rPr>
          <w:rFonts w:hint="eastAsia" w:ascii="宋体" w:hAnsi="宋体" w:eastAsia="宋体" w:cs="宋体"/>
          <w:sz w:val="21"/>
          <w:szCs w:val="21"/>
        </w:rPr>
        <w:t>3.0.每月对系统在自动控制的条件下模拟火警信号，检查以下内容：</w:t>
      </w:r>
    </w:p>
    <w:p>
      <w:pPr>
        <w:spacing w:line="400" w:lineRule="exact"/>
        <w:ind w:left="42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1 \* GB3 </w:instrText>
      </w:r>
      <w:r>
        <w:rPr>
          <w:rFonts w:hint="eastAsia" w:ascii="宋体" w:hAnsi="宋体" w:eastAsia="宋体" w:cs="宋体"/>
          <w:sz w:val="21"/>
          <w:szCs w:val="21"/>
        </w:rPr>
        <w:fldChar w:fldCharType="separate"/>
      </w:r>
      <w:r>
        <w:rPr>
          <w:rFonts w:hint="eastAsia" w:ascii="宋体" w:hAnsi="宋体" w:eastAsia="宋体" w:cs="宋体"/>
          <w:sz w:val="21"/>
          <w:szCs w:val="21"/>
        </w:rPr>
        <w:t>①</w:t>
      </w:r>
      <w:r>
        <w:rPr>
          <w:rFonts w:hint="eastAsia" w:ascii="宋体" w:hAnsi="宋体" w:eastAsia="宋体" w:cs="宋体"/>
          <w:sz w:val="21"/>
          <w:szCs w:val="21"/>
        </w:rPr>
        <w:fldChar w:fldCharType="end"/>
      </w:r>
      <w:r>
        <w:rPr>
          <w:rFonts w:hint="eastAsia" w:ascii="宋体" w:hAnsi="宋体" w:eastAsia="宋体" w:cs="宋体"/>
          <w:sz w:val="21"/>
          <w:szCs w:val="21"/>
        </w:rPr>
        <w:t>该区水流指示器是否动作，动作时消防控制中心能否收到其报警信号并显示所在位置；</w:t>
      </w:r>
    </w:p>
    <w:p>
      <w:pPr>
        <w:spacing w:line="400" w:lineRule="exact"/>
        <w:ind w:left="42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2 \* GB3 </w:instrText>
      </w:r>
      <w:r>
        <w:rPr>
          <w:rFonts w:hint="eastAsia" w:ascii="宋体" w:hAnsi="宋体" w:eastAsia="宋体" w:cs="宋体"/>
          <w:sz w:val="21"/>
          <w:szCs w:val="21"/>
        </w:rPr>
        <w:fldChar w:fldCharType="separate"/>
      </w:r>
      <w:r>
        <w:rPr>
          <w:rFonts w:hint="eastAsia" w:ascii="宋体" w:hAnsi="宋体" w:eastAsia="宋体" w:cs="宋体"/>
          <w:sz w:val="21"/>
          <w:szCs w:val="21"/>
        </w:rPr>
        <w:t>②</w:t>
      </w:r>
      <w:r>
        <w:rPr>
          <w:rFonts w:hint="eastAsia" w:ascii="宋体" w:hAnsi="宋体" w:eastAsia="宋体" w:cs="宋体"/>
          <w:sz w:val="21"/>
          <w:szCs w:val="21"/>
        </w:rPr>
        <w:fldChar w:fldCharType="end"/>
      </w:r>
      <w:r>
        <w:rPr>
          <w:rFonts w:hint="eastAsia" w:ascii="宋体" w:hAnsi="宋体" w:eastAsia="宋体" w:cs="宋体"/>
          <w:sz w:val="21"/>
          <w:szCs w:val="21"/>
        </w:rPr>
        <w:t>该区对应的湿式报警阀是否动作，动作延时时间是否正常；</w:t>
      </w:r>
    </w:p>
    <w:p>
      <w:pPr>
        <w:spacing w:line="400" w:lineRule="exact"/>
        <w:ind w:left="42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3 \* GB3 </w:instrText>
      </w:r>
      <w:r>
        <w:rPr>
          <w:rFonts w:hint="eastAsia" w:ascii="宋体" w:hAnsi="宋体" w:eastAsia="宋体" w:cs="宋体"/>
          <w:sz w:val="21"/>
          <w:szCs w:val="21"/>
        </w:rPr>
        <w:fldChar w:fldCharType="separate"/>
      </w:r>
      <w:r>
        <w:rPr>
          <w:rFonts w:hint="eastAsia" w:ascii="宋体" w:hAnsi="宋体" w:eastAsia="宋体" w:cs="宋体"/>
          <w:sz w:val="21"/>
          <w:szCs w:val="21"/>
        </w:rPr>
        <w:t>③</w:t>
      </w:r>
      <w:r>
        <w:rPr>
          <w:rFonts w:hint="eastAsia" w:ascii="宋体" w:hAnsi="宋体" w:eastAsia="宋体" w:cs="宋体"/>
          <w:sz w:val="21"/>
          <w:szCs w:val="21"/>
        </w:rPr>
        <w:fldChar w:fldCharType="end"/>
      </w:r>
      <w:r>
        <w:rPr>
          <w:rFonts w:hint="eastAsia" w:ascii="宋体" w:hAnsi="宋体" w:eastAsia="宋体" w:cs="宋体"/>
          <w:sz w:val="21"/>
          <w:szCs w:val="21"/>
        </w:rPr>
        <w:t>湿式报警阀动作时，水力警铃是否报警，铃声是否响亮，能否达到报警效果；</w:t>
      </w:r>
    </w:p>
    <w:p>
      <w:pPr>
        <w:spacing w:line="400" w:lineRule="exact"/>
        <w:ind w:left="420"/>
        <w:rPr>
          <w:rFonts w:hint="eastAsia" w:ascii="宋体" w:hAnsi="宋体" w:eastAsia="宋体" w:cs="宋体"/>
          <w:sz w:val="21"/>
          <w:szCs w:val="21"/>
        </w:rPr>
      </w:pPr>
      <w:r>
        <w:rPr>
          <w:rFonts w:hint="eastAsia" w:ascii="宋体" w:hAnsi="宋体" w:eastAsia="宋体" w:cs="宋体"/>
          <w:sz w:val="21"/>
          <w:szCs w:val="21"/>
        </w:rPr>
        <w:t>④湿式报警阀动作时，压力开关是否动作，动作时消防控制中心能否收到其报警信号并显示所在位置；</w:t>
      </w:r>
    </w:p>
    <w:p>
      <w:pPr>
        <w:spacing w:line="400" w:lineRule="exact"/>
        <w:ind w:left="420"/>
        <w:rPr>
          <w:rFonts w:hint="eastAsia" w:ascii="宋体" w:hAnsi="宋体" w:eastAsia="宋体" w:cs="宋体"/>
          <w:sz w:val="21"/>
          <w:szCs w:val="21"/>
        </w:rPr>
      </w:pPr>
      <w:r>
        <w:rPr>
          <w:rFonts w:hint="eastAsia" w:ascii="宋体" w:hAnsi="宋体" w:eastAsia="宋体" w:cs="宋体"/>
          <w:sz w:val="21"/>
          <w:szCs w:val="21"/>
        </w:rPr>
        <w:t>⑤主泵和备用泵的切换情况。</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室内外消火栓系统</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3.1.检查消火栓箱是否变形、损伤，周围有无障碍物(每月)；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3.2.检查箱内水带是否潮湿、霉烂、破损。潮湿的水带取出晾晒，霉烂和破损的水带报请甲方更换(每月)；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3.3.检查箱内水枪内是否有杂物，消火栓水带水枪接口处的密封垫是否老化，卷盘是否有漏水现象(每月)；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3.4.检查减压阀高、低压端压力表读数是否处于正常范围(每月)；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3.5.检查消火栓管道上各阀门是否处于正确的位置，管道接口及阀门是否有漏水和锈蚀现象(每月)；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3.6.检查贮水池储水量是否满足要求(每月)；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3.7.每月启动各台消火栓泵，每次试验运行5-10分钟。试验完毕后，在最不利点的消火栓放水，观察其出水压力及流量是否足够(每月)；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3.8.检查消火泵启动时，消防控制中心能否显示其动作信号。自动状态时，消防控制中心能否控制其启动和停止，并检查主泵和备用泵的切换情况(每月)；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3.9.定期清洗减压阀、过滤器、止回阀(每月)；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3.10.检查消防火栓水泵接合器，保证接口完好、无渗漏，检查密封垫是否老化(每月)；</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3.11. 定期给水泵添加润滑油(半年)。</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应急照明及疏散指示系统</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4.1.检查应急灯在平时作照明使用时光管是否完好，火灾时能否自动切换成应急照明(每月)；</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4.2.检查出口疏导指示灯是否齐全，外形有无破损，发光是否正常。(每月)；</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4.3.检查出口疏导指示灯充电是否正常，按下试验按钮能否转换亮灯。(每月)；</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4.4.模拟火灾切断市电，检查疏导灯能否亮灯(每月)；</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4.5.应急照明灯和疏导指示灯应定期对其电池进行放电一次(每月)；</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4.6.对检查有问题的应急照明灯和疏导指示灯，作维修处理，需要更换元器件的提出申请并附元器件清单；</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4.7.每月对应急照明灯和疏导指示灯进行外观检查，保证灯具外观清洁，无灰尘杂物。</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火灾事故广播、电话系统</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5.1.每月检查消防事故广播机的运行状态和功能测试；</w:t>
      </w:r>
    </w:p>
    <w:p>
      <w:pPr>
        <w:tabs>
          <w:tab w:val="left" w:pos="420"/>
          <w:tab w:val="left" w:pos="630"/>
        </w:tabs>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5.2.每月抽查50%的楼层扬声器进行报火警试验，检查其声压级是否符合要求；</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5.3.每月检查消防电话机的运行状态和各功能测试；</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5.4.每季对备用电源进行1~2次充放电试验。</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本部大楼（含主楼和副楼）及德冠仓库手提式/移动式/悬挂式灭火器检查保养</w:t>
      </w:r>
    </w:p>
    <w:p>
      <w:pPr>
        <w:tabs>
          <w:tab w:val="left" w:pos="1410"/>
        </w:tabs>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6.1.每月外观检查灭火器压力情况；</w:t>
      </w:r>
    </w:p>
    <w:p>
      <w:pPr>
        <w:tabs>
          <w:tab w:val="left" w:pos="1410"/>
        </w:tabs>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6.2.定期进行实际称重；</w:t>
      </w:r>
    </w:p>
    <w:p>
      <w:pPr>
        <w:tabs>
          <w:tab w:val="left" w:pos="1410"/>
        </w:tabs>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6.3.定期进行外观清洁。</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消防防排烟系统</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7.1</w:t>
      </w:r>
      <w:r>
        <w:rPr>
          <w:rFonts w:hint="eastAsia" w:ascii="宋体" w:hAnsi="宋体" w:eastAsia="宋体" w:cs="宋体"/>
          <w:sz w:val="21"/>
          <w:szCs w:val="21"/>
        </w:rPr>
        <w:t>.</w:t>
      </w:r>
      <w:r>
        <w:rPr>
          <w:rFonts w:hint="eastAsia" w:ascii="宋体" w:hAnsi="宋体" w:eastAsia="宋体" w:cs="宋体"/>
          <w:bCs/>
          <w:sz w:val="21"/>
          <w:szCs w:val="21"/>
        </w:rPr>
        <w:t>每月检查送风（排烟）口有无变形、损伤，周围有无影响使用的障碍。</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7.2</w:t>
      </w:r>
      <w:r>
        <w:rPr>
          <w:rFonts w:hint="eastAsia" w:ascii="宋体" w:hAnsi="宋体" w:eastAsia="宋体" w:cs="宋体"/>
          <w:sz w:val="21"/>
          <w:szCs w:val="21"/>
        </w:rPr>
        <w:t>.</w:t>
      </w:r>
      <w:r>
        <w:rPr>
          <w:rFonts w:hint="eastAsia" w:ascii="宋体" w:hAnsi="宋体" w:eastAsia="宋体" w:cs="宋体"/>
          <w:bCs/>
          <w:sz w:val="21"/>
          <w:szCs w:val="21"/>
        </w:rPr>
        <w:t>每月检查风机与风口连接部位的法兰有无损伤，螺栓是否松动。</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7.3</w:t>
      </w:r>
      <w:r>
        <w:rPr>
          <w:rFonts w:hint="eastAsia" w:ascii="宋体" w:hAnsi="宋体" w:eastAsia="宋体" w:cs="宋体"/>
          <w:sz w:val="21"/>
          <w:szCs w:val="21"/>
        </w:rPr>
        <w:t>.</w:t>
      </w:r>
      <w:r>
        <w:rPr>
          <w:rFonts w:hint="eastAsia" w:ascii="宋体" w:hAnsi="宋体" w:eastAsia="宋体" w:cs="宋体"/>
          <w:bCs/>
          <w:sz w:val="21"/>
          <w:szCs w:val="21"/>
        </w:rPr>
        <w:t>每月检查送风机周围有无可燃物，安装螺栓是否松动、损伤。</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7.4</w:t>
      </w:r>
      <w:r>
        <w:rPr>
          <w:rFonts w:hint="eastAsia" w:ascii="宋体" w:hAnsi="宋体" w:eastAsia="宋体" w:cs="宋体"/>
          <w:sz w:val="21"/>
          <w:szCs w:val="21"/>
        </w:rPr>
        <w:t>.</w:t>
      </w:r>
      <w:r>
        <w:rPr>
          <w:rFonts w:hint="eastAsia" w:ascii="宋体" w:hAnsi="宋体" w:eastAsia="宋体" w:cs="宋体"/>
          <w:bCs/>
          <w:sz w:val="21"/>
          <w:szCs w:val="21"/>
        </w:rPr>
        <w:t>每月检查风机控制箱电源电压情况及指示灯显示是否正常，点动各台风机，检查起动和停止按钮控制是否正常。</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7.5</w:t>
      </w:r>
      <w:r>
        <w:rPr>
          <w:rFonts w:hint="eastAsia" w:ascii="宋体" w:hAnsi="宋体" w:eastAsia="宋体" w:cs="宋体"/>
          <w:sz w:val="21"/>
          <w:szCs w:val="21"/>
        </w:rPr>
        <w:t>.</w:t>
      </w:r>
      <w:r>
        <w:rPr>
          <w:rFonts w:hint="eastAsia" w:ascii="宋体" w:hAnsi="宋体" w:eastAsia="宋体" w:cs="宋体"/>
          <w:bCs/>
          <w:sz w:val="21"/>
          <w:szCs w:val="21"/>
        </w:rPr>
        <w:t>每月对系统进行模拟火警的动作试验，检查下列事项：</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 1 \* GB3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①</w:t>
      </w:r>
      <w:r>
        <w:rPr>
          <w:rFonts w:hint="eastAsia" w:ascii="宋体" w:hAnsi="宋体" w:eastAsia="宋体" w:cs="宋体"/>
          <w:bCs/>
          <w:sz w:val="21"/>
          <w:szCs w:val="21"/>
        </w:rPr>
        <w:fldChar w:fldCharType="end"/>
      </w:r>
      <w:r>
        <w:rPr>
          <w:rFonts w:hint="eastAsia" w:ascii="宋体" w:hAnsi="宋体" w:eastAsia="宋体" w:cs="宋体"/>
          <w:bCs/>
          <w:sz w:val="21"/>
          <w:szCs w:val="21"/>
        </w:rPr>
        <w:t xml:space="preserve"> 送风阀（排烟阀）能否开启，消防中心能否显示其动作信号；</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 2 \* GB3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②</w:t>
      </w:r>
      <w:r>
        <w:rPr>
          <w:rFonts w:hint="eastAsia" w:ascii="宋体" w:hAnsi="宋体" w:eastAsia="宋体" w:cs="宋体"/>
          <w:bCs/>
          <w:sz w:val="21"/>
          <w:szCs w:val="21"/>
        </w:rPr>
        <w:fldChar w:fldCharType="end"/>
      </w:r>
      <w:r>
        <w:rPr>
          <w:rFonts w:hint="eastAsia" w:ascii="宋体" w:hAnsi="宋体" w:eastAsia="宋体" w:cs="宋体"/>
          <w:bCs/>
          <w:sz w:val="21"/>
          <w:szCs w:val="21"/>
        </w:rPr>
        <w:t xml:space="preserve"> 风机能否开启，消防中心能否显示其动作信号；</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 3 \* GB3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③</w:t>
      </w:r>
      <w:r>
        <w:rPr>
          <w:rFonts w:hint="eastAsia" w:ascii="宋体" w:hAnsi="宋体" w:eastAsia="宋体" w:cs="宋体"/>
          <w:bCs/>
          <w:sz w:val="21"/>
          <w:szCs w:val="21"/>
        </w:rPr>
        <w:fldChar w:fldCharType="end"/>
      </w:r>
      <w:r>
        <w:rPr>
          <w:rFonts w:hint="eastAsia" w:ascii="宋体" w:hAnsi="宋体" w:eastAsia="宋体" w:cs="宋体"/>
          <w:bCs/>
          <w:sz w:val="21"/>
          <w:szCs w:val="21"/>
        </w:rPr>
        <w:t xml:space="preserve"> 在送风阀（排烟阀）开启部位检查风量是否足够。</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 4 \* GB3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④</w:t>
      </w:r>
      <w:r>
        <w:rPr>
          <w:rFonts w:hint="eastAsia" w:ascii="宋体" w:hAnsi="宋体" w:eastAsia="宋体" w:cs="宋体"/>
          <w:bCs/>
          <w:sz w:val="21"/>
          <w:szCs w:val="21"/>
        </w:rPr>
        <w:fldChar w:fldCharType="end"/>
      </w:r>
      <w:r>
        <w:rPr>
          <w:rFonts w:hint="eastAsia" w:ascii="宋体" w:hAnsi="宋体" w:eastAsia="宋体" w:cs="宋体"/>
          <w:bCs/>
          <w:sz w:val="21"/>
          <w:szCs w:val="21"/>
        </w:rPr>
        <w:t xml:space="preserve"> 轴承转动是否需加润滑油。</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气体自动灭火系统</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8.1</w:t>
      </w:r>
      <w:r>
        <w:rPr>
          <w:rFonts w:hint="eastAsia" w:ascii="宋体" w:hAnsi="宋体" w:eastAsia="宋体" w:cs="宋体"/>
          <w:sz w:val="21"/>
          <w:szCs w:val="21"/>
        </w:rPr>
        <w:t>.</w:t>
      </w:r>
      <w:r>
        <w:rPr>
          <w:rFonts w:hint="eastAsia" w:ascii="宋体" w:hAnsi="宋体" w:eastAsia="宋体" w:cs="宋体"/>
          <w:bCs/>
          <w:sz w:val="21"/>
          <w:szCs w:val="21"/>
        </w:rPr>
        <w:t>每月检查和试验烟感火灾报警系统下列功能：</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 1 \* GB3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①</w:t>
      </w:r>
      <w:r>
        <w:rPr>
          <w:rFonts w:hint="eastAsia" w:ascii="宋体" w:hAnsi="宋体" w:eastAsia="宋体" w:cs="宋体"/>
          <w:bCs/>
          <w:sz w:val="21"/>
          <w:szCs w:val="21"/>
        </w:rPr>
        <w:fldChar w:fldCharType="end"/>
      </w:r>
      <w:r>
        <w:rPr>
          <w:rFonts w:hint="eastAsia" w:ascii="宋体" w:hAnsi="宋体" w:eastAsia="宋体" w:cs="宋体"/>
          <w:bCs/>
          <w:sz w:val="21"/>
          <w:szCs w:val="21"/>
        </w:rPr>
        <w:t xml:space="preserve"> 检查报警控制器的自检、巡检功能是否正常，同时检查消音、复位、故障报警等功能是否正常。对备用电源进行充放电试验及自动切换试验；</w:t>
      </w:r>
    </w:p>
    <w:p>
      <w:pPr>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 2 \* GB3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②</w:t>
      </w:r>
      <w:r>
        <w:rPr>
          <w:rFonts w:hint="eastAsia" w:ascii="宋体" w:hAnsi="宋体" w:eastAsia="宋体" w:cs="宋体"/>
          <w:bCs/>
          <w:sz w:val="21"/>
          <w:szCs w:val="21"/>
        </w:rPr>
        <w:fldChar w:fldCharType="end"/>
      </w:r>
      <w:r>
        <w:rPr>
          <w:rFonts w:hint="eastAsia" w:ascii="宋体" w:hAnsi="宋体" w:eastAsia="宋体" w:cs="宋体"/>
          <w:bCs/>
          <w:sz w:val="21"/>
          <w:szCs w:val="21"/>
        </w:rPr>
        <w:t xml:space="preserve"> 对火灾探测器进行抽查模拟火警测试，检查报警控制器的动作功能。</w:t>
      </w:r>
    </w:p>
    <w:p>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8.2</w:t>
      </w:r>
      <w:r>
        <w:rPr>
          <w:rFonts w:hint="eastAsia" w:ascii="宋体" w:hAnsi="宋体" w:eastAsia="宋体" w:cs="宋体"/>
          <w:sz w:val="21"/>
          <w:szCs w:val="21"/>
        </w:rPr>
        <w:t>.</w:t>
      </w:r>
      <w:r>
        <w:rPr>
          <w:rFonts w:hint="eastAsia" w:ascii="宋体" w:hAnsi="宋体" w:eastAsia="宋体" w:cs="宋体"/>
          <w:bCs/>
          <w:sz w:val="21"/>
          <w:szCs w:val="21"/>
        </w:rPr>
        <w:t>每月对瓶组组件进行外观检查，系统组件应无碰撞变形及其他机械损伤，表面应无锈蚀，保护涂层应完好，铭牌应清晰。</w:t>
      </w:r>
    </w:p>
    <w:p>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8.3</w:t>
      </w:r>
      <w:r>
        <w:rPr>
          <w:rFonts w:hint="eastAsia" w:ascii="宋体" w:hAnsi="宋体" w:eastAsia="宋体" w:cs="宋体"/>
          <w:sz w:val="21"/>
          <w:szCs w:val="21"/>
        </w:rPr>
        <w:t>.</w:t>
      </w:r>
      <w:r>
        <w:rPr>
          <w:rFonts w:hint="eastAsia" w:ascii="宋体" w:hAnsi="宋体" w:eastAsia="宋体" w:cs="宋体"/>
          <w:bCs/>
          <w:sz w:val="21"/>
          <w:szCs w:val="21"/>
        </w:rPr>
        <w:t>每月检查气体驱动瓶的压力值是否满足使用要求。</w:t>
      </w:r>
    </w:p>
    <w:p>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8.4</w:t>
      </w:r>
      <w:r>
        <w:rPr>
          <w:rFonts w:hint="eastAsia" w:ascii="宋体" w:hAnsi="宋体" w:eastAsia="宋体" w:cs="宋体"/>
          <w:sz w:val="21"/>
          <w:szCs w:val="21"/>
        </w:rPr>
        <w:t>.</w:t>
      </w:r>
      <w:r>
        <w:rPr>
          <w:rFonts w:hint="eastAsia" w:ascii="宋体" w:hAnsi="宋体" w:eastAsia="宋体" w:cs="宋体"/>
          <w:bCs/>
          <w:sz w:val="21"/>
          <w:szCs w:val="21"/>
        </w:rPr>
        <w:t>电磁阀每季度应作启动试验，动作失常时应及时报请更换。</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kern w:val="0"/>
          <w:sz w:val="21"/>
          <w:szCs w:val="21"/>
        </w:rPr>
        <w:t>更换喷淋系统水泵控制柜</w:t>
      </w:r>
    </w:p>
    <w:p>
      <w:pPr>
        <w:spacing w:line="440" w:lineRule="exact"/>
        <w:ind w:left="400"/>
        <w:rPr>
          <w:rFonts w:hint="eastAsia" w:ascii="宋体" w:hAnsi="宋体" w:eastAsia="宋体" w:cs="宋体"/>
          <w:bCs/>
          <w:sz w:val="21"/>
          <w:szCs w:val="21"/>
        </w:rPr>
      </w:pPr>
      <w:r>
        <w:rPr>
          <w:rFonts w:hint="eastAsia" w:ascii="宋体" w:hAnsi="宋体" w:eastAsia="宋体" w:cs="宋体"/>
          <w:bCs/>
          <w:sz w:val="21"/>
          <w:szCs w:val="21"/>
        </w:rPr>
        <w:t>9.1.更换的喷淋系统水泵控制柜为近12个月内原厂制造的全新合格产品，且有合法透明的来源渠道，设备须无污染、无侵权行为、表面无划损、无任何缺陷隐患，可依常规合法安全使用。</w:t>
      </w:r>
    </w:p>
    <w:p>
      <w:pPr>
        <w:spacing w:line="440" w:lineRule="exact"/>
        <w:ind w:left="400"/>
        <w:rPr>
          <w:rFonts w:hint="eastAsia" w:ascii="宋体" w:hAnsi="宋体" w:eastAsia="宋体" w:cs="宋体"/>
          <w:bCs/>
          <w:sz w:val="21"/>
          <w:szCs w:val="21"/>
        </w:rPr>
      </w:pPr>
      <w:r>
        <w:rPr>
          <w:rFonts w:hint="eastAsia" w:ascii="宋体" w:hAnsi="宋体" w:eastAsia="宋体" w:cs="宋体"/>
          <w:bCs/>
          <w:sz w:val="21"/>
          <w:szCs w:val="21"/>
        </w:rPr>
        <w:t>9.2. 质量保证期（简称“质保期”）：更换验收合格之日起【1】年。</w:t>
      </w:r>
    </w:p>
    <w:p>
      <w:pPr>
        <w:spacing w:line="440" w:lineRule="exact"/>
        <w:ind w:left="400"/>
        <w:rPr>
          <w:rFonts w:hint="eastAsia" w:ascii="宋体" w:hAnsi="宋体" w:eastAsia="宋体" w:cs="宋体"/>
          <w:bCs/>
          <w:sz w:val="21"/>
          <w:szCs w:val="21"/>
        </w:rPr>
      </w:pPr>
      <w:r>
        <w:rPr>
          <w:rFonts w:hint="eastAsia" w:ascii="宋体" w:hAnsi="宋体" w:eastAsia="宋体" w:cs="宋体"/>
          <w:bCs/>
          <w:sz w:val="21"/>
          <w:szCs w:val="21"/>
        </w:rPr>
        <w:t>9.3. 质保期内，对保修范围内的保修服务所发生的全部物质损耗和人员费用，均由乙方予以承担。乙方未及时承担保修责任的，甲方有权采用其他渠道和方式对相关设备进行维修、补正，由此产生的费用由乙方承担。</w:t>
      </w:r>
    </w:p>
    <w:p>
      <w:pPr>
        <w:numPr>
          <w:ilvl w:val="0"/>
          <w:numId w:val="32"/>
        </w:numPr>
        <w:spacing w:line="440" w:lineRule="exact"/>
        <w:rPr>
          <w:rFonts w:hint="eastAsia" w:ascii="宋体" w:hAnsi="宋体" w:eastAsia="宋体" w:cs="宋体"/>
          <w:b/>
          <w:bCs/>
          <w:sz w:val="21"/>
          <w:szCs w:val="21"/>
        </w:rPr>
      </w:pPr>
      <w:r>
        <w:rPr>
          <w:rFonts w:hint="eastAsia" w:ascii="宋体" w:hAnsi="宋体" w:eastAsia="宋体" w:cs="宋体"/>
          <w:b/>
          <w:bCs/>
          <w:sz w:val="21"/>
          <w:szCs w:val="21"/>
        </w:rPr>
        <w:t>其他要求：</w:t>
      </w:r>
    </w:p>
    <w:p>
      <w:pPr>
        <w:spacing w:line="440" w:lineRule="exact"/>
        <w:ind w:left="400"/>
        <w:rPr>
          <w:rFonts w:hint="eastAsia" w:ascii="宋体" w:hAnsi="宋体" w:eastAsia="宋体" w:cs="宋体"/>
          <w:sz w:val="21"/>
          <w:szCs w:val="21"/>
        </w:rPr>
      </w:pPr>
      <w:r>
        <w:rPr>
          <w:rFonts w:hint="eastAsia" w:ascii="宋体" w:hAnsi="宋体" w:eastAsia="宋体" w:cs="宋体"/>
          <w:sz w:val="21"/>
          <w:szCs w:val="21"/>
        </w:rPr>
        <w:t>10.1乙方每月至少安排3位技术人员对消防系统进行定期检测和保养，其中项目负责人1名须持有一级注册消防工程师证书和高级工程师职称证书，维保技术员2名须持消防设施操作员职业资格证书。（乙方签订合同前向甲方提供人员职称证书）。</w:t>
      </w:r>
    </w:p>
    <w:p>
      <w:pPr>
        <w:spacing w:line="440" w:lineRule="exact"/>
        <w:ind w:left="400"/>
        <w:rPr>
          <w:rFonts w:hint="eastAsia" w:ascii="宋体" w:hAnsi="宋体" w:eastAsia="宋体" w:cs="宋体"/>
          <w:sz w:val="21"/>
          <w:szCs w:val="21"/>
        </w:rPr>
      </w:pPr>
      <w:r>
        <w:rPr>
          <w:rFonts w:hint="eastAsia" w:ascii="宋体" w:hAnsi="宋体" w:eastAsia="宋体" w:cs="宋体"/>
          <w:sz w:val="21"/>
          <w:szCs w:val="21"/>
        </w:rPr>
        <w:t>10.2消防设施出现故障，乙方接到甲方报修后，一般故障8小时内完成，需更换部件的经甲方同意后，24小时内完成。</w:t>
      </w:r>
    </w:p>
    <w:p>
      <w:pPr>
        <w:spacing w:line="440" w:lineRule="exact"/>
        <w:ind w:left="400"/>
        <w:rPr>
          <w:rFonts w:hint="eastAsia" w:ascii="宋体" w:hAnsi="宋体" w:eastAsia="宋体" w:cs="宋体"/>
          <w:sz w:val="21"/>
          <w:szCs w:val="21"/>
        </w:rPr>
      </w:pPr>
      <w:r>
        <w:rPr>
          <w:rFonts w:hint="eastAsia" w:ascii="宋体" w:hAnsi="宋体" w:eastAsia="宋体" w:cs="宋体"/>
          <w:sz w:val="21"/>
          <w:szCs w:val="21"/>
        </w:rPr>
        <w:t>10.3乙方每年对消防系统进行一次综合实验，出具检测报告。</w:t>
      </w:r>
    </w:p>
    <w:p>
      <w:pPr>
        <w:pStyle w:val="6"/>
        <w:spacing w:line="360" w:lineRule="auto"/>
        <w:rPr>
          <w:rFonts w:hint="eastAsia" w:ascii="宋体" w:hAnsi="宋体" w:cs="宋体"/>
          <w:szCs w:val="21"/>
        </w:rPr>
      </w:pPr>
      <w:r>
        <w:rPr>
          <w:rFonts w:hint="eastAsia" w:ascii="宋体" w:hAnsi="宋体" w:eastAsia="宋体" w:cs="宋体"/>
          <w:sz w:val="21"/>
          <w:szCs w:val="21"/>
        </w:rPr>
        <w:t>10.4乙方每年免费提供一次不带营销性质的消防应急演练培训</w:t>
      </w:r>
      <w:r>
        <w:rPr>
          <w:rFonts w:hint="eastAsia" w:ascii="宋体" w:hAnsi="宋体" w:cs="宋体"/>
          <w:szCs w:val="21"/>
        </w:rPr>
        <w:t>及每年组织一次消防安全培训，成交人需安排相关消防经验讲师给采购人进行培训。</w:t>
      </w:r>
      <w:r>
        <w:rPr>
          <w:rFonts w:hint="eastAsia" w:ascii="宋体" w:hAnsi="宋体" w:eastAsia="宋体" w:cs="宋体"/>
          <w:sz w:val="21"/>
          <w:szCs w:val="21"/>
        </w:rPr>
        <w:t>通过消防应急演练培训</w:t>
      </w:r>
      <w:r>
        <w:rPr>
          <w:rFonts w:hint="eastAsia" w:ascii="宋体" w:hAnsi="宋体" w:cs="宋体"/>
          <w:szCs w:val="21"/>
        </w:rPr>
        <w:t>及消防安全培训</w:t>
      </w:r>
      <w:r>
        <w:rPr>
          <w:rFonts w:hint="eastAsia" w:ascii="宋体" w:hAnsi="宋体" w:eastAsia="宋体" w:cs="宋体"/>
          <w:sz w:val="21"/>
          <w:szCs w:val="21"/>
        </w:rPr>
        <w:t>，提高甲方员工消防安全应急意识，让甲方员工熟悉办公大楼的消防逃生路线、掌握正确逃生的方法，学会正确使用灭火器材，以此提高甲方员工遇到火灾突发事件时的应变能力。</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违约责任</w:t>
      </w:r>
    </w:p>
    <w:p>
      <w:pPr>
        <w:numPr>
          <w:ilvl w:val="0"/>
          <w:numId w:val="33"/>
        </w:numPr>
        <w:spacing w:line="360" w:lineRule="auto"/>
        <w:jc w:val="left"/>
        <w:rPr>
          <w:rFonts w:hint="eastAsia" w:ascii="宋体" w:hAnsi="宋体" w:eastAsia="宋体" w:cs="宋体"/>
          <w:sz w:val="21"/>
          <w:szCs w:val="21"/>
        </w:rPr>
      </w:pPr>
      <w:r>
        <w:rPr>
          <w:rFonts w:hint="eastAsia" w:ascii="宋体" w:hAnsi="宋体" w:eastAsia="宋体" w:cs="宋体"/>
          <w:sz w:val="21"/>
          <w:szCs w:val="21"/>
        </w:rPr>
        <w:t>乙方逾期提供维保服务或未按要求履行合同义务时，从乙方违约之日起，乙方每日须向甲方支付合同总额万分之五的违约金；乙方逾期提供服务达15日以上时或未按合同约定提供服务导致甲方受损时，甲方有权单方面终止终止合同，由此造成甲方的损失由乙方承担，且乙方须另外向甲方支付合同总额的10%违约金。</w:t>
      </w:r>
    </w:p>
    <w:p>
      <w:pPr>
        <w:numPr>
          <w:ilvl w:val="0"/>
          <w:numId w:val="33"/>
        </w:numPr>
        <w:spacing w:line="360" w:lineRule="auto"/>
        <w:jc w:val="left"/>
        <w:rPr>
          <w:rFonts w:hint="eastAsia" w:ascii="宋体" w:hAnsi="宋体" w:eastAsia="宋体" w:cs="宋体"/>
          <w:sz w:val="21"/>
          <w:szCs w:val="21"/>
        </w:rPr>
      </w:pPr>
      <w:r>
        <w:rPr>
          <w:rFonts w:hint="eastAsia" w:ascii="宋体" w:hAnsi="宋体" w:eastAsia="宋体" w:cs="宋体"/>
          <w:sz w:val="21"/>
          <w:szCs w:val="21"/>
        </w:rPr>
        <w:t>甲方应按本合同规定的金额和日期向乙方支付合同价款，每逾期支付一天，须承担应支付金额万分之五的逾期违约金。</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争议解决条款</w:t>
      </w:r>
    </w:p>
    <w:p>
      <w:pPr>
        <w:spacing w:line="360" w:lineRule="auto"/>
        <w:ind w:firstLine="420"/>
        <w:jc w:val="left"/>
        <w:rPr>
          <w:rFonts w:hint="eastAsia" w:ascii="宋体" w:hAnsi="宋体" w:eastAsia="宋体" w:cs="宋体"/>
          <w:sz w:val="21"/>
          <w:szCs w:val="21"/>
        </w:rPr>
      </w:pPr>
      <w:r>
        <w:rPr>
          <w:rFonts w:hint="eastAsia" w:ascii="宋体" w:hAnsi="宋体" w:eastAsia="宋体" w:cs="宋体"/>
          <w:sz w:val="21"/>
          <w:szCs w:val="21"/>
        </w:rPr>
        <w:t>履行本协议期间发生争议时，双方应先友好协商解决；协商不成，任何一方均可向甲方所在地人民法院提起诉讼。</w:t>
      </w:r>
    </w:p>
    <w:p>
      <w:pPr>
        <w:numPr>
          <w:ilvl w:val="0"/>
          <w:numId w:val="29"/>
        </w:numPr>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合同生效及其他</w:t>
      </w:r>
    </w:p>
    <w:p>
      <w:pPr>
        <w:numPr>
          <w:ilvl w:val="0"/>
          <w:numId w:val="34"/>
        </w:numPr>
        <w:spacing w:line="360" w:lineRule="auto"/>
        <w:jc w:val="left"/>
        <w:rPr>
          <w:rFonts w:hint="eastAsia" w:ascii="宋体" w:hAnsi="宋体" w:eastAsia="宋体" w:cs="宋体"/>
          <w:sz w:val="21"/>
          <w:szCs w:val="21"/>
        </w:rPr>
      </w:pPr>
      <w:r>
        <w:rPr>
          <w:rFonts w:hint="eastAsia" w:ascii="宋体" w:hAnsi="宋体" w:eastAsia="宋体" w:cs="宋体"/>
          <w:sz w:val="21"/>
          <w:szCs w:val="21"/>
        </w:rPr>
        <w:t>本合同自双方签字盖章后生效，共一式肆份，甲方执贰份，乙方执贰份，具有同等法律效力。</w:t>
      </w:r>
    </w:p>
    <w:p>
      <w:pPr>
        <w:numPr>
          <w:ilvl w:val="0"/>
          <w:numId w:val="34"/>
        </w:numPr>
        <w:spacing w:line="360" w:lineRule="auto"/>
        <w:jc w:val="left"/>
        <w:rPr>
          <w:rFonts w:hint="eastAsia" w:ascii="宋体" w:hAnsi="宋体" w:eastAsia="宋体" w:cs="宋体"/>
          <w:sz w:val="21"/>
          <w:szCs w:val="21"/>
        </w:rPr>
      </w:pPr>
      <w:r>
        <w:rPr>
          <w:rFonts w:hint="eastAsia" w:ascii="宋体" w:hAnsi="宋体" w:eastAsia="宋体" w:cs="宋体"/>
          <w:sz w:val="21"/>
          <w:szCs w:val="21"/>
        </w:rPr>
        <w:t>所有经一方或双方签署确认的文件（包括会议纪要、补充协议、往来信函）、甲方采购文件、要约文件和响应承诺文件、合同附件等均为本合同不可分割的有效组成部分，与本合同具有同等的法律效力和履约义务，其缔约生效日期为有效签署或盖章确认之日期。</w:t>
      </w:r>
    </w:p>
    <w:p>
      <w:pPr>
        <w:numPr>
          <w:ilvl w:val="0"/>
          <w:numId w:val="34"/>
        </w:numPr>
        <w:spacing w:line="360" w:lineRule="auto"/>
        <w:jc w:val="left"/>
        <w:rPr>
          <w:rFonts w:hint="eastAsia" w:ascii="宋体" w:hAnsi="宋体" w:eastAsia="宋体" w:cs="宋体"/>
          <w:sz w:val="21"/>
          <w:szCs w:val="21"/>
        </w:rPr>
      </w:pPr>
      <w:r>
        <w:rPr>
          <w:rFonts w:hint="eastAsia" w:ascii="宋体" w:hAnsi="宋体" w:eastAsia="宋体" w:cs="宋体"/>
          <w:sz w:val="21"/>
          <w:szCs w:val="21"/>
        </w:rPr>
        <w:t>有关本合同条款的修改、补充和变更，均应以书面形式进行，经双方签名、加盖单位公章后生效，但所有补充合同的采购金额不得超过本合同采购金额的百分之十，超过的部分无效。</w:t>
      </w:r>
    </w:p>
    <w:p>
      <w:pPr>
        <w:numPr>
          <w:ilvl w:val="0"/>
          <w:numId w:val="34"/>
        </w:numPr>
        <w:spacing w:line="360" w:lineRule="auto"/>
        <w:jc w:val="left"/>
        <w:rPr>
          <w:rFonts w:hint="eastAsia" w:ascii="宋体" w:hAnsi="宋体" w:eastAsia="宋体" w:cs="宋体"/>
          <w:sz w:val="21"/>
          <w:szCs w:val="21"/>
        </w:rPr>
      </w:pPr>
      <w:r>
        <w:rPr>
          <w:rFonts w:hint="eastAsia" w:ascii="宋体" w:hAnsi="宋体" w:eastAsia="宋体" w:cs="宋体"/>
          <w:sz w:val="21"/>
          <w:szCs w:val="21"/>
        </w:rPr>
        <w:t>本合同签约履约地点：广东省佛山市。</w:t>
      </w:r>
    </w:p>
    <w:p>
      <w:pPr>
        <w:numPr>
          <w:ilvl w:val="0"/>
          <w:numId w:val="34"/>
        </w:numPr>
        <w:spacing w:line="360" w:lineRule="auto"/>
        <w:jc w:val="left"/>
        <w:rPr>
          <w:rFonts w:hint="eastAsia" w:ascii="宋体" w:hAnsi="宋体" w:eastAsia="宋体" w:cs="宋体"/>
          <w:bCs/>
          <w:sz w:val="21"/>
          <w:szCs w:val="21"/>
        </w:rPr>
      </w:pPr>
      <w:r>
        <w:rPr>
          <w:rFonts w:hint="eastAsia" w:ascii="宋体" w:hAnsi="宋体" w:eastAsia="宋体" w:cs="宋体"/>
          <w:sz w:val="21"/>
          <w:szCs w:val="21"/>
        </w:rPr>
        <w:t>双方均已对以上各条款及附件作充分了解，并明确理解由此而产生的相关权责。</w:t>
      </w:r>
    </w:p>
    <w:p>
      <w:pPr>
        <w:spacing w:line="360" w:lineRule="auto"/>
        <w:ind w:firstLine="420" w:firstLineChars="200"/>
        <w:jc w:val="left"/>
        <w:rPr>
          <w:rFonts w:hint="eastAsia" w:ascii="宋体" w:hAnsi="宋体" w:eastAsia="宋体" w:cs="宋体"/>
          <w:b/>
          <w:color w:val="0000FF"/>
          <w:sz w:val="21"/>
          <w:szCs w:val="21"/>
        </w:rPr>
      </w:pPr>
      <w:r>
        <w:rPr>
          <w:rFonts w:hint="eastAsia" w:ascii="宋体" w:hAnsi="宋体" w:eastAsia="宋体" w:cs="宋体"/>
          <w:bCs/>
          <w:sz w:val="21"/>
          <w:szCs w:val="21"/>
        </w:rPr>
        <w:t>附件：顺德分公司本部大楼消防维护保养服务评分表</w:t>
      </w:r>
    </w:p>
    <w:p>
      <w:pPr>
        <w:rPr>
          <w:rFonts w:ascii="仿宋" w:hAnsi="仿宋" w:eastAsia="仿宋" w:cs="仿宋"/>
          <w:b/>
          <w:sz w:val="24"/>
        </w:rPr>
      </w:pPr>
    </w:p>
    <w:p>
      <w:pPr>
        <w:rPr>
          <w:rFonts w:hint="eastAsia" w:ascii="宋体" w:hAnsi="宋体" w:eastAsia="宋体" w:cs="宋体"/>
          <w:b/>
          <w:sz w:val="21"/>
          <w:szCs w:val="21"/>
        </w:rPr>
      </w:pPr>
      <w:r>
        <w:rPr>
          <w:rFonts w:hint="eastAsia" w:ascii="宋体" w:hAnsi="宋体" w:eastAsia="宋体" w:cs="宋体"/>
          <w:b/>
          <w:sz w:val="21"/>
          <w:szCs w:val="21"/>
        </w:rPr>
        <w:t xml:space="preserve">甲方名称：广东省广播电视网络股份         乙方名称： </w:t>
      </w:r>
    </w:p>
    <w:p>
      <w:pPr>
        <w:spacing w:line="360" w:lineRule="auto"/>
        <w:ind w:firstLine="422" w:firstLineChars="200"/>
        <w:jc w:val="left"/>
        <w:rPr>
          <w:rFonts w:hint="eastAsia" w:ascii="宋体" w:hAnsi="宋体" w:eastAsia="宋体" w:cs="宋体"/>
          <w:b/>
          <w:sz w:val="21"/>
          <w:szCs w:val="21"/>
        </w:rPr>
      </w:pPr>
      <w:r>
        <w:rPr>
          <w:rFonts w:hint="eastAsia" w:ascii="宋体" w:hAnsi="宋体" w:eastAsia="宋体" w:cs="宋体"/>
          <w:b/>
          <w:sz w:val="21"/>
          <w:szCs w:val="21"/>
        </w:rPr>
        <w:t xml:space="preserve">有限公司佛山顺德分公司　　　　　　　　　               </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授权代表：（签字）　　　　                法定代表人：（签字）</w:t>
      </w:r>
    </w:p>
    <w:bookmarkEnd w:id="9"/>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委托代理人：（签字）　　　　              委托代理人：（签字）</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经办人：                                 经办人：</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开户银行：　　　　　　　　　             开户银行：</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银行帐号：　　　　　　　　　             银行帐号：</w:t>
      </w:r>
    </w:p>
    <w:p>
      <w:pPr>
        <w:spacing w:line="360" w:lineRule="auto"/>
        <w:jc w:val="left"/>
        <w:rPr>
          <w:rFonts w:hint="eastAsia" w:ascii="宋体" w:hAnsi="宋体" w:eastAsia="宋体" w:cs="宋体"/>
          <w:sz w:val="21"/>
          <w:szCs w:val="21"/>
        </w:rPr>
      </w:pPr>
      <w:r>
        <w:rPr>
          <w:rFonts w:hint="eastAsia" w:ascii="宋体" w:hAnsi="宋体" w:eastAsia="宋体" w:cs="宋体"/>
          <w:sz w:val="21"/>
          <w:szCs w:val="21"/>
        </w:rPr>
        <w:t xml:space="preserve">    日期：　　年 　月　 日　　　             日期：　　年　 月 　日</w:t>
      </w:r>
    </w:p>
    <w:bookmarkEnd w:id="10"/>
    <w:p>
      <w:pPr>
        <w:pStyle w:val="6"/>
        <w:ind w:firstLine="0"/>
        <w:rPr>
          <w:rFonts w:ascii="仿宋" w:hAnsi="仿宋" w:eastAsia="仿宋" w:cs="仿宋"/>
          <w:sz w:val="24"/>
          <w:szCs w:val="24"/>
        </w:rPr>
      </w:pPr>
    </w:p>
    <w:p>
      <w:pPr>
        <w:rPr>
          <w:rFonts w:ascii="仿宋" w:hAnsi="仿宋" w:eastAsia="仿宋" w:cs="仿宋"/>
          <w:sz w:val="24"/>
          <w:szCs w:val="24"/>
        </w:rPr>
      </w:pPr>
      <w:r>
        <w:rPr>
          <w:rFonts w:ascii="仿宋" w:hAnsi="仿宋" w:eastAsia="仿宋" w:cs="仿宋"/>
          <w:sz w:val="24"/>
          <w:szCs w:val="24"/>
        </w:rPr>
        <w:br w:type="page"/>
      </w:r>
    </w:p>
    <w:p>
      <w:pPr>
        <w:spacing w:line="360" w:lineRule="auto"/>
        <w:jc w:val="center"/>
        <w:rPr>
          <w:rFonts w:hint="eastAsia" w:ascii="宋体" w:hAnsi="宋体" w:eastAsia="宋体" w:cs="宋体"/>
          <w:b/>
          <w:sz w:val="30"/>
          <w:szCs w:val="30"/>
        </w:rPr>
      </w:pPr>
      <w:r>
        <w:rPr>
          <w:rFonts w:hint="eastAsia" w:ascii="宋体" w:hAnsi="宋体" w:eastAsia="宋体" w:cs="宋体"/>
          <w:b/>
          <w:sz w:val="30"/>
          <w:szCs w:val="30"/>
        </w:rPr>
        <w:t>报价明细表</w:t>
      </w:r>
    </w:p>
    <w:p>
      <w:pPr>
        <w:spacing w:line="360" w:lineRule="auto"/>
        <w:rPr>
          <w:rFonts w:hint="eastAsia" w:ascii="宋体" w:hAnsi="宋体" w:eastAsia="宋体" w:cs="宋体"/>
          <w:b/>
          <w:sz w:val="21"/>
          <w:szCs w:val="21"/>
        </w:rPr>
      </w:pPr>
      <w:r>
        <w:rPr>
          <w:rFonts w:hint="eastAsia" w:ascii="宋体" w:hAnsi="宋体" w:eastAsia="宋体" w:cs="宋体"/>
          <w:b/>
          <w:sz w:val="21"/>
          <w:szCs w:val="21"/>
        </w:rPr>
        <w:t>项目名称：</w:t>
      </w:r>
      <w:r>
        <w:rPr>
          <w:rFonts w:hint="eastAsia" w:ascii="宋体" w:hAnsi="宋体" w:eastAsia="宋体" w:cs="宋体"/>
          <w:sz w:val="21"/>
          <w:szCs w:val="21"/>
        </w:rPr>
        <w:t>顺德分公司本部大楼2024-2026年度消防系统维护保养项目</w:t>
      </w:r>
    </w:p>
    <w:p>
      <w:pPr>
        <w:spacing w:line="360" w:lineRule="auto"/>
        <w:rPr>
          <w:rFonts w:hint="eastAsia" w:ascii="宋体" w:hAnsi="宋体" w:eastAsia="宋体" w:cs="宋体"/>
          <w:b/>
          <w:sz w:val="21"/>
          <w:szCs w:val="21"/>
        </w:rPr>
      </w:pPr>
      <w:r>
        <w:rPr>
          <w:rFonts w:hint="eastAsia" w:ascii="宋体" w:hAnsi="宋体" w:eastAsia="宋体" w:cs="宋体"/>
          <w:b/>
          <w:sz w:val="21"/>
          <w:szCs w:val="21"/>
        </w:rPr>
        <w:t>项目编号：</w:t>
      </w:r>
      <w:r>
        <w:rPr>
          <w:rFonts w:hint="eastAsia" w:ascii="宋体" w:hAnsi="宋体" w:eastAsia="宋体" w:cs="宋体"/>
          <w:sz w:val="21"/>
          <w:szCs w:val="21"/>
        </w:rPr>
        <w:t>SDZH202404S136</w:t>
      </w:r>
      <w:r>
        <w:rPr>
          <w:rFonts w:hint="eastAsia" w:ascii="宋体" w:hAnsi="宋体" w:eastAsia="宋体" w:cs="宋体"/>
          <w:b/>
          <w:sz w:val="21"/>
          <w:szCs w:val="21"/>
        </w:rPr>
        <w:t xml:space="preserve"> </w:t>
      </w:r>
    </w:p>
    <w:tbl>
      <w:tblPr>
        <w:tblStyle w:val="37"/>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442"/>
        <w:gridCol w:w="1224"/>
        <w:gridCol w:w="1715"/>
        <w:gridCol w:w="2048"/>
        <w:gridCol w:w="209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564" w:type="pct"/>
            <w:gridSpan w:val="2"/>
            <w:tcBorders>
              <w:top w:val="single" w:color="auto" w:sz="4" w:space="0"/>
              <w:left w:val="single" w:color="auto" w:sz="4" w:space="0"/>
              <w:bottom w:val="single" w:color="auto" w:sz="4" w:space="0"/>
              <w:right w:val="single" w:color="auto" w:sz="4" w:space="0"/>
            </w:tcBorders>
            <w:shd w:val="clear" w:color="auto" w:fill="EEECE1"/>
            <w:vAlign w:val="center"/>
          </w:tcPr>
          <w:p>
            <w:pPr>
              <w:spacing w:line="0" w:lineRule="atLeast"/>
              <w:jc w:val="center"/>
              <w:rPr>
                <w:rFonts w:ascii="仿宋" w:hAnsi="仿宋" w:eastAsia="仿宋" w:cs="仿宋"/>
                <w:b/>
                <w:bCs/>
                <w:sz w:val="21"/>
                <w:szCs w:val="21"/>
              </w:rPr>
            </w:pPr>
            <w:r>
              <w:rPr>
                <w:rFonts w:hint="eastAsia" w:ascii="仿宋" w:hAnsi="仿宋" w:eastAsia="仿宋" w:cs="仿宋"/>
                <w:b/>
                <w:bCs/>
                <w:sz w:val="21"/>
                <w:szCs w:val="21"/>
              </w:rPr>
              <w:t>报价内容</w:t>
            </w:r>
          </w:p>
        </w:tc>
        <w:tc>
          <w:tcPr>
            <w:tcW w:w="1006" w:type="pct"/>
            <w:tcBorders>
              <w:top w:val="single" w:color="auto" w:sz="4" w:space="0"/>
              <w:left w:val="single" w:color="auto" w:sz="4" w:space="0"/>
              <w:bottom w:val="single" w:color="auto" w:sz="4" w:space="0"/>
              <w:right w:val="single" w:color="auto" w:sz="4" w:space="0"/>
            </w:tcBorders>
            <w:shd w:val="clear" w:color="auto" w:fill="EEECE1"/>
          </w:tcPr>
          <w:p>
            <w:pPr>
              <w:spacing w:line="0" w:lineRule="atLeast"/>
              <w:jc w:val="center"/>
              <w:rPr>
                <w:rFonts w:ascii="仿宋" w:hAnsi="仿宋" w:eastAsia="仿宋" w:cs="仿宋"/>
                <w:b/>
                <w:bCs/>
                <w:sz w:val="21"/>
                <w:szCs w:val="21"/>
              </w:rPr>
            </w:pPr>
            <w:r>
              <w:rPr>
                <w:rFonts w:hint="eastAsia" w:ascii="仿宋" w:hAnsi="仿宋" w:eastAsia="仿宋" w:cs="仿宋"/>
                <w:b/>
                <w:bCs/>
                <w:sz w:val="21"/>
                <w:szCs w:val="21"/>
              </w:rPr>
              <w:t>报价（元）</w:t>
            </w:r>
          </w:p>
        </w:tc>
        <w:tc>
          <w:tcPr>
            <w:tcW w:w="1201" w:type="pct"/>
            <w:tcBorders>
              <w:top w:val="single" w:color="auto" w:sz="4" w:space="0"/>
              <w:left w:val="single" w:color="auto" w:sz="4" w:space="0"/>
              <w:bottom w:val="single" w:color="auto" w:sz="4" w:space="0"/>
              <w:right w:val="single" w:color="auto" w:sz="4" w:space="0"/>
            </w:tcBorders>
            <w:shd w:val="clear" w:color="auto" w:fill="EEECE1"/>
            <w:vAlign w:val="center"/>
          </w:tcPr>
          <w:p>
            <w:pPr>
              <w:spacing w:line="0" w:lineRule="atLeast"/>
              <w:jc w:val="center"/>
              <w:rPr>
                <w:rFonts w:ascii="仿宋" w:hAnsi="仿宋" w:eastAsia="仿宋" w:cs="仿宋"/>
                <w:b/>
                <w:bCs/>
                <w:sz w:val="21"/>
                <w:szCs w:val="21"/>
              </w:rPr>
            </w:pPr>
            <w:r>
              <w:rPr>
                <w:rFonts w:hint="eastAsia" w:ascii="仿宋" w:hAnsi="仿宋" w:eastAsia="仿宋" w:cs="仿宋"/>
                <w:b/>
                <w:bCs/>
                <w:sz w:val="21"/>
                <w:szCs w:val="21"/>
              </w:rPr>
              <w:t>备注</w:t>
            </w:r>
          </w:p>
        </w:tc>
        <w:tc>
          <w:tcPr>
            <w:tcW w:w="1227" w:type="pct"/>
            <w:tcBorders>
              <w:top w:val="single" w:color="auto" w:sz="4" w:space="0"/>
              <w:left w:val="single" w:color="auto" w:sz="4" w:space="0"/>
              <w:bottom w:val="single" w:color="auto" w:sz="4" w:space="0"/>
              <w:right w:val="single" w:color="auto" w:sz="4" w:space="0"/>
            </w:tcBorders>
            <w:shd w:val="clear" w:color="auto" w:fill="EEECE1"/>
            <w:vAlign w:val="center"/>
          </w:tcPr>
          <w:p>
            <w:pPr>
              <w:spacing w:line="0" w:lineRule="atLeast"/>
              <w:jc w:val="center"/>
              <w:rPr>
                <w:rFonts w:ascii="仿宋" w:hAnsi="仿宋" w:eastAsia="仿宋" w:cs="仿宋"/>
                <w:b/>
                <w:bCs/>
                <w:sz w:val="21"/>
                <w:szCs w:val="21"/>
              </w:rPr>
            </w:pPr>
            <w:r>
              <w:rPr>
                <w:rFonts w:hint="eastAsia" w:ascii="仿宋" w:hAnsi="仿宋" w:eastAsia="仿宋" w:cs="仿宋"/>
                <w:b/>
                <w:bCs/>
                <w:sz w:val="21"/>
                <w:szCs w:val="21"/>
              </w:rPr>
              <w:t>发票及税率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20" w:hRule="atLeast"/>
          <w:jc w:val="center"/>
        </w:trPr>
        <w:tc>
          <w:tcPr>
            <w:tcW w:w="846" w:type="pct"/>
            <w:vMerge w:val="restart"/>
            <w:tcBorders>
              <w:top w:val="single" w:color="auto" w:sz="4" w:space="0"/>
              <w:left w:val="single" w:color="auto" w:sz="4" w:space="0"/>
              <w:right w:val="single" w:color="auto" w:sz="4" w:space="0"/>
            </w:tcBorders>
            <w:vAlign w:val="center"/>
          </w:tcPr>
          <w:p>
            <w:pPr>
              <w:spacing w:line="0" w:lineRule="atLeast"/>
              <w:jc w:val="center"/>
              <w:rPr>
                <w:rFonts w:hint="eastAsia" w:ascii="宋体" w:hAnsi="宋体" w:eastAsia="宋体" w:cs="宋体"/>
                <w:sz w:val="21"/>
                <w:szCs w:val="21"/>
              </w:rPr>
            </w:pPr>
            <w:r>
              <w:rPr>
                <w:rFonts w:hint="eastAsia" w:ascii="宋体" w:hAnsi="宋体" w:eastAsia="宋体" w:cs="宋体"/>
                <w:sz w:val="21"/>
                <w:szCs w:val="21"/>
              </w:rPr>
              <w:t>顺德分公司本部大楼2024-2026年度消防系统维护保养项目</w:t>
            </w:r>
          </w:p>
        </w:tc>
        <w:tc>
          <w:tcPr>
            <w:tcW w:w="718"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hint="eastAsia" w:ascii="宋体" w:hAnsi="宋体" w:eastAsia="宋体" w:cs="宋体"/>
                <w:sz w:val="21"/>
                <w:szCs w:val="21"/>
              </w:rPr>
            </w:pPr>
            <w:r>
              <w:rPr>
                <w:rFonts w:hint="eastAsia" w:ascii="宋体" w:hAnsi="宋体" w:eastAsia="宋体" w:cs="宋体"/>
                <w:sz w:val="21"/>
                <w:szCs w:val="21"/>
              </w:rPr>
              <w:t>（3个月）季度维护保养费</w:t>
            </w:r>
          </w:p>
        </w:tc>
        <w:tc>
          <w:tcPr>
            <w:tcW w:w="1006"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hint="eastAsia" w:ascii="宋体" w:hAnsi="宋体" w:eastAsia="宋体" w:cs="宋体"/>
                <w:sz w:val="21"/>
                <w:szCs w:val="21"/>
              </w:rPr>
            </w:pPr>
          </w:p>
        </w:tc>
        <w:tc>
          <w:tcPr>
            <w:tcW w:w="1201"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hint="eastAsia" w:ascii="宋体" w:hAnsi="宋体" w:eastAsia="宋体" w:cs="宋体"/>
                <w:sz w:val="21"/>
                <w:szCs w:val="21"/>
              </w:rPr>
            </w:pPr>
            <w:r>
              <w:rPr>
                <w:rFonts w:hint="eastAsia" w:ascii="宋体" w:hAnsi="宋体" w:eastAsia="宋体" w:cs="宋体"/>
                <w:sz w:val="21"/>
                <w:szCs w:val="21"/>
              </w:rPr>
              <w:t>/</w:t>
            </w:r>
          </w:p>
        </w:tc>
        <w:tc>
          <w:tcPr>
            <w:tcW w:w="1227" w:type="pct"/>
            <w:vMerge w:val="restart"/>
            <w:tcBorders>
              <w:top w:val="single" w:color="auto" w:sz="4" w:space="0"/>
              <w:left w:val="single" w:color="auto" w:sz="4" w:space="0"/>
              <w:right w:val="single" w:color="auto" w:sz="4" w:space="0"/>
            </w:tcBorders>
            <w:vAlign w:val="center"/>
          </w:tcPr>
          <w:p>
            <w:pPr>
              <w:keepNext/>
              <w:keepLines/>
              <w:tabs>
                <w:tab w:val="left" w:pos="720"/>
              </w:tabs>
              <w:adjustRightInd w:val="0"/>
              <w:snapToGrid w:val="0"/>
              <w:spacing w:before="120" w:after="120" w:line="0" w:lineRule="atLeast"/>
              <w:jc w:val="left"/>
              <w:outlineLvl w:val="2"/>
              <w:rPr>
                <w:rFonts w:hint="eastAsia" w:ascii="宋体" w:hAnsi="宋体" w:eastAsia="宋体" w:cs="宋体"/>
                <w:b/>
                <w:sz w:val="21"/>
                <w:szCs w:val="21"/>
              </w:rPr>
            </w:pPr>
            <w:r>
              <w:rPr>
                <w:rFonts w:hint="eastAsia" w:ascii="宋体" w:hAnsi="宋体" w:eastAsia="宋体" w:cs="宋体"/>
                <w:b/>
                <w:sz w:val="21"/>
                <w:szCs w:val="21"/>
              </w:rPr>
              <w:t>发票类型：增值税专用发票</w:t>
            </w:r>
          </w:p>
          <w:p>
            <w:pPr>
              <w:keepNext/>
              <w:keepLines/>
              <w:tabs>
                <w:tab w:val="left" w:pos="720"/>
              </w:tabs>
              <w:adjustRightInd w:val="0"/>
              <w:snapToGrid w:val="0"/>
              <w:spacing w:before="120" w:after="120" w:line="0" w:lineRule="atLeast"/>
              <w:jc w:val="left"/>
              <w:outlineLvl w:val="2"/>
              <w:rPr>
                <w:rFonts w:hint="eastAsia" w:ascii="宋体" w:hAnsi="宋体" w:eastAsia="宋体" w:cs="宋体"/>
                <w:b/>
                <w:sz w:val="21"/>
                <w:szCs w:val="21"/>
              </w:rPr>
            </w:pPr>
            <w:r>
              <w:rPr>
                <w:rFonts w:hint="eastAsia" w:ascii="宋体" w:hAnsi="宋体" w:eastAsia="宋体" w:cs="宋体"/>
                <w:b/>
                <w:sz w:val="21"/>
                <w:szCs w:val="21"/>
              </w:rPr>
              <w:t>税率：</w:t>
            </w:r>
          </w:p>
          <w:p>
            <w:pPr>
              <w:pStyle w:val="6"/>
              <w:ind w:firstLine="0"/>
              <w:rPr>
                <w:rFonts w:hint="eastAsia" w:ascii="宋体" w:hAnsi="宋体" w:cs="宋体"/>
                <w:szCs w:val="21"/>
              </w:rPr>
            </w:pPr>
            <w:r>
              <w:rPr>
                <w:rFonts w:hint="eastAsia" w:ascii="宋体" w:hAnsi="宋体" w:eastAsia="宋体" w:cs="宋体"/>
                <w:b/>
                <w:sz w:val="21"/>
                <w:szCs w:val="21"/>
              </w:rPr>
              <w:t>□一般纳税人6%</w:t>
            </w:r>
          </w:p>
          <w:p>
            <w:pPr>
              <w:keepNext/>
              <w:keepLines/>
              <w:tabs>
                <w:tab w:val="left" w:pos="720"/>
              </w:tabs>
              <w:adjustRightInd w:val="0"/>
              <w:snapToGrid w:val="0"/>
              <w:spacing w:before="120" w:after="120" w:line="0" w:lineRule="atLeast"/>
              <w:jc w:val="left"/>
              <w:outlineLvl w:val="2"/>
              <w:rPr>
                <w:rFonts w:hint="eastAsia" w:ascii="宋体" w:hAnsi="宋体" w:eastAsia="宋体" w:cs="宋体"/>
                <w:b/>
                <w:sz w:val="21"/>
                <w:szCs w:val="21"/>
              </w:rPr>
            </w:pPr>
            <w:r>
              <w:rPr>
                <w:rFonts w:hint="eastAsia" w:ascii="宋体" w:hAnsi="宋体" w:eastAsia="宋体" w:cs="宋体"/>
                <w:b/>
                <w:sz w:val="21"/>
                <w:szCs w:val="21"/>
              </w:rPr>
              <w:t>□小规模纳税人3%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62" w:hRule="atLeast"/>
          <w:jc w:val="center"/>
        </w:trPr>
        <w:tc>
          <w:tcPr>
            <w:tcW w:w="846" w:type="pct"/>
            <w:vMerge w:val="continue"/>
            <w:tcBorders>
              <w:left w:val="single" w:color="auto" w:sz="4" w:space="0"/>
              <w:bottom w:val="single" w:color="auto" w:sz="4" w:space="0"/>
              <w:right w:val="single" w:color="auto" w:sz="4" w:space="0"/>
            </w:tcBorders>
            <w:vAlign w:val="center"/>
          </w:tcPr>
          <w:p>
            <w:pPr>
              <w:spacing w:line="0" w:lineRule="atLeast"/>
              <w:jc w:val="center"/>
              <w:rPr>
                <w:rFonts w:ascii="仿宋" w:hAnsi="仿宋" w:eastAsia="仿宋" w:cs="仿宋"/>
                <w:sz w:val="21"/>
                <w:szCs w:val="21"/>
              </w:rPr>
            </w:pPr>
          </w:p>
        </w:tc>
        <w:tc>
          <w:tcPr>
            <w:tcW w:w="718"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hint="eastAsia" w:ascii="宋体" w:hAnsi="宋体" w:eastAsia="宋体" w:cs="宋体"/>
                <w:sz w:val="21"/>
                <w:szCs w:val="21"/>
              </w:rPr>
            </w:pPr>
            <w:r>
              <w:rPr>
                <w:rFonts w:hint="eastAsia" w:ascii="宋体" w:hAnsi="宋体" w:eastAsia="宋体" w:cs="宋体"/>
                <w:sz w:val="21"/>
                <w:szCs w:val="21"/>
              </w:rPr>
              <w:t>（24个月）总维护保养费</w:t>
            </w:r>
          </w:p>
        </w:tc>
        <w:tc>
          <w:tcPr>
            <w:tcW w:w="1006"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hint="eastAsia" w:ascii="宋体" w:hAnsi="宋体" w:eastAsia="宋体" w:cs="宋体"/>
                <w:sz w:val="21"/>
                <w:szCs w:val="21"/>
              </w:rPr>
            </w:pPr>
          </w:p>
        </w:tc>
        <w:tc>
          <w:tcPr>
            <w:tcW w:w="1201" w:type="pct"/>
            <w:tcBorders>
              <w:top w:val="single" w:color="auto" w:sz="4" w:space="0"/>
              <w:left w:val="single" w:color="auto" w:sz="4" w:space="0"/>
              <w:bottom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hint="eastAsia" w:ascii="宋体" w:hAnsi="宋体" w:eastAsia="宋体" w:cs="宋体"/>
                <w:sz w:val="21"/>
                <w:szCs w:val="21"/>
              </w:rPr>
            </w:pPr>
            <w:r>
              <w:rPr>
                <w:rFonts w:hint="eastAsia" w:ascii="宋体" w:hAnsi="宋体" w:eastAsia="宋体" w:cs="宋体"/>
                <w:sz w:val="21"/>
                <w:szCs w:val="21"/>
              </w:rPr>
              <w:t>总维护保养费=季度维护保养费*8</w:t>
            </w:r>
          </w:p>
        </w:tc>
        <w:tc>
          <w:tcPr>
            <w:tcW w:w="1227" w:type="pct"/>
            <w:vMerge w:val="continue"/>
            <w:tcBorders>
              <w:left w:val="single" w:color="auto" w:sz="4" w:space="0"/>
              <w:right w:val="single" w:color="auto" w:sz="4" w:space="0"/>
            </w:tcBorders>
            <w:vAlign w:val="center"/>
          </w:tcPr>
          <w:p>
            <w:pPr>
              <w:keepNext/>
              <w:keepLines/>
              <w:tabs>
                <w:tab w:val="left" w:pos="720"/>
              </w:tabs>
              <w:adjustRightInd w:val="0"/>
              <w:snapToGrid w:val="0"/>
              <w:spacing w:before="120" w:after="120" w:line="0" w:lineRule="atLeast"/>
              <w:jc w:val="center"/>
              <w:outlineLvl w:val="2"/>
              <w:rPr>
                <w:rFonts w:ascii="仿宋" w:hAnsi="仿宋" w:eastAsia="仿宋" w:cs="仿宋"/>
                <w:b/>
                <w:sz w:val="21"/>
                <w:szCs w:val="21"/>
                <w:rPrChange w:id="0" w:author="陈君礼01" w:date="2024-05-23T17:19:47Z">
                  <w:rPr>
                    <w:rFonts w:ascii="仿宋" w:hAnsi="仿宋" w:eastAsia="仿宋" w:cs="仿宋"/>
                    <w:b/>
                    <w:sz w:val="24"/>
                  </w:rPr>
                </w:rPrChange>
              </w:rPr>
            </w:pPr>
          </w:p>
        </w:tc>
      </w:tr>
    </w:tbl>
    <w:p>
      <w:pPr>
        <w:spacing w:line="360" w:lineRule="auto"/>
        <w:rPr>
          <w:rFonts w:hint="eastAsia" w:ascii="宋体" w:hAnsi="宋体" w:eastAsia="宋体" w:cs="宋体"/>
          <w:sz w:val="21"/>
          <w:szCs w:val="21"/>
        </w:rPr>
      </w:pPr>
      <w:r>
        <w:rPr>
          <w:rFonts w:hint="eastAsia" w:ascii="宋体" w:hAnsi="宋体" w:eastAsia="宋体" w:cs="宋体"/>
          <w:sz w:val="21"/>
          <w:szCs w:val="21"/>
        </w:rPr>
        <w:t>报价填写说明：</w:t>
      </w:r>
    </w:p>
    <w:p>
      <w:pPr>
        <w:spacing w:line="360" w:lineRule="auto"/>
        <w:rPr>
          <w:rFonts w:hint="eastAsia" w:ascii="宋体" w:hAnsi="宋体" w:eastAsia="宋体" w:cs="宋体"/>
          <w:sz w:val="21"/>
          <w:szCs w:val="21"/>
        </w:rPr>
      </w:pPr>
      <w:r>
        <w:rPr>
          <w:rFonts w:hint="eastAsia" w:ascii="宋体" w:hAnsi="宋体" w:eastAsia="宋体" w:cs="宋体"/>
          <w:sz w:val="21"/>
          <w:szCs w:val="21"/>
        </w:rPr>
        <w:t>1.请严格按照报价表格式及内容填写报价，本表中报价均为含税报价，单位为元（人民币）。</w:t>
      </w:r>
    </w:p>
    <w:p>
      <w:pPr>
        <w:spacing w:line="360" w:lineRule="auto"/>
        <w:rPr>
          <w:rFonts w:hint="eastAsia" w:ascii="宋体" w:hAnsi="宋体" w:eastAsia="宋体" w:cs="宋体"/>
          <w:sz w:val="21"/>
          <w:szCs w:val="21"/>
        </w:rPr>
      </w:pPr>
      <w:r>
        <w:rPr>
          <w:rFonts w:hint="eastAsia" w:ascii="宋体" w:hAnsi="宋体" w:eastAsia="宋体" w:cs="宋体"/>
          <w:sz w:val="21"/>
          <w:szCs w:val="21"/>
        </w:rPr>
        <w:t>2.报价必须包括所有人力成本、设备成本、管理费、技术服务费、培训费、利润、增值税专用发票、税金等费用在内的全部费用。竞价人漏报或不报，采购人将视为该漏报或不报部分的费用已包括在已报的分项报价中而不予支付。</w:t>
      </w:r>
    </w:p>
    <w:p>
      <w:pPr>
        <w:spacing w:line="360" w:lineRule="auto"/>
        <w:rPr>
          <w:rFonts w:hint="eastAsia" w:ascii="宋体" w:hAnsi="宋体" w:eastAsia="宋体" w:cs="宋体"/>
          <w:b/>
          <w:sz w:val="21"/>
          <w:szCs w:val="21"/>
        </w:rPr>
      </w:pPr>
      <w:r>
        <w:rPr>
          <w:rFonts w:hint="eastAsia" w:ascii="宋体" w:hAnsi="宋体" w:eastAsia="宋体" w:cs="宋体"/>
          <w:b/>
          <w:sz w:val="21"/>
          <w:szCs w:val="21"/>
        </w:rPr>
        <w:t>3.竞价人的报价高于对应的最高限价（总维护保养费的报价不得高于8.2万元）。</w:t>
      </w:r>
    </w:p>
    <w:p>
      <w:pPr>
        <w:spacing w:line="360" w:lineRule="auto"/>
        <w:rPr>
          <w:rFonts w:hint="eastAsia" w:ascii="宋体" w:hAnsi="宋体" w:cs="宋体"/>
          <w:szCs w:val="21"/>
        </w:rPr>
      </w:pPr>
      <w:r>
        <w:rPr>
          <w:rFonts w:hint="eastAsia" w:ascii="宋体" w:hAnsi="宋体" w:eastAsia="宋体" w:cs="宋体"/>
          <w:sz w:val="21"/>
          <w:szCs w:val="21"/>
        </w:rPr>
        <w:t>4.竞价人不得以低于成本的报价竞标，采购人有权要求竞价人提供成本说明及证明材料。</w:t>
      </w:r>
    </w:p>
    <w:p>
      <w:pPr>
        <w:spacing w:line="480" w:lineRule="auto"/>
        <w:jc w:val="left"/>
        <w:rPr>
          <w:rFonts w:hint="eastAsia" w:ascii="宋体" w:hAnsi="宋体" w:eastAsia="宋体" w:cs="宋体"/>
          <w:bCs/>
          <w:kern w:val="0"/>
          <w:sz w:val="21"/>
          <w:szCs w:val="21"/>
        </w:rPr>
      </w:pPr>
      <w:r>
        <w:rPr>
          <w:rFonts w:hint="eastAsia" w:ascii="宋体" w:hAnsi="宋体" w:eastAsia="宋体" w:cs="宋体"/>
          <w:bCs/>
          <w:kern w:val="0"/>
          <w:sz w:val="21"/>
          <w:szCs w:val="21"/>
        </w:rPr>
        <w:t>竞价人：______________________________（盖单位章）</w:t>
      </w:r>
    </w:p>
    <w:p>
      <w:pPr>
        <w:spacing w:line="480" w:lineRule="auto"/>
        <w:jc w:val="left"/>
        <w:rPr>
          <w:rFonts w:hint="eastAsia" w:ascii="宋体" w:hAnsi="宋体" w:eastAsia="宋体" w:cs="宋体"/>
          <w:bCs/>
          <w:kern w:val="0"/>
          <w:sz w:val="21"/>
          <w:szCs w:val="21"/>
        </w:rPr>
      </w:pPr>
    </w:p>
    <w:p>
      <w:pPr>
        <w:spacing w:line="480" w:lineRule="auto"/>
        <w:jc w:val="left"/>
        <w:rPr>
          <w:rFonts w:hint="eastAsia" w:ascii="宋体" w:hAnsi="宋体" w:eastAsia="宋体" w:cs="宋体"/>
          <w:bCs/>
          <w:kern w:val="0"/>
          <w:sz w:val="21"/>
          <w:szCs w:val="21"/>
        </w:rPr>
      </w:pPr>
      <w:r>
        <w:rPr>
          <w:rFonts w:hint="eastAsia" w:ascii="宋体" w:hAnsi="宋体" w:eastAsia="宋体" w:cs="宋体"/>
          <w:bCs/>
          <w:kern w:val="0"/>
          <w:sz w:val="21"/>
          <w:szCs w:val="21"/>
        </w:rPr>
        <w:t>法定代表人或其委托代理人：_____________（签字或签章）</w:t>
      </w:r>
    </w:p>
    <w:p>
      <w:pPr>
        <w:spacing w:line="480" w:lineRule="auto"/>
        <w:jc w:val="left"/>
        <w:rPr>
          <w:rFonts w:ascii="仿宋" w:hAnsi="仿宋" w:eastAsia="仿宋" w:cs="仿宋"/>
          <w:bCs/>
          <w:kern w:val="0"/>
          <w:sz w:val="21"/>
          <w:szCs w:val="21"/>
        </w:rPr>
      </w:pPr>
    </w:p>
    <w:p>
      <w:pPr>
        <w:spacing w:line="480" w:lineRule="auto"/>
        <w:ind w:firstLine="2480" w:firstLineChars="1181"/>
        <w:jc w:val="right"/>
        <w:rPr>
          <w:rFonts w:hint="eastAsia" w:ascii="宋体" w:hAnsi="宋体" w:eastAsia="宋体" w:cs="宋体"/>
          <w:bCs/>
          <w:kern w:val="0"/>
          <w:sz w:val="21"/>
          <w:szCs w:val="21"/>
        </w:rPr>
      </w:pPr>
      <w:r>
        <w:rPr>
          <w:rFonts w:hint="eastAsia" w:ascii="宋体" w:hAnsi="宋体" w:eastAsia="宋体" w:cs="宋体"/>
          <w:bCs/>
          <w:kern w:val="0"/>
          <w:sz w:val="21"/>
          <w:szCs w:val="21"/>
        </w:rPr>
        <w:t>日期：      年    月    日</w:t>
      </w:r>
    </w:p>
    <w:p>
      <w:pPr>
        <w:rPr>
          <w:rFonts w:hint="eastAsia" w:ascii="宋体" w:hAnsi="宋体" w:eastAsia="宋体" w:cs="宋体"/>
          <w:bCs/>
          <w:kern w:val="0"/>
          <w:sz w:val="21"/>
          <w:szCs w:val="21"/>
        </w:rPr>
      </w:pPr>
      <w:r>
        <w:rPr>
          <w:rFonts w:hint="eastAsia" w:ascii="宋体" w:hAnsi="宋体" w:eastAsia="宋体" w:cs="宋体"/>
          <w:bCs/>
          <w:kern w:val="0"/>
          <w:sz w:val="21"/>
          <w:szCs w:val="21"/>
        </w:rPr>
        <w:br w:type="page"/>
      </w:r>
    </w:p>
    <w:p>
      <w:pPr>
        <w:rPr>
          <w:rFonts w:hint="eastAsia" w:ascii="宋体" w:hAnsi="宋体" w:eastAsia="宋体" w:cs="宋体"/>
          <w:b/>
          <w:spacing w:val="-20"/>
          <w:sz w:val="24"/>
        </w:rPr>
      </w:pPr>
      <w:r>
        <w:rPr>
          <w:rFonts w:hint="eastAsia" w:ascii="宋体" w:hAnsi="宋体" w:eastAsia="宋体" w:cs="宋体"/>
          <w:b/>
          <w:sz w:val="24"/>
        </w:rPr>
        <w:t xml:space="preserve">附件：       </w:t>
      </w:r>
      <w:r>
        <w:rPr>
          <w:rFonts w:hint="eastAsia" w:ascii="宋体" w:hAnsi="宋体" w:cs="宋体"/>
          <w:b/>
          <w:sz w:val="28"/>
          <w:szCs w:val="28"/>
        </w:rPr>
        <w:t xml:space="preserve">    </w:t>
      </w:r>
      <w:r>
        <w:rPr>
          <w:rFonts w:hint="eastAsia" w:ascii="宋体" w:hAnsi="宋体" w:cs="宋体"/>
          <w:b/>
          <w:spacing w:val="-20"/>
          <w:sz w:val="28"/>
          <w:szCs w:val="28"/>
        </w:rPr>
        <w:t>顺德分公司本部大楼消防维护保养服务评分表</w:t>
      </w:r>
    </w:p>
    <w:p>
      <w:pPr>
        <w:jc w:val="center"/>
        <w:rPr>
          <w:rFonts w:hint="eastAsia" w:ascii="宋体" w:hAnsi="宋体" w:eastAsia="宋体" w:cs="宋体"/>
          <w:b/>
          <w:sz w:val="24"/>
        </w:rPr>
      </w:pPr>
      <w:r>
        <w:rPr>
          <w:rFonts w:hint="eastAsia" w:ascii="宋体" w:hAnsi="宋体" w:eastAsia="宋体" w:cs="宋体"/>
          <w:b/>
          <w:sz w:val="24"/>
        </w:rPr>
        <w:t xml:space="preserve">服务时间: </w:t>
      </w:r>
      <w:r>
        <w:rPr>
          <w:rFonts w:hint="eastAsia" w:ascii="宋体" w:hAnsi="宋体" w:eastAsia="宋体" w:cs="宋体"/>
          <w:b/>
          <w:sz w:val="24"/>
          <w:u w:val="single"/>
        </w:rPr>
        <w:t xml:space="preserve">   </w:t>
      </w:r>
      <w:r>
        <w:rPr>
          <w:rFonts w:hint="eastAsia" w:ascii="宋体" w:hAnsi="宋体" w:eastAsia="宋体" w:cs="宋体"/>
          <w:b/>
          <w:sz w:val="24"/>
        </w:rPr>
        <w:t>年</w:t>
      </w:r>
      <w:r>
        <w:rPr>
          <w:rFonts w:hint="eastAsia" w:ascii="宋体" w:hAnsi="宋体" w:eastAsia="宋体" w:cs="宋体"/>
          <w:b/>
          <w:sz w:val="24"/>
          <w:u w:val="single"/>
        </w:rPr>
        <w:t xml:space="preserve">   </w:t>
      </w:r>
      <w:r>
        <w:rPr>
          <w:rFonts w:hint="eastAsia" w:ascii="宋体" w:hAnsi="宋体" w:eastAsia="宋体" w:cs="宋体"/>
          <w:b/>
          <w:sz w:val="24"/>
        </w:rPr>
        <w:t>月</w:t>
      </w:r>
      <w:r>
        <w:rPr>
          <w:rFonts w:hint="eastAsia" w:ascii="宋体" w:hAnsi="宋体" w:eastAsia="宋体" w:cs="宋体"/>
          <w:b/>
          <w:sz w:val="24"/>
          <w:u w:val="single"/>
        </w:rPr>
        <w:t xml:space="preserve">   </w:t>
      </w:r>
      <w:r>
        <w:rPr>
          <w:rFonts w:hint="eastAsia" w:ascii="宋体" w:hAnsi="宋体" w:eastAsia="宋体" w:cs="宋体"/>
          <w:b/>
          <w:sz w:val="24"/>
        </w:rPr>
        <w:t>日至</w:t>
      </w:r>
      <w:r>
        <w:rPr>
          <w:rFonts w:hint="eastAsia" w:ascii="宋体" w:hAnsi="宋体" w:eastAsia="宋体" w:cs="宋体"/>
          <w:b/>
          <w:sz w:val="24"/>
          <w:u w:val="single"/>
        </w:rPr>
        <w:t xml:space="preserve">   </w:t>
      </w:r>
      <w:r>
        <w:rPr>
          <w:rFonts w:hint="eastAsia" w:ascii="宋体" w:hAnsi="宋体" w:eastAsia="宋体" w:cs="宋体"/>
          <w:b/>
          <w:sz w:val="24"/>
        </w:rPr>
        <w:t>年</w:t>
      </w:r>
      <w:r>
        <w:rPr>
          <w:rFonts w:hint="eastAsia" w:ascii="宋体" w:hAnsi="宋体" w:eastAsia="宋体" w:cs="宋体"/>
          <w:b/>
          <w:sz w:val="24"/>
          <w:u w:val="single"/>
        </w:rPr>
        <w:t xml:space="preserve">   </w:t>
      </w:r>
      <w:r>
        <w:rPr>
          <w:rFonts w:hint="eastAsia" w:ascii="宋体" w:hAnsi="宋体" w:eastAsia="宋体" w:cs="宋体"/>
          <w:b/>
          <w:sz w:val="24"/>
        </w:rPr>
        <w:t>月</w:t>
      </w:r>
      <w:r>
        <w:rPr>
          <w:rFonts w:hint="eastAsia" w:ascii="宋体" w:hAnsi="宋体" w:eastAsia="宋体" w:cs="宋体"/>
          <w:b/>
          <w:sz w:val="24"/>
          <w:u w:val="single"/>
        </w:rPr>
        <w:t xml:space="preserve">   </w:t>
      </w:r>
      <w:r>
        <w:rPr>
          <w:rFonts w:hint="eastAsia" w:ascii="宋体" w:hAnsi="宋体" w:eastAsia="宋体" w:cs="宋体"/>
          <w:b/>
          <w:sz w:val="24"/>
        </w:rPr>
        <w:t>日</w:t>
      </w:r>
    </w:p>
    <w:tbl>
      <w:tblPr>
        <w:tblStyle w:val="37"/>
        <w:tblW w:w="4998" w:type="pct"/>
        <w:jc w:val="center"/>
        <w:tblLayout w:type="autofit"/>
        <w:tblCellMar>
          <w:top w:w="0" w:type="dxa"/>
          <w:left w:w="108" w:type="dxa"/>
          <w:bottom w:w="0" w:type="dxa"/>
          <w:right w:w="108" w:type="dxa"/>
        </w:tblCellMar>
      </w:tblPr>
      <w:tblGrid>
        <w:gridCol w:w="615"/>
        <w:gridCol w:w="2982"/>
        <w:gridCol w:w="745"/>
        <w:gridCol w:w="1437"/>
        <w:gridCol w:w="1922"/>
        <w:gridCol w:w="818"/>
      </w:tblGrid>
      <w:tr>
        <w:tblPrEx>
          <w:tblCellMar>
            <w:top w:w="0" w:type="dxa"/>
            <w:left w:w="108" w:type="dxa"/>
            <w:bottom w:w="0" w:type="dxa"/>
            <w:right w:w="108" w:type="dxa"/>
          </w:tblCellMar>
        </w:tblPrEx>
        <w:trPr>
          <w:trHeight w:val="613"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序号</w:t>
            </w:r>
          </w:p>
        </w:tc>
        <w:tc>
          <w:tcPr>
            <w:tcW w:w="1750"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评价标准</w:t>
            </w:r>
          </w:p>
        </w:tc>
        <w:tc>
          <w:tcPr>
            <w:tcW w:w="437"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分值</w:t>
            </w:r>
          </w:p>
        </w:tc>
        <w:tc>
          <w:tcPr>
            <w:tcW w:w="843"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评价方法</w:t>
            </w:r>
          </w:p>
        </w:tc>
        <w:tc>
          <w:tcPr>
            <w:tcW w:w="1127"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扣分事实描述</w:t>
            </w:r>
          </w:p>
        </w:tc>
        <w:tc>
          <w:tcPr>
            <w:tcW w:w="480" w:type="pct"/>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b/>
                <w:szCs w:val="21"/>
              </w:rPr>
            </w:pPr>
            <w:r>
              <w:rPr>
                <w:rFonts w:hint="eastAsia" w:ascii="宋体" w:hAnsi="宋体" w:eastAsia="宋体" w:cs="宋体"/>
                <w:b/>
                <w:szCs w:val="21"/>
              </w:rPr>
              <w:t>实际</w:t>
            </w:r>
          </w:p>
          <w:p>
            <w:pPr>
              <w:jc w:val="center"/>
              <w:rPr>
                <w:rFonts w:hint="eastAsia" w:ascii="宋体" w:hAnsi="宋体" w:eastAsia="宋体" w:cs="宋体"/>
                <w:b/>
                <w:szCs w:val="21"/>
              </w:rPr>
            </w:pPr>
            <w:r>
              <w:rPr>
                <w:rFonts w:hint="eastAsia" w:ascii="宋体" w:hAnsi="宋体" w:eastAsia="宋体" w:cs="宋体"/>
                <w:b/>
                <w:szCs w:val="21"/>
              </w:rPr>
              <w:t>得分</w:t>
            </w:r>
          </w:p>
        </w:tc>
      </w:tr>
      <w:tr>
        <w:tblPrEx>
          <w:tblCellMar>
            <w:top w:w="0" w:type="dxa"/>
            <w:left w:w="108" w:type="dxa"/>
            <w:bottom w:w="0" w:type="dxa"/>
            <w:right w:w="108" w:type="dxa"/>
          </w:tblCellMar>
        </w:tblPrEx>
        <w:trPr>
          <w:trHeight w:val="67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消防维保单位巡检人员持证上岗，项目负责人未到现场实地开展工作的扣5分/人次。维保技术员2名未持消防设施操作员职业资格证书的，扣5分/人次。其中1名维保人员不具备资格的，此次巡检无效。</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查看维保人员证件</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67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2</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每月定期进行1次消防设施检测，每漏检1设施，扣1分</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20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核对消防设施检查记录表</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58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3</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巡检、值班人员定期对消防设施进行检查保养，出具记录，未出具或维护保养记录与实际不符扣5分/次</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20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查看记录，与报警系统记录比对</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585"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4</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消防维保单位具有抢修服务，电话24小时保持畅通。服务要求小于30分钟，制定负责人和服务电话不能接听的，每次扣2分，扣完为止。</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按实际情况评价</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900" w:hRule="atLeast"/>
          <w:jc w:val="center"/>
        </w:trPr>
        <w:tc>
          <w:tcPr>
            <w:tcW w:w="361" w:type="pct"/>
            <w:tcBorders>
              <w:top w:val="nil"/>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5</w:t>
            </w:r>
          </w:p>
        </w:tc>
        <w:tc>
          <w:tcPr>
            <w:tcW w:w="1750"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消防设施出现故障，维保单位接到报修后，一般故障8小时内完成，需更换部件的经服务单位同意后，24小时内完成，未按时排除故障扣2分/项</w:t>
            </w:r>
          </w:p>
        </w:tc>
        <w:tc>
          <w:tcPr>
            <w:tcW w:w="437" w:type="pct"/>
            <w:tcBorders>
              <w:top w:val="nil"/>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nil"/>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核对故障处理时间</w:t>
            </w:r>
          </w:p>
        </w:tc>
        <w:tc>
          <w:tcPr>
            <w:tcW w:w="1127" w:type="pct"/>
            <w:tcBorders>
              <w:top w:val="nil"/>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nil"/>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686"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6</w:t>
            </w:r>
          </w:p>
        </w:tc>
        <w:tc>
          <w:tcPr>
            <w:tcW w:w="1750"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每季度对所有的烟（温）感探测器清理一次，确保其灵敏度，使其功能达标，发现有未清理的，每个扣0.5分。</w:t>
            </w:r>
          </w:p>
        </w:tc>
        <w:tc>
          <w:tcPr>
            <w:tcW w:w="437" w:type="pct"/>
            <w:tcBorders>
              <w:top w:val="single" w:color="auto" w:sz="4" w:space="0"/>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查看清理记录</w:t>
            </w:r>
          </w:p>
        </w:tc>
        <w:tc>
          <w:tcPr>
            <w:tcW w:w="1127" w:type="pct"/>
            <w:tcBorders>
              <w:top w:val="single" w:color="auto" w:sz="4" w:space="0"/>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90"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highlight w:val="yellow"/>
              </w:rPr>
            </w:pPr>
            <w:r>
              <w:rPr>
                <w:rFonts w:hint="eastAsia" w:ascii="宋体" w:hAnsi="宋体" w:eastAsia="宋体" w:cs="宋体"/>
                <w:szCs w:val="21"/>
                <w:highlight w:val="none"/>
              </w:rPr>
              <w:t>7</w:t>
            </w:r>
          </w:p>
        </w:tc>
        <w:tc>
          <w:tcPr>
            <w:tcW w:w="1750"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highlight w:val="none"/>
              </w:rPr>
            </w:pPr>
            <w:r>
              <w:rPr>
                <w:rFonts w:hint="eastAsia" w:ascii="宋体" w:hAnsi="宋体" w:eastAsia="宋体" w:cs="宋体"/>
                <w:szCs w:val="21"/>
                <w:highlight w:val="none"/>
              </w:rPr>
              <w:t>未按时上报巡检记录表，一次扣5分。每年对消防系统进行一次综合实验，出具检测报告，未出具检测报告扣10分。</w:t>
            </w:r>
          </w:p>
        </w:tc>
        <w:tc>
          <w:tcPr>
            <w:tcW w:w="437" w:type="pct"/>
            <w:tcBorders>
              <w:top w:val="single" w:color="auto" w:sz="4" w:space="0"/>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highlight w:val="none"/>
              </w:rPr>
            </w:pPr>
            <w:r>
              <w:rPr>
                <w:rFonts w:hint="eastAsia" w:ascii="宋体" w:hAnsi="宋体" w:eastAsia="宋体" w:cs="宋体"/>
                <w:szCs w:val="21"/>
                <w:highlight w:val="none"/>
              </w:rPr>
              <w:t>10</w:t>
            </w:r>
          </w:p>
        </w:tc>
        <w:tc>
          <w:tcPr>
            <w:tcW w:w="843"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highlight w:val="none"/>
              </w:rPr>
            </w:pPr>
            <w:r>
              <w:rPr>
                <w:rFonts w:hint="eastAsia" w:ascii="宋体" w:hAnsi="宋体" w:eastAsia="宋体" w:cs="宋体"/>
                <w:szCs w:val="21"/>
                <w:highlight w:val="none"/>
              </w:rPr>
              <w:t>次月10号前上报上月巡检记录表，查看检测报告及检测单位资质。</w:t>
            </w:r>
          </w:p>
        </w:tc>
        <w:tc>
          <w:tcPr>
            <w:tcW w:w="1127" w:type="pct"/>
            <w:tcBorders>
              <w:top w:val="single" w:color="auto" w:sz="4" w:space="0"/>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447"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8</w:t>
            </w:r>
          </w:p>
        </w:tc>
        <w:tc>
          <w:tcPr>
            <w:tcW w:w="1750"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消防维保项目内容，我司人员检查时每发现一处不合格扣1分，如消防设施损坏、不能正常运行、擅自关闭或屏蔽消防报警器等，每发现一处扣5分。</w:t>
            </w:r>
          </w:p>
        </w:tc>
        <w:tc>
          <w:tcPr>
            <w:tcW w:w="437" w:type="pct"/>
            <w:tcBorders>
              <w:top w:val="single" w:color="auto" w:sz="4" w:space="0"/>
              <w:left w:val="nil"/>
              <w:bottom w:val="single" w:color="auto" w:sz="4" w:space="0"/>
              <w:right w:val="single" w:color="auto" w:sz="4" w:space="0"/>
            </w:tcBorders>
            <w:vAlign w:val="center"/>
          </w:tcPr>
          <w:p>
            <w:pPr>
              <w:spacing w:line="260" w:lineRule="exact"/>
              <w:jc w:val="center"/>
              <w:rPr>
                <w:rFonts w:hint="eastAsia" w:ascii="宋体" w:hAnsi="宋体" w:eastAsia="宋体" w:cs="宋体"/>
                <w:szCs w:val="21"/>
              </w:rPr>
            </w:pPr>
            <w:r>
              <w:rPr>
                <w:rFonts w:hint="eastAsia" w:ascii="宋体" w:hAnsi="宋体" w:eastAsia="宋体" w:cs="宋体"/>
                <w:szCs w:val="21"/>
              </w:rPr>
              <w:t>10</w:t>
            </w:r>
          </w:p>
        </w:tc>
        <w:tc>
          <w:tcPr>
            <w:tcW w:w="843" w:type="pct"/>
            <w:tcBorders>
              <w:top w:val="single" w:color="auto" w:sz="4" w:space="0"/>
              <w:left w:val="nil"/>
              <w:bottom w:val="single" w:color="auto" w:sz="4" w:space="0"/>
              <w:right w:val="single" w:color="auto" w:sz="4" w:space="0"/>
            </w:tcBorders>
            <w:vAlign w:val="center"/>
          </w:tcPr>
          <w:p>
            <w:pPr>
              <w:spacing w:line="260" w:lineRule="exact"/>
              <w:rPr>
                <w:rFonts w:hint="eastAsia" w:ascii="宋体" w:hAnsi="宋体" w:eastAsia="宋体" w:cs="宋体"/>
                <w:szCs w:val="21"/>
              </w:rPr>
            </w:pPr>
            <w:r>
              <w:rPr>
                <w:rFonts w:hint="eastAsia" w:ascii="宋体" w:hAnsi="宋体" w:eastAsia="宋体" w:cs="宋体"/>
                <w:szCs w:val="21"/>
              </w:rPr>
              <w:t>现场检查</w:t>
            </w:r>
          </w:p>
        </w:tc>
        <w:tc>
          <w:tcPr>
            <w:tcW w:w="1127" w:type="pct"/>
            <w:tcBorders>
              <w:top w:val="single" w:color="auto" w:sz="4" w:space="0"/>
              <w:left w:val="nil"/>
              <w:bottom w:val="single" w:color="auto" w:sz="4" w:space="0"/>
              <w:right w:val="single" w:color="auto" w:sz="4" w:space="0"/>
            </w:tcBorders>
            <w:vAlign w:val="center"/>
          </w:tcPr>
          <w:p>
            <w:pPr>
              <w:spacing w:line="260" w:lineRule="exact"/>
              <w:ind w:firstLine="420" w:firstLineChars="200"/>
              <w:rPr>
                <w:rFonts w:hint="eastAsia" w:ascii="宋体" w:hAnsi="宋体" w:eastAsia="宋体" w:cs="宋体"/>
                <w:szCs w:val="21"/>
              </w:rPr>
            </w:pP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r>
        <w:tblPrEx>
          <w:tblCellMar>
            <w:top w:w="0" w:type="dxa"/>
            <w:left w:w="108" w:type="dxa"/>
            <w:bottom w:w="0" w:type="dxa"/>
            <w:right w:w="108" w:type="dxa"/>
          </w:tblCellMar>
        </w:tblPrEx>
        <w:trPr>
          <w:trHeight w:val="564" w:hRule="atLeast"/>
          <w:jc w:val="center"/>
        </w:trPr>
        <w:tc>
          <w:tcPr>
            <w:tcW w:w="4519" w:type="pct"/>
            <w:gridSpan w:val="5"/>
            <w:tcBorders>
              <w:top w:val="single" w:color="auto" w:sz="4" w:space="0"/>
              <w:left w:val="single" w:color="auto" w:sz="4" w:space="0"/>
              <w:bottom w:val="single" w:color="auto" w:sz="4" w:space="0"/>
              <w:right w:val="single" w:color="auto" w:sz="4" w:space="0"/>
            </w:tcBorders>
            <w:vAlign w:val="center"/>
          </w:tcPr>
          <w:p>
            <w:pPr>
              <w:spacing w:line="260" w:lineRule="exact"/>
              <w:ind w:firstLine="420" w:firstLineChars="200"/>
              <w:jc w:val="center"/>
              <w:rPr>
                <w:rFonts w:hint="eastAsia" w:ascii="宋体" w:hAnsi="宋体" w:eastAsia="宋体" w:cs="宋体"/>
                <w:szCs w:val="21"/>
              </w:rPr>
            </w:pPr>
            <w:r>
              <w:rPr>
                <w:rFonts w:hint="eastAsia" w:ascii="宋体" w:hAnsi="宋体" w:eastAsia="宋体" w:cs="宋体"/>
                <w:szCs w:val="21"/>
              </w:rPr>
              <w:t>评价结果</w:t>
            </w:r>
          </w:p>
        </w:tc>
        <w:tc>
          <w:tcPr>
            <w:tcW w:w="480" w:type="pct"/>
            <w:tcBorders>
              <w:top w:val="single" w:color="auto" w:sz="4" w:space="0"/>
              <w:left w:val="nil"/>
              <w:bottom w:val="single" w:color="auto" w:sz="4" w:space="0"/>
              <w:right w:val="single" w:color="auto" w:sz="4" w:space="0"/>
            </w:tcBorders>
          </w:tcPr>
          <w:p>
            <w:pPr>
              <w:ind w:firstLine="420" w:firstLineChars="200"/>
              <w:rPr>
                <w:rFonts w:hint="eastAsia" w:ascii="宋体" w:hAnsi="宋体" w:eastAsia="宋体" w:cs="宋体"/>
                <w:szCs w:val="21"/>
              </w:rPr>
            </w:pPr>
          </w:p>
        </w:tc>
      </w:tr>
    </w:tbl>
    <w:p>
      <w:pPr>
        <w:ind w:firstLine="420" w:firstLineChars="200"/>
        <w:rPr>
          <w:rFonts w:hint="eastAsia" w:ascii="宋体" w:hAnsi="宋体" w:eastAsia="宋体" w:cs="宋体"/>
          <w:szCs w:val="21"/>
        </w:rPr>
      </w:pPr>
      <w:r>
        <w:rPr>
          <w:rFonts w:hint="eastAsia" w:ascii="宋体" w:hAnsi="宋体" w:eastAsia="宋体" w:cs="宋体"/>
          <w:szCs w:val="21"/>
        </w:rPr>
        <w:t xml:space="preserve"> </w:t>
      </w:r>
    </w:p>
    <w:p>
      <w:pPr>
        <w:pStyle w:val="6"/>
        <w:ind w:firstLine="0"/>
        <w:rPr>
          <w:rFonts w:hint="eastAsia" w:eastAsia="宋体"/>
          <w:lang w:eastAsia="zh-CN"/>
        </w:rPr>
        <w:sectPr>
          <w:footerReference r:id="rId5" w:type="default"/>
          <w:pgSz w:w="11906" w:h="16838"/>
          <w:pgMar w:top="1440" w:right="1800" w:bottom="1440" w:left="1800" w:header="851" w:footer="992" w:gutter="0"/>
          <w:cols w:space="720" w:num="1"/>
          <w:docGrid w:type="lines" w:linePitch="312" w:charSpace="0"/>
        </w:sectPr>
      </w:pPr>
      <w:r>
        <w:rPr>
          <w:rFonts w:hint="eastAsia" w:ascii="宋体" w:hAnsi="宋体" w:eastAsia="宋体" w:cs="宋体"/>
          <w:szCs w:val="21"/>
        </w:rPr>
        <w:t>考核单位（签字盖章）：                        被考核单位（签字盖章）</w:t>
      </w:r>
      <w:r>
        <w:rPr>
          <w:rFonts w:hint="eastAsia" w:ascii="宋体" w:hAnsi="宋体" w:cs="宋体"/>
          <w:szCs w:val="21"/>
          <w:lang w:eastAsia="zh-CN"/>
        </w:rPr>
        <w:t>：</w:t>
      </w:r>
    </w:p>
    <w:p>
      <w:pPr>
        <w:pStyle w:val="2"/>
        <w:tabs>
          <w:tab w:val="left" w:pos="469"/>
        </w:tabs>
        <w:ind w:left="0" w:leftChars="0" w:firstLine="0" w:firstLineChars="0"/>
        <w:outlineLvl w:val="9"/>
        <w:rPr>
          <w:rFonts w:hint="eastAsia" w:eastAsia="宋体"/>
          <w:lang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26</w:t>
    </w:r>
    <w:r>
      <w:rPr>
        <w:b/>
        <w:bCs/>
        <w:sz w:val="24"/>
        <w:szCs w:val="24"/>
      </w:rPr>
      <w:fldChar w:fldCharType="end"/>
    </w:r>
  </w:p>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18</w:t>
    </w:r>
    <w:r>
      <w:rPr>
        <w:b/>
        <w:bCs/>
        <w:sz w:val="24"/>
        <w:szCs w:val="24"/>
      </w:rPr>
      <w:fldChar w:fldCharType="end"/>
    </w:r>
  </w:p>
  <w:p>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26</w:t>
    </w:r>
    <w:r>
      <w:rPr>
        <w:b/>
        <w:bCs/>
        <w:sz w:val="24"/>
        <w:szCs w:val="24"/>
      </w:rPr>
      <w:fldChar w:fldCharType="end"/>
    </w:r>
  </w:p>
  <w:p>
    <w:pPr>
      <w:pStyle w:val="2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AA472D"/>
    <w:multiLevelType w:val="singleLevel"/>
    <w:tmpl w:val="81AA472D"/>
    <w:lvl w:ilvl="0" w:tentative="0">
      <w:start w:val="1"/>
      <w:numFmt w:val="decimal"/>
      <w:lvlText w:val="(%1)"/>
      <w:lvlJc w:val="left"/>
      <w:pPr>
        <w:ind w:left="425" w:hanging="425"/>
      </w:pPr>
      <w:rPr>
        <w:rFonts w:hint="default"/>
      </w:rPr>
    </w:lvl>
  </w:abstractNum>
  <w:abstractNum w:abstractNumId="1">
    <w:nsid w:val="97449D7B"/>
    <w:multiLevelType w:val="singleLevel"/>
    <w:tmpl w:val="97449D7B"/>
    <w:lvl w:ilvl="0" w:tentative="0">
      <w:start w:val="1"/>
      <w:numFmt w:val="chineseCounting"/>
      <w:suff w:val="nothing"/>
      <w:lvlText w:val="（%1）"/>
      <w:lvlJc w:val="left"/>
      <w:pPr>
        <w:ind w:left="-210" w:firstLine="420"/>
      </w:pPr>
      <w:rPr>
        <w:rFonts w:hint="eastAsia"/>
      </w:rPr>
    </w:lvl>
  </w:abstractNum>
  <w:abstractNum w:abstractNumId="2">
    <w:nsid w:val="9F294531"/>
    <w:multiLevelType w:val="singleLevel"/>
    <w:tmpl w:val="9F294531"/>
    <w:lvl w:ilvl="0" w:tentative="0">
      <w:start w:val="1"/>
      <w:numFmt w:val="decimal"/>
      <w:suff w:val="space"/>
      <w:lvlText w:val="%1."/>
      <w:lvlJc w:val="left"/>
      <w:pPr>
        <w:ind w:left="635" w:hanging="425"/>
      </w:pPr>
      <w:rPr>
        <w:rFonts w:hint="default"/>
      </w:rPr>
    </w:lvl>
  </w:abstractNum>
  <w:abstractNum w:abstractNumId="3">
    <w:nsid w:val="A37C3348"/>
    <w:multiLevelType w:val="singleLevel"/>
    <w:tmpl w:val="A37C3348"/>
    <w:lvl w:ilvl="0" w:tentative="0">
      <w:start w:val="1"/>
      <w:numFmt w:val="decimal"/>
      <w:suff w:val="space"/>
      <w:lvlText w:val="%1."/>
      <w:lvlJc w:val="left"/>
      <w:pPr>
        <w:ind w:left="425" w:hanging="425"/>
      </w:pPr>
      <w:rPr>
        <w:rFonts w:hint="default"/>
      </w:rPr>
    </w:lvl>
  </w:abstractNum>
  <w:abstractNum w:abstractNumId="4">
    <w:nsid w:val="A6CA05D5"/>
    <w:multiLevelType w:val="singleLevel"/>
    <w:tmpl w:val="A6CA05D5"/>
    <w:lvl w:ilvl="0" w:tentative="0">
      <w:start w:val="1"/>
      <w:numFmt w:val="chineseCounting"/>
      <w:suff w:val="nothing"/>
      <w:lvlText w:val="（%1）"/>
      <w:lvlJc w:val="left"/>
      <w:pPr>
        <w:ind w:left="-420" w:firstLine="420"/>
      </w:pPr>
      <w:rPr>
        <w:rFonts w:hint="eastAsia"/>
      </w:rPr>
    </w:lvl>
  </w:abstractNum>
  <w:abstractNum w:abstractNumId="5">
    <w:nsid w:val="AF4FAEC1"/>
    <w:multiLevelType w:val="singleLevel"/>
    <w:tmpl w:val="AF4FAEC1"/>
    <w:lvl w:ilvl="0" w:tentative="0">
      <w:start w:val="1"/>
      <w:numFmt w:val="decimal"/>
      <w:suff w:val="space"/>
      <w:lvlText w:val="%1."/>
      <w:lvlJc w:val="left"/>
      <w:pPr>
        <w:ind w:left="635" w:hanging="425"/>
      </w:pPr>
      <w:rPr>
        <w:rFonts w:hint="default"/>
        <w:b/>
        <w:bCs/>
      </w:rPr>
    </w:lvl>
  </w:abstractNum>
  <w:abstractNum w:abstractNumId="6">
    <w:nsid w:val="C060ED21"/>
    <w:multiLevelType w:val="singleLevel"/>
    <w:tmpl w:val="C060ED21"/>
    <w:lvl w:ilvl="0" w:tentative="0">
      <w:start w:val="1"/>
      <w:numFmt w:val="decimal"/>
      <w:suff w:val="nothing"/>
      <w:lvlText w:val="%1．"/>
      <w:lvlJc w:val="left"/>
      <w:pPr>
        <w:ind w:left="0" w:firstLine="400"/>
      </w:pPr>
      <w:rPr>
        <w:rFonts w:hint="default"/>
      </w:rPr>
    </w:lvl>
  </w:abstractNum>
  <w:abstractNum w:abstractNumId="7">
    <w:nsid w:val="CBB69B81"/>
    <w:multiLevelType w:val="singleLevel"/>
    <w:tmpl w:val="CBB69B81"/>
    <w:lvl w:ilvl="0" w:tentative="0">
      <w:start w:val="1"/>
      <w:numFmt w:val="decimal"/>
      <w:suff w:val="space"/>
      <w:lvlText w:val="%1."/>
      <w:lvlJc w:val="left"/>
      <w:pPr>
        <w:ind w:left="635" w:hanging="425"/>
      </w:pPr>
      <w:rPr>
        <w:rFonts w:hint="default"/>
      </w:rPr>
    </w:lvl>
  </w:abstractNum>
  <w:abstractNum w:abstractNumId="8">
    <w:nsid w:val="D1026324"/>
    <w:multiLevelType w:val="singleLevel"/>
    <w:tmpl w:val="D1026324"/>
    <w:lvl w:ilvl="0" w:tentative="0">
      <w:start w:val="1"/>
      <w:numFmt w:val="decimal"/>
      <w:suff w:val="space"/>
      <w:lvlText w:val="%1."/>
      <w:lvlJc w:val="left"/>
      <w:pPr>
        <w:ind w:left="425" w:hanging="425"/>
      </w:pPr>
      <w:rPr>
        <w:rFonts w:hint="default"/>
      </w:rPr>
    </w:lvl>
  </w:abstractNum>
  <w:abstractNum w:abstractNumId="9">
    <w:nsid w:val="DC6F5F11"/>
    <w:multiLevelType w:val="singleLevel"/>
    <w:tmpl w:val="DC6F5F11"/>
    <w:lvl w:ilvl="0" w:tentative="0">
      <w:start w:val="1"/>
      <w:numFmt w:val="decimal"/>
      <w:suff w:val="space"/>
      <w:lvlText w:val="%1."/>
      <w:lvlJc w:val="left"/>
      <w:pPr>
        <w:ind w:left="635" w:hanging="425"/>
      </w:pPr>
      <w:rPr>
        <w:rFonts w:hint="default"/>
      </w:rPr>
    </w:lvl>
  </w:abstractNum>
  <w:abstractNum w:abstractNumId="10">
    <w:nsid w:val="E6121EC9"/>
    <w:multiLevelType w:val="singleLevel"/>
    <w:tmpl w:val="E6121EC9"/>
    <w:lvl w:ilvl="0" w:tentative="0">
      <w:start w:val="1"/>
      <w:numFmt w:val="decimal"/>
      <w:suff w:val="nothing"/>
      <w:lvlText w:val="%1．"/>
      <w:lvlJc w:val="left"/>
      <w:pPr>
        <w:ind w:left="0" w:firstLine="400"/>
      </w:pPr>
      <w:rPr>
        <w:rFonts w:hint="default"/>
      </w:rPr>
    </w:lvl>
  </w:abstractNum>
  <w:abstractNum w:abstractNumId="11">
    <w:nsid w:val="E7DA8513"/>
    <w:multiLevelType w:val="singleLevel"/>
    <w:tmpl w:val="E7DA8513"/>
    <w:lvl w:ilvl="0" w:tentative="0">
      <w:start w:val="1"/>
      <w:numFmt w:val="decimal"/>
      <w:suff w:val="space"/>
      <w:lvlText w:val="%1."/>
      <w:lvlJc w:val="left"/>
      <w:pPr>
        <w:ind w:left="425" w:hanging="425"/>
      </w:pPr>
      <w:rPr>
        <w:rFonts w:hint="default"/>
      </w:rPr>
    </w:lvl>
  </w:abstractNum>
  <w:abstractNum w:abstractNumId="12">
    <w:nsid w:val="EDFD67B0"/>
    <w:multiLevelType w:val="singleLevel"/>
    <w:tmpl w:val="EDFD67B0"/>
    <w:lvl w:ilvl="0" w:tentative="0">
      <w:start w:val="1"/>
      <w:numFmt w:val="decimal"/>
      <w:suff w:val="space"/>
      <w:lvlText w:val="%1."/>
      <w:lvlJc w:val="left"/>
      <w:pPr>
        <w:ind w:left="425" w:hanging="425"/>
      </w:pPr>
      <w:rPr>
        <w:rFonts w:hint="default"/>
      </w:rPr>
    </w:lvl>
  </w:abstractNum>
  <w:abstractNum w:abstractNumId="13">
    <w:nsid w:val="00C6F773"/>
    <w:multiLevelType w:val="singleLevel"/>
    <w:tmpl w:val="00C6F773"/>
    <w:lvl w:ilvl="0" w:tentative="0">
      <w:start w:val="1"/>
      <w:numFmt w:val="decimal"/>
      <w:lvlText w:val="%1."/>
      <w:lvlJc w:val="left"/>
      <w:pPr>
        <w:ind w:left="635" w:hanging="425"/>
      </w:pPr>
      <w:rPr>
        <w:rFonts w:hint="default"/>
      </w:rPr>
    </w:lvl>
  </w:abstractNum>
  <w:abstractNum w:abstractNumId="14">
    <w:nsid w:val="00FD43C7"/>
    <w:multiLevelType w:val="singleLevel"/>
    <w:tmpl w:val="00FD43C7"/>
    <w:lvl w:ilvl="0" w:tentative="0">
      <w:start w:val="1"/>
      <w:numFmt w:val="chineseCounting"/>
      <w:suff w:val="nothing"/>
      <w:lvlText w:val="%1、"/>
      <w:lvlJc w:val="left"/>
      <w:pPr>
        <w:ind w:left="0" w:firstLine="420"/>
      </w:pPr>
      <w:rPr>
        <w:rFonts w:hint="eastAsia"/>
      </w:rPr>
    </w:lvl>
  </w:abstractNum>
  <w:abstractNum w:abstractNumId="15">
    <w:nsid w:val="0AEBF56D"/>
    <w:multiLevelType w:val="singleLevel"/>
    <w:tmpl w:val="0AEBF56D"/>
    <w:lvl w:ilvl="0" w:tentative="0">
      <w:start w:val="1"/>
      <w:numFmt w:val="chineseCounting"/>
      <w:suff w:val="nothing"/>
      <w:lvlText w:val="（%1）"/>
      <w:lvlJc w:val="left"/>
      <w:pPr>
        <w:ind w:left="-210" w:firstLine="420"/>
      </w:pPr>
      <w:rPr>
        <w:rFonts w:hint="eastAsia"/>
      </w:rPr>
    </w:lvl>
  </w:abstractNum>
  <w:abstractNum w:abstractNumId="16">
    <w:nsid w:val="0BCA3B95"/>
    <w:multiLevelType w:val="singleLevel"/>
    <w:tmpl w:val="0BCA3B95"/>
    <w:lvl w:ilvl="0" w:tentative="0">
      <w:start w:val="1"/>
      <w:numFmt w:val="decimal"/>
      <w:suff w:val="space"/>
      <w:lvlText w:val="%1."/>
      <w:lvlJc w:val="left"/>
      <w:pPr>
        <w:ind w:left="425" w:hanging="425"/>
      </w:pPr>
      <w:rPr>
        <w:rFonts w:hint="default"/>
      </w:rPr>
    </w:lvl>
  </w:abstractNum>
  <w:abstractNum w:abstractNumId="17">
    <w:nsid w:val="157F7F82"/>
    <w:multiLevelType w:val="singleLevel"/>
    <w:tmpl w:val="157F7F82"/>
    <w:lvl w:ilvl="0" w:tentative="0">
      <w:start w:val="1"/>
      <w:numFmt w:val="decimal"/>
      <w:suff w:val="space"/>
      <w:lvlText w:val="%1."/>
      <w:lvlJc w:val="left"/>
      <w:pPr>
        <w:ind w:left="425" w:hanging="425"/>
      </w:pPr>
      <w:rPr>
        <w:rFonts w:hint="default"/>
      </w:rPr>
    </w:lvl>
  </w:abstractNum>
  <w:abstractNum w:abstractNumId="18">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9">
    <w:nsid w:val="32412035"/>
    <w:multiLevelType w:val="singleLevel"/>
    <w:tmpl w:val="32412035"/>
    <w:lvl w:ilvl="0" w:tentative="0">
      <w:start w:val="1"/>
      <w:numFmt w:val="decimal"/>
      <w:suff w:val="nothing"/>
      <w:lvlText w:val="%1．"/>
      <w:lvlJc w:val="left"/>
      <w:pPr>
        <w:ind w:left="0" w:firstLine="400"/>
      </w:pPr>
      <w:rPr>
        <w:rFonts w:hint="default"/>
      </w:rPr>
    </w:lvl>
  </w:abstractNum>
  <w:abstractNum w:abstractNumId="20">
    <w:nsid w:val="32E48058"/>
    <w:multiLevelType w:val="singleLevel"/>
    <w:tmpl w:val="32E48058"/>
    <w:lvl w:ilvl="0" w:tentative="0">
      <w:start w:val="1"/>
      <w:numFmt w:val="decimal"/>
      <w:suff w:val="nothing"/>
      <w:lvlText w:val="%1．"/>
      <w:lvlJc w:val="left"/>
      <w:pPr>
        <w:ind w:left="0" w:firstLine="400"/>
      </w:pPr>
      <w:rPr>
        <w:rFonts w:hint="default"/>
      </w:rPr>
    </w:lvl>
  </w:abstractNum>
  <w:abstractNum w:abstractNumId="21">
    <w:nsid w:val="375EFC6A"/>
    <w:multiLevelType w:val="singleLevel"/>
    <w:tmpl w:val="375EFC6A"/>
    <w:lvl w:ilvl="0" w:tentative="0">
      <w:start w:val="1"/>
      <w:numFmt w:val="chineseCounting"/>
      <w:suff w:val="nothing"/>
      <w:lvlText w:val="（%1）"/>
      <w:lvlJc w:val="left"/>
      <w:pPr>
        <w:ind w:left="0" w:firstLine="420"/>
      </w:pPr>
      <w:rPr>
        <w:rFonts w:hint="eastAsia"/>
      </w:rPr>
    </w:lvl>
  </w:abstractNum>
  <w:abstractNum w:abstractNumId="22">
    <w:nsid w:val="3CD8AC8A"/>
    <w:multiLevelType w:val="singleLevel"/>
    <w:tmpl w:val="3CD8AC8A"/>
    <w:lvl w:ilvl="0" w:tentative="0">
      <w:start w:val="1"/>
      <w:numFmt w:val="decimal"/>
      <w:lvlText w:val="(%1)"/>
      <w:lvlJc w:val="left"/>
      <w:pPr>
        <w:ind w:left="425" w:hanging="425"/>
      </w:pPr>
      <w:rPr>
        <w:rFonts w:hint="default"/>
      </w:rPr>
    </w:lvl>
  </w:abstractNum>
  <w:abstractNum w:abstractNumId="23">
    <w:nsid w:val="3F250CB3"/>
    <w:multiLevelType w:val="singleLevel"/>
    <w:tmpl w:val="3F250CB3"/>
    <w:lvl w:ilvl="0" w:tentative="0">
      <w:start w:val="1"/>
      <w:numFmt w:val="decimal"/>
      <w:suff w:val="space"/>
      <w:lvlText w:val="%1."/>
      <w:lvlJc w:val="left"/>
      <w:pPr>
        <w:ind w:left="425" w:hanging="425"/>
      </w:pPr>
      <w:rPr>
        <w:rFonts w:hint="default"/>
      </w:rPr>
    </w:lvl>
  </w:abstractNum>
  <w:abstractNum w:abstractNumId="24">
    <w:nsid w:val="416B106C"/>
    <w:multiLevelType w:val="singleLevel"/>
    <w:tmpl w:val="416B106C"/>
    <w:lvl w:ilvl="0" w:tentative="0">
      <w:start w:val="1"/>
      <w:numFmt w:val="decimal"/>
      <w:lvlText w:val="(%1)"/>
      <w:lvlJc w:val="left"/>
      <w:pPr>
        <w:ind w:left="425" w:hanging="425"/>
      </w:pPr>
      <w:rPr>
        <w:rFonts w:hint="default"/>
      </w:rPr>
    </w:lvl>
  </w:abstractNum>
  <w:abstractNum w:abstractNumId="25">
    <w:nsid w:val="41B4B29F"/>
    <w:multiLevelType w:val="singleLevel"/>
    <w:tmpl w:val="41B4B29F"/>
    <w:lvl w:ilvl="0" w:tentative="0">
      <w:start w:val="1"/>
      <w:numFmt w:val="decimal"/>
      <w:lvlText w:val="%1."/>
      <w:lvlJc w:val="left"/>
      <w:pPr>
        <w:ind w:left="635" w:hanging="425"/>
      </w:pPr>
      <w:rPr>
        <w:rFonts w:hint="default"/>
      </w:rPr>
    </w:lvl>
  </w:abstractNum>
  <w:abstractNum w:abstractNumId="26">
    <w:nsid w:val="422D3E0D"/>
    <w:multiLevelType w:val="singleLevel"/>
    <w:tmpl w:val="422D3E0D"/>
    <w:lvl w:ilvl="0" w:tentative="0">
      <w:start w:val="1"/>
      <w:numFmt w:val="decimal"/>
      <w:lvlText w:val="(%1)"/>
      <w:lvlJc w:val="left"/>
      <w:pPr>
        <w:ind w:left="425" w:hanging="425"/>
      </w:pPr>
      <w:rPr>
        <w:rFonts w:hint="default"/>
      </w:rPr>
    </w:lvl>
  </w:abstractNum>
  <w:abstractNum w:abstractNumId="27">
    <w:nsid w:val="4CE23F7C"/>
    <w:multiLevelType w:val="multilevel"/>
    <w:tmpl w:val="4CE23F7C"/>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28">
    <w:nsid w:val="568F06A3"/>
    <w:multiLevelType w:val="singleLevel"/>
    <w:tmpl w:val="568F06A3"/>
    <w:lvl w:ilvl="0" w:tentative="0">
      <w:start w:val="1"/>
      <w:numFmt w:val="decimal"/>
      <w:suff w:val="nothing"/>
      <w:lvlText w:val="%1．"/>
      <w:lvlJc w:val="left"/>
      <w:pPr>
        <w:ind w:left="0" w:firstLine="400"/>
      </w:pPr>
      <w:rPr>
        <w:rFonts w:hint="default"/>
      </w:rPr>
    </w:lvl>
  </w:abstractNum>
  <w:abstractNum w:abstractNumId="29">
    <w:nsid w:val="5920EAB9"/>
    <w:multiLevelType w:val="singleLevel"/>
    <w:tmpl w:val="5920EAB9"/>
    <w:lvl w:ilvl="0" w:tentative="0">
      <w:start w:val="1"/>
      <w:numFmt w:val="chineseCounting"/>
      <w:suff w:val="nothing"/>
      <w:lvlText w:val="%1、"/>
      <w:lvlJc w:val="left"/>
      <w:pPr>
        <w:ind w:left="0"/>
      </w:pPr>
      <w:rPr>
        <w:rFonts w:hint="eastAsia"/>
        <w:b w:val="0"/>
        <w:bCs w:val="0"/>
      </w:rPr>
    </w:lvl>
  </w:abstractNum>
  <w:abstractNum w:abstractNumId="30">
    <w:nsid w:val="5FDB512B"/>
    <w:multiLevelType w:val="singleLevel"/>
    <w:tmpl w:val="5FDB512B"/>
    <w:lvl w:ilvl="0" w:tentative="0">
      <w:start w:val="1"/>
      <w:numFmt w:val="decimal"/>
      <w:suff w:val="space"/>
      <w:lvlText w:val="%1."/>
      <w:lvlJc w:val="left"/>
      <w:pPr>
        <w:ind w:left="425" w:hanging="425"/>
      </w:pPr>
      <w:rPr>
        <w:rFonts w:hint="default"/>
      </w:rPr>
    </w:lvl>
  </w:abstractNum>
  <w:abstractNum w:abstractNumId="31">
    <w:nsid w:val="66983CA2"/>
    <w:multiLevelType w:val="singleLevel"/>
    <w:tmpl w:val="66983CA2"/>
    <w:lvl w:ilvl="0" w:tentative="0">
      <w:start w:val="1"/>
      <w:numFmt w:val="decimal"/>
      <w:lvlText w:val="%1."/>
      <w:lvlJc w:val="left"/>
      <w:pPr>
        <w:ind w:left="425" w:hanging="425"/>
      </w:pPr>
      <w:rPr>
        <w:rFonts w:hint="default"/>
      </w:rPr>
    </w:lvl>
  </w:abstractNum>
  <w:abstractNum w:abstractNumId="32">
    <w:nsid w:val="772823D1"/>
    <w:multiLevelType w:val="singleLevel"/>
    <w:tmpl w:val="772823D1"/>
    <w:lvl w:ilvl="0" w:tentative="0">
      <w:start w:val="1"/>
      <w:numFmt w:val="decimal"/>
      <w:suff w:val="space"/>
      <w:lvlText w:val="%1."/>
      <w:lvlJc w:val="left"/>
      <w:pPr>
        <w:ind w:left="425" w:hanging="425"/>
      </w:pPr>
      <w:rPr>
        <w:rFonts w:hint="default"/>
      </w:rPr>
    </w:lvl>
  </w:abstractNum>
  <w:abstractNum w:abstractNumId="33">
    <w:nsid w:val="796BE1E6"/>
    <w:multiLevelType w:val="multilevel"/>
    <w:tmpl w:val="796BE1E6"/>
    <w:lvl w:ilvl="0" w:tentative="0">
      <w:start w:val="1"/>
      <w:numFmt w:val="chineseCountingThousand"/>
      <w:suff w:val="space"/>
      <w:lvlText w:val="%1、"/>
      <w:lvlJc w:val="left"/>
      <w:pPr>
        <w:ind w:left="420" w:hanging="420"/>
      </w:pPr>
      <w:rPr>
        <w:rFonts w:hint="eastAsia" w:cs="仿宋_GB2312"/>
        <w:b w:val="0"/>
        <w:color w:val="auto"/>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num w:numId="1">
    <w:abstractNumId w:val="33"/>
  </w:num>
  <w:num w:numId="2">
    <w:abstractNumId w:val="4"/>
  </w:num>
  <w:num w:numId="3">
    <w:abstractNumId w:val="31"/>
  </w:num>
  <w:num w:numId="4">
    <w:abstractNumId w:val="18"/>
  </w:num>
  <w:num w:numId="5">
    <w:abstractNumId w:val="7"/>
  </w:num>
  <w:num w:numId="6">
    <w:abstractNumId w:val="13"/>
  </w:num>
  <w:num w:numId="7">
    <w:abstractNumId w:val="9"/>
  </w:num>
  <w:num w:numId="8">
    <w:abstractNumId w:val="5"/>
  </w:num>
  <w:num w:numId="9">
    <w:abstractNumId w:val="0"/>
  </w:num>
  <w:num w:numId="10">
    <w:abstractNumId w:val="2"/>
  </w:num>
  <w:num w:numId="11">
    <w:abstractNumId w:val="25"/>
  </w:num>
  <w:num w:numId="12">
    <w:abstractNumId w:val="29"/>
  </w:num>
  <w:num w:numId="13">
    <w:abstractNumId w:val="21"/>
  </w:num>
  <w:num w:numId="14">
    <w:abstractNumId w:val="3"/>
  </w:num>
  <w:num w:numId="15">
    <w:abstractNumId w:val="22"/>
  </w:num>
  <w:num w:numId="16">
    <w:abstractNumId w:val="32"/>
  </w:num>
  <w:num w:numId="17">
    <w:abstractNumId w:val="16"/>
  </w:num>
  <w:num w:numId="18">
    <w:abstractNumId w:val="23"/>
  </w:num>
  <w:num w:numId="19">
    <w:abstractNumId w:val="8"/>
  </w:num>
  <w:num w:numId="20">
    <w:abstractNumId w:val="12"/>
  </w:num>
  <w:num w:numId="21">
    <w:abstractNumId w:val="30"/>
  </w:num>
  <w:num w:numId="22">
    <w:abstractNumId w:val="26"/>
  </w:num>
  <w:num w:numId="23">
    <w:abstractNumId w:val="11"/>
  </w:num>
  <w:num w:numId="24">
    <w:abstractNumId w:val="24"/>
  </w:num>
  <w:num w:numId="25">
    <w:abstractNumId w:val="1"/>
  </w:num>
  <w:num w:numId="26">
    <w:abstractNumId w:val="15"/>
  </w:num>
  <w:num w:numId="27">
    <w:abstractNumId w:val="17"/>
  </w:num>
  <w:num w:numId="28">
    <w:abstractNumId w:val="27"/>
  </w:num>
  <w:num w:numId="29">
    <w:abstractNumId w:val="14"/>
  </w:num>
  <w:num w:numId="30">
    <w:abstractNumId w:val="19"/>
  </w:num>
  <w:num w:numId="31">
    <w:abstractNumId w:val="28"/>
  </w:num>
  <w:num w:numId="32">
    <w:abstractNumId w:val="10"/>
  </w:num>
  <w:num w:numId="33">
    <w:abstractNumId w:val="6"/>
  </w:num>
  <w:num w:numId="34">
    <w:abstractNumId w:val="2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君礼01">
    <w15:presenceInfo w15:providerId="None" w15:userId="陈君礼0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7E85"/>
    <w:rsid w:val="00020817"/>
    <w:rsid w:val="00022BA8"/>
    <w:rsid w:val="00022CFC"/>
    <w:rsid w:val="00022E1E"/>
    <w:rsid w:val="000243AE"/>
    <w:rsid w:val="00025123"/>
    <w:rsid w:val="00025C07"/>
    <w:rsid w:val="00026161"/>
    <w:rsid w:val="0002789D"/>
    <w:rsid w:val="00027B41"/>
    <w:rsid w:val="00027D53"/>
    <w:rsid w:val="00030AA4"/>
    <w:rsid w:val="0003162D"/>
    <w:rsid w:val="00033C58"/>
    <w:rsid w:val="00033DF8"/>
    <w:rsid w:val="000353FF"/>
    <w:rsid w:val="000356AB"/>
    <w:rsid w:val="00040958"/>
    <w:rsid w:val="0004362F"/>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9584A"/>
    <w:rsid w:val="000A11F6"/>
    <w:rsid w:val="000A1F19"/>
    <w:rsid w:val="000A237A"/>
    <w:rsid w:val="000A4C0F"/>
    <w:rsid w:val="000B0865"/>
    <w:rsid w:val="000B1E95"/>
    <w:rsid w:val="000B3769"/>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1014B"/>
    <w:rsid w:val="0011085A"/>
    <w:rsid w:val="001141AB"/>
    <w:rsid w:val="001156A8"/>
    <w:rsid w:val="00121369"/>
    <w:rsid w:val="00122334"/>
    <w:rsid w:val="001227D9"/>
    <w:rsid w:val="00122CC6"/>
    <w:rsid w:val="00122E20"/>
    <w:rsid w:val="0012332C"/>
    <w:rsid w:val="00124616"/>
    <w:rsid w:val="0012467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025B"/>
    <w:rsid w:val="0014121D"/>
    <w:rsid w:val="00141A88"/>
    <w:rsid w:val="00142609"/>
    <w:rsid w:val="00142BA2"/>
    <w:rsid w:val="00144CC0"/>
    <w:rsid w:val="00150DC2"/>
    <w:rsid w:val="001517C5"/>
    <w:rsid w:val="00155252"/>
    <w:rsid w:val="00155A56"/>
    <w:rsid w:val="00157D2F"/>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79"/>
    <w:rsid w:val="00181DA6"/>
    <w:rsid w:val="00182016"/>
    <w:rsid w:val="00183884"/>
    <w:rsid w:val="001849C1"/>
    <w:rsid w:val="00185212"/>
    <w:rsid w:val="001857F8"/>
    <w:rsid w:val="00186E0C"/>
    <w:rsid w:val="001874FD"/>
    <w:rsid w:val="00192899"/>
    <w:rsid w:val="00193AA2"/>
    <w:rsid w:val="001948DD"/>
    <w:rsid w:val="001954D2"/>
    <w:rsid w:val="001968FF"/>
    <w:rsid w:val="00196BA3"/>
    <w:rsid w:val="00197395"/>
    <w:rsid w:val="00197A38"/>
    <w:rsid w:val="001A0039"/>
    <w:rsid w:val="001A077A"/>
    <w:rsid w:val="001A28D3"/>
    <w:rsid w:val="001A4BFC"/>
    <w:rsid w:val="001A4EAD"/>
    <w:rsid w:val="001A552D"/>
    <w:rsid w:val="001A7BA3"/>
    <w:rsid w:val="001B0868"/>
    <w:rsid w:val="001B114A"/>
    <w:rsid w:val="001B1D4E"/>
    <w:rsid w:val="001B24E3"/>
    <w:rsid w:val="001B2E9B"/>
    <w:rsid w:val="001B3F7F"/>
    <w:rsid w:val="001B42FB"/>
    <w:rsid w:val="001B49EA"/>
    <w:rsid w:val="001B5734"/>
    <w:rsid w:val="001B6168"/>
    <w:rsid w:val="001B632A"/>
    <w:rsid w:val="001C137D"/>
    <w:rsid w:val="001C1A03"/>
    <w:rsid w:val="001C384F"/>
    <w:rsid w:val="001C5D63"/>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5303"/>
    <w:rsid w:val="001E5BC0"/>
    <w:rsid w:val="001E658A"/>
    <w:rsid w:val="001E6A32"/>
    <w:rsid w:val="001E7EA8"/>
    <w:rsid w:val="001F035C"/>
    <w:rsid w:val="001F6B91"/>
    <w:rsid w:val="002010B9"/>
    <w:rsid w:val="00203015"/>
    <w:rsid w:val="00203A7B"/>
    <w:rsid w:val="00203AAC"/>
    <w:rsid w:val="002040B5"/>
    <w:rsid w:val="00204834"/>
    <w:rsid w:val="00204B05"/>
    <w:rsid w:val="00204CCE"/>
    <w:rsid w:val="00205EB3"/>
    <w:rsid w:val="0020699F"/>
    <w:rsid w:val="00207530"/>
    <w:rsid w:val="0021731B"/>
    <w:rsid w:val="0022004C"/>
    <w:rsid w:val="0022017F"/>
    <w:rsid w:val="002201F5"/>
    <w:rsid w:val="00221187"/>
    <w:rsid w:val="002218AA"/>
    <w:rsid w:val="00222803"/>
    <w:rsid w:val="002239EA"/>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731"/>
    <w:rsid w:val="00245769"/>
    <w:rsid w:val="00246F4C"/>
    <w:rsid w:val="00247265"/>
    <w:rsid w:val="00247847"/>
    <w:rsid w:val="00247C52"/>
    <w:rsid w:val="00250475"/>
    <w:rsid w:val="00251245"/>
    <w:rsid w:val="00251851"/>
    <w:rsid w:val="00253392"/>
    <w:rsid w:val="0025746D"/>
    <w:rsid w:val="00257CD4"/>
    <w:rsid w:val="00260A5B"/>
    <w:rsid w:val="00261419"/>
    <w:rsid w:val="00261DEB"/>
    <w:rsid w:val="002630C1"/>
    <w:rsid w:val="00263361"/>
    <w:rsid w:val="00266FDC"/>
    <w:rsid w:val="00270713"/>
    <w:rsid w:val="00270F81"/>
    <w:rsid w:val="00272D6D"/>
    <w:rsid w:val="00276AC7"/>
    <w:rsid w:val="002772C8"/>
    <w:rsid w:val="00281992"/>
    <w:rsid w:val="0028218B"/>
    <w:rsid w:val="00282263"/>
    <w:rsid w:val="00282627"/>
    <w:rsid w:val="00283200"/>
    <w:rsid w:val="00284C06"/>
    <w:rsid w:val="002856F0"/>
    <w:rsid w:val="002857A2"/>
    <w:rsid w:val="0028593E"/>
    <w:rsid w:val="00287A48"/>
    <w:rsid w:val="00291B25"/>
    <w:rsid w:val="002937E9"/>
    <w:rsid w:val="002955EF"/>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310"/>
    <w:rsid w:val="002C2D03"/>
    <w:rsid w:val="002C4618"/>
    <w:rsid w:val="002D12CC"/>
    <w:rsid w:val="002D281F"/>
    <w:rsid w:val="002D3D93"/>
    <w:rsid w:val="002D4683"/>
    <w:rsid w:val="002D6CA7"/>
    <w:rsid w:val="002E01F5"/>
    <w:rsid w:val="002E2682"/>
    <w:rsid w:val="002E39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1850"/>
    <w:rsid w:val="003125AD"/>
    <w:rsid w:val="00313DA9"/>
    <w:rsid w:val="00313DE3"/>
    <w:rsid w:val="00314B2E"/>
    <w:rsid w:val="00314E41"/>
    <w:rsid w:val="00314EC8"/>
    <w:rsid w:val="00315D72"/>
    <w:rsid w:val="00317D71"/>
    <w:rsid w:val="003217A8"/>
    <w:rsid w:val="0032637C"/>
    <w:rsid w:val="00326D5B"/>
    <w:rsid w:val="00330512"/>
    <w:rsid w:val="00331A72"/>
    <w:rsid w:val="003337CB"/>
    <w:rsid w:val="00335FB5"/>
    <w:rsid w:val="003369E9"/>
    <w:rsid w:val="00337911"/>
    <w:rsid w:val="00337D27"/>
    <w:rsid w:val="00337FBC"/>
    <w:rsid w:val="00341508"/>
    <w:rsid w:val="003424F1"/>
    <w:rsid w:val="00342DA7"/>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120"/>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349B"/>
    <w:rsid w:val="00385101"/>
    <w:rsid w:val="003865FC"/>
    <w:rsid w:val="0038670A"/>
    <w:rsid w:val="003901CB"/>
    <w:rsid w:val="0039250E"/>
    <w:rsid w:val="003930CE"/>
    <w:rsid w:val="003967F6"/>
    <w:rsid w:val="00396A5C"/>
    <w:rsid w:val="00397270"/>
    <w:rsid w:val="00397F7D"/>
    <w:rsid w:val="003A0562"/>
    <w:rsid w:val="003A1526"/>
    <w:rsid w:val="003A34A8"/>
    <w:rsid w:val="003A58EE"/>
    <w:rsid w:val="003A67C0"/>
    <w:rsid w:val="003B05EF"/>
    <w:rsid w:val="003B0B39"/>
    <w:rsid w:val="003B0EFA"/>
    <w:rsid w:val="003B20E8"/>
    <w:rsid w:val="003B2C89"/>
    <w:rsid w:val="003B2E1D"/>
    <w:rsid w:val="003B3EDA"/>
    <w:rsid w:val="003B4796"/>
    <w:rsid w:val="003B4829"/>
    <w:rsid w:val="003B4F9B"/>
    <w:rsid w:val="003C0343"/>
    <w:rsid w:val="003C2E45"/>
    <w:rsid w:val="003C4094"/>
    <w:rsid w:val="003C5149"/>
    <w:rsid w:val="003C5F99"/>
    <w:rsid w:val="003C6075"/>
    <w:rsid w:val="003D04A8"/>
    <w:rsid w:val="003D0B3C"/>
    <w:rsid w:val="003D1B74"/>
    <w:rsid w:val="003D2BF8"/>
    <w:rsid w:val="003D3925"/>
    <w:rsid w:val="003D4D12"/>
    <w:rsid w:val="003D5F1A"/>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1797C"/>
    <w:rsid w:val="00420E2E"/>
    <w:rsid w:val="004216F6"/>
    <w:rsid w:val="00421B40"/>
    <w:rsid w:val="00423A23"/>
    <w:rsid w:val="0042407C"/>
    <w:rsid w:val="0042608F"/>
    <w:rsid w:val="00426188"/>
    <w:rsid w:val="00426932"/>
    <w:rsid w:val="00427E43"/>
    <w:rsid w:val="004308BE"/>
    <w:rsid w:val="00431640"/>
    <w:rsid w:val="0043178F"/>
    <w:rsid w:val="00434AB3"/>
    <w:rsid w:val="004353BE"/>
    <w:rsid w:val="00436349"/>
    <w:rsid w:val="00437C51"/>
    <w:rsid w:val="00441B65"/>
    <w:rsid w:val="00441D67"/>
    <w:rsid w:val="00441FBD"/>
    <w:rsid w:val="004432DA"/>
    <w:rsid w:val="00444443"/>
    <w:rsid w:val="004450E0"/>
    <w:rsid w:val="00445E0D"/>
    <w:rsid w:val="004461EA"/>
    <w:rsid w:val="00446604"/>
    <w:rsid w:val="004468C0"/>
    <w:rsid w:val="00447AE8"/>
    <w:rsid w:val="00451115"/>
    <w:rsid w:val="00451149"/>
    <w:rsid w:val="00452322"/>
    <w:rsid w:val="00452614"/>
    <w:rsid w:val="00453929"/>
    <w:rsid w:val="00453B3E"/>
    <w:rsid w:val="00456206"/>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671"/>
    <w:rsid w:val="004E6AAA"/>
    <w:rsid w:val="004F160C"/>
    <w:rsid w:val="004F17C0"/>
    <w:rsid w:val="004F2189"/>
    <w:rsid w:val="004F38D7"/>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14E0"/>
    <w:rsid w:val="0051589E"/>
    <w:rsid w:val="005158BA"/>
    <w:rsid w:val="0052061C"/>
    <w:rsid w:val="00520919"/>
    <w:rsid w:val="00522454"/>
    <w:rsid w:val="00522DD5"/>
    <w:rsid w:val="00524791"/>
    <w:rsid w:val="005257FB"/>
    <w:rsid w:val="00527E64"/>
    <w:rsid w:val="00533537"/>
    <w:rsid w:val="00534097"/>
    <w:rsid w:val="00535420"/>
    <w:rsid w:val="005366A5"/>
    <w:rsid w:val="005409A5"/>
    <w:rsid w:val="00540B5C"/>
    <w:rsid w:val="00544E6B"/>
    <w:rsid w:val="00544EBF"/>
    <w:rsid w:val="00546D26"/>
    <w:rsid w:val="00551759"/>
    <w:rsid w:val="00553D8A"/>
    <w:rsid w:val="00555465"/>
    <w:rsid w:val="00555B5B"/>
    <w:rsid w:val="005602B6"/>
    <w:rsid w:val="00561BBE"/>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0C54"/>
    <w:rsid w:val="00591603"/>
    <w:rsid w:val="00592D8F"/>
    <w:rsid w:val="00593AC7"/>
    <w:rsid w:val="00593E9F"/>
    <w:rsid w:val="005975E2"/>
    <w:rsid w:val="005978D3"/>
    <w:rsid w:val="005A0EE2"/>
    <w:rsid w:val="005A134F"/>
    <w:rsid w:val="005A1864"/>
    <w:rsid w:val="005A1B29"/>
    <w:rsid w:val="005A404F"/>
    <w:rsid w:val="005A4EE2"/>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C7DAE"/>
    <w:rsid w:val="005D0399"/>
    <w:rsid w:val="005D14A8"/>
    <w:rsid w:val="005D31FC"/>
    <w:rsid w:val="005D3212"/>
    <w:rsid w:val="005D49B8"/>
    <w:rsid w:val="005D4B21"/>
    <w:rsid w:val="005D4FED"/>
    <w:rsid w:val="005D5B5A"/>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2A27"/>
    <w:rsid w:val="00632F9F"/>
    <w:rsid w:val="00634678"/>
    <w:rsid w:val="00634B4B"/>
    <w:rsid w:val="00636ED9"/>
    <w:rsid w:val="006371C6"/>
    <w:rsid w:val="0063788E"/>
    <w:rsid w:val="006421F6"/>
    <w:rsid w:val="00642EC1"/>
    <w:rsid w:val="00646440"/>
    <w:rsid w:val="00650CE9"/>
    <w:rsid w:val="0065165A"/>
    <w:rsid w:val="006532B6"/>
    <w:rsid w:val="00654384"/>
    <w:rsid w:val="00654CC3"/>
    <w:rsid w:val="0065548D"/>
    <w:rsid w:val="006557F3"/>
    <w:rsid w:val="0065640A"/>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725"/>
    <w:rsid w:val="00683D0F"/>
    <w:rsid w:val="00685383"/>
    <w:rsid w:val="0068539F"/>
    <w:rsid w:val="00685BD7"/>
    <w:rsid w:val="00685F85"/>
    <w:rsid w:val="006871EF"/>
    <w:rsid w:val="00690166"/>
    <w:rsid w:val="0069016D"/>
    <w:rsid w:val="006901F2"/>
    <w:rsid w:val="00690862"/>
    <w:rsid w:val="00690BD4"/>
    <w:rsid w:val="00691506"/>
    <w:rsid w:val="00691659"/>
    <w:rsid w:val="006933B4"/>
    <w:rsid w:val="0069525B"/>
    <w:rsid w:val="00696843"/>
    <w:rsid w:val="00696E0F"/>
    <w:rsid w:val="006971A2"/>
    <w:rsid w:val="00697C1D"/>
    <w:rsid w:val="006A11D8"/>
    <w:rsid w:val="006A682C"/>
    <w:rsid w:val="006A6C8E"/>
    <w:rsid w:val="006A7A3F"/>
    <w:rsid w:val="006B121A"/>
    <w:rsid w:val="006B1B49"/>
    <w:rsid w:val="006B1EA0"/>
    <w:rsid w:val="006B4041"/>
    <w:rsid w:val="006B4F74"/>
    <w:rsid w:val="006B5731"/>
    <w:rsid w:val="006B5A1F"/>
    <w:rsid w:val="006B68B9"/>
    <w:rsid w:val="006B7B2A"/>
    <w:rsid w:val="006C0AC7"/>
    <w:rsid w:val="006C172D"/>
    <w:rsid w:val="006C2214"/>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E83"/>
    <w:rsid w:val="00750101"/>
    <w:rsid w:val="00752396"/>
    <w:rsid w:val="00752B15"/>
    <w:rsid w:val="00752E44"/>
    <w:rsid w:val="00754E35"/>
    <w:rsid w:val="00756DA6"/>
    <w:rsid w:val="0075705D"/>
    <w:rsid w:val="00761B13"/>
    <w:rsid w:val="00762E03"/>
    <w:rsid w:val="00764349"/>
    <w:rsid w:val="007649A8"/>
    <w:rsid w:val="007649E6"/>
    <w:rsid w:val="007663A1"/>
    <w:rsid w:val="00767133"/>
    <w:rsid w:val="007700A7"/>
    <w:rsid w:val="00772F09"/>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5C19"/>
    <w:rsid w:val="007A6F65"/>
    <w:rsid w:val="007B0734"/>
    <w:rsid w:val="007B09B5"/>
    <w:rsid w:val="007B31EF"/>
    <w:rsid w:val="007B403B"/>
    <w:rsid w:val="007B5158"/>
    <w:rsid w:val="007B63DA"/>
    <w:rsid w:val="007B643C"/>
    <w:rsid w:val="007B6604"/>
    <w:rsid w:val="007B666F"/>
    <w:rsid w:val="007B7908"/>
    <w:rsid w:val="007B7F6F"/>
    <w:rsid w:val="007C0641"/>
    <w:rsid w:val="007C25A7"/>
    <w:rsid w:val="007C2968"/>
    <w:rsid w:val="007C3058"/>
    <w:rsid w:val="007C4BFD"/>
    <w:rsid w:val="007C6B41"/>
    <w:rsid w:val="007C75CE"/>
    <w:rsid w:val="007D0A73"/>
    <w:rsid w:val="007D128F"/>
    <w:rsid w:val="007D2B99"/>
    <w:rsid w:val="007D3479"/>
    <w:rsid w:val="007D390B"/>
    <w:rsid w:val="007D48D1"/>
    <w:rsid w:val="007D6126"/>
    <w:rsid w:val="007E0155"/>
    <w:rsid w:val="007E15DB"/>
    <w:rsid w:val="007E1B16"/>
    <w:rsid w:val="007E1D82"/>
    <w:rsid w:val="007E310D"/>
    <w:rsid w:val="007E4628"/>
    <w:rsid w:val="007E5070"/>
    <w:rsid w:val="007E5685"/>
    <w:rsid w:val="007E660D"/>
    <w:rsid w:val="007F1FC8"/>
    <w:rsid w:val="007F2580"/>
    <w:rsid w:val="007F3082"/>
    <w:rsid w:val="007F6FD1"/>
    <w:rsid w:val="007F7367"/>
    <w:rsid w:val="007F73BE"/>
    <w:rsid w:val="00801ADF"/>
    <w:rsid w:val="00801C1B"/>
    <w:rsid w:val="00804BF9"/>
    <w:rsid w:val="008059B7"/>
    <w:rsid w:val="00805AC3"/>
    <w:rsid w:val="00805D56"/>
    <w:rsid w:val="0080766F"/>
    <w:rsid w:val="00811499"/>
    <w:rsid w:val="008115D2"/>
    <w:rsid w:val="008128A5"/>
    <w:rsid w:val="00813DCE"/>
    <w:rsid w:val="008147AE"/>
    <w:rsid w:val="00814CDB"/>
    <w:rsid w:val="0081543C"/>
    <w:rsid w:val="00815E73"/>
    <w:rsid w:val="00816F71"/>
    <w:rsid w:val="00821485"/>
    <w:rsid w:val="008218F6"/>
    <w:rsid w:val="00821913"/>
    <w:rsid w:val="0082330E"/>
    <w:rsid w:val="00824083"/>
    <w:rsid w:val="00826B5F"/>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5CF9"/>
    <w:rsid w:val="00846482"/>
    <w:rsid w:val="0084657E"/>
    <w:rsid w:val="00847071"/>
    <w:rsid w:val="0084791A"/>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02C"/>
    <w:rsid w:val="008946B2"/>
    <w:rsid w:val="00896691"/>
    <w:rsid w:val="00896988"/>
    <w:rsid w:val="0089706B"/>
    <w:rsid w:val="008971F4"/>
    <w:rsid w:val="008A1223"/>
    <w:rsid w:val="008A1920"/>
    <w:rsid w:val="008A208C"/>
    <w:rsid w:val="008A20D0"/>
    <w:rsid w:val="008A379D"/>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371C"/>
    <w:rsid w:val="0091395D"/>
    <w:rsid w:val="00913F64"/>
    <w:rsid w:val="00916F69"/>
    <w:rsid w:val="009170E2"/>
    <w:rsid w:val="00917D2D"/>
    <w:rsid w:val="0092303C"/>
    <w:rsid w:val="00924C87"/>
    <w:rsid w:val="00925ADB"/>
    <w:rsid w:val="00925D09"/>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520"/>
    <w:rsid w:val="00960126"/>
    <w:rsid w:val="00960A89"/>
    <w:rsid w:val="00962257"/>
    <w:rsid w:val="009622BD"/>
    <w:rsid w:val="0096573D"/>
    <w:rsid w:val="00966D02"/>
    <w:rsid w:val="009672AB"/>
    <w:rsid w:val="00967F7A"/>
    <w:rsid w:val="00970DED"/>
    <w:rsid w:val="00971A70"/>
    <w:rsid w:val="009728B3"/>
    <w:rsid w:val="009735A8"/>
    <w:rsid w:val="009745C8"/>
    <w:rsid w:val="00974A83"/>
    <w:rsid w:val="00974AAC"/>
    <w:rsid w:val="009762B8"/>
    <w:rsid w:val="00976A14"/>
    <w:rsid w:val="00976BB2"/>
    <w:rsid w:val="0097776F"/>
    <w:rsid w:val="009777AE"/>
    <w:rsid w:val="00982A85"/>
    <w:rsid w:val="00982BC2"/>
    <w:rsid w:val="00983584"/>
    <w:rsid w:val="009838FA"/>
    <w:rsid w:val="00983B66"/>
    <w:rsid w:val="0098492F"/>
    <w:rsid w:val="0098500E"/>
    <w:rsid w:val="00986D2C"/>
    <w:rsid w:val="009916B7"/>
    <w:rsid w:val="009927C8"/>
    <w:rsid w:val="009929F6"/>
    <w:rsid w:val="00992B23"/>
    <w:rsid w:val="00992F66"/>
    <w:rsid w:val="009932AC"/>
    <w:rsid w:val="00994D67"/>
    <w:rsid w:val="009A0F60"/>
    <w:rsid w:val="009A184E"/>
    <w:rsid w:val="009A39EF"/>
    <w:rsid w:val="009A4132"/>
    <w:rsid w:val="009A4982"/>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DF8"/>
    <w:rsid w:val="009F70E0"/>
    <w:rsid w:val="009F768A"/>
    <w:rsid w:val="009F7DA8"/>
    <w:rsid w:val="00A00445"/>
    <w:rsid w:val="00A01BB5"/>
    <w:rsid w:val="00A02F29"/>
    <w:rsid w:val="00A03765"/>
    <w:rsid w:val="00A038CA"/>
    <w:rsid w:val="00A039DD"/>
    <w:rsid w:val="00A10A6C"/>
    <w:rsid w:val="00A10EAD"/>
    <w:rsid w:val="00A134BB"/>
    <w:rsid w:val="00A13801"/>
    <w:rsid w:val="00A157E8"/>
    <w:rsid w:val="00A21D85"/>
    <w:rsid w:val="00A22D8B"/>
    <w:rsid w:val="00A23E67"/>
    <w:rsid w:val="00A2445F"/>
    <w:rsid w:val="00A25277"/>
    <w:rsid w:val="00A26585"/>
    <w:rsid w:val="00A30DA2"/>
    <w:rsid w:val="00A31978"/>
    <w:rsid w:val="00A31F67"/>
    <w:rsid w:val="00A33D14"/>
    <w:rsid w:val="00A341A1"/>
    <w:rsid w:val="00A363EB"/>
    <w:rsid w:val="00A41E03"/>
    <w:rsid w:val="00A44919"/>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6E63"/>
    <w:rsid w:val="00A66FD0"/>
    <w:rsid w:val="00A7000B"/>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4B46"/>
    <w:rsid w:val="00A95225"/>
    <w:rsid w:val="00A97CE8"/>
    <w:rsid w:val="00AA0464"/>
    <w:rsid w:val="00AA08FB"/>
    <w:rsid w:val="00AA0AFE"/>
    <w:rsid w:val="00AA26B7"/>
    <w:rsid w:val="00AA4597"/>
    <w:rsid w:val="00AB0443"/>
    <w:rsid w:val="00AB0A31"/>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4F34"/>
    <w:rsid w:val="00AC5657"/>
    <w:rsid w:val="00AC672A"/>
    <w:rsid w:val="00AC693B"/>
    <w:rsid w:val="00AC6A9D"/>
    <w:rsid w:val="00AD10AC"/>
    <w:rsid w:val="00AD14B5"/>
    <w:rsid w:val="00AD3537"/>
    <w:rsid w:val="00AD35B4"/>
    <w:rsid w:val="00AD4DA0"/>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79F8"/>
    <w:rsid w:val="00B02E0B"/>
    <w:rsid w:val="00B045B0"/>
    <w:rsid w:val="00B064BB"/>
    <w:rsid w:val="00B06C11"/>
    <w:rsid w:val="00B074F9"/>
    <w:rsid w:val="00B07C40"/>
    <w:rsid w:val="00B1304C"/>
    <w:rsid w:val="00B133D1"/>
    <w:rsid w:val="00B159B0"/>
    <w:rsid w:val="00B15D00"/>
    <w:rsid w:val="00B16688"/>
    <w:rsid w:val="00B16AFD"/>
    <w:rsid w:val="00B177FC"/>
    <w:rsid w:val="00B20466"/>
    <w:rsid w:val="00B20A02"/>
    <w:rsid w:val="00B24633"/>
    <w:rsid w:val="00B25BFA"/>
    <w:rsid w:val="00B2666F"/>
    <w:rsid w:val="00B27874"/>
    <w:rsid w:val="00B307E4"/>
    <w:rsid w:val="00B31212"/>
    <w:rsid w:val="00B32BB6"/>
    <w:rsid w:val="00B33122"/>
    <w:rsid w:val="00B33C5A"/>
    <w:rsid w:val="00B3633A"/>
    <w:rsid w:val="00B403A1"/>
    <w:rsid w:val="00B404F7"/>
    <w:rsid w:val="00B41860"/>
    <w:rsid w:val="00B43844"/>
    <w:rsid w:val="00B523FB"/>
    <w:rsid w:val="00B55D52"/>
    <w:rsid w:val="00B56BEF"/>
    <w:rsid w:val="00B600F9"/>
    <w:rsid w:val="00B60E77"/>
    <w:rsid w:val="00B60EEF"/>
    <w:rsid w:val="00B62AC9"/>
    <w:rsid w:val="00B63764"/>
    <w:rsid w:val="00B64A97"/>
    <w:rsid w:val="00B65C12"/>
    <w:rsid w:val="00B67F2B"/>
    <w:rsid w:val="00B70436"/>
    <w:rsid w:val="00B70C83"/>
    <w:rsid w:val="00B717FC"/>
    <w:rsid w:val="00B71A82"/>
    <w:rsid w:val="00B72A7C"/>
    <w:rsid w:val="00B72F76"/>
    <w:rsid w:val="00B73EFA"/>
    <w:rsid w:val="00B74AD1"/>
    <w:rsid w:val="00B75338"/>
    <w:rsid w:val="00B75E9D"/>
    <w:rsid w:val="00B834D3"/>
    <w:rsid w:val="00B83773"/>
    <w:rsid w:val="00B83A91"/>
    <w:rsid w:val="00B84EAE"/>
    <w:rsid w:val="00B85E2B"/>
    <w:rsid w:val="00B86E6F"/>
    <w:rsid w:val="00B901AA"/>
    <w:rsid w:val="00B90A6E"/>
    <w:rsid w:val="00B90DA6"/>
    <w:rsid w:val="00B931E3"/>
    <w:rsid w:val="00B93F3C"/>
    <w:rsid w:val="00B94A45"/>
    <w:rsid w:val="00B94EDA"/>
    <w:rsid w:val="00B95E82"/>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182D"/>
    <w:rsid w:val="00BC3EC1"/>
    <w:rsid w:val="00BC6039"/>
    <w:rsid w:val="00BC66B4"/>
    <w:rsid w:val="00BC6BDA"/>
    <w:rsid w:val="00BD146B"/>
    <w:rsid w:val="00BD1A78"/>
    <w:rsid w:val="00BD2489"/>
    <w:rsid w:val="00BD28ED"/>
    <w:rsid w:val="00BD2B90"/>
    <w:rsid w:val="00BD3763"/>
    <w:rsid w:val="00BD5A40"/>
    <w:rsid w:val="00BE2D7C"/>
    <w:rsid w:val="00BE3138"/>
    <w:rsid w:val="00BE3437"/>
    <w:rsid w:val="00BE397D"/>
    <w:rsid w:val="00BE3A8F"/>
    <w:rsid w:val="00BE3AB8"/>
    <w:rsid w:val="00BE64EF"/>
    <w:rsid w:val="00BE6BBE"/>
    <w:rsid w:val="00BE7F02"/>
    <w:rsid w:val="00BF1FD8"/>
    <w:rsid w:val="00BF3349"/>
    <w:rsid w:val="00BF36E7"/>
    <w:rsid w:val="00BF3AE8"/>
    <w:rsid w:val="00BF685B"/>
    <w:rsid w:val="00BF7090"/>
    <w:rsid w:val="00BF74B0"/>
    <w:rsid w:val="00BF7D96"/>
    <w:rsid w:val="00C02361"/>
    <w:rsid w:val="00C03ACC"/>
    <w:rsid w:val="00C05BBD"/>
    <w:rsid w:val="00C104AE"/>
    <w:rsid w:val="00C10DAA"/>
    <w:rsid w:val="00C12BF0"/>
    <w:rsid w:val="00C13214"/>
    <w:rsid w:val="00C1362C"/>
    <w:rsid w:val="00C140B0"/>
    <w:rsid w:val="00C144CB"/>
    <w:rsid w:val="00C219F8"/>
    <w:rsid w:val="00C21EA4"/>
    <w:rsid w:val="00C22658"/>
    <w:rsid w:val="00C22662"/>
    <w:rsid w:val="00C2355E"/>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696A"/>
    <w:rsid w:val="00C7719A"/>
    <w:rsid w:val="00C77568"/>
    <w:rsid w:val="00C81181"/>
    <w:rsid w:val="00C8137B"/>
    <w:rsid w:val="00C81B4B"/>
    <w:rsid w:val="00C81F8E"/>
    <w:rsid w:val="00C82CBF"/>
    <w:rsid w:val="00C8344D"/>
    <w:rsid w:val="00C8511E"/>
    <w:rsid w:val="00C860A1"/>
    <w:rsid w:val="00C86A4E"/>
    <w:rsid w:val="00C86E7A"/>
    <w:rsid w:val="00C87EB5"/>
    <w:rsid w:val="00C9041C"/>
    <w:rsid w:val="00C90DDA"/>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4151"/>
    <w:rsid w:val="00CA44AE"/>
    <w:rsid w:val="00CA45A1"/>
    <w:rsid w:val="00CA5D72"/>
    <w:rsid w:val="00CA6E90"/>
    <w:rsid w:val="00CB1F1B"/>
    <w:rsid w:val="00CB3674"/>
    <w:rsid w:val="00CB4DA2"/>
    <w:rsid w:val="00CB6A88"/>
    <w:rsid w:val="00CB6BCD"/>
    <w:rsid w:val="00CC0843"/>
    <w:rsid w:val="00CC3104"/>
    <w:rsid w:val="00CC412D"/>
    <w:rsid w:val="00CC4D1B"/>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6617"/>
    <w:rsid w:val="00CE70DC"/>
    <w:rsid w:val="00CF15C2"/>
    <w:rsid w:val="00CF1636"/>
    <w:rsid w:val="00CF2642"/>
    <w:rsid w:val="00CF3248"/>
    <w:rsid w:val="00CF46A7"/>
    <w:rsid w:val="00CF4746"/>
    <w:rsid w:val="00CF54FB"/>
    <w:rsid w:val="00CF68A4"/>
    <w:rsid w:val="00D0053C"/>
    <w:rsid w:val="00D015D5"/>
    <w:rsid w:val="00D021DF"/>
    <w:rsid w:val="00D03639"/>
    <w:rsid w:val="00D047E0"/>
    <w:rsid w:val="00D07714"/>
    <w:rsid w:val="00D12626"/>
    <w:rsid w:val="00D148DD"/>
    <w:rsid w:val="00D16706"/>
    <w:rsid w:val="00D17164"/>
    <w:rsid w:val="00D215F4"/>
    <w:rsid w:val="00D23FA7"/>
    <w:rsid w:val="00D259AA"/>
    <w:rsid w:val="00D27B98"/>
    <w:rsid w:val="00D30849"/>
    <w:rsid w:val="00D31633"/>
    <w:rsid w:val="00D33868"/>
    <w:rsid w:val="00D34132"/>
    <w:rsid w:val="00D34E5D"/>
    <w:rsid w:val="00D371DE"/>
    <w:rsid w:val="00D40BC9"/>
    <w:rsid w:val="00D4372D"/>
    <w:rsid w:val="00D43FA4"/>
    <w:rsid w:val="00D4438C"/>
    <w:rsid w:val="00D47376"/>
    <w:rsid w:val="00D50ACD"/>
    <w:rsid w:val="00D518FA"/>
    <w:rsid w:val="00D52236"/>
    <w:rsid w:val="00D52BC7"/>
    <w:rsid w:val="00D52F30"/>
    <w:rsid w:val="00D53337"/>
    <w:rsid w:val="00D55504"/>
    <w:rsid w:val="00D56A2E"/>
    <w:rsid w:val="00D574A2"/>
    <w:rsid w:val="00D617D5"/>
    <w:rsid w:val="00D61A80"/>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84B"/>
    <w:rsid w:val="00DC5D60"/>
    <w:rsid w:val="00DC7236"/>
    <w:rsid w:val="00DD05E9"/>
    <w:rsid w:val="00DD0E1D"/>
    <w:rsid w:val="00DD1906"/>
    <w:rsid w:val="00DD2134"/>
    <w:rsid w:val="00DD2F96"/>
    <w:rsid w:val="00DD3BE8"/>
    <w:rsid w:val="00DD4058"/>
    <w:rsid w:val="00DD45C9"/>
    <w:rsid w:val="00DD6E24"/>
    <w:rsid w:val="00DE0266"/>
    <w:rsid w:val="00DE230B"/>
    <w:rsid w:val="00DE3F89"/>
    <w:rsid w:val="00DE4166"/>
    <w:rsid w:val="00DE4168"/>
    <w:rsid w:val="00DE42BB"/>
    <w:rsid w:val="00DE43BF"/>
    <w:rsid w:val="00DE5003"/>
    <w:rsid w:val="00DE609B"/>
    <w:rsid w:val="00DE67F5"/>
    <w:rsid w:val="00DE6A16"/>
    <w:rsid w:val="00DE76DB"/>
    <w:rsid w:val="00DF11B3"/>
    <w:rsid w:val="00DF16B0"/>
    <w:rsid w:val="00DF2830"/>
    <w:rsid w:val="00DF4315"/>
    <w:rsid w:val="00DF4592"/>
    <w:rsid w:val="00DF53F7"/>
    <w:rsid w:val="00DF6488"/>
    <w:rsid w:val="00DF7595"/>
    <w:rsid w:val="00E00E04"/>
    <w:rsid w:val="00E028C1"/>
    <w:rsid w:val="00E02ED5"/>
    <w:rsid w:val="00E03944"/>
    <w:rsid w:val="00E05ACD"/>
    <w:rsid w:val="00E07701"/>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2FC0"/>
    <w:rsid w:val="00E75044"/>
    <w:rsid w:val="00E75A65"/>
    <w:rsid w:val="00E7667C"/>
    <w:rsid w:val="00E77047"/>
    <w:rsid w:val="00E774FD"/>
    <w:rsid w:val="00E77705"/>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6C6F"/>
    <w:rsid w:val="00EA11C1"/>
    <w:rsid w:val="00EA170D"/>
    <w:rsid w:val="00EA1D3C"/>
    <w:rsid w:val="00EA3CC5"/>
    <w:rsid w:val="00EA428E"/>
    <w:rsid w:val="00EA6340"/>
    <w:rsid w:val="00EB03A2"/>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385E"/>
    <w:rsid w:val="00EE5849"/>
    <w:rsid w:val="00EE7F76"/>
    <w:rsid w:val="00EF01CA"/>
    <w:rsid w:val="00EF1102"/>
    <w:rsid w:val="00EF1378"/>
    <w:rsid w:val="00EF2AD8"/>
    <w:rsid w:val="00EF329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5AD"/>
    <w:rsid w:val="00F26C42"/>
    <w:rsid w:val="00F30A8B"/>
    <w:rsid w:val="00F31056"/>
    <w:rsid w:val="00F310E1"/>
    <w:rsid w:val="00F3161A"/>
    <w:rsid w:val="00F32D3C"/>
    <w:rsid w:val="00F3493F"/>
    <w:rsid w:val="00F34E5E"/>
    <w:rsid w:val="00F351DF"/>
    <w:rsid w:val="00F3526D"/>
    <w:rsid w:val="00F35F8D"/>
    <w:rsid w:val="00F36046"/>
    <w:rsid w:val="00F378A0"/>
    <w:rsid w:val="00F40240"/>
    <w:rsid w:val="00F448A8"/>
    <w:rsid w:val="00F44E21"/>
    <w:rsid w:val="00F45D54"/>
    <w:rsid w:val="00F46B1D"/>
    <w:rsid w:val="00F46B67"/>
    <w:rsid w:val="00F52239"/>
    <w:rsid w:val="00F52876"/>
    <w:rsid w:val="00F530AE"/>
    <w:rsid w:val="00F53270"/>
    <w:rsid w:val="00F559C3"/>
    <w:rsid w:val="00F5615B"/>
    <w:rsid w:val="00F57722"/>
    <w:rsid w:val="00F60AC0"/>
    <w:rsid w:val="00F619A4"/>
    <w:rsid w:val="00F63458"/>
    <w:rsid w:val="00F6396B"/>
    <w:rsid w:val="00F639B5"/>
    <w:rsid w:val="00F63AA2"/>
    <w:rsid w:val="00F6428E"/>
    <w:rsid w:val="00F646B5"/>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1F59"/>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86E"/>
    <w:rsid w:val="00FB088F"/>
    <w:rsid w:val="00FB13D2"/>
    <w:rsid w:val="00FB1D08"/>
    <w:rsid w:val="00FB1D27"/>
    <w:rsid w:val="00FB403C"/>
    <w:rsid w:val="00FC0F8E"/>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D6D6E"/>
    <w:rsid w:val="00FE13B0"/>
    <w:rsid w:val="00FE35C6"/>
    <w:rsid w:val="00FE458D"/>
    <w:rsid w:val="00FE5DDE"/>
    <w:rsid w:val="00FE75D1"/>
    <w:rsid w:val="00FE7627"/>
    <w:rsid w:val="00FF1A45"/>
    <w:rsid w:val="00FF1FF7"/>
    <w:rsid w:val="00FF2DC3"/>
    <w:rsid w:val="00FF4173"/>
    <w:rsid w:val="00FF5262"/>
    <w:rsid w:val="00FF5943"/>
    <w:rsid w:val="00FF5A73"/>
    <w:rsid w:val="00FF7E17"/>
    <w:rsid w:val="016814B1"/>
    <w:rsid w:val="01D51113"/>
    <w:rsid w:val="023A2E2C"/>
    <w:rsid w:val="02CB619B"/>
    <w:rsid w:val="0339199B"/>
    <w:rsid w:val="035C6341"/>
    <w:rsid w:val="03776CFE"/>
    <w:rsid w:val="03815C1E"/>
    <w:rsid w:val="04AF5486"/>
    <w:rsid w:val="04CF481B"/>
    <w:rsid w:val="04E67290"/>
    <w:rsid w:val="05516998"/>
    <w:rsid w:val="055238A3"/>
    <w:rsid w:val="0554557E"/>
    <w:rsid w:val="059C3DC1"/>
    <w:rsid w:val="06164F56"/>
    <w:rsid w:val="07592D58"/>
    <w:rsid w:val="08026668"/>
    <w:rsid w:val="083D0206"/>
    <w:rsid w:val="084A5214"/>
    <w:rsid w:val="085966E8"/>
    <w:rsid w:val="085D29AB"/>
    <w:rsid w:val="085F0594"/>
    <w:rsid w:val="08AD4124"/>
    <w:rsid w:val="08E80AB4"/>
    <w:rsid w:val="095F390F"/>
    <w:rsid w:val="09761BF8"/>
    <w:rsid w:val="09E21FE2"/>
    <w:rsid w:val="0A143D51"/>
    <w:rsid w:val="0A7F09E6"/>
    <w:rsid w:val="0AAC68B2"/>
    <w:rsid w:val="0ADC7583"/>
    <w:rsid w:val="0AEE4ADC"/>
    <w:rsid w:val="0B4C367F"/>
    <w:rsid w:val="0B95651A"/>
    <w:rsid w:val="0BE107DE"/>
    <w:rsid w:val="0D091D9A"/>
    <w:rsid w:val="0D1C7D1F"/>
    <w:rsid w:val="0D6358AB"/>
    <w:rsid w:val="0D767C8F"/>
    <w:rsid w:val="0D77267A"/>
    <w:rsid w:val="0DAF047E"/>
    <w:rsid w:val="0DB241E0"/>
    <w:rsid w:val="0DD77445"/>
    <w:rsid w:val="0E994293"/>
    <w:rsid w:val="0EAB697C"/>
    <w:rsid w:val="0EE053D2"/>
    <w:rsid w:val="0EED1247"/>
    <w:rsid w:val="0F602361"/>
    <w:rsid w:val="0F6E581A"/>
    <w:rsid w:val="0F7F2DF1"/>
    <w:rsid w:val="0F916077"/>
    <w:rsid w:val="108164BC"/>
    <w:rsid w:val="11072A94"/>
    <w:rsid w:val="11653413"/>
    <w:rsid w:val="11DA4319"/>
    <w:rsid w:val="124E2F7E"/>
    <w:rsid w:val="126D6123"/>
    <w:rsid w:val="12B00485"/>
    <w:rsid w:val="12DE120C"/>
    <w:rsid w:val="13B1655E"/>
    <w:rsid w:val="13B1687F"/>
    <w:rsid w:val="153D1B8E"/>
    <w:rsid w:val="156E18E9"/>
    <w:rsid w:val="15796B62"/>
    <w:rsid w:val="159643E7"/>
    <w:rsid w:val="16145045"/>
    <w:rsid w:val="16293AD8"/>
    <w:rsid w:val="1793394F"/>
    <w:rsid w:val="180D7CB1"/>
    <w:rsid w:val="18830246"/>
    <w:rsid w:val="18904AA8"/>
    <w:rsid w:val="191E7BCA"/>
    <w:rsid w:val="19D90F8F"/>
    <w:rsid w:val="1A1270E3"/>
    <w:rsid w:val="1A212CF6"/>
    <w:rsid w:val="1A5C6FD8"/>
    <w:rsid w:val="1A9A0F10"/>
    <w:rsid w:val="1B0E5A7A"/>
    <w:rsid w:val="1B14193F"/>
    <w:rsid w:val="1B46686F"/>
    <w:rsid w:val="1B5468D6"/>
    <w:rsid w:val="1BCD7546"/>
    <w:rsid w:val="1BED0AD9"/>
    <w:rsid w:val="1C2D0877"/>
    <w:rsid w:val="1C35242D"/>
    <w:rsid w:val="1C97655E"/>
    <w:rsid w:val="1D2E512B"/>
    <w:rsid w:val="1DA320D7"/>
    <w:rsid w:val="1DB904C5"/>
    <w:rsid w:val="1E576CB3"/>
    <w:rsid w:val="1F164BA3"/>
    <w:rsid w:val="1F372E01"/>
    <w:rsid w:val="1F5A0134"/>
    <w:rsid w:val="1F7113B2"/>
    <w:rsid w:val="1F7D602E"/>
    <w:rsid w:val="20224CC1"/>
    <w:rsid w:val="20392E29"/>
    <w:rsid w:val="2094332F"/>
    <w:rsid w:val="20DF0121"/>
    <w:rsid w:val="213D1BBA"/>
    <w:rsid w:val="216A25EE"/>
    <w:rsid w:val="217253F2"/>
    <w:rsid w:val="21972EF0"/>
    <w:rsid w:val="219A7F56"/>
    <w:rsid w:val="221A0BA8"/>
    <w:rsid w:val="221E19EC"/>
    <w:rsid w:val="222C5B99"/>
    <w:rsid w:val="22331AEF"/>
    <w:rsid w:val="22AC7E3E"/>
    <w:rsid w:val="22CD7100"/>
    <w:rsid w:val="23030608"/>
    <w:rsid w:val="24000B0D"/>
    <w:rsid w:val="243B796B"/>
    <w:rsid w:val="24CF6582"/>
    <w:rsid w:val="24D33CEE"/>
    <w:rsid w:val="25B20DC9"/>
    <w:rsid w:val="264D28A0"/>
    <w:rsid w:val="269B185D"/>
    <w:rsid w:val="26AA3F9A"/>
    <w:rsid w:val="27252BF1"/>
    <w:rsid w:val="27583DCB"/>
    <w:rsid w:val="278D6C65"/>
    <w:rsid w:val="27AE4D70"/>
    <w:rsid w:val="283D61C9"/>
    <w:rsid w:val="288527C5"/>
    <w:rsid w:val="288A7E1F"/>
    <w:rsid w:val="289B7554"/>
    <w:rsid w:val="2917568E"/>
    <w:rsid w:val="299F1664"/>
    <w:rsid w:val="29D356AD"/>
    <w:rsid w:val="2AAD4E88"/>
    <w:rsid w:val="2AE47783"/>
    <w:rsid w:val="2B263EBD"/>
    <w:rsid w:val="2B334FBF"/>
    <w:rsid w:val="2B545055"/>
    <w:rsid w:val="2B8423ED"/>
    <w:rsid w:val="2CB9783E"/>
    <w:rsid w:val="2CD81EA7"/>
    <w:rsid w:val="2D2A7C52"/>
    <w:rsid w:val="2E362BA9"/>
    <w:rsid w:val="2E830A4C"/>
    <w:rsid w:val="2E884DBD"/>
    <w:rsid w:val="2EA73716"/>
    <w:rsid w:val="30327475"/>
    <w:rsid w:val="30561C05"/>
    <w:rsid w:val="30E6493A"/>
    <w:rsid w:val="311F205E"/>
    <w:rsid w:val="31210309"/>
    <w:rsid w:val="31BA40D9"/>
    <w:rsid w:val="321C2C27"/>
    <w:rsid w:val="32612AE4"/>
    <w:rsid w:val="32C804EA"/>
    <w:rsid w:val="331B6501"/>
    <w:rsid w:val="34614EEB"/>
    <w:rsid w:val="34C12764"/>
    <w:rsid w:val="34EA7A1E"/>
    <w:rsid w:val="34F85D8A"/>
    <w:rsid w:val="354A59C6"/>
    <w:rsid w:val="35B10CD8"/>
    <w:rsid w:val="35B25CD8"/>
    <w:rsid w:val="369F27AF"/>
    <w:rsid w:val="36A77C00"/>
    <w:rsid w:val="36CA50CD"/>
    <w:rsid w:val="36D91C7E"/>
    <w:rsid w:val="376E0A72"/>
    <w:rsid w:val="3771091F"/>
    <w:rsid w:val="377A2F10"/>
    <w:rsid w:val="37983D42"/>
    <w:rsid w:val="37DD1DEF"/>
    <w:rsid w:val="37FA4319"/>
    <w:rsid w:val="381B4B51"/>
    <w:rsid w:val="38657F1D"/>
    <w:rsid w:val="38792107"/>
    <w:rsid w:val="38E45431"/>
    <w:rsid w:val="39E27207"/>
    <w:rsid w:val="3A0E3D7F"/>
    <w:rsid w:val="3A167C26"/>
    <w:rsid w:val="3A75445C"/>
    <w:rsid w:val="3A9A79E6"/>
    <w:rsid w:val="3ACA7BAC"/>
    <w:rsid w:val="3AF74FDF"/>
    <w:rsid w:val="3B0C58DD"/>
    <w:rsid w:val="3B0F22ED"/>
    <w:rsid w:val="3B515C19"/>
    <w:rsid w:val="3B975572"/>
    <w:rsid w:val="3BDE50C0"/>
    <w:rsid w:val="3C224E6C"/>
    <w:rsid w:val="3C791504"/>
    <w:rsid w:val="3D511C43"/>
    <w:rsid w:val="3DD65648"/>
    <w:rsid w:val="3E180CA4"/>
    <w:rsid w:val="3E492A9D"/>
    <w:rsid w:val="3EA7303F"/>
    <w:rsid w:val="3EAA2A2E"/>
    <w:rsid w:val="3F3A6CC1"/>
    <w:rsid w:val="3F6C4C64"/>
    <w:rsid w:val="3FA12AE7"/>
    <w:rsid w:val="3FDE185C"/>
    <w:rsid w:val="402C4AA5"/>
    <w:rsid w:val="404E159F"/>
    <w:rsid w:val="406C4A22"/>
    <w:rsid w:val="40954700"/>
    <w:rsid w:val="40A22263"/>
    <w:rsid w:val="40F60E05"/>
    <w:rsid w:val="41951CC4"/>
    <w:rsid w:val="419C52FA"/>
    <w:rsid w:val="41A63819"/>
    <w:rsid w:val="41B45826"/>
    <w:rsid w:val="42811FDE"/>
    <w:rsid w:val="437E0353"/>
    <w:rsid w:val="448D16D6"/>
    <w:rsid w:val="44DD6308"/>
    <w:rsid w:val="450C5A74"/>
    <w:rsid w:val="4548009D"/>
    <w:rsid w:val="456C481B"/>
    <w:rsid w:val="45880914"/>
    <w:rsid w:val="45A208FF"/>
    <w:rsid w:val="45CA13BF"/>
    <w:rsid w:val="45D34A34"/>
    <w:rsid w:val="45E20462"/>
    <w:rsid w:val="465504C9"/>
    <w:rsid w:val="46830090"/>
    <w:rsid w:val="46D37977"/>
    <w:rsid w:val="479E5F2A"/>
    <w:rsid w:val="47A36E74"/>
    <w:rsid w:val="47E96303"/>
    <w:rsid w:val="486442FE"/>
    <w:rsid w:val="4878293F"/>
    <w:rsid w:val="48D06FFE"/>
    <w:rsid w:val="491922AA"/>
    <w:rsid w:val="492A46E4"/>
    <w:rsid w:val="495F0E1B"/>
    <w:rsid w:val="496843D5"/>
    <w:rsid w:val="49B26B9D"/>
    <w:rsid w:val="4A2251C4"/>
    <w:rsid w:val="4A5F1DE4"/>
    <w:rsid w:val="4B1B667D"/>
    <w:rsid w:val="4C2B1AAF"/>
    <w:rsid w:val="4C316C9E"/>
    <w:rsid w:val="4C9A38A4"/>
    <w:rsid w:val="4CB2108E"/>
    <w:rsid w:val="4D2964E3"/>
    <w:rsid w:val="4D9C7AE5"/>
    <w:rsid w:val="4DDC11CB"/>
    <w:rsid w:val="4DE3275E"/>
    <w:rsid w:val="4E5B5865"/>
    <w:rsid w:val="4F2605B3"/>
    <w:rsid w:val="519E079B"/>
    <w:rsid w:val="51F95026"/>
    <w:rsid w:val="527E4AAC"/>
    <w:rsid w:val="52A92D1D"/>
    <w:rsid w:val="52B93069"/>
    <w:rsid w:val="53121CF3"/>
    <w:rsid w:val="534E5FDD"/>
    <w:rsid w:val="539411E0"/>
    <w:rsid w:val="53CA72F5"/>
    <w:rsid w:val="54122549"/>
    <w:rsid w:val="541330D5"/>
    <w:rsid w:val="54746B86"/>
    <w:rsid w:val="54A91265"/>
    <w:rsid w:val="54E06452"/>
    <w:rsid w:val="55382D7B"/>
    <w:rsid w:val="555E56FA"/>
    <w:rsid w:val="556F3C64"/>
    <w:rsid w:val="55C55442"/>
    <w:rsid w:val="55EC7130"/>
    <w:rsid w:val="569C630A"/>
    <w:rsid w:val="56D471B9"/>
    <w:rsid w:val="5741113E"/>
    <w:rsid w:val="574D7D61"/>
    <w:rsid w:val="58817EFF"/>
    <w:rsid w:val="589F3CA9"/>
    <w:rsid w:val="58A950FF"/>
    <w:rsid w:val="58D646AA"/>
    <w:rsid w:val="59305216"/>
    <w:rsid w:val="59A321FB"/>
    <w:rsid w:val="5A037552"/>
    <w:rsid w:val="5A2E76B3"/>
    <w:rsid w:val="5ABC4DE1"/>
    <w:rsid w:val="5ACE46A6"/>
    <w:rsid w:val="5BEF1B84"/>
    <w:rsid w:val="5BFB631F"/>
    <w:rsid w:val="5C630B77"/>
    <w:rsid w:val="5C982E14"/>
    <w:rsid w:val="5CA17795"/>
    <w:rsid w:val="5CA60A2B"/>
    <w:rsid w:val="5CD851F3"/>
    <w:rsid w:val="5CDB0592"/>
    <w:rsid w:val="5D494E68"/>
    <w:rsid w:val="5DD4783F"/>
    <w:rsid w:val="5E423CC7"/>
    <w:rsid w:val="5E6E17AA"/>
    <w:rsid w:val="5EAE0BD4"/>
    <w:rsid w:val="5ECB4B96"/>
    <w:rsid w:val="5EDA1163"/>
    <w:rsid w:val="5EF22C19"/>
    <w:rsid w:val="5F0720C0"/>
    <w:rsid w:val="5F0C1449"/>
    <w:rsid w:val="5F180B40"/>
    <w:rsid w:val="5F322057"/>
    <w:rsid w:val="5F4762BC"/>
    <w:rsid w:val="5F477198"/>
    <w:rsid w:val="5F994D4B"/>
    <w:rsid w:val="60206B9C"/>
    <w:rsid w:val="61747B97"/>
    <w:rsid w:val="61B91604"/>
    <w:rsid w:val="621517BC"/>
    <w:rsid w:val="621C14AD"/>
    <w:rsid w:val="62557A34"/>
    <w:rsid w:val="62926B95"/>
    <w:rsid w:val="62FC61E6"/>
    <w:rsid w:val="631338FF"/>
    <w:rsid w:val="63A2520E"/>
    <w:rsid w:val="63EC6927"/>
    <w:rsid w:val="643F41AB"/>
    <w:rsid w:val="6470105F"/>
    <w:rsid w:val="64E90B6D"/>
    <w:rsid w:val="653C162C"/>
    <w:rsid w:val="66430FEE"/>
    <w:rsid w:val="668D04BB"/>
    <w:rsid w:val="66D93700"/>
    <w:rsid w:val="67110DC2"/>
    <w:rsid w:val="672A5E48"/>
    <w:rsid w:val="674F01FA"/>
    <w:rsid w:val="677A0A3F"/>
    <w:rsid w:val="686D5EAE"/>
    <w:rsid w:val="68771BD2"/>
    <w:rsid w:val="68FA0415"/>
    <w:rsid w:val="69061E11"/>
    <w:rsid w:val="69123C78"/>
    <w:rsid w:val="691F6E62"/>
    <w:rsid w:val="69FD6FD7"/>
    <w:rsid w:val="6A035D30"/>
    <w:rsid w:val="6A0B5B1A"/>
    <w:rsid w:val="6A974BDB"/>
    <w:rsid w:val="6AD07D8E"/>
    <w:rsid w:val="6AFE2D65"/>
    <w:rsid w:val="6B0E00E5"/>
    <w:rsid w:val="6B1B2E20"/>
    <w:rsid w:val="6B626C6F"/>
    <w:rsid w:val="6B65775B"/>
    <w:rsid w:val="6BA27824"/>
    <w:rsid w:val="6BB0436D"/>
    <w:rsid w:val="6BE94F1F"/>
    <w:rsid w:val="6C353187"/>
    <w:rsid w:val="6D431148"/>
    <w:rsid w:val="6D532F72"/>
    <w:rsid w:val="6D7101EF"/>
    <w:rsid w:val="6E6E13D6"/>
    <w:rsid w:val="6EB97CB1"/>
    <w:rsid w:val="6F6873AE"/>
    <w:rsid w:val="6F971E6E"/>
    <w:rsid w:val="6F991C7F"/>
    <w:rsid w:val="6FAC6BCC"/>
    <w:rsid w:val="6FCE356B"/>
    <w:rsid w:val="701F4BD7"/>
    <w:rsid w:val="70926A15"/>
    <w:rsid w:val="70D32296"/>
    <w:rsid w:val="70E23ED0"/>
    <w:rsid w:val="714557AB"/>
    <w:rsid w:val="715B1CF9"/>
    <w:rsid w:val="717413BA"/>
    <w:rsid w:val="71D33A11"/>
    <w:rsid w:val="72004D0D"/>
    <w:rsid w:val="72697ED9"/>
    <w:rsid w:val="72D2080E"/>
    <w:rsid w:val="72FB0CA7"/>
    <w:rsid w:val="73412D47"/>
    <w:rsid w:val="735367A0"/>
    <w:rsid w:val="740B754B"/>
    <w:rsid w:val="745936DE"/>
    <w:rsid w:val="7480745B"/>
    <w:rsid w:val="75032472"/>
    <w:rsid w:val="75750A98"/>
    <w:rsid w:val="75E46B48"/>
    <w:rsid w:val="75E579CC"/>
    <w:rsid w:val="760A5DBE"/>
    <w:rsid w:val="766133B3"/>
    <w:rsid w:val="76C9709A"/>
    <w:rsid w:val="77F673D9"/>
    <w:rsid w:val="78283036"/>
    <w:rsid w:val="78C0027C"/>
    <w:rsid w:val="78DE51D5"/>
    <w:rsid w:val="78E421BD"/>
    <w:rsid w:val="791D0378"/>
    <w:rsid w:val="793C199B"/>
    <w:rsid w:val="7956473D"/>
    <w:rsid w:val="798126C5"/>
    <w:rsid w:val="79A228E7"/>
    <w:rsid w:val="79D44828"/>
    <w:rsid w:val="7A493DD5"/>
    <w:rsid w:val="7B614FBB"/>
    <w:rsid w:val="7BA46A5C"/>
    <w:rsid w:val="7BE82AE3"/>
    <w:rsid w:val="7C8901DA"/>
    <w:rsid w:val="7CB849F5"/>
    <w:rsid w:val="7CB91D79"/>
    <w:rsid w:val="7D50686A"/>
    <w:rsid w:val="7DA23B0D"/>
    <w:rsid w:val="7DD2140A"/>
    <w:rsid w:val="7E532A16"/>
    <w:rsid w:val="7EC27EA3"/>
    <w:rsid w:val="7F767479"/>
    <w:rsid w:val="7FA111F2"/>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03"/>
    <w:qFormat/>
    <w:uiPriority w:val="0"/>
    <w:pPr>
      <w:spacing w:before="100" w:beforeAutospacing="1" w:after="100" w:afterAutospacing="1"/>
      <w:jc w:val="left"/>
      <w:outlineLvl w:val="0"/>
    </w:pPr>
    <w:rPr>
      <w:rFonts w:hint="eastAsia" w:ascii="宋体" w:hAnsi="宋体"/>
      <w:b/>
      <w:kern w:val="44"/>
      <w:sz w:val="48"/>
      <w:szCs w:val="48"/>
    </w:rPr>
  </w:style>
  <w:style w:type="paragraph" w:styleId="5">
    <w:name w:val="heading 2"/>
    <w:basedOn w:val="1"/>
    <w:next w:val="6"/>
    <w:link w:val="104"/>
    <w:qFormat/>
    <w:uiPriority w:val="0"/>
    <w:pPr>
      <w:keepNext/>
      <w:keepLines/>
      <w:spacing w:before="260" w:after="260" w:line="413" w:lineRule="auto"/>
      <w:outlineLvl w:val="1"/>
    </w:pPr>
    <w:rPr>
      <w:rFonts w:ascii="Arial" w:hAnsi="Arial" w:eastAsia="黑体"/>
      <w:b/>
      <w:sz w:val="32"/>
    </w:rPr>
  </w:style>
  <w:style w:type="paragraph" w:styleId="7">
    <w:name w:val="heading 3"/>
    <w:basedOn w:val="1"/>
    <w:next w:val="1"/>
    <w:link w:val="105"/>
    <w:qFormat/>
    <w:uiPriority w:val="0"/>
    <w:pPr>
      <w:spacing w:before="100" w:beforeAutospacing="1" w:after="100" w:afterAutospacing="1"/>
      <w:jc w:val="left"/>
      <w:outlineLvl w:val="2"/>
    </w:pPr>
    <w:rPr>
      <w:rFonts w:hint="eastAsia" w:ascii="宋体" w:hAnsi="宋体"/>
      <w:b/>
      <w:kern w:val="0"/>
      <w:sz w:val="27"/>
      <w:szCs w:val="27"/>
    </w:rPr>
  </w:style>
  <w:style w:type="paragraph" w:styleId="8">
    <w:name w:val="heading 4"/>
    <w:basedOn w:val="1"/>
    <w:next w:val="1"/>
    <w:link w:val="106"/>
    <w:qFormat/>
    <w:uiPriority w:val="0"/>
    <w:pPr>
      <w:keepNext/>
      <w:keepLines/>
      <w:spacing w:before="280" w:after="290" w:line="372" w:lineRule="auto"/>
      <w:outlineLvl w:val="3"/>
    </w:pPr>
    <w:rPr>
      <w:rFonts w:ascii="Arial" w:hAnsi="Arial" w:eastAsia="黑体"/>
      <w:b/>
      <w:sz w:val="28"/>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eastAsia="宋体"/>
    </w:rPr>
  </w:style>
  <w:style w:type="paragraph" w:styleId="3">
    <w:name w:val="Body Text Indent"/>
    <w:basedOn w:val="1"/>
    <w:link w:val="122"/>
    <w:qFormat/>
    <w:uiPriority w:val="0"/>
    <w:pPr>
      <w:ind w:firstLine="830" w:firstLineChars="352"/>
    </w:pPr>
    <w:rPr>
      <w:rFonts w:ascii="仿宋_GB2312" w:eastAsia="仿宋_GB2312"/>
      <w:sz w:val="32"/>
      <w:szCs w:val="20"/>
    </w:rPr>
  </w:style>
  <w:style w:type="paragraph" w:styleId="6">
    <w:name w:val="Normal Indent"/>
    <w:basedOn w:val="1"/>
    <w:link w:val="116"/>
    <w:qFormat/>
    <w:uiPriority w:val="0"/>
    <w:pPr>
      <w:ind w:firstLine="420"/>
    </w:pPr>
    <w:rPr>
      <w:szCs w:val="20"/>
    </w:rPr>
  </w:style>
  <w:style w:type="paragraph" w:styleId="9">
    <w:name w:val="toc 7"/>
    <w:basedOn w:val="1"/>
    <w:next w:val="1"/>
    <w:qFormat/>
    <w:uiPriority w:val="39"/>
    <w:pPr>
      <w:ind w:left="1260"/>
      <w:jc w:val="left"/>
    </w:pPr>
    <w:rPr>
      <w:sz w:val="18"/>
      <w:szCs w:val="18"/>
    </w:rPr>
  </w:style>
  <w:style w:type="paragraph" w:styleId="10">
    <w:name w:val="caption"/>
    <w:basedOn w:val="1"/>
    <w:next w:val="1"/>
    <w:qFormat/>
    <w:uiPriority w:val="0"/>
    <w:rPr>
      <w:rFonts w:ascii="Arial" w:hAnsi="Arial" w:eastAsia="黑体" w:cs="Arial"/>
      <w:sz w:val="20"/>
      <w:szCs w:val="20"/>
    </w:rPr>
  </w:style>
  <w:style w:type="paragraph" w:styleId="11">
    <w:name w:val="Document Map"/>
    <w:basedOn w:val="1"/>
    <w:link w:val="99"/>
    <w:unhideWhenUsed/>
    <w:qFormat/>
    <w:uiPriority w:val="0"/>
    <w:rPr>
      <w:rFonts w:ascii="宋体"/>
      <w:sz w:val="18"/>
      <w:szCs w:val="18"/>
    </w:rPr>
  </w:style>
  <w:style w:type="paragraph" w:styleId="12">
    <w:name w:val="annotation text"/>
    <w:basedOn w:val="1"/>
    <w:link w:val="96"/>
    <w:unhideWhenUsed/>
    <w:qFormat/>
    <w:uiPriority w:val="0"/>
    <w:pPr>
      <w:jc w:val="left"/>
    </w:pPr>
  </w:style>
  <w:style w:type="paragraph" w:styleId="13">
    <w:name w:val="Body Text 3"/>
    <w:basedOn w:val="1"/>
    <w:link w:val="120"/>
    <w:qFormat/>
    <w:uiPriority w:val="0"/>
    <w:pPr>
      <w:spacing w:after="120"/>
    </w:pPr>
    <w:rPr>
      <w:sz w:val="16"/>
      <w:szCs w:val="16"/>
    </w:rPr>
  </w:style>
  <w:style w:type="paragraph" w:styleId="14">
    <w:name w:val="Body Text"/>
    <w:basedOn w:val="1"/>
    <w:link w:val="121"/>
    <w:qFormat/>
    <w:uiPriority w:val="0"/>
    <w:pPr>
      <w:spacing w:line="360" w:lineRule="auto"/>
    </w:pPr>
    <w:rPr>
      <w:szCs w:val="20"/>
    </w:rPr>
  </w:style>
  <w:style w:type="paragraph" w:styleId="15">
    <w:name w:val="toc 5"/>
    <w:basedOn w:val="1"/>
    <w:next w:val="1"/>
    <w:qFormat/>
    <w:uiPriority w:val="39"/>
    <w:pPr>
      <w:ind w:left="840"/>
      <w:jc w:val="left"/>
    </w:pPr>
    <w:rPr>
      <w:sz w:val="18"/>
      <w:szCs w:val="18"/>
    </w:rPr>
  </w:style>
  <w:style w:type="paragraph" w:styleId="16">
    <w:name w:val="toc 3"/>
    <w:basedOn w:val="1"/>
    <w:next w:val="1"/>
    <w:qFormat/>
    <w:uiPriority w:val="39"/>
    <w:pPr>
      <w:spacing w:line="300" w:lineRule="auto"/>
      <w:ind w:left="420"/>
      <w:jc w:val="left"/>
    </w:pPr>
    <w:rPr>
      <w:i/>
      <w:iCs/>
      <w:szCs w:val="20"/>
    </w:rPr>
  </w:style>
  <w:style w:type="paragraph" w:styleId="17">
    <w:name w:val="Plain Text"/>
    <w:basedOn w:val="1"/>
    <w:link w:val="98"/>
    <w:qFormat/>
    <w:uiPriority w:val="0"/>
    <w:rPr>
      <w:rFonts w:ascii="宋体" w:hAnsi="Courier New"/>
      <w:kern w:val="0"/>
      <w:sz w:val="20"/>
      <w:szCs w:val="21"/>
    </w:rPr>
  </w:style>
  <w:style w:type="paragraph" w:styleId="18">
    <w:name w:val="toc 8"/>
    <w:basedOn w:val="1"/>
    <w:next w:val="1"/>
    <w:qFormat/>
    <w:uiPriority w:val="39"/>
    <w:pPr>
      <w:ind w:left="1470"/>
      <w:jc w:val="left"/>
    </w:pPr>
    <w:rPr>
      <w:sz w:val="18"/>
      <w:szCs w:val="18"/>
    </w:rPr>
  </w:style>
  <w:style w:type="paragraph" w:styleId="19">
    <w:name w:val="Date"/>
    <w:basedOn w:val="1"/>
    <w:next w:val="1"/>
    <w:link w:val="107"/>
    <w:qFormat/>
    <w:uiPriority w:val="0"/>
    <w:rPr>
      <w:rFonts w:ascii="Calibri" w:hAnsi="Calibri"/>
      <w:szCs w:val="20"/>
    </w:rPr>
  </w:style>
  <w:style w:type="paragraph" w:styleId="20">
    <w:name w:val="Balloon Text"/>
    <w:basedOn w:val="1"/>
    <w:link w:val="94"/>
    <w:unhideWhenUsed/>
    <w:qFormat/>
    <w:uiPriority w:val="0"/>
    <w:rPr>
      <w:kern w:val="0"/>
      <w:sz w:val="18"/>
      <w:szCs w:val="18"/>
    </w:rPr>
  </w:style>
  <w:style w:type="paragraph" w:styleId="21">
    <w:name w:val="footer"/>
    <w:basedOn w:val="1"/>
    <w:link w:val="93"/>
    <w:unhideWhenUsed/>
    <w:qFormat/>
    <w:uiPriority w:val="0"/>
    <w:pPr>
      <w:tabs>
        <w:tab w:val="center" w:pos="4153"/>
        <w:tab w:val="right" w:pos="8306"/>
      </w:tabs>
      <w:snapToGrid w:val="0"/>
      <w:jc w:val="left"/>
    </w:pPr>
    <w:rPr>
      <w:sz w:val="18"/>
      <w:szCs w:val="18"/>
    </w:rPr>
  </w:style>
  <w:style w:type="paragraph" w:styleId="22">
    <w:name w:val="header"/>
    <w:basedOn w:val="1"/>
    <w:link w:val="92"/>
    <w:unhideWhenUsed/>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39"/>
    <w:pPr>
      <w:spacing w:before="120" w:after="120" w:line="360" w:lineRule="auto"/>
      <w:jc w:val="left"/>
    </w:pPr>
    <w:rPr>
      <w:b/>
      <w:bCs/>
      <w:caps/>
      <w:szCs w:val="20"/>
    </w:rPr>
  </w:style>
  <w:style w:type="paragraph" w:styleId="24">
    <w:name w:val="toc 4"/>
    <w:basedOn w:val="1"/>
    <w:next w:val="1"/>
    <w:qFormat/>
    <w:uiPriority w:val="39"/>
    <w:pPr>
      <w:ind w:left="630"/>
      <w:jc w:val="left"/>
    </w:pPr>
    <w:rPr>
      <w:sz w:val="18"/>
      <w:szCs w:val="18"/>
    </w:rPr>
  </w:style>
  <w:style w:type="paragraph" w:styleId="25">
    <w:name w:val="index heading"/>
    <w:basedOn w:val="1"/>
    <w:next w:val="26"/>
    <w:qFormat/>
    <w:uiPriority w:val="0"/>
    <w:rPr>
      <w:szCs w:val="20"/>
    </w:rPr>
  </w:style>
  <w:style w:type="paragraph" w:styleId="26">
    <w:name w:val="index 1"/>
    <w:basedOn w:val="1"/>
    <w:next w:val="1"/>
    <w:unhideWhenUsed/>
    <w:qFormat/>
    <w:uiPriority w:val="0"/>
    <w:rPr>
      <w:rFonts w:ascii="Calibri" w:hAnsi="Calibri"/>
    </w:rPr>
  </w:style>
  <w:style w:type="paragraph" w:styleId="27">
    <w:name w:val="toc 6"/>
    <w:basedOn w:val="1"/>
    <w:next w:val="1"/>
    <w:qFormat/>
    <w:uiPriority w:val="39"/>
    <w:pPr>
      <w:ind w:left="1050"/>
      <w:jc w:val="left"/>
    </w:pPr>
    <w:rPr>
      <w:sz w:val="18"/>
      <w:szCs w:val="18"/>
    </w:rPr>
  </w:style>
  <w:style w:type="paragraph" w:styleId="28">
    <w:name w:val="Body Text Indent 3"/>
    <w:basedOn w:val="1"/>
    <w:link w:val="123"/>
    <w:qFormat/>
    <w:uiPriority w:val="0"/>
    <w:pPr>
      <w:spacing w:line="360" w:lineRule="auto"/>
      <w:ind w:firstLine="420" w:firstLineChars="200"/>
    </w:pPr>
    <w:rPr>
      <w:szCs w:val="20"/>
    </w:rPr>
  </w:style>
  <w:style w:type="paragraph" w:styleId="29">
    <w:name w:val="toc 2"/>
    <w:basedOn w:val="1"/>
    <w:next w:val="1"/>
    <w:qFormat/>
    <w:uiPriority w:val="39"/>
    <w:pPr>
      <w:spacing w:line="360" w:lineRule="auto"/>
      <w:ind w:left="210"/>
      <w:jc w:val="left"/>
    </w:pPr>
    <w:rPr>
      <w:smallCaps/>
      <w:szCs w:val="20"/>
    </w:rPr>
  </w:style>
  <w:style w:type="paragraph" w:styleId="30">
    <w:name w:val="toc 9"/>
    <w:basedOn w:val="1"/>
    <w:next w:val="1"/>
    <w:qFormat/>
    <w:uiPriority w:val="39"/>
    <w:pPr>
      <w:ind w:left="1680"/>
      <w:jc w:val="left"/>
    </w:pPr>
    <w:rPr>
      <w:sz w:val="18"/>
      <w:szCs w:val="18"/>
    </w:rPr>
  </w:style>
  <w:style w:type="paragraph" w:styleId="31">
    <w:name w:val="Body Text 2"/>
    <w:basedOn w:val="1"/>
    <w:link w:val="129"/>
    <w:qFormat/>
    <w:uiPriority w:val="0"/>
    <w:pPr>
      <w:spacing w:after="120" w:line="480" w:lineRule="auto"/>
    </w:pPr>
  </w:style>
  <w:style w:type="paragraph" w:styleId="32">
    <w:name w:val="HTML Preformatted"/>
    <w:basedOn w:val="1"/>
    <w:link w:val="111"/>
    <w:qFormat/>
    <w:uiPriority w:val="99"/>
    <w:pPr>
      <w:widowControl/>
      <w:jc w:val="left"/>
    </w:pPr>
    <w:rPr>
      <w:rFonts w:ascii="黑体" w:hAnsi="Courier New" w:eastAsia="黑体" w:cs="Courier New"/>
      <w:kern w:val="0"/>
      <w:sz w:val="20"/>
      <w:szCs w:val="21"/>
    </w:rPr>
  </w:style>
  <w:style w:type="paragraph" w:styleId="33">
    <w:name w:val="Normal (Web)"/>
    <w:basedOn w:val="1"/>
    <w:qFormat/>
    <w:uiPriority w:val="99"/>
    <w:pPr>
      <w:widowControl/>
      <w:spacing w:beforeAutospacing="1" w:afterAutospacing="1"/>
      <w:jc w:val="left"/>
    </w:pPr>
    <w:rPr>
      <w:rFonts w:ascii="宋体" w:hAnsi="宋体"/>
      <w:color w:val="000000"/>
      <w:kern w:val="0"/>
      <w:sz w:val="24"/>
    </w:rPr>
  </w:style>
  <w:style w:type="paragraph" w:styleId="34">
    <w:name w:val="Title"/>
    <w:basedOn w:val="1"/>
    <w:link w:val="119"/>
    <w:qFormat/>
    <w:uiPriority w:val="0"/>
    <w:pPr>
      <w:spacing w:before="240" w:after="60"/>
      <w:jc w:val="center"/>
      <w:outlineLvl w:val="0"/>
    </w:pPr>
    <w:rPr>
      <w:rFonts w:ascii="Arial" w:hAnsi="Arial" w:cs="Arial"/>
      <w:b/>
      <w:bCs/>
      <w:sz w:val="32"/>
      <w:szCs w:val="32"/>
    </w:rPr>
  </w:style>
  <w:style w:type="paragraph" w:styleId="35">
    <w:name w:val="annotation subject"/>
    <w:basedOn w:val="12"/>
    <w:next w:val="12"/>
    <w:link w:val="97"/>
    <w:unhideWhenUsed/>
    <w:qFormat/>
    <w:uiPriority w:val="0"/>
    <w:rPr>
      <w:b/>
      <w:bCs/>
    </w:rPr>
  </w:style>
  <w:style w:type="paragraph" w:styleId="36">
    <w:name w:val="Body Text First Indent"/>
    <w:basedOn w:val="14"/>
    <w:link w:val="124"/>
    <w:qFormat/>
    <w:uiPriority w:val="0"/>
    <w:pPr>
      <w:spacing w:after="120" w:line="240" w:lineRule="auto"/>
      <w:ind w:firstLine="420" w:firstLineChars="100"/>
    </w:pPr>
    <w:rPr>
      <w:szCs w:val="24"/>
    </w:r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qFormat/>
    <w:uiPriority w:val="0"/>
    <w:rPr>
      <w:b/>
    </w:rPr>
  </w:style>
  <w:style w:type="character" w:styleId="41">
    <w:name w:val="page number"/>
    <w:basedOn w:val="39"/>
    <w:qFormat/>
    <w:uiPriority w:val="0"/>
  </w:style>
  <w:style w:type="character" w:styleId="42">
    <w:name w:val="FollowedHyperlink"/>
    <w:unhideWhenUsed/>
    <w:qFormat/>
    <w:uiPriority w:val="99"/>
    <w:rPr>
      <w:color w:val="954F72"/>
      <w:u w:val="single"/>
    </w:rPr>
  </w:style>
  <w:style w:type="character" w:styleId="43">
    <w:name w:val="Hyperlink"/>
    <w:unhideWhenUsed/>
    <w:qFormat/>
    <w:uiPriority w:val="99"/>
    <w:rPr>
      <w:color w:val="0000FF"/>
      <w:u w:val="single"/>
    </w:rPr>
  </w:style>
  <w:style w:type="character" w:styleId="44">
    <w:name w:val="annotation reference"/>
    <w:unhideWhenUsed/>
    <w:qFormat/>
    <w:uiPriority w:val="0"/>
    <w:rPr>
      <w:sz w:val="21"/>
      <w:szCs w:val="21"/>
    </w:rPr>
  </w:style>
  <w:style w:type="paragraph" w:customStyle="1" w:styleId="45">
    <w:name w:val="列表段落1"/>
    <w:basedOn w:val="1"/>
    <w:link w:val="95"/>
    <w:qFormat/>
    <w:uiPriority w:val="0"/>
    <w:pPr>
      <w:ind w:firstLine="420" w:firstLineChars="200"/>
    </w:pPr>
  </w:style>
  <w:style w:type="paragraph" w:customStyle="1" w:styleId="46">
    <w:name w:val="列出段落1"/>
    <w:basedOn w:val="1"/>
    <w:qFormat/>
    <w:uiPriority w:val="0"/>
    <w:pPr>
      <w:ind w:firstLine="420" w:firstLineChars="200"/>
    </w:pPr>
  </w:style>
  <w:style w:type="paragraph" w:customStyle="1" w:styleId="47">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纯文本1"/>
    <w:basedOn w:val="1"/>
    <w:link w:val="102"/>
    <w:qFormat/>
    <w:uiPriority w:val="0"/>
    <w:rPr>
      <w:rFonts w:ascii="宋体" w:hAnsi="Courier New"/>
      <w:kern w:val="0"/>
      <w:sz w:val="20"/>
      <w:szCs w:val="20"/>
    </w:rPr>
  </w:style>
  <w:style w:type="paragraph" w:customStyle="1" w:styleId="49">
    <w:name w:val="列表段落2"/>
    <w:basedOn w:val="1"/>
    <w:qFormat/>
    <w:uiPriority w:val="34"/>
    <w:pPr>
      <w:ind w:firstLine="420" w:firstLineChars="200"/>
    </w:pPr>
  </w:style>
  <w:style w:type="paragraph" w:customStyle="1" w:styleId="50">
    <w:name w:val="表格文字"/>
    <w:basedOn w:val="1"/>
    <w:qFormat/>
    <w:uiPriority w:val="0"/>
    <w:pPr>
      <w:jc w:val="left"/>
    </w:pPr>
    <w:rPr>
      <w:rFonts w:ascii="Calibri" w:hAnsi="Calibri"/>
      <w:bCs/>
      <w:spacing w:val="10"/>
      <w:kern w:val="0"/>
      <w:sz w:val="24"/>
      <w:szCs w:val="20"/>
    </w:rPr>
  </w:style>
  <w:style w:type="paragraph" w:customStyle="1" w:styleId="51">
    <w:name w:val="正文1"/>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2">
    <w:name w:val="Blockquote"/>
    <w:basedOn w:val="1"/>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3">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54">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5">
    <w:name w:val="xl6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5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8">
    <w:name w:val="Char Char2 Char"/>
    <w:basedOn w:val="1"/>
    <w:qFormat/>
    <w:uiPriority w:val="0"/>
    <w:rPr>
      <w:rFonts w:ascii="宋体" w:hAnsi="宋体"/>
      <w:b/>
      <w:sz w:val="28"/>
      <w:szCs w:val="28"/>
    </w:rPr>
  </w:style>
  <w:style w:type="paragraph" w:customStyle="1" w:styleId="59">
    <w:name w:val="Char Char Char Char Char Char Char Char Char Char"/>
    <w:basedOn w:val="1"/>
    <w:qFormat/>
    <w:uiPriority w:val="0"/>
    <w:rPr>
      <w:rFonts w:ascii="Tahoma" w:hAnsi="Tahoma"/>
      <w:sz w:val="24"/>
      <w:szCs w:val="20"/>
    </w:rPr>
  </w:style>
  <w:style w:type="paragraph" w:customStyle="1" w:styleId="60">
    <w:name w:val="Char Char Char Char Char Char Char"/>
    <w:basedOn w:val="1"/>
    <w:qFormat/>
    <w:uiPriority w:val="0"/>
    <w:pPr>
      <w:tabs>
        <w:tab w:val="left" w:pos="425"/>
      </w:tabs>
      <w:ind w:left="425" w:hanging="425"/>
    </w:pPr>
    <w:rPr>
      <w:rFonts w:eastAsia="仿宋_GB2312"/>
      <w:kern w:val="24"/>
      <w:sz w:val="24"/>
    </w:rPr>
  </w:style>
  <w:style w:type="paragraph" w:customStyle="1" w:styleId="61">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2">
    <w:name w:val="正文标题"/>
    <w:basedOn w:val="1"/>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3">
    <w:name w:val="大标题"/>
    <w:basedOn w:val="4"/>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4">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5">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66">
    <w:name w:val="_Style 2"/>
    <w:basedOn w:val="1"/>
    <w:qFormat/>
    <w:uiPriority w:val="34"/>
    <w:pPr>
      <w:ind w:firstLine="420" w:firstLineChars="200"/>
    </w:pPr>
  </w:style>
  <w:style w:type="paragraph" w:customStyle="1" w:styleId="67">
    <w:name w:val="Char Char1"/>
    <w:basedOn w:val="1"/>
    <w:qFormat/>
    <w:uiPriority w:val="0"/>
    <w:rPr>
      <w:rFonts w:ascii="宋体" w:hAnsi="宋体"/>
      <w:b/>
      <w:sz w:val="28"/>
      <w:szCs w:val="28"/>
    </w:rPr>
  </w:style>
  <w:style w:type="paragraph" w:customStyle="1" w:styleId="68">
    <w:name w:val="默认段落字体 Para Char"/>
    <w:basedOn w:val="1"/>
    <w:qFormat/>
    <w:uiPriority w:val="0"/>
    <w:rPr>
      <w:rFonts w:ascii="宋体" w:hAnsi="宋体"/>
      <w:b/>
      <w:sz w:val="28"/>
      <w:szCs w:val="28"/>
    </w:rPr>
  </w:style>
  <w:style w:type="paragraph" w:customStyle="1" w:styleId="69">
    <w:name w:val="办公自动化专用标题"/>
    <w:basedOn w:val="34"/>
    <w:qFormat/>
    <w:uiPriority w:val="0"/>
    <w:pPr>
      <w:spacing w:line="560" w:lineRule="atLeast"/>
    </w:pPr>
    <w:rPr>
      <w:rFonts w:ascii="宋体" w:cs="Times New Roman"/>
      <w:bCs w:val="0"/>
      <w:sz w:val="44"/>
      <w:szCs w:val="20"/>
    </w:rPr>
  </w:style>
  <w:style w:type="paragraph" w:customStyle="1" w:styleId="70">
    <w:name w:val="_Style 1"/>
    <w:basedOn w:val="1"/>
    <w:qFormat/>
    <w:uiPriority w:val="34"/>
    <w:pPr>
      <w:ind w:firstLine="420" w:firstLineChars="200"/>
    </w:pPr>
  </w:style>
  <w:style w:type="paragraph" w:customStyle="1" w:styleId="71">
    <w:name w:val="p0"/>
    <w:basedOn w:val="1"/>
    <w:qFormat/>
    <w:uiPriority w:val="0"/>
    <w:pPr>
      <w:widowControl/>
    </w:pPr>
    <w:rPr>
      <w:kern w:val="0"/>
      <w:szCs w:val="21"/>
    </w:rPr>
  </w:style>
  <w:style w:type="paragraph" w:customStyle="1" w:styleId="72">
    <w:name w:val="Char Char1 Char Char Char Char Char Char"/>
    <w:basedOn w:val="1"/>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3">
    <w:name w:val="HLegal 2"/>
    <w:basedOn w:val="1"/>
    <w:qFormat/>
    <w:uiPriority w:val="0"/>
    <w:pPr>
      <w:widowControl/>
      <w:spacing w:beforeLines="50" w:afterLines="50" w:line="300" w:lineRule="auto"/>
      <w:ind w:left="1"/>
      <w:jc w:val="left"/>
    </w:pPr>
    <w:rPr>
      <w:rFonts w:ascii="宋体" w:hAnsi="宋体" w:cs="宋体"/>
      <w:bCs/>
      <w:kern w:val="0"/>
      <w:sz w:val="24"/>
    </w:rPr>
  </w:style>
  <w:style w:type="paragraph" w:customStyle="1" w:styleId="74">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5">
    <w:name w:val="题注4"/>
    <w:basedOn w:val="1"/>
    <w:next w:val="10"/>
    <w:qFormat/>
    <w:uiPriority w:val="0"/>
    <w:pPr>
      <w:ind w:left="-132" w:leftChars="-64" w:right="-105" w:rightChars="-50" w:hanging="2"/>
      <w:jc w:val="center"/>
    </w:pPr>
    <w:rPr>
      <w:b/>
      <w:color w:val="FF0000"/>
      <w:szCs w:val="21"/>
    </w:rPr>
  </w:style>
  <w:style w:type="paragraph" w:customStyle="1" w:styleId="76">
    <w:name w:val="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77">
    <w:name w:val="默认段落字体 Para Char Char Char Char"/>
    <w:basedOn w:val="1"/>
    <w:qFormat/>
    <w:uiPriority w:val="0"/>
    <w:pPr>
      <w:spacing w:line="360" w:lineRule="auto"/>
      <w:ind w:firstLine="200" w:firstLineChars="200"/>
    </w:pPr>
    <w:rPr>
      <w:rFonts w:ascii="宋体" w:hAnsi="宋体" w:cs="宋体"/>
      <w:sz w:val="24"/>
    </w:rPr>
  </w:style>
  <w:style w:type="paragraph" w:customStyle="1" w:styleId="78">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9">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80">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1">
    <w:name w:val="表头"/>
    <w:basedOn w:val="10"/>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2">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83">
    <w:name w:val="题注5"/>
    <w:basedOn w:val="1"/>
    <w:next w:val="10"/>
    <w:qFormat/>
    <w:uiPriority w:val="0"/>
    <w:pPr>
      <w:jc w:val="center"/>
    </w:pPr>
    <w:rPr>
      <w:b/>
      <w:color w:val="000000"/>
      <w:sz w:val="24"/>
      <w:szCs w:val="21"/>
    </w:rPr>
  </w:style>
  <w:style w:type="paragraph" w:customStyle="1" w:styleId="84">
    <w:name w:val="修订1"/>
    <w:hidden/>
    <w:unhideWhenUsed/>
    <w:qFormat/>
    <w:uiPriority w:val="99"/>
    <w:rPr>
      <w:rFonts w:ascii="Calibri" w:hAnsi="Calibri" w:eastAsia="宋体" w:cs="Times New Roman"/>
      <w:kern w:val="2"/>
      <w:sz w:val="21"/>
      <w:szCs w:val="24"/>
      <w:lang w:val="en-US" w:eastAsia="zh-CN" w:bidi="ar-SA"/>
    </w:rPr>
  </w:style>
  <w:style w:type="paragraph" w:customStyle="1" w:styleId="85">
    <w:name w:val="_Style 95"/>
    <w:basedOn w:val="1"/>
    <w:next w:val="49"/>
    <w:qFormat/>
    <w:uiPriority w:val="0"/>
    <w:pPr>
      <w:ind w:firstLine="420" w:firstLineChars="200"/>
    </w:pPr>
    <w:rPr>
      <w:rFonts w:ascii="Calibri" w:hAnsi="Calibri"/>
      <w:szCs w:val="22"/>
    </w:rPr>
  </w:style>
  <w:style w:type="paragraph" w:customStyle="1" w:styleId="86">
    <w:name w:val="_Style 126"/>
    <w:basedOn w:val="1"/>
    <w:next w:val="49"/>
    <w:qFormat/>
    <w:uiPriority w:val="34"/>
    <w:pPr>
      <w:ind w:firstLine="420" w:firstLineChars="200"/>
    </w:pPr>
    <w:rPr>
      <w:rFonts w:ascii="Calibri" w:hAnsi="Calibri"/>
      <w:szCs w:val="22"/>
    </w:rPr>
  </w:style>
  <w:style w:type="paragraph" w:customStyle="1" w:styleId="87">
    <w:name w:val="4"/>
    <w:basedOn w:val="1"/>
    <w:next w:val="1"/>
    <w:qFormat/>
    <w:uiPriority w:val="0"/>
    <w:pPr>
      <w:spacing w:after="120"/>
    </w:pPr>
    <w:rPr>
      <w:szCs w:val="20"/>
    </w:rPr>
  </w:style>
  <w:style w:type="paragraph" w:customStyle="1" w:styleId="88">
    <w:name w:val="_Style 128"/>
    <w:basedOn w:val="1"/>
    <w:next w:val="49"/>
    <w:qFormat/>
    <w:uiPriority w:val="34"/>
    <w:pPr>
      <w:ind w:firstLine="420" w:firstLineChars="200"/>
    </w:pPr>
    <w:rPr>
      <w:rFonts w:ascii="Calibri" w:hAnsi="Calibri"/>
      <w:szCs w:val="22"/>
    </w:rPr>
  </w:style>
  <w:style w:type="paragraph" w:customStyle="1" w:styleId="89">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90">
    <w:name w:val="列出段落2"/>
    <w:basedOn w:val="1"/>
    <w:qFormat/>
    <w:uiPriority w:val="99"/>
    <w:pPr>
      <w:ind w:firstLine="420" w:firstLineChars="200"/>
    </w:pPr>
    <w:rPr>
      <w:szCs w:val="21"/>
    </w:rPr>
  </w:style>
  <w:style w:type="paragraph" w:customStyle="1" w:styleId="91">
    <w:name w:val="HTML 预设格式3"/>
    <w:basedOn w:val="1"/>
    <w:qFormat/>
    <w:uiPriority w:val="0"/>
    <w:pPr>
      <w:widowControl/>
      <w:jc w:val="left"/>
    </w:pPr>
    <w:rPr>
      <w:rFonts w:hint="eastAsia" w:ascii="黑体" w:hAnsi="Courier New" w:eastAsia="黑体"/>
      <w:szCs w:val="21"/>
    </w:rPr>
  </w:style>
  <w:style w:type="character" w:customStyle="1" w:styleId="92">
    <w:name w:val="页眉 Char"/>
    <w:link w:val="22"/>
    <w:qFormat/>
    <w:uiPriority w:val="99"/>
    <w:rPr>
      <w:rFonts w:ascii="Times New Roman" w:hAnsi="Times New Roman"/>
      <w:kern w:val="2"/>
      <w:sz w:val="18"/>
      <w:szCs w:val="18"/>
    </w:rPr>
  </w:style>
  <w:style w:type="character" w:customStyle="1" w:styleId="93">
    <w:name w:val="页脚 Char"/>
    <w:link w:val="21"/>
    <w:qFormat/>
    <w:uiPriority w:val="99"/>
    <w:rPr>
      <w:rFonts w:ascii="Times New Roman" w:hAnsi="Times New Roman"/>
      <w:kern w:val="2"/>
      <w:sz w:val="18"/>
      <w:szCs w:val="18"/>
    </w:rPr>
  </w:style>
  <w:style w:type="character" w:customStyle="1" w:styleId="94">
    <w:name w:val="批注框文本 Char"/>
    <w:link w:val="20"/>
    <w:qFormat/>
    <w:uiPriority w:val="0"/>
    <w:rPr>
      <w:rFonts w:ascii="Times New Roman" w:hAnsi="Times New Roman" w:eastAsia="宋体" w:cs="Times New Roman"/>
      <w:sz w:val="18"/>
      <w:szCs w:val="18"/>
    </w:rPr>
  </w:style>
  <w:style w:type="character" w:customStyle="1" w:styleId="95">
    <w:name w:val="列表段落 字符"/>
    <w:link w:val="45"/>
    <w:qFormat/>
    <w:uiPriority w:val="34"/>
    <w:rPr>
      <w:kern w:val="2"/>
      <w:sz w:val="21"/>
      <w:szCs w:val="24"/>
    </w:rPr>
  </w:style>
  <w:style w:type="character" w:customStyle="1" w:styleId="96">
    <w:name w:val="批注文字 Char"/>
    <w:link w:val="12"/>
    <w:qFormat/>
    <w:uiPriority w:val="0"/>
    <w:rPr>
      <w:kern w:val="2"/>
      <w:sz w:val="21"/>
      <w:szCs w:val="24"/>
    </w:rPr>
  </w:style>
  <w:style w:type="character" w:customStyle="1" w:styleId="97">
    <w:name w:val="批注主题 Char"/>
    <w:link w:val="35"/>
    <w:qFormat/>
    <w:uiPriority w:val="0"/>
    <w:rPr>
      <w:b/>
      <w:bCs/>
      <w:kern w:val="2"/>
      <w:sz w:val="21"/>
      <w:szCs w:val="24"/>
    </w:rPr>
  </w:style>
  <w:style w:type="character" w:customStyle="1" w:styleId="98">
    <w:name w:val="纯文本 Char2"/>
    <w:link w:val="17"/>
    <w:qFormat/>
    <w:uiPriority w:val="99"/>
    <w:rPr>
      <w:rFonts w:ascii="宋体" w:hAnsi="Courier New"/>
      <w:szCs w:val="21"/>
    </w:rPr>
  </w:style>
  <w:style w:type="character" w:customStyle="1" w:styleId="99">
    <w:name w:val="文档结构图 Char"/>
    <w:link w:val="11"/>
    <w:qFormat/>
    <w:uiPriority w:val="0"/>
    <w:rPr>
      <w:rFonts w:ascii="宋体"/>
      <w:kern w:val="2"/>
      <w:sz w:val="18"/>
      <w:szCs w:val="18"/>
    </w:rPr>
  </w:style>
  <w:style w:type="character" w:customStyle="1" w:styleId="100">
    <w:name w:val="纯文本 Char"/>
    <w:semiHidden/>
    <w:qFormat/>
    <w:uiPriority w:val="99"/>
    <w:rPr>
      <w:rFonts w:ascii="宋体" w:hAnsi="Courier New"/>
      <w:kern w:val="2"/>
      <w:sz w:val="21"/>
    </w:rPr>
  </w:style>
  <w:style w:type="character" w:customStyle="1" w:styleId="101">
    <w:name w:val="列出段落 Char"/>
    <w:qFormat/>
    <w:locked/>
    <w:uiPriority w:val="99"/>
  </w:style>
  <w:style w:type="character" w:customStyle="1" w:styleId="102">
    <w:name w:val="纯文本 Char1"/>
    <w:link w:val="48"/>
    <w:qFormat/>
    <w:locked/>
    <w:uiPriority w:val="99"/>
    <w:rPr>
      <w:rFonts w:ascii="宋体" w:hAnsi="Courier New"/>
    </w:rPr>
  </w:style>
  <w:style w:type="character" w:customStyle="1" w:styleId="103">
    <w:name w:val="标题 1 Char"/>
    <w:link w:val="4"/>
    <w:qFormat/>
    <w:uiPriority w:val="0"/>
    <w:rPr>
      <w:rFonts w:ascii="宋体" w:hAnsi="宋体"/>
      <w:b/>
      <w:kern w:val="44"/>
      <w:sz w:val="48"/>
      <w:szCs w:val="48"/>
    </w:rPr>
  </w:style>
  <w:style w:type="character" w:customStyle="1" w:styleId="104">
    <w:name w:val="标题 2 Char1"/>
    <w:link w:val="5"/>
    <w:qFormat/>
    <w:uiPriority w:val="0"/>
    <w:rPr>
      <w:rFonts w:ascii="Arial" w:hAnsi="Arial" w:eastAsia="黑体"/>
      <w:b/>
      <w:kern w:val="2"/>
      <w:sz w:val="32"/>
      <w:szCs w:val="24"/>
    </w:rPr>
  </w:style>
  <w:style w:type="character" w:customStyle="1" w:styleId="105">
    <w:name w:val="标题 3 Char"/>
    <w:link w:val="7"/>
    <w:qFormat/>
    <w:uiPriority w:val="0"/>
    <w:rPr>
      <w:rFonts w:ascii="宋体" w:hAnsi="宋体"/>
      <w:b/>
      <w:sz w:val="27"/>
      <w:szCs w:val="27"/>
    </w:rPr>
  </w:style>
  <w:style w:type="character" w:customStyle="1" w:styleId="106">
    <w:name w:val="标题 4 Char"/>
    <w:link w:val="8"/>
    <w:qFormat/>
    <w:uiPriority w:val="0"/>
    <w:rPr>
      <w:rFonts w:ascii="Arial" w:hAnsi="Arial" w:eastAsia="黑体"/>
      <w:b/>
      <w:kern w:val="2"/>
      <w:sz w:val="28"/>
      <w:szCs w:val="24"/>
    </w:rPr>
  </w:style>
  <w:style w:type="character" w:customStyle="1" w:styleId="107">
    <w:name w:val="日期 Char"/>
    <w:link w:val="19"/>
    <w:qFormat/>
    <w:uiPriority w:val="0"/>
    <w:rPr>
      <w:rFonts w:ascii="Calibri" w:hAnsi="Calibri"/>
      <w:kern w:val="2"/>
      <w:sz w:val="21"/>
    </w:rPr>
  </w:style>
  <w:style w:type="character" w:customStyle="1" w:styleId="108">
    <w:name w:val="A4"/>
    <w:qFormat/>
    <w:uiPriority w:val="0"/>
    <w:rPr>
      <w:rFonts w:hint="eastAsia" w:ascii="新宋体" w:hAnsi="新宋体" w:eastAsia="新宋体" w:cs="新宋体"/>
      <w:color w:val="000000"/>
    </w:rPr>
  </w:style>
  <w:style w:type="character" w:customStyle="1" w:styleId="109">
    <w:name w:val="纯文本 Char Char1"/>
    <w:qFormat/>
    <w:uiPriority w:val="0"/>
    <w:rPr>
      <w:rFonts w:ascii="宋体" w:hAnsi="Courier New" w:eastAsia="宋体"/>
      <w:kern w:val="2"/>
      <w:sz w:val="21"/>
      <w:szCs w:val="24"/>
      <w:lang w:val="en-US" w:eastAsia="zh-CN" w:bidi="ar-SA"/>
    </w:rPr>
  </w:style>
  <w:style w:type="character" w:customStyle="1" w:styleId="110">
    <w:name w:val="文档结构图 字符1"/>
    <w:semiHidden/>
    <w:qFormat/>
    <w:uiPriority w:val="0"/>
    <w:rPr>
      <w:rFonts w:ascii="Microsoft YaHei UI" w:hAnsi="Calibri" w:eastAsia="Microsoft YaHei UI"/>
      <w:kern w:val="2"/>
      <w:sz w:val="18"/>
      <w:szCs w:val="18"/>
    </w:rPr>
  </w:style>
  <w:style w:type="character" w:customStyle="1" w:styleId="111">
    <w:name w:val="HTML 预设格式 Char2"/>
    <w:link w:val="32"/>
    <w:qFormat/>
    <w:uiPriority w:val="99"/>
    <w:rPr>
      <w:rFonts w:ascii="黑体" w:hAnsi="Courier New" w:eastAsia="黑体" w:cs="Courier New"/>
      <w:szCs w:val="21"/>
    </w:rPr>
  </w:style>
  <w:style w:type="character" w:customStyle="1" w:styleId="112">
    <w:name w:val="HTML 预设格式 字符1"/>
    <w:qFormat/>
    <w:uiPriority w:val="0"/>
    <w:rPr>
      <w:rFonts w:ascii="Courier New" w:hAnsi="Courier New" w:cs="Courier New"/>
      <w:kern w:val="2"/>
    </w:rPr>
  </w:style>
  <w:style w:type="character" w:customStyle="1" w:styleId="113">
    <w:name w:val="font141"/>
    <w:basedOn w:val="39"/>
    <w:qFormat/>
    <w:uiPriority w:val="0"/>
  </w:style>
  <w:style w:type="character" w:customStyle="1" w:styleId="114">
    <w:name w:val="HTML 预设格式 Char1"/>
    <w:qFormat/>
    <w:uiPriority w:val="0"/>
    <w:rPr>
      <w:rFonts w:ascii="Courier New" w:hAnsi="Courier New" w:cs="Courier New"/>
      <w:kern w:val="2"/>
    </w:rPr>
  </w:style>
  <w:style w:type="character" w:customStyle="1" w:styleId="115">
    <w:name w:val="small"/>
    <w:basedOn w:val="39"/>
    <w:qFormat/>
    <w:uiPriority w:val="0"/>
  </w:style>
  <w:style w:type="character" w:customStyle="1" w:styleId="116">
    <w:name w:val="正文缩进 Char"/>
    <w:link w:val="6"/>
    <w:qFormat/>
    <w:uiPriority w:val="0"/>
    <w:rPr>
      <w:kern w:val="2"/>
      <w:sz w:val="21"/>
    </w:rPr>
  </w:style>
  <w:style w:type="character" w:customStyle="1" w:styleId="117">
    <w:name w:val="bold1"/>
    <w:qFormat/>
    <w:uiPriority w:val="0"/>
    <w:rPr>
      <w:b/>
      <w:bCs/>
      <w:shd w:val="clear" w:color="auto" w:fill="FFFFFF"/>
    </w:rPr>
  </w:style>
  <w:style w:type="character" w:customStyle="1" w:styleId="118">
    <w:name w:val="标题 2 Char"/>
    <w:qFormat/>
    <w:uiPriority w:val="0"/>
    <w:rPr>
      <w:rFonts w:ascii="Arial" w:hAnsi="Arial" w:eastAsia="黑体"/>
      <w:b/>
      <w:bCs/>
      <w:kern w:val="2"/>
      <w:sz w:val="32"/>
      <w:szCs w:val="32"/>
      <w:lang w:val="en-US" w:eastAsia="zh-CN" w:bidi="ar-SA"/>
    </w:rPr>
  </w:style>
  <w:style w:type="character" w:customStyle="1" w:styleId="119">
    <w:name w:val="标题 Char"/>
    <w:link w:val="34"/>
    <w:qFormat/>
    <w:uiPriority w:val="0"/>
    <w:rPr>
      <w:rFonts w:ascii="Arial" w:hAnsi="Arial" w:cs="Arial"/>
      <w:b/>
      <w:bCs/>
      <w:kern w:val="2"/>
      <w:sz w:val="32"/>
      <w:szCs w:val="32"/>
    </w:rPr>
  </w:style>
  <w:style w:type="character" w:customStyle="1" w:styleId="120">
    <w:name w:val="正文文本 3 Char"/>
    <w:link w:val="13"/>
    <w:qFormat/>
    <w:uiPriority w:val="0"/>
    <w:rPr>
      <w:kern w:val="2"/>
      <w:sz w:val="16"/>
      <w:szCs w:val="16"/>
    </w:rPr>
  </w:style>
  <w:style w:type="character" w:customStyle="1" w:styleId="121">
    <w:name w:val="正文文本 Char"/>
    <w:link w:val="14"/>
    <w:qFormat/>
    <w:uiPriority w:val="0"/>
    <w:rPr>
      <w:kern w:val="2"/>
      <w:sz w:val="21"/>
    </w:rPr>
  </w:style>
  <w:style w:type="character" w:customStyle="1" w:styleId="122">
    <w:name w:val="正文文本缩进 Char"/>
    <w:link w:val="3"/>
    <w:qFormat/>
    <w:uiPriority w:val="0"/>
    <w:rPr>
      <w:rFonts w:ascii="仿宋_GB2312" w:eastAsia="仿宋_GB2312"/>
      <w:kern w:val="2"/>
      <w:sz w:val="32"/>
    </w:rPr>
  </w:style>
  <w:style w:type="character" w:customStyle="1" w:styleId="123">
    <w:name w:val="正文文本缩进 3 Char"/>
    <w:link w:val="28"/>
    <w:qFormat/>
    <w:uiPriority w:val="0"/>
    <w:rPr>
      <w:kern w:val="2"/>
      <w:sz w:val="21"/>
    </w:rPr>
  </w:style>
  <w:style w:type="character" w:customStyle="1" w:styleId="124">
    <w:name w:val="正文首行缩进 Char"/>
    <w:link w:val="36"/>
    <w:qFormat/>
    <w:uiPriority w:val="0"/>
    <w:rPr>
      <w:kern w:val="2"/>
      <w:sz w:val="21"/>
      <w:szCs w:val="24"/>
    </w:rPr>
  </w:style>
  <w:style w:type="character" w:customStyle="1" w:styleId="125">
    <w:name w:val="页眉 字符1"/>
    <w:semiHidden/>
    <w:qFormat/>
    <w:uiPriority w:val="99"/>
    <w:rPr>
      <w:kern w:val="2"/>
      <w:sz w:val="18"/>
      <w:szCs w:val="18"/>
    </w:rPr>
  </w:style>
  <w:style w:type="character" w:customStyle="1" w:styleId="126">
    <w:name w:val="页脚 字符1"/>
    <w:semiHidden/>
    <w:qFormat/>
    <w:uiPriority w:val="99"/>
    <w:rPr>
      <w:kern w:val="2"/>
      <w:sz w:val="18"/>
      <w:szCs w:val="18"/>
    </w:rPr>
  </w:style>
  <w:style w:type="character" w:customStyle="1" w:styleId="127">
    <w:name w:val="批注框文本 字符1"/>
    <w:semiHidden/>
    <w:qFormat/>
    <w:uiPriority w:val="99"/>
    <w:rPr>
      <w:kern w:val="2"/>
      <w:sz w:val="18"/>
      <w:szCs w:val="18"/>
    </w:rPr>
  </w:style>
  <w:style w:type="character" w:customStyle="1" w:styleId="128">
    <w:name w:val="普通文字1 Char"/>
    <w:qFormat/>
    <w:uiPriority w:val="0"/>
    <w:rPr>
      <w:rFonts w:ascii="宋体" w:hAnsi="Courier New" w:eastAsia="宋体" w:cs="Courier New"/>
      <w:kern w:val="2"/>
      <w:sz w:val="21"/>
      <w:szCs w:val="21"/>
      <w:lang w:val="en-US" w:eastAsia="zh-CN" w:bidi="ar-SA"/>
    </w:rPr>
  </w:style>
  <w:style w:type="character" w:customStyle="1" w:styleId="129">
    <w:name w:val="正文文本 2 Char"/>
    <w:link w:val="31"/>
    <w:qFormat/>
    <w:uiPriority w:val="0"/>
    <w:rPr>
      <w:kern w:val="2"/>
      <w:sz w:val="21"/>
      <w:szCs w:val="24"/>
    </w:rPr>
  </w:style>
  <w:style w:type="character" w:customStyle="1" w:styleId="130">
    <w:name w:val="HTML 预设格式 Char"/>
    <w:qFormat/>
    <w:uiPriority w:val="99"/>
    <w:rPr>
      <w:rFonts w:ascii="黑体" w:hAnsi="Courier New" w:eastAsia="黑体" w:cs="Courier New"/>
    </w:rPr>
  </w:style>
  <w:style w:type="table" w:customStyle="1" w:styleId="131">
    <w:name w:val="网格型1"/>
    <w:basedOn w:val="37"/>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32">
    <w:name w:val="网格型2"/>
    <w:basedOn w:val="3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3">
    <w:name w:val="网格型3"/>
    <w:basedOn w:val="3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4">
    <w:name w:val="网格型11"/>
    <w:basedOn w:val="37"/>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35">
    <w:name w:val="列表段落3"/>
    <w:basedOn w:val="1"/>
    <w:qFormat/>
    <w:uiPriority w:val="34"/>
    <w:pPr>
      <w:ind w:firstLine="420" w:firstLineChars="200"/>
    </w:pPr>
  </w:style>
  <w:style w:type="paragraph" w:customStyle="1" w:styleId="136">
    <w:name w:val="修订3"/>
    <w:hidden/>
    <w:semiHidden/>
    <w:qFormat/>
    <w:uiPriority w:val="99"/>
    <w:rPr>
      <w:rFonts w:ascii="Times New Roman" w:hAnsi="Times New Roman" w:eastAsia="宋体" w:cs="Times New Roman"/>
      <w:kern w:val="2"/>
      <w:sz w:val="21"/>
      <w:szCs w:val="24"/>
      <w:lang w:val="en-US" w:eastAsia="zh-CN" w:bidi="ar-SA"/>
    </w:rPr>
  </w:style>
  <w:style w:type="paragraph" w:customStyle="1" w:styleId="137">
    <w:name w:val="样式"/>
    <w:basedOn w:val="6"/>
    <w:qFormat/>
    <w:uiPriority w:val="0"/>
    <w:pPr>
      <w:spacing w:line="360" w:lineRule="auto"/>
      <w:ind w:firstLine="0"/>
    </w:pPr>
    <w:rPr>
      <w:rFonts w:ascii="宋体" w:hAnsi="宋体" w:cs="Arial"/>
      <w:b/>
      <w:color w:val="000000"/>
      <w:kern w:val="0"/>
      <w:sz w:val="24"/>
      <w:szCs w:val="24"/>
    </w:rPr>
  </w:style>
  <w:style w:type="paragraph" w:customStyle="1" w:styleId="138">
    <w:name w:val="修订4"/>
    <w:hidden/>
    <w:unhideWhenUsed/>
    <w:qFormat/>
    <w:uiPriority w:val="99"/>
    <w:rPr>
      <w:rFonts w:ascii="Times New Roman" w:hAnsi="Times New Roman" w:eastAsia="宋体" w:cs="Times New Roman"/>
      <w:kern w:val="2"/>
      <w:sz w:val="21"/>
      <w:szCs w:val="24"/>
      <w:lang w:val="en-US" w:eastAsia="zh-CN" w:bidi="ar-SA"/>
    </w:rPr>
  </w:style>
  <w:style w:type="paragraph" w:customStyle="1" w:styleId="139">
    <w:name w:val="修订5"/>
    <w:hidden/>
    <w:semiHidden/>
    <w:qFormat/>
    <w:uiPriority w:val="99"/>
    <w:rPr>
      <w:rFonts w:ascii="Times New Roman" w:hAnsi="Times New Roman" w:eastAsia="宋体" w:cs="Times New Roman"/>
      <w:kern w:val="2"/>
      <w:sz w:val="21"/>
      <w:szCs w:val="24"/>
      <w:lang w:val="en-US" w:eastAsia="zh-CN" w:bidi="ar-SA"/>
    </w:rPr>
  </w:style>
  <w:style w:type="paragraph" w:customStyle="1" w:styleId="140">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42">
    <w:name w:val="List Paragraph1"/>
    <w:basedOn w:val="1"/>
    <w:qFormat/>
    <w:uiPriority w:val="0"/>
    <w:pPr>
      <w:adjustRightInd w:val="0"/>
      <w:ind w:firstLine="420" w:firstLineChars="200"/>
      <w:jc w:val="left"/>
    </w:pPr>
    <w:rPr>
      <w:kern w:val="0"/>
      <w:szCs w:val="20"/>
    </w:rPr>
  </w:style>
  <w:style w:type="paragraph" w:customStyle="1" w:styleId="143">
    <w:name w:val="纯文本2"/>
    <w:basedOn w:val="1"/>
    <w:qFormat/>
    <w:uiPriority w:val="0"/>
    <w:rPr>
      <w:rFonts w:ascii="宋体" w:hAnsi="Courier New"/>
      <w:kern w:val="0"/>
      <w:sz w:val="20"/>
      <w:szCs w:val="21"/>
    </w:rPr>
  </w:style>
  <w:style w:type="paragraph" w:customStyle="1" w:styleId="144">
    <w:name w:val="样式1"/>
    <w:basedOn w:val="1"/>
    <w:qFormat/>
    <w:uiPriority w:val="0"/>
    <w:pPr>
      <w:jc w:val="left"/>
    </w:pPr>
    <w:rPr>
      <w:rFonts w:ascii="Calibri" w:hAnsi="Calibri"/>
      <w:sz w:val="24"/>
      <w:szCs w:val="22"/>
    </w:rPr>
  </w:style>
  <w:style w:type="paragraph" w:customStyle="1" w:styleId="145">
    <w:name w:val="正文2"/>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46">
    <w:name w:val="正文_0_1"/>
    <w:qFormat/>
    <w:uiPriority w:val="99"/>
    <w:pPr>
      <w:widowControl w:val="0"/>
      <w:jc w:val="both"/>
    </w:pPr>
    <w:rPr>
      <w:rFonts w:ascii="Calibri" w:hAnsi="Calibri" w:eastAsia="宋体" w:cs="Calibri"/>
      <w:kern w:val="2"/>
      <w:sz w:val="21"/>
      <w:szCs w:val="21"/>
      <w:lang w:val="en-US" w:eastAsia="zh-CN" w:bidi="ar-SA"/>
    </w:rPr>
  </w:style>
  <w:style w:type="paragraph" w:customStyle="1" w:styleId="147">
    <w:name w:val="修订8"/>
    <w:hidden/>
    <w:unhideWhenUsed/>
    <w:qFormat/>
    <w:uiPriority w:val="99"/>
    <w:rPr>
      <w:rFonts w:ascii="Times New Roman" w:hAnsi="Times New Roman" w:eastAsia="宋体" w:cs="Times New Roman"/>
      <w:kern w:val="2"/>
      <w:sz w:val="21"/>
      <w:szCs w:val="24"/>
      <w:lang w:val="en-US" w:eastAsia="zh-CN" w:bidi="ar-SA"/>
    </w:rPr>
  </w:style>
  <w:style w:type="paragraph" w:customStyle="1" w:styleId="148">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4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625609-6A06-4435-9595-54097FFBE81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24</Pages>
  <Words>14890</Words>
  <Characters>15550</Characters>
  <Lines>119</Lines>
  <Paragraphs>33</Paragraphs>
  <TotalTime>10</TotalTime>
  <ScaleCrop>false</ScaleCrop>
  <LinksUpToDate>false</LinksUpToDate>
  <CharactersWithSpaces>16148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2024-01-12T09:12:00Z</dcterms:created>
  <dc:creator>Administrator</dc:creator>
  <cp:lastModifiedBy>YXQ</cp:lastModifiedBy>
  <dcterms:modified xsi:type="dcterms:W3CDTF">2024-05-28T03:25:17Z</dcterms:modified>
  <dc:title>竞价文件</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DEED83C312C94340B3C9B38B489F6521_13</vt:lpwstr>
  </property>
</Properties>
</file>