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CCF71">
      <w:pPr>
        <w:snapToGrid w:val="0"/>
        <w:spacing w:before="156" w:beforeLines="50"/>
        <w:rPr>
          <w:rFonts w:ascii="宋体" w:hAnsi="宋体"/>
          <w:b/>
          <w:color w:val="auto"/>
          <w:sz w:val="84"/>
          <w:szCs w:val="84"/>
        </w:rPr>
      </w:pPr>
      <w:bookmarkStart w:id="0" w:name="_Toc502845064"/>
      <w:bookmarkStart w:id="1" w:name="_Toc512613206"/>
    </w:p>
    <w:p w14:paraId="73996D0F">
      <w:pPr>
        <w:snapToGrid w:val="0"/>
        <w:spacing w:before="156" w:beforeLines="50"/>
        <w:jc w:val="center"/>
        <w:rPr>
          <w:rFonts w:ascii="宋体" w:hAnsi="宋体"/>
          <w:b/>
          <w:bCs/>
          <w:color w:val="auto"/>
          <w:sz w:val="72"/>
          <w:szCs w:val="72"/>
        </w:rPr>
      </w:pPr>
      <w:r>
        <w:rPr>
          <w:rFonts w:hint="eastAsia" w:asciiTheme="minorEastAsia" w:hAnsiTheme="minorEastAsia"/>
          <w:b/>
          <w:color w:val="auto"/>
          <w:sz w:val="72"/>
          <w:szCs w:val="72"/>
        </w:rPr>
        <w:t>零散采购</w:t>
      </w:r>
      <w:r>
        <w:rPr>
          <w:rFonts w:hint="eastAsia" w:ascii="宋体" w:hAnsi="宋体"/>
          <w:b/>
          <w:color w:val="auto"/>
          <w:sz w:val="72"/>
          <w:szCs w:val="72"/>
        </w:rPr>
        <w:t>文件</w:t>
      </w:r>
    </w:p>
    <w:p w14:paraId="0CFE815A">
      <w:pPr>
        <w:spacing w:line="360" w:lineRule="auto"/>
        <w:jc w:val="center"/>
        <w:rPr>
          <w:rFonts w:ascii="宋体" w:hAnsi="宋体"/>
          <w:b/>
          <w:bCs/>
          <w:color w:val="auto"/>
          <w:sz w:val="24"/>
          <w:szCs w:val="24"/>
        </w:rPr>
      </w:pPr>
    </w:p>
    <w:p w14:paraId="37E8448F">
      <w:pPr>
        <w:spacing w:line="360" w:lineRule="auto"/>
        <w:rPr>
          <w:rFonts w:ascii="宋体" w:hAnsi="宋体"/>
          <w:color w:val="auto"/>
          <w:sz w:val="28"/>
          <w:szCs w:val="28"/>
        </w:rPr>
      </w:pPr>
    </w:p>
    <w:p w14:paraId="494DD1D7">
      <w:pPr>
        <w:spacing w:line="360" w:lineRule="auto"/>
        <w:rPr>
          <w:rFonts w:ascii="宋体" w:hAnsi="宋体"/>
          <w:color w:val="auto"/>
          <w:sz w:val="30"/>
          <w:szCs w:val="30"/>
        </w:rPr>
      </w:pPr>
    </w:p>
    <w:p w14:paraId="64B0A4C7">
      <w:pPr>
        <w:spacing w:line="360" w:lineRule="auto"/>
        <w:rPr>
          <w:rFonts w:ascii="宋体" w:hAnsi="宋体"/>
          <w:color w:val="auto"/>
          <w:sz w:val="30"/>
          <w:szCs w:val="30"/>
        </w:rPr>
      </w:pPr>
    </w:p>
    <w:p w14:paraId="33D9B0F3">
      <w:pPr>
        <w:spacing w:line="360" w:lineRule="auto"/>
        <w:rPr>
          <w:rFonts w:hint="default" w:ascii="宋体" w:hAnsi="宋体" w:eastAsia="宋体"/>
          <w:b/>
          <w:bCs/>
          <w:color w:val="auto"/>
          <w:sz w:val="28"/>
          <w:szCs w:val="32"/>
          <w:lang w:val="en-US" w:eastAsia="zh-CN"/>
        </w:rPr>
      </w:pPr>
      <w:r>
        <w:rPr>
          <w:rFonts w:ascii="宋体" w:hAnsi="宋体"/>
          <w:b/>
          <w:bCs/>
          <w:color w:val="auto"/>
          <w:sz w:val="28"/>
          <w:szCs w:val="32"/>
        </w:rPr>
        <w:t>采购方</w:t>
      </w:r>
      <w:r>
        <w:rPr>
          <w:rFonts w:hint="eastAsia"/>
          <w:b/>
          <w:bCs/>
          <w:color w:val="auto"/>
          <w:sz w:val="30"/>
          <w:highlight w:val="none"/>
        </w:rPr>
        <w:t>式：</w:t>
      </w:r>
      <w:r>
        <w:rPr>
          <w:rFonts w:hint="eastAsia"/>
          <w:b/>
          <w:bCs/>
          <w:color w:val="auto"/>
          <w:sz w:val="30"/>
          <w:highlight w:val="none"/>
          <w:lang w:val="en-US" w:eastAsia="zh-CN"/>
        </w:rPr>
        <w:t>线上竞价</w:t>
      </w:r>
    </w:p>
    <w:p w14:paraId="3BF85ED6">
      <w:pPr>
        <w:spacing w:line="360" w:lineRule="auto"/>
        <w:ind w:left="1521" w:hanging="1521" w:hangingChars="541"/>
        <w:rPr>
          <w:rFonts w:hint="eastAsia" w:ascii="宋体" w:hAnsi="宋体" w:eastAsia="宋体"/>
          <w:b/>
          <w:bCs/>
          <w:color w:val="auto"/>
          <w:sz w:val="28"/>
          <w:szCs w:val="32"/>
          <w:lang w:eastAsia="zh-CN"/>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r>
        <w:rPr>
          <w:rFonts w:hint="eastAsia"/>
          <w:b/>
          <w:bCs/>
          <w:color w:val="auto"/>
          <w:sz w:val="30"/>
          <w:highlight w:val="none"/>
          <w:lang w:eastAsia="zh-CN"/>
        </w:rPr>
        <w:t>广东省广裕集团东莞兴龙实业有限公司临时采购生产物料中转场所及配套服务项目</w:t>
      </w:r>
    </w:p>
    <w:p w14:paraId="552EA5AE">
      <w:pPr>
        <w:snapToGrid w:val="0"/>
        <w:spacing w:before="156" w:beforeLines="50" w:after="156" w:afterLines="50" w:line="360" w:lineRule="auto"/>
        <w:jc w:val="center"/>
        <w:rPr>
          <w:rFonts w:ascii="宋体" w:hAnsi="宋体" w:cs="华文中宋"/>
          <w:color w:val="auto"/>
          <w:sz w:val="30"/>
          <w:szCs w:val="30"/>
        </w:rPr>
      </w:pPr>
    </w:p>
    <w:p w14:paraId="55C6FBD0">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05601FB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7B9169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606F2D3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BB878AE">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2AB7CE91">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b/>
          <w:bCs/>
          <w:color w:val="auto"/>
          <w:sz w:val="30"/>
          <w:highlight w:val="none"/>
          <w:lang w:val="en-US" w:eastAsia="zh-CN"/>
        </w:rPr>
        <w:t>广东省广裕集团东莞兴龙实业有限公司</w:t>
      </w:r>
    </w:p>
    <w:p w14:paraId="45104B64">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eastAsia="宋体"/>
          <w:b/>
          <w:bCs/>
          <w:color w:val="auto"/>
          <w:sz w:val="30"/>
          <w:highlight w:val="none"/>
          <w:lang w:val="en-US" w:eastAsia="zh-CN"/>
        </w:rPr>
        <w:t>云采链（广州）信息科技有限公司</w:t>
      </w:r>
    </w:p>
    <w:p w14:paraId="6B7AD65A">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eastAsia="宋体"/>
          <w:b/>
          <w:bCs/>
          <w:color w:val="auto"/>
          <w:sz w:val="30"/>
          <w:highlight w:val="none"/>
          <w:lang w:val="en-US" w:eastAsia="zh-CN"/>
        </w:rPr>
        <w:t>二〇二</w:t>
      </w:r>
      <w:r>
        <w:rPr>
          <w:rFonts w:hint="eastAsia"/>
          <w:b/>
          <w:bCs/>
          <w:color w:val="auto"/>
          <w:sz w:val="30"/>
          <w:highlight w:val="none"/>
          <w:lang w:val="en-US" w:eastAsia="zh-CN"/>
        </w:rPr>
        <w:t>五</w:t>
      </w:r>
      <w:r>
        <w:rPr>
          <w:rFonts w:hint="eastAsia" w:eastAsia="宋体"/>
          <w:b/>
          <w:bCs/>
          <w:color w:val="auto"/>
          <w:sz w:val="30"/>
          <w:highlight w:val="none"/>
          <w:lang w:val="en-US" w:eastAsia="zh-CN"/>
        </w:rPr>
        <w:t>年</w:t>
      </w:r>
      <w:r>
        <w:rPr>
          <w:rFonts w:hint="eastAsia"/>
          <w:b/>
          <w:bCs/>
          <w:color w:val="auto"/>
          <w:sz w:val="30"/>
          <w:highlight w:val="none"/>
          <w:lang w:val="en-US" w:eastAsia="zh-CN"/>
        </w:rPr>
        <w:t>一</w:t>
      </w:r>
      <w:r>
        <w:rPr>
          <w:rFonts w:hint="eastAsia" w:eastAsia="宋体"/>
          <w:b/>
          <w:bCs/>
          <w:color w:val="auto"/>
          <w:sz w:val="30"/>
          <w:highlight w:val="none"/>
          <w:lang w:val="en-US" w:eastAsia="zh-CN"/>
        </w:rPr>
        <w:t>月</w:t>
      </w:r>
    </w:p>
    <w:p w14:paraId="43BF1F99">
      <w:pPr>
        <w:widowControl/>
        <w:jc w:val="left"/>
        <w:rPr>
          <w:rFonts w:ascii="宋体" w:hAnsi="宋体" w:cs="宋体"/>
          <w:b/>
          <w:bCs/>
          <w:color w:val="auto"/>
          <w:kern w:val="0"/>
          <w:sz w:val="32"/>
          <w:szCs w:val="32"/>
        </w:rPr>
      </w:pPr>
      <w:r>
        <w:rPr>
          <w:rFonts w:ascii="宋体" w:hAnsi="宋体" w:cs="宋体"/>
          <w:color w:val="auto"/>
        </w:rPr>
        <w:br w:type="page"/>
      </w:r>
    </w:p>
    <w:p w14:paraId="074B5BFE">
      <w:pPr>
        <w:jc w:val="center"/>
        <w:outlineLvl w:val="0"/>
        <w:rPr>
          <w:rFonts w:ascii="宋体" w:hAnsi="宋体"/>
          <w:b/>
          <w:bCs/>
          <w:color w:val="auto"/>
          <w:kern w:val="0"/>
          <w:sz w:val="32"/>
          <w:szCs w:val="32"/>
        </w:rPr>
      </w:pPr>
      <w:r>
        <w:rPr>
          <w:rFonts w:hint="eastAsia" w:ascii="宋体" w:hAnsi="宋体" w:cs="宋体"/>
          <w:b/>
          <w:bCs/>
          <w:color w:val="auto"/>
          <w:kern w:val="0"/>
          <w:sz w:val="32"/>
          <w:szCs w:val="32"/>
        </w:rPr>
        <w:t>第一章 零散采购须知</w:t>
      </w:r>
    </w:p>
    <w:p w14:paraId="7E6F3694">
      <w:pPr>
        <w:pStyle w:val="43"/>
        <w:numPr>
          <w:ilvl w:val="0"/>
          <w:numId w:val="2"/>
        </w:numPr>
        <w:spacing w:line="360" w:lineRule="auto"/>
        <w:ind w:left="420" w:leftChars="0" w:hanging="420"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b w:val="0"/>
          <w:bCs w:val="0"/>
          <w:color w:val="auto"/>
          <w:kern w:val="0"/>
          <w:sz w:val="21"/>
          <w:szCs w:val="21"/>
        </w:rPr>
        <w:t>零散采购</w:t>
      </w:r>
      <w:r>
        <w:rPr>
          <w:rFonts w:hint="eastAsia" w:ascii="宋体" w:hAnsi="宋体" w:cs="宋体"/>
          <w:color w:val="auto"/>
        </w:rPr>
        <w:t>，参与</w:t>
      </w:r>
      <w:r>
        <w:rPr>
          <w:rFonts w:hint="eastAsia" w:ascii="宋体" w:hAnsi="宋体" w:cs="宋体"/>
          <w:color w:val="auto"/>
          <w:lang w:val="en-US" w:eastAsia="zh-CN"/>
        </w:rPr>
        <w:t>项目</w:t>
      </w:r>
      <w:r>
        <w:rPr>
          <w:rFonts w:hint="eastAsia" w:ascii="宋体" w:hAnsi="宋体" w:cs="宋体"/>
          <w:color w:val="auto"/>
        </w:rPr>
        <w:t>的供应商必须登录平台进行注册，注册成功后方可参与项目</w:t>
      </w:r>
      <w:r>
        <w:rPr>
          <w:rFonts w:hint="eastAsia" w:ascii="宋体" w:hAnsi="宋体" w:cs="宋体"/>
          <w:color w:val="auto"/>
          <w:lang w:eastAsia="zh-CN"/>
        </w:rPr>
        <w:t>。</w:t>
      </w:r>
    </w:p>
    <w:p w14:paraId="2E64CC2B">
      <w:pPr>
        <w:widowControl/>
        <w:numPr>
          <w:ilvl w:val="0"/>
          <w:numId w:val="2"/>
        </w:numPr>
        <w:spacing w:line="360" w:lineRule="auto"/>
        <w:ind w:left="420" w:leftChars="0" w:hanging="420" w:firstLineChars="0"/>
        <w:jc w:val="left"/>
        <w:rPr>
          <w:rFonts w:ascii="宋体" w:hAnsi="宋体" w:cs="宋体"/>
          <w:color w:val="auto"/>
        </w:rPr>
      </w:pPr>
      <w:r>
        <w:rPr>
          <w:rFonts w:hint="eastAsia" w:ascii="宋体" w:hAnsi="宋体" w:cs="宋体"/>
          <w:color w:val="auto"/>
        </w:rPr>
        <w:t>语言要求</w:t>
      </w:r>
    </w:p>
    <w:p w14:paraId="6AE2F87A">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9F32A23">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 xml:space="preserve">在云采链平台参与零散采购项目后放弃成交资格超过三次（含三次）的供应商连同该供应商同一法人名下所有公司将被列入平台黑名单，永久不得参与平台的零散采购项目。 </w:t>
      </w:r>
    </w:p>
    <w:p w14:paraId="1EAFBD3B">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如本项目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失败重新启动</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则不允许已经成功报名参与本项目却未报价的供应商再次报名参与</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。为避免恶性竞争，参与采购人</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项目的供应商连续或累计3次成功报名未报价的将列入采购人黑名单，1年内不得参与采购人的所有</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项目。</w:t>
      </w:r>
    </w:p>
    <w:p w14:paraId="78DF8155">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如无正当理由放弃成交资格的供应商连同该供应商同一法人名下所有公司将被列入采购人黑名单，永久不得参与采购人的项目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w:t>
      </w:r>
    </w:p>
    <w:p w14:paraId="4DA98455">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凡参与采购人项目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过程中有围标串标等违规情况的供应商不得再参与采购人重新启动的项目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，因围标串标行为导致废标的供应商将被列入采购人黑名单，三年内不得参与采购人的项目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w:t>
      </w:r>
    </w:p>
    <w:p w14:paraId="4E83C3E2">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零散采购须知</w:t>
      </w:r>
    </w:p>
    <w:p w14:paraId="4099022B">
      <w:pPr>
        <w:widowControl/>
        <w:numPr>
          <w:ilvl w:val="0"/>
          <w:numId w:val="3"/>
        </w:numPr>
        <w:spacing w:line="360" w:lineRule="auto"/>
        <w:jc w:val="left"/>
        <w:rPr>
          <w:rFonts w:ascii="宋体" w:hAnsi="宋体"/>
          <w:b/>
          <w:bCs/>
          <w:color w:val="auto"/>
        </w:rPr>
      </w:pPr>
      <w:r>
        <w:rPr>
          <w:rFonts w:hint="eastAsia" w:ascii="宋体" w:hAnsi="宋体" w:cs="宋体"/>
          <w:b/>
          <w:bCs/>
          <w:color w:val="auto"/>
        </w:rPr>
        <w:t>零散采购说明</w:t>
      </w:r>
    </w:p>
    <w:p w14:paraId="00AEFEFA">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的供应商应承担所有与准备和参加</w:t>
      </w:r>
      <w:r>
        <w:rPr>
          <w:rFonts w:hint="eastAsia" w:ascii="宋体" w:hAnsi="宋体" w:cs="宋体"/>
          <w:color w:val="auto"/>
          <w:lang w:eastAsia="zh-CN"/>
        </w:rPr>
        <w:t>项目</w:t>
      </w:r>
      <w:r>
        <w:rPr>
          <w:rFonts w:hint="eastAsia" w:ascii="宋体" w:hAnsi="宋体" w:cs="宋体"/>
          <w:color w:val="auto"/>
        </w:rPr>
        <w:t>有关的费用，不</w:t>
      </w:r>
      <w:r>
        <w:rPr>
          <w:rFonts w:hint="eastAsia" w:ascii="宋体" w:hAnsi="宋体" w:cs="宋体"/>
          <w:color w:val="auto"/>
          <w:lang w:eastAsia="zh-TW"/>
        </w:rPr>
        <w:t>论</w:t>
      </w:r>
      <w:r>
        <w:rPr>
          <w:rFonts w:hint="eastAsia" w:ascii="宋体" w:hAnsi="宋体" w:cs="宋体"/>
          <w:color w:val="auto"/>
          <w:lang w:eastAsia="zh-CN"/>
        </w:rPr>
        <w:t>项目</w:t>
      </w:r>
      <w:r>
        <w:rPr>
          <w:rFonts w:hint="eastAsia" w:ascii="宋体" w:hAnsi="宋体" w:cs="宋体"/>
          <w:color w:val="auto"/>
          <w:lang w:eastAsia="zh-TW"/>
        </w:rPr>
        <w:t>的结果如何</w:t>
      </w:r>
      <w:r>
        <w:rPr>
          <w:rFonts w:hint="eastAsia" w:ascii="宋体" w:hAnsi="宋体" w:cs="宋体"/>
          <w:color w:val="auto"/>
        </w:rPr>
        <w:t>，采购</w:t>
      </w:r>
      <w:r>
        <w:rPr>
          <w:rFonts w:hint="eastAsia" w:ascii="宋体" w:hAnsi="宋体" w:cs="宋体"/>
          <w:color w:val="auto"/>
          <w:lang w:eastAsia="zh-TW"/>
        </w:rPr>
        <w:t>人</w:t>
      </w:r>
      <w:r>
        <w:rPr>
          <w:rFonts w:hint="eastAsia" w:ascii="宋体" w:hAnsi="宋体" w:cs="宋体"/>
          <w:color w:val="auto"/>
        </w:rPr>
        <w:t>和</w:t>
      </w:r>
      <w:r>
        <w:rPr>
          <w:rFonts w:hint="eastAsia" w:ascii="宋体" w:hAnsi="宋体" w:cs="宋体"/>
          <w:color w:val="auto"/>
          <w:lang w:eastAsia="zh-TW"/>
        </w:rPr>
        <w:t>代理机构均无义务和责任承担这些费用</w:t>
      </w:r>
      <w:r>
        <w:rPr>
          <w:rFonts w:hint="eastAsia" w:ascii="宋体" w:hAnsi="宋体" w:cs="宋体"/>
          <w:color w:val="auto"/>
        </w:rPr>
        <w:t>。</w:t>
      </w:r>
    </w:p>
    <w:p w14:paraId="6CA8CA5C">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的供应商必须按</w:t>
      </w:r>
      <w:r>
        <w:rPr>
          <w:rFonts w:hint="eastAsia" w:ascii="宋体" w:hAnsi="宋体" w:cs="宋体"/>
          <w:color w:val="auto"/>
          <w:lang w:eastAsia="zh-CN"/>
        </w:rPr>
        <w:t>项目</w:t>
      </w:r>
      <w:r>
        <w:rPr>
          <w:rFonts w:hint="eastAsia" w:ascii="宋体" w:hAnsi="宋体" w:cs="宋体"/>
          <w:color w:val="auto"/>
        </w:rPr>
        <w:t>附件的格式填写，不得增加或删除表格内容。除单价、金额或项目要求填写的内容外，不得擅自改动</w:t>
      </w:r>
      <w:r>
        <w:rPr>
          <w:rFonts w:hint="eastAsia" w:ascii="宋体" w:hAnsi="宋体" w:cs="宋体"/>
          <w:color w:val="auto"/>
          <w:lang w:eastAsia="zh-CN"/>
        </w:rPr>
        <w:t>项目</w:t>
      </w:r>
      <w:r>
        <w:rPr>
          <w:rFonts w:hint="eastAsia" w:ascii="宋体" w:hAnsi="宋体" w:cs="宋体"/>
          <w:color w:val="auto"/>
        </w:rPr>
        <w:t>附件内容，否则将有可能影响成交结果，不推荐为成交候选人。</w:t>
      </w:r>
    </w:p>
    <w:p w14:paraId="1BD50257">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color w:val="auto"/>
          <w:lang w:val="zh-CN"/>
        </w:rPr>
        <w:t>供应商需对用户需求书的所有条款进行整体响应，用户需求书条款若有一条负偏离或不响应，</w:t>
      </w:r>
      <w:r>
        <w:rPr>
          <w:rFonts w:hint="eastAsia" w:ascii="宋体" w:hAnsi="宋体" w:cs="宋体"/>
          <w:color w:val="auto"/>
        </w:rPr>
        <w:t>不推荐为成交候选人</w:t>
      </w:r>
      <w:r>
        <w:rPr>
          <w:rFonts w:hint="eastAsia" w:ascii="宋体" w:hAnsi="宋体" w:cs="宋体"/>
          <w:color w:val="auto"/>
          <w:lang w:val="zh-CN"/>
        </w:rPr>
        <w:t>。</w:t>
      </w:r>
    </w:p>
    <w:p w14:paraId="784B737B">
      <w:pPr>
        <w:widowControl/>
        <w:numPr>
          <w:ilvl w:val="0"/>
          <w:numId w:val="4"/>
        </w:numPr>
        <w:spacing w:line="360" w:lineRule="auto"/>
        <w:jc w:val="left"/>
        <w:rPr>
          <w:rFonts w:ascii="宋体" w:hAnsi="宋体"/>
          <w:color w:val="auto"/>
        </w:rPr>
      </w:pPr>
      <w:r>
        <w:rPr>
          <w:rFonts w:hint="eastAsia" w:ascii="宋体" w:hAnsi="宋体" w:cs="宋体"/>
          <w:color w:val="auto"/>
        </w:rPr>
        <w:t>若成交供应商自身原因无法完成本项目，则采购人有权利保留追究责任。</w:t>
      </w:r>
    </w:p>
    <w:p w14:paraId="6E2B3944">
      <w:pPr>
        <w:widowControl/>
        <w:numPr>
          <w:ilvl w:val="0"/>
          <w:numId w:val="4"/>
        </w:numPr>
        <w:spacing w:line="360" w:lineRule="auto"/>
        <w:jc w:val="left"/>
        <w:rPr>
          <w:rFonts w:ascii="宋体" w:hAnsi="宋体"/>
          <w:color w:val="auto"/>
        </w:rPr>
      </w:pPr>
      <w:r>
        <w:rPr>
          <w:rFonts w:hint="eastAsia" w:ascii="宋体" w:hAnsi="宋体" w:cs="宋体"/>
          <w:color w:val="auto"/>
        </w:rPr>
        <w:t>成交供应商因自身原因被取消成交资格，采购人可重新启动采购或按</w:t>
      </w:r>
      <w:r>
        <w:rPr>
          <w:rFonts w:hint="eastAsia" w:ascii="宋体" w:hAnsi="宋体" w:cs="宋体"/>
          <w:color w:val="auto"/>
          <w:lang w:eastAsia="zh-CN"/>
        </w:rPr>
        <w:t>项目</w:t>
      </w:r>
      <w:r>
        <w:rPr>
          <w:rFonts w:hint="eastAsia" w:ascii="宋体" w:hAnsi="宋体" w:cs="宋体"/>
          <w:color w:val="auto"/>
        </w:rPr>
        <w:t>公告规定顺延推选符合要求的供应商作为</w:t>
      </w:r>
      <w:r>
        <w:rPr>
          <w:rFonts w:hint="eastAsia" w:ascii="宋体" w:hAnsi="宋体" w:cs="宋体"/>
          <w:color w:val="auto"/>
          <w:lang w:eastAsia="zh-CN"/>
        </w:rPr>
        <w:t>成交供应商</w:t>
      </w:r>
      <w:r>
        <w:rPr>
          <w:rFonts w:hint="eastAsia" w:ascii="宋体" w:hAnsi="宋体" w:cs="宋体"/>
          <w:color w:val="auto"/>
        </w:rPr>
        <w:t>。</w:t>
      </w:r>
    </w:p>
    <w:p w14:paraId="186B538A">
      <w:pPr>
        <w:widowControl/>
        <w:numPr>
          <w:ilvl w:val="0"/>
          <w:numId w:val="4"/>
        </w:numPr>
        <w:spacing w:line="360" w:lineRule="auto"/>
        <w:jc w:val="left"/>
        <w:rPr>
          <w:rFonts w:ascii="宋体" w:hAnsi="宋体"/>
          <w:color w:val="auto"/>
        </w:rPr>
      </w:pPr>
      <w:r>
        <w:rPr>
          <w:rFonts w:hint="eastAsia" w:ascii="宋体" w:hAnsi="宋体" w:cs="宋体"/>
          <w:color w:val="auto"/>
        </w:rPr>
        <w:t>若本项目采购失败，采购人将重新采购，届时采购人有权根据项目具体情况，决定重新采购项目的采购方式。</w:t>
      </w:r>
    </w:p>
    <w:p w14:paraId="4B518F31">
      <w:pPr>
        <w:widowControl/>
        <w:numPr>
          <w:ilvl w:val="0"/>
          <w:numId w:val="4"/>
        </w:numPr>
        <w:spacing w:line="360" w:lineRule="auto"/>
        <w:jc w:val="left"/>
        <w:rPr>
          <w:rFonts w:ascii="宋体" w:hAnsi="宋体"/>
          <w:color w:val="auto"/>
        </w:rPr>
      </w:pPr>
      <w:r>
        <w:rPr>
          <w:rFonts w:hint="eastAsia" w:ascii="宋体" w:hAnsi="宋体" w:cs="宋体"/>
          <w:color w:val="auto"/>
        </w:rPr>
        <w:t>成交供应商若无正当理由恶意放弃成交资格，采购人有权将拒绝其参加本项目重新组织的采购活动。</w:t>
      </w:r>
    </w:p>
    <w:p w14:paraId="16490870">
      <w:pPr>
        <w:widowControl/>
        <w:numPr>
          <w:ilvl w:val="0"/>
          <w:numId w:val="4"/>
        </w:numPr>
        <w:spacing w:line="360" w:lineRule="auto"/>
        <w:jc w:val="left"/>
        <w:rPr>
          <w:rFonts w:ascii="宋体" w:hAnsi="宋体"/>
          <w:color w:val="auto"/>
        </w:rPr>
      </w:pPr>
      <w:r>
        <w:rPr>
          <w:rFonts w:hint="eastAsia" w:ascii="宋体" w:hAnsi="宋体"/>
          <w:color w:val="auto"/>
        </w:rPr>
        <w:t>如采购人或代理机构在审核或复核参与</w:t>
      </w:r>
      <w:r>
        <w:rPr>
          <w:rFonts w:hint="eastAsia" w:ascii="宋体" w:hAnsi="宋体"/>
          <w:color w:val="auto"/>
          <w:lang w:eastAsia="zh-CN"/>
        </w:rPr>
        <w:t>项目</w:t>
      </w:r>
      <w:r>
        <w:rPr>
          <w:rFonts w:hint="eastAsia" w:ascii="宋体" w:hAnsi="宋体"/>
          <w:color w:val="auto"/>
        </w:rPr>
        <w:t>的供应商所提交的</w:t>
      </w:r>
      <w:r>
        <w:rPr>
          <w:rFonts w:hint="eastAsia" w:ascii="宋体" w:hAnsi="宋体"/>
          <w:color w:val="auto"/>
          <w:lang w:eastAsia="zh-CN"/>
        </w:rPr>
        <w:t>项目</w:t>
      </w:r>
      <w:r>
        <w:rPr>
          <w:rFonts w:hint="eastAsia" w:ascii="宋体" w:hAnsi="宋体"/>
          <w:color w:val="auto"/>
        </w:rPr>
        <w:t>资料时，供应商须无条件配合；期间若发现存在弄虚作假或相关的失信记录或违反国家法律法规等相关的不良情形，采购人可取消其成交资格并保留追究责任的权力。</w:t>
      </w:r>
    </w:p>
    <w:p w14:paraId="70C9B09B">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color w:val="auto"/>
          <w:lang w:eastAsia="zh-TW"/>
        </w:rPr>
        <w:t>供应商向我司咨询的有关项目事项，一切以</w:t>
      </w:r>
      <w:r>
        <w:rPr>
          <w:rFonts w:hint="eastAsia" w:ascii="宋体" w:hAnsi="宋体" w:cs="宋体"/>
          <w:color w:val="auto"/>
          <w:lang w:eastAsia="zh-CN"/>
        </w:rPr>
        <w:t>项目</w:t>
      </w:r>
      <w:r>
        <w:rPr>
          <w:rFonts w:hint="eastAsia" w:ascii="宋体" w:hAnsi="宋体" w:cs="宋体"/>
          <w:color w:val="auto"/>
        </w:rPr>
        <w:t>文件</w:t>
      </w:r>
      <w:r>
        <w:rPr>
          <w:rFonts w:hint="eastAsia" w:ascii="宋体" w:hAnsi="宋体" w:cs="宋体"/>
          <w:color w:val="auto"/>
          <w:lang w:eastAsia="zh-TW"/>
        </w:rPr>
        <w:t>规定</w:t>
      </w:r>
      <w:r>
        <w:rPr>
          <w:rFonts w:hint="eastAsia" w:ascii="宋体" w:hAnsi="宋体" w:cs="宋体"/>
          <w:color w:val="auto"/>
        </w:rPr>
        <w:t>和</w:t>
      </w:r>
      <w:r>
        <w:rPr>
          <w:rFonts w:hint="eastAsia" w:ascii="宋体" w:hAnsi="宋体" w:cs="宋体"/>
          <w:color w:val="auto"/>
          <w:lang w:eastAsia="zh-CN"/>
        </w:rPr>
        <w:t>项目</w:t>
      </w:r>
      <w:r>
        <w:rPr>
          <w:rFonts w:hint="eastAsia" w:ascii="宋体" w:hAnsi="宋体" w:cs="宋体"/>
          <w:color w:val="auto"/>
        </w:rPr>
        <w:t>公告规定以及</w:t>
      </w:r>
      <w:r>
        <w:rPr>
          <w:rFonts w:hint="eastAsia" w:ascii="宋体" w:hAnsi="宋体" w:cs="宋体"/>
          <w:color w:val="auto"/>
          <w:lang w:eastAsia="zh-TW"/>
        </w:rPr>
        <w:t>本公司</w:t>
      </w:r>
      <w:r>
        <w:rPr>
          <w:rFonts w:hint="eastAsia" w:ascii="宋体" w:hAnsi="宋体" w:cs="宋体"/>
          <w:color w:val="auto"/>
        </w:rPr>
        <w:t>的</w:t>
      </w: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2B529DD2">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的供应商应认真阅读</w:t>
      </w:r>
      <w:r>
        <w:rPr>
          <w:rFonts w:hint="eastAsia" w:ascii="宋体" w:hAnsi="宋体" w:cs="宋体"/>
          <w:color w:val="auto"/>
          <w:lang w:eastAsia="zh-TW"/>
        </w:rPr>
        <w:t>、并充分理解</w:t>
      </w:r>
      <w:r>
        <w:rPr>
          <w:rFonts w:hint="eastAsia" w:ascii="宋体" w:hAnsi="宋体" w:cs="宋体"/>
          <w:color w:val="auto"/>
          <w:lang w:eastAsia="zh-CN"/>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lang w:eastAsia="zh-CN"/>
        </w:rPr>
        <w:t>项目</w:t>
      </w:r>
      <w:r>
        <w:rPr>
          <w:rFonts w:hint="eastAsia" w:ascii="宋体" w:hAnsi="宋体" w:cs="宋体"/>
          <w:color w:val="auto"/>
          <w:lang w:eastAsia="zh-TW"/>
        </w:rPr>
        <w:t>文件要求提交全部资料，或者</w:t>
      </w: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所上传的</w:t>
      </w:r>
      <w:r>
        <w:rPr>
          <w:rFonts w:hint="eastAsia" w:ascii="宋体" w:hAnsi="宋体" w:cs="宋体"/>
          <w:color w:val="auto"/>
          <w:lang w:eastAsia="zh-TW"/>
        </w:rPr>
        <w:t>文件没有对</w:t>
      </w:r>
      <w:r>
        <w:rPr>
          <w:rFonts w:hint="eastAsia" w:ascii="宋体" w:hAnsi="宋体" w:cs="宋体"/>
          <w:color w:val="auto"/>
          <w:lang w:eastAsia="zh-CN"/>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lang w:val="en-US" w:eastAsia="zh-CN"/>
        </w:rPr>
        <w:t>响应</w:t>
      </w:r>
      <w:r>
        <w:rPr>
          <w:rFonts w:hint="eastAsia" w:ascii="宋体" w:hAnsi="宋体" w:cs="宋体"/>
          <w:color w:val="auto"/>
          <w:lang w:eastAsia="zh-TW"/>
        </w:rPr>
        <w:t>被拒绝，</w:t>
      </w:r>
      <w:r>
        <w:rPr>
          <w:rFonts w:hint="eastAsia" w:ascii="宋体" w:hAnsi="宋体" w:cs="宋体"/>
          <w:color w:val="auto"/>
        </w:rPr>
        <w:t>或被认定为无效</w:t>
      </w:r>
      <w:r>
        <w:rPr>
          <w:rFonts w:hint="eastAsia" w:ascii="宋体" w:hAnsi="宋体" w:cs="宋体"/>
          <w:color w:val="auto"/>
          <w:lang w:val="en-US" w:eastAsia="zh-CN"/>
        </w:rPr>
        <w:t>响应</w:t>
      </w:r>
      <w:r>
        <w:rPr>
          <w:rFonts w:hint="eastAsia" w:ascii="宋体" w:hAnsi="宋体" w:cs="宋体"/>
          <w:color w:val="auto"/>
        </w:rPr>
        <w:t>。</w:t>
      </w:r>
    </w:p>
    <w:p w14:paraId="5A74EB5D">
      <w:pPr>
        <w:widowControl/>
        <w:numPr>
          <w:ilvl w:val="0"/>
          <w:numId w:val="4"/>
        </w:numPr>
        <w:spacing w:line="360" w:lineRule="auto"/>
        <w:jc w:val="left"/>
        <w:rPr>
          <w:rFonts w:ascii="宋体" w:hAnsi="宋体"/>
          <w:color w:val="auto"/>
        </w:rPr>
      </w:pPr>
      <w:r>
        <w:rPr>
          <w:rFonts w:hint="eastAsia" w:ascii="宋体" w:hAnsi="宋体" w:cs="宋体"/>
          <w:color w:val="auto"/>
          <w:kern w:val="0"/>
        </w:rPr>
        <w:t>采购人有权拒绝接受任何不合格的货物或服务，由此产生的费用及相关后果均由成交供应商自行承担</w:t>
      </w:r>
      <w:r>
        <w:rPr>
          <w:rFonts w:hint="eastAsia" w:ascii="宋体" w:hAnsi="宋体" w:cs="宋体"/>
          <w:color w:val="auto"/>
          <w:kern w:val="0"/>
          <w:lang w:eastAsia="zh-CN"/>
        </w:rPr>
        <w:t>。</w:t>
      </w:r>
    </w:p>
    <w:p w14:paraId="6EF54A7C">
      <w:pPr>
        <w:widowControl/>
        <w:numPr>
          <w:ilvl w:val="0"/>
          <w:numId w:val="4"/>
        </w:numPr>
        <w:spacing w:line="360" w:lineRule="auto"/>
        <w:jc w:val="left"/>
        <w:rPr>
          <w:rFonts w:ascii="宋体" w:hAnsi="宋体"/>
          <w:b/>
          <w:bCs/>
          <w:color w:val="auto"/>
        </w:rPr>
      </w:pPr>
      <w:r>
        <w:rPr>
          <w:rFonts w:hint="eastAsia" w:ascii="宋体" w:hAnsi="宋体"/>
          <w:b/>
          <w:bCs/>
          <w:color w:val="auto"/>
          <w:lang w:val="en-US" w:eastAsia="zh-CN"/>
        </w:rPr>
        <w:t>成交供应商应</w:t>
      </w:r>
      <w:r>
        <w:rPr>
          <w:rFonts w:hint="eastAsia" w:ascii="宋体" w:hAnsi="宋体"/>
          <w:b/>
          <w:bCs/>
          <w:color w:val="auto"/>
        </w:rPr>
        <w:t>在</w:t>
      </w:r>
      <w:r>
        <w:rPr>
          <w:rFonts w:hint="eastAsia" w:ascii="宋体" w:hAnsi="宋体"/>
          <w:b/>
          <w:bCs/>
          <w:color w:val="auto"/>
          <w:lang w:val="en-US" w:eastAsia="zh-CN"/>
        </w:rPr>
        <w:t>项目结果发布7个日历天</w:t>
      </w:r>
      <w:r>
        <w:rPr>
          <w:rFonts w:hint="eastAsia" w:ascii="宋体" w:hAnsi="宋体"/>
          <w:b/>
          <w:bCs/>
          <w:color w:val="auto"/>
        </w:rPr>
        <w:t>内与采购单位签订书面合同并按合同约定完成成交项目</w:t>
      </w:r>
      <w:r>
        <w:rPr>
          <w:rFonts w:hint="eastAsia" w:ascii="宋体" w:hAnsi="宋体"/>
          <w:b/>
          <w:bCs/>
          <w:color w:val="auto"/>
          <w:lang w:eastAsia="zh-CN"/>
        </w:rPr>
        <w:t>；若采购单位无签</w:t>
      </w:r>
      <w:r>
        <w:rPr>
          <w:rFonts w:hint="eastAsia" w:ascii="宋体" w:hAnsi="宋体"/>
          <w:b/>
          <w:bCs/>
          <w:color w:val="auto"/>
          <w:lang w:val="en-US" w:eastAsia="zh-CN"/>
        </w:rPr>
        <w:t>订合同的</w:t>
      </w:r>
      <w:r>
        <w:rPr>
          <w:rFonts w:hint="eastAsia" w:ascii="宋体" w:hAnsi="宋体"/>
          <w:b/>
          <w:bCs/>
          <w:color w:val="auto"/>
          <w:lang w:eastAsia="zh-CN"/>
        </w:rPr>
        <w:t>要求，</w:t>
      </w:r>
      <w:r>
        <w:rPr>
          <w:rFonts w:hint="eastAsia" w:ascii="宋体" w:hAnsi="宋体"/>
          <w:b/>
          <w:bCs/>
          <w:color w:val="auto"/>
          <w:lang w:val="en-US" w:eastAsia="zh-CN"/>
        </w:rPr>
        <w:t>成交供应商应</w:t>
      </w:r>
      <w:r>
        <w:rPr>
          <w:rFonts w:hint="eastAsia" w:ascii="宋体" w:hAnsi="宋体"/>
          <w:b/>
          <w:bCs/>
          <w:color w:val="auto"/>
        </w:rPr>
        <w:t>在</w:t>
      </w:r>
      <w:r>
        <w:rPr>
          <w:rFonts w:hint="eastAsia" w:ascii="宋体" w:hAnsi="宋体"/>
          <w:b/>
          <w:bCs/>
          <w:color w:val="auto"/>
          <w:lang w:val="en-US" w:eastAsia="zh-CN"/>
        </w:rPr>
        <w:t>项目结果发布7个日历天</w:t>
      </w:r>
      <w:r>
        <w:rPr>
          <w:rFonts w:hint="eastAsia" w:ascii="宋体" w:hAnsi="宋体"/>
          <w:b/>
          <w:bCs/>
          <w:color w:val="auto"/>
        </w:rPr>
        <w:t>内</w:t>
      </w:r>
      <w:r>
        <w:rPr>
          <w:rFonts w:hint="eastAsia" w:ascii="宋体" w:hAnsi="宋体"/>
          <w:b/>
          <w:bCs/>
          <w:color w:val="auto"/>
          <w:lang w:val="en-US" w:eastAsia="zh-CN"/>
        </w:rPr>
        <w:t>与</w:t>
      </w:r>
      <w:r>
        <w:rPr>
          <w:rFonts w:hint="eastAsia" w:ascii="宋体" w:hAnsi="宋体"/>
          <w:b/>
          <w:bCs/>
          <w:color w:val="auto"/>
          <w:lang w:eastAsia="zh-CN"/>
        </w:rPr>
        <w:t>采购单位</w:t>
      </w:r>
      <w:r>
        <w:rPr>
          <w:rFonts w:hint="eastAsia" w:ascii="宋体" w:hAnsi="宋体"/>
          <w:b/>
          <w:bCs/>
          <w:color w:val="auto"/>
          <w:lang w:val="en-US" w:eastAsia="zh-CN"/>
        </w:rPr>
        <w:t>约定项目执行事宜；否则将有可能被取消成交资格</w:t>
      </w:r>
      <w:r>
        <w:rPr>
          <w:rFonts w:hint="eastAsia" w:ascii="宋体" w:hAnsi="宋体"/>
          <w:b/>
          <w:bCs/>
          <w:color w:val="auto"/>
          <w:lang w:eastAsia="zh-CN"/>
        </w:rPr>
        <w:t>。</w:t>
      </w:r>
    </w:p>
    <w:p w14:paraId="6719DBC5">
      <w:pPr>
        <w:pStyle w:val="53"/>
        <w:numPr>
          <w:ilvl w:val="0"/>
          <w:numId w:val="4"/>
        </w:numPr>
        <w:spacing w:line="360" w:lineRule="auto"/>
        <w:ind w:firstLineChars="0"/>
        <w:rPr>
          <w:rFonts w:hint="eastAsia"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64108120">
      <w:pPr>
        <w:pStyle w:val="53"/>
        <w:numPr>
          <w:ilvl w:val="0"/>
          <w:numId w:val="4"/>
        </w:numPr>
        <w:spacing w:line="360" w:lineRule="auto"/>
        <w:ind w:firstLineChars="0"/>
        <w:rPr>
          <w:rFonts w:ascii="宋体" w:hAnsi="宋体"/>
          <w:b/>
          <w:bCs/>
          <w:color w:val="auto"/>
        </w:rPr>
      </w:pPr>
      <w:r>
        <w:rPr>
          <w:rFonts w:hint="eastAsia" w:asciiTheme="minorEastAsia" w:hAnsiTheme="minorEastAsia"/>
          <w:b/>
          <w:color w:val="auto"/>
        </w:rPr>
        <w:t>参与</w:t>
      </w:r>
      <w:r>
        <w:rPr>
          <w:rFonts w:hint="eastAsia" w:asciiTheme="minorEastAsia" w:hAnsiTheme="minorEastAsia"/>
          <w:b/>
          <w:color w:val="auto"/>
          <w:lang w:eastAsia="zh-CN"/>
        </w:rPr>
        <w:t>项目</w:t>
      </w:r>
      <w:r>
        <w:rPr>
          <w:rFonts w:hint="eastAsia" w:asciiTheme="minorEastAsia" w:hAnsiTheme="minorEastAsia"/>
          <w:b/>
          <w:color w:val="auto"/>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2D539102">
      <w:pPr>
        <w:widowControl/>
        <w:numPr>
          <w:ilvl w:val="0"/>
          <w:numId w:val="4"/>
        </w:numPr>
        <w:spacing w:line="360" w:lineRule="auto"/>
        <w:jc w:val="left"/>
        <w:rPr>
          <w:rFonts w:ascii="宋体" w:hAnsi="宋体"/>
          <w:color w:val="auto"/>
        </w:rPr>
      </w:pPr>
      <w:r>
        <w:rPr>
          <w:rFonts w:hint="eastAsia" w:ascii="宋体" w:hAnsi="宋体" w:cs="宋体"/>
          <w:color w:val="auto"/>
        </w:rPr>
        <w:t>供应商认为</w:t>
      </w:r>
      <w:r>
        <w:rPr>
          <w:rFonts w:hint="eastAsia" w:ascii="宋体" w:hAnsi="宋体" w:cs="宋体"/>
          <w:color w:val="auto"/>
          <w:lang w:eastAsia="zh-CN"/>
        </w:rPr>
        <w:t>项目</w:t>
      </w:r>
      <w:r>
        <w:rPr>
          <w:rFonts w:hint="eastAsia" w:ascii="宋体" w:hAnsi="宋体" w:cs="宋体"/>
          <w:color w:val="auto"/>
        </w:rPr>
        <w:t>结果损害其权益的，应按照云采链平台相关指引在规定的时间内向采购人或代理机构提交书面质疑，不提交的视为无异议，逾期提交将不予受理；</w:t>
      </w:r>
    </w:p>
    <w:p w14:paraId="22E66936">
      <w:pPr>
        <w:widowControl/>
        <w:numPr>
          <w:ilvl w:val="0"/>
          <w:numId w:val="4"/>
        </w:numPr>
        <w:spacing w:line="360" w:lineRule="auto"/>
        <w:jc w:val="left"/>
        <w:rPr>
          <w:rFonts w:ascii="宋体" w:hAnsi="宋体"/>
          <w:color w:val="auto"/>
        </w:rPr>
      </w:pPr>
      <w:r>
        <w:rPr>
          <w:rFonts w:hint="eastAsia" w:ascii="宋体" w:hAnsi="宋体" w:cs="宋体"/>
          <w:color w:val="auto"/>
        </w:rPr>
        <w:t>本</w:t>
      </w:r>
      <w:r>
        <w:rPr>
          <w:rFonts w:hint="eastAsia" w:ascii="宋体" w:hAnsi="宋体" w:cs="宋体"/>
          <w:color w:val="auto"/>
          <w:lang w:eastAsia="zh-CN"/>
        </w:rPr>
        <w:t>项目</w:t>
      </w:r>
      <w:r>
        <w:rPr>
          <w:rFonts w:hint="eastAsia" w:ascii="宋体" w:hAnsi="宋体" w:cs="宋体"/>
          <w:color w:val="auto"/>
        </w:rPr>
        <w:t>公告和</w:t>
      </w:r>
      <w:r>
        <w:rPr>
          <w:rFonts w:hint="eastAsia" w:ascii="宋体" w:hAnsi="宋体" w:cs="宋体"/>
          <w:color w:val="auto"/>
          <w:lang w:eastAsia="zh-CN"/>
        </w:rPr>
        <w:t>项目</w:t>
      </w:r>
      <w:r>
        <w:rPr>
          <w:rFonts w:hint="eastAsia" w:ascii="宋体" w:hAnsi="宋体" w:cs="宋体"/>
          <w:color w:val="auto"/>
        </w:rPr>
        <w:t>文件的解释权归“云采链线上采购一体化平台”所有。</w:t>
      </w:r>
    </w:p>
    <w:p w14:paraId="27231B70">
      <w:pPr>
        <w:widowControl/>
        <w:numPr>
          <w:ilvl w:val="0"/>
          <w:numId w:val="3"/>
        </w:numPr>
        <w:spacing w:line="360" w:lineRule="auto"/>
        <w:jc w:val="left"/>
        <w:rPr>
          <w:rFonts w:ascii="宋体" w:hAnsi="宋体"/>
          <w:color w:val="auto"/>
        </w:rPr>
      </w:pPr>
      <w:r>
        <w:rPr>
          <w:rFonts w:hint="eastAsia" w:ascii="宋体" w:hAnsi="宋体"/>
          <w:b/>
          <w:color w:val="auto"/>
          <w:lang w:eastAsia="zh-CN"/>
        </w:rPr>
        <w:t>项目</w:t>
      </w:r>
      <w:r>
        <w:rPr>
          <w:rFonts w:hint="eastAsia" w:ascii="宋体" w:hAnsi="宋体"/>
          <w:b/>
          <w:color w:val="auto"/>
        </w:rPr>
        <w:t>文件的澄清或修改</w:t>
      </w:r>
    </w:p>
    <w:p w14:paraId="3CB05148">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采购人或者采购代理机构可以对已发出的</w:t>
      </w:r>
      <w:r>
        <w:rPr>
          <w:rFonts w:hint="eastAsia" w:ascii="宋体" w:hAnsi="宋体"/>
          <w:color w:val="auto"/>
          <w:lang w:eastAsia="zh-CN"/>
        </w:rPr>
        <w:t>项目</w:t>
      </w:r>
      <w:r>
        <w:rPr>
          <w:rFonts w:hint="eastAsia" w:ascii="宋体" w:hAnsi="宋体"/>
          <w:color w:val="auto"/>
        </w:rPr>
        <w:t>文件进行必要的澄清或者修改。澄清或者修改的内容将在云采链平台上发布澄清（更正/变更）公告。</w:t>
      </w:r>
    </w:p>
    <w:p w14:paraId="01E8DBBA">
      <w:pPr>
        <w:widowControl/>
        <w:numPr>
          <w:ilvl w:val="1"/>
          <w:numId w:val="5"/>
        </w:numPr>
        <w:spacing w:line="360" w:lineRule="auto"/>
        <w:jc w:val="left"/>
        <w:rPr>
          <w:rFonts w:ascii="宋体" w:hAnsi="宋体"/>
          <w:color w:val="auto"/>
        </w:rPr>
      </w:pPr>
      <w:r>
        <w:rPr>
          <w:rFonts w:hint="eastAsia" w:ascii="宋体" w:hAnsi="宋体"/>
          <w:color w:val="auto"/>
        </w:rPr>
        <w:t>无论澄清或者修改的内容是否影响</w:t>
      </w:r>
      <w:r>
        <w:rPr>
          <w:rFonts w:hint="eastAsia" w:ascii="宋体" w:hAnsi="宋体"/>
          <w:color w:val="auto"/>
          <w:lang w:eastAsia="zh-CN"/>
        </w:rPr>
        <w:t>项目</w:t>
      </w:r>
      <w:r>
        <w:rPr>
          <w:rFonts w:hint="eastAsia" w:ascii="宋体" w:hAnsi="宋体"/>
          <w:color w:val="auto"/>
        </w:rPr>
        <w:t>，平台将以短信形式通知所有的报名供应商；报名供应商应按要求履行相应的义务；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rPr>
        <w:t>采购人或者采购代理机构应当相应顺延报名的截止时间。</w:t>
      </w:r>
    </w:p>
    <w:p w14:paraId="316FFFAC">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采购人或者采购代理机构发出的澄清或修改（更正/变更）的内容为</w:t>
      </w:r>
      <w:r>
        <w:rPr>
          <w:rFonts w:hint="eastAsia" w:ascii="宋体" w:hAnsi="宋体"/>
          <w:color w:val="auto"/>
          <w:lang w:eastAsia="zh-CN"/>
        </w:rPr>
        <w:t>项目</w:t>
      </w:r>
      <w:r>
        <w:rPr>
          <w:rFonts w:hint="eastAsia" w:ascii="宋体" w:hAnsi="宋体"/>
          <w:color w:val="auto"/>
        </w:rPr>
        <w:t>文件的组成部分，并对供应商具有约束力。</w:t>
      </w:r>
    </w:p>
    <w:p w14:paraId="2A8AF715">
      <w:pPr>
        <w:widowControl/>
        <w:numPr>
          <w:ilvl w:val="0"/>
          <w:numId w:val="3"/>
        </w:numPr>
        <w:spacing w:line="360" w:lineRule="auto"/>
        <w:jc w:val="left"/>
        <w:rPr>
          <w:rFonts w:hint="eastAsia" w:ascii="宋体" w:hAnsi="宋体" w:eastAsia="宋体" w:cs="宋体"/>
          <w:b/>
          <w:bCs/>
          <w:color w:val="auto"/>
        </w:rPr>
      </w:pPr>
      <w:r>
        <w:rPr>
          <w:rFonts w:hint="eastAsia" w:ascii="宋体" w:hAnsi="宋体" w:eastAsia="宋体" w:cs="宋体"/>
          <w:b/>
          <w:bCs/>
          <w:color w:val="auto"/>
        </w:rPr>
        <w:t>如有要求缴纳保证金的项目有</w:t>
      </w:r>
      <w:r>
        <w:rPr>
          <w:rFonts w:hint="eastAsia" w:ascii="宋体" w:hAnsi="宋体" w:eastAsia="宋体" w:cs="宋体"/>
          <w:b/>
          <w:bCs/>
          <w:color w:val="auto"/>
          <w:lang w:eastAsia="zh-TW"/>
        </w:rPr>
        <w:t>下列任一情</w:t>
      </w:r>
      <w:r>
        <w:rPr>
          <w:rFonts w:hint="eastAsia" w:ascii="宋体" w:hAnsi="宋体" w:eastAsia="宋体" w:cs="宋体"/>
          <w:b/>
          <w:bCs/>
          <w:color w:val="auto"/>
        </w:rPr>
        <w:t>形</w:t>
      </w:r>
      <w:r>
        <w:rPr>
          <w:rFonts w:hint="eastAsia" w:ascii="宋体" w:hAnsi="宋体" w:eastAsia="宋体" w:cs="宋体"/>
          <w:b/>
          <w:bCs/>
          <w:color w:val="auto"/>
          <w:lang w:eastAsia="zh-TW"/>
        </w:rPr>
        <w:t>发生时</w:t>
      </w:r>
      <w:r>
        <w:rPr>
          <w:rFonts w:hint="eastAsia" w:ascii="宋体" w:hAnsi="宋体" w:eastAsia="宋体" w:cs="宋体"/>
          <w:b/>
          <w:bCs/>
          <w:color w:val="auto"/>
        </w:rPr>
        <w:t>，</w:t>
      </w:r>
      <w:r>
        <w:rPr>
          <w:rFonts w:hint="eastAsia" w:ascii="宋体" w:hAnsi="宋体" w:eastAsia="宋体" w:cs="宋体"/>
          <w:b/>
          <w:bCs/>
          <w:color w:val="auto"/>
          <w:lang w:eastAsia="zh-TW"/>
        </w:rPr>
        <w:t>保证金将不予退还</w:t>
      </w:r>
      <w:r>
        <w:rPr>
          <w:rFonts w:hint="eastAsia" w:ascii="宋体" w:hAnsi="宋体" w:eastAsia="宋体" w:cs="宋体"/>
          <w:b/>
          <w:bCs/>
          <w:color w:val="auto"/>
        </w:rPr>
        <w:t>：</w:t>
      </w:r>
    </w:p>
    <w:p w14:paraId="64B557FF">
      <w:pPr>
        <w:widowControl/>
        <w:numPr>
          <w:ilvl w:val="1"/>
          <w:numId w:val="6"/>
        </w:numPr>
        <w:spacing w:line="360" w:lineRule="auto"/>
        <w:jc w:val="left"/>
        <w:rPr>
          <w:rFonts w:hint="eastAsia" w:ascii="宋体" w:hAnsi="宋体" w:eastAsia="宋体"/>
          <w:color w:val="auto"/>
        </w:rPr>
      </w:pPr>
      <w:r>
        <w:rPr>
          <w:rFonts w:hint="eastAsia" w:ascii="宋体" w:hAnsi="宋体" w:eastAsia="宋体"/>
          <w:color w:val="auto"/>
        </w:rPr>
        <w:t>供应商</w:t>
      </w:r>
      <w:r>
        <w:rPr>
          <w:rFonts w:hint="eastAsia" w:ascii="宋体" w:hAnsi="宋体" w:eastAsia="宋体"/>
          <w:color w:val="auto"/>
          <w:lang w:eastAsia="zh-TW"/>
        </w:rPr>
        <w:t>在</w:t>
      </w:r>
      <w:r>
        <w:rPr>
          <w:rFonts w:hint="eastAsia" w:ascii="宋体" w:hAnsi="宋体" w:eastAsia="宋体"/>
          <w:color w:val="auto"/>
        </w:rPr>
        <w:t>项目相关公告以及</w:t>
      </w:r>
      <w:r>
        <w:rPr>
          <w:rFonts w:hint="eastAsia" w:ascii="宋体" w:hAnsi="宋体" w:eastAsia="宋体"/>
          <w:color w:val="auto"/>
          <w:lang w:eastAsia="zh-CN"/>
        </w:rPr>
        <w:t>项目</w:t>
      </w:r>
      <w:r>
        <w:rPr>
          <w:rFonts w:hint="eastAsia" w:ascii="宋体" w:hAnsi="宋体" w:eastAsia="宋体"/>
          <w:color w:val="auto"/>
        </w:rPr>
        <w:t>文件等相关</w:t>
      </w:r>
      <w:r>
        <w:rPr>
          <w:rFonts w:hint="eastAsia" w:ascii="宋体" w:hAnsi="宋体" w:eastAsia="宋体"/>
          <w:color w:val="auto"/>
          <w:lang w:eastAsia="zh-TW"/>
        </w:rPr>
        <w:t>规定的</w:t>
      </w:r>
      <w:r>
        <w:rPr>
          <w:rFonts w:hint="eastAsia" w:ascii="宋体" w:hAnsi="宋体" w:eastAsia="宋体"/>
          <w:color w:val="auto"/>
        </w:rPr>
        <w:t>报价</w:t>
      </w:r>
      <w:r>
        <w:rPr>
          <w:rFonts w:hint="eastAsia" w:ascii="宋体" w:hAnsi="宋体" w:eastAsia="宋体"/>
          <w:color w:val="auto"/>
          <w:lang w:val="en-US" w:eastAsia="zh-CN"/>
        </w:rPr>
        <w:t>截止后</w:t>
      </w:r>
      <w:r>
        <w:rPr>
          <w:rFonts w:hint="eastAsia" w:ascii="宋体" w:hAnsi="宋体" w:eastAsia="宋体"/>
          <w:color w:val="auto"/>
          <w:lang w:eastAsia="zh-TW"/>
        </w:rPr>
        <w:t>撤</w:t>
      </w:r>
      <w:r>
        <w:rPr>
          <w:rFonts w:hint="eastAsia" w:ascii="宋体" w:hAnsi="宋体" w:eastAsia="宋体"/>
          <w:color w:val="auto"/>
        </w:rPr>
        <w:t>销</w:t>
      </w:r>
      <w:r>
        <w:rPr>
          <w:rFonts w:hint="eastAsia" w:ascii="宋体" w:hAnsi="宋体" w:eastAsia="宋体"/>
          <w:color w:val="auto"/>
          <w:lang w:eastAsia="zh-TW"/>
        </w:rPr>
        <w:t>其</w:t>
      </w:r>
      <w:r>
        <w:rPr>
          <w:rFonts w:hint="eastAsia" w:ascii="宋体" w:hAnsi="宋体" w:eastAsia="宋体"/>
          <w:color w:val="auto"/>
        </w:rPr>
        <w:t>报价的；</w:t>
      </w:r>
    </w:p>
    <w:p w14:paraId="52D1DB57">
      <w:pPr>
        <w:widowControl/>
        <w:numPr>
          <w:ilvl w:val="1"/>
          <w:numId w:val="6"/>
        </w:numPr>
        <w:spacing w:line="360" w:lineRule="auto"/>
        <w:jc w:val="left"/>
        <w:rPr>
          <w:rFonts w:hint="eastAsia" w:ascii="宋体" w:hAnsi="宋体" w:eastAsia="宋体"/>
          <w:color w:val="auto"/>
        </w:rPr>
      </w:pPr>
      <w:r>
        <w:rPr>
          <w:rFonts w:hint="eastAsia" w:ascii="宋体" w:hAnsi="宋体" w:eastAsia="宋体"/>
          <w:color w:val="auto"/>
        </w:rPr>
        <w:t>获取成交资格</w:t>
      </w:r>
      <w:r>
        <w:rPr>
          <w:rFonts w:hint="eastAsia" w:ascii="宋体" w:hAnsi="宋体" w:eastAsia="宋体"/>
          <w:color w:val="auto"/>
          <w:lang w:eastAsia="zh-TW"/>
        </w:rPr>
        <w:t>后无正当理由放弃</w:t>
      </w:r>
      <w:r>
        <w:rPr>
          <w:rFonts w:hint="eastAsia" w:ascii="宋体" w:hAnsi="宋体" w:eastAsia="宋体"/>
          <w:color w:val="auto"/>
        </w:rPr>
        <w:t>成交资格</w:t>
      </w:r>
      <w:r>
        <w:rPr>
          <w:rFonts w:hint="eastAsia" w:ascii="宋体" w:hAnsi="宋体" w:eastAsia="宋体"/>
          <w:color w:val="auto"/>
          <w:lang w:eastAsia="zh-TW"/>
        </w:rPr>
        <w:t>或</w:t>
      </w:r>
      <w:r>
        <w:rPr>
          <w:rFonts w:hint="eastAsia" w:ascii="宋体" w:hAnsi="宋体" w:eastAsia="宋体"/>
          <w:color w:val="auto"/>
          <w:lang w:eastAsia="zh-CN"/>
        </w:rPr>
        <w:t>成交供应商</w:t>
      </w:r>
      <w:r>
        <w:rPr>
          <w:rFonts w:hint="eastAsia" w:ascii="宋体" w:hAnsi="宋体" w:eastAsia="宋体"/>
          <w:color w:val="auto"/>
          <w:lang w:val="en-US" w:eastAsia="zh-CN"/>
        </w:rPr>
        <w:t>不配合</w:t>
      </w:r>
      <w:r>
        <w:rPr>
          <w:rFonts w:hint="eastAsia" w:ascii="宋体" w:hAnsi="宋体" w:eastAsia="宋体"/>
          <w:color w:val="auto"/>
        </w:rPr>
        <w:t>与采购人</w:t>
      </w:r>
      <w:r>
        <w:rPr>
          <w:rFonts w:hint="eastAsia" w:ascii="宋体" w:hAnsi="宋体" w:eastAsia="宋体"/>
          <w:color w:val="auto"/>
          <w:lang w:eastAsia="zh-TW"/>
        </w:rPr>
        <w:t>签订合同</w:t>
      </w:r>
      <w:r>
        <w:rPr>
          <w:rFonts w:hint="eastAsia" w:ascii="宋体" w:hAnsi="宋体" w:eastAsia="宋体"/>
          <w:color w:val="auto"/>
        </w:rPr>
        <w:t>的；</w:t>
      </w:r>
    </w:p>
    <w:p w14:paraId="0A73958D">
      <w:pPr>
        <w:widowControl/>
        <w:numPr>
          <w:ilvl w:val="1"/>
          <w:numId w:val="6"/>
        </w:numPr>
        <w:spacing w:line="360" w:lineRule="auto"/>
        <w:jc w:val="left"/>
        <w:rPr>
          <w:rFonts w:hint="eastAsia" w:ascii="宋体" w:hAnsi="宋体" w:eastAsia="宋体"/>
          <w:color w:val="auto"/>
          <w:lang w:eastAsia="zh-TW"/>
        </w:rPr>
      </w:pPr>
      <w:r>
        <w:rPr>
          <w:rFonts w:hint="eastAsia" w:ascii="宋体" w:hAnsi="宋体" w:eastAsia="宋体"/>
          <w:color w:val="auto"/>
        </w:rPr>
        <w:t>其他因</w:t>
      </w:r>
      <w:r>
        <w:rPr>
          <w:rFonts w:hint="eastAsia" w:ascii="宋体" w:hAnsi="宋体" w:eastAsia="宋体"/>
          <w:color w:val="auto"/>
          <w:lang w:eastAsia="zh-CN"/>
        </w:rPr>
        <w:t>成交供应商</w:t>
      </w:r>
      <w:r>
        <w:rPr>
          <w:rFonts w:hint="eastAsia" w:ascii="宋体" w:hAnsi="宋体" w:eastAsia="宋体"/>
          <w:color w:val="auto"/>
        </w:rPr>
        <w:t>的原因被认定取消成交资格的。</w:t>
      </w:r>
    </w:p>
    <w:p w14:paraId="2D5B8610">
      <w:pPr>
        <w:widowControl/>
        <w:numPr>
          <w:ilvl w:val="0"/>
          <w:numId w:val="3"/>
        </w:numPr>
        <w:spacing w:line="360" w:lineRule="auto"/>
        <w:jc w:val="left"/>
        <w:outlineLvl w:val="1"/>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并对上传的报名文件资料承担责任</w:t>
      </w:r>
      <w:r>
        <w:rPr>
          <w:rFonts w:hint="eastAsia" w:ascii="宋体" w:hAnsi="宋体" w:cs="宋体"/>
          <w:b/>
          <w:bCs/>
          <w:color w:val="auto"/>
        </w:rPr>
        <w:t>）</w:t>
      </w:r>
    </w:p>
    <w:p w14:paraId="258C7CF8">
      <w:pPr>
        <w:widowControl/>
        <w:numPr>
          <w:ilvl w:val="0"/>
          <w:numId w:val="7"/>
        </w:numPr>
        <w:spacing w:line="360" w:lineRule="auto"/>
        <w:jc w:val="left"/>
        <w:rPr>
          <w:rFonts w:ascii="宋体" w:hAnsi="宋体" w:cs="宋体"/>
          <w:color w:val="auto"/>
        </w:rPr>
      </w:pPr>
      <w:r>
        <w:rPr>
          <w:rFonts w:hint="eastAsia" w:ascii="宋体" w:hAnsi="宋体" w:cs="宋体"/>
          <w:color w:val="auto"/>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A45ED6A">
      <w:pPr>
        <w:widowControl/>
        <w:numPr>
          <w:ilvl w:val="0"/>
          <w:numId w:val="7"/>
        </w:numPr>
        <w:spacing w:line="360" w:lineRule="auto"/>
        <w:jc w:val="left"/>
        <w:rPr>
          <w:rFonts w:ascii="宋体" w:hAnsi="宋体" w:cs="宋体"/>
          <w:color w:val="auto"/>
        </w:rPr>
      </w:pPr>
      <w:r>
        <w:rPr>
          <w:rFonts w:hint="eastAsia" w:ascii="宋体" w:hAnsi="宋体" w:cs="宋体"/>
          <w:color w:val="auto"/>
        </w:rPr>
        <w:t>供应商符合《中华人民共和国政府采购法》的第二十二条规定，</w:t>
      </w:r>
      <w:r>
        <w:rPr>
          <w:rFonts w:hint="eastAsia" w:ascii="宋体" w:hAnsi="宋体" w:cs="宋体"/>
          <w:color w:val="auto"/>
          <w:kern w:val="0"/>
          <w:szCs w:val="21"/>
        </w:rPr>
        <w:t>本项目不允许分包，不接受联合</w:t>
      </w:r>
      <w:r>
        <w:rPr>
          <w:rFonts w:hint="eastAsia" w:ascii="宋体" w:hAnsi="宋体" w:cs="宋体"/>
          <w:color w:val="auto"/>
          <w:kern w:val="0"/>
          <w:szCs w:val="21"/>
          <w:lang w:val="en-US" w:eastAsia="zh-CN"/>
        </w:rPr>
        <w:t>参与</w:t>
      </w:r>
      <w:r>
        <w:rPr>
          <w:rFonts w:hint="eastAsia" w:ascii="宋体" w:hAnsi="宋体" w:cs="宋体"/>
          <w:color w:val="auto"/>
          <w:kern w:val="0"/>
          <w:szCs w:val="21"/>
        </w:rPr>
        <w:t>；</w:t>
      </w:r>
      <w:r>
        <w:rPr>
          <w:rFonts w:hint="eastAsia" w:ascii="宋体" w:hAnsi="宋体" w:cs="宋体"/>
          <w:color w:val="auto"/>
        </w:rPr>
        <w:t>提供供应商资格声明函，</w:t>
      </w:r>
      <w:r>
        <w:rPr>
          <w:rFonts w:hint="eastAsia" w:ascii="宋体" w:hAnsi="宋体" w:cs="宋体"/>
          <w:b/>
          <w:bCs/>
          <w:color w:val="auto"/>
        </w:rPr>
        <w:t>格式详见附件；</w:t>
      </w:r>
    </w:p>
    <w:p w14:paraId="1CDE5FAC">
      <w:pPr>
        <w:widowControl/>
        <w:numPr>
          <w:ilvl w:val="0"/>
          <w:numId w:val="7"/>
        </w:numPr>
        <w:spacing w:line="360" w:lineRule="auto"/>
        <w:jc w:val="left"/>
        <w:rPr>
          <w:rFonts w:ascii="宋体" w:hAnsi="宋体" w:cs="宋体"/>
          <w:b/>
          <w:color w:val="auto"/>
        </w:rPr>
      </w:pPr>
      <w:r>
        <w:rPr>
          <w:rFonts w:hint="eastAsia" w:ascii="宋体" w:hAnsi="宋体" w:cs="宋体"/>
          <w:color w:val="auto"/>
        </w:rPr>
        <w:t>供应商完全响应本项目用户需求的条款、内容及要求的，提供用户需求书响应声明函即可，</w:t>
      </w:r>
      <w:r>
        <w:rPr>
          <w:rFonts w:hint="eastAsia" w:ascii="宋体" w:hAnsi="宋体" w:cs="宋体"/>
          <w:b/>
          <w:bCs/>
          <w:color w:val="auto"/>
        </w:rPr>
        <w:t>格式详见附件；</w:t>
      </w:r>
    </w:p>
    <w:p w14:paraId="7769F110">
      <w:pPr>
        <w:widowControl/>
        <w:numPr>
          <w:ilvl w:val="0"/>
          <w:numId w:val="7"/>
        </w:numPr>
        <w:spacing w:line="360" w:lineRule="auto"/>
        <w:jc w:val="left"/>
        <w:rPr>
          <w:rFonts w:hint="eastAsia" w:ascii="宋体" w:hAnsi="宋体" w:eastAsia="宋体" w:cs="宋体"/>
          <w:color w:val="auto"/>
        </w:rPr>
      </w:pPr>
      <w:r>
        <w:rPr>
          <w:rFonts w:hint="eastAsia" w:ascii="宋体" w:hAnsi="宋体" w:eastAsia="宋体" w:cs="宋体"/>
          <w:color w:val="auto"/>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6100A107">
      <w:pPr>
        <w:widowControl/>
        <w:numPr>
          <w:ilvl w:val="0"/>
          <w:numId w:val="7"/>
        </w:numPr>
        <w:spacing w:line="360" w:lineRule="auto"/>
        <w:jc w:val="left"/>
        <w:rPr>
          <w:rFonts w:hint="eastAsia" w:ascii="宋体" w:hAnsi="宋体" w:eastAsia="宋体" w:cs="宋体"/>
          <w:color w:val="auto"/>
        </w:rPr>
      </w:pPr>
      <w:r>
        <w:rPr>
          <w:rFonts w:hint="eastAsia" w:ascii="宋体" w:hAnsi="宋体" w:eastAsia="宋体" w:cs="宋体"/>
          <w:b w:val="0"/>
          <w:bCs/>
          <w:color w:val="auto"/>
          <w:sz w:val="21"/>
          <w:szCs w:val="21"/>
          <w:highlight w:val="none"/>
          <w:lang w:val="en-US" w:eastAsia="zh-CN"/>
        </w:rPr>
        <w:t>响应供应商配备不少于4台固定的货运专车常驻现场，同时响应供应商需一一配备对应司机。</w:t>
      </w:r>
      <w:r>
        <w:rPr>
          <w:rFonts w:hint="eastAsia" w:ascii="宋体" w:hAnsi="宋体" w:eastAsia="宋体" w:cs="宋体"/>
          <w:sz w:val="21"/>
          <w:szCs w:val="21"/>
        </w:rPr>
        <w:t>货运专车为厢式货车，</w:t>
      </w:r>
      <w:r>
        <w:rPr>
          <w:rFonts w:hint="eastAsia" w:ascii="宋体" w:hAnsi="宋体" w:cs="宋体"/>
          <w:sz w:val="21"/>
          <w:szCs w:val="21"/>
          <w:lang w:val="en-US" w:eastAsia="zh-CN"/>
        </w:rPr>
        <w:t>车辆外观尺寸</w:t>
      </w:r>
      <w:r>
        <w:rPr>
          <w:rFonts w:hint="eastAsia" w:ascii="宋体" w:hAnsi="宋体" w:eastAsia="宋体" w:cs="宋体"/>
          <w:sz w:val="21"/>
          <w:szCs w:val="21"/>
        </w:rPr>
        <w:t>约为：长</w:t>
      </w:r>
      <w:r>
        <w:rPr>
          <w:rFonts w:ascii="宋体" w:hAnsi="宋体" w:eastAsia="宋体" w:cs="宋体"/>
          <w:sz w:val="21"/>
          <w:szCs w:val="21"/>
        </w:rPr>
        <w:t>10000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cs="宋体"/>
          <w:sz w:val="21"/>
          <w:szCs w:val="21"/>
          <w:lang w:val="en-US" w:eastAsia="zh-CN"/>
        </w:rPr>
        <w:t>宽</w:t>
      </w:r>
      <w:r>
        <w:rPr>
          <w:rFonts w:ascii="宋体" w:hAnsi="宋体" w:eastAsia="宋体" w:cs="宋体"/>
          <w:sz w:val="21"/>
          <w:szCs w:val="21"/>
        </w:rPr>
        <w:t>2550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cs="宋体"/>
          <w:sz w:val="21"/>
          <w:szCs w:val="21"/>
          <w:lang w:val="en-US" w:eastAsia="zh-CN"/>
        </w:rPr>
        <w:t>高</w:t>
      </w:r>
      <w:r>
        <w:rPr>
          <w:rFonts w:ascii="宋体" w:hAnsi="宋体" w:eastAsia="宋体" w:cs="宋体"/>
          <w:sz w:val="21"/>
          <w:szCs w:val="21"/>
        </w:rPr>
        <w:t>3960</w:t>
      </w:r>
      <w:r>
        <w:rPr>
          <w:rFonts w:hint="eastAsia" w:ascii="宋体" w:hAnsi="宋体" w:eastAsia="宋体" w:cs="宋体"/>
          <w:sz w:val="21"/>
          <w:szCs w:val="21"/>
        </w:rPr>
        <w:t>mm（含或以上</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但</w:t>
      </w:r>
      <w:r>
        <w:rPr>
          <w:rFonts w:hint="eastAsia" w:ascii="宋体" w:hAnsi="宋体" w:eastAsia="宋体" w:cs="宋体"/>
          <w:b w:val="0"/>
          <w:bCs/>
          <w:color w:val="auto"/>
          <w:sz w:val="21"/>
          <w:szCs w:val="21"/>
          <w:highlight w:val="none"/>
          <w:lang w:val="en-US" w:eastAsia="zh-CN"/>
        </w:rPr>
        <w:t>最大不超过：长13000</w:t>
      </w:r>
      <w:r>
        <w:rPr>
          <w:rFonts w:hint="eastAsia" w:ascii="宋体" w:hAnsi="宋体" w:eastAsia="宋体" w:cs="宋体"/>
          <w:sz w:val="21"/>
          <w:szCs w:val="21"/>
        </w:rPr>
        <w:t>mm</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宽2800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eastAsia="宋体" w:cs="宋体"/>
          <w:b w:val="0"/>
          <w:bCs/>
          <w:color w:val="auto"/>
          <w:sz w:val="21"/>
          <w:szCs w:val="21"/>
          <w:highlight w:val="none"/>
          <w:lang w:val="en-US" w:eastAsia="zh-CN"/>
        </w:rPr>
        <w:t>高</w:t>
      </w:r>
      <w:r>
        <w:rPr>
          <w:rFonts w:hint="eastAsia" w:ascii="宋体" w:hAnsi="宋体" w:cs="宋体"/>
          <w:b w:val="0"/>
          <w:bCs/>
          <w:color w:val="auto"/>
          <w:sz w:val="21"/>
          <w:szCs w:val="21"/>
          <w:highlight w:val="none"/>
          <w:lang w:val="en-US" w:eastAsia="zh-CN"/>
        </w:rPr>
        <w:t>45</w:t>
      </w:r>
      <w:r>
        <w:rPr>
          <w:rFonts w:hint="eastAsia" w:ascii="宋体" w:hAnsi="宋体" w:eastAsia="宋体" w:cs="宋体"/>
          <w:b w:val="0"/>
          <w:bCs/>
          <w:color w:val="auto"/>
          <w:sz w:val="21"/>
          <w:szCs w:val="21"/>
          <w:highlight w:val="none"/>
          <w:lang w:val="en-US" w:eastAsia="zh-CN"/>
        </w:rPr>
        <w:t>00</w:t>
      </w:r>
      <w:r>
        <w:rPr>
          <w:rFonts w:hint="eastAsia" w:ascii="宋体" w:hAnsi="宋体" w:eastAsia="宋体" w:cs="宋体"/>
          <w:sz w:val="21"/>
          <w:szCs w:val="21"/>
        </w:rPr>
        <w:t>mm</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sz w:val="21"/>
          <w:szCs w:val="21"/>
        </w:rPr>
        <w:t>，载重量</w:t>
      </w:r>
      <w:r>
        <w:rPr>
          <w:rFonts w:hint="eastAsia" w:ascii="宋体" w:hAnsi="宋体" w:cs="宋体"/>
          <w:sz w:val="21"/>
          <w:szCs w:val="21"/>
          <w:lang w:val="en-US" w:eastAsia="zh-CN"/>
        </w:rPr>
        <w:t>9</w:t>
      </w:r>
      <w:r>
        <w:rPr>
          <w:rFonts w:hint="eastAsia" w:ascii="宋体" w:hAnsi="宋体" w:eastAsia="宋体" w:cs="宋体"/>
          <w:sz w:val="21"/>
          <w:szCs w:val="21"/>
        </w:rPr>
        <w:t>吨及以上</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可自有或租赁，</w:t>
      </w:r>
      <w:r>
        <w:rPr>
          <w:rFonts w:hint="eastAsia" w:ascii="宋体" w:hAnsi="宋体" w:eastAsia="宋体" w:cs="宋体"/>
          <w:color w:val="auto"/>
        </w:rPr>
        <w:t>响应供应商自有车辆：报名时提供有效的机动车行驶证复印件，车辆应为响应供应商所有</w:t>
      </w:r>
      <w:r>
        <w:rPr>
          <w:rFonts w:hint="eastAsia" w:ascii="宋体" w:hAnsi="宋体" w:cs="宋体"/>
          <w:color w:val="auto"/>
          <w:lang w:eastAsia="zh-CN"/>
        </w:rPr>
        <w:t>；</w:t>
      </w:r>
      <w:r>
        <w:rPr>
          <w:rFonts w:hint="eastAsia" w:ascii="宋体" w:hAnsi="宋体" w:eastAsia="宋体" w:cs="宋体"/>
          <w:color w:val="auto"/>
        </w:rPr>
        <w:t>响应供应商租赁车辆：报名时提供有效的车辆租赁协议复印件（租赁期限需覆盖整个服务周期，若车租赁期不能覆盖合同期的，响应供应商需提交承诺函（格式自拟），承诺租赁到期后将继续租赁不低于</w:t>
      </w:r>
      <w:r>
        <w:rPr>
          <w:rFonts w:hint="eastAsia" w:ascii="宋体" w:hAnsi="宋体" w:cs="宋体"/>
          <w:color w:val="auto"/>
          <w:lang w:val="en-US" w:eastAsia="zh-CN"/>
        </w:rPr>
        <w:t>报价名</w:t>
      </w:r>
      <w:r>
        <w:rPr>
          <w:rFonts w:hint="eastAsia" w:ascii="宋体" w:hAnsi="宋体" w:eastAsia="宋体" w:cs="宋体"/>
          <w:color w:val="auto"/>
        </w:rPr>
        <w:t>时运载能力的运输车辆）租赁方的《道路运输经营许可证》和《机动车行驶证》（复印件）。</w:t>
      </w:r>
    </w:p>
    <w:p w14:paraId="5C986394">
      <w:pPr>
        <w:widowControl/>
        <w:numPr>
          <w:ilvl w:val="0"/>
          <w:numId w:val="7"/>
        </w:numPr>
        <w:spacing w:line="360" w:lineRule="auto"/>
        <w:jc w:val="left"/>
        <w:rPr>
          <w:rFonts w:hint="eastAsia" w:ascii="宋体" w:hAnsi="宋体" w:eastAsia="宋体" w:cs="宋体"/>
          <w:color w:val="auto"/>
        </w:rPr>
      </w:pPr>
      <w:r>
        <w:rPr>
          <w:rFonts w:hint="eastAsia" w:ascii="宋体" w:hAnsi="宋体" w:eastAsia="宋体" w:cs="宋体"/>
          <w:color w:val="auto"/>
        </w:rPr>
        <w:t>响应供应商</w:t>
      </w:r>
      <w:r>
        <w:rPr>
          <w:rFonts w:hint="eastAsia" w:ascii="宋体" w:hAnsi="宋体" w:cs="宋体"/>
          <w:color w:val="auto"/>
          <w:lang w:val="en-US" w:eastAsia="zh-CN"/>
        </w:rPr>
        <w:t>须具有</w:t>
      </w:r>
      <w:r>
        <w:rPr>
          <w:rFonts w:hint="eastAsia" w:ascii="宋体" w:hAnsi="宋体" w:eastAsia="宋体" w:cs="宋体"/>
          <w:color w:val="auto"/>
        </w:rPr>
        <w:t>运输经营许可证</w:t>
      </w:r>
      <w:r>
        <w:rPr>
          <w:rFonts w:hint="eastAsia" w:ascii="宋体" w:hAnsi="宋体" w:cs="宋体"/>
          <w:color w:val="auto"/>
          <w:lang w:eastAsia="zh-CN"/>
        </w:rPr>
        <w:t>，</w:t>
      </w:r>
      <w:r>
        <w:rPr>
          <w:rFonts w:hint="eastAsia" w:ascii="宋体" w:hAnsi="宋体" w:cs="宋体"/>
          <w:color w:val="auto"/>
          <w:lang w:val="en-US" w:eastAsia="zh-CN"/>
        </w:rPr>
        <w:t>有效期内。</w:t>
      </w:r>
    </w:p>
    <w:p w14:paraId="0FA032AD">
      <w:pPr>
        <w:widowControl/>
        <w:numPr>
          <w:ilvl w:val="0"/>
          <w:numId w:val="7"/>
        </w:numPr>
        <w:spacing w:line="360" w:lineRule="auto"/>
        <w:jc w:val="left"/>
        <w:rPr>
          <w:rFonts w:hint="eastAsia" w:ascii="宋体" w:hAnsi="宋体" w:eastAsia="宋体" w:cs="宋体"/>
          <w:color w:val="auto"/>
        </w:rPr>
      </w:pPr>
      <w:r>
        <w:rPr>
          <w:rFonts w:hint="eastAsia" w:ascii="宋体" w:hAnsi="宋体" w:eastAsia="宋体" w:cs="宋体"/>
          <w:color w:val="auto"/>
          <w:lang w:val="en-US" w:eastAsia="zh-CN"/>
        </w:rPr>
        <w:t>报名时提供承诺函，具体格式请查看附件</w:t>
      </w:r>
      <w:r>
        <w:rPr>
          <w:rFonts w:hint="eastAsia" w:ascii="宋体" w:hAnsi="宋体" w:cs="宋体"/>
          <w:color w:val="auto"/>
          <w:lang w:val="en-US" w:eastAsia="zh-CN"/>
        </w:rPr>
        <w:t>。</w:t>
      </w:r>
    </w:p>
    <w:p w14:paraId="1DAFBC15">
      <w:pPr>
        <w:pStyle w:val="43"/>
        <w:widowControl/>
        <w:numPr>
          <w:ilvl w:val="0"/>
          <w:numId w:val="3"/>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14:paraId="5AFF6245">
      <w:pPr>
        <w:widowControl/>
        <w:numPr>
          <w:ilvl w:val="0"/>
          <w:numId w:val="8"/>
        </w:numPr>
        <w:spacing w:line="360" w:lineRule="auto"/>
        <w:jc w:val="left"/>
        <w:rPr>
          <w:rFonts w:ascii="宋体" w:hAnsi="宋体"/>
          <w:color w:val="auto"/>
        </w:rPr>
      </w:pPr>
      <w:r>
        <w:rPr>
          <w:rFonts w:hint="eastAsia" w:ascii="宋体" w:hAnsi="宋体" w:cs="宋体"/>
          <w:color w:val="auto"/>
        </w:rPr>
        <w:t>通过报名供应商应根据本公告要求，在</w:t>
      </w:r>
      <w:r>
        <w:rPr>
          <w:rFonts w:hint="eastAsia" w:ascii="宋体" w:hAnsi="宋体" w:cs="宋体"/>
          <w:color w:val="auto"/>
          <w:lang w:val="en-US" w:eastAsia="zh-CN"/>
        </w:rPr>
        <w:t>项目</w:t>
      </w:r>
      <w:r>
        <w:rPr>
          <w:rFonts w:hint="eastAsia" w:ascii="宋体" w:hAnsi="宋体" w:cs="宋体"/>
          <w:color w:val="auto"/>
        </w:rPr>
        <w:t>规定的时间内对采购项目进行报价，同时按本公告要求完整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266D6E31">
      <w:pPr>
        <w:widowControl/>
        <w:numPr>
          <w:ilvl w:val="0"/>
          <w:numId w:val="8"/>
        </w:numPr>
        <w:spacing w:line="360" w:lineRule="auto"/>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14:paraId="5E70C0C5">
      <w:pPr>
        <w:widowControl/>
        <w:numPr>
          <w:ilvl w:val="0"/>
          <w:numId w:val="3"/>
        </w:numPr>
        <w:spacing w:line="360" w:lineRule="auto"/>
        <w:jc w:val="left"/>
        <w:rPr>
          <w:rFonts w:ascii="宋体" w:hAnsi="宋体"/>
          <w:b/>
          <w:bCs/>
          <w:color w:val="auto"/>
        </w:rPr>
      </w:pPr>
      <w:r>
        <w:rPr>
          <w:rFonts w:hint="eastAsia" w:ascii="宋体" w:hAnsi="宋体" w:cs="宋体"/>
          <w:b/>
          <w:bCs/>
          <w:color w:val="auto"/>
        </w:rPr>
        <w:t>确定成交候选人</w:t>
      </w:r>
    </w:p>
    <w:p w14:paraId="5BAE62AE">
      <w:pPr>
        <w:widowControl/>
        <w:numPr>
          <w:ilvl w:val="0"/>
          <w:numId w:val="9"/>
        </w:numPr>
        <w:spacing w:line="360" w:lineRule="auto"/>
        <w:jc w:val="left"/>
        <w:rPr>
          <w:rFonts w:ascii="宋体" w:hAnsi="宋体"/>
          <w:color w:val="auto"/>
        </w:rPr>
      </w:pPr>
      <w:r>
        <w:rPr>
          <w:rFonts w:hint="eastAsia" w:ascii="宋体" w:hAnsi="宋体" w:cs="宋体"/>
          <w:color w:val="auto"/>
        </w:rPr>
        <w:t>本项目以最低价成交的方式</w:t>
      </w:r>
      <w:r>
        <w:rPr>
          <w:rFonts w:hint="eastAsia" w:ascii="宋体" w:hAnsi="宋体" w:cs="宋体"/>
          <w:color w:val="auto"/>
          <w:lang w:eastAsia="zh-CN"/>
        </w:rPr>
        <w:t>（</w:t>
      </w:r>
      <w:r>
        <w:rPr>
          <w:rFonts w:hint="eastAsia" w:ascii="宋体" w:hAnsi="宋体" w:cs="宋体"/>
          <w:color w:val="auto"/>
          <w:lang w:val="en-US" w:eastAsia="zh-CN"/>
        </w:rPr>
        <w:t>单价最低</w:t>
      </w:r>
      <w:r>
        <w:rPr>
          <w:rFonts w:hint="eastAsia" w:ascii="宋体" w:hAnsi="宋体" w:cs="宋体"/>
          <w:color w:val="auto"/>
          <w:lang w:eastAsia="zh-CN"/>
        </w:rPr>
        <w:t>）</w:t>
      </w:r>
      <w:r>
        <w:rPr>
          <w:rFonts w:hint="eastAsia" w:ascii="宋体" w:hAnsi="宋体" w:cs="宋体"/>
          <w:color w:val="auto"/>
        </w:rPr>
        <w:t>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9AD3894">
      <w:pPr>
        <w:widowControl/>
        <w:numPr>
          <w:ilvl w:val="0"/>
          <w:numId w:val="3"/>
        </w:numPr>
        <w:spacing w:line="360" w:lineRule="auto"/>
        <w:jc w:val="left"/>
        <w:rPr>
          <w:rFonts w:ascii="宋体" w:hAnsi="宋体"/>
          <w:b/>
          <w:bCs/>
          <w:color w:val="auto"/>
        </w:rPr>
      </w:pPr>
      <w:r>
        <w:rPr>
          <w:rFonts w:hint="eastAsia" w:ascii="宋体" w:hAnsi="宋体" w:cs="宋体"/>
          <w:b/>
          <w:bCs/>
          <w:color w:val="auto"/>
        </w:rPr>
        <w:t>无效报价</w:t>
      </w:r>
    </w:p>
    <w:p w14:paraId="75305AC4">
      <w:pPr>
        <w:pStyle w:val="46"/>
        <w:numPr>
          <w:ilvl w:val="0"/>
          <w:numId w:val="10"/>
        </w:numPr>
        <w:spacing w:line="360" w:lineRule="auto"/>
        <w:ind w:firstLineChars="0"/>
        <w:rPr>
          <w:rFonts w:ascii="宋体" w:hAnsi="宋体" w:cs="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的供应商报价超过最高限价或低于最低限价或超过项目对应产品单项最高限价的视为无效报价。</w:t>
      </w:r>
    </w:p>
    <w:p w14:paraId="23208300">
      <w:pPr>
        <w:widowControl/>
        <w:numPr>
          <w:ilvl w:val="0"/>
          <w:numId w:val="10"/>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的供应商须提供本项目要求的资质文件，如果不按公告规定或</w:t>
      </w:r>
      <w:r>
        <w:rPr>
          <w:rFonts w:hint="eastAsia" w:ascii="宋体" w:hAnsi="宋体" w:cs="宋体"/>
          <w:color w:val="auto"/>
          <w:lang w:eastAsia="zh-CN"/>
        </w:rPr>
        <w:t>项目</w:t>
      </w:r>
      <w:r>
        <w:rPr>
          <w:rFonts w:hint="eastAsia" w:ascii="宋体" w:hAnsi="宋体" w:cs="宋体"/>
          <w:color w:val="auto"/>
        </w:rPr>
        <w:t>文件要求等相关规定提供符合要求的资质文件，将被视为无效报价；</w:t>
      </w:r>
    </w:p>
    <w:p w14:paraId="0C8E6017">
      <w:pPr>
        <w:widowControl/>
        <w:numPr>
          <w:ilvl w:val="0"/>
          <w:numId w:val="10"/>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的供应商须对本项目采购内容进行整体报价，任何只对其中一部分内容进行的报价都被视为无效报价。</w:t>
      </w:r>
    </w:p>
    <w:p w14:paraId="0C7F3096">
      <w:pPr>
        <w:pStyle w:val="43"/>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w:t>
      </w:r>
      <w:r>
        <w:rPr>
          <w:rFonts w:hint="eastAsia" w:ascii="宋体" w:hAnsi="宋体" w:cs="宋体"/>
          <w:color w:val="auto"/>
          <w:kern w:val="0"/>
          <w:lang w:val="en-US" w:eastAsia="zh-CN"/>
        </w:rPr>
        <w:t>响应</w:t>
      </w:r>
      <w:r>
        <w:rPr>
          <w:rFonts w:hint="eastAsia" w:ascii="宋体" w:hAnsi="宋体" w:cs="宋体"/>
          <w:color w:val="auto"/>
          <w:kern w:val="0"/>
        </w:rPr>
        <w:t>供应商公章，否则视为无效报价；</w:t>
      </w:r>
    </w:p>
    <w:p w14:paraId="24FD9506">
      <w:pPr>
        <w:pStyle w:val="48"/>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7B32E3C">
      <w:pPr>
        <w:pStyle w:val="43"/>
        <w:numPr>
          <w:ilvl w:val="0"/>
          <w:numId w:val="10"/>
        </w:numPr>
        <w:spacing w:line="360" w:lineRule="auto"/>
        <w:ind w:firstLineChars="0"/>
        <w:rPr>
          <w:rFonts w:ascii="宋体" w:hAnsi="宋体" w:cs="宋体"/>
          <w:b/>
          <w:bCs/>
          <w:color w:val="auto"/>
          <w:kern w:val="0"/>
        </w:rPr>
      </w:pPr>
      <w:r>
        <w:rPr>
          <w:rFonts w:hint="eastAsia" w:ascii="宋体" w:hAnsi="宋体" w:cs="宋体"/>
          <w:b/>
          <w:bCs/>
          <w:color w:val="auto"/>
          <w:kern w:val="0"/>
        </w:rPr>
        <w:t>按有关法律、法规、规章属于报价无效的。</w:t>
      </w:r>
    </w:p>
    <w:p w14:paraId="48A13B4F">
      <w:pPr>
        <w:widowControl/>
        <w:numPr>
          <w:ilvl w:val="0"/>
          <w:numId w:val="10"/>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w:t>
      </w:r>
      <w:r>
        <w:rPr>
          <w:rFonts w:hint="eastAsia" w:ascii="宋体" w:hAnsi="宋体" w:cs="宋体"/>
          <w:b/>
          <w:bCs/>
          <w:color w:val="auto"/>
          <w:kern w:val="0"/>
          <w:lang w:val="en-US" w:eastAsia="zh-CN"/>
        </w:rPr>
        <w:t>响应</w:t>
      </w:r>
      <w:r>
        <w:rPr>
          <w:rFonts w:hint="eastAsia" w:ascii="宋体" w:hAnsi="宋体" w:cs="宋体"/>
          <w:b/>
          <w:bCs/>
          <w:color w:val="auto"/>
          <w:kern w:val="0"/>
        </w:rPr>
        <w:t>，其报价无效：</w:t>
      </w:r>
    </w:p>
    <w:p w14:paraId="3B84090E">
      <w:pPr>
        <w:widowControl/>
        <w:numPr>
          <w:ilvl w:val="2"/>
          <w:numId w:val="11"/>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3A813B75">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1429BBA1">
      <w:pPr>
        <w:widowControl/>
        <w:numPr>
          <w:ilvl w:val="2"/>
          <w:numId w:val="11"/>
        </w:numPr>
        <w:spacing w:line="360" w:lineRule="auto"/>
        <w:jc w:val="left"/>
        <w:rPr>
          <w:rFonts w:ascii="宋体" w:hAnsi="宋体"/>
          <w:color w:val="auto"/>
        </w:rPr>
      </w:pPr>
      <w:r>
        <w:rPr>
          <w:rFonts w:hint="eastAsia" w:ascii="宋体" w:hAnsi="宋体" w:cs="宋体"/>
          <w:color w:val="auto"/>
        </w:rPr>
        <w:t>不同供应商委托同一单位或者个人办理</w:t>
      </w:r>
      <w:r>
        <w:rPr>
          <w:rFonts w:hint="eastAsia" w:ascii="宋体" w:hAnsi="宋体" w:cs="宋体"/>
          <w:color w:val="auto"/>
          <w:lang w:eastAsia="zh-CN"/>
        </w:rPr>
        <w:t>项目</w:t>
      </w:r>
      <w:r>
        <w:rPr>
          <w:rFonts w:hint="eastAsia" w:ascii="宋体" w:hAnsi="宋体" w:cs="宋体"/>
          <w:color w:val="auto"/>
        </w:rPr>
        <w:t>事宜；</w:t>
      </w:r>
    </w:p>
    <w:p w14:paraId="7B42246C">
      <w:pPr>
        <w:widowControl/>
        <w:numPr>
          <w:ilvl w:val="2"/>
          <w:numId w:val="11"/>
        </w:numPr>
        <w:spacing w:line="360" w:lineRule="auto"/>
        <w:jc w:val="left"/>
        <w:rPr>
          <w:rFonts w:ascii="宋体" w:hAnsi="宋体"/>
          <w:color w:val="auto"/>
        </w:rPr>
      </w:pPr>
      <w:r>
        <w:rPr>
          <w:rFonts w:hint="eastAsia" w:ascii="宋体" w:hAnsi="宋体" w:cs="宋体"/>
          <w:color w:val="auto"/>
        </w:rPr>
        <w:t>不同供应商使用同一</w:t>
      </w:r>
      <w:r>
        <w:rPr>
          <w:rFonts w:ascii="宋体" w:hAnsi="宋体" w:cs="宋体"/>
          <w:color w:val="auto"/>
        </w:rPr>
        <w:t>IP</w:t>
      </w:r>
      <w:r>
        <w:rPr>
          <w:rFonts w:hint="eastAsia" w:ascii="宋体" w:hAnsi="宋体" w:cs="宋体"/>
          <w:color w:val="auto"/>
        </w:rPr>
        <w:t>地址参与</w:t>
      </w:r>
      <w:r>
        <w:rPr>
          <w:rFonts w:hint="eastAsia" w:ascii="宋体" w:hAnsi="宋体" w:cs="宋体"/>
          <w:color w:val="auto"/>
          <w:lang w:eastAsia="zh-CN"/>
        </w:rPr>
        <w:t>项目</w:t>
      </w:r>
      <w:r>
        <w:rPr>
          <w:rFonts w:hint="eastAsia" w:ascii="宋体" w:hAnsi="宋体" w:cs="宋体"/>
          <w:color w:val="auto"/>
        </w:rPr>
        <w:t>；</w:t>
      </w:r>
    </w:p>
    <w:p w14:paraId="0E84F042">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6DFFF132">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42B33DD6">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不同供应商的响应文件相互混淆；</w:t>
      </w:r>
    </w:p>
    <w:p w14:paraId="513E3918">
      <w:pPr>
        <w:widowControl/>
        <w:numPr>
          <w:ilvl w:val="2"/>
          <w:numId w:val="11"/>
        </w:numPr>
        <w:spacing w:line="360" w:lineRule="auto"/>
        <w:jc w:val="left"/>
        <w:rPr>
          <w:rFonts w:ascii="宋体" w:hAnsi="宋体"/>
          <w:color w:val="auto"/>
        </w:rPr>
      </w:pPr>
      <w:r>
        <w:rPr>
          <w:rFonts w:hint="eastAsia" w:ascii="宋体" w:hAnsi="宋体" w:cs="宋体"/>
          <w:color w:val="auto"/>
        </w:rPr>
        <w:t>不同供应商的</w:t>
      </w:r>
      <w:r>
        <w:rPr>
          <w:rFonts w:hint="eastAsia" w:ascii="宋体" w:hAnsi="宋体" w:cs="宋体"/>
          <w:color w:val="auto"/>
          <w:lang w:val="en-US" w:eastAsia="zh-CN"/>
        </w:rPr>
        <w:t>保障金/保证金</w:t>
      </w:r>
      <w:r>
        <w:rPr>
          <w:rFonts w:hint="eastAsia" w:ascii="宋体" w:hAnsi="宋体" w:cs="宋体"/>
          <w:color w:val="auto"/>
        </w:rPr>
        <w:t>从同一单位或者个人的账户转出；</w:t>
      </w:r>
    </w:p>
    <w:p w14:paraId="0BC2DFCE">
      <w:pPr>
        <w:widowControl/>
        <w:numPr>
          <w:ilvl w:val="0"/>
          <w:numId w:val="3"/>
        </w:numPr>
        <w:spacing w:line="360" w:lineRule="auto"/>
        <w:jc w:val="left"/>
        <w:rPr>
          <w:rFonts w:ascii="宋体" w:hAnsi="宋体"/>
          <w:color w:val="auto"/>
        </w:rPr>
      </w:pPr>
      <w:r>
        <w:rPr>
          <w:rFonts w:hint="eastAsia" w:ascii="宋体" w:hAnsi="宋体" w:cs="宋体"/>
          <w:b/>
          <w:bCs/>
          <w:color w:val="auto"/>
        </w:rPr>
        <w:t>失败</w:t>
      </w:r>
      <w:r>
        <w:rPr>
          <w:rFonts w:hint="eastAsia" w:ascii="宋体" w:hAnsi="宋体" w:cs="宋体"/>
          <w:b/>
          <w:bCs/>
          <w:color w:val="auto"/>
          <w:lang w:val="en-US" w:eastAsia="zh-CN"/>
        </w:rPr>
        <w:t>情形</w:t>
      </w:r>
    </w:p>
    <w:p w14:paraId="2733FD1E">
      <w:pPr>
        <w:pStyle w:val="46"/>
        <w:numPr>
          <w:ilvl w:val="0"/>
          <w:numId w:val="12"/>
        </w:numPr>
        <w:spacing w:line="360" w:lineRule="auto"/>
        <w:ind w:firstLineChars="0"/>
        <w:rPr>
          <w:rFonts w:ascii="宋体" w:hAnsi="宋体" w:cs="宋体"/>
          <w:color w:val="auto"/>
        </w:rPr>
      </w:pPr>
      <w:r>
        <w:rPr>
          <w:rFonts w:ascii="宋体" w:hAnsi="宋体" w:cs="宋体"/>
          <w:color w:val="auto"/>
        </w:rPr>
        <w:t>出现下列情况的，本次</w:t>
      </w:r>
      <w:r>
        <w:rPr>
          <w:rFonts w:hint="eastAsia" w:ascii="宋体" w:hAnsi="宋体" w:cs="宋体"/>
          <w:color w:val="auto"/>
          <w:lang w:val="en-US" w:eastAsia="zh-CN"/>
        </w:rPr>
        <w:t>零散采购</w:t>
      </w:r>
      <w:r>
        <w:rPr>
          <w:rFonts w:ascii="宋体" w:hAnsi="宋体" w:cs="宋体"/>
          <w:color w:val="auto"/>
        </w:rPr>
        <w:t>失败：</w:t>
      </w:r>
    </w:p>
    <w:p w14:paraId="18B0F28D">
      <w:pPr>
        <w:widowControl/>
        <w:numPr>
          <w:ilvl w:val="2"/>
          <w:numId w:val="13"/>
        </w:numPr>
        <w:spacing w:line="360" w:lineRule="auto"/>
        <w:jc w:val="left"/>
        <w:rPr>
          <w:rFonts w:ascii="宋体" w:hAnsi="宋体" w:cs="宋体"/>
          <w:color w:val="auto"/>
        </w:rPr>
      </w:pPr>
      <w:r>
        <w:rPr>
          <w:rFonts w:hint="eastAsia" w:ascii="宋体" w:hAnsi="宋体" w:cs="宋体"/>
          <w:color w:val="auto"/>
          <w:lang w:val="en-US" w:eastAsia="zh-CN"/>
        </w:rPr>
        <w:t>有效</w:t>
      </w:r>
      <w:r>
        <w:rPr>
          <w:rFonts w:ascii="宋体" w:hAnsi="宋体" w:cs="宋体"/>
          <w:color w:val="auto"/>
        </w:rPr>
        <w:t>报名供应商不足3家；</w:t>
      </w:r>
    </w:p>
    <w:p w14:paraId="7CC8DFD3">
      <w:pPr>
        <w:widowControl/>
        <w:numPr>
          <w:ilvl w:val="2"/>
          <w:numId w:val="13"/>
        </w:numPr>
        <w:spacing w:line="360" w:lineRule="auto"/>
        <w:jc w:val="left"/>
        <w:rPr>
          <w:rFonts w:ascii="宋体" w:hAnsi="宋体" w:cs="宋体"/>
          <w:color w:val="auto"/>
        </w:rPr>
      </w:pPr>
      <w:r>
        <w:rPr>
          <w:rFonts w:hint="eastAsia" w:ascii="宋体" w:hAnsi="宋体" w:cs="宋体"/>
          <w:color w:val="auto"/>
          <w:lang w:val="en-US" w:eastAsia="zh-CN"/>
        </w:rPr>
        <w:t>有效</w:t>
      </w:r>
      <w:r>
        <w:rPr>
          <w:rFonts w:ascii="宋体" w:hAnsi="宋体" w:cs="宋体"/>
          <w:color w:val="auto"/>
        </w:rPr>
        <w:t>报价供应商不足3家；</w:t>
      </w:r>
    </w:p>
    <w:p w14:paraId="447E7553">
      <w:pPr>
        <w:pStyle w:val="46"/>
        <w:numPr>
          <w:ilvl w:val="0"/>
          <w:numId w:val="12"/>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6E551722">
      <w:pPr>
        <w:pStyle w:val="46"/>
        <w:numPr>
          <w:ilvl w:val="0"/>
          <w:numId w:val="12"/>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1F4AB918">
      <w:pPr>
        <w:widowControl/>
        <w:numPr>
          <w:ilvl w:val="0"/>
          <w:numId w:val="3"/>
        </w:numPr>
        <w:spacing w:line="360" w:lineRule="auto"/>
        <w:jc w:val="left"/>
        <w:rPr>
          <w:rFonts w:ascii="宋体" w:hAnsi="宋体"/>
          <w:b/>
          <w:bCs/>
          <w:color w:val="auto"/>
        </w:rPr>
      </w:pPr>
      <w:r>
        <w:rPr>
          <w:rFonts w:hint="eastAsia" w:ascii="宋体" w:hAnsi="宋体" w:cs="宋体"/>
          <w:b/>
          <w:bCs/>
          <w:color w:val="auto"/>
          <w:lang w:val="en-US" w:eastAsia="zh-CN"/>
        </w:rPr>
        <w:t>平台</w:t>
      </w:r>
      <w:r>
        <w:rPr>
          <w:rFonts w:hint="eastAsia" w:ascii="宋体" w:hAnsi="宋体" w:cs="宋体"/>
          <w:b/>
          <w:bCs/>
          <w:color w:val="auto"/>
        </w:rPr>
        <w:t>使用费</w:t>
      </w:r>
    </w:p>
    <w:p w14:paraId="3372CECF">
      <w:pPr>
        <w:pStyle w:val="43"/>
        <w:numPr>
          <w:ilvl w:val="0"/>
          <w:numId w:val="14"/>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成交供应商须向平台服务商云采链线上采购一体化平台缴纳平台使用费，金额为</w:t>
      </w:r>
      <w:r>
        <w:rPr>
          <w:rFonts w:hint="eastAsia" w:ascii="宋体" w:hAnsi="宋体"/>
          <w:color w:val="auto"/>
          <w:kern w:val="0"/>
          <w:lang w:val="en-US" w:eastAsia="zh-CN"/>
        </w:rPr>
        <w:t>预算</w:t>
      </w:r>
      <w:r>
        <w:rPr>
          <w:rFonts w:hint="eastAsia" w:ascii="宋体" w:hAnsi="宋体"/>
          <w:color w:val="auto"/>
          <w:kern w:val="0"/>
        </w:rPr>
        <w:t>金额的1.5%（四舍五入取整数）。</w:t>
      </w:r>
    </w:p>
    <w:p w14:paraId="283DB7B8">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w:t>
      </w:r>
      <w:r>
        <w:rPr>
          <w:rFonts w:hint="eastAsia" w:ascii="宋体" w:hAnsi="宋体"/>
          <w:color w:val="auto"/>
          <w:kern w:val="0"/>
          <w:lang w:eastAsia="zh-CN"/>
        </w:rPr>
        <w:t>项目</w:t>
      </w:r>
      <w:r>
        <w:rPr>
          <w:rFonts w:hint="eastAsia" w:ascii="宋体" w:hAnsi="宋体"/>
          <w:color w:val="auto"/>
          <w:kern w:val="0"/>
        </w:rPr>
        <w:t>公告等相关规定缴纳相应的平台使用费；</w:t>
      </w:r>
    </w:p>
    <w:p w14:paraId="2ED3AF2F">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如确实因不可抗力放弃成交资格的，应在不可抗力发生后三个工作日内予以通知采购代理机构并提供相关的证明；如逾期，采购代理机构不予退还平台使用费。</w:t>
      </w:r>
    </w:p>
    <w:p w14:paraId="2276066F">
      <w:pPr>
        <w:widowControl/>
        <w:numPr>
          <w:ilvl w:val="0"/>
          <w:numId w:val="3"/>
        </w:numPr>
        <w:spacing w:line="360" w:lineRule="auto"/>
        <w:jc w:val="left"/>
        <w:rPr>
          <w:rFonts w:ascii="宋体" w:hAnsi="宋体"/>
          <w:b/>
          <w:bCs/>
          <w:color w:val="auto"/>
        </w:rPr>
      </w:pPr>
      <w:r>
        <w:rPr>
          <w:rFonts w:hint="eastAsia" w:ascii="宋体" w:hAnsi="宋体" w:cs="宋体"/>
          <w:b/>
          <w:bCs/>
          <w:color w:val="auto"/>
        </w:rPr>
        <w:t>联系方式</w:t>
      </w:r>
    </w:p>
    <w:p w14:paraId="4317F1E9">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29E8A9D8">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5B62EAC">
      <w:pPr>
        <w:rPr>
          <w:rFonts w:hint="eastAsia" w:ascii="宋体" w:hAnsi="宋体" w:cs="宋体"/>
          <w:b/>
          <w:bCs/>
          <w:color w:val="auto"/>
          <w:sz w:val="28"/>
          <w:szCs w:val="28"/>
        </w:rPr>
      </w:pPr>
      <w:r>
        <w:rPr>
          <w:rFonts w:hint="eastAsia" w:ascii="宋体" w:hAnsi="宋体" w:cs="宋体"/>
          <w:b/>
          <w:bCs/>
          <w:color w:val="auto"/>
          <w:sz w:val="28"/>
          <w:szCs w:val="28"/>
        </w:rPr>
        <w:br w:type="page"/>
      </w:r>
    </w:p>
    <w:p w14:paraId="6C5BE98F">
      <w:pPr>
        <w:jc w:val="center"/>
        <w:outlineLvl w:val="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第二章 用户需求书</w:t>
      </w:r>
      <w:bookmarkEnd w:id="0"/>
      <w:bookmarkEnd w:id="1"/>
    </w:p>
    <w:p w14:paraId="5E22EC92">
      <w:pPr>
        <w:snapToGrid w:val="0"/>
        <w:spacing w:line="360" w:lineRule="auto"/>
        <w:ind w:left="517" w:hanging="517" w:hangingChars="245"/>
        <w:rPr>
          <w:rFonts w:ascii="宋体" w:hAnsi="宋体" w:cs="Times New Roman"/>
          <w:b/>
          <w:bCs/>
          <w:color w:val="auto"/>
        </w:rPr>
      </w:pPr>
      <w:r>
        <w:rPr>
          <w:rFonts w:hint="eastAsia" w:ascii="宋体" w:hAnsi="宋体" w:cs="宋体"/>
          <w:b/>
          <w:bCs/>
          <w:color w:val="auto"/>
        </w:rPr>
        <w:t>说明：</w:t>
      </w:r>
    </w:p>
    <w:p w14:paraId="078138B5">
      <w:pPr>
        <w:numPr>
          <w:ilvl w:val="0"/>
          <w:numId w:val="15"/>
        </w:numPr>
        <w:snapToGrid w:val="0"/>
        <w:spacing w:line="360" w:lineRule="auto"/>
        <w:rPr>
          <w:rFonts w:ascii="宋体" w:hAnsi="宋体" w:cs="宋体"/>
          <w:b/>
          <w:bCs/>
          <w:color w:val="auto"/>
        </w:rPr>
      </w:pPr>
      <w:r>
        <w:rPr>
          <w:rFonts w:hint="eastAsia" w:ascii="宋体" w:hAnsi="宋体" w:cs="宋体"/>
          <w:b/>
          <w:bCs/>
          <w:color w:val="auto"/>
        </w:rPr>
        <w:t>响应供应商须对本项目进行整体响应，任何只对其中一部分进行的响应都被视为无效响应。</w:t>
      </w:r>
      <w:r>
        <w:rPr>
          <w:rFonts w:ascii="宋体" w:hAnsi="宋体" w:cs="宋体"/>
          <w:b/>
          <w:bCs/>
          <w:color w:val="auto"/>
        </w:rPr>
        <w:t xml:space="preserve"> </w:t>
      </w:r>
    </w:p>
    <w:p w14:paraId="260AA562">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ascii="宋体" w:hAnsi="宋体" w:cs="宋体"/>
          <w:b/>
          <w:bCs/>
          <w:color w:val="auto"/>
          <w:szCs w:val="21"/>
        </w:rPr>
      </w:pPr>
      <w:r>
        <w:rPr>
          <w:rFonts w:hint="eastAsia" w:ascii="宋体" w:hAnsi="宋体" w:cs="宋体"/>
          <w:b/>
          <w:bCs/>
          <w:color w:val="auto"/>
          <w:szCs w:val="21"/>
        </w:rPr>
        <w:t>项目一览表</w:t>
      </w:r>
    </w:p>
    <w:tbl>
      <w:tblPr>
        <w:tblStyle w:val="15"/>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14:paraId="6E3AF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14:paraId="24C7F88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b/>
                <w:color w:val="auto"/>
                <w:szCs w:val="21"/>
              </w:rPr>
              <w:t>项目名称</w:t>
            </w:r>
          </w:p>
        </w:tc>
        <w:tc>
          <w:tcPr>
            <w:tcW w:w="992" w:type="dxa"/>
            <w:shd w:val="clear" w:color="auto" w:fill="DCD8C2" w:themeFill="background2" w:themeFillShade="E5"/>
            <w:vAlign w:val="center"/>
          </w:tcPr>
          <w:p w14:paraId="6784E7D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b/>
                <w:color w:val="auto"/>
                <w:szCs w:val="21"/>
              </w:rPr>
              <w:t>数量</w:t>
            </w:r>
          </w:p>
        </w:tc>
        <w:tc>
          <w:tcPr>
            <w:tcW w:w="2977" w:type="dxa"/>
            <w:shd w:val="clear" w:color="auto" w:fill="DCD8C2" w:themeFill="background2" w:themeFillShade="E5"/>
            <w:vAlign w:val="center"/>
          </w:tcPr>
          <w:p w14:paraId="1614DC37">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b/>
                <w:bCs/>
                <w:color w:val="auto"/>
                <w:szCs w:val="21"/>
                <w:lang w:val="en-US" w:eastAsia="zh-CN"/>
              </w:rPr>
            </w:pPr>
            <w:r>
              <w:rPr>
                <w:rFonts w:hint="eastAsia" w:ascii="宋体" w:hAnsi="宋体"/>
                <w:b/>
                <w:bCs/>
                <w:color w:val="auto"/>
                <w:szCs w:val="21"/>
                <w:lang w:val="en-US" w:eastAsia="zh-CN"/>
              </w:rPr>
              <w:t>服务期</w:t>
            </w:r>
          </w:p>
        </w:tc>
        <w:tc>
          <w:tcPr>
            <w:tcW w:w="2650" w:type="dxa"/>
            <w:tcBorders>
              <w:bottom w:val="single" w:color="auto" w:sz="4" w:space="0"/>
            </w:tcBorders>
            <w:shd w:val="clear" w:color="auto" w:fill="DCD8C2" w:themeFill="background2" w:themeFillShade="E5"/>
            <w:vAlign w:val="center"/>
          </w:tcPr>
          <w:p w14:paraId="61EDC1E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eastAsia="宋体" w:cs="宋体"/>
                <w:b/>
                <w:color w:val="auto"/>
                <w:szCs w:val="21"/>
              </w:rPr>
              <w:t>最高</w:t>
            </w:r>
            <w:r>
              <w:rPr>
                <w:rFonts w:hint="eastAsia" w:ascii="宋体" w:hAnsi="宋体" w:cs="宋体"/>
                <w:b/>
                <w:color w:val="auto"/>
                <w:szCs w:val="21"/>
                <w:lang w:val="en-US" w:eastAsia="zh-CN"/>
              </w:rPr>
              <w:t>限价</w:t>
            </w:r>
            <w:r>
              <w:rPr>
                <w:rFonts w:hint="eastAsia" w:ascii="宋体" w:hAnsi="宋体" w:eastAsia="宋体" w:cs="宋体"/>
                <w:b/>
                <w:color w:val="auto"/>
                <w:szCs w:val="21"/>
              </w:rPr>
              <w:t>（含税）</w:t>
            </w:r>
          </w:p>
        </w:tc>
      </w:tr>
      <w:tr w14:paraId="6E522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14:paraId="671BABE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bCs/>
                <w:color w:val="auto"/>
                <w:szCs w:val="21"/>
                <w:lang w:eastAsia="zh-CN"/>
              </w:rPr>
            </w:pPr>
            <w:r>
              <w:rPr>
                <w:rFonts w:hint="eastAsia" w:ascii="宋体" w:hAnsi="宋体" w:cs="宋体"/>
                <w:bCs/>
                <w:color w:val="auto"/>
                <w:szCs w:val="21"/>
                <w:lang w:eastAsia="zh-CN"/>
              </w:rPr>
              <w:t>广东省广裕集团东莞兴龙实业有限公司临时采购生产物料中转场所及配套服务项目</w:t>
            </w:r>
          </w:p>
        </w:tc>
        <w:tc>
          <w:tcPr>
            <w:tcW w:w="992" w:type="dxa"/>
            <w:shd w:val="clear" w:color="auto" w:fill="auto"/>
            <w:vAlign w:val="center"/>
          </w:tcPr>
          <w:p w14:paraId="64A4DF0A">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1项</w:t>
            </w:r>
          </w:p>
        </w:tc>
        <w:tc>
          <w:tcPr>
            <w:tcW w:w="2977" w:type="dxa"/>
            <w:shd w:val="clear" w:color="auto" w:fill="auto"/>
            <w:vAlign w:val="center"/>
          </w:tcPr>
          <w:p w14:paraId="2CB1ECFA">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r>
              <w:rPr>
                <w:rFonts w:hint="eastAsia" w:ascii="宋体" w:hAnsi="宋体" w:cs="宋体"/>
                <w:bCs/>
                <w:color w:val="auto"/>
                <w:szCs w:val="21"/>
                <w:lang w:val="en-US" w:eastAsia="zh-CN"/>
              </w:rPr>
              <w:t>自2025年1月11日至2025年2月25日</w:t>
            </w:r>
          </w:p>
        </w:tc>
        <w:tc>
          <w:tcPr>
            <w:tcW w:w="2650" w:type="dxa"/>
            <w:tcBorders>
              <w:top w:val="single" w:color="auto" w:sz="4" w:space="0"/>
              <w:bottom w:val="single" w:color="auto" w:sz="12" w:space="0"/>
            </w:tcBorders>
            <w:shd w:val="clear" w:color="auto" w:fill="auto"/>
            <w:vAlign w:val="center"/>
          </w:tcPr>
          <w:p w14:paraId="187F50CA">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r>
              <w:rPr>
                <w:rFonts w:hint="eastAsia" w:ascii="宋体" w:hAnsi="宋体" w:cs="宋体"/>
                <w:bCs/>
                <w:color w:val="auto"/>
                <w:szCs w:val="21"/>
                <w:lang w:eastAsia="zh-CN"/>
              </w:rPr>
              <w:t>人民币</w:t>
            </w:r>
            <w:r>
              <w:rPr>
                <w:rFonts w:hint="eastAsia" w:ascii="宋体" w:hAnsi="宋体"/>
                <w:color w:val="auto"/>
                <w:szCs w:val="21"/>
                <w:highlight w:val="none"/>
                <w:lang w:val="en-US" w:eastAsia="zh-CN"/>
              </w:rPr>
              <w:t>334500</w:t>
            </w:r>
            <w:r>
              <w:rPr>
                <w:rFonts w:hint="eastAsia" w:ascii="宋体" w:hAnsi="宋体" w:cs="宋体"/>
                <w:bCs/>
                <w:color w:val="auto"/>
                <w:szCs w:val="21"/>
                <w:lang w:eastAsia="zh-CN"/>
              </w:rPr>
              <w:t>元</w:t>
            </w:r>
          </w:p>
        </w:tc>
      </w:tr>
    </w:tbl>
    <w:p w14:paraId="48145BF7">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项目概述</w:t>
      </w:r>
    </w:p>
    <w:p w14:paraId="5623ADF4">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 xml:space="preserve">广东省广裕集团东莞兴龙实业有限公司临时采购生产物料中转场所及配套服务项目         </w:t>
      </w:r>
    </w:p>
    <w:p w14:paraId="2C314FAD">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高限价：（含税费）¥334500.00元，含税单价最高限价：247.78元/车次，报价为含税价，包含响应供应商完成本项目所涉及的一切工作内容而发生的费用。现按照货物运输车次数这一项指标进行费用结算，每月最高支付上限含税22.3万元，每天约36车次，每月约25天，共计约900车次/月，即每车次最高限价为247.78元（包含人工费用、中转场所费用和中转场所发生的所有装卸工作所需的费用。），空车计0.5车次即最高限价为123.89元/车次。</w:t>
      </w:r>
    </w:p>
    <w:p w14:paraId="00F1B575">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服务期</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lang w:val="en-US" w:eastAsia="zh-CN"/>
        </w:rPr>
        <w:t>自2025年1月11日至2025年2月25日</w:t>
      </w:r>
      <w:r>
        <w:rPr>
          <w:rFonts w:hint="eastAsia" w:ascii="宋体" w:hAnsi="宋体" w:eastAsia="宋体" w:cs="宋体"/>
          <w:color w:val="auto"/>
          <w:sz w:val="21"/>
          <w:szCs w:val="21"/>
          <w:lang w:eastAsia="zh-CN"/>
        </w:rPr>
        <w:t>。</w:t>
      </w:r>
    </w:p>
    <w:p w14:paraId="4E321C61">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交供应商必须承诺，完全满足采购过程发出所有文件的要求，必须具备履行本项目的能力。如在实施过程中，采购人发现有不符合要求的地方，采购人有权终止合同，一切费用由成交供应商承担，履约保证金不予退还。</w:t>
      </w:r>
    </w:p>
    <w:p w14:paraId="58FE35D1">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服务内容</w:t>
      </w:r>
    </w:p>
    <w:p w14:paraId="42C0D840">
      <w:pPr>
        <w:keepNext w:val="0"/>
        <w:keepLines w:val="0"/>
        <w:pageBreakBefore w:val="0"/>
        <w:widowControl w:val="0"/>
        <w:numPr>
          <w:ilvl w:val="0"/>
          <w:numId w:val="18"/>
        </w:numPr>
        <w:kinsoku/>
        <w:wordWrap/>
        <w:overflowPunct/>
        <w:topLinePunct w:val="0"/>
        <w:bidi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采购生产物料中转场所及配套服务</w:t>
      </w:r>
    </w:p>
    <w:p w14:paraId="2563C348">
      <w:pPr>
        <w:keepNext w:val="0"/>
        <w:keepLines w:val="0"/>
        <w:pageBreakBefore w:val="0"/>
        <w:widowControl w:val="0"/>
        <w:numPr>
          <w:ilvl w:val="0"/>
          <w:numId w:val="18"/>
        </w:numPr>
        <w:kinsoku/>
        <w:wordWrap/>
        <w:overflowPunct/>
        <w:topLinePunct w:val="0"/>
        <w:bidi w:val="0"/>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运输计算方式：按运输往返次计算</w:t>
      </w:r>
    </w:p>
    <w:p w14:paraId="2B8453C1">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（1）从</w:t>
      </w:r>
      <w:r>
        <w:rPr>
          <w:rFonts w:hint="eastAsia" w:ascii="宋体" w:hAnsi="宋体" w:cs="宋体"/>
          <w:color w:val="auto"/>
          <w:sz w:val="21"/>
          <w:szCs w:val="21"/>
          <w:lang w:eastAsia="zh-CN"/>
        </w:rPr>
        <w:t>采购方</w:t>
      </w:r>
      <w:r>
        <w:rPr>
          <w:rFonts w:hint="eastAsia" w:ascii="宋体" w:hAnsi="宋体" w:eastAsia="宋体" w:cs="宋体"/>
          <w:color w:val="auto"/>
          <w:sz w:val="21"/>
          <w:szCs w:val="21"/>
          <w:lang w:eastAsia="zh-CN"/>
        </w:rPr>
        <w:t>指定地点运输生产成品到中转场所算1车次；</w:t>
      </w:r>
    </w:p>
    <w:p w14:paraId="5EADCAA9">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（2）从中转场所运输物资到</w:t>
      </w:r>
      <w:r>
        <w:rPr>
          <w:rFonts w:hint="eastAsia" w:ascii="宋体" w:hAnsi="宋体" w:cs="宋体"/>
          <w:color w:val="auto"/>
          <w:sz w:val="21"/>
          <w:szCs w:val="21"/>
          <w:lang w:eastAsia="zh-CN"/>
        </w:rPr>
        <w:t>采购方</w:t>
      </w:r>
      <w:r>
        <w:rPr>
          <w:rFonts w:hint="eastAsia" w:ascii="宋体" w:hAnsi="宋体" w:eastAsia="宋体" w:cs="宋体"/>
          <w:color w:val="auto"/>
          <w:sz w:val="21"/>
          <w:szCs w:val="21"/>
          <w:lang w:eastAsia="zh-CN"/>
        </w:rPr>
        <w:t>指定地点算1车次；</w:t>
      </w:r>
    </w:p>
    <w:p w14:paraId="18B15627">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（3）由于</w:t>
      </w:r>
      <w:r>
        <w:rPr>
          <w:rFonts w:hint="eastAsia" w:ascii="宋体" w:hAnsi="宋体" w:cs="宋体"/>
          <w:color w:val="auto"/>
          <w:sz w:val="21"/>
          <w:szCs w:val="21"/>
          <w:lang w:eastAsia="zh-CN"/>
        </w:rPr>
        <w:t>采购方</w:t>
      </w:r>
      <w:r>
        <w:rPr>
          <w:rFonts w:hint="eastAsia" w:ascii="宋体" w:hAnsi="宋体" w:eastAsia="宋体" w:cs="宋体"/>
          <w:color w:val="auto"/>
          <w:sz w:val="21"/>
          <w:szCs w:val="21"/>
          <w:lang w:eastAsia="zh-CN"/>
        </w:rPr>
        <w:t>运输物资的特殊性，运输单程空车算0.5车次；</w:t>
      </w:r>
    </w:p>
    <w:p w14:paraId="23B2461D">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（4）低于三分之一（含）的装载量的视为空车算0.5车次。</w:t>
      </w:r>
    </w:p>
    <w:p w14:paraId="16528454">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服务要求</w:t>
      </w:r>
    </w:p>
    <w:p w14:paraId="746F3E2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鉴于采购方性质较为特殊，响应供应商需拥有面积不小于1000平米生产物料中转场所并提供相关证明【结果公告公示发出之日起7个工作日内需提供有效产权证明或租赁合同（租赁合同期限需覆盖整个项目服务期）】，不与响应供应商的其他客户共用。因每年企业发展情况的不确定性，采购方不保证中转物品的数量及实际占用面积，若因采购方需中转的物资临时增多，响应供应商需配合采购方做好相关的对应措施。响应供应商须提供承诺函并加盖公章。</w:t>
      </w:r>
    </w:p>
    <w:p w14:paraId="2B80B48A">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生产物料中转场所需安装全方位、无死角的视频监控摄像头。响应供应商须提供承诺函并加盖公章。</w:t>
      </w:r>
    </w:p>
    <w:p w14:paraId="053B3DC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中转场所需分区明确，包含但不限于：配套物料临时存储区、成品出库区、分拣配送区、货物检测区等分区（响应供应商须提供承诺函并加盖公章。）</w:t>
      </w:r>
    </w:p>
    <w:p w14:paraId="3FA41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（1）配套物料临时存储区</w:t>
      </w:r>
    </w:p>
    <w:p w14:paraId="131C6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采购方的生产物资及成品若涉及特殊生产物料的（如电池、胶水等），响应供应商需严格按照行业相关标准及规范执行。响应供应商应为特殊生产物料设立不少于40平方的独立存储空间（该空间需满足消防、通风、防爆等各项特殊生产物料储存所需安全指标要求），同时需要对货物进行监管。</w:t>
      </w:r>
    </w:p>
    <w:p w14:paraId="3C106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（2）成品出库区</w:t>
      </w:r>
    </w:p>
    <w:p w14:paraId="08654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从采购方指定地点运输到中转场所的生产成品，需统一放置于专备成品出库区，并标注货物名称，数量及搬运注意事项。</w:t>
      </w:r>
    </w:p>
    <w:p w14:paraId="5124E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（3）分拣配送区</w:t>
      </w:r>
    </w:p>
    <w:p w14:paraId="7E92AD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分拣区分为外来物资分拣区和生产成品分拣区，每个区域需注明分拣范围和注意事项（具体分区成交后由采购方现场划分确认）。</w:t>
      </w:r>
    </w:p>
    <w:p w14:paraId="52BD37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（4）货物检测区</w:t>
      </w:r>
    </w:p>
    <w:p w14:paraId="5FDB02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对外来物资车辆运输进来的物资和采购方运输过来的生产成品，需进行严格检测。有外包装的需检测外包装是否完好，无潮湿，无破损，并核对单据数量与实际数量是否一致。</w:t>
      </w:r>
    </w:p>
    <w:p w14:paraId="1A55B38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由于采购方内部工作环境的特殊性及道路安全性，采购方指定响应供应商配备不少于4台固定的货运专车常驻现场，同时响应供应商需一一</w:t>
      </w:r>
      <w:r>
        <w:rPr>
          <w:rFonts w:hint="eastAsia" w:ascii="宋体" w:hAnsi="宋体" w:eastAsia="宋体" w:cs="宋体"/>
          <w:b w:val="0"/>
          <w:bCs/>
          <w:color w:val="auto"/>
          <w:sz w:val="21"/>
          <w:szCs w:val="21"/>
          <w:highlight w:val="none"/>
          <w:lang w:val="en-US" w:eastAsia="zh-CN"/>
        </w:rPr>
        <w:t>配备对应司机。</w:t>
      </w:r>
      <w:r>
        <w:rPr>
          <w:rFonts w:hint="eastAsia" w:ascii="宋体" w:hAnsi="宋体" w:eastAsia="宋体" w:cs="宋体"/>
          <w:sz w:val="21"/>
          <w:szCs w:val="21"/>
        </w:rPr>
        <w:t>货运专车为厢式</w:t>
      </w:r>
      <w:bookmarkStart w:id="2" w:name="_GoBack"/>
      <w:bookmarkEnd w:id="2"/>
      <w:r>
        <w:rPr>
          <w:rFonts w:hint="eastAsia" w:ascii="宋体" w:hAnsi="宋体" w:eastAsia="宋体" w:cs="宋体"/>
          <w:sz w:val="21"/>
          <w:szCs w:val="21"/>
        </w:rPr>
        <w:t>货车，</w:t>
      </w:r>
      <w:r>
        <w:rPr>
          <w:rFonts w:hint="eastAsia" w:ascii="宋体" w:hAnsi="宋体" w:cs="宋体"/>
          <w:sz w:val="21"/>
          <w:szCs w:val="21"/>
          <w:lang w:val="en-US" w:eastAsia="zh-CN"/>
        </w:rPr>
        <w:t>车辆外观尺寸</w:t>
      </w:r>
      <w:r>
        <w:rPr>
          <w:rFonts w:hint="eastAsia" w:ascii="宋体" w:hAnsi="宋体" w:eastAsia="宋体" w:cs="宋体"/>
          <w:sz w:val="21"/>
          <w:szCs w:val="21"/>
        </w:rPr>
        <w:t>约为：长</w:t>
      </w:r>
      <w:r>
        <w:rPr>
          <w:rFonts w:ascii="宋体" w:hAnsi="宋体" w:eastAsia="宋体" w:cs="宋体"/>
          <w:sz w:val="21"/>
          <w:szCs w:val="21"/>
        </w:rPr>
        <w:t>10000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cs="宋体"/>
          <w:sz w:val="21"/>
          <w:szCs w:val="21"/>
          <w:lang w:val="en-US" w:eastAsia="zh-CN"/>
        </w:rPr>
        <w:t>宽</w:t>
      </w:r>
      <w:r>
        <w:rPr>
          <w:rFonts w:ascii="宋体" w:hAnsi="宋体" w:eastAsia="宋体" w:cs="宋体"/>
          <w:sz w:val="21"/>
          <w:szCs w:val="21"/>
        </w:rPr>
        <w:t>2550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cs="宋体"/>
          <w:sz w:val="21"/>
          <w:szCs w:val="21"/>
          <w:lang w:val="en-US" w:eastAsia="zh-CN"/>
        </w:rPr>
        <w:t>高</w:t>
      </w:r>
      <w:r>
        <w:rPr>
          <w:rFonts w:ascii="宋体" w:hAnsi="宋体" w:eastAsia="宋体" w:cs="宋体"/>
          <w:sz w:val="21"/>
          <w:szCs w:val="21"/>
        </w:rPr>
        <w:t>3960</w:t>
      </w:r>
      <w:r>
        <w:rPr>
          <w:rFonts w:hint="eastAsia" w:ascii="宋体" w:hAnsi="宋体" w:eastAsia="宋体" w:cs="宋体"/>
          <w:sz w:val="21"/>
          <w:szCs w:val="21"/>
        </w:rPr>
        <w:t>mm（含或以上</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但</w:t>
      </w:r>
      <w:r>
        <w:rPr>
          <w:rFonts w:hint="eastAsia" w:ascii="宋体" w:hAnsi="宋体" w:eastAsia="宋体" w:cs="宋体"/>
          <w:b w:val="0"/>
          <w:bCs/>
          <w:color w:val="auto"/>
          <w:sz w:val="21"/>
          <w:szCs w:val="21"/>
          <w:highlight w:val="none"/>
          <w:lang w:val="en-US" w:eastAsia="zh-CN"/>
        </w:rPr>
        <w:t>最大不超过：长13000</w:t>
      </w:r>
      <w:r>
        <w:rPr>
          <w:rFonts w:hint="eastAsia" w:ascii="宋体" w:hAnsi="宋体" w:eastAsia="宋体" w:cs="宋体"/>
          <w:sz w:val="21"/>
          <w:szCs w:val="21"/>
        </w:rPr>
        <w:t>mm</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宽2800</w:t>
      </w:r>
      <w:r>
        <w:rPr>
          <w:rFonts w:hint="eastAsia" w:ascii="宋体" w:hAnsi="宋体" w:eastAsia="宋体" w:cs="宋体"/>
          <w:sz w:val="21"/>
          <w:szCs w:val="21"/>
        </w:rPr>
        <w:t>mm</w:t>
      </w:r>
      <w:r>
        <w:rPr>
          <w:rFonts w:hint="eastAsia" w:ascii="宋体" w:hAnsi="宋体" w:cs="宋体"/>
          <w:sz w:val="21"/>
          <w:szCs w:val="21"/>
          <w:lang w:eastAsia="zh-CN"/>
        </w:rPr>
        <w:t>、</w:t>
      </w:r>
      <w:r>
        <w:rPr>
          <w:rFonts w:hint="eastAsia" w:ascii="宋体" w:hAnsi="宋体" w:eastAsia="宋体" w:cs="宋体"/>
          <w:b w:val="0"/>
          <w:bCs/>
          <w:color w:val="auto"/>
          <w:sz w:val="21"/>
          <w:szCs w:val="21"/>
          <w:highlight w:val="none"/>
          <w:lang w:val="en-US" w:eastAsia="zh-CN"/>
        </w:rPr>
        <w:t>高</w:t>
      </w:r>
      <w:r>
        <w:rPr>
          <w:rFonts w:hint="eastAsia" w:ascii="宋体" w:hAnsi="宋体" w:cs="宋体"/>
          <w:b w:val="0"/>
          <w:bCs/>
          <w:color w:val="auto"/>
          <w:sz w:val="21"/>
          <w:szCs w:val="21"/>
          <w:highlight w:val="none"/>
          <w:lang w:val="en-US" w:eastAsia="zh-CN"/>
        </w:rPr>
        <w:t>45</w:t>
      </w:r>
      <w:r>
        <w:rPr>
          <w:rFonts w:hint="eastAsia" w:ascii="宋体" w:hAnsi="宋体" w:eastAsia="宋体" w:cs="宋体"/>
          <w:b w:val="0"/>
          <w:bCs/>
          <w:color w:val="auto"/>
          <w:sz w:val="21"/>
          <w:szCs w:val="21"/>
          <w:highlight w:val="none"/>
          <w:lang w:val="en-US" w:eastAsia="zh-CN"/>
        </w:rPr>
        <w:t>00</w:t>
      </w:r>
      <w:r>
        <w:rPr>
          <w:rFonts w:hint="eastAsia" w:ascii="宋体" w:hAnsi="宋体" w:eastAsia="宋体" w:cs="宋体"/>
          <w:sz w:val="21"/>
          <w:szCs w:val="21"/>
        </w:rPr>
        <w:t>mm</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sz w:val="21"/>
          <w:szCs w:val="21"/>
        </w:rPr>
        <w:t>，载重量</w:t>
      </w:r>
      <w:r>
        <w:rPr>
          <w:rFonts w:hint="eastAsia" w:ascii="宋体" w:hAnsi="宋体" w:cs="宋体"/>
          <w:sz w:val="21"/>
          <w:szCs w:val="21"/>
          <w:lang w:val="en-US" w:eastAsia="zh-CN"/>
        </w:rPr>
        <w:t>9</w:t>
      </w:r>
      <w:r>
        <w:rPr>
          <w:rFonts w:hint="eastAsia" w:ascii="宋体" w:hAnsi="宋体" w:eastAsia="宋体" w:cs="宋体"/>
          <w:sz w:val="21"/>
          <w:szCs w:val="21"/>
        </w:rPr>
        <w:t>吨及以上</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装载量按采购方要求的计量标准执行，车辆需年审合格、且具备运营资格，并安装人体热释传感器、GPS定位系统，并接收采购方定期检查行车轨迹，货柜内需安装全方位、无死角的视频监控摄像头，具备夜视功能，能适应不同光线条件，画面清晰流畅，视频需保存一个月及以上，货车液压尾板要配有独立的电源系统，确保发动机熄火，液压尾板仍能继续工作。（响应供应商自有车辆：</w:t>
      </w:r>
      <w:r>
        <w:rPr>
          <w:rFonts w:hint="eastAsia" w:ascii="宋体" w:hAnsi="宋体" w:cs="宋体"/>
          <w:b w:val="0"/>
          <w:bCs/>
          <w:color w:val="auto"/>
          <w:sz w:val="21"/>
          <w:szCs w:val="21"/>
          <w:highlight w:val="none"/>
          <w:lang w:val="en-US" w:eastAsia="zh-CN"/>
        </w:rPr>
        <w:t>报名</w:t>
      </w:r>
      <w:r>
        <w:rPr>
          <w:rFonts w:hint="eastAsia" w:ascii="宋体" w:hAnsi="宋体" w:eastAsia="宋体" w:cs="宋体"/>
          <w:b w:val="0"/>
          <w:bCs/>
          <w:color w:val="auto"/>
          <w:sz w:val="21"/>
          <w:szCs w:val="21"/>
          <w:highlight w:val="none"/>
          <w:lang w:val="en-US" w:eastAsia="zh-CN"/>
        </w:rPr>
        <w:t>时提供有效的机动车行驶证复印件，车辆应为响应供应商所有；响应供应商租赁车辆：</w:t>
      </w:r>
      <w:r>
        <w:rPr>
          <w:rFonts w:hint="eastAsia" w:ascii="宋体" w:hAnsi="宋体" w:cs="宋体"/>
          <w:b w:val="0"/>
          <w:bCs/>
          <w:color w:val="auto"/>
          <w:sz w:val="21"/>
          <w:szCs w:val="21"/>
          <w:highlight w:val="none"/>
          <w:lang w:val="en-US" w:eastAsia="zh-CN"/>
        </w:rPr>
        <w:t>报名</w:t>
      </w:r>
      <w:r>
        <w:rPr>
          <w:rFonts w:hint="eastAsia" w:ascii="宋体" w:hAnsi="宋体" w:eastAsia="宋体" w:cs="宋体"/>
          <w:b w:val="0"/>
          <w:bCs/>
          <w:color w:val="auto"/>
          <w:sz w:val="21"/>
          <w:szCs w:val="21"/>
          <w:highlight w:val="none"/>
          <w:lang w:val="en-US" w:eastAsia="zh-CN"/>
        </w:rPr>
        <w:t>时提供有效的车辆租赁协议复印件（租赁期限需覆盖整个服务周期，若车租赁期不能覆盖合同期的，响应供应商需提交承诺函（格式自拟），承诺租赁到期后将继续租赁不低于</w:t>
      </w:r>
      <w:r>
        <w:rPr>
          <w:rFonts w:hint="eastAsia" w:ascii="宋体" w:hAnsi="宋体" w:cs="宋体"/>
          <w:b w:val="0"/>
          <w:bCs/>
          <w:color w:val="auto"/>
          <w:sz w:val="21"/>
          <w:szCs w:val="21"/>
          <w:highlight w:val="none"/>
          <w:lang w:val="en-US" w:eastAsia="zh-CN"/>
        </w:rPr>
        <w:t>报名</w:t>
      </w:r>
      <w:r>
        <w:rPr>
          <w:rFonts w:hint="eastAsia" w:ascii="宋体" w:hAnsi="宋体" w:eastAsia="宋体" w:cs="宋体"/>
          <w:b w:val="0"/>
          <w:bCs/>
          <w:color w:val="auto"/>
          <w:sz w:val="21"/>
          <w:szCs w:val="21"/>
          <w:highlight w:val="none"/>
          <w:lang w:val="en-US" w:eastAsia="zh-CN"/>
        </w:rPr>
        <w:t>时运载能力的运输车辆）租赁方的《道路运输经营许可证》和《机动车行驶证》（复印件）。</w:t>
      </w:r>
    </w:p>
    <w:p w14:paraId="3BC0B705">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响应供应商每天需配备足够数量的装卸工人负责物资和生产成品的装卸工作，以满足采购方的装卸货需求（响应供应商自行配备周转托板等装卸运输所需工具）。</w:t>
      </w:r>
    </w:p>
    <w:p w14:paraId="1C1F98E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运输车辆司机为固定人员，未经采购方的允许，不得随意换人，如特殊原因需要换人，响应供应商应提前一个星期与采购方报备。经采购方同意后，才可进入采购方指定地点进行运输工作。</w:t>
      </w:r>
    </w:p>
    <w:p w14:paraId="207AA2B8">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车辆及司机管理要求</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由于采购人工作环境内部为监管场所的特殊性，</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应认真管理教育所委派的工作人员，司机及车辆需严格遵守采购人内部制定的的相关管理规定并签订安全承诺书。工作时间每周做六休一（含国家法定节假日），每日8:30-11:45,14:00-17:45。</w:t>
      </w:r>
    </w:p>
    <w:p w14:paraId="745A699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服务期内，必须配备两名专职调度人员，全天24小时在线响应。响应期间保证所有调度信息的准确性，及时性，并对突发事件的及时处理解决。</w:t>
      </w:r>
    </w:p>
    <w:p w14:paraId="3A1987C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供应商需配备对讲机不少于20台，对讲机使用范围为中转场所到采购方之间的距离，司机在进入采购方指定地点运输货物过程中，不准携带任何通讯工具及采购人规定的违禁品，只准通过对讲机进行内部沟通。响应供应商须提供承诺函并加盖公章。</w:t>
      </w:r>
    </w:p>
    <w:p w14:paraId="2BB6998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生产物料中转场所安全的保障措施：设置场所保安、场所监控和消防灭火设施，保持场所清洁卫生、通风和干燥，保证物资码放整齐，符合货物的要求，并做好防火、防盗、防潮、防霉、防鼠、防损和防污等工作。</w:t>
      </w:r>
    </w:p>
    <w:p w14:paraId="6F66187C">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提供所运输物资的详细信息（包括货物体积、重量、数量等）和相应文件，并保证该信息的真实、准确和完整性，不会有任何误导。</w:t>
      </w:r>
    </w:p>
    <w:p w14:paraId="62D89B4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能根据采购方需求，24小时随时为采购方提供中转场所及配套服务（含国家法定节假日），在接到采购方的指令后，响应供应商必须在10分钟内响应，30分钟内运输车辆到达现场，一个小时内完成一个车次的货物运输、配送和装卸货工作。</w:t>
      </w:r>
    </w:p>
    <w:p w14:paraId="6CDE84F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供应商需对生产物料中转场所内的物品进行妥善保管,确保暂存的物资安全，防止出现被盗抢或其他原因损坏丢失等情况。采购方应指定专人对中转场所进行管理,实行定期巡查、定期核对等管理措施，因响应供应商保管不善的原因，造成物资损坏或丢失的情况，响应供应商应按照采购方的物资定价标准进行赔偿。</w:t>
      </w:r>
    </w:p>
    <w:p w14:paraId="1BC5ECB9">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right="0" w:rightChars="0" w:hanging="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响应供应商需对采购方内部工作环境的一切情况应予以保密，若发生相关信息外泄等情况，采购方有权追究其相关法律责任。</w:t>
      </w:r>
    </w:p>
    <w:p w14:paraId="6C0CBAE1">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其他要求</w:t>
      </w:r>
    </w:p>
    <w:p w14:paraId="7927D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响应供应商负责中转场所内及运输、装卸过程中的所有安全。响应供应商应为本项目专有中转场所及配套服务所涉及的工作人员、工作车辆、中转场所、货物运输等购买相对应的保险，其保障范围涵盖但不限于以下：</w:t>
      </w:r>
    </w:p>
    <w:p w14:paraId="7F5CF9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1、火灾、爆炸；</w:t>
      </w:r>
    </w:p>
    <w:p w14:paraId="71F9C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2、雷击、暴雨、洪水、暴风、龙卷风、冰雹、台风、飓风、暴雪、冰凌、突发性滑坡、崩塌、泥石流、地面突然下陷下沉；</w:t>
      </w:r>
    </w:p>
    <w:p w14:paraId="2909DD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3、飞行物体及其他空中运行物体坠落；</w:t>
      </w:r>
    </w:p>
    <w:p w14:paraId="4B55CA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4、盗窃。</w:t>
      </w:r>
    </w:p>
    <w:p w14:paraId="243B62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因响应供应商未按照相关要求购买保险，若发生相关意外情况时，其造成的一切损失由响应供应商自行承担。采购方不承担任何责任。</w:t>
      </w:r>
    </w:p>
    <w:p w14:paraId="0746F4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采购方可根据生产情况变化减少装卸人员、配送车次及终止服务，并不视为采购方违约。</w:t>
      </w:r>
    </w:p>
    <w:p w14:paraId="4BED088E">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履约保证金</w:t>
      </w:r>
    </w:p>
    <w:p w14:paraId="46805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签订合同前，须缴纳￥16725.00元（项目总价最高限价的5%）至采购方指定的账号中作为履约保证金，以确保相关服务的质量达到采购方要求，合同期满后，如无责任事故发生，无息退回。</w:t>
      </w:r>
    </w:p>
    <w:p w14:paraId="08E147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2.采购方有权根据</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的违约责任所造成的损失，从履约保证金中扣除相关费用，如履约保证金不够的，</w:t>
      </w:r>
      <w:r>
        <w:rPr>
          <w:rFonts w:hint="eastAsia" w:ascii="宋体" w:hAnsi="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val="en-US" w:eastAsia="zh-CN"/>
        </w:rPr>
        <w:t>需全额赔偿采购方因此造成的损失。</w:t>
      </w:r>
    </w:p>
    <w:p w14:paraId="0057EAAD">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验收支付</w:t>
      </w:r>
    </w:p>
    <w:p w14:paraId="71196BD2">
      <w:pPr>
        <w:numPr>
          <w:ilvl w:val="0"/>
          <w:numId w:val="0"/>
        </w:num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验收要求</w:t>
      </w:r>
    </w:p>
    <w:p w14:paraId="78B3E9D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1.验收标准：双方应根据国家及地方相关法律、法规及行业技术标准和规范的要求，并按照需求完成相应阶段内所有服务内容、提交相应阶段内所有服务成果物。 </w:t>
      </w:r>
    </w:p>
    <w:p w14:paraId="2FCCFFD6">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2.验收方式：由采购方组织验收工作，对成交供应商提供的服务进行验收，如果认为成交供应商提供的服务、成果与要求不符，将要求成交供应商在限期内整改服务或成果后重新组织验收。</w:t>
      </w:r>
    </w:p>
    <w:p w14:paraId="7349F58A">
      <w:pPr>
        <w:numPr>
          <w:ilvl w:val="0"/>
          <w:numId w:val="0"/>
        </w:numPr>
        <w:spacing w:line="360" w:lineRule="auto"/>
        <w:ind w:firstLine="422" w:firstLineChars="200"/>
        <w:rPr>
          <w:rFonts w:hint="eastAsia" w:ascii="宋体" w:hAnsi="宋体" w:eastAsia="宋体" w:cs="宋体"/>
          <w:b/>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sz w:val="21"/>
          <w:szCs w:val="21"/>
        </w:rPr>
        <w:t>支付条款：</w:t>
      </w:r>
    </w:p>
    <w:p w14:paraId="7FF2792F">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1.采购方以实际运输车次据实结算（含税费），须开具正规等额增值税专用发票（开票类别需为运输服务）。每次运输需与采购方签名确认，如有特殊情况无法满车装货，需作出情况说明，按采购方的</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需求计量标准计算，并经采购方签名确认，每月根据实际运输车次结算一次。</w:t>
      </w:r>
    </w:p>
    <w:p w14:paraId="36A8D6F0">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2.每月按实际运输次数统计，如当月统计金额超过每月支付上限22.3 万元（含税费），超过部分的费用由成交供应商自行承担，采购方将不再支付任何费用，超过支付上限时成交供应商不得因此拒绝接受采购方的任务，否则采购方有权无条件解除合同，履约保证金不退回且有权拒绝支付当月物流费用。</w:t>
      </w:r>
    </w:p>
    <w:p w14:paraId="190EBE22">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3.物流费用不预付，采购方收取客户物流费用后，据实在次月底前支付，若出现客户物流费用未及时支付的情况，未按时支付的物流费用待客户支付后再支付给成交供应商。响应供应商须提供承诺函并加盖公章。</w:t>
      </w:r>
    </w:p>
    <w:p w14:paraId="652C1D9A">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项目总价最高限价（含税费）¥334500.00元，物流费用分两次结算支付：第一次支付以1月11日至1月25日期间的服务为结算依据，支付上限为11.15万元（含税费）；第二次支付以1月26日至2月25日期间的服务为结算依据，支付上限为22.3万元（含税费）。</w:t>
      </w:r>
    </w:p>
    <w:p w14:paraId="041C422A">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.成交供应商凭以下有效文件与采购人结算：</w:t>
      </w:r>
    </w:p>
    <w:p w14:paraId="4FCD1B2C">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(1)合同；</w:t>
      </w:r>
    </w:p>
    <w:p w14:paraId="4FFEB2AE">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(2)成交供应商开具的增值税</w:t>
      </w:r>
      <w:r>
        <w:rPr>
          <w:rFonts w:hint="eastAsia" w:ascii="宋体" w:hAnsi="宋体" w:eastAsia="宋体" w:cs="宋体"/>
          <w:sz w:val="21"/>
          <w:szCs w:val="21"/>
          <w:highlight w:val="none"/>
          <w:lang w:val="en-US" w:eastAsia="zh-CN"/>
        </w:rPr>
        <w:t>专用</w:t>
      </w:r>
      <w:r>
        <w:rPr>
          <w:rFonts w:hint="eastAsia" w:ascii="宋体" w:hAnsi="宋体" w:eastAsia="宋体" w:cs="宋体"/>
          <w:sz w:val="21"/>
          <w:szCs w:val="21"/>
          <w:highlight w:val="none"/>
          <w:lang w:eastAsia="zh-CN"/>
        </w:rPr>
        <w:t>发票；</w:t>
      </w:r>
    </w:p>
    <w:p w14:paraId="66B1A0B2">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highlight w:val="none"/>
          <w:lang w:eastAsia="zh-CN"/>
        </w:rPr>
        <w:t>(3)成交通知书。</w:t>
      </w:r>
    </w:p>
    <w:p w14:paraId="33AB9AA7">
      <w:pPr>
        <w:rPr>
          <w:rFonts w:hint="eastAsia" w:ascii="宋体" w:hAnsi="宋体" w:cs="Times New Roman"/>
          <w:b/>
          <w:bCs/>
          <w:color w:val="auto"/>
          <w:sz w:val="32"/>
          <w:szCs w:val="32"/>
        </w:rPr>
      </w:pPr>
      <w:r>
        <w:rPr>
          <w:rFonts w:hint="eastAsia" w:ascii="宋体" w:hAnsi="宋体" w:cs="Times New Roman"/>
          <w:b/>
          <w:bCs/>
          <w:color w:val="auto"/>
          <w:sz w:val="32"/>
          <w:szCs w:val="32"/>
        </w:rPr>
        <w:br w:type="page"/>
      </w:r>
    </w:p>
    <w:p w14:paraId="462C2FFC">
      <w:pPr>
        <w:snapToGrid w:val="0"/>
        <w:spacing w:line="360" w:lineRule="auto"/>
        <w:jc w:val="center"/>
        <w:outlineLvl w:val="0"/>
        <w:rPr>
          <w:rFonts w:ascii="宋体" w:hAnsi="宋体" w:cs="Times New Roman"/>
          <w:b/>
          <w:bCs/>
          <w:color w:val="auto"/>
          <w:sz w:val="32"/>
          <w:szCs w:val="32"/>
        </w:rPr>
      </w:pPr>
      <w:r>
        <w:rPr>
          <w:rFonts w:hint="eastAsia" w:ascii="宋体" w:hAnsi="宋体" w:cs="Times New Roman"/>
          <w:b/>
          <w:bCs/>
          <w:color w:val="auto"/>
          <w:sz w:val="32"/>
          <w:szCs w:val="32"/>
        </w:rPr>
        <w:t xml:space="preserve">第三章 </w:t>
      </w:r>
      <w:r>
        <w:rPr>
          <w:rFonts w:hint="eastAsia" w:ascii="宋体" w:hAnsi="宋体" w:cs="Times New Roman"/>
          <w:b/>
          <w:bCs/>
          <w:color w:val="auto"/>
          <w:sz w:val="32"/>
          <w:szCs w:val="32"/>
          <w:lang w:eastAsia="zh-CN"/>
        </w:rPr>
        <w:t>零散采购</w:t>
      </w:r>
      <w:r>
        <w:rPr>
          <w:rFonts w:hint="eastAsia" w:ascii="宋体" w:hAnsi="宋体" w:cs="Times New Roman"/>
          <w:b/>
          <w:bCs/>
          <w:color w:val="auto"/>
          <w:sz w:val="32"/>
          <w:szCs w:val="32"/>
        </w:rPr>
        <w:t>附件</w:t>
      </w:r>
    </w:p>
    <w:p w14:paraId="28734E8C">
      <w:pPr>
        <w:keepNext/>
        <w:keepLines/>
        <w:spacing w:line="416" w:lineRule="auto"/>
        <w:jc w:val="center"/>
        <w:outlineLvl w:val="1"/>
        <w:rPr>
          <w:rFonts w:hint="eastAsia" w:ascii="宋体" w:hAnsi="宋体" w:cs="Times New Roman"/>
          <w:b/>
          <w:bCs/>
          <w:color w:val="auto"/>
          <w:kern w:val="0"/>
          <w:sz w:val="32"/>
          <w:szCs w:val="32"/>
          <w:lang w:val="zh-CN"/>
        </w:rPr>
      </w:pPr>
      <w:r>
        <w:rPr>
          <w:rFonts w:hint="eastAsia" w:ascii="宋体" w:hAnsi="宋体" w:cs="Times New Roman"/>
          <w:b/>
          <w:bCs/>
          <w:color w:val="auto"/>
          <w:kern w:val="0"/>
          <w:sz w:val="32"/>
          <w:szCs w:val="32"/>
          <w:lang w:val="zh-CN"/>
        </w:rPr>
        <w:t>报价表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3001"/>
        <w:gridCol w:w="2043"/>
        <w:gridCol w:w="1704"/>
        <w:gridCol w:w="2594"/>
      </w:tblGrid>
      <w:tr w14:paraId="5C22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7" w:type="pct"/>
            <w:noWrap w:val="0"/>
            <w:vAlign w:val="center"/>
          </w:tcPr>
          <w:p w14:paraId="005A4DDC">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序号</w:t>
            </w:r>
          </w:p>
        </w:tc>
        <w:tc>
          <w:tcPr>
            <w:tcW w:w="1523" w:type="pct"/>
            <w:noWrap w:val="0"/>
            <w:vAlign w:val="center"/>
          </w:tcPr>
          <w:p w14:paraId="4CA3429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项目名称</w:t>
            </w:r>
          </w:p>
        </w:tc>
        <w:tc>
          <w:tcPr>
            <w:tcW w:w="1037" w:type="pct"/>
            <w:noWrap w:val="0"/>
            <w:vAlign w:val="center"/>
          </w:tcPr>
          <w:p w14:paraId="1B4A3A22">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含税单价最高限价（元/车次）</w:t>
            </w:r>
          </w:p>
        </w:tc>
        <w:tc>
          <w:tcPr>
            <w:tcW w:w="865" w:type="pct"/>
            <w:noWrap w:val="0"/>
            <w:vAlign w:val="center"/>
          </w:tcPr>
          <w:p w14:paraId="6971D0C6">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单价报价（元/车次）</w:t>
            </w:r>
          </w:p>
        </w:tc>
        <w:tc>
          <w:tcPr>
            <w:tcW w:w="1316" w:type="pct"/>
            <w:noWrap w:val="0"/>
            <w:vAlign w:val="center"/>
          </w:tcPr>
          <w:p w14:paraId="282ED99D">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备注</w:t>
            </w:r>
          </w:p>
        </w:tc>
      </w:tr>
      <w:tr w14:paraId="4A35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 w:type="pct"/>
            <w:noWrap w:val="0"/>
            <w:vAlign w:val="center"/>
          </w:tcPr>
          <w:p w14:paraId="77655542">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1</w:t>
            </w:r>
          </w:p>
        </w:tc>
        <w:tc>
          <w:tcPr>
            <w:tcW w:w="1523" w:type="pct"/>
            <w:noWrap w:val="0"/>
            <w:vAlign w:val="center"/>
          </w:tcPr>
          <w:p w14:paraId="34E16A2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广东省广裕集团东莞兴龙实业有限公司临时采购生产物料中转场所及配套服务项目</w:t>
            </w:r>
          </w:p>
        </w:tc>
        <w:tc>
          <w:tcPr>
            <w:tcW w:w="1037" w:type="pct"/>
            <w:noWrap w:val="0"/>
            <w:vAlign w:val="center"/>
          </w:tcPr>
          <w:p w14:paraId="10375BE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247.78</w:t>
            </w:r>
          </w:p>
        </w:tc>
        <w:tc>
          <w:tcPr>
            <w:tcW w:w="865" w:type="pct"/>
            <w:noWrap w:val="0"/>
            <w:vAlign w:val="center"/>
          </w:tcPr>
          <w:p w14:paraId="1BFF2FF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1316" w:type="pct"/>
            <w:noWrap w:val="0"/>
            <w:vAlign w:val="center"/>
          </w:tcPr>
          <w:p w14:paraId="2923CA49">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按照每月25天计，每天共需来往货运约36车次，此项费用包含人工、中转场所费用和中转场所发生的所有装卸工作所需的费用。</w:t>
            </w:r>
          </w:p>
        </w:tc>
      </w:tr>
    </w:tbl>
    <w:p w14:paraId="0826B9EE">
      <w:pPr>
        <w:spacing w:line="360" w:lineRule="auto"/>
        <w:rPr>
          <w:rFonts w:ascii="宋体" w:hAnsi="宋体"/>
          <w:b/>
          <w:color w:val="auto"/>
          <w:spacing w:val="4"/>
        </w:rPr>
      </w:pPr>
      <w:r>
        <w:rPr>
          <w:rFonts w:hint="eastAsia" w:ascii="宋体" w:hAnsi="宋体"/>
          <w:b/>
          <w:color w:val="auto"/>
          <w:spacing w:val="4"/>
        </w:rPr>
        <w:t>注：</w:t>
      </w:r>
    </w:p>
    <w:p w14:paraId="0E77ED46">
      <w:pPr>
        <w:widowControl/>
        <w:numPr>
          <w:ilvl w:val="0"/>
          <w:numId w:val="20"/>
        </w:numPr>
        <w:shd w:val="clear" w:color="auto" w:fill="FFFFFF"/>
        <w:spacing w:line="360" w:lineRule="auto"/>
        <w:jc w:val="left"/>
        <w:rPr>
          <w:rFonts w:hint="eastAsia" w:ascii="宋体" w:hAnsi="宋体" w:eastAsia="宋体" w:cs="宋体"/>
          <w:b/>
          <w:bCs/>
          <w:color w:val="auto"/>
          <w:kern w:val="0"/>
        </w:rPr>
      </w:pPr>
      <w:r>
        <w:rPr>
          <w:rFonts w:hint="eastAsia" w:ascii="宋体" w:hAnsi="宋体" w:cs="宋体"/>
          <w:b/>
          <w:bCs/>
          <w:color w:val="auto"/>
          <w:kern w:val="0"/>
          <w:szCs w:val="21"/>
          <w:lang w:val="en-US" w:eastAsia="zh-CN"/>
        </w:rPr>
        <w:t>响应</w:t>
      </w:r>
      <w:r>
        <w:rPr>
          <w:rFonts w:hint="eastAsia" w:ascii="宋体" w:hAnsi="宋体" w:eastAsia="宋体" w:cs="宋体"/>
          <w:b/>
          <w:bCs/>
          <w:color w:val="auto"/>
          <w:kern w:val="0"/>
        </w:rPr>
        <w:t>供应商必须按报价表的格式填写，不得增加或删除表格内容。除品牌型号、单价、金额或项目要求填写的内容外，不得擅自改动报价表内容，否则将有可能影响成交结果，不推荐为成交候选人；</w:t>
      </w:r>
    </w:p>
    <w:p w14:paraId="63DBA39F">
      <w:pPr>
        <w:widowControl/>
        <w:numPr>
          <w:ilvl w:val="0"/>
          <w:numId w:val="20"/>
        </w:numPr>
        <w:shd w:val="clear" w:color="auto" w:fill="FFFFFF"/>
        <w:spacing w:line="360" w:lineRule="auto"/>
        <w:jc w:val="left"/>
        <w:rPr>
          <w:rFonts w:hint="eastAsia" w:ascii="宋体" w:hAnsi="宋体" w:eastAsia="宋体" w:cs="宋体"/>
          <w:b/>
          <w:bCs/>
          <w:color w:val="auto"/>
          <w:kern w:val="0"/>
        </w:rPr>
      </w:pPr>
      <w:r>
        <w:rPr>
          <w:rFonts w:hint="eastAsia" w:ascii="宋体" w:hAnsi="宋体" w:eastAsia="宋体" w:cs="宋体"/>
          <w:b/>
          <w:bCs/>
          <w:color w:val="auto"/>
          <w:kern w:val="0"/>
        </w:rPr>
        <w:t>所有价格均系用人民币表示，单位为元，均为含税价；</w:t>
      </w:r>
    </w:p>
    <w:p w14:paraId="4F2FF508">
      <w:pPr>
        <w:widowControl/>
        <w:numPr>
          <w:ilvl w:val="0"/>
          <w:numId w:val="20"/>
        </w:numPr>
        <w:shd w:val="clear" w:color="auto" w:fill="FFFFFF"/>
        <w:spacing w:line="360" w:lineRule="auto"/>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供应商所报单价金额不得超出两位小数，小计金额根据单价金额*数量计算得出，若小计金额超出两位小数则应进行四舍五入保留两位小数；</w:t>
      </w:r>
    </w:p>
    <w:p w14:paraId="5D0100AD">
      <w:pPr>
        <w:widowControl/>
        <w:numPr>
          <w:ilvl w:val="0"/>
          <w:numId w:val="20"/>
        </w:numPr>
        <w:shd w:val="clear" w:color="auto" w:fill="FFFFFF"/>
        <w:spacing w:line="360" w:lineRule="auto"/>
        <w:jc w:val="left"/>
        <w:rPr>
          <w:rFonts w:hint="eastAsia" w:ascii="宋体" w:hAnsi="宋体" w:eastAsia="宋体" w:cs="宋体"/>
          <w:b/>
          <w:bCs/>
          <w:color w:val="auto"/>
          <w:kern w:val="0"/>
        </w:rPr>
      </w:pPr>
      <w:r>
        <w:rPr>
          <w:rFonts w:hint="eastAsia" w:ascii="宋体" w:hAnsi="宋体" w:eastAsia="宋体" w:cs="宋体"/>
          <w:b/>
          <w:bCs/>
          <w:color w:val="auto"/>
          <w:kern w:val="0"/>
        </w:rPr>
        <w:t>平台上报价与上表合计不一致的，以报价表合计（经价格核准后的价格）为准。</w:t>
      </w:r>
    </w:p>
    <w:p w14:paraId="6387773C">
      <w:pPr>
        <w:widowControl/>
        <w:numPr>
          <w:ilvl w:val="0"/>
          <w:numId w:val="20"/>
        </w:numPr>
        <w:shd w:val="clear" w:color="auto" w:fill="FFFFFF"/>
        <w:spacing w:line="360" w:lineRule="auto"/>
        <w:jc w:val="left"/>
        <w:rPr>
          <w:rFonts w:ascii="宋体" w:hAnsi="宋体"/>
          <w:color w:val="auto"/>
          <w:spacing w:val="4"/>
        </w:rPr>
      </w:pPr>
      <w:r>
        <w:rPr>
          <w:rFonts w:hint="eastAsia" w:ascii="宋体" w:hAnsi="宋体" w:cs="宋体"/>
          <w:b/>
          <w:bCs/>
          <w:color w:val="auto"/>
          <w:kern w:val="0"/>
          <w:szCs w:val="21"/>
          <w:lang w:val="en-US" w:eastAsia="zh-CN"/>
        </w:rPr>
        <w:t>响应</w:t>
      </w:r>
      <w:r>
        <w:rPr>
          <w:rFonts w:hint="eastAsia" w:ascii="宋体" w:hAnsi="宋体" w:cs="宋体"/>
          <w:b/>
          <w:bCs/>
          <w:color w:val="auto"/>
          <w:kern w:val="0"/>
          <w:szCs w:val="21"/>
        </w:rPr>
        <w:t>供应商报价表必须</w:t>
      </w:r>
      <w:r>
        <w:rPr>
          <w:rFonts w:hint="eastAsia" w:ascii="宋体" w:hAnsi="宋体" w:cs="宋体"/>
          <w:b/>
          <w:bCs/>
          <w:color w:val="auto"/>
          <w:kern w:val="0"/>
          <w:szCs w:val="21"/>
          <w:lang w:val="en-US" w:eastAsia="zh-CN"/>
        </w:rPr>
        <w:t>每一页</w:t>
      </w:r>
      <w:r>
        <w:rPr>
          <w:rFonts w:hint="eastAsia" w:ascii="宋体" w:hAnsi="宋体" w:cs="宋体"/>
          <w:b/>
          <w:bCs/>
          <w:color w:val="auto"/>
          <w:kern w:val="0"/>
          <w:szCs w:val="21"/>
        </w:rPr>
        <w:t>加盖公章，否则视作无效报价。</w:t>
      </w:r>
    </w:p>
    <w:p w14:paraId="73B78995">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02ABCAE0">
      <w:pPr>
        <w:spacing w:line="360" w:lineRule="auto"/>
        <w:rPr>
          <w:rFonts w:ascii="宋体" w:hAnsi="宋体"/>
          <w:color w:val="auto"/>
          <w:spacing w:val="4"/>
          <w:u w:val="single"/>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5152E56C">
      <w:pPr>
        <w:keepNext/>
        <w:spacing w:after="240" w:line="360" w:lineRule="auto"/>
        <w:ind w:left="720" w:hanging="360"/>
        <w:jc w:val="center"/>
        <w:outlineLvl w:val="1"/>
        <w:rPr>
          <w:rFonts w:ascii="宋体" w:hAnsi="宋体" w:cs="Times New Roman"/>
          <w:b/>
          <w:bCs/>
          <w:color w:val="auto"/>
          <w:kern w:val="0"/>
          <w:sz w:val="32"/>
          <w:szCs w:val="32"/>
        </w:rPr>
      </w:pPr>
      <w:r>
        <w:rPr>
          <w:rFonts w:hint="eastAsia" w:ascii="宋体" w:hAnsi="宋体" w:cs="Times New Roman"/>
          <w:b/>
          <w:bCs/>
          <w:color w:val="auto"/>
          <w:kern w:val="0"/>
          <w:sz w:val="32"/>
          <w:szCs w:val="32"/>
        </w:rPr>
        <w:t>用户需求书响应声明函</w:t>
      </w:r>
    </w:p>
    <w:p w14:paraId="450365D1">
      <w:pPr>
        <w:spacing w:line="360" w:lineRule="auto"/>
        <w:ind w:firstLine="422" w:firstLineChars="200"/>
        <w:rPr>
          <w:rFonts w:ascii="宋体" w:hAnsi="宋体" w:cs="Times New Roman"/>
          <w:b/>
          <w:color w:val="auto"/>
        </w:rPr>
      </w:pPr>
      <w:r>
        <w:rPr>
          <w:rFonts w:hint="eastAsia" w:ascii="宋体" w:hAnsi="宋体" w:cs="Times New Roman"/>
          <w:b/>
          <w:color w:val="auto"/>
        </w:rPr>
        <w:t>致：</w:t>
      </w:r>
      <w:r>
        <w:rPr>
          <w:rFonts w:hint="eastAsia" w:ascii="宋体" w:hAnsi="宋体"/>
          <w:b/>
          <w:color w:val="auto"/>
          <w:lang w:val="en-US" w:eastAsia="zh-CN"/>
        </w:rPr>
        <w:t>广东省广裕集团东莞兴龙实业有限公司</w:t>
      </w:r>
      <w:r>
        <w:rPr>
          <w:rFonts w:hint="eastAsia" w:ascii="宋体" w:hAnsi="宋体" w:cs="Times New Roman"/>
          <w:b/>
          <w:color w:val="auto"/>
        </w:rPr>
        <w:t>、云采链（广州）信息科技有限公司</w:t>
      </w:r>
    </w:p>
    <w:p w14:paraId="32ABFC57">
      <w:pPr>
        <w:spacing w:line="360" w:lineRule="auto"/>
        <w:ind w:firstLine="420" w:firstLineChars="200"/>
        <w:rPr>
          <w:rFonts w:ascii="宋体" w:hAnsi="宋体" w:cs="Times New Roman"/>
          <w:color w:val="auto"/>
          <w:szCs w:val="22"/>
          <w:lang w:val="zh-CN"/>
        </w:rPr>
      </w:pPr>
    </w:p>
    <w:p w14:paraId="483C24A1">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r>
        <w:rPr>
          <w:rFonts w:hint="eastAsia" w:ascii="宋体" w:hAnsi="宋体" w:cs="Times New Roman"/>
          <w:b/>
          <w:color w:val="auto"/>
          <w:u w:val="single"/>
          <w:lang w:eastAsia="zh-CN"/>
        </w:rPr>
        <w:t>广东省广裕集团东莞兴龙实业有限公司临时采购生产物料中转场所及配套服务项目</w:t>
      </w:r>
      <w:r>
        <w:rPr>
          <w:rFonts w:hint="eastAsia" w:ascii="宋体" w:hAnsi="宋体" w:cs="Times New Roman"/>
          <w:color w:val="auto"/>
        </w:rPr>
        <w:t>的</w:t>
      </w:r>
      <w:r>
        <w:rPr>
          <w:rFonts w:hint="eastAsia" w:ascii="宋体" w:hAnsi="宋体" w:cs="Times New Roman"/>
          <w:color w:val="auto"/>
          <w:lang w:eastAsia="zh-CN"/>
        </w:rPr>
        <w:t>零散采购</w:t>
      </w:r>
      <w:r>
        <w:rPr>
          <w:rFonts w:hint="eastAsia" w:ascii="宋体" w:hAnsi="宋体" w:cs="Times New Roman"/>
          <w:color w:val="auto"/>
        </w:rPr>
        <w:t>公告，本公司（企业）愿意参加采购活动，并作出如下声明：</w:t>
      </w:r>
    </w:p>
    <w:p w14:paraId="7017BAFB">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337C8C3E">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本公司（企业）承诺在本次采购活动中，如有违法、违规、弄虚作假行为，所造成的损失、不良后果及法律责任，一律由我公司（企业）承担。</w:t>
      </w:r>
    </w:p>
    <w:p w14:paraId="4F684617">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5CBEC8A3">
      <w:pPr>
        <w:widowControl/>
        <w:numPr>
          <w:ilvl w:val="0"/>
          <w:numId w:val="21"/>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1DB972F7">
      <w:pPr>
        <w:widowControl/>
        <w:numPr>
          <w:ilvl w:val="0"/>
          <w:numId w:val="21"/>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5F6CFC57">
      <w:pPr>
        <w:widowControl/>
        <w:spacing w:line="360" w:lineRule="auto"/>
        <w:ind w:firstLine="643" w:firstLineChars="200"/>
        <w:jc w:val="left"/>
        <w:rPr>
          <w:rFonts w:ascii="宋体" w:hAnsi="宋体" w:cs="Times New Roman"/>
          <w:b/>
          <w:bCs/>
          <w:color w:val="auto"/>
          <w:kern w:val="0"/>
          <w:sz w:val="32"/>
          <w:szCs w:val="32"/>
        </w:rPr>
      </w:pPr>
    </w:p>
    <w:p w14:paraId="203B2414">
      <w:pPr>
        <w:spacing w:line="360" w:lineRule="auto"/>
        <w:ind w:firstLine="436" w:firstLineChars="200"/>
        <w:jc w:val="right"/>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120A50EB">
      <w:pPr>
        <w:spacing w:line="360" w:lineRule="auto"/>
        <w:ind w:firstLine="420" w:firstLineChars="200"/>
        <w:jc w:val="right"/>
        <w:rPr>
          <w:rFonts w:ascii="宋体" w:hAnsi="宋体" w:cs="Times New Roman"/>
          <w:color w:val="auto"/>
          <w:szCs w:val="22"/>
        </w:rPr>
      </w:pPr>
    </w:p>
    <w:p w14:paraId="3B03473F">
      <w:pPr>
        <w:spacing w:line="360" w:lineRule="auto"/>
        <w:ind w:firstLine="436" w:firstLineChars="200"/>
        <w:jc w:val="right"/>
        <w:rPr>
          <w:rFonts w:ascii="宋体" w:hAnsi="宋体" w:eastAsia="宋体"/>
          <w:color w:val="auto"/>
        </w:rPr>
      </w:pPr>
      <w:r>
        <w:rPr>
          <w:rFonts w:hint="eastAsia" w:ascii="宋体" w:hAnsi="宋体" w:cs="Times New Roman"/>
          <w:color w:val="auto"/>
          <w:spacing w:val="4"/>
        </w:rPr>
        <w:t>日期：</w:t>
      </w:r>
    </w:p>
    <w:p w14:paraId="48DC78B0">
      <w:pPr>
        <w:rPr>
          <w:rFonts w:hint="eastAsia" w:ascii="宋体" w:hAnsi="宋体" w:eastAsia="宋体"/>
          <w:color w:val="auto"/>
        </w:rPr>
      </w:pPr>
      <w:r>
        <w:rPr>
          <w:rFonts w:hint="eastAsia" w:ascii="宋体" w:hAnsi="宋体" w:eastAsia="宋体"/>
          <w:color w:val="auto"/>
        </w:rPr>
        <w:br w:type="page"/>
      </w:r>
    </w:p>
    <w:p w14:paraId="41C3D338">
      <w:pPr>
        <w:pStyle w:val="4"/>
        <w:keepLines w:val="0"/>
        <w:spacing w:before="0" w:after="0" w:line="360" w:lineRule="auto"/>
        <w:ind w:firstLine="643" w:firstLineChars="200"/>
        <w:jc w:val="center"/>
        <w:rPr>
          <w:rFonts w:ascii="宋体" w:hAnsi="宋体" w:eastAsia="宋体"/>
          <w:color w:val="auto"/>
        </w:rPr>
      </w:pPr>
      <w:r>
        <w:rPr>
          <w:rFonts w:hint="eastAsia" w:ascii="宋体" w:hAnsi="宋体" w:eastAsia="宋体"/>
          <w:color w:val="auto"/>
        </w:rPr>
        <w:t>供应商资格声明函</w:t>
      </w:r>
    </w:p>
    <w:p w14:paraId="5C990C69">
      <w:pPr>
        <w:spacing w:line="360" w:lineRule="auto"/>
        <w:ind w:firstLine="422" w:firstLineChars="200"/>
        <w:rPr>
          <w:rFonts w:ascii="宋体" w:hAnsi="宋体"/>
          <w:b/>
          <w:color w:val="auto"/>
        </w:rPr>
      </w:pPr>
      <w:r>
        <w:rPr>
          <w:rFonts w:hint="eastAsia" w:ascii="宋体" w:hAnsi="宋体"/>
          <w:b/>
          <w:color w:val="auto"/>
        </w:rPr>
        <w:t>致：</w:t>
      </w:r>
      <w:r>
        <w:rPr>
          <w:rFonts w:hint="eastAsia" w:ascii="宋体" w:hAnsi="宋体"/>
          <w:b/>
          <w:color w:val="auto"/>
          <w:lang w:val="en-US" w:eastAsia="zh-CN"/>
        </w:rPr>
        <w:t>广东省广裕集团东莞兴龙实业有限公司</w:t>
      </w:r>
      <w:r>
        <w:rPr>
          <w:rFonts w:hint="eastAsia" w:ascii="宋体" w:hAnsi="宋体"/>
          <w:b/>
          <w:color w:val="auto"/>
        </w:rPr>
        <w:t>、云采链（广州）信息科技有限公司</w:t>
      </w:r>
    </w:p>
    <w:p w14:paraId="7F8FFD67">
      <w:pPr>
        <w:spacing w:line="360" w:lineRule="auto"/>
        <w:ind w:firstLine="422" w:firstLineChars="200"/>
        <w:rPr>
          <w:rFonts w:ascii="宋体" w:hAnsi="宋体"/>
          <w:b/>
          <w:color w:val="auto"/>
        </w:rPr>
      </w:pPr>
    </w:p>
    <w:p w14:paraId="62122C3D">
      <w:pPr>
        <w:spacing w:line="360" w:lineRule="auto"/>
        <w:ind w:firstLine="420" w:firstLineChars="200"/>
        <w:rPr>
          <w:rFonts w:ascii="宋体" w:hAnsi="宋体"/>
          <w:color w:val="auto"/>
        </w:rPr>
      </w:pPr>
      <w:r>
        <w:rPr>
          <w:rFonts w:hint="eastAsia" w:ascii="宋体" w:hAnsi="宋体"/>
          <w:color w:val="auto"/>
        </w:rPr>
        <w:t>关于贵单位、贵司发布</w:t>
      </w:r>
      <w:r>
        <w:rPr>
          <w:rFonts w:hint="eastAsia" w:ascii="宋体" w:hAnsi="宋体" w:cs="Times New Roman"/>
          <w:b/>
          <w:color w:val="auto"/>
          <w:u w:val="single"/>
          <w:lang w:eastAsia="zh-CN"/>
        </w:rPr>
        <w:t>广东省广裕集团东莞兴龙实业有限公司临时采购生产物料中转场所及配套服务项目</w:t>
      </w:r>
      <w:r>
        <w:rPr>
          <w:rFonts w:hint="eastAsia" w:ascii="宋体" w:hAnsi="宋体"/>
          <w:color w:val="auto"/>
        </w:rPr>
        <w:t>的</w:t>
      </w:r>
      <w:r>
        <w:rPr>
          <w:rFonts w:hint="eastAsia" w:ascii="宋体" w:hAnsi="宋体"/>
          <w:color w:val="auto"/>
          <w:lang w:eastAsia="zh-CN"/>
        </w:rPr>
        <w:t>零散采购</w:t>
      </w:r>
      <w:r>
        <w:rPr>
          <w:rFonts w:hint="eastAsia" w:ascii="宋体" w:hAnsi="宋体"/>
          <w:color w:val="auto"/>
        </w:rPr>
        <w:t>公告，本公司（企业）愿意参加</w:t>
      </w:r>
      <w:r>
        <w:rPr>
          <w:rFonts w:hint="eastAsia" w:ascii="宋体" w:hAnsi="宋体"/>
          <w:color w:val="auto"/>
          <w:lang w:val="en-US" w:eastAsia="zh-CN"/>
        </w:rPr>
        <w:t>采购活动</w:t>
      </w:r>
      <w:r>
        <w:rPr>
          <w:rFonts w:hint="eastAsia" w:ascii="宋体" w:hAnsi="宋体"/>
          <w:color w:val="auto"/>
        </w:rPr>
        <w:t>，并声明：</w:t>
      </w:r>
    </w:p>
    <w:p w14:paraId="38BDD50D">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709BB85C">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3E14C580">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7E20BF40">
      <w:pPr>
        <w:spacing w:line="360" w:lineRule="auto"/>
        <w:ind w:firstLine="420" w:firstLineChars="200"/>
        <w:rPr>
          <w:rFonts w:ascii="宋体" w:hAnsi="宋体"/>
          <w:b w:val="0"/>
          <w:bCs w:val="0"/>
          <w:color w:val="auto"/>
          <w:u w:val="none"/>
        </w:rPr>
      </w:pPr>
      <w:r>
        <w:rPr>
          <w:rFonts w:hint="eastAsia" w:ascii="宋体" w:hAnsi="宋体"/>
          <w:b w:val="0"/>
          <w:bCs w:val="0"/>
          <w:color w:val="auto"/>
          <w:u w:val="none"/>
        </w:rPr>
        <w:t>（三）具有履行合同所必需的设备和专业技术能力；</w:t>
      </w:r>
    </w:p>
    <w:p w14:paraId="103556E3">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1182B871">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57009F5C">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24D96A43">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323811D3">
      <w:pPr>
        <w:spacing w:line="360" w:lineRule="auto"/>
        <w:ind w:firstLine="420" w:firstLineChars="200"/>
        <w:rPr>
          <w:rFonts w:hint="eastAsia" w:ascii="宋体" w:hAnsi="宋体"/>
          <w:color w:val="auto"/>
        </w:rPr>
      </w:pPr>
      <w:r>
        <w:rPr>
          <w:rFonts w:hint="eastAsia" w:ascii="宋体" w:hAnsi="宋体"/>
          <w:color w:val="auto"/>
        </w:rPr>
        <w:t>三、本公司有固定的经营场所，信誉良好、售后维护服务好，并且在经营活动中无严重违法记录。</w:t>
      </w:r>
    </w:p>
    <w:p w14:paraId="3E3BD397">
      <w:pPr>
        <w:spacing w:line="360" w:lineRule="auto"/>
        <w:ind w:firstLine="424"/>
        <w:rPr>
          <w:rFonts w:hint="eastAsia" w:ascii="宋体" w:hAnsi="宋体"/>
          <w:color w:val="auto"/>
        </w:rPr>
      </w:pPr>
      <w:r>
        <w:rPr>
          <w:rFonts w:hint="eastAsia" w:ascii="宋体" w:hAnsi="宋体"/>
          <w:color w:val="auto"/>
          <w:lang w:val="zh-TW" w:eastAsia="zh-TW"/>
        </w:rPr>
        <w:t>四、本公司在本项目中不转包分包且不联合参与</w:t>
      </w:r>
      <w:r>
        <w:rPr>
          <w:rFonts w:hint="eastAsia" w:ascii="宋体" w:hAnsi="宋体"/>
          <w:color w:val="auto"/>
          <w:lang w:val="zh-TW" w:eastAsia="zh-CN"/>
        </w:rPr>
        <w:t>零散采购</w:t>
      </w:r>
      <w:r>
        <w:rPr>
          <w:rFonts w:hint="eastAsia" w:ascii="宋体" w:hAnsi="宋体"/>
          <w:color w:val="auto"/>
          <w:lang w:val="zh-TW" w:eastAsia="zh-TW"/>
        </w:rPr>
        <w:t>。</w:t>
      </w:r>
    </w:p>
    <w:p w14:paraId="1A9CC68C">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本公司（企业）承诺在本次采购活动中，如有违法、违规、弄虚作假行为，所造成的损失、不良后果及法律责任，一律由我公司（企业）承担。</w:t>
      </w:r>
    </w:p>
    <w:p w14:paraId="4707D162">
      <w:pPr>
        <w:spacing w:line="360" w:lineRule="auto"/>
        <w:ind w:firstLine="420" w:firstLineChars="200"/>
        <w:rPr>
          <w:rFonts w:ascii="宋体" w:hAnsi="宋体"/>
          <w:color w:val="auto"/>
        </w:rPr>
      </w:pPr>
      <w:r>
        <w:rPr>
          <w:rFonts w:hint="eastAsia" w:ascii="宋体" w:hAnsi="宋体"/>
          <w:color w:val="auto"/>
        </w:rPr>
        <w:t>特此声明！</w:t>
      </w:r>
    </w:p>
    <w:p w14:paraId="387393CB">
      <w:pPr>
        <w:spacing w:line="360" w:lineRule="auto"/>
        <w:ind w:firstLine="420" w:firstLineChars="200"/>
        <w:rPr>
          <w:rFonts w:ascii="宋体" w:hAnsi="宋体"/>
          <w:color w:val="auto"/>
        </w:rPr>
      </w:pPr>
      <w:r>
        <w:rPr>
          <w:rFonts w:hint="eastAsia" w:ascii="宋体" w:hAnsi="宋体"/>
          <w:color w:val="auto"/>
        </w:rPr>
        <w:t>备注：</w:t>
      </w:r>
    </w:p>
    <w:p w14:paraId="027C4D76">
      <w:pPr>
        <w:pStyle w:val="53"/>
        <w:numPr>
          <w:ilvl w:val="0"/>
          <w:numId w:val="22"/>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6BF6DEA3">
      <w:pPr>
        <w:pStyle w:val="53"/>
        <w:numPr>
          <w:ilvl w:val="0"/>
          <w:numId w:val="22"/>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3025424E">
      <w:pPr>
        <w:spacing w:line="360" w:lineRule="auto"/>
        <w:ind w:firstLine="420" w:firstLineChars="200"/>
        <w:rPr>
          <w:rFonts w:ascii="宋体" w:hAnsi="宋体"/>
          <w:color w:val="auto"/>
        </w:rPr>
      </w:pPr>
    </w:p>
    <w:p w14:paraId="0E23223A">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供应商名称（单位盖公章）：</w:t>
      </w:r>
    </w:p>
    <w:p w14:paraId="4A47BC8A">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日期：</w:t>
      </w:r>
    </w:p>
    <w:p w14:paraId="1B6B9A49">
      <w:pPr>
        <w:widowControl/>
        <w:jc w:val="left"/>
        <w:rPr>
          <w:rFonts w:ascii="宋体" w:hAnsi="宋体"/>
          <w:color w:val="auto"/>
        </w:rPr>
      </w:pPr>
    </w:p>
    <w:p w14:paraId="7FAB137F">
      <w:pPr>
        <w:pStyle w:val="5"/>
        <w:rPr>
          <w:rFonts w:ascii="宋体" w:hAnsi="宋体"/>
          <w:color w:val="auto"/>
        </w:rPr>
      </w:pPr>
    </w:p>
    <w:p w14:paraId="232B1283">
      <w:pPr>
        <w:pStyle w:val="5"/>
        <w:rPr>
          <w:rFonts w:ascii="宋体" w:hAnsi="宋体"/>
          <w:color w:val="auto"/>
        </w:rPr>
      </w:pPr>
    </w:p>
    <w:p w14:paraId="60915433">
      <w:pPr>
        <w:pStyle w:val="5"/>
        <w:rPr>
          <w:rFonts w:ascii="宋体" w:hAnsi="宋体"/>
          <w:color w:val="auto"/>
        </w:rPr>
      </w:pPr>
    </w:p>
    <w:p w14:paraId="37A34A41">
      <w:pPr>
        <w:pStyle w:val="5"/>
        <w:rPr>
          <w:rFonts w:ascii="宋体" w:hAnsi="宋体"/>
          <w:color w:val="auto"/>
        </w:rPr>
      </w:pPr>
    </w:p>
    <w:p w14:paraId="21FFBD99">
      <w:pPr>
        <w:pStyle w:val="5"/>
        <w:rPr>
          <w:rFonts w:ascii="宋体" w:hAnsi="宋体"/>
          <w:color w:val="auto"/>
        </w:rPr>
      </w:pPr>
    </w:p>
    <w:p w14:paraId="6081B8B7">
      <w:pPr>
        <w:pStyle w:val="5"/>
        <w:rPr>
          <w:rFonts w:ascii="宋体" w:hAnsi="宋体"/>
          <w:color w:val="auto"/>
        </w:rPr>
      </w:pPr>
    </w:p>
    <w:p w14:paraId="4D3A3B14">
      <w:pPr>
        <w:pStyle w:val="5"/>
        <w:rPr>
          <w:rFonts w:ascii="宋体" w:hAnsi="宋体"/>
          <w:color w:val="auto"/>
        </w:rPr>
      </w:pPr>
    </w:p>
    <w:p w14:paraId="59710D0A">
      <w:pPr>
        <w:keepNext/>
        <w:keepLines/>
        <w:spacing w:line="360" w:lineRule="auto"/>
        <w:jc w:val="center"/>
        <w:outlineLvl w:val="1"/>
        <w:rPr>
          <w:rFonts w:hint="eastAsia" w:ascii="宋体" w:hAnsi="宋体" w:eastAsia="宋体" w:cs="Times New Roman"/>
          <w:b/>
          <w:bCs/>
          <w:color w:val="000000"/>
          <w:kern w:val="0"/>
          <w:sz w:val="32"/>
          <w:szCs w:val="32"/>
          <w:lang w:val="en-US" w:eastAsia="zh-CN"/>
        </w:rPr>
      </w:pPr>
      <w:r>
        <w:rPr>
          <w:rFonts w:hint="eastAsia" w:ascii="宋体" w:hAnsi="宋体" w:eastAsia="宋体" w:cs="Times New Roman"/>
          <w:b/>
          <w:bCs/>
          <w:color w:val="000000"/>
          <w:kern w:val="0"/>
          <w:sz w:val="32"/>
          <w:szCs w:val="32"/>
          <w:lang w:val="en-US" w:eastAsia="zh-CN"/>
        </w:rPr>
        <w:t>承诺函</w:t>
      </w:r>
    </w:p>
    <w:p w14:paraId="4CBB55BC">
      <w:pPr>
        <w:spacing w:line="360" w:lineRule="auto"/>
        <w:rPr>
          <w:rFonts w:hint="eastAsia" w:ascii="宋体" w:hAnsi="宋体"/>
          <w:b/>
          <w:color w:val="000000"/>
          <w:szCs w:val="21"/>
        </w:rPr>
      </w:pPr>
    </w:p>
    <w:p w14:paraId="167ABB6C">
      <w:pPr>
        <w:spacing w:line="360" w:lineRule="auto"/>
        <w:rPr>
          <w:rFonts w:ascii="宋体" w:hAnsi="宋体"/>
          <w:b/>
          <w:color w:val="000000"/>
        </w:rPr>
      </w:pPr>
      <w:r>
        <w:rPr>
          <w:rFonts w:hint="eastAsia" w:ascii="宋体" w:hAnsi="宋体"/>
          <w:b/>
          <w:color w:val="000000"/>
          <w:szCs w:val="21"/>
        </w:rPr>
        <w:t>致：</w:t>
      </w:r>
      <w:r>
        <w:rPr>
          <w:rFonts w:hint="eastAsia" w:ascii="宋体" w:hAnsi="宋体"/>
          <w:b/>
          <w:bCs/>
          <w:color w:val="000000"/>
          <w:lang w:eastAsia="zh-CN"/>
        </w:rPr>
        <w:t>广东省广裕集团东莞兴龙实业有限公司</w:t>
      </w:r>
      <w:r>
        <w:rPr>
          <w:rFonts w:hint="eastAsia" w:ascii="宋体" w:hAnsi="宋体"/>
          <w:b/>
          <w:color w:val="000000"/>
        </w:rPr>
        <w:t>、云采链（广州）信息科技有限公司：</w:t>
      </w:r>
    </w:p>
    <w:p w14:paraId="394BA8E7">
      <w:pPr>
        <w:spacing w:line="360" w:lineRule="auto"/>
        <w:rPr>
          <w:rFonts w:ascii="宋体" w:hAnsi="宋体"/>
          <w:b/>
          <w:color w:val="000000"/>
        </w:rPr>
      </w:pPr>
    </w:p>
    <w:p w14:paraId="4FEB2254">
      <w:pPr>
        <w:snapToGrid w:val="0"/>
        <w:spacing w:line="360" w:lineRule="auto"/>
        <w:ind w:firstLine="634" w:firstLineChars="302"/>
        <w:rPr>
          <w:rFonts w:hint="eastAsia" w:ascii="宋体" w:hAnsi="宋体"/>
          <w:color w:val="000000"/>
        </w:rPr>
      </w:pPr>
      <w:r>
        <w:rPr>
          <w:rFonts w:hint="eastAsia" w:ascii="宋体" w:hAnsi="宋体"/>
          <w:color w:val="000000"/>
        </w:rPr>
        <w:t>关于贵单位、贵司发布</w:t>
      </w:r>
      <w:r>
        <w:rPr>
          <w:rFonts w:hint="eastAsia" w:ascii="宋体" w:hAnsi="宋体" w:cs="Times New Roman"/>
          <w:b/>
          <w:color w:val="auto"/>
          <w:u w:val="single"/>
          <w:lang w:eastAsia="zh-CN"/>
        </w:rPr>
        <w:t>广东省广裕集团东莞兴龙实业有限公司临时采购生产物料中转场所及配套服务项目</w:t>
      </w:r>
      <w:r>
        <w:rPr>
          <w:rFonts w:hint="eastAsia" w:ascii="宋体" w:hAnsi="宋体"/>
          <w:color w:val="000000"/>
        </w:rPr>
        <w:t>的</w:t>
      </w:r>
      <w:r>
        <w:rPr>
          <w:rFonts w:hint="eastAsia" w:ascii="宋体" w:hAnsi="宋体"/>
          <w:color w:val="000000"/>
          <w:lang w:val="en-US" w:eastAsia="zh-CN"/>
        </w:rPr>
        <w:t>零散采购</w:t>
      </w:r>
      <w:r>
        <w:rPr>
          <w:rFonts w:hint="eastAsia" w:ascii="宋体" w:hAnsi="宋体"/>
          <w:color w:val="000000"/>
        </w:rPr>
        <w:t>公告，本公司（企业）愿意参加</w:t>
      </w:r>
      <w:r>
        <w:rPr>
          <w:rFonts w:hint="eastAsia" w:ascii="宋体" w:hAnsi="宋体"/>
          <w:color w:val="000000"/>
          <w:lang w:val="en-US" w:eastAsia="zh-CN"/>
        </w:rPr>
        <w:t>采购活动</w:t>
      </w:r>
      <w:r>
        <w:rPr>
          <w:rFonts w:hint="eastAsia" w:ascii="宋体" w:hAnsi="宋体"/>
          <w:color w:val="000000"/>
        </w:rPr>
        <w:t>，并</w:t>
      </w:r>
      <w:r>
        <w:rPr>
          <w:rFonts w:hint="eastAsia" w:ascii="宋体" w:hAnsi="宋体"/>
          <w:color w:val="000000"/>
          <w:lang w:val="en-US" w:eastAsia="zh-CN"/>
        </w:rPr>
        <w:t>承诺</w:t>
      </w:r>
      <w:r>
        <w:rPr>
          <w:rFonts w:hint="eastAsia" w:ascii="宋体" w:hAnsi="宋体"/>
          <w:color w:val="000000"/>
        </w:rPr>
        <w:t>：</w:t>
      </w:r>
    </w:p>
    <w:p w14:paraId="7037BDF5">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我司承诺，我司</w:t>
      </w:r>
      <w:r>
        <w:rPr>
          <w:rFonts w:hint="eastAsia" w:ascii="宋体" w:hAnsi="宋体" w:eastAsia="宋体" w:cs="宋体"/>
          <w:b w:val="0"/>
          <w:bCs/>
          <w:color w:val="auto"/>
          <w:sz w:val="21"/>
          <w:szCs w:val="21"/>
          <w:highlight w:val="none"/>
          <w:lang w:val="en-US" w:eastAsia="zh-CN"/>
        </w:rPr>
        <w:t>拥有面积不小于1000平米生产物料中转场所</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不与响应供应商的其他客户共用。若因采购方需中转的物资临时增多，</w:t>
      </w:r>
      <w:r>
        <w:rPr>
          <w:rFonts w:hint="eastAsia" w:ascii="宋体" w:hAnsi="宋体" w:cs="宋体"/>
          <w:b w:val="0"/>
          <w:bCs/>
          <w:color w:val="auto"/>
          <w:sz w:val="21"/>
          <w:szCs w:val="21"/>
          <w:highlight w:val="none"/>
          <w:lang w:val="en-US" w:eastAsia="zh-CN"/>
        </w:rPr>
        <w:t>我司积极</w:t>
      </w:r>
      <w:r>
        <w:rPr>
          <w:rFonts w:hint="eastAsia" w:ascii="宋体" w:hAnsi="宋体" w:eastAsia="宋体" w:cs="宋体"/>
          <w:b w:val="0"/>
          <w:bCs/>
          <w:color w:val="auto"/>
          <w:sz w:val="21"/>
          <w:szCs w:val="21"/>
          <w:highlight w:val="none"/>
          <w:lang w:val="en-US" w:eastAsia="zh-CN"/>
        </w:rPr>
        <w:t>配合采购方做好相关的对应措施。</w:t>
      </w:r>
    </w:p>
    <w:p w14:paraId="316DD71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w:t>
      </w:r>
      <w:r>
        <w:rPr>
          <w:rFonts w:hint="eastAsia" w:ascii="宋体" w:hAnsi="宋体" w:eastAsia="宋体" w:cs="宋体"/>
          <w:b w:val="0"/>
          <w:bCs/>
          <w:color w:val="auto"/>
          <w:sz w:val="21"/>
          <w:szCs w:val="21"/>
          <w:highlight w:val="none"/>
          <w:lang w:val="en-US" w:eastAsia="zh-CN"/>
        </w:rPr>
        <w:t>生产物料中转场所</w:t>
      </w:r>
      <w:r>
        <w:rPr>
          <w:rFonts w:hint="eastAsia" w:ascii="宋体" w:hAnsi="宋体" w:cs="宋体"/>
          <w:b w:val="0"/>
          <w:bCs/>
          <w:color w:val="auto"/>
          <w:sz w:val="21"/>
          <w:szCs w:val="21"/>
          <w:highlight w:val="none"/>
          <w:lang w:val="en-US" w:eastAsia="zh-CN"/>
        </w:rPr>
        <w:t>均</w:t>
      </w:r>
      <w:r>
        <w:rPr>
          <w:rFonts w:hint="eastAsia" w:ascii="宋体" w:hAnsi="宋体" w:eastAsia="宋体" w:cs="宋体"/>
          <w:b w:val="0"/>
          <w:bCs/>
          <w:color w:val="auto"/>
          <w:sz w:val="21"/>
          <w:szCs w:val="21"/>
          <w:highlight w:val="none"/>
          <w:lang w:val="en-US" w:eastAsia="zh-CN"/>
        </w:rPr>
        <w:t>安装全方位、无死角的视频监控摄像头。</w:t>
      </w:r>
    </w:p>
    <w:p w14:paraId="386EFAE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w:t>
      </w:r>
      <w:r>
        <w:rPr>
          <w:rFonts w:hint="eastAsia" w:ascii="宋体" w:hAnsi="宋体" w:eastAsia="宋体" w:cs="宋体"/>
          <w:b w:val="0"/>
          <w:bCs/>
          <w:color w:val="auto"/>
          <w:sz w:val="21"/>
          <w:szCs w:val="21"/>
          <w:highlight w:val="none"/>
          <w:lang w:val="en-US" w:eastAsia="zh-CN"/>
        </w:rPr>
        <w:t>中转场所分区明确，包含但不限于：配套物料临时存储区、成品出库区、分拣配送区、货物检测区等分区</w:t>
      </w:r>
      <w:r>
        <w:rPr>
          <w:rFonts w:hint="eastAsia" w:ascii="宋体" w:hAnsi="宋体" w:cs="宋体"/>
          <w:b w:val="0"/>
          <w:bCs/>
          <w:color w:val="auto"/>
          <w:sz w:val="21"/>
          <w:szCs w:val="21"/>
          <w:highlight w:val="none"/>
          <w:lang w:val="en-US" w:eastAsia="zh-CN"/>
        </w:rPr>
        <w:t>。</w:t>
      </w:r>
    </w:p>
    <w:p w14:paraId="0EC8930E">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我司承诺配备对讲机不少于20台，对讲机使用范围为中转场所到采购方之间的距离，司机在进入采购方指定地点运输货物过程中，不准携带任何通讯工具及采购人规定的违禁品，只准通过对讲机进行内部沟通。</w:t>
      </w:r>
    </w:p>
    <w:p w14:paraId="3FB1CCEA">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能根据采购方需求，24小时随时为采购方提供中转场所及配套服务（含国家法定节假日），在接到采购方的指令后，我司承诺在10分钟内响应，30分钟内运输车辆到达现场，一个小时内完成一个车次的货物运输、配送和装卸货工作。</w:t>
      </w:r>
    </w:p>
    <w:p w14:paraId="000AF1F7">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承诺能按照行业要求和仓库管理标准必须做到防水、防火、防电、防盗、防潮、防鼠、防疫情等，确保采购方物资安全，如在运输、装运、存放过程中发生损坏、丢失等情况，由我司承诺按照物资价值进行赔偿。</w:t>
      </w:r>
    </w:p>
    <w:p w14:paraId="24DB0CF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right="0" w:rightChars="0" w:firstLine="425" w:firstLineChars="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我司</w:t>
      </w:r>
      <w:r>
        <w:rPr>
          <w:rFonts w:hint="eastAsia"/>
          <w:lang w:eastAsia="zh-CN"/>
        </w:rPr>
        <w:t>知悉、接受支付条款中第</w:t>
      </w:r>
      <w:r>
        <w:rPr>
          <w:rFonts w:hint="eastAsia"/>
          <w:lang w:val="en-US" w:eastAsia="zh-CN"/>
        </w:rPr>
        <w:t>3条内容并承诺：</w:t>
      </w:r>
      <w:r>
        <w:rPr>
          <w:rFonts w:hint="eastAsia" w:ascii="宋体" w:hAnsi="宋体" w:cs="宋体"/>
          <w:b w:val="0"/>
          <w:bCs/>
          <w:color w:val="auto"/>
          <w:sz w:val="21"/>
          <w:szCs w:val="21"/>
          <w:highlight w:val="none"/>
          <w:lang w:val="en-US" w:eastAsia="zh-CN"/>
        </w:rPr>
        <w:t>物流费用不预付，采购方收取客户物流费用后，据实在次月底前支付，若出现客户物流费用未及时支付的情况，我司接受未按时支付的物流费用待客户支付后再支付给我司。</w:t>
      </w:r>
    </w:p>
    <w:p w14:paraId="3732B4C7">
      <w:pPr>
        <w:pStyle w:val="53"/>
        <w:rPr>
          <w:rFonts w:hint="eastAsia" w:ascii="宋体" w:hAnsi="宋体"/>
          <w:color w:val="000000" w:themeColor="text1"/>
          <w:spacing w:val="4"/>
          <w:szCs w:val="21"/>
          <w:u w:val="single"/>
          <w14:textFill>
            <w14:solidFill>
              <w14:schemeClr w14:val="tx1"/>
            </w14:solidFill>
          </w14:textFill>
        </w:rPr>
      </w:pPr>
    </w:p>
    <w:p w14:paraId="2A789C91">
      <w:pPr>
        <w:autoSpaceDE w:val="0"/>
        <w:autoSpaceDN w:val="0"/>
        <w:adjustRightInd w:val="0"/>
        <w:spacing w:line="360" w:lineRule="auto"/>
        <w:ind w:firstLine="413" w:firstLineChars="196"/>
        <w:rPr>
          <w:rFonts w:ascii="宋体" w:hAnsi="宋体"/>
          <w:b/>
          <w:color w:val="000000" w:themeColor="text1"/>
          <w:szCs w:val="22"/>
          <w14:textFill>
            <w14:solidFill>
              <w14:schemeClr w14:val="tx1"/>
            </w14:solidFill>
          </w14:textFill>
        </w:rPr>
      </w:pPr>
      <w:r>
        <w:rPr>
          <w:rFonts w:hint="eastAsia" w:ascii="宋体" w:hAnsi="宋体"/>
          <w:b/>
          <w:color w:val="000000" w:themeColor="text1"/>
          <w:szCs w:val="22"/>
          <w14:textFill>
            <w14:solidFill>
              <w14:schemeClr w14:val="tx1"/>
            </w14:solidFill>
          </w14:textFill>
        </w:rPr>
        <w:t>备注：</w:t>
      </w:r>
    </w:p>
    <w:p w14:paraId="555405B3">
      <w:pPr>
        <w:numPr>
          <w:ilvl w:val="0"/>
          <w:numId w:val="24"/>
        </w:numPr>
        <w:autoSpaceDE w:val="0"/>
        <w:autoSpaceDN w:val="0"/>
        <w:adjustRightInd w:val="0"/>
        <w:spacing w:line="360" w:lineRule="auto"/>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本声明函必须提供且内容不得擅自删改，否则视为响应无效。</w:t>
      </w:r>
    </w:p>
    <w:p w14:paraId="6999F8DA">
      <w:pPr>
        <w:numPr>
          <w:ilvl w:val="0"/>
          <w:numId w:val="24"/>
        </w:numPr>
        <w:snapToGrid w:val="0"/>
        <w:spacing w:line="360" w:lineRule="auto"/>
        <w:rPr>
          <w:rFonts w:ascii="宋体" w:hAnsi="宋体"/>
          <w:bCs/>
          <w:color w:val="000000" w:themeColor="text1"/>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14:paraId="561C4634">
      <w:pPr>
        <w:pStyle w:val="29"/>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14:paraId="528B5C00">
      <w:pPr>
        <w:pStyle w:val="29"/>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14:paraId="342B6E39">
      <w:pPr>
        <w:spacing w:line="360" w:lineRule="auto"/>
        <w:ind w:firstLine="7688" w:firstLineChars="3527"/>
        <w:rPr>
          <w:rFonts w:ascii="宋体" w:hAnsi="宋体"/>
          <w:color w:val="auto"/>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IDFont + F4">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83C79DD"/>
    <w:multiLevelType w:val="singleLevel"/>
    <w:tmpl w:val="C83C79DD"/>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8D0DDE3"/>
    <w:multiLevelType w:val="singleLevel"/>
    <w:tmpl w:val="08D0DDE3"/>
    <w:lvl w:ilvl="0" w:tentative="0">
      <w:start w:val="1"/>
      <w:numFmt w:val="decimal"/>
      <w:suff w:val="space"/>
      <w:lvlText w:val="%1."/>
      <w:lvlJc w:val="left"/>
      <w:pPr>
        <w:ind w:left="425" w:hanging="425"/>
      </w:pPr>
      <w:rPr>
        <w:rFonts w:hint="default"/>
      </w:rPr>
    </w:lvl>
  </w:abstractNum>
  <w:abstractNum w:abstractNumId="8">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069AF3B"/>
    <w:multiLevelType w:val="singleLevel"/>
    <w:tmpl w:val="3069AF3B"/>
    <w:lvl w:ilvl="0" w:tentative="0">
      <w:start w:val="1"/>
      <w:numFmt w:val="decimal"/>
      <w:lvlText w:val="%1."/>
      <w:lvlJc w:val="left"/>
      <w:pPr>
        <w:ind w:left="425" w:hanging="425"/>
      </w:pPr>
      <w:rPr>
        <w:rFonts w:hint="default"/>
      </w:rPr>
    </w:lvl>
  </w:abstractNum>
  <w:abstractNum w:abstractNumId="15">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75B21906"/>
    <w:multiLevelType w:val="multilevel"/>
    <w:tmpl w:val="75B21906"/>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FA63E76"/>
    <w:multiLevelType w:val="singleLevel"/>
    <w:tmpl w:val="7FA63E76"/>
    <w:lvl w:ilvl="0" w:tentative="0">
      <w:start w:val="1"/>
      <w:numFmt w:val="decimal"/>
      <w:lvlText w:val="%1."/>
      <w:lvlJc w:val="left"/>
      <w:pPr>
        <w:ind w:left="425" w:hanging="425"/>
      </w:pPr>
      <w:rPr>
        <w:rFonts w:hint="default" w:ascii="宋体" w:hAnsi="宋体" w:eastAsia="宋体" w:cs="宋体"/>
        <w:sz w:val="21"/>
        <w:szCs w:val="21"/>
      </w:rPr>
    </w:lvl>
  </w:abstractNum>
  <w:num w:numId="1">
    <w:abstractNumId w:val="5"/>
  </w:num>
  <w:num w:numId="2">
    <w:abstractNumId w:val="1"/>
  </w:num>
  <w:num w:numId="3">
    <w:abstractNumId w:val="15"/>
  </w:num>
  <w:num w:numId="4">
    <w:abstractNumId w:val="17"/>
  </w:num>
  <w:num w:numId="5">
    <w:abstractNumId w:val="11"/>
  </w:num>
  <w:num w:numId="6">
    <w:abstractNumId w:val="22"/>
  </w:num>
  <w:num w:numId="7">
    <w:abstractNumId w:val="21"/>
  </w:num>
  <w:num w:numId="8">
    <w:abstractNumId w:val="16"/>
  </w:num>
  <w:num w:numId="9">
    <w:abstractNumId w:val="6"/>
  </w:num>
  <w:num w:numId="10">
    <w:abstractNumId w:val="9"/>
  </w:num>
  <w:num w:numId="11">
    <w:abstractNumId w:val="18"/>
  </w:num>
  <w:num w:numId="12">
    <w:abstractNumId w:val="8"/>
  </w:num>
  <w:num w:numId="13">
    <w:abstractNumId w:val="10"/>
  </w:num>
  <w:num w:numId="14">
    <w:abstractNumId w:val="12"/>
  </w:num>
  <w:num w:numId="15">
    <w:abstractNumId w:val="20"/>
  </w:num>
  <w:num w:numId="16">
    <w:abstractNumId w:val="0"/>
  </w:num>
  <w:num w:numId="17">
    <w:abstractNumId w:val="2"/>
  </w:num>
  <w:num w:numId="18">
    <w:abstractNumId w:val="23"/>
  </w:num>
  <w:num w:numId="19">
    <w:abstractNumId w:val="14"/>
  </w:num>
  <w:num w:numId="20">
    <w:abstractNumId w:val="4"/>
  </w:num>
  <w:num w:numId="21">
    <w:abstractNumId w:val="13"/>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219A"/>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962D99"/>
    <w:rsid w:val="031128E7"/>
    <w:rsid w:val="04070583"/>
    <w:rsid w:val="04212DFA"/>
    <w:rsid w:val="042A22B1"/>
    <w:rsid w:val="056212C6"/>
    <w:rsid w:val="058654AC"/>
    <w:rsid w:val="05965971"/>
    <w:rsid w:val="05FA0A21"/>
    <w:rsid w:val="0687696B"/>
    <w:rsid w:val="0731093E"/>
    <w:rsid w:val="07614F64"/>
    <w:rsid w:val="082D79A0"/>
    <w:rsid w:val="083B2EDA"/>
    <w:rsid w:val="087319E5"/>
    <w:rsid w:val="08765D39"/>
    <w:rsid w:val="09207477"/>
    <w:rsid w:val="096E5E5D"/>
    <w:rsid w:val="097F7CCD"/>
    <w:rsid w:val="09AD60D4"/>
    <w:rsid w:val="09C474A0"/>
    <w:rsid w:val="0A7D30D8"/>
    <w:rsid w:val="0AA7455D"/>
    <w:rsid w:val="0B8734B5"/>
    <w:rsid w:val="0C3E353A"/>
    <w:rsid w:val="0CD7414E"/>
    <w:rsid w:val="0CE75980"/>
    <w:rsid w:val="0D046532"/>
    <w:rsid w:val="0E2261C6"/>
    <w:rsid w:val="0E584241"/>
    <w:rsid w:val="0F1526F9"/>
    <w:rsid w:val="0FF421B7"/>
    <w:rsid w:val="101575C4"/>
    <w:rsid w:val="12270D4F"/>
    <w:rsid w:val="123B29E4"/>
    <w:rsid w:val="12581B67"/>
    <w:rsid w:val="1295356A"/>
    <w:rsid w:val="13043C7D"/>
    <w:rsid w:val="131A28DE"/>
    <w:rsid w:val="136566A4"/>
    <w:rsid w:val="13E45327"/>
    <w:rsid w:val="1546693A"/>
    <w:rsid w:val="155804D7"/>
    <w:rsid w:val="157939CB"/>
    <w:rsid w:val="159B470D"/>
    <w:rsid w:val="1614333A"/>
    <w:rsid w:val="16303767"/>
    <w:rsid w:val="163A4F5E"/>
    <w:rsid w:val="16C44F84"/>
    <w:rsid w:val="176853F5"/>
    <w:rsid w:val="1776002C"/>
    <w:rsid w:val="17FA0B61"/>
    <w:rsid w:val="19011DE9"/>
    <w:rsid w:val="193F5E49"/>
    <w:rsid w:val="19707CBC"/>
    <w:rsid w:val="19A8694B"/>
    <w:rsid w:val="19E826BA"/>
    <w:rsid w:val="1A053738"/>
    <w:rsid w:val="1A1E6446"/>
    <w:rsid w:val="1A537EC8"/>
    <w:rsid w:val="1AA50C28"/>
    <w:rsid w:val="1AA914BD"/>
    <w:rsid w:val="1AE72E39"/>
    <w:rsid w:val="1B974A15"/>
    <w:rsid w:val="1BCE5649"/>
    <w:rsid w:val="1BDD4B1E"/>
    <w:rsid w:val="1C746B04"/>
    <w:rsid w:val="1CFD0A67"/>
    <w:rsid w:val="1DC82614"/>
    <w:rsid w:val="1E3F5B84"/>
    <w:rsid w:val="1EA63B58"/>
    <w:rsid w:val="1EB0283F"/>
    <w:rsid w:val="1EB06BFB"/>
    <w:rsid w:val="1EED3670"/>
    <w:rsid w:val="1F043922"/>
    <w:rsid w:val="1F435A8D"/>
    <w:rsid w:val="1F686AF8"/>
    <w:rsid w:val="1F863DF9"/>
    <w:rsid w:val="1FCA16D1"/>
    <w:rsid w:val="2049701E"/>
    <w:rsid w:val="20B71657"/>
    <w:rsid w:val="20F63F8C"/>
    <w:rsid w:val="21082811"/>
    <w:rsid w:val="21645F5A"/>
    <w:rsid w:val="21E93311"/>
    <w:rsid w:val="2210107D"/>
    <w:rsid w:val="228850B7"/>
    <w:rsid w:val="22CF679B"/>
    <w:rsid w:val="22E81FAE"/>
    <w:rsid w:val="23241235"/>
    <w:rsid w:val="23D43FC8"/>
    <w:rsid w:val="24463A48"/>
    <w:rsid w:val="248A5117"/>
    <w:rsid w:val="250F6BB2"/>
    <w:rsid w:val="253D0ED3"/>
    <w:rsid w:val="25484E74"/>
    <w:rsid w:val="25983863"/>
    <w:rsid w:val="25B94550"/>
    <w:rsid w:val="25D90FE1"/>
    <w:rsid w:val="264334D7"/>
    <w:rsid w:val="284E51ED"/>
    <w:rsid w:val="28C433F0"/>
    <w:rsid w:val="28C7412E"/>
    <w:rsid w:val="2A8638C3"/>
    <w:rsid w:val="2AFB2F1F"/>
    <w:rsid w:val="2B232D5C"/>
    <w:rsid w:val="2BBC23FC"/>
    <w:rsid w:val="2CD37E1B"/>
    <w:rsid w:val="2D654973"/>
    <w:rsid w:val="2F3E64AA"/>
    <w:rsid w:val="30A21A3A"/>
    <w:rsid w:val="31664C4D"/>
    <w:rsid w:val="31CB5550"/>
    <w:rsid w:val="3249776B"/>
    <w:rsid w:val="324A0104"/>
    <w:rsid w:val="333A66AB"/>
    <w:rsid w:val="337C4353"/>
    <w:rsid w:val="33C61EE3"/>
    <w:rsid w:val="34151083"/>
    <w:rsid w:val="34956991"/>
    <w:rsid w:val="34E1555E"/>
    <w:rsid w:val="35076310"/>
    <w:rsid w:val="35A43FA1"/>
    <w:rsid w:val="35B85EB2"/>
    <w:rsid w:val="363072E7"/>
    <w:rsid w:val="36AD1667"/>
    <w:rsid w:val="377B38C9"/>
    <w:rsid w:val="37F054B7"/>
    <w:rsid w:val="38174ABC"/>
    <w:rsid w:val="383F2D7A"/>
    <w:rsid w:val="38480286"/>
    <w:rsid w:val="38481B38"/>
    <w:rsid w:val="389A7070"/>
    <w:rsid w:val="38E627E6"/>
    <w:rsid w:val="3A5B1E81"/>
    <w:rsid w:val="3B1914E5"/>
    <w:rsid w:val="3B7F4054"/>
    <w:rsid w:val="3BE23F08"/>
    <w:rsid w:val="3C07763C"/>
    <w:rsid w:val="3C1475FE"/>
    <w:rsid w:val="3C8B1ACD"/>
    <w:rsid w:val="3CD26CA1"/>
    <w:rsid w:val="3DF8141D"/>
    <w:rsid w:val="3E072546"/>
    <w:rsid w:val="3F372608"/>
    <w:rsid w:val="3FD218C5"/>
    <w:rsid w:val="4003666B"/>
    <w:rsid w:val="402C30CE"/>
    <w:rsid w:val="40A05FB8"/>
    <w:rsid w:val="40A13ABC"/>
    <w:rsid w:val="41015C65"/>
    <w:rsid w:val="4243375C"/>
    <w:rsid w:val="427D2F55"/>
    <w:rsid w:val="42D00689"/>
    <w:rsid w:val="4343312E"/>
    <w:rsid w:val="43663054"/>
    <w:rsid w:val="43F263DD"/>
    <w:rsid w:val="443A3251"/>
    <w:rsid w:val="448C7674"/>
    <w:rsid w:val="44E36C8A"/>
    <w:rsid w:val="46282A86"/>
    <w:rsid w:val="46911EDD"/>
    <w:rsid w:val="46CE293F"/>
    <w:rsid w:val="46DE1856"/>
    <w:rsid w:val="47085461"/>
    <w:rsid w:val="474B6530"/>
    <w:rsid w:val="476B7BE1"/>
    <w:rsid w:val="47CB141F"/>
    <w:rsid w:val="48C72D96"/>
    <w:rsid w:val="49B16FB4"/>
    <w:rsid w:val="4A1D07F5"/>
    <w:rsid w:val="4AE3085C"/>
    <w:rsid w:val="4AEC5B6B"/>
    <w:rsid w:val="4B4F64B7"/>
    <w:rsid w:val="4B9009B5"/>
    <w:rsid w:val="4BD5771E"/>
    <w:rsid w:val="4C4E0BF5"/>
    <w:rsid w:val="4CB43E5E"/>
    <w:rsid w:val="4D336325"/>
    <w:rsid w:val="4D453A21"/>
    <w:rsid w:val="4DAC6AC3"/>
    <w:rsid w:val="4DF73DFA"/>
    <w:rsid w:val="4E181019"/>
    <w:rsid w:val="4E3866B7"/>
    <w:rsid w:val="4EB94ABD"/>
    <w:rsid w:val="4ED17C62"/>
    <w:rsid w:val="4F3B061B"/>
    <w:rsid w:val="4F783B5C"/>
    <w:rsid w:val="4FEC63D6"/>
    <w:rsid w:val="500A2F67"/>
    <w:rsid w:val="5026673A"/>
    <w:rsid w:val="504B3BB6"/>
    <w:rsid w:val="53357E61"/>
    <w:rsid w:val="534D2BDA"/>
    <w:rsid w:val="55280FC5"/>
    <w:rsid w:val="552A50E3"/>
    <w:rsid w:val="55707E34"/>
    <w:rsid w:val="559F0338"/>
    <w:rsid w:val="55A24739"/>
    <w:rsid w:val="55B96AD9"/>
    <w:rsid w:val="56093C51"/>
    <w:rsid w:val="566B3F3F"/>
    <w:rsid w:val="56D136AC"/>
    <w:rsid w:val="56F349C6"/>
    <w:rsid w:val="56FF2E0B"/>
    <w:rsid w:val="581A7886"/>
    <w:rsid w:val="586924F3"/>
    <w:rsid w:val="58A55113"/>
    <w:rsid w:val="58C40D3E"/>
    <w:rsid w:val="58D15408"/>
    <w:rsid w:val="58EB08C9"/>
    <w:rsid w:val="5977030B"/>
    <w:rsid w:val="59810188"/>
    <w:rsid w:val="599D2D9A"/>
    <w:rsid w:val="59C808E2"/>
    <w:rsid w:val="5A0C0648"/>
    <w:rsid w:val="5B243750"/>
    <w:rsid w:val="5B9718EC"/>
    <w:rsid w:val="5BC26C69"/>
    <w:rsid w:val="5C5E7C82"/>
    <w:rsid w:val="5CD050B5"/>
    <w:rsid w:val="5D8E49E7"/>
    <w:rsid w:val="5DDB1B42"/>
    <w:rsid w:val="5DDC5E8E"/>
    <w:rsid w:val="5E004414"/>
    <w:rsid w:val="5E585FF4"/>
    <w:rsid w:val="5F4236BC"/>
    <w:rsid w:val="5F4B3119"/>
    <w:rsid w:val="5F5E78C9"/>
    <w:rsid w:val="5FC8632D"/>
    <w:rsid w:val="60832FC6"/>
    <w:rsid w:val="62093867"/>
    <w:rsid w:val="626C0814"/>
    <w:rsid w:val="63517077"/>
    <w:rsid w:val="636F425E"/>
    <w:rsid w:val="641E1BCD"/>
    <w:rsid w:val="64C309A5"/>
    <w:rsid w:val="64D74FB5"/>
    <w:rsid w:val="64ED39EC"/>
    <w:rsid w:val="655D7702"/>
    <w:rsid w:val="65672542"/>
    <w:rsid w:val="658E700A"/>
    <w:rsid w:val="660C4F39"/>
    <w:rsid w:val="663C65F2"/>
    <w:rsid w:val="66BC66AA"/>
    <w:rsid w:val="67110EA9"/>
    <w:rsid w:val="67401089"/>
    <w:rsid w:val="686D5EAE"/>
    <w:rsid w:val="686F135E"/>
    <w:rsid w:val="69360310"/>
    <w:rsid w:val="69E23B4F"/>
    <w:rsid w:val="6A0A6CE5"/>
    <w:rsid w:val="6A0C687B"/>
    <w:rsid w:val="6A9522E0"/>
    <w:rsid w:val="6AE23D31"/>
    <w:rsid w:val="6C450EF0"/>
    <w:rsid w:val="6C7D4B28"/>
    <w:rsid w:val="6D1764EF"/>
    <w:rsid w:val="6D6F2986"/>
    <w:rsid w:val="6D785A21"/>
    <w:rsid w:val="6DD75352"/>
    <w:rsid w:val="6DDA3DCA"/>
    <w:rsid w:val="6E3B660C"/>
    <w:rsid w:val="6E6670AF"/>
    <w:rsid w:val="6E6C4629"/>
    <w:rsid w:val="6F745D74"/>
    <w:rsid w:val="71383E94"/>
    <w:rsid w:val="713940BB"/>
    <w:rsid w:val="718D01A1"/>
    <w:rsid w:val="721A4B78"/>
    <w:rsid w:val="723D413A"/>
    <w:rsid w:val="72766C52"/>
    <w:rsid w:val="72D04804"/>
    <w:rsid w:val="72E61BF7"/>
    <w:rsid w:val="731C29AB"/>
    <w:rsid w:val="7347011F"/>
    <w:rsid w:val="737775B8"/>
    <w:rsid w:val="73B433C4"/>
    <w:rsid w:val="74361F9F"/>
    <w:rsid w:val="7445245D"/>
    <w:rsid w:val="759F3DD1"/>
    <w:rsid w:val="75E937ED"/>
    <w:rsid w:val="7730641D"/>
    <w:rsid w:val="77C866E7"/>
    <w:rsid w:val="78233A45"/>
    <w:rsid w:val="783B0E0E"/>
    <w:rsid w:val="7888653E"/>
    <w:rsid w:val="79535D21"/>
    <w:rsid w:val="7998758B"/>
    <w:rsid w:val="79AC0F4F"/>
    <w:rsid w:val="79B17BC5"/>
    <w:rsid w:val="79C24E54"/>
    <w:rsid w:val="7A78287F"/>
    <w:rsid w:val="7B9A5BD4"/>
    <w:rsid w:val="7BDA2241"/>
    <w:rsid w:val="7CB124D1"/>
    <w:rsid w:val="7D6623BF"/>
    <w:rsid w:val="7DBB40B8"/>
    <w:rsid w:val="7DC11138"/>
    <w:rsid w:val="7F6F6BBE"/>
    <w:rsid w:val="7FFB2C86"/>
    <w:rsid w:val="97F93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style>
  <w:style w:type="paragraph" w:styleId="5">
    <w:name w:val="Normal Indent"/>
    <w:basedOn w:val="1"/>
    <w:qFormat/>
    <w:locked/>
    <w:uiPriority w:val="0"/>
    <w:pPr>
      <w:ind w:firstLine="420" w:firstLineChars="200"/>
    </w:p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22"/>
    <w:qFormat/>
    <w:uiPriority w:val="0"/>
    <w:pPr>
      <w:jc w:val="left"/>
    </w:pPr>
  </w:style>
  <w:style w:type="paragraph" w:styleId="8">
    <w:name w:val="Plain Text"/>
    <w:basedOn w:val="1"/>
    <w:link w:val="24"/>
    <w:qFormat/>
    <w:uiPriority w:val="0"/>
    <w:rPr>
      <w:rFonts w:ascii="宋体" w:hAnsi="Courier New" w:cs="宋体"/>
      <w:kern w:val="0"/>
    </w:rPr>
  </w:style>
  <w:style w:type="paragraph" w:styleId="9">
    <w:name w:val="Balloon Text"/>
    <w:basedOn w:val="1"/>
    <w:link w:val="25"/>
    <w:semiHidden/>
    <w:qFormat/>
    <w:uiPriority w:val="99"/>
    <w:rPr>
      <w:kern w:val="0"/>
      <w:sz w:val="18"/>
      <w:szCs w:val="18"/>
    </w:rPr>
  </w:style>
  <w:style w:type="paragraph" w:styleId="10">
    <w:name w:val="footer"/>
    <w:basedOn w:val="1"/>
    <w:link w:val="26"/>
    <w:qFormat/>
    <w:uiPriority w:val="99"/>
    <w:pPr>
      <w:tabs>
        <w:tab w:val="center" w:pos="4153"/>
        <w:tab w:val="right" w:pos="8306"/>
      </w:tabs>
      <w:snapToGrid w:val="0"/>
      <w:jc w:val="left"/>
    </w:pPr>
    <w:rPr>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8"/>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7"/>
    <w:next w:val="7"/>
    <w:link w:val="23"/>
    <w:semiHidden/>
    <w:qFormat/>
    <w:uiPriority w:val="99"/>
    <w:rPr>
      <w:b/>
      <w:bCs/>
      <w:kern w:val="0"/>
      <w:sz w:val="20"/>
      <w:szCs w:val="20"/>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annotation reference"/>
    <w:basedOn w:val="17"/>
    <w:qFormat/>
    <w:uiPriority w:val="0"/>
    <w:rPr>
      <w:sz w:val="21"/>
      <w:szCs w:val="21"/>
    </w:rPr>
  </w:style>
  <w:style w:type="character" w:customStyle="1" w:styleId="20">
    <w:name w:val="标题 1 Char"/>
    <w:basedOn w:val="17"/>
    <w:link w:val="3"/>
    <w:qFormat/>
    <w:locked/>
    <w:uiPriority w:val="99"/>
    <w:rPr>
      <w:rFonts w:ascii="Calibri" w:hAnsi="Calibri" w:eastAsia="宋体" w:cs="Calibri"/>
      <w:b/>
      <w:bCs/>
      <w:kern w:val="44"/>
      <w:sz w:val="44"/>
      <w:szCs w:val="44"/>
    </w:rPr>
  </w:style>
  <w:style w:type="character" w:customStyle="1" w:styleId="21">
    <w:name w:val="标题 2 Char"/>
    <w:basedOn w:val="17"/>
    <w:link w:val="4"/>
    <w:qFormat/>
    <w:locked/>
    <w:uiPriority w:val="9"/>
    <w:rPr>
      <w:rFonts w:ascii="Arial" w:hAnsi="Arial" w:eastAsia="黑体" w:cs="Arial"/>
      <w:b/>
      <w:bCs/>
      <w:sz w:val="32"/>
      <w:szCs w:val="32"/>
    </w:rPr>
  </w:style>
  <w:style w:type="character" w:customStyle="1" w:styleId="22">
    <w:name w:val="批注文字 Char"/>
    <w:basedOn w:val="17"/>
    <w:link w:val="7"/>
    <w:qFormat/>
    <w:locked/>
    <w:uiPriority w:val="0"/>
  </w:style>
  <w:style w:type="character" w:customStyle="1" w:styleId="23">
    <w:name w:val="批注主题 Char"/>
    <w:basedOn w:val="22"/>
    <w:link w:val="14"/>
    <w:semiHidden/>
    <w:qFormat/>
    <w:locked/>
    <w:uiPriority w:val="99"/>
    <w:rPr>
      <w:b/>
      <w:bCs/>
    </w:rPr>
  </w:style>
  <w:style w:type="character" w:customStyle="1" w:styleId="24">
    <w:name w:val="纯文本 Char"/>
    <w:basedOn w:val="17"/>
    <w:link w:val="8"/>
    <w:qFormat/>
    <w:locked/>
    <w:uiPriority w:val="0"/>
    <w:rPr>
      <w:rFonts w:ascii="宋体" w:hAnsi="Courier New" w:eastAsia="宋体" w:cs="宋体"/>
      <w:kern w:val="0"/>
      <w:sz w:val="21"/>
      <w:szCs w:val="21"/>
    </w:rPr>
  </w:style>
  <w:style w:type="character" w:customStyle="1" w:styleId="25">
    <w:name w:val="批注框文本 Char"/>
    <w:basedOn w:val="17"/>
    <w:link w:val="9"/>
    <w:semiHidden/>
    <w:qFormat/>
    <w:locked/>
    <w:uiPriority w:val="99"/>
    <w:rPr>
      <w:sz w:val="18"/>
      <w:szCs w:val="18"/>
    </w:rPr>
  </w:style>
  <w:style w:type="character" w:customStyle="1" w:styleId="26">
    <w:name w:val="页脚 Char"/>
    <w:basedOn w:val="17"/>
    <w:link w:val="10"/>
    <w:qFormat/>
    <w:locked/>
    <w:uiPriority w:val="99"/>
    <w:rPr>
      <w:sz w:val="18"/>
      <w:szCs w:val="18"/>
    </w:rPr>
  </w:style>
  <w:style w:type="character" w:customStyle="1" w:styleId="27">
    <w:name w:val="页眉 Char"/>
    <w:basedOn w:val="17"/>
    <w:link w:val="11"/>
    <w:qFormat/>
    <w:locked/>
    <w:uiPriority w:val="99"/>
    <w:rPr>
      <w:sz w:val="18"/>
      <w:szCs w:val="18"/>
    </w:rPr>
  </w:style>
  <w:style w:type="character" w:customStyle="1" w:styleId="28">
    <w:name w:val="标题 Char"/>
    <w:basedOn w:val="17"/>
    <w:link w:val="13"/>
    <w:qFormat/>
    <w:locked/>
    <w:uiPriority w:val="99"/>
    <w:rPr>
      <w:rFonts w:ascii="Cambria" w:hAnsi="Cambria" w:eastAsia="宋体" w:cs="Cambria"/>
      <w:b/>
      <w:bCs/>
      <w:sz w:val="32"/>
      <w:szCs w:val="32"/>
    </w:rPr>
  </w:style>
  <w:style w:type="paragraph" w:customStyle="1" w:styleId="29">
    <w:name w:val="列出段落1"/>
    <w:basedOn w:val="1"/>
    <w:link w:val="31"/>
    <w:qFormat/>
    <w:uiPriority w:val="99"/>
    <w:pPr>
      <w:ind w:firstLine="420" w:firstLineChars="200"/>
    </w:p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1">
    <w:name w:val="列出段落 Char"/>
    <w:link w:val="29"/>
    <w:qFormat/>
    <w:locked/>
    <w:uiPriority w:val="34"/>
  </w:style>
  <w:style w:type="paragraph" w:customStyle="1" w:styleId="32">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3">
    <w:name w:val="列出段落11"/>
    <w:basedOn w:val="1"/>
    <w:link w:val="34"/>
    <w:qFormat/>
    <w:uiPriority w:val="99"/>
    <w:pPr>
      <w:ind w:firstLine="420" w:firstLineChars="200"/>
    </w:pPr>
    <w:rPr>
      <w:rFonts w:ascii="Times New Roman" w:hAnsi="Times New Roman" w:cs="Times New Roman"/>
      <w:kern w:val="0"/>
    </w:rPr>
  </w:style>
  <w:style w:type="character" w:customStyle="1" w:styleId="34">
    <w:name w:val="List Paragraph Char"/>
    <w:link w:val="33"/>
    <w:qFormat/>
    <w:locked/>
    <w:uiPriority w:val="99"/>
    <w:rPr>
      <w:rFonts w:ascii="Times New Roman" w:hAnsi="Times New Roman" w:eastAsia="宋体" w:cs="Times New Roman"/>
      <w:sz w:val="21"/>
      <w:szCs w:val="21"/>
    </w:rPr>
  </w:style>
  <w:style w:type="character" w:customStyle="1" w:styleId="35">
    <w:name w:val="font31"/>
    <w:qFormat/>
    <w:uiPriority w:val="0"/>
    <w:rPr>
      <w:rFonts w:ascii="宋体" w:hAnsi="宋体" w:eastAsia="宋体" w:cs="宋体"/>
      <w:color w:val="000000"/>
      <w:sz w:val="24"/>
      <w:szCs w:val="24"/>
      <w:u w:val="none"/>
    </w:rPr>
  </w:style>
  <w:style w:type="character" w:customStyle="1" w:styleId="36">
    <w:name w:val="font11"/>
    <w:qFormat/>
    <w:uiPriority w:val="0"/>
    <w:rPr>
      <w:rFonts w:ascii="宋体" w:hAnsi="宋体" w:eastAsia="宋体" w:cs="宋体"/>
      <w:color w:val="000000"/>
      <w:sz w:val="21"/>
      <w:szCs w:val="21"/>
      <w:u w:val="none"/>
    </w:rPr>
  </w:style>
  <w:style w:type="character" w:customStyle="1" w:styleId="37">
    <w:name w:val="font01"/>
    <w:qFormat/>
    <w:uiPriority w:val="0"/>
    <w:rPr>
      <w:rFonts w:ascii="Times New Roman" w:hAnsi="Times New Roman" w:cs="Times New Roman"/>
      <w:color w:val="000000"/>
      <w:sz w:val="21"/>
      <w:szCs w:val="21"/>
      <w:u w:val="none"/>
    </w:rPr>
  </w:style>
  <w:style w:type="paragraph" w:customStyle="1" w:styleId="38">
    <w:name w:val="列表段落1"/>
    <w:basedOn w:val="1"/>
    <w:link w:val="39"/>
    <w:qFormat/>
    <w:uiPriority w:val="99"/>
    <w:pPr>
      <w:ind w:firstLine="420" w:firstLineChars="200"/>
    </w:pPr>
  </w:style>
  <w:style w:type="character" w:customStyle="1" w:styleId="39">
    <w:name w:val="列表段落 字符"/>
    <w:link w:val="38"/>
    <w:qFormat/>
    <w:locked/>
    <w:uiPriority w:val="34"/>
    <w:rPr>
      <w:rFonts w:cs="Calibri"/>
      <w:kern w:val="2"/>
      <w:sz w:val="21"/>
      <w:szCs w:val="21"/>
    </w:rPr>
  </w:style>
  <w:style w:type="paragraph" w:customStyle="1" w:styleId="40">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1">
    <w:name w:val="font41"/>
    <w:basedOn w:val="17"/>
    <w:qFormat/>
    <w:uiPriority w:val="0"/>
    <w:rPr>
      <w:rFonts w:hint="eastAsia" w:ascii="宋体" w:hAnsi="宋体" w:eastAsia="宋体" w:cs="宋体"/>
      <w:color w:val="000000"/>
      <w:sz w:val="20"/>
      <w:szCs w:val="20"/>
      <w:u w:val="none"/>
    </w:rPr>
  </w:style>
  <w:style w:type="character" w:customStyle="1" w:styleId="42">
    <w:name w:val="font51"/>
    <w:basedOn w:val="17"/>
    <w:qFormat/>
    <w:uiPriority w:val="0"/>
    <w:rPr>
      <w:rFonts w:hint="eastAsia" w:ascii="宋体" w:hAnsi="宋体" w:eastAsia="宋体" w:cs="宋体"/>
      <w:color w:val="000000"/>
      <w:sz w:val="24"/>
      <w:szCs w:val="24"/>
      <w:u w:val="none"/>
    </w:rPr>
  </w:style>
  <w:style w:type="paragraph" w:customStyle="1" w:styleId="43">
    <w:name w:val="列表段落2"/>
    <w:basedOn w:val="1"/>
    <w:qFormat/>
    <w:uiPriority w:val="99"/>
    <w:pPr>
      <w:ind w:firstLine="420" w:firstLineChars="200"/>
    </w:pPr>
  </w:style>
  <w:style w:type="paragraph" w:customStyle="1" w:styleId="44">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5">
    <w:name w:val="列表段落3"/>
    <w:basedOn w:val="1"/>
    <w:qFormat/>
    <w:uiPriority w:val="99"/>
    <w:pPr>
      <w:ind w:firstLine="420" w:firstLineChars="200"/>
    </w:pPr>
  </w:style>
  <w:style w:type="paragraph" w:customStyle="1" w:styleId="46">
    <w:name w:val="列表段落4"/>
    <w:basedOn w:val="1"/>
    <w:qFormat/>
    <w:uiPriority w:val="99"/>
    <w:pPr>
      <w:ind w:firstLine="420" w:firstLineChars="200"/>
    </w:pPr>
  </w:style>
  <w:style w:type="paragraph" w:customStyle="1" w:styleId="47">
    <w:name w:val="列表段落5"/>
    <w:basedOn w:val="1"/>
    <w:qFormat/>
    <w:uiPriority w:val="99"/>
    <w:pPr>
      <w:ind w:firstLine="420" w:firstLineChars="200"/>
    </w:pPr>
  </w:style>
  <w:style w:type="paragraph" w:customStyle="1" w:styleId="48">
    <w:name w:val="列表段落6"/>
    <w:basedOn w:val="1"/>
    <w:qFormat/>
    <w:uiPriority w:val="99"/>
    <w:pPr>
      <w:ind w:firstLine="420" w:firstLineChars="200"/>
    </w:pPr>
  </w:style>
  <w:style w:type="paragraph" w:customStyle="1" w:styleId="49">
    <w:name w:val="列表段落7"/>
    <w:basedOn w:val="1"/>
    <w:qFormat/>
    <w:uiPriority w:val="99"/>
    <w:pPr>
      <w:ind w:firstLine="420" w:firstLineChars="200"/>
    </w:pPr>
  </w:style>
  <w:style w:type="paragraph" w:customStyle="1" w:styleId="50">
    <w:name w:val="列表段落8"/>
    <w:basedOn w:val="1"/>
    <w:qFormat/>
    <w:uiPriority w:val="99"/>
    <w:pPr>
      <w:ind w:firstLine="420" w:firstLineChars="200"/>
    </w:pPr>
  </w:style>
  <w:style w:type="paragraph" w:customStyle="1" w:styleId="51">
    <w:name w:val="列表段落9"/>
    <w:basedOn w:val="1"/>
    <w:qFormat/>
    <w:uiPriority w:val="99"/>
    <w:pPr>
      <w:ind w:firstLine="420" w:firstLineChars="200"/>
    </w:pPr>
  </w:style>
  <w:style w:type="character" w:customStyle="1" w:styleId="52">
    <w:name w:val="纯文本 Char1"/>
    <w:qFormat/>
    <w:uiPriority w:val="0"/>
    <w:rPr>
      <w:rFonts w:ascii="宋体" w:hAnsi="Courier New" w:eastAsia="宋体" w:cs="Times New Roman"/>
      <w:kern w:val="0"/>
      <w:sz w:val="20"/>
      <w:szCs w:val="21"/>
    </w:rPr>
  </w:style>
  <w:style w:type="paragraph" w:styleId="53">
    <w:name w:val="List Paragraph"/>
    <w:basedOn w:val="1"/>
    <w:link w:val="64"/>
    <w:qFormat/>
    <w:uiPriority w:val="34"/>
    <w:pPr>
      <w:ind w:firstLine="420" w:firstLineChars="200"/>
    </w:pPr>
  </w:style>
  <w:style w:type="paragraph" w:customStyle="1" w:styleId="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_Style 116"/>
    <w:basedOn w:val="1"/>
    <w:next w:val="53"/>
    <w:qFormat/>
    <w:uiPriority w:val="0"/>
    <w:pPr>
      <w:ind w:firstLine="420" w:firstLineChars="200"/>
    </w:pPr>
    <w:rPr>
      <w:rFonts w:ascii="Times New Roman" w:hAnsi="Times New Roman" w:cs="Times New Roman"/>
      <w:kern w:val="0"/>
      <w:sz w:val="20"/>
      <w:szCs w:val="20"/>
    </w:rPr>
  </w:style>
  <w:style w:type="character" w:customStyle="1" w:styleId="64">
    <w:name w:val="列出段落 Char1"/>
    <w:link w:val="53"/>
    <w:qFormat/>
    <w:uiPriority w:val="34"/>
    <w:rPr>
      <w:rFonts w:ascii="Calibri" w:hAnsi="Calibri" w:cs="Calibri"/>
      <w:kern w:val="2"/>
      <w:sz w:val="21"/>
      <w:szCs w:val="21"/>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修订1"/>
    <w:hidden/>
    <w:semiHidden/>
    <w:qFormat/>
    <w:uiPriority w:val="99"/>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列出段落2"/>
    <w:basedOn w:val="74"/>
    <w:qFormat/>
    <w:uiPriority w:val="0"/>
    <w:pPr>
      <w:ind w:firstLine="420" w:firstLineChars="200"/>
    </w:pPr>
  </w:style>
  <w:style w:type="paragraph" w:customStyle="1" w:styleId="7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10"/>
    <w:basedOn w:val="17"/>
    <w:qFormat/>
    <w:uiPriority w:val="0"/>
    <w:rPr>
      <w:rFonts w:hint="default" w:ascii="Times New Roman" w:hAnsi="Times New Roman" w:cs="Times New Roman"/>
    </w:rPr>
  </w:style>
  <w:style w:type="character" w:customStyle="1" w:styleId="79">
    <w:name w:val="15"/>
    <w:basedOn w:val="17"/>
    <w:qFormat/>
    <w:uiPriority w:val="0"/>
    <w:rPr>
      <w:rFonts w:hint="default" w:ascii="CIDFont + F4" w:hAnsi="CIDFont + F4" w:eastAsia="CIDFont + F4" w:cs="CIDFont + F4"/>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9923</Words>
  <Characters>10140</Characters>
  <Lines>1</Lines>
  <Paragraphs>1</Paragraphs>
  <TotalTime>5</TotalTime>
  <ScaleCrop>false</ScaleCrop>
  <LinksUpToDate>false</LinksUpToDate>
  <CharactersWithSpaces>10222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2023-11-02T11:14:00Z</dcterms:created>
  <dc:creator>dreamsummit</dc:creator>
  <cp:lastModifiedBy>代理机构</cp:lastModifiedBy>
  <cp:lastPrinted>2019-08-26T12:14:00Z</cp:lastPrinted>
  <dcterms:modified xsi:type="dcterms:W3CDTF">2025-01-07T08:59:40Z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E2421ABF760B47B2824C8E0130D32E91_13</vt:lpwstr>
  </property>
  <property fmtid="{D5CDD505-2E9C-101B-9397-08002B2CF9AE}" pid="4" name="KSOTemplateDocerSaveRecord">
    <vt:lpwstr>eyJoZGlkIjoiNjllMTQ1N2NiYWJhNmE3MmJmNjczYjE3MmE0Mzc5ZDEiLCJ1c2VySWQiOiIyNzgxOTkwNjUifQ==</vt:lpwstr>
  </property>
</Properties>
</file>