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jc w:val="left"/>
        <w:rPr>
          <w:rFonts w:ascii="宋体" w:hAnsi="宋体"/>
          <w:b/>
          <w:color w:val="auto"/>
          <w:sz w:val="84"/>
          <w:szCs w:val="84"/>
        </w:rPr>
      </w:pPr>
      <w:bookmarkStart w:id="68" w:name="_GoBack"/>
      <w:r>
        <w:rPr>
          <w:rFonts w:ascii="宋体" w:hAnsi="宋体"/>
          <w:color w:val="auto"/>
        </w:rPr>
        <w:drawing>
          <wp:inline distT="0" distB="0" distL="0" distR="0">
            <wp:extent cx="1421765" cy="553085"/>
            <wp:effectExtent l="0" t="0" r="6985"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355" cy="553658"/>
                    </a:xfrm>
                    <a:prstGeom prst="rect">
                      <a:avLst/>
                    </a:prstGeom>
                    <a:noFill/>
                    <a:ln>
                      <a:noFill/>
                    </a:ln>
                  </pic:spPr>
                </pic:pic>
              </a:graphicData>
            </a:graphic>
          </wp:inline>
        </w:drawing>
      </w:r>
      <w:r>
        <w:rPr>
          <w:rFonts w:hint="eastAsia" w:ascii="宋体" w:hAnsi="宋体"/>
          <w:b/>
          <w:color w:val="auto"/>
          <w:sz w:val="84"/>
          <w:szCs w:val="84"/>
        </w:rPr>
        <w:t xml:space="preserve"> </w:t>
      </w:r>
    </w:p>
    <w:p>
      <w:pPr>
        <w:snapToGrid w:val="0"/>
        <w:spacing w:before="120" w:beforeLines="50"/>
        <w:jc w:val="center"/>
        <w:rPr>
          <w:rFonts w:ascii="宋体" w:hAnsi="宋体"/>
          <w:b/>
          <w:color w:val="auto"/>
          <w:sz w:val="84"/>
          <w:szCs w:val="84"/>
        </w:rPr>
      </w:pPr>
    </w:p>
    <w:p>
      <w:pPr>
        <w:snapToGrid w:val="0"/>
        <w:spacing w:before="120" w:beforeLines="50"/>
        <w:jc w:val="center"/>
        <w:rPr>
          <w:rFonts w:ascii="宋体" w:hAnsi="宋体"/>
          <w:b/>
          <w:color w:val="auto"/>
          <w:sz w:val="84"/>
          <w:szCs w:val="84"/>
        </w:rPr>
      </w:pPr>
    </w:p>
    <w:p>
      <w:pPr>
        <w:snapToGrid w:val="0"/>
        <w:spacing w:before="120" w:beforeLines="50"/>
        <w:jc w:val="center"/>
        <w:rPr>
          <w:rFonts w:ascii="仿宋_GB2312" w:hAnsi="仿宋_GB2312"/>
          <w:b/>
          <w:bCs/>
          <w:color w:val="auto"/>
          <w:sz w:val="84"/>
          <w:szCs w:val="84"/>
        </w:rPr>
      </w:pPr>
      <w:r>
        <w:rPr>
          <w:rFonts w:hint="eastAsia" w:ascii="宋体" w:hAnsi="宋体"/>
          <w:b/>
          <w:color w:val="auto"/>
          <w:sz w:val="84"/>
          <w:szCs w:val="84"/>
        </w:rPr>
        <w:t>电子竞价采购文件</w:t>
      </w:r>
    </w:p>
    <w:p>
      <w:pPr>
        <w:spacing w:line="360" w:lineRule="auto"/>
        <w:jc w:val="center"/>
        <w:rPr>
          <w:rFonts w:ascii="宋体" w:hAnsi="宋体"/>
          <w:b/>
          <w:bCs/>
          <w:color w:val="auto"/>
          <w:sz w:val="24"/>
          <w:szCs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ind w:left="1273" w:right="-340" w:rightChars="-162" w:hanging="1273" w:hangingChars="453"/>
        <w:jc w:val="left"/>
        <w:rPr>
          <w:rFonts w:ascii="宋体" w:hAnsi="宋体"/>
          <w:b/>
          <w:bCs/>
          <w:color w:val="auto"/>
          <w:sz w:val="28"/>
          <w:szCs w:val="32"/>
          <w:u w:val="single"/>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宋体" w:hAnsi="宋体"/>
          <w:b/>
          <w:bCs/>
          <w:color w:val="auto"/>
          <w:sz w:val="28"/>
          <w:szCs w:val="32"/>
        </w:rPr>
        <w:t>广东有线广播电视网络有限公司2024年宣传礼品采购项目</w:t>
      </w:r>
    </w:p>
    <w:p>
      <w:pPr>
        <w:spacing w:line="360" w:lineRule="auto"/>
        <w:ind w:right="-340" w:rightChars="-162"/>
        <w:jc w:val="left"/>
        <w:rPr>
          <w:rFonts w:ascii="仿宋_GB2312" w:hAnsi="仿宋_GB2312"/>
          <w:b/>
          <w:bCs/>
          <w:color w:val="auto"/>
          <w:sz w:val="28"/>
          <w:szCs w:val="32"/>
        </w:rPr>
      </w:pPr>
      <w:r>
        <w:rPr>
          <w:rFonts w:hint="eastAsia" w:ascii="宋体" w:hAnsi="宋体"/>
          <w:b/>
          <w:bCs/>
          <w:color w:val="auto"/>
          <w:sz w:val="28"/>
          <w:szCs w:val="32"/>
        </w:rPr>
        <w:t>项目编号：SC202404P00</w:t>
      </w:r>
      <w:r>
        <w:rPr>
          <w:rFonts w:ascii="宋体" w:hAnsi="宋体"/>
          <w:b/>
          <w:bCs/>
          <w:color w:val="auto"/>
          <w:sz w:val="28"/>
          <w:szCs w:val="32"/>
        </w:rPr>
        <w:t>2</w:t>
      </w:r>
      <w:r>
        <w:rPr>
          <w:rFonts w:hint="eastAsia" w:ascii="宋体" w:hAnsi="宋体"/>
          <w:b/>
          <w:bCs/>
          <w:color w:val="auto"/>
          <w:sz w:val="28"/>
          <w:szCs w:val="32"/>
        </w:rPr>
        <w:t>（</w:t>
      </w:r>
      <w:r>
        <w:rPr>
          <w:rFonts w:hint="eastAsia" w:ascii="宋体" w:hAnsi="宋体"/>
          <w:b/>
          <w:bCs/>
          <w:color w:val="auto"/>
          <w:sz w:val="28"/>
          <w:szCs w:val="32"/>
          <w:lang w:eastAsia="zh-CN"/>
        </w:rPr>
        <w:t>CD-1714123999205</w:t>
      </w:r>
      <w:r>
        <w:rPr>
          <w:rFonts w:hint="eastAsia" w:ascii="宋体" w:hAnsi="宋体"/>
          <w:b/>
          <w:bCs/>
          <w:color w:val="auto"/>
          <w:sz w:val="28"/>
          <w:szCs w:val="32"/>
        </w:rPr>
        <w:t>）</w:t>
      </w:r>
    </w:p>
    <w:p>
      <w:pPr>
        <w:snapToGrid w:val="0"/>
        <w:spacing w:before="120" w:beforeLines="50" w:after="120" w:afterLines="50" w:line="360" w:lineRule="auto"/>
        <w:jc w:val="center"/>
        <w:rPr>
          <w:rFonts w:ascii="黑体" w:hAnsi="华文中宋" w:eastAsia="黑体" w:cs="华文中宋"/>
          <w:color w:val="auto"/>
          <w:sz w:val="30"/>
          <w:szCs w:val="30"/>
        </w:rPr>
      </w:pPr>
    </w:p>
    <w:p>
      <w:pPr>
        <w:autoSpaceDE w:val="0"/>
        <w:autoSpaceDN w:val="0"/>
        <w:adjustRightInd w:val="0"/>
        <w:snapToGrid w:val="0"/>
        <w:spacing w:before="120" w:beforeLines="50" w:after="120"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20" w:beforeLines="50" w:after="120"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20" w:beforeLines="50" w:after="120" w:afterLines="50" w:line="360" w:lineRule="auto"/>
        <w:jc w:val="left"/>
        <w:rPr>
          <w:rFonts w:ascii="黑体" w:hAnsi="华文中宋" w:eastAsia="黑体" w:cs="华文中宋"/>
          <w:color w:val="auto"/>
          <w:kern w:val="0"/>
          <w:sz w:val="30"/>
          <w:szCs w:val="30"/>
        </w:rPr>
      </w:pPr>
    </w:p>
    <w:p>
      <w:pPr>
        <w:autoSpaceDE w:val="0"/>
        <w:autoSpaceDN w:val="0"/>
        <w:adjustRightInd w:val="0"/>
        <w:snapToGrid w:val="0"/>
        <w:spacing w:line="360" w:lineRule="auto"/>
        <w:ind w:left="420" w:hanging="420"/>
        <w:jc w:val="center"/>
        <w:rPr>
          <w:rFonts w:ascii="仿宋_GB2312" w:hAnsi="仿宋_GB2312"/>
          <w:b/>
          <w:bCs/>
          <w:color w:val="auto"/>
          <w:sz w:val="28"/>
          <w:szCs w:val="32"/>
        </w:rPr>
      </w:pPr>
      <w:r>
        <w:rPr>
          <w:rFonts w:hint="eastAsia" w:ascii="仿宋_GB2312" w:hAnsi="仿宋_GB2312"/>
          <w:b/>
          <w:bCs/>
          <w:color w:val="auto"/>
          <w:sz w:val="28"/>
          <w:szCs w:val="32"/>
        </w:rPr>
        <w:t>广东有线广播电视网络有限公司</w:t>
      </w:r>
    </w:p>
    <w:p>
      <w:pPr>
        <w:autoSpaceDE w:val="0"/>
        <w:autoSpaceDN w:val="0"/>
        <w:adjustRightInd w:val="0"/>
        <w:snapToGrid w:val="0"/>
        <w:spacing w:line="360" w:lineRule="auto"/>
        <w:ind w:left="420" w:hanging="420"/>
        <w:jc w:val="center"/>
        <w:rPr>
          <w:b/>
          <w:color w:val="auto"/>
          <w:sz w:val="28"/>
        </w:rPr>
      </w:pPr>
      <w:r>
        <w:rPr>
          <w:b/>
          <w:color w:val="auto"/>
          <w:sz w:val="28"/>
        </w:rPr>
        <w:t>采联国际招标采购集团有限公司</w:t>
      </w:r>
    </w:p>
    <w:p>
      <w:pPr>
        <w:autoSpaceDE w:val="0"/>
        <w:autoSpaceDN w:val="0"/>
        <w:adjustRightInd w:val="0"/>
        <w:snapToGrid w:val="0"/>
        <w:spacing w:line="360" w:lineRule="auto"/>
        <w:ind w:left="420" w:hanging="420"/>
        <w:jc w:val="center"/>
        <w:rPr>
          <w:rFonts w:ascii="仿宋_GB2312" w:hAnsi="仿宋_GB2312"/>
          <w:b/>
          <w:color w:val="auto"/>
          <w:sz w:val="28"/>
        </w:rPr>
      </w:pPr>
      <w:r>
        <w:rPr>
          <w:rFonts w:hint="eastAsia" w:ascii="仿宋_GB2312" w:hAnsi="仿宋_GB2312"/>
          <w:b/>
          <w:color w:val="auto"/>
          <w:sz w:val="28"/>
        </w:rPr>
        <w:t>二零二四年四月</w:t>
      </w:r>
    </w:p>
    <w:p>
      <w:pPr>
        <w:autoSpaceDE w:val="0"/>
        <w:autoSpaceDN w:val="0"/>
        <w:adjustRightInd w:val="0"/>
        <w:snapToGrid w:val="0"/>
        <w:spacing w:line="360" w:lineRule="auto"/>
        <w:ind w:left="420" w:hanging="420"/>
        <w:jc w:val="center"/>
        <w:rPr>
          <w:rFonts w:ascii="仿宋_GB2312" w:hAnsi="仿宋_GB2312"/>
          <w:color w:val="auto"/>
          <w:sz w:val="28"/>
        </w:rPr>
      </w:pPr>
    </w:p>
    <w:p>
      <w:pPr>
        <w:autoSpaceDE w:val="0"/>
        <w:autoSpaceDN w:val="0"/>
        <w:adjustRightInd w:val="0"/>
        <w:snapToGrid w:val="0"/>
        <w:spacing w:line="360" w:lineRule="auto"/>
        <w:ind w:left="420" w:hanging="420"/>
        <w:jc w:val="center"/>
        <w:rPr>
          <w:rFonts w:ascii="仿宋_GB2312" w:hAnsi="仿宋_GB2312"/>
          <w:b/>
          <w:bCs/>
          <w:color w:val="auto"/>
          <w:sz w:val="28"/>
          <w:szCs w:val="32"/>
        </w:rPr>
        <w:sectPr>
          <w:headerReference r:id="rId3" w:type="default"/>
          <w:pgSz w:w="11906" w:h="16838"/>
          <w:pgMar w:top="1134" w:right="1134" w:bottom="1134" w:left="1134" w:header="851" w:footer="992" w:gutter="284"/>
          <w:cols w:space="720" w:num="1"/>
          <w:docGrid w:linePitch="312" w:charSpace="0"/>
        </w:sectPr>
      </w:pPr>
    </w:p>
    <w:sdt>
      <w:sdtPr>
        <w:rPr>
          <w:rFonts w:asciiTheme="minorHAnsi" w:hAnsiTheme="minorHAnsi" w:eastAsiaTheme="minorEastAsia" w:cstheme="minorBidi"/>
          <w:b/>
          <w:bCs/>
          <w:color w:val="auto"/>
          <w:kern w:val="2"/>
          <w:sz w:val="44"/>
          <w:szCs w:val="44"/>
          <w:lang w:val="zh-CN"/>
        </w:rPr>
        <w:id w:val="31845630"/>
        <w:docPartObj>
          <w:docPartGallery w:val="Table of Contents"/>
          <w:docPartUnique/>
        </w:docPartObj>
      </w:sdtPr>
      <w:sdtEndPr>
        <w:rPr>
          <w:rFonts w:asciiTheme="minorHAnsi" w:hAnsiTheme="minorHAnsi" w:eastAsiaTheme="minorEastAsia" w:cstheme="minorBidi"/>
          <w:b/>
          <w:bCs/>
          <w:color w:val="auto"/>
          <w:kern w:val="2"/>
          <w:sz w:val="21"/>
          <w:szCs w:val="21"/>
          <w:lang w:val="zh-CN"/>
        </w:rPr>
      </w:sdtEndPr>
      <w:sdtContent>
        <w:p>
          <w:pPr>
            <w:pStyle w:val="50"/>
            <w:spacing w:line="360" w:lineRule="auto"/>
            <w:jc w:val="center"/>
            <w:rPr>
              <w:b/>
              <w:bCs/>
              <w:color w:val="auto"/>
              <w:sz w:val="28"/>
              <w:szCs w:val="28"/>
            </w:rPr>
          </w:pPr>
          <w:r>
            <w:rPr>
              <w:b/>
              <w:bCs/>
              <w:color w:val="auto"/>
              <w:sz w:val="28"/>
              <w:szCs w:val="28"/>
              <w:lang w:val="zh-CN"/>
            </w:rPr>
            <w:t>目</w:t>
          </w:r>
          <w:r>
            <w:rPr>
              <w:rFonts w:hint="eastAsia"/>
              <w:b/>
              <w:bCs/>
              <w:color w:val="auto"/>
              <w:sz w:val="28"/>
              <w:szCs w:val="28"/>
              <w:lang w:val="zh-CN"/>
            </w:rPr>
            <w:t xml:space="preserve"> </w:t>
          </w:r>
          <w:r>
            <w:rPr>
              <w:b/>
              <w:bCs/>
              <w:color w:val="auto"/>
              <w:sz w:val="28"/>
              <w:szCs w:val="28"/>
              <w:lang w:val="zh-CN"/>
            </w:rPr>
            <w:t xml:space="preserve"> 录</w:t>
          </w:r>
        </w:p>
        <w:p>
          <w:pPr>
            <w:pStyle w:val="13"/>
            <w:tabs>
              <w:tab w:val="right" w:leader="dot" w:pos="9344"/>
            </w:tabs>
            <w:spacing w:line="360" w:lineRule="auto"/>
            <w:rPr>
              <w:color w:val="auto"/>
            </w:rPr>
          </w:pPr>
          <w:r>
            <w:rPr>
              <w:color w:val="auto"/>
              <w:szCs w:val="21"/>
            </w:rPr>
            <w:fldChar w:fldCharType="begin"/>
          </w:r>
          <w:r>
            <w:rPr>
              <w:color w:val="auto"/>
              <w:szCs w:val="21"/>
            </w:rPr>
            <w:instrText xml:space="preserve"> TOC \o "1-3" \h \z \u </w:instrText>
          </w:r>
          <w:r>
            <w:rPr>
              <w:color w:val="auto"/>
              <w:szCs w:val="21"/>
            </w:rPr>
            <w:fldChar w:fldCharType="separate"/>
          </w:r>
          <w:r>
            <w:rPr>
              <w:color w:val="auto"/>
            </w:rPr>
            <w:fldChar w:fldCharType="begin"/>
          </w:r>
          <w:r>
            <w:rPr>
              <w:color w:val="auto"/>
            </w:rPr>
            <w:instrText xml:space="preserve"> HYPERLINK \l "_Toc64879402" </w:instrText>
          </w:r>
          <w:r>
            <w:rPr>
              <w:color w:val="auto"/>
            </w:rPr>
            <w:fldChar w:fldCharType="separate"/>
          </w:r>
          <w:r>
            <w:rPr>
              <w:rStyle w:val="22"/>
              <w:color w:val="auto"/>
            </w:rPr>
            <w:t>第一章 竞价邀请</w:t>
          </w:r>
          <w:r>
            <w:rPr>
              <w:color w:val="auto"/>
            </w:rPr>
            <w:tab/>
          </w:r>
          <w:r>
            <w:rPr>
              <w:color w:val="auto"/>
            </w:rPr>
            <w:fldChar w:fldCharType="begin"/>
          </w:r>
          <w:r>
            <w:rPr>
              <w:color w:val="auto"/>
            </w:rPr>
            <w:instrText xml:space="preserve"> PAGEREF _Toc64879402 \h </w:instrText>
          </w:r>
          <w:r>
            <w:rPr>
              <w:color w:val="auto"/>
            </w:rPr>
            <w:fldChar w:fldCharType="separate"/>
          </w:r>
          <w:r>
            <w:rPr>
              <w:color w:val="auto"/>
            </w:rPr>
            <w:t>2</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"_Toc64879403" </w:instrText>
          </w:r>
          <w:r>
            <w:rPr>
              <w:color w:val="auto"/>
            </w:rPr>
            <w:fldChar w:fldCharType="separate"/>
          </w:r>
          <w:r>
            <w:rPr>
              <w:rStyle w:val="22"/>
              <w:color w:val="auto"/>
            </w:rPr>
            <w:t>第二章 竞价须知</w:t>
          </w:r>
          <w:r>
            <w:rPr>
              <w:color w:val="auto"/>
            </w:rPr>
            <w:tab/>
          </w:r>
          <w:r>
            <w:rPr>
              <w:color w:val="auto"/>
            </w:rPr>
            <w:fldChar w:fldCharType="begin"/>
          </w:r>
          <w:r>
            <w:rPr>
              <w:color w:val="auto"/>
            </w:rPr>
            <w:instrText xml:space="preserve"> PAGEREF _Toc64879403 \h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"_Toc64879404" </w:instrText>
          </w:r>
          <w:r>
            <w:rPr>
              <w:color w:val="auto"/>
            </w:rPr>
            <w:fldChar w:fldCharType="separate"/>
          </w:r>
          <w:r>
            <w:rPr>
              <w:rStyle w:val="22"/>
              <w:color w:val="auto"/>
            </w:rPr>
            <w:t>第三章 用户需求书</w:t>
          </w:r>
          <w:r>
            <w:rPr>
              <w:color w:val="auto"/>
            </w:rPr>
            <w:tab/>
          </w:r>
          <w:r>
            <w:rPr>
              <w:color w:val="auto"/>
            </w:rPr>
            <w:fldChar w:fldCharType="begin"/>
          </w:r>
          <w:r>
            <w:rPr>
              <w:color w:val="auto"/>
            </w:rPr>
            <w:instrText xml:space="preserve"> PAGEREF _Toc64879404 \h </w:instrText>
          </w:r>
          <w:r>
            <w:rPr>
              <w:color w:val="auto"/>
            </w:rPr>
            <w:fldChar w:fldCharType="separate"/>
          </w:r>
          <w:r>
            <w:rPr>
              <w:color w:val="auto"/>
            </w:rPr>
            <w:t>11</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"_Toc64879405" </w:instrText>
          </w:r>
          <w:r>
            <w:rPr>
              <w:color w:val="auto"/>
            </w:rPr>
            <w:fldChar w:fldCharType="separate"/>
          </w:r>
          <w:r>
            <w:rPr>
              <w:rStyle w:val="22"/>
              <w:rFonts w:ascii="宋体" w:hAnsi="宋体" w:eastAsia="宋体" w:cs="微软雅黑"/>
              <w:color w:val="auto"/>
            </w:rPr>
            <w:t>一、商务部分要求</w:t>
          </w:r>
          <w:r>
            <w:rPr>
              <w:color w:val="auto"/>
            </w:rPr>
            <w:tab/>
          </w:r>
          <w:r>
            <w:rPr>
              <w:color w:val="auto"/>
            </w:rPr>
            <w:fldChar w:fldCharType="begin"/>
          </w:r>
          <w:r>
            <w:rPr>
              <w:color w:val="auto"/>
            </w:rPr>
            <w:instrText xml:space="preserve"> PAGEREF _Toc64879405 \h </w:instrText>
          </w:r>
          <w:r>
            <w:rPr>
              <w:color w:val="auto"/>
            </w:rPr>
            <w:fldChar w:fldCharType="separate"/>
          </w:r>
          <w:r>
            <w:rPr>
              <w:color w:val="auto"/>
            </w:rPr>
            <w:t>11</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"_Toc64879406" </w:instrText>
          </w:r>
          <w:r>
            <w:rPr>
              <w:color w:val="auto"/>
            </w:rPr>
            <w:fldChar w:fldCharType="separate"/>
          </w:r>
          <w:r>
            <w:rPr>
              <w:rStyle w:val="22"/>
              <w:rFonts w:ascii="宋体" w:hAnsi="宋体" w:eastAsia="宋体"/>
              <w:color w:val="auto"/>
            </w:rPr>
            <w:t xml:space="preserve">1. </w:t>
          </w:r>
          <w:r>
            <w:rPr>
              <w:rStyle w:val="22"/>
              <w:rFonts w:ascii="宋体" w:hAnsi="宋体" w:eastAsia="宋体" w:cs="微软雅黑"/>
              <w:color w:val="auto"/>
            </w:rPr>
            <w:t>采购需求</w:t>
          </w:r>
          <w:r>
            <w:rPr>
              <w:color w:val="auto"/>
            </w:rPr>
            <w:tab/>
          </w:r>
          <w:r>
            <w:rPr>
              <w:color w:val="auto"/>
            </w:rPr>
            <w:fldChar w:fldCharType="begin"/>
          </w:r>
          <w:r>
            <w:rPr>
              <w:color w:val="auto"/>
            </w:rPr>
            <w:instrText xml:space="preserve"> PAGEREF _Toc64879406 \h </w:instrText>
          </w:r>
          <w:r>
            <w:rPr>
              <w:color w:val="auto"/>
            </w:rPr>
            <w:fldChar w:fldCharType="separate"/>
          </w:r>
          <w:r>
            <w:rPr>
              <w:color w:val="auto"/>
            </w:rPr>
            <w:t>11</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"_Toc64879407" </w:instrText>
          </w:r>
          <w:r>
            <w:rPr>
              <w:color w:val="auto"/>
            </w:rPr>
            <w:fldChar w:fldCharType="separate"/>
          </w:r>
          <w:r>
            <w:rPr>
              <w:rStyle w:val="22"/>
              <w:rFonts w:ascii="宋体" w:hAnsi="宋体" w:eastAsia="宋体"/>
              <w:color w:val="auto"/>
            </w:rPr>
            <w:t xml:space="preserve">2. </w:t>
          </w:r>
          <w:r>
            <w:rPr>
              <w:rStyle w:val="22"/>
              <w:rFonts w:ascii="宋体" w:hAnsi="宋体" w:eastAsia="宋体" w:cs="微软雅黑"/>
              <w:color w:val="auto"/>
            </w:rPr>
            <w:t>报价</w:t>
          </w:r>
          <w:r>
            <w:rPr>
              <w:color w:val="auto"/>
            </w:rPr>
            <w:tab/>
          </w:r>
          <w:r>
            <w:rPr>
              <w:color w:val="auto"/>
            </w:rPr>
            <w:fldChar w:fldCharType="begin"/>
          </w:r>
          <w:r>
            <w:rPr>
              <w:color w:val="auto"/>
            </w:rPr>
            <w:instrText xml:space="preserve"> PAGEREF _Toc64879407 \h </w:instrText>
          </w:r>
          <w:r>
            <w:rPr>
              <w:color w:val="auto"/>
            </w:rPr>
            <w:fldChar w:fldCharType="separate"/>
          </w:r>
          <w:r>
            <w:rPr>
              <w:color w:val="auto"/>
            </w:rPr>
            <w:t>12</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"_Toc64879408" </w:instrText>
          </w:r>
          <w:r>
            <w:rPr>
              <w:color w:val="auto"/>
            </w:rPr>
            <w:fldChar w:fldCharType="separate"/>
          </w:r>
          <w:r>
            <w:rPr>
              <w:rStyle w:val="22"/>
              <w:rFonts w:ascii="宋体" w:hAnsi="宋体" w:eastAsia="宋体"/>
              <w:color w:val="auto"/>
            </w:rPr>
            <w:t xml:space="preserve">3. </w:t>
          </w:r>
          <w:r>
            <w:rPr>
              <w:rStyle w:val="22"/>
              <w:rFonts w:ascii="宋体" w:hAnsi="宋体" w:eastAsia="宋体" w:cs="微软雅黑"/>
              <w:color w:val="auto"/>
            </w:rPr>
            <w:t>供货期</w:t>
          </w:r>
          <w:r>
            <w:rPr>
              <w:color w:val="auto"/>
            </w:rPr>
            <w:tab/>
          </w:r>
          <w:r>
            <w:rPr>
              <w:color w:val="auto"/>
            </w:rPr>
            <w:fldChar w:fldCharType="begin"/>
          </w:r>
          <w:r>
            <w:rPr>
              <w:color w:val="auto"/>
            </w:rPr>
            <w:instrText xml:space="preserve"> PAGEREF _Toc64879408 \h </w:instrText>
          </w:r>
          <w:r>
            <w:rPr>
              <w:color w:val="auto"/>
            </w:rPr>
            <w:fldChar w:fldCharType="separate"/>
          </w:r>
          <w:r>
            <w:rPr>
              <w:color w:val="auto"/>
            </w:rPr>
            <w:t>12</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"_Toc64879409" </w:instrText>
          </w:r>
          <w:r>
            <w:rPr>
              <w:color w:val="auto"/>
            </w:rPr>
            <w:fldChar w:fldCharType="separate"/>
          </w:r>
          <w:r>
            <w:rPr>
              <w:rStyle w:val="22"/>
              <w:rFonts w:ascii="宋体" w:hAnsi="宋体" w:eastAsia="宋体"/>
              <w:color w:val="auto"/>
            </w:rPr>
            <w:t>4</w:t>
          </w:r>
          <w:r>
            <w:rPr>
              <w:rStyle w:val="22"/>
              <w:rFonts w:ascii="宋体" w:hAnsi="宋体" w:eastAsia="宋体" w:cs="微软雅黑"/>
              <w:color w:val="auto"/>
            </w:rPr>
            <w:t>．付款方式</w:t>
          </w:r>
          <w:r>
            <w:rPr>
              <w:color w:val="auto"/>
            </w:rPr>
            <w:tab/>
          </w:r>
          <w:r>
            <w:rPr>
              <w:color w:val="auto"/>
            </w:rPr>
            <w:fldChar w:fldCharType="begin"/>
          </w:r>
          <w:r>
            <w:rPr>
              <w:color w:val="auto"/>
            </w:rPr>
            <w:instrText xml:space="preserve"> PAGEREF _Toc64879409 \h </w:instrText>
          </w:r>
          <w:r>
            <w:rPr>
              <w:color w:val="auto"/>
            </w:rPr>
            <w:fldChar w:fldCharType="separate"/>
          </w:r>
          <w:r>
            <w:rPr>
              <w:color w:val="auto"/>
            </w:rPr>
            <w:t>12</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"_Toc64879410" </w:instrText>
          </w:r>
          <w:r>
            <w:rPr>
              <w:color w:val="auto"/>
            </w:rPr>
            <w:fldChar w:fldCharType="separate"/>
          </w:r>
          <w:r>
            <w:rPr>
              <w:rStyle w:val="22"/>
              <w:rFonts w:ascii="宋体" w:hAnsi="宋体" w:eastAsia="宋体"/>
              <w:color w:val="auto"/>
            </w:rPr>
            <w:t xml:space="preserve">5. </w:t>
          </w:r>
          <w:r>
            <w:rPr>
              <w:rStyle w:val="22"/>
              <w:rFonts w:ascii="宋体" w:hAnsi="宋体" w:eastAsia="宋体" w:cs="微软雅黑"/>
              <w:color w:val="auto"/>
            </w:rPr>
            <w:t>售后服务</w:t>
          </w:r>
          <w:r>
            <w:rPr>
              <w:color w:val="auto"/>
            </w:rPr>
            <w:tab/>
          </w:r>
          <w:r>
            <w:rPr>
              <w:color w:val="auto"/>
            </w:rPr>
            <w:fldChar w:fldCharType="begin"/>
          </w:r>
          <w:r>
            <w:rPr>
              <w:color w:val="auto"/>
            </w:rPr>
            <w:instrText xml:space="preserve"> PAGEREF _Toc64879410 \h </w:instrText>
          </w:r>
          <w:r>
            <w:rPr>
              <w:color w:val="auto"/>
            </w:rPr>
            <w:fldChar w:fldCharType="separate"/>
          </w:r>
          <w:r>
            <w:rPr>
              <w:color w:val="auto"/>
            </w:rPr>
            <w:t>12</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"_Toc64879411" </w:instrText>
          </w:r>
          <w:r>
            <w:rPr>
              <w:color w:val="auto"/>
            </w:rPr>
            <w:fldChar w:fldCharType="separate"/>
          </w:r>
          <w:r>
            <w:rPr>
              <w:rStyle w:val="22"/>
              <w:rFonts w:ascii="宋体" w:hAnsi="宋体" w:eastAsia="宋体" w:cs="微软雅黑"/>
              <w:color w:val="auto"/>
            </w:rPr>
            <w:t>6. 履约保证金</w:t>
          </w:r>
          <w:r>
            <w:rPr>
              <w:color w:val="auto"/>
            </w:rPr>
            <w:tab/>
          </w:r>
          <w:r>
            <w:rPr>
              <w:color w:val="auto"/>
            </w:rPr>
            <w:fldChar w:fldCharType="begin"/>
          </w:r>
          <w:r>
            <w:rPr>
              <w:color w:val="auto"/>
            </w:rPr>
            <w:instrText xml:space="preserve"> PAGEREF _Toc64879411 \h </w:instrText>
          </w:r>
          <w:r>
            <w:rPr>
              <w:color w:val="auto"/>
            </w:rPr>
            <w:fldChar w:fldCharType="separate"/>
          </w:r>
          <w:r>
            <w:rPr>
              <w:color w:val="auto"/>
            </w:rPr>
            <w:t>12</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"_Toc64879412" </w:instrText>
          </w:r>
          <w:r>
            <w:rPr>
              <w:color w:val="auto"/>
            </w:rPr>
            <w:fldChar w:fldCharType="separate"/>
          </w:r>
          <w:r>
            <w:rPr>
              <w:rStyle w:val="22"/>
              <w:rFonts w:ascii="宋体" w:hAnsi="宋体" w:eastAsia="宋体" w:cs="微软雅黑"/>
              <w:color w:val="auto"/>
            </w:rPr>
            <w:t>二、技术部分要求</w:t>
          </w:r>
          <w:r>
            <w:rPr>
              <w:rStyle w:val="22"/>
              <w:rFonts w:ascii="宋体" w:hAnsi="宋体" w:eastAsia="宋体"/>
              <w:color w:val="auto"/>
            </w:rPr>
            <w:t>(</w:t>
          </w:r>
          <w:r>
            <w:rPr>
              <w:rStyle w:val="22"/>
              <w:rFonts w:ascii="宋体" w:hAnsi="宋体" w:eastAsia="宋体" w:cs="微软雅黑"/>
              <w:color w:val="auto"/>
            </w:rPr>
            <w:t>技术规范书</w:t>
          </w:r>
          <w:r>
            <w:rPr>
              <w:rStyle w:val="22"/>
              <w:rFonts w:ascii="宋体" w:hAnsi="宋体" w:eastAsia="宋体"/>
              <w:color w:val="auto"/>
            </w:rPr>
            <w:t>)</w:t>
          </w:r>
          <w:r>
            <w:rPr>
              <w:color w:val="auto"/>
            </w:rPr>
            <w:tab/>
          </w:r>
          <w:r>
            <w:rPr>
              <w:color w:val="auto"/>
            </w:rPr>
            <w:fldChar w:fldCharType="begin"/>
          </w:r>
          <w:r>
            <w:rPr>
              <w:color w:val="auto"/>
            </w:rPr>
            <w:instrText xml:space="preserve"> PAGEREF _Toc64879412 \h </w:instrText>
          </w:r>
          <w:r>
            <w:rPr>
              <w:color w:val="auto"/>
            </w:rPr>
            <w:fldChar w:fldCharType="separate"/>
          </w:r>
          <w:r>
            <w:rPr>
              <w:color w:val="auto"/>
            </w:rPr>
            <w:t>13</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"_Toc64879413" </w:instrText>
          </w:r>
          <w:r>
            <w:rPr>
              <w:color w:val="auto"/>
            </w:rPr>
            <w:fldChar w:fldCharType="separate"/>
          </w:r>
          <w:r>
            <w:rPr>
              <w:rStyle w:val="22"/>
              <w:rFonts w:ascii="宋体" w:hAnsi="宋体" w:eastAsia="宋体" w:cs="Arial"/>
              <w:color w:val="auto"/>
            </w:rPr>
            <w:t>1、技术要求</w:t>
          </w:r>
          <w:r>
            <w:rPr>
              <w:color w:val="auto"/>
            </w:rPr>
            <w:tab/>
          </w:r>
          <w:r>
            <w:rPr>
              <w:color w:val="auto"/>
            </w:rPr>
            <w:fldChar w:fldCharType="begin"/>
          </w:r>
          <w:r>
            <w:rPr>
              <w:color w:val="auto"/>
            </w:rPr>
            <w:instrText xml:space="preserve"> PAGEREF _Toc64879413 \h </w:instrText>
          </w:r>
          <w:r>
            <w:rPr>
              <w:color w:val="auto"/>
            </w:rPr>
            <w:fldChar w:fldCharType="separate"/>
          </w:r>
          <w:r>
            <w:rPr>
              <w:color w:val="auto"/>
            </w:rPr>
            <w:t>13</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"_Toc64879414" </w:instrText>
          </w:r>
          <w:r>
            <w:rPr>
              <w:color w:val="auto"/>
            </w:rPr>
            <w:fldChar w:fldCharType="separate"/>
          </w:r>
          <w:r>
            <w:rPr>
              <w:rStyle w:val="22"/>
              <w:rFonts w:ascii="宋体" w:hAnsi="宋体" w:eastAsia="宋体" w:cs="Arial"/>
              <w:color w:val="auto"/>
            </w:rPr>
            <w:t>2、验收</w:t>
          </w:r>
          <w:r>
            <w:rPr>
              <w:color w:val="auto"/>
            </w:rPr>
            <w:tab/>
          </w:r>
          <w:r>
            <w:rPr>
              <w:color w:val="auto"/>
            </w:rPr>
            <w:fldChar w:fldCharType="begin"/>
          </w:r>
          <w:r>
            <w:rPr>
              <w:color w:val="auto"/>
            </w:rPr>
            <w:instrText xml:space="preserve"> PAGEREF _Toc64879414 \h </w:instrText>
          </w:r>
          <w:r>
            <w:rPr>
              <w:color w:val="auto"/>
            </w:rPr>
            <w:fldChar w:fldCharType="separate"/>
          </w:r>
          <w:r>
            <w:rPr>
              <w:color w:val="auto"/>
            </w:rPr>
            <w:t>13</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"_Toc64879415" </w:instrText>
          </w:r>
          <w:r>
            <w:rPr>
              <w:color w:val="auto"/>
            </w:rPr>
            <w:fldChar w:fldCharType="separate"/>
          </w:r>
          <w:r>
            <w:rPr>
              <w:rStyle w:val="22"/>
              <w:color w:val="auto"/>
            </w:rPr>
            <w:t>第四章 合同条款</w:t>
          </w:r>
          <w:r>
            <w:rPr>
              <w:color w:val="auto"/>
            </w:rPr>
            <w:tab/>
          </w:r>
          <w:r>
            <w:rPr>
              <w:color w:val="auto"/>
            </w:rPr>
            <w:fldChar w:fldCharType="begin"/>
          </w:r>
          <w:r>
            <w:rPr>
              <w:color w:val="auto"/>
            </w:rPr>
            <w:instrText xml:space="preserve"> PAGEREF _Toc64879415 \h </w:instrText>
          </w:r>
          <w:r>
            <w:rPr>
              <w:color w:val="auto"/>
            </w:rPr>
            <w:fldChar w:fldCharType="separate"/>
          </w:r>
          <w:r>
            <w:rPr>
              <w:color w:val="auto"/>
            </w:rPr>
            <w:t>15</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"_Toc64879430" </w:instrText>
          </w:r>
          <w:r>
            <w:rPr>
              <w:color w:val="auto"/>
            </w:rPr>
            <w:fldChar w:fldCharType="separate"/>
          </w:r>
          <w:r>
            <w:rPr>
              <w:rStyle w:val="22"/>
              <w:color w:val="auto"/>
              <w:lang w:val="zh-CN"/>
            </w:rPr>
            <w:t>第五章 报价文件格式</w:t>
          </w:r>
          <w:r>
            <w:rPr>
              <w:color w:val="auto"/>
            </w:rPr>
            <w:tab/>
          </w:r>
          <w:r>
            <w:rPr>
              <w:color w:val="auto"/>
            </w:rPr>
            <w:fldChar w:fldCharType="begin"/>
          </w:r>
          <w:r>
            <w:rPr>
              <w:color w:val="auto"/>
            </w:rPr>
            <w:instrText xml:space="preserve"> PAGEREF _Toc64879430 \h </w:instrText>
          </w:r>
          <w:r>
            <w:rPr>
              <w:color w:val="auto"/>
            </w:rPr>
            <w:fldChar w:fldCharType="separate"/>
          </w:r>
          <w:r>
            <w:rPr>
              <w:color w:val="auto"/>
            </w:rPr>
            <w:t>24</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"_Toc64879431" </w:instrText>
          </w:r>
          <w:r>
            <w:rPr>
              <w:color w:val="auto"/>
            </w:rPr>
            <w:fldChar w:fldCharType="separate"/>
          </w:r>
          <w:r>
            <w:rPr>
              <w:rStyle w:val="22"/>
              <w:color w:val="auto"/>
            </w:rPr>
            <w:t>法定代表人证明书</w:t>
          </w:r>
          <w:r>
            <w:rPr>
              <w:color w:val="auto"/>
            </w:rPr>
            <w:tab/>
          </w:r>
          <w:r>
            <w:rPr>
              <w:color w:val="auto"/>
            </w:rPr>
            <w:fldChar w:fldCharType="begin"/>
          </w:r>
          <w:r>
            <w:rPr>
              <w:color w:val="auto"/>
            </w:rPr>
            <w:instrText xml:space="preserve"> PAGEREF _Toc64879431 \h </w:instrText>
          </w:r>
          <w:r>
            <w:rPr>
              <w:color w:val="auto"/>
            </w:rPr>
            <w:fldChar w:fldCharType="separate"/>
          </w:r>
          <w:r>
            <w:rPr>
              <w:color w:val="auto"/>
            </w:rPr>
            <w:t>24</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"_Toc64879432" </w:instrText>
          </w:r>
          <w:r>
            <w:rPr>
              <w:color w:val="auto"/>
            </w:rPr>
            <w:fldChar w:fldCharType="separate"/>
          </w:r>
          <w:r>
            <w:rPr>
              <w:rStyle w:val="22"/>
              <w:color w:val="auto"/>
            </w:rPr>
            <w:t>法定代表人授权委托书</w:t>
          </w:r>
          <w:r>
            <w:rPr>
              <w:color w:val="auto"/>
            </w:rPr>
            <w:tab/>
          </w:r>
          <w:r>
            <w:rPr>
              <w:color w:val="auto"/>
            </w:rPr>
            <w:fldChar w:fldCharType="begin"/>
          </w:r>
          <w:r>
            <w:rPr>
              <w:color w:val="auto"/>
            </w:rPr>
            <w:instrText xml:space="preserve"> PAGEREF _Toc64879432 \h </w:instrText>
          </w:r>
          <w:r>
            <w:rPr>
              <w:color w:val="auto"/>
            </w:rPr>
            <w:fldChar w:fldCharType="separate"/>
          </w:r>
          <w:r>
            <w:rPr>
              <w:color w:val="auto"/>
            </w:rPr>
            <w:t>25</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"_Toc64879433" </w:instrText>
          </w:r>
          <w:r>
            <w:rPr>
              <w:color w:val="auto"/>
            </w:rPr>
            <w:fldChar w:fldCharType="separate"/>
          </w:r>
          <w:r>
            <w:rPr>
              <w:rStyle w:val="22"/>
              <w:rFonts w:ascii="宋体" w:hAnsi="宋体" w:eastAsia="宋体"/>
              <w:color w:val="auto"/>
            </w:rPr>
            <w:t>用户需求书响应声明函</w:t>
          </w:r>
          <w:r>
            <w:rPr>
              <w:color w:val="auto"/>
            </w:rPr>
            <w:tab/>
          </w:r>
          <w:r>
            <w:rPr>
              <w:color w:val="auto"/>
            </w:rPr>
            <w:fldChar w:fldCharType="begin"/>
          </w:r>
          <w:r>
            <w:rPr>
              <w:color w:val="auto"/>
            </w:rPr>
            <w:instrText xml:space="preserve"> PAGEREF _Toc64879433 \h </w:instrText>
          </w:r>
          <w:r>
            <w:rPr>
              <w:color w:val="auto"/>
            </w:rPr>
            <w:fldChar w:fldCharType="separate"/>
          </w:r>
          <w:r>
            <w:rPr>
              <w:color w:val="auto"/>
            </w:rPr>
            <w:t>26</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"_Toc64879434" </w:instrText>
          </w:r>
          <w:r>
            <w:rPr>
              <w:color w:val="auto"/>
            </w:rPr>
            <w:fldChar w:fldCharType="separate"/>
          </w:r>
          <w:r>
            <w:rPr>
              <w:rStyle w:val="22"/>
              <w:rFonts w:ascii="宋体" w:hAnsi="宋体" w:eastAsia="宋体"/>
              <w:color w:val="auto"/>
            </w:rPr>
            <w:t>合同条款响应声明函</w:t>
          </w:r>
          <w:r>
            <w:rPr>
              <w:color w:val="auto"/>
            </w:rPr>
            <w:tab/>
          </w:r>
          <w:r>
            <w:rPr>
              <w:color w:val="auto"/>
            </w:rPr>
            <w:fldChar w:fldCharType="begin"/>
          </w:r>
          <w:r>
            <w:rPr>
              <w:color w:val="auto"/>
            </w:rPr>
            <w:instrText xml:space="preserve"> PAGEREF _Toc64879434 \h </w:instrText>
          </w:r>
          <w:r>
            <w:rPr>
              <w:color w:val="auto"/>
            </w:rPr>
            <w:fldChar w:fldCharType="separate"/>
          </w:r>
          <w:r>
            <w:rPr>
              <w:color w:val="auto"/>
            </w:rPr>
            <w:t>27</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"_Toc64879435" </w:instrText>
          </w:r>
          <w:r>
            <w:rPr>
              <w:color w:val="auto"/>
            </w:rPr>
            <w:fldChar w:fldCharType="separate"/>
          </w:r>
          <w:r>
            <w:rPr>
              <w:rStyle w:val="22"/>
              <w:color w:val="auto"/>
            </w:rPr>
            <w:t>报价人资格声明函</w:t>
          </w:r>
          <w:r>
            <w:rPr>
              <w:color w:val="auto"/>
            </w:rPr>
            <w:tab/>
          </w:r>
          <w:r>
            <w:rPr>
              <w:color w:val="auto"/>
            </w:rPr>
            <w:fldChar w:fldCharType="begin"/>
          </w:r>
          <w:r>
            <w:rPr>
              <w:color w:val="auto"/>
            </w:rPr>
            <w:instrText xml:space="preserve"> PAGEREF _Toc64879435 \h </w:instrText>
          </w:r>
          <w:r>
            <w:rPr>
              <w:color w:val="auto"/>
            </w:rPr>
            <w:fldChar w:fldCharType="separate"/>
          </w:r>
          <w:r>
            <w:rPr>
              <w:color w:val="auto"/>
            </w:rPr>
            <w:t>28</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"_Toc64879436" </w:instrText>
          </w:r>
          <w:r>
            <w:rPr>
              <w:color w:val="auto"/>
            </w:rPr>
            <w:fldChar w:fldCharType="separate"/>
          </w:r>
          <w:r>
            <w:rPr>
              <w:rStyle w:val="22"/>
              <w:color w:val="auto"/>
              <w:lang w:val="zh-CN"/>
            </w:rPr>
            <w:t>报 价 表</w:t>
          </w:r>
          <w:r>
            <w:rPr>
              <w:color w:val="auto"/>
            </w:rPr>
            <w:tab/>
          </w:r>
          <w:r>
            <w:rPr>
              <w:color w:val="auto"/>
            </w:rPr>
            <w:fldChar w:fldCharType="begin"/>
          </w:r>
          <w:r>
            <w:rPr>
              <w:color w:val="auto"/>
            </w:rPr>
            <w:instrText xml:space="preserve"> PAGEREF _Toc64879436 \h </w:instrText>
          </w:r>
          <w:r>
            <w:rPr>
              <w:color w:val="auto"/>
            </w:rPr>
            <w:fldChar w:fldCharType="separate"/>
          </w:r>
          <w:r>
            <w:rPr>
              <w:color w:val="auto"/>
            </w:rPr>
            <w:t>29</w:t>
          </w:r>
          <w:r>
            <w:rPr>
              <w:color w:val="auto"/>
            </w:rPr>
            <w:fldChar w:fldCharType="end"/>
          </w:r>
          <w:r>
            <w:rPr>
              <w:color w:val="auto"/>
            </w:rPr>
            <w:fldChar w:fldCharType="end"/>
          </w:r>
        </w:p>
        <w:p>
          <w:pPr>
            <w:spacing w:line="360" w:lineRule="auto"/>
            <w:rPr>
              <w:color w:val="auto"/>
              <w:szCs w:val="21"/>
            </w:rPr>
            <w:sectPr>
              <w:headerReference r:id="rId4" w:type="default"/>
              <w:footerReference r:id="rId5" w:type="default"/>
              <w:pgSz w:w="11906" w:h="16838"/>
              <w:pgMar w:top="1134" w:right="1134" w:bottom="1134" w:left="1134" w:header="624" w:footer="514" w:gutter="284"/>
              <w:pgNumType w:start="1"/>
              <w:cols w:space="425" w:num="1"/>
              <w:docGrid w:linePitch="312" w:charSpace="0"/>
            </w:sectPr>
          </w:pPr>
          <w:r>
            <w:rPr>
              <w:b/>
              <w:bCs/>
              <w:color w:val="auto"/>
              <w:szCs w:val="21"/>
              <w:lang w:val="zh-CN"/>
            </w:rPr>
            <w:fldChar w:fldCharType="end"/>
          </w:r>
        </w:p>
      </w:sdtContent>
    </w:sdt>
    <w:p>
      <w:pPr>
        <w:pStyle w:val="16"/>
        <w:spacing w:before="0" w:after="0" w:line="360" w:lineRule="auto"/>
        <w:rPr>
          <w:color w:val="auto"/>
        </w:rPr>
      </w:pPr>
      <w:bookmarkStart w:id="0" w:name="_Toc64879402"/>
      <w:r>
        <w:rPr>
          <w:rFonts w:hint="eastAsia"/>
          <w:color w:val="auto"/>
        </w:rPr>
        <w:t>第一章 竞价邀请</w:t>
      </w:r>
    </w:p>
    <w:p>
      <w:pPr>
        <w:spacing w:line="360" w:lineRule="auto"/>
        <w:jc w:val="center"/>
        <w:rPr>
          <w:rFonts w:ascii="宋体" w:hAnsi="宋体" w:eastAsia="宋体"/>
          <w:b/>
          <w:bCs/>
          <w:color w:val="auto"/>
          <w:szCs w:val="21"/>
          <w:lang w:val="zh-CN"/>
        </w:rPr>
      </w:pPr>
      <w:r>
        <w:rPr>
          <w:rFonts w:hint="eastAsia" w:ascii="宋体" w:hAnsi="宋体" w:eastAsia="宋体"/>
          <w:b/>
          <w:bCs/>
          <w:color w:val="auto"/>
          <w:szCs w:val="21"/>
          <w:lang w:val="zh-CN"/>
        </w:rPr>
        <w:t>（项目编号：SC202404P002（CD-1714123999205））</w:t>
      </w:r>
    </w:p>
    <w:p>
      <w:pPr>
        <w:spacing w:line="360" w:lineRule="auto"/>
        <w:jc w:val="left"/>
        <w:rPr>
          <w:rFonts w:ascii="宋体" w:hAnsi="宋体" w:eastAsia="宋体"/>
          <w:b/>
          <w:bCs/>
          <w:color w:val="auto"/>
          <w:szCs w:val="21"/>
          <w:lang w:val="zh-CN"/>
        </w:rPr>
      </w:pPr>
      <w:r>
        <w:rPr>
          <w:rFonts w:hint="eastAsia" w:ascii="宋体" w:hAnsi="宋体" w:eastAsia="宋体"/>
          <w:b/>
          <w:bCs/>
          <w:color w:val="auto"/>
          <w:szCs w:val="21"/>
          <w:lang w:val="zh-CN"/>
        </w:rPr>
        <w:t>项目所在地：广东省广州市</w:t>
      </w:r>
    </w:p>
    <w:p>
      <w:pPr>
        <w:numPr>
          <w:ilvl w:val="0"/>
          <w:numId w:val="2"/>
        </w:numPr>
        <w:tabs>
          <w:tab w:val="left" w:pos="284"/>
          <w:tab w:val="left" w:pos="567"/>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采购条件</w:t>
      </w:r>
    </w:p>
    <w:p>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本</w:t>
      </w:r>
      <w:r>
        <w:rPr>
          <w:rFonts w:hint="eastAsia" w:ascii="宋体" w:hAnsi="宋体" w:eastAsia="宋体"/>
          <w:b/>
          <w:bCs/>
          <w:color w:val="auto"/>
          <w:szCs w:val="21"/>
        </w:rPr>
        <w:t>广东有线广播电视网络有限公司2024年宣传礼品采购项目</w:t>
      </w:r>
      <w:r>
        <w:rPr>
          <w:rFonts w:hint="eastAsia" w:ascii="宋体" w:hAnsi="宋体" w:eastAsia="宋体"/>
          <w:color w:val="auto"/>
          <w:szCs w:val="21"/>
        </w:rPr>
        <w:t>已由项目审批/核准/备案机关批准，项目资金为</w:t>
      </w:r>
      <w:r>
        <w:rPr>
          <w:rFonts w:hint="eastAsia" w:ascii="宋体" w:hAnsi="宋体" w:eastAsia="宋体"/>
          <w:b/>
          <w:bCs/>
          <w:color w:val="auto"/>
          <w:szCs w:val="21"/>
        </w:rPr>
        <w:t>自筹资金人民币</w:t>
      </w:r>
      <w:r>
        <w:rPr>
          <w:rFonts w:ascii="宋体" w:hAnsi="宋体" w:eastAsia="宋体"/>
          <w:b/>
          <w:bCs/>
          <w:color w:val="auto"/>
          <w:szCs w:val="21"/>
        </w:rPr>
        <w:t>2</w:t>
      </w:r>
      <w:r>
        <w:rPr>
          <w:rFonts w:hint="eastAsia" w:ascii="宋体" w:hAnsi="宋体" w:eastAsia="宋体"/>
          <w:b/>
          <w:bCs/>
          <w:color w:val="auto"/>
          <w:szCs w:val="21"/>
        </w:rPr>
        <w:t>0万元</w:t>
      </w:r>
      <w:r>
        <w:rPr>
          <w:rFonts w:hint="eastAsia" w:ascii="宋体" w:hAnsi="宋体" w:eastAsia="宋体"/>
          <w:color w:val="auto"/>
          <w:szCs w:val="21"/>
        </w:rPr>
        <w:t>；采购人为</w:t>
      </w:r>
      <w:r>
        <w:rPr>
          <w:rFonts w:hint="eastAsia" w:ascii="宋体" w:hAnsi="宋体" w:eastAsia="宋体"/>
          <w:b/>
          <w:bCs/>
          <w:color w:val="auto"/>
          <w:szCs w:val="21"/>
        </w:rPr>
        <w:t>广东有线广播电视网络有限公司</w:t>
      </w:r>
      <w:r>
        <w:rPr>
          <w:rFonts w:hint="eastAsia" w:ascii="宋体" w:hAnsi="宋体" w:eastAsia="宋体"/>
          <w:color w:val="auto"/>
          <w:szCs w:val="21"/>
        </w:rPr>
        <w:t>。本项目已具备采购条件，现采购方式为</w:t>
      </w:r>
      <w:r>
        <w:rPr>
          <w:rFonts w:hint="eastAsia" w:ascii="宋体" w:hAnsi="宋体" w:eastAsia="宋体"/>
          <w:b/>
          <w:bCs/>
          <w:color w:val="auto"/>
          <w:szCs w:val="21"/>
        </w:rPr>
        <w:t>电子竞价</w:t>
      </w:r>
      <w:r>
        <w:rPr>
          <w:rFonts w:hint="eastAsia" w:ascii="宋体" w:hAnsi="宋体" w:eastAsia="宋体"/>
          <w:color w:val="auto"/>
          <w:szCs w:val="21"/>
        </w:rPr>
        <w:t>。</w:t>
      </w:r>
    </w:p>
    <w:p>
      <w:pPr>
        <w:numPr>
          <w:ilvl w:val="0"/>
          <w:numId w:val="2"/>
        </w:numPr>
        <w:tabs>
          <w:tab w:val="left" w:pos="284"/>
          <w:tab w:val="left" w:pos="567"/>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项目概况</w:t>
      </w:r>
    </w:p>
    <w:p>
      <w:pPr>
        <w:tabs>
          <w:tab w:val="left" w:pos="284"/>
          <w:tab w:val="left" w:pos="426"/>
        </w:tabs>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规模：采购内容为</w:t>
      </w:r>
      <w:bookmarkStart w:id="1" w:name="OLE_LINK10"/>
      <w:bookmarkStart w:id="2" w:name="OLE_LINK11"/>
      <w:r>
        <w:rPr>
          <w:rFonts w:hint="eastAsia" w:ascii="宋体" w:hAnsi="宋体" w:eastAsia="宋体"/>
          <w:color w:val="auto"/>
          <w:szCs w:val="21"/>
        </w:rPr>
        <w:t>宣传礼品。</w:t>
      </w:r>
      <w:r>
        <w:rPr>
          <w:rFonts w:hint="eastAsia" w:ascii="宋体" w:hAnsi="宋体" w:eastAsia="宋体"/>
          <w:color w:val="auto"/>
          <w:kern w:val="0"/>
          <w:szCs w:val="21"/>
        </w:rPr>
        <w:t>采购预算为人民币20万元</w:t>
      </w:r>
      <w:r>
        <w:rPr>
          <w:rFonts w:hint="eastAsia" w:ascii="宋体" w:hAnsi="宋体" w:eastAsia="宋体"/>
          <w:color w:val="auto"/>
          <w:szCs w:val="21"/>
        </w:rPr>
        <w:t>（含税）</w:t>
      </w:r>
      <w:r>
        <w:rPr>
          <w:rFonts w:hint="eastAsia" w:ascii="宋体" w:hAnsi="宋体" w:eastAsia="宋体"/>
          <w:color w:val="auto"/>
          <w:kern w:val="0"/>
          <w:szCs w:val="21"/>
        </w:rPr>
        <w:t>。</w:t>
      </w:r>
      <w:r>
        <w:rPr>
          <w:rFonts w:hint="eastAsia" w:ascii="宋体" w:hAnsi="宋体" w:eastAsia="宋体"/>
          <w:color w:val="auto"/>
          <w:szCs w:val="21"/>
        </w:rPr>
        <w:t>成交人数量为2家。</w:t>
      </w:r>
      <w:bookmarkEnd w:id="1"/>
      <w:bookmarkEnd w:id="2"/>
      <w:r>
        <w:rPr>
          <w:rFonts w:hint="eastAsia" w:ascii="宋体" w:hAnsi="宋体" w:eastAsia="宋体"/>
          <w:color w:val="auto"/>
          <w:szCs w:val="21"/>
        </w:rPr>
        <w:t>合同有效期为本项目采购金额累计达到人民币20万元（含税）或自合同签订之日起1年，</w:t>
      </w:r>
      <w:r>
        <w:rPr>
          <w:rFonts w:ascii="宋体" w:hAnsi="宋体" w:eastAsia="宋体"/>
          <w:color w:val="auto"/>
          <w:kern w:val="28"/>
          <w:szCs w:val="21"/>
        </w:rPr>
        <w:t>以先到者为准。在合同期限结束时，若采购人尚未公告同类项目新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采购结果，采购人有权延长合同有效期至采购人公告同类项目新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的结算金额为准，增加的金额不得超过原合同最高含税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p>
    <w:p>
      <w:pPr>
        <w:tabs>
          <w:tab w:val="left" w:pos="284"/>
          <w:tab w:val="left" w:pos="426"/>
        </w:tabs>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范围：本采购项目划分为1个标段，本次采购为其中的：</w:t>
      </w:r>
    </w:p>
    <w:p>
      <w:pPr>
        <w:tabs>
          <w:tab w:val="left" w:pos="284"/>
          <w:tab w:val="left" w:pos="426"/>
        </w:tabs>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（001）宣传礼品</w:t>
      </w:r>
    </w:p>
    <w:p>
      <w:pPr>
        <w:numPr>
          <w:ilvl w:val="0"/>
          <w:numId w:val="2"/>
        </w:numPr>
        <w:tabs>
          <w:tab w:val="left" w:pos="284"/>
          <w:tab w:val="left" w:pos="567"/>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报价人资格要求</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（001 宣传礼品）报价人的资格能力要求：</w:t>
      </w:r>
    </w:p>
    <w:p>
      <w:pPr>
        <w:numPr>
          <w:ilvl w:val="1"/>
          <w:numId w:val="3"/>
        </w:numPr>
        <w:tabs>
          <w:tab w:val="left" w:pos="709"/>
        </w:tabs>
        <w:adjustRightInd w:val="0"/>
        <w:snapToGrid w:val="0"/>
        <w:spacing w:line="360" w:lineRule="auto"/>
        <w:ind w:left="0" w:firstLine="426"/>
        <w:rPr>
          <w:rFonts w:ascii="宋体" w:hAnsi="宋体" w:eastAsia="宋体"/>
          <w:color w:val="auto"/>
          <w:szCs w:val="21"/>
        </w:rPr>
      </w:pPr>
      <w:r>
        <w:rPr>
          <w:rFonts w:hint="eastAsia" w:ascii="宋体" w:hAnsi="宋体" w:eastAsia="宋体"/>
          <w:color w:val="auto"/>
          <w:szCs w:val="21"/>
        </w:rPr>
        <w:t>报价人必须是具有独立承担民事责任能力的在中华人民共和国境内注册的法人或其他组织【提供有效的营业执照或法人登记证书复印件】。如为独立法人设立的分支机构参加本项目采购活动，报价人需另外【提供独立法人出具的明确报价人的权限范围的唯一响应授权书，并提交独立法人有效的营业执照或法人登记证书复印件】。</w:t>
      </w:r>
    </w:p>
    <w:p>
      <w:pPr>
        <w:numPr>
          <w:ilvl w:val="1"/>
          <w:numId w:val="3"/>
        </w:numPr>
        <w:tabs>
          <w:tab w:val="left" w:pos="709"/>
        </w:tabs>
        <w:adjustRightInd w:val="0"/>
        <w:snapToGrid w:val="0"/>
        <w:spacing w:line="360" w:lineRule="auto"/>
        <w:ind w:left="0" w:firstLine="426"/>
        <w:rPr>
          <w:rFonts w:ascii="宋体" w:hAnsi="宋体" w:eastAsia="宋体"/>
          <w:color w:val="auto"/>
          <w:szCs w:val="21"/>
        </w:rPr>
      </w:pPr>
      <w:r>
        <w:rPr>
          <w:rFonts w:hint="eastAsia" w:ascii="宋体" w:hAnsi="宋体" w:eastAsia="宋体"/>
          <w:color w:val="auto"/>
          <w:szCs w:val="21"/>
        </w:rPr>
        <w:t>报价人必须完全响应本项目用户需求书的所有条款、内容及要求的，提供《用户需求书响应声明函》即可，格式详见报价文件格式。</w:t>
      </w:r>
    </w:p>
    <w:p>
      <w:pPr>
        <w:numPr>
          <w:ilvl w:val="1"/>
          <w:numId w:val="3"/>
        </w:numPr>
        <w:tabs>
          <w:tab w:val="left" w:pos="709"/>
        </w:tabs>
        <w:adjustRightInd w:val="0"/>
        <w:snapToGrid w:val="0"/>
        <w:spacing w:line="360" w:lineRule="auto"/>
        <w:ind w:left="0" w:firstLine="426"/>
        <w:rPr>
          <w:rFonts w:ascii="宋体" w:hAnsi="宋体" w:eastAsia="宋体"/>
          <w:color w:val="auto"/>
          <w:szCs w:val="21"/>
        </w:rPr>
      </w:pPr>
      <w:r>
        <w:rPr>
          <w:rFonts w:hint="eastAsia" w:ascii="宋体" w:hAnsi="宋体" w:eastAsia="宋体"/>
          <w:color w:val="auto"/>
          <w:szCs w:val="21"/>
        </w:rPr>
        <w:t>报价人须提供</w:t>
      </w:r>
      <w:r>
        <w:rPr>
          <w:rFonts w:hint="eastAsia"/>
          <w:color w:val="auto"/>
          <w:szCs w:val="21"/>
          <w:shd w:val="clear" w:color="auto" w:fill="FFFFFF"/>
        </w:rPr>
        <w:t>有效的食品生产许可证或食品经营许可证或食品药品经营许可证或食品经营备案证明（如国家另有规定的，则从其规定）</w:t>
      </w:r>
      <w:r>
        <w:rPr>
          <w:rFonts w:hint="eastAsia" w:ascii="宋体" w:hAnsi="宋体" w:eastAsia="宋体"/>
          <w:color w:val="auto"/>
          <w:szCs w:val="21"/>
        </w:rPr>
        <w:t>，</w:t>
      </w:r>
      <w:r>
        <w:rPr>
          <w:rFonts w:hint="eastAsia"/>
          <w:color w:val="auto"/>
          <w:szCs w:val="21"/>
          <w:shd w:val="clear" w:color="auto" w:fill="FFFFFF"/>
        </w:rPr>
        <w:t>提供对应的证明文件复印件</w:t>
      </w:r>
      <w:r>
        <w:rPr>
          <w:rFonts w:hint="eastAsia" w:ascii="宋体" w:hAnsi="宋体" w:eastAsia="宋体"/>
          <w:color w:val="auto"/>
          <w:szCs w:val="21"/>
        </w:rPr>
        <w:t>。</w:t>
      </w:r>
    </w:p>
    <w:p>
      <w:pPr>
        <w:numPr>
          <w:ilvl w:val="1"/>
          <w:numId w:val="3"/>
        </w:numPr>
        <w:tabs>
          <w:tab w:val="left" w:pos="720"/>
        </w:tabs>
        <w:adjustRightInd w:val="0"/>
        <w:snapToGrid w:val="0"/>
        <w:spacing w:line="360" w:lineRule="auto"/>
        <w:ind w:left="0" w:firstLine="426"/>
        <w:rPr>
          <w:rFonts w:ascii="宋体" w:hAnsi="宋体" w:eastAsia="宋体"/>
          <w:color w:val="auto"/>
          <w:szCs w:val="21"/>
        </w:rPr>
      </w:pPr>
      <w:r>
        <w:rPr>
          <w:rFonts w:hint="eastAsia" w:ascii="宋体" w:hAnsi="宋体" w:eastAsia="宋体"/>
          <w:color w:val="auto"/>
          <w:szCs w:val="21"/>
        </w:rPr>
        <w:t>报价人必须完全响应本项目合同条款的所有要求，提供《合同条款响应声明函》，格式详见报价文件格式。</w:t>
      </w:r>
    </w:p>
    <w:p>
      <w:pPr>
        <w:numPr>
          <w:ilvl w:val="1"/>
          <w:numId w:val="3"/>
        </w:numPr>
        <w:tabs>
          <w:tab w:val="left" w:pos="720"/>
        </w:tabs>
        <w:adjustRightInd w:val="0"/>
        <w:snapToGrid w:val="0"/>
        <w:spacing w:line="360" w:lineRule="auto"/>
        <w:ind w:left="0" w:firstLine="426"/>
        <w:rPr>
          <w:rFonts w:ascii="宋体" w:hAnsi="宋体" w:eastAsia="宋体"/>
          <w:color w:val="auto"/>
          <w:szCs w:val="21"/>
        </w:rPr>
      </w:pPr>
      <w:r>
        <w:rPr>
          <w:rFonts w:hint="eastAsia" w:ascii="宋体" w:hAnsi="宋体" w:cs="宋体"/>
          <w:color w:val="auto"/>
          <w:kern w:val="0"/>
          <w:szCs w:val="20"/>
        </w:rPr>
        <w:t>报价人自2021年1月1日至今，承担过至少1个同类项目</w:t>
      </w:r>
      <w:r>
        <w:rPr>
          <w:rFonts w:ascii="宋体" w:hAnsi="宋体" w:cs="宋体"/>
          <w:color w:val="auto"/>
          <w:kern w:val="0"/>
          <w:szCs w:val="20"/>
        </w:rPr>
        <w:t>业绩</w:t>
      </w:r>
      <w:r>
        <w:rPr>
          <w:rFonts w:hint="eastAsia" w:ascii="宋体" w:hAnsi="宋体" w:cs="宋体"/>
          <w:color w:val="auto"/>
          <w:kern w:val="0"/>
          <w:szCs w:val="20"/>
        </w:rPr>
        <w:t>（同类项目</w:t>
      </w:r>
      <w:r>
        <w:rPr>
          <w:rFonts w:ascii="宋体" w:hAnsi="宋体" w:cs="宋体"/>
          <w:color w:val="auto"/>
          <w:kern w:val="0"/>
          <w:szCs w:val="20"/>
        </w:rPr>
        <w:t>指</w:t>
      </w:r>
      <w:r>
        <w:rPr>
          <w:rFonts w:hint="eastAsia" w:ascii="宋体" w:hAnsi="宋体" w:cs="宋体"/>
          <w:color w:val="auto"/>
          <w:kern w:val="0"/>
          <w:szCs w:val="20"/>
        </w:rPr>
        <w:t>食用油或</w:t>
      </w:r>
      <w:r>
        <w:rPr>
          <w:rFonts w:ascii="宋体" w:hAnsi="宋体" w:cs="宋体"/>
          <w:color w:val="auto"/>
          <w:kern w:val="0"/>
          <w:szCs w:val="20"/>
        </w:rPr>
        <w:t>米</w:t>
      </w:r>
      <w:r>
        <w:rPr>
          <w:rFonts w:hint="eastAsia" w:ascii="宋体" w:hAnsi="宋体" w:cs="宋体"/>
          <w:color w:val="auto"/>
          <w:kern w:val="0"/>
          <w:szCs w:val="20"/>
        </w:rPr>
        <w:t>或</w:t>
      </w:r>
      <w:r>
        <w:rPr>
          <w:rFonts w:ascii="宋体" w:hAnsi="宋体" w:cs="宋体"/>
          <w:color w:val="auto"/>
          <w:kern w:val="0"/>
          <w:szCs w:val="20"/>
        </w:rPr>
        <w:t>洗洁精或洗衣</w:t>
      </w:r>
      <w:r>
        <w:rPr>
          <w:rFonts w:hint="eastAsia" w:ascii="宋体" w:hAnsi="宋体" w:cs="宋体"/>
          <w:color w:val="auto"/>
          <w:kern w:val="0"/>
          <w:szCs w:val="20"/>
        </w:rPr>
        <w:t>液</w:t>
      </w:r>
      <w:r>
        <w:rPr>
          <w:rFonts w:ascii="宋体" w:hAnsi="宋体" w:cs="宋体"/>
          <w:color w:val="auto"/>
          <w:kern w:val="0"/>
          <w:szCs w:val="20"/>
        </w:rPr>
        <w:t>等</w:t>
      </w:r>
      <w:r>
        <w:rPr>
          <w:rFonts w:hint="eastAsia" w:ascii="宋体" w:hAnsi="宋体" w:cs="宋体"/>
          <w:color w:val="auto"/>
          <w:kern w:val="0"/>
          <w:szCs w:val="20"/>
        </w:rPr>
        <w:t>礼品供货项目），须提供合同(至少包括项目名称、项目概况、合同金额、双方签字盖章页）或框架协议（至少包括项目名称、项目概况、双方签字盖章页及与协议对应的订单）复印件</w:t>
      </w:r>
      <w:r>
        <w:rPr>
          <w:rFonts w:hint="eastAsia" w:ascii="宋体" w:hAnsi="宋体" w:eastAsia="宋体"/>
          <w:color w:val="auto"/>
          <w:szCs w:val="21"/>
        </w:rPr>
        <w:t>。</w:t>
      </w:r>
    </w:p>
    <w:p>
      <w:pPr>
        <w:numPr>
          <w:ilvl w:val="1"/>
          <w:numId w:val="3"/>
        </w:numPr>
        <w:tabs>
          <w:tab w:val="left" w:pos="284"/>
          <w:tab w:val="left" w:pos="851"/>
        </w:tabs>
        <w:adjustRightInd w:val="0"/>
        <w:snapToGrid w:val="0"/>
        <w:spacing w:line="360" w:lineRule="auto"/>
        <w:ind w:left="0" w:firstLine="424" w:firstLineChars="202"/>
        <w:rPr>
          <w:rFonts w:ascii="宋体" w:hAnsi="宋体" w:eastAsia="宋体"/>
          <w:color w:val="auto"/>
          <w:szCs w:val="21"/>
        </w:rPr>
      </w:pPr>
      <w:r>
        <w:rPr>
          <w:rFonts w:hint="eastAsia" w:ascii="宋体" w:hAnsi="宋体" w:eastAsia="宋体" w:cs="Courier New"/>
          <w:color w:val="auto"/>
          <w:szCs w:val="21"/>
        </w:rPr>
        <w:t>报价人不得存在下列情形之一：</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w:t>
      </w:r>
      <w:r>
        <w:rPr>
          <w:rFonts w:hint="eastAsia" w:ascii="宋体" w:hAnsi="宋体" w:eastAsia="宋体" w:cs="Courier New"/>
          <w:color w:val="auto"/>
          <w:szCs w:val="21"/>
        </w:rPr>
        <w:tab/>
      </w:r>
      <w:r>
        <w:rPr>
          <w:rFonts w:hint="eastAsia" w:ascii="宋体" w:hAnsi="宋体" w:eastAsia="宋体" w:cs="Courier New"/>
          <w:color w:val="auto"/>
          <w:szCs w:val="21"/>
        </w:rPr>
        <w:t>与采购人存在利害关系且可能影响竞价公正性；</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（2）</w:t>
      </w:r>
      <w:r>
        <w:rPr>
          <w:rFonts w:hint="eastAsia" w:ascii="宋体" w:hAnsi="宋体" w:eastAsia="宋体" w:cs="Courier New"/>
          <w:color w:val="auto"/>
          <w:szCs w:val="21"/>
        </w:rPr>
        <w:tab/>
      </w:r>
      <w:r>
        <w:rPr>
          <w:rFonts w:hint="eastAsia" w:ascii="宋体" w:hAnsi="宋体" w:eastAsia="宋体" w:cs="Courier New"/>
          <w:color w:val="auto"/>
          <w:szCs w:val="21"/>
        </w:rPr>
        <w:t>与本竞价项目的其他报价人为同一个单位负责人；</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（3）</w:t>
      </w:r>
      <w:r>
        <w:rPr>
          <w:rFonts w:hint="eastAsia" w:ascii="宋体" w:hAnsi="宋体" w:eastAsia="宋体" w:cs="Courier New"/>
          <w:color w:val="auto"/>
          <w:szCs w:val="21"/>
        </w:rPr>
        <w:tab/>
      </w:r>
      <w:r>
        <w:rPr>
          <w:rFonts w:hint="eastAsia" w:ascii="宋体" w:hAnsi="宋体" w:eastAsia="宋体" w:cs="Courier New"/>
          <w:color w:val="auto"/>
          <w:szCs w:val="21"/>
        </w:rPr>
        <w:t>与本竞价项目的其他报价人存在控股、管理关系；</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（4）</w:t>
      </w:r>
      <w:r>
        <w:rPr>
          <w:rFonts w:hint="eastAsia" w:ascii="宋体" w:hAnsi="宋体" w:eastAsia="宋体" w:cs="Courier New"/>
          <w:color w:val="auto"/>
          <w:szCs w:val="21"/>
        </w:rPr>
        <w:tab/>
      </w:r>
      <w:r>
        <w:rPr>
          <w:rFonts w:hint="eastAsia" w:ascii="宋体" w:hAnsi="宋体" w:eastAsia="宋体" w:cs="Courier New"/>
          <w:color w:val="auto"/>
          <w:szCs w:val="21"/>
        </w:rPr>
        <w:t>为本竞价项目的采购代理机构；</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（5）</w:t>
      </w:r>
      <w:r>
        <w:rPr>
          <w:rFonts w:hint="eastAsia" w:ascii="宋体" w:hAnsi="宋体" w:eastAsia="宋体" w:cs="Courier New"/>
          <w:color w:val="auto"/>
          <w:szCs w:val="21"/>
        </w:rPr>
        <w:tab/>
      </w:r>
      <w:r>
        <w:rPr>
          <w:rFonts w:hint="eastAsia" w:ascii="宋体" w:hAnsi="宋体" w:eastAsia="宋体" w:cs="Courier New"/>
          <w:color w:val="auto"/>
          <w:szCs w:val="21"/>
        </w:rPr>
        <w:t>与本竞价项目的采购代理机构同为一个法定代表人；</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（6）</w:t>
      </w:r>
      <w:r>
        <w:rPr>
          <w:rFonts w:hint="eastAsia" w:ascii="宋体" w:hAnsi="宋体" w:eastAsia="宋体" w:cs="Courier New"/>
          <w:color w:val="auto"/>
          <w:szCs w:val="21"/>
        </w:rPr>
        <w:tab/>
      </w:r>
      <w:r>
        <w:rPr>
          <w:rFonts w:hint="eastAsia" w:ascii="宋体" w:hAnsi="宋体" w:eastAsia="宋体" w:cs="Courier New"/>
          <w:color w:val="auto"/>
          <w:szCs w:val="21"/>
        </w:rPr>
        <w:t>与本竞价项目的采购代理机构存在控股或参股关系；</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（7）</w:t>
      </w:r>
      <w:r>
        <w:rPr>
          <w:rFonts w:hint="eastAsia" w:ascii="宋体" w:hAnsi="宋体" w:eastAsia="宋体" w:cs="Courier New"/>
          <w:color w:val="auto"/>
          <w:szCs w:val="21"/>
        </w:rPr>
        <w:tab/>
      </w:r>
      <w:r>
        <w:rPr>
          <w:rFonts w:hint="eastAsia" w:ascii="宋体" w:hAnsi="宋体" w:eastAsia="宋体" w:cs="Courier New"/>
          <w:color w:val="auto"/>
          <w:szCs w:val="21"/>
        </w:rPr>
        <w:t>被依法暂停或者取消参与本项目竞价的资格；</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（8）</w:t>
      </w:r>
      <w:r>
        <w:rPr>
          <w:rFonts w:hint="eastAsia" w:ascii="宋体" w:hAnsi="宋体" w:eastAsia="宋体" w:cs="Courier New"/>
          <w:color w:val="auto"/>
          <w:szCs w:val="21"/>
        </w:rPr>
        <w:tab/>
      </w:r>
      <w:r>
        <w:rPr>
          <w:rFonts w:hint="eastAsia" w:ascii="宋体" w:hAnsi="宋体" w:eastAsia="宋体" w:cs="Courier New"/>
          <w:color w:val="auto"/>
          <w:szCs w:val="21"/>
        </w:rPr>
        <w:t>被责令停产停业、暂扣或者吊销许可证、暂扣或者吊销执照；</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（9）</w:t>
      </w:r>
      <w:r>
        <w:rPr>
          <w:rFonts w:hint="eastAsia" w:ascii="宋体" w:hAnsi="宋体" w:eastAsia="宋体" w:cs="Courier New"/>
          <w:color w:val="auto"/>
          <w:szCs w:val="21"/>
        </w:rPr>
        <w:tab/>
      </w:r>
      <w:r>
        <w:rPr>
          <w:rFonts w:hint="eastAsia" w:ascii="宋体" w:hAnsi="宋体" w:eastAsia="宋体" w:cs="Courier New"/>
          <w:color w:val="auto"/>
          <w:szCs w:val="21"/>
        </w:rPr>
        <w:t>进入清算程序，或被宣告破产，或其他丧失履约能力的情形；</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（10）</w:t>
      </w:r>
      <w:r>
        <w:rPr>
          <w:rFonts w:hint="eastAsia" w:ascii="宋体" w:hAnsi="宋体" w:eastAsia="宋体" w:cs="Courier New"/>
          <w:color w:val="auto"/>
          <w:szCs w:val="21"/>
        </w:rPr>
        <w:tab/>
      </w:r>
      <w:r>
        <w:rPr>
          <w:rFonts w:hint="eastAsia" w:ascii="宋体" w:hAnsi="宋体" w:eastAsia="宋体" w:cs="Courier New"/>
          <w:color w:val="auto"/>
          <w:szCs w:val="21"/>
        </w:rPr>
        <w:t>在最近三年内发生重大产品质量问题（以相关行业主管部门的行政处罚决定或司法机关出具的有关法律文书为准）；</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（11）</w:t>
      </w:r>
      <w:r>
        <w:rPr>
          <w:rFonts w:hint="eastAsia" w:ascii="宋体" w:hAnsi="宋体" w:eastAsia="宋体" w:cs="Courier New"/>
          <w:color w:val="auto"/>
          <w:szCs w:val="21"/>
        </w:rPr>
        <w:tab/>
      </w:r>
      <w:r>
        <w:rPr>
          <w:rFonts w:hint="eastAsia" w:ascii="宋体" w:hAnsi="宋体" w:eastAsia="宋体" w:cs="Courier New"/>
          <w:color w:val="auto"/>
          <w:szCs w:val="21"/>
        </w:rPr>
        <w:t>被工商行政管理机关在全国企业信用信息公示系统中列入严重违法失信企业名单；</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（12）</w:t>
      </w:r>
      <w:r>
        <w:rPr>
          <w:rFonts w:hint="eastAsia" w:ascii="宋体" w:hAnsi="宋体" w:eastAsia="宋体" w:cs="Courier New"/>
          <w:color w:val="auto"/>
          <w:szCs w:val="21"/>
        </w:rPr>
        <w:tab/>
      </w:r>
      <w:r>
        <w:rPr>
          <w:rFonts w:hint="eastAsia" w:ascii="宋体" w:hAnsi="宋体" w:eastAsia="宋体" w:cs="Courier New"/>
          <w:color w:val="auto"/>
          <w:szCs w:val="21"/>
        </w:rPr>
        <w:t>被最高人民法院在“信用中国”网站（www.creditchina.gov.cn）或各级信用信息共享平台中列入失信被执行人名单；</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（13）</w:t>
      </w:r>
      <w:r>
        <w:rPr>
          <w:rFonts w:hint="eastAsia" w:ascii="宋体" w:hAnsi="宋体" w:eastAsia="宋体" w:cs="Courier New"/>
          <w:color w:val="auto"/>
          <w:szCs w:val="21"/>
        </w:rPr>
        <w:tab/>
      </w:r>
      <w:r>
        <w:rPr>
          <w:rFonts w:hint="eastAsia" w:ascii="宋体" w:hAnsi="宋体" w:eastAsia="宋体" w:cs="Courier New"/>
          <w:color w:val="auto"/>
          <w:szCs w:val="21"/>
        </w:rPr>
        <w:t>在近三年内报价人或其法定代表人、报价人授权代表有行贿犯罪行为的；</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（14）</w:t>
      </w:r>
      <w:r>
        <w:rPr>
          <w:rFonts w:hint="eastAsia" w:ascii="宋体" w:hAnsi="宋体" w:eastAsia="宋体" w:cs="Courier New"/>
          <w:color w:val="auto"/>
          <w:szCs w:val="21"/>
        </w:rPr>
        <w:tab/>
      </w:r>
      <w:r>
        <w:rPr>
          <w:rFonts w:hint="eastAsia" w:ascii="宋体" w:hAnsi="宋体" w:eastAsia="宋体" w:cs="Courier New"/>
          <w:color w:val="auto"/>
          <w:szCs w:val="21"/>
        </w:rPr>
        <w:t>法律法规或竞价须知规定的其他情形。</w:t>
      </w:r>
    </w:p>
    <w:p>
      <w:pPr>
        <w:tabs>
          <w:tab w:val="left" w:pos="993"/>
        </w:tabs>
        <w:adjustRightInd w:val="0"/>
        <w:snapToGrid w:val="0"/>
        <w:spacing w:line="360" w:lineRule="auto"/>
        <w:ind w:left="426" w:firstLine="420" w:firstLineChars="200"/>
        <w:rPr>
          <w:rFonts w:ascii="宋体" w:hAnsi="宋体" w:eastAsia="宋体" w:cs="Courier New"/>
          <w:color w:val="auto"/>
          <w:szCs w:val="21"/>
        </w:rPr>
      </w:pPr>
      <w:r>
        <w:rPr>
          <w:rFonts w:hint="eastAsia" w:ascii="宋体" w:hAnsi="宋体" w:eastAsia="宋体" w:cs="Courier New"/>
          <w:color w:val="auto"/>
          <w:szCs w:val="21"/>
        </w:rPr>
        <w:t>报价人须提供盖章《报价人资格声明函》（格式详见报价文件格式），承诺不存在上述情形之一。若发现承诺与事实不符，将视为弄虚作假，进行无效报价处理。</w:t>
      </w:r>
    </w:p>
    <w:p>
      <w:pPr>
        <w:numPr>
          <w:ilvl w:val="1"/>
          <w:numId w:val="3"/>
        </w:numPr>
        <w:tabs>
          <w:tab w:val="left" w:pos="284"/>
          <w:tab w:val="left" w:pos="851"/>
        </w:tabs>
        <w:adjustRightInd w:val="0"/>
        <w:snapToGrid w:val="0"/>
        <w:spacing w:line="360" w:lineRule="auto"/>
        <w:ind w:left="0" w:firstLine="424" w:firstLineChars="202"/>
        <w:rPr>
          <w:rFonts w:ascii="宋体" w:hAnsi="宋体" w:eastAsia="宋体"/>
          <w:color w:val="auto"/>
          <w:szCs w:val="21"/>
        </w:rPr>
      </w:pPr>
      <w:r>
        <w:rPr>
          <w:rFonts w:hint="eastAsia" w:ascii="宋体" w:hAnsi="宋体" w:eastAsia="宋体"/>
          <w:color w:val="auto"/>
          <w:szCs w:val="21"/>
        </w:rPr>
        <w:t>本项目不得转包、不得分包。</w:t>
      </w:r>
    </w:p>
    <w:p>
      <w:pPr>
        <w:numPr>
          <w:ilvl w:val="1"/>
          <w:numId w:val="3"/>
        </w:numPr>
        <w:tabs>
          <w:tab w:val="left" w:pos="284"/>
          <w:tab w:val="left" w:pos="851"/>
        </w:tabs>
        <w:adjustRightInd w:val="0"/>
        <w:snapToGrid w:val="0"/>
        <w:spacing w:line="360" w:lineRule="auto"/>
        <w:ind w:left="0" w:firstLine="424" w:firstLineChars="202"/>
        <w:rPr>
          <w:rFonts w:ascii="宋体" w:hAnsi="宋体" w:eastAsia="宋体" w:cs="Courier New"/>
          <w:color w:val="auto"/>
          <w:szCs w:val="21"/>
        </w:rPr>
      </w:pPr>
      <w:r>
        <w:rPr>
          <w:rFonts w:hint="eastAsia" w:ascii="宋体" w:hAnsi="宋体" w:eastAsia="宋体" w:cs="Courier New"/>
          <w:color w:val="auto"/>
          <w:szCs w:val="21"/>
        </w:rPr>
        <w:t>采购代理机构只接受成功报名的报价人参与本项目采购活动。</w:t>
      </w:r>
    </w:p>
    <w:p>
      <w:pPr>
        <w:numPr>
          <w:ilvl w:val="1"/>
          <w:numId w:val="3"/>
        </w:numPr>
        <w:tabs>
          <w:tab w:val="left" w:pos="284"/>
          <w:tab w:val="left" w:pos="851"/>
        </w:tabs>
        <w:adjustRightInd w:val="0"/>
        <w:snapToGrid w:val="0"/>
        <w:spacing w:line="360" w:lineRule="auto"/>
        <w:ind w:left="0" w:firstLine="424" w:firstLineChars="202"/>
        <w:rPr>
          <w:rFonts w:ascii="宋体" w:hAnsi="宋体" w:eastAsia="宋体" w:cs="Courier New"/>
          <w:color w:val="auto"/>
          <w:szCs w:val="21"/>
        </w:rPr>
      </w:pPr>
      <w:r>
        <w:rPr>
          <w:rFonts w:hint="eastAsia" w:ascii="宋体" w:hAnsi="宋体" w:eastAsia="宋体" w:cs="Courier New"/>
          <w:color w:val="auto"/>
          <w:szCs w:val="21"/>
        </w:rPr>
        <w:t>参与本竞价项目的报价人须以支票、汇票、本票、保函等非现金形式缴纳</w:t>
      </w:r>
      <w:r>
        <w:rPr>
          <w:rFonts w:hint="eastAsia" w:ascii="宋体" w:hAnsi="宋体" w:eastAsia="宋体" w:cs="Courier New"/>
          <w:b/>
          <w:bCs/>
          <w:color w:val="auto"/>
          <w:szCs w:val="21"/>
        </w:rPr>
        <w:t>竞价保证金RMB</w:t>
      </w:r>
      <w:r>
        <w:rPr>
          <w:rFonts w:ascii="宋体" w:hAnsi="宋体" w:eastAsia="宋体" w:cs="Courier New"/>
          <w:b/>
          <w:bCs/>
          <w:color w:val="auto"/>
          <w:szCs w:val="21"/>
        </w:rPr>
        <w:t>4</w:t>
      </w:r>
      <w:r>
        <w:rPr>
          <w:rFonts w:hint="eastAsia" w:ascii="宋体" w:hAnsi="宋体" w:eastAsia="宋体" w:cs="Courier New"/>
          <w:b/>
          <w:bCs/>
          <w:color w:val="auto"/>
          <w:szCs w:val="21"/>
        </w:rPr>
        <w:t>000元（大写：人民币肆仟圆整</w:t>
      </w:r>
      <w:r>
        <w:rPr>
          <w:rFonts w:hint="eastAsia" w:ascii="宋体" w:hAnsi="宋体" w:eastAsia="宋体" w:cs="Courier New"/>
          <w:color w:val="auto"/>
          <w:szCs w:val="21"/>
        </w:rPr>
        <w:t>）。</w:t>
      </w:r>
    </w:p>
    <w:p>
      <w:pPr>
        <w:tabs>
          <w:tab w:val="left" w:pos="284"/>
          <w:tab w:val="left" w:pos="426"/>
          <w:tab w:val="left" w:pos="567"/>
        </w:tabs>
        <w:snapToGrid w:val="0"/>
        <w:spacing w:line="360" w:lineRule="auto"/>
        <w:ind w:left="420"/>
        <w:jc w:val="left"/>
        <w:rPr>
          <w:rFonts w:ascii="宋体" w:hAnsi="宋体" w:eastAsia="宋体"/>
          <w:color w:val="auto"/>
          <w:szCs w:val="21"/>
        </w:rPr>
      </w:pPr>
      <w:r>
        <w:rPr>
          <w:rFonts w:hint="eastAsia" w:ascii="宋体" w:hAnsi="宋体" w:eastAsia="宋体"/>
          <w:color w:val="auto"/>
          <w:szCs w:val="21"/>
        </w:rPr>
        <w:t>本项目不允许联合体参加本项目采购活动。</w:t>
      </w:r>
    </w:p>
    <w:p>
      <w:pPr>
        <w:numPr>
          <w:ilvl w:val="0"/>
          <w:numId w:val="2"/>
        </w:numPr>
        <w:tabs>
          <w:tab w:val="left" w:pos="284"/>
          <w:tab w:val="left" w:pos="426"/>
        </w:tabs>
        <w:snapToGrid w:val="0"/>
        <w:spacing w:line="360" w:lineRule="auto"/>
        <w:jc w:val="left"/>
        <w:rPr>
          <w:rFonts w:ascii="宋体" w:hAnsi="宋体" w:eastAsia="宋体"/>
          <w:b/>
          <w:bCs/>
          <w:color w:val="auto"/>
          <w:szCs w:val="21"/>
        </w:rPr>
      </w:pPr>
      <w:bookmarkStart w:id="3" w:name="_Hlk63962407"/>
      <w:r>
        <w:rPr>
          <w:rFonts w:hint="eastAsia" w:ascii="宋体" w:hAnsi="宋体" w:eastAsia="宋体"/>
          <w:b/>
          <w:bCs/>
          <w:color w:val="auto"/>
          <w:szCs w:val="21"/>
        </w:rPr>
        <w:t>采购文件的获取</w:t>
      </w:r>
      <w:bookmarkEnd w:id="3"/>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获取时间：</w:t>
      </w:r>
      <w:bookmarkStart w:id="4" w:name="_Hlk83304431"/>
      <w:r>
        <w:rPr>
          <w:rFonts w:hint="eastAsia" w:ascii="宋体" w:hAnsi="宋体" w:eastAsia="宋体"/>
          <w:color w:val="auto"/>
          <w:szCs w:val="21"/>
        </w:rPr>
        <w:t>从2024年</w:t>
      </w:r>
      <w:r>
        <w:rPr>
          <w:rFonts w:hint="eastAsia" w:ascii="宋体" w:hAnsi="宋体" w:eastAsia="宋体"/>
          <w:color w:val="auto"/>
          <w:szCs w:val="21"/>
          <w:lang w:val="en-US" w:eastAsia="zh-CN"/>
        </w:rPr>
        <w:t>4</w:t>
      </w:r>
      <w:r>
        <w:rPr>
          <w:rFonts w:hint="eastAsia" w:ascii="宋体" w:hAnsi="宋体" w:eastAsia="宋体"/>
          <w:color w:val="auto"/>
          <w:szCs w:val="21"/>
        </w:rPr>
        <w:t>月</w:t>
      </w:r>
      <w:r>
        <w:rPr>
          <w:rFonts w:hint="eastAsia" w:ascii="宋体" w:hAnsi="宋体" w:eastAsia="宋体"/>
          <w:color w:val="auto"/>
          <w:szCs w:val="21"/>
          <w:lang w:val="en-US" w:eastAsia="zh-CN"/>
        </w:rPr>
        <w:t>28</w:t>
      </w:r>
      <w:r>
        <w:rPr>
          <w:rFonts w:hint="eastAsia" w:ascii="宋体" w:hAnsi="宋体" w:eastAsia="宋体"/>
          <w:color w:val="auto"/>
          <w:szCs w:val="21"/>
        </w:rPr>
        <w:t>日</w:t>
      </w:r>
      <w:r>
        <w:rPr>
          <w:rFonts w:hint="eastAsia" w:ascii="宋体" w:hAnsi="宋体" w:eastAsia="宋体"/>
          <w:color w:val="auto"/>
          <w:szCs w:val="21"/>
          <w:lang w:val="en-US" w:eastAsia="zh-CN"/>
        </w:rPr>
        <w:t>9</w:t>
      </w:r>
      <w:r>
        <w:rPr>
          <w:rFonts w:hint="eastAsia" w:ascii="宋体" w:hAnsi="宋体" w:eastAsia="宋体"/>
          <w:color w:val="auto"/>
          <w:szCs w:val="21"/>
        </w:rPr>
        <w:t>时</w:t>
      </w:r>
      <w:r>
        <w:rPr>
          <w:rFonts w:hint="eastAsia" w:ascii="宋体" w:hAnsi="宋体" w:eastAsia="宋体"/>
          <w:color w:val="auto"/>
          <w:szCs w:val="21"/>
          <w:lang w:val="en-US" w:eastAsia="zh-CN"/>
        </w:rPr>
        <w:t>00</w:t>
      </w:r>
      <w:r>
        <w:rPr>
          <w:rFonts w:hint="eastAsia" w:ascii="宋体" w:hAnsi="宋体" w:eastAsia="宋体"/>
          <w:color w:val="auto"/>
          <w:szCs w:val="21"/>
        </w:rPr>
        <w:t>分到2024年</w:t>
      </w:r>
      <w:r>
        <w:rPr>
          <w:rFonts w:hint="eastAsia" w:ascii="宋体" w:hAnsi="宋体" w:eastAsia="宋体"/>
          <w:color w:val="auto"/>
          <w:szCs w:val="21"/>
          <w:lang w:val="en-US" w:eastAsia="zh-CN"/>
        </w:rPr>
        <w:t>5</w:t>
      </w:r>
      <w:r>
        <w:rPr>
          <w:rFonts w:hint="eastAsia" w:ascii="宋体" w:hAnsi="宋体" w:eastAsia="宋体"/>
          <w:color w:val="auto"/>
          <w:szCs w:val="21"/>
        </w:rPr>
        <w:t>月</w:t>
      </w:r>
      <w:r>
        <w:rPr>
          <w:rFonts w:hint="eastAsia" w:ascii="宋体" w:hAnsi="宋体" w:eastAsia="宋体"/>
          <w:color w:val="auto"/>
          <w:szCs w:val="21"/>
          <w:lang w:val="en-US" w:eastAsia="zh-CN"/>
        </w:rPr>
        <w:t>7</w:t>
      </w:r>
      <w:r>
        <w:rPr>
          <w:rFonts w:hint="eastAsia" w:ascii="宋体" w:hAnsi="宋体" w:eastAsia="宋体"/>
          <w:color w:val="auto"/>
          <w:szCs w:val="21"/>
        </w:rPr>
        <w:t>日</w:t>
      </w:r>
      <w:r>
        <w:rPr>
          <w:rFonts w:hint="eastAsia" w:ascii="宋体" w:hAnsi="宋体" w:eastAsia="宋体"/>
          <w:color w:val="auto"/>
          <w:szCs w:val="21"/>
          <w:lang w:val="en-US" w:eastAsia="zh-CN"/>
        </w:rPr>
        <w:t>17</w:t>
      </w:r>
      <w:r>
        <w:rPr>
          <w:rFonts w:hint="eastAsia" w:ascii="宋体" w:hAnsi="宋体" w:eastAsia="宋体"/>
          <w:color w:val="auto"/>
          <w:szCs w:val="21"/>
        </w:rPr>
        <w:t>时</w:t>
      </w:r>
      <w:r>
        <w:rPr>
          <w:rFonts w:hint="eastAsia" w:ascii="宋体" w:hAnsi="宋体" w:eastAsia="宋体"/>
          <w:color w:val="auto"/>
          <w:szCs w:val="21"/>
          <w:lang w:val="en-US" w:eastAsia="zh-CN"/>
        </w:rPr>
        <w:t>00</w:t>
      </w:r>
      <w:r>
        <w:rPr>
          <w:rFonts w:hint="eastAsia" w:ascii="宋体" w:hAnsi="宋体" w:eastAsia="宋体"/>
          <w:color w:val="auto"/>
          <w:szCs w:val="21"/>
        </w:rPr>
        <w:t>分</w:t>
      </w:r>
      <w:bookmarkEnd w:id="4"/>
    </w:p>
    <w:p>
      <w:pPr>
        <w:tabs>
          <w:tab w:val="left" w:pos="3119"/>
        </w:tabs>
        <w:wordWrap w:val="0"/>
        <w:adjustRightInd w:val="0"/>
        <w:snapToGrid w:val="0"/>
        <w:spacing w:line="360" w:lineRule="auto"/>
        <w:ind w:firstLine="417" w:firstLineChars="199"/>
        <w:rPr>
          <w:rFonts w:ascii="宋体" w:hAnsi="宋体" w:eastAsia="宋体"/>
          <w:color w:val="auto"/>
          <w:szCs w:val="21"/>
        </w:rPr>
      </w:pPr>
      <w:r>
        <w:rPr>
          <w:rFonts w:hint="eastAsia" w:ascii="宋体" w:hAnsi="宋体" w:eastAsia="宋体"/>
          <w:color w:val="auto"/>
          <w:szCs w:val="21"/>
        </w:rPr>
        <w:t>获取方式：本项目通过云采链线上采购一体化平台进行竞价，参与竞价的报价人必须登录云采链线上采购一体化平台（</w:t>
      </w:r>
      <w:r>
        <w:rPr>
          <w:rFonts w:ascii="宋体" w:hAnsi="宋体" w:eastAsia="宋体"/>
          <w:color w:val="auto"/>
          <w:szCs w:val="21"/>
        </w:rPr>
        <w:t>http://e.chinapsp.cn/gd/index.html</w:t>
      </w:r>
      <w:r>
        <w:rPr>
          <w:rFonts w:hint="eastAsia" w:ascii="宋体" w:hAnsi="宋体" w:eastAsia="宋体"/>
          <w:color w:val="auto"/>
          <w:szCs w:val="21"/>
        </w:rPr>
        <w:t>）进行注册（注册时须填写基本资料并上传营业执照），平台注册审核通过后，报价人方可报名参与项目竞价。报名时，报价人代表须提供以下资料（加盖报价人公章）： （1）</w:t>
      </w:r>
      <w:r>
        <w:rPr>
          <w:rFonts w:hint="eastAsia" w:ascii="宋体" w:hAnsi="宋体" w:eastAsia="宋体" w:cs="Courier New"/>
          <w:color w:val="auto"/>
          <w:szCs w:val="21"/>
        </w:rPr>
        <w:t>有效的营业执照或法人登记证书复印件</w:t>
      </w:r>
      <w:r>
        <w:rPr>
          <w:rFonts w:hint="eastAsia" w:ascii="宋体" w:hAnsi="宋体" w:eastAsia="宋体"/>
          <w:color w:val="auto"/>
          <w:szCs w:val="21"/>
        </w:rPr>
        <w:t>；</w:t>
      </w:r>
      <w:r>
        <w:rPr>
          <w:rFonts w:hint="eastAsia" w:ascii="宋体" w:hAnsi="宋体" w:eastAsia="宋体" w:cs="Courier New"/>
          <w:color w:val="auto"/>
          <w:szCs w:val="21"/>
        </w:rPr>
        <w:t>如为独立法人设立的分支机构参加</w:t>
      </w:r>
      <w:r>
        <w:rPr>
          <w:rFonts w:hint="eastAsia" w:ascii="宋体" w:hAnsi="宋体" w:eastAsia="宋体"/>
          <w:color w:val="auto"/>
          <w:szCs w:val="21"/>
        </w:rPr>
        <w:t>本项目采购活动</w:t>
      </w:r>
      <w:r>
        <w:rPr>
          <w:rFonts w:hint="eastAsia" w:ascii="宋体" w:hAnsi="宋体" w:eastAsia="宋体" w:cs="Courier New"/>
          <w:color w:val="auto"/>
          <w:szCs w:val="21"/>
        </w:rPr>
        <w:t>，报价人需另外提供独立法人出具的明确报价人的权限范围的唯一响应授权书，并提交独立法人有效的营业执照或法人登记证书复印件。</w:t>
      </w:r>
      <w:r>
        <w:rPr>
          <w:rFonts w:hint="eastAsia" w:ascii="宋体" w:hAnsi="宋体" w:eastAsia="宋体"/>
          <w:color w:val="auto"/>
          <w:szCs w:val="21"/>
        </w:rPr>
        <w:t>（2）法定代表人证明书及法定代表人身份证复印件和法定代表人授权委托书及授权代表身份证复印件（如法定代表人亲自参与本项目竞价的，无需提交法定代表人授权委托书及授权代表身份证复印件）。（3）《用户需求书响应声明函》</w:t>
      </w:r>
      <w:r>
        <w:rPr>
          <w:rFonts w:hint="eastAsia" w:ascii="宋体" w:hAnsi="宋体" w:eastAsia="宋体" w:cs="宋体"/>
          <w:color w:val="auto"/>
          <w:szCs w:val="21"/>
          <w:shd w:val="clear" w:color="auto" w:fill="FFFFFF"/>
        </w:rPr>
        <w:t>（4）</w:t>
      </w:r>
      <w:r>
        <w:rPr>
          <w:rFonts w:hint="eastAsia"/>
          <w:color w:val="auto"/>
          <w:szCs w:val="21"/>
          <w:shd w:val="clear" w:color="auto" w:fill="FFFFFF"/>
        </w:rPr>
        <w:t>有效的食品生产许可证或食品经营许可证或食品药品经营许可证或食品经营备案证明（如国家另有规定的，则从其规定）</w:t>
      </w:r>
      <w:r>
        <w:rPr>
          <w:rFonts w:hint="eastAsia" w:ascii="宋体" w:hAnsi="宋体" w:eastAsia="宋体"/>
          <w:color w:val="auto"/>
          <w:szCs w:val="21"/>
        </w:rPr>
        <w:t>。（5）《合同条款响应声明函》。（6）报价人自20</w:t>
      </w:r>
      <w:r>
        <w:rPr>
          <w:rFonts w:ascii="宋体" w:hAnsi="宋体" w:eastAsia="宋体"/>
          <w:color w:val="auto"/>
          <w:szCs w:val="21"/>
        </w:rPr>
        <w:t>21</w:t>
      </w:r>
      <w:r>
        <w:rPr>
          <w:rFonts w:hint="eastAsia" w:ascii="宋体" w:hAnsi="宋体" w:eastAsia="宋体"/>
          <w:color w:val="auto"/>
          <w:szCs w:val="21"/>
        </w:rPr>
        <w:t>年1月1日至今承担过的至少1个</w:t>
      </w:r>
      <w:r>
        <w:rPr>
          <w:rFonts w:hint="eastAsia" w:ascii="宋体" w:hAnsi="宋体" w:cs="宋体"/>
          <w:color w:val="auto"/>
          <w:kern w:val="0"/>
          <w:szCs w:val="20"/>
        </w:rPr>
        <w:t>同类项目</w:t>
      </w:r>
      <w:r>
        <w:rPr>
          <w:rFonts w:ascii="宋体" w:hAnsi="宋体" w:cs="宋体"/>
          <w:color w:val="auto"/>
          <w:kern w:val="0"/>
          <w:szCs w:val="20"/>
        </w:rPr>
        <w:t>业绩</w:t>
      </w:r>
      <w:r>
        <w:rPr>
          <w:rFonts w:hint="eastAsia" w:ascii="宋体" w:hAnsi="宋体" w:cs="宋体"/>
          <w:color w:val="auto"/>
          <w:kern w:val="0"/>
          <w:szCs w:val="20"/>
        </w:rPr>
        <w:t>（同类项目</w:t>
      </w:r>
      <w:r>
        <w:rPr>
          <w:rFonts w:ascii="宋体" w:hAnsi="宋体" w:cs="宋体"/>
          <w:color w:val="auto"/>
          <w:kern w:val="0"/>
          <w:szCs w:val="20"/>
        </w:rPr>
        <w:t>指</w:t>
      </w:r>
      <w:r>
        <w:rPr>
          <w:rFonts w:hint="eastAsia" w:ascii="宋体" w:hAnsi="宋体" w:cs="宋体"/>
          <w:color w:val="auto"/>
          <w:kern w:val="0"/>
          <w:szCs w:val="20"/>
        </w:rPr>
        <w:t>食用油或</w:t>
      </w:r>
      <w:r>
        <w:rPr>
          <w:rFonts w:ascii="宋体" w:hAnsi="宋体" w:cs="宋体"/>
          <w:color w:val="auto"/>
          <w:kern w:val="0"/>
          <w:szCs w:val="20"/>
        </w:rPr>
        <w:t>米</w:t>
      </w:r>
      <w:r>
        <w:rPr>
          <w:rFonts w:hint="eastAsia" w:ascii="宋体" w:hAnsi="宋体" w:cs="宋体"/>
          <w:color w:val="auto"/>
          <w:kern w:val="0"/>
          <w:szCs w:val="20"/>
        </w:rPr>
        <w:t>或</w:t>
      </w:r>
      <w:r>
        <w:rPr>
          <w:rFonts w:ascii="宋体" w:hAnsi="宋体" w:cs="宋体"/>
          <w:color w:val="auto"/>
          <w:kern w:val="0"/>
          <w:szCs w:val="20"/>
        </w:rPr>
        <w:t>洗洁精或洗衣</w:t>
      </w:r>
      <w:r>
        <w:rPr>
          <w:rFonts w:hint="eastAsia" w:ascii="宋体" w:hAnsi="宋体" w:cs="宋体"/>
          <w:color w:val="auto"/>
          <w:kern w:val="0"/>
          <w:szCs w:val="20"/>
        </w:rPr>
        <w:t>液</w:t>
      </w:r>
      <w:r>
        <w:rPr>
          <w:rFonts w:ascii="宋体" w:hAnsi="宋体" w:cs="宋体"/>
          <w:color w:val="auto"/>
          <w:kern w:val="0"/>
          <w:szCs w:val="20"/>
        </w:rPr>
        <w:t>等</w:t>
      </w:r>
      <w:r>
        <w:rPr>
          <w:rFonts w:hint="eastAsia" w:ascii="宋体" w:hAnsi="宋体" w:cs="宋体"/>
          <w:color w:val="auto"/>
          <w:kern w:val="0"/>
          <w:szCs w:val="20"/>
        </w:rPr>
        <w:t>礼品供货项目）</w:t>
      </w:r>
      <w:r>
        <w:rPr>
          <w:rFonts w:hint="eastAsia" w:ascii="宋体" w:hAnsi="宋体" w:eastAsia="宋体"/>
          <w:color w:val="auto"/>
          <w:szCs w:val="21"/>
        </w:rPr>
        <w:t>的合同(至少包括项目名称、项目概况、合同金额、双方签字盖章页）或框架协议（至少包括项目名称、项目概况、双方签字盖章页及与协议对应的订单）复印件。（</w:t>
      </w:r>
      <w:r>
        <w:rPr>
          <w:rFonts w:hint="eastAsia" w:ascii="宋体" w:hAnsi="宋体" w:eastAsia="宋体"/>
          <w:color w:val="auto"/>
          <w:szCs w:val="21"/>
          <w:lang w:val="en-US" w:eastAsia="zh-CN"/>
        </w:rPr>
        <w:t>7</w:t>
      </w:r>
      <w:r>
        <w:rPr>
          <w:rFonts w:hint="eastAsia" w:ascii="宋体" w:hAnsi="宋体" w:eastAsia="宋体"/>
          <w:color w:val="auto"/>
          <w:szCs w:val="21"/>
        </w:rPr>
        <w:t>）</w:t>
      </w:r>
      <w:r>
        <w:rPr>
          <w:rFonts w:hint="eastAsia" w:ascii="宋体" w:hAnsi="宋体" w:eastAsia="宋体" w:cs="Courier New"/>
          <w:color w:val="auto"/>
          <w:szCs w:val="21"/>
        </w:rPr>
        <w:t>《报价人资格声明函》</w:t>
      </w:r>
      <w:r>
        <w:rPr>
          <w:rFonts w:hint="eastAsia" w:ascii="宋体" w:hAnsi="宋体" w:eastAsia="宋体" w:cs="宋体"/>
          <w:color w:val="auto"/>
          <w:szCs w:val="21"/>
        </w:rPr>
        <w:t>。（</w:t>
      </w:r>
      <w:r>
        <w:rPr>
          <w:rFonts w:hint="eastAsia" w:ascii="宋体" w:hAnsi="宋体" w:eastAsia="宋体" w:cs="宋体"/>
          <w:color w:val="auto"/>
          <w:szCs w:val="21"/>
          <w:lang w:val="en-US" w:eastAsia="zh-CN"/>
        </w:rPr>
        <w:t>8</w:t>
      </w:r>
      <w:r>
        <w:rPr>
          <w:rFonts w:ascii="宋体" w:hAnsi="宋体" w:eastAsia="宋体" w:cs="宋体"/>
          <w:color w:val="auto"/>
          <w:szCs w:val="21"/>
        </w:rPr>
        <w:t>）本项目竞价保证金</w:t>
      </w:r>
      <w:r>
        <w:rPr>
          <w:rFonts w:hint="eastAsia" w:ascii="宋体" w:hAnsi="宋体" w:eastAsia="宋体" w:cs="宋体"/>
          <w:color w:val="auto"/>
        </w:rPr>
        <w:t>汇款底单复印件及中国人民银行颁发的基本账户开户证明复印件或“基本账户信息”说明材料等。如采用银行保函、应答保函、保险形式的，须提供保函、保险原件，保函、保险中应当写明受益人为本项目采购人，担保项目为本项目名称，担保有效期应覆盖应答有效期</w:t>
      </w:r>
      <w:r>
        <w:rPr>
          <w:rFonts w:hint="eastAsia" w:ascii="宋体" w:hAnsi="宋体" w:eastAsia="宋体" w:cs="宋体"/>
          <w:color w:val="auto"/>
          <w:szCs w:val="21"/>
        </w:rPr>
        <w:t>。</w:t>
      </w:r>
      <w:r>
        <w:rPr>
          <w:rFonts w:hint="eastAsia" w:ascii="宋体" w:hAnsi="宋体" w:eastAsia="宋体"/>
          <w:color w:val="auto"/>
          <w:szCs w:val="21"/>
        </w:rPr>
        <w:t>说明：报价人须把上述加盖报价人公章的资料上传云采链线上采购一体化平台（http://e.chinapsp.cn/gd/index.html），并在公告附件免费下载采购文件。平台报名审核通过后，报价人方可在规定时间内报价。</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报价文件的递交</w:t>
      </w:r>
    </w:p>
    <w:p>
      <w:pPr>
        <w:tabs>
          <w:tab w:val="left" w:pos="284"/>
          <w:tab w:val="left" w:pos="426"/>
        </w:tabs>
        <w:adjustRightInd w:val="0"/>
        <w:snapToGrid w:val="0"/>
        <w:spacing w:line="360" w:lineRule="auto"/>
        <w:ind w:firstLine="420" w:firstLineChars="200"/>
        <w:jc w:val="left"/>
        <w:rPr>
          <w:rFonts w:hint="default" w:ascii="宋体" w:hAnsi="宋体" w:eastAsia="宋体"/>
          <w:color w:val="auto"/>
          <w:szCs w:val="21"/>
          <w:lang w:val="en-US" w:eastAsia="zh-CN"/>
        </w:rPr>
      </w:pPr>
      <w:r>
        <w:rPr>
          <w:rFonts w:hint="eastAsia" w:ascii="宋体" w:hAnsi="宋体" w:eastAsia="宋体"/>
          <w:color w:val="auto"/>
          <w:szCs w:val="21"/>
        </w:rPr>
        <w:t>递交截止时间：</w:t>
      </w:r>
      <w:bookmarkStart w:id="5" w:name="_Hlk83304549"/>
      <w:r>
        <w:rPr>
          <w:rFonts w:hint="eastAsia" w:ascii="宋体" w:hAnsi="宋体" w:eastAsia="宋体"/>
          <w:color w:val="auto"/>
          <w:szCs w:val="21"/>
        </w:rPr>
        <w:t>2024年</w:t>
      </w:r>
      <w:r>
        <w:rPr>
          <w:rFonts w:hint="eastAsia" w:ascii="宋体" w:hAnsi="宋体" w:eastAsia="宋体"/>
          <w:color w:val="auto"/>
          <w:szCs w:val="21"/>
          <w:lang w:val="en-US" w:eastAsia="zh-CN"/>
        </w:rPr>
        <w:t>5</w:t>
      </w:r>
      <w:r>
        <w:rPr>
          <w:rFonts w:hint="eastAsia" w:ascii="宋体" w:hAnsi="宋体" w:eastAsia="宋体"/>
          <w:color w:val="auto"/>
          <w:szCs w:val="21"/>
        </w:rPr>
        <w:t>月</w:t>
      </w:r>
      <w:r>
        <w:rPr>
          <w:rFonts w:hint="eastAsia" w:ascii="宋体" w:hAnsi="宋体" w:eastAsia="宋体"/>
          <w:color w:val="auto"/>
          <w:szCs w:val="21"/>
          <w:lang w:val="en-US" w:eastAsia="zh-CN"/>
        </w:rPr>
        <w:t>8</w:t>
      </w:r>
      <w:r>
        <w:rPr>
          <w:rFonts w:hint="eastAsia" w:ascii="宋体" w:hAnsi="宋体" w:eastAsia="宋体"/>
          <w:color w:val="auto"/>
          <w:szCs w:val="21"/>
        </w:rPr>
        <w:t>日</w:t>
      </w:r>
      <w:r>
        <w:rPr>
          <w:rFonts w:hint="eastAsia" w:ascii="宋体" w:hAnsi="宋体" w:eastAsia="宋体"/>
          <w:color w:val="auto"/>
          <w:szCs w:val="21"/>
          <w:lang w:val="en-US" w:eastAsia="zh-CN"/>
        </w:rPr>
        <w:t>12</w:t>
      </w:r>
      <w:r>
        <w:rPr>
          <w:rFonts w:hint="eastAsia" w:ascii="宋体" w:hAnsi="宋体" w:eastAsia="宋体"/>
          <w:color w:val="auto"/>
          <w:szCs w:val="21"/>
        </w:rPr>
        <w:t>：</w:t>
      </w:r>
      <w:bookmarkEnd w:id="5"/>
      <w:r>
        <w:rPr>
          <w:rFonts w:hint="eastAsia" w:ascii="宋体" w:hAnsi="宋体" w:eastAsia="宋体"/>
          <w:color w:val="auto"/>
          <w:szCs w:val="21"/>
          <w:lang w:val="en-US" w:eastAsia="zh-CN"/>
        </w:rPr>
        <w:t>30</w:t>
      </w:r>
    </w:p>
    <w:p>
      <w:pPr>
        <w:tabs>
          <w:tab w:val="left" w:pos="284"/>
          <w:tab w:val="left" w:pos="426"/>
        </w:tabs>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递交方式：云采链线上采购一体化平台（</w:t>
      </w:r>
      <w:r>
        <w:rPr>
          <w:rFonts w:ascii="宋体" w:hAnsi="宋体" w:eastAsia="宋体"/>
          <w:color w:val="auto"/>
          <w:szCs w:val="21"/>
        </w:rPr>
        <w:t>http://e.chinapsp.cn/gd/index.html</w:t>
      </w:r>
      <w:r>
        <w:rPr>
          <w:rFonts w:hint="eastAsia" w:ascii="宋体" w:hAnsi="宋体" w:eastAsia="宋体"/>
          <w:color w:val="auto"/>
          <w:szCs w:val="21"/>
        </w:rPr>
        <w:t>）（逾期提交的报价文件不予受理）电子文件递交</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报价时间及地点</w:t>
      </w:r>
    </w:p>
    <w:p>
      <w:pPr>
        <w:tabs>
          <w:tab w:val="left" w:pos="284"/>
          <w:tab w:val="left" w:pos="426"/>
        </w:tabs>
        <w:adjustRightInd w:val="0"/>
        <w:snapToGrid w:val="0"/>
        <w:spacing w:line="360" w:lineRule="auto"/>
        <w:ind w:firstLine="420" w:firstLineChars="200"/>
        <w:jc w:val="left"/>
        <w:rPr>
          <w:rFonts w:hint="default" w:ascii="宋体" w:hAnsi="宋体" w:eastAsia="宋体"/>
          <w:color w:val="auto"/>
          <w:szCs w:val="21"/>
          <w:lang w:val="en-US" w:eastAsia="zh-CN"/>
        </w:rPr>
      </w:pPr>
      <w:r>
        <w:rPr>
          <w:rFonts w:hint="eastAsia" w:ascii="宋体" w:hAnsi="宋体" w:eastAsia="宋体"/>
          <w:color w:val="auto"/>
          <w:szCs w:val="21"/>
        </w:rPr>
        <w:t>报价时间：</w:t>
      </w:r>
      <w:bookmarkStart w:id="6" w:name="_Hlk83304619"/>
      <w:r>
        <w:rPr>
          <w:rFonts w:hint="eastAsia" w:ascii="宋体" w:hAnsi="宋体" w:eastAsia="宋体"/>
          <w:color w:val="auto"/>
          <w:szCs w:val="21"/>
        </w:rPr>
        <w:t>2024年</w:t>
      </w:r>
      <w:r>
        <w:rPr>
          <w:rFonts w:hint="eastAsia" w:ascii="宋体" w:hAnsi="宋体" w:eastAsia="宋体"/>
          <w:color w:val="auto"/>
          <w:szCs w:val="21"/>
          <w:lang w:val="en-US" w:eastAsia="zh-CN"/>
        </w:rPr>
        <w:t>5</w:t>
      </w:r>
      <w:r>
        <w:rPr>
          <w:rFonts w:hint="eastAsia" w:ascii="宋体" w:hAnsi="宋体" w:eastAsia="宋体"/>
          <w:color w:val="auto"/>
          <w:szCs w:val="21"/>
        </w:rPr>
        <w:t>月</w:t>
      </w:r>
      <w:r>
        <w:rPr>
          <w:rFonts w:hint="eastAsia" w:ascii="宋体" w:hAnsi="宋体" w:eastAsia="宋体"/>
          <w:color w:val="auto"/>
          <w:szCs w:val="21"/>
          <w:lang w:val="en-US" w:eastAsia="zh-CN"/>
        </w:rPr>
        <w:t>8</w:t>
      </w:r>
      <w:r>
        <w:rPr>
          <w:rFonts w:hint="eastAsia" w:ascii="宋体" w:hAnsi="宋体" w:eastAsia="宋体"/>
          <w:color w:val="auto"/>
          <w:szCs w:val="21"/>
        </w:rPr>
        <w:t>日</w:t>
      </w:r>
      <w:r>
        <w:rPr>
          <w:rFonts w:hint="eastAsia" w:ascii="宋体" w:hAnsi="宋体" w:eastAsia="宋体"/>
          <w:color w:val="auto"/>
          <w:szCs w:val="21"/>
          <w:lang w:val="en-US" w:eastAsia="zh-CN"/>
        </w:rPr>
        <w:t>8</w:t>
      </w:r>
      <w:r>
        <w:rPr>
          <w:rFonts w:hint="eastAsia" w:ascii="宋体" w:hAnsi="宋体" w:eastAsia="宋体"/>
          <w:color w:val="auto"/>
          <w:szCs w:val="21"/>
        </w:rPr>
        <w:t>：</w:t>
      </w:r>
      <w:r>
        <w:rPr>
          <w:rFonts w:hint="eastAsia" w:ascii="宋体" w:hAnsi="宋体" w:eastAsia="宋体"/>
          <w:color w:val="auto"/>
          <w:szCs w:val="21"/>
          <w:lang w:val="en-US" w:eastAsia="zh-CN"/>
        </w:rPr>
        <w:t>30</w:t>
      </w:r>
      <w:r>
        <w:rPr>
          <w:rFonts w:hint="eastAsia" w:ascii="宋体" w:hAnsi="宋体" w:eastAsia="宋体"/>
          <w:color w:val="auto"/>
          <w:szCs w:val="21"/>
        </w:rPr>
        <w:t>至</w:t>
      </w:r>
      <w:r>
        <w:rPr>
          <w:rFonts w:hint="eastAsia" w:ascii="宋体" w:hAnsi="宋体" w:eastAsia="宋体"/>
          <w:color w:val="auto"/>
          <w:szCs w:val="21"/>
          <w:lang w:val="en-US" w:eastAsia="zh-CN"/>
        </w:rPr>
        <w:t>12</w:t>
      </w:r>
      <w:r>
        <w:rPr>
          <w:rFonts w:hint="eastAsia" w:ascii="宋体" w:hAnsi="宋体" w:eastAsia="宋体"/>
          <w:color w:val="auto"/>
          <w:szCs w:val="21"/>
        </w:rPr>
        <w:t>：</w:t>
      </w:r>
      <w:bookmarkEnd w:id="6"/>
      <w:r>
        <w:rPr>
          <w:rFonts w:hint="eastAsia" w:ascii="宋体" w:hAnsi="宋体" w:eastAsia="宋体"/>
          <w:color w:val="auto"/>
          <w:szCs w:val="21"/>
          <w:lang w:val="en-US" w:eastAsia="zh-CN"/>
        </w:rPr>
        <w:t>30</w:t>
      </w:r>
    </w:p>
    <w:p>
      <w:pPr>
        <w:tabs>
          <w:tab w:val="left" w:pos="284"/>
          <w:tab w:val="left" w:pos="426"/>
        </w:tabs>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报价地点：云采链线上采购一体化平台（</w:t>
      </w:r>
      <w:r>
        <w:rPr>
          <w:rFonts w:ascii="宋体" w:hAnsi="宋体" w:eastAsia="宋体"/>
          <w:color w:val="auto"/>
          <w:szCs w:val="21"/>
        </w:rPr>
        <w:t>http://e.chinapsp.cn/gd/index.html</w:t>
      </w:r>
      <w:r>
        <w:rPr>
          <w:rFonts w:hint="eastAsia" w:ascii="宋体" w:hAnsi="宋体" w:eastAsia="宋体"/>
          <w:color w:val="auto"/>
          <w:szCs w:val="21"/>
        </w:rPr>
        <w:t>）</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其他</w:t>
      </w:r>
    </w:p>
    <w:p>
      <w:pPr>
        <w:adjustRightInd w:val="0"/>
        <w:snapToGrid w:val="0"/>
        <w:spacing w:line="360" w:lineRule="auto"/>
        <w:ind w:firstLine="424" w:firstLineChars="202"/>
        <w:rPr>
          <w:rFonts w:ascii="宋体" w:hAnsi="宋体" w:eastAsia="宋体"/>
          <w:color w:val="auto"/>
          <w:szCs w:val="21"/>
        </w:rPr>
      </w:pPr>
      <w:r>
        <w:rPr>
          <w:rFonts w:hint="eastAsia" w:ascii="宋体" w:hAnsi="宋体" w:eastAsia="宋体"/>
          <w:color w:val="auto"/>
          <w:szCs w:val="21"/>
        </w:rPr>
        <w:t>1.项目类型：货物类</w:t>
      </w:r>
    </w:p>
    <w:p>
      <w:pPr>
        <w:adjustRightInd w:val="0"/>
        <w:snapToGrid w:val="0"/>
        <w:spacing w:line="360" w:lineRule="auto"/>
        <w:ind w:firstLine="424" w:firstLineChars="202"/>
        <w:rPr>
          <w:rFonts w:ascii="宋体" w:hAnsi="宋体" w:eastAsia="宋体"/>
          <w:color w:val="auto"/>
          <w:szCs w:val="21"/>
        </w:rPr>
      </w:pPr>
      <w:r>
        <w:rPr>
          <w:rFonts w:hint="eastAsia" w:ascii="宋体" w:hAnsi="宋体" w:eastAsia="宋体"/>
          <w:color w:val="auto"/>
          <w:szCs w:val="21"/>
        </w:rPr>
        <w:t>2.项目的具体内容详见采购文件中的“用户需求书”。</w:t>
      </w:r>
    </w:p>
    <w:p>
      <w:pPr>
        <w:tabs>
          <w:tab w:val="left" w:pos="284"/>
          <w:tab w:val="left" w:pos="426"/>
        </w:tabs>
        <w:wordWrap w:val="0"/>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3.本项目相关公告在中国招标投标公共服务平台（http://www.cebpubservice.com）、广东省广播电视网络股份有限公司网站（http://www.gcable.com.cn）及云采链线上采购一体化平台（</w:t>
      </w:r>
      <w:r>
        <w:rPr>
          <w:rFonts w:ascii="宋体" w:hAnsi="宋体" w:eastAsia="宋体"/>
          <w:color w:val="auto"/>
          <w:szCs w:val="21"/>
        </w:rPr>
        <w:t>http://e.chinapsp.cn/gd/index.html</w:t>
      </w:r>
      <w:r>
        <w:rPr>
          <w:rFonts w:hint="eastAsia" w:ascii="宋体" w:hAnsi="宋体" w:eastAsia="宋体"/>
          <w:color w:val="auto"/>
          <w:szCs w:val="21"/>
        </w:rPr>
        <w:t>）上公布之日即视为有效送达，不再另行通知。</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4.竞价报名截止后，报名本项目的潜在报价人少于4个的，采购人可以依法重新组织本项目采购活动。</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监管部门</w:t>
      </w:r>
    </w:p>
    <w:p>
      <w:pPr>
        <w:tabs>
          <w:tab w:val="left" w:pos="284"/>
          <w:tab w:val="left" w:pos="426"/>
        </w:tabs>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本采购项目的监管部门为广东有线广播电视网络有限公司纪检监察审计部。</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联系方式</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采购单位：广东有线广播电视网络有限公司</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地    址：广州市越秀区环市东路331号</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联 系 人：/</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    话：/</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电子邮箱：</w:t>
      </w:r>
      <w:r>
        <w:rPr>
          <w:color w:val="auto"/>
        </w:rPr>
        <w:fldChar w:fldCharType="begin"/>
      </w:r>
      <w:r>
        <w:rPr>
          <w:color w:val="auto"/>
        </w:rPr>
        <w:instrText xml:space="preserve"> HYPERLINK "mailto:maijn99@163.com" </w:instrText>
      </w:r>
      <w:r>
        <w:rPr>
          <w:color w:val="auto"/>
        </w:rPr>
        <w:fldChar w:fldCharType="separate"/>
      </w:r>
      <w:r>
        <w:rPr>
          <w:rFonts w:hint="eastAsia" w:ascii="宋体" w:hAnsi="宋体" w:eastAsia="宋体"/>
          <w:color w:val="auto"/>
          <w:szCs w:val="21"/>
        </w:rPr>
        <w:t>/</w:t>
      </w:r>
      <w:r>
        <w:rPr>
          <w:rFonts w:hint="eastAsia" w:ascii="宋体" w:hAnsi="宋体" w:eastAsia="宋体"/>
          <w:color w:val="auto"/>
          <w:szCs w:val="21"/>
        </w:rPr>
        <w:fldChar w:fldCharType="end"/>
      </w:r>
    </w:p>
    <w:p>
      <w:pPr>
        <w:snapToGrid w:val="0"/>
        <w:spacing w:line="360" w:lineRule="auto"/>
        <w:ind w:firstLine="420" w:firstLineChars="200"/>
        <w:rPr>
          <w:rFonts w:ascii="宋体" w:hAnsi="宋体" w:eastAsia="宋体"/>
          <w:color w:val="auto"/>
          <w:szCs w:val="21"/>
        </w:rPr>
      </w:pP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采购代理机构：采联国际招标采购集团有限公司</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地    址：广州市环市东路472号粤海大厦7、23楼</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联 系 人：李女士</w:t>
      </w:r>
    </w:p>
    <w:p>
      <w:pPr>
        <w:snapToGrid w:val="0"/>
        <w:spacing w:line="360" w:lineRule="auto"/>
        <w:ind w:firstLine="420" w:firstLineChars="200"/>
        <w:rPr>
          <w:rFonts w:ascii="宋体" w:hAnsi="宋体" w:eastAsia="宋体"/>
          <w:color w:val="auto"/>
          <w:szCs w:val="21"/>
          <w:u w:val="double"/>
        </w:rPr>
      </w:pPr>
      <w:r>
        <w:rPr>
          <w:rFonts w:hint="eastAsia" w:ascii="宋体" w:hAnsi="宋体" w:eastAsia="宋体"/>
          <w:color w:val="auto"/>
          <w:szCs w:val="21"/>
        </w:rPr>
        <w:t>电    话：020-87622828</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电子邮箱：service@choicelink.cn</w:t>
      </w:r>
    </w:p>
    <w:p>
      <w:pPr>
        <w:snapToGrid w:val="0"/>
        <w:spacing w:line="360" w:lineRule="auto"/>
        <w:ind w:firstLine="420" w:firstLineChars="200"/>
        <w:jc w:val="right"/>
        <w:rPr>
          <w:rFonts w:ascii="宋体" w:hAnsi="宋体" w:eastAsia="宋体"/>
          <w:color w:val="auto"/>
          <w:szCs w:val="21"/>
        </w:rPr>
      </w:pPr>
      <w:r>
        <w:rPr>
          <w:rFonts w:hint="eastAsia" w:ascii="宋体" w:hAnsi="宋体" w:eastAsia="宋体"/>
          <w:color w:val="auto"/>
          <w:szCs w:val="21"/>
        </w:rPr>
        <w:t>采联国际招标采购集团有限公司</w:t>
      </w:r>
    </w:p>
    <w:p>
      <w:pPr>
        <w:tabs>
          <w:tab w:val="left" w:pos="5820"/>
          <w:tab w:val="right" w:pos="9070"/>
        </w:tabs>
        <w:adjustRightInd w:val="0"/>
        <w:snapToGrid w:val="0"/>
        <w:spacing w:line="360" w:lineRule="auto"/>
        <w:jc w:val="right"/>
        <w:rPr>
          <w:rFonts w:ascii="宋体" w:hAnsi="宋体" w:eastAsia="宋体"/>
          <w:color w:val="auto"/>
          <w:szCs w:val="21"/>
        </w:rPr>
      </w:pPr>
      <w:r>
        <w:rPr>
          <w:rFonts w:hint="eastAsia" w:ascii="宋体" w:hAnsi="宋体" w:eastAsia="宋体"/>
          <w:color w:val="auto"/>
          <w:szCs w:val="21"/>
        </w:rPr>
        <w:t>2024年</w:t>
      </w:r>
      <w:r>
        <w:rPr>
          <w:rFonts w:hint="eastAsia" w:ascii="宋体" w:hAnsi="宋体" w:eastAsia="宋体"/>
          <w:color w:val="auto"/>
          <w:szCs w:val="21"/>
          <w:lang w:val="en-US" w:eastAsia="zh-CN"/>
        </w:rPr>
        <w:t>4</w:t>
      </w:r>
      <w:r>
        <w:rPr>
          <w:rFonts w:hint="eastAsia" w:ascii="宋体" w:hAnsi="宋体" w:eastAsia="宋体"/>
          <w:color w:val="auto"/>
          <w:szCs w:val="21"/>
        </w:rPr>
        <w:t>月</w:t>
      </w:r>
      <w:r>
        <w:rPr>
          <w:rFonts w:hint="eastAsia" w:ascii="宋体" w:hAnsi="宋体" w:eastAsia="宋体"/>
          <w:color w:val="auto"/>
          <w:szCs w:val="21"/>
          <w:lang w:val="en-US" w:eastAsia="zh-CN"/>
        </w:rPr>
        <w:t>26</w:t>
      </w:r>
      <w:r>
        <w:rPr>
          <w:rFonts w:hint="eastAsia" w:ascii="宋体" w:hAnsi="宋体" w:eastAsia="宋体"/>
          <w:color w:val="auto"/>
          <w:szCs w:val="21"/>
        </w:rPr>
        <w:t>日</w:t>
      </w:r>
    </w:p>
    <w:p>
      <w:pPr>
        <w:rPr>
          <w:color w:val="auto"/>
        </w:rPr>
      </w:pPr>
      <w:bookmarkStart w:id="7" w:name="_Toc64879403"/>
      <w:r>
        <w:rPr>
          <w:rFonts w:hint="eastAsia"/>
          <w:color w:val="auto"/>
        </w:rPr>
        <w:br w:type="page"/>
      </w:r>
    </w:p>
    <w:bookmarkEnd w:id="7"/>
    <w:p>
      <w:pPr>
        <w:pStyle w:val="16"/>
        <w:spacing w:before="0" w:after="0"/>
        <w:rPr>
          <w:color w:val="auto"/>
        </w:rPr>
      </w:pPr>
      <w:r>
        <w:rPr>
          <w:rFonts w:hint="eastAsia"/>
          <w:color w:val="auto"/>
        </w:rPr>
        <w:t>第二章 竞价须知</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总则</w:t>
      </w:r>
    </w:p>
    <w:p>
      <w:pPr>
        <w:numPr>
          <w:ilvl w:val="0"/>
          <w:numId w:val="5"/>
        </w:numPr>
        <w:wordWrap w:val="0"/>
        <w:autoSpaceDE w:val="0"/>
        <w:autoSpaceDN w:val="0"/>
        <w:adjustRightInd w:val="0"/>
        <w:snapToGrid w:val="0"/>
        <w:spacing w:line="360" w:lineRule="auto"/>
        <w:ind w:firstLine="6"/>
        <w:jc w:val="left"/>
        <w:rPr>
          <w:rFonts w:ascii="宋体" w:hAnsi="宋体"/>
          <w:color w:val="auto"/>
          <w:kern w:val="0"/>
          <w:szCs w:val="21"/>
        </w:rPr>
      </w:pPr>
      <w:r>
        <w:rPr>
          <w:rFonts w:hint="eastAsia" w:ascii="宋体" w:hAnsi="宋体"/>
          <w:color w:val="auto"/>
          <w:kern w:val="0"/>
          <w:szCs w:val="21"/>
        </w:rPr>
        <w:t>适用范围：采购人、报价人、采购代理机构及各方当事人适用本须知。</w:t>
      </w:r>
    </w:p>
    <w:p>
      <w:pPr>
        <w:numPr>
          <w:ilvl w:val="0"/>
          <w:numId w:val="5"/>
        </w:numPr>
        <w:wordWrap w:val="0"/>
        <w:autoSpaceDE w:val="0"/>
        <w:autoSpaceDN w:val="0"/>
        <w:adjustRightInd w:val="0"/>
        <w:snapToGrid w:val="0"/>
        <w:spacing w:line="360" w:lineRule="auto"/>
        <w:ind w:firstLine="6"/>
        <w:jc w:val="left"/>
        <w:rPr>
          <w:rFonts w:ascii="宋体" w:hAnsi="宋体"/>
          <w:color w:val="auto"/>
          <w:kern w:val="0"/>
          <w:szCs w:val="21"/>
        </w:rPr>
      </w:pPr>
      <w:r>
        <w:rPr>
          <w:rFonts w:hint="eastAsia" w:ascii="宋体" w:hAnsi="宋体"/>
          <w:color w:val="auto"/>
          <w:kern w:val="0"/>
          <w:szCs w:val="21"/>
        </w:rPr>
        <w:t>采购人：广东有线广播电视网络有限公司。</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采购代理机构：采联国际招标采购集团有限公司。</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电子竞价平台</w:t>
      </w:r>
      <w:bookmarkStart w:id="8" w:name="_Hlk64878522"/>
      <w:r>
        <w:rPr>
          <w:rFonts w:hint="eastAsia" w:ascii="宋体" w:hAnsi="宋体"/>
          <w:color w:val="auto"/>
          <w:kern w:val="0"/>
          <w:szCs w:val="21"/>
        </w:rPr>
        <w:t>（以下简称“平台”）</w:t>
      </w:r>
      <w:bookmarkEnd w:id="8"/>
      <w:r>
        <w:rPr>
          <w:rFonts w:hint="eastAsia" w:ascii="宋体" w:hAnsi="宋体"/>
          <w:color w:val="auto"/>
          <w:kern w:val="0"/>
          <w:szCs w:val="21"/>
        </w:rPr>
        <w:t>：云采链线上采购一体化平台（</w:t>
      </w:r>
      <w:r>
        <w:rPr>
          <w:rFonts w:ascii="宋体" w:hAnsi="宋体"/>
          <w:color w:val="auto"/>
          <w:kern w:val="0"/>
          <w:szCs w:val="21"/>
        </w:rPr>
        <w:t>http://e.chinapsp.cn/gd/index.html</w:t>
      </w:r>
      <w:r>
        <w:rPr>
          <w:rFonts w:hint="eastAsia" w:ascii="宋体" w:hAnsi="宋体"/>
          <w:color w:val="auto"/>
          <w:kern w:val="0"/>
          <w:szCs w:val="21"/>
        </w:rPr>
        <w:t>）。</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报价人：完全响应本项目采购文件“第三章 用户需求书”所有条款及“第四章 合同条款”的所有要求，并且符合“第一章 竞价邀请”规定的报价人资格条件的在中华人民共和国境内注册的法人或其他组织。</w:t>
      </w:r>
    </w:p>
    <w:p>
      <w:pPr>
        <w:pStyle w:val="26"/>
        <w:numPr>
          <w:ilvl w:val="0"/>
          <w:numId w:val="6"/>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ascii="宋体" w:hAnsi="宋体"/>
          <w:color w:val="auto"/>
          <w:szCs w:val="21"/>
        </w:rPr>
        <w:t>单位负责人为同一人或者存在直接控股、管理关系的不同</w:t>
      </w: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不得参加同一包组竞价或者未划分包组的同一竞价项目的</w:t>
      </w:r>
      <w:r>
        <w:rPr>
          <w:rFonts w:ascii="宋体" w:hAnsi="宋体"/>
          <w:color w:val="auto"/>
          <w:szCs w:val="21"/>
        </w:rPr>
        <w:t>活动</w:t>
      </w:r>
      <w:r>
        <w:rPr>
          <w:rFonts w:hint="eastAsia" w:ascii="宋体" w:hAnsi="宋体"/>
          <w:color w:val="auto"/>
          <w:szCs w:val="21"/>
        </w:rPr>
        <w:t>。如同时参加，则均作无效报价处理。</w:t>
      </w:r>
    </w:p>
    <w:p>
      <w:pPr>
        <w:pStyle w:val="26"/>
        <w:numPr>
          <w:ilvl w:val="0"/>
          <w:numId w:val="6"/>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szCs w:val="21"/>
        </w:rPr>
        <w:t>存在投资与被投资关系的不同报价人，不得参与同一竞价项目竞争。如同时参加，则均作无效报价处理。</w:t>
      </w:r>
    </w:p>
    <w:p>
      <w:pPr>
        <w:pStyle w:val="26"/>
        <w:numPr>
          <w:ilvl w:val="0"/>
          <w:numId w:val="6"/>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szCs w:val="21"/>
        </w:rPr>
        <w:t>不同报价人之间的经营者、董事会（或同类管理机构）成员属于直系亲属或配偶关系的，不得参与同一竞价项目竞争。如同时参加，则均作无效报价处理。</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成交人：经法定程序确定并授予合同的报价人。</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合格的货物、服务：</w:t>
      </w:r>
    </w:p>
    <w:p>
      <w:pPr>
        <w:tabs>
          <w:tab w:val="left" w:pos="567"/>
        </w:tabs>
        <w:wordWrap w:val="0"/>
        <w:autoSpaceDE w:val="0"/>
        <w:autoSpaceDN w:val="0"/>
        <w:adjustRightInd w:val="0"/>
        <w:snapToGrid w:val="0"/>
        <w:spacing w:line="360" w:lineRule="auto"/>
        <w:ind w:left="426"/>
        <w:jc w:val="left"/>
        <w:rPr>
          <w:rFonts w:ascii="宋体" w:hAnsi="宋体"/>
          <w:color w:val="auto"/>
          <w:kern w:val="0"/>
          <w:szCs w:val="21"/>
        </w:rPr>
      </w:pPr>
      <w:r>
        <w:rPr>
          <w:rFonts w:ascii="宋体" w:hAnsi="宋体"/>
          <w:color w:val="auto"/>
          <w:kern w:val="0"/>
          <w:szCs w:val="21"/>
        </w:rPr>
        <w:t>a）</w:t>
      </w:r>
      <w:r>
        <w:rPr>
          <w:rFonts w:hint="eastAsia" w:ascii="宋体" w:hAnsi="宋体"/>
          <w:color w:val="auto"/>
          <w:kern w:val="0"/>
          <w:szCs w:val="21"/>
        </w:rPr>
        <w:t>“货物”是指报价人制造或组织符合采购文件要求的货物等。采购的货物必须是其合法生产、合法来源的符合国家有关标准要求的货物，并满足采购文件规定的规格、参数、质量、价格、有效期、售后服务等要求。</w:t>
      </w:r>
    </w:p>
    <w:p>
      <w:pPr>
        <w:tabs>
          <w:tab w:val="left" w:pos="567"/>
        </w:tabs>
        <w:wordWrap w:val="0"/>
        <w:autoSpaceDE w:val="0"/>
        <w:autoSpaceDN w:val="0"/>
        <w:adjustRightInd w:val="0"/>
        <w:snapToGrid w:val="0"/>
        <w:spacing w:line="360" w:lineRule="auto"/>
        <w:ind w:left="426"/>
        <w:jc w:val="left"/>
        <w:rPr>
          <w:rFonts w:ascii="宋体" w:hAnsi="宋体"/>
          <w:color w:val="auto"/>
          <w:kern w:val="0"/>
          <w:szCs w:val="21"/>
        </w:rPr>
      </w:pPr>
      <w:r>
        <w:rPr>
          <w:rFonts w:ascii="宋体" w:hAnsi="宋体"/>
          <w:color w:val="auto"/>
          <w:kern w:val="0"/>
          <w:szCs w:val="21"/>
        </w:rPr>
        <w:t>b）</w:t>
      </w:r>
      <w:r>
        <w:rPr>
          <w:rFonts w:hint="eastAsia" w:ascii="宋体" w:hAnsi="宋体"/>
          <w:color w:val="auto"/>
          <w:kern w:val="0"/>
          <w:szCs w:val="21"/>
        </w:rPr>
        <w:t>“服务”是指报价人按采购文件规定完成的全部服务内容，其中包括完成服务所需的货物，及须承担的技术支持、培训和其它伴随服务。</w:t>
      </w:r>
    </w:p>
    <w:p>
      <w:pPr>
        <w:tabs>
          <w:tab w:val="left" w:pos="567"/>
        </w:tabs>
        <w:wordWrap w:val="0"/>
        <w:autoSpaceDE w:val="0"/>
        <w:autoSpaceDN w:val="0"/>
        <w:adjustRightInd w:val="0"/>
        <w:snapToGrid w:val="0"/>
        <w:spacing w:line="360" w:lineRule="auto"/>
        <w:ind w:left="426"/>
        <w:jc w:val="left"/>
        <w:rPr>
          <w:rFonts w:ascii="宋体" w:hAnsi="宋体"/>
          <w:color w:val="auto"/>
          <w:kern w:val="0"/>
          <w:szCs w:val="21"/>
        </w:rPr>
      </w:pPr>
      <w:r>
        <w:rPr>
          <w:rFonts w:ascii="宋体" w:hAnsi="宋体"/>
          <w:color w:val="auto"/>
          <w:kern w:val="0"/>
          <w:szCs w:val="21"/>
        </w:rPr>
        <w:t>c）</w:t>
      </w:r>
      <w:r>
        <w:rPr>
          <w:rFonts w:hint="eastAsia" w:ascii="宋体" w:hAnsi="宋体"/>
          <w:color w:val="auto"/>
          <w:kern w:val="0"/>
          <w:szCs w:val="21"/>
        </w:rPr>
        <w:t>报价人提供的所有服务和货物，其质量、技术等特征必须符合国家、行业现行法律、法规的相关标准及用户需求的规定。</w:t>
      </w:r>
    </w:p>
    <w:p>
      <w:pPr>
        <w:tabs>
          <w:tab w:val="left" w:pos="567"/>
        </w:tabs>
        <w:wordWrap w:val="0"/>
        <w:autoSpaceDE w:val="0"/>
        <w:autoSpaceDN w:val="0"/>
        <w:adjustRightInd w:val="0"/>
        <w:snapToGrid w:val="0"/>
        <w:spacing w:line="360" w:lineRule="auto"/>
        <w:ind w:left="426"/>
        <w:jc w:val="left"/>
        <w:rPr>
          <w:rFonts w:ascii="宋体" w:hAnsi="宋体"/>
          <w:color w:val="auto"/>
          <w:kern w:val="0"/>
          <w:szCs w:val="21"/>
        </w:rPr>
      </w:pPr>
      <w:r>
        <w:rPr>
          <w:rFonts w:ascii="宋体" w:hAnsi="宋体"/>
          <w:color w:val="auto"/>
          <w:kern w:val="0"/>
          <w:szCs w:val="21"/>
        </w:rPr>
        <w:t>d）</w:t>
      </w:r>
      <w:r>
        <w:rPr>
          <w:rFonts w:hint="eastAsia" w:ascii="宋体" w:hAnsi="宋体"/>
          <w:color w:val="auto"/>
          <w:kern w:val="0"/>
          <w:szCs w:val="21"/>
        </w:rPr>
        <w:t>采购人有权拒绝接受任何不合格的货物或服务，由此产生的费用及相关后果均由报价人自行承担。</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知识产权：报价人应保证本项目的货物或服务或其任何一部分不会产生因第三方提出侵犯其专利权、商标权或其他知识产权而引起的法律和经济纠纷；如果报价人不拥有相应的知识产权，则须在报价中包括合法获取该知识产权的相关费用，并在报价文件中附有相关证明文件。如因第三方提出其专利权、商标权或其他知识产权的侵权之诉，则一切法律责任由报价人承担。</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竞价费用：报价人应承担所有与准备和参加竞价有关的费用，包括平台使用费、竞价保证金等</w:t>
      </w:r>
      <w:r>
        <w:rPr>
          <w:rFonts w:hint="eastAsia" w:ascii="宋体" w:hAnsi="宋体" w:cs="宋体"/>
          <w:color w:val="auto"/>
          <w:kern w:val="0"/>
          <w:szCs w:val="21"/>
          <w:lang w:eastAsia="zh-TW"/>
        </w:rPr>
        <w:t>。</w:t>
      </w:r>
      <w:r>
        <w:rPr>
          <w:rFonts w:hint="eastAsia" w:ascii="宋体" w:hAnsi="宋体" w:cs="宋体"/>
          <w:color w:val="auto"/>
          <w:kern w:val="0"/>
          <w:szCs w:val="21"/>
        </w:rPr>
        <w:t>无</w:t>
      </w:r>
      <w:r>
        <w:rPr>
          <w:rFonts w:hint="eastAsia" w:ascii="宋体" w:hAnsi="宋体" w:cs="宋体"/>
          <w:color w:val="auto"/>
          <w:kern w:val="0"/>
          <w:szCs w:val="21"/>
          <w:lang w:eastAsia="zh-TW"/>
        </w:rPr>
        <w:t>论</w:t>
      </w:r>
      <w:r>
        <w:rPr>
          <w:rFonts w:hint="eastAsia" w:ascii="宋体" w:hAnsi="宋体" w:cs="宋体"/>
          <w:color w:val="auto"/>
          <w:kern w:val="0"/>
          <w:szCs w:val="21"/>
        </w:rPr>
        <w:t>竞价</w:t>
      </w:r>
      <w:r>
        <w:rPr>
          <w:rFonts w:hint="eastAsia" w:ascii="宋体" w:hAnsi="宋体" w:cs="宋体"/>
          <w:color w:val="auto"/>
          <w:kern w:val="0"/>
          <w:szCs w:val="21"/>
          <w:lang w:eastAsia="zh-TW"/>
        </w:rPr>
        <w:t>的结果如何</w:t>
      </w:r>
      <w:r>
        <w:rPr>
          <w:rFonts w:hint="eastAsia" w:ascii="宋体" w:hAnsi="宋体" w:cs="宋体"/>
          <w:color w:val="auto"/>
          <w:kern w:val="0"/>
          <w:szCs w:val="21"/>
        </w:rPr>
        <w:t>，</w:t>
      </w:r>
      <w:r>
        <w:rPr>
          <w:rFonts w:hint="eastAsia" w:ascii="宋体" w:hAnsi="宋体" w:cs="宋体"/>
          <w:color w:val="auto"/>
          <w:kern w:val="0"/>
          <w:szCs w:val="21"/>
          <w:lang w:eastAsia="zh-TW"/>
        </w:rPr>
        <w:t>采购人或采购代理机构均无义务和责任承担这些费用</w:t>
      </w:r>
      <w:r>
        <w:rPr>
          <w:rFonts w:hint="eastAsia" w:ascii="宋体" w:hAnsi="宋体" w:cs="宋体"/>
          <w:color w:val="auto"/>
          <w:kern w:val="0"/>
          <w:szCs w:val="21"/>
        </w:rPr>
        <w:t>。</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其他：</w:t>
      </w:r>
    </w:p>
    <w:p>
      <w:pPr>
        <w:numPr>
          <w:ilvl w:val="0"/>
          <w:numId w:val="7"/>
        </w:numPr>
        <w:wordWrap w:val="0"/>
        <w:autoSpaceDE w:val="0"/>
        <w:autoSpaceDN w:val="0"/>
        <w:adjustRightInd w:val="0"/>
        <w:snapToGrid w:val="0"/>
        <w:spacing w:line="360" w:lineRule="auto"/>
        <w:ind w:left="0" w:firstLine="426"/>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p>
    <w:p>
      <w:pPr>
        <w:numPr>
          <w:ilvl w:val="0"/>
          <w:numId w:val="7"/>
        </w:numPr>
        <w:wordWrap w:val="0"/>
        <w:autoSpaceDE w:val="0"/>
        <w:autoSpaceDN w:val="0"/>
        <w:adjustRightInd w:val="0"/>
        <w:snapToGrid w:val="0"/>
        <w:spacing w:line="360" w:lineRule="auto"/>
        <w:ind w:left="0" w:firstLine="426"/>
        <w:rPr>
          <w:rFonts w:ascii="宋体" w:hAnsi="宋体" w:cs="宋体"/>
          <w:color w:val="auto"/>
          <w:szCs w:val="21"/>
          <w:lang w:eastAsia="zh-TW"/>
        </w:rPr>
      </w:pPr>
      <w:r>
        <w:rPr>
          <w:rFonts w:hint="eastAsia" w:ascii="宋体" w:hAnsi="宋体" w:cs="宋体"/>
          <w:color w:val="auto"/>
          <w:szCs w:val="21"/>
          <w:lang w:eastAsia="zh-TW"/>
        </w:rPr>
        <w:t>报价人向采购人、采购代理机构咨询的有关项目事项，一切以法律法规的规定和采购人或采购代理机构书面答复为准，其他一切形式均为个人意见，不代表采购人、采购代理机构的意见。</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采购文件的构成</w:t>
      </w:r>
    </w:p>
    <w:p>
      <w:pPr>
        <w:numPr>
          <w:ilvl w:val="1"/>
          <w:numId w:val="4"/>
        </w:numPr>
        <w:tabs>
          <w:tab w:val="left" w:pos="567"/>
          <w:tab w:val="left" w:pos="709"/>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要求提供的货物、服务</w:t>
      </w:r>
      <w:r>
        <w:rPr>
          <w:rFonts w:hint="eastAsia" w:ascii="宋体" w:hAnsi="宋体" w:cs="宋体"/>
          <w:color w:val="auto"/>
          <w:kern w:val="0"/>
          <w:szCs w:val="21"/>
        </w:rPr>
        <w:t>，采购</w:t>
      </w:r>
      <w:r>
        <w:rPr>
          <w:rFonts w:hint="eastAsia" w:ascii="宋体" w:hAnsi="宋体" w:cs="宋体"/>
          <w:color w:val="auto"/>
          <w:kern w:val="0"/>
          <w:szCs w:val="21"/>
          <w:lang w:eastAsia="zh-TW"/>
        </w:rPr>
        <w:t>过程和合同条件在</w:t>
      </w:r>
      <w:r>
        <w:rPr>
          <w:rFonts w:hint="eastAsia" w:ascii="宋体" w:hAnsi="宋体" w:cs="宋体"/>
          <w:color w:val="auto"/>
          <w:kern w:val="0"/>
          <w:szCs w:val="21"/>
        </w:rPr>
        <w:t>采购文件</w:t>
      </w:r>
      <w:r>
        <w:rPr>
          <w:rFonts w:hint="eastAsia" w:ascii="宋体" w:hAnsi="宋体" w:cs="宋体"/>
          <w:color w:val="auto"/>
          <w:kern w:val="0"/>
          <w:szCs w:val="21"/>
          <w:lang w:eastAsia="zh-TW"/>
        </w:rPr>
        <w:t>中均有说明。</w:t>
      </w:r>
      <w:r>
        <w:rPr>
          <w:rFonts w:hint="eastAsia" w:ascii="宋体" w:hAnsi="宋体" w:cs="宋体"/>
          <w:color w:val="auto"/>
          <w:kern w:val="0"/>
          <w:szCs w:val="21"/>
        </w:rPr>
        <w:t>采购文件</w:t>
      </w:r>
      <w:r>
        <w:rPr>
          <w:rFonts w:hint="eastAsia" w:ascii="宋体" w:hAnsi="宋体" w:cs="宋体"/>
          <w:color w:val="auto"/>
          <w:kern w:val="0"/>
          <w:szCs w:val="21"/>
          <w:lang w:eastAsia="zh-TW"/>
        </w:rPr>
        <w:t>以中文文字编写。</w:t>
      </w:r>
      <w:r>
        <w:rPr>
          <w:rFonts w:hint="eastAsia" w:ascii="宋体" w:hAnsi="宋体" w:cs="宋体"/>
          <w:color w:val="auto"/>
          <w:kern w:val="0"/>
          <w:szCs w:val="21"/>
        </w:rPr>
        <w:t>采购文件由以下五个章节以及在本项目采购活动过程中发出的澄清、修改和补充文件组成，</w:t>
      </w:r>
      <w:r>
        <w:rPr>
          <w:rFonts w:hint="eastAsia" w:ascii="宋体" w:hAnsi="宋体" w:cs="宋体"/>
          <w:color w:val="auto"/>
          <w:kern w:val="0"/>
          <w:szCs w:val="21"/>
          <w:lang w:eastAsia="zh-TW"/>
        </w:rPr>
        <w:t>内容如下</w:t>
      </w:r>
      <w:r>
        <w:rPr>
          <w:rFonts w:hint="eastAsia" w:ascii="宋体" w:hAnsi="宋体" w:cs="宋体"/>
          <w:color w:val="auto"/>
          <w:kern w:val="0"/>
          <w:szCs w:val="21"/>
        </w:rPr>
        <w:t>：</w:t>
      </w:r>
    </w:p>
    <w:p>
      <w:pPr>
        <w:tabs>
          <w:tab w:val="left" w:pos="709"/>
        </w:tabs>
        <w:autoSpaceDE w:val="0"/>
        <w:autoSpaceDN w:val="0"/>
        <w:adjustRightInd w:val="0"/>
        <w:snapToGrid w:val="0"/>
        <w:spacing w:line="360" w:lineRule="auto"/>
        <w:ind w:firstLine="498" w:firstLineChars="236"/>
        <w:rPr>
          <w:rFonts w:ascii="宋体" w:hAnsi="宋体"/>
          <w:b/>
          <w:color w:val="auto"/>
          <w:kern w:val="0"/>
          <w:szCs w:val="21"/>
        </w:rPr>
      </w:pPr>
      <w:r>
        <w:rPr>
          <w:rFonts w:hint="eastAsia" w:ascii="宋体" w:hAnsi="宋体" w:cs="宋体"/>
          <w:b/>
          <w:color w:val="auto"/>
          <w:kern w:val="0"/>
          <w:szCs w:val="21"/>
        </w:rPr>
        <w:t>第一章 竞价邀请</w:t>
      </w:r>
    </w:p>
    <w:p>
      <w:pPr>
        <w:tabs>
          <w:tab w:val="left" w:pos="709"/>
        </w:tabs>
        <w:autoSpaceDE w:val="0"/>
        <w:autoSpaceDN w:val="0"/>
        <w:adjustRightInd w:val="0"/>
        <w:snapToGrid w:val="0"/>
        <w:spacing w:line="360" w:lineRule="auto"/>
        <w:ind w:firstLine="498" w:firstLineChars="236"/>
        <w:rPr>
          <w:rFonts w:ascii="宋体" w:hAnsi="宋体"/>
          <w:b/>
          <w:color w:val="auto"/>
          <w:kern w:val="0"/>
          <w:szCs w:val="21"/>
        </w:rPr>
      </w:pPr>
      <w:r>
        <w:rPr>
          <w:rFonts w:hint="eastAsia" w:ascii="宋体" w:hAnsi="宋体" w:cs="宋体"/>
          <w:b/>
          <w:color w:val="auto"/>
          <w:kern w:val="0"/>
          <w:szCs w:val="21"/>
        </w:rPr>
        <w:t>第二章 竞价</w:t>
      </w:r>
      <w:r>
        <w:rPr>
          <w:rFonts w:hint="eastAsia" w:ascii="宋体" w:hAnsi="宋体" w:cs="宋体"/>
          <w:b/>
          <w:color w:val="auto"/>
          <w:kern w:val="0"/>
          <w:szCs w:val="21"/>
          <w:lang w:eastAsia="zh-TW"/>
        </w:rPr>
        <w:t>须知</w:t>
      </w:r>
    </w:p>
    <w:p>
      <w:pPr>
        <w:tabs>
          <w:tab w:val="left" w:pos="709"/>
        </w:tabs>
        <w:autoSpaceDE w:val="0"/>
        <w:autoSpaceDN w:val="0"/>
        <w:adjustRightInd w:val="0"/>
        <w:snapToGrid w:val="0"/>
        <w:spacing w:line="360" w:lineRule="auto"/>
        <w:ind w:firstLine="498" w:firstLineChars="236"/>
        <w:rPr>
          <w:rFonts w:ascii="宋体" w:hAnsi="宋体" w:eastAsia="PMingLiU"/>
          <w:b/>
          <w:color w:val="auto"/>
          <w:kern w:val="0"/>
          <w:szCs w:val="21"/>
        </w:rPr>
      </w:pPr>
      <w:r>
        <w:rPr>
          <w:rFonts w:hint="eastAsia" w:ascii="宋体" w:hAnsi="宋体" w:cs="宋体"/>
          <w:b/>
          <w:color w:val="auto"/>
          <w:kern w:val="0"/>
          <w:szCs w:val="21"/>
        </w:rPr>
        <w:t xml:space="preserve">第三章 </w:t>
      </w:r>
      <w:r>
        <w:rPr>
          <w:rFonts w:hint="eastAsia" w:ascii="宋体" w:hAnsi="宋体" w:cs="宋体"/>
          <w:b/>
          <w:color w:val="auto"/>
          <w:kern w:val="0"/>
          <w:szCs w:val="21"/>
          <w:lang w:eastAsia="zh-TW"/>
        </w:rPr>
        <w:t>用户需求书</w:t>
      </w:r>
    </w:p>
    <w:p>
      <w:pPr>
        <w:tabs>
          <w:tab w:val="left" w:pos="709"/>
        </w:tabs>
        <w:autoSpaceDE w:val="0"/>
        <w:autoSpaceDN w:val="0"/>
        <w:adjustRightInd w:val="0"/>
        <w:snapToGrid w:val="0"/>
        <w:spacing w:line="360" w:lineRule="auto"/>
        <w:ind w:firstLine="498" w:firstLineChars="236"/>
        <w:rPr>
          <w:rFonts w:ascii="宋体" w:hAnsi="宋体" w:cs="宋体"/>
          <w:b/>
          <w:color w:val="auto"/>
          <w:kern w:val="0"/>
          <w:szCs w:val="21"/>
        </w:rPr>
      </w:pPr>
      <w:r>
        <w:rPr>
          <w:rFonts w:hint="eastAsia" w:ascii="宋体" w:hAnsi="宋体" w:cs="宋体"/>
          <w:b/>
          <w:color w:val="auto"/>
          <w:kern w:val="0"/>
          <w:szCs w:val="21"/>
        </w:rPr>
        <w:t>第四章 合同条款</w:t>
      </w:r>
    </w:p>
    <w:p>
      <w:pPr>
        <w:tabs>
          <w:tab w:val="left" w:pos="709"/>
        </w:tabs>
        <w:autoSpaceDE w:val="0"/>
        <w:autoSpaceDN w:val="0"/>
        <w:adjustRightInd w:val="0"/>
        <w:snapToGrid w:val="0"/>
        <w:spacing w:line="360" w:lineRule="auto"/>
        <w:ind w:firstLine="498" w:firstLineChars="236"/>
        <w:rPr>
          <w:rFonts w:ascii="宋体" w:hAnsi="宋体" w:cs="宋体"/>
          <w:b/>
          <w:color w:val="auto"/>
          <w:kern w:val="0"/>
          <w:szCs w:val="21"/>
        </w:rPr>
      </w:pPr>
      <w:r>
        <w:rPr>
          <w:rFonts w:hint="eastAsia" w:ascii="宋体" w:hAnsi="宋体" w:cs="宋体"/>
          <w:b/>
          <w:color w:val="auto"/>
          <w:kern w:val="0"/>
          <w:szCs w:val="21"/>
        </w:rPr>
        <w:t>第五章 报价文件格式</w:t>
      </w:r>
    </w:p>
    <w:p>
      <w:pPr>
        <w:numPr>
          <w:ilvl w:val="1"/>
          <w:numId w:val="4"/>
        </w:numPr>
        <w:tabs>
          <w:tab w:val="left" w:pos="567"/>
          <w:tab w:val="left" w:pos="709"/>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报价人应认真阅读、并充分理解采购文件的全部内容（包括所有的补充、修改内容、重要事项、格式、条款和技术规范、参数及要求等）。报价人没有按照采购文件要求提交全部资料，或者报价文件没有对采购文件在各方面都作出实质性响应是报价人的风险，有可能导致其报价被拒绝，或被认定为无效报价或被确定为报价无效。</w:t>
      </w:r>
    </w:p>
    <w:p>
      <w:pPr>
        <w:numPr>
          <w:ilvl w:val="1"/>
          <w:numId w:val="4"/>
        </w:numPr>
        <w:tabs>
          <w:tab w:val="left" w:pos="567"/>
          <w:tab w:val="left" w:pos="709"/>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szCs w:val="21"/>
        </w:rPr>
        <w:t>本竞价项目公告和采购文件的解释权归“广东有线广播电视网络有限公司”及</w:t>
      </w:r>
      <w:r>
        <w:rPr>
          <w:rFonts w:hint="eastAsia" w:ascii="宋体" w:hAnsi="宋体" w:cs="宋体"/>
          <w:color w:val="auto"/>
          <w:szCs w:val="21"/>
          <w:lang w:eastAsia="zh-TW"/>
        </w:rPr>
        <w:t>“</w:t>
      </w:r>
      <w:r>
        <w:rPr>
          <w:rFonts w:hint="eastAsia" w:ascii="宋体" w:hAnsi="宋体"/>
          <w:color w:val="auto"/>
          <w:kern w:val="0"/>
          <w:szCs w:val="21"/>
        </w:rPr>
        <w:t>云采链线上采购一体化平台</w:t>
      </w:r>
      <w:r>
        <w:rPr>
          <w:rFonts w:hint="eastAsia" w:ascii="宋体" w:hAnsi="宋体" w:cs="宋体"/>
          <w:color w:val="auto"/>
          <w:szCs w:val="21"/>
          <w:lang w:eastAsia="zh-TW"/>
        </w:rPr>
        <w:t>”所有。</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采购文件的澄清或修改</w:t>
      </w:r>
    </w:p>
    <w:p>
      <w:pPr>
        <w:pStyle w:val="26"/>
        <w:numPr>
          <w:ilvl w:val="0"/>
          <w:numId w:val="8"/>
        </w:numPr>
        <w:spacing w:line="360" w:lineRule="auto"/>
        <w:ind w:left="0" w:firstLine="420" w:firstLineChars="0"/>
        <w:rPr>
          <w:rFonts w:asciiTheme="minorEastAsia" w:hAnsiTheme="minorEastAsia"/>
          <w:color w:val="auto"/>
        </w:rPr>
      </w:pPr>
      <w:r>
        <w:rPr>
          <w:rFonts w:hint="eastAsia" w:asciiTheme="minorEastAsia" w:hAnsiTheme="minorEastAsia"/>
          <w:color w:val="auto"/>
        </w:rPr>
        <w:t>采购人或者采购代理机构可以对已发出的采购文件进行必要的澄清或者修改。澄清或者修改的内容将在本项目竞价公告指定媒体上发布澄清（更正/变更）公告。</w:t>
      </w:r>
    </w:p>
    <w:p>
      <w:pPr>
        <w:pStyle w:val="26"/>
        <w:numPr>
          <w:ilvl w:val="0"/>
          <w:numId w:val="8"/>
        </w:numPr>
        <w:spacing w:line="360" w:lineRule="auto"/>
        <w:ind w:left="0" w:firstLine="420" w:firstLineChars="0"/>
        <w:rPr>
          <w:rFonts w:asciiTheme="minorEastAsia" w:hAnsiTheme="minorEastAsia"/>
          <w:color w:val="auto"/>
        </w:rPr>
      </w:pPr>
      <w:r>
        <w:rPr>
          <w:rFonts w:hint="eastAsia" w:asciiTheme="minorEastAsia" w:hAnsiTheme="minorEastAsia"/>
          <w:color w:val="auto"/>
        </w:rPr>
        <w:t>无论澄清或者修改的内容是否影响竞价，平台将以短信形式通知所有的报名报价人；报名报价人应按要求履行相应的义务；</w:t>
      </w:r>
      <w:r>
        <w:rPr>
          <w:rFonts w:hint="eastAsia" w:ascii="宋体" w:hAnsi="宋体" w:cs="宋体"/>
          <w:color w:val="auto"/>
          <w:szCs w:val="21"/>
        </w:rPr>
        <w:t>如报名</w:t>
      </w:r>
      <w:r>
        <w:rPr>
          <w:rFonts w:hint="eastAsia" w:ascii="宋体" w:hAnsi="宋体" w:cs="宋体"/>
          <w:color w:val="auto"/>
          <w:szCs w:val="21"/>
          <w:lang w:eastAsia="zh-TW"/>
        </w:rPr>
        <w:t>截止时间</w:t>
      </w:r>
      <w:r>
        <w:rPr>
          <w:rFonts w:hint="eastAsia" w:ascii="宋体" w:hAnsi="宋体" w:cs="宋体"/>
          <w:color w:val="auto"/>
          <w:szCs w:val="21"/>
        </w:rPr>
        <w:t>少于一个工作日的，</w:t>
      </w:r>
      <w:r>
        <w:rPr>
          <w:rFonts w:hint="eastAsia" w:asciiTheme="minorEastAsia" w:hAnsiTheme="minorEastAsia"/>
          <w:color w:val="auto"/>
        </w:rPr>
        <w:t>采购人或者采购代理机构应当相应顺延报名的截止时间。</w:t>
      </w:r>
    </w:p>
    <w:p>
      <w:pPr>
        <w:pStyle w:val="26"/>
        <w:numPr>
          <w:ilvl w:val="0"/>
          <w:numId w:val="8"/>
        </w:numPr>
        <w:spacing w:line="360" w:lineRule="auto"/>
        <w:ind w:left="0" w:firstLine="420" w:firstLineChars="0"/>
        <w:rPr>
          <w:rFonts w:asciiTheme="minorEastAsia" w:hAnsiTheme="minorEastAsia"/>
          <w:color w:val="auto"/>
        </w:rPr>
      </w:pPr>
      <w:r>
        <w:rPr>
          <w:rFonts w:hint="eastAsia" w:asciiTheme="minorEastAsia" w:hAnsiTheme="minorEastAsia"/>
          <w:color w:val="auto"/>
        </w:rPr>
        <w:t>采购人或者采购代理机构发出的澄清或修改（更正/变更）的内容为采购文件的组成部分，并对报价人具有约束力。</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报价文件的编制</w:t>
      </w:r>
    </w:p>
    <w:p>
      <w:pPr>
        <w:pStyle w:val="26"/>
        <w:numPr>
          <w:ilvl w:val="0"/>
          <w:numId w:val="9"/>
        </w:numPr>
        <w:spacing w:line="360" w:lineRule="auto"/>
        <w:ind w:left="0" w:firstLine="420" w:firstLineChars="0"/>
        <w:rPr>
          <w:rFonts w:asciiTheme="minorEastAsia" w:hAnsiTheme="minorEastAsia"/>
          <w:color w:val="auto"/>
        </w:rPr>
      </w:pPr>
      <w:r>
        <w:rPr>
          <w:rFonts w:hint="eastAsia" w:asciiTheme="minorEastAsia" w:hAnsiTheme="minorEastAsia"/>
          <w:color w:val="auto"/>
        </w:rPr>
        <w:t xml:space="preserve"> 报价人参与本竞价项目过程中须编制的报价文件由以下两部分组成：</w:t>
      </w:r>
    </w:p>
    <w:p>
      <w:pPr>
        <w:pStyle w:val="26"/>
        <w:numPr>
          <w:ilvl w:val="0"/>
          <w:numId w:val="10"/>
        </w:numPr>
        <w:tabs>
          <w:tab w:val="left" w:pos="709"/>
        </w:tabs>
        <w:spacing w:line="360" w:lineRule="auto"/>
        <w:ind w:left="0" w:firstLine="426" w:firstLineChars="0"/>
        <w:rPr>
          <w:rFonts w:asciiTheme="minorEastAsia" w:hAnsiTheme="minorEastAsia"/>
          <w:color w:val="auto"/>
        </w:rPr>
      </w:pPr>
      <w:r>
        <w:rPr>
          <w:rFonts w:hint="eastAsia" w:asciiTheme="minorEastAsia" w:hAnsiTheme="minorEastAsia"/>
          <w:color w:val="auto"/>
        </w:rPr>
        <w:t>报名本竞价项目时须提交的报名资料，详见“第一章 竞价邀请”的“四、</w:t>
      </w:r>
      <w:r>
        <w:rPr>
          <w:rFonts w:hint="eastAsia" w:asciiTheme="minorEastAsia" w:hAnsiTheme="minorEastAsia"/>
          <w:color w:val="auto"/>
        </w:rPr>
        <w:tab/>
      </w:r>
      <w:r>
        <w:rPr>
          <w:rFonts w:hint="eastAsia" w:asciiTheme="minorEastAsia" w:hAnsiTheme="minorEastAsia"/>
          <w:color w:val="auto"/>
        </w:rPr>
        <w:t>采购文件的获取”。其中，《法定代表人证明书》《法定代表人授权委托书》《用户需求书响应声明函》《合同条款响应声明函》格式要求见“第五章 报价文件格式”。</w:t>
      </w:r>
    </w:p>
    <w:p>
      <w:pPr>
        <w:pStyle w:val="26"/>
        <w:numPr>
          <w:ilvl w:val="0"/>
          <w:numId w:val="10"/>
        </w:numPr>
        <w:spacing w:line="360" w:lineRule="auto"/>
        <w:ind w:left="709" w:hanging="283" w:firstLineChars="0"/>
        <w:rPr>
          <w:rFonts w:asciiTheme="minorEastAsia" w:hAnsiTheme="minorEastAsia"/>
          <w:color w:val="auto"/>
        </w:rPr>
      </w:pPr>
      <w:r>
        <w:rPr>
          <w:rFonts w:hint="eastAsia" w:asciiTheme="minorEastAsia" w:hAnsiTheme="minorEastAsia"/>
          <w:color w:val="auto"/>
        </w:rPr>
        <w:t>报价时须提交的报价资料，即《报价表》，格式要求见“第五章 报价文件格式”。</w:t>
      </w:r>
    </w:p>
    <w:p>
      <w:pPr>
        <w:pStyle w:val="26"/>
        <w:numPr>
          <w:ilvl w:val="0"/>
          <w:numId w:val="9"/>
        </w:numPr>
        <w:spacing w:line="360" w:lineRule="auto"/>
        <w:ind w:left="0" w:firstLine="420" w:firstLineChars="0"/>
        <w:rPr>
          <w:rFonts w:asciiTheme="minorEastAsia" w:hAnsiTheme="minorEastAsia"/>
          <w:color w:val="auto"/>
        </w:rPr>
      </w:pPr>
      <w:r>
        <w:rPr>
          <w:rFonts w:asciiTheme="minorEastAsia" w:hAnsiTheme="minorEastAsia"/>
          <w:color w:val="auto"/>
        </w:rPr>
        <w:t>报价人提交的报价文件以及报价人与采购人或</w:t>
      </w:r>
      <w:r>
        <w:rPr>
          <w:rFonts w:hint="eastAsia" w:asciiTheme="minorEastAsia" w:hAnsiTheme="minorEastAsia"/>
          <w:color w:val="auto"/>
        </w:rPr>
        <w:t>采购代理机构</w:t>
      </w:r>
      <w:r>
        <w:rPr>
          <w:rFonts w:asciiTheme="minorEastAsia" w:hAnsiTheme="minorEastAsia"/>
          <w:color w:val="auto"/>
        </w:rPr>
        <w:t>就有关项目的所有来往函电均应使用中文书写。报价人提交的文件或资料可以用另一种语言，但相应内容应附有中文翻译本，由翻译机构盖章或者翻译人员签名。两种语言不一致时以中文翻译本为准。</w:t>
      </w:r>
    </w:p>
    <w:p>
      <w:pPr>
        <w:pStyle w:val="26"/>
        <w:numPr>
          <w:ilvl w:val="0"/>
          <w:numId w:val="9"/>
        </w:numPr>
        <w:spacing w:line="360" w:lineRule="auto"/>
        <w:ind w:left="0" w:firstLine="420" w:firstLineChars="0"/>
        <w:rPr>
          <w:rFonts w:asciiTheme="minorEastAsia" w:hAnsiTheme="minorEastAsia"/>
          <w:color w:val="auto"/>
        </w:rPr>
      </w:pPr>
      <w:r>
        <w:rPr>
          <w:rFonts w:hint="eastAsia" w:ascii="宋体" w:hAnsi="宋体"/>
          <w:color w:val="auto"/>
          <w:szCs w:val="21"/>
        </w:rPr>
        <w:t>参与竞价的</w:t>
      </w:r>
      <w:r>
        <w:rPr>
          <w:rFonts w:hint="eastAsia" w:asciiTheme="minorEastAsia" w:hAnsiTheme="minorEastAsia"/>
          <w:bCs/>
          <w:color w:val="auto"/>
          <w:szCs w:val="21"/>
        </w:rPr>
        <w:t>报价人必须按报价文件格式的格式填写，不得随意增加或删除表格内容。除单价、金额或项目要求填写的内容外，不得擅自改动报价文件格式内容，否则将有可能影响成交结果，不推荐为成交候选人</w:t>
      </w:r>
      <w:r>
        <w:rPr>
          <w:rFonts w:hint="eastAsia" w:ascii="宋体" w:hAnsi="宋体"/>
          <w:bCs/>
          <w:color w:val="auto"/>
          <w:kern w:val="0"/>
          <w:szCs w:val="21"/>
        </w:rPr>
        <w:t>。</w:t>
      </w:r>
    </w:p>
    <w:p>
      <w:pPr>
        <w:pStyle w:val="26"/>
        <w:numPr>
          <w:ilvl w:val="0"/>
          <w:numId w:val="9"/>
        </w:numPr>
        <w:spacing w:line="360" w:lineRule="auto"/>
        <w:ind w:left="0" w:firstLine="420" w:firstLineChars="0"/>
        <w:rPr>
          <w:rFonts w:asciiTheme="minorEastAsia" w:hAnsiTheme="minorEastAsia"/>
          <w:color w:val="auto"/>
        </w:rPr>
      </w:pPr>
      <w:r>
        <w:rPr>
          <w:rFonts w:hint="eastAsia" w:ascii="宋体" w:hAnsi="宋体" w:cs="宋体"/>
          <w:color w:val="auto"/>
          <w:kern w:val="0"/>
          <w:szCs w:val="21"/>
          <w:lang w:eastAsia="zh-TW"/>
        </w:rPr>
        <w:t>如果因为报价人</w:t>
      </w:r>
      <w:r>
        <w:rPr>
          <w:rFonts w:hint="eastAsia" w:ascii="宋体" w:hAnsi="宋体" w:cs="宋体"/>
          <w:color w:val="auto"/>
          <w:kern w:val="0"/>
          <w:szCs w:val="21"/>
        </w:rPr>
        <w:t>的报价文件</w:t>
      </w:r>
      <w:r>
        <w:rPr>
          <w:rFonts w:hint="eastAsia" w:ascii="宋体" w:hAnsi="宋体" w:cs="宋体"/>
          <w:color w:val="auto"/>
          <w:kern w:val="0"/>
          <w:szCs w:val="21"/>
          <w:lang w:eastAsia="zh-TW"/>
        </w:rPr>
        <w:t>只填写和提供了本</w:t>
      </w:r>
      <w:r>
        <w:rPr>
          <w:rFonts w:hint="eastAsia" w:ascii="宋体" w:hAnsi="宋体" w:cs="宋体"/>
          <w:color w:val="auto"/>
          <w:kern w:val="0"/>
          <w:szCs w:val="21"/>
        </w:rPr>
        <w:t>采购文件</w:t>
      </w:r>
      <w:r>
        <w:rPr>
          <w:rFonts w:hint="eastAsia" w:ascii="宋体" w:hAnsi="宋体" w:cs="宋体"/>
          <w:color w:val="auto"/>
          <w:kern w:val="0"/>
          <w:szCs w:val="21"/>
          <w:lang w:eastAsia="zh-TW"/>
        </w:rPr>
        <w:t>要求的部分内容和附件，或没有提供采购文件中所要求的全部资料及数据，而给</w:t>
      </w:r>
      <w:r>
        <w:rPr>
          <w:rFonts w:hint="eastAsia" w:ascii="宋体" w:hAnsi="宋体" w:cs="宋体"/>
          <w:color w:val="auto"/>
          <w:kern w:val="0"/>
          <w:szCs w:val="21"/>
        </w:rPr>
        <w:t>竞价</w:t>
      </w:r>
      <w:r>
        <w:rPr>
          <w:rFonts w:hint="eastAsia" w:ascii="宋体" w:hAnsi="宋体" w:cs="宋体"/>
          <w:color w:val="auto"/>
          <w:kern w:val="0"/>
          <w:szCs w:val="21"/>
          <w:lang w:eastAsia="zh-TW"/>
        </w:rPr>
        <w:t>造成困难的，其可能导致的结果和责任由报价人自行承担</w:t>
      </w:r>
      <w:r>
        <w:rPr>
          <w:rFonts w:hint="eastAsia" w:asciiTheme="minorEastAsia" w:hAnsiTheme="minorEastAsia"/>
          <w:color w:val="auto"/>
        </w:rPr>
        <w:t>。</w:t>
      </w:r>
    </w:p>
    <w:p>
      <w:pPr>
        <w:pStyle w:val="26"/>
        <w:numPr>
          <w:ilvl w:val="0"/>
          <w:numId w:val="9"/>
        </w:numPr>
        <w:tabs>
          <w:tab w:val="left" w:pos="426"/>
        </w:tabs>
        <w:spacing w:line="360" w:lineRule="auto"/>
        <w:ind w:left="0" w:firstLine="420" w:firstLineChars="0"/>
        <w:rPr>
          <w:rFonts w:asciiTheme="minorEastAsia" w:hAnsiTheme="minorEastAsia"/>
          <w:color w:val="auto"/>
        </w:rPr>
      </w:pPr>
      <w:r>
        <w:rPr>
          <w:rFonts w:hint="eastAsia" w:asciiTheme="minorEastAsia" w:hAnsiTheme="minorEastAsia"/>
          <w:color w:val="auto"/>
        </w:rPr>
        <w:t>如采购人或采购代理机构在审核或复核</w:t>
      </w:r>
      <w:r>
        <w:rPr>
          <w:rFonts w:hint="eastAsia" w:ascii="宋体" w:hAnsi="宋体"/>
          <w:color w:val="auto"/>
          <w:szCs w:val="21"/>
        </w:rPr>
        <w:t>参与竞价的</w:t>
      </w:r>
      <w:r>
        <w:rPr>
          <w:rFonts w:hint="eastAsia" w:asciiTheme="minorEastAsia" w:hAnsiTheme="minorEastAsia"/>
          <w:color w:val="auto"/>
        </w:rPr>
        <w:t>报价人所提交的报价文件时，报价人须无条件配合；期间若发现存在弄虚作假或相关的失信记录或违反国家法律法规等相关的不良情形，采购人可取消其成交资格并保留追究责任的权力。</w:t>
      </w:r>
    </w:p>
    <w:p>
      <w:pPr>
        <w:pStyle w:val="26"/>
        <w:numPr>
          <w:ilvl w:val="0"/>
          <w:numId w:val="4"/>
        </w:numPr>
        <w:spacing w:line="360" w:lineRule="auto"/>
        <w:ind w:firstLineChars="0"/>
        <w:rPr>
          <w:b/>
          <w:bCs/>
          <w:color w:val="auto"/>
        </w:rPr>
      </w:pPr>
      <w:r>
        <w:rPr>
          <w:rFonts w:hint="eastAsia"/>
          <w:b/>
          <w:bCs/>
          <w:color w:val="auto"/>
        </w:rPr>
        <w:t>竞价保证金</w:t>
      </w:r>
    </w:p>
    <w:p>
      <w:pPr>
        <w:pStyle w:val="26"/>
        <w:numPr>
          <w:ilvl w:val="0"/>
          <w:numId w:val="11"/>
        </w:numPr>
        <w:spacing w:line="360" w:lineRule="auto"/>
        <w:ind w:left="0" w:firstLine="424" w:firstLineChars="202"/>
        <w:rPr>
          <w:rFonts w:asciiTheme="minorEastAsia" w:hAnsiTheme="minorEastAsia"/>
          <w:color w:val="auto"/>
        </w:rPr>
      </w:pPr>
      <w:r>
        <w:rPr>
          <w:rFonts w:hint="eastAsia" w:asciiTheme="minorEastAsia" w:hAnsiTheme="minorEastAsia"/>
          <w:color w:val="auto"/>
        </w:rPr>
        <w:t>参与本竞价项目的报价人须以支票、汇票、本票、保函等非现金形式缴纳</w:t>
      </w:r>
      <w:r>
        <w:rPr>
          <w:rFonts w:hint="eastAsia" w:asciiTheme="minorEastAsia" w:hAnsiTheme="minorEastAsia"/>
          <w:b/>
          <w:bCs/>
          <w:color w:val="auto"/>
        </w:rPr>
        <w:t>竞价</w:t>
      </w:r>
      <w:r>
        <w:rPr>
          <w:rFonts w:hint="eastAsia" w:asciiTheme="minorEastAsia" w:hAnsiTheme="minorEastAsia"/>
          <w:b/>
          <w:color w:val="auto"/>
        </w:rPr>
        <w:t>保证金R</w:t>
      </w:r>
      <w:r>
        <w:rPr>
          <w:rFonts w:asciiTheme="minorEastAsia" w:hAnsiTheme="minorEastAsia"/>
          <w:b/>
          <w:color w:val="auto"/>
        </w:rPr>
        <w:t>MB4</w:t>
      </w:r>
      <w:r>
        <w:rPr>
          <w:rFonts w:hint="eastAsia" w:asciiTheme="minorEastAsia" w:hAnsiTheme="minorEastAsia"/>
          <w:b/>
          <w:color w:val="auto"/>
        </w:rPr>
        <w:t>000元（大写：人民币肆仟元整）</w:t>
      </w:r>
      <w:r>
        <w:rPr>
          <w:rFonts w:hint="eastAsia" w:asciiTheme="minorEastAsia" w:hAnsiTheme="minorEastAsia"/>
          <w:color w:val="auto"/>
        </w:rPr>
        <w:t>。如采用银行汇款形式的，竞价保证金必须从报价人的基本账户转出，须提供汇款底单复印件及中国人民银行颁发的基本账户开户证明复印件或“基本账户信息”说明材料等。如采用银行保函、应答保函、保险形式的，须提供保函、保险原件，保函、保险中应当写明受益人为本项目采购人，担保项目为本项目名称，担保有效期应覆盖应答有效期。</w:t>
      </w:r>
    </w:p>
    <w:p>
      <w:pPr>
        <w:pStyle w:val="26"/>
        <w:numPr>
          <w:ilvl w:val="0"/>
          <w:numId w:val="11"/>
        </w:numPr>
        <w:spacing w:line="360" w:lineRule="auto"/>
        <w:ind w:left="0" w:firstLine="424" w:firstLineChars="202"/>
        <w:rPr>
          <w:rFonts w:asciiTheme="minorEastAsia" w:hAnsiTheme="minorEastAsia"/>
          <w:color w:val="auto"/>
        </w:rPr>
      </w:pPr>
      <w:r>
        <w:rPr>
          <w:rFonts w:hint="eastAsia" w:ascii="宋体" w:hAnsi="宋体"/>
          <w:color w:val="auto"/>
          <w:szCs w:val="21"/>
        </w:rPr>
        <w:t>提交竞价保证金帐户信息</w:t>
      </w:r>
      <w:r>
        <w:rPr>
          <w:rFonts w:hint="eastAsia" w:asciiTheme="minorEastAsia" w:hAnsiTheme="minorEastAsia"/>
          <w:color w:val="auto"/>
        </w:rPr>
        <w:t>：：</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收款单位名称：采联国际招标采购集团有限公司</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开户银行：广发银行股份有限公司广州白云机场支行</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账    号：</w:t>
      </w:r>
      <w:r>
        <w:rPr>
          <w:rFonts w:asciiTheme="minorEastAsia" w:hAnsiTheme="minorEastAsia"/>
          <w:color w:val="auto"/>
        </w:rPr>
        <w:t>9550880004679000219</w:t>
      </w:r>
    </w:p>
    <w:p>
      <w:pPr>
        <w:pStyle w:val="26"/>
        <w:spacing w:line="360" w:lineRule="auto"/>
        <w:ind w:firstLine="426" w:firstLineChars="202"/>
        <w:rPr>
          <w:rFonts w:asciiTheme="minorEastAsia" w:hAnsiTheme="minorEastAsia"/>
          <w:b/>
          <w:bCs/>
          <w:color w:val="auto"/>
        </w:rPr>
      </w:pPr>
      <w:r>
        <w:rPr>
          <w:rFonts w:hint="eastAsia" w:asciiTheme="minorEastAsia" w:hAnsiTheme="minorEastAsia"/>
          <w:b/>
          <w:bCs/>
          <w:color w:val="auto"/>
        </w:rPr>
        <w:t>说明：</w:t>
      </w:r>
      <w:r>
        <w:rPr>
          <w:rFonts w:hint="eastAsia" w:ascii="宋体" w:hAnsi="宋体" w:cs="宋体"/>
          <w:b/>
          <w:bCs/>
          <w:color w:val="auto"/>
          <w:kern w:val="0"/>
          <w:szCs w:val="21"/>
        </w:rPr>
        <w:t>报价人请在缴款凭证“备注”栏写明项目名称，以便查询。</w:t>
      </w:r>
    </w:p>
    <w:p>
      <w:pPr>
        <w:pStyle w:val="26"/>
        <w:numPr>
          <w:ilvl w:val="0"/>
          <w:numId w:val="11"/>
        </w:numPr>
        <w:spacing w:line="360" w:lineRule="auto"/>
        <w:ind w:left="0" w:firstLine="424" w:firstLineChars="202"/>
        <w:rPr>
          <w:rFonts w:asciiTheme="minorEastAsia" w:hAnsiTheme="minorEastAsia"/>
          <w:color w:val="auto"/>
        </w:rPr>
      </w:pPr>
      <w:r>
        <w:rPr>
          <w:rFonts w:hint="eastAsia" w:asciiTheme="minorEastAsia" w:hAnsiTheme="minorEastAsia"/>
          <w:color w:val="auto"/>
        </w:rPr>
        <w:t>竞价保证金是报价文件的有效组成部分，竞价保证金应在竞价有效期（自报价文件递交截止之日起3</w:t>
      </w:r>
      <w:r>
        <w:rPr>
          <w:rFonts w:asciiTheme="minorEastAsia" w:hAnsiTheme="minorEastAsia"/>
          <w:color w:val="auto"/>
        </w:rPr>
        <w:t>0</w:t>
      </w:r>
      <w:r>
        <w:rPr>
          <w:rFonts w:hint="eastAsia" w:asciiTheme="minorEastAsia" w:hAnsiTheme="minorEastAsia"/>
          <w:color w:val="auto"/>
        </w:rPr>
        <w:t>日历日）内有效。</w:t>
      </w:r>
    </w:p>
    <w:p>
      <w:pPr>
        <w:pStyle w:val="26"/>
        <w:numPr>
          <w:ilvl w:val="0"/>
          <w:numId w:val="11"/>
        </w:numPr>
        <w:spacing w:line="360" w:lineRule="auto"/>
        <w:ind w:left="0" w:firstLine="424" w:firstLineChars="202"/>
        <w:rPr>
          <w:rFonts w:asciiTheme="minorEastAsia" w:hAnsiTheme="minorEastAsia"/>
          <w:color w:val="auto"/>
        </w:rPr>
      </w:pPr>
      <w:r>
        <w:rPr>
          <w:rFonts w:hint="eastAsia" w:asciiTheme="minorEastAsia" w:hAnsiTheme="minorEastAsia"/>
          <w:color w:val="auto"/>
        </w:rPr>
        <w:t>竞价保证金未在报价文件递交截止时间前到达指定账户的报价人，其报价将被视为无效报价。</w:t>
      </w:r>
    </w:p>
    <w:p>
      <w:pPr>
        <w:pStyle w:val="26"/>
        <w:numPr>
          <w:ilvl w:val="0"/>
          <w:numId w:val="11"/>
        </w:numPr>
        <w:spacing w:line="360" w:lineRule="auto"/>
        <w:ind w:left="0" w:firstLine="424" w:firstLineChars="202"/>
        <w:rPr>
          <w:rFonts w:asciiTheme="minorEastAsia" w:hAnsiTheme="minorEastAsia"/>
          <w:color w:val="auto"/>
        </w:rPr>
      </w:pPr>
      <w:bookmarkStart w:id="9" w:name="_Hlk64878565"/>
      <w:r>
        <w:rPr>
          <w:rFonts w:hint="eastAsia" w:asciiTheme="minorEastAsia" w:hAnsiTheme="minorEastAsia"/>
          <w:color w:val="auto"/>
        </w:rPr>
        <w:t>有下列任一情形发生时，竞价保证金将不予退还：</w:t>
      </w:r>
    </w:p>
    <w:p>
      <w:pPr>
        <w:pStyle w:val="26"/>
        <w:numPr>
          <w:ilvl w:val="0"/>
          <w:numId w:val="12"/>
        </w:numPr>
        <w:tabs>
          <w:tab w:val="left" w:pos="851"/>
        </w:tabs>
        <w:autoSpaceDE w:val="0"/>
        <w:autoSpaceDN w:val="0"/>
        <w:adjustRightInd w:val="0"/>
        <w:snapToGrid w:val="0"/>
        <w:spacing w:line="360" w:lineRule="auto"/>
        <w:ind w:left="0" w:firstLine="420"/>
        <w:rPr>
          <w:rFonts w:ascii="宋体" w:hAnsi="宋体"/>
          <w:color w:val="auto"/>
          <w:szCs w:val="21"/>
        </w:rPr>
      </w:pPr>
      <w:r>
        <w:rPr>
          <w:rFonts w:hint="eastAsia" w:ascii="宋体" w:hAnsi="宋体" w:cs="宋体"/>
          <w:color w:val="auto"/>
          <w:szCs w:val="21"/>
        </w:rPr>
        <w:t>供应商</w:t>
      </w:r>
      <w:r>
        <w:rPr>
          <w:rFonts w:hint="eastAsia" w:ascii="宋体" w:hAnsi="宋体" w:cs="宋体"/>
          <w:color w:val="auto"/>
          <w:szCs w:val="21"/>
          <w:lang w:eastAsia="zh-TW"/>
        </w:rPr>
        <w:t>在</w:t>
      </w:r>
      <w:r>
        <w:rPr>
          <w:rFonts w:hint="eastAsia" w:ascii="宋体" w:hAnsi="宋体" w:cs="宋体"/>
          <w:color w:val="auto"/>
          <w:szCs w:val="21"/>
        </w:rPr>
        <w:t>项目相关公告以及采购文件等相关</w:t>
      </w:r>
      <w:r>
        <w:rPr>
          <w:rFonts w:hint="eastAsia" w:ascii="宋体" w:hAnsi="宋体" w:cs="宋体"/>
          <w:color w:val="auto"/>
          <w:szCs w:val="21"/>
          <w:lang w:eastAsia="zh-TW"/>
        </w:rPr>
        <w:t>规定的</w:t>
      </w:r>
      <w:r>
        <w:rPr>
          <w:rFonts w:hint="eastAsia" w:ascii="宋体" w:hAnsi="宋体" w:cs="宋体"/>
          <w:color w:val="auto"/>
          <w:szCs w:val="21"/>
        </w:rPr>
        <w:t>报价</w:t>
      </w:r>
      <w:r>
        <w:rPr>
          <w:rFonts w:hint="eastAsia" w:ascii="宋体" w:hAnsi="宋体" w:cs="宋体"/>
          <w:color w:val="auto"/>
          <w:szCs w:val="21"/>
          <w:lang w:eastAsia="zh-TW"/>
        </w:rPr>
        <w:t>有效期内撤</w:t>
      </w:r>
      <w:r>
        <w:rPr>
          <w:rFonts w:hint="eastAsia" w:ascii="宋体" w:hAnsi="宋体" w:cs="宋体"/>
          <w:color w:val="auto"/>
          <w:szCs w:val="21"/>
        </w:rPr>
        <w:t>销</w:t>
      </w:r>
      <w:r>
        <w:rPr>
          <w:rFonts w:hint="eastAsia" w:ascii="宋体" w:hAnsi="宋体" w:cs="宋体"/>
          <w:color w:val="auto"/>
          <w:szCs w:val="21"/>
          <w:lang w:eastAsia="zh-TW"/>
        </w:rPr>
        <w:t>其</w:t>
      </w:r>
      <w:r>
        <w:rPr>
          <w:rFonts w:hint="eastAsia" w:ascii="宋体" w:hAnsi="宋体" w:cs="宋体"/>
          <w:color w:val="auto"/>
          <w:szCs w:val="21"/>
        </w:rPr>
        <w:t>报价的；</w:t>
      </w:r>
    </w:p>
    <w:p>
      <w:pPr>
        <w:pStyle w:val="26"/>
        <w:numPr>
          <w:ilvl w:val="0"/>
          <w:numId w:val="12"/>
        </w:numPr>
        <w:tabs>
          <w:tab w:val="left" w:pos="851"/>
        </w:tabs>
        <w:autoSpaceDE w:val="0"/>
        <w:autoSpaceDN w:val="0"/>
        <w:adjustRightInd w:val="0"/>
        <w:snapToGrid w:val="0"/>
        <w:spacing w:line="360" w:lineRule="auto"/>
        <w:ind w:left="0" w:firstLine="420"/>
        <w:rPr>
          <w:rFonts w:ascii="宋体" w:hAnsi="宋体" w:cs="宋体"/>
          <w:color w:val="auto"/>
          <w:szCs w:val="21"/>
        </w:rPr>
      </w:pPr>
      <w:r>
        <w:rPr>
          <w:rFonts w:hint="eastAsia" w:ascii="宋体" w:hAnsi="宋体" w:cs="宋体"/>
          <w:color w:val="auto"/>
          <w:szCs w:val="21"/>
        </w:rPr>
        <w:t>获取成交资格后无正当理由放弃成交资格或成交人拒绝与采购人签订合同的；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将成交项目转让给他人，或者在竞价文件中未说明，且未经采购人同意，违反竞价文件规定，将成交项目分包给他人的；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在竞价期间用不正当手段影响竞价结果，违反有关法律、法规的；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成交人不按竞价文件规定缴纳平台使用费的；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s="宋体"/>
          <w:color w:val="auto"/>
          <w:szCs w:val="21"/>
        </w:rPr>
        <w:t>其他因成交人的原因被认定取消成交资格的。</w:t>
      </w:r>
      <w:bookmarkEnd w:id="9"/>
    </w:p>
    <w:p>
      <w:pPr>
        <w:pStyle w:val="26"/>
        <w:numPr>
          <w:ilvl w:val="0"/>
          <w:numId w:val="4"/>
        </w:numPr>
        <w:spacing w:line="360" w:lineRule="auto"/>
        <w:ind w:firstLineChars="0"/>
        <w:rPr>
          <w:b/>
          <w:bCs/>
          <w:color w:val="auto"/>
        </w:rPr>
      </w:pPr>
      <w:r>
        <w:rPr>
          <w:rFonts w:hint="eastAsia"/>
          <w:b/>
          <w:bCs/>
          <w:color w:val="auto"/>
        </w:rPr>
        <w:t>报价要求</w:t>
      </w:r>
    </w:p>
    <w:p>
      <w:pPr>
        <w:pStyle w:val="26"/>
        <w:numPr>
          <w:ilvl w:val="0"/>
          <w:numId w:val="13"/>
        </w:numPr>
        <w:spacing w:line="360" w:lineRule="auto"/>
        <w:ind w:left="0" w:firstLine="420" w:firstLineChars="0"/>
        <w:rPr>
          <w:rFonts w:asciiTheme="minorEastAsia" w:hAnsiTheme="minorEastAsia"/>
          <w:color w:val="auto"/>
        </w:rPr>
      </w:pPr>
      <w:r>
        <w:rPr>
          <w:rFonts w:hint="eastAsia" w:asciiTheme="minorEastAsia" w:hAnsiTheme="minorEastAsia"/>
          <w:color w:val="auto"/>
          <w:szCs w:val="21"/>
        </w:rPr>
        <w:t>通过报名的报价人应根据采购文件要求，在规定的竞价时间内对采购项目进行报价，</w:t>
      </w:r>
      <w:r>
        <w:rPr>
          <w:rFonts w:hint="eastAsia" w:asciiTheme="minorEastAsia" w:hAnsiTheme="minorEastAsia"/>
          <w:color w:val="auto"/>
          <w:kern w:val="0"/>
          <w:szCs w:val="21"/>
        </w:rPr>
        <w:t>同时按采购文件要求</w:t>
      </w:r>
      <w:r>
        <w:rPr>
          <w:rFonts w:hint="eastAsia" w:ascii="宋体" w:hAnsi="宋体"/>
          <w:color w:val="auto"/>
          <w:kern w:val="0"/>
          <w:szCs w:val="21"/>
        </w:rPr>
        <w:t>完整</w:t>
      </w:r>
      <w:r>
        <w:rPr>
          <w:rFonts w:hint="eastAsia" w:ascii="宋体" w:hAnsi="宋体" w:cs="宋体"/>
          <w:color w:val="auto"/>
          <w:kern w:val="0"/>
          <w:szCs w:val="21"/>
          <w:lang w:eastAsia="zh-TW"/>
        </w:rPr>
        <w:t>、真实、准确地</w:t>
      </w:r>
      <w:r>
        <w:rPr>
          <w:rFonts w:hint="eastAsia" w:ascii="宋体" w:hAnsi="宋体" w:cs="宋体"/>
          <w:color w:val="auto"/>
          <w:kern w:val="0"/>
          <w:szCs w:val="21"/>
        </w:rPr>
        <w:t>填写并</w:t>
      </w:r>
      <w:r>
        <w:rPr>
          <w:rFonts w:hint="eastAsia" w:asciiTheme="minorEastAsia" w:hAnsiTheme="minorEastAsia"/>
          <w:color w:val="auto"/>
          <w:kern w:val="0"/>
          <w:szCs w:val="21"/>
        </w:rPr>
        <w:t>上传相应盖公章的报价表</w:t>
      </w:r>
      <w:r>
        <w:rPr>
          <w:rFonts w:hint="eastAsia" w:asciiTheme="minorEastAsia" w:hAnsiTheme="minorEastAsia"/>
          <w:color w:val="auto"/>
          <w:szCs w:val="21"/>
        </w:rPr>
        <w:t>。</w:t>
      </w:r>
    </w:p>
    <w:p>
      <w:pPr>
        <w:pStyle w:val="26"/>
        <w:numPr>
          <w:ilvl w:val="0"/>
          <w:numId w:val="13"/>
        </w:numPr>
        <w:spacing w:line="360" w:lineRule="auto"/>
        <w:ind w:left="0" w:firstLine="426" w:firstLineChars="0"/>
        <w:rPr>
          <w:rFonts w:asciiTheme="minorEastAsia" w:hAnsiTheme="minorEastAsia"/>
          <w:b/>
          <w:color w:val="auto"/>
        </w:rPr>
      </w:pPr>
      <w:bookmarkStart w:id="10" w:name="_Hlk83304836"/>
      <w:r>
        <w:rPr>
          <w:rFonts w:hint="eastAsia" w:asciiTheme="minorEastAsia" w:hAnsiTheme="minorEastAsia"/>
          <w:b/>
          <w:color w:val="auto"/>
        </w:rPr>
        <w:t>本项目以降点数形式进行报价，以《</w:t>
      </w:r>
      <w:r>
        <w:rPr>
          <w:rFonts w:hint="eastAsia" w:ascii="宋体" w:hAnsi="宋体" w:eastAsia="宋体"/>
          <w:b/>
          <w:color w:val="auto"/>
          <w:kern w:val="28"/>
          <w:szCs w:val="21"/>
        </w:rPr>
        <w:t>宣传礼品需求清单</w:t>
      </w:r>
      <w:r>
        <w:rPr>
          <w:rFonts w:hint="eastAsia" w:asciiTheme="minorEastAsia" w:hAnsiTheme="minorEastAsia"/>
          <w:b/>
          <w:color w:val="auto"/>
        </w:rPr>
        <w:t>》（见“第三章 用户需求书”）中的不含税基准单价为基准，报出一个固定不变且唯一的降点数（降点数应为0或负数，不允许出现正数），即所有产品不含税单价统一按照所报降点数的百分比执行。</w:t>
      </w:r>
      <w:bookmarkEnd w:id="10"/>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例如所报的降点数为-10.2，则所有产品不含税单价统一下降10.2% ；如所报的降点数为-0.8，则所有产品不含税单价统一下降0.8%。</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含税结算单价计算方法如下:</w:t>
      </w:r>
    </w:p>
    <w:p>
      <w:pPr>
        <w:spacing w:line="360" w:lineRule="auto"/>
        <w:ind w:firstLine="424" w:firstLineChars="202"/>
        <w:rPr>
          <w:rFonts w:asciiTheme="minorEastAsia" w:hAnsiTheme="minorEastAsia"/>
          <w:bCs/>
          <w:color w:val="auto"/>
        </w:rPr>
      </w:pPr>
      <w:bookmarkStart w:id="11" w:name="_Hlk83304974"/>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bookmarkEnd w:id="11"/>
    </w:p>
    <w:p>
      <w:pPr>
        <w:spacing w:line="360" w:lineRule="auto"/>
        <w:ind w:firstLine="426" w:firstLineChars="202"/>
        <w:rPr>
          <w:rFonts w:asciiTheme="minorEastAsia" w:hAnsiTheme="minorEastAsia"/>
          <w:b/>
          <w:color w:val="auto"/>
        </w:rPr>
      </w:pPr>
      <w:r>
        <w:rPr>
          <w:rFonts w:hint="eastAsia" w:asciiTheme="minorEastAsia" w:hAnsiTheme="minorEastAsia"/>
          <w:b/>
          <w:color w:val="auto"/>
        </w:rPr>
        <w:t>所报降点数精确到小数点后一位。对于小数点后第二位及之后的数字，无论大小，直接舍去。所报降点数不得大于0，否则将视为无效报价。</w:t>
      </w:r>
    </w:p>
    <w:p>
      <w:pPr>
        <w:spacing w:line="360" w:lineRule="auto"/>
        <w:ind w:firstLine="424" w:firstLineChars="202"/>
        <w:rPr>
          <w:rFonts w:asciiTheme="minorEastAsia" w:hAnsiTheme="minorEastAsia"/>
          <w:bCs/>
          <w:color w:val="auto"/>
        </w:rPr>
      </w:pPr>
      <w:r>
        <w:rPr>
          <w:rFonts w:hint="eastAsia" w:ascii="宋体" w:hAnsi="宋体"/>
          <w:color w:val="auto"/>
          <w:szCs w:val="21"/>
        </w:rPr>
        <w:t>报价人降点后的结算费用</w:t>
      </w:r>
      <w:r>
        <w:rPr>
          <w:rFonts w:hint="eastAsia"/>
          <w:color w:val="auto"/>
          <w:szCs w:val="21"/>
        </w:rPr>
        <w:t>已包含</w:t>
      </w:r>
      <w:r>
        <w:rPr>
          <w:rFonts w:hint="eastAsia" w:ascii="宋体" w:hAnsi="宋体"/>
          <w:color w:val="auto"/>
          <w:szCs w:val="21"/>
        </w:rPr>
        <w:t>材料费、人工费、保险费、运输费、税费、工具、安装材料、维护保养等相关费用</w:t>
      </w:r>
      <w:r>
        <w:rPr>
          <w:rFonts w:hint="eastAsia"/>
          <w:color w:val="auto"/>
          <w:szCs w:val="21"/>
        </w:rPr>
        <w:t>，采购人不再支付任何其他费用。</w:t>
      </w:r>
    </w:p>
    <w:p>
      <w:pPr>
        <w:pStyle w:val="26"/>
        <w:numPr>
          <w:ilvl w:val="0"/>
          <w:numId w:val="13"/>
        </w:numPr>
        <w:spacing w:line="360" w:lineRule="auto"/>
        <w:ind w:left="0" w:firstLine="420" w:firstLineChars="0"/>
        <w:rPr>
          <w:rFonts w:asciiTheme="minorEastAsia" w:hAnsiTheme="minorEastAsia"/>
          <w:bCs/>
          <w:color w:val="auto"/>
        </w:rPr>
      </w:pPr>
      <w:r>
        <w:rPr>
          <w:rFonts w:hint="eastAsia" w:asciiTheme="minorEastAsia" w:hAnsiTheme="minorEastAsia"/>
          <w:bCs/>
          <w:color w:val="auto"/>
          <w:szCs w:val="21"/>
        </w:rPr>
        <w:t>平台的竞价公告中所述的“报价次数”是指报价期间报价人可进行修改并提交的最多报价次数。本项目报价次数为无限次，报价人可在报价期间进行多次报价，以报价文件递交截止时间止提交的最后一次报价为准。</w:t>
      </w:r>
    </w:p>
    <w:p>
      <w:pPr>
        <w:pStyle w:val="26"/>
        <w:numPr>
          <w:ilvl w:val="0"/>
          <w:numId w:val="13"/>
        </w:numPr>
        <w:spacing w:line="360" w:lineRule="auto"/>
        <w:ind w:left="0" w:firstLine="420" w:firstLineChars="0"/>
        <w:rPr>
          <w:rFonts w:asciiTheme="minorEastAsia" w:hAnsiTheme="minorEastAsia"/>
          <w:bCs/>
          <w:color w:val="auto"/>
        </w:rPr>
      </w:pPr>
      <w:r>
        <w:rPr>
          <w:rFonts w:hint="eastAsia" w:asciiTheme="minorEastAsia" w:hAnsiTheme="minorEastAsia"/>
          <w:bCs/>
          <w:color w:val="auto"/>
          <w:kern w:val="0"/>
        </w:rPr>
        <w:t>报价人若进行多次报价，当前报价降点数不得大于前一次报价降点数</w:t>
      </w:r>
      <w:r>
        <w:rPr>
          <w:rFonts w:hint="eastAsia" w:asciiTheme="minorEastAsia" w:hAnsiTheme="minorEastAsia"/>
          <w:b/>
          <w:bCs/>
          <w:color w:val="auto"/>
          <w:kern w:val="0"/>
        </w:rPr>
        <w:t>，否则当前报价视为无效报价</w:t>
      </w:r>
      <w:r>
        <w:rPr>
          <w:rFonts w:hint="eastAsia" w:asciiTheme="minorEastAsia" w:hAnsiTheme="minorEastAsia"/>
          <w:bCs/>
          <w:color w:val="auto"/>
          <w:kern w:val="0"/>
        </w:rPr>
        <w:t>。</w:t>
      </w:r>
      <w:r>
        <w:rPr>
          <w:rFonts w:hint="eastAsia" w:asciiTheme="minorEastAsia" w:hAnsiTheme="minorEastAsia"/>
          <w:bCs/>
          <w:color w:val="auto"/>
        </w:rPr>
        <w:t>同时，每次报价须在平台重新提交上传相应盖公章的报价表。</w:t>
      </w:r>
    </w:p>
    <w:p>
      <w:pPr>
        <w:pStyle w:val="26"/>
        <w:numPr>
          <w:ilvl w:val="0"/>
          <w:numId w:val="13"/>
        </w:numPr>
        <w:spacing w:line="360" w:lineRule="auto"/>
        <w:ind w:left="0" w:firstLine="420" w:firstLineChars="0"/>
        <w:rPr>
          <w:rFonts w:asciiTheme="minorEastAsia" w:hAnsiTheme="minorEastAsia"/>
          <w:bCs/>
          <w:color w:val="auto"/>
        </w:rPr>
      </w:pPr>
      <w:r>
        <w:rPr>
          <w:rFonts w:hint="eastAsia" w:asciiTheme="minorEastAsia" w:hAnsiTheme="minorEastAsia"/>
          <w:bCs/>
          <w:color w:val="auto"/>
        </w:rPr>
        <w:t>报价过程中，平台不公开报价人的公司名称，公开降点数报价。</w:t>
      </w:r>
    </w:p>
    <w:p>
      <w:pPr>
        <w:pStyle w:val="26"/>
        <w:numPr>
          <w:ilvl w:val="0"/>
          <w:numId w:val="13"/>
        </w:numPr>
        <w:spacing w:line="360" w:lineRule="auto"/>
        <w:ind w:left="0" w:firstLine="420" w:firstLineChars="0"/>
        <w:rPr>
          <w:rFonts w:asciiTheme="minorEastAsia" w:hAnsiTheme="minorEastAsia"/>
          <w:bCs/>
          <w:color w:val="auto"/>
        </w:rPr>
      </w:pPr>
      <w:r>
        <w:rPr>
          <w:rFonts w:hint="eastAsia" w:asciiTheme="minorEastAsia" w:hAnsiTheme="minorEastAsia"/>
          <w:bCs/>
          <w:color w:val="auto"/>
        </w:rPr>
        <w:t>报价人在竞价过程中做出的最后报价是不可修改及撤回的。</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无效报价</w:t>
      </w:r>
    </w:p>
    <w:p>
      <w:pPr>
        <w:pStyle w:val="26"/>
        <w:numPr>
          <w:ilvl w:val="0"/>
          <w:numId w:val="14"/>
        </w:numPr>
        <w:spacing w:line="360" w:lineRule="auto"/>
        <w:ind w:firstLineChars="0"/>
        <w:rPr>
          <w:rFonts w:ascii="宋体" w:hAnsi="宋体"/>
          <w:color w:val="auto"/>
          <w:szCs w:val="21"/>
        </w:rPr>
      </w:pPr>
      <w:r>
        <w:rPr>
          <w:rFonts w:hint="eastAsia" w:ascii="宋体" w:hAnsi="宋体"/>
          <w:color w:val="auto"/>
          <w:szCs w:val="21"/>
        </w:rPr>
        <w:t>参与竞价的报价人报价</w:t>
      </w:r>
      <w:r>
        <w:rPr>
          <w:rFonts w:hint="eastAsia" w:ascii="宋体" w:hAnsi="宋体"/>
          <w:b/>
          <w:bCs/>
          <w:color w:val="auto"/>
          <w:szCs w:val="21"/>
        </w:rPr>
        <w:t>（经价格核准后的降点数）</w:t>
      </w:r>
      <w:r>
        <w:rPr>
          <w:rFonts w:hint="eastAsia" w:ascii="宋体" w:hAnsi="宋体"/>
          <w:color w:val="auto"/>
          <w:szCs w:val="21"/>
        </w:rPr>
        <w:t>大于0的，视为无效报价。</w:t>
      </w:r>
    </w:p>
    <w:p>
      <w:pPr>
        <w:pStyle w:val="26"/>
        <w:numPr>
          <w:ilvl w:val="0"/>
          <w:numId w:val="14"/>
        </w:numPr>
        <w:spacing w:line="360" w:lineRule="auto"/>
        <w:ind w:left="0" w:firstLine="426" w:firstLineChars="0"/>
        <w:rPr>
          <w:rFonts w:ascii="宋体" w:hAnsi="宋体"/>
          <w:color w:val="auto"/>
          <w:szCs w:val="21"/>
        </w:rPr>
      </w:pPr>
      <w:r>
        <w:rPr>
          <w:rFonts w:hint="eastAsia" w:ascii="宋体" w:hAnsi="宋体"/>
          <w:color w:val="auto"/>
          <w:szCs w:val="21"/>
        </w:rPr>
        <w:t>参与竞价的</w:t>
      </w:r>
      <w:r>
        <w:rPr>
          <w:rFonts w:hint="eastAsia" w:asciiTheme="minorEastAsia" w:hAnsiTheme="minorEastAsia"/>
          <w:bCs/>
          <w:color w:val="auto"/>
          <w:szCs w:val="21"/>
        </w:rPr>
        <w:t>报价人须提供本项目要求的资格文件，如果不按公告规定或采购文件要求等相关规定提供符合要求的资格文件，将被视为无效报价。</w:t>
      </w:r>
    </w:p>
    <w:p>
      <w:pPr>
        <w:pStyle w:val="26"/>
        <w:numPr>
          <w:ilvl w:val="0"/>
          <w:numId w:val="14"/>
        </w:numPr>
        <w:spacing w:line="360" w:lineRule="auto"/>
        <w:ind w:left="0" w:firstLine="426" w:firstLineChars="0"/>
        <w:rPr>
          <w:rFonts w:asciiTheme="minorEastAsia" w:hAnsiTheme="minorEastAsia"/>
          <w:color w:val="auto"/>
          <w:szCs w:val="21"/>
        </w:rPr>
      </w:pPr>
      <w:r>
        <w:rPr>
          <w:rFonts w:hint="eastAsia" w:ascii="宋体" w:hAnsi="宋体"/>
          <w:color w:val="auto"/>
          <w:szCs w:val="21"/>
        </w:rPr>
        <w:t>参与竞价的</w:t>
      </w:r>
      <w:r>
        <w:rPr>
          <w:rFonts w:hint="eastAsia" w:asciiTheme="minorEastAsia" w:hAnsiTheme="minorEastAsia"/>
          <w:bCs/>
          <w:color w:val="auto"/>
          <w:szCs w:val="21"/>
        </w:rPr>
        <w:t>报价人须对本项目采购内容进行整体报价，任何只对其中一部分内容进行的报价都被视为无效报价。</w:t>
      </w:r>
    </w:p>
    <w:p>
      <w:pPr>
        <w:pStyle w:val="26"/>
        <w:numPr>
          <w:ilvl w:val="0"/>
          <w:numId w:val="14"/>
        </w:numPr>
        <w:spacing w:line="360" w:lineRule="auto"/>
        <w:ind w:left="0" w:firstLine="426" w:firstLineChars="0"/>
        <w:rPr>
          <w:rFonts w:asciiTheme="minorEastAsia" w:hAnsiTheme="minorEastAsia"/>
          <w:color w:val="auto"/>
          <w:szCs w:val="21"/>
        </w:rPr>
      </w:pPr>
      <w:r>
        <w:rPr>
          <w:color w:val="auto"/>
        </w:rPr>
        <w:t>报价表</w:t>
      </w:r>
      <w:r>
        <w:rPr>
          <w:rFonts w:hint="eastAsia"/>
          <w:color w:val="auto"/>
        </w:rPr>
        <w:t>以及有报价人落款的报价文件</w:t>
      </w:r>
      <w:r>
        <w:rPr>
          <w:color w:val="auto"/>
        </w:rPr>
        <w:t>必须加盖</w:t>
      </w:r>
      <w:r>
        <w:rPr>
          <w:rFonts w:hint="eastAsia"/>
          <w:color w:val="auto"/>
        </w:rPr>
        <w:t>报价人</w:t>
      </w:r>
      <w:r>
        <w:rPr>
          <w:color w:val="auto"/>
        </w:rPr>
        <w:t>公章，否则视为无效报价</w:t>
      </w:r>
      <w:r>
        <w:rPr>
          <w:rFonts w:hint="eastAsia"/>
          <w:color w:val="auto"/>
        </w:rPr>
        <w:t>。</w:t>
      </w:r>
    </w:p>
    <w:p>
      <w:pPr>
        <w:pStyle w:val="15"/>
        <w:numPr>
          <w:ilvl w:val="0"/>
          <w:numId w:val="14"/>
        </w:numPr>
        <w:shd w:val="clear" w:color="auto" w:fill="FFFFFF"/>
        <w:spacing w:before="0" w:beforeAutospacing="0" w:after="0" w:afterAutospacing="0" w:line="360" w:lineRule="auto"/>
        <w:ind w:left="0" w:firstLine="426"/>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除《报价表》所述的报价规则外，</w:t>
      </w:r>
      <w:r>
        <w:rPr>
          <w:rFonts w:asciiTheme="minorEastAsia" w:hAnsiTheme="minorEastAsia" w:eastAsiaTheme="minor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color w:val="auto"/>
          <w:sz w:val="21"/>
          <w:szCs w:val="21"/>
        </w:rPr>
        <w:t>，</w:t>
      </w:r>
      <w:r>
        <w:rPr>
          <w:rFonts w:hint="eastAsia"/>
          <w:color w:val="auto"/>
          <w:sz w:val="21"/>
          <w:szCs w:val="21"/>
        </w:rPr>
        <w:t>如果报价人不接受对其错误的更正，其报价将被视为无效报价。</w:t>
      </w:r>
    </w:p>
    <w:p>
      <w:pPr>
        <w:pStyle w:val="15"/>
        <w:numPr>
          <w:ilvl w:val="0"/>
          <w:numId w:val="14"/>
        </w:numPr>
        <w:shd w:val="clear" w:color="auto" w:fill="FFFFFF"/>
        <w:spacing w:before="0" w:beforeAutospacing="0" w:after="0" w:afterAutospacing="0" w:line="360" w:lineRule="auto"/>
        <w:ind w:left="0" w:firstLine="426"/>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按有关法律、法规、规章属于报价无效的。</w:t>
      </w:r>
    </w:p>
    <w:p>
      <w:pPr>
        <w:pStyle w:val="15"/>
        <w:numPr>
          <w:ilvl w:val="0"/>
          <w:numId w:val="14"/>
        </w:numPr>
        <w:shd w:val="clear" w:color="auto" w:fill="FFFFFF"/>
        <w:spacing w:before="0" w:beforeAutospacing="0" w:after="0" w:afterAutospacing="0" w:line="360" w:lineRule="auto"/>
        <w:rPr>
          <w:rFonts w:asciiTheme="minorEastAsia" w:hAnsiTheme="minorEastAsia" w:eastAsiaTheme="minorEastAsia"/>
          <w:color w:val="auto"/>
          <w:sz w:val="21"/>
          <w:szCs w:val="21"/>
        </w:rPr>
      </w:pPr>
      <w:r>
        <w:rPr>
          <w:rFonts w:hint="eastAsia"/>
          <w:b/>
          <w:color w:val="auto"/>
          <w:sz w:val="21"/>
          <w:szCs w:val="21"/>
        </w:rPr>
        <w:t>有下列情形之一的，视为串通竞价，其报价无效：</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存在单位负责人为同一人或存在控股、管理关系的不同单位参与同一竞价项目；</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不同报价人的报价文件由同一单位或者个人编制；</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不同报价人委托同一单位或者个人办理竞价事宜；</w:t>
      </w:r>
    </w:p>
    <w:p>
      <w:pPr>
        <w:pStyle w:val="26"/>
        <w:widowControl/>
        <w:numPr>
          <w:ilvl w:val="2"/>
          <w:numId w:val="15"/>
        </w:numPr>
        <w:spacing w:line="360" w:lineRule="auto"/>
        <w:ind w:left="0" w:firstLine="426" w:firstLineChars="0"/>
        <w:jc w:val="left"/>
        <w:rPr>
          <w:rFonts w:ascii="宋体" w:hAnsi="宋体"/>
          <w:b/>
          <w:bCs/>
          <w:color w:val="auto"/>
          <w:szCs w:val="21"/>
          <w:u w:val="double"/>
        </w:rPr>
      </w:pPr>
      <w:r>
        <w:rPr>
          <w:rFonts w:hint="eastAsia" w:ascii="宋体" w:hAnsi="宋体"/>
          <w:b/>
          <w:bCs/>
          <w:color w:val="auto"/>
          <w:szCs w:val="21"/>
          <w:u w:val="double"/>
        </w:rPr>
        <w:t>不同报价人使用同一IP地址参与竞价；</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不同报价人的报价文件载明的项目管理成员或者联系人员为同一人；</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不同报价人的报价文件异常一致或者报价呈规律性差异；</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不同报价人的报价文件相互混淆；</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不同报价人的平台使用费从同一单位或者个人的账户转出。</w:t>
      </w:r>
    </w:p>
    <w:p>
      <w:pPr>
        <w:pStyle w:val="26"/>
        <w:numPr>
          <w:ilvl w:val="0"/>
          <w:numId w:val="4"/>
        </w:numPr>
        <w:spacing w:line="360" w:lineRule="auto"/>
        <w:ind w:firstLineChars="0"/>
        <w:rPr>
          <w:b/>
          <w:bCs/>
          <w:color w:val="auto"/>
        </w:rPr>
      </w:pPr>
      <w:r>
        <w:rPr>
          <w:rFonts w:hint="eastAsia"/>
          <w:b/>
          <w:bCs/>
          <w:color w:val="auto"/>
        </w:rPr>
        <w:t>确定成交候选人</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szCs w:val="21"/>
        </w:rPr>
        <w:t>本项目以最低价成交的方式确定成交人。报价时间截止后，系统按报价</w:t>
      </w:r>
      <w:r>
        <w:rPr>
          <w:rFonts w:hint="eastAsia" w:asciiTheme="minorEastAsia" w:hAnsiTheme="minorEastAsia"/>
          <w:b/>
          <w:bCs/>
          <w:color w:val="auto"/>
          <w:kern w:val="0"/>
          <w:szCs w:val="21"/>
        </w:rPr>
        <w:t>（经价格核准后的降点数）</w:t>
      </w:r>
      <w:r>
        <w:rPr>
          <w:rFonts w:hint="eastAsia" w:asciiTheme="minorEastAsia" w:hAnsiTheme="minorEastAsia"/>
          <w:color w:val="auto"/>
          <w:szCs w:val="21"/>
        </w:rPr>
        <w:t>由低到高顺序排列，</w:t>
      </w:r>
      <w:r>
        <w:rPr>
          <w:rFonts w:hint="eastAsia" w:asciiTheme="minorEastAsia" w:hAnsiTheme="minorEastAsia"/>
          <w:color w:val="auto"/>
        </w:rPr>
        <w:t>报价排名第一和第二（最低与次低）的为第一成交候选人，报价排名第三的为第一成交候选人。报价相同的，按报价时间在前的为第一成交候选人；</w:t>
      </w:r>
      <w:r>
        <w:rPr>
          <w:rFonts w:hint="eastAsia" w:ascii="宋体" w:hAnsi="宋体"/>
          <w:color w:val="auto"/>
          <w:szCs w:val="21"/>
        </w:rPr>
        <w:t>报价次低的为第二成交候选人，以此类推</w:t>
      </w:r>
      <w:r>
        <w:rPr>
          <w:rFonts w:hint="eastAsia" w:asciiTheme="minorEastAsia" w:hAnsiTheme="minorEastAsia"/>
          <w:color w:val="auto"/>
        </w:rPr>
        <w:t>。</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竞价活动失败</w:t>
      </w:r>
    </w:p>
    <w:p>
      <w:pPr>
        <w:spacing w:line="360" w:lineRule="auto"/>
        <w:ind w:firstLine="420" w:firstLineChars="200"/>
        <w:rPr>
          <w:rFonts w:asciiTheme="minorEastAsia" w:hAnsiTheme="minorEastAsia"/>
          <w:color w:val="auto"/>
        </w:rPr>
      </w:pPr>
      <w:r>
        <w:rPr>
          <w:rFonts w:hint="eastAsia" w:asciiTheme="minorEastAsia" w:hAnsiTheme="minorEastAsia"/>
          <w:color w:val="auto"/>
          <w:szCs w:val="21"/>
        </w:rPr>
        <w:t>出现下列情况的，本次竞价活动失败：</w:t>
      </w:r>
    </w:p>
    <w:p>
      <w:pPr>
        <w:pStyle w:val="26"/>
        <w:numPr>
          <w:ilvl w:val="0"/>
          <w:numId w:val="16"/>
        </w:numPr>
        <w:spacing w:line="360" w:lineRule="auto"/>
        <w:ind w:left="-134" w:leftChars="-64" w:firstLine="565" w:firstLineChars="0"/>
        <w:rPr>
          <w:rFonts w:asciiTheme="minorEastAsia" w:hAnsiTheme="minorEastAsia"/>
          <w:color w:val="auto"/>
        </w:rPr>
      </w:pPr>
      <w:r>
        <w:rPr>
          <w:rFonts w:hint="eastAsia" w:asciiTheme="minorEastAsia" w:hAnsiTheme="minorEastAsia"/>
          <w:color w:val="auto"/>
        </w:rPr>
        <w:t>参与报名的报价人不足4家；</w:t>
      </w:r>
    </w:p>
    <w:p>
      <w:pPr>
        <w:pStyle w:val="26"/>
        <w:numPr>
          <w:ilvl w:val="0"/>
          <w:numId w:val="16"/>
        </w:numPr>
        <w:spacing w:line="360" w:lineRule="auto"/>
        <w:ind w:left="-134" w:leftChars="-64" w:firstLine="565" w:firstLineChars="0"/>
        <w:rPr>
          <w:rFonts w:asciiTheme="minorEastAsia" w:hAnsiTheme="minorEastAsia"/>
          <w:color w:val="auto"/>
          <w:szCs w:val="21"/>
        </w:rPr>
      </w:pPr>
      <w:r>
        <w:rPr>
          <w:rFonts w:hint="eastAsia" w:asciiTheme="minorEastAsia" w:hAnsiTheme="minorEastAsia"/>
          <w:color w:val="auto"/>
        </w:rPr>
        <w:t>有效报价的报价人不足4家；</w:t>
      </w:r>
    </w:p>
    <w:p>
      <w:pPr>
        <w:pStyle w:val="26"/>
        <w:numPr>
          <w:ilvl w:val="0"/>
          <w:numId w:val="16"/>
        </w:numPr>
        <w:spacing w:line="360" w:lineRule="auto"/>
        <w:ind w:left="-134" w:leftChars="-64" w:firstLine="565" w:firstLineChars="0"/>
        <w:rPr>
          <w:rFonts w:asciiTheme="minorEastAsia" w:hAnsiTheme="minorEastAsia"/>
          <w:color w:val="auto"/>
        </w:rPr>
      </w:pPr>
      <w:r>
        <w:rPr>
          <w:rFonts w:asciiTheme="minorEastAsia" w:hAnsiTheme="minorEastAsia"/>
          <w:color w:val="auto"/>
        </w:rPr>
        <w:t>出现影响采购公正的违法、违规行为的</w:t>
      </w:r>
      <w:r>
        <w:rPr>
          <w:rFonts w:hint="eastAsia" w:asciiTheme="minorEastAsia" w:hAnsiTheme="minorEastAsia"/>
          <w:color w:val="auto"/>
        </w:rPr>
        <w:t>；</w:t>
      </w:r>
    </w:p>
    <w:p>
      <w:pPr>
        <w:pStyle w:val="26"/>
        <w:numPr>
          <w:ilvl w:val="0"/>
          <w:numId w:val="16"/>
        </w:numPr>
        <w:spacing w:line="360" w:lineRule="auto"/>
        <w:ind w:left="-134" w:leftChars="-64" w:firstLine="565" w:firstLineChars="0"/>
        <w:rPr>
          <w:rFonts w:asciiTheme="minorEastAsia" w:hAnsiTheme="minorEastAsia"/>
          <w:color w:val="auto"/>
        </w:rPr>
      </w:pPr>
      <w:r>
        <w:rPr>
          <w:rFonts w:asciiTheme="minorEastAsia" w:hAnsiTheme="minorEastAsia"/>
          <w:color w:val="auto"/>
        </w:rPr>
        <w:t>因重大变故，采购任务取消的</w:t>
      </w:r>
      <w:r>
        <w:rPr>
          <w:rFonts w:hint="eastAsia" w:asciiTheme="minorEastAsia" w:hAnsiTheme="minorEastAsia"/>
          <w:color w:val="auto"/>
        </w:rPr>
        <w:t>。</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成交结果</w:t>
      </w:r>
    </w:p>
    <w:p>
      <w:pPr>
        <w:pStyle w:val="26"/>
        <w:numPr>
          <w:ilvl w:val="0"/>
          <w:numId w:val="17"/>
        </w:numPr>
        <w:tabs>
          <w:tab w:val="left" w:pos="567"/>
        </w:tabs>
        <w:spacing w:line="360" w:lineRule="auto"/>
        <w:ind w:left="0" w:firstLine="420" w:firstLineChars="0"/>
        <w:rPr>
          <w:rFonts w:ascii="宋体" w:hAnsi="宋体"/>
          <w:bCs/>
          <w:color w:val="auto"/>
          <w:szCs w:val="21"/>
        </w:rPr>
      </w:pPr>
      <w:r>
        <w:rPr>
          <w:rFonts w:hint="eastAsia" w:ascii="宋体" w:hAnsi="宋体"/>
          <w:bCs/>
          <w:color w:val="auto"/>
          <w:szCs w:val="21"/>
        </w:rPr>
        <w:t>经采购人确认后，采购代理机构将成交公告在竞价邀请规定的</w:t>
      </w:r>
      <w:r>
        <w:rPr>
          <w:rFonts w:ascii="宋体" w:hAnsi="宋体"/>
          <w:bCs/>
          <w:color w:val="auto"/>
          <w:szCs w:val="21"/>
        </w:rPr>
        <w:t>媒体上</w:t>
      </w:r>
      <w:r>
        <w:rPr>
          <w:rFonts w:hint="eastAsia" w:ascii="宋体" w:hAnsi="宋体"/>
          <w:bCs/>
          <w:color w:val="auto"/>
          <w:szCs w:val="21"/>
        </w:rPr>
        <w:t>进行发布，同时向采购人、成交人发出《成交结果通知书》。</w:t>
      </w:r>
    </w:p>
    <w:p>
      <w:pPr>
        <w:pStyle w:val="26"/>
        <w:numPr>
          <w:ilvl w:val="0"/>
          <w:numId w:val="17"/>
        </w:numPr>
        <w:tabs>
          <w:tab w:val="left" w:pos="567"/>
        </w:tabs>
        <w:spacing w:line="360" w:lineRule="auto"/>
        <w:ind w:left="0" w:firstLine="420" w:firstLineChars="0"/>
        <w:rPr>
          <w:rFonts w:ascii="宋体" w:hAnsi="宋体"/>
          <w:bCs/>
          <w:color w:val="auto"/>
          <w:szCs w:val="21"/>
        </w:rPr>
      </w:pPr>
      <w:r>
        <w:rPr>
          <w:rFonts w:hint="eastAsia" w:ascii="宋体" w:hAnsi="宋体"/>
          <w:bCs/>
          <w:color w:val="auto"/>
          <w:szCs w:val="21"/>
        </w:rPr>
        <w:t>《成交结果通知书》是该项目成交确认合同的组成部分。《成交结果通知书》发出后，采购人改变成交结果的，或者成交人放弃成交项目的，应当依法承担法律责任。</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质疑的提出与解答</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报价人认为竞价结果损害其权益的，应在结果公告发布之日起三个工作日内一次性向采购人或采购代理机构提交书面质疑函，不提交的视为无异议,逾期提交将不予受理。</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质疑函制作说明：</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报价人提出质疑时，应提交质疑函和必要的证明材料。</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质疑函的质疑事项应具体、明确，并有必要的事实依据和法律依据。</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质疑函的质疑请求应与质疑事项相关。</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报价人为自然人的，质疑函应由本人签字；报价人为法人或者其他组织的，质疑函应由法定代表人、主要负责人，或者其授权代表签字或者盖章，并加盖公章。</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报价人应在提交的证明材料中对质疑点的内容作出相应的标识或以醒目的方式标明。</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质疑函递交方式：报价人应将质疑函以及相关资料一并加盖报价人公章扫描发送至采购代理机构邮箱service@choicelink.cn。</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采购人或采购代理机构将参考竞价公告、采购文件以及相关法律法规等规定，于收到书面质疑函后七个工作日内予以处理答复。</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使用费</w:t>
      </w:r>
    </w:p>
    <w:p>
      <w:pPr>
        <w:pStyle w:val="26"/>
        <w:numPr>
          <w:ilvl w:val="0"/>
          <w:numId w:val="20"/>
        </w:numPr>
        <w:spacing w:line="360" w:lineRule="auto"/>
        <w:ind w:left="0" w:firstLine="420" w:firstLineChars="0"/>
        <w:rPr>
          <w:rFonts w:asciiTheme="minorEastAsia" w:hAnsiTheme="minorEastAsia"/>
          <w:color w:val="auto"/>
        </w:rPr>
      </w:pPr>
      <w:r>
        <w:rPr>
          <w:rFonts w:hint="eastAsia" w:asciiTheme="minorEastAsia" w:hAnsiTheme="minorEastAsia"/>
          <w:color w:val="auto"/>
        </w:rPr>
        <w:t>成交人须向</w:t>
      </w:r>
      <w:r>
        <w:rPr>
          <w:rFonts w:hint="eastAsia" w:ascii="宋体" w:hAnsi="宋体"/>
          <w:color w:val="auto"/>
          <w:kern w:val="0"/>
          <w:szCs w:val="21"/>
        </w:rPr>
        <w:t>云采链线上采购一体化平台</w:t>
      </w:r>
      <w:r>
        <w:rPr>
          <w:rFonts w:hint="eastAsia" w:asciiTheme="minorEastAsia" w:hAnsiTheme="minorEastAsia"/>
          <w:color w:val="auto"/>
        </w:rPr>
        <w:t>缴纳平台使用费，</w:t>
      </w:r>
      <w:r>
        <w:rPr>
          <w:rFonts w:hint="eastAsia" w:asciiTheme="minorEastAsia" w:hAnsiTheme="minorEastAsia"/>
          <w:color w:val="auto"/>
          <w:kern w:val="0"/>
        </w:rPr>
        <w:t>金额为采购预算的1.5%</w:t>
      </w:r>
      <w:r>
        <w:rPr>
          <w:rFonts w:hint="eastAsia" w:asciiTheme="minorEastAsia" w:hAnsiTheme="minorEastAsia"/>
          <w:bCs/>
          <w:color w:val="auto"/>
          <w:kern w:val="0"/>
        </w:rPr>
        <w:t>（四舍五入取整数），即人民币3000.00元，由所有成交供应商平均分摊缴纳</w:t>
      </w:r>
      <w:r>
        <w:rPr>
          <w:rFonts w:hint="eastAsia" w:asciiTheme="minorEastAsia" w:hAnsiTheme="minorEastAsia"/>
          <w:color w:val="auto"/>
        </w:rPr>
        <w:t>。</w:t>
      </w:r>
    </w:p>
    <w:p>
      <w:pPr>
        <w:pStyle w:val="26"/>
        <w:numPr>
          <w:ilvl w:val="0"/>
          <w:numId w:val="20"/>
        </w:numPr>
        <w:spacing w:line="360" w:lineRule="auto"/>
        <w:ind w:left="0" w:firstLine="420" w:firstLineChars="0"/>
        <w:rPr>
          <w:rFonts w:asciiTheme="minorEastAsia" w:hAnsiTheme="minorEastAsia"/>
          <w:color w:val="auto"/>
        </w:rPr>
      </w:pPr>
      <w:r>
        <w:rPr>
          <w:rFonts w:hint="eastAsia" w:asciiTheme="minorEastAsia" w:hAnsiTheme="minorEastAsia"/>
          <w:color w:val="auto"/>
        </w:rPr>
        <w:t>成交人无正当理由放弃成交资格的必须按竞价公告等相关规定缴纳相应的平台使用费。</w:t>
      </w:r>
    </w:p>
    <w:p>
      <w:pPr>
        <w:pStyle w:val="26"/>
        <w:numPr>
          <w:ilvl w:val="0"/>
          <w:numId w:val="20"/>
        </w:numPr>
        <w:spacing w:line="360" w:lineRule="auto"/>
        <w:ind w:left="0" w:firstLine="420" w:firstLineChars="0"/>
        <w:rPr>
          <w:rFonts w:asciiTheme="minorEastAsia" w:hAnsiTheme="minorEastAsia"/>
          <w:color w:val="auto"/>
        </w:rPr>
      </w:pPr>
      <w:r>
        <w:rPr>
          <w:rFonts w:hint="eastAsia" w:asciiTheme="minorEastAsia" w:hAnsiTheme="minorEastAsia"/>
          <w:color w:val="auto"/>
          <w:szCs w:val="21"/>
        </w:rPr>
        <w:t>如确实因不可抗力放弃成交资格的，应在不可抗力发生后三个工作日内予以通知采购代理机构并提供相关的证明；如逾期，采购代理机构不予退还平台使用费。</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合同的订立</w:t>
      </w:r>
    </w:p>
    <w:p>
      <w:pPr>
        <w:pStyle w:val="26"/>
        <w:spacing w:line="360" w:lineRule="auto"/>
        <w:ind w:firstLine="424" w:firstLineChars="202"/>
        <w:rPr>
          <w:rFonts w:asciiTheme="minorEastAsia" w:hAnsiTheme="minorEastAsia"/>
          <w:b/>
          <w:bCs/>
          <w:color w:val="auto"/>
        </w:rPr>
      </w:pPr>
      <w:r>
        <w:rPr>
          <w:rFonts w:hint="eastAsia" w:ascii="宋体" w:hAnsi="宋体" w:cs="宋体"/>
          <w:color w:val="auto"/>
          <w:kern w:val="0"/>
          <w:szCs w:val="21"/>
          <w:lang w:eastAsia="zh-TW"/>
        </w:rPr>
        <w:t>采购人</w:t>
      </w:r>
      <w:r>
        <w:rPr>
          <w:rFonts w:hint="eastAsia" w:ascii="宋体" w:hAnsi="宋体" w:cs="宋体"/>
          <w:color w:val="auto"/>
          <w:kern w:val="0"/>
          <w:szCs w:val="21"/>
        </w:rPr>
        <w:t>应当</w:t>
      </w:r>
      <w:r>
        <w:rPr>
          <w:rFonts w:hint="eastAsia" w:ascii="宋体" w:hAnsi="宋体" w:cs="宋体"/>
          <w:color w:val="auto"/>
          <w:kern w:val="0"/>
          <w:szCs w:val="21"/>
          <w:lang w:eastAsia="zh-TW"/>
        </w:rPr>
        <w:t>自《成交结果通知书》发出之日起三十日内，</w:t>
      </w:r>
      <w:r>
        <w:rPr>
          <w:rFonts w:hint="eastAsia"/>
          <w:color w:val="auto"/>
          <w:szCs w:val="21"/>
        </w:rPr>
        <w:t>依照采购文件及报价文件的规定签订书面合同，合同的标的、价款、质量、履行期限等主要条款应当与采购文件和成交人的报价文件的内容一致。采购人和成交人不得再行订立背离合同实质性内容的其他协议。</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其他</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szCs w:val="21"/>
        </w:rPr>
        <w:t>若成交人自身原因无法完成本项目，则采购人有权利保留追究责任。</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成交人因自身原因被取消成交资格，采购人可重新启动采购或按采购文件规定顺延推选符合要求的报价人作为成交人。</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若本项目竞价采购失败，采购人将重新采购，届时采购人有权根据项目具体情况，决定重新采购项目的采购方式。</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成交人若无正当理由恶意放弃成交资格，采购人有权将拒绝其参加本项目重新组织的竞价采购活动。</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免责声明：竞价数据以平台数据库记录为准，一切因网络通信等外部因素造成的竞价数据错误或缺失，或导致竞价项目交易异常的，均与云采链线上采购一体化平台无关。因网络抖动等原因造成竞价延时情况由报价人承担。</w:t>
      </w:r>
    </w:p>
    <w:p>
      <w:pPr>
        <w:pStyle w:val="26"/>
        <w:widowControl/>
        <w:numPr>
          <w:ilvl w:val="0"/>
          <w:numId w:val="4"/>
        </w:numPr>
        <w:spacing w:line="360" w:lineRule="auto"/>
        <w:ind w:firstLineChars="0"/>
        <w:jc w:val="left"/>
        <w:rPr>
          <w:rFonts w:asciiTheme="minorEastAsia" w:hAnsiTheme="minorEastAsia"/>
          <w:b/>
          <w:color w:val="auto"/>
        </w:rPr>
      </w:pPr>
      <w:r>
        <w:rPr>
          <w:rFonts w:hint="eastAsia" w:asciiTheme="minorEastAsia" w:hAnsiTheme="minorEastAsia"/>
          <w:b/>
          <w:color w:val="auto"/>
        </w:rPr>
        <w:t>联系方式</w:t>
      </w:r>
    </w:p>
    <w:p>
      <w:pPr>
        <w:pStyle w:val="26"/>
        <w:widowControl/>
        <w:spacing w:line="360" w:lineRule="auto"/>
        <w:ind w:left="420" w:firstLine="0" w:firstLineChars="0"/>
        <w:jc w:val="left"/>
        <w:rPr>
          <w:rFonts w:asciiTheme="minorEastAsia" w:hAnsiTheme="minorEastAsia"/>
          <w:color w:val="auto"/>
        </w:rPr>
      </w:pPr>
      <w:r>
        <w:rPr>
          <w:color w:val="auto"/>
        </w:rPr>
        <w:t>扫码关注微信公众号</w:t>
      </w:r>
      <w:r>
        <w:rPr>
          <w:rFonts w:hint="eastAsia"/>
          <w:color w:val="auto"/>
        </w:rPr>
        <w:t>“</w:t>
      </w:r>
      <w:r>
        <w:rPr>
          <w:color w:val="auto"/>
        </w:rPr>
        <w:t>云采链互联服务平台</w:t>
      </w:r>
      <w:r>
        <w:rPr>
          <w:rFonts w:hint="eastAsia"/>
          <w:color w:val="auto"/>
        </w:rPr>
        <w:t>”</w:t>
      </w:r>
      <w:r>
        <w:rPr>
          <w:color w:val="auto"/>
        </w:rPr>
        <w:t>，即可在线咨询相关事项</w:t>
      </w:r>
      <w:r>
        <w:rPr>
          <w:rFonts w:hint="eastAsia" w:asciiTheme="minorEastAsia" w:hAnsiTheme="minorEastAsia"/>
          <w:color w:val="auto"/>
        </w:rPr>
        <w:t>。</w:t>
      </w:r>
    </w:p>
    <w:p>
      <w:pPr>
        <w:pStyle w:val="26"/>
        <w:widowControl/>
        <w:spacing w:line="360" w:lineRule="auto"/>
        <w:ind w:left="420" w:firstLine="0" w:firstLineChars="0"/>
        <w:jc w:val="center"/>
        <w:rPr>
          <w:rFonts w:asciiTheme="minorEastAsia" w:hAnsiTheme="minorEastAsia"/>
          <w:b/>
          <w:color w:val="auto"/>
        </w:rPr>
      </w:pPr>
      <w:r>
        <w:rPr>
          <w:rFonts w:hint="eastAsia" w:asciiTheme="minorEastAsia" w:hAnsiTheme="minorEastAsia"/>
          <w:color w:val="auto"/>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widowControl/>
        <w:jc w:val="left"/>
        <w:rPr>
          <w:rFonts w:asciiTheme="minorEastAsia" w:hAnsiTheme="minorEastAsia"/>
          <w:color w:val="auto"/>
        </w:rPr>
      </w:pPr>
      <w:r>
        <w:rPr>
          <w:rFonts w:asciiTheme="minorEastAsia" w:hAnsiTheme="minorEastAsia"/>
          <w:color w:val="auto"/>
        </w:rPr>
        <w:br w:type="page"/>
      </w:r>
    </w:p>
    <w:p>
      <w:pPr>
        <w:pStyle w:val="16"/>
        <w:spacing w:before="0" w:after="0"/>
        <w:rPr>
          <w:color w:val="auto"/>
          <w:lang w:val="zh-CN"/>
        </w:rPr>
        <w:sectPr>
          <w:footerReference r:id="rId6" w:type="default"/>
          <w:pgSz w:w="11906" w:h="16838"/>
          <w:pgMar w:top="1134" w:right="1134" w:bottom="784" w:left="1134" w:header="624" w:footer="646" w:gutter="284"/>
          <w:cols w:space="425" w:num="1"/>
          <w:docGrid w:linePitch="312" w:charSpace="0"/>
        </w:sectPr>
      </w:pPr>
    </w:p>
    <w:bookmarkEnd w:id="0"/>
    <w:p>
      <w:pPr>
        <w:pStyle w:val="16"/>
        <w:spacing w:before="0" w:after="0"/>
        <w:rPr>
          <w:color w:val="auto"/>
        </w:rPr>
      </w:pPr>
      <w:bookmarkStart w:id="12" w:name="_Toc64879404"/>
      <w:r>
        <w:rPr>
          <w:rFonts w:hint="eastAsia"/>
          <w:color w:val="auto"/>
        </w:rPr>
        <w:t>第三章 用户需求书</w:t>
      </w:r>
      <w:bookmarkEnd w:id="12"/>
    </w:p>
    <w:p>
      <w:pPr>
        <w:pStyle w:val="3"/>
        <w:spacing w:before="0" w:after="0" w:line="360" w:lineRule="auto"/>
        <w:rPr>
          <w:rFonts w:ascii="宋体" w:hAnsi="宋体" w:eastAsia="宋体"/>
          <w:color w:val="auto"/>
          <w:sz w:val="21"/>
          <w:szCs w:val="21"/>
        </w:rPr>
      </w:pPr>
      <w:bookmarkStart w:id="13" w:name="_Toc64879405"/>
      <w:r>
        <w:rPr>
          <w:rFonts w:hint="eastAsia" w:ascii="宋体" w:hAnsi="宋体" w:eastAsia="宋体" w:cs="微软雅黑"/>
          <w:color w:val="auto"/>
          <w:sz w:val="21"/>
          <w:szCs w:val="21"/>
        </w:rPr>
        <w:t>一、商务部分要求</w:t>
      </w:r>
      <w:bookmarkEnd w:id="13"/>
    </w:p>
    <w:p>
      <w:pPr>
        <w:pStyle w:val="40"/>
        <w:spacing w:before="0" w:after="0" w:line="360" w:lineRule="auto"/>
        <w:rPr>
          <w:rFonts w:ascii="宋体" w:hAnsi="宋体" w:eastAsia="宋体"/>
          <w:color w:val="auto"/>
          <w:sz w:val="21"/>
          <w:szCs w:val="21"/>
        </w:rPr>
      </w:pPr>
      <w:bookmarkStart w:id="14" w:name="_Toc64879406"/>
      <w:r>
        <w:rPr>
          <w:rFonts w:hint="eastAsia" w:ascii="宋体" w:hAnsi="宋体" w:eastAsia="宋体"/>
          <w:b w:val="0"/>
          <w:color w:val="auto"/>
          <w:sz w:val="21"/>
          <w:szCs w:val="21"/>
        </w:rPr>
        <w:t>1.</w:t>
      </w:r>
      <w:r>
        <w:rPr>
          <w:rFonts w:hint="eastAsia" w:ascii="宋体" w:hAnsi="宋体" w:eastAsia="宋体"/>
          <w:color w:val="auto"/>
          <w:sz w:val="21"/>
          <w:szCs w:val="21"/>
        </w:rPr>
        <w:t xml:space="preserve"> </w:t>
      </w:r>
      <w:r>
        <w:rPr>
          <w:rFonts w:hint="eastAsia" w:ascii="宋体" w:hAnsi="宋体" w:eastAsia="宋体" w:cs="微软雅黑"/>
          <w:color w:val="auto"/>
          <w:sz w:val="21"/>
          <w:szCs w:val="21"/>
        </w:rPr>
        <w:t>采购需求</w:t>
      </w:r>
      <w:bookmarkEnd w:id="14"/>
    </w:p>
    <w:p>
      <w:pPr>
        <w:spacing w:line="360" w:lineRule="auto"/>
        <w:ind w:firstLine="420" w:firstLineChars="200"/>
        <w:rPr>
          <w:rFonts w:ascii="宋体" w:hAnsi="宋体" w:eastAsia="宋体"/>
          <w:color w:val="auto"/>
          <w:kern w:val="28"/>
          <w:szCs w:val="21"/>
        </w:rPr>
      </w:pPr>
      <w:r>
        <w:rPr>
          <w:rFonts w:hint="eastAsia" w:ascii="宋体" w:hAnsi="宋体" w:eastAsia="宋体"/>
          <w:color w:val="auto"/>
          <w:kern w:val="28"/>
          <w:szCs w:val="21"/>
        </w:rPr>
        <w:t>本项目为广东有线广播电视网络有限公司（以下简称“采购人”）2024年宣传礼品采购项目，</w:t>
      </w:r>
      <w:r>
        <w:rPr>
          <w:rFonts w:hint="eastAsia" w:ascii="宋体" w:hAnsi="宋体" w:eastAsia="宋体"/>
          <w:color w:val="auto"/>
          <w:szCs w:val="21"/>
        </w:rPr>
        <w:t>合同有效期为本项目采购金额累计达到人民币20万元（含税）或自合同签订之日起1年，</w:t>
      </w:r>
      <w:r>
        <w:rPr>
          <w:rFonts w:ascii="宋体" w:hAnsi="宋体" w:eastAsia="宋体"/>
          <w:color w:val="auto"/>
          <w:kern w:val="28"/>
          <w:szCs w:val="21"/>
        </w:rPr>
        <w:t>以先到者为准。在合同期限结束时，若采购人尚未公告同类项目新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采购结果，采购人有权延长合同有效期至采购人公告同类项目新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的结算金额为准，增加的金额不得超过原合同最高含税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r>
        <w:rPr>
          <w:rFonts w:hint="eastAsia" w:ascii="宋体" w:hAnsi="宋体" w:eastAsia="宋体"/>
          <w:color w:val="auto"/>
          <w:kern w:val="28"/>
          <w:szCs w:val="21"/>
        </w:rPr>
        <w:t>宣传礼品需求清单如下</w:t>
      </w:r>
      <w:r>
        <w:rPr>
          <w:rFonts w:ascii="宋体" w:hAnsi="宋体" w:eastAsia="宋体"/>
          <w:color w:val="auto"/>
          <w:kern w:val="28"/>
          <w:szCs w:val="21"/>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6024"/>
        <w:gridCol w:w="1241"/>
        <w:gridCol w:w="74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产品</w:t>
            </w:r>
          </w:p>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名称</w:t>
            </w:r>
          </w:p>
        </w:tc>
        <w:tc>
          <w:tcPr>
            <w:tcW w:w="0" w:type="auto"/>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规格和技术要求</w:t>
            </w:r>
          </w:p>
        </w:tc>
        <w:tc>
          <w:tcPr>
            <w:tcW w:w="0" w:type="auto"/>
            <w:shd w:val="clear" w:color="auto" w:fill="auto"/>
            <w:vAlign w:val="center"/>
          </w:tcPr>
          <w:p>
            <w:pPr>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参考品牌</w:t>
            </w:r>
          </w:p>
          <w:p>
            <w:pPr>
              <w:widowControl/>
              <w:jc w:val="center"/>
              <w:rPr>
                <w:rFonts w:cs="宋体" w:asciiTheme="minorEastAsia" w:hAnsiTheme="minorEastAsia"/>
                <w:b/>
                <w:bCs/>
                <w:color w:val="auto"/>
                <w:kern w:val="0"/>
                <w:szCs w:val="21"/>
              </w:rPr>
            </w:pPr>
          </w:p>
        </w:tc>
        <w:tc>
          <w:tcPr>
            <w:tcW w:w="0" w:type="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规格</w:t>
            </w:r>
          </w:p>
        </w:tc>
        <w:tc>
          <w:tcPr>
            <w:tcW w:w="0" w:type="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不含税基准单价（元）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食用油</w:t>
            </w:r>
          </w:p>
          <w:p>
            <w:pPr>
              <w:widowControl/>
              <w:jc w:val="center"/>
              <w:rPr>
                <w:rFonts w:asciiTheme="minorEastAsia" w:hAnsiTheme="minorEastAsia"/>
                <w:color w:val="auto"/>
                <w:szCs w:val="21"/>
              </w:rPr>
            </w:pPr>
          </w:p>
        </w:tc>
        <w:tc>
          <w:tcPr>
            <w:tcW w:w="0" w:type="auto"/>
            <w:vMerge w:val="restart"/>
            <w:shd w:val="clear" w:color="auto" w:fill="auto"/>
            <w:vAlign w:val="center"/>
          </w:tcPr>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外包装完好，有”QS”或“SC”标志或政府主管部门认定的认证标志、标明品名、厂名、重量、生产日期、保质期、或保存期、执行标准、剩余保质期不少于三分之二，具有产品合格证。具有正常植物油的色泽、透明度、气味和滋味，无焦臭、酸败及其他异味。不得混油其他食用油或非食用油；非转基因。</w:t>
            </w:r>
          </w:p>
          <w:p>
            <w:pPr>
              <w:widowControl/>
              <w:jc w:val="left"/>
              <w:rPr>
                <w:rFonts w:cs="宋体" w:asciiTheme="minorEastAsia" w:hAnsiTheme="minorEastAsia"/>
                <w:color w:val="auto"/>
                <w:kern w:val="0"/>
                <w:szCs w:val="21"/>
              </w:rPr>
            </w:pPr>
            <w:r>
              <w:rPr>
                <w:rFonts w:hint="eastAsia" w:cs="宋体" w:asciiTheme="minorEastAsia" w:hAnsiTheme="minorEastAsia"/>
                <w:color w:val="auto"/>
                <w:kern w:val="0"/>
                <w:szCs w:val="21"/>
                <w:lang w:bidi="ar"/>
              </w:rPr>
              <w:t>检定反应：加热试验（280 摄氏度）油色不得变深，无析出物。油类执行标准，按食用油必须符合食用植物油卫生标准</w:t>
            </w:r>
            <w:r>
              <w:rPr>
                <w:color w:val="auto"/>
              </w:rPr>
              <w:fldChar w:fldCharType="begin"/>
            </w:r>
            <w:r>
              <w:rPr>
                <w:color w:val="auto"/>
              </w:rPr>
              <w:instrText xml:space="preserve"> HYPERLINK "http://www.csres.com/detail/316358.html" \t "http://www.csres.com/detail/_blank" </w:instrText>
            </w:r>
            <w:r>
              <w:rPr>
                <w:color w:val="auto"/>
              </w:rPr>
              <w:fldChar w:fldCharType="separate"/>
            </w:r>
            <w:r>
              <w:rPr>
                <w:rFonts w:hint="eastAsia" w:cs="宋体" w:asciiTheme="minorEastAsia" w:hAnsiTheme="minorEastAsia"/>
                <w:color w:val="auto"/>
                <w:kern w:val="0"/>
                <w:szCs w:val="21"/>
                <w:lang w:bidi="ar"/>
              </w:rPr>
              <w:t>GB 2716-2018</w:t>
            </w:r>
            <w:r>
              <w:rPr>
                <w:rFonts w:hint="eastAsia" w:cs="宋体" w:asciiTheme="minorEastAsia" w:hAnsiTheme="minorEastAsia"/>
                <w:color w:val="auto"/>
                <w:kern w:val="0"/>
                <w:szCs w:val="21"/>
                <w:lang w:bidi="ar"/>
              </w:rPr>
              <w:fldChar w:fldCharType="end"/>
            </w:r>
            <w:r>
              <w:rPr>
                <w:rFonts w:hint="eastAsia" w:cs="宋体" w:asciiTheme="minorEastAsia" w:hAnsiTheme="minorEastAsia"/>
                <w:color w:val="auto"/>
                <w:kern w:val="0"/>
                <w:szCs w:val="21"/>
                <w:lang w:bidi="ar"/>
              </w:rPr>
              <w:t>的要求,污染物限量标准应符合GB 2762-2022规定，生产企业取得食品生产许可证。</w:t>
            </w:r>
          </w:p>
        </w:tc>
        <w:tc>
          <w:tcPr>
            <w:tcW w:w="0" w:type="auto"/>
            <w:vMerge w:val="restart"/>
            <w:shd w:val="clear" w:color="auto" w:fill="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kern w:val="0"/>
                <w:szCs w:val="21"/>
              </w:rPr>
              <w:t>金龙鱼、福临门、多力、刀唛或同等档次及以上</w:t>
            </w: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700ML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900ML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2.5L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5L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asciiTheme="minorEastAsia" w:hAnsiTheme="minorEastAsia"/>
                <w:color w:val="auto"/>
                <w:szCs w:val="21"/>
              </w:rPr>
              <w:t>米</w:t>
            </w:r>
          </w:p>
        </w:tc>
        <w:tc>
          <w:tcPr>
            <w:tcW w:w="0" w:type="auto"/>
            <w:vMerge w:val="restart"/>
            <w:shd w:val="clear" w:color="auto" w:fill="auto"/>
            <w:vAlign w:val="center"/>
          </w:tcPr>
          <w:p>
            <w:pPr>
              <w:widowControl/>
              <w:jc w:val="left"/>
              <w:rPr>
                <w:rFonts w:asciiTheme="minorEastAsia" w:hAnsiTheme="minorEastAsia"/>
                <w:color w:val="auto"/>
                <w:szCs w:val="21"/>
              </w:rPr>
            </w:pPr>
            <w:r>
              <w:rPr>
                <w:rFonts w:hint="eastAsia" w:cs="宋体" w:asciiTheme="minorEastAsia" w:hAnsiTheme="minorEastAsia"/>
                <w:color w:val="auto"/>
                <w:kern w:val="0"/>
                <w:szCs w:val="21"/>
                <w:lang w:bidi="ar"/>
              </w:rPr>
              <w:t xml:space="preserve">有“QS”或“SC”标志或政府主管部门认定的认证标志，包装要印有注册商标，品名、生产厂家名称、厂址、厂家电话号码、出厂日期、产品成份、保质期限，供货时的剩余保质期不少于三分之二，质量等级、产品标准号、产品合格证，质量符合国家大米（GB/T 1354-2018）与国家粮食卫生标准（GB 2715-2016）。 </w:t>
            </w:r>
          </w:p>
          <w:p>
            <w:pPr>
              <w:widowControl/>
              <w:jc w:val="left"/>
              <w:rPr>
                <w:rFonts w:asciiTheme="minorEastAsia" w:hAnsiTheme="minorEastAsia"/>
                <w:color w:val="auto"/>
                <w:szCs w:val="21"/>
              </w:rPr>
            </w:pPr>
            <w:r>
              <w:rPr>
                <w:rFonts w:hint="eastAsia" w:cs="宋体" w:asciiTheme="minorEastAsia" w:hAnsiTheme="minorEastAsia"/>
                <w:color w:val="auto"/>
                <w:kern w:val="0"/>
                <w:szCs w:val="21"/>
                <w:lang w:bidi="ar"/>
              </w:rPr>
              <w:t>外观：具有固有色泽和香味，无污染、无虫害、无油脂酸败，色泽、气味、口味正常，不含添加剂，无异味或霉味（霉变），无虫蛀结块挂丝或杂质异物等，符合国家粮食卫生标准。出库时全部经专用防疫检测设备检验合格并出具检验证明，且符合食品卫生安全法要求。</w:t>
            </w:r>
          </w:p>
        </w:tc>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金龙鱼、福临门、太粮、马坝或同等档次及以上</w:t>
            </w:r>
          </w:p>
        </w:tc>
        <w:tc>
          <w:tcPr>
            <w:tcW w:w="0" w:type="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szCs w:val="21"/>
              </w:rPr>
              <w:t>1KG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szCs w:val="21"/>
              </w:rPr>
              <w:t>2.5KG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5KG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洗洁精</w:t>
            </w:r>
          </w:p>
        </w:tc>
        <w:tc>
          <w:tcPr>
            <w:tcW w:w="0" w:type="auto"/>
            <w:vMerge w:val="restart"/>
            <w:shd w:val="clear" w:color="auto" w:fill="auto"/>
            <w:vAlign w:val="center"/>
          </w:tcPr>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有“QS”或“SC”标志或政府主管部门认定的认证标志，包装要印有注册商标，品名、生产厂家名称、厂址、厂家电话号码、出厂日期、产品成份、保质期限，供货时的剩余保质期不少于三分之二，质量等级、产品标准号、产品合格证，质量符合《</w:t>
            </w:r>
            <w:r>
              <w:rPr>
                <w:color w:val="auto"/>
              </w:rPr>
              <w:fldChar w:fldCharType="begin"/>
            </w:r>
            <w:r>
              <w:rPr>
                <w:color w:val="auto"/>
              </w:rPr>
              <w:instrText xml:space="preserve"> HYPERLINK "https://baike.baidu.com/item/%E6%89%8B%E6%B4%97%E9%A4%90%E5%85%B7%E7%94%A8%E6%B4%97%E6%B6%A4%E5%89%82/20791284?fromModule=lemma_inlink" \t "https://baike.baidu.com/item/%E6%B4%97%E6%B4%81%E7%B2%BE/_blank" </w:instrText>
            </w:r>
            <w:r>
              <w:rPr>
                <w:color w:val="auto"/>
              </w:rPr>
              <w:fldChar w:fldCharType="separate"/>
            </w:r>
            <w:r>
              <w:rPr>
                <w:rFonts w:hint="eastAsia" w:cs="宋体" w:asciiTheme="minorEastAsia" w:hAnsiTheme="minorEastAsia"/>
                <w:color w:val="auto"/>
                <w:kern w:val="0"/>
                <w:szCs w:val="21"/>
                <w:lang w:bidi="ar"/>
              </w:rPr>
              <w:t>手洗餐具用洗涤剂</w:t>
            </w:r>
            <w:r>
              <w:rPr>
                <w:rFonts w:hint="eastAsia" w:cs="宋体" w:asciiTheme="minorEastAsia" w:hAnsiTheme="minorEastAsia"/>
                <w:color w:val="auto"/>
                <w:kern w:val="0"/>
                <w:szCs w:val="21"/>
                <w:lang w:bidi="ar"/>
              </w:rPr>
              <w:fldChar w:fldCharType="end"/>
            </w:r>
            <w:r>
              <w:rPr>
                <w:rFonts w:hint="eastAsia" w:cs="宋体" w:asciiTheme="minorEastAsia" w:hAnsiTheme="minorEastAsia"/>
                <w:color w:val="auto"/>
                <w:kern w:val="0"/>
                <w:szCs w:val="21"/>
                <w:lang w:bidi="ar"/>
              </w:rPr>
              <w:t>》（GB/T 9985-2022）、《餐具洗涤剂产品生产许可实施细则》。</w:t>
            </w:r>
          </w:p>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外观：液体产品不分层，无悬浮物或沉淀，</w:t>
            </w:r>
            <w:r>
              <w:rPr>
                <w:rFonts w:cs="宋体" w:asciiTheme="minorEastAsia" w:hAnsiTheme="minorEastAsia"/>
                <w:color w:val="auto"/>
                <w:kern w:val="0"/>
                <w:szCs w:val="21"/>
                <w:lang w:bidi="ar"/>
              </w:rPr>
              <w:t>不得有其它异味，加香产品应符合规定香型</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去污力不小于标准餐具洗涤剂</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不得检出荧光增白剂。</w:t>
            </w:r>
          </w:p>
        </w:tc>
        <w:tc>
          <w:tcPr>
            <w:tcW w:w="0" w:type="auto"/>
            <w:vMerge w:val="restart"/>
            <w:shd w:val="clear" w:color="auto" w:fill="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kern w:val="0"/>
                <w:szCs w:val="21"/>
              </w:rPr>
              <w:t>立白、超能、雕牌、斧头或同等档次及以上</w:t>
            </w: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408G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1KG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1.5KG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洗衣液</w:t>
            </w:r>
          </w:p>
        </w:tc>
        <w:tc>
          <w:tcPr>
            <w:tcW w:w="0" w:type="auto"/>
            <w:vMerge w:val="restart"/>
            <w:shd w:val="clear" w:color="auto" w:fill="auto"/>
            <w:vAlign w:val="center"/>
          </w:tcPr>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有“QS”或“SC”标志或政府主管部门认定的认证标志，包装要印有注册商标，品名、生产厂家名称、厂址、厂家电话号码、出厂日期、产品成份、保质期限，供货时的剩余保质期不少于三分之二，质量等级、产品标准号、产品合格证，质量符合《</w:t>
            </w:r>
            <w:r>
              <w:rPr>
                <w:color w:val="auto"/>
              </w:rPr>
              <w:fldChar w:fldCharType="begin"/>
            </w:r>
            <w:r>
              <w:rPr>
                <w:color w:val="auto"/>
              </w:rPr>
              <w:instrText xml:space="preserve"> HYPERLINK "https://baike.baidu.com/item/%E6%89%8B%E6%B4%97%E9%A4%90%E5%85%B7%E7%94%A8%E6%B4%97%E6%B6%A4%E5%89%82/20791284?fromModule=lemma_inlink" \t "https://baike.baidu.com/item/%E6%B4%97%E6%B4%81%E7%B2%BE/_blank" </w:instrText>
            </w:r>
            <w:r>
              <w:rPr>
                <w:color w:val="auto"/>
              </w:rPr>
              <w:fldChar w:fldCharType="separate"/>
            </w:r>
            <w:r>
              <w:rPr>
                <w:rFonts w:hint="eastAsia" w:cs="宋体" w:asciiTheme="minorEastAsia" w:hAnsiTheme="minorEastAsia"/>
                <w:color w:val="auto"/>
                <w:kern w:val="0"/>
                <w:szCs w:val="21"/>
                <w:lang w:bidi="ar"/>
              </w:rPr>
              <w:t>手洗餐具用洗涤剂</w:t>
            </w:r>
            <w:r>
              <w:rPr>
                <w:rFonts w:hint="eastAsia" w:cs="宋体" w:asciiTheme="minorEastAsia" w:hAnsiTheme="minorEastAsia"/>
                <w:color w:val="auto"/>
                <w:kern w:val="0"/>
                <w:szCs w:val="21"/>
                <w:lang w:bidi="ar"/>
              </w:rPr>
              <w:fldChar w:fldCharType="end"/>
            </w:r>
            <w:r>
              <w:rPr>
                <w:rFonts w:hint="eastAsia" w:cs="宋体" w:asciiTheme="minorEastAsia" w:hAnsiTheme="minorEastAsia"/>
                <w:color w:val="auto"/>
                <w:kern w:val="0"/>
                <w:szCs w:val="21"/>
                <w:lang w:bidi="ar"/>
              </w:rPr>
              <w:t>》（GB/T 9985-2022）、《餐具洗涤剂产品生产许可实施细则》。</w:t>
            </w:r>
          </w:p>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外观：液体产品不分层，无悬浮物或沉淀，</w:t>
            </w:r>
            <w:r>
              <w:rPr>
                <w:rFonts w:cs="宋体" w:asciiTheme="minorEastAsia" w:hAnsiTheme="minorEastAsia"/>
                <w:color w:val="auto"/>
                <w:kern w:val="0"/>
                <w:szCs w:val="21"/>
                <w:lang w:bidi="ar"/>
              </w:rPr>
              <w:t>不得有其它异味，加香产品应符合规定香型</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去污力不小于标准</w:t>
            </w:r>
            <w:r>
              <w:rPr>
                <w:rFonts w:hint="eastAsia" w:cs="宋体" w:asciiTheme="minorEastAsia" w:hAnsiTheme="minorEastAsia"/>
                <w:color w:val="auto"/>
                <w:kern w:val="0"/>
                <w:szCs w:val="21"/>
                <w:lang w:bidi="ar"/>
              </w:rPr>
              <w:t>衣物</w:t>
            </w:r>
            <w:r>
              <w:rPr>
                <w:rFonts w:cs="宋体" w:asciiTheme="minorEastAsia" w:hAnsiTheme="minorEastAsia"/>
                <w:color w:val="auto"/>
                <w:kern w:val="0"/>
                <w:szCs w:val="21"/>
                <w:lang w:bidi="ar"/>
              </w:rPr>
              <w:t>洗涤剂</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不得检出荧光增白剂。</w:t>
            </w:r>
          </w:p>
        </w:tc>
        <w:tc>
          <w:tcPr>
            <w:tcW w:w="0" w:type="auto"/>
            <w:vMerge w:val="restart"/>
            <w:shd w:val="clear" w:color="auto" w:fill="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kern w:val="0"/>
                <w:szCs w:val="21"/>
              </w:rPr>
              <w:t>立白、超能、雕牌、蓝月亮或同等档次及以上</w:t>
            </w: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500G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1KG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2KG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3KG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29.8</w:t>
            </w:r>
          </w:p>
        </w:tc>
      </w:tr>
    </w:tbl>
    <w:p>
      <w:pPr>
        <w:spacing w:line="360" w:lineRule="auto"/>
        <w:rPr>
          <w:rFonts w:ascii="宋体" w:hAnsi="宋体" w:eastAsia="宋体"/>
          <w:b/>
          <w:color w:val="auto"/>
          <w:szCs w:val="21"/>
        </w:rPr>
      </w:pPr>
      <w:r>
        <w:rPr>
          <w:rFonts w:hint="eastAsia" w:ascii="宋体" w:hAnsi="宋体" w:eastAsia="宋体"/>
          <w:color w:val="auto"/>
          <w:szCs w:val="21"/>
        </w:rPr>
        <w:t>注：报价人须按采购人实际订单需求分批免费</w:t>
      </w:r>
      <w:r>
        <w:rPr>
          <w:rFonts w:ascii="宋体" w:hAnsi="宋体" w:eastAsia="宋体"/>
          <w:color w:val="auto"/>
          <w:szCs w:val="21"/>
        </w:rPr>
        <w:t>配送至</w:t>
      </w:r>
      <w:r>
        <w:rPr>
          <w:rFonts w:hint="eastAsia" w:ascii="宋体" w:hAnsi="宋体" w:eastAsia="宋体"/>
          <w:color w:val="auto"/>
          <w:szCs w:val="21"/>
        </w:rPr>
        <w:t>采购人指定地点（所有</w:t>
      </w:r>
      <w:r>
        <w:rPr>
          <w:rFonts w:ascii="宋体" w:hAnsi="宋体" w:eastAsia="宋体"/>
          <w:color w:val="auto"/>
          <w:szCs w:val="21"/>
        </w:rPr>
        <w:t>配送地点均在广州市内</w:t>
      </w:r>
      <w:r>
        <w:rPr>
          <w:rFonts w:hint="eastAsia" w:ascii="宋体" w:hAnsi="宋体" w:eastAsia="宋体"/>
          <w:color w:val="auto"/>
          <w:szCs w:val="21"/>
        </w:rPr>
        <w:t>）。</w:t>
      </w:r>
    </w:p>
    <w:p>
      <w:pPr>
        <w:pStyle w:val="40"/>
        <w:spacing w:before="0" w:after="0" w:line="360" w:lineRule="auto"/>
        <w:rPr>
          <w:rFonts w:ascii="宋体" w:hAnsi="宋体" w:eastAsia="宋体"/>
          <w:color w:val="auto"/>
          <w:sz w:val="21"/>
          <w:szCs w:val="21"/>
        </w:rPr>
      </w:pPr>
      <w:bookmarkStart w:id="15" w:name="_Toc207706002"/>
      <w:bookmarkStart w:id="16" w:name="_Toc64879407"/>
      <w:r>
        <w:rPr>
          <w:rFonts w:hint="eastAsia" w:ascii="宋体" w:hAnsi="宋体" w:eastAsia="宋体"/>
          <w:color w:val="auto"/>
          <w:sz w:val="21"/>
          <w:szCs w:val="21"/>
        </w:rPr>
        <w:t xml:space="preserve">2. </w:t>
      </w:r>
      <w:bookmarkStart w:id="17" w:name="_Toc206992131"/>
      <w:bookmarkStart w:id="18" w:name="_Toc207005551"/>
      <w:r>
        <w:rPr>
          <w:rFonts w:hint="eastAsia" w:ascii="宋体" w:hAnsi="宋体" w:eastAsia="宋体" w:cs="微软雅黑"/>
          <w:color w:val="auto"/>
          <w:sz w:val="21"/>
          <w:szCs w:val="21"/>
        </w:rPr>
        <w:t>报价</w:t>
      </w:r>
      <w:bookmarkEnd w:id="15"/>
      <w:bookmarkEnd w:id="16"/>
      <w:bookmarkEnd w:id="17"/>
      <w:bookmarkEnd w:id="18"/>
    </w:p>
    <w:p>
      <w:pPr>
        <w:spacing w:line="360" w:lineRule="auto"/>
        <w:ind w:firstLine="420" w:firstLineChars="200"/>
        <w:rPr>
          <w:rFonts w:ascii="宋体" w:hAnsi="宋体"/>
          <w:color w:val="auto"/>
          <w:szCs w:val="21"/>
        </w:rPr>
      </w:pPr>
      <w:r>
        <w:rPr>
          <w:rFonts w:hint="eastAsia" w:ascii="宋体" w:hAnsi="宋体"/>
          <w:color w:val="auto"/>
          <w:szCs w:val="21"/>
        </w:rPr>
        <w:t>本项目以降点数形式进行报价，以</w:t>
      </w:r>
      <w:r>
        <w:rPr>
          <w:rFonts w:hint="eastAsia" w:asciiTheme="minorEastAsia" w:hAnsiTheme="minorEastAsia"/>
          <w:bCs/>
          <w:color w:val="auto"/>
        </w:rPr>
        <w:t>《</w:t>
      </w:r>
      <w:r>
        <w:rPr>
          <w:rFonts w:hint="eastAsia" w:ascii="宋体" w:hAnsi="宋体" w:eastAsia="宋体"/>
          <w:color w:val="auto"/>
          <w:kern w:val="28"/>
          <w:szCs w:val="21"/>
        </w:rPr>
        <w:t>宣传礼品需求清单</w:t>
      </w:r>
      <w:r>
        <w:rPr>
          <w:rFonts w:hint="eastAsia" w:asciiTheme="minorEastAsia" w:hAnsiTheme="minorEastAsia"/>
          <w:bCs/>
          <w:color w:val="auto"/>
        </w:rPr>
        <w:t>》</w:t>
      </w:r>
      <w:r>
        <w:rPr>
          <w:rFonts w:hint="eastAsia" w:ascii="宋体" w:hAnsi="宋体"/>
          <w:color w:val="auto"/>
          <w:szCs w:val="21"/>
        </w:rPr>
        <w:t>中的不含税基准单价为基准，</w:t>
      </w:r>
      <w:r>
        <w:rPr>
          <w:rFonts w:hint="eastAsia" w:asciiTheme="minorEastAsia" w:hAnsiTheme="minorEastAsia"/>
          <w:bCs/>
          <w:color w:val="auto"/>
        </w:rPr>
        <w:t>报出一个固定不变且唯一的降点数（降点数应为0或负数，不允许出现正数），即所有产品不含税单价统一按照所报降点数的百分比执行</w:t>
      </w:r>
      <w:r>
        <w:rPr>
          <w:rFonts w:hint="eastAsia" w:ascii="宋体" w:hAnsi="宋体"/>
          <w:color w:val="auto"/>
          <w:szCs w:val="21"/>
        </w:rPr>
        <w:t>。</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例如所报的降点数为-10.2，则所有产品不含税单价统一下降10.2% ；如所报的降点数为-0.8，则所有产品不含税单价统一下降0.8%。</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含税结算单价计算方法如下:</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spacing w:line="360" w:lineRule="auto"/>
        <w:ind w:firstLine="422" w:firstLineChars="200"/>
        <w:rPr>
          <w:rFonts w:ascii="宋体" w:hAnsi="宋体"/>
          <w:b/>
          <w:color w:val="auto"/>
          <w:szCs w:val="21"/>
        </w:rPr>
      </w:pPr>
      <w:r>
        <w:rPr>
          <w:rFonts w:hint="eastAsia" w:asciiTheme="minorEastAsia" w:hAnsiTheme="minorEastAsia"/>
          <w:b/>
          <w:color w:val="auto"/>
        </w:rPr>
        <w:t>所报降点数精确到小数点后一位。对于小数点后第二位及之后的数字，无论大小，直接舍去。所报降点数不得大于0，否则将视为无效报价。</w:t>
      </w:r>
    </w:p>
    <w:p>
      <w:pPr>
        <w:snapToGrid w:val="0"/>
        <w:spacing w:line="360" w:lineRule="auto"/>
        <w:ind w:firstLine="420" w:firstLineChars="200"/>
        <w:jc w:val="left"/>
        <w:rPr>
          <w:rFonts w:ascii="宋体" w:hAnsi="宋体" w:eastAsia="宋体"/>
          <w:color w:val="auto"/>
          <w:szCs w:val="21"/>
        </w:rPr>
      </w:pPr>
      <w:r>
        <w:rPr>
          <w:rFonts w:hint="eastAsia" w:ascii="宋体" w:hAnsi="宋体"/>
          <w:color w:val="auto"/>
          <w:kern w:val="0"/>
          <w:szCs w:val="21"/>
        </w:rPr>
        <w:t>报价人降点后的结算费用已包含材料费、人工费、保险费、运输费、税费、工具、安装材料、维护保养等相关费用，采购人不再支付任何其他费用。</w:t>
      </w:r>
    </w:p>
    <w:p>
      <w:pPr>
        <w:pStyle w:val="40"/>
        <w:spacing w:before="0" w:after="0" w:line="360" w:lineRule="auto"/>
        <w:rPr>
          <w:rFonts w:ascii="宋体" w:hAnsi="宋体" w:eastAsia="宋体"/>
          <w:color w:val="auto"/>
          <w:sz w:val="21"/>
          <w:szCs w:val="21"/>
        </w:rPr>
      </w:pPr>
      <w:bookmarkStart w:id="19" w:name="_Toc64879408"/>
      <w:r>
        <w:rPr>
          <w:rFonts w:hint="eastAsia" w:ascii="宋体" w:hAnsi="宋体" w:eastAsia="宋体"/>
          <w:color w:val="auto"/>
          <w:sz w:val="21"/>
          <w:szCs w:val="21"/>
        </w:rPr>
        <w:t xml:space="preserve">3. </w:t>
      </w:r>
      <w:r>
        <w:rPr>
          <w:rFonts w:hint="eastAsia" w:ascii="宋体" w:hAnsi="宋体" w:eastAsia="宋体" w:cs="微软雅黑"/>
          <w:color w:val="auto"/>
          <w:sz w:val="21"/>
          <w:szCs w:val="21"/>
        </w:rPr>
        <w:t>供货期</w:t>
      </w:r>
      <w:bookmarkEnd w:id="19"/>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合同签订后，报价人必须在接到采购人每批次宣传礼品订单</w:t>
      </w:r>
      <w:r>
        <w:rPr>
          <w:rFonts w:ascii="宋体" w:hAnsi="宋体" w:eastAsia="宋体"/>
          <w:color w:val="auto"/>
          <w:szCs w:val="21"/>
        </w:rPr>
        <w:t>后3</w:t>
      </w:r>
      <w:r>
        <w:rPr>
          <w:rFonts w:hint="eastAsia" w:ascii="宋体" w:hAnsi="宋体" w:eastAsia="宋体"/>
          <w:color w:val="auto"/>
          <w:szCs w:val="21"/>
        </w:rPr>
        <w:t>个工作日内根据</w:t>
      </w:r>
      <w:r>
        <w:rPr>
          <w:rFonts w:ascii="宋体" w:hAnsi="宋体" w:eastAsia="宋体"/>
          <w:color w:val="auto"/>
          <w:szCs w:val="21"/>
        </w:rPr>
        <w:t>采购人</w:t>
      </w:r>
      <w:r>
        <w:rPr>
          <w:rFonts w:hint="eastAsia" w:ascii="宋体" w:hAnsi="宋体" w:eastAsia="宋体"/>
          <w:color w:val="auto"/>
          <w:szCs w:val="21"/>
        </w:rPr>
        <w:t>订单中要求将</w:t>
      </w:r>
      <w:r>
        <w:rPr>
          <w:rFonts w:ascii="宋体" w:hAnsi="宋体" w:eastAsia="宋体"/>
          <w:color w:val="auto"/>
          <w:szCs w:val="21"/>
        </w:rPr>
        <w:t>宣传礼品</w:t>
      </w:r>
      <w:r>
        <w:rPr>
          <w:rFonts w:hint="eastAsia" w:ascii="宋体" w:hAnsi="宋体" w:eastAsia="宋体"/>
          <w:color w:val="auto"/>
          <w:szCs w:val="21"/>
        </w:rPr>
        <w:t>免费</w:t>
      </w:r>
      <w:r>
        <w:rPr>
          <w:rFonts w:ascii="宋体" w:hAnsi="宋体" w:eastAsia="宋体"/>
          <w:color w:val="auto"/>
          <w:szCs w:val="21"/>
        </w:rPr>
        <w:t>配送至</w:t>
      </w:r>
      <w:r>
        <w:rPr>
          <w:rFonts w:hint="eastAsia" w:ascii="宋体" w:hAnsi="宋体" w:eastAsia="宋体"/>
          <w:color w:val="auto"/>
          <w:szCs w:val="21"/>
        </w:rPr>
        <w:t>采购人指定地点（所有</w:t>
      </w:r>
      <w:r>
        <w:rPr>
          <w:rFonts w:ascii="宋体" w:hAnsi="宋体" w:eastAsia="宋体"/>
          <w:color w:val="auto"/>
          <w:szCs w:val="21"/>
        </w:rPr>
        <w:t>配送地点均在广州市内</w:t>
      </w:r>
      <w:r>
        <w:rPr>
          <w:rFonts w:hint="eastAsia" w:ascii="宋体" w:hAnsi="宋体" w:eastAsia="宋体"/>
          <w:color w:val="auto"/>
          <w:szCs w:val="21"/>
        </w:rPr>
        <w:t>）。</w:t>
      </w:r>
    </w:p>
    <w:p>
      <w:pPr>
        <w:pStyle w:val="40"/>
        <w:spacing w:before="0" w:after="0" w:line="360" w:lineRule="auto"/>
        <w:rPr>
          <w:rFonts w:ascii="宋体" w:hAnsi="宋体" w:eastAsia="宋体"/>
          <w:color w:val="auto"/>
          <w:sz w:val="21"/>
          <w:szCs w:val="21"/>
        </w:rPr>
      </w:pPr>
      <w:bookmarkStart w:id="20" w:name="_Toc64879409"/>
      <w:r>
        <w:rPr>
          <w:rFonts w:hint="eastAsia" w:ascii="宋体" w:hAnsi="宋体" w:eastAsia="宋体"/>
          <w:color w:val="auto"/>
          <w:sz w:val="21"/>
          <w:szCs w:val="21"/>
        </w:rPr>
        <w:t>4</w:t>
      </w:r>
      <w:r>
        <w:rPr>
          <w:rFonts w:hint="eastAsia" w:ascii="宋体" w:hAnsi="宋体" w:eastAsia="宋体" w:cs="微软雅黑"/>
          <w:color w:val="auto"/>
          <w:sz w:val="21"/>
          <w:szCs w:val="21"/>
        </w:rPr>
        <w:t>.付款方式</w:t>
      </w:r>
      <w:bookmarkEnd w:id="20"/>
    </w:p>
    <w:p>
      <w:pPr>
        <w:spacing w:line="360" w:lineRule="auto"/>
        <w:rPr>
          <w:color w:val="auto"/>
          <w:szCs w:val="21"/>
        </w:rPr>
      </w:pPr>
      <w:r>
        <w:rPr>
          <w:rFonts w:hint="eastAsia"/>
          <w:color w:val="auto"/>
          <w:szCs w:val="21"/>
        </w:rPr>
        <w:t>（1）费用按每批宣传礼品订单中</w:t>
      </w:r>
      <w:r>
        <w:rPr>
          <w:color w:val="auto"/>
          <w:szCs w:val="21"/>
        </w:rPr>
        <w:t>的内容</w:t>
      </w:r>
      <w:r>
        <w:rPr>
          <w:rFonts w:hint="eastAsia"/>
          <w:color w:val="auto"/>
          <w:szCs w:val="21"/>
        </w:rPr>
        <w:t>和成交人的所报降点后单价与成交人进行结算，含税结算单价计算方法如下:</w:t>
      </w:r>
    </w:p>
    <w:p>
      <w:pPr>
        <w:spacing w:line="360" w:lineRule="auto"/>
        <w:rPr>
          <w:color w:val="auto"/>
          <w:szCs w:val="21"/>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snapToGrid w:val="0"/>
        <w:spacing w:line="360" w:lineRule="auto"/>
        <w:rPr>
          <w:rFonts w:ascii="宋体" w:hAnsi="宋体"/>
          <w:color w:val="auto"/>
          <w:szCs w:val="21"/>
        </w:rPr>
      </w:pPr>
      <w:r>
        <w:rPr>
          <w:rFonts w:hint="eastAsia" w:ascii="宋体" w:hAnsi="宋体"/>
          <w:color w:val="auto"/>
          <w:szCs w:val="21"/>
        </w:rPr>
        <w:t>含税结算总价计算</w:t>
      </w:r>
      <w:r>
        <w:rPr>
          <w:rFonts w:ascii="宋体" w:hAnsi="宋体"/>
          <w:color w:val="auto"/>
          <w:szCs w:val="21"/>
        </w:rPr>
        <w:t>方法如下：</w:t>
      </w:r>
    </w:p>
    <w:p>
      <w:pPr>
        <w:snapToGrid w:val="0"/>
        <w:spacing w:line="360" w:lineRule="auto"/>
        <w:rPr>
          <w:rFonts w:ascii="宋体" w:hAnsi="宋体"/>
          <w:color w:val="auto"/>
          <w:szCs w:val="21"/>
        </w:rPr>
      </w:pPr>
      <w:r>
        <w:rPr>
          <w:rFonts w:hint="eastAsia" w:ascii="宋体" w:hAnsi="宋体"/>
          <w:color w:val="auto"/>
          <w:szCs w:val="21"/>
        </w:rPr>
        <w:t>含税结算</w:t>
      </w:r>
      <w:r>
        <w:rPr>
          <w:rFonts w:ascii="宋体" w:hAnsi="宋体"/>
          <w:color w:val="auto"/>
          <w:szCs w:val="21"/>
        </w:rPr>
        <w:t>总价</w:t>
      </w:r>
      <w:r>
        <w:rPr>
          <w:rFonts w:hint="eastAsia" w:ascii="宋体" w:hAnsi="宋体"/>
          <w:color w:val="auto"/>
          <w:szCs w:val="21"/>
        </w:rPr>
        <w:t>=含税结算</w:t>
      </w:r>
      <w:r>
        <w:rPr>
          <w:rFonts w:ascii="宋体" w:hAnsi="宋体"/>
          <w:color w:val="auto"/>
          <w:szCs w:val="21"/>
        </w:rPr>
        <w:t>单价</w:t>
      </w:r>
      <w:r>
        <w:rPr>
          <w:rFonts w:hint="eastAsia" w:ascii="宋体" w:hAnsi="宋体"/>
          <w:color w:val="auto"/>
          <w:szCs w:val="21"/>
        </w:rPr>
        <w:t>×数量</w:t>
      </w:r>
    </w:p>
    <w:p>
      <w:pPr>
        <w:spacing w:line="360" w:lineRule="auto"/>
        <w:rPr>
          <w:rFonts w:ascii="宋体" w:hAnsi="宋体" w:eastAsia="宋体"/>
          <w:color w:val="auto"/>
          <w:szCs w:val="21"/>
        </w:rPr>
      </w:pPr>
      <w:r>
        <w:rPr>
          <w:rFonts w:hint="eastAsia"/>
          <w:color w:val="auto"/>
          <w:szCs w:val="21"/>
        </w:rPr>
        <w:t>（2）每批</w:t>
      </w:r>
      <w:r>
        <w:rPr>
          <w:rFonts w:hint="eastAsia" w:ascii="宋体" w:hAnsi="宋体"/>
          <w:color w:val="auto"/>
          <w:szCs w:val="21"/>
        </w:rPr>
        <w:t>宣传礼品</w:t>
      </w:r>
      <w:r>
        <w:rPr>
          <w:rFonts w:hint="eastAsia"/>
          <w:color w:val="auto"/>
          <w:szCs w:val="21"/>
        </w:rPr>
        <w:t>订单完成</w:t>
      </w:r>
      <w:r>
        <w:rPr>
          <w:color w:val="auto"/>
          <w:szCs w:val="21"/>
        </w:rPr>
        <w:t>交付</w:t>
      </w:r>
      <w:r>
        <w:rPr>
          <w:rFonts w:hint="eastAsia"/>
          <w:color w:val="auto"/>
          <w:szCs w:val="21"/>
        </w:rPr>
        <w:t>并验收</w:t>
      </w:r>
      <w:r>
        <w:rPr>
          <w:color w:val="auto"/>
          <w:szCs w:val="21"/>
        </w:rPr>
        <w:t>合格</w:t>
      </w:r>
      <w:r>
        <w:rPr>
          <w:rFonts w:hint="eastAsia"/>
          <w:color w:val="auto"/>
          <w:szCs w:val="21"/>
        </w:rPr>
        <w:t>，结算价格经双方确认无误后，</w:t>
      </w:r>
      <w:r>
        <w:rPr>
          <w:rFonts w:hint="eastAsia" w:ascii="宋体" w:hAnsi="宋体"/>
          <w:color w:val="auto"/>
          <w:spacing w:val="-2"/>
          <w:szCs w:val="21"/>
        </w:rPr>
        <w:t>报价人提交等额的</w:t>
      </w:r>
      <w:r>
        <w:rPr>
          <w:rFonts w:hint="eastAsia"/>
          <w:color w:val="auto"/>
          <w:szCs w:val="21"/>
        </w:rPr>
        <w:t>增值税专用发票</w:t>
      </w:r>
      <w:r>
        <w:rPr>
          <w:rFonts w:hint="eastAsia" w:ascii="宋体" w:hAnsi="宋体"/>
          <w:color w:val="auto"/>
          <w:spacing w:val="-2"/>
          <w:szCs w:val="21"/>
        </w:rPr>
        <w:t>给采购人，采购人在收到</w:t>
      </w:r>
      <w:r>
        <w:rPr>
          <w:rFonts w:hint="eastAsia"/>
          <w:color w:val="auto"/>
          <w:szCs w:val="21"/>
        </w:rPr>
        <w:t>增值</w:t>
      </w:r>
      <w:r>
        <w:rPr>
          <w:rFonts w:hint="eastAsia" w:ascii="宋体" w:hAnsi="宋体" w:eastAsia="宋体" w:cs="宋体"/>
          <w:color w:val="auto"/>
          <w:szCs w:val="21"/>
        </w:rPr>
        <w:t>税专用发票后20个工作日内向报价人支付100%该订单费用</w:t>
      </w:r>
      <w:r>
        <w:rPr>
          <w:rFonts w:hint="eastAsia"/>
          <w:color w:val="auto"/>
          <w:szCs w:val="21"/>
        </w:rPr>
        <w:t>。</w:t>
      </w:r>
    </w:p>
    <w:p>
      <w:pPr>
        <w:pStyle w:val="40"/>
        <w:spacing w:before="0" w:after="0" w:line="360" w:lineRule="auto"/>
        <w:rPr>
          <w:rFonts w:ascii="宋体" w:hAnsi="宋体" w:eastAsia="宋体"/>
          <w:color w:val="auto"/>
          <w:sz w:val="21"/>
          <w:szCs w:val="21"/>
        </w:rPr>
      </w:pPr>
      <w:bookmarkStart w:id="21" w:name="_Toc64879410"/>
      <w:r>
        <w:rPr>
          <w:rFonts w:hint="eastAsia" w:ascii="宋体" w:hAnsi="宋体" w:eastAsia="宋体"/>
          <w:color w:val="auto"/>
          <w:sz w:val="21"/>
          <w:szCs w:val="21"/>
        </w:rPr>
        <w:t xml:space="preserve">5. </w:t>
      </w:r>
      <w:r>
        <w:rPr>
          <w:rFonts w:hint="eastAsia" w:ascii="宋体" w:hAnsi="宋体" w:eastAsia="宋体" w:cs="微软雅黑"/>
          <w:color w:val="auto"/>
          <w:sz w:val="21"/>
          <w:szCs w:val="21"/>
        </w:rPr>
        <w:t>售后服务</w:t>
      </w:r>
      <w:bookmarkEnd w:id="21"/>
    </w:p>
    <w:p>
      <w:pPr>
        <w:spacing w:line="360" w:lineRule="auto"/>
        <w:ind w:firstLine="424" w:firstLineChars="202"/>
        <w:rPr>
          <w:rFonts w:ascii="宋体" w:hAnsi="宋体" w:eastAsia="宋体" w:cs="宋体"/>
          <w:color w:val="auto"/>
        </w:rPr>
      </w:pPr>
      <w:r>
        <w:rPr>
          <w:rFonts w:hint="eastAsia" w:ascii="宋体" w:hAnsi="宋体" w:eastAsia="宋体" w:cs="宋体"/>
          <w:color w:val="auto"/>
        </w:rPr>
        <w:t>产品到货验收合格后，报价人提供的产品15天内包换。在包换期内发现的由于报价人或产品本身的原因造成的损坏、污染等情况，报价人应在接到采购人通知后2天内免费更换全新产品，由此引起的费用和风险由报价人承担。</w:t>
      </w:r>
    </w:p>
    <w:p>
      <w:pPr>
        <w:pStyle w:val="40"/>
        <w:spacing w:before="0" w:after="0" w:line="360" w:lineRule="auto"/>
        <w:rPr>
          <w:rFonts w:ascii="宋体" w:hAnsi="宋体" w:eastAsia="宋体" w:cs="微软雅黑"/>
          <w:color w:val="auto"/>
          <w:sz w:val="21"/>
          <w:szCs w:val="21"/>
        </w:rPr>
      </w:pPr>
      <w:bookmarkStart w:id="22" w:name="_Toc64879411"/>
      <w:r>
        <w:rPr>
          <w:rFonts w:hint="eastAsia" w:ascii="宋体" w:hAnsi="宋体" w:eastAsia="宋体" w:cs="微软雅黑"/>
          <w:color w:val="auto"/>
          <w:sz w:val="21"/>
          <w:szCs w:val="21"/>
        </w:rPr>
        <w:t>6. 履约保证金</w:t>
      </w:r>
      <w:bookmarkEnd w:id="22"/>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成交人自收到成交结果通知书之日起20个工作日内，应将项目履约保证金汇至采购人指定的银行账户</w:t>
      </w:r>
      <w:r>
        <w:rPr>
          <w:rFonts w:hint="eastAsia" w:ascii="宋体" w:hAnsi="宋体"/>
          <w:color w:val="auto"/>
          <w:szCs w:val="21"/>
        </w:rPr>
        <w:t>或将银行保函原件交至采购人</w:t>
      </w:r>
      <w:r>
        <w:rPr>
          <w:rFonts w:hint="eastAsia" w:ascii="宋体" w:hAnsi="宋体" w:eastAsia="宋体"/>
          <w:color w:val="auto"/>
          <w:szCs w:val="21"/>
        </w:rPr>
        <w:t>，履约保证金为人民币壹万元整，合同须在采购人收到成交人提交的履约保证金后，经双方授权代表签字并加盖公章后生效，合同履行完毕后</w:t>
      </w:r>
      <w:r>
        <w:rPr>
          <w:rFonts w:hint="eastAsia" w:ascii="宋体" w:hAnsi="宋体" w:cs="宋体"/>
          <w:color w:val="auto"/>
          <w:szCs w:val="21"/>
        </w:rPr>
        <w:t>成交人无违约行为采购人</w:t>
      </w:r>
      <w:r>
        <w:rPr>
          <w:rFonts w:hint="eastAsia" w:ascii="宋体" w:hAnsi="宋体" w:eastAsia="宋体"/>
          <w:color w:val="auto"/>
          <w:szCs w:val="21"/>
        </w:rPr>
        <w:t>退还履约保证金。</w:t>
      </w:r>
    </w:p>
    <w:p>
      <w:pPr>
        <w:spacing w:line="360" w:lineRule="auto"/>
        <w:ind w:firstLine="420"/>
        <w:rPr>
          <w:rFonts w:ascii="宋体" w:hAnsi="宋体" w:eastAsia="宋体"/>
          <w:color w:val="auto"/>
          <w:szCs w:val="21"/>
        </w:rPr>
      </w:pPr>
      <w:r>
        <w:rPr>
          <w:rFonts w:hint="eastAsia" w:ascii="宋体" w:hAnsi="宋体"/>
          <w:bCs/>
          <w:color w:val="auto"/>
          <w:szCs w:val="21"/>
        </w:rPr>
        <w:t>成交人需保证履约保证金充足原则，合同履约期间，因成交人违约责任被采购人扣除履约保证金，导致履约保证金少于合同规定的金额，成交人应于被扣除履约保证金15日内补足，成交人未予补足的，采购人有权暂停支付货款，采购人有权在与成交人合作的其他款项中直接抵扣其他应付金额优先充足履约保证金，由此造成的责任由成交人承担。</w:t>
      </w:r>
    </w:p>
    <w:p>
      <w:pPr>
        <w:pStyle w:val="3"/>
        <w:spacing w:before="0" w:after="0" w:line="360" w:lineRule="auto"/>
        <w:rPr>
          <w:rFonts w:ascii="宋体" w:hAnsi="宋体" w:eastAsia="宋体"/>
          <w:color w:val="auto"/>
          <w:sz w:val="21"/>
          <w:szCs w:val="21"/>
        </w:rPr>
      </w:pPr>
      <w:bookmarkStart w:id="23" w:name="_Toc64879412"/>
      <w:r>
        <w:rPr>
          <w:rFonts w:hint="eastAsia" w:ascii="宋体" w:hAnsi="宋体" w:eastAsia="宋体" w:cs="微软雅黑"/>
          <w:color w:val="auto"/>
          <w:sz w:val="21"/>
          <w:szCs w:val="21"/>
        </w:rPr>
        <w:t>二、技术部分要求</w:t>
      </w:r>
      <w:r>
        <w:rPr>
          <w:rFonts w:hint="eastAsia" w:ascii="宋体" w:hAnsi="宋体" w:eastAsia="宋体"/>
          <w:color w:val="auto"/>
          <w:sz w:val="21"/>
          <w:szCs w:val="21"/>
        </w:rPr>
        <w:t>(</w:t>
      </w:r>
      <w:r>
        <w:rPr>
          <w:rFonts w:hint="eastAsia" w:ascii="宋体" w:hAnsi="宋体" w:eastAsia="宋体" w:cs="微软雅黑"/>
          <w:color w:val="auto"/>
          <w:sz w:val="21"/>
          <w:szCs w:val="21"/>
        </w:rPr>
        <w:t>技术规范书</w:t>
      </w:r>
      <w:r>
        <w:rPr>
          <w:rFonts w:hint="eastAsia" w:ascii="宋体" w:hAnsi="宋体" w:eastAsia="宋体"/>
          <w:color w:val="auto"/>
          <w:sz w:val="21"/>
          <w:szCs w:val="21"/>
        </w:rPr>
        <w:t>)</w:t>
      </w:r>
      <w:bookmarkEnd w:id="23"/>
    </w:p>
    <w:p>
      <w:pPr>
        <w:pStyle w:val="4"/>
        <w:spacing w:before="0" w:after="0" w:line="360" w:lineRule="auto"/>
        <w:rPr>
          <w:rFonts w:ascii="宋体" w:hAnsi="宋体" w:eastAsia="宋体" w:cs="Arial"/>
          <w:color w:val="auto"/>
          <w:sz w:val="21"/>
          <w:szCs w:val="21"/>
        </w:rPr>
      </w:pPr>
      <w:bookmarkStart w:id="24" w:name="_Toc64879413"/>
      <w:r>
        <w:rPr>
          <w:rFonts w:hint="eastAsia" w:ascii="宋体" w:hAnsi="宋体" w:eastAsia="宋体" w:cs="Arial"/>
          <w:color w:val="auto"/>
          <w:sz w:val="21"/>
          <w:szCs w:val="21"/>
        </w:rPr>
        <w:t>1、技术要求</w:t>
      </w:r>
      <w:bookmarkEnd w:id="24"/>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宣传礼品</w:t>
      </w:r>
      <w:r>
        <w:rPr>
          <w:rFonts w:ascii="宋体" w:hAnsi="宋体" w:eastAsia="宋体"/>
          <w:color w:val="auto"/>
          <w:szCs w:val="21"/>
        </w:rPr>
        <w:t>的技术要求必须满足</w:t>
      </w:r>
      <w:r>
        <w:rPr>
          <w:rFonts w:hint="eastAsia" w:ascii="宋体" w:hAnsi="宋体" w:eastAsia="宋体"/>
          <w:color w:val="auto"/>
          <w:kern w:val="28"/>
          <w:szCs w:val="21"/>
        </w:rPr>
        <w:t>宣传礼品需求表</w:t>
      </w:r>
      <w:r>
        <w:rPr>
          <w:rFonts w:hint="eastAsia" w:ascii="宋体" w:hAnsi="宋体" w:eastAsia="宋体"/>
          <w:color w:val="auto"/>
          <w:szCs w:val="21"/>
        </w:rPr>
        <w:t>中规格和技术要求。</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25" w:name="_Toc508203306"/>
      <w:bookmarkStart w:id="26" w:name="_Toc64879416"/>
      <w:bookmarkStart w:id="27" w:name="_Toc64879414"/>
      <w:r>
        <w:rPr>
          <w:rFonts w:hint="eastAsia" w:ascii="宋体" w:hAnsi="宋体" w:eastAsia="宋体"/>
          <w:bCs w:val="0"/>
          <w:color w:val="auto"/>
          <w:kern w:val="0"/>
          <w:sz w:val="21"/>
          <w:szCs w:val="21"/>
        </w:rPr>
        <w:t>定义</w:t>
      </w:r>
      <w:bookmarkEnd w:id="25"/>
      <w:bookmarkEnd w:id="26"/>
    </w:p>
    <w:p>
      <w:pPr>
        <w:pStyle w:val="49"/>
        <w:numPr>
          <w:ilvl w:val="0"/>
          <w:numId w:val="23"/>
        </w:numPr>
        <w:wordWrap w:val="0"/>
        <w:adjustRightInd/>
        <w:spacing w:line="360" w:lineRule="auto"/>
        <w:ind w:left="0" w:firstLine="420"/>
        <w:jc w:val="both"/>
        <w:textAlignment w:val="auto"/>
        <w:rPr>
          <w:rFonts w:ascii="宋体" w:hAnsi="宋体" w:eastAsia="宋体"/>
          <w:vanish/>
          <w:color w:val="auto"/>
          <w:sz w:val="21"/>
          <w:szCs w:val="21"/>
        </w:rPr>
      </w:pPr>
    </w:p>
    <w:p>
      <w:pPr>
        <w:tabs>
          <w:tab w:val="left" w:pos="2700"/>
        </w:tabs>
        <w:wordWrap w:val="0"/>
        <w:spacing w:line="360" w:lineRule="auto"/>
        <w:ind w:right="170" w:firstLine="424" w:firstLineChars="202"/>
        <w:rPr>
          <w:rFonts w:ascii="宋体" w:hAnsi="宋体" w:eastAsia="宋体"/>
          <w:color w:val="auto"/>
          <w:szCs w:val="21"/>
        </w:rPr>
      </w:pPr>
      <w:r>
        <w:rPr>
          <w:rFonts w:hint="eastAsia" w:ascii="宋体" w:hAnsi="宋体" w:eastAsia="宋体"/>
          <w:color w:val="auto"/>
          <w:szCs w:val="21"/>
        </w:rPr>
        <w:t>1、“合同一方”</w:t>
      </w:r>
      <w:r>
        <w:rPr>
          <w:rFonts w:ascii="宋体" w:hAnsi="宋体" w:eastAsia="宋体"/>
          <w:color w:val="auto"/>
          <w:szCs w:val="21"/>
        </w:rPr>
        <w:t xml:space="preserve"> 或</w:t>
      </w:r>
      <w:r>
        <w:rPr>
          <w:rFonts w:hint="eastAsia" w:ascii="宋体" w:hAnsi="宋体" w:eastAsia="宋体"/>
          <w:color w:val="auto"/>
          <w:szCs w:val="21"/>
        </w:rPr>
        <w:t>“</w:t>
      </w:r>
      <w:r>
        <w:rPr>
          <w:rFonts w:ascii="宋体" w:hAnsi="宋体" w:eastAsia="宋体"/>
          <w:color w:val="auto"/>
          <w:szCs w:val="21"/>
        </w:rPr>
        <w:t>一方</w:t>
      </w:r>
      <w:r>
        <w:rPr>
          <w:rFonts w:hint="eastAsia" w:ascii="宋体" w:hAnsi="宋体" w:eastAsia="宋体"/>
          <w:color w:val="auto"/>
          <w:szCs w:val="21"/>
        </w:rPr>
        <w:t>”指乙方或甲方。</w:t>
      </w:r>
    </w:p>
    <w:p>
      <w:pPr>
        <w:tabs>
          <w:tab w:val="left" w:pos="2700"/>
        </w:tabs>
        <w:wordWrap w:val="0"/>
        <w:spacing w:line="360" w:lineRule="auto"/>
        <w:ind w:right="170" w:firstLine="424" w:firstLineChars="202"/>
        <w:rPr>
          <w:rFonts w:ascii="宋体" w:hAnsi="宋体" w:eastAsia="宋体"/>
          <w:color w:val="auto"/>
          <w:szCs w:val="21"/>
        </w:rPr>
      </w:pPr>
      <w:r>
        <w:rPr>
          <w:rFonts w:hint="eastAsia" w:ascii="宋体" w:hAnsi="宋体" w:eastAsia="宋体"/>
          <w:color w:val="auto"/>
          <w:szCs w:val="21"/>
        </w:rPr>
        <w:t>2、“合同各方”</w:t>
      </w:r>
      <w:r>
        <w:rPr>
          <w:rFonts w:ascii="宋体" w:hAnsi="宋体" w:eastAsia="宋体"/>
          <w:color w:val="auto"/>
          <w:szCs w:val="21"/>
        </w:rPr>
        <w:t xml:space="preserve"> 或</w:t>
      </w:r>
      <w:r>
        <w:rPr>
          <w:rFonts w:hint="eastAsia" w:ascii="宋体" w:hAnsi="宋体" w:eastAsia="宋体"/>
          <w:color w:val="auto"/>
          <w:szCs w:val="21"/>
        </w:rPr>
        <w:t>“</w:t>
      </w:r>
      <w:r>
        <w:rPr>
          <w:rFonts w:ascii="宋体" w:hAnsi="宋体" w:eastAsia="宋体"/>
          <w:color w:val="auto"/>
          <w:szCs w:val="21"/>
        </w:rPr>
        <w:t>各方</w:t>
      </w:r>
      <w:r>
        <w:rPr>
          <w:rFonts w:hint="eastAsia" w:ascii="宋体" w:hAnsi="宋体" w:eastAsia="宋体"/>
          <w:color w:val="auto"/>
          <w:szCs w:val="21"/>
        </w:rPr>
        <w:t>”指乙方和甲方。</w:t>
      </w:r>
    </w:p>
    <w:p>
      <w:pPr>
        <w:tabs>
          <w:tab w:val="left" w:pos="2700"/>
        </w:tabs>
        <w:wordWrap w:val="0"/>
        <w:spacing w:line="360" w:lineRule="auto"/>
        <w:ind w:right="170" w:firstLine="424" w:firstLineChars="202"/>
        <w:rPr>
          <w:rFonts w:ascii="宋体" w:hAnsi="宋体" w:eastAsia="宋体"/>
          <w:color w:val="auto"/>
          <w:szCs w:val="21"/>
        </w:rPr>
      </w:pPr>
      <w:r>
        <w:rPr>
          <w:rFonts w:hint="eastAsia" w:ascii="宋体" w:hAnsi="宋体" w:eastAsia="宋体"/>
          <w:color w:val="auto"/>
          <w:szCs w:val="21"/>
        </w:rPr>
        <w:t>3、“合同”指目前的协议，及形成合同不可分割部分的附件和补充协议。</w:t>
      </w:r>
    </w:p>
    <w:p>
      <w:pPr>
        <w:tabs>
          <w:tab w:val="left" w:pos="2700"/>
        </w:tabs>
        <w:wordWrap w:val="0"/>
        <w:spacing w:line="360" w:lineRule="auto"/>
        <w:ind w:right="170" w:firstLine="424" w:firstLineChars="202"/>
        <w:rPr>
          <w:rFonts w:ascii="宋体" w:hAnsi="宋体" w:eastAsia="宋体"/>
          <w:color w:val="auto"/>
          <w:szCs w:val="21"/>
        </w:rPr>
      </w:pPr>
      <w:r>
        <w:rPr>
          <w:rFonts w:hint="eastAsia" w:ascii="宋体" w:hAnsi="宋体" w:eastAsia="宋体"/>
          <w:color w:val="auto"/>
          <w:szCs w:val="21"/>
        </w:rPr>
        <w:t>4、“技术服务”</w:t>
      </w:r>
      <w:r>
        <w:rPr>
          <w:rFonts w:ascii="宋体" w:hAnsi="宋体" w:eastAsia="宋体"/>
          <w:color w:val="auto"/>
          <w:szCs w:val="21"/>
        </w:rPr>
        <w:t xml:space="preserve"> 或</w:t>
      </w:r>
      <w:r>
        <w:rPr>
          <w:rFonts w:hint="eastAsia" w:ascii="宋体" w:hAnsi="宋体" w:eastAsia="宋体"/>
          <w:color w:val="auto"/>
          <w:szCs w:val="21"/>
        </w:rPr>
        <w:t>“</w:t>
      </w:r>
      <w:r>
        <w:rPr>
          <w:rFonts w:ascii="宋体" w:hAnsi="宋体" w:eastAsia="宋体"/>
          <w:color w:val="auto"/>
          <w:szCs w:val="21"/>
        </w:rPr>
        <w:t>服务</w:t>
      </w:r>
      <w:r>
        <w:rPr>
          <w:rFonts w:hint="eastAsia" w:ascii="宋体" w:hAnsi="宋体" w:eastAsia="宋体"/>
          <w:color w:val="auto"/>
          <w:szCs w:val="21"/>
        </w:rPr>
        <w:t>”指按合同产品技术及质量要求</w:t>
      </w:r>
      <w:r>
        <w:rPr>
          <w:rFonts w:ascii="宋体" w:hAnsi="宋体" w:eastAsia="宋体"/>
          <w:color w:val="auto"/>
          <w:szCs w:val="21"/>
        </w:rPr>
        <w:t>由乙方向甲方做出的行为和担保。</w:t>
      </w:r>
    </w:p>
    <w:p>
      <w:pPr>
        <w:tabs>
          <w:tab w:val="left" w:pos="2700"/>
        </w:tabs>
        <w:wordWrap w:val="0"/>
        <w:spacing w:line="360" w:lineRule="auto"/>
        <w:ind w:right="170" w:firstLine="424" w:firstLineChars="202"/>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、“现场”指</w:t>
      </w:r>
      <w:r>
        <w:rPr>
          <w:rFonts w:ascii="宋体" w:hAnsi="宋体" w:eastAsia="宋体"/>
          <w:color w:val="auto"/>
          <w:szCs w:val="21"/>
        </w:rPr>
        <w:t>对合同</w:t>
      </w:r>
      <w:r>
        <w:rPr>
          <w:rFonts w:hint="eastAsia" w:ascii="宋体" w:hAnsi="宋体" w:eastAsia="宋体"/>
          <w:color w:val="auto"/>
          <w:szCs w:val="21"/>
        </w:rPr>
        <w:t>货物</w:t>
      </w:r>
      <w:r>
        <w:rPr>
          <w:rFonts w:ascii="宋体" w:hAnsi="宋体" w:eastAsia="宋体"/>
          <w:color w:val="auto"/>
          <w:szCs w:val="21"/>
        </w:rPr>
        <w:t>进行</w:t>
      </w:r>
      <w:r>
        <w:rPr>
          <w:rFonts w:hint="eastAsia" w:ascii="宋体" w:hAnsi="宋体" w:eastAsia="宋体"/>
          <w:color w:val="auto"/>
          <w:szCs w:val="21"/>
        </w:rPr>
        <w:t>配送</w:t>
      </w:r>
      <w:r>
        <w:rPr>
          <w:rFonts w:ascii="宋体" w:hAnsi="宋体" w:eastAsia="宋体"/>
          <w:color w:val="auto"/>
          <w:szCs w:val="21"/>
        </w:rPr>
        <w:t>和安装的场所</w:t>
      </w:r>
      <w:r>
        <w:rPr>
          <w:rFonts w:hint="eastAsia" w:ascii="宋体" w:hAnsi="宋体" w:eastAsia="宋体"/>
          <w:color w:val="auto"/>
          <w:szCs w:val="21"/>
        </w:rPr>
        <w:t>。</w:t>
      </w:r>
    </w:p>
    <w:p>
      <w:pPr>
        <w:tabs>
          <w:tab w:val="left" w:pos="2700"/>
        </w:tabs>
        <w:wordWrap w:val="0"/>
        <w:spacing w:line="360" w:lineRule="auto"/>
        <w:ind w:right="170" w:firstLine="424" w:firstLineChars="202"/>
        <w:rPr>
          <w:rFonts w:ascii="宋体" w:hAnsi="宋体" w:eastAsia="宋体"/>
          <w:color w:val="auto"/>
          <w:szCs w:val="21"/>
        </w:rPr>
      </w:pPr>
      <w:r>
        <w:rPr>
          <w:rFonts w:hint="eastAsia" w:ascii="宋体" w:hAnsi="宋体" w:eastAsia="宋体"/>
          <w:color w:val="auto"/>
          <w:szCs w:val="21"/>
        </w:rPr>
        <w:t>6、“紧急处理”指出现紧急情况时乙方派遣专家赴甲方现场给予技术支持。在甲方的合理要求下，乙方应当进行“紧急处理</w:t>
      </w:r>
      <w:r>
        <w:rPr>
          <w:rFonts w:ascii="宋体" w:hAnsi="宋体" w:eastAsia="宋体"/>
          <w:color w:val="auto"/>
          <w:szCs w:val="21"/>
        </w:rPr>
        <w:t xml:space="preserve"> </w:t>
      </w:r>
      <w:r>
        <w:rPr>
          <w:rFonts w:hint="eastAsia" w:ascii="宋体" w:hAnsi="宋体" w:eastAsia="宋体"/>
          <w:color w:val="auto"/>
          <w:szCs w:val="21"/>
        </w:rPr>
        <w:t>”。</w:t>
      </w:r>
    </w:p>
    <w:p>
      <w:pPr>
        <w:pStyle w:val="4"/>
        <w:spacing w:before="0" w:after="0" w:line="360" w:lineRule="auto"/>
        <w:rPr>
          <w:rFonts w:ascii="宋体" w:hAnsi="宋体" w:eastAsia="宋体" w:cs="Arial"/>
          <w:color w:val="auto"/>
          <w:sz w:val="21"/>
          <w:szCs w:val="21"/>
        </w:rPr>
      </w:pPr>
      <w:r>
        <w:rPr>
          <w:rFonts w:ascii="宋体" w:hAnsi="宋体" w:eastAsia="宋体" w:cs="Arial"/>
          <w:color w:val="auto"/>
          <w:sz w:val="21"/>
          <w:szCs w:val="21"/>
        </w:rPr>
        <w:t>2</w:t>
      </w:r>
      <w:r>
        <w:rPr>
          <w:rFonts w:hint="eastAsia" w:ascii="宋体" w:hAnsi="宋体" w:eastAsia="宋体" w:cs="Arial"/>
          <w:color w:val="auto"/>
          <w:sz w:val="21"/>
          <w:szCs w:val="21"/>
        </w:rPr>
        <w:t>、验收</w:t>
      </w:r>
      <w:bookmarkEnd w:id="27"/>
    </w:p>
    <w:p>
      <w:pPr>
        <w:spacing w:line="360" w:lineRule="auto"/>
        <w:rPr>
          <w:rFonts w:ascii="宋体" w:hAnsi="宋体" w:eastAsia="宋体"/>
          <w:b/>
          <w:color w:val="auto"/>
          <w:szCs w:val="21"/>
        </w:rPr>
      </w:pPr>
      <w:r>
        <w:rPr>
          <w:rFonts w:ascii="宋体" w:hAnsi="宋体" w:eastAsia="宋体"/>
          <w:b/>
          <w:color w:val="auto"/>
          <w:szCs w:val="21"/>
        </w:rPr>
        <w:t>2</w:t>
      </w:r>
      <w:r>
        <w:rPr>
          <w:rFonts w:hint="eastAsia" w:ascii="宋体" w:hAnsi="宋体" w:eastAsia="宋体"/>
          <w:b/>
          <w:color w:val="auto"/>
          <w:szCs w:val="21"/>
        </w:rPr>
        <w:t>.1</w:t>
      </w:r>
      <w:r>
        <w:rPr>
          <w:rFonts w:hint="eastAsia" w:ascii="宋体" w:hAnsi="宋体" w:eastAsia="宋体"/>
          <w:b/>
          <w:color w:val="auto"/>
          <w:szCs w:val="21"/>
        </w:rPr>
        <w:tab/>
      </w:r>
      <w:r>
        <w:rPr>
          <w:rFonts w:hint="eastAsia" w:ascii="宋体" w:hAnsi="宋体" w:eastAsia="宋体"/>
          <w:b/>
          <w:color w:val="auto"/>
          <w:szCs w:val="21"/>
        </w:rPr>
        <w:t>到货验收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1)按照报价表中货物规格及订货清单进行清点。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2)按指定地点到货后报价人配合采购人进行到货验收，所有货物均为全新的货物。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3)采购人可在到货之日起的</w:t>
      </w:r>
      <w:r>
        <w:rPr>
          <w:rFonts w:ascii="宋体" w:hAnsi="宋体" w:eastAsia="宋体"/>
          <w:color w:val="auto"/>
          <w:szCs w:val="21"/>
        </w:rPr>
        <w:t>3</w:t>
      </w:r>
      <w:r>
        <w:rPr>
          <w:rFonts w:hint="eastAsia" w:ascii="宋体" w:hAnsi="宋体" w:eastAsia="宋体"/>
          <w:color w:val="auto"/>
          <w:szCs w:val="21"/>
        </w:rPr>
        <w:t>个工作日内进行抽样检测，开箱合格率=（开箱检验合格数/开箱检验总数）×100%，开箱合格率必须大于99.90%，否则视为到货验收不合格。到货验收不合格，采购人有权退货并要求报价人向采购人支付本批次订单货款总额的20%作为违约金。</w:t>
      </w:r>
    </w:p>
    <w:p>
      <w:pPr>
        <w:spacing w:line="360" w:lineRule="auto"/>
        <w:rPr>
          <w:rFonts w:ascii="宋体" w:hAnsi="宋体" w:eastAsia="宋体"/>
          <w:b/>
          <w:color w:val="auto"/>
          <w:szCs w:val="21"/>
        </w:rPr>
      </w:pPr>
      <w:r>
        <w:rPr>
          <w:rFonts w:hint="eastAsia" w:ascii="宋体" w:hAnsi="宋体" w:eastAsia="宋体"/>
          <w:b/>
          <w:color w:val="auto"/>
          <w:szCs w:val="21"/>
        </w:rPr>
        <w:t>2</w:t>
      </w:r>
      <w:r>
        <w:rPr>
          <w:rFonts w:ascii="宋体" w:hAnsi="宋体" w:eastAsia="宋体"/>
          <w:b/>
          <w:color w:val="auto"/>
          <w:szCs w:val="21"/>
        </w:rPr>
        <w:t xml:space="preserve">.2 </w:t>
      </w:r>
      <w:r>
        <w:rPr>
          <w:rFonts w:hint="eastAsia" w:ascii="宋体" w:hAnsi="宋体" w:eastAsia="宋体"/>
          <w:b/>
          <w:color w:val="auto"/>
          <w:szCs w:val="21"/>
        </w:rPr>
        <w:t>验收标准</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按照技术规范书以及国家或部颁验收规范和质量检验标准等为依据进行验收。</w:t>
      </w:r>
    </w:p>
    <w:p>
      <w:pPr>
        <w:spacing w:line="360" w:lineRule="auto"/>
        <w:rPr>
          <w:rFonts w:ascii="宋体" w:hAnsi="宋体" w:eastAsia="宋体"/>
          <w:b/>
          <w:color w:val="auto"/>
          <w:szCs w:val="21"/>
        </w:rPr>
      </w:pPr>
      <w:r>
        <w:rPr>
          <w:rFonts w:ascii="宋体" w:hAnsi="宋体" w:eastAsia="宋体"/>
          <w:b/>
          <w:color w:val="auto"/>
          <w:szCs w:val="21"/>
        </w:rPr>
        <w:t xml:space="preserve">3 </w:t>
      </w:r>
      <w:r>
        <w:rPr>
          <w:rFonts w:hint="eastAsia" w:ascii="宋体" w:hAnsi="宋体" w:eastAsia="宋体"/>
          <w:b/>
          <w:color w:val="auto"/>
          <w:szCs w:val="21"/>
        </w:rPr>
        <w:t>延迟交付违约金</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如因报价人原因不能按合同约定的供货期限交付，则采购人有权解除合同，而报价人须向采购人支付本批次订单货款总额20%的违约金，履约保证金不予退回，延迟交付货物给采购人造成的一切损失由报价人承担。</w:t>
      </w:r>
    </w:p>
    <w:p>
      <w:pPr>
        <w:spacing w:line="360" w:lineRule="auto"/>
        <w:rPr>
          <w:rFonts w:ascii="宋体" w:hAnsi="宋体" w:eastAsia="宋体"/>
          <w:b/>
          <w:color w:val="auto"/>
          <w:szCs w:val="21"/>
        </w:rPr>
      </w:pPr>
      <w:r>
        <w:rPr>
          <w:rFonts w:ascii="宋体" w:hAnsi="宋体" w:eastAsia="宋体"/>
          <w:b/>
          <w:color w:val="auto"/>
          <w:szCs w:val="21"/>
        </w:rPr>
        <w:t xml:space="preserve">4 </w:t>
      </w:r>
      <w:r>
        <w:rPr>
          <w:rFonts w:hint="eastAsia" w:ascii="宋体" w:hAnsi="宋体" w:eastAsia="宋体"/>
          <w:b/>
          <w:color w:val="auto"/>
          <w:szCs w:val="21"/>
        </w:rPr>
        <w:t>延迟验收违约金</w:t>
      </w:r>
    </w:p>
    <w:p>
      <w:pPr>
        <w:spacing w:line="360" w:lineRule="auto"/>
        <w:rPr>
          <w:rFonts w:ascii="宋体" w:hAnsi="宋体" w:eastAsia="宋体"/>
          <w:color w:val="auto"/>
          <w:szCs w:val="21"/>
        </w:rPr>
      </w:pPr>
      <w:r>
        <w:rPr>
          <w:rFonts w:hint="eastAsia" w:ascii="宋体" w:hAnsi="宋体" w:eastAsia="宋体"/>
          <w:color w:val="auto"/>
          <w:szCs w:val="21"/>
        </w:rPr>
        <w:t xml:space="preserve">    如因报价人原因导致产品不能按合同规定期限验收合格，则采购人有权解除合同，而报价人须向采购人支付本批次订单货款总额20%的违约金，履约保证金不予退回，延迟验收给采购人造成的一切损失由报价人承担。</w:t>
      </w:r>
    </w:p>
    <w:p>
      <w:pPr>
        <w:spacing w:line="360" w:lineRule="auto"/>
        <w:rPr>
          <w:rFonts w:ascii="宋体" w:hAnsi="宋体" w:eastAsia="宋体"/>
          <w:b/>
          <w:color w:val="auto"/>
          <w:szCs w:val="21"/>
        </w:rPr>
      </w:pPr>
      <w:r>
        <w:rPr>
          <w:rFonts w:ascii="宋体" w:hAnsi="宋体" w:eastAsia="宋体"/>
          <w:b/>
          <w:color w:val="auto"/>
          <w:szCs w:val="21"/>
        </w:rPr>
        <w:t>5</w:t>
      </w:r>
      <w:r>
        <w:rPr>
          <w:rFonts w:hint="eastAsia" w:ascii="宋体" w:hAnsi="宋体" w:eastAsia="宋体"/>
          <w:b/>
          <w:color w:val="auto"/>
          <w:szCs w:val="21"/>
        </w:rPr>
        <w:t xml:space="preserve"> 验收费用</w:t>
      </w:r>
    </w:p>
    <w:p>
      <w:pPr>
        <w:spacing w:line="360" w:lineRule="auto"/>
        <w:rPr>
          <w:rFonts w:ascii="宋体" w:hAnsi="宋体" w:eastAsia="宋体"/>
          <w:color w:val="auto"/>
          <w:szCs w:val="21"/>
        </w:rPr>
      </w:pPr>
      <w:r>
        <w:rPr>
          <w:rFonts w:hint="eastAsia" w:ascii="宋体" w:hAnsi="宋体" w:eastAsia="宋体"/>
          <w:color w:val="auto"/>
          <w:szCs w:val="21"/>
        </w:rPr>
        <w:tab/>
      </w:r>
      <w:r>
        <w:rPr>
          <w:rFonts w:hint="eastAsia" w:ascii="宋体" w:hAnsi="宋体" w:eastAsia="宋体"/>
          <w:color w:val="auto"/>
          <w:szCs w:val="21"/>
        </w:rPr>
        <w:t>报价人需提供验收所使用的仪器，验收项目的全部费用包含在降点后的费用中，采购人不再支付相关费用。</w:t>
      </w:r>
    </w:p>
    <w:p>
      <w:pPr>
        <w:spacing w:line="360" w:lineRule="auto"/>
        <w:rPr>
          <w:rFonts w:ascii="宋体" w:hAnsi="宋体" w:eastAsia="宋体"/>
          <w:b/>
          <w:color w:val="auto"/>
          <w:szCs w:val="21"/>
        </w:rPr>
      </w:pPr>
      <w:r>
        <w:rPr>
          <w:rFonts w:ascii="宋体" w:hAnsi="宋体" w:eastAsia="宋体"/>
          <w:b/>
          <w:color w:val="auto"/>
          <w:szCs w:val="21"/>
        </w:rPr>
        <w:t>6</w:t>
      </w:r>
      <w:r>
        <w:rPr>
          <w:rFonts w:hint="eastAsia" w:ascii="宋体" w:hAnsi="宋体" w:eastAsia="宋体"/>
          <w:b/>
          <w:color w:val="auto"/>
          <w:szCs w:val="21"/>
        </w:rPr>
        <w:t>. 质量保证</w:t>
      </w:r>
    </w:p>
    <w:p>
      <w:pPr>
        <w:spacing w:line="360" w:lineRule="auto"/>
        <w:rPr>
          <w:rFonts w:ascii="宋体" w:hAnsi="宋体" w:eastAsia="宋体"/>
          <w:b/>
          <w:color w:val="auto"/>
          <w:szCs w:val="21"/>
        </w:rPr>
      </w:pPr>
      <w:r>
        <w:rPr>
          <w:rFonts w:hint="eastAsia" w:ascii="宋体" w:hAnsi="宋体" w:eastAsia="宋体"/>
          <w:color w:val="auto"/>
          <w:szCs w:val="21"/>
        </w:rPr>
        <w:t xml:space="preserve">    报价人必须保证提供的产品是崭新的产品，质量、规格、数量等符合本文件的技术规范要求。</w:t>
      </w:r>
    </w:p>
    <w:p>
      <w:pPr>
        <w:spacing w:line="360" w:lineRule="auto"/>
        <w:rPr>
          <w:rFonts w:ascii="宋体" w:hAnsi="宋体" w:eastAsia="宋体"/>
          <w:color w:val="auto"/>
          <w:szCs w:val="21"/>
        </w:rPr>
        <w:sectPr>
          <w:footerReference r:id="rId7" w:type="default"/>
          <w:pgSz w:w="11906" w:h="16838"/>
          <w:pgMar w:top="1134" w:right="1134" w:bottom="1134" w:left="1134" w:header="624" w:footer="648" w:gutter="284"/>
          <w:cols w:space="425" w:num="1"/>
          <w:docGrid w:linePitch="312" w:charSpace="0"/>
        </w:sectPr>
      </w:pPr>
    </w:p>
    <w:p>
      <w:pPr>
        <w:pStyle w:val="16"/>
        <w:spacing w:before="0" w:after="0"/>
        <w:rPr>
          <w:color w:val="auto"/>
        </w:rPr>
      </w:pPr>
      <w:bookmarkStart w:id="28" w:name="_Toc64879415"/>
      <w:r>
        <w:rPr>
          <w:rFonts w:hint="eastAsia"/>
          <w:color w:val="auto"/>
        </w:rPr>
        <w:t>第四章 合同条款</w:t>
      </w:r>
      <w:bookmarkEnd w:id="28"/>
    </w:p>
    <w:p>
      <w:pPr>
        <w:wordWrap w:val="0"/>
        <w:snapToGrid w:val="0"/>
        <w:spacing w:line="360" w:lineRule="auto"/>
        <w:ind w:firstLine="1222" w:firstLineChars="200"/>
        <w:rPr>
          <w:rFonts w:ascii="宋体" w:hAnsi="宋体" w:eastAsia="宋体"/>
          <w:b/>
          <w:color w:val="auto"/>
          <w:spacing w:val="200"/>
          <w:szCs w:val="21"/>
        </w:rPr>
      </w:pPr>
    </w:p>
    <w:p>
      <w:pPr>
        <w:snapToGrid w:val="0"/>
        <w:spacing w:line="360" w:lineRule="auto"/>
        <w:jc w:val="center"/>
        <w:rPr>
          <w:rFonts w:ascii="宋体" w:hAnsi="宋体" w:eastAsia="宋体"/>
          <w:b/>
          <w:color w:val="auto"/>
          <w:spacing w:val="200"/>
          <w:sz w:val="48"/>
          <w:szCs w:val="48"/>
        </w:rPr>
      </w:pPr>
    </w:p>
    <w:p>
      <w:pPr>
        <w:snapToGrid w:val="0"/>
        <w:spacing w:line="360" w:lineRule="auto"/>
        <w:jc w:val="center"/>
        <w:rPr>
          <w:rFonts w:ascii="宋体" w:hAnsi="宋体" w:eastAsia="宋体"/>
          <w:b/>
          <w:color w:val="auto"/>
          <w:spacing w:val="200"/>
          <w:sz w:val="48"/>
          <w:szCs w:val="48"/>
        </w:rPr>
      </w:pPr>
    </w:p>
    <w:p>
      <w:pPr>
        <w:tabs>
          <w:tab w:val="left" w:pos="840"/>
        </w:tabs>
        <w:spacing w:line="480" w:lineRule="exact"/>
        <w:ind w:firstLine="456"/>
        <w:rPr>
          <w:b/>
          <w:color w:val="auto"/>
          <w:sz w:val="32"/>
        </w:rPr>
      </w:pPr>
      <w:r>
        <w:rPr>
          <w:rFonts w:hint="eastAsia" w:ascii="????" w:hAnsi="????"/>
          <w:b/>
          <w:color w:val="auto"/>
          <w:sz w:val="28"/>
        </w:rPr>
        <w:t>合同编号：</w:t>
      </w:r>
    </w:p>
    <w:p>
      <w:pPr>
        <w:tabs>
          <w:tab w:val="left" w:pos="840"/>
        </w:tabs>
        <w:spacing w:line="480" w:lineRule="exact"/>
        <w:ind w:firstLine="456"/>
        <w:jc w:val="center"/>
        <w:rPr>
          <w:b/>
          <w:color w:val="auto"/>
          <w:sz w:val="32"/>
        </w:rPr>
      </w:pPr>
    </w:p>
    <w:p>
      <w:pPr>
        <w:adjustRightInd w:val="0"/>
        <w:snapToGrid w:val="0"/>
        <w:spacing w:line="360" w:lineRule="auto"/>
        <w:jc w:val="center"/>
        <w:rPr>
          <w:rFonts w:ascii="????" w:hAnsi="????"/>
          <w:b/>
          <w:color w:val="auto"/>
          <w:spacing w:val="200"/>
          <w:sz w:val="96"/>
        </w:rPr>
      </w:pPr>
      <w:r>
        <w:rPr>
          <w:rFonts w:hint="eastAsia" w:ascii="????" w:hAnsi="????"/>
          <w:b/>
          <w:color w:val="auto"/>
          <w:spacing w:val="200"/>
          <w:sz w:val="96"/>
        </w:rPr>
        <w:t>合同书</w:t>
      </w:r>
    </w:p>
    <w:p>
      <w:pPr>
        <w:adjustRightInd w:val="0"/>
        <w:snapToGrid w:val="0"/>
        <w:spacing w:line="360" w:lineRule="auto"/>
        <w:jc w:val="center"/>
        <w:rPr>
          <w:rFonts w:ascii="????" w:hAnsi="????"/>
          <w:b/>
          <w:color w:val="auto"/>
          <w:sz w:val="32"/>
        </w:rPr>
      </w:pPr>
    </w:p>
    <w:p>
      <w:pPr>
        <w:adjustRightInd w:val="0"/>
        <w:snapToGrid w:val="0"/>
        <w:spacing w:line="360" w:lineRule="auto"/>
        <w:jc w:val="center"/>
        <w:rPr>
          <w:rFonts w:ascii="????" w:hAnsi="????"/>
          <w:b/>
          <w:color w:val="auto"/>
          <w:sz w:val="32"/>
        </w:rPr>
      </w:pPr>
    </w:p>
    <w:p>
      <w:pPr>
        <w:adjustRightInd w:val="0"/>
        <w:snapToGrid w:val="0"/>
        <w:spacing w:line="360" w:lineRule="auto"/>
        <w:jc w:val="center"/>
        <w:rPr>
          <w:rFonts w:ascii="????" w:hAnsi="????"/>
          <w:b/>
          <w:color w:val="auto"/>
          <w:sz w:val="32"/>
        </w:rPr>
      </w:pP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项目名称：                                     </w:t>
      </w: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甲方：</w:t>
      </w: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乙方：                                     </w:t>
      </w: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签约地点：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r>
        <w:rPr>
          <w:rFonts w:hint="eastAsia" w:ascii="????" w:hAnsi="????"/>
          <w:b/>
          <w:color w:val="auto"/>
          <w:sz w:val="28"/>
        </w:rPr>
        <w:t>签订日期：  2024    年    月     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wordWrap w:val="0"/>
        <w:autoSpaceDE w:val="0"/>
        <w:autoSpaceDN w:val="0"/>
        <w:spacing w:line="360" w:lineRule="auto"/>
        <w:textAlignment w:val="bottom"/>
        <w:rPr>
          <w:rFonts w:ascii="宋体" w:hAnsi="宋体" w:eastAsia="宋体"/>
          <w:color w:val="auto"/>
          <w:szCs w:val="21"/>
        </w:rPr>
      </w:pPr>
      <w:r>
        <w:rPr>
          <w:rFonts w:hint="eastAsia"/>
          <w:b/>
          <w:bCs/>
          <w:color w:val="auto"/>
          <w:sz w:val="24"/>
        </w:rPr>
        <w:t>★</w:t>
      </w:r>
      <w:r>
        <w:rPr>
          <w:rFonts w:hint="eastAsia"/>
          <w:b/>
          <w:color w:val="auto"/>
          <w:sz w:val="24"/>
        </w:rPr>
        <w:t>特别提示：以下为本合同的核心条款，各报价人如前来报价，则视同认可所有条款，不得在成交后单方面提出异议或提出实质性的修改要求。同时，成交人响应时所作出的承诺将补充至本协议。</w:t>
      </w:r>
      <w:r>
        <w:rPr>
          <w:rFonts w:ascii="宋体" w:hAnsi="宋体"/>
          <w:b/>
          <w:color w:val="auto"/>
          <w:szCs w:val="21"/>
        </w:rPr>
        <w:br w:type="page"/>
      </w:r>
    </w:p>
    <w:p>
      <w:pPr>
        <w:wordWrap w:val="0"/>
        <w:spacing w:line="360" w:lineRule="auto"/>
        <w:ind w:firstLine="420" w:firstLineChars="200"/>
        <w:rPr>
          <w:rFonts w:ascii="宋体" w:hAnsi="宋体" w:eastAsia="宋体"/>
          <w:color w:val="auto"/>
          <w:szCs w:val="21"/>
        </w:rPr>
        <w:sectPr>
          <w:footerReference r:id="rId8" w:type="default"/>
          <w:pgSz w:w="11906" w:h="16838"/>
          <w:pgMar w:top="1134" w:right="1134" w:bottom="1134" w:left="1134" w:header="709" w:footer="647" w:gutter="284"/>
          <w:cols w:space="425" w:num="1"/>
          <w:docGrid w:linePitch="312" w:charSpace="0"/>
        </w:sectPr>
      </w:pPr>
      <w:bookmarkStart w:id="29" w:name="_Hlk521079352"/>
    </w:p>
    <w:p>
      <w:pPr>
        <w:wordWrap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甲乙双方就</w:t>
      </w:r>
      <w:r>
        <w:rPr>
          <w:rFonts w:hint="eastAsia" w:ascii="宋体" w:hAnsi="宋体" w:eastAsia="宋体"/>
          <w:b/>
          <w:color w:val="auto"/>
          <w:szCs w:val="21"/>
        </w:rPr>
        <w:t>【广东有线广播电视网络有限公司2024年宣传礼品采购项目】</w:t>
      </w:r>
      <w:r>
        <w:rPr>
          <w:rFonts w:hint="eastAsia" w:ascii="宋体" w:hAnsi="宋体" w:eastAsia="宋体"/>
          <w:color w:val="auto"/>
          <w:szCs w:val="21"/>
        </w:rPr>
        <w:t>，采购编号：</w:t>
      </w:r>
      <w:r>
        <w:rPr>
          <w:rFonts w:hint="eastAsia" w:ascii="宋体" w:hAnsi="宋体" w:eastAsia="宋体"/>
          <w:b/>
          <w:color w:val="auto"/>
          <w:szCs w:val="21"/>
        </w:rPr>
        <w:t>【</w:t>
      </w:r>
      <w:r>
        <w:rPr>
          <w:rFonts w:ascii="宋体" w:hAnsi="宋体" w:eastAsia="宋体"/>
          <w:b/>
          <w:color w:val="auto"/>
          <w:szCs w:val="21"/>
        </w:rPr>
        <w:fldChar w:fldCharType="begin">
          <w:ffData>
            <w:name w:val="文字3"/>
            <w:enabled/>
            <w:calcOnExit w:val="0"/>
            <w:textInput/>
          </w:ffData>
        </w:fldChar>
      </w:r>
      <w:bookmarkStart w:id="30" w:name="文字3"/>
      <w:r>
        <w:rPr>
          <w:rFonts w:ascii="宋体" w:hAnsi="宋体" w:eastAsia="宋体"/>
          <w:b/>
          <w:color w:val="auto"/>
          <w:szCs w:val="21"/>
        </w:rPr>
        <w:instrText xml:space="preserve"> </w:instrText>
      </w:r>
      <w:r>
        <w:rPr>
          <w:rFonts w:hint="eastAsia" w:ascii="宋体" w:hAnsi="宋体" w:eastAsia="宋体"/>
          <w:b/>
          <w:color w:val="auto"/>
          <w:szCs w:val="21"/>
        </w:rPr>
        <w:instrText xml:space="preserve">FORMTEXT</w:instrText>
      </w:r>
      <w:r>
        <w:rPr>
          <w:rFonts w:ascii="宋体" w:hAnsi="宋体" w:eastAsia="宋体"/>
          <w:b/>
          <w:color w:val="auto"/>
          <w:szCs w:val="21"/>
        </w:rPr>
        <w:instrText xml:space="preserve"> </w:instrText>
      </w:r>
      <w:r>
        <w:rPr>
          <w:rFonts w:ascii="宋体" w:hAnsi="宋体" w:eastAsia="宋体"/>
          <w:b/>
          <w:color w:val="auto"/>
          <w:szCs w:val="21"/>
        </w:rPr>
        <w:fldChar w:fldCharType="separate"/>
      </w:r>
      <w:r>
        <w:rPr>
          <w:rFonts w:ascii="宋体" w:hAnsi="宋体" w:eastAsia="宋体"/>
          <w:b/>
          <w:color w:val="auto"/>
          <w:szCs w:val="21"/>
        </w:rPr>
        <w:t>     </w:t>
      </w:r>
      <w:r>
        <w:rPr>
          <w:rFonts w:ascii="宋体" w:hAnsi="宋体" w:eastAsia="宋体"/>
          <w:b/>
          <w:color w:val="auto"/>
          <w:szCs w:val="21"/>
        </w:rPr>
        <w:fldChar w:fldCharType="end"/>
      </w:r>
      <w:bookmarkEnd w:id="30"/>
      <w:r>
        <w:rPr>
          <w:rFonts w:hint="eastAsia" w:ascii="宋体" w:hAnsi="宋体" w:eastAsia="宋体"/>
          <w:b/>
          <w:color w:val="auto"/>
          <w:szCs w:val="21"/>
        </w:rPr>
        <w:t>】</w:t>
      </w:r>
      <w:r>
        <w:rPr>
          <w:rFonts w:hint="eastAsia" w:ascii="宋体" w:hAnsi="宋体" w:eastAsia="宋体"/>
          <w:color w:val="auto"/>
          <w:szCs w:val="21"/>
        </w:rPr>
        <w:t>，根据《中华人民共和国民法典》等相关法律法规，本着“平等、自愿、诚实、信用”的原则，经双方友好协商，订立本合同。</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1" w:name="_Toc508203307"/>
      <w:bookmarkStart w:id="32" w:name="_Toc64879417"/>
      <w:r>
        <w:rPr>
          <w:rFonts w:hint="eastAsia" w:ascii="宋体" w:hAnsi="宋体" w:eastAsia="宋体"/>
          <w:bCs w:val="0"/>
          <w:color w:val="auto"/>
          <w:kern w:val="0"/>
          <w:sz w:val="21"/>
          <w:szCs w:val="21"/>
        </w:rPr>
        <w:t>合同价格</w:t>
      </w:r>
      <w:bookmarkEnd w:id="31"/>
      <w:bookmarkEnd w:id="32"/>
      <w:r>
        <w:rPr>
          <w:rFonts w:hint="eastAsia" w:ascii="宋体" w:hAnsi="宋体" w:eastAsia="宋体"/>
          <w:bCs w:val="0"/>
          <w:color w:val="auto"/>
          <w:kern w:val="0"/>
          <w:sz w:val="21"/>
          <w:szCs w:val="21"/>
        </w:rPr>
        <w:t>和合同</w:t>
      </w:r>
      <w:r>
        <w:rPr>
          <w:rFonts w:ascii="宋体" w:hAnsi="宋体" w:eastAsia="宋体"/>
          <w:bCs w:val="0"/>
          <w:color w:val="auto"/>
          <w:kern w:val="0"/>
          <w:sz w:val="21"/>
          <w:szCs w:val="21"/>
        </w:rPr>
        <w:t>有效期</w:t>
      </w:r>
    </w:p>
    <w:p>
      <w:pPr>
        <w:tabs>
          <w:tab w:val="left" w:pos="2700"/>
        </w:tabs>
        <w:wordWrap w:val="0"/>
        <w:spacing w:line="360" w:lineRule="auto"/>
        <w:ind w:right="170" w:firstLine="424" w:firstLineChars="202"/>
        <w:rPr>
          <w:rFonts w:ascii="宋体" w:hAnsi="宋体" w:eastAsia="宋体"/>
          <w:color w:val="auto"/>
          <w:szCs w:val="21"/>
        </w:rPr>
      </w:pPr>
      <w:r>
        <w:rPr>
          <w:rFonts w:hint="eastAsia" w:ascii="宋体" w:hAnsi="宋体" w:eastAsia="宋体"/>
          <w:color w:val="auto"/>
          <w:szCs w:val="21"/>
        </w:rPr>
        <w:t>1、本项目降点数为：_________,税率为：_________，以《宣传礼品基准单价清单》（见附件1）中的不含税基准单价为基准，所有产品单价统一按照所报降点数的百分比执行。</w:t>
      </w: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2、乙方降点后的结算费用已</w:t>
      </w:r>
      <w:r>
        <w:rPr>
          <w:rFonts w:hint="eastAsia" w:ascii="宋体" w:hAnsi="宋体"/>
          <w:color w:val="auto"/>
          <w:szCs w:val="21"/>
        </w:rPr>
        <w:t>包含材料费、人工费、保险费、运输费、税费、工具、安装材料、维护保养等相关费用，</w:t>
      </w:r>
      <w:r>
        <w:rPr>
          <w:rFonts w:hint="eastAsia" w:ascii="宋体" w:hAnsi="宋体" w:eastAsia="宋体"/>
          <w:color w:val="auto"/>
          <w:szCs w:val="21"/>
        </w:rPr>
        <w:t>甲方不再支付任何其他费用。</w:t>
      </w: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3、合同有效期为本项目采购金额累计达到人民币20万元（含税）或自合同签订之日起1年，</w:t>
      </w:r>
      <w:r>
        <w:rPr>
          <w:rFonts w:ascii="宋体" w:hAnsi="宋体" w:eastAsia="宋体"/>
          <w:color w:val="auto"/>
          <w:kern w:val="28"/>
          <w:szCs w:val="21"/>
        </w:rPr>
        <w:t>以先到者为准。在合同期限结束时，若</w:t>
      </w:r>
      <w:r>
        <w:rPr>
          <w:rFonts w:hint="eastAsia" w:ascii="宋体" w:hAnsi="宋体" w:eastAsia="宋体"/>
          <w:color w:val="auto"/>
          <w:kern w:val="28"/>
          <w:szCs w:val="21"/>
        </w:rPr>
        <w:t>甲方</w:t>
      </w:r>
      <w:r>
        <w:rPr>
          <w:rFonts w:ascii="宋体" w:hAnsi="宋体" w:eastAsia="宋体"/>
          <w:color w:val="auto"/>
          <w:kern w:val="28"/>
          <w:szCs w:val="21"/>
        </w:rPr>
        <w:t>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w:t>
      </w:r>
      <w:r>
        <w:rPr>
          <w:rFonts w:hint="eastAsia" w:ascii="宋体" w:hAnsi="宋体" w:eastAsia="宋体"/>
          <w:color w:val="auto"/>
          <w:kern w:val="28"/>
          <w:szCs w:val="21"/>
        </w:rPr>
        <w:t>甲方</w:t>
      </w:r>
      <w:r>
        <w:rPr>
          <w:rFonts w:ascii="宋体" w:hAnsi="宋体" w:eastAsia="宋体"/>
          <w:color w:val="auto"/>
          <w:kern w:val="28"/>
          <w:szCs w:val="21"/>
        </w:rPr>
        <w:t>有权延长合同有效期至</w:t>
      </w:r>
      <w:r>
        <w:rPr>
          <w:rFonts w:hint="eastAsia" w:ascii="宋体" w:hAnsi="宋体" w:eastAsia="宋体"/>
          <w:color w:val="auto"/>
          <w:kern w:val="28"/>
          <w:szCs w:val="21"/>
        </w:rPr>
        <w:t>甲方</w:t>
      </w:r>
      <w:r>
        <w:rPr>
          <w:rFonts w:ascii="宋体" w:hAnsi="宋体" w:eastAsia="宋体"/>
          <w:color w:val="auto"/>
          <w:kern w:val="28"/>
          <w:szCs w:val="21"/>
        </w:rPr>
        <w:t>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w:t>
      </w:r>
      <w:r>
        <w:rPr>
          <w:rFonts w:hint="eastAsia" w:ascii="宋体" w:hAnsi="宋体" w:eastAsia="宋体"/>
          <w:color w:val="auto"/>
          <w:kern w:val="28"/>
          <w:szCs w:val="21"/>
        </w:rPr>
        <w:t>本</w:t>
      </w:r>
      <w:r>
        <w:rPr>
          <w:rFonts w:ascii="宋体" w:hAnsi="宋体" w:eastAsia="宋体"/>
          <w:color w:val="auto"/>
          <w:kern w:val="28"/>
          <w:szCs w:val="21"/>
        </w:rPr>
        <w:t>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3" w:name="_Toc64879418"/>
      <w:r>
        <w:rPr>
          <w:rFonts w:hint="eastAsia" w:ascii="宋体" w:hAnsi="宋体" w:eastAsia="宋体"/>
          <w:bCs w:val="0"/>
          <w:color w:val="auto"/>
          <w:kern w:val="0"/>
          <w:sz w:val="21"/>
          <w:szCs w:val="21"/>
        </w:rPr>
        <w:t>履约保证金</w:t>
      </w:r>
      <w:bookmarkEnd w:id="33"/>
    </w:p>
    <w:p>
      <w:pPr>
        <w:pStyle w:val="9"/>
        <w:wordWrap w:val="0"/>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乙方自收到成交结果通知书之日20个工作日内须向甲方支付人民币壹万元作为履约保证金，将履约保证金汇至</w:t>
      </w:r>
      <w:r>
        <w:rPr>
          <w:rFonts w:ascii="宋体" w:hAnsi="宋体"/>
          <w:color w:val="auto"/>
          <w:sz w:val="21"/>
          <w:szCs w:val="21"/>
        </w:rPr>
        <w:t>甲方指定的银行</w:t>
      </w:r>
      <w:r>
        <w:rPr>
          <w:rFonts w:hint="eastAsia" w:ascii="宋体" w:hAnsi="宋体"/>
          <w:color w:val="auto"/>
          <w:sz w:val="21"/>
          <w:szCs w:val="21"/>
        </w:rPr>
        <w:t>账户或将银行保函原件交至甲方人；</w:t>
      </w:r>
      <w:r>
        <w:rPr>
          <w:rFonts w:hint="eastAsia" w:ascii="宋体" w:hAnsi="宋体" w:cs="宋体"/>
          <w:color w:val="auto"/>
          <w:sz w:val="21"/>
          <w:szCs w:val="21"/>
        </w:rPr>
        <w:t>合同履行完毕后若乙方无违约行为甲方退还履约保证金</w:t>
      </w:r>
      <w:r>
        <w:rPr>
          <w:rFonts w:hint="eastAsia" w:ascii="宋体" w:hAnsi="宋体"/>
          <w:color w:val="auto"/>
          <w:sz w:val="21"/>
          <w:szCs w:val="21"/>
        </w:rPr>
        <w:t>。</w:t>
      </w:r>
    </w:p>
    <w:p>
      <w:pPr>
        <w:pStyle w:val="9"/>
        <w:wordWrap w:val="0"/>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乙方需保证履约保证金充足原则，合同履约期间，因乙方违约责任被甲方扣除履约保证金，导致履约保证金少于合同规定的金额，乙方应于被扣除履约保证金15日内补足，乙方未予补足的，甲方有权暂停支付货款，甲方有权在与乙方合作的其他款项中直接抵扣其他应付金额优先充足履约保证金，由此造成的责任由乙方承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4" w:name="_Toc508203308"/>
      <w:bookmarkStart w:id="35" w:name="_Toc64879419"/>
      <w:r>
        <w:rPr>
          <w:rFonts w:hint="eastAsia" w:ascii="宋体" w:hAnsi="宋体" w:eastAsia="宋体"/>
          <w:bCs w:val="0"/>
          <w:color w:val="auto"/>
          <w:kern w:val="0"/>
          <w:sz w:val="21"/>
          <w:szCs w:val="21"/>
        </w:rPr>
        <w:t>付款</w:t>
      </w:r>
      <w:bookmarkEnd w:id="34"/>
      <w:r>
        <w:rPr>
          <w:rFonts w:hint="eastAsia" w:ascii="宋体" w:hAnsi="宋体" w:eastAsia="宋体"/>
          <w:bCs w:val="0"/>
          <w:color w:val="auto"/>
          <w:kern w:val="0"/>
          <w:sz w:val="21"/>
          <w:szCs w:val="21"/>
        </w:rPr>
        <w:t>方式</w:t>
      </w:r>
      <w:bookmarkEnd w:id="35"/>
    </w:p>
    <w:p>
      <w:pPr>
        <w:pStyle w:val="49"/>
        <w:numPr>
          <w:ilvl w:val="0"/>
          <w:numId w:val="24"/>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4"/>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4"/>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4"/>
        </w:numPr>
        <w:wordWrap w:val="0"/>
        <w:adjustRightInd/>
        <w:spacing w:line="360" w:lineRule="auto"/>
        <w:ind w:left="0" w:firstLine="420"/>
        <w:jc w:val="both"/>
        <w:textAlignment w:val="auto"/>
        <w:rPr>
          <w:rFonts w:ascii="宋体" w:hAnsi="宋体" w:eastAsia="宋体"/>
          <w:vanish/>
          <w:color w:val="auto"/>
          <w:sz w:val="21"/>
          <w:szCs w:val="21"/>
        </w:rPr>
      </w:pPr>
    </w:p>
    <w:p>
      <w:pPr>
        <w:wordWrap w:val="0"/>
        <w:spacing w:line="360" w:lineRule="auto"/>
        <w:ind w:firstLine="420" w:firstLineChars="200"/>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、费用按每批宣传礼品订单中的内容和乙方的所报降点后单价与乙方进行结算，</w:t>
      </w:r>
      <w:r>
        <w:rPr>
          <w:rFonts w:hint="eastAsia" w:ascii="宋体" w:hAnsi="宋体"/>
          <w:color w:val="auto"/>
          <w:szCs w:val="21"/>
        </w:rPr>
        <w:t>含税</w:t>
      </w:r>
      <w:r>
        <w:rPr>
          <w:rFonts w:hint="eastAsia" w:ascii="宋体" w:hAnsi="宋体" w:eastAsia="宋体"/>
          <w:color w:val="auto"/>
          <w:szCs w:val="21"/>
        </w:rPr>
        <w:t>结算单价计算方法如下:</w:t>
      </w:r>
    </w:p>
    <w:p>
      <w:pPr>
        <w:wordWrap w:val="0"/>
        <w:spacing w:line="360" w:lineRule="auto"/>
        <w:ind w:firstLine="420" w:firstLineChars="200"/>
        <w:rPr>
          <w:rFonts w:ascii="宋体" w:hAnsi="宋体" w:eastAsia="宋体"/>
          <w:color w:val="auto"/>
          <w:szCs w:val="21"/>
        </w:rPr>
      </w:pPr>
      <w:r>
        <w:rPr>
          <w:rFonts w:hint="eastAsia" w:asciiTheme="minorEastAsia" w:hAnsiTheme="minorEastAsia"/>
          <w:bCs/>
          <w:color w:val="auto"/>
        </w:rPr>
        <w:t>含税结算单价＝不含税基准单价×（1+所报降点数%）×（1+税率），例如不含税基准单价为100元，乙方所报降点数为-10.2，提供的增值税专用发票税率为6%，则含税结算单价为100元×（1-10.2%）×（1+6%）=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wordWrap w:val="0"/>
        <w:spacing w:line="360" w:lineRule="auto"/>
        <w:ind w:firstLine="420" w:firstLineChars="200"/>
        <w:rPr>
          <w:rFonts w:ascii="宋体" w:hAnsi="宋体" w:eastAsia="宋体"/>
          <w:color w:val="auto"/>
          <w:szCs w:val="21"/>
        </w:rPr>
      </w:pPr>
      <w:r>
        <w:rPr>
          <w:rFonts w:hint="eastAsia" w:ascii="宋体" w:hAnsi="宋体"/>
          <w:color w:val="auto"/>
          <w:szCs w:val="21"/>
        </w:rPr>
        <w:t>含税</w:t>
      </w:r>
      <w:r>
        <w:rPr>
          <w:rFonts w:hint="eastAsia" w:ascii="宋体" w:hAnsi="宋体" w:eastAsia="宋体"/>
          <w:color w:val="auto"/>
          <w:szCs w:val="21"/>
        </w:rPr>
        <w:t>结算总价计算方法如下：</w:t>
      </w:r>
    </w:p>
    <w:p>
      <w:pPr>
        <w:wordWrap w:val="0"/>
        <w:spacing w:line="360" w:lineRule="auto"/>
        <w:ind w:firstLine="420" w:firstLineChars="200"/>
        <w:rPr>
          <w:rFonts w:ascii="宋体" w:hAnsi="宋体" w:eastAsia="宋体"/>
          <w:color w:val="auto"/>
          <w:szCs w:val="21"/>
        </w:rPr>
      </w:pPr>
      <w:r>
        <w:rPr>
          <w:rFonts w:hint="eastAsia" w:ascii="宋体" w:hAnsi="宋体"/>
          <w:color w:val="auto"/>
          <w:szCs w:val="21"/>
        </w:rPr>
        <w:t>含税</w:t>
      </w:r>
      <w:r>
        <w:rPr>
          <w:rFonts w:hint="eastAsia" w:ascii="宋体" w:hAnsi="宋体" w:eastAsia="宋体"/>
          <w:color w:val="auto"/>
          <w:szCs w:val="21"/>
        </w:rPr>
        <w:t>结算总价=</w:t>
      </w:r>
      <w:r>
        <w:rPr>
          <w:rFonts w:hint="eastAsia" w:ascii="宋体" w:hAnsi="宋体"/>
          <w:color w:val="auto"/>
          <w:szCs w:val="21"/>
        </w:rPr>
        <w:t>含税</w:t>
      </w:r>
      <w:r>
        <w:rPr>
          <w:rFonts w:hint="eastAsia" w:ascii="宋体" w:hAnsi="宋体" w:eastAsia="宋体"/>
          <w:color w:val="auto"/>
          <w:szCs w:val="21"/>
        </w:rPr>
        <w:t>结算单价×数量</w:t>
      </w:r>
    </w:p>
    <w:p>
      <w:pPr>
        <w:wordWrap w:val="0"/>
        <w:spacing w:line="360" w:lineRule="auto"/>
        <w:ind w:firstLine="420" w:firstLineChars="200"/>
        <w:rPr>
          <w:rFonts w:ascii="宋体" w:hAnsi="宋体" w:eastAsia="宋体"/>
          <w:color w:val="auto"/>
          <w:szCs w:val="21"/>
          <w:lang w:val="zh-CN"/>
        </w:rPr>
      </w:pPr>
      <w:r>
        <w:rPr>
          <w:rFonts w:ascii="宋体" w:hAnsi="宋体" w:eastAsia="宋体"/>
          <w:color w:val="auto"/>
          <w:szCs w:val="21"/>
        </w:rPr>
        <w:t>2</w:t>
      </w:r>
      <w:r>
        <w:rPr>
          <w:rFonts w:hint="eastAsia" w:ascii="宋体" w:hAnsi="宋体" w:eastAsia="宋体"/>
          <w:color w:val="auto"/>
          <w:szCs w:val="21"/>
        </w:rPr>
        <w:t>、每批宣传礼品订单完成交付并验收合格，结算价格经双方确认无误后，乙方提交等额的增值税专用发票给甲方，甲方在收到增值税专用发票后20个工作日内向乙方支付100%该订单费用。</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6" w:name="_Toc508203309"/>
      <w:bookmarkStart w:id="37" w:name="_Toc64879420"/>
      <w:r>
        <w:rPr>
          <w:rFonts w:hint="eastAsia" w:ascii="宋体" w:hAnsi="宋体" w:eastAsia="宋体"/>
          <w:bCs w:val="0"/>
          <w:color w:val="auto"/>
          <w:kern w:val="0"/>
          <w:sz w:val="21"/>
          <w:szCs w:val="21"/>
        </w:rPr>
        <w:t>产品技术及质量要求</w:t>
      </w:r>
      <w:bookmarkEnd w:id="36"/>
      <w:bookmarkEnd w:id="37"/>
    </w:p>
    <w:p>
      <w:pPr>
        <w:numPr>
          <w:ilvl w:val="1"/>
          <w:numId w:val="22"/>
        </w:numPr>
        <w:wordWrap w:val="0"/>
        <w:autoSpaceDE w:val="0"/>
        <w:autoSpaceDN w:val="0"/>
        <w:spacing w:line="360" w:lineRule="auto"/>
        <w:ind w:left="0" w:firstLine="420" w:firstLineChars="200"/>
        <w:rPr>
          <w:rFonts w:ascii="宋体" w:hAnsi="宋体" w:eastAsia="宋体"/>
          <w:color w:val="auto"/>
          <w:szCs w:val="21"/>
          <w:lang w:val="zh-CN"/>
        </w:rPr>
      </w:pPr>
      <w:r>
        <w:rPr>
          <w:rFonts w:hint="eastAsia" w:ascii="宋体" w:hAnsi="宋体" w:eastAsia="宋体"/>
          <w:color w:val="auto"/>
          <w:szCs w:val="21"/>
          <w:lang w:val="zh-CN"/>
        </w:rPr>
        <w:t>乙方保证向甲方提供的产品符合采购文件规定的技术和质量标准及乙方报价文件的承诺。如果采购文件及乙方报价文件的承诺未明确约定标准则按国家标准执行，无国家标准的则按行业标准执行。</w:t>
      </w:r>
    </w:p>
    <w:p>
      <w:pPr>
        <w:numPr>
          <w:ilvl w:val="1"/>
          <w:numId w:val="22"/>
        </w:numPr>
        <w:wordWrap w:val="0"/>
        <w:autoSpaceDE w:val="0"/>
        <w:autoSpaceDN w:val="0"/>
        <w:spacing w:line="360" w:lineRule="auto"/>
        <w:ind w:left="0" w:firstLine="420" w:firstLineChars="200"/>
        <w:rPr>
          <w:rFonts w:ascii="宋体" w:hAnsi="宋体" w:eastAsia="宋体"/>
          <w:color w:val="auto"/>
          <w:szCs w:val="21"/>
          <w:lang w:val="zh-CN"/>
        </w:rPr>
      </w:pPr>
      <w:r>
        <w:rPr>
          <w:rFonts w:hint="eastAsia" w:ascii="宋体" w:hAnsi="宋体" w:eastAsia="宋体"/>
          <w:color w:val="auto"/>
          <w:szCs w:val="21"/>
          <w:lang w:val="zh-CN"/>
        </w:rPr>
        <w:t>乙方保证其向甲方提供的产品的性能、质量及运行与上述标准的所有要求相符。双方按本条规定的标准对乙方完成的合同进行验收。</w:t>
      </w:r>
    </w:p>
    <w:p>
      <w:pPr>
        <w:numPr>
          <w:ilvl w:val="1"/>
          <w:numId w:val="22"/>
        </w:numPr>
        <w:wordWrap w:val="0"/>
        <w:autoSpaceDE w:val="0"/>
        <w:autoSpaceDN w:val="0"/>
        <w:spacing w:line="360" w:lineRule="auto"/>
        <w:ind w:left="0" w:firstLine="420" w:firstLineChars="200"/>
        <w:rPr>
          <w:rFonts w:ascii="宋体" w:hAnsi="宋体" w:eastAsia="宋体"/>
          <w:color w:val="auto"/>
          <w:szCs w:val="21"/>
          <w:lang w:val="zh-CN"/>
        </w:rPr>
      </w:pPr>
      <w:r>
        <w:rPr>
          <w:rFonts w:hint="eastAsia" w:ascii="宋体" w:hAnsi="宋体" w:eastAsia="宋体"/>
          <w:color w:val="auto"/>
          <w:szCs w:val="21"/>
          <w:lang w:val="zh-CN"/>
        </w:rPr>
        <w:t>乙方提供的产品应为产品制造厂商原造的，全新、未使用过的，并提供包括但不限于满足产品使用和维护的技术文件，如中文用户手册、保修服务卡、</w:t>
      </w:r>
      <w:r>
        <w:rPr>
          <w:rFonts w:ascii="宋体" w:hAnsi="宋体" w:eastAsia="宋体"/>
          <w:color w:val="auto"/>
          <w:szCs w:val="21"/>
          <w:lang w:val="zh-CN"/>
        </w:rPr>
        <w:t>产品质量合格证书</w:t>
      </w:r>
      <w:r>
        <w:rPr>
          <w:rFonts w:hint="eastAsia" w:ascii="宋体" w:hAnsi="宋体" w:eastAsia="宋体"/>
          <w:color w:val="auto"/>
          <w:szCs w:val="21"/>
          <w:lang w:val="zh-CN"/>
        </w:rPr>
        <w:t>等</w:t>
      </w:r>
      <w:r>
        <w:rPr>
          <w:rFonts w:ascii="宋体" w:hAnsi="宋体" w:eastAsia="宋体"/>
          <w:color w:val="auto"/>
          <w:szCs w:val="21"/>
          <w:lang w:val="zh-CN"/>
        </w:rPr>
        <w:t>。对于</w:t>
      </w:r>
      <w:r>
        <w:rPr>
          <w:rFonts w:hint="eastAsia" w:ascii="宋体" w:hAnsi="宋体" w:eastAsia="宋体"/>
          <w:color w:val="auto"/>
          <w:szCs w:val="21"/>
          <w:lang w:val="zh-CN"/>
        </w:rPr>
        <w:t>采购文件和报价文件中</w:t>
      </w:r>
      <w:r>
        <w:rPr>
          <w:rFonts w:ascii="宋体" w:hAnsi="宋体" w:eastAsia="宋体"/>
          <w:color w:val="auto"/>
          <w:szCs w:val="21"/>
          <w:lang w:val="zh-CN"/>
        </w:rPr>
        <w:t>没有列出，而对</w:t>
      </w:r>
      <w:r>
        <w:rPr>
          <w:rFonts w:hint="eastAsia" w:ascii="宋体" w:hAnsi="宋体" w:eastAsia="宋体"/>
          <w:color w:val="auto"/>
          <w:szCs w:val="21"/>
          <w:lang w:val="zh-CN"/>
        </w:rPr>
        <w:t>产品</w:t>
      </w:r>
      <w:r>
        <w:rPr>
          <w:rFonts w:ascii="宋体" w:hAnsi="宋体" w:eastAsia="宋体"/>
          <w:color w:val="auto"/>
          <w:szCs w:val="21"/>
          <w:lang w:val="zh-CN"/>
        </w:rPr>
        <w:t>的正常使用和维护必不可少的且应属于</w:t>
      </w:r>
      <w:r>
        <w:rPr>
          <w:rFonts w:hint="eastAsia" w:ascii="宋体" w:hAnsi="宋体" w:eastAsia="宋体"/>
          <w:color w:val="auto"/>
          <w:szCs w:val="21"/>
          <w:lang w:val="zh-CN"/>
        </w:rPr>
        <w:t>产品</w:t>
      </w:r>
      <w:r>
        <w:rPr>
          <w:rFonts w:ascii="宋体" w:hAnsi="宋体" w:eastAsia="宋体"/>
          <w:color w:val="auto"/>
          <w:szCs w:val="21"/>
          <w:lang w:val="zh-CN"/>
        </w:rPr>
        <w:t>需求配带的部件、配件等，</w:t>
      </w:r>
      <w:r>
        <w:rPr>
          <w:rFonts w:hint="eastAsia" w:ascii="宋体" w:hAnsi="宋体" w:eastAsia="宋体"/>
          <w:color w:val="auto"/>
          <w:szCs w:val="21"/>
          <w:lang w:val="zh-CN"/>
        </w:rPr>
        <w:t>乙方</w:t>
      </w:r>
      <w:r>
        <w:rPr>
          <w:rFonts w:ascii="宋体" w:hAnsi="宋体" w:eastAsia="宋体"/>
          <w:color w:val="auto"/>
          <w:szCs w:val="21"/>
          <w:lang w:val="zh-CN"/>
        </w:rPr>
        <w:t>有责任给予补充。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8" w:name="_Toc48999692"/>
      <w:bookmarkStart w:id="39" w:name="_Toc508203310"/>
      <w:bookmarkStart w:id="40" w:name="_Toc278273148"/>
      <w:bookmarkStart w:id="41" w:name="_Toc48999880"/>
      <w:bookmarkStart w:id="42" w:name="_Toc64879421"/>
      <w:bookmarkStart w:id="43" w:name="_Hlk508186965"/>
      <w:r>
        <w:rPr>
          <w:rFonts w:hint="eastAsia" w:ascii="宋体" w:hAnsi="宋体" w:eastAsia="宋体"/>
          <w:bCs w:val="0"/>
          <w:color w:val="auto"/>
          <w:kern w:val="0"/>
          <w:sz w:val="21"/>
          <w:szCs w:val="21"/>
        </w:rPr>
        <w:t>供货期</w:t>
      </w:r>
      <w:bookmarkEnd w:id="38"/>
      <w:bookmarkEnd w:id="39"/>
      <w:bookmarkEnd w:id="40"/>
      <w:bookmarkEnd w:id="41"/>
      <w:bookmarkEnd w:id="42"/>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wordWrap w:val="0"/>
        <w:autoSpaceDE w:val="0"/>
        <w:autoSpaceDN w:val="0"/>
        <w:spacing w:line="360" w:lineRule="auto"/>
        <w:ind w:firstLine="420" w:firstLineChars="200"/>
        <w:rPr>
          <w:rFonts w:ascii="宋体" w:hAnsi="宋体" w:eastAsia="宋体"/>
          <w:color w:val="auto"/>
          <w:szCs w:val="21"/>
          <w:lang w:val="zh-CN"/>
        </w:rPr>
      </w:pPr>
      <w:r>
        <w:rPr>
          <w:rFonts w:hint="eastAsia" w:ascii="宋体" w:hAnsi="宋体" w:eastAsia="宋体"/>
          <w:color w:val="auto"/>
          <w:szCs w:val="21"/>
          <w:lang w:val="zh-CN"/>
        </w:rPr>
        <w:t>合同签订后，乙方必须在接到甲方每批次宣传礼品订单后</w:t>
      </w:r>
      <w:r>
        <w:rPr>
          <w:rFonts w:ascii="宋体" w:hAnsi="宋体" w:eastAsia="宋体"/>
          <w:color w:val="auto"/>
          <w:szCs w:val="21"/>
          <w:lang w:val="zh-CN"/>
        </w:rPr>
        <w:t>3</w:t>
      </w:r>
      <w:r>
        <w:rPr>
          <w:rFonts w:hint="eastAsia" w:ascii="宋体" w:hAnsi="宋体" w:eastAsia="宋体"/>
          <w:color w:val="auto"/>
          <w:szCs w:val="21"/>
          <w:lang w:val="zh-CN"/>
        </w:rPr>
        <w:t>个工作日内根据甲方订单中要求完成宣传礼品的制作，并将宣传礼品免费配送至甲方指定地点（所有配送地点均在广州市内）。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验收</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ascii="宋体" w:hAnsi="宋体"/>
          <w:bCs/>
          <w:color w:val="auto"/>
          <w:sz w:val="21"/>
          <w:szCs w:val="21"/>
        </w:rPr>
        <w:t xml:space="preserve">1 </w:t>
      </w:r>
      <w:r>
        <w:rPr>
          <w:rFonts w:hint="eastAsia" w:ascii="宋体" w:hAnsi="宋体"/>
          <w:bCs/>
          <w:color w:val="auto"/>
          <w:sz w:val="21"/>
          <w:szCs w:val="21"/>
        </w:rPr>
        <w:t>到货验收</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1)按照合同中货规格及订货清单进行清点。</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2)按指定地点到货后乙方配合甲方进行到货验收，所有货物均为全新的货物。</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3）甲方可在到货之日起的3个工作日内进行抽样检测，开箱合格率=（开箱检验合格数/开箱检验总数）×100%，开箱合格率必须大于99.90%，否则视为到货验收不合格。到货验收不合格，甲方有权退货并要求乙方向甲方支付本批次订单货款总额的20%作为违约金。</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 xml:space="preserve"> 验收标准</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按照技术规范书以及国家或部颁验收规范和质量检验标准等为依据进行验收。</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ascii="宋体" w:hAnsi="宋体"/>
          <w:bCs/>
          <w:color w:val="auto"/>
          <w:sz w:val="21"/>
          <w:szCs w:val="21"/>
        </w:rPr>
        <w:t>3</w:t>
      </w:r>
      <w:r>
        <w:rPr>
          <w:rFonts w:hint="eastAsia" w:ascii="宋体" w:hAnsi="宋体"/>
          <w:bCs/>
          <w:color w:val="auto"/>
          <w:sz w:val="21"/>
          <w:szCs w:val="21"/>
        </w:rPr>
        <w:t xml:space="preserve"> 验收费用</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乙方需提供验收所使用的仪器，验收项目的全部费用包含在降点后的费用中，甲方不再支付相关费用。</w:t>
      </w:r>
    </w:p>
    <w:bookmarkEnd w:id="43"/>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4" w:name="_Toc64879422"/>
      <w:r>
        <w:rPr>
          <w:rFonts w:hint="eastAsia" w:ascii="宋体" w:hAnsi="宋体" w:eastAsia="宋体"/>
          <w:bCs w:val="0"/>
          <w:color w:val="auto"/>
          <w:kern w:val="0"/>
          <w:sz w:val="21"/>
          <w:szCs w:val="21"/>
        </w:rPr>
        <w:t>售后服务</w:t>
      </w:r>
      <w:bookmarkEnd w:id="44"/>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cs="宋体"/>
          <w:color w:val="auto"/>
          <w:sz w:val="21"/>
          <w:szCs w:val="21"/>
        </w:rPr>
      </w:pPr>
      <w:r>
        <w:rPr>
          <w:rFonts w:hint="eastAsia" w:ascii="宋体" w:hAnsi="宋体" w:cs="宋体"/>
          <w:color w:val="auto"/>
          <w:sz w:val="21"/>
          <w:szCs w:val="21"/>
        </w:rPr>
        <w:t>产品到货验收合格后，报价人提供的产品15天内包换。</w:t>
      </w:r>
      <w:r>
        <w:rPr>
          <w:rFonts w:hint="eastAsia" w:ascii="宋体" w:hAnsi="宋体" w:cs="宋体"/>
          <w:bCs/>
          <w:color w:val="auto"/>
          <w:sz w:val="21"/>
          <w:szCs w:val="21"/>
        </w:rPr>
        <w:t>在包换期内发现的由于乙方或产品本身的原因造成的损坏、污染等情况，乙方应在接到甲方通知后2天内免费更换全新产品，由此引起的费用和风险由乙方承担。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5" w:name="_Toc508203312"/>
      <w:bookmarkStart w:id="46" w:name="_Toc64879423"/>
      <w:r>
        <w:rPr>
          <w:rFonts w:hint="eastAsia" w:ascii="宋体" w:hAnsi="宋体" w:eastAsia="宋体"/>
          <w:bCs w:val="0"/>
          <w:color w:val="auto"/>
          <w:kern w:val="0"/>
          <w:sz w:val="21"/>
          <w:szCs w:val="21"/>
        </w:rPr>
        <w:t>人员保证</w:t>
      </w:r>
      <w:bookmarkEnd w:id="45"/>
      <w:bookmarkEnd w:id="46"/>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9"/>
        <w:numPr>
          <w:ilvl w:val="1"/>
          <w:numId w:val="25"/>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乙方项目负责人联系方式：联系人【      】、移动电话【     】、邮箱【     】。</w:t>
      </w:r>
    </w:p>
    <w:p>
      <w:pPr>
        <w:pStyle w:val="9"/>
        <w:numPr>
          <w:ilvl w:val="1"/>
          <w:numId w:val="25"/>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乙方保证其经验和能力能以令人满意的方式、富有效率且迅速地开展服务，其合同项下的服务由胜任的专业人员依据双方接受的标准完成。</w:t>
      </w:r>
    </w:p>
    <w:p>
      <w:pPr>
        <w:pStyle w:val="9"/>
        <w:numPr>
          <w:ilvl w:val="1"/>
          <w:numId w:val="25"/>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乙方应向甲方提供素质高、经验丰富的人员。乙方现场服务人员应服从甲方管理人员的调度安排，但该安排不得影响乙方按时完成本合同项下的服务。</w:t>
      </w:r>
    </w:p>
    <w:p>
      <w:pPr>
        <w:pStyle w:val="9"/>
        <w:numPr>
          <w:ilvl w:val="1"/>
          <w:numId w:val="25"/>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在服务过程中必须保持稳定的队伍，未经甲方同意，不能更换项目经理和主要骨干。但由于双方认可的乙方不可控原因造成的人员更换请求，在乙方保证不降低服务质量的情况下且获得甲方书面同意之后,可以更换。</w:t>
      </w:r>
    </w:p>
    <w:p>
      <w:pPr>
        <w:pStyle w:val="9"/>
        <w:numPr>
          <w:ilvl w:val="1"/>
          <w:numId w:val="25"/>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若乙方人员由于工作态度、能力、服务水平等方面收到甲方的合理投诉达到两次，甲方有权要求乙方更换该服务人员。</w:t>
      </w:r>
    </w:p>
    <w:p>
      <w:pPr>
        <w:pStyle w:val="9"/>
        <w:numPr>
          <w:ilvl w:val="1"/>
          <w:numId w:val="25"/>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未经甲方书面同意，乙方不得将其合同权利或义务转让或转包给第三方。</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7" w:name="_Toc64879424"/>
      <w:bookmarkStart w:id="48" w:name="_Toc508203313"/>
      <w:r>
        <w:rPr>
          <w:rFonts w:hint="eastAsia" w:ascii="宋体" w:hAnsi="宋体" w:eastAsia="宋体"/>
          <w:bCs w:val="0"/>
          <w:color w:val="auto"/>
          <w:kern w:val="0"/>
          <w:sz w:val="21"/>
          <w:szCs w:val="21"/>
        </w:rPr>
        <w:t>保密</w:t>
      </w:r>
      <w:bookmarkEnd w:id="47"/>
      <w:bookmarkEnd w:id="48"/>
    </w:p>
    <w:p>
      <w:pPr>
        <w:pStyle w:val="9"/>
        <w:numPr>
          <w:ilvl w:val="1"/>
          <w:numId w:val="28"/>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本合同拥有信息的一方（“提供方”）根据本合同向另一方（“接受方”）提供的信息，包括但不限于技术性信息、商业性信息、文件、程序、计划、技术、图表、模型、参数、数据、标准、专有技术、业务或业务运作方法以及其它专有信息，本合同的条款和与本合同有关的其它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它实体，但不包括甲方关联公司。</w:t>
      </w:r>
    </w:p>
    <w:p>
      <w:pPr>
        <w:pStyle w:val="9"/>
        <w:numPr>
          <w:ilvl w:val="1"/>
          <w:numId w:val="28"/>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pStyle w:val="9"/>
        <w:numPr>
          <w:ilvl w:val="1"/>
          <w:numId w:val="28"/>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接受方的律师、会计师、承包商和顾问为提供专业协助而需要了解保密信息时，接受方可向其披露保密信息，但是，其应要求上述人员签订保密协议或按照有关职业道德标准履行保密义务。</w:t>
      </w:r>
    </w:p>
    <w:p>
      <w:pPr>
        <w:pStyle w:val="9"/>
        <w:numPr>
          <w:ilvl w:val="1"/>
          <w:numId w:val="28"/>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pStyle w:val="9"/>
        <w:numPr>
          <w:ilvl w:val="1"/>
          <w:numId w:val="28"/>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在任何情形下，本条所规定的保密义务应永久持续有效。</w:t>
      </w:r>
    </w:p>
    <w:p>
      <w:pPr>
        <w:pStyle w:val="9"/>
        <w:numPr>
          <w:ilvl w:val="1"/>
          <w:numId w:val="28"/>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本条规定的保密义务对以下信息不适用：</w:t>
      </w:r>
    </w:p>
    <w:p>
      <w:pPr>
        <w:pStyle w:val="9"/>
        <w:numPr>
          <w:ilvl w:val="0"/>
          <w:numId w:val="29"/>
        </w:numPr>
        <w:tabs>
          <w:tab w:val="left" w:pos="142"/>
          <w:tab w:val="left" w:pos="420"/>
        </w:tabs>
        <w:autoSpaceDE/>
        <w:autoSpaceDN/>
        <w:adjustRightInd/>
        <w:spacing w:line="360" w:lineRule="auto"/>
        <w:ind w:leftChars="0" w:hanging="414"/>
        <w:jc w:val="both"/>
        <w:rPr>
          <w:rFonts w:ascii="宋体" w:hAnsi="宋体"/>
          <w:color w:val="auto"/>
          <w:sz w:val="21"/>
          <w:szCs w:val="21"/>
        </w:rPr>
      </w:pPr>
      <w:r>
        <w:rPr>
          <w:rFonts w:hint="eastAsia" w:ascii="宋体" w:hAnsi="宋体"/>
          <w:color w:val="auto"/>
          <w:sz w:val="21"/>
          <w:szCs w:val="21"/>
        </w:rPr>
        <w:t>在一方披露时，已经是公众所知的信息，或者在披露后，并非由于接受方的雇员、律师、会计师、承包商、顾问或者其它人员的过失而成为公众所知的信息；</w:t>
      </w:r>
    </w:p>
    <w:p>
      <w:pPr>
        <w:pStyle w:val="9"/>
        <w:numPr>
          <w:ilvl w:val="0"/>
          <w:numId w:val="29"/>
        </w:numPr>
        <w:tabs>
          <w:tab w:val="left" w:pos="142"/>
          <w:tab w:val="left" w:pos="420"/>
        </w:tabs>
        <w:autoSpaceDE/>
        <w:autoSpaceDN/>
        <w:adjustRightInd/>
        <w:spacing w:line="360" w:lineRule="auto"/>
        <w:ind w:leftChars="0" w:hanging="414"/>
        <w:jc w:val="both"/>
        <w:rPr>
          <w:rFonts w:ascii="宋体" w:hAnsi="宋体"/>
          <w:color w:val="auto"/>
          <w:sz w:val="21"/>
          <w:szCs w:val="21"/>
        </w:rPr>
      </w:pPr>
      <w:r>
        <w:rPr>
          <w:rFonts w:hint="eastAsia" w:ascii="宋体" w:hAnsi="宋体"/>
          <w:color w:val="auto"/>
          <w:sz w:val="21"/>
          <w:szCs w:val="21"/>
        </w:rPr>
        <w:t>有书面证据证明在披露时已经由接受方掌握的信息，而且信息并非直接或间接来自提供方；</w:t>
      </w:r>
    </w:p>
    <w:p>
      <w:pPr>
        <w:pStyle w:val="9"/>
        <w:numPr>
          <w:ilvl w:val="0"/>
          <w:numId w:val="29"/>
        </w:numPr>
        <w:tabs>
          <w:tab w:val="left" w:pos="142"/>
          <w:tab w:val="left" w:pos="420"/>
        </w:tabs>
        <w:autoSpaceDE/>
        <w:autoSpaceDN/>
        <w:adjustRightInd/>
        <w:spacing w:line="360" w:lineRule="auto"/>
        <w:ind w:leftChars="0" w:hanging="414"/>
        <w:jc w:val="both"/>
        <w:rPr>
          <w:rFonts w:ascii="宋体" w:hAnsi="宋体"/>
          <w:color w:val="auto"/>
          <w:sz w:val="21"/>
          <w:szCs w:val="21"/>
        </w:rPr>
      </w:pPr>
      <w:r>
        <w:rPr>
          <w:rFonts w:hint="eastAsia" w:ascii="宋体" w:hAnsi="宋体"/>
          <w:color w:val="auto"/>
          <w:sz w:val="21"/>
          <w:szCs w:val="21"/>
        </w:rPr>
        <w:t>有书面证据证明第三方已向接受方披露的信息，而该第三方并不负有保密义务，并且有权做出披露。</w:t>
      </w:r>
    </w:p>
    <w:p>
      <w:pPr>
        <w:pStyle w:val="9"/>
        <w:numPr>
          <w:ilvl w:val="1"/>
          <w:numId w:val="28"/>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当本合同解除或终止时，接受方应立即停止使用且不得许可第三方使用提供方的保密信息，同时，接受方应按照提供方的书面要求，将提供方提供的保密信息退还提供方或予以删除或销毁。</w:t>
      </w: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0"/>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26"/>
        <w:numPr>
          <w:ilvl w:val="0"/>
          <w:numId w:val="31"/>
        </w:numPr>
        <w:tabs>
          <w:tab w:val="left" w:pos="142"/>
          <w:tab w:val="left" w:pos="420"/>
        </w:tabs>
        <w:wordWrap w:val="0"/>
        <w:spacing w:line="360" w:lineRule="auto"/>
        <w:ind w:firstLineChars="0"/>
        <w:rPr>
          <w:rFonts w:ascii="宋体" w:hAnsi="宋体" w:eastAsia="宋体" w:cs="Times New Roman"/>
          <w:vanish/>
          <w:color w:val="auto"/>
          <w:kern w:val="0"/>
          <w:szCs w:val="21"/>
        </w:rPr>
      </w:pPr>
    </w:p>
    <w:p>
      <w:pPr>
        <w:pStyle w:val="26"/>
        <w:numPr>
          <w:ilvl w:val="0"/>
          <w:numId w:val="31"/>
        </w:numPr>
        <w:tabs>
          <w:tab w:val="left" w:pos="142"/>
          <w:tab w:val="left" w:pos="420"/>
        </w:tabs>
        <w:wordWrap w:val="0"/>
        <w:spacing w:line="360" w:lineRule="auto"/>
        <w:ind w:firstLineChars="0"/>
        <w:rPr>
          <w:rFonts w:ascii="宋体" w:hAnsi="宋体" w:eastAsia="宋体" w:cs="Times New Roman"/>
          <w:vanish/>
          <w:color w:val="auto"/>
          <w:kern w:val="0"/>
          <w:szCs w:val="21"/>
        </w:rPr>
      </w:pP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9" w:name="_Toc64879425"/>
      <w:bookmarkStart w:id="50" w:name="_Toc508203315"/>
      <w:r>
        <w:rPr>
          <w:rFonts w:hint="eastAsia" w:ascii="宋体" w:hAnsi="宋体" w:eastAsia="宋体"/>
          <w:bCs w:val="0"/>
          <w:color w:val="auto"/>
          <w:kern w:val="0"/>
          <w:sz w:val="21"/>
          <w:szCs w:val="21"/>
        </w:rPr>
        <w:t>违约责任</w:t>
      </w:r>
      <w:bookmarkEnd w:id="49"/>
      <w:bookmarkEnd w:id="50"/>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2"/>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1延迟交货违约金：如因乙方原因不能按合同约定的供货期限交付，则甲方有权解除合同，而乙方须向甲方支付本批次订单货款总额</w:t>
      </w:r>
      <w:r>
        <w:rPr>
          <w:rFonts w:ascii="宋体" w:hAnsi="宋体" w:eastAsia="宋体"/>
          <w:b w:val="0"/>
          <w:color w:val="auto"/>
          <w:sz w:val="21"/>
          <w:szCs w:val="21"/>
        </w:rPr>
        <w:t>20%的违约金，履约保证金不予退回，延迟交付货物给甲方造成的一切损失由乙方承担。</w:t>
      </w: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2延迟验收违约金：如因乙方原因导致产品不能按合同规定期限验收合格，则甲方有权解除合同，而乙方须向甲方支付本批次订单货款总额</w:t>
      </w:r>
      <w:r>
        <w:rPr>
          <w:rFonts w:ascii="宋体" w:hAnsi="宋体" w:eastAsia="宋体"/>
          <w:b w:val="0"/>
          <w:color w:val="auto"/>
          <w:sz w:val="21"/>
          <w:szCs w:val="21"/>
        </w:rPr>
        <w:t>20%的违约金，履约保证金不予退回，延迟验收给甲方造成的一切损失由乙方承担。</w:t>
      </w:r>
    </w:p>
    <w:p>
      <w:pPr>
        <w:tabs>
          <w:tab w:val="left" w:pos="993"/>
        </w:tabs>
        <w:spacing w:line="360" w:lineRule="auto"/>
        <w:ind w:firstLine="420" w:firstLineChars="200"/>
        <w:rPr>
          <w:rFonts w:ascii="宋体" w:hAnsi="宋体"/>
          <w:color w:val="auto"/>
          <w:szCs w:val="21"/>
        </w:rPr>
      </w:pPr>
      <w:r>
        <w:rPr>
          <w:rFonts w:hint="eastAsia" w:ascii="宋体" w:hAnsi="宋体" w:eastAsia="宋体"/>
          <w:color w:val="auto"/>
          <w:szCs w:val="21"/>
        </w:rPr>
        <w:t>3</w:t>
      </w:r>
      <w:r>
        <w:rPr>
          <w:rFonts w:hint="eastAsia" w:ascii="宋体" w:hAnsi="宋体"/>
          <w:color w:val="auto"/>
          <w:szCs w:val="21"/>
        </w:rPr>
        <w:t>若因乙方原因造成甲方人员或客户出现食物中毒等安全事故的，经卫生防疫部门确定为乙方责任的，乙方除需向甲方退回当</w:t>
      </w:r>
      <w:r>
        <w:rPr>
          <w:rFonts w:ascii="宋体" w:hAnsi="宋体"/>
          <w:color w:val="auto"/>
          <w:szCs w:val="21"/>
        </w:rPr>
        <w:t>批次</w:t>
      </w:r>
      <w:r>
        <w:rPr>
          <w:rFonts w:hint="eastAsia" w:ascii="宋体" w:hAnsi="宋体"/>
          <w:color w:val="auto"/>
          <w:szCs w:val="21"/>
        </w:rPr>
        <w:t>货物费用外，还需向甲方支付合同最高限额30%的违约金，同时须承担因食物中毒产生的全部费用和法律责任，且甲方有权解除合同，</w:t>
      </w:r>
      <w:r>
        <w:rPr>
          <w:rFonts w:ascii="宋体" w:hAnsi="宋体"/>
          <w:color w:val="auto"/>
          <w:szCs w:val="21"/>
        </w:rPr>
        <w:t>履约保证金不予退</w:t>
      </w:r>
      <w:r>
        <w:rPr>
          <w:rFonts w:hint="eastAsia" w:ascii="宋体" w:hAnsi="宋体"/>
          <w:color w:val="auto"/>
          <w:szCs w:val="21"/>
        </w:rPr>
        <w:t>还，若违约金不能弥补甲方损失的，甲方有权继续向乙方追偿。</w:t>
      </w: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4如乙方所供货品被鉴定为假冒伪劣商品的，甲方有权解除合同，履约保证金不予退还，乙方须承担货品检测费用，给甲方造成损失的，乙方须承担全部责任。</w:t>
      </w: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5如守约方按上述违约条款要求违约方支付违约金或赔偿金时，应书面通知违约方并说明违约金或赔偿金金额，违约方在收到通知后十天内将违约金支付给对方；如有异议，应在收到通知后一周内通知对方，各方应尽快协商明确违约责任，违约方应在各方就违约金或赔偿金额达成协议后的十天内将违约金或赔偿金支付给对方。</w:t>
      </w: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6上述条款约定的违约金、赔偿金甲方有权从任一批次合同款、质保金中扣除。甲方因向乙方主张权利或因本合同相关事宜被第三方追究责任而支付的合理费用包括但不限于律师费、财产保全担保费、公证费、鉴定费、差旅费及其他为实现权利而发生的费用由乙方承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51" w:name="_Toc64879426"/>
      <w:bookmarkStart w:id="52" w:name="_Toc508203316"/>
      <w:r>
        <w:rPr>
          <w:rFonts w:hint="eastAsia" w:ascii="宋体" w:hAnsi="宋体" w:eastAsia="宋体"/>
          <w:bCs w:val="0"/>
          <w:color w:val="auto"/>
          <w:kern w:val="0"/>
          <w:sz w:val="21"/>
          <w:szCs w:val="21"/>
        </w:rPr>
        <w:t>不可抗力</w:t>
      </w:r>
      <w:bookmarkEnd w:id="51"/>
      <w:bookmarkEnd w:id="52"/>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1</w:t>
      </w:r>
      <w:r>
        <w:rPr>
          <w:rFonts w:ascii="宋体" w:hAnsi="宋体" w:eastAsia="宋体"/>
          <w:b w:val="0"/>
          <w:color w:val="auto"/>
          <w:sz w:val="21"/>
          <w:szCs w:val="21"/>
        </w:rPr>
        <w:t xml:space="preserve"> </w:t>
      </w:r>
      <w:r>
        <w:rPr>
          <w:rFonts w:hint="eastAsia" w:ascii="宋体" w:hAnsi="宋体" w:eastAsia="宋体"/>
          <w:b w:val="0"/>
          <w:color w:val="auto"/>
          <w:sz w:val="21"/>
          <w:szCs w:val="21"/>
        </w:rPr>
        <w:t>本合同所指不可抗力，是指不能预见、不能避免并不能克服的客观情况。包括但不限于自然灾害如洪水、火灾、地震等。</w:t>
      </w: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2 由于不可抗力事件，致使一方在履行其在本合同项下的义务过程中遇到障碍或延误，或甲方由于社会事件如政府行为、国家政策的突然变动导致甲方不能按约定的条款全部或部分履行其义务的视同不可抗力。遇到不可抗力事件的一方（“受阻方”），只要满足下列所有条件，不应视为违反合同：</w:t>
      </w:r>
    </w:p>
    <w:p>
      <w:pPr>
        <w:pStyle w:val="9"/>
        <w:numPr>
          <w:ilvl w:val="0"/>
          <w:numId w:val="34"/>
        </w:numPr>
        <w:tabs>
          <w:tab w:val="left" w:pos="142"/>
          <w:tab w:val="left" w:pos="993"/>
        </w:tabs>
        <w:wordWrap w:val="0"/>
        <w:autoSpaceDE/>
        <w:autoSpaceDN/>
        <w:adjustRightInd/>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受阻方不能全部或部分履行其义务，是由于不可抗力事件直接造成的，且在不可抗力发生前受阻方不存在迟延履行相关义务的情形；</w:t>
      </w:r>
    </w:p>
    <w:p>
      <w:pPr>
        <w:pStyle w:val="9"/>
        <w:numPr>
          <w:ilvl w:val="0"/>
          <w:numId w:val="34"/>
        </w:numPr>
        <w:tabs>
          <w:tab w:val="left" w:pos="142"/>
          <w:tab w:val="left" w:pos="993"/>
        </w:tabs>
        <w:wordWrap w:val="0"/>
        <w:autoSpaceDE/>
        <w:autoSpaceDN/>
        <w:adjustRightInd/>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受阻方已尽最大努力履行其义务并减少由于不可抗力事件给另一方造成的损失；</w:t>
      </w:r>
    </w:p>
    <w:p>
      <w:pPr>
        <w:pStyle w:val="9"/>
        <w:numPr>
          <w:ilvl w:val="0"/>
          <w:numId w:val="34"/>
        </w:numPr>
        <w:tabs>
          <w:tab w:val="left" w:pos="142"/>
          <w:tab w:val="left" w:pos="993"/>
        </w:tabs>
        <w:wordWrap w:val="0"/>
        <w:autoSpaceDE/>
        <w:autoSpaceDN/>
        <w:adjustRightInd/>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不可抗力事件发生时，受阻方立即通知了对方，并在不可抗力事件发生之日起的十五日内提供有关该事件的政府证明文件和书面说明，书面说明中应包括对延迟履行或部分履行合同的原因说明。</w:t>
      </w: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3 不可抗力事件终止或被排除后，受阻方应继续履行本合同，并应尽快通知另一方。受阻方可延长履行义务的时间，延长期应相当于不可抗力事件实际造成延误的时间。</w:t>
      </w: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4 如果不可抗力事件的影响持续达</w:t>
      </w:r>
      <w:r>
        <w:rPr>
          <w:rFonts w:ascii="宋体" w:hAnsi="宋体" w:eastAsia="宋体"/>
          <w:b w:val="0"/>
          <w:color w:val="auto"/>
          <w:sz w:val="21"/>
          <w:szCs w:val="21"/>
        </w:rPr>
        <w:t>15</w:t>
      </w:r>
      <w:r>
        <w:rPr>
          <w:rFonts w:hint="eastAsia" w:ascii="宋体" w:hAnsi="宋体" w:eastAsia="宋体"/>
          <w:b w:val="0"/>
          <w:color w:val="auto"/>
          <w:sz w:val="21"/>
          <w:szCs w:val="21"/>
        </w:rPr>
        <w:t>日或以上时，双方应根据该事件对本合同履行的影响程度协商对本合同的修改或终止。如在一方发出协商书面通知之日起</w:t>
      </w:r>
      <w:r>
        <w:rPr>
          <w:rFonts w:ascii="宋体" w:hAnsi="宋体" w:eastAsia="宋体"/>
          <w:b w:val="0"/>
          <w:color w:val="auto"/>
          <w:sz w:val="21"/>
          <w:szCs w:val="21"/>
        </w:rPr>
        <w:t>5</w:t>
      </w:r>
      <w:r>
        <w:rPr>
          <w:rFonts w:hint="eastAsia" w:ascii="宋体" w:hAnsi="宋体" w:eastAsia="宋体"/>
          <w:b w:val="0"/>
          <w:color w:val="auto"/>
          <w:sz w:val="21"/>
          <w:szCs w:val="21"/>
        </w:rPr>
        <w:t>日内双方无法就此达成一致，任何一方均有权单方解除本合同而无需承担违约责任。</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53" w:name="_Toc64879427"/>
      <w:bookmarkStart w:id="54" w:name="_Toc508203317"/>
      <w:r>
        <w:rPr>
          <w:rFonts w:hint="eastAsia" w:ascii="宋体" w:hAnsi="宋体" w:eastAsia="宋体"/>
          <w:bCs w:val="0"/>
          <w:color w:val="auto"/>
          <w:kern w:val="0"/>
          <w:sz w:val="21"/>
          <w:szCs w:val="21"/>
        </w:rPr>
        <w:t>争议解决</w:t>
      </w:r>
      <w:bookmarkEnd w:id="53"/>
      <w:bookmarkEnd w:id="54"/>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5"/>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spacing w:line="360" w:lineRule="auto"/>
        <w:ind w:firstLine="420" w:firstLineChars="200"/>
        <w:rPr>
          <w:rFonts w:ascii="????" w:hAnsi="????"/>
          <w:color w:val="auto"/>
          <w:szCs w:val="21"/>
        </w:rPr>
      </w:pPr>
      <w:bookmarkStart w:id="55" w:name="_Toc508203319"/>
      <w:r>
        <w:rPr>
          <w:rFonts w:hint="eastAsia" w:ascii="????" w:hAnsi="????"/>
          <w:color w:val="auto"/>
          <w:szCs w:val="21"/>
        </w:rPr>
        <w:t>由于本合同有关事宜引起争议，合同双方应首先力求以友好协商的方式予以解决。</w:t>
      </w:r>
      <w:r>
        <w:rPr>
          <w:rFonts w:hint="eastAsia" w:ascii="宋体" w:cs="宋体"/>
          <w:color w:val="auto"/>
          <w:szCs w:val="21"/>
          <w:lang w:bidi="ar"/>
        </w:rPr>
        <w:t>如果友好协商后此争议仍未解决，</w:t>
      </w:r>
      <w:r>
        <w:rPr>
          <w:rFonts w:hint="eastAsia" w:cs="宋体"/>
          <w:color w:val="auto"/>
          <w:szCs w:val="24"/>
          <w:lang w:bidi="ar"/>
        </w:rPr>
        <w:t>则提交广州仲裁委员会裁决。</w:t>
      </w:r>
    </w:p>
    <w:bookmarkEnd w:id="55"/>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通知及送达</w:t>
      </w:r>
    </w:p>
    <w:p>
      <w:pPr>
        <w:spacing w:line="360" w:lineRule="auto"/>
        <w:ind w:firstLine="420" w:firstLineChars="200"/>
        <w:rPr>
          <w:rFonts w:ascii="????" w:hAnsi="????"/>
          <w:color w:val="auto"/>
          <w:szCs w:val="21"/>
        </w:rPr>
      </w:pPr>
      <w:r>
        <w:rPr>
          <w:rFonts w:ascii="????" w:hAnsi="????"/>
          <w:color w:val="auto"/>
          <w:szCs w:val="21"/>
        </w:rPr>
        <w:t>1.</w:t>
      </w:r>
      <w:r>
        <w:rPr>
          <w:rFonts w:ascii="????" w:hAnsi="????"/>
          <w:color w:val="auto"/>
          <w:szCs w:val="21"/>
        </w:rPr>
        <w:tab/>
      </w:r>
      <w:r>
        <w:rPr>
          <w:rFonts w:ascii="????" w:hAnsi="????"/>
          <w:color w:val="auto"/>
          <w:szCs w:val="21"/>
        </w:rPr>
        <w:t>本合同双方约定以</w:t>
      </w:r>
      <w:r>
        <w:rPr>
          <w:rFonts w:hint="eastAsia" w:ascii="????" w:hAnsi="????"/>
          <w:color w:val="auto"/>
          <w:szCs w:val="21"/>
        </w:rPr>
        <w:t>签字页所定</w:t>
      </w:r>
      <w:r>
        <w:rPr>
          <w:rFonts w:ascii="????" w:hAnsi="????"/>
          <w:color w:val="auto"/>
          <w:szCs w:val="21"/>
        </w:rPr>
        <w:t>联系人、通信地址、联系方式为各方通知或文件的有效收件人和送达地址：</w:t>
      </w:r>
    </w:p>
    <w:p>
      <w:pPr>
        <w:spacing w:line="360" w:lineRule="auto"/>
        <w:ind w:firstLine="420" w:firstLineChars="200"/>
        <w:rPr>
          <w:rFonts w:ascii="????" w:hAnsi="????"/>
          <w:color w:val="auto"/>
          <w:szCs w:val="21"/>
        </w:rPr>
      </w:pPr>
      <w:r>
        <w:rPr>
          <w:rFonts w:ascii="????" w:hAnsi="????"/>
          <w:color w:val="auto"/>
          <w:szCs w:val="21"/>
        </w:rPr>
        <w:t>2.</w:t>
      </w:r>
      <w:r>
        <w:rPr>
          <w:rFonts w:ascii="????" w:hAnsi="????"/>
          <w:color w:val="auto"/>
          <w:szCs w:val="21"/>
        </w:rPr>
        <w:tab/>
      </w:r>
      <w:r>
        <w:rPr>
          <w:rFonts w:ascii="????" w:hAnsi="????"/>
          <w:color w:val="auto"/>
          <w:szCs w:val="21"/>
        </w:rPr>
        <w:t>任何与本合同有关的由本合同当事人发出的文件、通知及其他通讯往来，必须采取书面形式递交、寄送、传送或发送给收件人。</w:t>
      </w:r>
    </w:p>
    <w:p>
      <w:pPr>
        <w:spacing w:line="360" w:lineRule="auto"/>
        <w:ind w:firstLine="420" w:firstLineChars="200"/>
        <w:rPr>
          <w:rFonts w:ascii="????" w:hAnsi="????"/>
          <w:color w:val="auto"/>
          <w:szCs w:val="21"/>
        </w:rPr>
      </w:pPr>
      <w:r>
        <w:rPr>
          <w:rFonts w:ascii="????" w:hAnsi="????"/>
          <w:color w:val="auto"/>
          <w:szCs w:val="21"/>
        </w:rPr>
        <w:t>3.</w:t>
      </w:r>
      <w:r>
        <w:rPr>
          <w:rFonts w:ascii="????" w:hAnsi="????"/>
          <w:color w:val="auto"/>
          <w:szCs w:val="21"/>
        </w:rPr>
        <w:tab/>
      </w:r>
      <w:r>
        <w:rPr>
          <w:rFonts w:ascii="????" w:hAnsi="????"/>
          <w:color w:val="auto"/>
          <w:szCs w:val="21"/>
        </w:rPr>
        <w:t>任何一方的联系人、通讯地址或联系方式发生变更的，该方应立即通知对方；联系人、通讯地址或联系方式的变更自变更通知送达对方时生效；如未经变更通知，对方仍以本合同载明的联系人、通讯地址或联系方式发出的通知仍然发生法律效力。</w:t>
      </w:r>
    </w:p>
    <w:p>
      <w:pPr>
        <w:spacing w:line="360" w:lineRule="auto"/>
        <w:ind w:firstLine="420" w:firstLineChars="200"/>
        <w:rPr>
          <w:rFonts w:ascii="????" w:hAnsi="????"/>
          <w:color w:val="auto"/>
          <w:szCs w:val="21"/>
        </w:rPr>
      </w:pPr>
      <w:r>
        <w:rPr>
          <w:rFonts w:ascii="????" w:hAnsi="????"/>
          <w:color w:val="auto"/>
          <w:szCs w:val="21"/>
        </w:rPr>
        <w:t>4.</w:t>
      </w:r>
      <w:r>
        <w:rPr>
          <w:rFonts w:ascii="????" w:hAnsi="????"/>
          <w:color w:val="auto"/>
          <w:szCs w:val="21"/>
        </w:rPr>
        <w:tab/>
      </w:r>
      <w:r>
        <w:rPr>
          <w:rFonts w:ascii="????" w:hAnsi="????"/>
          <w:color w:val="auto"/>
          <w:szCs w:val="21"/>
        </w:rPr>
        <w:t>本合同项下的任何文件、通知或其他通讯往来可以采用包括但不限于短信、信函、电子邮件、传真等方式送达，其中电子邮件、传真、短信于发送当日视为送达；挂号信及邮寄则以寄发之日起第三日视为送达；专人递交的，对方签收时视为已送达。</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合同</w:t>
      </w:r>
      <w:r>
        <w:rPr>
          <w:rFonts w:ascii="宋体" w:hAnsi="宋体" w:eastAsia="宋体"/>
          <w:bCs w:val="0"/>
          <w:color w:val="auto"/>
          <w:kern w:val="0"/>
          <w:sz w:val="21"/>
          <w:szCs w:val="21"/>
        </w:rPr>
        <w:t>解除和终止</w:t>
      </w:r>
    </w:p>
    <w:p>
      <w:pPr>
        <w:spacing w:line="360" w:lineRule="auto"/>
        <w:ind w:firstLine="420" w:firstLineChars="200"/>
        <w:rPr>
          <w:rFonts w:ascii="????" w:hAnsi="????"/>
          <w:color w:val="auto"/>
          <w:szCs w:val="21"/>
        </w:rPr>
      </w:pPr>
      <w:r>
        <w:rPr>
          <w:rFonts w:hint="eastAsia" w:ascii="宋体" w:hAnsi="宋体"/>
          <w:color w:val="auto"/>
          <w:szCs w:val="21"/>
        </w:rPr>
        <w:t>1.</w:t>
      </w:r>
      <w:r>
        <w:rPr>
          <w:rFonts w:hint="eastAsia" w:ascii="????" w:hAnsi="????"/>
          <w:color w:val="auto"/>
          <w:szCs w:val="21"/>
        </w:rPr>
        <w:t>甲乙双方各自完成合同规定的责任和义务，合同自然终止。</w:t>
      </w:r>
    </w:p>
    <w:p>
      <w:pPr>
        <w:spacing w:line="360" w:lineRule="auto"/>
        <w:ind w:firstLine="420" w:firstLineChars="200"/>
        <w:rPr>
          <w:rFonts w:ascii="????" w:hAnsi="????"/>
          <w:color w:val="auto"/>
          <w:szCs w:val="21"/>
        </w:rPr>
      </w:pPr>
      <w:r>
        <w:rPr>
          <w:rFonts w:hint="eastAsia" w:ascii="宋体" w:hAnsi="宋体"/>
          <w:color w:val="auto"/>
          <w:szCs w:val="21"/>
        </w:rPr>
        <w:t>2.</w:t>
      </w:r>
      <w:r>
        <w:rPr>
          <w:rFonts w:hint="eastAsia" w:ascii="????" w:hAnsi="????"/>
          <w:color w:val="auto"/>
          <w:szCs w:val="21"/>
        </w:rPr>
        <w:t>甲方可在由于政府政策或相关单位规定改变的情况下,向乙方发出书面通知终止或部分终止合同，终止通知明确终止的原因、终止的程度及生效日期。</w:t>
      </w:r>
    </w:p>
    <w:p>
      <w:pPr>
        <w:spacing w:line="360" w:lineRule="auto"/>
        <w:ind w:firstLine="420" w:firstLineChars="200"/>
        <w:rPr>
          <w:rFonts w:ascii="????" w:hAnsi="????"/>
          <w:color w:val="auto"/>
          <w:szCs w:val="21"/>
        </w:rPr>
      </w:pPr>
      <w:r>
        <w:rPr>
          <w:rFonts w:hint="eastAsia" w:ascii="宋体" w:hAnsi="宋体"/>
          <w:color w:val="auto"/>
          <w:szCs w:val="21"/>
        </w:rPr>
        <w:t>3.</w:t>
      </w:r>
      <w:r>
        <w:rPr>
          <w:rFonts w:hint="eastAsia" w:ascii="????" w:hAnsi="????"/>
          <w:color w:val="auto"/>
          <w:szCs w:val="21"/>
        </w:rPr>
        <w:t>非因甲方造成的合同终止或部分终止,甲方不承担任何责任。</w:t>
      </w:r>
    </w:p>
    <w:p>
      <w:pPr>
        <w:spacing w:line="360" w:lineRule="auto"/>
        <w:ind w:firstLine="420" w:firstLineChars="200"/>
        <w:rPr>
          <w:rFonts w:ascii="????" w:hAnsi="????"/>
          <w:color w:val="auto"/>
          <w:szCs w:val="21"/>
        </w:rPr>
      </w:pPr>
      <w:r>
        <w:rPr>
          <w:rFonts w:hint="eastAsia" w:ascii="宋体" w:hAnsi="宋体"/>
          <w:color w:val="auto"/>
          <w:szCs w:val="21"/>
        </w:rPr>
        <w:t>4.</w:t>
      </w:r>
      <w:r>
        <w:rPr>
          <w:rFonts w:hint="eastAsia" w:ascii="????" w:hAnsi="????"/>
          <w:color w:val="auto"/>
          <w:szCs w:val="21"/>
        </w:rPr>
        <w:t>以下情形,甲方可向乙方发出书面合同终止通知书，</w:t>
      </w:r>
      <w:r>
        <w:rPr>
          <w:rFonts w:ascii="????" w:hAnsi="????"/>
          <w:color w:val="auto"/>
          <w:szCs w:val="21"/>
        </w:rPr>
        <w:t>以寄发之日起第三日视为送达</w:t>
      </w:r>
      <w:r>
        <w:rPr>
          <w:rFonts w:hint="eastAsia" w:ascii="????" w:hAnsi="????"/>
          <w:color w:val="auto"/>
          <w:szCs w:val="21"/>
        </w:rPr>
        <w:t>，送达</w:t>
      </w:r>
      <w:r>
        <w:rPr>
          <w:rFonts w:ascii="????" w:hAnsi="????"/>
          <w:color w:val="auto"/>
          <w:szCs w:val="21"/>
        </w:rPr>
        <w:t>之日视为</w:t>
      </w:r>
      <w:r>
        <w:rPr>
          <w:rFonts w:hint="eastAsia" w:ascii="????" w:hAnsi="????"/>
          <w:color w:val="auto"/>
          <w:szCs w:val="21"/>
        </w:rPr>
        <w:t>合同终止:</w:t>
      </w:r>
    </w:p>
    <w:p>
      <w:pPr>
        <w:spacing w:line="360" w:lineRule="auto"/>
        <w:ind w:firstLine="420" w:firstLineChars="200"/>
        <w:rPr>
          <w:rFonts w:ascii="????" w:hAnsi="????"/>
          <w:color w:val="auto"/>
          <w:szCs w:val="21"/>
        </w:rPr>
      </w:pPr>
      <w:r>
        <w:rPr>
          <w:rFonts w:hint="eastAsia" w:ascii="宋体" w:hAnsi="宋体"/>
          <w:color w:val="auto"/>
          <w:szCs w:val="21"/>
        </w:rPr>
        <w:t>（1）</w:t>
      </w:r>
      <w:r>
        <w:rPr>
          <w:rFonts w:hint="eastAsia" w:ascii="????" w:hAnsi="????"/>
          <w:color w:val="auto"/>
          <w:szCs w:val="21"/>
        </w:rPr>
        <w:t>如果乙方未能在合同规定期限内提供给货物或相应服务内容；</w:t>
      </w:r>
    </w:p>
    <w:p>
      <w:pPr>
        <w:spacing w:line="360" w:lineRule="auto"/>
        <w:ind w:firstLine="420" w:firstLineChars="200"/>
        <w:rPr>
          <w:rFonts w:ascii="????" w:hAnsi="????"/>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hint="eastAsia" w:ascii="????" w:hAnsi="????"/>
          <w:color w:val="auto"/>
          <w:szCs w:val="21"/>
        </w:rPr>
        <w:t>如果乙方未能履行合同规定的其他主要义务；</w:t>
      </w:r>
    </w:p>
    <w:p>
      <w:pPr>
        <w:spacing w:line="360" w:lineRule="auto"/>
        <w:ind w:firstLine="420" w:firstLineChars="200"/>
        <w:rPr>
          <w:rFonts w:ascii="????" w:hAnsi="????"/>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 w:hAnsi="????"/>
          <w:color w:val="auto"/>
          <w:szCs w:val="21"/>
        </w:rPr>
        <w:t>如果甲方认为乙方在本合同的投标竞争和实施过程中有违反有关政府采购的法律、法规,涉嫌用不正当手段影响甲方采购过程,包括谎报或隐瞒事实、损害甲方利益等影响评标结果或项目实施的行为；</w:t>
      </w:r>
    </w:p>
    <w:p>
      <w:pPr>
        <w:spacing w:line="360" w:lineRule="auto"/>
        <w:ind w:firstLine="420" w:firstLineChars="200"/>
        <w:rPr>
          <w:rFonts w:ascii="????" w:hAnsi="????"/>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hint="eastAsia" w:ascii="????" w:hAnsi="????"/>
          <w:color w:val="auto"/>
          <w:szCs w:val="21"/>
        </w:rPr>
        <w:t>因乙方违约违规解除或终止合同,乙方除按照合同约定承担违约金外,还应承担因违约给甲方造成所有损失的赔偿责任。</w:t>
      </w:r>
    </w:p>
    <w:p>
      <w:pPr>
        <w:spacing w:line="360" w:lineRule="auto"/>
        <w:ind w:firstLine="420" w:firstLineChars="200"/>
        <w:rPr>
          <w:rFonts w:ascii="????" w:hAnsi="????"/>
          <w:color w:val="auto"/>
          <w:szCs w:val="21"/>
        </w:rPr>
      </w:pPr>
      <w:r>
        <w:rPr>
          <w:rFonts w:hint="eastAsia" w:ascii="宋体" w:hAnsi="宋体"/>
          <w:color w:val="auto"/>
          <w:szCs w:val="21"/>
        </w:rPr>
        <w:t>5.</w:t>
      </w:r>
      <w:r>
        <w:rPr>
          <w:rFonts w:hint="eastAsia" w:ascii="????" w:hAnsi="????"/>
          <w:color w:val="auto"/>
          <w:szCs w:val="21"/>
        </w:rPr>
        <w:t>因乙方破产而终止合同</w:t>
      </w:r>
    </w:p>
    <w:p>
      <w:pPr>
        <w:spacing w:line="360" w:lineRule="auto"/>
        <w:ind w:firstLine="420" w:firstLineChars="200"/>
        <w:rPr>
          <w:rFonts w:ascii="????" w:hAnsi="????"/>
          <w:color w:val="auto"/>
          <w:szCs w:val="21"/>
        </w:rPr>
      </w:pPr>
      <w:r>
        <w:rPr>
          <w:rFonts w:hint="eastAsia" w:ascii="????" w:hAnsi="????"/>
          <w:color w:val="auto"/>
          <w:szCs w:val="21"/>
        </w:rPr>
        <w:t>如果乙方破产或无清偿能力,甲方可在任何时候以书面形式通知乙方,提出终止合同而不承担任何责任,该合同的终止将不损害或影响甲方已经采取或将要采取的任何行动或补救措施的权力。</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合同文件、附件及其他</w:t>
      </w:r>
    </w:p>
    <w:p>
      <w:pPr>
        <w:snapToGrid w:val="0"/>
        <w:ind w:firstLine="420" w:firstLineChars="200"/>
        <w:rPr>
          <w:color w:val="auto"/>
        </w:rPr>
      </w:pPr>
      <w:r>
        <w:rPr>
          <w:rFonts w:hint="eastAsia"/>
          <w:color w:val="auto"/>
        </w:rPr>
        <w:t>本合同文件的组成和解释顺序如下：</w:t>
      </w:r>
    </w:p>
    <w:p>
      <w:pPr>
        <w:numPr>
          <w:ilvl w:val="0"/>
          <w:numId w:val="37"/>
        </w:numPr>
        <w:tabs>
          <w:tab w:val="left" w:pos="2700"/>
        </w:tabs>
        <w:spacing w:line="360" w:lineRule="auto"/>
        <w:ind w:right="170"/>
        <w:rPr>
          <w:color w:val="auto"/>
          <w:szCs w:val="21"/>
        </w:rPr>
      </w:pPr>
      <w:r>
        <w:rPr>
          <w:rFonts w:hint="eastAsia"/>
          <w:color w:val="auto"/>
          <w:szCs w:val="21"/>
        </w:rPr>
        <w:t>本合同书及附件。</w:t>
      </w:r>
    </w:p>
    <w:p>
      <w:pPr>
        <w:numPr>
          <w:ilvl w:val="0"/>
          <w:numId w:val="37"/>
        </w:numPr>
        <w:tabs>
          <w:tab w:val="left" w:pos="2700"/>
        </w:tabs>
        <w:spacing w:line="360" w:lineRule="auto"/>
        <w:ind w:right="170"/>
        <w:rPr>
          <w:color w:val="auto"/>
          <w:szCs w:val="21"/>
        </w:rPr>
      </w:pPr>
      <w:r>
        <w:rPr>
          <w:rFonts w:hint="eastAsia"/>
          <w:color w:val="auto"/>
          <w:szCs w:val="21"/>
        </w:rPr>
        <w:t>成交通知书、采购文件和应答文件。</w:t>
      </w:r>
    </w:p>
    <w:p>
      <w:pPr>
        <w:numPr>
          <w:ilvl w:val="0"/>
          <w:numId w:val="37"/>
        </w:numPr>
        <w:tabs>
          <w:tab w:val="left" w:pos="2700"/>
        </w:tabs>
        <w:spacing w:line="360" w:lineRule="auto"/>
        <w:ind w:right="170"/>
        <w:rPr>
          <w:color w:val="auto"/>
          <w:szCs w:val="21"/>
        </w:rPr>
      </w:pPr>
      <w:r>
        <w:rPr>
          <w:rFonts w:hint="eastAsia"/>
          <w:color w:val="auto"/>
          <w:szCs w:val="21"/>
        </w:rPr>
        <w:t>如其他文件与本合同书有矛盾时，以本合同书为准。</w:t>
      </w:r>
    </w:p>
    <w:p>
      <w:pPr>
        <w:numPr>
          <w:ilvl w:val="0"/>
          <w:numId w:val="37"/>
        </w:numPr>
        <w:tabs>
          <w:tab w:val="left" w:pos="2700"/>
        </w:tabs>
        <w:spacing w:line="360" w:lineRule="auto"/>
        <w:ind w:right="170"/>
        <w:rPr>
          <w:color w:val="auto"/>
          <w:szCs w:val="21"/>
        </w:rPr>
      </w:pPr>
      <w:r>
        <w:rPr>
          <w:rFonts w:hint="eastAsia"/>
          <w:color w:val="auto"/>
          <w:szCs w:val="21"/>
        </w:rPr>
        <w:t>合同附件为本合同不可分割之组成部分，与本合同书具有同等效力。</w:t>
      </w:r>
    </w:p>
    <w:p>
      <w:pPr>
        <w:spacing w:line="360" w:lineRule="auto"/>
        <w:ind w:firstLine="420" w:firstLineChars="200"/>
        <w:rPr>
          <w:color w:val="auto"/>
          <w:szCs w:val="21"/>
        </w:rPr>
      </w:pPr>
      <w:r>
        <w:rPr>
          <w:rFonts w:hint="eastAsia"/>
          <w:color w:val="auto"/>
          <w:szCs w:val="21"/>
        </w:rPr>
        <w:t>本合同以中文书写，一式四份，甲方执二份、乙方执二份。</w:t>
      </w:r>
    </w:p>
    <w:p>
      <w:pPr>
        <w:pStyle w:val="9"/>
        <w:tabs>
          <w:tab w:val="left" w:pos="142"/>
        </w:tabs>
        <w:wordWrap w:val="0"/>
        <w:spacing w:line="360" w:lineRule="auto"/>
        <w:ind w:left="0" w:leftChars="0" w:firstLine="424" w:firstLineChars="202"/>
        <w:jc w:val="both"/>
        <w:rPr>
          <w:rFonts w:ascii="宋体" w:hAnsi="宋体"/>
          <w:color w:val="auto"/>
          <w:sz w:val="21"/>
          <w:szCs w:val="21"/>
        </w:rPr>
      </w:pPr>
    </w:p>
    <w:p>
      <w:pPr>
        <w:pStyle w:val="9"/>
        <w:tabs>
          <w:tab w:val="left" w:pos="142"/>
        </w:tabs>
        <w:wordWrap w:val="0"/>
        <w:spacing w:line="360" w:lineRule="auto"/>
        <w:ind w:left="424" w:leftChars="202" w:firstLine="420"/>
        <w:jc w:val="both"/>
        <w:rPr>
          <w:rFonts w:ascii="宋体" w:hAnsi="宋体"/>
          <w:color w:val="auto"/>
          <w:sz w:val="21"/>
          <w:szCs w:val="21"/>
        </w:rPr>
      </w:pPr>
    </w:p>
    <w:p>
      <w:pPr>
        <w:pStyle w:val="9"/>
        <w:tabs>
          <w:tab w:val="left" w:pos="142"/>
        </w:tabs>
        <w:wordWrap w:val="0"/>
        <w:spacing w:line="360" w:lineRule="auto"/>
        <w:ind w:left="424" w:leftChars="202" w:firstLine="420"/>
        <w:jc w:val="both"/>
        <w:rPr>
          <w:rFonts w:ascii="宋体" w:hAnsi="宋体"/>
          <w:color w:val="auto"/>
          <w:sz w:val="21"/>
          <w:szCs w:val="21"/>
        </w:rPr>
      </w:pPr>
      <w:r>
        <w:rPr>
          <w:rFonts w:hint="eastAsia" w:ascii="宋体" w:hAnsi="宋体"/>
          <w:color w:val="auto"/>
          <w:sz w:val="21"/>
          <w:szCs w:val="21"/>
        </w:rPr>
        <w:t>（以下无正文）</w:t>
      </w:r>
    </w:p>
    <w:p>
      <w:pPr>
        <w:rPr>
          <w:color w:val="auto"/>
        </w:rPr>
      </w:pP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附件1：宣传礼品基准单价清单</w:t>
      </w:r>
    </w:p>
    <w:p>
      <w:pPr>
        <w:wordWrap w:val="0"/>
        <w:spacing w:line="360" w:lineRule="auto"/>
        <w:ind w:firstLine="420" w:firstLineChars="200"/>
        <w:rPr>
          <w:rFonts w:ascii="宋体" w:hAnsi="宋体" w:eastAsia="宋体"/>
          <w:color w:val="auto"/>
          <w:szCs w:val="21"/>
        </w:rPr>
        <w:sectPr>
          <w:pgSz w:w="11906" w:h="16838"/>
          <w:pgMar w:top="1134" w:right="1134" w:bottom="1134" w:left="1134" w:header="709" w:footer="647" w:gutter="284"/>
          <w:cols w:space="425" w:num="1"/>
          <w:docGrid w:linePitch="312" w:charSpace="0"/>
        </w:sectPr>
      </w:pPr>
    </w:p>
    <w:p>
      <w:pPr>
        <w:wordWrap w:val="0"/>
        <w:spacing w:line="360" w:lineRule="auto"/>
        <w:ind w:firstLine="420" w:firstLineChars="200"/>
        <w:rPr>
          <w:rFonts w:ascii="宋体" w:hAnsi="宋体" w:eastAsia="宋体"/>
          <w:color w:val="auto"/>
          <w:szCs w:val="21"/>
        </w:rPr>
      </w:pPr>
    </w:p>
    <w:p>
      <w:pP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lang w:bidi="ar"/>
        </w:rPr>
        <w:t>（签字页无正文，为合同签署页【合同编号：                             】）</w:t>
      </w:r>
    </w:p>
    <w:p>
      <w:pPr>
        <w:rPr>
          <w:rFonts w:ascii="宋体" w:hAnsi="宋体"/>
          <w:color w:val="auto"/>
        </w:rPr>
      </w:pPr>
    </w:p>
    <w:p>
      <w:pPr>
        <w:rPr>
          <w:rFonts w:ascii="宋体" w:hAnsi="宋体"/>
          <w:color w:val="auto"/>
        </w:rPr>
      </w:pPr>
    </w:p>
    <w:tbl>
      <w:tblPr>
        <w:tblStyle w:val="1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516" w:type="dxa"/>
          </w:tcPr>
          <w:p>
            <w:pPr>
              <w:spacing w:line="360" w:lineRule="auto"/>
              <w:rPr>
                <w:rFonts w:ascii="宋体" w:hAnsi="宋体"/>
                <w:color w:val="auto"/>
                <w:szCs w:val="21"/>
              </w:rPr>
            </w:pPr>
            <w:r>
              <w:rPr>
                <w:rFonts w:hint="eastAsia" w:ascii="宋体" w:hAnsi="宋体" w:cs="宋体"/>
                <w:b/>
                <w:color w:val="auto"/>
                <w:szCs w:val="21"/>
                <w:lang w:bidi="ar"/>
              </w:rPr>
              <w:t>甲方（盖章）：广东有线广播电视网络有限公司</w:t>
            </w:r>
          </w:p>
        </w:tc>
        <w:tc>
          <w:tcPr>
            <w:tcW w:w="425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516" w:type="dxa"/>
          </w:tcPr>
          <w:p>
            <w:pPr>
              <w:spacing w:line="360" w:lineRule="auto"/>
              <w:rPr>
                <w:rFonts w:ascii="宋体" w:hAnsi="宋体"/>
                <w:color w:val="auto"/>
                <w:szCs w:val="21"/>
              </w:rPr>
            </w:pPr>
            <w:r>
              <w:rPr>
                <w:rFonts w:hint="eastAsia" w:ascii="宋体" w:hAnsi="宋体" w:cs="宋体"/>
                <w:b/>
                <w:color w:val="auto"/>
                <w:szCs w:val="21"/>
                <w:lang w:bidi="ar"/>
              </w:rPr>
              <w:t>法定代表人或授权代表（签字）：</w:t>
            </w:r>
          </w:p>
        </w:tc>
        <w:tc>
          <w:tcPr>
            <w:tcW w:w="425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法定代表人或授权代表（签字）：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51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通讯地址：广州市越秀区环市东路331号</w:t>
            </w:r>
          </w:p>
        </w:tc>
        <w:tc>
          <w:tcPr>
            <w:tcW w:w="425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通讯地址：（必填）</w:t>
            </w:r>
          </w:p>
          <w:p>
            <w:pPr>
              <w:spacing w:line="360" w:lineRule="auto"/>
              <w:rPr>
                <w:rFonts w:ascii="宋体" w:hAnsi="宋体" w:cs="宋体"/>
                <w:b/>
                <w:color w:val="auto"/>
                <w:szCs w:val="21"/>
                <w:lang w:bidi="ar"/>
              </w:rPr>
            </w:pPr>
          </w:p>
          <w:p>
            <w:pPr>
              <w:spacing w:line="360" w:lineRule="auto"/>
              <w:rPr>
                <w:rFonts w:ascii="宋体" w:hAnsi="宋体" w:cs="宋体"/>
                <w:b/>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51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联系人：</w:t>
            </w:r>
          </w:p>
        </w:tc>
        <w:tc>
          <w:tcPr>
            <w:tcW w:w="425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1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联系电话：</w:t>
            </w:r>
          </w:p>
        </w:tc>
        <w:tc>
          <w:tcPr>
            <w:tcW w:w="425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联系电话：（必填）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1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电子邮箱：</w:t>
            </w:r>
          </w:p>
        </w:tc>
        <w:tc>
          <w:tcPr>
            <w:tcW w:w="425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电子邮箱：（必填）</w:t>
            </w:r>
          </w:p>
        </w:tc>
      </w:tr>
    </w:tbl>
    <w:p>
      <w:pPr>
        <w:wordWrap w:val="0"/>
        <w:spacing w:line="360" w:lineRule="auto"/>
        <w:ind w:firstLine="420" w:firstLineChars="200"/>
        <w:rPr>
          <w:rFonts w:ascii="宋体" w:hAnsi="宋体" w:eastAsia="宋体"/>
          <w:color w:val="auto"/>
          <w:szCs w:val="21"/>
        </w:rPr>
      </w:pPr>
    </w:p>
    <w:bookmarkEnd w:id="29"/>
    <w:p>
      <w:pPr>
        <w:wordWrap w:val="0"/>
        <w:spacing w:line="360" w:lineRule="auto"/>
        <w:ind w:firstLine="422" w:firstLineChars="200"/>
        <w:rPr>
          <w:rFonts w:ascii="宋体" w:hAnsi="宋体" w:eastAsia="宋体"/>
          <w:b/>
          <w:color w:val="auto"/>
          <w:szCs w:val="21"/>
        </w:rPr>
      </w:pPr>
    </w:p>
    <w:p>
      <w:pPr>
        <w:wordWrap w:val="0"/>
        <w:spacing w:line="360" w:lineRule="auto"/>
        <w:ind w:firstLine="422" w:firstLineChars="200"/>
        <w:rPr>
          <w:rFonts w:ascii="宋体" w:hAnsi="宋体" w:eastAsia="宋体"/>
          <w:b/>
          <w:color w:val="auto"/>
          <w:szCs w:val="21"/>
        </w:rPr>
        <w:sectPr>
          <w:pgSz w:w="11906" w:h="16838"/>
          <w:pgMar w:top="1134" w:right="1134" w:bottom="1134" w:left="1134" w:header="709" w:footer="647" w:gutter="284"/>
          <w:cols w:space="425" w:num="1"/>
          <w:docGrid w:linePitch="312" w:charSpace="0"/>
        </w:sectPr>
      </w:pPr>
    </w:p>
    <w:p>
      <w:pPr>
        <w:wordWrap w:val="0"/>
        <w:spacing w:line="360" w:lineRule="auto"/>
        <w:rPr>
          <w:rFonts w:ascii="宋体" w:hAnsi="宋体" w:eastAsia="宋体"/>
          <w:b/>
          <w:color w:val="auto"/>
          <w:sz w:val="24"/>
          <w:szCs w:val="24"/>
        </w:rPr>
      </w:pPr>
      <w:r>
        <w:rPr>
          <w:rFonts w:hint="eastAsia" w:ascii="宋体" w:hAnsi="宋体" w:eastAsia="宋体"/>
          <w:b/>
          <w:color w:val="auto"/>
          <w:sz w:val="24"/>
          <w:szCs w:val="24"/>
        </w:rPr>
        <w:t>附件1：宣传礼品基准单价清单</w:t>
      </w:r>
    </w:p>
    <w:p>
      <w:pPr>
        <w:spacing w:line="360" w:lineRule="auto"/>
        <w:jc w:val="center"/>
        <w:rPr>
          <w:rFonts w:ascii="宋体" w:hAnsi="宋体" w:eastAsia="宋体"/>
          <w:b/>
          <w:color w:val="auto"/>
          <w:sz w:val="32"/>
          <w:szCs w:val="32"/>
        </w:rPr>
      </w:pPr>
      <w:r>
        <w:rPr>
          <w:rFonts w:hint="eastAsia" w:ascii="宋体" w:hAnsi="宋体" w:eastAsia="宋体"/>
          <w:b/>
          <w:color w:val="auto"/>
          <w:sz w:val="32"/>
          <w:szCs w:val="32"/>
        </w:rPr>
        <w:t>宣传礼品基准单价清单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6024"/>
        <w:gridCol w:w="1241"/>
        <w:gridCol w:w="74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产品</w:t>
            </w:r>
          </w:p>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名称</w:t>
            </w:r>
          </w:p>
        </w:tc>
        <w:tc>
          <w:tcPr>
            <w:tcW w:w="0" w:type="auto"/>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规格和技术要求</w:t>
            </w:r>
          </w:p>
        </w:tc>
        <w:tc>
          <w:tcPr>
            <w:tcW w:w="0" w:type="auto"/>
            <w:shd w:val="clear" w:color="auto" w:fill="auto"/>
            <w:vAlign w:val="center"/>
          </w:tcPr>
          <w:p>
            <w:pPr>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参考品牌</w:t>
            </w:r>
          </w:p>
          <w:p>
            <w:pPr>
              <w:widowControl/>
              <w:jc w:val="center"/>
              <w:rPr>
                <w:rFonts w:cs="宋体" w:asciiTheme="minorEastAsia" w:hAnsiTheme="minorEastAsia"/>
                <w:b/>
                <w:bCs/>
                <w:color w:val="auto"/>
                <w:kern w:val="0"/>
                <w:szCs w:val="21"/>
              </w:rPr>
            </w:pPr>
          </w:p>
        </w:tc>
        <w:tc>
          <w:tcPr>
            <w:tcW w:w="0" w:type="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规格</w:t>
            </w:r>
          </w:p>
        </w:tc>
        <w:tc>
          <w:tcPr>
            <w:tcW w:w="0" w:type="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不含税基准单价（元）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食用油</w:t>
            </w:r>
          </w:p>
          <w:p>
            <w:pPr>
              <w:widowControl/>
              <w:jc w:val="center"/>
              <w:rPr>
                <w:rFonts w:asciiTheme="minorEastAsia" w:hAnsiTheme="minorEastAsia"/>
                <w:color w:val="auto"/>
                <w:szCs w:val="21"/>
              </w:rPr>
            </w:pPr>
          </w:p>
        </w:tc>
        <w:tc>
          <w:tcPr>
            <w:tcW w:w="0" w:type="auto"/>
            <w:vMerge w:val="restart"/>
            <w:shd w:val="clear" w:color="auto" w:fill="auto"/>
            <w:vAlign w:val="center"/>
          </w:tcPr>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外包装完好，有”QS”或“SC”标志或政府主管部门认定的认证标志、标明品名、厂名、重量、生产日期、保质期、或保存期、执行标准、剩余保质期不少于三分之二，具有产品合格证。具有正常植物油的色泽、透明度、气味和滋味，无焦臭、酸败及其他异味。不得混油其他食用油或非食用油；非转基因。</w:t>
            </w:r>
          </w:p>
          <w:p>
            <w:pPr>
              <w:widowControl/>
              <w:jc w:val="left"/>
              <w:rPr>
                <w:rFonts w:cs="宋体" w:asciiTheme="minorEastAsia" w:hAnsiTheme="minorEastAsia"/>
                <w:color w:val="auto"/>
                <w:kern w:val="0"/>
                <w:szCs w:val="21"/>
              </w:rPr>
            </w:pPr>
            <w:r>
              <w:rPr>
                <w:rFonts w:hint="eastAsia" w:cs="宋体" w:asciiTheme="minorEastAsia" w:hAnsiTheme="minorEastAsia"/>
                <w:color w:val="auto"/>
                <w:kern w:val="0"/>
                <w:szCs w:val="21"/>
                <w:lang w:bidi="ar"/>
              </w:rPr>
              <w:t>检定反应：加热试验（280 摄氏度）油色不得变深，无析出物。油类执行标准，按食用油必须符合食用植物油卫生标准</w:t>
            </w:r>
            <w:r>
              <w:rPr>
                <w:color w:val="auto"/>
              </w:rPr>
              <w:fldChar w:fldCharType="begin"/>
            </w:r>
            <w:r>
              <w:rPr>
                <w:color w:val="auto"/>
              </w:rPr>
              <w:instrText xml:space="preserve"> HYPERLINK "http://www.csres.com/detail/316358.html" \t "http://www.csres.com/detail/_blank" </w:instrText>
            </w:r>
            <w:r>
              <w:rPr>
                <w:color w:val="auto"/>
              </w:rPr>
              <w:fldChar w:fldCharType="separate"/>
            </w:r>
            <w:r>
              <w:rPr>
                <w:rFonts w:hint="eastAsia" w:cs="宋体" w:asciiTheme="minorEastAsia" w:hAnsiTheme="minorEastAsia"/>
                <w:color w:val="auto"/>
                <w:kern w:val="0"/>
                <w:szCs w:val="21"/>
                <w:lang w:bidi="ar"/>
              </w:rPr>
              <w:t>GB 2716-2018</w:t>
            </w:r>
            <w:r>
              <w:rPr>
                <w:rFonts w:hint="eastAsia" w:cs="宋体" w:asciiTheme="minorEastAsia" w:hAnsiTheme="minorEastAsia"/>
                <w:color w:val="auto"/>
                <w:kern w:val="0"/>
                <w:szCs w:val="21"/>
                <w:lang w:bidi="ar"/>
              </w:rPr>
              <w:fldChar w:fldCharType="end"/>
            </w:r>
            <w:r>
              <w:rPr>
                <w:rFonts w:hint="eastAsia" w:cs="宋体" w:asciiTheme="minorEastAsia" w:hAnsiTheme="minorEastAsia"/>
                <w:color w:val="auto"/>
                <w:kern w:val="0"/>
                <w:szCs w:val="21"/>
                <w:lang w:bidi="ar"/>
              </w:rPr>
              <w:t>的要求,污染物限量标准应符合GB 2762-2022规定，生产企业取得食品生产许可证。</w:t>
            </w:r>
          </w:p>
        </w:tc>
        <w:tc>
          <w:tcPr>
            <w:tcW w:w="0" w:type="auto"/>
            <w:vMerge w:val="restart"/>
            <w:shd w:val="clear" w:color="auto" w:fill="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kern w:val="0"/>
                <w:szCs w:val="21"/>
              </w:rPr>
              <w:t>金龙鱼、福临门、多力、刀唛或同等档次及以上</w:t>
            </w: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700ML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900ML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2.5L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5L</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asciiTheme="minorEastAsia" w:hAnsiTheme="minorEastAsia"/>
                <w:color w:val="auto"/>
                <w:szCs w:val="21"/>
              </w:rPr>
              <w:t>米</w:t>
            </w:r>
          </w:p>
        </w:tc>
        <w:tc>
          <w:tcPr>
            <w:tcW w:w="0" w:type="auto"/>
            <w:vMerge w:val="restart"/>
            <w:shd w:val="clear" w:color="auto" w:fill="auto"/>
            <w:vAlign w:val="center"/>
          </w:tcPr>
          <w:p>
            <w:pPr>
              <w:widowControl/>
              <w:jc w:val="left"/>
              <w:rPr>
                <w:rFonts w:asciiTheme="minorEastAsia" w:hAnsiTheme="minorEastAsia"/>
                <w:color w:val="auto"/>
                <w:szCs w:val="21"/>
              </w:rPr>
            </w:pPr>
            <w:r>
              <w:rPr>
                <w:rFonts w:hint="eastAsia" w:cs="宋体" w:asciiTheme="minorEastAsia" w:hAnsiTheme="minorEastAsia"/>
                <w:color w:val="auto"/>
                <w:kern w:val="0"/>
                <w:szCs w:val="21"/>
                <w:lang w:bidi="ar"/>
              </w:rPr>
              <w:t xml:space="preserve">有“QS”或“SC”标志或政府主管部门认定的认证标志，包装要印有注册商标，品名、生产厂家名称、厂址、厂家电话号码、出厂日期、产品成份、保质期限，供货时的剩余保质期不少于三分之二，质量等级、产品标准号、产品合格证，质量符合国家大米（GB/T 1354-2018）与国家粮食卫生标准（GB 2715-2016）。 </w:t>
            </w:r>
          </w:p>
          <w:p>
            <w:pPr>
              <w:widowControl/>
              <w:jc w:val="left"/>
              <w:rPr>
                <w:rFonts w:asciiTheme="minorEastAsia" w:hAnsiTheme="minorEastAsia"/>
                <w:color w:val="auto"/>
                <w:szCs w:val="21"/>
              </w:rPr>
            </w:pPr>
            <w:r>
              <w:rPr>
                <w:rFonts w:hint="eastAsia" w:cs="宋体" w:asciiTheme="minorEastAsia" w:hAnsiTheme="minorEastAsia"/>
                <w:color w:val="auto"/>
                <w:kern w:val="0"/>
                <w:szCs w:val="21"/>
                <w:lang w:bidi="ar"/>
              </w:rPr>
              <w:t>外观：具有固有色泽和香味，无污染、无虫害、无油脂酸败，色泽、气味、口味正常，不含添加剂，无异味或霉味（霉变），无虫蛀结块挂丝或杂质异物等，符合国家粮食卫生标准。出库时全部经专用防疫检测设备检验合格并出具检验证明，且符合食品卫生安全法要求。</w:t>
            </w:r>
          </w:p>
        </w:tc>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金龙鱼、福临门、太粮、马坝或同等档次及以上</w:t>
            </w:r>
          </w:p>
        </w:tc>
        <w:tc>
          <w:tcPr>
            <w:tcW w:w="0" w:type="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szCs w:val="21"/>
              </w:rPr>
              <w:t>1KG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szCs w:val="21"/>
              </w:rPr>
              <w:t>2.5KG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5KG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洗洁精</w:t>
            </w:r>
          </w:p>
        </w:tc>
        <w:tc>
          <w:tcPr>
            <w:tcW w:w="0" w:type="auto"/>
            <w:vMerge w:val="restart"/>
            <w:shd w:val="clear" w:color="auto" w:fill="auto"/>
            <w:vAlign w:val="center"/>
          </w:tcPr>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有“QS”或“SC”标志或政府主管部门认定的认证标志，包装要印有注册商标，品名、生产厂家名称、厂址、厂家电话号码、出厂日期、产品成份、保质期限，供货时的剩余保质期不少于三分之二，质量等级、产品标准号、产品合格证，质量符合《</w:t>
            </w:r>
            <w:r>
              <w:rPr>
                <w:color w:val="auto"/>
              </w:rPr>
              <w:fldChar w:fldCharType="begin"/>
            </w:r>
            <w:r>
              <w:rPr>
                <w:color w:val="auto"/>
              </w:rPr>
              <w:instrText xml:space="preserve"> HYPERLINK "https://baike.baidu.com/item/%E6%89%8B%E6%B4%97%E9%A4%90%E5%85%B7%E7%94%A8%E6%B4%97%E6%B6%A4%E5%89%82/20791284?fromModule=lemma_inlink" \t "https://baike.baidu.com/item/%E6%B4%97%E6%B4%81%E7%B2%BE/_blank" </w:instrText>
            </w:r>
            <w:r>
              <w:rPr>
                <w:color w:val="auto"/>
              </w:rPr>
              <w:fldChar w:fldCharType="separate"/>
            </w:r>
            <w:r>
              <w:rPr>
                <w:rFonts w:hint="eastAsia" w:cs="宋体" w:asciiTheme="minorEastAsia" w:hAnsiTheme="minorEastAsia"/>
                <w:color w:val="auto"/>
                <w:kern w:val="0"/>
                <w:szCs w:val="21"/>
                <w:lang w:bidi="ar"/>
              </w:rPr>
              <w:t>手洗餐具用洗涤剂</w:t>
            </w:r>
            <w:r>
              <w:rPr>
                <w:rFonts w:hint="eastAsia" w:cs="宋体" w:asciiTheme="minorEastAsia" w:hAnsiTheme="minorEastAsia"/>
                <w:color w:val="auto"/>
                <w:kern w:val="0"/>
                <w:szCs w:val="21"/>
                <w:lang w:bidi="ar"/>
              </w:rPr>
              <w:fldChar w:fldCharType="end"/>
            </w:r>
            <w:r>
              <w:rPr>
                <w:rFonts w:hint="eastAsia" w:cs="宋体" w:asciiTheme="minorEastAsia" w:hAnsiTheme="minorEastAsia"/>
                <w:color w:val="auto"/>
                <w:kern w:val="0"/>
                <w:szCs w:val="21"/>
                <w:lang w:bidi="ar"/>
              </w:rPr>
              <w:t>》（GB/T 9985-2022）、《餐具洗涤剂产品生产许可实施细则》。</w:t>
            </w:r>
          </w:p>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外观：液体产品不分层，无悬浮物或沉淀，</w:t>
            </w:r>
            <w:r>
              <w:rPr>
                <w:rFonts w:cs="宋体" w:asciiTheme="minorEastAsia" w:hAnsiTheme="minorEastAsia"/>
                <w:color w:val="auto"/>
                <w:kern w:val="0"/>
                <w:szCs w:val="21"/>
                <w:lang w:bidi="ar"/>
              </w:rPr>
              <w:t>不得有其它异味，加香产品应符合规定香型</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去污力不小于标准餐具洗涤剂</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不得检出荧光增白剂。</w:t>
            </w:r>
          </w:p>
        </w:tc>
        <w:tc>
          <w:tcPr>
            <w:tcW w:w="0" w:type="auto"/>
            <w:vMerge w:val="restart"/>
            <w:shd w:val="clear" w:color="auto" w:fill="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kern w:val="0"/>
                <w:szCs w:val="21"/>
              </w:rPr>
              <w:t>立白、超能、雕牌、斧头或同等档次及以上</w:t>
            </w: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408G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1KG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1.5KG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restar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洗衣液</w:t>
            </w:r>
          </w:p>
        </w:tc>
        <w:tc>
          <w:tcPr>
            <w:tcW w:w="0" w:type="auto"/>
            <w:vMerge w:val="restart"/>
            <w:shd w:val="clear" w:color="auto" w:fill="auto"/>
            <w:vAlign w:val="center"/>
          </w:tcPr>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有“QS”或“SC”标志或政府主管部门认定的认证标志，包装要印有注册商标，品名、生产厂家名称、厂址、厂家电话号码、出厂日期、产品成份、保质期限，供货时的剩余保质期不少于三分之二，质量等级、产品标准号、产品合格证，质量符合《</w:t>
            </w:r>
            <w:r>
              <w:rPr>
                <w:color w:val="auto"/>
              </w:rPr>
              <w:fldChar w:fldCharType="begin"/>
            </w:r>
            <w:r>
              <w:rPr>
                <w:color w:val="auto"/>
              </w:rPr>
              <w:instrText xml:space="preserve"> HYPERLINK "https://baike.baidu.com/item/%E6%89%8B%E6%B4%97%E9%A4%90%E5%85%B7%E7%94%A8%E6%B4%97%E6%B6%A4%E5%89%82/20791284?fromModule=lemma_inlink" \t "https://baike.baidu.com/item/%E6%B4%97%E6%B4%81%E7%B2%BE/_blank" </w:instrText>
            </w:r>
            <w:r>
              <w:rPr>
                <w:color w:val="auto"/>
              </w:rPr>
              <w:fldChar w:fldCharType="separate"/>
            </w:r>
            <w:r>
              <w:rPr>
                <w:rFonts w:hint="eastAsia" w:cs="宋体" w:asciiTheme="minorEastAsia" w:hAnsiTheme="minorEastAsia"/>
                <w:color w:val="auto"/>
                <w:kern w:val="0"/>
                <w:szCs w:val="21"/>
                <w:lang w:bidi="ar"/>
              </w:rPr>
              <w:t>手洗餐具用洗涤剂</w:t>
            </w:r>
            <w:r>
              <w:rPr>
                <w:rFonts w:hint="eastAsia" w:cs="宋体" w:asciiTheme="minorEastAsia" w:hAnsiTheme="minorEastAsia"/>
                <w:color w:val="auto"/>
                <w:kern w:val="0"/>
                <w:szCs w:val="21"/>
                <w:lang w:bidi="ar"/>
              </w:rPr>
              <w:fldChar w:fldCharType="end"/>
            </w:r>
            <w:r>
              <w:rPr>
                <w:rFonts w:hint="eastAsia" w:cs="宋体" w:asciiTheme="minorEastAsia" w:hAnsiTheme="minorEastAsia"/>
                <w:color w:val="auto"/>
                <w:kern w:val="0"/>
                <w:szCs w:val="21"/>
                <w:lang w:bidi="ar"/>
              </w:rPr>
              <w:t>》（GB/T 9985-2022）、《餐具洗涤剂产品生产许可实施细则》。</w:t>
            </w:r>
          </w:p>
          <w:p>
            <w:pPr>
              <w:widowControl/>
              <w:jc w:val="left"/>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外观：液体产品不分层，无悬浮物或沉淀，</w:t>
            </w:r>
            <w:r>
              <w:rPr>
                <w:rFonts w:cs="宋体" w:asciiTheme="minorEastAsia" w:hAnsiTheme="minorEastAsia"/>
                <w:color w:val="auto"/>
                <w:kern w:val="0"/>
                <w:szCs w:val="21"/>
                <w:lang w:bidi="ar"/>
              </w:rPr>
              <w:t>不得有其它异味，加香产品应符合规定香型</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去污力不小于标准</w:t>
            </w:r>
            <w:r>
              <w:rPr>
                <w:rFonts w:hint="eastAsia" w:cs="宋体" w:asciiTheme="minorEastAsia" w:hAnsiTheme="minorEastAsia"/>
                <w:color w:val="auto"/>
                <w:kern w:val="0"/>
                <w:szCs w:val="21"/>
                <w:lang w:bidi="ar"/>
              </w:rPr>
              <w:t>衣物</w:t>
            </w:r>
            <w:r>
              <w:rPr>
                <w:rFonts w:cs="宋体" w:asciiTheme="minorEastAsia" w:hAnsiTheme="minorEastAsia"/>
                <w:color w:val="auto"/>
                <w:kern w:val="0"/>
                <w:szCs w:val="21"/>
                <w:lang w:bidi="ar"/>
              </w:rPr>
              <w:t>洗涤剂</w:t>
            </w:r>
            <w:r>
              <w:rPr>
                <w:rFonts w:hint="eastAsia" w:cs="宋体" w:asciiTheme="minorEastAsia" w:hAnsiTheme="minorEastAsia"/>
                <w:color w:val="auto"/>
                <w:kern w:val="0"/>
                <w:szCs w:val="21"/>
                <w:lang w:bidi="ar"/>
              </w:rPr>
              <w:t>，</w:t>
            </w:r>
            <w:r>
              <w:rPr>
                <w:rFonts w:cs="宋体" w:asciiTheme="minorEastAsia" w:hAnsiTheme="minorEastAsia"/>
                <w:color w:val="auto"/>
                <w:kern w:val="0"/>
                <w:szCs w:val="21"/>
                <w:lang w:bidi="ar"/>
              </w:rPr>
              <w:t>不得检出荧光增白剂。</w:t>
            </w:r>
          </w:p>
        </w:tc>
        <w:tc>
          <w:tcPr>
            <w:tcW w:w="0" w:type="auto"/>
            <w:vMerge w:val="restart"/>
            <w:shd w:val="clear" w:color="auto" w:fill="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kern w:val="0"/>
                <w:szCs w:val="21"/>
              </w:rPr>
              <w:t>立白、超能、雕牌、蓝月亮或同等档次及以上</w:t>
            </w: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500G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1KG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2KG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0" w:type="auto"/>
            <w:vMerge w:val="continue"/>
            <w:shd w:val="clear" w:color="auto" w:fill="auto"/>
            <w:vAlign w:val="center"/>
          </w:tcPr>
          <w:p>
            <w:pPr>
              <w:widowControl/>
              <w:jc w:val="center"/>
              <w:rPr>
                <w:rFonts w:cs="宋体" w:asciiTheme="minorEastAsia" w:hAnsiTheme="minorEastAsia"/>
                <w:color w:val="auto"/>
                <w:kern w:val="0"/>
                <w:szCs w:val="21"/>
              </w:rPr>
            </w:pPr>
          </w:p>
        </w:tc>
        <w:tc>
          <w:tcPr>
            <w:tcW w:w="0" w:type="auto"/>
            <w:vMerge w:val="continue"/>
            <w:shd w:val="clear" w:color="auto" w:fill="auto"/>
            <w:vAlign w:val="center"/>
          </w:tcPr>
          <w:p>
            <w:pPr>
              <w:widowControl/>
              <w:jc w:val="left"/>
              <w:rPr>
                <w:rFonts w:cs="宋体" w:asciiTheme="minorEastAsia" w:hAnsiTheme="minorEastAsia"/>
                <w:color w:val="auto"/>
                <w:kern w:val="0"/>
                <w:szCs w:val="21"/>
              </w:rPr>
            </w:pPr>
          </w:p>
        </w:tc>
        <w:tc>
          <w:tcPr>
            <w:tcW w:w="0" w:type="auto"/>
            <w:vMerge w:val="continue"/>
            <w:shd w:val="clear" w:color="auto" w:fill="auto"/>
            <w:vAlign w:val="center"/>
          </w:tcPr>
          <w:p>
            <w:pPr>
              <w:widowControl/>
              <w:jc w:val="center"/>
              <w:rPr>
                <w:rFonts w:cs="宋体" w:asciiTheme="minorEastAsia" w:hAnsiTheme="minorEastAsia"/>
                <w:color w:val="auto"/>
                <w:szCs w:val="21"/>
              </w:rPr>
            </w:pPr>
          </w:p>
        </w:tc>
        <w:tc>
          <w:tcPr>
            <w:tcW w:w="0" w:type="auto"/>
            <w:vAlign w:val="center"/>
          </w:tcPr>
          <w:p>
            <w:pPr>
              <w:widowControl/>
              <w:jc w:val="center"/>
              <w:rPr>
                <w:rFonts w:cs="宋体" w:asciiTheme="minorEastAsia" w:hAnsiTheme="minorEastAsia"/>
                <w:color w:val="auto"/>
                <w:szCs w:val="21"/>
              </w:rPr>
            </w:pPr>
            <w:r>
              <w:rPr>
                <w:rFonts w:hint="eastAsia" w:cs="宋体" w:asciiTheme="minorEastAsia" w:hAnsiTheme="minorEastAsia"/>
                <w:color w:val="auto"/>
                <w:szCs w:val="21"/>
              </w:rPr>
              <w:t>3KG</w:t>
            </w:r>
          </w:p>
        </w:tc>
        <w:tc>
          <w:tcPr>
            <w:tcW w:w="0" w:type="auto"/>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lang w:bidi="ar"/>
              </w:rPr>
              <w:t>29.8</w:t>
            </w:r>
          </w:p>
        </w:tc>
      </w:tr>
    </w:tbl>
    <w:p>
      <w:pPr>
        <w:spacing w:line="360" w:lineRule="auto"/>
        <w:rPr>
          <w:rFonts w:ascii="宋体" w:hAnsi="宋体" w:eastAsia="宋体"/>
          <w:b/>
          <w:color w:val="auto"/>
          <w:sz w:val="32"/>
          <w:szCs w:val="32"/>
        </w:rPr>
      </w:pPr>
    </w:p>
    <w:p>
      <w:pPr>
        <w:widowControl/>
        <w:jc w:val="left"/>
        <w:rPr>
          <w:rFonts w:ascii="宋体" w:hAnsi="宋体" w:eastAsia="宋体"/>
          <w:b/>
          <w:color w:val="auto"/>
          <w:sz w:val="24"/>
          <w:szCs w:val="24"/>
        </w:rPr>
      </w:pPr>
      <w:r>
        <w:rPr>
          <w:rFonts w:ascii="宋体" w:hAnsi="宋体" w:eastAsia="宋体"/>
          <w:b/>
          <w:color w:val="auto"/>
          <w:szCs w:val="21"/>
        </w:rPr>
        <w:t xml:space="preserve"> </w:t>
      </w:r>
      <w:r>
        <w:rPr>
          <w:rFonts w:hint="eastAsia" w:ascii="宋体" w:hAnsi="宋体" w:eastAsia="宋体"/>
          <w:b/>
          <w:color w:val="auto"/>
          <w:szCs w:val="21"/>
        </w:rPr>
        <w:t xml:space="preserve">    </w:t>
      </w:r>
    </w:p>
    <w:p>
      <w:pPr>
        <w:rPr>
          <w:rFonts w:hint="eastAsia"/>
          <w:color w:val="auto"/>
          <w:lang w:val="zh-CN"/>
        </w:rPr>
      </w:pPr>
      <w:bookmarkStart w:id="56" w:name="_Toc64879430"/>
      <w:r>
        <w:rPr>
          <w:rFonts w:hint="eastAsia"/>
          <w:color w:val="auto"/>
          <w:lang w:val="zh-CN"/>
        </w:rPr>
        <w:br w:type="page"/>
      </w:r>
    </w:p>
    <w:p>
      <w:pPr>
        <w:pStyle w:val="16"/>
        <w:spacing w:before="0" w:after="0"/>
        <w:rPr>
          <w:color w:val="auto"/>
          <w:lang w:val="zh-CN"/>
        </w:rPr>
      </w:pPr>
      <w:r>
        <w:rPr>
          <w:rFonts w:hint="eastAsia"/>
          <w:color w:val="auto"/>
          <w:lang w:val="zh-CN"/>
        </w:rPr>
        <w:t>第五章 报价文件格式</w:t>
      </w:r>
      <w:bookmarkEnd w:id="56"/>
    </w:p>
    <w:p>
      <w:pPr>
        <w:rPr>
          <w:color w:val="auto"/>
          <w:lang w:val="zh-CN"/>
        </w:rPr>
      </w:pPr>
    </w:p>
    <w:p>
      <w:pPr>
        <w:pStyle w:val="3"/>
        <w:adjustRightInd w:val="0"/>
        <w:snapToGrid w:val="0"/>
        <w:spacing w:before="0" w:after="0" w:line="360" w:lineRule="auto"/>
        <w:jc w:val="center"/>
        <w:rPr>
          <w:b w:val="0"/>
          <w:color w:val="auto"/>
        </w:rPr>
      </w:pPr>
      <w:bookmarkStart w:id="57" w:name="_Toc64879431"/>
      <w:r>
        <w:rPr>
          <w:rFonts w:hint="eastAsia"/>
          <w:b w:val="0"/>
          <w:color w:val="auto"/>
        </w:rPr>
        <w:t>法定代表人证明书</w:t>
      </w:r>
      <w:bookmarkEnd w:id="57"/>
    </w:p>
    <w:p>
      <w:pPr>
        <w:tabs>
          <w:tab w:val="left" w:pos="900"/>
        </w:tabs>
        <w:spacing w:line="480" w:lineRule="auto"/>
        <w:ind w:firstLine="945" w:firstLineChars="45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同志，现任我单位</w:t>
      </w:r>
      <w:r>
        <w:rPr>
          <w:rFonts w:ascii="宋体" w:hAnsi="宋体"/>
          <w:color w:val="auto"/>
          <w:szCs w:val="21"/>
          <w:u w:val="single"/>
        </w:rPr>
        <w:t xml:space="preserve">         </w:t>
      </w:r>
      <w:r>
        <w:rPr>
          <w:rFonts w:hint="eastAsia" w:ascii="宋体" w:hAnsi="宋体"/>
          <w:color w:val="auto"/>
          <w:szCs w:val="21"/>
        </w:rPr>
        <w:t>职务，为法定代表人，特此证明。</w:t>
      </w:r>
    </w:p>
    <w:p>
      <w:pPr>
        <w:spacing w:line="480" w:lineRule="auto"/>
        <w:ind w:firstLine="420" w:firstLineChars="200"/>
        <w:rPr>
          <w:rFonts w:ascii="宋体" w:hAnsi="宋体"/>
          <w:color w:val="auto"/>
          <w:szCs w:val="21"/>
        </w:rPr>
      </w:pPr>
      <w:r>
        <w:rPr>
          <w:rFonts w:hint="eastAsia" w:ascii="宋体"/>
          <w:color w:val="auto"/>
          <w:szCs w:val="21"/>
        </w:rPr>
        <w:t>本证明书自签发之日起生效，</w:t>
      </w:r>
      <w:r>
        <w:rPr>
          <w:rFonts w:hint="eastAsia" w:ascii="宋体" w:hAnsi="宋体"/>
          <w:color w:val="auto"/>
          <w:szCs w:val="21"/>
        </w:rPr>
        <w:t>有效期与本公司参与竞价的文件中标注的有效期相同。</w:t>
      </w:r>
    </w:p>
    <w:p>
      <w:pPr>
        <w:spacing w:line="480" w:lineRule="auto"/>
        <w:ind w:firstLine="420" w:firstLineChars="200"/>
        <w:rPr>
          <w:rFonts w:ascii="宋体" w:hAnsi="宋体"/>
          <w:color w:val="auto"/>
          <w:szCs w:val="21"/>
        </w:rPr>
      </w:pPr>
      <w:r>
        <w:rPr>
          <w:rFonts w:hint="eastAsia" w:ascii="宋体" w:hAnsi="宋体"/>
          <w:color w:val="auto"/>
          <w:szCs w:val="21"/>
        </w:rPr>
        <w:t>附：</w:t>
      </w:r>
    </w:p>
    <w:p>
      <w:pPr>
        <w:spacing w:line="480" w:lineRule="auto"/>
        <w:ind w:firstLine="840" w:firstLineChars="400"/>
        <w:rPr>
          <w:rFonts w:ascii="宋体" w:hAnsi="宋体"/>
          <w:color w:val="auto"/>
          <w:szCs w:val="21"/>
        </w:rPr>
      </w:pPr>
      <w:r>
        <w:rPr>
          <w:rFonts w:hint="eastAsia" w:ascii="宋体" w:hAnsi="宋体"/>
          <w:color w:val="auto"/>
          <w:szCs w:val="21"/>
        </w:rPr>
        <w:t xml:space="preserve">营业执照（注册号）：                       </w:t>
      </w:r>
    </w:p>
    <w:p>
      <w:pPr>
        <w:spacing w:line="480" w:lineRule="auto"/>
        <w:ind w:firstLine="840" w:firstLineChars="400"/>
        <w:rPr>
          <w:rFonts w:ascii="宋体" w:hAnsi="宋体"/>
          <w:color w:val="auto"/>
          <w:szCs w:val="21"/>
        </w:rPr>
      </w:pPr>
      <w:r>
        <w:rPr>
          <w:rFonts w:hint="eastAsia" w:ascii="宋体" w:hAnsi="宋体"/>
          <w:color w:val="auto"/>
          <w:szCs w:val="21"/>
        </w:rPr>
        <w:t>经济性质：</w:t>
      </w:r>
    </w:p>
    <w:p>
      <w:pPr>
        <w:spacing w:line="480" w:lineRule="auto"/>
        <w:ind w:firstLine="840" w:firstLineChars="400"/>
        <w:rPr>
          <w:rFonts w:ascii="宋体" w:hAnsi="宋体"/>
          <w:color w:val="auto"/>
          <w:szCs w:val="21"/>
        </w:rPr>
      </w:pPr>
      <w:r>
        <w:rPr>
          <w:rFonts w:hint="eastAsia" w:ascii="宋体" w:hAnsi="宋体"/>
          <w:color w:val="auto"/>
          <w:szCs w:val="21"/>
        </w:rPr>
        <w:t>主营（产）：</w:t>
      </w:r>
    </w:p>
    <w:p>
      <w:pPr>
        <w:spacing w:line="480" w:lineRule="auto"/>
        <w:ind w:firstLine="840" w:firstLineChars="400"/>
        <w:rPr>
          <w:rFonts w:ascii="宋体" w:hAnsi="宋体"/>
          <w:color w:val="auto"/>
          <w:szCs w:val="21"/>
        </w:rPr>
      </w:pPr>
      <w:r>
        <w:rPr>
          <w:rFonts w:hint="eastAsia" w:ascii="宋体" w:hAnsi="宋体"/>
          <w:color w:val="auto"/>
          <w:szCs w:val="21"/>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法定代表人身份证（正面）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法定代表人身份证（反面）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59264;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法定代表人身份证（正面）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法定代表人身份证（反面）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Cs w:val="21"/>
        </w:rPr>
      </w:pPr>
      <w:r>
        <w:rPr>
          <w:rFonts w:hint="eastAsia" w:ascii="宋体"/>
          <w:b/>
          <w:bCs/>
          <w:color w:val="auto"/>
        </w:rPr>
        <w:t xml:space="preserve">                                </w:t>
      </w:r>
      <w:r>
        <w:rPr>
          <w:rFonts w:hint="eastAsia" w:ascii="宋体"/>
          <w:b/>
          <w:bCs/>
          <w:color w:val="auto"/>
          <w:szCs w:val="21"/>
        </w:rPr>
        <w:t xml:space="preserve">            </w:t>
      </w:r>
      <w:r>
        <w:rPr>
          <w:rFonts w:hint="eastAsia" w:ascii="宋体" w:hAnsi="宋体"/>
          <w:color w:val="auto"/>
          <w:szCs w:val="21"/>
        </w:rPr>
        <w:t>报价人名称（盖公章）：</w:t>
      </w:r>
    </w:p>
    <w:p>
      <w:pPr>
        <w:spacing w:line="500" w:lineRule="exact"/>
        <w:rPr>
          <w:rFonts w:ascii="宋体"/>
          <w:b/>
          <w:bCs/>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日期：</w:t>
      </w:r>
    </w:p>
    <w:p>
      <w:pPr>
        <w:rPr>
          <w:color w:val="auto"/>
        </w:rPr>
      </w:pPr>
    </w:p>
    <w:p>
      <w:pPr>
        <w:ind w:firstLine="210" w:firstLineChars="100"/>
        <w:rPr>
          <w:rFonts w:asciiTheme="minorEastAsia" w:hAnsiTheme="minorEastAsia"/>
          <w:color w:val="auto"/>
        </w:rPr>
        <w:sectPr>
          <w:pgSz w:w="11906" w:h="16838"/>
          <w:pgMar w:top="1134" w:right="1134" w:bottom="1134" w:left="1134" w:header="709" w:footer="992" w:gutter="284"/>
          <w:cols w:space="425" w:num="1"/>
          <w:docGrid w:linePitch="312" w:charSpace="0"/>
        </w:sectPr>
      </w:pPr>
      <w:r>
        <w:rPr>
          <w:rFonts w:asciiTheme="minorEastAsia" w:hAnsiTheme="minorEastAsia"/>
          <w:color w:val="auto"/>
        </w:rPr>
        <w:br w:type="page"/>
      </w:r>
    </w:p>
    <w:p>
      <w:pPr>
        <w:pStyle w:val="3"/>
        <w:pageBreakBefore/>
        <w:adjustRightInd w:val="0"/>
        <w:snapToGrid w:val="0"/>
        <w:spacing w:before="0" w:after="0" w:line="360" w:lineRule="auto"/>
        <w:jc w:val="center"/>
        <w:rPr>
          <w:b w:val="0"/>
          <w:color w:val="auto"/>
        </w:rPr>
      </w:pPr>
      <w:bookmarkStart w:id="58" w:name="_Toc64879432"/>
      <w:r>
        <w:rPr>
          <w:rFonts w:hint="eastAsia"/>
          <w:b w:val="0"/>
          <w:color w:val="auto"/>
        </w:rPr>
        <w:t>法定代表人授权委托书</w:t>
      </w:r>
      <w:bookmarkEnd w:id="58"/>
    </w:p>
    <w:p>
      <w:pPr>
        <w:pStyle w:val="8"/>
        <w:spacing w:line="360" w:lineRule="auto"/>
        <w:ind w:firstLine="420" w:firstLineChars="200"/>
        <w:rPr>
          <w:color w:val="auto"/>
          <w:sz w:val="21"/>
        </w:rPr>
      </w:pPr>
      <w:r>
        <w:rPr>
          <w:rFonts w:hint="eastAsia"/>
          <w:color w:val="auto"/>
          <w:sz w:val="21"/>
        </w:rPr>
        <w:t>本授权委托书声明：注册于</w:t>
      </w:r>
      <w:r>
        <w:rPr>
          <w:rFonts w:hint="eastAsia"/>
          <w:color w:val="auto"/>
          <w:sz w:val="21"/>
          <w:u w:val="single"/>
        </w:rPr>
        <w:t xml:space="preserve"> （报价人地址）  </w:t>
      </w:r>
      <w:r>
        <w:rPr>
          <w:rFonts w:hint="eastAsia"/>
          <w:color w:val="auto"/>
          <w:sz w:val="21"/>
        </w:rPr>
        <w:t>的</w:t>
      </w:r>
      <w:r>
        <w:rPr>
          <w:rFonts w:hint="eastAsia"/>
          <w:color w:val="auto"/>
          <w:sz w:val="21"/>
          <w:u w:val="single"/>
        </w:rPr>
        <w:t xml:space="preserve">  （报价人名称）    </w:t>
      </w:r>
      <w:r>
        <w:rPr>
          <w:rFonts w:hint="eastAsia"/>
          <w:color w:val="auto"/>
          <w:sz w:val="21"/>
        </w:rPr>
        <w:t>在下面签名的</w:t>
      </w:r>
      <w:r>
        <w:rPr>
          <w:rFonts w:hint="eastAsia"/>
          <w:color w:val="auto"/>
          <w:sz w:val="21"/>
          <w:u w:val="single"/>
        </w:rPr>
        <w:t>（法定代表人姓名、职务）</w:t>
      </w:r>
      <w:r>
        <w:rPr>
          <w:rFonts w:hint="eastAsia"/>
          <w:color w:val="auto"/>
          <w:sz w:val="21"/>
        </w:rPr>
        <w:t>在此授权本公司</w:t>
      </w:r>
      <w:r>
        <w:rPr>
          <w:rFonts w:hint="eastAsia"/>
          <w:color w:val="auto"/>
          <w:sz w:val="21"/>
          <w:u w:val="single"/>
        </w:rPr>
        <w:t>（被授权人姓名、职务）</w:t>
      </w:r>
      <w:r>
        <w:rPr>
          <w:rFonts w:hint="eastAsia"/>
          <w:color w:val="auto"/>
          <w:sz w:val="21"/>
        </w:rPr>
        <w:t>作为我公司的合法代理人，就</w:t>
      </w:r>
      <w:r>
        <w:rPr>
          <w:rFonts w:hint="eastAsia" w:hAnsi="宋体"/>
          <w:b/>
          <w:bCs/>
          <w:color w:val="auto"/>
          <w:sz w:val="21"/>
          <w:szCs w:val="32"/>
          <w:u w:val="single"/>
        </w:rPr>
        <w:t>广东有线广播电视网络有限公司2024年宣传礼品采购项目（项目编号：SC202404P002（</w:t>
      </w:r>
      <w:r>
        <w:rPr>
          <w:rFonts w:hint="eastAsia" w:hAnsi="宋体"/>
          <w:b/>
          <w:bCs/>
          <w:color w:val="auto"/>
          <w:sz w:val="21"/>
          <w:szCs w:val="32"/>
          <w:u w:val="single"/>
          <w:lang w:eastAsia="zh-CN"/>
        </w:rPr>
        <w:t>CD-1714123999205</w:t>
      </w:r>
      <w:r>
        <w:rPr>
          <w:rFonts w:hint="eastAsia" w:hAnsi="宋体"/>
          <w:b/>
          <w:bCs/>
          <w:color w:val="auto"/>
          <w:sz w:val="21"/>
          <w:szCs w:val="32"/>
          <w:u w:val="single"/>
        </w:rPr>
        <w:t>））</w:t>
      </w:r>
      <w:r>
        <w:rPr>
          <w:rFonts w:hint="eastAsia"/>
          <w:color w:val="auto"/>
          <w:sz w:val="21"/>
        </w:rPr>
        <w:t>的竞价采购活动，采购合同的签订、执行、完成和售后服务，作为报价人代表以我方的名义处理一切与之有关的事务。</w:t>
      </w:r>
    </w:p>
    <w:p>
      <w:pPr>
        <w:pStyle w:val="8"/>
        <w:spacing w:line="360" w:lineRule="auto"/>
        <w:ind w:firstLine="420" w:firstLineChars="200"/>
        <w:rPr>
          <w:color w:val="auto"/>
          <w:sz w:val="21"/>
        </w:rPr>
      </w:pPr>
      <w:r>
        <w:rPr>
          <w:rFonts w:hint="eastAsia"/>
          <w:color w:val="auto"/>
          <w:sz w:val="21"/>
        </w:rPr>
        <w:t>被授权人（报价人授权代表）无转委托权限。</w:t>
      </w:r>
    </w:p>
    <w:p>
      <w:pPr>
        <w:spacing w:line="360" w:lineRule="auto"/>
        <w:ind w:firstLine="420" w:firstLineChars="200"/>
        <w:rPr>
          <w:rFonts w:ascii="宋体"/>
          <w:color w:val="auto"/>
          <w:szCs w:val="21"/>
        </w:rPr>
      </w:pPr>
      <w:r>
        <w:rPr>
          <w:rFonts w:hint="eastAsia" w:ascii="宋体"/>
          <w:color w:val="auto"/>
          <w:szCs w:val="21"/>
        </w:rPr>
        <w:t>本授权书自法定代表人签字之日起生效，特此声明。</w:t>
      </w:r>
    </w:p>
    <w:p>
      <w:pPr>
        <w:spacing w:line="360" w:lineRule="auto"/>
        <w:rPr>
          <w:rFonts w:ascii="宋体"/>
          <w:color w:val="auto"/>
          <w:szCs w:val="21"/>
        </w:rPr>
      </w:pPr>
    </w:p>
    <w:p>
      <w:pPr>
        <w:spacing w:line="360" w:lineRule="auto"/>
        <w:rPr>
          <w:rFonts w:ascii="宋体"/>
          <w:color w:val="auto"/>
          <w:szCs w:val="21"/>
        </w:rPr>
      </w:pPr>
      <w:r>
        <w:rPr>
          <w:rFonts w:hint="eastAsia" w:ascii="宋体"/>
          <w:color w:val="auto"/>
          <w:szCs w:val="21"/>
        </w:rPr>
        <w:t>报价人名称（</w:t>
      </w:r>
      <w:r>
        <w:rPr>
          <w:rFonts w:hint="eastAsia" w:ascii="宋体" w:hAnsi="宋体"/>
          <w:color w:val="auto"/>
          <w:szCs w:val="21"/>
        </w:rPr>
        <w:t>盖</w:t>
      </w:r>
      <w:r>
        <w:rPr>
          <w:rFonts w:hint="eastAsia" w:ascii="宋体"/>
          <w:color w:val="auto"/>
          <w:szCs w:val="21"/>
        </w:rPr>
        <w:t>公章）：</w:t>
      </w:r>
    </w:p>
    <w:p>
      <w:pPr>
        <w:spacing w:line="360" w:lineRule="auto"/>
        <w:rPr>
          <w:rFonts w:ascii="宋体"/>
          <w:color w:val="auto"/>
          <w:szCs w:val="21"/>
        </w:rPr>
      </w:pPr>
      <w:r>
        <w:rPr>
          <w:rFonts w:hint="eastAsia" w:ascii="宋体"/>
          <w:color w:val="auto"/>
          <w:szCs w:val="21"/>
        </w:rPr>
        <w:t>地      址：</w:t>
      </w:r>
    </w:p>
    <w:p>
      <w:pPr>
        <w:tabs>
          <w:tab w:val="left" w:pos="3780"/>
        </w:tabs>
        <w:spacing w:line="360" w:lineRule="auto"/>
        <w:rPr>
          <w:rFonts w:ascii="宋体"/>
          <w:color w:val="auto"/>
          <w:szCs w:val="21"/>
        </w:rPr>
      </w:pPr>
      <w:r>
        <w:rPr>
          <w:rFonts w:hint="eastAsia" w:ascii="宋体"/>
          <w:color w:val="auto"/>
          <w:szCs w:val="21"/>
        </w:rPr>
        <w:t>法定代表人（签字或盖章）：                         签字日期：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被授权人身份证（正面）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被授权人身份证（反面）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hAnsi="宋体"/>
          <w:color w:val="auto"/>
        </w:rPr>
      </w:pPr>
      <w:r>
        <w:rPr>
          <w:rFonts w:ascii="黑体" w:eastAsia="黑体"/>
          <w:color w:val="auto"/>
          <w:szCs w:val="21"/>
        </w:rPr>
        <w:br w:type="page"/>
      </w:r>
    </w:p>
    <w:p>
      <w:pPr>
        <w:pStyle w:val="3"/>
        <w:keepLines w:val="0"/>
        <w:spacing w:before="0" w:after="240" w:line="360" w:lineRule="auto"/>
        <w:ind w:left="720" w:hanging="360"/>
        <w:jc w:val="center"/>
        <w:rPr>
          <w:rFonts w:ascii="宋体" w:hAnsi="宋体" w:eastAsia="宋体"/>
          <w:color w:val="auto"/>
        </w:rPr>
      </w:pPr>
      <w:bookmarkStart w:id="59" w:name="_Toc64879433"/>
      <w:r>
        <w:rPr>
          <w:rFonts w:hint="eastAsia" w:ascii="宋体" w:hAnsi="宋体" w:eastAsia="宋体"/>
          <w:color w:val="auto"/>
        </w:rPr>
        <w:t>用户需求书响应声明函</w:t>
      </w:r>
      <w:bookmarkEnd w:id="59"/>
    </w:p>
    <w:p>
      <w:pPr>
        <w:spacing w:line="360" w:lineRule="auto"/>
        <w:rPr>
          <w:rFonts w:ascii="宋体" w:hAnsi="宋体"/>
          <w:b/>
          <w:color w:val="auto"/>
          <w:szCs w:val="21"/>
        </w:rPr>
      </w:pPr>
      <w:r>
        <w:rPr>
          <w:rFonts w:hint="eastAsia" w:ascii="宋体" w:hAnsi="宋体"/>
          <w:b/>
          <w:color w:val="auto"/>
          <w:szCs w:val="21"/>
        </w:rPr>
        <w:t>致：广东有线广播电视网络有限公司、</w:t>
      </w:r>
      <w:r>
        <w:rPr>
          <w:b/>
          <w:color w:val="auto"/>
        </w:rPr>
        <w:t>采联国际招标采购集团有限公司</w:t>
      </w:r>
    </w:p>
    <w:p>
      <w:pPr>
        <w:spacing w:line="360" w:lineRule="auto"/>
        <w:rPr>
          <w:rFonts w:ascii="宋体" w:hAnsi="宋体"/>
          <w:color w:val="auto"/>
          <w:lang w:val="zh-CN"/>
        </w:rPr>
      </w:pPr>
    </w:p>
    <w:p>
      <w:pPr>
        <w:snapToGrid w:val="0"/>
        <w:spacing w:line="360" w:lineRule="auto"/>
        <w:ind w:firstLine="420" w:firstLineChars="200"/>
        <w:rPr>
          <w:rFonts w:ascii="宋体" w:hAnsi="宋体"/>
          <w:color w:val="auto"/>
          <w:szCs w:val="21"/>
        </w:rPr>
      </w:pPr>
      <w:r>
        <w:rPr>
          <w:rFonts w:hint="eastAsia" w:ascii="宋体" w:hAnsi="宋体"/>
          <w:color w:val="auto"/>
          <w:szCs w:val="21"/>
        </w:rPr>
        <w:t>关于贵司发布</w:t>
      </w:r>
      <w:r>
        <w:rPr>
          <w:rFonts w:hint="eastAsia" w:ascii="宋体" w:hAnsi="宋体"/>
          <w:b/>
          <w:bCs/>
          <w:color w:val="auto"/>
          <w:szCs w:val="32"/>
          <w:u w:val="single"/>
        </w:rPr>
        <w:t>广东有线广播电视网络有限公司2024年宣传礼品采购项目（项目编号：SC202404P002（</w:t>
      </w:r>
      <w:r>
        <w:rPr>
          <w:rFonts w:hint="eastAsia" w:ascii="宋体" w:hAnsi="宋体"/>
          <w:b/>
          <w:bCs/>
          <w:color w:val="auto"/>
          <w:szCs w:val="32"/>
          <w:u w:val="single"/>
          <w:lang w:eastAsia="zh-CN"/>
        </w:rPr>
        <w:t>CD-1714123999205</w:t>
      </w:r>
      <w:r>
        <w:rPr>
          <w:rFonts w:hint="eastAsia" w:ascii="宋体" w:hAnsi="宋体"/>
          <w:b/>
          <w:bCs/>
          <w:color w:val="auto"/>
          <w:szCs w:val="32"/>
          <w:u w:val="single"/>
        </w:rPr>
        <w:t>））</w:t>
      </w:r>
      <w:r>
        <w:rPr>
          <w:rFonts w:hint="eastAsia" w:ascii="宋体" w:hAnsi="宋体"/>
          <w:color w:val="auto"/>
          <w:szCs w:val="21"/>
        </w:rPr>
        <w:t>的竞价公告，本公司（企业）愿意参加采购活动，并作出如下声明：</w:t>
      </w:r>
    </w:p>
    <w:p>
      <w:pPr>
        <w:pStyle w:val="36"/>
        <w:tabs>
          <w:tab w:val="left" w:pos="426"/>
        </w:tabs>
        <w:snapToGrid w:val="0"/>
        <w:spacing w:line="360" w:lineRule="auto"/>
        <w:ind w:firstLineChars="0"/>
        <w:rPr>
          <w:rFonts w:ascii="宋体" w:hAnsi="宋体"/>
          <w:color w:val="auto"/>
        </w:rPr>
      </w:pPr>
      <w:r>
        <w:rPr>
          <w:rFonts w:hint="eastAsia" w:ascii="宋体" w:hAnsi="宋体"/>
          <w:color w:val="auto"/>
        </w:rPr>
        <w:t>本公司（企业）承诺在报名时已对于</w:t>
      </w:r>
      <w:bookmarkStart w:id="60" w:name="_Hlk83305432"/>
      <w:r>
        <w:rPr>
          <w:rFonts w:hint="eastAsia" w:ascii="宋体" w:hAnsi="宋体"/>
          <w:color w:val="auto"/>
        </w:rPr>
        <w:t>用户需求书中的各项条款、内容及要求给予充分考虑，明确承诺对于本项目的用户需求书中的各项条款、内容及要求均为完全响应，不存在任意一条负偏离或不响应的情况</w:t>
      </w:r>
      <w:bookmarkEnd w:id="60"/>
      <w:r>
        <w:rPr>
          <w:rFonts w:hint="eastAsia" w:ascii="宋体" w:hAnsi="宋体"/>
          <w:color w:val="auto"/>
        </w:rPr>
        <w:t>。本公司（企业）清楚，若对于用户需求书各项条款存在任意一条负偏离或不响应的情况，不被推荐为成交候选人的要求。</w:t>
      </w:r>
    </w:p>
    <w:p>
      <w:pPr>
        <w:pStyle w:val="36"/>
        <w:tabs>
          <w:tab w:val="left" w:pos="426"/>
        </w:tabs>
        <w:snapToGrid w:val="0"/>
        <w:spacing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本公司（企业）承诺在本次采购活动中，如有违法、违规、弄虚作假行为，所造成的损失、不良后果及法律责任，一律由本公司（企业）承担。</w:t>
      </w:r>
    </w:p>
    <w:p>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pPr>
        <w:pStyle w:val="26"/>
        <w:numPr>
          <w:ilvl w:val="0"/>
          <w:numId w:val="38"/>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pPr>
        <w:pStyle w:val="26"/>
        <w:numPr>
          <w:ilvl w:val="0"/>
          <w:numId w:val="38"/>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widowControl/>
        <w:spacing w:line="360" w:lineRule="auto"/>
        <w:jc w:val="left"/>
        <w:rPr>
          <w:rFonts w:ascii="宋体" w:hAnsi="宋体"/>
          <w:b/>
          <w:bCs/>
          <w:color w:val="auto"/>
          <w:kern w:val="0"/>
          <w:sz w:val="32"/>
          <w:szCs w:val="32"/>
        </w:rPr>
      </w:pPr>
    </w:p>
    <w:p>
      <w:pPr>
        <w:spacing w:line="360" w:lineRule="auto"/>
        <w:ind w:right="218"/>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wordWrap w:val="0"/>
        <w:spacing w:line="360" w:lineRule="auto"/>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pPr>
        <w:widowControl/>
        <w:spacing w:line="360" w:lineRule="auto"/>
        <w:jc w:val="right"/>
        <w:rPr>
          <w:rFonts w:ascii="宋体" w:hAnsi="宋体"/>
          <w:b/>
          <w:bCs/>
          <w:color w:val="auto"/>
          <w:kern w:val="0"/>
          <w:sz w:val="32"/>
          <w:szCs w:val="32"/>
          <w:lang w:val="zh-CN"/>
        </w:rPr>
      </w:pPr>
    </w:p>
    <w:p>
      <w:pPr>
        <w:spacing w:line="360" w:lineRule="auto"/>
        <w:rPr>
          <w:rFonts w:ascii="宋体" w:hAnsi="宋体"/>
          <w:color w:val="auto"/>
        </w:rPr>
        <w:sectPr>
          <w:pgSz w:w="11906" w:h="16838"/>
          <w:pgMar w:top="1134" w:right="1134" w:bottom="1134" w:left="1134" w:header="709" w:footer="647" w:gutter="284"/>
          <w:cols w:space="425" w:num="1"/>
          <w:docGrid w:linePitch="312" w:charSpace="0"/>
        </w:sectPr>
      </w:pPr>
    </w:p>
    <w:p>
      <w:pPr>
        <w:pStyle w:val="3"/>
        <w:keepLines w:val="0"/>
        <w:spacing w:before="0" w:after="240" w:line="360" w:lineRule="auto"/>
        <w:ind w:left="720" w:hanging="360"/>
        <w:jc w:val="center"/>
        <w:rPr>
          <w:rFonts w:ascii="宋体" w:hAnsi="宋体" w:eastAsia="宋体"/>
          <w:color w:val="auto"/>
        </w:rPr>
      </w:pPr>
      <w:bookmarkStart w:id="61" w:name="_Toc64879434"/>
      <w:bookmarkStart w:id="62" w:name="_Hlk64878616"/>
      <w:r>
        <w:rPr>
          <w:rFonts w:hint="eastAsia" w:ascii="宋体" w:hAnsi="宋体" w:eastAsia="宋体"/>
          <w:color w:val="auto"/>
        </w:rPr>
        <w:t>合同条款响应声明函</w:t>
      </w:r>
      <w:bookmarkEnd w:id="61"/>
    </w:p>
    <w:p>
      <w:pPr>
        <w:spacing w:line="360" w:lineRule="auto"/>
        <w:rPr>
          <w:rFonts w:ascii="宋体" w:hAnsi="宋体"/>
          <w:b/>
          <w:color w:val="auto"/>
          <w:szCs w:val="21"/>
        </w:rPr>
      </w:pPr>
      <w:r>
        <w:rPr>
          <w:rFonts w:hint="eastAsia" w:ascii="宋体" w:hAnsi="宋体"/>
          <w:b/>
          <w:color w:val="auto"/>
          <w:szCs w:val="21"/>
        </w:rPr>
        <w:t>致：广东有线广播电视网络有限公司、</w:t>
      </w:r>
      <w:r>
        <w:rPr>
          <w:b/>
          <w:color w:val="auto"/>
        </w:rPr>
        <w:t>采联国际招标采购集团有限公司</w:t>
      </w:r>
    </w:p>
    <w:p>
      <w:pPr>
        <w:spacing w:line="360" w:lineRule="auto"/>
        <w:rPr>
          <w:rFonts w:ascii="宋体" w:hAnsi="宋体"/>
          <w:color w:val="auto"/>
          <w:lang w:val="zh-CN"/>
        </w:rPr>
      </w:pPr>
    </w:p>
    <w:p>
      <w:pPr>
        <w:snapToGrid w:val="0"/>
        <w:spacing w:line="360" w:lineRule="auto"/>
        <w:ind w:firstLine="420" w:firstLineChars="200"/>
        <w:rPr>
          <w:rFonts w:ascii="宋体" w:hAnsi="宋体"/>
          <w:color w:val="auto"/>
          <w:szCs w:val="21"/>
        </w:rPr>
      </w:pPr>
      <w:r>
        <w:rPr>
          <w:rFonts w:hint="eastAsia" w:ascii="宋体" w:hAnsi="宋体"/>
          <w:color w:val="auto"/>
          <w:szCs w:val="21"/>
        </w:rPr>
        <w:t>关于贵司发布</w:t>
      </w:r>
      <w:r>
        <w:rPr>
          <w:rFonts w:hint="eastAsia" w:ascii="宋体" w:hAnsi="宋体"/>
          <w:b/>
          <w:bCs/>
          <w:color w:val="auto"/>
          <w:szCs w:val="32"/>
          <w:u w:val="single"/>
        </w:rPr>
        <w:t>广东有线广播电视网络有限公司2024年宣传礼品采购项目（项目编号：SC202404P002（</w:t>
      </w:r>
      <w:r>
        <w:rPr>
          <w:rFonts w:hint="eastAsia" w:ascii="宋体" w:hAnsi="宋体"/>
          <w:b/>
          <w:bCs/>
          <w:color w:val="auto"/>
          <w:szCs w:val="32"/>
          <w:u w:val="single"/>
          <w:lang w:eastAsia="zh-CN"/>
        </w:rPr>
        <w:t>CD-1714123999205</w:t>
      </w:r>
      <w:r>
        <w:rPr>
          <w:rFonts w:hint="eastAsia" w:ascii="宋体" w:hAnsi="宋体"/>
          <w:b/>
          <w:bCs/>
          <w:color w:val="auto"/>
          <w:szCs w:val="32"/>
          <w:u w:val="single"/>
        </w:rPr>
        <w:t>））</w:t>
      </w:r>
      <w:r>
        <w:rPr>
          <w:rFonts w:hint="eastAsia" w:ascii="宋体" w:hAnsi="宋体"/>
          <w:color w:val="auto"/>
          <w:szCs w:val="21"/>
        </w:rPr>
        <w:t>的竞价公告，本公司（企业）愿意参加采购活动，并作出如下声明：</w:t>
      </w:r>
    </w:p>
    <w:p>
      <w:pPr>
        <w:pStyle w:val="36"/>
        <w:tabs>
          <w:tab w:val="left" w:pos="426"/>
        </w:tabs>
        <w:snapToGrid w:val="0"/>
        <w:spacing w:line="360" w:lineRule="auto"/>
        <w:ind w:firstLineChars="0"/>
        <w:rPr>
          <w:rFonts w:ascii="宋体" w:hAnsi="宋体"/>
          <w:color w:val="auto"/>
        </w:rPr>
      </w:pPr>
      <w:r>
        <w:rPr>
          <w:rFonts w:hint="eastAsia" w:ascii="宋体" w:hAnsi="宋体"/>
          <w:color w:val="auto"/>
        </w:rPr>
        <w:t>本公司（企业）承诺在报名时</w:t>
      </w:r>
      <w:bookmarkStart w:id="63" w:name="_Hlk83305480"/>
      <w:r>
        <w:rPr>
          <w:rFonts w:hint="eastAsia" w:ascii="宋体" w:hAnsi="宋体"/>
          <w:color w:val="auto"/>
        </w:rPr>
        <w:t>已对于合同条款中的各项内容及要求给予充分考虑，明确承诺对于本项目的合同条款中的各项内容及要求均为完全响应，不存在任意一条负偏离或不响应的情况。</w:t>
      </w:r>
      <w:bookmarkEnd w:id="63"/>
      <w:bookmarkStart w:id="64" w:name="_Hlk83305513"/>
      <w:r>
        <w:rPr>
          <w:rFonts w:hint="eastAsia" w:ascii="宋体" w:hAnsi="宋体"/>
          <w:color w:val="auto"/>
        </w:rPr>
        <w:t>本公司（企业）清楚，若对于合同条款各项内容存在任意一条负偏离或不响应的情况，不被推荐为成交候选人的要求。</w:t>
      </w:r>
      <w:bookmarkEnd w:id="64"/>
    </w:p>
    <w:p>
      <w:pPr>
        <w:pStyle w:val="36"/>
        <w:tabs>
          <w:tab w:val="left" w:pos="426"/>
        </w:tabs>
        <w:snapToGrid w:val="0"/>
        <w:spacing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本公司（企业）承诺在本次采购活动中，如有违法、违规、弄虚作假行为，所造成的损失、不良后果及法律责任，一律由本公司（企业）承担。</w:t>
      </w:r>
    </w:p>
    <w:p>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pPr>
        <w:pStyle w:val="26"/>
        <w:numPr>
          <w:ilvl w:val="0"/>
          <w:numId w:val="39"/>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pPr>
        <w:pStyle w:val="26"/>
        <w:numPr>
          <w:ilvl w:val="0"/>
          <w:numId w:val="39"/>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widowControl/>
        <w:spacing w:line="360" w:lineRule="auto"/>
        <w:jc w:val="left"/>
        <w:rPr>
          <w:rFonts w:ascii="宋体" w:hAnsi="宋体"/>
          <w:b/>
          <w:bCs/>
          <w:color w:val="auto"/>
          <w:kern w:val="0"/>
          <w:sz w:val="32"/>
          <w:szCs w:val="32"/>
        </w:rPr>
      </w:pPr>
    </w:p>
    <w:p>
      <w:pPr>
        <w:spacing w:line="360" w:lineRule="auto"/>
        <w:ind w:right="218"/>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wordWrap w:val="0"/>
        <w:spacing w:line="360" w:lineRule="auto"/>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bookmarkEnd w:id="62"/>
    <w:p>
      <w:pPr>
        <w:spacing w:line="360" w:lineRule="auto"/>
        <w:rPr>
          <w:rFonts w:ascii="宋体" w:hAnsi="宋体"/>
          <w:color w:val="auto"/>
        </w:rPr>
      </w:pPr>
    </w:p>
    <w:p>
      <w:pPr>
        <w:widowControl/>
        <w:spacing w:line="360" w:lineRule="auto"/>
        <w:jc w:val="left"/>
        <w:rPr>
          <w:rFonts w:ascii="宋体" w:hAnsi="宋体"/>
          <w:b/>
          <w:bCs/>
          <w:color w:val="auto"/>
          <w:kern w:val="0"/>
          <w:sz w:val="32"/>
          <w:szCs w:val="32"/>
          <w:lang w:val="zh-CN"/>
        </w:rPr>
      </w:pPr>
      <w:r>
        <w:rPr>
          <w:rFonts w:ascii="宋体" w:hAnsi="宋体"/>
          <w:color w:val="auto"/>
        </w:rPr>
        <w:br w:type="page"/>
      </w:r>
    </w:p>
    <w:p>
      <w:pPr>
        <w:pStyle w:val="3"/>
        <w:keepLines w:val="0"/>
        <w:spacing w:before="0" w:after="240" w:line="360" w:lineRule="auto"/>
        <w:ind w:left="720" w:hanging="360"/>
        <w:jc w:val="center"/>
        <w:rPr>
          <w:rFonts w:ascii="宋体" w:hAnsi="宋体" w:eastAsia="宋体"/>
          <w:color w:val="auto"/>
        </w:rPr>
      </w:pPr>
      <w:bookmarkStart w:id="65" w:name="_Toc64879435"/>
      <w:r>
        <w:rPr>
          <w:rFonts w:hint="eastAsia" w:ascii="宋体" w:hAnsi="宋体" w:eastAsia="宋体"/>
          <w:color w:val="auto"/>
        </w:rPr>
        <w:t>报价人资格声明函</w:t>
      </w:r>
      <w:bookmarkEnd w:id="65"/>
    </w:p>
    <w:p>
      <w:pPr>
        <w:rPr>
          <w:rFonts w:ascii="Times New Roman" w:hAnsi="Times New Roman"/>
          <w:b/>
          <w:color w:val="auto"/>
          <w:szCs w:val="24"/>
        </w:rPr>
      </w:pPr>
    </w:p>
    <w:p>
      <w:pPr>
        <w:rPr>
          <w:rFonts w:ascii="Times New Roman" w:hAnsi="Times New Roman"/>
          <w:b/>
          <w:color w:val="auto"/>
          <w:szCs w:val="24"/>
        </w:rPr>
      </w:pPr>
      <w:r>
        <w:rPr>
          <w:rFonts w:hint="eastAsia" w:ascii="宋体" w:hAnsi="宋体"/>
          <w:b/>
          <w:color w:val="auto"/>
          <w:szCs w:val="21"/>
        </w:rPr>
        <w:t>致：</w:t>
      </w:r>
      <w:r>
        <w:rPr>
          <w:rFonts w:hint="eastAsia" w:ascii="Times New Roman" w:hAnsi="Times New Roman"/>
          <w:b/>
          <w:color w:val="auto"/>
          <w:szCs w:val="24"/>
        </w:rPr>
        <w:t>广东有线广播电视网络有限公司、</w:t>
      </w:r>
      <w:r>
        <w:rPr>
          <w:b/>
          <w:color w:val="auto"/>
        </w:rPr>
        <w:t>采联国际招标采购集团有限公司</w:t>
      </w:r>
      <w:r>
        <w:rPr>
          <w:rFonts w:hint="eastAsia" w:ascii="Times New Roman" w:hAnsi="Times New Roman"/>
          <w:b/>
          <w:color w:val="auto"/>
          <w:szCs w:val="24"/>
        </w:rPr>
        <w:t>：</w:t>
      </w:r>
    </w:p>
    <w:p>
      <w:pPr>
        <w:rPr>
          <w:rFonts w:ascii="Times New Roman" w:hAnsi="Times New Roman"/>
          <w:b/>
          <w:color w:val="auto"/>
          <w:szCs w:val="24"/>
        </w:rPr>
      </w:pPr>
    </w:p>
    <w:p>
      <w:pPr>
        <w:snapToGrid w:val="0"/>
        <w:spacing w:line="360" w:lineRule="auto"/>
        <w:ind w:firstLine="424" w:firstLineChars="202"/>
        <w:rPr>
          <w:rFonts w:ascii="宋体" w:hAnsi="宋体"/>
          <w:color w:val="auto"/>
          <w:szCs w:val="24"/>
        </w:rPr>
      </w:pPr>
      <w:r>
        <w:rPr>
          <w:rFonts w:hint="eastAsia" w:ascii="宋体" w:hAnsi="宋体"/>
          <w:color w:val="auto"/>
          <w:szCs w:val="24"/>
        </w:rPr>
        <w:t>关于贵公司发布</w:t>
      </w:r>
      <w:r>
        <w:rPr>
          <w:rFonts w:hint="eastAsia" w:ascii="宋体" w:hAnsi="宋体"/>
          <w:b/>
          <w:bCs/>
          <w:color w:val="auto"/>
          <w:szCs w:val="32"/>
          <w:u w:val="single"/>
        </w:rPr>
        <w:t>广东有线广播电视网络有限公司2024年宣传礼品采购项目（项目编号：SC202404P002（</w:t>
      </w:r>
      <w:r>
        <w:rPr>
          <w:rFonts w:hint="eastAsia" w:ascii="宋体" w:hAnsi="宋体"/>
          <w:b/>
          <w:bCs/>
          <w:color w:val="auto"/>
          <w:szCs w:val="32"/>
          <w:u w:val="single"/>
          <w:lang w:eastAsia="zh-CN"/>
        </w:rPr>
        <w:t>CD-1714123999205</w:t>
      </w:r>
      <w:r>
        <w:rPr>
          <w:rFonts w:hint="eastAsia" w:ascii="宋体" w:hAnsi="宋体"/>
          <w:b/>
          <w:bCs/>
          <w:color w:val="auto"/>
          <w:szCs w:val="32"/>
          <w:u w:val="single"/>
        </w:rPr>
        <w:t>））</w:t>
      </w:r>
      <w:r>
        <w:rPr>
          <w:rFonts w:hint="eastAsia" w:ascii="宋体" w:hAnsi="宋体"/>
          <w:color w:val="auto"/>
          <w:szCs w:val="24"/>
        </w:rPr>
        <w:t>的采购公告，本公司（企业）愿意参加竞价，并声明</w:t>
      </w:r>
      <w:r>
        <w:rPr>
          <w:rFonts w:hint="eastAsia" w:ascii="宋体" w:hAnsi="宋体" w:cs="宋体"/>
          <w:color w:val="auto"/>
          <w:kern w:val="0"/>
          <w:szCs w:val="20"/>
        </w:rPr>
        <w:t>我公司不存在下列情形之一</w:t>
      </w:r>
      <w:r>
        <w:rPr>
          <w:rFonts w:hint="eastAsia" w:ascii="宋体" w:hAnsi="宋体"/>
          <w:color w:val="auto"/>
          <w:szCs w:val="24"/>
        </w:rPr>
        <w:t>：</w:t>
      </w:r>
    </w:p>
    <w:p>
      <w:pPr>
        <w:pStyle w:val="26"/>
        <w:numPr>
          <w:ilvl w:val="0"/>
          <w:numId w:val="40"/>
        </w:numPr>
        <w:tabs>
          <w:tab w:val="left" w:pos="993"/>
        </w:tabs>
        <w:adjustRightInd w:val="0"/>
        <w:snapToGrid w:val="0"/>
        <w:spacing w:line="360" w:lineRule="auto"/>
        <w:ind w:firstLine="6" w:firstLineChars="0"/>
        <w:rPr>
          <w:rFonts w:ascii="宋体" w:hAnsi="宋体" w:cs="Courier New"/>
          <w:color w:val="auto"/>
          <w:szCs w:val="21"/>
        </w:rPr>
      </w:pPr>
      <w:r>
        <w:rPr>
          <w:rFonts w:hint="eastAsia" w:ascii="宋体" w:hAnsi="宋体" w:cs="Courier New"/>
          <w:color w:val="auto"/>
          <w:szCs w:val="21"/>
        </w:rPr>
        <w:t>与采购人存在利害关系且可能影响竞价公正性；</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与本竞价项目的其他报价人为同一个单位负责人；</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与本竞价项目的其他报价人存在控股、管理关系；</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为本竞价项目的采购代理机构；</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与本竞价项目的采购代理机构同为一个法定代表人；</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与本竞价项目的采购代理机构存在控股或参股关系；</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被依法暂停或者取消参与本项目竞价的资格；</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被责令停产停业、暂扣或者吊销许可证、暂扣或者吊销执照；</w:t>
      </w:r>
    </w:p>
    <w:p>
      <w:pPr>
        <w:pStyle w:val="26"/>
        <w:numPr>
          <w:ilvl w:val="0"/>
          <w:numId w:val="40"/>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进入清算程序，或被宣告破产，或其他丧失履约能力的情形；</w:t>
      </w:r>
    </w:p>
    <w:p>
      <w:pPr>
        <w:pStyle w:val="26"/>
        <w:numPr>
          <w:ilvl w:val="0"/>
          <w:numId w:val="40"/>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在最近三年内发生重大产品质量问题（以相关行业主管部门的行政处罚决定或司法机关出具的有关法律文书为准）；</w:t>
      </w:r>
    </w:p>
    <w:p>
      <w:pPr>
        <w:pStyle w:val="26"/>
        <w:numPr>
          <w:ilvl w:val="0"/>
          <w:numId w:val="40"/>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被工商行政管理机关在全国企业信用信息公示系统中列入严重违法失信企业名单；</w:t>
      </w:r>
    </w:p>
    <w:p>
      <w:pPr>
        <w:pStyle w:val="26"/>
        <w:numPr>
          <w:ilvl w:val="0"/>
          <w:numId w:val="40"/>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被最高人民法院在“信用中国”网站（www.creditchina.gov.cn）或各级信用信息共享平台中列入失信被执行人名单；</w:t>
      </w:r>
    </w:p>
    <w:p>
      <w:pPr>
        <w:pStyle w:val="26"/>
        <w:numPr>
          <w:ilvl w:val="0"/>
          <w:numId w:val="40"/>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在近三年内报价人或其法定代表人、报价人授权代表有行贿犯罪行为的；</w:t>
      </w:r>
    </w:p>
    <w:p>
      <w:pPr>
        <w:pStyle w:val="26"/>
        <w:numPr>
          <w:ilvl w:val="0"/>
          <w:numId w:val="40"/>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法律法规或竞价须知规定的其他情形。</w:t>
      </w:r>
    </w:p>
    <w:p>
      <w:pPr>
        <w:snapToGrid w:val="0"/>
        <w:spacing w:line="360" w:lineRule="auto"/>
        <w:ind w:firstLine="424" w:firstLineChars="202"/>
        <w:rPr>
          <w:rFonts w:ascii="宋体" w:hAnsi="宋体"/>
          <w:color w:val="auto"/>
          <w:szCs w:val="24"/>
        </w:rPr>
      </w:pPr>
      <w:r>
        <w:rPr>
          <w:rFonts w:hint="eastAsia" w:ascii="宋体" w:hAnsi="宋体"/>
          <w:color w:val="auto"/>
          <w:szCs w:val="24"/>
        </w:rPr>
        <w:t>本公司（企业）承诺在本次采购活动中，如有违法、违规</w:t>
      </w:r>
      <w:r>
        <w:rPr>
          <w:rFonts w:hint="eastAsia" w:ascii="宋体" w:hAnsi="宋体"/>
          <w:color w:val="auto"/>
          <w:szCs w:val="21"/>
        </w:rPr>
        <w:t>、</w:t>
      </w:r>
      <w:r>
        <w:rPr>
          <w:rFonts w:hint="eastAsia" w:ascii="宋体" w:hAnsi="宋体"/>
          <w:color w:val="auto"/>
          <w:szCs w:val="24"/>
        </w:rPr>
        <w:t>弄虚作假行为，所造成的损失、不良后果及法律责任，一律由本公司（企业）承担。</w:t>
      </w:r>
    </w:p>
    <w:p>
      <w:pPr>
        <w:spacing w:line="360" w:lineRule="auto"/>
        <w:ind w:firstLine="420"/>
        <w:rPr>
          <w:rFonts w:ascii="Times New Roman" w:hAnsi="Times New Roman"/>
          <w:color w:val="auto"/>
          <w:szCs w:val="24"/>
        </w:rPr>
      </w:pPr>
      <w:r>
        <w:rPr>
          <w:rFonts w:hint="eastAsia" w:ascii="Times New Roman" w:hAnsi="Times New Roman"/>
          <w:color w:val="auto"/>
          <w:szCs w:val="24"/>
        </w:rPr>
        <w:t>特此声明！</w:t>
      </w:r>
    </w:p>
    <w:p>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pPr>
        <w:pStyle w:val="26"/>
        <w:numPr>
          <w:ilvl w:val="0"/>
          <w:numId w:val="41"/>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pPr>
        <w:pStyle w:val="26"/>
        <w:numPr>
          <w:ilvl w:val="0"/>
          <w:numId w:val="41"/>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widowControl/>
        <w:spacing w:line="360" w:lineRule="auto"/>
        <w:ind w:left="840"/>
        <w:jc w:val="left"/>
        <w:rPr>
          <w:rFonts w:ascii="宋体" w:hAnsi="宋体"/>
          <w:b/>
          <w:bCs/>
          <w:color w:val="auto"/>
          <w:kern w:val="0"/>
          <w:sz w:val="32"/>
          <w:szCs w:val="32"/>
        </w:rPr>
      </w:pPr>
    </w:p>
    <w:p>
      <w:pPr>
        <w:spacing w:line="360" w:lineRule="auto"/>
        <w:ind w:right="218"/>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wordWrap w:val="0"/>
        <w:spacing w:line="360" w:lineRule="auto"/>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pPr>
        <w:spacing w:line="360" w:lineRule="auto"/>
        <w:rPr>
          <w:rFonts w:ascii="宋体" w:hAnsi="宋体"/>
          <w:color w:val="auto"/>
        </w:rPr>
      </w:pPr>
      <w:r>
        <w:rPr>
          <w:rFonts w:ascii="宋体" w:hAnsi="宋体"/>
          <w:color w:val="auto"/>
        </w:rPr>
        <w:br w:type="page"/>
      </w:r>
    </w:p>
    <w:p>
      <w:pPr>
        <w:pStyle w:val="3"/>
        <w:spacing w:before="0" w:after="0"/>
        <w:jc w:val="center"/>
        <w:rPr>
          <w:color w:val="auto"/>
          <w:sz w:val="36"/>
          <w:szCs w:val="36"/>
          <w:lang w:val="zh-CN"/>
        </w:rPr>
      </w:pPr>
      <w:bookmarkStart w:id="66" w:name="_Toc64879436"/>
      <w:r>
        <w:rPr>
          <w:rFonts w:hint="eastAsia"/>
          <w:color w:val="auto"/>
          <w:lang w:val="zh-CN"/>
        </w:rPr>
        <w:t>报 价 表</w:t>
      </w:r>
      <w:bookmarkEnd w:id="66"/>
    </w:p>
    <w:p>
      <w:pPr>
        <w:tabs>
          <w:tab w:val="left" w:pos="7740"/>
        </w:tabs>
        <w:adjustRightInd w:val="0"/>
        <w:snapToGrid w:val="0"/>
        <w:spacing w:line="360" w:lineRule="auto"/>
        <w:rPr>
          <w:rFonts w:ascii="宋体" w:hAnsi="宋体"/>
          <w:color w:val="auto"/>
          <w:sz w:val="22"/>
          <w:szCs w:val="24"/>
          <w:u w:val="single"/>
        </w:rPr>
      </w:pPr>
      <w:r>
        <w:rPr>
          <w:rFonts w:ascii="仿宋_GB2312" w:hAnsi="仿宋_GB2312"/>
          <w:color w:val="auto"/>
          <w:sz w:val="22"/>
          <w:szCs w:val="24"/>
        </w:rPr>
        <w:t>项目</w:t>
      </w:r>
      <w:r>
        <w:rPr>
          <w:rFonts w:hint="eastAsia" w:ascii="仿宋_GB2312" w:hAnsi="仿宋_GB2312"/>
          <w:color w:val="auto"/>
          <w:sz w:val="22"/>
          <w:szCs w:val="24"/>
        </w:rPr>
        <w:t>名称</w:t>
      </w:r>
      <w:r>
        <w:rPr>
          <w:rFonts w:ascii="仿宋_GB2312" w:hAnsi="仿宋_GB2312"/>
          <w:color w:val="auto"/>
          <w:sz w:val="22"/>
          <w:szCs w:val="24"/>
        </w:rPr>
        <w:t>：</w:t>
      </w:r>
      <w:r>
        <w:rPr>
          <w:rFonts w:hint="eastAsia" w:ascii="宋体" w:hAnsi="宋体"/>
          <w:color w:val="auto"/>
          <w:sz w:val="22"/>
          <w:szCs w:val="24"/>
          <w:u w:val="single"/>
        </w:rPr>
        <w:t>广东有线广播电视网络有限公司2024年宣传礼品采购项目</w:t>
      </w:r>
    </w:p>
    <w:p>
      <w:pPr>
        <w:tabs>
          <w:tab w:val="left" w:pos="7740"/>
        </w:tabs>
        <w:adjustRightInd w:val="0"/>
        <w:snapToGrid w:val="0"/>
        <w:spacing w:line="360" w:lineRule="auto"/>
        <w:rPr>
          <w:rFonts w:asciiTheme="minorEastAsia" w:hAnsiTheme="minorEastAsia"/>
          <w:color w:val="auto"/>
          <w:sz w:val="18"/>
          <w:szCs w:val="18"/>
        </w:rPr>
      </w:pPr>
      <w:r>
        <w:rPr>
          <w:rFonts w:hint="eastAsia" w:ascii="宋体" w:hAnsi="宋体"/>
          <w:color w:val="auto"/>
          <w:sz w:val="22"/>
          <w:szCs w:val="24"/>
        </w:rPr>
        <w:t>项目编号： SC202404P002（</w:t>
      </w:r>
      <w:r>
        <w:rPr>
          <w:rFonts w:hint="eastAsia" w:ascii="宋体" w:hAnsi="宋体"/>
          <w:color w:val="auto"/>
          <w:sz w:val="22"/>
          <w:szCs w:val="24"/>
          <w:lang w:eastAsia="zh-CN"/>
        </w:rPr>
        <w:t>CD-1714123999205</w:t>
      </w:r>
      <w:r>
        <w:rPr>
          <w:rFonts w:hint="eastAsia" w:ascii="宋体" w:hAnsi="宋体"/>
          <w:color w:val="auto"/>
          <w:sz w:val="22"/>
          <w:szCs w:val="24"/>
        </w:rPr>
        <w:t>）</w:t>
      </w:r>
    </w:p>
    <w:tbl>
      <w:tblPr>
        <w:tblStyle w:val="18"/>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3030"/>
        <w:gridCol w:w="218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03" w:type="pct"/>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采购内容</w:t>
            </w:r>
          </w:p>
        </w:tc>
        <w:tc>
          <w:tcPr>
            <w:tcW w:w="1588" w:type="pct"/>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降点数</w:t>
            </w:r>
          </w:p>
        </w:tc>
        <w:tc>
          <w:tcPr>
            <w:tcW w:w="1146" w:type="pct"/>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提供发票类型</w:t>
            </w:r>
          </w:p>
        </w:tc>
        <w:tc>
          <w:tcPr>
            <w:tcW w:w="763" w:type="pct"/>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503" w:type="pc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宣传礼品</w:t>
            </w:r>
          </w:p>
        </w:tc>
        <w:tc>
          <w:tcPr>
            <w:tcW w:w="1588" w:type="pct"/>
            <w:shd w:val="clear" w:color="auto" w:fill="auto"/>
            <w:vAlign w:val="center"/>
          </w:tcPr>
          <w:p>
            <w:pPr>
              <w:widowControl/>
              <w:tabs>
                <w:tab w:val="left" w:pos="740"/>
              </w:tabs>
              <w:jc w:val="center"/>
              <w:rPr>
                <w:rFonts w:cs="宋体" w:asciiTheme="minorEastAsia" w:hAnsiTheme="minorEastAsia"/>
                <w:color w:val="auto"/>
                <w:kern w:val="0"/>
                <w:szCs w:val="21"/>
                <w:u w:val="single"/>
              </w:rPr>
            </w:pPr>
          </w:p>
        </w:tc>
        <w:tc>
          <w:tcPr>
            <w:tcW w:w="1146" w:type="pc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增值税专用发票</w:t>
            </w:r>
          </w:p>
        </w:tc>
        <w:tc>
          <w:tcPr>
            <w:tcW w:w="763" w:type="pct"/>
            <w:vAlign w:val="center"/>
          </w:tcPr>
          <w:p>
            <w:pPr>
              <w:widowControl/>
              <w:jc w:val="center"/>
              <w:rPr>
                <w:rFonts w:cs="宋体" w:asciiTheme="minorEastAsia" w:hAnsiTheme="minorEastAsia"/>
                <w:color w:val="auto"/>
                <w:kern w:val="0"/>
                <w:szCs w:val="21"/>
                <w:u w:val="single"/>
              </w:rPr>
            </w:pPr>
            <w:r>
              <w:rPr>
                <w:rFonts w:hint="eastAsia" w:cs="宋体" w:asciiTheme="minorEastAsia" w:hAnsiTheme="minorEastAsia"/>
                <w:color w:val="auto"/>
                <w:kern w:val="0"/>
                <w:szCs w:val="21"/>
                <w:u w:val="single"/>
              </w:rPr>
              <w:t xml:space="preserve"> </w:t>
            </w:r>
            <w:r>
              <w:rPr>
                <w:rFonts w:cs="宋体" w:asciiTheme="minorEastAsia" w:hAnsiTheme="minorEastAsia"/>
                <w:color w:val="auto"/>
                <w:kern w:val="0"/>
                <w:szCs w:val="21"/>
                <w:u w:val="single"/>
              </w:rPr>
              <w:t xml:space="preserve">   </w:t>
            </w:r>
            <w:r>
              <w:rPr>
                <w:rFonts w:hint="eastAsia" w:cs="宋体" w:asciiTheme="minorEastAsia" w:hAnsiTheme="minorEastAsia"/>
                <w:color w:val="auto"/>
                <w:kern w:val="0"/>
                <w:szCs w:val="21"/>
                <w:u w:val="single"/>
              </w:rPr>
              <w:t>%</w:t>
            </w:r>
          </w:p>
        </w:tc>
      </w:tr>
    </w:tbl>
    <w:p>
      <w:pPr>
        <w:spacing w:line="360" w:lineRule="auto"/>
        <w:rPr>
          <w:rFonts w:asciiTheme="minorEastAsia" w:hAnsiTheme="minorEastAsia"/>
          <w:bCs/>
          <w:color w:val="auto"/>
          <w:spacing w:val="4"/>
          <w:szCs w:val="21"/>
        </w:rPr>
      </w:pPr>
      <w:r>
        <w:rPr>
          <w:rFonts w:hint="eastAsia" w:asciiTheme="minorEastAsia" w:hAnsiTheme="minorEastAsia"/>
          <w:bCs/>
          <w:color w:val="auto"/>
          <w:spacing w:val="4"/>
          <w:szCs w:val="21"/>
        </w:rPr>
        <w:t>注：</w:t>
      </w:r>
    </w:p>
    <w:p>
      <w:pPr>
        <w:pStyle w:val="15"/>
        <w:numPr>
          <w:ilvl w:val="0"/>
          <w:numId w:val="42"/>
        </w:numPr>
        <w:shd w:val="clear" w:color="auto" w:fill="FFFFFF"/>
        <w:spacing w:before="0" w:beforeAutospacing="0" w:after="0" w:afterAutospacing="0" w:line="360" w:lineRule="auto"/>
        <w:ind w:left="0" w:firstLine="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报价人必须按报价表的格式填写，不得增加或删除表格内容。除单价、金额或项目要求填写的内容外，不得擅自改动报价表内容，</w:t>
      </w:r>
      <w:r>
        <w:rPr>
          <w:rFonts w:hint="eastAsia" w:asciiTheme="minorEastAsia" w:hAnsiTheme="minorEastAsia"/>
          <w:bCs/>
          <w:color w:val="auto"/>
          <w:sz w:val="21"/>
          <w:szCs w:val="21"/>
        </w:rPr>
        <w:t>否则将有可能影响成交结果，不推荐为成交候选人</w:t>
      </w:r>
      <w:r>
        <w:rPr>
          <w:rFonts w:hint="eastAsia" w:asciiTheme="minorEastAsia" w:hAnsiTheme="minorEastAsia" w:eastAsiaTheme="minorEastAsia"/>
          <w:bCs/>
          <w:color w:val="auto"/>
          <w:sz w:val="21"/>
          <w:szCs w:val="21"/>
        </w:rPr>
        <w:t>。</w:t>
      </w:r>
    </w:p>
    <w:p>
      <w:pPr>
        <w:pStyle w:val="15"/>
        <w:numPr>
          <w:ilvl w:val="0"/>
          <w:numId w:val="42"/>
        </w:numPr>
        <w:shd w:val="clear" w:color="auto" w:fill="FFFFFF"/>
        <w:spacing w:before="0" w:beforeAutospacing="0" w:after="0" w:afterAutospacing="0" w:line="360" w:lineRule="auto"/>
        <w:ind w:left="0" w:firstLine="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本项目以降点数形式进行报价，以《宣传礼品需求清单》</w:t>
      </w:r>
      <w:bookmarkStart w:id="67" w:name="_Hlk65082235"/>
      <w:r>
        <w:rPr>
          <w:rFonts w:hint="eastAsia" w:asciiTheme="minorEastAsia" w:hAnsiTheme="minorEastAsia" w:eastAsiaTheme="minorEastAsia"/>
          <w:bCs/>
          <w:color w:val="auto"/>
          <w:sz w:val="21"/>
          <w:szCs w:val="21"/>
        </w:rPr>
        <w:t>（见“第三章 用户需求书”）</w:t>
      </w:r>
      <w:bookmarkEnd w:id="67"/>
      <w:r>
        <w:rPr>
          <w:rFonts w:hint="eastAsia" w:asciiTheme="minorEastAsia" w:hAnsiTheme="minorEastAsia" w:eastAsiaTheme="minorEastAsia"/>
          <w:bCs/>
          <w:color w:val="auto"/>
          <w:sz w:val="21"/>
          <w:szCs w:val="21"/>
        </w:rPr>
        <w:t>中的不含税基准单价为基准，报出一个固定不变且唯一的降点数（降点数应为0或负数，不允许出现正数），即所有产品不含税单价统一按照所报降点数的百分比执行。</w:t>
      </w:r>
    </w:p>
    <w:p>
      <w:pPr>
        <w:spacing w:line="360" w:lineRule="auto"/>
        <w:ind w:firstLine="422" w:firstLineChars="201"/>
        <w:rPr>
          <w:rFonts w:cs="宋体" w:asciiTheme="minorEastAsia" w:hAnsiTheme="minorEastAsia"/>
          <w:bCs/>
          <w:color w:val="auto"/>
          <w:kern w:val="0"/>
          <w:szCs w:val="21"/>
        </w:rPr>
      </w:pPr>
      <w:r>
        <w:rPr>
          <w:rFonts w:hint="eastAsia" w:cs="宋体" w:asciiTheme="minorEastAsia" w:hAnsiTheme="minorEastAsia"/>
          <w:bCs/>
          <w:color w:val="auto"/>
          <w:kern w:val="0"/>
          <w:szCs w:val="21"/>
        </w:rPr>
        <w:t>例如所报的降点数为-10.2，则所有产品不含税单价统一下降10.2% ；如所报的降点数为-0.8，则所有产品不含税单价统一下降0.8%。</w:t>
      </w:r>
    </w:p>
    <w:p>
      <w:pPr>
        <w:spacing w:line="360" w:lineRule="auto"/>
        <w:ind w:firstLine="422" w:firstLineChars="201"/>
        <w:rPr>
          <w:rFonts w:cs="宋体" w:asciiTheme="minorEastAsia" w:hAnsiTheme="minorEastAsia"/>
          <w:bCs/>
          <w:color w:val="auto"/>
          <w:kern w:val="0"/>
          <w:szCs w:val="21"/>
        </w:rPr>
      </w:pPr>
      <w:r>
        <w:rPr>
          <w:rFonts w:hint="eastAsia" w:cs="宋体" w:asciiTheme="minorEastAsia" w:hAnsiTheme="minorEastAsia"/>
          <w:bCs/>
          <w:color w:val="auto"/>
          <w:kern w:val="0"/>
          <w:szCs w:val="21"/>
        </w:rPr>
        <w:t>含税结算单价计算方法如下:</w:t>
      </w:r>
    </w:p>
    <w:p>
      <w:pPr>
        <w:spacing w:line="360" w:lineRule="auto"/>
        <w:ind w:firstLine="422" w:firstLineChars="201"/>
        <w:rPr>
          <w:rFonts w:cs="宋体" w:asciiTheme="minorEastAsia" w:hAnsiTheme="minorEastAsia"/>
          <w:bCs/>
          <w:color w:val="auto"/>
          <w:kern w:val="0"/>
          <w:szCs w:val="21"/>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spacing w:line="360" w:lineRule="auto"/>
        <w:ind w:firstLine="424" w:firstLineChars="201"/>
        <w:rPr>
          <w:rFonts w:cs="宋体" w:asciiTheme="minorEastAsia" w:hAnsiTheme="minorEastAsia"/>
          <w:b/>
          <w:color w:val="auto"/>
          <w:kern w:val="0"/>
          <w:szCs w:val="21"/>
        </w:rPr>
      </w:pPr>
      <w:r>
        <w:rPr>
          <w:rFonts w:hint="eastAsia" w:cs="宋体" w:asciiTheme="minorEastAsia" w:hAnsiTheme="minorEastAsia"/>
          <w:b/>
          <w:color w:val="auto"/>
          <w:kern w:val="0"/>
          <w:szCs w:val="21"/>
        </w:rPr>
        <w:t>所报降点数精确到小数点后一位。对于小数点后第二位及之后的数字，无论大小，直接舍去。所报降点数不得大于0，否则将视为无效报价。</w:t>
      </w:r>
    </w:p>
    <w:p>
      <w:pPr>
        <w:spacing w:line="360" w:lineRule="auto"/>
        <w:ind w:firstLine="422" w:firstLineChars="201"/>
        <w:rPr>
          <w:rFonts w:ascii="宋体" w:hAnsi="宋体" w:eastAsia="宋体" w:cs="宋体"/>
          <w:bCs/>
          <w:color w:val="auto"/>
          <w:kern w:val="0"/>
          <w:szCs w:val="21"/>
        </w:rPr>
      </w:pPr>
      <w:r>
        <w:rPr>
          <w:rFonts w:hint="eastAsia" w:cs="宋体" w:asciiTheme="minorEastAsia" w:hAnsiTheme="minorEastAsia"/>
          <w:bCs/>
          <w:color w:val="auto"/>
          <w:kern w:val="0"/>
          <w:szCs w:val="21"/>
        </w:rPr>
        <w:t>报价人降点后的结算费用已包含材料费、人工费、保险费、运输费、税费、工具、安装材料、维护保养等相关费用，采购人不再支付任何其他费用。</w:t>
      </w:r>
    </w:p>
    <w:p>
      <w:pPr>
        <w:pStyle w:val="15"/>
        <w:numPr>
          <w:ilvl w:val="0"/>
          <w:numId w:val="42"/>
        </w:numPr>
        <w:shd w:val="clear" w:color="auto" w:fill="FFFFFF"/>
        <w:spacing w:before="0" w:beforeAutospacing="0" w:after="0" w:afterAutospacing="0" w:line="360" w:lineRule="auto"/>
        <w:ind w:left="0" w:right="-197" w:rightChars="-94" w:firstLine="0"/>
        <w:rPr>
          <w:b/>
          <w:color w:val="auto"/>
          <w:sz w:val="21"/>
          <w:szCs w:val="21"/>
          <w:u w:val="single"/>
        </w:rPr>
      </w:pPr>
      <w:r>
        <w:rPr>
          <w:rFonts w:hint="eastAsia"/>
          <w:b/>
          <w:color w:val="auto"/>
          <w:sz w:val="21"/>
          <w:szCs w:val="21"/>
          <w:u w:val="single"/>
        </w:rPr>
        <w:t>注意在填报</w:t>
      </w:r>
      <w:r>
        <w:rPr>
          <w:rFonts w:hint="eastAsia" w:asciiTheme="minorEastAsia" w:hAnsiTheme="minorEastAsia" w:eastAsiaTheme="minorEastAsia"/>
          <w:b/>
          <w:color w:val="auto"/>
          <w:sz w:val="21"/>
          <w:szCs w:val="21"/>
          <w:u w:val="single"/>
        </w:rPr>
        <w:t>降点数时不要加%</w:t>
      </w:r>
      <w:r>
        <w:rPr>
          <w:rFonts w:hint="eastAsia"/>
          <w:b/>
          <w:color w:val="auto"/>
          <w:sz w:val="21"/>
          <w:szCs w:val="21"/>
          <w:u w:val="single"/>
        </w:rPr>
        <w:t>。平台上报价与报价表降点数不一致的，以报价表经价格核准后的降点数为准。</w:t>
      </w:r>
    </w:p>
    <w:p>
      <w:pPr>
        <w:wordWrap w:val="0"/>
        <w:spacing w:line="360" w:lineRule="auto"/>
        <w:ind w:right="218"/>
        <w:jc w:val="right"/>
        <w:rPr>
          <w:rFonts w:ascii="宋体" w:hAnsi="宋体"/>
          <w:b/>
          <w:bCs/>
          <w:color w:val="auto"/>
          <w:u w:val="single"/>
        </w:rPr>
      </w:pPr>
    </w:p>
    <w:p>
      <w:pPr>
        <w:spacing w:line="360" w:lineRule="auto"/>
        <w:ind w:right="218"/>
        <w:jc w:val="center"/>
        <w:rPr>
          <w:rFonts w:ascii="宋体" w:hAnsi="宋体"/>
          <w:color w:val="auto"/>
          <w:spacing w:val="4"/>
          <w:szCs w:val="21"/>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spacing w:line="360" w:lineRule="auto"/>
        <w:ind w:right="218"/>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pPr>
        <w:wordWrap w:val="0"/>
        <w:spacing w:line="360" w:lineRule="auto"/>
        <w:ind w:right="218"/>
        <w:rPr>
          <w:rFonts w:ascii="宋体" w:hAnsi="宋体"/>
          <w:color w:val="auto"/>
          <w:szCs w:val="21"/>
          <w:u w:val="single"/>
        </w:rPr>
      </w:pPr>
    </w:p>
    <w:p>
      <w:pPr>
        <w:wordWrap w:val="0"/>
        <w:spacing w:line="360" w:lineRule="auto"/>
        <w:ind w:right="218"/>
        <w:rPr>
          <w:rFonts w:ascii="宋体" w:hAnsi="宋体"/>
          <w:color w:val="auto"/>
          <w:szCs w:val="21"/>
          <w:u w:val="single"/>
        </w:rPr>
      </w:pPr>
    </w:p>
    <w:bookmarkEnd w:id="68"/>
    <w:sectPr>
      <w:pgSz w:w="11906" w:h="16838"/>
      <w:pgMar w:top="1134" w:right="1134" w:bottom="1134" w:left="1134" w:header="709" w:footer="647" w:gutter="28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11</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14</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28</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350"/>
        <w:tab w:val="clear" w:pos="8306"/>
      </w:tabs>
      <w:ind w:right="-1"/>
      <w:jc w:val="both"/>
    </w:pPr>
    <w:r>
      <w:rPr>
        <w:rFonts w:ascii="宋体" w:hAnsi="宋体"/>
        <w:color w:val="000000" w:themeColor="text1"/>
        <w14:textFill>
          <w14:solidFill>
            <w14:schemeClr w14:val="tx1"/>
          </w14:solidFill>
        </w14:textFill>
      </w:rPr>
      <w:drawing>
        <wp:inline distT="0" distB="0" distL="0" distR="0">
          <wp:extent cx="1016635" cy="395605"/>
          <wp:effectExtent l="0" t="0" r="1206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635" cy="395605"/>
                  </a:xfrm>
                  <a:prstGeom prst="rect">
                    <a:avLst/>
                  </a:prstGeom>
                  <a:noFill/>
                  <a:ln>
                    <a:noFill/>
                  </a:ln>
                </pic:spPr>
              </pic:pic>
            </a:graphicData>
          </a:graphic>
        </wp:inline>
      </w:drawing>
    </w:r>
    <w:r>
      <w:rPr>
        <w:rFonts w:hint="eastAsia" w:ascii="宋体" w:hAnsi="宋体"/>
      </w:rPr>
      <w:t xml:space="preserve">  </w:t>
    </w:r>
    <w:r>
      <w:t xml:space="preserve">                 </w:t>
    </w:r>
    <w:r>
      <w:rPr>
        <w:rFonts w:hint="eastAsia"/>
      </w:rPr>
      <w:t xml:space="preserve">         广东有线广播电视网络有限公司2024年宣传礼品采购项目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268"/>
        </w:tabs>
        <w:ind w:left="268" w:hanging="420"/>
      </w:pPr>
    </w:lvl>
    <w:lvl w:ilvl="2" w:tentative="0">
      <w:start w:val="1"/>
      <w:numFmt w:val="lowerRoman"/>
      <w:lvlText w:val="%3."/>
      <w:lvlJc w:val="right"/>
      <w:pPr>
        <w:tabs>
          <w:tab w:val="left" w:pos="688"/>
        </w:tabs>
        <w:ind w:left="688" w:hanging="420"/>
      </w:pPr>
    </w:lvl>
    <w:lvl w:ilvl="3" w:tentative="0">
      <w:start w:val="1"/>
      <w:numFmt w:val="decimal"/>
      <w:lvlText w:val="%4."/>
      <w:lvlJc w:val="left"/>
      <w:pPr>
        <w:tabs>
          <w:tab w:val="left" w:pos="1108"/>
        </w:tabs>
        <w:ind w:left="1108" w:hanging="420"/>
      </w:pPr>
    </w:lvl>
    <w:lvl w:ilvl="4" w:tentative="0">
      <w:start w:val="1"/>
      <w:numFmt w:val="lowerLetter"/>
      <w:lvlText w:val="%5)"/>
      <w:lvlJc w:val="left"/>
      <w:pPr>
        <w:tabs>
          <w:tab w:val="left" w:pos="1528"/>
        </w:tabs>
        <w:ind w:left="1528" w:hanging="420"/>
      </w:pPr>
    </w:lvl>
    <w:lvl w:ilvl="5" w:tentative="0">
      <w:start w:val="1"/>
      <w:numFmt w:val="lowerRoman"/>
      <w:lvlText w:val="%6."/>
      <w:lvlJc w:val="right"/>
      <w:pPr>
        <w:tabs>
          <w:tab w:val="left" w:pos="1948"/>
        </w:tabs>
        <w:ind w:left="1948" w:hanging="420"/>
      </w:pPr>
    </w:lvl>
    <w:lvl w:ilvl="6" w:tentative="0">
      <w:start w:val="1"/>
      <w:numFmt w:val="decimal"/>
      <w:lvlText w:val="%7."/>
      <w:lvlJc w:val="left"/>
      <w:pPr>
        <w:tabs>
          <w:tab w:val="left" w:pos="2368"/>
        </w:tabs>
        <w:ind w:left="2368" w:hanging="420"/>
      </w:pPr>
    </w:lvl>
    <w:lvl w:ilvl="7" w:tentative="0">
      <w:start w:val="1"/>
      <w:numFmt w:val="lowerLetter"/>
      <w:lvlText w:val="%8)"/>
      <w:lvlJc w:val="left"/>
      <w:pPr>
        <w:tabs>
          <w:tab w:val="left" w:pos="2788"/>
        </w:tabs>
        <w:ind w:left="2788" w:hanging="420"/>
      </w:pPr>
    </w:lvl>
    <w:lvl w:ilvl="8" w:tentative="0">
      <w:start w:val="1"/>
      <w:numFmt w:val="lowerRoman"/>
      <w:lvlText w:val="%9."/>
      <w:lvlJc w:val="right"/>
      <w:pPr>
        <w:tabs>
          <w:tab w:val="left" w:pos="3208"/>
        </w:tabs>
        <w:ind w:left="3208" w:hanging="420"/>
      </w:p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5"/>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5B30C9"/>
    <w:multiLevelType w:val="multilevel"/>
    <w:tmpl w:val="015B30C9"/>
    <w:lvl w:ilvl="0" w:tentative="0">
      <w:start w:val="1"/>
      <w:numFmt w:val="decimal"/>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3">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717371F"/>
    <w:multiLevelType w:val="multilevel"/>
    <w:tmpl w:val="0717371F"/>
    <w:lvl w:ilvl="0" w:tentative="0">
      <w:start w:val="1"/>
      <w:numFmt w:val="decimal"/>
      <w:lvlText w:val="%1)"/>
      <w:lvlJc w:val="left"/>
      <w:pPr>
        <w:ind w:left="42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63D86"/>
    <w:multiLevelType w:val="multilevel"/>
    <w:tmpl w:val="0AF63D86"/>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91F7B79"/>
    <w:multiLevelType w:val="multilevel"/>
    <w:tmpl w:val="191F7B7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B3C13FB"/>
    <w:multiLevelType w:val="multilevel"/>
    <w:tmpl w:val="1B3C13F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03C4A79"/>
    <w:multiLevelType w:val="multilevel"/>
    <w:tmpl w:val="203C4A79"/>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2C416AE0"/>
    <w:multiLevelType w:val="multilevel"/>
    <w:tmpl w:val="2C416AE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DE61C54"/>
    <w:multiLevelType w:val="multilevel"/>
    <w:tmpl w:val="2DE61C54"/>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2F94019F"/>
    <w:multiLevelType w:val="multilevel"/>
    <w:tmpl w:val="2F94019F"/>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0091457"/>
    <w:multiLevelType w:val="multilevel"/>
    <w:tmpl w:val="3009145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06543FD"/>
    <w:multiLevelType w:val="multilevel"/>
    <w:tmpl w:val="306543FD"/>
    <w:lvl w:ilvl="0" w:tentative="0">
      <w:start w:val="1"/>
      <w:numFmt w:val="decimal"/>
      <w:lvlText w:val="%1"/>
      <w:lvlJc w:val="left"/>
      <w:pPr>
        <w:ind w:left="432" w:hanging="432"/>
      </w:pPr>
      <w:rPr>
        <w:rFonts w:hint="eastAsia"/>
      </w:rPr>
    </w:lvl>
    <w:lvl w:ilvl="1" w:tentative="0">
      <w:start w:val="1"/>
      <w:numFmt w:val="decimal"/>
      <w:lvlText w:val="%2."/>
      <w:lvlJc w:val="left"/>
      <w:pPr>
        <w:ind w:left="454" w:hanging="454"/>
      </w:pPr>
      <w:rPr>
        <w:rFonts w:hint="eastAsia"/>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8">
    <w:nsid w:val="30AB501A"/>
    <w:multiLevelType w:val="multilevel"/>
    <w:tmpl w:val="30AB501A"/>
    <w:lvl w:ilvl="0" w:tentative="0">
      <w:start w:val="1"/>
      <w:numFmt w:val="chineseCountingThousand"/>
      <w:lvlText w:val="%1、"/>
      <w:lvlJc w:val="left"/>
      <w:pPr>
        <w:tabs>
          <w:tab w:val="left" w:pos="720"/>
        </w:tabs>
        <w:ind w:left="720" w:hanging="720"/>
      </w:pPr>
    </w:lvl>
    <w:lvl w:ilvl="1" w:tentative="0">
      <w:start w:val="1"/>
      <w:numFmt w:val="decimal"/>
      <w:lvlText w:val="%2."/>
      <w:lvlJc w:val="left"/>
      <w:pPr>
        <w:tabs>
          <w:tab w:val="left" w:pos="1440"/>
        </w:tabs>
        <w:ind w:left="1440" w:hanging="720"/>
      </w:pPr>
      <w:rPr>
        <w:rFonts w:hint="default" w:ascii="宋体" w:hAnsi="宋体" w:eastAsia="宋体" w:cstheme="minorEastAsia"/>
        <w:sz w:val="21"/>
        <w:szCs w:val="21"/>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341D0367"/>
    <w:multiLevelType w:val="multilevel"/>
    <w:tmpl w:val="341D036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67C634C"/>
    <w:multiLevelType w:val="multilevel"/>
    <w:tmpl w:val="367C634C"/>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1">
    <w:nsid w:val="3CE44964"/>
    <w:multiLevelType w:val="multilevel"/>
    <w:tmpl w:val="3CE44964"/>
    <w:lvl w:ilvl="0" w:tentative="0">
      <w:start w:val="1"/>
      <w:numFmt w:val="decimal"/>
      <w:suff w:val="nothing"/>
      <w:lvlText w:val="%1)"/>
      <w:lvlJc w:val="left"/>
      <w:pPr>
        <w:ind w:left="2122"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3E6033B0"/>
    <w:multiLevelType w:val="multilevel"/>
    <w:tmpl w:val="3E6033B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467821BE"/>
    <w:multiLevelType w:val="multilevel"/>
    <w:tmpl w:val="467821BE"/>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5">
    <w:nsid w:val="49F754BD"/>
    <w:multiLevelType w:val="multilevel"/>
    <w:tmpl w:val="49F754BD"/>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lowerLetter"/>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7">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8">
    <w:nsid w:val="59794862"/>
    <w:multiLevelType w:val="multilevel"/>
    <w:tmpl w:val="5979486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5A4D7A0D"/>
    <w:multiLevelType w:val="multilevel"/>
    <w:tmpl w:val="5A4D7A0D"/>
    <w:lvl w:ilvl="0" w:tentative="0">
      <w:start w:val="1"/>
      <w:numFmt w:val="chineseCountingThousand"/>
      <w:lvlText w:val="第%1条 "/>
      <w:lvlJc w:val="left"/>
      <w:pPr>
        <w:tabs>
          <w:tab w:val="left" w:pos="420"/>
        </w:tabs>
        <w:ind w:left="420" w:hanging="420"/>
      </w:pPr>
      <w:rPr>
        <w:rFonts w:hint="eastAsia"/>
      </w:rPr>
    </w:lvl>
    <w:lvl w:ilvl="1" w:tentative="0">
      <w:start w:val="1"/>
      <w:numFmt w:val="decimal"/>
      <w:lvlText w:val="1.%2"/>
      <w:lvlJc w:val="left"/>
      <w:pPr>
        <w:tabs>
          <w:tab w:val="left" w:pos="420"/>
        </w:tabs>
        <w:ind w:left="420" w:hanging="42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5B2E4CB9"/>
    <w:multiLevelType w:val="multilevel"/>
    <w:tmpl w:val="5B2E4C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992"/>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1">
    <w:nsid w:val="5EC87040"/>
    <w:multiLevelType w:val="multilevel"/>
    <w:tmpl w:val="5EC87040"/>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2">
    <w:nsid w:val="60696EF2"/>
    <w:multiLevelType w:val="multilevel"/>
    <w:tmpl w:val="60696EF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3">
    <w:nsid w:val="61D151A8"/>
    <w:multiLevelType w:val="multilevel"/>
    <w:tmpl w:val="61D151A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59C5F67"/>
    <w:multiLevelType w:val="multilevel"/>
    <w:tmpl w:val="659C5F67"/>
    <w:lvl w:ilvl="0" w:tentative="0">
      <w:start w:val="1"/>
      <w:numFmt w:val="decimal"/>
      <w:lvlText w:val="%1"/>
      <w:lvlJc w:val="left"/>
      <w:pPr>
        <w:ind w:left="432" w:hanging="432"/>
      </w:pPr>
      <w:rPr>
        <w:rFonts w:hint="eastAsia"/>
      </w:rPr>
    </w:lvl>
    <w:lvl w:ilvl="1" w:tentative="0">
      <w:start w:val="1"/>
      <w:numFmt w:val="decimal"/>
      <w:lvlText w:val="%2."/>
      <w:lvlJc w:val="left"/>
      <w:pPr>
        <w:ind w:left="454" w:firstLine="0"/>
      </w:pPr>
      <w:rPr>
        <w:rFonts w:hint="eastAsia"/>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36">
    <w:nsid w:val="69D0263A"/>
    <w:multiLevelType w:val="multilevel"/>
    <w:tmpl w:val="69D026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68A5A3A"/>
    <w:multiLevelType w:val="multilevel"/>
    <w:tmpl w:val="768A5A3A"/>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7EB06781"/>
    <w:multiLevelType w:val="multilevel"/>
    <w:tmpl w:val="7EB06781"/>
    <w:lvl w:ilvl="0" w:tentative="0">
      <w:start w:val="1"/>
      <w:numFmt w:val="chineseCountingThousand"/>
      <w:lvlText w:val="第%1条 "/>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lang w:val="en-U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
  </w:num>
  <w:num w:numId="6">
    <w:abstractNumId w:val="38"/>
  </w:num>
  <w:num w:numId="7">
    <w:abstractNumId w:val="19"/>
  </w:num>
  <w:num w:numId="8">
    <w:abstractNumId w:val="27"/>
  </w:num>
  <w:num w:numId="9">
    <w:abstractNumId w:val="5"/>
  </w:num>
  <w:num w:numId="10">
    <w:abstractNumId w:val="12"/>
  </w:num>
  <w:num w:numId="11">
    <w:abstractNumId w:val="22"/>
  </w:num>
  <w:num w:numId="12">
    <w:abstractNumId w:val="8"/>
  </w:num>
  <w:num w:numId="13">
    <w:abstractNumId w:val="28"/>
  </w:num>
  <w:num w:numId="14">
    <w:abstractNumId w:val="6"/>
  </w:num>
  <w:num w:numId="15">
    <w:abstractNumId w:val="23"/>
  </w:num>
  <w:num w:numId="16">
    <w:abstractNumId w:val="3"/>
  </w:num>
  <w:num w:numId="17">
    <w:abstractNumId w:val="15"/>
  </w:num>
  <w:num w:numId="18">
    <w:abstractNumId w:val="16"/>
  </w:num>
  <w:num w:numId="19">
    <w:abstractNumId w:val="25"/>
  </w:num>
  <w:num w:numId="20">
    <w:abstractNumId w:val="11"/>
  </w:num>
  <w:num w:numId="21">
    <w:abstractNumId w:val="21"/>
  </w:num>
  <w:num w:numId="22">
    <w:abstractNumId w:val="39"/>
  </w:num>
  <w:num w:numId="23">
    <w:abstractNumId w:val="29"/>
  </w:num>
  <w:num w:numId="24">
    <w:abstractNumId w:val="9"/>
  </w:num>
  <w:num w:numId="25">
    <w:abstractNumId w:val="17"/>
  </w:num>
  <w:num w:numId="26">
    <w:abstractNumId w:val="13"/>
  </w:num>
  <w:num w:numId="27">
    <w:abstractNumId w:val="33"/>
  </w:num>
  <w:num w:numId="28">
    <w:abstractNumId w:val="35"/>
  </w:num>
  <w:num w:numId="29">
    <w:abstractNumId w:val="7"/>
  </w:num>
  <w:num w:numId="30">
    <w:abstractNumId w:val="30"/>
  </w:num>
  <w:num w:numId="31">
    <w:abstractNumId w:val="30"/>
    <w:lvlOverride w:ilvl="0">
      <w:lvl w:ilvl="0" w:tentative="1">
        <w:start w:val="1"/>
        <w:numFmt w:val="decimal"/>
        <w:lvlText w:val="%1."/>
        <w:lvlJc w:val="left"/>
        <w:pPr>
          <w:ind w:left="840" w:hanging="420"/>
        </w:pPr>
      </w:lvl>
    </w:lvlOverride>
    <w:lvlOverride w:ilvl="1">
      <w:lvl w:ilvl="1" w:tentative="1">
        <w:start w:val="1"/>
        <w:numFmt w:val="lowerLetter"/>
        <w:lvlText w:val="%2)"/>
        <w:lvlJc w:val="left"/>
        <w:pPr>
          <w:ind w:left="1260" w:hanging="420"/>
        </w:pPr>
      </w:lvl>
    </w:lvlOverride>
    <w:lvlOverride w:ilvl="2">
      <w:lvl w:ilvl="2" w:tentative="1">
        <w:start w:val="1"/>
        <w:numFmt w:val="lowerRoman"/>
        <w:lvlText w:val="%3."/>
        <w:lvlJc w:val="right"/>
        <w:pPr>
          <w:ind w:left="1680" w:hanging="420"/>
        </w:pPr>
      </w:lvl>
    </w:lvlOverride>
    <w:lvlOverride w:ilvl="3">
      <w:lvl w:ilvl="3" w:tentative="1">
        <w:start w:val="1"/>
        <w:numFmt w:val="decimal"/>
        <w:lvlText w:val="%4."/>
        <w:lvlJc w:val="left"/>
        <w:pPr>
          <w:ind w:left="2100" w:hanging="420"/>
        </w:pPr>
      </w:lvl>
    </w:lvlOverride>
    <w:lvlOverride w:ilvl="4">
      <w:lvl w:ilvl="4" w:tentative="1">
        <w:start w:val="1"/>
        <w:numFmt w:val="lowerLetter"/>
        <w:lvlText w:val="%5)"/>
        <w:lvlJc w:val="left"/>
        <w:pPr>
          <w:ind w:left="2520" w:hanging="420"/>
        </w:pPr>
      </w:lvl>
    </w:lvlOverride>
    <w:lvlOverride w:ilvl="5">
      <w:lvl w:ilvl="5" w:tentative="1">
        <w:start w:val="1"/>
        <w:numFmt w:val="lowerRoman"/>
        <w:lvlText w:val="%6."/>
        <w:lvlJc w:val="right"/>
        <w:pPr>
          <w:ind w:left="2940" w:hanging="420"/>
        </w:pPr>
      </w:lvl>
    </w:lvlOverride>
    <w:lvlOverride w:ilvl="6">
      <w:lvl w:ilvl="6" w:tentative="1">
        <w:start w:val="1"/>
        <w:numFmt w:val="decimal"/>
        <w:lvlText w:val="%7."/>
        <w:lvlJc w:val="left"/>
        <w:pPr>
          <w:ind w:left="3360" w:hanging="420"/>
        </w:pPr>
      </w:lvl>
    </w:lvlOverride>
    <w:lvlOverride w:ilvl="7">
      <w:lvl w:ilvl="7" w:tentative="1">
        <w:start w:val="1"/>
        <w:numFmt w:val="lowerLetter"/>
        <w:lvlText w:val="%8)"/>
        <w:lvlJc w:val="left"/>
        <w:pPr>
          <w:ind w:left="3780" w:hanging="420"/>
        </w:pPr>
      </w:lvl>
    </w:lvlOverride>
    <w:lvlOverride w:ilvl="8">
      <w:lvl w:ilvl="8" w:tentative="1">
        <w:start w:val="1"/>
        <w:numFmt w:val="lowerRoman"/>
        <w:lvlText w:val="%9."/>
        <w:lvlJc w:val="right"/>
        <w:pPr>
          <w:ind w:left="4200" w:hanging="420"/>
        </w:pPr>
      </w:lvl>
    </w:lvlOverride>
  </w:num>
  <w:num w:numId="32">
    <w:abstractNumId w:val="24"/>
  </w:num>
  <w:num w:numId="33">
    <w:abstractNumId w:val="20"/>
  </w:num>
  <w:num w:numId="34">
    <w:abstractNumId w:val="2"/>
  </w:num>
  <w:num w:numId="35">
    <w:abstractNumId w:val="32"/>
  </w:num>
  <w:num w:numId="36">
    <w:abstractNumId w:val="32"/>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454" w:hanging="454"/>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default"/>
        </w:rPr>
      </w:lvl>
    </w:lvlOverride>
    <w:lvlOverride w:ilvl="4">
      <w:lvl w:ilvl="4" w:tentative="1">
        <w:start w:val="1"/>
        <w:numFmt w:val="decimal"/>
        <w:lvlText w:val="%1.%2.%3.%4.%5"/>
        <w:lvlJc w:val="left"/>
        <w:pPr>
          <w:ind w:left="2551" w:hanging="850"/>
        </w:pPr>
        <w:rPr>
          <w:rFonts w:hint="default"/>
        </w:rPr>
      </w:lvl>
    </w:lvlOverride>
    <w:lvlOverride w:ilvl="5">
      <w:lvl w:ilvl="5" w:tentative="1">
        <w:start w:val="1"/>
        <w:numFmt w:val="decimal"/>
        <w:lvlText w:val="%1.%2.%3.%4.%5.%6"/>
        <w:lvlJc w:val="left"/>
        <w:pPr>
          <w:ind w:left="3260" w:hanging="1134"/>
        </w:pPr>
        <w:rPr>
          <w:rFonts w:hint="default"/>
        </w:rPr>
      </w:lvl>
    </w:lvlOverride>
    <w:lvlOverride w:ilvl="6">
      <w:lvl w:ilvl="6" w:tentative="1">
        <w:start w:val="1"/>
        <w:numFmt w:val="decimal"/>
        <w:lvlText w:val="%1.%2.%3.%4.%5.%6.%7"/>
        <w:lvlJc w:val="left"/>
        <w:pPr>
          <w:ind w:left="3827" w:hanging="1276"/>
        </w:pPr>
        <w:rPr>
          <w:rFonts w:hint="default"/>
        </w:rPr>
      </w:lvl>
    </w:lvlOverride>
    <w:lvlOverride w:ilvl="7">
      <w:lvl w:ilvl="7" w:tentative="1">
        <w:start w:val="1"/>
        <w:numFmt w:val="decimal"/>
        <w:lvlText w:val="%1.%2.%3.%4.%5.%6.%7.%8"/>
        <w:lvlJc w:val="left"/>
        <w:pPr>
          <w:ind w:left="4394" w:hanging="1418"/>
        </w:pPr>
        <w:rPr>
          <w:rFonts w:hint="default"/>
        </w:rPr>
      </w:lvl>
    </w:lvlOverride>
    <w:lvlOverride w:ilvl="8">
      <w:lvl w:ilvl="8" w:tentative="1">
        <w:start w:val="1"/>
        <w:numFmt w:val="decimal"/>
        <w:lvlText w:val="%1.%2.%3.%4.%5.%6.%7.%8.%9"/>
        <w:lvlJc w:val="left"/>
        <w:pPr>
          <w:ind w:left="5102" w:hanging="1700"/>
        </w:pPr>
        <w:rPr>
          <w:rFonts w:hint="default"/>
        </w:rPr>
      </w:lvl>
    </w:lvlOverride>
  </w:num>
  <w:num w:numId="37">
    <w:abstractNumId w:val="0"/>
  </w:num>
  <w:num w:numId="38">
    <w:abstractNumId w:val="14"/>
  </w:num>
  <w:num w:numId="39">
    <w:abstractNumId w:val="31"/>
  </w:num>
  <w:num w:numId="40">
    <w:abstractNumId w:val="36"/>
  </w:num>
  <w:num w:numId="41">
    <w:abstractNumId w:val="2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iMzM3MzE3ZjRkN2VmNDQ5NmMzZDdjMmIwMDZkZGIifQ=="/>
  </w:docVars>
  <w:rsids>
    <w:rsidRoot w:val="00603670"/>
    <w:rsid w:val="0000298A"/>
    <w:rsid w:val="00011A82"/>
    <w:rsid w:val="000163AB"/>
    <w:rsid w:val="00027036"/>
    <w:rsid w:val="00042B6B"/>
    <w:rsid w:val="000431C9"/>
    <w:rsid w:val="00045E6F"/>
    <w:rsid w:val="00050534"/>
    <w:rsid w:val="00053978"/>
    <w:rsid w:val="000565F1"/>
    <w:rsid w:val="00062E7B"/>
    <w:rsid w:val="0007178C"/>
    <w:rsid w:val="00072D57"/>
    <w:rsid w:val="00075391"/>
    <w:rsid w:val="00077F17"/>
    <w:rsid w:val="00082CDE"/>
    <w:rsid w:val="0009388B"/>
    <w:rsid w:val="00094742"/>
    <w:rsid w:val="000A0842"/>
    <w:rsid w:val="000B040C"/>
    <w:rsid w:val="000B3F59"/>
    <w:rsid w:val="000B49B1"/>
    <w:rsid w:val="000C51A2"/>
    <w:rsid w:val="000C5ABD"/>
    <w:rsid w:val="000E0CA4"/>
    <w:rsid w:val="000E1199"/>
    <w:rsid w:val="000E1588"/>
    <w:rsid w:val="000E1871"/>
    <w:rsid w:val="000E4B0D"/>
    <w:rsid w:val="000F423D"/>
    <w:rsid w:val="00107E2D"/>
    <w:rsid w:val="001125AC"/>
    <w:rsid w:val="0011556A"/>
    <w:rsid w:val="00116EDF"/>
    <w:rsid w:val="00123BEA"/>
    <w:rsid w:val="00126149"/>
    <w:rsid w:val="001304CF"/>
    <w:rsid w:val="00131941"/>
    <w:rsid w:val="0013422B"/>
    <w:rsid w:val="00140AD2"/>
    <w:rsid w:val="001540C6"/>
    <w:rsid w:val="00156697"/>
    <w:rsid w:val="0016171E"/>
    <w:rsid w:val="00171DE9"/>
    <w:rsid w:val="00175ECB"/>
    <w:rsid w:val="00182BE9"/>
    <w:rsid w:val="001863E0"/>
    <w:rsid w:val="0019519B"/>
    <w:rsid w:val="001A0DDF"/>
    <w:rsid w:val="001A26EE"/>
    <w:rsid w:val="001A5AEB"/>
    <w:rsid w:val="001A769F"/>
    <w:rsid w:val="001A7883"/>
    <w:rsid w:val="001B0A70"/>
    <w:rsid w:val="001B74DB"/>
    <w:rsid w:val="001C071E"/>
    <w:rsid w:val="001C1BB3"/>
    <w:rsid w:val="001C3C9F"/>
    <w:rsid w:val="001C3D61"/>
    <w:rsid w:val="001C4014"/>
    <w:rsid w:val="001C6BE3"/>
    <w:rsid w:val="001D1026"/>
    <w:rsid w:val="001D32B5"/>
    <w:rsid w:val="001D33E6"/>
    <w:rsid w:val="001E48AC"/>
    <w:rsid w:val="001E5C33"/>
    <w:rsid w:val="001E5F72"/>
    <w:rsid w:val="001E755E"/>
    <w:rsid w:val="001F0CFF"/>
    <w:rsid w:val="001F2E3F"/>
    <w:rsid w:val="001F3F8C"/>
    <w:rsid w:val="002056C6"/>
    <w:rsid w:val="00236FDD"/>
    <w:rsid w:val="002379C7"/>
    <w:rsid w:val="00242CAA"/>
    <w:rsid w:val="0024390D"/>
    <w:rsid w:val="00245BDA"/>
    <w:rsid w:val="00253352"/>
    <w:rsid w:val="0025512F"/>
    <w:rsid w:val="00262C61"/>
    <w:rsid w:val="00262DAA"/>
    <w:rsid w:val="0026399A"/>
    <w:rsid w:val="00270E13"/>
    <w:rsid w:val="00281F57"/>
    <w:rsid w:val="00283853"/>
    <w:rsid w:val="00283A1B"/>
    <w:rsid w:val="002920CA"/>
    <w:rsid w:val="002A1FE5"/>
    <w:rsid w:val="002A3DF0"/>
    <w:rsid w:val="002A3FFD"/>
    <w:rsid w:val="002A4DD8"/>
    <w:rsid w:val="002A50F6"/>
    <w:rsid w:val="002B2992"/>
    <w:rsid w:val="002B4DF8"/>
    <w:rsid w:val="002B6EEB"/>
    <w:rsid w:val="002C43CD"/>
    <w:rsid w:val="002C5CDF"/>
    <w:rsid w:val="002C632A"/>
    <w:rsid w:val="002C7CC8"/>
    <w:rsid w:val="002D4EBD"/>
    <w:rsid w:val="002E0263"/>
    <w:rsid w:val="002E61D3"/>
    <w:rsid w:val="002E66A9"/>
    <w:rsid w:val="002F352E"/>
    <w:rsid w:val="002F5A17"/>
    <w:rsid w:val="00327231"/>
    <w:rsid w:val="00327C22"/>
    <w:rsid w:val="00331588"/>
    <w:rsid w:val="00334F2A"/>
    <w:rsid w:val="00342E19"/>
    <w:rsid w:val="00355F34"/>
    <w:rsid w:val="00366797"/>
    <w:rsid w:val="00370AE6"/>
    <w:rsid w:val="003818F2"/>
    <w:rsid w:val="00383905"/>
    <w:rsid w:val="00383AEF"/>
    <w:rsid w:val="00392847"/>
    <w:rsid w:val="00393D24"/>
    <w:rsid w:val="00394537"/>
    <w:rsid w:val="00395A64"/>
    <w:rsid w:val="00395C9C"/>
    <w:rsid w:val="003B0A20"/>
    <w:rsid w:val="003B48C0"/>
    <w:rsid w:val="003C0A1C"/>
    <w:rsid w:val="003C419C"/>
    <w:rsid w:val="003D2DE8"/>
    <w:rsid w:val="003E273C"/>
    <w:rsid w:val="003F38D5"/>
    <w:rsid w:val="00403AB2"/>
    <w:rsid w:val="00412749"/>
    <w:rsid w:val="00413259"/>
    <w:rsid w:val="004211A3"/>
    <w:rsid w:val="00431DBE"/>
    <w:rsid w:val="00434E1E"/>
    <w:rsid w:val="00436F6B"/>
    <w:rsid w:val="00442D06"/>
    <w:rsid w:val="00452BB3"/>
    <w:rsid w:val="00453F1D"/>
    <w:rsid w:val="0045760A"/>
    <w:rsid w:val="004610D7"/>
    <w:rsid w:val="004613B9"/>
    <w:rsid w:val="004651B7"/>
    <w:rsid w:val="0047081D"/>
    <w:rsid w:val="004765F8"/>
    <w:rsid w:val="00476745"/>
    <w:rsid w:val="004847AF"/>
    <w:rsid w:val="004915DC"/>
    <w:rsid w:val="00492B35"/>
    <w:rsid w:val="00493336"/>
    <w:rsid w:val="00494623"/>
    <w:rsid w:val="00496883"/>
    <w:rsid w:val="004A2E8E"/>
    <w:rsid w:val="004A36A8"/>
    <w:rsid w:val="004A669C"/>
    <w:rsid w:val="004B3A38"/>
    <w:rsid w:val="004B4136"/>
    <w:rsid w:val="004B41AD"/>
    <w:rsid w:val="004B57DA"/>
    <w:rsid w:val="004B7182"/>
    <w:rsid w:val="004C505A"/>
    <w:rsid w:val="004D2165"/>
    <w:rsid w:val="004D2A3E"/>
    <w:rsid w:val="004D2C61"/>
    <w:rsid w:val="004D6D34"/>
    <w:rsid w:val="004E22F0"/>
    <w:rsid w:val="004E3790"/>
    <w:rsid w:val="004F1479"/>
    <w:rsid w:val="004F2FCE"/>
    <w:rsid w:val="004F538B"/>
    <w:rsid w:val="00501F2E"/>
    <w:rsid w:val="0051057F"/>
    <w:rsid w:val="00521996"/>
    <w:rsid w:val="00522280"/>
    <w:rsid w:val="0052669A"/>
    <w:rsid w:val="005316BD"/>
    <w:rsid w:val="00532F62"/>
    <w:rsid w:val="00533B92"/>
    <w:rsid w:val="00534F6E"/>
    <w:rsid w:val="00535EEC"/>
    <w:rsid w:val="005462F7"/>
    <w:rsid w:val="005521A5"/>
    <w:rsid w:val="00555B34"/>
    <w:rsid w:val="00561E5A"/>
    <w:rsid w:val="00565168"/>
    <w:rsid w:val="005656FE"/>
    <w:rsid w:val="005735C0"/>
    <w:rsid w:val="00575243"/>
    <w:rsid w:val="0057657C"/>
    <w:rsid w:val="005802EF"/>
    <w:rsid w:val="00582A51"/>
    <w:rsid w:val="00585A83"/>
    <w:rsid w:val="00591BC0"/>
    <w:rsid w:val="005A2080"/>
    <w:rsid w:val="005B0A60"/>
    <w:rsid w:val="005B11EE"/>
    <w:rsid w:val="005B1D70"/>
    <w:rsid w:val="005B5E0C"/>
    <w:rsid w:val="005B6996"/>
    <w:rsid w:val="005C02BA"/>
    <w:rsid w:val="005C064C"/>
    <w:rsid w:val="005C3977"/>
    <w:rsid w:val="005C3A40"/>
    <w:rsid w:val="005C6A95"/>
    <w:rsid w:val="005D1B26"/>
    <w:rsid w:val="005D72B7"/>
    <w:rsid w:val="005D796C"/>
    <w:rsid w:val="005E0E8E"/>
    <w:rsid w:val="005E1CBA"/>
    <w:rsid w:val="005E2ABE"/>
    <w:rsid w:val="005E4015"/>
    <w:rsid w:val="005E748F"/>
    <w:rsid w:val="005F6D53"/>
    <w:rsid w:val="00600B7B"/>
    <w:rsid w:val="00603670"/>
    <w:rsid w:val="00604AF4"/>
    <w:rsid w:val="00616532"/>
    <w:rsid w:val="00616AE3"/>
    <w:rsid w:val="00623362"/>
    <w:rsid w:val="00627F1C"/>
    <w:rsid w:val="00633531"/>
    <w:rsid w:val="00645AC5"/>
    <w:rsid w:val="0064715C"/>
    <w:rsid w:val="00656538"/>
    <w:rsid w:val="00672F60"/>
    <w:rsid w:val="00680244"/>
    <w:rsid w:val="006817FD"/>
    <w:rsid w:val="00681F81"/>
    <w:rsid w:val="00682898"/>
    <w:rsid w:val="00690D3E"/>
    <w:rsid w:val="006923B3"/>
    <w:rsid w:val="00694BE8"/>
    <w:rsid w:val="006A61C8"/>
    <w:rsid w:val="006B07B5"/>
    <w:rsid w:val="006B1BFB"/>
    <w:rsid w:val="006B6DEE"/>
    <w:rsid w:val="006B764E"/>
    <w:rsid w:val="006C076C"/>
    <w:rsid w:val="006C490D"/>
    <w:rsid w:val="006C7064"/>
    <w:rsid w:val="006D213E"/>
    <w:rsid w:val="006D5FC6"/>
    <w:rsid w:val="006D7E04"/>
    <w:rsid w:val="006E77F2"/>
    <w:rsid w:val="00700C51"/>
    <w:rsid w:val="00704031"/>
    <w:rsid w:val="007056A1"/>
    <w:rsid w:val="0071097B"/>
    <w:rsid w:val="007128C2"/>
    <w:rsid w:val="007136E1"/>
    <w:rsid w:val="00713BF5"/>
    <w:rsid w:val="00715D44"/>
    <w:rsid w:val="007174A8"/>
    <w:rsid w:val="00717FA5"/>
    <w:rsid w:val="00720B6C"/>
    <w:rsid w:val="007214B0"/>
    <w:rsid w:val="00724E13"/>
    <w:rsid w:val="00726EDF"/>
    <w:rsid w:val="00732652"/>
    <w:rsid w:val="007342B9"/>
    <w:rsid w:val="007440B0"/>
    <w:rsid w:val="007470DA"/>
    <w:rsid w:val="00766BD6"/>
    <w:rsid w:val="007677CE"/>
    <w:rsid w:val="00780FFA"/>
    <w:rsid w:val="00781811"/>
    <w:rsid w:val="00781957"/>
    <w:rsid w:val="00782214"/>
    <w:rsid w:val="00783B9B"/>
    <w:rsid w:val="00783C3C"/>
    <w:rsid w:val="007B2D54"/>
    <w:rsid w:val="007B42AA"/>
    <w:rsid w:val="007B4699"/>
    <w:rsid w:val="007B63E7"/>
    <w:rsid w:val="007C5792"/>
    <w:rsid w:val="007C6970"/>
    <w:rsid w:val="007E26FA"/>
    <w:rsid w:val="007E3EDE"/>
    <w:rsid w:val="007F25C1"/>
    <w:rsid w:val="007F26F4"/>
    <w:rsid w:val="0080065E"/>
    <w:rsid w:val="008034FC"/>
    <w:rsid w:val="00803518"/>
    <w:rsid w:val="00811E08"/>
    <w:rsid w:val="008120D0"/>
    <w:rsid w:val="00812470"/>
    <w:rsid w:val="008124C1"/>
    <w:rsid w:val="0081404F"/>
    <w:rsid w:val="008236C6"/>
    <w:rsid w:val="00825FF0"/>
    <w:rsid w:val="00830919"/>
    <w:rsid w:val="0084519B"/>
    <w:rsid w:val="00847407"/>
    <w:rsid w:val="00850DC1"/>
    <w:rsid w:val="008537C7"/>
    <w:rsid w:val="008548E1"/>
    <w:rsid w:val="008556E4"/>
    <w:rsid w:val="00856F2F"/>
    <w:rsid w:val="00872727"/>
    <w:rsid w:val="00875023"/>
    <w:rsid w:val="00881257"/>
    <w:rsid w:val="00882269"/>
    <w:rsid w:val="0088675A"/>
    <w:rsid w:val="008A5110"/>
    <w:rsid w:val="008A7093"/>
    <w:rsid w:val="008A75A4"/>
    <w:rsid w:val="008B2FC3"/>
    <w:rsid w:val="008B4351"/>
    <w:rsid w:val="008B7BAC"/>
    <w:rsid w:val="008B7C71"/>
    <w:rsid w:val="008C2AB1"/>
    <w:rsid w:val="008C3917"/>
    <w:rsid w:val="008C7245"/>
    <w:rsid w:val="008E3CD8"/>
    <w:rsid w:val="008E49E5"/>
    <w:rsid w:val="008E6EDC"/>
    <w:rsid w:val="008F3BD8"/>
    <w:rsid w:val="008F3E0F"/>
    <w:rsid w:val="008F3F79"/>
    <w:rsid w:val="008F480D"/>
    <w:rsid w:val="008F779F"/>
    <w:rsid w:val="009003C0"/>
    <w:rsid w:val="00904D13"/>
    <w:rsid w:val="009227C3"/>
    <w:rsid w:val="0092421F"/>
    <w:rsid w:val="0092530A"/>
    <w:rsid w:val="00925C4A"/>
    <w:rsid w:val="00926416"/>
    <w:rsid w:val="00932E40"/>
    <w:rsid w:val="00937F4D"/>
    <w:rsid w:val="00945FC8"/>
    <w:rsid w:val="009500CB"/>
    <w:rsid w:val="00950D89"/>
    <w:rsid w:val="00960AD8"/>
    <w:rsid w:val="00961CE2"/>
    <w:rsid w:val="00966193"/>
    <w:rsid w:val="009666D4"/>
    <w:rsid w:val="00977403"/>
    <w:rsid w:val="00981FCF"/>
    <w:rsid w:val="009877F1"/>
    <w:rsid w:val="00990253"/>
    <w:rsid w:val="009A21C0"/>
    <w:rsid w:val="009A3819"/>
    <w:rsid w:val="009A4BF3"/>
    <w:rsid w:val="009A7AF4"/>
    <w:rsid w:val="009B4D41"/>
    <w:rsid w:val="009B5E75"/>
    <w:rsid w:val="009C0351"/>
    <w:rsid w:val="009C2D78"/>
    <w:rsid w:val="009D0337"/>
    <w:rsid w:val="009D0859"/>
    <w:rsid w:val="009D2240"/>
    <w:rsid w:val="009D4FC9"/>
    <w:rsid w:val="009E5075"/>
    <w:rsid w:val="009E5F7B"/>
    <w:rsid w:val="009E7455"/>
    <w:rsid w:val="009F22AA"/>
    <w:rsid w:val="00A042E3"/>
    <w:rsid w:val="00A042EF"/>
    <w:rsid w:val="00A0472A"/>
    <w:rsid w:val="00A13554"/>
    <w:rsid w:val="00A13934"/>
    <w:rsid w:val="00A16824"/>
    <w:rsid w:val="00A16C1A"/>
    <w:rsid w:val="00A207CA"/>
    <w:rsid w:val="00A22B8C"/>
    <w:rsid w:val="00A353D1"/>
    <w:rsid w:val="00A364B0"/>
    <w:rsid w:val="00A40BCF"/>
    <w:rsid w:val="00A42213"/>
    <w:rsid w:val="00A45A6D"/>
    <w:rsid w:val="00A45BEC"/>
    <w:rsid w:val="00A56AEB"/>
    <w:rsid w:val="00A755C9"/>
    <w:rsid w:val="00A75D99"/>
    <w:rsid w:val="00A7610B"/>
    <w:rsid w:val="00A82740"/>
    <w:rsid w:val="00A969D5"/>
    <w:rsid w:val="00AA28B4"/>
    <w:rsid w:val="00AA74B1"/>
    <w:rsid w:val="00AB4372"/>
    <w:rsid w:val="00AB6105"/>
    <w:rsid w:val="00AB7281"/>
    <w:rsid w:val="00AC2AF9"/>
    <w:rsid w:val="00AD08E8"/>
    <w:rsid w:val="00AD3C05"/>
    <w:rsid w:val="00AD6219"/>
    <w:rsid w:val="00AE270A"/>
    <w:rsid w:val="00AE4FB4"/>
    <w:rsid w:val="00AF1D6C"/>
    <w:rsid w:val="00AF4136"/>
    <w:rsid w:val="00AF4372"/>
    <w:rsid w:val="00B0099A"/>
    <w:rsid w:val="00B043D5"/>
    <w:rsid w:val="00B06AE0"/>
    <w:rsid w:val="00B13BE0"/>
    <w:rsid w:val="00B16927"/>
    <w:rsid w:val="00B26B3F"/>
    <w:rsid w:val="00B35B2C"/>
    <w:rsid w:val="00B42BD6"/>
    <w:rsid w:val="00B45438"/>
    <w:rsid w:val="00B4687C"/>
    <w:rsid w:val="00B5406D"/>
    <w:rsid w:val="00B54416"/>
    <w:rsid w:val="00B617FE"/>
    <w:rsid w:val="00B62F10"/>
    <w:rsid w:val="00B66B85"/>
    <w:rsid w:val="00B8028D"/>
    <w:rsid w:val="00B81919"/>
    <w:rsid w:val="00B85FC9"/>
    <w:rsid w:val="00B9732A"/>
    <w:rsid w:val="00BA1245"/>
    <w:rsid w:val="00BA1537"/>
    <w:rsid w:val="00BA578C"/>
    <w:rsid w:val="00BB45E3"/>
    <w:rsid w:val="00BB4DBE"/>
    <w:rsid w:val="00BB566D"/>
    <w:rsid w:val="00BB67EB"/>
    <w:rsid w:val="00BB6F57"/>
    <w:rsid w:val="00BC4505"/>
    <w:rsid w:val="00BC5BFC"/>
    <w:rsid w:val="00BD3301"/>
    <w:rsid w:val="00BD4CD9"/>
    <w:rsid w:val="00BF04FE"/>
    <w:rsid w:val="00BF568B"/>
    <w:rsid w:val="00C00098"/>
    <w:rsid w:val="00C02598"/>
    <w:rsid w:val="00C2026A"/>
    <w:rsid w:val="00C21B82"/>
    <w:rsid w:val="00C31252"/>
    <w:rsid w:val="00C31502"/>
    <w:rsid w:val="00C343A7"/>
    <w:rsid w:val="00C368FE"/>
    <w:rsid w:val="00C377EA"/>
    <w:rsid w:val="00C40805"/>
    <w:rsid w:val="00C476C2"/>
    <w:rsid w:val="00C609B5"/>
    <w:rsid w:val="00C65789"/>
    <w:rsid w:val="00C74C2C"/>
    <w:rsid w:val="00C776A4"/>
    <w:rsid w:val="00C90DA1"/>
    <w:rsid w:val="00CA090A"/>
    <w:rsid w:val="00CA0FD7"/>
    <w:rsid w:val="00CA228D"/>
    <w:rsid w:val="00CA2683"/>
    <w:rsid w:val="00CA70A2"/>
    <w:rsid w:val="00CB4F71"/>
    <w:rsid w:val="00CD143C"/>
    <w:rsid w:val="00CD3E21"/>
    <w:rsid w:val="00CD412A"/>
    <w:rsid w:val="00CD57F2"/>
    <w:rsid w:val="00CE1C33"/>
    <w:rsid w:val="00CE22B3"/>
    <w:rsid w:val="00CE401C"/>
    <w:rsid w:val="00CE78FF"/>
    <w:rsid w:val="00CF2666"/>
    <w:rsid w:val="00D002F2"/>
    <w:rsid w:val="00D015A2"/>
    <w:rsid w:val="00D10E67"/>
    <w:rsid w:val="00D2020D"/>
    <w:rsid w:val="00D221F4"/>
    <w:rsid w:val="00D22955"/>
    <w:rsid w:val="00D24487"/>
    <w:rsid w:val="00D30379"/>
    <w:rsid w:val="00D32910"/>
    <w:rsid w:val="00D46431"/>
    <w:rsid w:val="00D467C0"/>
    <w:rsid w:val="00D533FC"/>
    <w:rsid w:val="00D61271"/>
    <w:rsid w:val="00D638E3"/>
    <w:rsid w:val="00D65826"/>
    <w:rsid w:val="00D7179D"/>
    <w:rsid w:val="00D71805"/>
    <w:rsid w:val="00D8277B"/>
    <w:rsid w:val="00D82EF0"/>
    <w:rsid w:val="00D9501D"/>
    <w:rsid w:val="00D953AB"/>
    <w:rsid w:val="00D95FC8"/>
    <w:rsid w:val="00D96CBE"/>
    <w:rsid w:val="00DA348B"/>
    <w:rsid w:val="00DA5447"/>
    <w:rsid w:val="00DD1F0C"/>
    <w:rsid w:val="00DD3557"/>
    <w:rsid w:val="00DD4221"/>
    <w:rsid w:val="00DE55BC"/>
    <w:rsid w:val="00DF19E1"/>
    <w:rsid w:val="00DF6EFF"/>
    <w:rsid w:val="00E02CCB"/>
    <w:rsid w:val="00E06F98"/>
    <w:rsid w:val="00E07AB9"/>
    <w:rsid w:val="00E127FA"/>
    <w:rsid w:val="00E26C94"/>
    <w:rsid w:val="00E300EB"/>
    <w:rsid w:val="00E33E2A"/>
    <w:rsid w:val="00E3421A"/>
    <w:rsid w:val="00E4552F"/>
    <w:rsid w:val="00E50C84"/>
    <w:rsid w:val="00E535EB"/>
    <w:rsid w:val="00E70313"/>
    <w:rsid w:val="00E7498E"/>
    <w:rsid w:val="00E811CA"/>
    <w:rsid w:val="00E81F84"/>
    <w:rsid w:val="00E84F37"/>
    <w:rsid w:val="00E878F2"/>
    <w:rsid w:val="00E9405B"/>
    <w:rsid w:val="00E96562"/>
    <w:rsid w:val="00EA08B8"/>
    <w:rsid w:val="00EA37EF"/>
    <w:rsid w:val="00EA777D"/>
    <w:rsid w:val="00EB3E5D"/>
    <w:rsid w:val="00EC6A4D"/>
    <w:rsid w:val="00EC6B71"/>
    <w:rsid w:val="00ED458A"/>
    <w:rsid w:val="00ED5181"/>
    <w:rsid w:val="00ED549E"/>
    <w:rsid w:val="00EE1326"/>
    <w:rsid w:val="00EE203B"/>
    <w:rsid w:val="00EE22B8"/>
    <w:rsid w:val="00EE6332"/>
    <w:rsid w:val="00EE7439"/>
    <w:rsid w:val="00EF1B95"/>
    <w:rsid w:val="00EF5F21"/>
    <w:rsid w:val="00EF75C0"/>
    <w:rsid w:val="00EF7CC8"/>
    <w:rsid w:val="00F034C6"/>
    <w:rsid w:val="00F064A9"/>
    <w:rsid w:val="00F124EF"/>
    <w:rsid w:val="00F14A8B"/>
    <w:rsid w:val="00F15985"/>
    <w:rsid w:val="00F1651A"/>
    <w:rsid w:val="00F16A55"/>
    <w:rsid w:val="00F21DD8"/>
    <w:rsid w:val="00F264F6"/>
    <w:rsid w:val="00F31E19"/>
    <w:rsid w:val="00F366B2"/>
    <w:rsid w:val="00F46B7D"/>
    <w:rsid w:val="00F4747C"/>
    <w:rsid w:val="00F5165D"/>
    <w:rsid w:val="00F523A2"/>
    <w:rsid w:val="00F61DA9"/>
    <w:rsid w:val="00F67ABD"/>
    <w:rsid w:val="00F705B7"/>
    <w:rsid w:val="00F74919"/>
    <w:rsid w:val="00F75756"/>
    <w:rsid w:val="00FC3AA0"/>
    <w:rsid w:val="00FD12C6"/>
    <w:rsid w:val="00FD56B9"/>
    <w:rsid w:val="00FD7CF9"/>
    <w:rsid w:val="00FE1170"/>
    <w:rsid w:val="00FE6C79"/>
    <w:rsid w:val="00FF04E2"/>
    <w:rsid w:val="00FF424F"/>
    <w:rsid w:val="01C0309B"/>
    <w:rsid w:val="028352AE"/>
    <w:rsid w:val="029307AF"/>
    <w:rsid w:val="02CE17E8"/>
    <w:rsid w:val="03897019"/>
    <w:rsid w:val="04381B64"/>
    <w:rsid w:val="04E24FB8"/>
    <w:rsid w:val="05032914"/>
    <w:rsid w:val="05647890"/>
    <w:rsid w:val="067601CC"/>
    <w:rsid w:val="07AD26B8"/>
    <w:rsid w:val="07D478A0"/>
    <w:rsid w:val="08C73411"/>
    <w:rsid w:val="095962AF"/>
    <w:rsid w:val="0B793788"/>
    <w:rsid w:val="0E562B24"/>
    <w:rsid w:val="0E655D57"/>
    <w:rsid w:val="0E7B6CC7"/>
    <w:rsid w:val="10C02CE5"/>
    <w:rsid w:val="10EE19D3"/>
    <w:rsid w:val="11BC387F"/>
    <w:rsid w:val="137B5074"/>
    <w:rsid w:val="13EE1CEA"/>
    <w:rsid w:val="142B0848"/>
    <w:rsid w:val="14D47131"/>
    <w:rsid w:val="16470173"/>
    <w:rsid w:val="166366C4"/>
    <w:rsid w:val="16DC22CD"/>
    <w:rsid w:val="17766CFB"/>
    <w:rsid w:val="191E6BCD"/>
    <w:rsid w:val="1AEC66DC"/>
    <w:rsid w:val="1B5D7B73"/>
    <w:rsid w:val="1B666609"/>
    <w:rsid w:val="1D7A4C2A"/>
    <w:rsid w:val="1EFB2B1A"/>
    <w:rsid w:val="1F4E7296"/>
    <w:rsid w:val="1F8F25D3"/>
    <w:rsid w:val="1FD61FB0"/>
    <w:rsid w:val="20E91E77"/>
    <w:rsid w:val="21E76B66"/>
    <w:rsid w:val="22C00F5C"/>
    <w:rsid w:val="231828DF"/>
    <w:rsid w:val="23F46967"/>
    <w:rsid w:val="2674499C"/>
    <w:rsid w:val="27C26244"/>
    <w:rsid w:val="28FC05AD"/>
    <w:rsid w:val="29226266"/>
    <w:rsid w:val="29241954"/>
    <w:rsid w:val="2A293624"/>
    <w:rsid w:val="2A6363C0"/>
    <w:rsid w:val="2AC507FE"/>
    <w:rsid w:val="2C361B6F"/>
    <w:rsid w:val="2EB37960"/>
    <w:rsid w:val="30686739"/>
    <w:rsid w:val="3082583C"/>
    <w:rsid w:val="3183186B"/>
    <w:rsid w:val="32E55835"/>
    <w:rsid w:val="33813B89"/>
    <w:rsid w:val="33F53EF1"/>
    <w:rsid w:val="34B6073E"/>
    <w:rsid w:val="35F74D73"/>
    <w:rsid w:val="36E7464B"/>
    <w:rsid w:val="396E5C4C"/>
    <w:rsid w:val="399F56D1"/>
    <w:rsid w:val="3A085004"/>
    <w:rsid w:val="3B2A71FC"/>
    <w:rsid w:val="3B404329"/>
    <w:rsid w:val="3B693087"/>
    <w:rsid w:val="3BF26F67"/>
    <w:rsid w:val="3DAF5796"/>
    <w:rsid w:val="3DBD17B8"/>
    <w:rsid w:val="3DCC6348"/>
    <w:rsid w:val="3F244F75"/>
    <w:rsid w:val="3FD17940"/>
    <w:rsid w:val="40460634"/>
    <w:rsid w:val="408E4149"/>
    <w:rsid w:val="436D237B"/>
    <w:rsid w:val="43DB1093"/>
    <w:rsid w:val="4554734F"/>
    <w:rsid w:val="46386DFE"/>
    <w:rsid w:val="47F24BFD"/>
    <w:rsid w:val="4928520E"/>
    <w:rsid w:val="493014BE"/>
    <w:rsid w:val="4AB5353F"/>
    <w:rsid w:val="4AF5751C"/>
    <w:rsid w:val="4B773749"/>
    <w:rsid w:val="4B780280"/>
    <w:rsid w:val="4B8D4CE9"/>
    <w:rsid w:val="4CF51418"/>
    <w:rsid w:val="4DB36BDD"/>
    <w:rsid w:val="4E4C2032"/>
    <w:rsid w:val="502D2C76"/>
    <w:rsid w:val="510576FA"/>
    <w:rsid w:val="527B2317"/>
    <w:rsid w:val="52BF5CBB"/>
    <w:rsid w:val="56CA251D"/>
    <w:rsid w:val="57091F28"/>
    <w:rsid w:val="578C4726"/>
    <w:rsid w:val="582276A2"/>
    <w:rsid w:val="5A074538"/>
    <w:rsid w:val="5B392E17"/>
    <w:rsid w:val="5D855F42"/>
    <w:rsid w:val="5DC84A2C"/>
    <w:rsid w:val="5E541D16"/>
    <w:rsid w:val="60186AAD"/>
    <w:rsid w:val="604C0CD1"/>
    <w:rsid w:val="606C151E"/>
    <w:rsid w:val="62FB06B1"/>
    <w:rsid w:val="63E91153"/>
    <w:rsid w:val="63FC5B47"/>
    <w:rsid w:val="64B82FFF"/>
    <w:rsid w:val="64F102BF"/>
    <w:rsid w:val="64FE29DC"/>
    <w:rsid w:val="653308D7"/>
    <w:rsid w:val="66754C43"/>
    <w:rsid w:val="66A31A8D"/>
    <w:rsid w:val="692D1EC0"/>
    <w:rsid w:val="6A537326"/>
    <w:rsid w:val="6A570BC4"/>
    <w:rsid w:val="6B9876E6"/>
    <w:rsid w:val="6D1C5B30"/>
    <w:rsid w:val="6D372F2F"/>
    <w:rsid w:val="700F5BF3"/>
    <w:rsid w:val="72B6607D"/>
    <w:rsid w:val="72E9722D"/>
    <w:rsid w:val="74187920"/>
    <w:rsid w:val="75530B22"/>
    <w:rsid w:val="76735D63"/>
    <w:rsid w:val="770245AD"/>
    <w:rsid w:val="774041AC"/>
    <w:rsid w:val="77545B3E"/>
    <w:rsid w:val="782F605D"/>
    <w:rsid w:val="788B78B8"/>
    <w:rsid w:val="7A715CD2"/>
    <w:rsid w:val="7AEC4D4F"/>
    <w:rsid w:val="7D8B7520"/>
    <w:rsid w:val="7F7A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1"/>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7"/>
    <w:autoRedefine/>
    <w:unhideWhenUsed/>
    <w:qFormat/>
    <w:uiPriority w:val="99"/>
    <w:pPr>
      <w:jc w:val="left"/>
    </w:pPr>
  </w:style>
  <w:style w:type="paragraph" w:styleId="6">
    <w:name w:val="Body Text"/>
    <w:basedOn w:val="1"/>
    <w:link w:val="43"/>
    <w:autoRedefine/>
    <w:qFormat/>
    <w:uiPriority w:val="0"/>
    <w:pPr>
      <w:spacing w:after="120"/>
    </w:pPr>
    <w:rPr>
      <w:rFonts w:ascii="Times New Roman" w:hAnsi="Times New Roman" w:eastAsia="宋体" w:cs="Times New Roman"/>
      <w:szCs w:val="24"/>
    </w:rPr>
  </w:style>
  <w:style w:type="paragraph" w:styleId="7">
    <w:name w:val="toc 3"/>
    <w:basedOn w:val="1"/>
    <w:next w:val="1"/>
    <w:autoRedefine/>
    <w:unhideWhenUsed/>
    <w:qFormat/>
    <w:uiPriority w:val="39"/>
    <w:pPr>
      <w:ind w:left="840" w:leftChars="400"/>
    </w:pPr>
  </w:style>
  <w:style w:type="paragraph" w:styleId="8">
    <w:name w:val="Plain Text"/>
    <w:basedOn w:val="1"/>
    <w:link w:val="32"/>
    <w:autoRedefine/>
    <w:qFormat/>
    <w:uiPriority w:val="99"/>
    <w:rPr>
      <w:rFonts w:ascii="宋体" w:hAnsi="Courier New" w:eastAsia="宋体" w:cs="Times New Roman"/>
      <w:kern w:val="0"/>
      <w:sz w:val="20"/>
      <w:szCs w:val="21"/>
    </w:rPr>
  </w:style>
  <w:style w:type="paragraph" w:styleId="9">
    <w:name w:val="Date"/>
    <w:basedOn w:val="1"/>
    <w:next w:val="1"/>
    <w:link w:val="44"/>
    <w:autoRedefine/>
    <w:qFormat/>
    <w:uiPriority w:val="0"/>
    <w:pPr>
      <w:autoSpaceDE w:val="0"/>
      <w:autoSpaceDN w:val="0"/>
      <w:adjustRightInd w:val="0"/>
      <w:ind w:left="100" w:leftChars="2500"/>
      <w:jc w:val="left"/>
    </w:pPr>
    <w:rPr>
      <w:rFonts w:ascii="Times New Roman" w:hAnsi="Times New Roman" w:eastAsia="宋体" w:cs="Times New Roman"/>
      <w:kern w:val="0"/>
      <w:sz w:val="20"/>
      <w:szCs w:val="20"/>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5"/>
    <w:autoRedefine/>
    <w:unhideWhenUsed/>
    <w:qFormat/>
    <w:uiPriority w:val="0"/>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0"/>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7">
    <w:name w:val="annotation subject"/>
    <w:basedOn w:val="5"/>
    <w:next w:val="5"/>
    <w:link w:val="29"/>
    <w:autoRedefine/>
    <w:semiHidden/>
    <w:unhideWhenUsed/>
    <w:qFormat/>
    <w:uiPriority w:val="99"/>
    <w:rPr>
      <w:b/>
      <w:bCs/>
    </w:rPr>
  </w:style>
  <w:style w:type="character" w:styleId="20">
    <w:name w:val="Strong"/>
    <w:basedOn w:val="19"/>
    <w:autoRedefine/>
    <w:qFormat/>
    <w:uiPriority w:val="22"/>
    <w:rPr>
      <w:b/>
      <w:bCs/>
    </w:rPr>
  </w:style>
  <w:style w:type="character" w:styleId="21">
    <w:name w:val="Emphasis"/>
    <w:basedOn w:val="19"/>
    <w:autoRedefine/>
    <w:qFormat/>
    <w:uiPriority w:val="20"/>
    <w:rPr>
      <w:i/>
    </w:rPr>
  </w:style>
  <w:style w:type="character" w:styleId="22">
    <w:name w:val="Hyperlink"/>
    <w:basedOn w:val="19"/>
    <w:autoRedefine/>
    <w:unhideWhenUsed/>
    <w:qFormat/>
    <w:uiPriority w:val="99"/>
    <w:rPr>
      <w:color w:val="0000FF" w:themeColor="hyperlink"/>
      <w:u w:val="single"/>
      <w14:textFill>
        <w14:solidFill>
          <w14:schemeClr w14:val="hlink"/>
        </w14:solidFill>
      </w14:textFill>
    </w:rPr>
  </w:style>
  <w:style w:type="character" w:styleId="23">
    <w:name w:val="annotation reference"/>
    <w:basedOn w:val="19"/>
    <w:autoRedefine/>
    <w:unhideWhenUsed/>
    <w:qFormat/>
    <w:uiPriority w:val="99"/>
    <w:rPr>
      <w:sz w:val="21"/>
      <w:szCs w:val="21"/>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0"/>
    <w:rPr>
      <w:sz w:val="18"/>
      <w:szCs w:val="18"/>
    </w:rPr>
  </w:style>
  <w:style w:type="paragraph" w:styleId="26">
    <w:name w:val="List Paragraph"/>
    <w:basedOn w:val="1"/>
    <w:link w:val="34"/>
    <w:autoRedefine/>
    <w:qFormat/>
    <w:uiPriority w:val="34"/>
    <w:pPr>
      <w:ind w:firstLine="420" w:firstLineChars="200"/>
    </w:pPr>
  </w:style>
  <w:style w:type="character" w:customStyle="1" w:styleId="27">
    <w:name w:val="批注文字 Char"/>
    <w:basedOn w:val="19"/>
    <w:link w:val="5"/>
    <w:autoRedefine/>
    <w:qFormat/>
    <w:uiPriority w:val="99"/>
  </w:style>
  <w:style w:type="character" w:customStyle="1" w:styleId="28">
    <w:name w:val="批注框文本 Char"/>
    <w:basedOn w:val="19"/>
    <w:link w:val="10"/>
    <w:autoRedefine/>
    <w:semiHidden/>
    <w:qFormat/>
    <w:uiPriority w:val="99"/>
    <w:rPr>
      <w:sz w:val="18"/>
      <w:szCs w:val="18"/>
    </w:rPr>
  </w:style>
  <w:style w:type="character" w:customStyle="1" w:styleId="29">
    <w:name w:val="批注主题 Char"/>
    <w:basedOn w:val="27"/>
    <w:link w:val="17"/>
    <w:autoRedefine/>
    <w:semiHidden/>
    <w:qFormat/>
    <w:uiPriority w:val="99"/>
    <w:rPr>
      <w:b/>
      <w:bCs/>
    </w:rPr>
  </w:style>
  <w:style w:type="character" w:customStyle="1" w:styleId="30">
    <w:name w:val="标题 Char"/>
    <w:basedOn w:val="19"/>
    <w:link w:val="16"/>
    <w:autoRedefine/>
    <w:qFormat/>
    <w:uiPriority w:val="10"/>
    <w:rPr>
      <w:rFonts w:eastAsia="宋体" w:asciiTheme="majorHAnsi" w:hAnsiTheme="majorHAnsi" w:cstheme="majorBidi"/>
      <w:b/>
      <w:bCs/>
      <w:sz w:val="32"/>
      <w:szCs w:val="32"/>
    </w:rPr>
  </w:style>
  <w:style w:type="character" w:customStyle="1" w:styleId="31">
    <w:name w:val="标题 2 Char"/>
    <w:basedOn w:val="19"/>
    <w:link w:val="3"/>
    <w:autoRedefine/>
    <w:qFormat/>
    <w:uiPriority w:val="0"/>
    <w:rPr>
      <w:rFonts w:ascii="Arial" w:hAnsi="Arial" w:eastAsia="黑体" w:cs="Times New Roman"/>
      <w:b/>
      <w:bCs/>
      <w:sz w:val="32"/>
      <w:szCs w:val="32"/>
    </w:rPr>
  </w:style>
  <w:style w:type="character" w:customStyle="1" w:styleId="32">
    <w:name w:val="纯文本 Char"/>
    <w:basedOn w:val="19"/>
    <w:link w:val="8"/>
    <w:autoRedefine/>
    <w:qFormat/>
    <w:uiPriority w:val="99"/>
    <w:rPr>
      <w:rFonts w:ascii="宋体" w:hAnsi="Courier New" w:eastAsia="宋体" w:cs="Times New Roman"/>
      <w:kern w:val="0"/>
      <w:sz w:val="20"/>
      <w:szCs w:val="21"/>
    </w:rPr>
  </w:style>
  <w:style w:type="paragraph" w:customStyle="1" w:styleId="33">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4">
    <w:name w:val="列出段落 Char"/>
    <w:link w:val="26"/>
    <w:autoRedefine/>
    <w:qFormat/>
    <w:uiPriority w:val="34"/>
  </w:style>
  <w:style w:type="paragraph" w:customStyle="1" w:styleId="35">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6">
    <w:name w:val="列出段落1"/>
    <w:basedOn w:val="1"/>
    <w:link w:val="37"/>
    <w:autoRedefine/>
    <w:qFormat/>
    <w:uiPriority w:val="34"/>
    <w:pPr>
      <w:ind w:firstLine="420" w:firstLineChars="200"/>
    </w:pPr>
    <w:rPr>
      <w:rFonts w:ascii="Times New Roman" w:hAnsi="Times New Roman" w:eastAsia="宋体" w:cs="Times New Roman"/>
      <w:szCs w:val="21"/>
    </w:rPr>
  </w:style>
  <w:style w:type="character" w:customStyle="1" w:styleId="37">
    <w:name w:val="List Paragraph Char"/>
    <w:link w:val="36"/>
    <w:autoRedefine/>
    <w:qFormat/>
    <w:locked/>
    <w:uiPriority w:val="34"/>
    <w:rPr>
      <w:rFonts w:ascii="Times New Roman" w:hAnsi="Times New Roman" w:eastAsia="宋体" w:cs="Times New Roman"/>
      <w:szCs w:val="21"/>
    </w:rPr>
  </w:style>
  <w:style w:type="paragraph" w:customStyle="1" w:styleId="38">
    <w:name w:val="_Style 121"/>
    <w:basedOn w:val="1"/>
    <w:next w:val="26"/>
    <w:autoRedefine/>
    <w:qFormat/>
    <w:uiPriority w:val="34"/>
    <w:pPr>
      <w:ind w:firstLine="420" w:firstLineChars="200"/>
    </w:pPr>
    <w:rPr>
      <w:rFonts w:ascii="Calibri" w:hAnsi="Calibri" w:eastAsia="宋体" w:cs="Times New Roman"/>
    </w:rPr>
  </w:style>
  <w:style w:type="character" w:customStyle="1" w:styleId="39">
    <w:name w:val="3级标题 Char"/>
    <w:link w:val="40"/>
    <w:autoRedefine/>
    <w:qFormat/>
    <w:uiPriority w:val="0"/>
    <w:rPr>
      <w:rFonts w:ascii="Arial Unicode MS" w:hAnsi="Arial Unicode MS" w:eastAsia="Segoe UI"/>
      <w:b/>
      <w:sz w:val="26"/>
      <w:szCs w:val="28"/>
    </w:rPr>
  </w:style>
  <w:style w:type="paragraph" w:customStyle="1" w:styleId="40">
    <w:name w:val="3级标题"/>
    <w:basedOn w:val="1"/>
    <w:link w:val="39"/>
    <w:autoRedefine/>
    <w:qFormat/>
    <w:uiPriority w:val="0"/>
    <w:pPr>
      <w:keepNext/>
      <w:keepLines/>
      <w:tabs>
        <w:tab w:val="left" w:pos="1232"/>
      </w:tabs>
      <w:spacing w:before="280" w:after="156" w:line="377" w:lineRule="auto"/>
      <w:jc w:val="left"/>
      <w:outlineLvl w:val="2"/>
    </w:pPr>
    <w:rPr>
      <w:rFonts w:ascii="Arial Unicode MS" w:hAnsi="Arial Unicode MS" w:eastAsia="Segoe UI"/>
      <w:b/>
      <w:sz w:val="26"/>
      <w:szCs w:val="28"/>
    </w:rPr>
  </w:style>
  <w:style w:type="character" w:customStyle="1" w:styleId="41">
    <w:name w:val="标题 3 Char"/>
    <w:basedOn w:val="19"/>
    <w:link w:val="4"/>
    <w:autoRedefine/>
    <w:qFormat/>
    <w:uiPriority w:val="9"/>
    <w:rPr>
      <w:b/>
      <w:bCs/>
      <w:sz w:val="32"/>
      <w:szCs w:val="32"/>
    </w:rPr>
  </w:style>
  <w:style w:type="character" w:customStyle="1" w:styleId="42">
    <w:name w:val="未处理的提及1"/>
    <w:basedOn w:val="19"/>
    <w:autoRedefine/>
    <w:semiHidden/>
    <w:unhideWhenUsed/>
    <w:qFormat/>
    <w:uiPriority w:val="99"/>
    <w:rPr>
      <w:color w:val="605E5C"/>
      <w:shd w:val="clear" w:color="auto" w:fill="E1DFDD"/>
    </w:rPr>
  </w:style>
  <w:style w:type="character" w:customStyle="1" w:styleId="43">
    <w:name w:val="正文文本 Char"/>
    <w:basedOn w:val="19"/>
    <w:link w:val="6"/>
    <w:autoRedefine/>
    <w:qFormat/>
    <w:uiPriority w:val="0"/>
    <w:rPr>
      <w:rFonts w:ascii="Times New Roman" w:hAnsi="Times New Roman" w:eastAsia="宋体" w:cs="Times New Roman"/>
      <w:szCs w:val="24"/>
    </w:rPr>
  </w:style>
  <w:style w:type="character" w:customStyle="1" w:styleId="44">
    <w:name w:val="日期 Char"/>
    <w:basedOn w:val="19"/>
    <w:link w:val="9"/>
    <w:autoRedefine/>
    <w:qFormat/>
    <w:uiPriority w:val="0"/>
    <w:rPr>
      <w:rFonts w:ascii="Times New Roman" w:hAnsi="Times New Roman" w:eastAsia="宋体" w:cs="Times New Roman"/>
      <w:kern w:val="0"/>
      <w:sz w:val="20"/>
      <w:szCs w:val="20"/>
    </w:rPr>
  </w:style>
  <w:style w:type="paragraph" w:customStyle="1" w:styleId="45">
    <w:name w:val="4"/>
    <w:basedOn w:val="1"/>
    <w:next w:val="1"/>
    <w:autoRedefine/>
    <w:qFormat/>
    <w:uiPriority w:val="0"/>
    <w:pPr>
      <w:spacing w:after="120"/>
    </w:pPr>
    <w:rPr>
      <w:rFonts w:ascii="Times New Roman" w:hAnsi="Times New Roman" w:eastAsia="宋体" w:cs="Times New Roman"/>
      <w:szCs w:val="20"/>
    </w:rPr>
  </w:style>
  <w:style w:type="character" w:customStyle="1" w:styleId="46">
    <w:name w:val="标题 1 Char"/>
    <w:basedOn w:val="19"/>
    <w:link w:val="2"/>
    <w:autoRedefine/>
    <w:qFormat/>
    <w:uiPriority w:val="9"/>
    <w:rPr>
      <w:b/>
      <w:bCs/>
      <w:kern w:val="44"/>
      <w:sz w:val="44"/>
      <w:szCs w:val="44"/>
    </w:rPr>
  </w:style>
  <w:style w:type="character" w:customStyle="1" w:styleId="47">
    <w:name w:val="目录 Char"/>
    <w:link w:val="48"/>
    <w:autoRedefine/>
    <w:qFormat/>
    <w:uiPriority w:val="0"/>
    <w:rPr>
      <w:rFonts w:ascii="Arial Narrow"/>
      <w:b/>
      <w:sz w:val="24"/>
    </w:rPr>
  </w:style>
  <w:style w:type="paragraph" w:customStyle="1" w:styleId="48">
    <w:name w:val="目录"/>
    <w:basedOn w:val="1"/>
    <w:link w:val="47"/>
    <w:autoRedefine/>
    <w:qFormat/>
    <w:uiPriority w:val="0"/>
    <w:pPr>
      <w:widowControl/>
      <w:spacing w:line="480" w:lineRule="auto"/>
      <w:jc w:val="center"/>
    </w:pPr>
    <w:rPr>
      <w:rFonts w:ascii="Arial Narrow"/>
      <w:b/>
      <w:sz w:val="24"/>
    </w:rPr>
  </w:style>
  <w:style w:type="paragraph" w:customStyle="1" w:styleId="49">
    <w:name w:val="_Style 661"/>
    <w:basedOn w:val="1"/>
    <w:next w:val="26"/>
    <w:link w:val="52"/>
    <w:autoRedefine/>
    <w:qFormat/>
    <w:uiPriority w:val="34"/>
    <w:pPr>
      <w:adjustRightInd w:val="0"/>
      <w:spacing w:line="360" w:lineRule="atLeast"/>
      <w:ind w:firstLine="420" w:firstLineChars="200"/>
      <w:jc w:val="left"/>
      <w:textAlignment w:val="baseline"/>
    </w:pPr>
    <w:rPr>
      <w:rFonts w:ascii="Times New Roman" w:hAnsi="Times New Roman"/>
      <w:sz w:val="24"/>
    </w:rPr>
  </w:style>
  <w:style w:type="paragraph" w:customStyle="1" w:styleId="5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1">
    <w:name w:val="日期 Char1"/>
    <w:autoRedefine/>
    <w:qFormat/>
    <w:uiPriority w:val="0"/>
    <w:rPr>
      <w:rFonts w:ascii="Arial Narrow" w:eastAsia="Arial Narrow"/>
      <w:sz w:val="28"/>
      <w:lang w:val="en-US" w:eastAsia="zh-CN" w:bidi="ar-SA"/>
    </w:rPr>
  </w:style>
  <w:style w:type="character" w:customStyle="1" w:styleId="52">
    <w:name w:val="列表段落 字符"/>
    <w:link w:val="49"/>
    <w:autoRedefine/>
    <w:qFormat/>
    <w:uiPriority w:val="34"/>
    <w:rPr>
      <w:rFonts w:ascii="Times New Roman" w:hAnsi="Times New Roman"/>
      <w:sz w:val="24"/>
    </w:rPr>
  </w:style>
  <w:style w:type="character" w:customStyle="1" w:styleId="53">
    <w:name w:val="font11"/>
    <w:basedOn w:val="19"/>
    <w:autoRedefine/>
    <w:qFormat/>
    <w:uiPriority w:val="0"/>
    <w:rPr>
      <w:rFonts w:hint="eastAsia" w:ascii="宋体" w:hAnsi="宋体" w:eastAsia="宋体"/>
      <w:b/>
      <w:bCs/>
      <w:color w:val="000000"/>
      <w:sz w:val="21"/>
      <w:szCs w:val="21"/>
      <w:u w:val="none"/>
    </w:rPr>
  </w:style>
  <w:style w:type="character" w:customStyle="1" w:styleId="54">
    <w:name w:val="font31"/>
    <w:basedOn w:val="19"/>
    <w:autoRedefine/>
    <w:qFormat/>
    <w:uiPriority w:val="0"/>
    <w:rPr>
      <w:rFonts w:hint="eastAsia" w:ascii="宋体" w:hAnsi="宋体" w:eastAsia="宋体"/>
      <w:color w:val="000000"/>
      <w:sz w:val="20"/>
      <w:szCs w:val="20"/>
      <w:u w:val="none"/>
    </w:rPr>
  </w:style>
  <w:style w:type="character" w:customStyle="1" w:styleId="55">
    <w:name w:val="font51"/>
    <w:basedOn w:val="19"/>
    <w:autoRedefine/>
    <w:qFormat/>
    <w:uiPriority w:val="0"/>
    <w:rPr>
      <w:rFonts w:hint="eastAsia" w:ascii="宋体" w:hAnsi="宋体" w:eastAsia="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DF7F7-55F0-4B53-946C-65471A851C6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3816</Words>
  <Characters>21756</Characters>
  <Lines>181</Lines>
  <Paragraphs>51</Paragraphs>
  <TotalTime>6</TotalTime>
  <ScaleCrop>false</ScaleCrop>
  <LinksUpToDate>false</LinksUpToDate>
  <CharactersWithSpaces>25521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2024-04-22T02:12:00Z</dcterms:created>
  <dc:creator>dreamsummit</dc:creator>
  <cp:lastModifiedBy>云采链-LW</cp:lastModifiedBy>
  <cp:lastPrinted>2018-10-16T04:01:00Z</cp:lastPrinted>
  <dcterms:modified xsi:type="dcterms:W3CDTF">2024-04-26T09:57:37Z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A1EC43EB94454CBFAEA5062D9E041FE6</vt:lpwstr>
  </property>
</Properties>
</file>