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56" w:beforeLines="50"/>
        <w:jc w:val="center"/>
        <w:rPr>
          <w:rFonts w:hint="eastAsia" w:asciiTheme="minorEastAsia" w:hAnsiTheme="minorEastAsia" w:eastAsiaTheme="minorEastAsia" w:cstheme="minorEastAsia"/>
          <w:b/>
          <w:color w:val="000000" w:themeColor="text1"/>
          <w:sz w:val="84"/>
          <w:szCs w:val="84"/>
          <w:lang w:val="en-US" w:eastAsia="zh-CN"/>
          <w14:textFill>
            <w14:solidFill>
              <w14:schemeClr w14:val="tx1"/>
            </w14:solidFill>
          </w14:textFill>
        </w:rPr>
      </w:pPr>
      <w:r>
        <w:rPr>
          <w:rFonts w:hint="eastAsia" w:asciiTheme="minorEastAsia" w:hAnsiTheme="minorEastAsia" w:cstheme="minorEastAsia"/>
          <w:b/>
          <w:color w:val="000000" w:themeColor="text1"/>
          <w:sz w:val="84"/>
          <w:szCs w:val="84"/>
          <w:lang w:val="en-US" w:eastAsia="zh-CN"/>
          <w14:textFill>
            <w14:solidFill>
              <w14:schemeClr w14:val="tx1"/>
            </w14:solidFill>
          </w14:textFill>
        </w:rPr>
        <w:t xml:space="preserve"> </w:t>
      </w:r>
    </w:p>
    <w:p>
      <w:pPr>
        <w:snapToGrid w:val="0"/>
        <w:spacing w:before="156" w:beforeLines="50"/>
        <w:jc w:val="center"/>
        <w:rPr>
          <w:rFonts w:asciiTheme="minorEastAsia" w:hAnsiTheme="minorEastAsia" w:cstheme="minorEastAsia"/>
          <w:b/>
          <w:color w:val="000000" w:themeColor="text1"/>
          <w:sz w:val="84"/>
          <w:szCs w:val="84"/>
          <w14:textFill>
            <w14:solidFill>
              <w14:schemeClr w14:val="tx1"/>
            </w14:solidFill>
          </w14:textFill>
        </w:rPr>
      </w:pPr>
    </w:p>
    <w:p>
      <w:pPr>
        <w:snapToGrid w:val="0"/>
        <w:spacing w:before="156" w:beforeLines="50"/>
        <w:jc w:val="center"/>
        <w:rPr>
          <w:rFonts w:asciiTheme="minorEastAsia" w:hAnsiTheme="minorEastAsia" w:cstheme="minorEastAsia"/>
          <w:b/>
          <w:bCs/>
          <w:color w:val="000000" w:themeColor="text1"/>
          <w:sz w:val="84"/>
          <w:szCs w:val="84"/>
          <w14:textFill>
            <w14:solidFill>
              <w14:schemeClr w14:val="tx1"/>
            </w14:solidFill>
          </w14:textFill>
        </w:rPr>
      </w:pPr>
      <w:r>
        <w:rPr>
          <w:rFonts w:hint="eastAsia" w:asciiTheme="minorEastAsia" w:hAnsiTheme="minorEastAsia" w:cstheme="minorEastAsia"/>
          <w:b/>
          <w:color w:val="000000" w:themeColor="text1"/>
          <w:sz w:val="84"/>
          <w:szCs w:val="84"/>
          <w14:textFill>
            <w14:solidFill>
              <w14:schemeClr w14:val="tx1"/>
            </w14:solidFill>
          </w14:textFill>
        </w:rPr>
        <w:t>竞价文件</w:t>
      </w:r>
    </w:p>
    <w:p>
      <w:pPr>
        <w:spacing w:line="360" w:lineRule="auto"/>
        <w:jc w:val="center"/>
        <w:rPr>
          <w:rFonts w:asciiTheme="minorEastAsia" w:hAnsiTheme="minorEastAsia" w:cstheme="minorEastAsia"/>
          <w:b/>
          <w:bCs/>
          <w:color w:val="000000" w:themeColor="text1"/>
          <w:sz w:val="24"/>
          <w:szCs w:val="24"/>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jc w:val="left"/>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采购方式：线上竞价</w:t>
      </w:r>
    </w:p>
    <w:p>
      <w:pPr>
        <w:spacing w:line="360" w:lineRule="auto"/>
        <w:jc w:val="left"/>
        <w:rPr>
          <w:rFonts w:hint="default" w:asciiTheme="minorEastAsia" w:hAnsiTheme="minorEastAsia" w:eastAsiaTheme="minorEastAsia" w:cstheme="minorEastAsia"/>
          <w:b/>
          <w:bCs/>
          <w:color w:val="000000" w:themeColor="text1"/>
          <w:sz w:val="28"/>
          <w:szCs w:val="32"/>
          <w:lang w:val="en-US" w:eastAsia="zh-CN"/>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项目名称：</w:t>
      </w:r>
      <w:r>
        <w:rPr>
          <w:rFonts w:hint="eastAsia"/>
          <w:b/>
          <w:bCs/>
          <w:sz w:val="28"/>
          <w:szCs w:val="28"/>
          <w:lang w:val="en-US" w:eastAsia="zh-CN"/>
        </w:rPr>
        <w:t>购买分离式视频会议系统终端及配套</w:t>
      </w:r>
    </w:p>
    <w:p>
      <w:pPr>
        <w:snapToGrid w:val="0"/>
        <w:spacing w:before="156" w:beforeLines="50" w:after="156" w:afterLines="50" w:line="360" w:lineRule="auto"/>
        <w:jc w:val="center"/>
        <w:rPr>
          <w:rFonts w:asciiTheme="minorEastAsia" w:hAnsiTheme="minorEastAsia" w:cstheme="minorEastAsia"/>
          <w:color w:val="000000" w:themeColor="text1"/>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center"/>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left"/>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广东省广播电视网络股份有限公司汕尾分公司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采联国际招标采购集团有限公司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二〇二</w:t>
      </w:r>
      <w:r>
        <w:rPr>
          <w:rFonts w:hint="eastAsia" w:asciiTheme="minorEastAsia" w:hAnsiTheme="minorEastAsia" w:cstheme="minorEastAsia"/>
          <w:b/>
          <w:color w:val="000000" w:themeColor="text1"/>
          <w:sz w:val="28"/>
          <w:lang w:val="en-US" w:eastAsia="zh-CN"/>
          <w14:textFill>
            <w14:solidFill>
              <w14:schemeClr w14:val="tx1"/>
            </w14:solidFill>
          </w14:textFill>
        </w:rPr>
        <w:t>四</w:t>
      </w:r>
      <w:r>
        <w:rPr>
          <w:rFonts w:hint="eastAsia" w:asciiTheme="minorEastAsia" w:hAnsiTheme="minorEastAsia" w:cstheme="minorEastAsia"/>
          <w:b/>
          <w:color w:val="000000" w:themeColor="text1"/>
          <w:sz w:val="28"/>
          <w14:textFill>
            <w14:solidFill>
              <w14:schemeClr w14:val="tx1"/>
            </w14:solidFill>
          </w14:textFill>
        </w:rPr>
        <w:t>年</w:t>
      </w:r>
      <w:r>
        <w:rPr>
          <w:rFonts w:hint="eastAsia" w:asciiTheme="minorEastAsia" w:hAnsiTheme="minorEastAsia" w:cstheme="minorEastAsia"/>
          <w:b/>
          <w:color w:val="000000" w:themeColor="text1"/>
          <w:sz w:val="28"/>
          <w:lang w:val="en-US" w:eastAsia="zh-CN"/>
          <w14:textFill>
            <w14:solidFill>
              <w14:schemeClr w14:val="tx1"/>
            </w14:solidFill>
          </w14:textFill>
        </w:rPr>
        <w:t>七</w:t>
      </w:r>
      <w:bookmarkStart w:id="0" w:name="_GoBack"/>
      <w:bookmarkEnd w:id="0"/>
      <w:r>
        <w:rPr>
          <w:rFonts w:hint="eastAsia" w:asciiTheme="minorEastAsia" w:hAnsiTheme="minorEastAsia" w:cstheme="minorEastAsia"/>
          <w:b/>
          <w:color w:val="000000" w:themeColor="text1"/>
          <w:sz w:val="28"/>
          <w14:textFill>
            <w14:solidFill>
              <w14:schemeClr w14:val="tx1"/>
            </w14:solidFill>
          </w14:textFill>
        </w:rPr>
        <w:t>月</w:t>
      </w:r>
    </w:p>
    <w:p>
      <w:pPr>
        <w:autoSpaceDE w:val="0"/>
        <w:autoSpaceDN w:val="0"/>
        <w:adjustRightInd w:val="0"/>
        <w:snapToGrid w:val="0"/>
        <w:spacing w:line="360" w:lineRule="auto"/>
        <w:ind w:left="420" w:firstLine="420"/>
        <w:jc w:val="center"/>
        <w:rPr>
          <w:rFonts w:asciiTheme="minorEastAsia" w:hAnsiTheme="minorEastAsia" w:cstheme="minorEastAsia"/>
          <w:color w:val="000000" w:themeColor="text1"/>
          <w:sz w:val="28"/>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pPr>
        <w:pStyle w:val="16"/>
        <w:spacing w:before="0" w:after="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第一章 竞价须知</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本项目通过云采链线上采购一体化平台（www.choicelink.cn）进行竞价，参与竞价的供应商必须登录平台进行注册，注册成功后方可参与项目竞价。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语言要求</w:t>
      </w:r>
    </w:p>
    <w:p>
      <w:pPr>
        <w:spacing w:line="360" w:lineRule="auto"/>
        <w:ind w:left="420" w:leftChars="20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pStyle w:val="27"/>
        <w:numPr>
          <w:ilvl w:val="0"/>
          <w:numId w:val="2"/>
        </w:numPr>
        <w:spacing w:line="360" w:lineRule="auto"/>
        <w:ind w:firstLineChars="0"/>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szCs w:val="21"/>
          <w14:textFill>
            <w14:solidFill>
              <w14:schemeClr w14:val="tx1"/>
            </w14:solidFill>
          </w14:textFill>
        </w:rPr>
        <w:t>在云采链平台参与项目竞价后放弃成交资格超过三次（含三次）的供应商连同该供应商同一法人名下所有公司将被列入平台黑名单，永久不得参与平台的项目竞价。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竞价须知</w:t>
      </w:r>
    </w:p>
    <w:p>
      <w:pPr>
        <w:pStyle w:val="27"/>
        <w:numPr>
          <w:ilvl w:val="0"/>
          <w:numId w:val="3"/>
        </w:numPr>
        <w:spacing w:line="360" w:lineRule="auto"/>
        <w:ind w:left="420" w:hanging="420" w:firstLineChars="0"/>
        <w:rPr>
          <w:rFonts w:asciiTheme="minorEastAsia" w:hAnsiTheme="minorEastAsia" w:cstheme="minorEastAsia"/>
          <w:b/>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竞价说明</w:t>
      </w:r>
    </w:p>
    <w:p>
      <w:pPr>
        <w:pStyle w:val="27"/>
        <w:numPr>
          <w:ilvl w:val="0"/>
          <w:numId w:val="4"/>
        </w:numPr>
        <w:tabs>
          <w:tab w:val="left" w:pos="851"/>
        </w:tabs>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参与竞价的供应商应承担所有与准备和参加竞价有关的费用，不</w:t>
      </w:r>
      <w:r>
        <w:rPr>
          <w:rFonts w:hint="eastAsia" w:asciiTheme="minorEastAsia" w:hAnsiTheme="minorEastAsia" w:cstheme="minorEastAsia"/>
          <w:color w:val="000000" w:themeColor="text1"/>
          <w:szCs w:val="21"/>
          <w:lang w:eastAsia="zh-TW"/>
          <w14:textFill>
            <w14:solidFill>
              <w14:schemeClr w14:val="tx1"/>
            </w14:solidFill>
          </w14:textFill>
        </w:rPr>
        <w:t>论</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的结果如何</w:t>
      </w:r>
      <w:r>
        <w:rPr>
          <w:rFonts w:hint="eastAsia" w:asciiTheme="minorEastAsia" w:hAnsiTheme="minorEastAsia" w:cstheme="minorEastAsia"/>
          <w:color w:val="000000" w:themeColor="text1"/>
          <w:szCs w:val="21"/>
          <w14:textFill>
            <w14:solidFill>
              <w14:schemeClr w14:val="tx1"/>
            </w14:solidFill>
          </w14:textFill>
        </w:rPr>
        <w:t>，采购</w:t>
      </w:r>
      <w:r>
        <w:rPr>
          <w:rFonts w:hint="eastAsia" w:asciiTheme="minorEastAsia" w:hAnsiTheme="minorEastAsia" w:cstheme="minorEastAsia"/>
          <w:color w:val="000000" w:themeColor="text1"/>
          <w:szCs w:val="21"/>
          <w:lang w:eastAsia="zh-TW"/>
          <w14:textFill>
            <w14:solidFill>
              <w14:schemeClr w14:val="tx1"/>
            </w14:solidFill>
          </w14:textFill>
        </w:rPr>
        <w:t>人</w:t>
      </w:r>
      <w:r>
        <w:rPr>
          <w:rFonts w:hint="eastAsia" w:asciiTheme="minorEastAsia" w:hAnsiTheme="minorEastAsia" w:cstheme="minorEastAsia"/>
          <w:color w:val="000000" w:themeColor="text1"/>
          <w:szCs w:val="21"/>
          <w14:textFill>
            <w14:solidFill>
              <w14:schemeClr w14:val="tx1"/>
            </w14:solidFill>
          </w14:textFill>
        </w:rPr>
        <w:t>和</w:t>
      </w:r>
      <w:r>
        <w:rPr>
          <w:rFonts w:hint="eastAsia" w:asciiTheme="minorEastAsia" w:hAnsiTheme="minorEastAsia" w:cstheme="minorEastAsia"/>
          <w:color w:val="000000" w:themeColor="text1"/>
          <w:szCs w:val="21"/>
          <w:lang w:eastAsia="zh-TW"/>
          <w14:textFill>
            <w14:solidFill>
              <w14:schemeClr w14:val="tx1"/>
            </w14:solidFill>
          </w14:textFill>
        </w:rPr>
        <w:t>代理机构均无义务和责任承担这些费用</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供应商必须按竞价附件的格式填写，不得随意增加或删除表格内容。除单价、金额或项目要求填写的内容外，不得擅自改动竞价附件内容，否则将有可能影响成交结果，不推荐为成交候选人。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Theme="minorEastAsia" w:hAnsiTheme="minorEastAsia" w:cstheme="minorEastAsia"/>
          <w:bCs/>
          <w:color w:val="000000" w:themeColor="text1"/>
          <w:szCs w:val="21"/>
          <w14:textFill>
            <w14:solidFill>
              <w14:schemeClr w14:val="tx1"/>
            </w14:solidFill>
          </w14:textFill>
        </w:rPr>
        <w:t>不推荐为成交候选人</w:t>
      </w:r>
      <w:r>
        <w:rPr>
          <w:rFonts w:hint="eastAsia" w:asciiTheme="minorEastAsia" w:hAnsiTheme="minorEastAsia" w:cstheme="minorEastAsia"/>
          <w:color w:val="000000" w:themeColor="text1"/>
          <w:szCs w:val="21"/>
          <w:lang w:val="zh-CN"/>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若成交供应商自身原因无法完成本项目，则采购人有权利保留追究责任。</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成交供应商因自身原因被取消成交资格，采购人可重新启动采购或按竞价公告规定顺延推选符合要求的供应商作为成交人。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若本项目竞价采购失败，采购人将重新采购，届时采购人有权根据项目具体情况，决定重新采购项目的采购方式。</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成交供应商若无正当理由恶意放弃成交资格，采购人有权将拒绝其参加本项目重新组织的竞价采购活动。</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如采购人或代理机构在审核或复核</w:t>
      </w: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供应商所提交的竞价资料时，供应商须无条件配合；期间若发现存在弄虚作假或相关的失信记录或违反国家法律法规等相关的不良情形，采购人可取消其成交资格并保留追究责任的权力。</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eastAsia="zh-TW"/>
          <w14:textFill>
            <w14:solidFill>
              <w14:schemeClr w14:val="tx1"/>
            </w14:solidFill>
          </w14:textFill>
        </w:rPr>
        <w:t>供应商向我司咨询的有关项目事项，一切以</w:t>
      </w:r>
      <w:r>
        <w:rPr>
          <w:rFonts w:hint="eastAsia" w:asciiTheme="minorEastAsia" w:hAnsiTheme="minorEastAsia" w:cstheme="minorEastAsia"/>
          <w:color w:val="000000" w:themeColor="text1"/>
          <w:szCs w:val="21"/>
          <w14:textFill>
            <w14:solidFill>
              <w14:schemeClr w14:val="tx1"/>
            </w14:solidFill>
          </w14:textFill>
        </w:rPr>
        <w:t>竞价文件</w:t>
      </w:r>
      <w:r>
        <w:rPr>
          <w:rFonts w:hint="eastAsia" w:asciiTheme="minorEastAsia" w:hAnsiTheme="minorEastAsia" w:cstheme="minorEastAsia"/>
          <w:color w:val="000000" w:themeColor="text1"/>
          <w:szCs w:val="21"/>
          <w:lang w:eastAsia="zh-TW"/>
          <w14:textFill>
            <w14:solidFill>
              <w14:schemeClr w14:val="tx1"/>
            </w14:solidFill>
          </w14:textFill>
        </w:rPr>
        <w:t>规定</w:t>
      </w:r>
      <w:r>
        <w:rPr>
          <w:rFonts w:hint="eastAsia" w:asciiTheme="minorEastAsia" w:hAnsiTheme="minorEastAsia" w:cstheme="minorEastAsia"/>
          <w:color w:val="000000" w:themeColor="text1"/>
          <w:szCs w:val="21"/>
          <w14:textFill>
            <w14:solidFill>
              <w14:schemeClr w14:val="tx1"/>
            </w14:solidFill>
          </w14:textFill>
        </w:rPr>
        <w:t>和竞价公告规定以及</w:t>
      </w:r>
      <w:r>
        <w:rPr>
          <w:rFonts w:hint="eastAsia" w:asciiTheme="minorEastAsia" w:hAnsiTheme="minorEastAsia" w:cstheme="minorEastAsia"/>
          <w:color w:val="000000" w:themeColor="text1"/>
          <w:szCs w:val="21"/>
          <w:lang w:eastAsia="zh-TW"/>
          <w14:textFill>
            <w14:solidFill>
              <w14:schemeClr w14:val="tx1"/>
            </w14:solidFill>
          </w14:textFill>
        </w:rPr>
        <w:t>本公司</w:t>
      </w:r>
      <w:r>
        <w:rPr>
          <w:rFonts w:hint="eastAsia" w:asciiTheme="minorEastAsia" w:hAnsiTheme="minorEastAsia" w:cstheme="minorEastAsia"/>
          <w:color w:val="000000" w:themeColor="text1"/>
          <w:szCs w:val="21"/>
          <w14:textFill>
            <w14:solidFill>
              <w14:schemeClr w14:val="tx1"/>
            </w14:solidFill>
          </w14:textFill>
        </w:rPr>
        <w:t>的</w:t>
      </w:r>
      <w:r>
        <w:rPr>
          <w:rFonts w:hint="eastAsia" w:asciiTheme="minorEastAsia" w:hAnsiTheme="minorEastAsia" w:cstheme="minorEastAsia"/>
          <w:color w:val="000000" w:themeColor="text1"/>
          <w:szCs w:val="21"/>
          <w:lang w:eastAsia="zh-TW"/>
          <w14:textFill>
            <w14:solidFill>
              <w14:schemeClr w14:val="tx1"/>
            </w14:solidFill>
          </w14:textFill>
        </w:rPr>
        <w:t>书面答复为准，其他一切形式均为个人意见，不代表本公司的意见</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参与竞价的供应商应认真阅读</w:t>
      </w:r>
      <w:r>
        <w:rPr>
          <w:rFonts w:hint="eastAsia" w:asciiTheme="minorEastAsia" w:hAnsiTheme="minorEastAsia" w:cstheme="minorEastAsia"/>
          <w:color w:val="000000" w:themeColor="text1"/>
          <w:szCs w:val="21"/>
          <w:lang w:eastAsia="zh-TW"/>
          <w14:textFill>
            <w14:solidFill>
              <w14:schemeClr w14:val="tx1"/>
            </w14:solidFill>
          </w14:textFill>
        </w:rPr>
        <w:t>、并充分理解</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文件的全部内容（包括所有的补充、修改内容重要事项、格式、条款</w:t>
      </w:r>
      <w:r>
        <w:rPr>
          <w:rFonts w:hint="eastAsia" w:asciiTheme="minorEastAsia" w:hAnsiTheme="minorEastAsia" w:cstheme="minorEastAsia"/>
          <w:color w:val="000000" w:themeColor="text1"/>
          <w:szCs w:val="21"/>
          <w14:textFill>
            <w14:solidFill>
              <w14:schemeClr w14:val="tx1"/>
            </w14:solidFill>
          </w14:textFill>
        </w:rPr>
        <w:t>、服务要求</w:t>
      </w:r>
      <w:r>
        <w:rPr>
          <w:rFonts w:hint="eastAsia" w:asciiTheme="minorEastAsia" w:hAnsiTheme="minorEastAsia" w:cstheme="minorEastAsia"/>
          <w:color w:val="000000" w:themeColor="text1"/>
          <w:szCs w:val="21"/>
          <w:lang w:eastAsia="zh-TW"/>
          <w14:textFill>
            <w14:solidFill>
              <w14:schemeClr w14:val="tx1"/>
            </w14:solidFill>
          </w14:textFill>
        </w:rPr>
        <w:t>和技术规范、参数及要求等）。</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没有按照</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文件要求提交全部资料，或者</w:t>
      </w:r>
      <w:r>
        <w:rPr>
          <w:rFonts w:hint="eastAsia" w:asciiTheme="minorEastAsia" w:hAnsiTheme="minorEastAsia" w:cstheme="minorEastAsia"/>
          <w:color w:val="000000" w:themeColor="text1"/>
          <w:szCs w:val="21"/>
          <w14:textFill>
            <w14:solidFill>
              <w14:schemeClr w14:val="tx1"/>
            </w14:solidFill>
          </w14:textFill>
        </w:rPr>
        <w:t>参与竞价所上传的</w:t>
      </w:r>
      <w:r>
        <w:rPr>
          <w:rFonts w:hint="eastAsia" w:asciiTheme="minorEastAsia" w:hAnsiTheme="minorEastAsia" w:cstheme="minorEastAsia"/>
          <w:color w:val="000000" w:themeColor="text1"/>
          <w:szCs w:val="21"/>
          <w:lang w:eastAsia="zh-TW"/>
          <w14:textFill>
            <w14:solidFill>
              <w14:schemeClr w14:val="tx1"/>
            </w14:solidFill>
          </w14:textFill>
        </w:rPr>
        <w:t>文件没有对</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文件在各方面都作出实质性响应是</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的风险，有可能导致其</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被拒绝，</w:t>
      </w:r>
      <w:r>
        <w:rPr>
          <w:rFonts w:hint="eastAsia" w:asciiTheme="minorEastAsia" w:hAnsiTheme="minorEastAsia" w:cstheme="minorEastAsia"/>
          <w:color w:val="000000" w:themeColor="text1"/>
          <w:szCs w:val="21"/>
          <w14:textFill>
            <w14:solidFill>
              <w14:schemeClr w14:val="tx1"/>
            </w14:solidFill>
          </w14:textFill>
        </w:rPr>
        <w:t>或被认定为无效竞价。</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采购人有权拒绝接受任何不合格的货物或服务，由此产生的费用及相关后果均由成交供应商自行承担。</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本竞价公告和竞价文件的解释权归</w:t>
      </w:r>
      <w:r>
        <w:rPr>
          <w:rFonts w:hint="eastAsia" w:asciiTheme="minorEastAsia" w:hAnsiTheme="minorEastAsia" w:cstheme="minorEastAsia"/>
          <w:color w:val="000000" w:themeColor="text1"/>
          <w:szCs w:val="21"/>
          <w:lang w:eastAsia="zh-TW"/>
          <w14:textFill>
            <w14:solidFill>
              <w14:schemeClr w14:val="tx1"/>
            </w14:solidFill>
          </w14:textFill>
        </w:rPr>
        <w:t>“云采链</w:t>
      </w:r>
      <w:r>
        <w:rPr>
          <w:rFonts w:hint="eastAsia" w:asciiTheme="minorEastAsia" w:hAnsiTheme="minorEastAsia" w:cstheme="minorEastAsia"/>
          <w:color w:val="000000" w:themeColor="text1"/>
          <w14:textFill>
            <w14:solidFill>
              <w14:schemeClr w14:val="tx1"/>
            </w14:solidFill>
          </w14:textFill>
        </w:rPr>
        <w:t>线上采购一体化平台</w:t>
      </w:r>
      <w:r>
        <w:rPr>
          <w:rFonts w:hint="eastAsia" w:asciiTheme="minorEastAsia" w:hAnsiTheme="minorEastAsia" w:cstheme="minorEastAsia"/>
          <w:color w:val="000000" w:themeColor="text1"/>
          <w:szCs w:val="21"/>
          <w:lang w:eastAsia="zh-TW"/>
          <w14:textFill>
            <w14:solidFill>
              <w14:schemeClr w14:val="tx1"/>
            </w14:solidFill>
          </w14:textFill>
        </w:rPr>
        <w:t>”所有。</w:t>
      </w:r>
    </w:p>
    <w:p>
      <w:pPr>
        <w:pStyle w:val="27"/>
        <w:numPr>
          <w:ilvl w:val="0"/>
          <w:numId w:val="3"/>
        </w:numPr>
        <w:spacing w:line="360" w:lineRule="auto"/>
        <w:ind w:left="42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竞价文件的澄清或修改</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Theme="minorEastAsia" w:hAnsiTheme="minorEastAsia" w:cstheme="minorEastAsia"/>
          <w:color w:val="000000" w:themeColor="text1"/>
          <w:szCs w:val="21"/>
          <w14:textFill>
            <w14:solidFill>
              <w14:schemeClr w14:val="tx1"/>
            </w14:solidFill>
          </w14:textFill>
        </w:rPr>
        <w:t>如报名</w:t>
      </w:r>
      <w:r>
        <w:rPr>
          <w:rFonts w:hint="eastAsia" w:asciiTheme="minorEastAsia" w:hAnsiTheme="minorEastAsia" w:cstheme="minorEastAsia"/>
          <w:color w:val="000000" w:themeColor="text1"/>
          <w:szCs w:val="21"/>
          <w:lang w:eastAsia="zh-TW"/>
          <w14:textFill>
            <w14:solidFill>
              <w14:schemeClr w14:val="tx1"/>
            </w14:solidFill>
          </w14:textFill>
        </w:rPr>
        <w:t>截止时间</w:t>
      </w:r>
      <w:r>
        <w:rPr>
          <w:rFonts w:hint="eastAsia" w:asciiTheme="minorEastAsia" w:hAnsiTheme="minorEastAsia" w:cstheme="minorEastAsia"/>
          <w:color w:val="000000" w:themeColor="text1"/>
          <w:szCs w:val="21"/>
          <w14:textFill>
            <w14:solidFill>
              <w14:schemeClr w14:val="tx1"/>
            </w14:solidFill>
          </w14:textFill>
        </w:rPr>
        <w:t>少于一个工作日的，</w:t>
      </w:r>
      <w:r>
        <w:rPr>
          <w:rFonts w:hint="eastAsia" w:asciiTheme="minorEastAsia" w:hAnsiTheme="minorEastAsia" w:cstheme="minorEastAsia"/>
          <w:color w:val="000000" w:themeColor="text1"/>
          <w14:textFill>
            <w14:solidFill>
              <w14:schemeClr w14:val="tx1"/>
            </w14:solidFill>
          </w14:textFill>
        </w:rPr>
        <w:t>采购人或者采购代理机构应当相应顺延报名的截止时间。</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采购人或者采购代理机构发出的澄清或修改（更正/变更）的内容为竞价文件的组成部分，并对供应商具有约束力。</w:t>
      </w:r>
    </w:p>
    <w:p>
      <w:pPr>
        <w:pStyle w:val="27"/>
        <w:numPr>
          <w:ilvl w:val="0"/>
          <w:numId w:val="3"/>
        </w:numPr>
        <w:spacing w:line="360" w:lineRule="auto"/>
        <w:ind w:left="420" w:hanging="420" w:firstLineChars="0"/>
        <w:rPr>
          <w:rStyle w:val="23"/>
          <w:rFonts w:asciiTheme="minorEastAsia" w:hAnsiTheme="minorEastAsia" w:cstheme="minorEastAsia"/>
          <w:bCs w:val="0"/>
        </w:rPr>
      </w:pPr>
      <w:r>
        <w:rPr>
          <w:rStyle w:val="23"/>
          <w:rFonts w:hint="eastAsia" w:asciiTheme="minorEastAsia" w:hAnsiTheme="minorEastAsia" w:cstheme="minorEastAsia"/>
          <w:bCs w:val="0"/>
        </w:rPr>
        <w:t>报名要求</w:t>
      </w:r>
      <w:r>
        <w:rPr>
          <w:rStyle w:val="23"/>
          <w:rFonts w:hint="eastAsia" w:asciiTheme="minorEastAsia" w:hAnsiTheme="minorEastAsia" w:cstheme="minorEastAsia"/>
          <w:b w:val="0"/>
        </w:rPr>
        <w:t>（参与竞价的供应商资质要求: 报名时需要提供以下盖章资料，并对上传的报名文件资料承担责任）</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提供在中华人民共和国境内注册的法人或其他组织的营业执照或事业单位法人证书或社会团体法人登记证书复印件；如国家另有规定的，则从其规定；（如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满足《中华人民共和国政府采购法》第二十二条规定；本项目不允许联合竞价；不允许分包转包；为采购项目提供整体设计、规范编制或者项目管理、监理、检测等服务的供应商，不得再参加该采购项目同一合同项下的其他采购活动；法定代表人或单位负责人与所参投的本项目其他供应商的法定代表人或单位负责人不为同一人且与其他供应商之间不存在直接控股、管理关系；（提供《供应商资格声明函》，格式见附件）；</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供应商完全响应本项目用户需求的条款、内容及要求的，提供用户需求书响应声明函即可</w:t>
      </w:r>
      <w:r>
        <w:rPr>
          <w:rFonts w:hint="eastAsia" w:asciiTheme="minorEastAsia" w:hAnsiTheme="minorEastAsia" w:cstheme="minorEastAsia"/>
          <w:b/>
          <w:color w:val="000000" w:themeColor="text1"/>
          <w:kern w:val="0"/>
          <w:szCs w:val="21"/>
          <w14:textFill>
            <w14:solidFill>
              <w14:schemeClr w14:val="tx1"/>
            </w14:solidFill>
          </w14:textFill>
        </w:rPr>
        <w:t>，格式详见附件；</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报价要求</w:t>
      </w:r>
      <w:r>
        <w:rPr>
          <w:rStyle w:val="23"/>
          <w:rFonts w:hint="eastAsia" w:asciiTheme="minorEastAsia" w:hAnsiTheme="minorEastAsia" w:cstheme="minorEastAsia"/>
          <w:color w:val="000000" w:themeColor="text1"/>
          <w:szCs w:val="21"/>
          <w14:textFill>
            <w14:solidFill>
              <w14:schemeClr w14:val="tx1"/>
            </w14:solidFill>
          </w14:textFill>
        </w:rPr>
        <w:t>（</w:t>
      </w:r>
      <w:r>
        <w:rPr>
          <w:rStyle w:val="23"/>
          <w:rFonts w:hint="eastAsia" w:asciiTheme="minorEastAsia" w:hAnsiTheme="minorEastAsia" w:cstheme="minorEastAsia"/>
          <w:b w:val="0"/>
          <w:color w:val="000000" w:themeColor="text1"/>
          <w:szCs w:val="21"/>
          <w14:textFill>
            <w14:solidFill>
              <w14:schemeClr w14:val="tx1"/>
            </w14:solidFill>
          </w14:textFill>
        </w:rPr>
        <w:t>报价时需要提供以下</w:t>
      </w:r>
      <w:r>
        <w:rPr>
          <w:rStyle w:val="23"/>
          <w:rFonts w:hint="eastAsia" w:asciiTheme="minorEastAsia" w:hAnsiTheme="minorEastAsia" w:cstheme="minorEastAsia"/>
          <w:color w:val="000000" w:themeColor="text1"/>
          <w:szCs w:val="21"/>
          <w:u w:val="double"/>
          <w14:textFill>
            <w14:solidFill>
              <w14:schemeClr w14:val="tx1"/>
            </w14:solidFill>
          </w14:textFill>
        </w:rPr>
        <w:t>盖章</w:t>
      </w:r>
      <w:r>
        <w:rPr>
          <w:rStyle w:val="23"/>
          <w:rFonts w:hint="eastAsia" w:asciiTheme="minorEastAsia" w:hAnsiTheme="minorEastAsia" w:cstheme="minorEastAsia"/>
          <w:b w:val="0"/>
          <w:color w:val="000000" w:themeColor="text1"/>
          <w:szCs w:val="21"/>
          <w14:textFill>
            <w14:solidFill>
              <w14:schemeClr w14:val="tx1"/>
            </w14:solidFill>
          </w14:textFill>
        </w:rPr>
        <w:t>资料，</w:t>
      </w:r>
      <w:r>
        <w:rPr>
          <w:rFonts w:hint="eastAsia" w:asciiTheme="minorEastAsia" w:hAnsiTheme="minorEastAsia" w:cstheme="minorEastAsia"/>
          <w:color w:val="000000" w:themeColor="text1"/>
          <w:szCs w:val="21"/>
          <w14:textFill>
            <w14:solidFill>
              <w14:schemeClr w14:val="tx1"/>
            </w14:solidFill>
          </w14:textFill>
        </w:rPr>
        <w:t>并对上传的竞价文件资料承担责任</w:t>
      </w:r>
      <w:r>
        <w:rPr>
          <w:rStyle w:val="23"/>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7"/>
        </w:numPr>
        <w:spacing w:line="360" w:lineRule="auto"/>
        <w:ind w:left="840" w:hanging="420" w:firstLineChars="0"/>
        <w:rPr>
          <w:rFonts w:asciiTheme="minorEastAsia" w:hAnsiTheme="minorEastAsia" w:cstheme="minorEastAsia"/>
          <w:szCs w:val="21"/>
        </w:rPr>
      </w:pPr>
      <w:r>
        <w:rPr>
          <w:rFonts w:hint="eastAsia" w:asciiTheme="minorEastAsia" w:hAnsiTheme="minorEastAsia" w:cstheme="minorEastAsia"/>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Theme="minorEastAsia" w:hAnsiTheme="minorEastAsia" w:cstheme="minorEastAsia"/>
          <w:color w:val="000000" w:themeColor="text1"/>
          <w:szCs w:val="21"/>
          <w:lang w:eastAsia="zh-TW"/>
          <w14:textFill>
            <w14:solidFill>
              <w14:schemeClr w14:val="tx1"/>
            </w14:solidFill>
          </w14:textFill>
        </w:rPr>
        <w:t>、真实、准确地</w:t>
      </w:r>
      <w:r>
        <w:rPr>
          <w:rFonts w:hint="eastAsia" w:asciiTheme="minorEastAsia" w:hAnsiTheme="minorEastAsia" w:cstheme="minorEastAsia"/>
          <w:color w:val="000000" w:themeColor="text1"/>
          <w:szCs w:val="21"/>
          <w14:textFill>
            <w14:solidFill>
              <w14:schemeClr w14:val="tx1"/>
            </w14:solidFill>
          </w14:textFill>
        </w:rPr>
        <w:t>填写并上传相应报价附件</w:t>
      </w:r>
      <w:r>
        <w:rPr>
          <w:rFonts w:hint="eastAsia" w:asciiTheme="minorEastAsia" w:hAnsiTheme="minorEastAsia" w:cstheme="minorEastAsia"/>
          <w:b/>
          <w:bCs/>
          <w:color w:val="000000" w:themeColor="text1"/>
          <w:szCs w:val="21"/>
          <w14:textFill>
            <w14:solidFill>
              <w14:schemeClr w14:val="tx1"/>
            </w14:solidFill>
          </w14:textFill>
        </w:rPr>
        <w:t>（</w:t>
      </w:r>
      <w:r>
        <w:rPr>
          <w:rFonts w:hint="eastAsia" w:asciiTheme="minorEastAsia" w:hAnsiTheme="minorEastAsia" w:cstheme="minorEastAsia"/>
          <w:b/>
          <w:szCs w:val="21"/>
          <w:lang w:bidi="ar"/>
        </w:rPr>
        <w:t>上传</w:t>
      </w:r>
      <w:r>
        <w:rPr>
          <w:rFonts w:hint="eastAsia" w:asciiTheme="minorEastAsia" w:hAnsiTheme="minorEastAsia" w:cstheme="minorEastAsia"/>
          <w:b/>
          <w:bCs/>
          <w:szCs w:val="21"/>
          <w:shd w:val="clear" w:color="auto" w:fill="FFFFFF"/>
          <w:lang w:bidi="ar"/>
        </w:rPr>
        <w:t>报价表）。</w:t>
      </w:r>
    </w:p>
    <w:p>
      <w:pPr>
        <w:pStyle w:val="27"/>
        <w:numPr>
          <w:ilvl w:val="0"/>
          <w:numId w:val="7"/>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szCs w:val="21"/>
          <w:u w:val="double"/>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确定成交候选人</w:t>
      </w:r>
    </w:p>
    <w:p>
      <w:pPr>
        <w:pStyle w:val="27"/>
        <w:numPr>
          <w:ilvl w:val="0"/>
          <w:numId w:val="8"/>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本项目以最低价成交的方式确定成交供应商。报价时间截止后，系统按报价（经价格核准后的价格）由低到高顺序排列，</w:t>
      </w:r>
      <w:r>
        <w:rPr>
          <w:rFonts w:hint="eastAsia" w:asciiTheme="minorEastAsia" w:hAnsiTheme="minorEastAsia" w:cstheme="minorEastAsia"/>
          <w:color w:val="000000" w:themeColor="text1"/>
          <w14:textFill>
            <w14:solidFill>
              <w14:schemeClr w14:val="tx1"/>
            </w14:solidFill>
          </w14:textFill>
        </w:rPr>
        <w:t>报价最低的为第一成交候选人，报价相同的，按报价时间在前的为第一成交候选人；</w:t>
      </w:r>
      <w:r>
        <w:rPr>
          <w:rFonts w:hint="eastAsia" w:asciiTheme="minorEastAsia" w:hAnsiTheme="minorEastAsia" w:cstheme="minorEastAsia"/>
          <w:color w:val="000000" w:themeColor="text1"/>
          <w:szCs w:val="21"/>
          <w14:textFill>
            <w14:solidFill>
              <w14:schemeClr w14:val="tx1"/>
            </w14:solidFill>
          </w14:textFill>
        </w:rPr>
        <w:t>报价次低的为第二成交候选人，以此类推</w:t>
      </w:r>
      <w:r>
        <w:rPr>
          <w:rFonts w:hint="eastAsia" w:asciiTheme="minorEastAsia" w:hAnsiTheme="minorEastAsia" w:cstheme="minorEastAsia"/>
          <w:color w:val="000000" w:themeColor="text1"/>
          <w14:textFill>
            <w14:solidFill>
              <w14:schemeClr w14:val="tx1"/>
            </w14:solidFill>
          </w14:textFill>
        </w:rPr>
        <w:t>。</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供应商报价超过最高限价或低于最低限价或超过项目对应产品单项最高限价的视为无效报价。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供应商须提供本项目要求的资质文件，如果不按公告规定或竞价文件要求等相关规定提供符合要求的资质文件，将被视为无效报价。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供应商须对本项目采购内容进行整体报价，任何只对其中一部分内容进行的报价都被视为无效报价。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u w:val="double"/>
          <w14:textFill>
            <w14:solidFill>
              <w14:schemeClr w14:val="tx1"/>
            </w14:solidFill>
          </w14:textFill>
        </w:rPr>
        <w:t>报价表以及有报价供应商落款的报价文件必须加盖报价供应商公章，否则视为无效报价。</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b/>
          <w:bCs/>
          <w:color w:val="000000" w:themeColor="text1"/>
          <w:sz w:val="21"/>
          <w:szCs w:val="21"/>
          <w:u w:val="doub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double"/>
          <w14:textFill>
            <w14:solidFill>
              <w14:schemeClr w14:val="tx1"/>
            </w14:solidFill>
          </w14:textFill>
        </w:rPr>
        <w:t>按有关法律、法规、规章属于报价无效的。</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有下列情形之一的，视为串通竞价，其报价无效：</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存在单位负责人为同一人或存在控股、管理关系的不同单位参与同一竞价项目；</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不同供应商的响应文件由同一单位或者个人编制；</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不同供应商委托同一单位或者个人办理竞价事宜；</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不同供应商使用同一IP地址参与竞价；</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不同供应商的响应文件载明的项目管理成员或者联系人员为同一人；</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不同供应商的响应文件异常一致或者报价呈规律性差异；</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不同供应商的响应文件相互混淆；</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不同供应商的平台使用费从同一单位或者个人的账户转出。</w:t>
      </w:r>
    </w:p>
    <w:p>
      <w:pPr>
        <w:pStyle w:val="27"/>
        <w:numPr>
          <w:ilvl w:val="0"/>
          <w:numId w:val="3"/>
        </w:numPr>
        <w:spacing w:line="360" w:lineRule="auto"/>
        <w:ind w:left="42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竞价活动失败</w:t>
      </w:r>
    </w:p>
    <w:p>
      <w:pPr>
        <w:spacing w:line="375" w:lineRule="auto"/>
        <w:ind w:left="840" w:hanging="420"/>
      </w:pPr>
      <w:r>
        <w:rPr>
          <w:rFonts w:ascii="宋体" w:hAnsi="宋体" w:eastAsia="宋体" w:cs="宋体"/>
          <w:color w:val="000000"/>
          <w:szCs w:val="21"/>
        </w:rPr>
        <w:t>1．出现下列情况的，本项目竞价活动失败：</w:t>
      </w:r>
    </w:p>
    <w:p>
      <w:pPr>
        <w:spacing w:line="375" w:lineRule="auto"/>
        <w:ind w:left="1260" w:hanging="420"/>
      </w:pPr>
      <w:r>
        <w:rPr>
          <w:rFonts w:ascii="宋体" w:hAnsi="宋体" w:eastAsia="宋体" w:cs="宋体"/>
          <w:color w:val="000000"/>
          <w:szCs w:val="21"/>
        </w:rPr>
        <w:t>（1）报名供应商不足3家；</w:t>
      </w:r>
    </w:p>
    <w:p>
      <w:pPr>
        <w:spacing w:line="375" w:lineRule="auto"/>
        <w:ind w:left="1260" w:hanging="420"/>
      </w:pPr>
      <w:r>
        <w:rPr>
          <w:rFonts w:ascii="宋体" w:hAnsi="宋体" w:eastAsia="宋体" w:cs="宋体"/>
          <w:color w:val="000000"/>
          <w:szCs w:val="21"/>
        </w:rPr>
        <w:t>（2）报价供应商不足3家。</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2.出现影响采购公正的违法、违规行为的。</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3.因重大变故，采购任务取消的。</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使用费</w:t>
      </w:r>
    </w:p>
    <w:p>
      <w:pPr>
        <w:spacing w:line="375" w:lineRule="auto"/>
        <w:ind w:left="840" w:hanging="420"/>
      </w:pPr>
      <w:r>
        <w:rPr>
          <w:rFonts w:ascii="宋体" w:hAnsi="宋体" w:eastAsia="宋体" w:cs="宋体"/>
          <w:color w:val="000000"/>
          <w:szCs w:val="21"/>
        </w:rPr>
        <w:t>1．成交供应商须向平台服务商云采链线上采购一体化平台缴纳平台使用费，金额为成交金额的1.5%（四舍五入取整数）。</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2.成交供应商无正当理由放弃成交资格的必须按竞价公告等相关规定缴纳相应的平台使用费。</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3.如确实因不可抗力放弃成交资格的，应在不可抗力发生后三个工作日内予以通知采购代理机构并提供相关的证明；如逾期，采购代理机构不予退还平台使用费。</w:t>
      </w:r>
    </w:p>
    <w:p>
      <w:pPr>
        <w:pStyle w:val="27"/>
        <w:numPr>
          <w:ilvl w:val="0"/>
          <w:numId w:val="2"/>
        </w:numPr>
        <w:spacing w:line="360" w:lineRule="auto"/>
        <w:ind w:firstLineChars="0"/>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联系方式</w:t>
      </w:r>
    </w:p>
    <w:p>
      <w:pPr>
        <w:pStyle w:val="27"/>
        <w:widowControl/>
        <w:spacing w:line="360" w:lineRule="auto"/>
        <w:ind w:left="420" w:firstLine="0" w:firstLineChars="0"/>
        <w:jc w:val="left"/>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扫码关注微信公众号“云采链互联服务平台”，即可在线咨询相关事项。</w:t>
      </w:r>
    </w:p>
    <w:p>
      <w:pPr>
        <w:pStyle w:val="27"/>
        <w:widowControl/>
        <w:spacing w:line="360" w:lineRule="auto"/>
        <w:ind w:left="420" w:firstLine="0" w:firstLineChars="0"/>
        <w:jc w:val="cente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drawing>
          <wp:inline distT="0" distB="0" distL="0" distR="0">
            <wp:extent cx="1390650" cy="1390650"/>
            <wp:effectExtent l="0" t="0" r="0" b="0"/>
            <wp:docPr id="7" name="图片 7" descr="C:\Users\ADMINI~1\AppData\Local\Temp\360zip$Temp\360$2\智采公众号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1\AppData\Local\Temp\360zip$Temp\360$2\智采公众号8cm.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390650" cy="1390650"/>
                    </a:xfrm>
                    <a:prstGeom prst="rect">
                      <a:avLst/>
                    </a:prstGeom>
                    <a:noFill/>
                    <a:ln>
                      <a:noFill/>
                    </a:ln>
                  </pic:spPr>
                </pic:pic>
              </a:graphicData>
            </a:graphic>
          </wp:inline>
        </w:drawing>
      </w:r>
    </w:p>
    <w:p>
      <w:pP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snapToGrid w:val="0"/>
        <w:spacing w:line="360" w:lineRule="auto"/>
        <w:jc w:val="center"/>
        <w:outlineLvl w:val="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b/>
          <w:bCs/>
          <w:color w:val="000000" w:themeColor="text1"/>
          <w:sz w:val="28"/>
          <w:szCs w:val="28"/>
          <w14:textFill>
            <w14:solidFill>
              <w14:schemeClr w14:val="tx1"/>
            </w14:solidFill>
          </w14:textFill>
        </w:rPr>
        <w:t>第二章 用户需求书</w:t>
      </w:r>
    </w:p>
    <w:p>
      <w:pPr>
        <w:snapToGrid w:val="0"/>
        <w:spacing w:line="360" w:lineRule="auto"/>
        <w:ind w:left="517" w:hanging="517" w:hangingChars="245"/>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说明：</w:t>
      </w:r>
    </w:p>
    <w:p>
      <w:pPr>
        <w:numPr>
          <w:ilvl w:val="0"/>
          <w:numId w:val="11"/>
        </w:numPr>
        <w:snapToGrid w:val="0"/>
        <w:spacing w:line="360" w:lineRule="auto"/>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 xml:space="preserve">响应供应商须对本项目进行整体响应，任何只对其中一部分进行的响应都被视为无效响应。 </w:t>
      </w:r>
    </w:p>
    <w:p>
      <w:pPr>
        <w:pStyle w:val="9"/>
        <w:numPr>
          <w:ilvl w:val="0"/>
          <w:numId w:val="12"/>
        </w:numPr>
        <w:tabs>
          <w:tab w:val="left" w:pos="540"/>
        </w:tabs>
        <w:adjustRightInd w:val="0"/>
        <w:snapToGrid w:val="0"/>
        <w:spacing w:line="360" w:lineRule="auto"/>
        <w:rPr>
          <w:rFonts w:hAnsi="宋体" w:cstheme="minorEastAsia"/>
          <w:b/>
          <w:bCs/>
          <w:color w:val="000000" w:themeColor="text1"/>
          <w:sz w:val="21"/>
          <w14:textFill>
            <w14:solidFill>
              <w14:schemeClr w14:val="tx1"/>
            </w14:solidFill>
          </w14:textFill>
        </w:rPr>
      </w:pPr>
      <w:r>
        <w:rPr>
          <w:rFonts w:hint="eastAsia" w:hAnsi="宋体" w:cstheme="minorEastAsia"/>
          <w:b/>
          <w:bCs/>
          <w:color w:val="000000" w:themeColor="text1"/>
          <w:sz w:val="21"/>
          <w14:textFill>
            <w14:solidFill>
              <w14:schemeClr w14:val="tx1"/>
            </w14:solidFill>
          </w14:textFill>
        </w:rPr>
        <w:t>项目一览表</w:t>
      </w:r>
    </w:p>
    <w:tbl>
      <w:tblPr>
        <w:tblStyle w:val="20"/>
        <w:tblW w:w="487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716"/>
        <w:gridCol w:w="1324"/>
        <w:gridCol w:w="2459"/>
        <w:gridCol w:w="21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571"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项目内容</w:t>
            </w:r>
          </w:p>
        </w:tc>
        <w:tc>
          <w:tcPr>
            <w:tcW w:w="766"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数量</w:t>
            </w:r>
          </w:p>
        </w:tc>
        <w:tc>
          <w:tcPr>
            <w:tcW w:w="1422"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lang w:val="en-US" w:eastAsia="zh-CN"/>
              </w:rPr>
              <w:t>供货</w:t>
            </w:r>
            <w:r>
              <w:rPr>
                <w:rFonts w:hint="eastAsia" w:ascii="宋体" w:hAnsi="宋体" w:eastAsia="宋体" w:cs="宋体"/>
                <w:b/>
                <w:color w:val="000000"/>
                <w:szCs w:val="21"/>
              </w:rPr>
              <w:t>期</w:t>
            </w:r>
          </w:p>
        </w:tc>
        <w:tc>
          <w:tcPr>
            <w:tcW w:w="1239"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项目预算（含税）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71" w:type="pct"/>
            <w:tcBorders>
              <w:top w:val="single" w:color="auto" w:sz="2" w:space="0"/>
              <w:bottom w:val="single" w:color="auto" w:sz="2" w:space="0"/>
            </w:tcBorders>
            <w:vAlign w:val="center"/>
          </w:tcPr>
          <w:p>
            <w:pPr>
              <w:spacing w:line="360" w:lineRule="auto"/>
              <w:jc w:val="center"/>
              <w:rPr>
                <w:rFonts w:hint="eastAsia" w:ascii="宋体" w:hAnsi="宋体" w:eastAsia="宋体" w:cs="宋体"/>
                <w:szCs w:val="21"/>
                <w:lang w:eastAsia="zh-CN"/>
              </w:rPr>
            </w:pPr>
            <w:r>
              <w:rPr>
                <w:rFonts w:hint="eastAsia"/>
                <w:b w:val="0"/>
                <w:bCs w:val="0"/>
                <w:sz w:val="21"/>
                <w:szCs w:val="21"/>
                <w:lang w:val="en-US" w:eastAsia="zh-CN"/>
              </w:rPr>
              <w:t>购买分离式视频会议系统终端及配套</w:t>
            </w:r>
          </w:p>
        </w:tc>
        <w:tc>
          <w:tcPr>
            <w:tcW w:w="766" w:type="pct"/>
            <w:tcBorders>
              <w:top w:val="single" w:color="auto" w:sz="2" w:space="0"/>
              <w:bottom w:val="single" w:color="auto" w:sz="2" w:space="0"/>
            </w:tcBorders>
            <w:vAlign w:val="center"/>
          </w:tcPr>
          <w:p>
            <w:pPr>
              <w:spacing w:line="360" w:lineRule="auto"/>
              <w:jc w:val="center"/>
              <w:rPr>
                <w:rFonts w:hint="eastAsia" w:ascii="宋体" w:hAnsi="宋体" w:eastAsia="宋体" w:cs="宋体"/>
                <w:szCs w:val="21"/>
                <w:lang w:val="en-US" w:eastAsia="zh-CN"/>
              </w:rPr>
            </w:pPr>
            <w:r>
              <w:rPr>
                <w:rFonts w:hint="eastAsia" w:ascii="宋体" w:hAnsi="宋体" w:eastAsia="宋体" w:cs="宋体"/>
                <w:szCs w:val="21"/>
              </w:rPr>
              <w:t>1</w:t>
            </w:r>
            <w:r>
              <w:rPr>
                <w:rFonts w:hint="eastAsia" w:ascii="宋体" w:hAnsi="宋体" w:eastAsia="宋体" w:cs="宋体"/>
                <w:szCs w:val="21"/>
                <w:lang w:val="en-US" w:eastAsia="zh-CN"/>
              </w:rPr>
              <w:t>批</w:t>
            </w:r>
          </w:p>
        </w:tc>
        <w:tc>
          <w:tcPr>
            <w:tcW w:w="1422" w:type="pct"/>
            <w:tcBorders>
              <w:top w:val="single" w:color="auto" w:sz="2" w:space="0"/>
              <w:bottom w:val="single" w:color="auto" w:sz="2" w:space="0"/>
            </w:tcBorders>
            <w:vAlign w:val="center"/>
          </w:tcPr>
          <w:p>
            <w:pPr>
              <w:spacing w:line="360" w:lineRule="auto"/>
              <w:jc w:val="center"/>
              <w:rPr>
                <w:rFonts w:hint="default" w:ascii="宋体" w:hAnsi="宋体" w:eastAsia="宋体" w:cs="宋体"/>
                <w:bCs/>
                <w:szCs w:val="21"/>
                <w:lang w:val="en-US" w:eastAsia="zh-CN"/>
              </w:rPr>
            </w:pPr>
            <w:r>
              <w:rPr>
                <w:rFonts w:hint="eastAsia" w:ascii="宋体" w:hAnsi="宋体" w:eastAsia="宋体" w:cs="宋体"/>
                <w:bCs/>
                <w:szCs w:val="21"/>
                <w:lang w:val="en-US" w:eastAsia="zh-CN"/>
              </w:rPr>
              <w:t>自合同签订之日15个日历天内</w:t>
            </w:r>
          </w:p>
        </w:tc>
        <w:tc>
          <w:tcPr>
            <w:tcW w:w="1239" w:type="pct"/>
            <w:tcBorders>
              <w:top w:val="single" w:color="auto" w:sz="2" w:space="0"/>
              <w:bottom w:val="single" w:color="auto" w:sz="2" w:space="0"/>
            </w:tcBorders>
            <w:vAlign w:val="center"/>
          </w:tcPr>
          <w:p>
            <w:pPr>
              <w:spacing w:line="360" w:lineRule="auto"/>
              <w:jc w:val="center"/>
              <w:rPr>
                <w:rFonts w:ascii="宋体" w:hAnsi="宋体" w:eastAsia="宋体" w:cs="宋体"/>
                <w:szCs w:val="21"/>
              </w:rPr>
            </w:pPr>
            <w:r>
              <w:rPr>
                <w:rFonts w:hint="eastAsia" w:ascii="宋体" w:hAnsi="宋体" w:eastAsia="宋体" w:cs="Times New Roman"/>
                <w:kern w:val="0"/>
                <w:szCs w:val="21"/>
              </w:rPr>
              <w:t>人民币</w:t>
            </w:r>
            <w:r>
              <w:rPr>
                <w:rFonts w:hint="eastAsia" w:ascii="宋体" w:hAnsi="宋体" w:eastAsia="宋体" w:cs="Times New Roman"/>
                <w:kern w:val="0"/>
                <w:szCs w:val="21"/>
                <w:lang w:val="en-US" w:eastAsia="zh-CN"/>
              </w:rPr>
              <w:t>72000</w:t>
            </w:r>
            <w:r>
              <w:rPr>
                <w:rFonts w:hint="eastAsia" w:ascii="宋体" w:hAnsi="宋体" w:eastAsia="宋体" w:cs="Times New Roman"/>
                <w:kern w:val="0"/>
                <w:szCs w:val="21"/>
              </w:rPr>
              <w:t>元</w:t>
            </w:r>
          </w:p>
        </w:tc>
      </w:tr>
    </w:tbl>
    <w:p>
      <w:pPr>
        <w:pStyle w:val="9"/>
        <w:numPr>
          <w:ilvl w:val="0"/>
          <w:numId w:val="12"/>
        </w:numPr>
        <w:tabs>
          <w:tab w:val="left" w:pos="540"/>
        </w:tabs>
        <w:adjustRightInd w:val="0"/>
        <w:snapToGrid w:val="0"/>
        <w:spacing w:line="360" w:lineRule="auto"/>
        <w:rPr>
          <w:rFonts w:ascii="宋体" w:hAnsi="宋体" w:eastAsia="宋体" w:cs="宋体"/>
          <w:b/>
          <w:color w:val="333333"/>
          <w:szCs w:val="21"/>
          <w:shd w:val="clear" w:color="auto" w:fill="FFFFFF"/>
        </w:rPr>
      </w:pPr>
      <w:r>
        <w:rPr>
          <w:rFonts w:hint="eastAsia" w:ascii="宋体" w:hAnsi="宋体" w:eastAsia="宋体" w:cs="宋体"/>
          <w:b/>
          <w:color w:val="333333"/>
          <w:szCs w:val="21"/>
          <w:shd w:val="clear" w:color="auto" w:fill="FFFFFF"/>
          <w:lang w:val="en-US" w:eastAsia="zh-CN"/>
        </w:rPr>
        <w:t>项目清单及预算</w:t>
      </w:r>
    </w:p>
    <w:tbl>
      <w:tblPr>
        <w:tblStyle w:val="20"/>
        <w:tblW w:w="4997" w:type="pct"/>
        <w:jc w:val="center"/>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Layout w:type="autofit"/>
        <w:tblCellMar>
          <w:top w:w="0" w:type="dxa"/>
          <w:left w:w="108" w:type="dxa"/>
          <w:bottom w:w="0" w:type="dxa"/>
          <w:right w:w="108" w:type="dxa"/>
        </w:tblCellMar>
      </w:tblPr>
      <w:tblGrid>
        <w:gridCol w:w="2376"/>
        <w:gridCol w:w="2676"/>
        <w:gridCol w:w="1332"/>
        <w:gridCol w:w="2467"/>
      </w:tblGrid>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579" w:hRule="atLeast"/>
          <w:jc w:val="center"/>
        </w:trPr>
        <w:tc>
          <w:tcPr>
            <w:tcW w:w="1342" w:type="pct"/>
            <w:shd w:val="clear" w:color="auto" w:fill="EEECE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采购内容</w:t>
            </w:r>
          </w:p>
        </w:tc>
        <w:tc>
          <w:tcPr>
            <w:tcW w:w="1511" w:type="pct"/>
            <w:shd w:val="clear" w:color="auto" w:fill="EEECE1"/>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型号</w:t>
            </w:r>
          </w:p>
        </w:tc>
        <w:tc>
          <w:tcPr>
            <w:tcW w:w="752" w:type="pct"/>
            <w:shd w:val="clear" w:color="auto" w:fill="EEECE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数量</w:t>
            </w:r>
          </w:p>
        </w:tc>
        <w:tc>
          <w:tcPr>
            <w:tcW w:w="1393" w:type="pct"/>
            <w:shd w:val="clear" w:color="auto" w:fill="EEECE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采购预算</w:t>
            </w: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1342" w:type="pct"/>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分体式视频会议终端</w:t>
            </w:r>
          </w:p>
        </w:tc>
        <w:tc>
          <w:tcPr>
            <w:tcW w:w="1511" w:type="pct"/>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华为Box610</w:t>
            </w:r>
          </w:p>
        </w:tc>
        <w:tc>
          <w:tcPr>
            <w:tcW w:w="752"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1套</w:t>
            </w:r>
          </w:p>
        </w:tc>
        <w:tc>
          <w:tcPr>
            <w:tcW w:w="1393"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default" w:ascii="宋体" w:hAnsi="宋体" w:eastAsia="宋体" w:cs="宋体"/>
                <w:bCs/>
                <w:color w:val="000000"/>
                <w:sz w:val="21"/>
                <w:szCs w:val="21"/>
                <w:lang w:val="en-US" w:eastAsia="zh-CN"/>
              </w:rPr>
            </w:pPr>
            <w:r>
              <w:rPr>
                <w:rFonts w:hint="eastAsia" w:ascii="宋体" w:hAnsi="宋体" w:eastAsia="宋体" w:cs="宋体"/>
                <w:bCs/>
                <w:color w:val="000000"/>
                <w:sz w:val="21"/>
                <w:szCs w:val="21"/>
              </w:rPr>
              <w:t>5</w:t>
            </w:r>
            <w:r>
              <w:rPr>
                <w:rFonts w:hint="eastAsia" w:ascii="宋体" w:hAnsi="宋体" w:eastAsia="宋体" w:cs="宋体"/>
                <w:bCs/>
                <w:color w:val="000000"/>
                <w:sz w:val="21"/>
                <w:szCs w:val="21"/>
                <w:lang w:val="en-US" w:eastAsia="zh-CN"/>
              </w:rPr>
              <w:t>2000</w:t>
            </w: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1342" w:type="pct"/>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全向麦克风</w:t>
            </w:r>
          </w:p>
        </w:tc>
        <w:tc>
          <w:tcPr>
            <w:tcW w:w="1511" w:type="pct"/>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ascii="宋体" w:hAnsi="宋体" w:eastAsia="宋体" w:cs="宋体"/>
                <w:bCs/>
                <w:color w:val="000000"/>
                <w:sz w:val="21"/>
                <w:szCs w:val="21"/>
              </w:rPr>
              <w:t>CloudLink Mic 500</w:t>
            </w:r>
          </w:p>
        </w:tc>
        <w:tc>
          <w:tcPr>
            <w:tcW w:w="752"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1台</w:t>
            </w:r>
          </w:p>
        </w:tc>
        <w:tc>
          <w:tcPr>
            <w:tcW w:w="1393"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ascii="宋体" w:hAnsi="宋体" w:eastAsia="宋体" w:cs="宋体"/>
                <w:bCs/>
                <w:color w:val="000000"/>
                <w:sz w:val="21"/>
                <w:szCs w:val="21"/>
              </w:rPr>
              <w:t>25</w:t>
            </w:r>
            <w:r>
              <w:rPr>
                <w:rFonts w:hint="eastAsia" w:ascii="宋体" w:hAnsi="宋体" w:eastAsia="宋体" w:cs="宋体"/>
                <w:bCs/>
                <w:color w:val="000000"/>
                <w:sz w:val="21"/>
                <w:szCs w:val="21"/>
                <w:lang w:val="en-US" w:eastAsia="zh-CN"/>
              </w:rPr>
              <w:t>00</w:t>
            </w: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1342" w:type="pct"/>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摄像机</w:t>
            </w:r>
          </w:p>
        </w:tc>
        <w:tc>
          <w:tcPr>
            <w:tcW w:w="1511" w:type="pct"/>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华为CloudLink C200</w:t>
            </w:r>
          </w:p>
        </w:tc>
        <w:tc>
          <w:tcPr>
            <w:tcW w:w="752"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1台</w:t>
            </w:r>
          </w:p>
        </w:tc>
        <w:tc>
          <w:tcPr>
            <w:tcW w:w="1393"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default" w:ascii="宋体" w:hAnsi="宋体" w:eastAsia="宋体" w:cs="宋体"/>
                <w:bCs/>
                <w:color w:val="000000"/>
                <w:sz w:val="21"/>
                <w:szCs w:val="21"/>
                <w:lang w:val="en-US" w:eastAsia="zh-CN"/>
              </w:rPr>
            </w:pPr>
            <w:r>
              <w:rPr>
                <w:rFonts w:hint="eastAsia" w:ascii="宋体" w:hAnsi="宋体" w:eastAsia="宋体" w:cs="宋体"/>
                <w:bCs/>
                <w:color w:val="000000"/>
                <w:sz w:val="21"/>
                <w:szCs w:val="21"/>
              </w:rPr>
              <w:t>175</w:t>
            </w:r>
            <w:r>
              <w:rPr>
                <w:rFonts w:hint="eastAsia" w:ascii="宋体" w:hAnsi="宋体" w:eastAsia="宋体" w:cs="宋体"/>
                <w:bCs/>
                <w:color w:val="000000"/>
                <w:sz w:val="21"/>
                <w:szCs w:val="21"/>
                <w:lang w:val="en-US" w:eastAsia="zh-CN"/>
              </w:rPr>
              <w:t>00</w:t>
            </w:r>
          </w:p>
        </w:tc>
      </w:tr>
    </w:tbl>
    <w:p>
      <w:pPr>
        <w:pStyle w:val="9"/>
        <w:numPr>
          <w:ilvl w:val="0"/>
          <w:numId w:val="12"/>
        </w:numPr>
        <w:tabs>
          <w:tab w:val="left" w:pos="540"/>
        </w:tabs>
        <w:adjustRightInd w:val="0"/>
        <w:snapToGrid w:val="0"/>
        <w:spacing w:line="360" w:lineRule="auto"/>
        <w:rPr>
          <w:rFonts w:ascii="宋体" w:hAnsi="宋体" w:eastAsia="宋体" w:cs="宋体"/>
          <w:b/>
          <w:color w:val="333333"/>
          <w:sz w:val="21"/>
          <w:szCs w:val="21"/>
          <w:shd w:val="clear" w:color="auto" w:fill="FFFFFF"/>
        </w:rPr>
      </w:pPr>
      <w:r>
        <w:rPr>
          <w:rFonts w:hint="eastAsia" w:ascii="宋体" w:hAnsi="宋体" w:eastAsia="宋体" w:cs="宋体"/>
          <w:b/>
          <w:sz w:val="21"/>
          <w:szCs w:val="21"/>
        </w:rPr>
        <w:t>项目概况</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ascii="宋体" w:hAnsi="宋体" w:eastAsia="宋体" w:cs="宋体"/>
          <w:bCs/>
          <w:color w:val="333333"/>
          <w:sz w:val="21"/>
          <w:szCs w:val="21"/>
          <w:shd w:val="clear" w:color="auto" w:fill="FFFFFF"/>
        </w:rPr>
      </w:pPr>
      <w:r>
        <w:rPr>
          <w:rFonts w:hint="eastAsia" w:ascii="宋体" w:hAnsi="宋体" w:eastAsia="宋体" w:cs="宋体"/>
          <w:bCs/>
          <w:sz w:val="21"/>
          <w:szCs w:val="21"/>
        </w:rPr>
        <w:t>我司搬迁至新办公场所后，随业务需要，需在市公司多媒体会议室增加一套匹配省公司视频会议系统的终端（含软件、授权）及外接全向麦克风。</w:t>
      </w:r>
    </w:p>
    <w:p>
      <w:pPr>
        <w:pStyle w:val="9"/>
        <w:keepNext w:val="0"/>
        <w:keepLines w:val="0"/>
        <w:pageBreakBefore w:val="0"/>
        <w:widowControl w:val="0"/>
        <w:numPr>
          <w:ilvl w:val="0"/>
          <w:numId w:val="12"/>
        </w:numPr>
        <w:tabs>
          <w:tab w:val="left" w:pos="540"/>
        </w:tabs>
        <w:kinsoku/>
        <w:wordWrap/>
        <w:overflowPunct/>
        <w:topLinePunct w:val="0"/>
        <w:autoSpaceDE/>
        <w:autoSpaceDN/>
        <w:bidi w:val="0"/>
        <w:adjustRightInd w:val="0"/>
        <w:snapToGrid w:val="0"/>
        <w:spacing w:line="360" w:lineRule="auto"/>
        <w:textAlignment w:val="auto"/>
        <w:rPr>
          <w:rFonts w:hint="eastAsia" w:ascii="宋体" w:hAnsi="宋体" w:eastAsia="宋体" w:cs="宋体"/>
          <w:b/>
          <w:sz w:val="21"/>
          <w:szCs w:val="21"/>
        </w:rPr>
      </w:pPr>
      <w:r>
        <w:rPr>
          <w:rFonts w:hint="eastAsia" w:ascii="宋体" w:hAnsi="宋体" w:eastAsia="宋体" w:cs="宋体"/>
          <w:b/>
          <w:sz w:val="21"/>
          <w:szCs w:val="21"/>
        </w:rPr>
        <w:t>项目要求</w:t>
      </w:r>
    </w:p>
    <w:p>
      <w:pPr>
        <w:keepNext w:val="0"/>
        <w:keepLines w:val="0"/>
        <w:pageBreakBefore w:val="0"/>
        <w:widowControl w:val="0"/>
        <w:tabs>
          <w:tab w:val="left" w:pos="426"/>
        </w:tabs>
        <w:kinsoku/>
        <w:wordWrap/>
        <w:overflowPunct/>
        <w:topLinePunct w:val="0"/>
        <w:autoSpaceDE/>
        <w:autoSpaceDN/>
        <w:bidi w:val="0"/>
        <w:spacing w:line="360" w:lineRule="auto"/>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增加一套会议软终端接入现有安全播出应急指挥系统。匹配现系统的会议电视终端，含华为CloudLink会议电枧终端软件V1.0、含VC6S08P0RT20许可(1*1080P30/2*720p30/4*S port）、含Hi-Care基础服务和应用软件升级服务 36月。</w:t>
      </w:r>
    </w:p>
    <w:p>
      <w:pPr>
        <w:pStyle w:val="9"/>
        <w:keepNext w:val="0"/>
        <w:keepLines w:val="0"/>
        <w:pageBreakBefore w:val="0"/>
        <w:widowControl w:val="0"/>
        <w:numPr>
          <w:ilvl w:val="0"/>
          <w:numId w:val="12"/>
        </w:numPr>
        <w:tabs>
          <w:tab w:val="left" w:pos="540"/>
        </w:tabs>
        <w:kinsoku/>
        <w:wordWrap/>
        <w:overflowPunct/>
        <w:topLinePunct w:val="0"/>
        <w:autoSpaceDE/>
        <w:autoSpaceDN/>
        <w:bidi w:val="0"/>
        <w:adjustRightInd w:val="0"/>
        <w:snapToGrid w:val="0"/>
        <w:spacing w:line="360" w:lineRule="auto"/>
        <w:textAlignment w:val="auto"/>
        <w:rPr>
          <w:rFonts w:hint="eastAsia" w:ascii="宋体" w:hAnsi="宋体" w:eastAsia="宋体" w:cs="宋体"/>
          <w:b/>
          <w:sz w:val="21"/>
          <w:szCs w:val="21"/>
        </w:rPr>
      </w:pPr>
      <w:r>
        <w:rPr>
          <w:rFonts w:hint="eastAsia" w:ascii="宋体" w:hAnsi="宋体" w:eastAsia="宋体" w:cs="宋体"/>
          <w:b/>
          <w:sz w:val="21"/>
          <w:szCs w:val="21"/>
        </w:rPr>
        <w:t>项目总体技术要求</w:t>
      </w:r>
    </w:p>
    <w:p>
      <w:pPr>
        <w:keepNext w:val="0"/>
        <w:keepLines w:val="0"/>
        <w:pageBreakBefore w:val="0"/>
        <w:widowControl w:val="0"/>
        <w:numPr>
          <w:ilvl w:val="0"/>
          <w:numId w:val="13"/>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新增设备必须与现网（华为系统）无缝兼容，保证视频会议音视频质量，保障现网资源的最大投资。</w:t>
      </w:r>
    </w:p>
    <w:p>
      <w:pPr>
        <w:keepNext w:val="0"/>
        <w:keepLines w:val="0"/>
        <w:pageBreakBefore w:val="0"/>
        <w:widowControl w:val="0"/>
        <w:numPr>
          <w:ilvl w:val="0"/>
          <w:numId w:val="13"/>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新增设备必须支持纳入现网（华为系统）已部署的SMC2.0会议系统管理平台，实现会控系统统一管理调度，实现全省统一网管、统一注册认证。</w:t>
      </w:r>
    </w:p>
    <w:p>
      <w:pPr>
        <w:keepNext w:val="0"/>
        <w:keepLines w:val="0"/>
        <w:pageBreakBefore w:val="0"/>
        <w:widowControl w:val="0"/>
        <w:numPr>
          <w:ilvl w:val="0"/>
          <w:numId w:val="13"/>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新增麦克风为与新增系统匹配专用全向麦克风。</w:t>
      </w:r>
    </w:p>
    <w:p>
      <w:pPr>
        <w:pStyle w:val="9"/>
        <w:keepNext w:val="0"/>
        <w:keepLines w:val="0"/>
        <w:pageBreakBefore w:val="0"/>
        <w:widowControl w:val="0"/>
        <w:numPr>
          <w:ilvl w:val="0"/>
          <w:numId w:val="12"/>
        </w:numPr>
        <w:tabs>
          <w:tab w:val="left" w:pos="540"/>
        </w:tabs>
        <w:kinsoku/>
        <w:wordWrap/>
        <w:overflowPunct/>
        <w:topLinePunct w:val="0"/>
        <w:autoSpaceDE/>
        <w:autoSpaceDN/>
        <w:bidi w:val="0"/>
        <w:adjustRightInd w:val="0"/>
        <w:snapToGrid w:val="0"/>
        <w:spacing w:line="360" w:lineRule="auto"/>
        <w:textAlignment w:val="auto"/>
        <w:rPr>
          <w:rFonts w:hint="eastAsia" w:ascii="宋体" w:hAnsi="宋体" w:eastAsia="宋体" w:cs="宋体"/>
          <w:b/>
          <w:sz w:val="21"/>
          <w:szCs w:val="21"/>
          <w:lang w:bidi="zh-TW"/>
        </w:rPr>
      </w:pPr>
      <w:r>
        <w:rPr>
          <w:rFonts w:hint="eastAsia" w:ascii="宋体" w:hAnsi="宋体" w:eastAsia="宋体" w:cs="宋体"/>
          <w:b/>
          <w:sz w:val="21"/>
          <w:szCs w:val="21"/>
          <w:lang w:bidi="zh-TW"/>
        </w:rPr>
        <w:t>设备技术要求</w:t>
      </w:r>
    </w:p>
    <w:p>
      <w:pPr>
        <w:keepNext w:val="0"/>
        <w:keepLines w:val="0"/>
        <w:pageBreakBefore w:val="0"/>
        <w:widowControl w:val="0"/>
        <w:numPr>
          <w:ilvl w:val="0"/>
          <w:numId w:val="14"/>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分体式视频会议终端（4路高清视频输入，3路高清视频输出）</w:t>
      </w:r>
    </w:p>
    <w:p>
      <w:pPr>
        <w:pStyle w:val="27"/>
        <w:keepNext w:val="0"/>
        <w:keepLines w:val="0"/>
        <w:pageBreakBefore w:val="0"/>
        <w:widowControl w:val="0"/>
        <w:numPr>
          <w:ilvl w:val="0"/>
          <w:numId w:val="15"/>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高清视频会议终端，采用国产自主编解码芯片，嵌入式操作系统，非PC架构、非工控机架构；</w:t>
      </w:r>
    </w:p>
    <w:p>
      <w:pPr>
        <w:pStyle w:val="27"/>
        <w:keepNext w:val="0"/>
        <w:keepLines w:val="0"/>
        <w:pageBreakBefore w:val="0"/>
        <w:widowControl w:val="0"/>
        <w:numPr>
          <w:ilvl w:val="0"/>
          <w:numId w:val="15"/>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主视频和材料视频编解码协议都采用H.265，结合华为专利活动视频增强技术（VME），可获得1080P超高清视频效果和体验；</w:t>
      </w:r>
    </w:p>
    <w:p>
      <w:pPr>
        <w:pStyle w:val="27"/>
        <w:keepNext w:val="0"/>
        <w:keepLines w:val="0"/>
        <w:pageBreakBefore w:val="0"/>
        <w:widowControl w:val="0"/>
        <w:numPr>
          <w:ilvl w:val="0"/>
          <w:numId w:val="15"/>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智能人脸检测和后端视频图像增强，改善灯光适应性、降低带宽消耗、提升图像清晰度以及增强运动图像效果；</w:t>
      </w:r>
    </w:p>
    <w:p>
      <w:pPr>
        <w:pStyle w:val="27"/>
        <w:keepNext w:val="0"/>
        <w:keepLines w:val="0"/>
        <w:pageBreakBefore w:val="0"/>
        <w:widowControl w:val="0"/>
        <w:numPr>
          <w:ilvl w:val="0"/>
          <w:numId w:val="15"/>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支持无线数据共享，支持4路高清视频输入，3路高清视频输出接口，含Touch触控板操作简单会控。</w:t>
      </w:r>
    </w:p>
    <w:p>
      <w:pPr>
        <w:keepNext w:val="0"/>
        <w:keepLines w:val="0"/>
        <w:pageBreakBefore w:val="0"/>
        <w:widowControl w:val="0"/>
        <w:numPr>
          <w:ilvl w:val="0"/>
          <w:numId w:val="14"/>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摄像机</w:t>
      </w:r>
    </w:p>
    <w:p>
      <w:pPr>
        <w:pStyle w:val="27"/>
        <w:keepNext w:val="0"/>
        <w:keepLines w:val="0"/>
        <w:pageBreakBefore w:val="0"/>
        <w:widowControl w:val="0"/>
        <w:numPr>
          <w:ilvl w:val="0"/>
          <w:numId w:val="16"/>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高清摄像机，采用1/2.5英寸800万像素高品质图像传感器，最大分辨率可达1920x1080，输出帧率高达60帧/秒。</w:t>
      </w:r>
    </w:p>
    <w:p>
      <w:pPr>
        <w:pStyle w:val="27"/>
        <w:keepNext w:val="0"/>
        <w:keepLines w:val="0"/>
        <w:pageBreakBefore w:val="0"/>
        <w:widowControl w:val="0"/>
        <w:numPr>
          <w:ilvl w:val="0"/>
          <w:numId w:val="16"/>
        </w:numPr>
        <w:kinsoku/>
        <w:wordWrap/>
        <w:overflowPunct/>
        <w:topLinePunct w:val="0"/>
        <w:autoSpaceDE/>
        <w:autoSpaceDN/>
        <w:bidi w:val="0"/>
        <w:spacing w:line="360" w:lineRule="auto"/>
        <w:ind w:left="425" w:leftChars="0" w:hanging="425" w:firstLineChars="0"/>
        <w:textAlignment w:val="auto"/>
        <w:rPr>
          <w:rFonts w:hint="eastAsia" w:ascii="宋体" w:hAnsi="宋体" w:eastAsia="宋体" w:cs="宋体"/>
          <w:bCs/>
          <w:sz w:val="21"/>
          <w:szCs w:val="21"/>
        </w:rPr>
      </w:pPr>
      <w:r>
        <w:rPr>
          <w:rFonts w:hint="eastAsia" w:ascii="宋体" w:hAnsi="宋体" w:eastAsia="宋体" w:cs="宋体"/>
          <w:bCs/>
          <w:sz w:val="21"/>
          <w:szCs w:val="21"/>
        </w:rPr>
        <w:t>2倍光学变焦，支持HMDI接口；</w:t>
      </w:r>
    </w:p>
    <w:p>
      <w:pPr>
        <w:keepNext w:val="0"/>
        <w:keepLines w:val="0"/>
        <w:pageBreakBefore w:val="0"/>
        <w:widowControl w:val="0"/>
        <w:numPr>
          <w:ilvl w:val="0"/>
          <w:numId w:val="14"/>
        </w:numPr>
        <w:kinsoku/>
        <w:wordWrap/>
        <w:overflowPunct/>
        <w:topLinePunct w:val="0"/>
        <w:autoSpaceDE/>
        <w:autoSpaceDN/>
        <w:bidi w:val="0"/>
        <w:spacing w:line="360" w:lineRule="auto"/>
        <w:ind w:left="0" w:leftChars="0" w:firstLine="420" w:firstLineChars="0"/>
        <w:textAlignment w:val="auto"/>
        <w:rPr>
          <w:rFonts w:hint="eastAsia" w:ascii="宋体" w:hAnsi="宋体" w:eastAsia="宋体" w:cs="宋体"/>
          <w:bCs/>
          <w:sz w:val="21"/>
          <w:szCs w:val="21"/>
        </w:rPr>
      </w:pPr>
      <w:r>
        <w:rPr>
          <w:rFonts w:hint="eastAsia" w:ascii="宋体" w:hAnsi="宋体" w:eastAsia="宋体" w:cs="宋体"/>
          <w:bCs/>
          <w:sz w:val="21"/>
          <w:szCs w:val="21"/>
        </w:rPr>
        <w:t>全向麦克风</w:t>
      </w:r>
    </w:p>
    <w:p>
      <w:pPr>
        <w:pStyle w:val="27"/>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bCs/>
          <w:sz w:val="21"/>
          <w:szCs w:val="21"/>
        </w:rPr>
      </w:pPr>
      <w:r>
        <w:rPr>
          <w:rFonts w:hint="eastAsia" w:ascii="宋体" w:hAnsi="宋体" w:eastAsia="宋体" w:cs="宋体"/>
          <w:bCs/>
          <w:sz w:val="21"/>
          <w:szCs w:val="21"/>
        </w:rPr>
        <w:t>华为全向360度麦克风，支持8kHz、16kHz、32kHz、48kHz，拾音半径6m。</w:t>
      </w:r>
    </w:p>
    <w:p>
      <w:pPr>
        <w:pStyle w:val="9"/>
        <w:keepNext w:val="0"/>
        <w:keepLines w:val="0"/>
        <w:pageBreakBefore w:val="0"/>
        <w:widowControl w:val="0"/>
        <w:numPr>
          <w:ilvl w:val="0"/>
          <w:numId w:val="12"/>
        </w:numPr>
        <w:tabs>
          <w:tab w:val="left" w:pos="540"/>
        </w:tabs>
        <w:kinsoku/>
        <w:wordWrap/>
        <w:overflowPunct/>
        <w:topLinePunct w:val="0"/>
        <w:autoSpaceDE/>
        <w:autoSpaceDN/>
        <w:bidi w:val="0"/>
        <w:adjustRightInd w:val="0"/>
        <w:snapToGrid w:val="0"/>
        <w:spacing w:line="360" w:lineRule="auto"/>
        <w:textAlignment w:val="auto"/>
        <w:rPr>
          <w:rFonts w:hint="eastAsia" w:ascii="宋体" w:hAnsi="宋体" w:eastAsia="宋体" w:cs="宋体"/>
          <w:b/>
          <w:sz w:val="21"/>
          <w:szCs w:val="21"/>
          <w:lang w:bidi="zh-TW"/>
        </w:rPr>
      </w:pPr>
      <w:r>
        <w:rPr>
          <w:rFonts w:hint="eastAsia" w:ascii="宋体" w:hAnsi="宋体" w:eastAsia="宋体" w:cs="宋体"/>
          <w:b/>
          <w:sz w:val="21"/>
          <w:szCs w:val="21"/>
          <w:lang w:bidi="zh-TW"/>
        </w:rPr>
        <w:t>结算、付款方式</w:t>
      </w:r>
    </w:p>
    <w:p>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bCs/>
          <w:sz w:val="21"/>
          <w:szCs w:val="21"/>
          <w:lang w:bidi="zh-TW"/>
        </w:rPr>
      </w:pPr>
      <w:r>
        <w:rPr>
          <w:rFonts w:hint="eastAsia" w:ascii="宋体" w:hAnsi="宋体" w:eastAsia="宋体" w:cs="宋体"/>
          <w:bCs/>
          <w:sz w:val="21"/>
          <w:szCs w:val="21"/>
          <w:lang w:bidi="zh-TW"/>
        </w:rPr>
        <w:t xml:space="preserve">    货物签收单后30天内付款，付款前提供发票。</w:t>
      </w:r>
    </w:p>
    <w:p>
      <w:pPr>
        <w:rPr>
          <w:rFonts w:hint="eastAsia"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br w:type="page"/>
      </w:r>
    </w:p>
    <w:p>
      <w:pPr>
        <w:pStyle w:val="16"/>
        <w:spacing w:before="0" w:after="0"/>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第三章 报价附件</w:t>
      </w:r>
    </w:p>
    <w:p>
      <w:pPr>
        <w:pStyle w:val="3"/>
        <w:spacing w:before="0" w:after="0"/>
        <w:jc w:val="center"/>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报 价 表</w:t>
      </w:r>
    </w:p>
    <w:tbl>
      <w:tblPr>
        <w:tblStyle w:val="20"/>
        <w:tblW w:w="4997" w:type="pct"/>
        <w:jc w:val="center"/>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Layout w:type="autofit"/>
        <w:tblCellMar>
          <w:top w:w="0" w:type="dxa"/>
          <w:left w:w="108" w:type="dxa"/>
          <w:bottom w:w="0" w:type="dxa"/>
          <w:right w:w="108" w:type="dxa"/>
        </w:tblCellMar>
      </w:tblPr>
      <w:tblGrid>
        <w:gridCol w:w="1524"/>
        <w:gridCol w:w="1717"/>
        <w:gridCol w:w="853"/>
        <w:gridCol w:w="1583"/>
        <w:gridCol w:w="1584"/>
        <w:gridCol w:w="1590"/>
      </w:tblGrid>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579" w:hRule="atLeast"/>
          <w:jc w:val="center"/>
        </w:trPr>
        <w:tc>
          <w:tcPr>
            <w:tcW w:w="861"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采购内容</w:t>
            </w:r>
          </w:p>
        </w:tc>
        <w:tc>
          <w:tcPr>
            <w:tcW w:w="970"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color w:val="000000"/>
                <w:sz w:val="21"/>
                <w:szCs w:val="21"/>
              </w:rPr>
            </w:pPr>
            <w:r>
              <w:rPr>
                <w:rFonts w:hint="eastAsia" w:ascii="宋体" w:hAnsi="宋体" w:eastAsia="宋体" w:cs="宋体"/>
                <w:b/>
                <w:color w:val="000000"/>
                <w:sz w:val="21"/>
                <w:szCs w:val="21"/>
              </w:rPr>
              <w:t>型号</w:t>
            </w:r>
          </w:p>
        </w:tc>
        <w:tc>
          <w:tcPr>
            <w:tcW w:w="482"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数量</w:t>
            </w:r>
          </w:p>
        </w:tc>
        <w:tc>
          <w:tcPr>
            <w:tcW w:w="894"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
                <w:color w:val="000000"/>
                <w:sz w:val="21"/>
                <w:szCs w:val="21"/>
              </w:rPr>
            </w:pPr>
            <w:r>
              <w:rPr>
                <w:rFonts w:hint="eastAsia" w:ascii="宋体" w:hAnsi="宋体" w:eastAsia="宋体" w:cs="宋体"/>
                <w:b/>
                <w:color w:val="000000"/>
                <w:sz w:val="21"/>
                <w:szCs w:val="21"/>
              </w:rPr>
              <w:t>采购预算</w:t>
            </w:r>
          </w:p>
        </w:tc>
        <w:tc>
          <w:tcPr>
            <w:tcW w:w="895"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color w:val="000000"/>
                <w:sz w:val="21"/>
                <w:szCs w:val="21"/>
                <w:lang w:val="en-US" w:eastAsia="zh-CN"/>
              </w:rPr>
            </w:pPr>
            <w:r>
              <w:rPr>
                <w:rFonts w:hint="eastAsia" w:ascii="宋体" w:hAnsi="宋体" w:eastAsia="宋体" w:cs="宋体"/>
                <w:b/>
                <w:color w:val="000000"/>
                <w:sz w:val="21"/>
                <w:szCs w:val="21"/>
                <w:lang w:val="en-US" w:eastAsia="zh-CN"/>
              </w:rPr>
              <w:t>报价（元）</w:t>
            </w:r>
          </w:p>
        </w:tc>
        <w:tc>
          <w:tcPr>
            <w:tcW w:w="895"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hint="default" w:ascii="宋体" w:hAnsi="宋体" w:eastAsia="宋体" w:cs="宋体"/>
                <w:b/>
                <w:color w:val="000000"/>
                <w:sz w:val="21"/>
                <w:szCs w:val="21"/>
                <w:lang w:val="en-US" w:eastAsia="zh-CN"/>
              </w:rPr>
            </w:pPr>
            <w:r>
              <w:rPr>
                <w:rFonts w:hint="eastAsia" w:ascii="宋体" w:hAnsi="宋体" w:eastAsia="宋体" w:cs="宋体"/>
                <w:b/>
                <w:color w:val="000000"/>
                <w:sz w:val="21"/>
                <w:szCs w:val="21"/>
                <w:lang w:val="en-US" w:eastAsia="zh-CN"/>
              </w:rPr>
              <w:t>备注</w:t>
            </w: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861"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分体式视频会议终端</w:t>
            </w:r>
          </w:p>
        </w:tc>
        <w:tc>
          <w:tcPr>
            <w:tcW w:w="970" w:type="pct"/>
            <w:shd w:val="clear" w:color="auto" w:fill="FFFFFF" w:themeFill="background1"/>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华为Box610</w:t>
            </w:r>
          </w:p>
        </w:tc>
        <w:tc>
          <w:tcPr>
            <w:tcW w:w="482" w:type="pct"/>
            <w:shd w:val="clear" w:color="auto" w:fill="FFFFFF" w:themeFill="background1"/>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1套</w:t>
            </w:r>
          </w:p>
        </w:tc>
        <w:tc>
          <w:tcPr>
            <w:tcW w:w="894" w:type="pct"/>
            <w:shd w:val="clear" w:color="auto" w:fill="FFFFFF" w:themeFill="background1"/>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default" w:ascii="宋体" w:hAnsi="宋体" w:eastAsia="宋体" w:cs="宋体"/>
                <w:bCs/>
                <w:color w:val="000000"/>
                <w:sz w:val="21"/>
                <w:szCs w:val="21"/>
                <w:lang w:val="en-US" w:eastAsia="zh-CN"/>
              </w:rPr>
            </w:pPr>
            <w:r>
              <w:rPr>
                <w:rFonts w:hint="eastAsia" w:ascii="宋体" w:hAnsi="宋体" w:eastAsia="宋体" w:cs="宋体"/>
                <w:bCs/>
                <w:color w:val="000000"/>
                <w:sz w:val="21"/>
                <w:szCs w:val="21"/>
              </w:rPr>
              <w:t>5</w:t>
            </w:r>
            <w:r>
              <w:rPr>
                <w:rFonts w:hint="eastAsia" w:ascii="宋体" w:hAnsi="宋体" w:eastAsia="宋体" w:cs="宋体"/>
                <w:bCs/>
                <w:color w:val="000000"/>
                <w:sz w:val="21"/>
                <w:szCs w:val="21"/>
                <w:lang w:val="en-US" w:eastAsia="zh-CN"/>
              </w:rPr>
              <w:t>2000</w:t>
            </w:r>
          </w:p>
        </w:tc>
        <w:tc>
          <w:tcPr>
            <w:tcW w:w="895" w:type="pct"/>
            <w:shd w:val="clear" w:color="auto" w:fill="FFFFFF" w:themeFill="background1"/>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eastAsia" w:ascii="宋体" w:hAnsi="宋体" w:eastAsia="宋体" w:cs="宋体"/>
                <w:bCs/>
                <w:color w:val="000000"/>
                <w:sz w:val="21"/>
                <w:szCs w:val="21"/>
              </w:rPr>
            </w:pPr>
          </w:p>
        </w:tc>
        <w:tc>
          <w:tcPr>
            <w:tcW w:w="895" w:type="pct"/>
            <w:shd w:val="clear" w:color="auto" w:fill="FFFFFF" w:themeFill="background1"/>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eastAsia" w:ascii="宋体" w:hAnsi="宋体" w:eastAsia="宋体" w:cs="宋体"/>
                <w:bCs/>
                <w:color w:val="000000"/>
                <w:sz w:val="21"/>
                <w:szCs w:val="21"/>
              </w:rPr>
            </w:pP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861" w:type="pct"/>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全向麦克风</w:t>
            </w:r>
          </w:p>
        </w:tc>
        <w:tc>
          <w:tcPr>
            <w:tcW w:w="970" w:type="pct"/>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ascii="宋体" w:hAnsi="宋体" w:eastAsia="宋体" w:cs="宋体"/>
                <w:bCs/>
                <w:color w:val="000000"/>
                <w:sz w:val="21"/>
                <w:szCs w:val="21"/>
              </w:rPr>
              <w:t>CloudLink Mic 500</w:t>
            </w:r>
          </w:p>
        </w:tc>
        <w:tc>
          <w:tcPr>
            <w:tcW w:w="482"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1台</w:t>
            </w:r>
          </w:p>
        </w:tc>
        <w:tc>
          <w:tcPr>
            <w:tcW w:w="894"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ascii="宋体" w:hAnsi="宋体" w:eastAsia="宋体" w:cs="宋体"/>
                <w:bCs/>
                <w:color w:val="000000"/>
                <w:sz w:val="21"/>
                <w:szCs w:val="21"/>
              </w:rPr>
              <w:t>25</w:t>
            </w:r>
            <w:r>
              <w:rPr>
                <w:rFonts w:hint="eastAsia" w:ascii="宋体" w:hAnsi="宋体" w:eastAsia="宋体" w:cs="宋体"/>
                <w:bCs/>
                <w:color w:val="000000"/>
                <w:sz w:val="21"/>
                <w:szCs w:val="21"/>
                <w:lang w:val="en-US" w:eastAsia="zh-CN"/>
              </w:rPr>
              <w:t>00</w:t>
            </w:r>
          </w:p>
        </w:tc>
        <w:tc>
          <w:tcPr>
            <w:tcW w:w="895"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p>
        </w:tc>
        <w:tc>
          <w:tcPr>
            <w:tcW w:w="895"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861" w:type="pct"/>
            <w:vAlign w:val="center"/>
          </w:tcPr>
          <w:p>
            <w:pPr>
              <w:keepLines w:val="0"/>
              <w:pageBreakBefore w:val="0"/>
              <w:widowControl w:val="0"/>
              <w:kinsoku/>
              <w:wordWrap/>
              <w:overflowPunct/>
              <w:topLinePunct w:val="0"/>
              <w:autoSpaceDE/>
              <w:autoSpaceDN/>
              <w:bidi w:val="0"/>
              <w:snapToGrid/>
              <w:spacing w:line="360" w:lineRule="auto"/>
              <w:jc w:val="center"/>
              <w:rPr>
                <w:rFonts w:ascii="宋体" w:hAnsi="宋体" w:eastAsia="宋体" w:cs="宋体"/>
                <w:bCs/>
                <w:color w:val="000000"/>
                <w:sz w:val="21"/>
                <w:szCs w:val="21"/>
              </w:rPr>
            </w:pPr>
            <w:r>
              <w:rPr>
                <w:rFonts w:hint="eastAsia" w:ascii="宋体" w:hAnsi="宋体" w:eastAsia="宋体" w:cs="宋体"/>
                <w:bCs/>
                <w:color w:val="000000"/>
                <w:sz w:val="21"/>
                <w:szCs w:val="21"/>
              </w:rPr>
              <w:t>摄像机</w:t>
            </w:r>
          </w:p>
        </w:tc>
        <w:tc>
          <w:tcPr>
            <w:tcW w:w="970" w:type="pct"/>
            <w:vAlign w:val="center"/>
          </w:tcPr>
          <w:p>
            <w:pPr>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华为CloudLink C200</w:t>
            </w:r>
          </w:p>
        </w:tc>
        <w:tc>
          <w:tcPr>
            <w:tcW w:w="482"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ascii="宋体" w:hAnsi="宋体" w:eastAsia="宋体" w:cs="宋体"/>
                <w:bCs/>
                <w:color w:val="000000"/>
                <w:sz w:val="21"/>
                <w:szCs w:val="21"/>
              </w:rPr>
            </w:pPr>
            <w:r>
              <w:rPr>
                <w:rFonts w:hint="eastAsia" w:ascii="宋体" w:hAnsi="宋体" w:eastAsia="宋体" w:cs="宋体"/>
                <w:bCs/>
                <w:color w:val="000000"/>
                <w:sz w:val="21"/>
                <w:szCs w:val="21"/>
              </w:rPr>
              <w:t>1台</w:t>
            </w:r>
          </w:p>
        </w:tc>
        <w:tc>
          <w:tcPr>
            <w:tcW w:w="894"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default" w:ascii="宋体" w:hAnsi="宋体" w:eastAsia="宋体" w:cs="宋体"/>
                <w:bCs/>
                <w:color w:val="000000"/>
                <w:sz w:val="21"/>
                <w:szCs w:val="21"/>
                <w:lang w:val="en-US" w:eastAsia="zh-CN"/>
              </w:rPr>
            </w:pPr>
            <w:r>
              <w:rPr>
                <w:rFonts w:hint="eastAsia" w:ascii="宋体" w:hAnsi="宋体" w:eastAsia="宋体" w:cs="宋体"/>
                <w:bCs/>
                <w:color w:val="000000"/>
                <w:sz w:val="21"/>
                <w:szCs w:val="21"/>
              </w:rPr>
              <w:t>175</w:t>
            </w:r>
            <w:r>
              <w:rPr>
                <w:rFonts w:hint="eastAsia" w:ascii="宋体" w:hAnsi="宋体" w:eastAsia="宋体" w:cs="宋体"/>
                <w:bCs/>
                <w:color w:val="000000"/>
                <w:sz w:val="21"/>
                <w:szCs w:val="21"/>
                <w:lang w:val="en-US" w:eastAsia="zh-CN"/>
              </w:rPr>
              <w:t>00</w:t>
            </w:r>
          </w:p>
        </w:tc>
        <w:tc>
          <w:tcPr>
            <w:tcW w:w="895"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eastAsia" w:ascii="宋体" w:hAnsi="宋体" w:eastAsia="宋体" w:cs="宋体"/>
                <w:bCs/>
                <w:color w:val="000000"/>
                <w:sz w:val="21"/>
                <w:szCs w:val="21"/>
              </w:rPr>
            </w:pPr>
          </w:p>
        </w:tc>
        <w:tc>
          <w:tcPr>
            <w:tcW w:w="895" w:type="pct"/>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eastAsia" w:ascii="宋体" w:hAnsi="宋体" w:eastAsia="宋体" w:cs="宋体"/>
                <w:bCs/>
                <w:color w:val="000000"/>
                <w:sz w:val="21"/>
                <w:szCs w:val="21"/>
              </w:rPr>
            </w:pPr>
          </w:p>
        </w:tc>
      </w:tr>
      <w:tr>
        <w:tblPrEx>
          <w:tblBorders>
            <w:top w:val="single" w:color="auto" w:sz="12" w:space="0"/>
            <w:left w:val="single" w:color="auto" w:sz="12" w:space="0"/>
            <w:bottom w:val="single" w:color="auto" w:sz="12" w:space="0"/>
            <w:right w:val="single" w:color="auto" w:sz="12" w:space="0"/>
            <w:insideH w:val="doub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5000" w:type="pct"/>
            <w:gridSpan w:val="6"/>
            <w:vAlign w:val="center"/>
          </w:tcPr>
          <w:p>
            <w:pPr>
              <w:keepNext/>
              <w:keepLines w:val="0"/>
              <w:pageBreakBefore w:val="0"/>
              <w:widowControl w:val="0"/>
              <w:kinsoku/>
              <w:wordWrap/>
              <w:overflowPunct/>
              <w:topLinePunct w:val="0"/>
              <w:autoSpaceDE/>
              <w:autoSpaceDN/>
              <w:bidi w:val="0"/>
              <w:adjustRightInd w:val="0"/>
              <w:snapToGrid/>
              <w:spacing w:line="360" w:lineRule="auto"/>
              <w:ind w:firstLine="120"/>
              <w:jc w:val="center"/>
              <w:textAlignment w:val="center"/>
              <w:rPr>
                <w:rFonts w:hint="default" w:ascii="宋体" w:hAnsi="宋体" w:eastAsia="宋体" w:cs="宋体"/>
                <w:bCs/>
                <w:color w:val="000000"/>
                <w:sz w:val="21"/>
                <w:szCs w:val="21"/>
                <w:lang w:val="en-US" w:eastAsia="zh-CN"/>
              </w:rPr>
            </w:pPr>
            <w:r>
              <w:rPr>
                <w:rFonts w:hint="eastAsia" w:ascii="宋体" w:hAnsi="宋体" w:eastAsia="宋体" w:cs="宋体"/>
                <w:b/>
                <w:bCs w:val="0"/>
                <w:color w:val="000000"/>
                <w:sz w:val="21"/>
                <w:szCs w:val="21"/>
                <w:lang w:val="en-US" w:eastAsia="zh-CN"/>
              </w:rPr>
              <w:t>合计：人民币</w:t>
            </w:r>
            <w:r>
              <w:rPr>
                <w:rFonts w:hint="eastAsia" w:ascii="宋体" w:hAnsi="宋体" w:eastAsia="宋体" w:cs="宋体"/>
                <w:b/>
                <w:bCs w:val="0"/>
                <w:color w:val="000000"/>
                <w:sz w:val="21"/>
                <w:szCs w:val="21"/>
                <w:u w:val="single"/>
                <w:lang w:val="en-US" w:eastAsia="zh-CN"/>
              </w:rPr>
              <w:t xml:space="preserve">         </w:t>
            </w:r>
            <w:r>
              <w:rPr>
                <w:rFonts w:hint="eastAsia" w:ascii="宋体" w:hAnsi="宋体" w:eastAsia="宋体" w:cs="宋体"/>
                <w:b/>
                <w:bCs w:val="0"/>
                <w:color w:val="000000"/>
                <w:sz w:val="21"/>
                <w:szCs w:val="21"/>
                <w:lang w:val="en-US" w:eastAsia="zh-CN"/>
              </w:rPr>
              <w:t>元</w:t>
            </w:r>
          </w:p>
        </w:tc>
      </w:tr>
    </w:tbl>
    <w:p>
      <w:pPr>
        <w:spacing w:line="500" w:lineRule="exact"/>
        <w:rPr>
          <w:rFonts w:asciiTheme="minorEastAsia" w:hAnsiTheme="minorEastAsia" w:cstheme="minorEastAsia"/>
          <w:b/>
          <w:color w:val="000000" w:themeColor="text1"/>
          <w:spacing w:val="4"/>
          <w:szCs w:val="21"/>
          <w14:textFill>
            <w14:solidFill>
              <w14:schemeClr w14:val="tx1"/>
            </w14:solidFill>
          </w14:textFill>
        </w:rPr>
      </w:pPr>
      <w:r>
        <w:rPr>
          <w:rFonts w:hint="eastAsia" w:asciiTheme="minorEastAsia" w:hAnsiTheme="minorEastAsia" w:cstheme="minorEastAsia"/>
          <w:b/>
          <w:color w:val="000000" w:themeColor="text1"/>
          <w:spacing w:val="4"/>
          <w:szCs w:val="21"/>
          <w14:textFill>
            <w14:solidFill>
              <w14:schemeClr w14:val="tx1"/>
            </w14:solidFill>
          </w14:textFill>
        </w:rPr>
        <w:t>注：</w:t>
      </w:r>
    </w:p>
    <w:p>
      <w:pPr>
        <w:pStyle w:val="15"/>
        <w:numPr>
          <w:ilvl w:val="0"/>
          <w:numId w:val="17"/>
        </w:numPr>
        <w:shd w:val="clear" w:color="auto" w:fill="FFFFFF"/>
        <w:spacing w:before="0" w:beforeAutospacing="0" w:after="0" w:afterAutospacing="0" w:line="360" w:lineRule="auto"/>
        <w:rPr>
          <w:rFonts w:asciiTheme="minorEastAsia" w:hAnsiTheme="minorEastAsia" w:eastAsiaTheme="minorEastAsia" w:cstheme="minorEastAsia"/>
          <w:b/>
          <w:bCs/>
          <w:color w:val="000000" w:themeColor="text1"/>
          <w:sz w:val="21"/>
          <w:szCs w:val="21"/>
          <w:u w:val="sing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single"/>
          <w14:textFill>
            <w14:solidFill>
              <w14:schemeClr w14:val="tx1"/>
            </w14:solidFill>
          </w14:textFill>
        </w:rPr>
        <w:t>供应商必须按报价表的格式填写，不得增加或删除表格内容。除单价、金额或项目要求填写的内容外，不得擅自改动报价表内容，</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否则将有可能影响成交结果，不推荐为成交候选人</w:t>
      </w:r>
      <w:r>
        <w:rPr>
          <w:rFonts w:hint="eastAsia" w:asciiTheme="minorEastAsia" w:hAnsiTheme="minorEastAsia" w:eastAsiaTheme="minorEastAsia" w:cstheme="minorEastAsia"/>
          <w:b/>
          <w:bCs/>
          <w:color w:val="000000" w:themeColor="text1"/>
          <w:sz w:val="21"/>
          <w:szCs w:val="21"/>
          <w:u w:val="single"/>
          <w14:textFill>
            <w14:solidFill>
              <w14:schemeClr w14:val="tx1"/>
            </w14:solidFill>
          </w14:textFill>
        </w:rPr>
        <w:t>；</w:t>
      </w:r>
    </w:p>
    <w:p>
      <w:pPr>
        <w:pStyle w:val="15"/>
        <w:numPr>
          <w:ilvl w:val="0"/>
          <w:numId w:val="17"/>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所有价格均系用人民币表示，单位为元，</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均为含税价</w:t>
      </w:r>
      <w:r>
        <w:rPr>
          <w:rFonts w:hint="eastAsia" w:asciiTheme="minorEastAsia" w:hAnsiTheme="minorEastAsia" w:eastAsiaTheme="minorEastAsia" w:cstheme="minorEastAsia"/>
          <w:b/>
          <w:color w:val="000000" w:themeColor="text1"/>
          <w:sz w:val="21"/>
          <w:szCs w:val="21"/>
          <w14:textFill>
            <w14:solidFill>
              <w14:schemeClr w14:val="tx1"/>
            </w14:solidFill>
          </w14:textFill>
        </w:rPr>
        <w:t>；</w:t>
      </w:r>
    </w:p>
    <w:p>
      <w:pPr>
        <w:pStyle w:val="15"/>
        <w:numPr>
          <w:ilvl w:val="0"/>
          <w:numId w:val="17"/>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5"/>
        <w:numPr>
          <w:ilvl w:val="0"/>
          <w:numId w:val="17"/>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平台上报价与报价表合计不一致的，以报价表合计（经价格核准后的价格）为准。</w:t>
      </w:r>
    </w:p>
    <w:p>
      <w:pPr>
        <w:pStyle w:val="15"/>
        <w:numPr>
          <w:ilvl w:val="0"/>
          <w:numId w:val="17"/>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供应商报价表必须加盖公章，否则视作无效报价。</w:t>
      </w:r>
    </w:p>
    <w:p>
      <w:pPr>
        <w:wordWrap w:val="0"/>
        <w:spacing w:line="360" w:lineRule="auto"/>
        <w:ind w:right="218"/>
        <w:jc w:val="right"/>
        <w:rPr>
          <w:rFonts w:asciiTheme="minorEastAsia" w:hAnsiTheme="minorEastAsia" w:cstheme="minorEastAsia"/>
          <w:color w:val="000000" w:themeColor="text1"/>
          <w:spacing w:val="4"/>
          <w:szCs w:val="21"/>
          <w14:textFill>
            <w14:solidFill>
              <w14:schemeClr w14:val="tx1"/>
            </w14:solidFill>
          </w14:textFill>
        </w:rPr>
      </w:pPr>
    </w:p>
    <w:p>
      <w:pPr>
        <w:wordWrap w:val="0"/>
        <w:spacing w:line="360" w:lineRule="auto"/>
        <w:ind w:right="218"/>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jc w:val="left"/>
        <w:rPr>
          <w:rFonts w:asciiTheme="minorEastAsia" w:hAnsiTheme="minorEastAsia" w:cstheme="minorEastAsia"/>
          <w:color w:val="000000" w:themeColor="text1"/>
          <w:lang w:val="zh-CN"/>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 xml:space="preserve">                                         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right="210"/>
        <w:jc w:val="right"/>
        <w:rPr>
          <w:rFonts w:asciiTheme="minorEastAsia" w:hAnsiTheme="minorEastAsia" w:cstheme="minorEastAsia"/>
          <w:color w:val="000000" w:themeColor="text1"/>
          <w:szCs w:val="21"/>
          <w:u w:val="single"/>
          <w14:textFill>
            <w14:solidFill>
              <w14:schemeClr w14:val="tx1"/>
            </w14:solidFill>
          </w14:textFill>
        </w:rPr>
      </w:pPr>
    </w:p>
    <w:p>
      <w:r>
        <w:br w:type="page"/>
      </w:r>
    </w:p>
    <w:p>
      <w:pPr>
        <w:pStyle w:val="3"/>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用户需求书响应声明函</w:t>
      </w:r>
    </w:p>
    <w:p>
      <w:pPr>
        <w:spacing w:line="360" w:lineRule="auto"/>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p>
    <w:p>
      <w:pPr>
        <w:spacing w:line="360" w:lineRule="auto"/>
        <w:rPr>
          <w:rFonts w:asciiTheme="minorEastAsia" w:hAnsiTheme="minorEastAsia" w:cstheme="minorEastAsia"/>
          <w:color w:val="000000" w:themeColor="text1"/>
          <w:lang w:val="zh-CN"/>
          <w14:textFill>
            <w14:solidFill>
              <w14:schemeClr w14:val="tx1"/>
            </w14:solidFill>
          </w14:textFill>
        </w:rPr>
      </w:pPr>
    </w:p>
    <w:p>
      <w:pPr>
        <w:snapToGrid w:val="0"/>
        <w:spacing w:line="360" w:lineRule="auto"/>
        <w:ind w:firstLine="420" w:firstLineChars="20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关于贵单位、贵司发布</w:t>
      </w:r>
      <w:r>
        <w:rPr>
          <w:rFonts w:hint="eastAsia"/>
          <w:b/>
          <w:bCs/>
          <w:sz w:val="21"/>
          <w:szCs w:val="21"/>
          <w:u w:val="single"/>
          <w:lang w:val="en-US" w:eastAsia="zh-CN"/>
        </w:rPr>
        <w:t>购买分离式视频会议系统终端及配套</w:t>
      </w:r>
      <w:r>
        <w:rPr>
          <w:rFonts w:hint="eastAsia" w:asciiTheme="minorEastAsia" w:hAnsiTheme="minorEastAsia" w:cstheme="minorEastAsia"/>
          <w:color w:val="000000" w:themeColor="text1"/>
          <w:szCs w:val="21"/>
          <w14:textFill>
            <w14:solidFill>
              <w14:schemeClr w14:val="tx1"/>
            </w14:solidFill>
          </w14:textFill>
        </w:rPr>
        <w:t>的竞价公告，本公司（企业）愿意参加竞价活动，并作出如下声明：</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18"/>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18"/>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widowControl/>
        <w:spacing w:line="360" w:lineRule="auto"/>
        <w:jc w:val="left"/>
        <w:rPr>
          <w:rFonts w:asciiTheme="minorEastAsia" w:hAnsiTheme="minorEastAsia" w:cstheme="minorEastAsia"/>
          <w:b/>
          <w:bCs/>
          <w:color w:val="000000" w:themeColor="text1"/>
          <w:kern w:val="0"/>
          <w:sz w:val="32"/>
          <w:szCs w:val="32"/>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firstLine="105" w:firstLineChars="5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widowControl/>
        <w:spacing w:line="360" w:lineRule="auto"/>
        <w:jc w:val="right"/>
        <w:rPr>
          <w:rFonts w:asciiTheme="minorEastAsia" w:hAnsiTheme="minorEastAsia" w:cstheme="minorEastAsia"/>
          <w:b/>
          <w:bCs/>
          <w:color w:val="000000" w:themeColor="text1"/>
          <w:kern w:val="0"/>
          <w:sz w:val="32"/>
          <w:szCs w:val="32"/>
          <w:lang w:val="zh-CN"/>
          <w14:textFill>
            <w14:solidFill>
              <w14:schemeClr w14:val="tx1"/>
            </w14:solidFill>
          </w14:textFill>
        </w:rPr>
      </w:pPr>
    </w:p>
    <w:p>
      <w:pPr>
        <w:spacing w:line="360" w:lineRule="auto"/>
        <w:rPr>
          <w:rFonts w:asciiTheme="minorEastAsia" w:hAnsiTheme="minorEastAsia" w:cstheme="minorEastAsia"/>
          <w:color w:val="000000" w:themeColor="text1"/>
          <w14:textFill>
            <w14:solidFill>
              <w14:schemeClr w14:val="tx1"/>
            </w14:solidFill>
          </w14:textFill>
        </w:rPr>
      </w:pPr>
    </w:p>
    <w:p>
      <w:pPr>
        <w:widowControl/>
        <w:spacing w:line="360" w:lineRule="auto"/>
        <w:jc w:val="left"/>
        <w:rPr>
          <w:rFonts w:asciiTheme="minorEastAsia" w:hAnsiTheme="minorEastAsia" w:cstheme="minorEastAsia"/>
          <w:b/>
          <w:bCs/>
          <w:color w:val="000000" w:themeColor="text1"/>
          <w:kern w:val="0"/>
          <w:sz w:val="32"/>
          <w:szCs w:val="32"/>
          <w:lang w:val="zh-CN"/>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pStyle w:val="3"/>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供应商资格声明函</w:t>
      </w:r>
    </w:p>
    <w:p>
      <w:pPr>
        <w:rPr>
          <w:rFonts w:asciiTheme="minorEastAsia" w:hAnsiTheme="minorEastAsia" w:cstheme="minorEastAsia"/>
          <w:b/>
          <w:color w:val="000000" w:themeColor="text1"/>
          <w:szCs w:val="24"/>
          <w14:textFill>
            <w14:solidFill>
              <w14:schemeClr w14:val="tx1"/>
            </w14:solidFill>
          </w14:textFill>
        </w:rPr>
      </w:pPr>
    </w:p>
    <w:p>
      <w:pPr>
        <w:rPr>
          <w:rFonts w:asciiTheme="minorEastAsia" w:hAnsiTheme="minorEastAsia" w:cstheme="minorEastAsia"/>
          <w:b/>
          <w:color w:val="000000" w:themeColor="text1"/>
          <w:szCs w:val="24"/>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w:t>
      </w:r>
      <w:r>
        <w:rPr>
          <w:rFonts w:hint="eastAsia" w:asciiTheme="minorEastAsia" w:hAnsiTheme="minorEastAsia" w:cstheme="minorEastAsia"/>
          <w:b/>
          <w:color w:val="000000" w:themeColor="text1"/>
          <w:szCs w:val="24"/>
          <w14:textFill>
            <w14:solidFill>
              <w14:schemeClr w14:val="tx1"/>
            </w14:solidFill>
          </w14:textFill>
        </w:rPr>
        <w:t>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r>
        <w:rPr>
          <w:rFonts w:hint="eastAsia" w:asciiTheme="minorEastAsia" w:hAnsiTheme="minorEastAsia" w:cstheme="minorEastAsia"/>
          <w:b/>
          <w:color w:val="000000" w:themeColor="text1"/>
          <w:szCs w:val="24"/>
          <w14:textFill>
            <w14:solidFill>
              <w14:schemeClr w14:val="tx1"/>
            </w14:solidFill>
          </w14:textFill>
        </w:rPr>
        <w:t>：</w:t>
      </w:r>
    </w:p>
    <w:p>
      <w:pPr>
        <w:rPr>
          <w:rFonts w:asciiTheme="minorEastAsia" w:hAnsiTheme="minorEastAsia" w:cstheme="minorEastAsia"/>
          <w:b/>
          <w:color w:val="000000" w:themeColor="text1"/>
          <w:szCs w:val="24"/>
          <w14:textFill>
            <w14:solidFill>
              <w14:schemeClr w14:val="tx1"/>
            </w14:solidFill>
          </w14:textFill>
        </w:rPr>
      </w:pP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关于贵单位、贵司发布</w:t>
      </w:r>
      <w:r>
        <w:rPr>
          <w:rFonts w:hint="eastAsia"/>
          <w:b/>
          <w:bCs/>
          <w:sz w:val="21"/>
          <w:szCs w:val="21"/>
          <w:u w:val="single"/>
          <w:lang w:val="en-US" w:eastAsia="zh-CN"/>
        </w:rPr>
        <w:t>购买分离式视频会议系统终端及配套</w:t>
      </w:r>
      <w:r>
        <w:rPr>
          <w:rFonts w:hint="eastAsia" w:asciiTheme="minorEastAsia" w:hAnsiTheme="minorEastAsia" w:cstheme="minorEastAsia"/>
          <w:color w:val="000000" w:themeColor="text1"/>
          <w:szCs w:val="24"/>
          <w14:textFill>
            <w14:solidFill>
              <w14:schemeClr w14:val="tx1"/>
            </w14:solidFill>
          </w14:textFill>
        </w:rPr>
        <w:t>的竞价公告，本公司（企业）愿意参加竞价活动，并作出如下声明：</w:t>
      </w:r>
    </w:p>
    <w:p>
      <w:pPr>
        <w:numPr>
          <w:ilvl w:val="0"/>
          <w:numId w:val="19"/>
        </w:numPr>
        <w:snapToGrid w:val="0"/>
        <w:spacing w:line="360" w:lineRule="auto"/>
        <w:rPr>
          <w:rFonts w:asciiTheme="minorEastAsia" w:hAnsiTheme="minorEastAsia" w:cstheme="minorEastAsia"/>
          <w:bCs/>
          <w:color w:val="000000" w:themeColor="text1"/>
          <w:szCs w:val="20"/>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w:t>
      </w:r>
      <w:r>
        <w:rPr>
          <w:rFonts w:hint="eastAsia" w:asciiTheme="minorEastAsia" w:hAnsiTheme="minorEastAsia" w:cstheme="minorEastAsia"/>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 xml:space="preserve">（二）具有良好的商业信誉和健全的财务会计制度； </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（六）法律、行政法规规定的其他条件。</w:t>
      </w:r>
    </w:p>
    <w:p>
      <w:pPr>
        <w:numPr>
          <w:ilvl w:val="0"/>
          <w:numId w:val="19"/>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本公司（企业）具有本次采购项目供货及服务能力。</w:t>
      </w:r>
    </w:p>
    <w:p>
      <w:pPr>
        <w:numPr>
          <w:ilvl w:val="0"/>
          <w:numId w:val="19"/>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本公司（企业）有固定的经营场所，信誉良好、售后维护服务好，并且在经营活动中无严重违法记录。</w:t>
      </w:r>
    </w:p>
    <w:p>
      <w:pPr>
        <w:numPr>
          <w:ilvl w:val="0"/>
          <w:numId w:val="19"/>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本公司（企业）没有为采购项目同一合同项下提供整体设计、规范编制或者项目管理、监理、检测等服务。</w:t>
      </w:r>
    </w:p>
    <w:p>
      <w:pPr>
        <w:numPr>
          <w:ilvl w:val="0"/>
          <w:numId w:val="19"/>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本公司（企业）的法定代表人或单位负责人与所参投的本项目其他供应商的法定代表人或单位负责人不为同一人且与其他供应商之间不存在直接控股、管理关系。</w:t>
      </w:r>
    </w:p>
    <w:p>
      <w:pPr>
        <w:numPr>
          <w:ilvl w:val="0"/>
          <w:numId w:val="19"/>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本公司（企业）在本项目中不分包、转包且不联合参与竞价。</w:t>
      </w: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本公司（企业）承诺在本次采购活动中，如有违法、违规</w:t>
      </w:r>
      <w:r>
        <w:rPr>
          <w:rFonts w:hint="eastAsia" w:asciiTheme="minorEastAsia" w:hAnsiTheme="minorEastAsia" w:cstheme="minorEastAsia"/>
          <w:color w:val="000000" w:themeColor="text1"/>
          <w:szCs w:val="21"/>
          <w14:textFill>
            <w14:solidFill>
              <w14:schemeClr w14:val="tx1"/>
            </w14:solidFill>
          </w14:textFill>
        </w:rPr>
        <w:t>、</w:t>
      </w:r>
      <w:r>
        <w:rPr>
          <w:rFonts w:hint="eastAsia" w:asciiTheme="minorEastAsia" w:hAnsiTheme="minorEastAsia" w:cstheme="minorEastAsia"/>
          <w:color w:val="000000" w:themeColor="text1"/>
          <w:szCs w:val="24"/>
          <w14:textFill>
            <w14:solidFill>
              <w14:schemeClr w14:val="tx1"/>
            </w14:solidFill>
          </w14:textFill>
        </w:rPr>
        <w:t>弄虚作假行为，所造成的损失、不良后果及法律责任，一律由我公司（企业）承担。</w:t>
      </w:r>
    </w:p>
    <w:p>
      <w:pPr>
        <w:spacing w:line="360" w:lineRule="auto"/>
        <w:ind w:firstLine="420"/>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特此声明！</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20"/>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20"/>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pStyle w:val="27"/>
        <w:wordWrap w:val="0"/>
        <w:spacing w:line="360" w:lineRule="auto"/>
        <w:ind w:left="1200" w:right="218" w:firstLine="0" w:firstLineChars="0"/>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pStyle w:val="27"/>
        <w:spacing w:line="360" w:lineRule="auto"/>
        <w:ind w:left="1200" w:right="210" w:firstLine="0" w:firstLineChars="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ind w:left="840"/>
        <w:jc w:val="right"/>
        <w:rPr>
          <w:rFonts w:asciiTheme="minorEastAsia" w:hAnsiTheme="minorEastAsia" w:cstheme="minorEastAsia"/>
          <w:bCs/>
          <w:color w:val="000000" w:themeColor="text1"/>
          <w:szCs w:val="20"/>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sectPr>
      <w:pgSz w:w="12240" w:h="15840"/>
      <w:pgMar w:top="1440" w:right="1800" w:bottom="1440" w:left="1800" w:header="720" w:footer="720"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9F718"/>
    <w:multiLevelType w:val="singleLevel"/>
    <w:tmpl w:val="87D9F718"/>
    <w:lvl w:ilvl="0" w:tentative="0">
      <w:start w:val="1"/>
      <w:numFmt w:val="chineseCounting"/>
      <w:suff w:val="nothing"/>
      <w:lvlText w:val="（%1）"/>
      <w:lvlJc w:val="left"/>
      <w:pPr>
        <w:ind w:left="0" w:firstLine="420"/>
      </w:pPr>
      <w:rPr>
        <w:rFonts w:hint="eastAsia"/>
      </w:rPr>
    </w:lvl>
  </w:abstractNum>
  <w:abstractNum w:abstractNumId="1">
    <w:nsid w:val="936DDC4D"/>
    <w:multiLevelType w:val="singleLevel"/>
    <w:tmpl w:val="936DDC4D"/>
    <w:lvl w:ilvl="0" w:tentative="0">
      <w:start w:val="1"/>
      <w:numFmt w:val="decimal"/>
      <w:suff w:val="space"/>
      <w:lvlText w:val="%1."/>
      <w:lvlJc w:val="left"/>
      <w:pPr>
        <w:ind w:left="425" w:hanging="425"/>
      </w:pPr>
      <w:rPr>
        <w:rFonts w:hint="default"/>
      </w:rPr>
    </w:lvl>
  </w:abstractNum>
  <w:abstractNum w:abstractNumId="2">
    <w:nsid w:val="C21AE412"/>
    <w:multiLevelType w:val="singleLevel"/>
    <w:tmpl w:val="C21AE412"/>
    <w:lvl w:ilvl="0" w:tentative="0">
      <w:start w:val="1"/>
      <w:numFmt w:val="chineseCounting"/>
      <w:suff w:val="nothing"/>
      <w:lvlText w:val="%1、"/>
      <w:lvlJc w:val="left"/>
      <w:pPr>
        <w:ind w:left="0" w:firstLine="420"/>
      </w:pPr>
      <w:rPr>
        <w:rFonts w:hint="eastAsia"/>
      </w:rPr>
    </w:lvl>
  </w:abstractNum>
  <w:abstractNum w:abstractNumId="3">
    <w:nsid w:val="D7010DB7"/>
    <w:multiLevelType w:val="singleLevel"/>
    <w:tmpl w:val="D7010DB7"/>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4">
    <w:nsid w:val="E98FF52F"/>
    <w:multiLevelType w:val="singleLevel"/>
    <w:tmpl w:val="E98FF52F"/>
    <w:lvl w:ilvl="0" w:tentative="0">
      <w:start w:val="1"/>
      <w:numFmt w:val="chineseCounting"/>
      <w:suff w:val="nothing"/>
      <w:lvlText w:val="（%1）"/>
      <w:lvlJc w:val="left"/>
      <w:pPr>
        <w:ind w:left="0" w:firstLine="420"/>
      </w:pPr>
      <w:rPr>
        <w:rFonts w:hint="eastAsia"/>
      </w:rPr>
    </w:lvl>
  </w:abstractNum>
  <w:abstractNum w:abstractNumId="5">
    <w:nsid w:val="F09CFC33"/>
    <w:multiLevelType w:val="singleLevel"/>
    <w:tmpl w:val="F09CFC33"/>
    <w:lvl w:ilvl="0" w:tentative="0">
      <w:start w:val="1"/>
      <w:numFmt w:val="decimal"/>
      <w:lvlText w:val="(%1)"/>
      <w:lvlJc w:val="left"/>
      <w:pPr>
        <w:ind w:left="425" w:hanging="425"/>
      </w:pPr>
      <w:rPr>
        <w:rFonts w:hint="default" w:ascii="宋体" w:hAnsi="宋体" w:eastAsia="宋体" w:cs="宋体"/>
        <w:sz w:val="21"/>
        <w:szCs w:val="21"/>
      </w:rPr>
    </w:lvl>
  </w:abstractNum>
  <w:abstractNum w:abstractNumId="6">
    <w:nsid w:val="F47A0796"/>
    <w:multiLevelType w:val="singleLevel"/>
    <w:tmpl w:val="F47A0796"/>
    <w:lvl w:ilvl="0" w:tentative="0">
      <w:start w:val="1"/>
      <w:numFmt w:val="chineseCounting"/>
      <w:suff w:val="nothing"/>
      <w:lvlText w:val="（%1）"/>
      <w:lvlJc w:val="left"/>
      <w:pPr>
        <w:ind w:left="0" w:firstLine="420"/>
      </w:pPr>
      <w:rPr>
        <w:rFonts w:hint="eastAsia"/>
        <w:b/>
        <w:bCs/>
      </w:rPr>
    </w:lvl>
  </w:abstractNum>
  <w:abstractNum w:abstractNumId="7">
    <w:nsid w:val="00000010"/>
    <w:multiLevelType w:val="multilevel"/>
    <w:tmpl w:val="00000010"/>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宋体" w:hAnsi="宋体" w:eastAsia="宋体" w:cs="Times New Roman"/>
        <w:b w:val="0"/>
        <w:dstrike w:val="0"/>
      </w:rPr>
    </w:lvl>
    <w:lvl w:ilvl="2" w:tentative="0">
      <w:start w:val="1"/>
      <w:numFmt w:val="decimal"/>
      <w:lvlText w:val="%1.%2.%3"/>
      <w:lvlJc w:val="left"/>
      <w:pPr>
        <w:tabs>
          <w:tab w:val="left" w:pos="1703"/>
        </w:tabs>
        <w:ind w:left="1703" w:hanging="851"/>
      </w:pPr>
      <w:rPr>
        <w:rFonts w:hint="default" w:ascii="宋体" w:hAnsi="宋体" w:eastAsia="宋体" w:cs="Times New Roman"/>
        <w:b w:val="0"/>
        <w:color w:val="auto"/>
        <w:sz w:val="21"/>
        <w:szCs w:val="21"/>
      </w:rPr>
    </w:lvl>
    <w:lvl w:ilvl="3" w:tentative="0">
      <w:start w:val="1"/>
      <w:numFmt w:val="decimal"/>
      <w:pStyle w:val="36"/>
      <w:lvlText w:val="%1.%2.%3.%4"/>
      <w:lvlJc w:val="left"/>
      <w:pPr>
        <w:tabs>
          <w:tab w:val="left" w:pos="851"/>
        </w:tabs>
        <w:ind w:left="851" w:hanging="851"/>
      </w:pPr>
      <w:rPr>
        <w:rFonts w:hint="eastAsia"/>
        <w:dstrike w:val="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8">
    <w:nsid w:val="0020E2D5"/>
    <w:multiLevelType w:val="singleLevel"/>
    <w:tmpl w:val="0020E2D5"/>
    <w:lvl w:ilvl="0" w:tentative="0">
      <w:start w:val="1"/>
      <w:numFmt w:val="decimal"/>
      <w:suff w:val="space"/>
      <w:lvlText w:val="%1."/>
      <w:lvlJc w:val="left"/>
      <w:pPr>
        <w:ind w:left="425" w:hanging="425"/>
      </w:pPr>
      <w:rPr>
        <w:rFonts w:hint="default"/>
      </w:rPr>
    </w:lvl>
  </w:abstractNum>
  <w:abstractNum w:abstractNumId="9">
    <w:nsid w:val="0304B097"/>
    <w:multiLevelType w:val="singleLevel"/>
    <w:tmpl w:val="0304B097"/>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10">
    <w:nsid w:val="1579B33C"/>
    <w:multiLevelType w:val="singleLevel"/>
    <w:tmpl w:val="1579B33C"/>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11">
    <w:nsid w:val="1C0F739A"/>
    <w:multiLevelType w:val="singleLevel"/>
    <w:tmpl w:val="1C0F739A"/>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12">
    <w:nsid w:val="21D00588"/>
    <w:multiLevelType w:val="multilevel"/>
    <w:tmpl w:val="21D00588"/>
    <w:lvl w:ilvl="0" w:tentative="0">
      <w:start w:val="1"/>
      <w:numFmt w:val="chineseCountingThousand"/>
      <w:suff w:val="space"/>
      <w:lvlText w:val="%1、"/>
      <w:lvlJc w:val="left"/>
      <w:pPr>
        <w:ind w:left="420" w:hanging="420"/>
      </w:pPr>
      <w:rPr>
        <w:rFonts w:hint="eastAsia" w:ascii="宋体" w:hAnsi="宋体" w:eastAsia="宋体" w:cs="宋体"/>
        <w:b/>
        <w:sz w:val="21"/>
        <w:szCs w:val="21"/>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
    <w:nsid w:val="288C32E4"/>
    <w:multiLevelType w:val="multilevel"/>
    <w:tmpl w:val="288C32E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2F0E7B2B"/>
    <w:multiLevelType w:val="multilevel"/>
    <w:tmpl w:val="2F0E7B2B"/>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5">
    <w:nsid w:val="4CCCCDC4"/>
    <w:multiLevelType w:val="singleLevel"/>
    <w:tmpl w:val="4CCCCDC4"/>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16">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7">
    <w:nsid w:val="590DFEAE"/>
    <w:multiLevelType w:val="singleLevel"/>
    <w:tmpl w:val="590DFEAE"/>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18">
    <w:nsid w:val="63784A10"/>
    <w:multiLevelType w:val="multilevel"/>
    <w:tmpl w:val="63784A10"/>
    <w:lvl w:ilvl="0" w:tentative="0">
      <w:start w:val="1"/>
      <w:numFmt w:val="chineseCountingThousand"/>
      <w:suff w:val="nothing"/>
      <w:lvlText w:val="%1、"/>
      <w:lvlJc w:val="left"/>
      <w:pPr>
        <w:ind w:left="420" w:hanging="420"/>
      </w:pPr>
      <w:rPr>
        <w:rFonts w:hint="eastAsia"/>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6E19083E"/>
    <w:multiLevelType w:val="multilevel"/>
    <w:tmpl w:val="6E19083E"/>
    <w:lvl w:ilvl="0" w:tentative="0">
      <w:start w:val="1"/>
      <w:numFmt w:val="decimal"/>
      <w:lvlText w:val="%1."/>
      <w:lvlJc w:val="left"/>
      <w:pPr>
        <w:ind w:left="420" w:hanging="420"/>
      </w:pPr>
      <w:rPr>
        <w:rFonts w:hint="default"/>
        <w:sz w:val="21"/>
        <w:szCs w:val="21"/>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7"/>
  </w:num>
  <w:num w:numId="2">
    <w:abstractNumId w:val="18"/>
  </w:num>
  <w:num w:numId="3">
    <w:abstractNumId w:val="6"/>
  </w:num>
  <w:num w:numId="4">
    <w:abstractNumId w:val="15"/>
  </w:num>
  <w:num w:numId="5">
    <w:abstractNumId w:val="3"/>
  </w:num>
  <w:num w:numId="6">
    <w:abstractNumId w:val="9"/>
  </w:num>
  <w:num w:numId="7">
    <w:abstractNumId w:val="10"/>
  </w:num>
  <w:num w:numId="8">
    <w:abstractNumId w:val="17"/>
  </w:num>
  <w:num w:numId="9">
    <w:abstractNumId w:val="11"/>
  </w:num>
  <w:num w:numId="10">
    <w:abstractNumId w:val="5"/>
  </w:num>
  <w:num w:numId="11">
    <w:abstractNumId w:val="13"/>
  </w:num>
  <w:num w:numId="12">
    <w:abstractNumId w:val="12"/>
  </w:num>
  <w:num w:numId="13">
    <w:abstractNumId w:val="4"/>
  </w:num>
  <w:num w:numId="14">
    <w:abstractNumId w:val="0"/>
  </w:num>
  <w:num w:numId="15">
    <w:abstractNumId w:val="1"/>
  </w:num>
  <w:num w:numId="16">
    <w:abstractNumId w:val="8"/>
  </w:num>
  <w:num w:numId="17">
    <w:abstractNumId w:val="19"/>
  </w:num>
  <w:num w:numId="18">
    <w:abstractNumId w:val="14"/>
  </w:num>
  <w:num w:numId="19">
    <w:abstractNumId w:val="2"/>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603670"/>
    <w:rsid w:val="0000298A"/>
    <w:rsid w:val="00011A82"/>
    <w:rsid w:val="000163AB"/>
    <w:rsid w:val="00027036"/>
    <w:rsid w:val="00042B6B"/>
    <w:rsid w:val="000431C9"/>
    <w:rsid w:val="00045E6F"/>
    <w:rsid w:val="00050534"/>
    <w:rsid w:val="00053978"/>
    <w:rsid w:val="000565F1"/>
    <w:rsid w:val="0006472A"/>
    <w:rsid w:val="00072D57"/>
    <w:rsid w:val="000749D9"/>
    <w:rsid w:val="00075391"/>
    <w:rsid w:val="00082CDE"/>
    <w:rsid w:val="00083BE6"/>
    <w:rsid w:val="00086BDC"/>
    <w:rsid w:val="00094FAA"/>
    <w:rsid w:val="000B040C"/>
    <w:rsid w:val="000B3F59"/>
    <w:rsid w:val="000C5ABD"/>
    <w:rsid w:val="000E1199"/>
    <w:rsid w:val="000E4C42"/>
    <w:rsid w:val="000F1249"/>
    <w:rsid w:val="000F423D"/>
    <w:rsid w:val="00107E2D"/>
    <w:rsid w:val="0011556A"/>
    <w:rsid w:val="00116EDF"/>
    <w:rsid w:val="00123BEA"/>
    <w:rsid w:val="001304CF"/>
    <w:rsid w:val="00140AD2"/>
    <w:rsid w:val="00145AE8"/>
    <w:rsid w:val="0016171E"/>
    <w:rsid w:val="00175ECB"/>
    <w:rsid w:val="001775AE"/>
    <w:rsid w:val="00182BE9"/>
    <w:rsid w:val="001863E0"/>
    <w:rsid w:val="001A0DDF"/>
    <w:rsid w:val="001A769F"/>
    <w:rsid w:val="001B0A70"/>
    <w:rsid w:val="001B74DB"/>
    <w:rsid w:val="001C071E"/>
    <w:rsid w:val="001C3D61"/>
    <w:rsid w:val="001C43C7"/>
    <w:rsid w:val="001C453B"/>
    <w:rsid w:val="001C6BE3"/>
    <w:rsid w:val="001D1026"/>
    <w:rsid w:val="001D33E6"/>
    <w:rsid w:val="001D3E3B"/>
    <w:rsid w:val="001E48AC"/>
    <w:rsid w:val="001E5C33"/>
    <w:rsid w:val="001F3F8C"/>
    <w:rsid w:val="002056C6"/>
    <w:rsid w:val="00220312"/>
    <w:rsid w:val="00237088"/>
    <w:rsid w:val="002379C7"/>
    <w:rsid w:val="0024390D"/>
    <w:rsid w:val="00251790"/>
    <w:rsid w:val="00253352"/>
    <w:rsid w:val="00262DAA"/>
    <w:rsid w:val="0026399A"/>
    <w:rsid w:val="002674A4"/>
    <w:rsid w:val="00270E13"/>
    <w:rsid w:val="00274FF8"/>
    <w:rsid w:val="00283853"/>
    <w:rsid w:val="00283A1B"/>
    <w:rsid w:val="002920CA"/>
    <w:rsid w:val="002A1D82"/>
    <w:rsid w:val="002A1FE5"/>
    <w:rsid w:val="002A50F6"/>
    <w:rsid w:val="002B2992"/>
    <w:rsid w:val="002B4DF8"/>
    <w:rsid w:val="002B6EEB"/>
    <w:rsid w:val="002C7CC8"/>
    <w:rsid w:val="002D4EBD"/>
    <w:rsid w:val="002D5B83"/>
    <w:rsid w:val="002E0263"/>
    <w:rsid w:val="002E61D3"/>
    <w:rsid w:val="002E66A9"/>
    <w:rsid w:val="002F352E"/>
    <w:rsid w:val="002F4A33"/>
    <w:rsid w:val="002F5E67"/>
    <w:rsid w:val="0031356B"/>
    <w:rsid w:val="00321D88"/>
    <w:rsid w:val="00327C22"/>
    <w:rsid w:val="00332AF3"/>
    <w:rsid w:val="003336BA"/>
    <w:rsid w:val="00336F07"/>
    <w:rsid w:val="00342E19"/>
    <w:rsid w:val="00355F34"/>
    <w:rsid w:val="00361074"/>
    <w:rsid w:val="00366797"/>
    <w:rsid w:val="003818F2"/>
    <w:rsid w:val="00383905"/>
    <w:rsid w:val="00384761"/>
    <w:rsid w:val="00392847"/>
    <w:rsid w:val="00393D24"/>
    <w:rsid w:val="00394537"/>
    <w:rsid w:val="00394CBD"/>
    <w:rsid w:val="00395A64"/>
    <w:rsid w:val="00395C9C"/>
    <w:rsid w:val="00396F62"/>
    <w:rsid w:val="003B0A20"/>
    <w:rsid w:val="003B48C0"/>
    <w:rsid w:val="003B5D20"/>
    <w:rsid w:val="003C419C"/>
    <w:rsid w:val="003D2DE8"/>
    <w:rsid w:val="003D3C42"/>
    <w:rsid w:val="003E273C"/>
    <w:rsid w:val="003F38D5"/>
    <w:rsid w:val="00403AB2"/>
    <w:rsid w:val="00412749"/>
    <w:rsid w:val="004211A3"/>
    <w:rsid w:val="00425F66"/>
    <w:rsid w:val="00431BF0"/>
    <w:rsid w:val="00431DBE"/>
    <w:rsid w:val="00433B9F"/>
    <w:rsid w:val="00456ED5"/>
    <w:rsid w:val="0045760A"/>
    <w:rsid w:val="004610D7"/>
    <w:rsid w:val="004613B9"/>
    <w:rsid w:val="0047081D"/>
    <w:rsid w:val="004765F8"/>
    <w:rsid w:val="00476745"/>
    <w:rsid w:val="00476899"/>
    <w:rsid w:val="00491492"/>
    <w:rsid w:val="00492B35"/>
    <w:rsid w:val="00493336"/>
    <w:rsid w:val="00494623"/>
    <w:rsid w:val="00496883"/>
    <w:rsid w:val="004A36A8"/>
    <w:rsid w:val="004A6A68"/>
    <w:rsid w:val="004B4136"/>
    <w:rsid w:val="004B57DA"/>
    <w:rsid w:val="004B7182"/>
    <w:rsid w:val="004D2165"/>
    <w:rsid w:val="004D2A3E"/>
    <w:rsid w:val="004D491B"/>
    <w:rsid w:val="004D6D34"/>
    <w:rsid w:val="004E3790"/>
    <w:rsid w:val="004F1479"/>
    <w:rsid w:val="00501334"/>
    <w:rsid w:val="00501F2E"/>
    <w:rsid w:val="00521996"/>
    <w:rsid w:val="00522280"/>
    <w:rsid w:val="005316BD"/>
    <w:rsid w:val="00533B92"/>
    <w:rsid w:val="00534F6E"/>
    <w:rsid w:val="00535EEC"/>
    <w:rsid w:val="005456E9"/>
    <w:rsid w:val="005462F7"/>
    <w:rsid w:val="005521A5"/>
    <w:rsid w:val="00555B34"/>
    <w:rsid w:val="00565168"/>
    <w:rsid w:val="005656FE"/>
    <w:rsid w:val="005678E8"/>
    <w:rsid w:val="00585A83"/>
    <w:rsid w:val="00591BC0"/>
    <w:rsid w:val="00593C7A"/>
    <w:rsid w:val="005B1D70"/>
    <w:rsid w:val="005B3711"/>
    <w:rsid w:val="005C064C"/>
    <w:rsid w:val="005C3A40"/>
    <w:rsid w:val="005D0B0F"/>
    <w:rsid w:val="005D72B7"/>
    <w:rsid w:val="005D796C"/>
    <w:rsid w:val="005E4015"/>
    <w:rsid w:val="005E748F"/>
    <w:rsid w:val="005F00ED"/>
    <w:rsid w:val="005F4F7A"/>
    <w:rsid w:val="005F6D53"/>
    <w:rsid w:val="00603670"/>
    <w:rsid w:val="006037D5"/>
    <w:rsid w:val="00616532"/>
    <w:rsid w:val="00616AE3"/>
    <w:rsid w:val="00620F2C"/>
    <w:rsid w:val="00627DD4"/>
    <w:rsid w:val="00627F1C"/>
    <w:rsid w:val="0064715C"/>
    <w:rsid w:val="0066018A"/>
    <w:rsid w:val="006628FF"/>
    <w:rsid w:val="00673379"/>
    <w:rsid w:val="006779F7"/>
    <w:rsid w:val="00680244"/>
    <w:rsid w:val="006817FD"/>
    <w:rsid w:val="006923B3"/>
    <w:rsid w:val="006A61C8"/>
    <w:rsid w:val="006B07B5"/>
    <w:rsid w:val="006B1BFB"/>
    <w:rsid w:val="006B764E"/>
    <w:rsid w:val="006D213E"/>
    <w:rsid w:val="006D5FC6"/>
    <w:rsid w:val="006D7E04"/>
    <w:rsid w:val="00700C51"/>
    <w:rsid w:val="00704006"/>
    <w:rsid w:val="00704031"/>
    <w:rsid w:val="007056A1"/>
    <w:rsid w:val="007059E9"/>
    <w:rsid w:val="0071097B"/>
    <w:rsid w:val="007128C2"/>
    <w:rsid w:val="00713BF5"/>
    <w:rsid w:val="00715D44"/>
    <w:rsid w:val="00717FA5"/>
    <w:rsid w:val="007214B0"/>
    <w:rsid w:val="00721994"/>
    <w:rsid w:val="00724E13"/>
    <w:rsid w:val="00726EDF"/>
    <w:rsid w:val="007342B9"/>
    <w:rsid w:val="00741354"/>
    <w:rsid w:val="007440B0"/>
    <w:rsid w:val="007470DA"/>
    <w:rsid w:val="00761C9A"/>
    <w:rsid w:val="00762179"/>
    <w:rsid w:val="00766BD6"/>
    <w:rsid w:val="00772ED2"/>
    <w:rsid w:val="00781170"/>
    <w:rsid w:val="00781957"/>
    <w:rsid w:val="00783B9B"/>
    <w:rsid w:val="00786D28"/>
    <w:rsid w:val="00793437"/>
    <w:rsid w:val="0079465B"/>
    <w:rsid w:val="007B645B"/>
    <w:rsid w:val="007C5792"/>
    <w:rsid w:val="007E26FA"/>
    <w:rsid w:val="007E3EDE"/>
    <w:rsid w:val="007F26F4"/>
    <w:rsid w:val="007F6B25"/>
    <w:rsid w:val="0080065E"/>
    <w:rsid w:val="008034FC"/>
    <w:rsid w:val="00803518"/>
    <w:rsid w:val="00811E08"/>
    <w:rsid w:val="00812470"/>
    <w:rsid w:val="008124C1"/>
    <w:rsid w:val="0082229E"/>
    <w:rsid w:val="00825FF0"/>
    <w:rsid w:val="00830919"/>
    <w:rsid w:val="00847407"/>
    <w:rsid w:val="008537C7"/>
    <w:rsid w:val="008556E4"/>
    <w:rsid w:val="00856F2F"/>
    <w:rsid w:val="00873FC7"/>
    <w:rsid w:val="00875023"/>
    <w:rsid w:val="00881257"/>
    <w:rsid w:val="00882269"/>
    <w:rsid w:val="008A5110"/>
    <w:rsid w:val="008A7093"/>
    <w:rsid w:val="008A75A4"/>
    <w:rsid w:val="008B7BAC"/>
    <w:rsid w:val="008B7C71"/>
    <w:rsid w:val="008C2AB1"/>
    <w:rsid w:val="008C3917"/>
    <w:rsid w:val="008C7245"/>
    <w:rsid w:val="008D0A5A"/>
    <w:rsid w:val="008E3CD8"/>
    <w:rsid w:val="008E49E5"/>
    <w:rsid w:val="008E6EDC"/>
    <w:rsid w:val="008F3BD8"/>
    <w:rsid w:val="008F3E0F"/>
    <w:rsid w:val="008F3F79"/>
    <w:rsid w:val="008F480D"/>
    <w:rsid w:val="00904D13"/>
    <w:rsid w:val="009227C3"/>
    <w:rsid w:val="00923354"/>
    <w:rsid w:val="0092421F"/>
    <w:rsid w:val="00932E40"/>
    <w:rsid w:val="009330F3"/>
    <w:rsid w:val="00937F4D"/>
    <w:rsid w:val="00940CEB"/>
    <w:rsid w:val="00945388"/>
    <w:rsid w:val="00945FC8"/>
    <w:rsid w:val="0094675A"/>
    <w:rsid w:val="009500CB"/>
    <w:rsid w:val="00950D89"/>
    <w:rsid w:val="00966193"/>
    <w:rsid w:val="009666D4"/>
    <w:rsid w:val="00966E16"/>
    <w:rsid w:val="00977403"/>
    <w:rsid w:val="00981FCF"/>
    <w:rsid w:val="009877F1"/>
    <w:rsid w:val="00990253"/>
    <w:rsid w:val="00991F41"/>
    <w:rsid w:val="009A21C0"/>
    <w:rsid w:val="009A4BF3"/>
    <w:rsid w:val="009B4D41"/>
    <w:rsid w:val="009C2904"/>
    <w:rsid w:val="009C2D78"/>
    <w:rsid w:val="009C51EA"/>
    <w:rsid w:val="009D0859"/>
    <w:rsid w:val="009D4FC9"/>
    <w:rsid w:val="009D50D8"/>
    <w:rsid w:val="009E5075"/>
    <w:rsid w:val="009E5F7B"/>
    <w:rsid w:val="009F22AA"/>
    <w:rsid w:val="00A042E3"/>
    <w:rsid w:val="00A0472A"/>
    <w:rsid w:val="00A13934"/>
    <w:rsid w:val="00A16824"/>
    <w:rsid w:val="00A16965"/>
    <w:rsid w:val="00A16C1A"/>
    <w:rsid w:val="00A202CE"/>
    <w:rsid w:val="00A258AD"/>
    <w:rsid w:val="00A30C64"/>
    <w:rsid w:val="00A35A63"/>
    <w:rsid w:val="00A444BF"/>
    <w:rsid w:val="00A446B1"/>
    <w:rsid w:val="00A45A6D"/>
    <w:rsid w:val="00A765D9"/>
    <w:rsid w:val="00A82740"/>
    <w:rsid w:val="00AA2719"/>
    <w:rsid w:val="00AA4A01"/>
    <w:rsid w:val="00AB6105"/>
    <w:rsid w:val="00AC2AF9"/>
    <w:rsid w:val="00AD08E8"/>
    <w:rsid w:val="00AD3C05"/>
    <w:rsid w:val="00AD6219"/>
    <w:rsid w:val="00AE270A"/>
    <w:rsid w:val="00AE2F48"/>
    <w:rsid w:val="00AE6B80"/>
    <w:rsid w:val="00AF1D6C"/>
    <w:rsid w:val="00AF4372"/>
    <w:rsid w:val="00B0099A"/>
    <w:rsid w:val="00B06AE0"/>
    <w:rsid w:val="00B16927"/>
    <w:rsid w:val="00B36CF5"/>
    <w:rsid w:val="00B4687C"/>
    <w:rsid w:val="00B5406D"/>
    <w:rsid w:val="00B54D59"/>
    <w:rsid w:val="00B617FE"/>
    <w:rsid w:val="00B80C5B"/>
    <w:rsid w:val="00B85FC9"/>
    <w:rsid w:val="00B9732A"/>
    <w:rsid w:val="00BA1245"/>
    <w:rsid w:val="00BA578C"/>
    <w:rsid w:val="00BB3D04"/>
    <w:rsid w:val="00BB45E3"/>
    <w:rsid w:val="00BB566D"/>
    <w:rsid w:val="00BB5881"/>
    <w:rsid w:val="00BB67EB"/>
    <w:rsid w:val="00BC4505"/>
    <w:rsid w:val="00BC697C"/>
    <w:rsid w:val="00BD3301"/>
    <w:rsid w:val="00BD4CD9"/>
    <w:rsid w:val="00BD6AB4"/>
    <w:rsid w:val="00BF04FE"/>
    <w:rsid w:val="00BF568B"/>
    <w:rsid w:val="00C00098"/>
    <w:rsid w:val="00C02598"/>
    <w:rsid w:val="00C2026A"/>
    <w:rsid w:val="00C21B82"/>
    <w:rsid w:val="00C31252"/>
    <w:rsid w:val="00C368FE"/>
    <w:rsid w:val="00C40805"/>
    <w:rsid w:val="00C455DD"/>
    <w:rsid w:val="00C476C2"/>
    <w:rsid w:val="00C541C5"/>
    <w:rsid w:val="00C56A1C"/>
    <w:rsid w:val="00C65789"/>
    <w:rsid w:val="00C668B0"/>
    <w:rsid w:val="00C776A4"/>
    <w:rsid w:val="00C83E6E"/>
    <w:rsid w:val="00C90DA1"/>
    <w:rsid w:val="00CA090A"/>
    <w:rsid w:val="00CA0CCB"/>
    <w:rsid w:val="00CA0FD7"/>
    <w:rsid w:val="00CC17D4"/>
    <w:rsid w:val="00CD143C"/>
    <w:rsid w:val="00CD57F2"/>
    <w:rsid w:val="00CE0497"/>
    <w:rsid w:val="00CE71FC"/>
    <w:rsid w:val="00CF2666"/>
    <w:rsid w:val="00CF59AA"/>
    <w:rsid w:val="00D002F2"/>
    <w:rsid w:val="00D015A2"/>
    <w:rsid w:val="00D10E67"/>
    <w:rsid w:val="00D2020D"/>
    <w:rsid w:val="00D221F4"/>
    <w:rsid w:val="00D24487"/>
    <w:rsid w:val="00D32910"/>
    <w:rsid w:val="00D4308A"/>
    <w:rsid w:val="00D467C0"/>
    <w:rsid w:val="00D533FC"/>
    <w:rsid w:val="00D61271"/>
    <w:rsid w:val="00D638E3"/>
    <w:rsid w:val="00D704B4"/>
    <w:rsid w:val="00D7179D"/>
    <w:rsid w:val="00D71805"/>
    <w:rsid w:val="00D756D0"/>
    <w:rsid w:val="00D8277B"/>
    <w:rsid w:val="00D82EF0"/>
    <w:rsid w:val="00D834B2"/>
    <w:rsid w:val="00D9501D"/>
    <w:rsid w:val="00D953AB"/>
    <w:rsid w:val="00D95437"/>
    <w:rsid w:val="00D95FC8"/>
    <w:rsid w:val="00D96CBE"/>
    <w:rsid w:val="00DA47E2"/>
    <w:rsid w:val="00DA5447"/>
    <w:rsid w:val="00DA677A"/>
    <w:rsid w:val="00DC2C1D"/>
    <w:rsid w:val="00DD1F0C"/>
    <w:rsid w:val="00DD2C2A"/>
    <w:rsid w:val="00DD3557"/>
    <w:rsid w:val="00DD4221"/>
    <w:rsid w:val="00E01F9F"/>
    <w:rsid w:val="00E06F98"/>
    <w:rsid w:val="00E07AB9"/>
    <w:rsid w:val="00E127FA"/>
    <w:rsid w:val="00E255DD"/>
    <w:rsid w:val="00E300EB"/>
    <w:rsid w:val="00E33E2A"/>
    <w:rsid w:val="00E3421A"/>
    <w:rsid w:val="00E34EB3"/>
    <w:rsid w:val="00E4552F"/>
    <w:rsid w:val="00E456ED"/>
    <w:rsid w:val="00E45C66"/>
    <w:rsid w:val="00E47E80"/>
    <w:rsid w:val="00E52B0C"/>
    <w:rsid w:val="00E63355"/>
    <w:rsid w:val="00E70313"/>
    <w:rsid w:val="00E81F84"/>
    <w:rsid w:val="00E84F37"/>
    <w:rsid w:val="00E94445"/>
    <w:rsid w:val="00E96562"/>
    <w:rsid w:val="00EA08B8"/>
    <w:rsid w:val="00EA1D68"/>
    <w:rsid w:val="00EA6C46"/>
    <w:rsid w:val="00EB3E5D"/>
    <w:rsid w:val="00EC1C56"/>
    <w:rsid w:val="00EC6A4D"/>
    <w:rsid w:val="00EC6B71"/>
    <w:rsid w:val="00ED5181"/>
    <w:rsid w:val="00EE203B"/>
    <w:rsid w:val="00EE22B8"/>
    <w:rsid w:val="00EE6332"/>
    <w:rsid w:val="00EE7439"/>
    <w:rsid w:val="00EF1B95"/>
    <w:rsid w:val="00EF3265"/>
    <w:rsid w:val="00EF5F21"/>
    <w:rsid w:val="00F124EF"/>
    <w:rsid w:val="00F14A8B"/>
    <w:rsid w:val="00F15985"/>
    <w:rsid w:val="00F1651A"/>
    <w:rsid w:val="00F16A55"/>
    <w:rsid w:val="00F20BBF"/>
    <w:rsid w:val="00F21AC8"/>
    <w:rsid w:val="00F21DD8"/>
    <w:rsid w:val="00F2484C"/>
    <w:rsid w:val="00F264F6"/>
    <w:rsid w:val="00F31DBA"/>
    <w:rsid w:val="00F31E19"/>
    <w:rsid w:val="00F4747C"/>
    <w:rsid w:val="00F5165D"/>
    <w:rsid w:val="00F523A2"/>
    <w:rsid w:val="00F61DA9"/>
    <w:rsid w:val="00F67ABD"/>
    <w:rsid w:val="00F705B7"/>
    <w:rsid w:val="00F71BEE"/>
    <w:rsid w:val="00F74919"/>
    <w:rsid w:val="00F965CD"/>
    <w:rsid w:val="00F96A5F"/>
    <w:rsid w:val="00FC353C"/>
    <w:rsid w:val="00FD12C6"/>
    <w:rsid w:val="00FD56B9"/>
    <w:rsid w:val="00FE1170"/>
    <w:rsid w:val="00FE3A2F"/>
    <w:rsid w:val="00FF04E2"/>
    <w:rsid w:val="00FF424F"/>
    <w:rsid w:val="015E0701"/>
    <w:rsid w:val="016A6C79"/>
    <w:rsid w:val="017460A8"/>
    <w:rsid w:val="02181129"/>
    <w:rsid w:val="02CE4282"/>
    <w:rsid w:val="02E42FCA"/>
    <w:rsid w:val="04375C44"/>
    <w:rsid w:val="052B2EF5"/>
    <w:rsid w:val="05F86CBF"/>
    <w:rsid w:val="05FB2573"/>
    <w:rsid w:val="067C1BC2"/>
    <w:rsid w:val="06BA455D"/>
    <w:rsid w:val="07560F7E"/>
    <w:rsid w:val="08380D9F"/>
    <w:rsid w:val="089E1BE4"/>
    <w:rsid w:val="08E32A0F"/>
    <w:rsid w:val="090D12BC"/>
    <w:rsid w:val="091E76F5"/>
    <w:rsid w:val="0936476E"/>
    <w:rsid w:val="09476ADF"/>
    <w:rsid w:val="098413F8"/>
    <w:rsid w:val="09ED2957"/>
    <w:rsid w:val="0A6F7AD4"/>
    <w:rsid w:val="0AFD14DF"/>
    <w:rsid w:val="0B430904"/>
    <w:rsid w:val="0B53226D"/>
    <w:rsid w:val="0B571438"/>
    <w:rsid w:val="0C72525B"/>
    <w:rsid w:val="0CBE46E5"/>
    <w:rsid w:val="0D040750"/>
    <w:rsid w:val="0EB2188B"/>
    <w:rsid w:val="0ED75C3A"/>
    <w:rsid w:val="0EDD0C64"/>
    <w:rsid w:val="10864BAF"/>
    <w:rsid w:val="10CA7EC9"/>
    <w:rsid w:val="10ED1E00"/>
    <w:rsid w:val="10F548A0"/>
    <w:rsid w:val="11075A69"/>
    <w:rsid w:val="1110351D"/>
    <w:rsid w:val="112B19A0"/>
    <w:rsid w:val="114233DA"/>
    <w:rsid w:val="11493F48"/>
    <w:rsid w:val="115A3E79"/>
    <w:rsid w:val="11B60016"/>
    <w:rsid w:val="12AF2DD9"/>
    <w:rsid w:val="12B02B5B"/>
    <w:rsid w:val="12EA7C02"/>
    <w:rsid w:val="12FB03D7"/>
    <w:rsid w:val="13F34567"/>
    <w:rsid w:val="14347E1A"/>
    <w:rsid w:val="14EF039A"/>
    <w:rsid w:val="159C2AA3"/>
    <w:rsid w:val="15A13F9D"/>
    <w:rsid w:val="15AE0D8B"/>
    <w:rsid w:val="15CF03BA"/>
    <w:rsid w:val="15F32D11"/>
    <w:rsid w:val="16310E1E"/>
    <w:rsid w:val="169B6010"/>
    <w:rsid w:val="16AD27BB"/>
    <w:rsid w:val="16AE27DD"/>
    <w:rsid w:val="16C15797"/>
    <w:rsid w:val="17276DB1"/>
    <w:rsid w:val="17340AE3"/>
    <w:rsid w:val="175E7186"/>
    <w:rsid w:val="18017181"/>
    <w:rsid w:val="181A5423"/>
    <w:rsid w:val="1834418E"/>
    <w:rsid w:val="183C1E47"/>
    <w:rsid w:val="188B647F"/>
    <w:rsid w:val="19925F08"/>
    <w:rsid w:val="19EC2827"/>
    <w:rsid w:val="1A0A1E61"/>
    <w:rsid w:val="1A396D97"/>
    <w:rsid w:val="1AC67B6D"/>
    <w:rsid w:val="1B1A5A9B"/>
    <w:rsid w:val="1B1F150E"/>
    <w:rsid w:val="1B2C3661"/>
    <w:rsid w:val="1BE16AA3"/>
    <w:rsid w:val="1BE2748B"/>
    <w:rsid w:val="1C13053F"/>
    <w:rsid w:val="1C3A66DC"/>
    <w:rsid w:val="1D1055B3"/>
    <w:rsid w:val="1D58705A"/>
    <w:rsid w:val="1E670328"/>
    <w:rsid w:val="1EB24774"/>
    <w:rsid w:val="1ED136BD"/>
    <w:rsid w:val="1F143A1A"/>
    <w:rsid w:val="1F790D8E"/>
    <w:rsid w:val="1F92627F"/>
    <w:rsid w:val="200902A2"/>
    <w:rsid w:val="2018233B"/>
    <w:rsid w:val="202C4BA0"/>
    <w:rsid w:val="2031368A"/>
    <w:rsid w:val="20F37AF2"/>
    <w:rsid w:val="21037791"/>
    <w:rsid w:val="21D175BF"/>
    <w:rsid w:val="22F000F4"/>
    <w:rsid w:val="23753379"/>
    <w:rsid w:val="240C5608"/>
    <w:rsid w:val="242E5DB2"/>
    <w:rsid w:val="24DC02C5"/>
    <w:rsid w:val="259D1B90"/>
    <w:rsid w:val="25BF29AE"/>
    <w:rsid w:val="25C76443"/>
    <w:rsid w:val="26525F4D"/>
    <w:rsid w:val="26A91D83"/>
    <w:rsid w:val="26D4392D"/>
    <w:rsid w:val="27151420"/>
    <w:rsid w:val="28154713"/>
    <w:rsid w:val="286915A0"/>
    <w:rsid w:val="28DF3FCB"/>
    <w:rsid w:val="29D04C89"/>
    <w:rsid w:val="2A7810F6"/>
    <w:rsid w:val="2A8F0D6E"/>
    <w:rsid w:val="2AF249C8"/>
    <w:rsid w:val="2B192609"/>
    <w:rsid w:val="2B434CEA"/>
    <w:rsid w:val="2BD85A0F"/>
    <w:rsid w:val="2CB953F3"/>
    <w:rsid w:val="2CDE5811"/>
    <w:rsid w:val="2D9A1762"/>
    <w:rsid w:val="2DE67895"/>
    <w:rsid w:val="2E4F7ABC"/>
    <w:rsid w:val="2F8B41C5"/>
    <w:rsid w:val="2FD110DF"/>
    <w:rsid w:val="2FD95850"/>
    <w:rsid w:val="3009348A"/>
    <w:rsid w:val="336F2764"/>
    <w:rsid w:val="344C3B08"/>
    <w:rsid w:val="35B41300"/>
    <w:rsid w:val="3609309B"/>
    <w:rsid w:val="372E75BF"/>
    <w:rsid w:val="38F711BB"/>
    <w:rsid w:val="390458AE"/>
    <w:rsid w:val="392803B0"/>
    <w:rsid w:val="39425EA4"/>
    <w:rsid w:val="399565E0"/>
    <w:rsid w:val="39A45FA5"/>
    <w:rsid w:val="39FA04A7"/>
    <w:rsid w:val="3A23021F"/>
    <w:rsid w:val="3B9260FC"/>
    <w:rsid w:val="3C4A1D69"/>
    <w:rsid w:val="3C964B49"/>
    <w:rsid w:val="3DB54D85"/>
    <w:rsid w:val="3E7616F0"/>
    <w:rsid w:val="3F025588"/>
    <w:rsid w:val="40552625"/>
    <w:rsid w:val="413435BC"/>
    <w:rsid w:val="41701D64"/>
    <w:rsid w:val="41DA1B40"/>
    <w:rsid w:val="41FC16B9"/>
    <w:rsid w:val="439D3B2B"/>
    <w:rsid w:val="43A00300"/>
    <w:rsid w:val="44861074"/>
    <w:rsid w:val="44A2656B"/>
    <w:rsid w:val="44B32765"/>
    <w:rsid w:val="450D6168"/>
    <w:rsid w:val="452A026D"/>
    <w:rsid w:val="4597162B"/>
    <w:rsid w:val="45E345BD"/>
    <w:rsid w:val="45FB2764"/>
    <w:rsid w:val="46A3378F"/>
    <w:rsid w:val="46BA6A35"/>
    <w:rsid w:val="46C3379F"/>
    <w:rsid w:val="46EB5A91"/>
    <w:rsid w:val="46F36AE5"/>
    <w:rsid w:val="47562682"/>
    <w:rsid w:val="476E7816"/>
    <w:rsid w:val="47972728"/>
    <w:rsid w:val="47C6360E"/>
    <w:rsid w:val="483A21D4"/>
    <w:rsid w:val="49163AAD"/>
    <w:rsid w:val="49466876"/>
    <w:rsid w:val="49ED12FF"/>
    <w:rsid w:val="4A6347DC"/>
    <w:rsid w:val="4A71531C"/>
    <w:rsid w:val="4AFD2237"/>
    <w:rsid w:val="4B1F447C"/>
    <w:rsid w:val="4BD04C50"/>
    <w:rsid w:val="4BF41FBC"/>
    <w:rsid w:val="4BFD59E8"/>
    <w:rsid w:val="4C052E47"/>
    <w:rsid w:val="4C7D3E20"/>
    <w:rsid w:val="4CB9011E"/>
    <w:rsid w:val="4CBC5A8D"/>
    <w:rsid w:val="4D925376"/>
    <w:rsid w:val="4DA17D7B"/>
    <w:rsid w:val="4E1A4C63"/>
    <w:rsid w:val="4E5C33D0"/>
    <w:rsid w:val="4E6D6B7D"/>
    <w:rsid w:val="4EAF015A"/>
    <w:rsid w:val="4F407689"/>
    <w:rsid w:val="4FA72089"/>
    <w:rsid w:val="4FD83BD6"/>
    <w:rsid w:val="5115591C"/>
    <w:rsid w:val="51705837"/>
    <w:rsid w:val="519F1952"/>
    <w:rsid w:val="527A01B7"/>
    <w:rsid w:val="537D3C2D"/>
    <w:rsid w:val="537F3BB6"/>
    <w:rsid w:val="53C42785"/>
    <w:rsid w:val="5430250C"/>
    <w:rsid w:val="54A82839"/>
    <w:rsid w:val="54F22F39"/>
    <w:rsid w:val="554E6FE3"/>
    <w:rsid w:val="5565283C"/>
    <w:rsid w:val="556F72BE"/>
    <w:rsid w:val="558B26A7"/>
    <w:rsid w:val="55A84294"/>
    <w:rsid w:val="56AF61EA"/>
    <w:rsid w:val="5714693E"/>
    <w:rsid w:val="57290E23"/>
    <w:rsid w:val="57320A55"/>
    <w:rsid w:val="5789229C"/>
    <w:rsid w:val="57AF3F9F"/>
    <w:rsid w:val="58161CC5"/>
    <w:rsid w:val="581C5F45"/>
    <w:rsid w:val="58302FAC"/>
    <w:rsid w:val="583F0C9A"/>
    <w:rsid w:val="585C1D2F"/>
    <w:rsid w:val="5897303C"/>
    <w:rsid w:val="59024B13"/>
    <w:rsid w:val="595819D9"/>
    <w:rsid w:val="598E2946"/>
    <w:rsid w:val="5A410F44"/>
    <w:rsid w:val="5A494331"/>
    <w:rsid w:val="5AED3F95"/>
    <w:rsid w:val="5B3577D0"/>
    <w:rsid w:val="5C386DDC"/>
    <w:rsid w:val="5C390560"/>
    <w:rsid w:val="5C866FB2"/>
    <w:rsid w:val="5CBE3743"/>
    <w:rsid w:val="5CD86660"/>
    <w:rsid w:val="5D160AEB"/>
    <w:rsid w:val="5D3A70EE"/>
    <w:rsid w:val="5DB645C1"/>
    <w:rsid w:val="5E7C233A"/>
    <w:rsid w:val="5EE3329A"/>
    <w:rsid w:val="5F1A2F16"/>
    <w:rsid w:val="5F9E1458"/>
    <w:rsid w:val="610374C0"/>
    <w:rsid w:val="61045C75"/>
    <w:rsid w:val="62045801"/>
    <w:rsid w:val="622402F4"/>
    <w:rsid w:val="627A29E2"/>
    <w:rsid w:val="633C28F4"/>
    <w:rsid w:val="649164CF"/>
    <w:rsid w:val="659869BD"/>
    <w:rsid w:val="66872E2E"/>
    <w:rsid w:val="66886A01"/>
    <w:rsid w:val="68290824"/>
    <w:rsid w:val="689F578C"/>
    <w:rsid w:val="69715434"/>
    <w:rsid w:val="69F00E5C"/>
    <w:rsid w:val="69F31A87"/>
    <w:rsid w:val="69F85C4B"/>
    <w:rsid w:val="6A1E3F06"/>
    <w:rsid w:val="6B206CF4"/>
    <w:rsid w:val="6BAF79B1"/>
    <w:rsid w:val="6BEB1554"/>
    <w:rsid w:val="6C420E48"/>
    <w:rsid w:val="6CB63946"/>
    <w:rsid w:val="6D46194F"/>
    <w:rsid w:val="6DC607CE"/>
    <w:rsid w:val="6E6F3C8C"/>
    <w:rsid w:val="6EE467D5"/>
    <w:rsid w:val="6EF24EBF"/>
    <w:rsid w:val="710768CA"/>
    <w:rsid w:val="73C53042"/>
    <w:rsid w:val="75232317"/>
    <w:rsid w:val="75657B4A"/>
    <w:rsid w:val="758B0E6A"/>
    <w:rsid w:val="759C71EE"/>
    <w:rsid w:val="75B66909"/>
    <w:rsid w:val="75EB0D6F"/>
    <w:rsid w:val="762E3521"/>
    <w:rsid w:val="76916271"/>
    <w:rsid w:val="76B33DC0"/>
    <w:rsid w:val="76E44B2B"/>
    <w:rsid w:val="7777006E"/>
    <w:rsid w:val="78724754"/>
    <w:rsid w:val="79AE2ADA"/>
    <w:rsid w:val="7A6E74FD"/>
    <w:rsid w:val="7A7E5845"/>
    <w:rsid w:val="7B483FB5"/>
    <w:rsid w:val="7C491C89"/>
    <w:rsid w:val="7C9469C9"/>
    <w:rsid w:val="7C9A76D5"/>
    <w:rsid w:val="7CED21F4"/>
    <w:rsid w:val="7CEF62FD"/>
    <w:rsid w:val="7D31799A"/>
    <w:rsid w:val="7D78565E"/>
    <w:rsid w:val="7EAB113D"/>
    <w:rsid w:val="7EFA3987"/>
    <w:rsid w:val="7F6000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2"/>
    <w:qFormat/>
    <w:uiPriority w:val="9"/>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3">
    <w:name w:val="heading 2"/>
    <w:basedOn w:val="2"/>
    <w:next w:val="1"/>
    <w:link w:val="55"/>
    <w:qFormat/>
    <w:uiPriority w:val="0"/>
    <w:pPr>
      <w:keepNext/>
      <w:keepLines/>
      <w:spacing w:before="260" w:after="260" w:line="416" w:lineRule="auto"/>
      <w:outlineLvl w:val="1"/>
    </w:pPr>
    <w:rPr>
      <w:rFonts w:ascii="Arial" w:hAnsi="Arial" w:eastAsia="黑体" w:cs="Times New Roman"/>
      <w:sz w:val="32"/>
      <w:szCs w:val="32"/>
    </w:rPr>
  </w:style>
  <w:style w:type="paragraph" w:styleId="4">
    <w:name w:val="heading 3"/>
    <w:basedOn w:val="1"/>
    <w:next w:val="1"/>
    <w:link w:val="58"/>
    <w:semiHidden/>
    <w:unhideWhenUsed/>
    <w:qFormat/>
    <w:uiPriority w:val="9"/>
    <w:pPr>
      <w:keepNext/>
      <w:keepLines/>
      <w:spacing w:before="260" w:after="260" w:line="413" w:lineRule="auto"/>
      <w:outlineLvl w:val="2"/>
    </w:pPr>
    <w:rPr>
      <w:b/>
      <w:sz w:val="32"/>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5">
    <w:name w:val="annotation text"/>
    <w:basedOn w:val="1"/>
    <w:link w:val="77"/>
    <w:autoRedefine/>
    <w:unhideWhenUsed/>
    <w:qFormat/>
    <w:uiPriority w:val="0"/>
    <w:pPr>
      <w:jc w:val="left"/>
    </w:pPr>
    <w:rPr>
      <w:rFonts w:ascii="Times New Roman" w:hAnsi="Times New Roman" w:eastAsia="宋体" w:cs="Times New Roman"/>
      <w:szCs w:val="24"/>
    </w:rPr>
  </w:style>
  <w:style w:type="paragraph" w:styleId="6">
    <w:name w:val="Body Text"/>
    <w:basedOn w:val="1"/>
    <w:link w:val="47"/>
    <w:autoRedefine/>
    <w:semiHidden/>
    <w:unhideWhenUsed/>
    <w:qFormat/>
    <w:uiPriority w:val="99"/>
    <w:pPr>
      <w:spacing w:after="120"/>
    </w:pPr>
  </w:style>
  <w:style w:type="paragraph" w:styleId="7">
    <w:name w:val="Body Text Indent"/>
    <w:basedOn w:val="1"/>
    <w:next w:val="8"/>
    <w:link w:val="43"/>
    <w:semiHidden/>
    <w:unhideWhenUsed/>
    <w:qFormat/>
    <w:uiPriority w:val="99"/>
    <w:pPr>
      <w:spacing w:after="120"/>
      <w:ind w:left="420" w:leftChars="200"/>
    </w:pPr>
  </w:style>
  <w:style w:type="paragraph" w:styleId="8">
    <w:name w:val="envelope return"/>
    <w:basedOn w:val="1"/>
    <w:autoRedefine/>
    <w:qFormat/>
    <w:uiPriority w:val="0"/>
    <w:pPr>
      <w:snapToGrid w:val="0"/>
    </w:pPr>
    <w:rPr>
      <w:rFonts w:ascii="Arial" w:hAnsi="Arial"/>
    </w:rPr>
  </w:style>
  <w:style w:type="paragraph" w:styleId="9">
    <w:name w:val="Plain Text"/>
    <w:basedOn w:val="1"/>
    <w:link w:val="57"/>
    <w:qFormat/>
    <w:uiPriority w:val="0"/>
    <w:rPr>
      <w:rFonts w:ascii="宋体" w:hAnsi="Courier New" w:eastAsia="宋体" w:cs="Times New Roman"/>
      <w:kern w:val="0"/>
      <w:sz w:val="20"/>
      <w:szCs w:val="21"/>
    </w:rPr>
  </w:style>
  <w:style w:type="paragraph" w:styleId="10">
    <w:name w:val="Balloon Text"/>
    <w:basedOn w:val="1"/>
    <w:link w:val="29"/>
    <w:semiHidden/>
    <w:unhideWhenUsed/>
    <w:qFormat/>
    <w:uiPriority w:val="99"/>
    <w:rPr>
      <w:sz w:val="18"/>
      <w:szCs w:val="18"/>
    </w:rPr>
  </w:style>
  <w:style w:type="paragraph" w:styleId="11">
    <w:name w:val="footer"/>
    <w:basedOn w:val="1"/>
    <w:link w:val="53"/>
    <w:autoRedefine/>
    <w:unhideWhenUsed/>
    <w:qFormat/>
    <w:uiPriority w:val="99"/>
    <w:pPr>
      <w:tabs>
        <w:tab w:val="center" w:pos="4153"/>
        <w:tab w:val="right" w:pos="8306"/>
      </w:tabs>
      <w:snapToGrid w:val="0"/>
      <w:jc w:val="left"/>
    </w:pPr>
    <w:rPr>
      <w:sz w:val="18"/>
      <w:szCs w:val="18"/>
    </w:rPr>
  </w:style>
  <w:style w:type="paragraph" w:styleId="12">
    <w:name w:val="header"/>
    <w:basedOn w:val="1"/>
    <w:link w:val="54"/>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autoRedefine/>
    <w:semiHidden/>
    <w:unhideWhenUsed/>
    <w:qFormat/>
    <w:uiPriority w:val="39"/>
    <w:pPr>
      <w:spacing w:line="400" w:lineRule="exact"/>
      <w:jc w:val="center"/>
    </w:pPr>
    <w:rPr>
      <w:rFonts w:hint="eastAsia" w:ascii="宋体" w:hAnsi="宋体" w:eastAsia="宋体" w:cs="Times New Roman"/>
      <w:b/>
      <w:bCs/>
    </w:rPr>
  </w:style>
  <w:style w:type="paragraph" w:styleId="14">
    <w:name w:val="footnote text"/>
    <w:basedOn w:val="1"/>
    <w:link w:val="70"/>
    <w:autoRedefine/>
    <w:semiHidden/>
    <w:unhideWhenUsed/>
    <w:qFormat/>
    <w:uiPriority w:val="99"/>
    <w:pPr>
      <w:snapToGrid w:val="0"/>
      <w:jc w:val="left"/>
    </w:pPr>
    <w:rPr>
      <w:sz w:val="18"/>
    </w:rPr>
  </w:style>
  <w:style w:type="paragraph" w:styleId="15">
    <w:name w:val="Normal (Web)"/>
    <w:basedOn w:val="1"/>
    <w:link w:val="50"/>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6">
    <w:name w:val="Title"/>
    <w:basedOn w:val="1"/>
    <w:next w:val="1"/>
    <w:link w:val="69"/>
    <w:autoRedefine/>
    <w:qFormat/>
    <w:uiPriority w:val="0"/>
    <w:pPr>
      <w:spacing w:before="240" w:after="60"/>
      <w:jc w:val="center"/>
      <w:outlineLvl w:val="0"/>
    </w:pPr>
    <w:rPr>
      <w:rFonts w:eastAsia="宋体" w:asciiTheme="majorHAnsi" w:hAnsiTheme="majorHAnsi" w:cstheme="majorBidi"/>
      <w:b/>
      <w:bCs/>
      <w:sz w:val="32"/>
      <w:szCs w:val="32"/>
    </w:rPr>
  </w:style>
  <w:style w:type="paragraph" w:styleId="17">
    <w:name w:val="annotation subject"/>
    <w:basedOn w:val="5"/>
    <w:next w:val="5"/>
    <w:link w:val="30"/>
    <w:autoRedefine/>
    <w:semiHidden/>
    <w:unhideWhenUsed/>
    <w:qFormat/>
    <w:uiPriority w:val="99"/>
    <w:rPr>
      <w:b/>
      <w:bCs/>
    </w:rPr>
  </w:style>
  <w:style w:type="paragraph" w:styleId="18">
    <w:name w:val="Body Text First Indent"/>
    <w:basedOn w:val="6"/>
    <w:link w:val="60"/>
    <w:autoRedefine/>
    <w:semiHidden/>
    <w:unhideWhenUsed/>
    <w:qFormat/>
    <w:uiPriority w:val="99"/>
    <w:pPr>
      <w:ind w:firstLine="420" w:firstLineChars="100"/>
    </w:pPr>
    <w:rPr>
      <w:rFonts w:ascii="Calibri" w:hAnsi="Calibri" w:eastAsia="宋体" w:cs="Times New Roman"/>
    </w:rPr>
  </w:style>
  <w:style w:type="paragraph" w:styleId="19">
    <w:name w:val="Body Text First Indent 2"/>
    <w:basedOn w:val="7"/>
    <w:next w:val="1"/>
    <w:link w:val="44"/>
    <w:autoRedefine/>
    <w:semiHidden/>
    <w:unhideWhenUsed/>
    <w:qFormat/>
    <w:uiPriority w:val="99"/>
    <w:pPr>
      <w:ind w:firstLine="420" w:firstLineChars="200"/>
    </w:pPr>
  </w:style>
  <w:style w:type="table" w:styleId="21">
    <w:name w:val="Table Grid"/>
    <w:basedOn w:val="20"/>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3">
    <w:name w:val="Strong"/>
    <w:basedOn w:val="22"/>
    <w:autoRedefine/>
    <w:qFormat/>
    <w:uiPriority w:val="22"/>
    <w:rPr>
      <w:b/>
      <w:bCs/>
    </w:rPr>
  </w:style>
  <w:style w:type="character" w:styleId="24">
    <w:name w:val="annotation reference"/>
    <w:basedOn w:val="22"/>
    <w:autoRedefine/>
    <w:unhideWhenUsed/>
    <w:qFormat/>
    <w:uiPriority w:val="99"/>
    <w:rPr>
      <w:sz w:val="21"/>
      <w:szCs w:val="21"/>
    </w:rPr>
  </w:style>
  <w:style w:type="character" w:customStyle="1" w:styleId="25">
    <w:name w:val="页眉 字符"/>
    <w:basedOn w:val="22"/>
    <w:autoRedefine/>
    <w:qFormat/>
    <w:uiPriority w:val="99"/>
    <w:rPr>
      <w:sz w:val="18"/>
      <w:szCs w:val="18"/>
    </w:rPr>
  </w:style>
  <w:style w:type="character" w:customStyle="1" w:styleId="26">
    <w:name w:val="页脚 字符"/>
    <w:basedOn w:val="22"/>
    <w:autoRedefine/>
    <w:qFormat/>
    <w:uiPriority w:val="99"/>
    <w:rPr>
      <w:sz w:val="18"/>
      <w:szCs w:val="18"/>
    </w:rPr>
  </w:style>
  <w:style w:type="paragraph" w:styleId="27">
    <w:name w:val="List Paragraph"/>
    <w:basedOn w:val="1"/>
    <w:link w:val="35"/>
    <w:autoRedefine/>
    <w:qFormat/>
    <w:uiPriority w:val="99"/>
    <w:pPr>
      <w:ind w:firstLine="420" w:firstLineChars="200"/>
    </w:pPr>
  </w:style>
  <w:style w:type="character" w:customStyle="1" w:styleId="28">
    <w:name w:val="批注文字 字符"/>
    <w:basedOn w:val="22"/>
    <w:autoRedefine/>
    <w:qFormat/>
    <w:uiPriority w:val="0"/>
  </w:style>
  <w:style w:type="character" w:customStyle="1" w:styleId="29">
    <w:name w:val="批注框文本 Char"/>
    <w:basedOn w:val="22"/>
    <w:link w:val="10"/>
    <w:autoRedefine/>
    <w:semiHidden/>
    <w:qFormat/>
    <w:uiPriority w:val="99"/>
    <w:rPr>
      <w:sz w:val="18"/>
      <w:szCs w:val="18"/>
    </w:rPr>
  </w:style>
  <w:style w:type="character" w:customStyle="1" w:styleId="30">
    <w:name w:val="批注主题 Char"/>
    <w:basedOn w:val="28"/>
    <w:link w:val="17"/>
    <w:autoRedefine/>
    <w:semiHidden/>
    <w:qFormat/>
    <w:uiPriority w:val="99"/>
    <w:rPr>
      <w:b/>
      <w:bCs/>
    </w:rPr>
  </w:style>
  <w:style w:type="character" w:customStyle="1" w:styleId="31">
    <w:name w:val="标题 Char"/>
    <w:basedOn w:val="22"/>
    <w:autoRedefine/>
    <w:qFormat/>
    <w:uiPriority w:val="0"/>
    <w:rPr>
      <w:rFonts w:eastAsia="宋体" w:asciiTheme="majorHAnsi" w:hAnsiTheme="majorHAnsi" w:cstheme="majorBidi"/>
      <w:b/>
      <w:bCs/>
      <w:sz w:val="32"/>
      <w:szCs w:val="32"/>
    </w:rPr>
  </w:style>
  <w:style w:type="character" w:customStyle="1" w:styleId="32">
    <w:name w:val="标题 2 字符"/>
    <w:basedOn w:val="22"/>
    <w:autoRedefine/>
    <w:qFormat/>
    <w:uiPriority w:val="0"/>
    <w:rPr>
      <w:rFonts w:ascii="Arial" w:hAnsi="Arial" w:eastAsia="黑体" w:cs="Times New Roman"/>
      <w:b/>
      <w:bCs/>
      <w:sz w:val="32"/>
      <w:szCs w:val="32"/>
    </w:rPr>
  </w:style>
  <w:style w:type="character" w:customStyle="1" w:styleId="33">
    <w:name w:val="纯文本 字符"/>
    <w:basedOn w:val="22"/>
    <w:autoRedefine/>
    <w:qFormat/>
    <w:uiPriority w:val="0"/>
    <w:rPr>
      <w:rFonts w:ascii="宋体" w:hAnsi="Courier New" w:eastAsia="宋体" w:cs="Times New Roman"/>
      <w:kern w:val="0"/>
      <w:sz w:val="20"/>
      <w:szCs w:val="21"/>
    </w:rPr>
  </w:style>
  <w:style w:type="paragraph" w:customStyle="1" w:styleId="34">
    <w:name w:val="图"/>
    <w:basedOn w:val="1"/>
    <w:autoRedefine/>
    <w:qFormat/>
    <w:uiPriority w:val="0"/>
    <w:pPr>
      <w:keepNext/>
      <w:adjustRightInd w:val="0"/>
      <w:spacing w:before="60" w:after="60" w:line="300" w:lineRule="auto"/>
      <w:jc w:val="center"/>
      <w:textAlignment w:val="center"/>
    </w:pPr>
    <w:rPr>
      <w:rFonts w:ascii="Times New Roman" w:hAnsi="Times New Roman" w:eastAsia="宋体" w:cs="Times New Roman"/>
      <w:snapToGrid w:val="0"/>
      <w:spacing w:val="20"/>
      <w:kern w:val="0"/>
      <w:sz w:val="24"/>
      <w:szCs w:val="20"/>
    </w:rPr>
  </w:style>
  <w:style w:type="character" w:customStyle="1" w:styleId="35">
    <w:name w:val="列出段落 Char2"/>
    <w:link w:val="27"/>
    <w:autoRedefine/>
    <w:qFormat/>
    <w:uiPriority w:val="99"/>
  </w:style>
  <w:style w:type="paragraph" w:customStyle="1" w:styleId="36">
    <w:name w:val="样式4"/>
    <w:basedOn w:val="1"/>
    <w:autoRedefine/>
    <w:qFormat/>
    <w:uiPriority w:val="0"/>
    <w:pPr>
      <w:numPr>
        <w:ilvl w:val="3"/>
        <w:numId w:val="1"/>
      </w:numPr>
      <w:tabs>
        <w:tab w:val="left" w:pos="425"/>
        <w:tab w:val="left" w:pos="1984"/>
        <w:tab w:val="clear" w:pos="851"/>
      </w:tabs>
    </w:pPr>
    <w:rPr>
      <w:rFonts w:ascii="Times New Roman" w:hAnsi="Times New Roman" w:eastAsia="宋体" w:cs="Times New Roman"/>
      <w:szCs w:val="24"/>
    </w:rPr>
  </w:style>
  <w:style w:type="paragraph" w:customStyle="1" w:styleId="37">
    <w:name w:val="列出段落1"/>
    <w:basedOn w:val="1"/>
    <w:link w:val="38"/>
    <w:autoRedefine/>
    <w:qFormat/>
    <w:uiPriority w:val="99"/>
    <w:pPr>
      <w:ind w:firstLine="420" w:firstLineChars="200"/>
    </w:pPr>
    <w:rPr>
      <w:rFonts w:ascii="Times New Roman" w:hAnsi="Times New Roman" w:eastAsia="宋体" w:cs="Times New Roman"/>
      <w:szCs w:val="21"/>
    </w:rPr>
  </w:style>
  <w:style w:type="character" w:customStyle="1" w:styleId="38">
    <w:name w:val="List Paragraph Char"/>
    <w:link w:val="37"/>
    <w:autoRedefine/>
    <w:qFormat/>
    <w:locked/>
    <w:uiPriority w:val="99"/>
    <w:rPr>
      <w:rFonts w:ascii="Times New Roman" w:hAnsi="Times New Roman" w:eastAsia="宋体" w:cs="Times New Roman"/>
      <w:szCs w:val="21"/>
    </w:rPr>
  </w:style>
  <w:style w:type="paragraph" w:customStyle="1" w:styleId="39">
    <w:name w:val="_Style 121"/>
    <w:basedOn w:val="1"/>
    <w:next w:val="27"/>
    <w:autoRedefine/>
    <w:qFormat/>
    <w:uiPriority w:val="34"/>
    <w:pPr>
      <w:ind w:firstLine="420" w:firstLineChars="200"/>
    </w:pPr>
    <w:rPr>
      <w:rFonts w:ascii="Calibri" w:hAnsi="Calibri" w:eastAsia="宋体" w:cs="Times New Roman"/>
    </w:rPr>
  </w:style>
  <w:style w:type="paragraph" w:customStyle="1" w:styleId="40">
    <w:name w:val="start-font-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1">
    <w:name w:val="start-font-3"/>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42">
    <w:name w:val="纯文本 Char1"/>
    <w:autoRedefine/>
    <w:qFormat/>
    <w:uiPriority w:val="0"/>
    <w:rPr>
      <w:rFonts w:ascii="宋体" w:hAnsi="Courier New" w:eastAsia="宋体" w:cs="Times New Roman"/>
      <w:kern w:val="0"/>
      <w:sz w:val="20"/>
      <w:szCs w:val="21"/>
    </w:rPr>
  </w:style>
  <w:style w:type="character" w:customStyle="1" w:styleId="43">
    <w:name w:val="正文文本缩进 Char"/>
    <w:basedOn w:val="22"/>
    <w:link w:val="7"/>
    <w:autoRedefine/>
    <w:qFormat/>
    <w:uiPriority w:val="0"/>
    <w:rPr>
      <w:kern w:val="2"/>
      <w:sz w:val="21"/>
      <w:szCs w:val="24"/>
    </w:rPr>
  </w:style>
  <w:style w:type="character" w:customStyle="1" w:styleId="44">
    <w:name w:val="正文首行缩进 2 Char"/>
    <w:basedOn w:val="43"/>
    <w:link w:val="19"/>
    <w:autoRedefine/>
    <w:qFormat/>
    <w:uiPriority w:val="0"/>
    <w:rPr>
      <w:kern w:val="2"/>
      <w:sz w:val="21"/>
      <w:szCs w:val="24"/>
    </w:rPr>
  </w:style>
  <w:style w:type="paragraph" w:customStyle="1" w:styleId="45">
    <w:name w:val="msolistparagraph"/>
    <w:basedOn w:val="1"/>
    <w:autoRedefine/>
    <w:qFormat/>
    <w:uiPriority w:val="0"/>
    <w:pPr>
      <w:ind w:firstLine="420" w:firstLineChars="200"/>
    </w:pPr>
    <w:rPr>
      <w:rFonts w:ascii="Times New Roman" w:hAnsi="Times New Roman" w:eastAsia="宋体" w:cs="Times New Roman"/>
    </w:rPr>
  </w:style>
  <w:style w:type="character" w:customStyle="1" w:styleId="46">
    <w:name w:val="列出段落 Char"/>
    <w:basedOn w:val="22"/>
    <w:autoRedefine/>
    <w:qFormat/>
    <w:uiPriority w:val="34"/>
    <w:rPr>
      <w:kern w:val="2"/>
      <w:sz w:val="21"/>
      <w:szCs w:val="22"/>
    </w:rPr>
  </w:style>
  <w:style w:type="character" w:customStyle="1" w:styleId="47">
    <w:name w:val="正文文本 Char"/>
    <w:basedOn w:val="22"/>
    <w:link w:val="6"/>
    <w:autoRedefine/>
    <w:qFormat/>
    <w:uiPriority w:val="0"/>
    <w:rPr>
      <w:rFonts w:hint="default" w:ascii="Calibri" w:hAnsi="Calibri" w:eastAsia="宋体" w:cs="Times New Roman"/>
      <w:kern w:val="2"/>
      <w:sz w:val="21"/>
      <w:szCs w:val="22"/>
    </w:rPr>
  </w:style>
  <w:style w:type="character" w:customStyle="1" w:styleId="48">
    <w:name w:val="纯文本 Char"/>
    <w:basedOn w:val="22"/>
    <w:autoRedefine/>
    <w:qFormat/>
    <w:uiPriority w:val="0"/>
    <w:rPr>
      <w:rFonts w:hint="eastAsia" w:ascii="宋体" w:hAnsi="Courier New" w:eastAsia="宋体" w:cs="宋体"/>
      <w:szCs w:val="21"/>
    </w:rPr>
  </w:style>
  <w:style w:type="paragraph" w:customStyle="1" w:styleId="49">
    <w:name w:val="_Style 116"/>
    <w:basedOn w:val="1"/>
    <w:next w:val="27"/>
    <w:autoRedefine/>
    <w:qFormat/>
    <w:uiPriority w:val="99"/>
    <w:pPr>
      <w:ind w:firstLine="420" w:firstLineChars="200"/>
    </w:pPr>
    <w:rPr>
      <w:kern w:val="0"/>
      <w:sz w:val="20"/>
      <w:szCs w:val="20"/>
    </w:rPr>
  </w:style>
  <w:style w:type="character" w:customStyle="1" w:styleId="50">
    <w:name w:val="普通(网站) Char"/>
    <w:basedOn w:val="22"/>
    <w:link w:val="15"/>
    <w:autoRedefine/>
    <w:qFormat/>
    <w:uiPriority w:val="0"/>
    <w:rPr>
      <w:rFonts w:hint="eastAsia" w:ascii="宋体" w:hAnsi="宋体" w:eastAsia="宋体" w:cs="宋体"/>
      <w:sz w:val="24"/>
      <w:szCs w:val="24"/>
    </w:rPr>
  </w:style>
  <w:style w:type="character" w:customStyle="1" w:styleId="51">
    <w:name w:val="批注文字 Char"/>
    <w:basedOn w:val="22"/>
    <w:autoRedefine/>
    <w:qFormat/>
    <w:uiPriority w:val="0"/>
    <w:rPr>
      <w:kern w:val="2"/>
      <w:sz w:val="21"/>
      <w:szCs w:val="24"/>
    </w:rPr>
  </w:style>
  <w:style w:type="character" w:customStyle="1" w:styleId="52">
    <w:name w:val="标题 1 Char"/>
    <w:basedOn w:val="22"/>
    <w:link w:val="2"/>
    <w:autoRedefine/>
    <w:qFormat/>
    <w:uiPriority w:val="0"/>
    <w:rPr>
      <w:b/>
      <w:bCs/>
      <w:kern w:val="44"/>
      <w:sz w:val="44"/>
      <w:szCs w:val="44"/>
    </w:rPr>
  </w:style>
  <w:style w:type="character" w:customStyle="1" w:styleId="53">
    <w:name w:val="页脚 Char"/>
    <w:basedOn w:val="22"/>
    <w:link w:val="11"/>
    <w:autoRedefine/>
    <w:qFormat/>
    <w:uiPriority w:val="0"/>
    <w:rPr>
      <w:kern w:val="2"/>
      <w:sz w:val="18"/>
      <w:szCs w:val="18"/>
    </w:rPr>
  </w:style>
  <w:style w:type="character" w:customStyle="1" w:styleId="54">
    <w:name w:val="页眉 Char"/>
    <w:basedOn w:val="22"/>
    <w:link w:val="12"/>
    <w:autoRedefine/>
    <w:qFormat/>
    <w:uiPriority w:val="0"/>
    <w:rPr>
      <w:kern w:val="2"/>
      <w:sz w:val="18"/>
      <w:szCs w:val="18"/>
    </w:rPr>
  </w:style>
  <w:style w:type="character" w:customStyle="1" w:styleId="55">
    <w:name w:val="标题 2 Char"/>
    <w:basedOn w:val="22"/>
    <w:link w:val="3"/>
    <w:autoRedefine/>
    <w:qFormat/>
    <w:uiPriority w:val="0"/>
    <w:rPr>
      <w:rFonts w:hint="default" w:ascii="Cambria" w:hAnsi="Cambria" w:eastAsia="Cambria" w:cs="Cambria"/>
      <w:b/>
      <w:bCs/>
      <w:kern w:val="2"/>
      <w:sz w:val="32"/>
      <w:szCs w:val="32"/>
    </w:rPr>
  </w:style>
  <w:style w:type="character" w:customStyle="1" w:styleId="56">
    <w:name w:val="列出段落 Char1"/>
    <w:basedOn w:val="22"/>
    <w:autoRedefine/>
    <w:qFormat/>
    <w:uiPriority w:val="0"/>
    <w:rPr>
      <w:rFonts w:hint="default" w:ascii="Calibri" w:hAnsi="Calibri" w:cs="Calibri"/>
      <w:kern w:val="2"/>
      <w:sz w:val="21"/>
      <w:szCs w:val="22"/>
    </w:rPr>
  </w:style>
  <w:style w:type="character" w:customStyle="1" w:styleId="57">
    <w:name w:val="纯文本 Char2"/>
    <w:basedOn w:val="22"/>
    <w:link w:val="9"/>
    <w:autoRedefine/>
    <w:qFormat/>
    <w:uiPriority w:val="0"/>
    <w:rPr>
      <w:rFonts w:hint="eastAsia" w:ascii="宋体" w:hAnsi="Courier New" w:eastAsia="宋体" w:cs="宋体"/>
      <w:szCs w:val="21"/>
      <w:lang w:val="zh-CN"/>
    </w:rPr>
  </w:style>
  <w:style w:type="character" w:customStyle="1" w:styleId="58">
    <w:name w:val="标题 3 Char"/>
    <w:basedOn w:val="22"/>
    <w:link w:val="4"/>
    <w:autoRedefine/>
    <w:qFormat/>
    <w:uiPriority w:val="0"/>
    <w:rPr>
      <w:b/>
      <w:bCs/>
      <w:kern w:val="2"/>
      <w:sz w:val="32"/>
      <w:szCs w:val="32"/>
    </w:rPr>
  </w:style>
  <w:style w:type="paragraph" w:customStyle="1" w:styleId="59">
    <w:name w:val="列表段落2"/>
    <w:basedOn w:val="1"/>
    <w:autoRedefine/>
    <w:qFormat/>
    <w:uiPriority w:val="99"/>
    <w:pPr>
      <w:ind w:firstLine="420" w:firstLineChars="200"/>
    </w:pPr>
    <w:rPr>
      <w:rFonts w:ascii="Times New Roman" w:hAnsi="Times New Roman" w:eastAsia="宋体" w:cs="Times New Roman"/>
      <w:szCs w:val="24"/>
    </w:rPr>
  </w:style>
  <w:style w:type="character" w:customStyle="1" w:styleId="60">
    <w:name w:val="正文首行缩进 Char"/>
    <w:link w:val="18"/>
    <w:autoRedefine/>
    <w:qFormat/>
    <w:uiPriority w:val="0"/>
    <w:rPr>
      <w:rFonts w:hint="default" w:ascii="Calibri" w:hAnsi="Calibri" w:eastAsia="宋体" w:cs="Times New Roman"/>
      <w:kern w:val="2"/>
      <w:sz w:val="21"/>
      <w:szCs w:val="22"/>
    </w:rPr>
  </w:style>
  <w:style w:type="paragraph" w:customStyle="1" w:styleId="61">
    <w:name w:val="p0"/>
    <w:basedOn w:val="1"/>
    <w:autoRedefine/>
    <w:qFormat/>
    <w:uiPriority w:val="0"/>
    <w:pPr>
      <w:widowControl/>
    </w:pPr>
    <w:rPr>
      <w:rFonts w:ascii="Calibri" w:hAnsi="Calibri" w:eastAsia="宋体" w:cs="Times New Roman"/>
      <w:kern w:val="0"/>
      <w:szCs w:val="21"/>
    </w:rPr>
  </w:style>
  <w:style w:type="character" w:customStyle="1" w:styleId="62">
    <w:name w:val="font51"/>
    <w:basedOn w:val="22"/>
    <w:autoRedefine/>
    <w:qFormat/>
    <w:uiPriority w:val="0"/>
    <w:rPr>
      <w:rFonts w:hint="eastAsia" w:ascii="宋体" w:hAnsi="宋体" w:eastAsia="宋体" w:cs="宋体"/>
      <w:color w:val="000000"/>
      <w:sz w:val="21"/>
      <w:szCs w:val="21"/>
      <w:u w:val="none"/>
    </w:rPr>
  </w:style>
  <w:style w:type="character" w:customStyle="1" w:styleId="63">
    <w:name w:val="列表段落 字符2"/>
    <w:basedOn w:val="22"/>
    <w:autoRedefine/>
    <w:qFormat/>
    <w:uiPriority w:val="0"/>
  </w:style>
  <w:style w:type="character" w:customStyle="1" w:styleId="64">
    <w:name w:val="NormalCharacter"/>
    <w:basedOn w:val="22"/>
    <w:autoRedefine/>
    <w:qFormat/>
    <w:uiPriority w:val="0"/>
  </w:style>
  <w:style w:type="character" w:customStyle="1" w:styleId="65">
    <w:name w:val="font31"/>
    <w:basedOn w:val="22"/>
    <w:autoRedefine/>
    <w:qFormat/>
    <w:uiPriority w:val="0"/>
    <w:rPr>
      <w:rFonts w:hint="default" w:ascii="Times New Roman" w:hAnsi="Times New Roman" w:cs="Times New Roman"/>
      <w:color w:val="000000"/>
      <w:sz w:val="21"/>
      <w:szCs w:val="21"/>
      <w:u w:val="none"/>
    </w:rPr>
  </w:style>
  <w:style w:type="character" w:customStyle="1" w:styleId="66">
    <w:name w:val="font21"/>
    <w:basedOn w:val="22"/>
    <w:autoRedefine/>
    <w:qFormat/>
    <w:uiPriority w:val="0"/>
    <w:rPr>
      <w:rFonts w:hint="eastAsia" w:ascii="宋体" w:hAnsi="宋体" w:eastAsia="宋体" w:cs="宋体"/>
      <w:color w:val="000000"/>
      <w:sz w:val="24"/>
      <w:szCs w:val="24"/>
      <w:u w:val="none"/>
    </w:rPr>
  </w:style>
  <w:style w:type="character" w:customStyle="1" w:styleId="67">
    <w:name w:val="font11"/>
    <w:basedOn w:val="22"/>
    <w:autoRedefine/>
    <w:qFormat/>
    <w:uiPriority w:val="0"/>
    <w:rPr>
      <w:rFonts w:hint="eastAsia" w:ascii="宋体" w:hAnsi="宋体" w:eastAsia="宋体" w:cs="宋体"/>
      <w:color w:val="000000"/>
      <w:sz w:val="21"/>
      <w:szCs w:val="21"/>
      <w:u w:val="none"/>
    </w:rPr>
  </w:style>
  <w:style w:type="character" w:customStyle="1" w:styleId="68">
    <w:name w:val="纯文本 字符1"/>
    <w:basedOn w:val="22"/>
    <w:autoRedefine/>
    <w:qFormat/>
    <w:uiPriority w:val="0"/>
    <w:rPr>
      <w:rFonts w:hint="eastAsia" w:ascii="宋体" w:hAnsi="Courier New" w:eastAsia="宋体" w:cs="宋体"/>
      <w:szCs w:val="21"/>
    </w:rPr>
  </w:style>
  <w:style w:type="character" w:customStyle="1" w:styleId="69">
    <w:name w:val="标题 Char1"/>
    <w:basedOn w:val="22"/>
    <w:link w:val="16"/>
    <w:autoRedefine/>
    <w:qFormat/>
    <w:uiPriority w:val="0"/>
    <w:rPr>
      <w:rFonts w:hint="default" w:ascii="Cambria" w:hAnsi="Cambria" w:eastAsia="Cambria" w:cs="Times New Roman"/>
      <w:b/>
      <w:bCs/>
      <w:kern w:val="2"/>
      <w:sz w:val="32"/>
      <w:szCs w:val="32"/>
    </w:rPr>
  </w:style>
  <w:style w:type="character" w:customStyle="1" w:styleId="70">
    <w:name w:val="脚注文本 Char"/>
    <w:basedOn w:val="22"/>
    <w:link w:val="14"/>
    <w:autoRedefine/>
    <w:qFormat/>
    <w:uiPriority w:val="0"/>
    <w:rPr>
      <w:rFonts w:hint="eastAsia" w:ascii="宋体" w:hAnsi="宋体" w:eastAsia="宋体" w:cs="Times New Roman"/>
      <w:kern w:val="2"/>
      <w:sz w:val="24"/>
      <w:szCs w:val="18"/>
    </w:rPr>
  </w:style>
  <w:style w:type="character" w:customStyle="1" w:styleId="71">
    <w:name w:val="脚注文本 Char1"/>
    <w:basedOn w:val="22"/>
    <w:autoRedefine/>
    <w:qFormat/>
    <w:uiPriority w:val="0"/>
    <w:rPr>
      <w:rFonts w:hint="default" w:ascii="Calibri" w:hAnsi="Calibri" w:eastAsia="宋体" w:cs="Times New Roman"/>
      <w:kern w:val="2"/>
      <w:sz w:val="18"/>
      <w:szCs w:val="18"/>
    </w:rPr>
  </w:style>
  <w:style w:type="character" w:customStyle="1" w:styleId="72">
    <w:name w:val="列表段落 字符1"/>
    <w:basedOn w:val="22"/>
    <w:autoRedefine/>
    <w:qFormat/>
    <w:uiPriority w:val="0"/>
  </w:style>
  <w:style w:type="paragraph" w:customStyle="1" w:styleId="73">
    <w:name w:val="Table Paragraph"/>
    <w:basedOn w:val="1"/>
    <w:autoRedefine/>
    <w:qFormat/>
    <w:uiPriority w:val="0"/>
    <w:rPr>
      <w:rFonts w:hint="eastAsia" w:ascii="宋体" w:hAnsi="宋体" w:eastAsia="宋体" w:cs="Times New Roman"/>
      <w:szCs w:val="24"/>
    </w:rPr>
  </w:style>
  <w:style w:type="character" w:customStyle="1" w:styleId="74">
    <w:name w:val="font41"/>
    <w:basedOn w:val="22"/>
    <w:autoRedefine/>
    <w:qFormat/>
    <w:uiPriority w:val="0"/>
    <w:rPr>
      <w:rFonts w:hint="eastAsia" w:ascii="宋体" w:hAnsi="宋体" w:eastAsia="宋体" w:cs="宋体"/>
      <w:color w:val="FF0000"/>
      <w:sz w:val="24"/>
      <w:szCs w:val="24"/>
      <w:u w:val="none"/>
    </w:rPr>
  </w:style>
  <w:style w:type="character" w:customStyle="1" w:styleId="75">
    <w:name w:val="font91"/>
    <w:basedOn w:val="22"/>
    <w:autoRedefine/>
    <w:qFormat/>
    <w:uiPriority w:val="0"/>
    <w:rPr>
      <w:rFonts w:hint="default" w:ascii="Times New Roman" w:hAnsi="Times New Roman" w:cs="Times New Roman"/>
      <w:color w:val="000000"/>
      <w:sz w:val="21"/>
      <w:szCs w:val="21"/>
      <w:u w:val="none"/>
    </w:rPr>
  </w:style>
  <w:style w:type="paragraph" w:customStyle="1" w:styleId="76">
    <w:name w:val="正文_0_0"/>
    <w:basedOn w:val="1"/>
    <w:autoRedefine/>
    <w:qFormat/>
    <w:uiPriority w:val="0"/>
    <w:rPr>
      <w:rFonts w:ascii="Calibri" w:hAnsi="Calibri" w:eastAsia="宋体" w:cs="Times New Roman"/>
    </w:rPr>
  </w:style>
  <w:style w:type="character" w:customStyle="1" w:styleId="77">
    <w:name w:val="批注文字 Char1"/>
    <w:basedOn w:val="22"/>
    <w:link w:val="5"/>
    <w:autoRedefine/>
    <w:qFormat/>
    <w:uiPriority w:val="0"/>
    <w:rPr>
      <w:szCs w:val="24"/>
    </w:rPr>
  </w:style>
  <w:style w:type="character" w:customStyle="1" w:styleId="78">
    <w:name w:val="列表段落 字符"/>
    <w:basedOn w:val="22"/>
    <w:link w:val="79"/>
    <w:autoRedefine/>
    <w:qFormat/>
    <w:uiPriority w:val="99"/>
    <w:rPr>
      <w:rFonts w:hint="default" w:ascii="Calibri" w:hAnsi="Calibri" w:cs="Calibri"/>
      <w:kern w:val="2"/>
      <w:sz w:val="21"/>
      <w:szCs w:val="22"/>
    </w:rPr>
  </w:style>
  <w:style w:type="paragraph" w:customStyle="1" w:styleId="79">
    <w:name w:val="_Style 81"/>
    <w:basedOn w:val="1"/>
    <w:next w:val="27"/>
    <w:link w:val="78"/>
    <w:autoRedefine/>
    <w:qFormat/>
    <w:uiPriority w:val="99"/>
    <w:pPr>
      <w:ind w:firstLine="420" w:firstLineChars="200"/>
    </w:pPr>
    <w:rPr>
      <w:rFonts w:ascii="Calibri" w:hAnsi="Calibri" w:eastAsia="宋体" w:cs="Calibri"/>
    </w:rPr>
  </w:style>
  <w:style w:type="paragraph" w:customStyle="1" w:styleId="80">
    <w:name w:val="_Style 24"/>
    <w:basedOn w:val="1"/>
    <w:qFormat/>
    <w:uiPriority w:val="0"/>
    <w:pPr>
      <w:ind w:firstLine="420" w:firstLineChars="200"/>
    </w:pPr>
    <w:rPr>
      <w:rFonts w:ascii="Calibri" w:hAnsi="Calibri" w:eastAsia="宋体" w:cs="Times New Roman"/>
    </w:rPr>
  </w:style>
  <w:style w:type="character" w:customStyle="1" w:styleId="81">
    <w:name w:val="列表段落 字符3"/>
    <w:basedOn w:val="22"/>
    <w:autoRedefine/>
    <w:qFormat/>
    <w:uiPriority w:val="0"/>
    <w:rPr>
      <w:rFonts w:hint="default" w:ascii="Calibri" w:hAnsi="Calibri" w:eastAsia="宋体" w:cs="Times New Roman"/>
      <w:kern w:val="2"/>
      <w:sz w:val="21"/>
      <w:szCs w:val="22"/>
    </w:rPr>
  </w:style>
  <w:style w:type="character" w:customStyle="1" w:styleId="82">
    <w:name w:val="批注文字 字符1"/>
    <w:autoRedefine/>
    <w:qFormat/>
    <w:uiPriority w:val="0"/>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11</Pages>
  <Words>5284</Words>
  <Characters>5502</Characters>
  <Lines>56</Lines>
  <Paragraphs>16</Paragraphs>
  <TotalTime>0</TotalTime>
  <ScaleCrop>false</ScaleCrop>
  <LinksUpToDate>false</LinksUpToDate>
  <CharactersWithSpaces>5633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2023-09-27T08:05:00Z</dcterms:created>
  <dc:creator>dreamsummit</dc:creator>
  <cp:lastModifiedBy>代理机构</cp:lastModifiedBy>
  <cp:lastPrinted>2018-10-16T04:01:00Z</cp:lastPrinted>
  <dcterms:modified xsi:type="dcterms:W3CDTF">2024-07-19T01:57:45Z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ED17F9317CE240F1B5C88616FA4E1353_13</vt:lpwstr>
  </property>
</Properties>
</file>