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p>
    <w:p>
      <w:pPr>
        <w:jc w:val="center"/>
        <w:rPr>
          <w:rFonts w:ascii="宋体" w:hAnsi="宋体" w:eastAsia="宋体"/>
          <w:b/>
          <w:sz w:val="32"/>
          <w:szCs w:val="32"/>
        </w:rPr>
      </w:pPr>
      <w:r>
        <w:rPr>
          <w:rFonts w:hint="eastAsia" w:ascii="宋体" w:hAnsi="宋体" w:eastAsia="宋体"/>
          <w:b/>
          <w:sz w:val="32"/>
          <w:szCs w:val="32"/>
        </w:rPr>
        <w:t>用户需求</w:t>
      </w:r>
    </w:p>
    <w:p>
      <w:pPr>
        <w:pStyle w:val="12"/>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项目</w:t>
      </w:r>
      <w:r>
        <w:rPr>
          <w:rFonts w:ascii="宋体" w:hAnsi="宋体" w:eastAsia="宋体"/>
          <w:sz w:val="28"/>
          <w:szCs w:val="28"/>
        </w:rPr>
        <w:t>概况</w:t>
      </w:r>
    </w:p>
    <w:tbl>
      <w:tblPr>
        <w:tblStyle w:val="9"/>
        <w:tblpPr w:leftFromText="180" w:rightFromText="180" w:vertAnchor="text" w:horzAnchor="margin" w:tblpXSpec="center" w:tblpY="71"/>
        <w:tblW w:w="9312" w:type="dxa"/>
        <w:tblInd w:w="0" w:type="dxa"/>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33"/>
        <w:gridCol w:w="1396"/>
        <w:gridCol w:w="1189"/>
        <w:gridCol w:w="680"/>
        <w:gridCol w:w="1235"/>
        <w:gridCol w:w="1304"/>
        <w:gridCol w:w="1350"/>
        <w:gridCol w:w="791"/>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34"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833"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主管科室</w:t>
            </w:r>
          </w:p>
        </w:tc>
        <w:tc>
          <w:tcPr>
            <w:tcW w:w="1396"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服务名称</w:t>
            </w:r>
          </w:p>
        </w:tc>
        <w:tc>
          <w:tcPr>
            <w:tcW w:w="1189"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预算单价</w:t>
            </w:r>
            <w:r>
              <w:rPr>
                <w:rFonts w:hint="eastAsia" w:ascii="宋体" w:hAnsi="宋体" w:eastAsia="宋体" w:cs="宋体"/>
                <w:b/>
                <w:color w:val="000000"/>
                <w:szCs w:val="21"/>
              </w:rPr>
              <w:t>（万元）</w:t>
            </w:r>
          </w:p>
        </w:tc>
        <w:tc>
          <w:tcPr>
            <w:tcW w:w="680"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1235"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预算金额（万元）</w:t>
            </w:r>
          </w:p>
        </w:tc>
        <w:tc>
          <w:tcPr>
            <w:tcW w:w="1304"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院长办公会</w:t>
            </w:r>
          </w:p>
          <w:p>
            <w:pPr>
              <w:widowControl/>
              <w:jc w:val="center"/>
              <w:rPr>
                <w:rFonts w:ascii="宋体" w:hAnsi="宋体" w:eastAsia="宋体" w:cs="宋体"/>
                <w:b/>
                <w:color w:val="000000"/>
                <w:szCs w:val="21"/>
              </w:rPr>
            </w:pPr>
            <w:r>
              <w:rPr>
                <w:rFonts w:hint="eastAsia" w:ascii="宋体" w:hAnsi="宋体" w:eastAsia="宋体" w:cs="宋体"/>
                <w:b/>
                <w:bCs/>
                <w:color w:val="000000"/>
                <w:szCs w:val="21"/>
              </w:rPr>
              <w:t>同意日期</w:t>
            </w:r>
          </w:p>
        </w:tc>
        <w:tc>
          <w:tcPr>
            <w:tcW w:w="1350"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党委会</w:t>
            </w:r>
          </w:p>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同意日期</w:t>
            </w:r>
          </w:p>
        </w:tc>
        <w:tc>
          <w:tcPr>
            <w:tcW w:w="791"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备注</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4" w:type="dxa"/>
            <w:vAlign w:val="center"/>
          </w:tcPr>
          <w:p>
            <w:pPr>
              <w:widowControl/>
              <w:jc w:val="center"/>
              <w:rPr>
                <w:rFonts w:ascii="宋体" w:hAnsi="宋体" w:eastAsia="宋体" w:cs="宋体"/>
                <w:bCs/>
                <w:color w:val="000000"/>
                <w:szCs w:val="21"/>
              </w:rPr>
            </w:pPr>
            <w:r>
              <w:rPr>
                <w:rFonts w:hint="eastAsia" w:ascii="宋体" w:hAnsi="宋体" w:eastAsia="宋体" w:cs="宋体"/>
                <w:bCs/>
                <w:color w:val="000000"/>
                <w:szCs w:val="21"/>
              </w:rPr>
              <w:t>1</w:t>
            </w:r>
          </w:p>
        </w:tc>
        <w:tc>
          <w:tcPr>
            <w:tcW w:w="833" w:type="dxa"/>
            <w:vAlign w:val="center"/>
          </w:tcPr>
          <w:p>
            <w:pPr>
              <w:widowControl/>
              <w:jc w:val="center"/>
              <w:rPr>
                <w:rFonts w:ascii="宋体" w:hAnsi="宋体" w:eastAsia="宋体" w:cs="宋体"/>
                <w:bCs/>
                <w:color w:val="000000"/>
                <w:szCs w:val="21"/>
              </w:rPr>
            </w:pPr>
            <w:r>
              <w:rPr>
                <w:rFonts w:hint="eastAsia" w:ascii="宋体" w:hAnsi="宋体" w:eastAsia="宋体" w:cs="宋体"/>
                <w:bCs/>
                <w:color w:val="000000"/>
                <w:szCs w:val="21"/>
              </w:rPr>
              <w:t>中心实验室</w:t>
            </w:r>
          </w:p>
        </w:tc>
        <w:tc>
          <w:tcPr>
            <w:tcW w:w="1396"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番禺中心医院医疗集团医学检验、检查项目委托检验服务项目（子包3）</w:t>
            </w:r>
          </w:p>
        </w:tc>
        <w:tc>
          <w:tcPr>
            <w:tcW w:w="1189"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1230</w:t>
            </w:r>
          </w:p>
        </w:tc>
        <w:tc>
          <w:tcPr>
            <w:tcW w:w="680"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3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1230</w:t>
            </w:r>
          </w:p>
        </w:tc>
        <w:tc>
          <w:tcPr>
            <w:tcW w:w="1304" w:type="dxa"/>
            <w:vAlign w:val="center"/>
          </w:tcPr>
          <w:p>
            <w:pPr>
              <w:jc w:val="center"/>
              <w:rPr>
                <w:rFonts w:ascii="宋体" w:hAnsi="宋体" w:eastAsia="宋体" w:cs="宋体"/>
                <w:bCs/>
                <w:color w:val="000000"/>
                <w:szCs w:val="21"/>
              </w:rPr>
            </w:pPr>
            <w:r>
              <w:rPr>
                <w:rFonts w:hint="eastAsia" w:ascii="宋体" w:hAnsi="宋体" w:eastAsia="宋体" w:cs="宋体"/>
                <w:bCs/>
                <w:color w:val="000000"/>
                <w:szCs w:val="21"/>
              </w:rPr>
              <w:t>2023-8-07</w:t>
            </w:r>
          </w:p>
        </w:tc>
        <w:tc>
          <w:tcPr>
            <w:tcW w:w="1350" w:type="dxa"/>
            <w:tcBorders>
              <w:right w:val="single" w:color="auto" w:sz="4" w:space="0"/>
            </w:tcBorders>
            <w:vAlign w:val="center"/>
          </w:tcPr>
          <w:p>
            <w:pPr>
              <w:jc w:val="center"/>
              <w:rPr>
                <w:rFonts w:ascii="宋体" w:hAnsi="宋体" w:eastAsia="宋体" w:cs="宋体"/>
                <w:bCs/>
                <w:color w:val="000000"/>
                <w:szCs w:val="21"/>
              </w:rPr>
            </w:pPr>
            <w:r>
              <w:rPr>
                <w:rFonts w:hint="eastAsia" w:ascii="宋体" w:hAnsi="宋体" w:eastAsia="宋体" w:cs="宋体"/>
                <w:bCs/>
                <w:color w:val="000000"/>
                <w:szCs w:val="21"/>
              </w:rPr>
              <w:t>2023-8-17</w:t>
            </w:r>
          </w:p>
        </w:tc>
        <w:tc>
          <w:tcPr>
            <w:tcW w:w="791" w:type="dxa"/>
            <w:tcBorders>
              <w:right w:val="single" w:color="auto" w:sz="4" w:space="0"/>
            </w:tcBorders>
            <w:vAlign w:val="center"/>
          </w:tcPr>
          <w:p>
            <w:pPr>
              <w:jc w:val="center"/>
              <w:rPr>
                <w:rFonts w:ascii="宋体" w:hAnsi="宋体" w:eastAsia="宋体" w:cs="宋体"/>
                <w:bCs/>
                <w:color w:val="000000"/>
                <w:szCs w:val="21"/>
              </w:rPr>
            </w:pPr>
          </w:p>
        </w:tc>
      </w:tr>
    </w:tbl>
    <w:p>
      <w:pPr>
        <w:pStyle w:val="12"/>
        <w:numPr>
          <w:ilvl w:val="0"/>
          <w:numId w:val="2"/>
        </w:numPr>
        <w:tabs>
          <w:tab w:val="left" w:pos="420"/>
        </w:tabs>
        <w:spacing w:line="500" w:lineRule="exact"/>
        <w:ind w:firstLineChars="0"/>
        <w:rPr>
          <w:rFonts w:ascii="宋体" w:hAnsi="宋体" w:eastAsia="宋体"/>
          <w:color w:val="000000"/>
          <w:sz w:val="24"/>
        </w:rPr>
      </w:pPr>
      <w:r>
        <w:rPr>
          <w:rFonts w:hint="eastAsia" w:ascii="宋体" w:hAnsi="宋体" w:eastAsia="宋体"/>
          <w:color w:val="000000"/>
          <w:sz w:val="24"/>
        </w:rPr>
        <w:t>采购人简介：</w:t>
      </w:r>
    </w:p>
    <w:p>
      <w:pPr>
        <w:tabs>
          <w:tab w:val="left" w:pos="420"/>
        </w:tabs>
        <w:spacing w:line="500" w:lineRule="exact"/>
        <w:ind w:firstLine="480" w:firstLineChars="200"/>
        <w:rPr>
          <w:rFonts w:ascii="宋体" w:hAnsi="宋体" w:eastAsia="宋体" w:cs="Times New Roman"/>
          <w:sz w:val="24"/>
        </w:rPr>
      </w:pPr>
      <w:r>
        <w:rPr>
          <w:rFonts w:hint="eastAsia" w:ascii="宋体" w:hAnsi="宋体" w:eastAsia="宋体"/>
          <w:color w:val="000000"/>
          <w:sz w:val="24"/>
        </w:rPr>
        <w:t>番禺中心医院医疗集团成员包括广州市番禺区中心医院（包括院本部、区府机关门诊、药物治疗门诊）、广州市番禺区第七人民医院（东院区）。广州市番禺区中心医院始建于1929年,2011年通过三级甲等医院评审，成为广州地区首家区属“三甲”综合医院,目前已发展成为集医疗、教学、科研、康复、预防、保健于一体的现代化大型综合三级甲等医院。</w:t>
      </w:r>
    </w:p>
    <w:p>
      <w:pPr>
        <w:pStyle w:val="12"/>
        <w:numPr>
          <w:ilvl w:val="0"/>
          <w:numId w:val="2"/>
        </w:numPr>
        <w:spacing w:line="500" w:lineRule="exact"/>
        <w:ind w:firstLineChars="0"/>
        <w:rPr>
          <w:rFonts w:ascii="宋体" w:hAnsi="宋体" w:eastAsia="宋体" w:cs="Times New Roman"/>
          <w:sz w:val="24"/>
        </w:rPr>
      </w:pPr>
      <w:r>
        <w:rPr>
          <w:rFonts w:hint="eastAsia" w:ascii="宋体" w:hAnsi="宋体" w:eastAsia="宋体" w:cs="Times New Roman"/>
          <w:sz w:val="24"/>
        </w:rPr>
        <w:t>项目目的：</w:t>
      </w:r>
    </w:p>
    <w:p>
      <w:pPr>
        <w:spacing w:line="500" w:lineRule="exact"/>
        <w:ind w:firstLine="480" w:firstLineChars="200"/>
        <w:rPr>
          <w:rFonts w:ascii="宋体" w:hAnsi="宋体" w:eastAsia="宋体" w:cs="Times New Roman"/>
          <w:sz w:val="24"/>
        </w:rPr>
      </w:pPr>
      <w:r>
        <w:rPr>
          <w:rFonts w:hint="eastAsia" w:ascii="宋体" w:hAnsi="宋体" w:eastAsia="宋体"/>
          <w:color w:val="000000"/>
          <w:sz w:val="24"/>
        </w:rPr>
        <w:t>近年来，随着业务的增长，病源和病种越来越丰富，临床检验和病理检查项目要求的种类也不断增加，为满足医疗业务、科研等发展需要，医院将部分检验检查项目外送至第三方实验室检测，</w:t>
      </w:r>
      <w:r>
        <w:rPr>
          <w:rFonts w:hint="eastAsia" w:ascii="宋体" w:hAnsi="宋体" w:eastAsia="宋体" w:cs="Times New Roman"/>
          <w:sz w:val="24"/>
        </w:rPr>
        <w:t>委托投标人承接本集团部分检验外送项目。</w:t>
      </w:r>
    </w:p>
    <w:p>
      <w:pPr>
        <w:tabs>
          <w:tab w:val="left" w:pos="420"/>
        </w:tabs>
        <w:spacing w:line="500" w:lineRule="exact"/>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宋体"/>
          <w:sz w:val="24"/>
          <w:szCs w:val="28"/>
        </w:rPr>
        <w:t>项目实施周期：2年（自采购合同签订之日起2年）。</w:t>
      </w:r>
    </w:p>
    <w:p>
      <w:pPr>
        <w:tabs>
          <w:tab w:val="left" w:pos="420"/>
        </w:tabs>
        <w:spacing w:line="500" w:lineRule="exact"/>
        <w:rPr>
          <w:rFonts w:ascii="宋体" w:hAnsi="宋体" w:eastAsia="宋体" w:cs="Times New Roman"/>
          <w:sz w:val="24"/>
          <w:szCs w:val="24"/>
        </w:rPr>
      </w:pPr>
      <w:r>
        <w:rPr>
          <w:rFonts w:hint="eastAsia" w:ascii="宋体" w:hAnsi="宋体" w:eastAsia="宋体" w:cs="Times New Roman"/>
          <w:sz w:val="24"/>
          <w:szCs w:val="24"/>
        </w:rPr>
        <w:t>4.实施地址：番禺区中心医院检验科、病理科、中心实验室和番禺区第七人民医院检验科。</w:t>
      </w:r>
    </w:p>
    <w:p>
      <w:pPr>
        <w:tabs>
          <w:tab w:val="left" w:pos="420"/>
        </w:tabs>
        <w:spacing w:line="500" w:lineRule="exact"/>
        <w:rPr>
          <w:rFonts w:ascii="宋体" w:hAnsi="宋体" w:eastAsia="宋体" w:cs="Times New Roman"/>
          <w:sz w:val="24"/>
          <w:szCs w:val="24"/>
        </w:rPr>
      </w:pPr>
      <w:r>
        <w:rPr>
          <w:rFonts w:hint="eastAsia" w:ascii="宋体" w:hAnsi="宋体" w:eastAsia="宋体" w:cs="Times New Roman"/>
          <w:sz w:val="24"/>
          <w:szCs w:val="24"/>
        </w:rPr>
        <w:t>5.基本要求：</w:t>
      </w:r>
    </w:p>
    <w:p>
      <w:pPr>
        <w:tabs>
          <w:tab w:val="left" w:pos="420"/>
        </w:tabs>
        <w:spacing w:line="500" w:lineRule="exact"/>
        <w:rPr>
          <w:rFonts w:ascii="宋体" w:hAnsi="宋体" w:eastAsia="宋体" w:cs="Times New Roman"/>
          <w:sz w:val="24"/>
          <w:szCs w:val="24"/>
        </w:rPr>
      </w:pPr>
      <w:r>
        <w:rPr>
          <w:rFonts w:hint="eastAsia" w:ascii="宋体" w:hAnsi="宋体" w:eastAsia="宋体" w:cs="Times New Roman"/>
          <w:sz w:val="24"/>
          <w:szCs w:val="24"/>
        </w:rPr>
        <w:t>5.1投标人负责完成对临床检验外送标本的接收、运输、检测、报告、临床意义解读等工作。</w:t>
      </w:r>
    </w:p>
    <w:p>
      <w:pPr>
        <w:tabs>
          <w:tab w:val="left" w:pos="420"/>
        </w:tabs>
        <w:spacing w:line="500" w:lineRule="exact"/>
        <w:rPr>
          <w:rFonts w:ascii="宋体" w:hAnsi="宋体" w:eastAsia="宋体" w:cs="Times New Roman"/>
          <w:color w:val="ED7D31" w:themeColor="accent2"/>
          <w:sz w:val="24"/>
          <w:szCs w:val="24"/>
        </w:rPr>
      </w:pPr>
      <w:r>
        <w:rPr>
          <w:rFonts w:hint="eastAsia" w:ascii="宋体" w:hAnsi="宋体" w:eastAsia="宋体" w:cs="Times New Roman"/>
          <w:color w:val="ED7D31" w:themeColor="accent2"/>
          <w:sz w:val="24"/>
          <w:szCs w:val="24"/>
        </w:rPr>
        <w:t>5.2</w:t>
      </w:r>
      <w:r>
        <w:rPr>
          <w:rFonts w:hint="eastAsia" w:ascii="宋体" w:hAnsi="宋体" w:eastAsia="宋体"/>
          <w:color w:val="ED7D31" w:themeColor="accent2"/>
          <w:sz w:val="24"/>
        </w:rPr>
        <w:t>当番禺区出现突发应急事件，需要开展大规模应急检验、检查情况下，投标人须承诺为番禺中心医院医疗集团提供相应的应急医疗检测服务。</w:t>
      </w:r>
    </w:p>
    <w:p>
      <w:pPr>
        <w:pStyle w:val="12"/>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报价范围的定义</w:t>
      </w:r>
    </w:p>
    <w:p>
      <w:pPr>
        <w:pStyle w:val="15"/>
        <w:spacing w:line="500" w:lineRule="exact"/>
        <w:ind w:firstLine="520" w:firstLineChars="200"/>
        <w:rPr>
          <w:rFonts w:ascii="宋体" w:hAnsi="宋体" w:cs="宋体"/>
          <w:color w:val="000000"/>
          <w:szCs w:val="24"/>
        </w:rPr>
      </w:pPr>
      <w:r>
        <w:rPr>
          <w:rFonts w:hint="eastAsia" w:ascii="宋体" w:hAnsi="宋体" w:cs="宋体"/>
          <w:color w:val="000000"/>
          <w:szCs w:val="24"/>
        </w:rPr>
        <w:t>本项目为最高1230万元的采购限额。采购人负责向病人收取检验费，投标人按照相关收费标准并根据本条第2款的结算比例向采购人收取委托检验服务费。属于基本医疗服务项目，执行《广州地区公立医疗机构基本医疗服务价格汇总表（2021年版）》医院收费标准；属于自主定价项目，执行《广州市医疗保障局广州市财政局广州市卫生健康委关于调整公立医院基本医疗服务价格的通知》（粤医保规[2020]3号）文件；收费标准随着政策变动适时调整。</w:t>
      </w:r>
    </w:p>
    <w:p>
      <w:pPr>
        <w:pStyle w:val="15"/>
        <w:spacing w:line="500" w:lineRule="exact"/>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供应商</w:t>
      </w:r>
      <w:r>
        <w:rPr>
          <w:rFonts w:hint="eastAsia" w:ascii="宋体" w:hAnsi="宋体" w:cs="宋体"/>
          <w:color w:val="000000"/>
          <w:szCs w:val="24"/>
        </w:rPr>
        <w:t>对项目整体报出结算折扣率；</w:t>
      </w:r>
    </w:p>
    <w:p>
      <w:pPr>
        <w:pStyle w:val="15"/>
        <w:spacing w:line="500" w:lineRule="exact"/>
        <w:rPr>
          <w:rFonts w:ascii="宋体" w:hAnsi="宋体" w:cs="宋体"/>
          <w:color w:val="000000"/>
          <w:szCs w:val="24"/>
        </w:rPr>
      </w:pPr>
      <w:r>
        <w:rPr>
          <w:rFonts w:hint="eastAsia" w:ascii="宋体" w:hAnsi="宋体" w:cs="宋体"/>
          <w:color w:val="000000"/>
          <w:szCs w:val="24"/>
        </w:rPr>
        <w:t>2.委托检验项目检验费×折扣率=委托检验项目服务费。</w:t>
      </w:r>
    </w:p>
    <w:p>
      <w:pPr>
        <w:pStyle w:val="15"/>
        <w:spacing w:line="500" w:lineRule="exact"/>
        <w:rPr>
          <w:rFonts w:ascii="宋体" w:hAnsi="宋体" w:cs="宋体"/>
          <w:color w:val="000000"/>
          <w:szCs w:val="24"/>
        </w:rPr>
      </w:pPr>
      <w:r>
        <w:rPr>
          <w:rFonts w:hint="eastAsia" w:ascii="宋体" w:hAnsi="宋体" w:cs="宋体"/>
          <w:color w:val="000000"/>
          <w:szCs w:val="24"/>
        </w:rPr>
        <w:t>3.服务费包含投标人完成对委托检验项目的一切费用，包括标本的接收、运输、检测、报告、临床意义解读、售后服务、人力成本、保险等所有费用。</w:t>
      </w:r>
    </w:p>
    <w:p>
      <w:pPr>
        <w:spacing w:line="500" w:lineRule="exact"/>
        <w:rPr>
          <w:rFonts w:ascii="宋体" w:hAnsi="宋体" w:eastAsia="宋体"/>
          <w:b/>
          <w:sz w:val="28"/>
          <w:szCs w:val="28"/>
        </w:rPr>
      </w:pPr>
      <w:r>
        <w:rPr>
          <w:rFonts w:hint="eastAsia" w:ascii="宋体" w:hAnsi="宋体" w:eastAsia="宋体"/>
          <w:b/>
          <w:sz w:val="28"/>
          <w:szCs w:val="28"/>
          <w:lang w:eastAsia="zh-CN"/>
        </w:rPr>
        <w:t>三</w:t>
      </w:r>
      <w:r>
        <w:rPr>
          <w:rFonts w:hint="eastAsia" w:ascii="宋体" w:hAnsi="宋体" w:eastAsia="宋体"/>
          <w:b/>
          <w:sz w:val="28"/>
          <w:szCs w:val="28"/>
        </w:rPr>
        <w:t>、委托检验服务需求</w:t>
      </w:r>
    </w:p>
    <w:p>
      <w:pPr>
        <w:spacing w:line="500" w:lineRule="exact"/>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1、投标人必须全部响应以下</w:t>
      </w:r>
      <w:r>
        <w:rPr>
          <w:rFonts w:hint="eastAsia" w:ascii="宋体" w:hAnsi="宋体" w:eastAsia="宋体"/>
          <w:color w:val="C00000"/>
          <w:sz w:val="24"/>
          <w:szCs w:val="24"/>
        </w:rPr>
        <w:t>253个</w:t>
      </w:r>
      <w:r>
        <w:rPr>
          <w:rFonts w:hint="eastAsia" w:ascii="宋体" w:hAnsi="宋体" w:eastAsia="宋体"/>
          <w:sz w:val="24"/>
          <w:szCs w:val="24"/>
        </w:rPr>
        <w:t>检测项目，并列明是否能响应采</w:t>
      </w:r>
      <w:bookmarkStart w:id="0" w:name="_GoBack"/>
      <w:bookmarkEnd w:id="0"/>
      <w:r>
        <w:rPr>
          <w:rFonts w:hint="eastAsia" w:ascii="宋体" w:hAnsi="宋体" w:eastAsia="宋体"/>
          <w:sz w:val="24"/>
          <w:szCs w:val="24"/>
        </w:rPr>
        <w:t>购人提供的检测方法学和报告时限，如不响应需列明使用的检测方法及报告时限（检测方法需满足国家及医学检验相关行业认可标准）。</w:t>
      </w:r>
    </w:p>
    <w:p>
      <w:pPr>
        <w:spacing w:line="500" w:lineRule="exact"/>
        <w:rPr>
          <w:rFonts w:ascii="宋体" w:hAnsi="宋体" w:eastAsia="宋体"/>
          <w:sz w:val="24"/>
          <w:szCs w:val="24"/>
        </w:rPr>
      </w:pPr>
      <w:r>
        <w:rPr>
          <w:rFonts w:hint="eastAsia" w:ascii="宋体" w:hAnsi="宋体" w:eastAsia="宋体"/>
          <w:sz w:val="24"/>
          <w:szCs w:val="24"/>
        </w:rPr>
        <w:t>2、委托检验项目服务清单（采购标的清单）如下：</w:t>
      </w:r>
    </w:p>
    <w:tbl>
      <w:tblPr>
        <w:tblStyle w:val="9"/>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84"/>
        <w:gridCol w:w="1531"/>
        <w:gridCol w:w="1417"/>
        <w:gridCol w:w="680"/>
        <w:gridCol w:w="1361"/>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09" w:type="dxa"/>
            <w:noWrap/>
            <w:vAlign w:val="center"/>
          </w:tcPr>
          <w:p>
            <w:pPr>
              <w:kinsoku w:val="0"/>
              <w:overflowPunct w:val="0"/>
              <w:spacing w:before="2"/>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1984" w:type="dxa"/>
            <w:noWrap/>
            <w:vAlign w:val="center"/>
          </w:tcPr>
          <w:p>
            <w:pPr>
              <w:kinsoku w:val="0"/>
              <w:overflowPunct w:val="0"/>
              <w:spacing w:before="2"/>
              <w:jc w:val="center"/>
              <w:rPr>
                <w:rFonts w:ascii="Times New Roman" w:hAnsi="Times New Roman" w:eastAsia="宋体" w:cs="Times New Roman"/>
                <w:b/>
                <w:bCs/>
                <w:szCs w:val="21"/>
              </w:rPr>
            </w:pPr>
            <w:r>
              <w:rPr>
                <w:rFonts w:ascii="Times New Roman" w:hAnsi="Times New Roman" w:eastAsia="宋体" w:cs="Times New Roman"/>
                <w:b/>
                <w:bCs/>
                <w:szCs w:val="21"/>
              </w:rPr>
              <w:t>检测项目名称</w:t>
            </w:r>
          </w:p>
        </w:tc>
        <w:tc>
          <w:tcPr>
            <w:tcW w:w="1531" w:type="dxa"/>
            <w:noWrap/>
            <w:vAlign w:val="center"/>
          </w:tcPr>
          <w:p>
            <w:pPr>
              <w:kinsoku w:val="0"/>
              <w:overflowPunct w:val="0"/>
              <w:spacing w:before="2"/>
              <w:jc w:val="center"/>
              <w:rPr>
                <w:rFonts w:ascii="Times New Roman" w:hAnsi="Times New Roman" w:eastAsia="宋体" w:cs="Times New Roman"/>
                <w:b/>
                <w:bCs/>
                <w:szCs w:val="21"/>
              </w:rPr>
            </w:pPr>
            <w:r>
              <w:rPr>
                <w:rFonts w:ascii="Times New Roman" w:hAnsi="Times New Roman" w:eastAsia="宋体" w:cs="Times New Roman"/>
                <w:b/>
                <w:bCs/>
                <w:szCs w:val="21"/>
              </w:rPr>
              <w:t>检测方法学</w:t>
            </w:r>
          </w:p>
        </w:tc>
        <w:tc>
          <w:tcPr>
            <w:tcW w:w="1417" w:type="dxa"/>
            <w:noWrap/>
            <w:vAlign w:val="center"/>
          </w:tcPr>
          <w:p>
            <w:pPr>
              <w:kinsoku w:val="0"/>
              <w:overflowPunct w:val="0"/>
              <w:spacing w:before="2"/>
              <w:jc w:val="center"/>
              <w:rPr>
                <w:rFonts w:ascii="Times New Roman" w:hAnsi="Times New Roman" w:eastAsia="宋体" w:cs="Times New Roman"/>
                <w:b/>
                <w:bCs/>
                <w:szCs w:val="21"/>
              </w:rPr>
            </w:pPr>
            <w:r>
              <w:rPr>
                <w:rFonts w:ascii="Times New Roman" w:hAnsi="Times New Roman" w:eastAsia="宋体" w:cs="Times New Roman"/>
                <w:b/>
                <w:bCs/>
                <w:szCs w:val="21"/>
              </w:rPr>
              <w:t>报告时限</w:t>
            </w:r>
          </w:p>
        </w:tc>
        <w:tc>
          <w:tcPr>
            <w:tcW w:w="680" w:type="dxa"/>
            <w:noWrap/>
            <w:vAlign w:val="center"/>
          </w:tcPr>
          <w:p>
            <w:pPr>
              <w:kinsoku w:val="0"/>
              <w:overflowPunct w:val="0"/>
              <w:spacing w:before="2"/>
              <w:jc w:val="center"/>
              <w:rPr>
                <w:rFonts w:ascii="Times New Roman" w:hAnsi="Times New Roman" w:eastAsia="宋体" w:cs="Times New Roman"/>
                <w:b/>
                <w:bCs/>
                <w:szCs w:val="21"/>
              </w:rPr>
            </w:pPr>
            <w:r>
              <w:rPr>
                <w:rFonts w:ascii="Times New Roman" w:hAnsi="Times New Roman" w:eastAsia="宋体" w:cs="Times New Roman"/>
                <w:b/>
                <w:bCs/>
                <w:szCs w:val="21"/>
              </w:rPr>
              <w:t>是否响应</w:t>
            </w:r>
          </w:p>
        </w:tc>
        <w:tc>
          <w:tcPr>
            <w:tcW w:w="1361" w:type="dxa"/>
            <w:noWrap/>
            <w:vAlign w:val="center"/>
          </w:tcPr>
          <w:p>
            <w:pPr>
              <w:kinsoku w:val="0"/>
              <w:overflowPunct w:val="0"/>
              <w:spacing w:before="2"/>
              <w:jc w:val="center"/>
              <w:rPr>
                <w:rFonts w:ascii="Times New Roman" w:hAnsi="Times New Roman" w:eastAsia="宋体" w:cs="Times New Roman"/>
                <w:b/>
                <w:bCs/>
                <w:szCs w:val="21"/>
              </w:rPr>
            </w:pPr>
            <w:r>
              <w:rPr>
                <w:rFonts w:ascii="Times New Roman" w:hAnsi="Times New Roman" w:eastAsia="宋体" w:cs="Times New Roman"/>
                <w:b/>
                <w:bCs/>
                <w:szCs w:val="21"/>
              </w:rPr>
              <w:t>如不响应，请列明使用的检测方法及报告时限</w:t>
            </w:r>
          </w:p>
        </w:tc>
        <w:tc>
          <w:tcPr>
            <w:tcW w:w="794" w:type="dxa"/>
            <w:noWrap/>
            <w:vAlign w:val="center"/>
          </w:tcPr>
          <w:p>
            <w:pPr>
              <w:kinsoku w:val="0"/>
              <w:overflowPunct w:val="0"/>
              <w:spacing w:before="2"/>
              <w:jc w:val="center"/>
              <w:rPr>
                <w:rFonts w:ascii="Times New Roman" w:hAnsi="Times New Roman" w:eastAsia="宋体" w:cs="Times New Roman"/>
                <w:b/>
                <w:bCs/>
                <w:szCs w:val="21"/>
              </w:rPr>
            </w:pPr>
            <w:r>
              <w:rPr>
                <w:rFonts w:hint="eastAsia" w:ascii="Times New Roman" w:hAnsi="Times New Roman"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24小时尿液醛固酮</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尿儿茶酚胺</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高效液相色谱质谱法(LC-MS/MS)</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血儿茶酚胺</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高效液相色谱质谱法(LC-MS/MS)</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尿儿茶酚胺六项</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高效液相色谱质谱法(LC-MS/MS)</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≤4个工作日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血儿茶酚胺六项</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高效液相色谱质谱法(LC-MS/MS)</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≤4个工作日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促甲状腺激素受体刺激性抗体（TSI）</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17-羟皮质类固醇</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均相酶免法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17-酮皮质类固醇</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均相酶免法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双氢睾酮</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曲霉菌抗原检测、念珠菌抗原（甘露聚糖）检测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军团菌抗体IgM测定(LEG-IgM)</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酶联免疫吸附法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布鲁菌病抗体四项</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凝集反应、胶体金法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钩端螺旋体抗体IgG(LEP-IgG)</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酶联免疫吸附法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艰难梭菌抗原GDH及毒素A和B</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酶联免疫层析法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寄生虫七项、包虫、肝吸虫抗体IgG</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酶联免疫吸附法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结核感染T细胞斑点实验(T-SPOT.TB)</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酶联免疫斑点法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呼吸道多种病原体靶向测序</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二代测序+多重PCR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马尔尼菲篮状菌抗原</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免疫荧光层析法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抗磷脂酶A2受体抗体IgG定量检测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磁微粒化学发光法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抗c1q-igg抗体定量</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酶联免疫吸附法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尿α1-微球蛋白</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免疫透射比浊法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尿蛋白电泳</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化学发光法+琼脂糖凝胶电泳</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胃肠道抗体ASCA两项(GP2-IgG、GP2-IgA)</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胃肠道抗体ASCA两项(ASCA-IgG、ASCA-IgA)</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血浆蛋白C活性测定</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发色底物法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血浆蛋白S活性测定</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凝固法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狼疮样抗凝物质筛查</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凝固法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易栓症（AT-III、PC、PS、LA1+LA2）</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凝固法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抑制素B(INB)</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30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Y染色体微缺失</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PCR-毛细管电泳法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31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CADASIL病NOTCH3基因热点突变区域检测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32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HLA-B*1502基因多态性检测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≤7个自然日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33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肝豆状核变性ATP7B基因全外显子检测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≤20个自然日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34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总IgE</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电化学发光法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35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封闭抗体（血小板特异性和组织相关融性(HLA)抗体）</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酶联免疫吸附法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36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抗核抗体定量测定(ANA)</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间接免疫荧光</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37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抗角质蛋白抗体(AKA)</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间接免疫荧光</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38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抗核周因子</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间接免疫荧光</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39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ANCA二项PANCA、CANCA</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间接免疫荧光</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40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抗平滑肌抗体(ASMA)</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间接免疫荧光</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41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抗线粒体抗体(AMA)</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间接免疫荧光</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42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中枢神经特异蛋白（S100β）</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43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脑脊液免疫定量及蛋白分析综合诊断</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电泳法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44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全外显子组测序家系（Trio）及先证者线粒体DNA测序</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45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家系全外显子检测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46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人类全外显子检测（临床）</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47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线粒体DNA全长检测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LR-PCR+高通量测序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48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免疫固定蛋白电泳</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免疫固定电泳</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49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尿本周氏蛋白电泳</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琼脂糖凝胶电</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50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异常免疫球蛋白血症(9项)综合诊断</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免疫比浊法+计算法+琼脂糖凝胶电泳法+毛细管电泳法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51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抗双链DNA定量测定(dsDNA)</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52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乳糖不耐受检测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酶层析法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53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高灵敏度丙型肝炎RNA定量检测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实时PCR（内标法）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54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丙型肝炎病毒RNA基因分型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55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百日咳杆菌核酸检测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PCR-荧光探针法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56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诺如病毒RNA荧光定性</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FQ-PCR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57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常规肾脏病理检查（荧光7+特染3）</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HE染色/特殊染色</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58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肾脏全套电镜检查与诊断</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透射电镜检查</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59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肾脏病理单独电镜检查与诊断</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透射电镜检查</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60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肾脏病理免疫电镜2项</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免疫电镜</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≤14个工作日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61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肾脏病理免疫荧光1项</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免疫荧光</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62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肾脏病理特殊特染1项</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特殊染色</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≤4个工作日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63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肾脏病理免疫组化1项</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免疫组织化学组织染色</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≤4个工作日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64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肾脏病理会诊</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疑难病理会诊</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65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肾脏病理检查制片</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特殊染色及酶组织化学染色诊断</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66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肾脏病理光镜检查</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光镜</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67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肾脏病理切片扫描</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显微摄影术</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68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骨髓组织活检评估套餐（1项特染+3项免疫组化）</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HE染色</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69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骨髓组织活检评估套餐(1项特染+8项免疫组化)</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HE染色</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70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淋巴造血组织病理诊断套餐(病理诊断+10项免疫组化)</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HE染色</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≤10个工作日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71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淋巴造血组织病理诊断套餐(病理诊断+15项免疫组化+EBER原位杂交)</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HE染色</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≤10个工作日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72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AML相关基因突变检测（中级）</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73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多发性骨髓瘤分子核型分析(浆细胞富集),细胞生物学</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74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MPN相关基因突变检测（中级）</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75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MPN相关基因突变及融合检测（中级套餐）（组合）</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76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aCML与CNL鉴别相关基因突变融合检测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77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CML疾病进展相关基因突变检测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78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MDS/MPN相关基因突变检测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79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MDS相关基因突变检测（中级）</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80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MDS相关基因突变及融合检测（中级套餐）（组合）</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81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ph like ALL相关基因突变融合表达检测套餐</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82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ALL相关基因突变及融合检测（中级套餐）（组合）</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83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TCRG基因重排检测</w:t>
            </w:r>
          </w:p>
        </w:tc>
        <w:tc>
          <w:tcPr>
            <w:tcW w:w="1531" w:type="dxa"/>
            <w:noWrap/>
            <w:vAlign w:val="center"/>
          </w:tcPr>
          <w:p>
            <w:pPr>
              <w:widowControl/>
              <w:jc w:val="center"/>
              <w:textAlignment w:val="center"/>
              <w:rPr>
                <w:rFonts w:ascii="Times New Roman" w:hAnsi="Times New Roman" w:eastAsia="宋体" w:cs="Times New Roman"/>
                <w:szCs w:val="21"/>
              </w:rPr>
            </w:pPr>
            <w:r>
              <w:rPr>
                <w:rStyle w:val="21"/>
                <w:rFonts w:hint="default"/>
              </w:rPr>
              <w:t>片段分析</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84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lgH基因重排检测（片段分析）</w:t>
            </w:r>
          </w:p>
        </w:tc>
        <w:tc>
          <w:tcPr>
            <w:tcW w:w="1531" w:type="dxa"/>
            <w:noWrap/>
            <w:vAlign w:val="center"/>
          </w:tcPr>
          <w:p>
            <w:pPr>
              <w:widowControl/>
              <w:jc w:val="center"/>
              <w:textAlignment w:val="center"/>
              <w:rPr>
                <w:rFonts w:ascii="Times New Roman" w:hAnsi="Times New Roman" w:eastAsia="宋体" w:cs="Times New Roman"/>
                <w:szCs w:val="21"/>
              </w:rPr>
            </w:pPr>
            <w:r>
              <w:rPr>
                <w:rStyle w:val="21"/>
                <w:rFonts w:hint="default"/>
              </w:rPr>
              <w:t>片段分析</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85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血液肿瘤WT1基因突变检测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86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MYD88基因L265P突变检测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87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JAK2基因突变检测(Sanger测序,外显子12&amp;13)</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88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血液肿瘤CALR基因突变检测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89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血液肿瘤MPL基因突变检测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90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髓系白血病中常见融合基因筛查</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91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PML/RARA分型定量（初诊）</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92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淋系白血病中常见融合基因筛查</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93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BCR/ABL1分型定量（初诊）</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94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PML-RARα融合基因bcr-3(S型)定量检测(RQ-PCR)</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95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PML-RARα融合基因bcr-2(V型)定量检测(RQ-PCR)</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96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PML-RARα融合基因bcr-1(L型)定量检测(RQ-PCR)</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97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PML-RARα融合基因检测(定性)</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98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CBFβ-MYH11融合基因定量检测(RQ-PCR)</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99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AML1-ETO(RUNX1-RUNX1T1)定量检测(RQ-PCR)</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100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WT1基因定量检测(RQ-PCR)</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101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BCR-ABL1(p190)融合基因定量检测(RQ-PCR)</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102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BCR-ABL1(p230)融合基因定量检测(RQ-PCR)</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103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BCR-ABL1(p210)融合基因定量检测(RQ-PCR)</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104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BCR-ABL1融合基因分型(定性)</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105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NPM1-ALK定量检测(RQ-PCR)</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实时荧光定量PCR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106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JAK2基因V617F突变定性检测(PCR)</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RT-PCR</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107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血清免疫固定电泳（DYIF）</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琼脂糖凝胶电泳</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108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血清免疫固定电泳(lgD+lgE)</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琼脂糖凝胶电泳</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109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尿免疫固定电泳(UIF)</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琼脂糖凝胶电泳</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110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三打击淋巴瘤FISH套餐（骨髓，血液标本）</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111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外周血染色体核型分析</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培养法G/R显带、脱氧核糖核酸(DNA)测序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112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骨髓染色体核型分析—加急</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培养法G/R显带</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≤14个工作日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113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E2A(TCF3)基因重排检测(FISH)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114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PDGFRa基因重排检测(FIP1L1/CHIC2/PDGFRa,FISH)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115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JAK2基因重排检测(FISH)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116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FGFR1基因(8p11)重排检测(FISH)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117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p53基因(17p13.1)缺失检测(FISH)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118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RB1(13q14)基因缺失(FISH)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119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ATM基因(11q22)缺失检测(FISH)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120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+12(CEP12,FISH)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121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+8(CEP8,FISH)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122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IGH/CCND1融合基因检测(血液，FISH)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123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IGH/MYC融合基因检测(血液，FISH)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124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MYC基因重排检测(血液，FISH)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125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BCL2基因重排(血液,FISH)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126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BCL6基因重排检测(血液,FISH)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127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IGH/BCL2融合基因检测(血液,FISH)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128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13q14.3/13q34(D13S319/13q34,FISH)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129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MDS fish套餐</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130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C-MYC基因扩增检测(血液,FISH)</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131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多发性骨髓瘤FISH诊断套餐</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132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多发性骨髓瘤lGH阳性套餐</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FISH</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133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HLA高分辨配型HLA-A/B/C/DRBI/DQBI/DPBI</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GS/SBT（基于基因测序的分型法）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134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骨髓移植供体细胞DNA嵌合率检测(供者+移植前受者+移植后受者)</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片段分析法(毛细管电泳法)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135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骨髓移植供体细胞DNA嵌合率检测(供者+移植前受者)</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片段分析法(毛细管电泳法)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136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骨髓移植供体细胞DNA嵌合率检测(移植后受者)</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片段分析法(毛细管电泳法)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137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血管性假性血友病因子（VWF）抗原测定</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免疫比浊法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138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免疫球蛋白G1</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免疫比浊法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139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免疫球蛋白G2</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免疫比浊法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140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免疫球蛋白G3</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免疫比浊法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141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免疫球蛋白G4</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免疫比浊法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142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抗内因子抗体,抗胃壁细胞抗体</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酶联免疫吸附法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≤4个工作日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143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丁型肝炎病毒IgG抗体</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酶联免疫吸附法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144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丁型肝炎抗原</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酶联免疫吸附法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145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麻疹病毒抗体二项 MV-IgM、MV-IgG</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酶联免疫吸附法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≤4个工作日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146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柯萨奇病毒二项CSV-IgM、CSV-IgG</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酶联免疫吸附法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≤4个工作日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147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抗子宫内膜抗体lgM测定</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ELISA</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148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抗子宫内膜抗体lgG测定</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ELISA</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≤4个工作日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149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抗子宫内膜抗体 EmAb</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ELISA</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≤4个工作日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150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抗卵巢抗体AoAb</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ELISA</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151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抗HCG抗体AhcgAb</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ELISA</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152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大麻</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免疫层析法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153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可卡因</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免疫层析法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154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米氮平</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高效液相色谱-串联质谱法或方法学</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155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尿香草扁桃酸VMA</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均相酶免法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156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可溶性生长刺激表达基因2蛋白ST2</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磁微粒化学发光</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157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甘胆酸CG</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免疫比浊法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158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不规则抗体筛查UAST</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微柱凝胶法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159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血型单特异性抗体鉴定</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微柱凝胶法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160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类风湿因子分型定量检测（RF-IgG,IgA,IgM）</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161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血管炎五项（P-ANCA，C-ANCA，ANCA-MPO，ANCA-PR3，ACA）</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间接免疫荧光法和免疫印迹法和ELISA</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162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血管炎两项定量（PR3、MPO）</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163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涎液化糖链抗原（KL-6）</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164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抗磷脂综合征六项（aCL-IgG/IgM/IgA、β2GP1-IgG/IgM/IgA）</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165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巯嘌呤类药物安全用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药基因检测 </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166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B细胞精细亚群（总B淋巴细胞，过渡期B淋巴细胞，初始B淋巴细胞，边缘区B淋巴细胞，记忆性B细胞，经典免疫球蛋白类别转换B淋巴细胞，非免疫球蛋白类别转换B淋巴细胞，浆细胞等相关指标）</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流式细胞术</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167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分枝杆菌菌种鉴定靶向测序</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多重靶向扩增-高通量测序法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168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结核分枝杆菌复合群及耐药基因靶向测序</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多重靶向扩增-高通量测序法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169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铜蓝蛋白测定</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免疫透射比浊法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170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高敏HBV DNA测定</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实时PCR(内标法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171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HBV核苷类似物耐药基因检测（HBV耐药突变株检测）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基因测序法（Sanger测序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172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水痘带状疱疹病毒(VZV-DNA)定性</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PCR法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173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T淋巴细胞亚群、B细胞、NK细胞</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流式细胞术</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174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急慢性白血病/NHL/MDS全面CD系列检测(40CD)</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流式细胞术</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175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急慢性白血病CD系列检测(28CD)</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流式细胞术</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176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微小残留白血病检测(15CD，可提供既往完整免疫表型信息)</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流式细胞术</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177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高通量测序阳性位点后续检测(高通量测序,血液肿瘤)高通量测序positive site follow-up test</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178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B-ALL相关基因突变检测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≤15个自然日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179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T-ALL相关基因突变检测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≤15个自然日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180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ALL/LBL相关基因突变检测（中级）</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≤15个自然日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181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IGHV基因突变检测(高通量测序,血液肿瘤)</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≤15个自然日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182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多发性骨髓瘤多基因突变检测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≤20个自然日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183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成熟B细胞淋巴瘤相关基因突变检测（中级套餐）</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≤15个自然日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184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成熟T/NK细胞淋巴瘤相关基因突变检测（中级套餐）</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≤15个自然日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185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弥漫大B细胞淋巴瘤相关基因突变检测（中级套餐）</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≤15个自然日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186</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LPL/WM相关基因测序检测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≤15个自然日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187</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骨髓全自动免疫组化一项</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全自动免疫组化</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188</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骨髓免疫组化一项</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免疫组化</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189</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疑难病理会诊</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HE染色</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190</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骨髓组织活检评估套餐(1项特染+16项免疫组化)</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HE染色</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191</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发作性睡病HLA易感基因检测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192</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维生素B12</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193</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尿液有机酸检测</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气相色谱质谱法</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194</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肌肉活检检查与诊断+免疫组化（炎性肌病）</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冰冻切片检查与诊断+显微摄影术+免疫组化+特殊染色</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noWrap/>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195</w:t>
            </w:r>
          </w:p>
        </w:tc>
        <w:tc>
          <w:tcPr>
            <w:tcW w:w="1984"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神经源性肌病、肌原纤维肌病、先天性肌病等</w:t>
            </w:r>
          </w:p>
        </w:tc>
        <w:tc>
          <w:tcPr>
            <w:tcW w:w="1531"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冰冻切片检查与诊断+显微摄影术+免疫组化+特殊染色</w:t>
            </w:r>
          </w:p>
        </w:tc>
        <w:tc>
          <w:tcPr>
            <w:tcW w:w="1417" w:type="dxa"/>
            <w:noWrap/>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≤15个工作日</w:t>
            </w:r>
          </w:p>
        </w:tc>
        <w:tc>
          <w:tcPr>
            <w:tcW w:w="680" w:type="dxa"/>
            <w:noWrap/>
            <w:vAlign w:val="center"/>
          </w:tcPr>
          <w:p>
            <w:pPr>
              <w:kinsoku w:val="0"/>
              <w:overflowPunct w:val="0"/>
              <w:spacing w:before="2"/>
              <w:jc w:val="center"/>
              <w:rPr>
                <w:rFonts w:ascii="Times New Roman" w:hAnsi="Times New Roman" w:eastAsia="宋体" w:cs="Times New Roman"/>
                <w:szCs w:val="21"/>
              </w:rPr>
            </w:pPr>
          </w:p>
        </w:tc>
        <w:tc>
          <w:tcPr>
            <w:tcW w:w="1361" w:type="dxa"/>
            <w:noWrap/>
            <w:vAlign w:val="center"/>
          </w:tcPr>
          <w:p>
            <w:pPr>
              <w:kinsoku w:val="0"/>
              <w:overflowPunct w:val="0"/>
              <w:spacing w:before="2"/>
              <w:rPr>
                <w:rFonts w:ascii="Times New Roman" w:hAnsi="Times New Roman" w:eastAsia="宋体" w:cs="Times New Roman"/>
                <w:szCs w:val="21"/>
              </w:rPr>
            </w:pPr>
          </w:p>
        </w:tc>
        <w:tc>
          <w:tcPr>
            <w:tcW w:w="794" w:type="dxa"/>
            <w:noWrap/>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196</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神经遗传全外显子组检测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197</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假肥大型肌营养不良DMD基因检测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198</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周期性麻痹和先天性肌强直/副肌强直相关基因检测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199</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肌张力障碍相关基因检测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200</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脊肌萎缩症（SMA）SMN1基因筛查</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荧光PCR法-毛细管电泳法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201</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成人神经退行性疾病相关基因检测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202</w:t>
            </w:r>
          </w:p>
        </w:tc>
        <w:tc>
          <w:tcPr>
            <w:tcW w:w="1984" w:type="dxa"/>
            <w:vAlign w:val="center"/>
          </w:tcPr>
          <w:p>
            <w:pPr>
              <w:widowControl/>
              <w:jc w:val="center"/>
              <w:textAlignment w:val="center"/>
              <w:rPr>
                <w:rFonts w:ascii="Times New Roman" w:hAnsi="Times New Roman" w:eastAsia="宋体" w:cs="Times New Roman"/>
                <w:b/>
                <w:bCs/>
                <w:szCs w:val="21"/>
              </w:rPr>
            </w:pPr>
            <w:r>
              <w:rPr>
                <w:rFonts w:hint="eastAsia" w:ascii="宋体" w:hAnsi="宋体" w:eastAsia="宋体" w:cs="宋体"/>
                <w:color w:val="000000"/>
                <w:kern w:val="0"/>
                <w:sz w:val="22"/>
              </w:rPr>
              <w:t>遗传性痉挛性截瘫相关基因检测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高通量测序+MLPA</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203</w:t>
            </w:r>
          </w:p>
        </w:tc>
        <w:tc>
          <w:tcPr>
            <w:tcW w:w="1984" w:type="dxa"/>
            <w:vAlign w:val="center"/>
          </w:tcPr>
          <w:p>
            <w:pPr>
              <w:widowControl/>
              <w:jc w:val="center"/>
              <w:textAlignment w:val="center"/>
              <w:rPr>
                <w:rFonts w:ascii="Times New Roman" w:hAnsi="Times New Roman" w:eastAsia="宋体" w:cs="Times New Roman"/>
                <w:b/>
                <w:bCs/>
                <w:szCs w:val="21"/>
              </w:rPr>
            </w:pPr>
            <w:r>
              <w:rPr>
                <w:rFonts w:hint="eastAsia" w:ascii="宋体" w:hAnsi="宋体" w:eastAsia="宋体" w:cs="宋体"/>
                <w:color w:val="000000"/>
                <w:kern w:val="0"/>
                <w:sz w:val="22"/>
              </w:rPr>
              <w:t>遗传性痴呆症相关基因检测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高通量测序+MLPA</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204</w:t>
            </w:r>
          </w:p>
        </w:tc>
        <w:tc>
          <w:tcPr>
            <w:tcW w:w="1984" w:type="dxa"/>
            <w:vAlign w:val="center"/>
          </w:tcPr>
          <w:p>
            <w:pPr>
              <w:widowControl/>
              <w:jc w:val="center"/>
              <w:textAlignment w:val="center"/>
              <w:rPr>
                <w:rFonts w:ascii="Times New Roman" w:hAnsi="Times New Roman" w:eastAsia="宋体" w:cs="Times New Roman"/>
                <w:b/>
                <w:bCs/>
                <w:szCs w:val="21"/>
              </w:rPr>
            </w:pPr>
            <w:r>
              <w:rPr>
                <w:rFonts w:hint="eastAsia" w:ascii="宋体" w:hAnsi="宋体" w:eastAsia="宋体" w:cs="宋体"/>
                <w:color w:val="000000"/>
                <w:kern w:val="0"/>
                <w:sz w:val="22"/>
              </w:rPr>
              <w:t>遗传性脑白质营养不良和白质脑病相关基因检测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205</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遗传性淀粉样变性周围神经病TTR基因检测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206</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遗传性脑血管病相关基因检测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207</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单基因脑小血管病相关基因检测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208</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结节性硬化症TSC1与TSC2基因检测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MLPA+高通量测序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209</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遗传性神经肌肉病相关基因检测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210</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APOE基因检测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荧光PCR法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≤14个自然日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211</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癫痫相关扩展基因检测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212</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遗传代谢病相关基因检测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213</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苯丙酮尿症相关基因检测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高通量测序+MLPA</w:t>
            </w:r>
          </w:p>
        </w:tc>
        <w:tc>
          <w:tcPr>
            <w:tcW w:w="1417" w:type="dxa"/>
            <w:vAlign w:val="center"/>
          </w:tcPr>
          <w:p>
            <w:pPr>
              <w:widowControl/>
              <w:jc w:val="center"/>
              <w:textAlignment w:val="center"/>
              <w:rPr>
                <w:rFonts w:ascii="Times New Roman" w:hAnsi="Times New Roman" w:eastAsia="宋体" w:cs="Times New Roman"/>
                <w:b/>
                <w:bCs/>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214</w:t>
            </w:r>
          </w:p>
        </w:tc>
        <w:tc>
          <w:tcPr>
            <w:tcW w:w="1984" w:type="dxa"/>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酪氨酸血症/希特林蛋白缺乏症相关基因检测</w:t>
            </w:r>
          </w:p>
        </w:tc>
        <w:tc>
          <w:tcPr>
            <w:tcW w:w="1531" w:type="dxa"/>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215</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甲基丙二酸血症及相关代谢通路基因检测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216</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脂肪酸氧化与肉碱循环缺陷相关基因检测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217</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糖原累积症相关基因检测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218</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戈谢病GBA基因检测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LR-PCR+高通量测序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219</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粘多糖症相关基因检测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220</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血卟啉病相关基因检测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221</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神经纤维瘤NF1与NF2基因检测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222</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遗传性血栓及其它出凝血异常相关基因检测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223</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深静脉血栓形成相关基因检测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224</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Alport综合征相关基因检测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高通量测序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225</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中枢神经系统多种病原体靶向测序</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多重PCR+二代测序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226</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上呼吸道多种病原体靶向测序</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多重PCR+二代测序</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227</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凝血酶-抗凝血酶Ⅲ复合物检测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228</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纤溶酶-a2纤溶酶抑制剂复合体检测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229</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血栓调节蛋白检测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230</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组织型纤溶酶原激活剂-抑制剂1复合体检测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231</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血栓前4项检测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232</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γ干扰素释放试验</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ELISA法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233</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结核TB-RNA</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实时PCR</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≤4个自然日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234</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曲霉菌特异性IgE</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荧光酶免法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235</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遗传性肾病相关基因检测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NGS</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236</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α-GaLA酶活性检测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比色法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≤10个自然日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237</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流行性出血热抗体</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免疫胶体金法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238</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抗GMB抗体定量</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239</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促红细胞生成素</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240</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尿转铁蛋白</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免疫比浊法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241</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病原微生物核酸高通量测序</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NGS</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242</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血清肿瘤相关物质TM检测</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比色法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243</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胸苷激酶（TK1）</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化学发光法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≤2个自然日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244</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溶酶体贮积症酶学检测十六项</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比色法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≤7个自然日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color w:val="000000"/>
                <w:kern w:val="0"/>
                <w:sz w:val="22"/>
              </w:rPr>
              <w:t>245</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尿α1微球蛋白</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免疫比浊法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color w:val="000000"/>
                <w:kern w:val="0"/>
                <w:sz w:val="22"/>
              </w:rPr>
              <w:t>≤3个自然日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kern w:val="0"/>
                <w:sz w:val="22"/>
              </w:rPr>
              <w:t>246</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苯妥英</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均相酶免法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≤3个工作日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kern w:val="0"/>
                <w:sz w:val="22"/>
              </w:rPr>
              <w:t>247</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卡马西平</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均相酶免法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≤3个工作日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kern w:val="0"/>
                <w:sz w:val="22"/>
              </w:rPr>
              <w:t>248</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甲氨喋呤</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均相酶免法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≤3个工作日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kern w:val="0"/>
                <w:sz w:val="22"/>
              </w:rPr>
              <w:t>249</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雷帕霉素</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免疫学法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≤3个工作日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kern w:val="0"/>
                <w:sz w:val="22"/>
              </w:rPr>
              <w:t>250</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霉酚酸酯（骁悉）</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均相酶免法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≤3个工作日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kern w:val="0"/>
                <w:sz w:val="22"/>
              </w:rPr>
              <w:t>251</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环孢素浓度</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均相酶免法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≤3个工作日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kern w:val="0"/>
                <w:sz w:val="22"/>
              </w:rPr>
              <w:t>252</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茶碱</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均相酶免法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≤3个工作日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9" w:type="dxa"/>
            <w:vAlign w:val="center"/>
          </w:tcPr>
          <w:p>
            <w:pPr>
              <w:widowControl/>
              <w:jc w:val="right"/>
              <w:textAlignment w:val="center"/>
              <w:rPr>
                <w:rFonts w:ascii="Times New Roman" w:hAnsi="Times New Roman" w:eastAsia="宋体" w:cs="Times New Roman"/>
                <w:szCs w:val="21"/>
              </w:rPr>
            </w:pPr>
            <w:r>
              <w:rPr>
                <w:rFonts w:hint="eastAsia" w:ascii="宋体" w:hAnsi="宋体" w:eastAsia="宋体" w:cs="宋体"/>
                <w:kern w:val="0"/>
                <w:sz w:val="22"/>
              </w:rPr>
              <w:t>253</w:t>
            </w:r>
          </w:p>
        </w:tc>
        <w:tc>
          <w:tcPr>
            <w:tcW w:w="1984"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丙戊酸</w:t>
            </w:r>
          </w:p>
        </w:tc>
        <w:tc>
          <w:tcPr>
            <w:tcW w:w="1531"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均相酶免法</w:t>
            </w:r>
          </w:p>
        </w:tc>
        <w:tc>
          <w:tcPr>
            <w:tcW w:w="1417" w:type="dxa"/>
            <w:vAlign w:val="center"/>
          </w:tcPr>
          <w:p>
            <w:pPr>
              <w:widowControl/>
              <w:jc w:val="center"/>
              <w:textAlignment w:val="center"/>
              <w:rPr>
                <w:rFonts w:ascii="Times New Roman" w:hAnsi="Times New Roman" w:eastAsia="宋体" w:cs="Times New Roman"/>
                <w:szCs w:val="21"/>
              </w:rPr>
            </w:pPr>
            <w:r>
              <w:rPr>
                <w:rFonts w:hint="eastAsia" w:ascii="宋体" w:hAnsi="宋体" w:eastAsia="宋体" w:cs="宋体"/>
                <w:kern w:val="0"/>
                <w:sz w:val="22"/>
              </w:rPr>
              <w:t>≤3个工作日</w:t>
            </w:r>
          </w:p>
        </w:tc>
        <w:tc>
          <w:tcPr>
            <w:tcW w:w="680" w:type="dxa"/>
            <w:vAlign w:val="center"/>
          </w:tcPr>
          <w:p>
            <w:pPr>
              <w:kinsoku w:val="0"/>
              <w:overflowPunct w:val="0"/>
              <w:spacing w:before="2"/>
              <w:jc w:val="center"/>
              <w:rPr>
                <w:rFonts w:ascii="Times New Roman" w:hAnsi="Times New Roman" w:eastAsia="宋体" w:cs="Times New Roman"/>
                <w:szCs w:val="21"/>
              </w:rPr>
            </w:pPr>
          </w:p>
        </w:tc>
        <w:tc>
          <w:tcPr>
            <w:tcW w:w="1361" w:type="dxa"/>
            <w:vAlign w:val="center"/>
          </w:tcPr>
          <w:p>
            <w:pPr>
              <w:kinsoku w:val="0"/>
              <w:overflowPunct w:val="0"/>
              <w:spacing w:before="2"/>
              <w:rPr>
                <w:rFonts w:ascii="Times New Roman" w:hAnsi="Times New Roman" w:eastAsia="宋体" w:cs="Times New Roman"/>
                <w:szCs w:val="21"/>
              </w:rPr>
            </w:pPr>
          </w:p>
        </w:tc>
        <w:tc>
          <w:tcPr>
            <w:tcW w:w="794" w:type="dxa"/>
            <w:vAlign w:val="center"/>
          </w:tcPr>
          <w:p>
            <w:pPr>
              <w:kinsoku w:val="0"/>
              <w:overflowPunct w:val="0"/>
              <w:spacing w:before="2"/>
              <w:rPr>
                <w:rFonts w:ascii="Times New Roman" w:hAnsi="Times New Roman" w:eastAsia="宋体" w:cs="Times New Roman"/>
                <w:szCs w:val="21"/>
              </w:rPr>
            </w:pPr>
          </w:p>
        </w:tc>
      </w:tr>
    </w:tbl>
    <w:p>
      <w:pPr>
        <w:spacing w:line="500" w:lineRule="exact"/>
        <w:rPr>
          <w:rFonts w:ascii="宋体" w:hAnsi="宋体" w:eastAsia="宋体"/>
          <w:sz w:val="24"/>
          <w:szCs w:val="24"/>
        </w:rPr>
      </w:pPr>
    </w:p>
    <w:p>
      <w:pPr>
        <w:pStyle w:val="12"/>
        <w:tabs>
          <w:tab w:val="left" w:pos="709"/>
        </w:tabs>
        <w:ind w:firstLine="0" w:firstLineChars="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8384F"/>
    <w:multiLevelType w:val="multilevel"/>
    <w:tmpl w:val="520838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816C96"/>
    <w:multiLevelType w:val="multilevel"/>
    <w:tmpl w:val="5D816C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AyOGJmZTViYzZlNzczMjQ4NTlkMTFjZDI0NTAwODUifQ=="/>
    <w:docVar w:name="KGWebUrl" w:val="http://10.2.240.65:8888/seeyon/officeservlet"/>
  </w:docVars>
  <w:rsids>
    <w:rsidRoot w:val="00107C94"/>
    <w:rsid w:val="00075086"/>
    <w:rsid w:val="00101ECF"/>
    <w:rsid w:val="00107C94"/>
    <w:rsid w:val="00112782"/>
    <w:rsid w:val="001617AB"/>
    <w:rsid w:val="001E2694"/>
    <w:rsid w:val="00205F25"/>
    <w:rsid w:val="00282EA2"/>
    <w:rsid w:val="00297C0D"/>
    <w:rsid w:val="002A148B"/>
    <w:rsid w:val="002A7A99"/>
    <w:rsid w:val="002B0A65"/>
    <w:rsid w:val="00310AC4"/>
    <w:rsid w:val="003307AC"/>
    <w:rsid w:val="003705BE"/>
    <w:rsid w:val="003C5B90"/>
    <w:rsid w:val="003F03D2"/>
    <w:rsid w:val="004A0EFF"/>
    <w:rsid w:val="004C6DDB"/>
    <w:rsid w:val="00522B5B"/>
    <w:rsid w:val="00564FE2"/>
    <w:rsid w:val="00575030"/>
    <w:rsid w:val="00575D11"/>
    <w:rsid w:val="006E3C8A"/>
    <w:rsid w:val="007103C3"/>
    <w:rsid w:val="007315A2"/>
    <w:rsid w:val="00741135"/>
    <w:rsid w:val="00763D6C"/>
    <w:rsid w:val="008C1905"/>
    <w:rsid w:val="008C4BAC"/>
    <w:rsid w:val="0097794E"/>
    <w:rsid w:val="009A3121"/>
    <w:rsid w:val="009B3596"/>
    <w:rsid w:val="00AA0FA3"/>
    <w:rsid w:val="00AB0D1F"/>
    <w:rsid w:val="00B205D3"/>
    <w:rsid w:val="00B4026A"/>
    <w:rsid w:val="00BA3E97"/>
    <w:rsid w:val="00C523D3"/>
    <w:rsid w:val="00D116B0"/>
    <w:rsid w:val="00D2583B"/>
    <w:rsid w:val="00D549CF"/>
    <w:rsid w:val="00D827C3"/>
    <w:rsid w:val="00DA28C4"/>
    <w:rsid w:val="00E957F8"/>
    <w:rsid w:val="00F047A7"/>
    <w:rsid w:val="00F27015"/>
    <w:rsid w:val="00FE0D52"/>
    <w:rsid w:val="018A02FD"/>
    <w:rsid w:val="01EB2D10"/>
    <w:rsid w:val="04450780"/>
    <w:rsid w:val="09843EED"/>
    <w:rsid w:val="0A127911"/>
    <w:rsid w:val="0C534163"/>
    <w:rsid w:val="14DB3E86"/>
    <w:rsid w:val="154C1139"/>
    <w:rsid w:val="1BEB6F2C"/>
    <w:rsid w:val="1D422FD7"/>
    <w:rsid w:val="1F6F17BB"/>
    <w:rsid w:val="22384863"/>
    <w:rsid w:val="224922EF"/>
    <w:rsid w:val="232002C5"/>
    <w:rsid w:val="23B048C6"/>
    <w:rsid w:val="24237D25"/>
    <w:rsid w:val="26DF78A8"/>
    <w:rsid w:val="29650656"/>
    <w:rsid w:val="31363023"/>
    <w:rsid w:val="31FF24C2"/>
    <w:rsid w:val="327B225B"/>
    <w:rsid w:val="357439D4"/>
    <w:rsid w:val="38A44581"/>
    <w:rsid w:val="3D316501"/>
    <w:rsid w:val="47C346E2"/>
    <w:rsid w:val="4C5D6CDA"/>
    <w:rsid w:val="4DA97E2E"/>
    <w:rsid w:val="503255B4"/>
    <w:rsid w:val="549A0AE6"/>
    <w:rsid w:val="559D7E3A"/>
    <w:rsid w:val="573D0F8C"/>
    <w:rsid w:val="57821CCF"/>
    <w:rsid w:val="5C7A3EE9"/>
    <w:rsid w:val="5C923E34"/>
    <w:rsid w:val="5CC24EE5"/>
    <w:rsid w:val="5F323223"/>
    <w:rsid w:val="62277FE4"/>
    <w:rsid w:val="68AF31CE"/>
    <w:rsid w:val="6A177B31"/>
    <w:rsid w:val="6C6455C7"/>
    <w:rsid w:val="749609D7"/>
    <w:rsid w:val="76FC3029"/>
    <w:rsid w:val="7ACC00DE"/>
    <w:rsid w:val="7C255B4F"/>
    <w:rsid w:val="7C7C6098"/>
    <w:rsid w:val="7E5C446C"/>
    <w:rsid w:val="7FAD1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ind w:firstLine="420"/>
    </w:pPr>
  </w:style>
  <w:style w:type="paragraph" w:styleId="4">
    <w:name w:val="annotation text"/>
    <w:basedOn w:val="1"/>
    <w:semiHidden/>
    <w:unhideWhenUsed/>
    <w:qFormat/>
    <w:uiPriority w:val="99"/>
    <w:pPr>
      <w:jc w:val="left"/>
    </w:p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22"/>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10"/>
    <w:link w:val="8"/>
    <w:qFormat/>
    <w:uiPriority w:val="99"/>
    <w:rPr>
      <w:sz w:val="18"/>
      <w:szCs w:val="18"/>
    </w:rPr>
  </w:style>
  <w:style w:type="character" w:customStyle="1" w:styleId="14">
    <w:name w:val="页脚 字符"/>
    <w:basedOn w:val="10"/>
    <w:link w:val="7"/>
    <w:qFormat/>
    <w:uiPriority w:val="99"/>
    <w:rPr>
      <w:sz w:val="18"/>
      <w:szCs w:val="18"/>
    </w:rPr>
  </w:style>
  <w:style w:type="paragraph" w:customStyle="1" w:styleId="15">
    <w:name w:val="表格文字"/>
    <w:basedOn w:val="1"/>
    <w:qFormat/>
    <w:uiPriority w:val="0"/>
    <w:pPr>
      <w:widowControl/>
      <w:spacing w:before="25" w:after="25"/>
      <w:jc w:val="left"/>
    </w:pPr>
    <w:rPr>
      <w:rFonts w:ascii="Times New Roman" w:hAnsi="Times New Roman" w:eastAsia="宋体" w:cs="Times New Roman"/>
      <w:bCs/>
      <w:spacing w:val="10"/>
      <w:kern w:val="0"/>
      <w:sz w:val="24"/>
      <w:szCs w:val="20"/>
    </w:rPr>
  </w:style>
  <w:style w:type="paragraph" w:customStyle="1" w:styleId="16">
    <w:name w:val="_Style 20"/>
    <w:basedOn w:val="5"/>
    <w:next w:val="1"/>
    <w:qFormat/>
    <w:uiPriority w:val="0"/>
    <w:pPr>
      <w:widowControl/>
      <w:spacing w:after="0"/>
      <w:ind w:left="0" w:leftChars="0"/>
      <w:jc w:val="left"/>
    </w:pPr>
    <w:rPr>
      <w:rFonts w:ascii="仿宋_GB2312" w:hAnsi="仿宋_GB2312" w:eastAsia="仿宋_GB2312" w:cs="Times New Roman"/>
      <w:kern w:val="0"/>
      <w:sz w:val="32"/>
      <w:szCs w:val="20"/>
    </w:rPr>
  </w:style>
  <w:style w:type="character" w:customStyle="1" w:styleId="17">
    <w:name w:val="font21"/>
    <w:basedOn w:val="10"/>
    <w:qFormat/>
    <w:uiPriority w:val="0"/>
    <w:rPr>
      <w:rFonts w:hint="eastAsia" w:ascii="宋体" w:hAnsi="宋体" w:eastAsia="宋体" w:cs="宋体"/>
      <w:color w:val="000000"/>
      <w:sz w:val="24"/>
      <w:szCs w:val="24"/>
      <w:u w:val="none"/>
    </w:rPr>
  </w:style>
  <w:style w:type="paragraph" w:customStyle="1" w:styleId="18">
    <w:name w:val="Table Paragraph"/>
    <w:basedOn w:val="1"/>
    <w:unhideWhenUsed/>
    <w:qFormat/>
    <w:uiPriority w:val="1"/>
    <w:rPr>
      <w:sz w:val="24"/>
    </w:rPr>
  </w:style>
  <w:style w:type="character" w:customStyle="1" w:styleId="19">
    <w:name w:val="font11"/>
    <w:qFormat/>
    <w:uiPriority w:val="0"/>
    <w:rPr>
      <w:rFonts w:hint="eastAsia" w:ascii="宋体" w:hAnsi="宋体" w:eastAsia="宋体" w:cs="宋体"/>
      <w:b/>
      <w:color w:val="FF0000"/>
      <w:sz w:val="24"/>
      <w:szCs w:val="24"/>
      <w:u w:val="none"/>
    </w:rPr>
  </w:style>
  <w:style w:type="character" w:customStyle="1" w:styleId="20">
    <w:name w:val="font31"/>
    <w:qFormat/>
    <w:uiPriority w:val="0"/>
    <w:rPr>
      <w:rFonts w:hint="eastAsia" w:ascii="宋体" w:hAnsi="宋体" w:eastAsia="宋体" w:cs="宋体"/>
      <w:b/>
      <w:color w:val="000000"/>
      <w:sz w:val="24"/>
      <w:szCs w:val="24"/>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 w:type="character" w:customStyle="1" w:styleId="22">
    <w:name w:val="批注框文本 字符"/>
    <w:basedOn w:val="10"/>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2297</Words>
  <Characters>13098</Characters>
  <Lines>109</Lines>
  <Paragraphs>30</Paragraphs>
  <TotalTime>2</TotalTime>
  <ScaleCrop>false</ScaleCrop>
  <LinksUpToDate>false</LinksUpToDate>
  <CharactersWithSpaces>15365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2023-09-11T02:57:00Z</dcterms:created>
  <dc:creator>肖翔</dc:creator>
  <cp:lastModifiedBy>youke</cp:lastModifiedBy>
  <dcterms:modified xsi:type="dcterms:W3CDTF">2023-09-14T07:20:26Z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C47F2B8F8FE04742AC63E385D1F8FAD4</vt:lpwstr>
  </property>
</Properties>
</file>