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8B0E5">
      <w:pPr>
        <w:pStyle w:val="50"/>
        <w:snapToGrid w:val="0"/>
        <w:spacing w:beforeLines="50"/>
        <w:jc w:val="center"/>
        <w:rPr>
          <w:rFonts w:ascii="宋体" w:hAnsi="宋体" w:cs="Calibri"/>
          <w:b/>
          <w:sz w:val="84"/>
          <w:szCs w:val="84"/>
        </w:rPr>
      </w:pPr>
    </w:p>
    <w:p w14:paraId="2910721B">
      <w:pPr>
        <w:pStyle w:val="50"/>
        <w:snapToGrid w:val="0"/>
        <w:spacing w:beforeLines="50"/>
        <w:jc w:val="center"/>
        <w:rPr>
          <w:rFonts w:ascii="宋体" w:hAnsi="宋体" w:cs="Calibri"/>
          <w:b/>
          <w:sz w:val="84"/>
          <w:szCs w:val="84"/>
        </w:rPr>
      </w:pPr>
    </w:p>
    <w:p w14:paraId="7CFEF492">
      <w:pPr>
        <w:pStyle w:val="50"/>
        <w:snapToGrid w:val="0"/>
        <w:spacing w:beforeLines="50"/>
        <w:jc w:val="center"/>
        <w:rPr>
          <w:rFonts w:ascii="仿宋_GB2312" w:hAnsi="仿宋_GB2312"/>
          <w:b/>
          <w:bCs/>
          <w:sz w:val="84"/>
          <w:szCs w:val="84"/>
        </w:rPr>
      </w:pPr>
      <w:r>
        <w:rPr>
          <w:rFonts w:hint="eastAsia" w:ascii="宋体" w:hAnsi="宋体" w:cs="Calibri"/>
          <w:b/>
          <w:sz w:val="84"/>
          <w:szCs w:val="84"/>
        </w:rPr>
        <w:t>竞价文件</w:t>
      </w:r>
    </w:p>
    <w:p w14:paraId="53A4C8DC">
      <w:pPr>
        <w:pStyle w:val="50"/>
        <w:spacing w:line="360" w:lineRule="auto"/>
        <w:jc w:val="center"/>
        <w:rPr>
          <w:rFonts w:ascii="宋体" w:hAnsi="宋体" w:cs="Calibri"/>
          <w:b/>
          <w:bCs/>
          <w:sz w:val="24"/>
        </w:rPr>
      </w:pPr>
    </w:p>
    <w:p w14:paraId="562EF562">
      <w:pPr>
        <w:pStyle w:val="50"/>
        <w:spacing w:line="360" w:lineRule="auto"/>
        <w:rPr>
          <w:rFonts w:ascii="华文中宋" w:hAnsi="华文中宋" w:eastAsia="华文中宋" w:cs="Calibri"/>
          <w:sz w:val="30"/>
          <w:szCs w:val="30"/>
        </w:rPr>
      </w:pPr>
    </w:p>
    <w:p w14:paraId="4C0EEC36">
      <w:pPr>
        <w:pStyle w:val="50"/>
        <w:spacing w:line="360" w:lineRule="auto"/>
        <w:rPr>
          <w:rFonts w:ascii="华文中宋" w:hAnsi="华文中宋" w:eastAsia="华文中宋" w:cs="Calibri"/>
          <w:sz w:val="30"/>
          <w:szCs w:val="30"/>
        </w:rPr>
      </w:pPr>
    </w:p>
    <w:p w14:paraId="5E455DC9">
      <w:pPr>
        <w:pStyle w:val="50"/>
        <w:spacing w:line="360" w:lineRule="auto"/>
        <w:rPr>
          <w:rFonts w:ascii="华文中宋" w:hAnsi="华文中宋" w:eastAsia="华文中宋" w:cs="Calibri"/>
          <w:sz w:val="30"/>
          <w:szCs w:val="30"/>
        </w:rPr>
      </w:pPr>
    </w:p>
    <w:p w14:paraId="0B790A88">
      <w:pPr>
        <w:pStyle w:val="50"/>
        <w:spacing w:line="360" w:lineRule="auto"/>
        <w:rPr>
          <w:rFonts w:ascii="华文中宋" w:hAnsi="华文中宋" w:eastAsia="华文中宋" w:cs="Calibri"/>
          <w:sz w:val="30"/>
          <w:szCs w:val="30"/>
        </w:rPr>
      </w:pPr>
    </w:p>
    <w:p w14:paraId="61F80CDC">
      <w:pPr>
        <w:pStyle w:val="50"/>
        <w:spacing w:line="360" w:lineRule="auto"/>
        <w:jc w:val="left"/>
        <w:rPr>
          <w:rFonts w:ascii="宋体" w:hAnsi="宋体" w:cs="Calibri"/>
          <w:b/>
          <w:bCs/>
          <w:sz w:val="28"/>
          <w:szCs w:val="32"/>
        </w:rPr>
      </w:pPr>
      <w:r>
        <w:rPr>
          <w:rFonts w:hint="eastAsia" w:ascii="宋体" w:hAnsi="宋体" w:cs="Calibri"/>
          <w:b/>
          <w:bCs/>
          <w:sz w:val="28"/>
          <w:szCs w:val="32"/>
        </w:rPr>
        <w:t>采购方式：线上竞价</w:t>
      </w:r>
    </w:p>
    <w:p w14:paraId="5CA69F50">
      <w:pPr>
        <w:widowControl/>
        <w:ind w:left="1405" w:hanging="1405" w:hangingChars="500"/>
        <w:jc w:val="left"/>
        <w:rPr>
          <w:rFonts w:hint="eastAsia" w:ascii="宋体" w:hAnsi="宋体" w:eastAsia="宋体" w:cs="Calibri"/>
          <w:b/>
          <w:bCs/>
          <w:sz w:val="28"/>
          <w:szCs w:val="32"/>
          <w:lang w:eastAsia="zh-CN"/>
        </w:rPr>
      </w:pPr>
      <w:r>
        <w:rPr>
          <w:rFonts w:hint="eastAsia" w:ascii="宋体" w:hAnsi="宋体" w:cs="Calibri"/>
          <w:b/>
          <w:bCs/>
          <w:sz w:val="28"/>
          <w:szCs w:val="32"/>
        </w:rPr>
        <w:t>项目名称：</w:t>
      </w:r>
      <w:bookmarkStart w:id="0" w:name="_Hlk48529998"/>
      <w:r>
        <w:rPr>
          <w:rFonts w:hint="eastAsia" w:ascii="宋体" w:hAnsi="宋体" w:cs="Calibri"/>
          <w:b/>
          <w:bCs/>
          <w:sz w:val="28"/>
          <w:szCs w:val="32"/>
          <w:lang w:eastAsia="zh-CN"/>
        </w:rPr>
        <w:t>2025年佛山高明分公司办公设备配置项目</w:t>
      </w:r>
    </w:p>
    <w:p w14:paraId="6EFBE7DC">
      <w:pPr>
        <w:pStyle w:val="50"/>
        <w:tabs>
          <w:tab w:val="left" w:pos="2790"/>
        </w:tabs>
        <w:spacing w:line="360" w:lineRule="auto"/>
        <w:ind w:left="1405" w:hanging="1405" w:hangingChars="500"/>
        <w:jc w:val="both"/>
        <w:rPr>
          <w:rFonts w:ascii="宋体" w:hAnsi="宋体" w:cs="Calibri"/>
          <w:b/>
          <w:bCs/>
          <w:sz w:val="28"/>
          <w:szCs w:val="32"/>
        </w:rPr>
      </w:pPr>
      <w:r>
        <w:rPr>
          <w:rFonts w:hint="eastAsia" w:ascii="宋体" w:hAnsi="宋体" w:cs="Calibri"/>
          <w:b/>
          <w:bCs/>
          <w:sz w:val="28"/>
          <w:szCs w:val="32"/>
        </w:rPr>
        <w:t>项目编号：</w:t>
      </w:r>
      <w:bookmarkEnd w:id="0"/>
      <w:r>
        <w:rPr>
          <w:rFonts w:hint="eastAsia" w:ascii="宋体" w:hAnsi="宋体" w:eastAsia="宋体" w:cs="宋体"/>
          <w:b/>
          <w:bCs/>
          <w:sz w:val="28"/>
          <w:szCs w:val="28"/>
        </w:rPr>
        <w:t>FS-BGSB-3L-2025-001004</w:t>
      </w:r>
      <w:r>
        <w:rPr>
          <w:rFonts w:hint="eastAsia" w:ascii="宋体" w:hAnsi="宋体" w:eastAsia="宋体" w:cs="宋体"/>
          <w:b/>
          <w:bCs/>
          <w:sz w:val="28"/>
          <w:szCs w:val="28"/>
        </w:rPr>
        <w:tab/>
      </w:r>
    </w:p>
    <w:p w14:paraId="343A7D5D">
      <w:pPr>
        <w:pStyle w:val="50"/>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1293FCB8">
      <w:pPr>
        <w:pStyle w:val="50"/>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74F3053C">
      <w:pPr>
        <w:pStyle w:val="50"/>
        <w:autoSpaceDE w:val="0"/>
        <w:autoSpaceDN w:val="0"/>
        <w:adjustRightInd w:val="0"/>
        <w:snapToGrid w:val="0"/>
        <w:spacing w:beforeLines="50" w:afterLines="50" w:line="360" w:lineRule="auto"/>
        <w:jc w:val="center"/>
        <w:rPr>
          <w:rFonts w:ascii="黑体" w:hAnsi="华文中宋" w:eastAsia="黑体" w:cs="华文中宋"/>
          <w:kern w:val="0"/>
          <w:sz w:val="30"/>
          <w:szCs w:val="30"/>
        </w:rPr>
      </w:pPr>
    </w:p>
    <w:p w14:paraId="1F0826BF">
      <w:pPr>
        <w:pStyle w:val="50"/>
        <w:autoSpaceDE w:val="0"/>
        <w:autoSpaceDN w:val="0"/>
        <w:adjustRightInd w:val="0"/>
        <w:snapToGrid w:val="0"/>
        <w:spacing w:beforeLines="50" w:afterLines="50" w:line="360" w:lineRule="auto"/>
        <w:jc w:val="left"/>
        <w:rPr>
          <w:rFonts w:ascii="黑体" w:hAnsi="华文中宋" w:eastAsia="黑体" w:cs="华文中宋"/>
          <w:kern w:val="0"/>
          <w:sz w:val="30"/>
          <w:szCs w:val="30"/>
        </w:rPr>
      </w:pPr>
    </w:p>
    <w:p w14:paraId="6BAE43B7">
      <w:pPr>
        <w:pStyle w:val="50"/>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lang w:eastAsia="zh-CN"/>
        </w:rPr>
        <w:t>广东省广播电视网络股份有限公司佛山高明分公司</w:t>
      </w:r>
    </w:p>
    <w:p w14:paraId="5DBABD33">
      <w:pPr>
        <w:pStyle w:val="50"/>
        <w:autoSpaceDE w:val="0"/>
        <w:autoSpaceDN w:val="0"/>
        <w:adjustRightInd w:val="0"/>
        <w:snapToGrid w:val="0"/>
        <w:spacing w:line="360" w:lineRule="auto"/>
        <w:ind w:left="420" w:firstLine="420"/>
        <w:jc w:val="center"/>
        <w:rPr>
          <w:rFonts w:ascii="仿宋_GB2312" w:hAnsi="仿宋_GB2312" w:cs="Calibri"/>
          <w:b/>
          <w:bCs/>
          <w:sz w:val="28"/>
          <w:szCs w:val="32"/>
        </w:rPr>
      </w:pPr>
      <w:r>
        <w:rPr>
          <w:rFonts w:hint="eastAsia" w:ascii="仿宋_GB2312" w:hAnsi="仿宋_GB2312" w:cs="Calibri"/>
          <w:b/>
          <w:bCs/>
          <w:sz w:val="28"/>
          <w:szCs w:val="32"/>
        </w:rPr>
        <w:t>采联国际招标采购集团有限公司</w:t>
      </w:r>
    </w:p>
    <w:p w14:paraId="1FF3FEE3">
      <w:pPr>
        <w:pStyle w:val="50"/>
        <w:autoSpaceDE w:val="0"/>
        <w:autoSpaceDN w:val="0"/>
        <w:adjustRightInd w:val="0"/>
        <w:snapToGrid w:val="0"/>
        <w:spacing w:line="360" w:lineRule="auto"/>
        <w:ind w:left="420" w:firstLine="420"/>
        <w:jc w:val="center"/>
        <w:rPr>
          <w:rFonts w:ascii="仿宋_GB2312" w:hAnsi="仿宋_GB2312" w:cs="Calibri"/>
          <w:b/>
          <w:sz w:val="28"/>
          <w:szCs w:val="22"/>
        </w:rPr>
      </w:pPr>
      <w:r>
        <w:rPr>
          <w:rFonts w:hint="eastAsia" w:ascii="仿宋_GB2312" w:hAnsi="仿宋_GB2312" w:cs="Calibri"/>
          <w:b/>
          <w:sz w:val="28"/>
          <w:szCs w:val="21"/>
        </w:rPr>
        <w:t>二零二五年</w:t>
      </w:r>
      <w:r>
        <w:rPr>
          <w:rFonts w:hint="eastAsia" w:ascii="仿宋_GB2312" w:hAnsi="仿宋_GB2312" w:cs="Calibri"/>
          <w:b/>
          <w:sz w:val="28"/>
          <w:szCs w:val="21"/>
          <w:lang w:val="en-US" w:eastAsia="zh-CN"/>
        </w:rPr>
        <w:t>三</w:t>
      </w:r>
      <w:r>
        <w:rPr>
          <w:rFonts w:hint="eastAsia" w:ascii="仿宋_GB2312" w:hAnsi="仿宋_GB2312" w:cs="Calibri"/>
          <w:b/>
          <w:sz w:val="28"/>
          <w:szCs w:val="21"/>
        </w:rPr>
        <w:t>月</w:t>
      </w:r>
    </w:p>
    <w:p w14:paraId="06785E57">
      <w:pPr>
        <w:jc w:val="center"/>
        <w:outlineLvl w:val="0"/>
        <w:rPr>
          <w:rFonts w:ascii="Cambria" w:hAnsi="Cambria" w:cs="宋体"/>
          <w:b/>
          <w:bCs/>
          <w:sz w:val="32"/>
          <w:szCs w:val="32"/>
        </w:rPr>
      </w:pPr>
      <w:r>
        <w:rPr>
          <w:rFonts w:ascii="Calibri" w:hAnsi="Calibri"/>
          <w:b/>
          <w:sz w:val="44"/>
          <w:szCs w:val="44"/>
        </w:rPr>
        <w:br w:type="page"/>
      </w:r>
      <w:r>
        <w:rPr>
          <w:rFonts w:hint="eastAsia" w:ascii="Cambria" w:hAnsi="Cambria" w:cs="宋体"/>
          <w:b/>
          <w:bCs/>
          <w:sz w:val="32"/>
          <w:szCs w:val="32"/>
        </w:rPr>
        <w:t>第一章</w:t>
      </w:r>
      <w:r>
        <w:rPr>
          <w:rFonts w:ascii="Cambria" w:hAnsi="Cambria" w:cs="宋体"/>
          <w:b/>
          <w:bCs/>
          <w:sz w:val="32"/>
          <w:szCs w:val="32"/>
        </w:rPr>
        <w:t xml:space="preserve"> </w:t>
      </w:r>
      <w:r>
        <w:rPr>
          <w:rFonts w:hint="eastAsia" w:ascii="Cambria" w:hAnsi="Cambria" w:cs="宋体"/>
          <w:b/>
          <w:bCs/>
          <w:sz w:val="32"/>
          <w:szCs w:val="32"/>
        </w:rPr>
        <w:t>竞价须知</w:t>
      </w:r>
    </w:p>
    <w:p w14:paraId="102A08F6">
      <w:pPr>
        <w:numPr>
          <w:ilvl w:val="0"/>
          <w:numId w:val="1"/>
        </w:numPr>
        <w:spacing w:line="360" w:lineRule="auto"/>
        <w:rPr>
          <w:rFonts w:ascii="宋体" w:hAnsi="宋体"/>
          <w:szCs w:val="21"/>
        </w:rPr>
      </w:pPr>
      <w:r>
        <w:rPr>
          <w:rFonts w:hint="eastAsia" w:ascii="宋体" w:hAnsi="宋体" w:cs="宋体"/>
          <w:szCs w:val="21"/>
        </w:rPr>
        <w:t>本项目通过云采链线上采购一体化平台进行竞价，参与竞价的供应商必须登录平台进行注册，注册成功后方可参与项目竞价。</w:t>
      </w:r>
    </w:p>
    <w:p w14:paraId="03D177C2">
      <w:pPr>
        <w:numPr>
          <w:ilvl w:val="0"/>
          <w:numId w:val="1"/>
        </w:numPr>
        <w:spacing w:line="360" w:lineRule="auto"/>
        <w:rPr>
          <w:rFonts w:ascii="宋体" w:hAnsi="宋体"/>
          <w:szCs w:val="21"/>
        </w:rPr>
      </w:pPr>
      <w:r>
        <w:rPr>
          <w:rFonts w:hint="eastAsia" w:ascii="宋体" w:hAnsi="宋体"/>
          <w:szCs w:val="21"/>
        </w:rPr>
        <w:t>语言要求</w:t>
      </w:r>
    </w:p>
    <w:p w14:paraId="106C4139">
      <w:pPr>
        <w:spacing w:line="360" w:lineRule="auto"/>
        <w:ind w:left="420"/>
        <w:rPr>
          <w:rFonts w:ascii="宋体" w:hAnsi="宋体"/>
          <w:szCs w:val="21"/>
        </w:rPr>
      </w:pPr>
      <w:r>
        <w:rPr>
          <w:rFonts w:hint="eastAsia" w:ascii="宋体" w:hAnsi="宋体"/>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24152E02">
      <w:pPr>
        <w:numPr>
          <w:ilvl w:val="0"/>
          <w:numId w:val="1"/>
        </w:numPr>
        <w:spacing w:line="360" w:lineRule="auto"/>
        <w:rPr>
          <w:rFonts w:ascii="宋体" w:hAnsi="宋体"/>
          <w:szCs w:val="21"/>
        </w:rPr>
      </w:pPr>
      <w:r>
        <w:rPr>
          <w:rFonts w:hint="eastAsia" w:ascii="宋体" w:hAnsi="宋体"/>
          <w:szCs w:val="21"/>
        </w:rPr>
        <w:t xml:space="preserve">在云采链平台参与项目竞价后放弃成交资格超过三次（含三次）的供应商连同该供应商同一法人名下所有公司将被列入平台黑名单，永久不得参与平台的项目竞价。  </w:t>
      </w:r>
    </w:p>
    <w:p w14:paraId="2431C0BB">
      <w:pPr>
        <w:numPr>
          <w:ilvl w:val="0"/>
          <w:numId w:val="1"/>
        </w:numPr>
        <w:spacing w:line="360" w:lineRule="auto"/>
        <w:rPr>
          <w:rFonts w:ascii="宋体" w:hAnsi="宋体"/>
          <w:szCs w:val="21"/>
        </w:rPr>
      </w:pPr>
      <w:r>
        <w:rPr>
          <w:rFonts w:hint="eastAsia" w:ascii="宋体" w:hAnsi="宋体" w:cs="宋体"/>
          <w:szCs w:val="21"/>
        </w:rPr>
        <w:t>竞价须知</w:t>
      </w:r>
    </w:p>
    <w:p w14:paraId="4B7C3997">
      <w:pPr>
        <w:numPr>
          <w:ilvl w:val="0"/>
          <w:numId w:val="2"/>
        </w:numPr>
        <w:spacing w:line="360" w:lineRule="auto"/>
        <w:rPr>
          <w:rFonts w:ascii="宋体" w:hAnsi="宋体"/>
          <w:b/>
          <w:bCs/>
          <w:szCs w:val="21"/>
        </w:rPr>
      </w:pPr>
      <w:r>
        <w:rPr>
          <w:rFonts w:hint="eastAsia" w:ascii="宋体" w:hAnsi="宋体" w:cs="宋体"/>
          <w:b/>
          <w:bCs/>
          <w:szCs w:val="21"/>
        </w:rPr>
        <w:t>竞价说明</w:t>
      </w:r>
    </w:p>
    <w:p w14:paraId="0418CE18">
      <w:pPr>
        <w:numPr>
          <w:ilvl w:val="0"/>
          <w:numId w:val="3"/>
        </w:numPr>
        <w:spacing w:line="360" w:lineRule="auto"/>
        <w:rPr>
          <w:rFonts w:ascii="宋体" w:hAnsi="宋体"/>
          <w:szCs w:val="21"/>
        </w:rPr>
      </w:pPr>
      <w:r>
        <w:rPr>
          <w:rFonts w:hint="eastAsia" w:ascii="宋体" w:hAnsi="宋体" w:cs="宋体"/>
          <w:szCs w:val="21"/>
        </w:rPr>
        <w:t>参与竞价的供应商应承担所有与准备和参加竞价有关的费用，不</w:t>
      </w:r>
      <w:r>
        <w:rPr>
          <w:rFonts w:hint="eastAsia" w:ascii="宋体" w:hAnsi="宋体" w:cs="宋体"/>
          <w:szCs w:val="21"/>
          <w:lang w:eastAsia="zh-TW"/>
        </w:rPr>
        <w:t>论</w:t>
      </w:r>
      <w:r>
        <w:rPr>
          <w:rFonts w:hint="eastAsia" w:ascii="宋体" w:hAnsi="宋体" w:cs="宋体"/>
          <w:szCs w:val="21"/>
        </w:rPr>
        <w:t>竞价</w:t>
      </w:r>
      <w:r>
        <w:rPr>
          <w:rFonts w:hint="eastAsia" w:ascii="宋体" w:hAnsi="宋体" w:cs="宋体"/>
          <w:szCs w:val="21"/>
          <w:lang w:eastAsia="zh-TW"/>
        </w:rPr>
        <w:t>的结果如何</w:t>
      </w:r>
      <w:r>
        <w:rPr>
          <w:rFonts w:hint="eastAsia" w:ascii="宋体" w:hAnsi="宋体" w:cs="宋体"/>
          <w:szCs w:val="21"/>
        </w:rPr>
        <w:t>，采购</w:t>
      </w:r>
      <w:r>
        <w:rPr>
          <w:rFonts w:hint="eastAsia" w:ascii="宋体" w:hAnsi="宋体" w:cs="宋体"/>
          <w:szCs w:val="21"/>
          <w:lang w:eastAsia="zh-TW"/>
        </w:rPr>
        <w:t>人</w:t>
      </w:r>
      <w:r>
        <w:rPr>
          <w:rFonts w:hint="eastAsia" w:ascii="宋体" w:hAnsi="宋体" w:cs="宋体"/>
          <w:szCs w:val="21"/>
        </w:rPr>
        <w:t>和</w:t>
      </w:r>
      <w:r>
        <w:rPr>
          <w:rFonts w:hint="eastAsia" w:ascii="宋体" w:hAnsi="宋体" w:cs="宋体"/>
          <w:szCs w:val="21"/>
          <w:lang w:eastAsia="zh-TW"/>
        </w:rPr>
        <w:t>代理机构均无义务和责任承担这些费用</w:t>
      </w:r>
      <w:r>
        <w:rPr>
          <w:rFonts w:hint="eastAsia" w:ascii="宋体" w:hAnsi="宋体" w:cs="宋体"/>
          <w:szCs w:val="21"/>
        </w:rPr>
        <w:t>。</w:t>
      </w:r>
    </w:p>
    <w:p w14:paraId="0CCF5054">
      <w:pPr>
        <w:numPr>
          <w:ilvl w:val="0"/>
          <w:numId w:val="3"/>
        </w:numPr>
        <w:spacing w:line="360" w:lineRule="auto"/>
        <w:rPr>
          <w:rFonts w:ascii="宋体" w:hAnsi="宋体"/>
          <w:szCs w:val="21"/>
        </w:rPr>
      </w:pPr>
      <w:r>
        <w:rPr>
          <w:rFonts w:hint="eastAsia" w:ascii="宋体" w:hAnsi="宋体" w:cs="宋体"/>
          <w:szCs w:val="21"/>
        </w:rPr>
        <w:t>参与竞价的供应商必须按竞价附件的格式填写，不得增加或删除表格内容。除单价、金额或项目要求填写的内容外，不得擅自改动竞价附件内容，否则将有可能影响成交结果，不推荐为成交候选人。</w:t>
      </w:r>
    </w:p>
    <w:p w14:paraId="508C76D9">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val="zh-CN"/>
        </w:rPr>
        <w:t>供应商需对用户需求书的所有条款进行整体响应，用户需求书条款若有一条负偏离或不响应，</w:t>
      </w:r>
      <w:r>
        <w:rPr>
          <w:rFonts w:hint="eastAsia" w:ascii="宋体" w:hAnsi="宋体" w:cs="宋体"/>
          <w:szCs w:val="21"/>
        </w:rPr>
        <w:t>不推荐为成交候选人</w:t>
      </w:r>
      <w:r>
        <w:rPr>
          <w:rFonts w:hint="eastAsia" w:ascii="宋体" w:hAnsi="宋体" w:cs="宋体"/>
          <w:szCs w:val="21"/>
          <w:lang w:val="zh-CN"/>
        </w:rPr>
        <w:t>。</w:t>
      </w:r>
    </w:p>
    <w:p w14:paraId="0EAAF1E3">
      <w:pPr>
        <w:numPr>
          <w:ilvl w:val="0"/>
          <w:numId w:val="3"/>
        </w:numPr>
        <w:spacing w:line="360" w:lineRule="auto"/>
        <w:rPr>
          <w:rFonts w:ascii="宋体" w:hAnsi="宋体"/>
          <w:szCs w:val="21"/>
        </w:rPr>
      </w:pPr>
      <w:r>
        <w:rPr>
          <w:rFonts w:hint="eastAsia" w:ascii="宋体" w:hAnsi="宋体" w:cs="宋体"/>
          <w:szCs w:val="21"/>
        </w:rPr>
        <w:t>若成交供应商自身原因无法完成本项目，则采购人有权利保留追究责任。</w:t>
      </w:r>
    </w:p>
    <w:p w14:paraId="77792AA4">
      <w:pPr>
        <w:numPr>
          <w:ilvl w:val="0"/>
          <w:numId w:val="3"/>
        </w:numPr>
        <w:spacing w:line="360" w:lineRule="auto"/>
        <w:rPr>
          <w:rFonts w:ascii="宋体" w:hAnsi="宋体"/>
          <w:szCs w:val="21"/>
        </w:rPr>
      </w:pPr>
      <w:r>
        <w:rPr>
          <w:rFonts w:hint="eastAsia" w:ascii="宋体" w:hAnsi="宋体" w:cs="宋体"/>
          <w:szCs w:val="21"/>
        </w:rPr>
        <w:t>成交供应商因自身原因被取消成交资格，采购人可重新启动采购或按竞价公告规定顺延推选符合要求的供应商作为成交供应商。</w:t>
      </w:r>
    </w:p>
    <w:p w14:paraId="0EE02D7B">
      <w:pPr>
        <w:numPr>
          <w:ilvl w:val="0"/>
          <w:numId w:val="3"/>
        </w:numPr>
        <w:spacing w:line="360" w:lineRule="auto"/>
        <w:rPr>
          <w:rFonts w:ascii="宋体" w:hAnsi="宋体"/>
          <w:szCs w:val="21"/>
        </w:rPr>
      </w:pPr>
      <w:r>
        <w:rPr>
          <w:rFonts w:hint="eastAsia" w:ascii="宋体" w:hAnsi="宋体" w:cs="宋体"/>
          <w:szCs w:val="21"/>
        </w:rPr>
        <w:t>若本项目竞价采购失败，采购人将重新采购，届时采购人有权根据项目具体情况，决定重新采购项目的采购方式。</w:t>
      </w:r>
    </w:p>
    <w:p w14:paraId="32DF5224">
      <w:pPr>
        <w:numPr>
          <w:ilvl w:val="0"/>
          <w:numId w:val="3"/>
        </w:numPr>
        <w:spacing w:line="360" w:lineRule="auto"/>
        <w:rPr>
          <w:rFonts w:ascii="宋体" w:hAnsi="宋体"/>
          <w:szCs w:val="21"/>
        </w:rPr>
      </w:pPr>
      <w:r>
        <w:rPr>
          <w:rFonts w:hint="eastAsia" w:ascii="宋体" w:hAnsi="宋体" w:cs="宋体"/>
          <w:szCs w:val="21"/>
        </w:rPr>
        <w:t>成交供应商若无正当理由恶意放弃成交资格，采购人将有权拒绝其参加本项目重新组织的竞价采购活动。</w:t>
      </w:r>
    </w:p>
    <w:p w14:paraId="63803DAC">
      <w:pPr>
        <w:pStyle w:val="59"/>
        <w:numPr>
          <w:ilvl w:val="0"/>
          <w:numId w:val="3"/>
        </w:numPr>
        <w:spacing w:line="360" w:lineRule="auto"/>
        <w:ind w:firstLineChars="0"/>
        <w:rPr>
          <w:rFonts w:ascii="宋体" w:hAnsi="宋体" w:cs="宋体"/>
          <w:szCs w:val="21"/>
        </w:rPr>
      </w:pPr>
      <w:r>
        <w:rPr>
          <w:rFonts w:hint="eastAsia" w:ascii="宋体" w:hAnsi="宋体" w:cs="宋体"/>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利。</w:t>
      </w:r>
    </w:p>
    <w:p w14:paraId="05E2B4DB">
      <w:pPr>
        <w:numPr>
          <w:ilvl w:val="0"/>
          <w:numId w:val="3"/>
        </w:numPr>
        <w:spacing w:line="360" w:lineRule="auto"/>
        <w:rPr>
          <w:rFonts w:ascii="宋体" w:hAnsi="宋体"/>
          <w:szCs w:val="21"/>
        </w:rPr>
      </w:pPr>
      <w:r>
        <w:rPr>
          <w:rFonts w:hint="eastAsia" w:ascii="宋体" w:hAnsi="宋体" w:cs="宋体"/>
          <w:szCs w:val="21"/>
        </w:rPr>
        <w:t>参与竞价的</w:t>
      </w:r>
      <w:r>
        <w:rPr>
          <w:rFonts w:hint="eastAsia" w:ascii="宋体" w:hAnsi="宋体" w:cs="宋体"/>
          <w:szCs w:val="21"/>
          <w:lang w:eastAsia="zh-TW"/>
        </w:rPr>
        <w:t>供应商向我司咨询的有关项目事项，一切以</w:t>
      </w:r>
      <w:r>
        <w:rPr>
          <w:rFonts w:hint="eastAsia" w:ascii="宋体" w:hAnsi="宋体" w:cs="宋体"/>
          <w:szCs w:val="21"/>
        </w:rPr>
        <w:t>竞价文件</w:t>
      </w:r>
      <w:r>
        <w:rPr>
          <w:rFonts w:hint="eastAsia" w:ascii="宋体" w:hAnsi="宋体" w:cs="宋体"/>
          <w:szCs w:val="21"/>
          <w:lang w:eastAsia="zh-TW"/>
        </w:rPr>
        <w:t>规定</w:t>
      </w:r>
      <w:r>
        <w:rPr>
          <w:rFonts w:hint="eastAsia" w:ascii="宋体" w:hAnsi="宋体" w:cs="宋体"/>
          <w:szCs w:val="21"/>
        </w:rPr>
        <w:t>和竞价公告规定以及</w:t>
      </w:r>
      <w:r>
        <w:rPr>
          <w:rFonts w:hint="eastAsia" w:ascii="宋体" w:hAnsi="宋体" w:cs="宋体"/>
          <w:szCs w:val="21"/>
          <w:lang w:eastAsia="zh-TW"/>
        </w:rPr>
        <w:t>本公司</w:t>
      </w:r>
      <w:r>
        <w:rPr>
          <w:rFonts w:hint="eastAsia" w:ascii="宋体" w:hAnsi="宋体" w:cs="宋体"/>
          <w:szCs w:val="21"/>
        </w:rPr>
        <w:t>的</w:t>
      </w:r>
      <w:r>
        <w:rPr>
          <w:rFonts w:hint="eastAsia" w:ascii="宋体" w:hAnsi="宋体" w:cs="宋体"/>
          <w:szCs w:val="21"/>
          <w:lang w:eastAsia="zh-TW"/>
        </w:rPr>
        <w:t>书面答复为准，其他一切形式均为个人意见，不代表本公司的意见</w:t>
      </w:r>
      <w:r>
        <w:rPr>
          <w:rFonts w:hint="eastAsia" w:ascii="宋体" w:hAnsi="宋体" w:cs="宋体"/>
          <w:szCs w:val="21"/>
        </w:rPr>
        <w:t>。</w:t>
      </w:r>
    </w:p>
    <w:p w14:paraId="5FE0DEAE">
      <w:pPr>
        <w:numPr>
          <w:ilvl w:val="0"/>
          <w:numId w:val="3"/>
        </w:numPr>
        <w:spacing w:line="360" w:lineRule="auto"/>
        <w:rPr>
          <w:rFonts w:ascii="宋体" w:hAnsi="宋体"/>
          <w:szCs w:val="21"/>
        </w:rPr>
      </w:pPr>
      <w:r>
        <w:rPr>
          <w:rFonts w:hint="eastAsia" w:ascii="宋体" w:hAnsi="宋体" w:cs="宋体"/>
          <w:szCs w:val="21"/>
        </w:rPr>
        <w:t>参与竞价的供应商应认真阅读</w:t>
      </w:r>
      <w:r>
        <w:rPr>
          <w:rFonts w:hint="eastAsia" w:ascii="宋体" w:hAnsi="宋体" w:cs="宋体"/>
          <w:szCs w:val="21"/>
          <w:lang w:eastAsia="zh-TW"/>
        </w:rPr>
        <w:t>、并充分理解</w:t>
      </w:r>
      <w:r>
        <w:rPr>
          <w:rFonts w:hint="eastAsia" w:ascii="宋体" w:hAnsi="宋体" w:cs="宋体"/>
          <w:szCs w:val="21"/>
        </w:rPr>
        <w:t>竞价</w:t>
      </w:r>
      <w:r>
        <w:rPr>
          <w:rFonts w:hint="eastAsia" w:ascii="宋体" w:hAnsi="宋体" w:cs="宋体"/>
          <w:szCs w:val="21"/>
          <w:lang w:eastAsia="zh-TW"/>
        </w:rPr>
        <w:t>文件的全部内容（包括所有的补充、修改内容重要事项、格式、条款</w:t>
      </w:r>
      <w:r>
        <w:rPr>
          <w:rFonts w:hint="eastAsia" w:ascii="宋体" w:hAnsi="宋体" w:cs="宋体"/>
          <w:szCs w:val="21"/>
        </w:rPr>
        <w:t>、服务要求</w:t>
      </w:r>
      <w:r>
        <w:rPr>
          <w:rFonts w:hint="eastAsia" w:ascii="宋体" w:hAnsi="宋体" w:cs="宋体"/>
          <w:szCs w:val="21"/>
          <w:lang w:eastAsia="zh-TW"/>
        </w:rPr>
        <w:t>和技术规范、参数及要求等）。</w:t>
      </w:r>
      <w:r>
        <w:rPr>
          <w:rFonts w:hint="eastAsia" w:ascii="宋体" w:hAnsi="宋体" w:cs="宋体"/>
          <w:szCs w:val="21"/>
        </w:rPr>
        <w:t>供应商</w:t>
      </w:r>
      <w:r>
        <w:rPr>
          <w:rFonts w:hint="eastAsia" w:ascii="宋体" w:hAnsi="宋体" w:cs="宋体"/>
          <w:szCs w:val="21"/>
          <w:lang w:eastAsia="zh-TW"/>
        </w:rPr>
        <w:t>没有按照</w:t>
      </w:r>
      <w:r>
        <w:rPr>
          <w:rFonts w:hint="eastAsia" w:ascii="宋体" w:hAnsi="宋体" w:cs="宋体"/>
          <w:szCs w:val="21"/>
        </w:rPr>
        <w:t>竞价</w:t>
      </w:r>
      <w:r>
        <w:rPr>
          <w:rFonts w:hint="eastAsia" w:ascii="宋体" w:hAnsi="宋体" w:cs="宋体"/>
          <w:szCs w:val="21"/>
          <w:lang w:eastAsia="zh-TW"/>
        </w:rPr>
        <w:t>文件要求提交全部资料，或者</w:t>
      </w:r>
      <w:r>
        <w:rPr>
          <w:rFonts w:hint="eastAsia" w:ascii="宋体" w:hAnsi="宋体" w:cs="宋体"/>
          <w:szCs w:val="21"/>
        </w:rPr>
        <w:t>参与竞价所上传的</w:t>
      </w:r>
      <w:r>
        <w:rPr>
          <w:rFonts w:hint="eastAsia" w:ascii="宋体" w:hAnsi="宋体" w:cs="宋体"/>
          <w:szCs w:val="21"/>
          <w:lang w:eastAsia="zh-TW"/>
        </w:rPr>
        <w:t>文件没有对</w:t>
      </w:r>
      <w:r>
        <w:rPr>
          <w:rFonts w:hint="eastAsia" w:ascii="宋体" w:hAnsi="宋体" w:cs="宋体"/>
          <w:szCs w:val="21"/>
        </w:rPr>
        <w:t>竞价</w:t>
      </w:r>
      <w:r>
        <w:rPr>
          <w:rFonts w:hint="eastAsia" w:ascii="宋体" w:hAnsi="宋体" w:cs="宋体"/>
          <w:szCs w:val="21"/>
          <w:lang w:eastAsia="zh-TW"/>
        </w:rPr>
        <w:t>文件在各方面都作出实质性响应是</w:t>
      </w:r>
      <w:r>
        <w:rPr>
          <w:rFonts w:hint="eastAsia" w:ascii="宋体" w:hAnsi="宋体" w:cs="宋体"/>
          <w:szCs w:val="21"/>
        </w:rPr>
        <w:t>供应商</w:t>
      </w:r>
      <w:r>
        <w:rPr>
          <w:rFonts w:hint="eastAsia" w:ascii="宋体" w:hAnsi="宋体" w:cs="宋体"/>
          <w:szCs w:val="21"/>
          <w:lang w:eastAsia="zh-TW"/>
        </w:rPr>
        <w:t>的风险，有可能导致其</w:t>
      </w:r>
      <w:r>
        <w:rPr>
          <w:rFonts w:hint="eastAsia" w:ascii="宋体" w:hAnsi="宋体" w:cs="宋体"/>
          <w:szCs w:val="21"/>
        </w:rPr>
        <w:t>竞价</w:t>
      </w:r>
      <w:r>
        <w:rPr>
          <w:rFonts w:hint="eastAsia" w:ascii="宋体" w:hAnsi="宋体" w:cs="宋体"/>
          <w:szCs w:val="21"/>
          <w:lang w:eastAsia="zh-TW"/>
        </w:rPr>
        <w:t>被拒绝，</w:t>
      </w:r>
      <w:r>
        <w:rPr>
          <w:rFonts w:hint="eastAsia" w:ascii="宋体" w:hAnsi="宋体" w:cs="宋体"/>
          <w:szCs w:val="21"/>
        </w:rPr>
        <w:t>或被认定为无效竞价。</w:t>
      </w:r>
    </w:p>
    <w:p w14:paraId="682F3E6C">
      <w:pPr>
        <w:numPr>
          <w:ilvl w:val="0"/>
          <w:numId w:val="3"/>
        </w:numPr>
        <w:spacing w:line="360" w:lineRule="auto"/>
        <w:rPr>
          <w:rFonts w:ascii="宋体" w:hAnsi="宋体"/>
          <w:szCs w:val="21"/>
        </w:rPr>
      </w:pPr>
      <w:r>
        <w:rPr>
          <w:rFonts w:hint="eastAsia" w:ascii="宋体" w:hAnsi="宋体" w:cs="宋体"/>
          <w:szCs w:val="21"/>
        </w:rPr>
        <w:t>采购人有权拒绝接受任何不合格的货物或服务，由此产生的费用及相关后果均由成交供应商自行承担；</w:t>
      </w:r>
    </w:p>
    <w:p w14:paraId="5626EAC4">
      <w:pPr>
        <w:widowControl/>
        <w:numPr>
          <w:ilvl w:val="0"/>
          <w:numId w:val="3"/>
        </w:numPr>
        <w:spacing w:line="360" w:lineRule="auto"/>
        <w:jc w:val="left"/>
        <w:rPr>
          <w:rFonts w:ascii="宋体" w:hAnsi="宋体"/>
          <w:b/>
          <w:bCs/>
        </w:rPr>
      </w:pPr>
      <w:r>
        <w:rPr>
          <w:rFonts w:hint="eastAsia" w:ascii="宋体" w:hAnsi="宋体"/>
          <w:b/>
          <w:bCs/>
        </w:rPr>
        <w:t>成交供应商应在项目结果发布30日内持成交通知书与采购单位签订书面合同并按合同约定完成成交项目；若采购单位无签订合同的要求，成交供应商应在项目结果发布30内与采购单位约定项目执行事宜；否则将有可能被取消成交资格。</w:t>
      </w:r>
    </w:p>
    <w:p w14:paraId="58CC884D">
      <w:pPr>
        <w:pStyle w:val="59"/>
        <w:numPr>
          <w:ilvl w:val="0"/>
          <w:numId w:val="3"/>
        </w:numPr>
        <w:spacing w:line="360" w:lineRule="auto"/>
        <w:ind w:firstLineChars="0"/>
        <w:rPr>
          <w:rFonts w:asciiTheme="minorEastAsia" w:hAnsiTheme="minorEastAsia"/>
          <w:b/>
        </w:rPr>
      </w:pPr>
      <w:r>
        <w:rPr>
          <w:rFonts w:hint="eastAsia" w:asciiTheme="minorEastAsia" w:hAnsiTheme="minorEastAsia"/>
          <w:b/>
        </w:rPr>
        <w:t>若供应商提供的货物存在假冒伪劣等品质问题或提供的服务质量低下或存在拖延影响项目进程等问题，经采购人确认，将列入该采购人黑名单，1年内不得参与该采购人的所有项目且采购人有权利保留追究责任；</w:t>
      </w:r>
    </w:p>
    <w:p w14:paraId="049308AC">
      <w:pPr>
        <w:pStyle w:val="59"/>
        <w:numPr>
          <w:ilvl w:val="0"/>
          <w:numId w:val="3"/>
        </w:numPr>
        <w:spacing w:line="360" w:lineRule="auto"/>
        <w:ind w:firstLineChars="0"/>
        <w:rPr>
          <w:rFonts w:ascii="宋体" w:hAnsi="宋体"/>
          <w:szCs w:val="21"/>
        </w:rPr>
      </w:pPr>
      <w:r>
        <w:rPr>
          <w:rFonts w:hint="eastAsia" w:asciiTheme="minorEastAsia" w:hAnsiTheme="minorEastAsia"/>
          <w:b/>
        </w:rPr>
        <w:t>参与项目的供应商应提供正确、畅通的联系方式，若采购人或代理机构通过供应商所填写的联系方式无法与供应商及时取得联系，相关不利后果由供应商承担，包括但不限于取消响应资格，且由此产生的费用及相关后果均由供应商自行承担。</w:t>
      </w:r>
    </w:p>
    <w:p w14:paraId="4235FD9B">
      <w:pPr>
        <w:pStyle w:val="48"/>
        <w:numPr>
          <w:ilvl w:val="0"/>
          <w:numId w:val="3"/>
        </w:numPr>
        <w:spacing w:line="360" w:lineRule="auto"/>
        <w:ind w:firstLineChars="0"/>
        <w:rPr>
          <w:rFonts w:ascii="宋体" w:hAnsi="宋体"/>
        </w:rPr>
      </w:pPr>
      <w:r>
        <w:rPr>
          <w:rFonts w:hint="eastAsia" w:ascii="宋体" w:hAnsi="宋体"/>
        </w:rPr>
        <w:t>供应商认为竞价结果损害其权益的，应按照云采链平台相关指引在规定的时间内向采购人或代理机构提交书面质疑，不提交的视为无异议，逾期提交将不予受理；</w:t>
      </w:r>
    </w:p>
    <w:p w14:paraId="7560CF69">
      <w:pPr>
        <w:numPr>
          <w:ilvl w:val="0"/>
          <w:numId w:val="3"/>
        </w:numPr>
        <w:spacing w:line="360" w:lineRule="auto"/>
        <w:rPr>
          <w:rFonts w:ascii="宋体" w:hAnsi="宋体"/>
          <w:szCs w:val="21"/>
        </w:rPr>
      </w:pPr>
      <w:r>
        <w:rPr>
          <w:rFonts w:hint="eastAsia" w:ascii="宋体" w:hAnsi="宋体" w:cs="宋体"/>
          <w:szCs w:val="21"/>
        </w:rPr>
        <w:t>本竞价公告和竞价文件的解释权归</w:t>
      </w:r>
      <w:r>
        <w:rPr>
          <w:rFonts w:hint="eastAsia" w:ascii="宋体" w:hAnsi="宋体" w:cs="宋体"/>
          <w:szCs w:val="21"/>
          <w:lang w:eastAsia="zh-TW"/>
        </w:rPr>
        <w:t>“</w:t>
      </w:r>
      <w:r>
        <w:rPr>
          <w:rFonts w:hint="eastAsia" w:ascii="宋体" w:hAnsi="宋体" w:cs="宋体"/>
          <w:szCs w:val="21"/>
        </w:rPr>
        <w:t>云采链线上采购一体化平台</w:t>
      </w:r>
      <w:r>
        <w:rPr>
          <w:rFonts w:hint="eastAsia" w:ascii="宋体" w:hAnsi="宋体" w:cs="宋体"/>
          <w:szCs w:val="21"/>
          <w:lang w:eastAsia="zh-TW"/>
        </w:rPr>
        <w:t>”所有。</w:t>
      </w:r>
    </w:p>
    <w:p w14:paraId="7CC2EF3A">
      <w:pPr>
        <w:numPr>
          <w:ilvl w:val="0"/>
          <w:numId w:val="2"/>
        </w:numPr>
        <w:spacing w:line="360" w:lineRule="auto"/>
        <w:rPr>
          <w:rFonts w:ascii="宋体" w:hAnsi="宋体"/>
        </w:rPr>
      </w:pPr>
      <w:r>
        <w:rPr>
          <w:rFonts w:hint="eastAsia" w:ascii="宋体" w:hAnsi="宋体"/>
          <w:b/>
        </w:rPr>
        <w:t>竞价文件的澄清或修改</w:t>
      </w:r>
    </w:p>
    <w:p w14:paraId="1DE18553">
      <w:pPr>
        <w:numPr>
          <w:ilvl w:val="0"/>
          <w:numId w:val="4"/>
        </w:numPr>
        <w:spacing w:line="360" w:lineRule="auto"/>
        <w:rPr>
          <w:rFonts w:ascii="宋体" w:hAnsi="宋体"/>
        </w:rPr>
      </w:pPr>
      <w:r>
        <w:rPr>
          <w:rFonts w:hint="eastAsia" w:ascii="宋体" w:hAnsi="宋体"/>
        </w:rPr>
        <w:t>采购人或者采购代理机构可以对已发出的竞价文件进行必要的澄清或者修改。澄清或者修改的内容将在云采链平台上发布澄清（更正/变更）公告。</w:t>
      </w:r>
    </w:p>
    <w:p w14:paraId="7F351FB7">
      <w:pPr>
        <w:numPr>
          <w:ilvl w:val="0"/>
          <w:numId w:val="4"/>
        </w:numPr>
        <w:spacing w:line="360" w:lineRule="auto"/>
        <w:rPr>
          <w:rFonts w:ascii="宋体" w:hAnsi="宋体"/>
        </w:rPr>
      </w:pPr>
      <w:r>
        <w:rPr>
          <w:rFonts w:hint="eastAsia" w:ascii="宋体" w:hAnsi="宋体"/>
        </w:rPr>
        <w:t>无论澄清或者修改的内容是否影响竞价，平台将以短信形式通知所有的报名供应商；报名供应商应按要求履行相应的义务；</w:t>
      </w:r>
      <w:r>
        <w:rPr>
          <w:rFonts w:hint="eastAsia" w:ascii="宋体" w:hAnsi="宋体" w:cs="宋体"/>
          <w:szCs w:val="21"/>
        </w:rPr>
        <w:t>如报名</w:t>
      </w:r>
      <w:r>
        <w:rPr>
          <w:rFonts w:hint="eastAsia" w:ascii="宋体" w:hAnsi="宋体" w:cs="宋体"/>
          <w:szCs w:val="21"/>
          <w:lang w:eastAsia="zh-TW"/>
        </w:rPr>
        <w:t>截止时间</w:t>
      </w:r>
      <w:r>
        <w:rPr>
          <w:rFonts w:hint="eastAsia" w:ascii="宋体" w:hAnsi="宋体" w:cs="宋体"/>
          <w:szCs w:val="21"/>
        </w:rPr>
        <w:t>少于一个工作日的，</w:t>
      </w:r>
      <w:r>
        <w:rPr>
          <w:rFonts w:hint="eastAsia" w:ascii="宋体" w:hAnsi="宋体"/>
        </w:rPr>
        <w:t>采购人或者采购代理机构应当相应顺延报名的截止时间。</w:t>
      </w:r>
    </w:p>
    <w:p w14:paraId="70EAB1CE">
      <w:pPr>
        <w:numPr>
          <w:ilvl w:val="0"/>
          <w:numId w:val="4"/>
        </w:numPr>
        <w:spacing w:line="360" w:lineRule="auto"/>
        <w:rPr>
          <w:rFonts w:ascii="宋体" w:hAnsi="宋体"/>
        </w:rPr>
      </w:pPr>
      <w:r>
        <w:rPr>
          <w:rFonts w:hint="eastAsia" w:ascii="宋体" w:hAnsi="宋体"/>
        </w:rPr>
        <w:t>采购人或者采购代理机构发出的澄清或修改（更正/变更）的内容为竞价文件的组成部分，并对供应商具有约束力。</w:t>
      </w:r>
    </w:p>
    <w:p w14:paraId="3AAF13D0">
      <w:pPr>
        <w:numPr>
          <w:ilvl w:val="0"/>
          <w:numId w:val="2"/>
        </w:numPr>
        <w:spacing w:line="360" w:lineRule="auto"/>
        <w:rPr>
          <w:rFonts w:ascii="宋体" w:hAnsi="宋体"/>
          <w:b/>
          <w:bCs/>
          <w:szCs w:val="21"/>
        </w:rPr>
      </w:pPr>
      <w:r>
        <w:rPr>
          <w:rFonts w:hint="eastAsia" w:ascii="宋体" w:hAnsi="宋体" w:cs="宋体"/>
          <w:b/>
          <w:bCs/>
          <w:szCs w:val="21"/>
        </w:rPr>
        <w:t>报名要求（</w:t>
      </w:r>
      <w:r>
        <w:rPr>
          <w:rFonts w:hint="eastAsia" w:ascii="宋体" w:hAnsi="宋体" w:cs="宋体"/>
          <w:szCs w:val="21"/>
        </w:rPr>
        <w:t>参与竞价的</w:t>
      </w:r>
      <w:r>
        <w:rPr>
          <w:rFonts w:hint="eastAsia" w:ascii="宋体" w:hAnsi="宋体" w:cs="宋体"/>
          <w:b/>
          <w:bCs/>
          <w:szCs w:val="21"/>
        </w:rPr>
        <w:t>供应商资质要求</w:t>
      </w:r>
      <w:r>
        <w:rPr>
          <w:rFonts w:ascii="宋体" w:hAnsi="宋体" w:cs="宋体"/>
          <w:b/>
          <w:bCs/>
          <w:szCs w:val="21"/>
        </w:rPr>
        <w:t>:</w:t>
      </w:r>
      <w:r>
        <w:rPr>
          <w:rFonts w:ascii="宋体" w:hAnsi="宋体" w:cs="宋体"/>
          <w:szCs w:val="21"/>
        </w:rPr>
        <w:t xml:space="preserve"> </w:t>
      </w:r>
      <w:r>
        <w:rPr>
          <w:rFonts w:hint="eastAsia" w:ascii="宋体" w:hAnsi="宋体" w:cs="宋体"/>
          <w:szCs w:val="21"/>
        </w:rPr>
        <w:t>报名时需要提供以下盖章资料，并对上传的报名文件资料承担责任</w:t>
      </w:r>
      <w:r>
        <w:rPr>
          <w:rFonts w:hint="eastAsia" w:ascii="宋体" w:hAnsi="宋体" w:cs="宋体"/>
          <w:b/>
          <w:bCs/>
          <w:szCs w:val="21"/>
        </w:rPr>
        <w:t>）</w:t>
      </w:r>
    </w:p>
    <w:p w14:paraId="74AA4288">
      <w:pPr>
        <w:pStyle w:val="59"/>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名供应商具有独立承担民事责任能力的在中华人民共和国境内注册的法人或其他组织（提供法人或其他组织的营业执照等证明材料）；如为独立法人设立的分支机构参加，响应人需提供独立法人出具的唯一响应授权书，授权书需明确响应人的权限范围，并提交独立法人有效的营业执照或法人登记证书复印件；</w:t>
      </w:r>
      <w:r>
        <w:rPr>
          <w:rFonts w:ascii="宋体" w:hAnsi="宋体"/>
          <w:color w:val="000000" w:themeColor="text1"/>
          <w14:textFill>
            <w14:solidFill>
              <w14:schemeClr w14:val="tx1"/>
            </w14:solidFill>
          </w14:textFill>
        </w:rPr>
        <w:t xml:space="preserve"> </w:t>
      </w:r>
    </w:p>
    <w:p w14:paraId="348EAEBB">
      <w:pPr>
        <w:pStyle w:val="59"/>
        <w:numPr>
          <w:ilvl w:val="0"/>
          <w:numId w:val="5"/>
        </w:numPr>
        <w:spacing w:line="360" w:lineRule="auto"/>
        <w:ind w:firstLineChars="0"/>
        <w:rPr>
          <w:rFonts w:ascii="宋体" w:hAnsi="宋体"/>
          <w:color w:val="000000" w:themeColor="text1"/>
          <w14:textFill>
            <w14:solidFill>
              <w14:schemeClr w14:val="tx1"/>
            </w14:solidFill>
          </w14:textFill>
        </w:rPr>
      </w:pPr>
      <w:r>
        <w:rPr>
          <w:rFonts w:hint="eastAsia"/>
        </w:rPr>
        <w:t>本项目供应商不得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失信主体、政府采购严重违法失信行为记录名单。本项目不允许分包或转包，不接受联合体参加，供应商须提供供应商资格声明函，格式详见附件；</w:t>
      </w:r>
    </w:p>
    <w:p w14:paraId="30CA54A3">
      <w:pPr>
        <w:pStyle w:val="59"/>
        <w:numPr>
          <w:ilvl w:val="0"/>
          <w:numId w:val="5"/>
        </w:numPr>
        <w:spacing w:line="360" w:lineRule="auto"/>
        <w:ind w:firstLineChars="0"/>
        <w:rPr>
          <w:rFonts w:ascii="宋体" w:hAnsi="宋体"/>
          <w:szCs w:val="21"/>
        </w:rPr>
      </w:pPr>
      <w:r>
        <w:rPr>
          <w:rFonts w:hint="eastAsia" w:ascii="宋体" w:hAnsi="宋体" w:cs="宋体"/>
          <w:kern w:val="0"/>
          <w:szCs w:val="21"/>
        </w:rPr>
        <w:t>供应商完全响应本项目用户需求的条款、内容及要求的，提供用户需求书响应声明函，格式详见附件；</w:t>
      </w:r>
    </w:p>
    <w:p w14:paraId="103E3BF3">
      <w:pPr>
        <w:pStyle w:val="59"/>
        <w:numPr>
          <w:ilvl w:val="0"/>
          <w:numId w:val="5"/>
        </w:numPr>
        <w:spacing w:line="360" w:lineRule="auto"/>
        <w:ind w:firstLineChars="0"/>
        <w:rPr>
          <w:rFonts w:ascii="宋体" w:hAnsi="宋体"/>
          <w:szCs w:val="21"/>
        </w:rPr>
      </w:pPr>
      <w:r>
        <w:rPr>
          <w:rFonts w:hint="eastAsia"/>
          <w:szCs w:val="21"/>
        </w:rPr>
        <w:t>经办人如是法定代表人，需提供法定代表人证明书；经办人如是供应商授权代表，需提供法定代表人授权委托书和法定代表人证明书</w:t>
      </w:r>
      <w:r>
        <w:rPr>
          <w:rFonts w:hint="eastAsia"/>
          <w:b/>
          <w:szCs w:val="21"/>
        </w:rPr>
        <w:t>，格式详见附件</w:t>
      </w:r>
      <w:r>
        <w:rPr>
          <w:rFonts w:hint="eastAsia"/>
          <w:szCs w:val="21"/>
        </w:rPr>
        <w:t>。</w:t>
      </w:r>
    </w:p>
    <w:p w14:paraId="0D19C7F9">
      <w:pPr>
        <w:numPr>
          <w:ilvl w:val="0"/>
          <w:numId w:val="2"/>
        </w:numPr>
        <w:spacing w:line="360" w:lineRule="auto"/>
        <w:rPr>
          <w:rFonts w:ascii="宋体" w:hAnsi="宋体"/>
          <w:b/>
          <w:bCs/>
          <w:szCs w:val="21"/>
        </w:rPr>
      </w:pPr>
      <w:r>
        <w:rPr>
          <w:rFonts w:hint="eastAsia" w:ascii="宋体" w:hAnsi="宋体" w:cs="宋体"/>
          <w:b/>
          <w:bCs/>
          <w:szCs w:val="21"/>
        </w:rPr>
        <w:t>报价要求（</w:t>
      </w:r>
      <w:r>
        <w:rPr>
          <w:rFonts w:hint="eastAsia" w:ascii="宋体" w:hAnsi="宋体" w:cs="宋体"/>
          <w:szCs w:val="21"/>
        </w:rPr>
        <w:t>报价时需要提供以下盖章资料，并对上传的竞价文件资料承担责任</w:t>
      </w:r>
      <w:r>
        <w:rPr>
          <w:rFonts w:hint="eastAsia" w:ascii="宋体" w:hAnsi="宋体" w:cs="宋体"/>
          <w:b/>
          <w:bCs/>
          <w:szCs w:val="21"/>
        </w:rPr>
        <w:t>）</w:t>
      </w:r>
    </w:p>
    <w:p w14:paraId="220FCAD3">
      <w:pPr>
        <w:numPr>
          <w:ilvl w:val="0"/>
          <w:numId w:val="6"/>
        </w:numPr>
        <w:spacing w:line="360" w:lineRule="auto"/>
        <w:rPr>
          <w:rFonts w:ascii="宋体" w:hAnsi="宋体"/>
          <w:szCs w:val="21"/>
        </w:rPr>
      </w:pPr>
      <w:r>
        <w:rPr>
          <w:rFonts w:hint="eastAsia" w:ascii="宋体" w:hAnsi="宋体" w:cs="宋体"/>
          <w:szCs w:val="21"/>
        </w:rPr>
        <w:t>通过报名供应商应根据本公告要求，在规定的竞价时间内对采购项目进行报价，同时按本公告要求完整</w:t>
      </w:r>
      <w:r>
        <w:rPr>
          <w:rFonts w:hint="eastAsia" w:ascii="宋体" w:hAnsi="宋体" w:cs="宋体"/>
          <w:szCs w:val="21"/>
          <w:lang w:eastAsia="zh-TW"/>
        </w:rPr>
        <w:t>、真实、准确地</w:t>
      </w:r>
      <w:r>
        <w:rPr>
          <w:rFonts w:hint="eastAsia" w:ascii="宋体" w:hAnsi="宋体" w:cs="宋体"/>
          <w:szCs w:val="21"/>
        </w:rPr>
        <w:t>填写并上传相应报价附件（</w:t>
      </w:r>
      <w:r>
        <w:rPr>
          <w:rFonts w:hint="eastAsia" w:ascii="宋体" w:hAnsi="宋体" w:cs="宋体"/>
          <w:b/>
          <w:bCs/>
          <w:szCs w:val="21"/>
        </w:rPr>
        <w:t>报价表</w:t>
      </w:r>
      <w:r>
        <w:rPr>
          <w:rFonts w:hint="eastAsia" w:ascii="宋体" w:hAnsi="宋体" w:cs="宋体"/>
          <w:szCs w:val="21"/>
        </w:rPr>
        <w:t>）。</w:t>
      </w:r>
    </w:p>
    <w:p w14:paraId="06C51AE6">
      <w:pPr>
        <w:pStyle w:val="59"/>
        <w:numPr>
          <w:ilvl w:val="0"/>
          <w:numId w:val="6"/>
        </w:numPr>
        <w:spacing w:line="360" w:lineRule="auto"/>
        <w:ind w:firstLineChars="0"/>
        <w:rPr>
          <w:rFonts w:ascii="宋体" w:hAnsi="宋体" w:cs="宋体"/>
          <w:szCs w:val="21"/>
        </w:rPr>
      </w:pPr>
      <w:r>
        <w:rPr>
          <w:rFonts w:hint="eastAsia" w:ascii="宋体" w:hAnsi="宋体" w:cs="宋体"/>
          <w:szCs w:val="21"/>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7B6664E">
      <w:pPr>
        <w:numPr>
          <w:ilvl w:val="0"/>
          <w:numId w:val="2"/>
        </w:numPr>
        <w:spacing w:line="360" w:lineRule="auto"/>
        <w:rPr>
          <w:rFonts w:ascii="宋体" w:hAnsi="宋体"/>
          <w:b/>
          <w:bCs/>
          <w:szCs w:val="21"/>
        </w:rPr>
      </w:pPr>
      <w:r>
        <w:rPr>
          <w:rFonts w:hint="eastAsia" w:ascii="宋体" w:hAnsi="宋体" w:cs="宋体"/>
          <w:b/>
          <w:bCs/>
          <w:szCs w:val="21"/>
        </w:rPr>
        <w:t>确定成交候选人</w:t>
      </w:r>
    </w:p>
    <w:p w14:paraId="62A26C48">
      <w:pPr>
        <w:pStyle w:val="59"/>
        <w:numPr>
          <w:ilvl w:val="0"/>
          <w:numId w:val="7"/>
        </w:numPr>
        <w:spacing w:line="360" w:lineRule="auto"/>
        <w:ind w:firstLineChars="0"/>
        <w:rPr>
          <w:rFonts w:ascii="宋体" w:hAnsi="宋体" w:cs="宋体"/>
          <w:szCs w:val="21"/>
        </w:rPr>
      </w:pPr>
      <w:r>
        <w:rPr>
          <w:rFonts w:hint="eastAsia" w:ascii="宋体" w:hAnsi="宋体" w:cs="宋体"/>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p>
    <w:p w14:paraId="1352BCC2">
      <w:pPr>
        <w:numPr>
          <w:ilvl w:val="0"/>
          <w:numId w:val="7"/>
        </w:numPr>
        <w:spacing w:line="360" w:lineRule="auto"/>
        <w:rPr>
          <w:rFonts w:ascii="宋体" w:hAnsi="宋体"/>
          <w:szCs w:val="21"/>
        </w:rPr>
      </w:pPr>
      <w:r>
        <w:rPr>
          <w:rFonts w:hint="eastAsia" w:ascii="宋体" w:hAnsi="宋体" w:cs="宋体"/>
          <w:szCs w:val="21"/>
        </w:rPr>
        <w:t>如各报价供应商提供的税率不一致时，则分别按下述规定计算各价格，如全部报价供应商税率都一致则无需转换价格。</w:t>
      </w:r>
    </w:p>
    <w:tbl>
      <w:tblPr>
        <w:tblStyle w:val="37"/>
        <w:tblW w:w="7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4"/>
        <w:gridCol w:w="3264"/>
      </w:tblGrid>
      <w:tr w14:paraId="771B4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121668F8">
            <w:pPr>
              <w:keepNext w:val="0"/>
              <w:keepLines w:val="0"/>
              <w:numPr>
                <w:ilvl w:val="255"/>
                <w:numId w:val="0"/>
              </w:numPr>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报价供应商提供的发票类型</w:t>
            </w:r>
          </w:p>
        </w:tc>
        <w:tc>
          <w:tcPr>
            <w:tcW w:w="3264" w:type="dxa"/>
          </w:tcPr>
          <w:p w14:paraId="2621E82C">
            <w:pPr>
              <w:keepNext w:val="0"/>
              <w:keepLines w:val="0"/>
              <w:numPr>
                <w:ilvl w:val="255"/>
                <w:numId w:val="0"/>
              </w:numPr>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价格计算</w:t>
            </w:r>
          </w:p>
        </w:tc>
      </w:tr>
      <w:tr w14:paraId="1B55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4" w:type="dxa"/>
          </w:tcPr>
          <w:p w14:paraId="24D42E9B">
            <w:pPr>
              <w:keepNext w:val="0"/>
              <w:keepLines w:val="0"/>
              <w:numPr>
                <w:ilvl w:val="255"/>
                <w:numId w:val="0"/>
              </w:numPr>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增值税专用发票</w:t>
            </w:r>
          </w:p>
        </w:tc>
        <w:tc>
          <w:tcPr>
            <w:tcW w:w="3264" w:type="dxa"/>
          </w:tcPr>
          <w:p w14:paraId="550CB23B">
            <w:pPr>
              <w:keepNext w:val="0"/>
              <w:keepLines w:val="0"/>
              <w:numPr>
                <w:ilvl w:val="255"/>
                <w:numId w:val="0"/>
              </w:numPr>
              <w:suppressLineNumbers w:val="0"/>
              <w:spacing w:before="0" w:beforeAutospacing="0" w:after="0" w:afterAutospacing="0" w:line="360" w:lineRule="auto"/>
              <w:ind w:left="0" w:right="0"/>
              <w:rPr>
                <w:rFonts w:hint="default" w:ascii="宋体" w:hAnsi="宋体"/>
                <w:szCs w:val="21"/>
              </w:rPr>
            </w:pPr>
            <w:r>
              <w:rPr>
                <w:rFonts w:hint="eastAsia" w:ascii="宋体" w:hAnsi="宋体"/>
                <w:szCs w:val="21"/>
              </w:rPr>
              <w:t>报价/（1+增值税率）</w:t>
            </w:r>
          </w:p>
        </w:tc>
      </w:tr>
    </w:tbl>
    <w:p w14:paraId="168717B0">
      <w:pPr>
        <w:numPr>
          <w:ilvl w:val="0"/>
          <w:numId w:val="2"/>
        </w:numPr>
        <w:spacing w:line="360" w:lineRule="auto"/>
        <w:rPr>
          <w:rFonts w:ascii="宋体" w:hAnsi="宋体"/>
          <w:b/>
          <w:bCs/>
          <w:szCs w:val="21"/>
        </w:rPr>
      </w:pPr>
      <w:r>
        <w:rPr>
          <w:rFonts w:hint="eastAsia" w:ascii="宋体" w:hAnsi="宋体" w:cs="宋体"/>
          <w:b/>
          <w:bCs/>
          <w:szCs w:val="21"/>
        </w:rPr>
        <w:t>无效报价</w:t>
      </w:r>
    </w:p>
    <w:p w14:paraId="46C3D693">
      <w:pPr>
        <w:pStyle w:val="59"/>
        <w:numPr>
          <w:ilvl w:val="0"/>
          <w:numId w:val="8"/>
        </w:numPr>
        <w:ind w:firstLineChars="0"/>
        <w:rPr>
          <w:rFonts w:ascii="宋体" w:hAnsi="宋体" w:cs="宋体"/>
          <w:szCs w:val="21"/>
        </w:rPr>
      </w:pPr>
      <w:r>
        <w:rPr>
          <w:rFonts w:hint="eastAsia" w:ascii="宋体" w:hAnsi="宋体" w:cs="宋体"/>
          <w:szCs w:val="21"/>
        </w:rPr>
        <w:t>参与竞价的供应商报价超过最高限价或低于最低限价或超过项目对应产品单项最高限价的视为无效报价。</w:t>
      </w:r>
    </w:p>
    <w:p w14:paraId="20CC17A8">
      <w:pPr>
        <w:numPr>
          <w:ilvl w:val="0"/>
          <w:numId w:val="8"/>
        </w:numPr>
        <w:spacing w:line="360" w:lineRule="auto"/>
        <w:rPr>
          <w:rFonts w:ascii="宋体" w:hAnsi="宋体"/>
          <w:szCs w:val="21"/>
        </w:rPr>
      </w:pPr>
      <w:r>
        <w:rPr>
          <w:rFonts w:hint="eastAsia" w:ascii="宋体" w:hAnsi="宋体" w:cs="宋体"/>
          <w:szCs w:val="21"/>
        </w:rPr>
        <w:t>参与竞价的供应商须提供本项目要求的资质文件，如果不按公告规定或竞价文件要求等相关规定提供符合要求的资质文件，将被视为无效报价；</w:t>
      </w:r>
    </w:p>
    <w:p w14:paraId="2F8D8B1A">
      <w:pPr>
        <w:numPr>
          <w:ilvl w:val="0"/>
          <w:numId w:val="8"/>
        </w:numPr>
        <w:spacing w:line="360" w:lineRule="auto"/>
        <w:rPr>
          <w:rFonts w:ascii="宋体" w:hAnsi="宋体"/>
          <w:szCs w:val="21"/>
        </w:rPr>
      </w:pPr>
      <w:r>
        <w:rPr>
          <w:rFonts w:hint="eastAsia" w:ascii="宋体" w:hAnsi="宋体" w:cs="宋体"/>
          <w:szCs w:val="21"/>
        </w:rPr>
        <w:t>参与竞价的供应商须对本项目采购内容进行整体报价，任何只对其中一部分内容进行的报价都被视为无效报价。</w:t>
      </w:r>
    </w:p>
    <w:p w14:paraId="6B2C0FC3">
      <w:pPr>
        <w:numPr>
          <w:ilvl w:val="0"/>
          <w:numId w:val="8"/>
        </w:numPr>
        <w:spacing w:line="360" w:lineRule="auto"/>
        <w:rPr>
          <w:rFonts w:ascii="宋体" w:hAnsi="宋体"/>
          <w:szCs w:val="21"/>
        </w:rPr>
      </w:pPr>
      <w:r>
        <w:rPr>
          <w:u w:val="double"/>
        </w:rPr>
        <w:t>报价表</w:t>
      </w:r>
      <w:r>
        <w:rPr>
          <w:rFonts w:hint="eastAsia"/>
          <w:u w:val="double"/>
        </w:rPr>
        <w:t>以及有报价供应商落款的报价文件</w:t>
      </w:r>
      <w:r>
        <w:rPr>
          <w:u w:val="double"/>
        </w:rPr>
        <w:t>必须加盖</w:t>
      </w:r>
      <w:r>
        <w:rPr>
          <w:rFonts w:hint="eastAsia"/>
          <w:u w:val="double"/>
        </w:rPr>
        <w:t>报价供应商</w:t>
      </w:r>
      <w:r>
        <w:rPr>
          <w:u w:val="double"/>
        </w:rPr>
        <w:t>公章，否则视为无效报价</w:t>
      </w:r>
    </w:p>
    <w:p w14:paraId="0A761D56">
      <w:pPr>
        <w:pStyle w:val="59"/>
        <w:numPr>
          <w:ilvl w:val="0"/>
          <w:numId w:val="8"/>
        </w:numPr>
        <w:spacing w:line="360" w:lineRule="auto"/>
        <w:ind w:firstLineChars="0"/>
        <w:rPr>
          <w:rFonts w:ascii="宋体" w:hAnsi="宋体" w:cs="宋体"/>
          <w:szCs w:val="21"/>
        </w:rPr>
      </w:pPr>
      <w:r>
        <w:rPr>
          <w:rFonts w:hint="eastAsia" w:ascii="宋体" w:hAnsi="宋体" w:cs="宋体"/>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6D21A6C">
      <w:pPr>
        <w:pStyle w:val="59"/>
        <w:numPr>
          <w:ilvl w:val="0"/>
          <w:numId w:val="8"/>
        </w:numPr>
        <w:spacing w:line="360" w:lineRule="auto"/>
        <w:ind w:firstLineChars="0"/>
        <w:rPr>
          <w:rFonts w:ascii="宋体" w:hAnsi="宋体" w:cs="宋体"/>
          <w:b/>
          <w:bCs/>
          <w:szCs w:val="21"/>
        </w:rPr>
      </w:pPr>
      <w:r>
        <w:rPr>
          <w:rFonts w:hint="eastAsia" w:ascii="宋体" w:hAnsi="宋体" w:cs="宋体"/>
          <w:b/>
          <w:bCs/>
          <w:szCs w:val="21"/>
        </w:rPr>
        <w:t>按有关法律、法规、规章属于报价无效的。</w:t>
      </w:r>
    </w:p>
    <w:p w14:paraId="62166555">
      <w:pPr>
        <w:pStyle w:val="59"/>
        <w:numPr>
          <w:ilvl w:val="0"/>
          <w:numId w:val="8"/>
        </w:numPr>
        <w:spacing w:line="360" w:lineRule="auto"/>
        <w:ind w:firstLineChars="0"/>
        <w:rPr>
          <w:rFonts w:ascii="宋体" w:hAnsi="宋体"/>
          <w:szCs w:val="21"/>
        </w:rPr>
      </w:pPr>
      <w:r>
        <w:rPr>
          <w:rFonts w:hint="eastAsia" w:ascii="宋体" w:hAnsi="宋体" w:cs="宋体"/>
          <w:b/>
          <w:bCs/>
          <w:szCs w:val="21"/>
        </w:rPr>
        <w:t>有下列情形之一的，视为串通竞价，其报价无效：</w:t>
      </w:r>
    </w:p>
    <w:p w14:paraId="6E2FC8ED">
      <w:pPr>
        <w:numPr>
          <w:ilvl w:val="0"/>
          <w:numId w:val="9"/>
        </w:numPr>
        <w:tabs>
          <w:tab w:val="left" w:pos="1260"/>
        </w:tabs>
        <w:spacing w:line="360" w:lineRule="auto"/>
        <w:rPr>
          <w:rFonts w:ascii="宋体" w:hAnsi="宋体"/>
          <w:szCs w:val="21"/>
        </w:rPr>
      </w:pPr>
      <w:r>
        <w:rPr>
          <w:rFonts w:hint="eastAsia" w:ascii="宋体"/>
        </w:rPr>
        <w:t>存在单位负责人为同一人或存在控股、管理关系的不同单位参与同一竞价项目；</w:t>
      </w:r>
    </w:p>
    <w:p w14:paraId="40588C8E">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不同供应商的响应文件由同一单位或者个人编制；</w:t>
      </w:r>
    </w:p>
    <w:p w14:paraId="10E197D7">
      <w:pPr>
        <w:numPr>
          <w:ilvl w:val="0"/>
          <w:numId w:val="9"/>
        </w:numPr>
        <w:tabs>
          <w:tab w:val="left" w:pos="1260"/>
        </w:tabs>
        <w:spacing w:line="360" w:lineRule="auto"/>
        <w:rPr>
          <w:rFonts w:ascii="宋体" w:hAnsi="宋体"/>
          <w:szCs w:val="21"/>
        </w:rPr>
      </w:pPr>
      <w:r>
        <w:rPr>
          <w:rFonts w:hint="eastAsia" w:ascii="宋体" w:hAnsi="宋体" w:cs="宋体"/>
          <w:szCs w:val="21"/>
        </w:rPr>
        <w:t>不同供应商委托同一单位或者个人办理竞价事宜；</w:t>
      </w:r>
    </w:p>
    <w:p w14:paraId="51DDDB56">
      <w:pPr>
        <w:numPr>
          <w:ilvl w:val="0"/>
          <w:numId w:val="9"/>
        </w:numPr>
        <w:tabs>
          <w:tab w:val="left" w:pos="1260"/>
        </w:tabs>
        <w:spacing w:line="360" w:lineRule="auto"/>
        <w:rPr>
          <w:rFonts w:ascii="宋体" w:hAnsi="宋体"/>
          <w:szCs w:val="21"/>
        </w:rPr>
      </w:pPr>
      <w:r>
        <w:rPr>
          <w:rFonts w:hint="eastAsia" w:ascii="宋体" w:hAnsi="宋体" w:cs="宋体"/>
          <w:szCs w:val="21"/>
        </w:rPr>
        <w:t>不同供应商使用同一</w:t>
      </w:r>
      <w:r>
        <w:rPr>
          <w:rFonts w:ascii="宋体" w:hAnsi="宋体" w:cs="宋体"/>
          <w:szCs w:val="21"/>
        </w:rPr>
        <w:t>IP</w:t>
      </w:r>
      <w:r>
        <w:rPr>
          <w:rFonts w:hint="eastAsia" w:ascii="宋体" w:hAnsi="宋体" w:cs="宋体"/>
          <w:szCs w:val="21"/>
        </w:rPr>
        <w:t>地址参与竞价；</w:t>
      </w:r>
    </w:p>
    <w:p w14:paraId="0298F588">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不同供应商的响应文件载明的项目管理成员或者联系人员为同一人；</w:t>
      </w:r>
    </w:p>
    <w:p w14:paraId="58A270E3">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不同供应商的响应文件异常一致或者报价呈规律性差异；</w:t>
      </w:r>
    </w:p>
    <w:p w14:paraId="6FF7A7D1">
      <w:pPr>
        <w:numPr>
          <w:ilvl w:val="0"/>
          <w:numId w:val="9"/>
        </w:numPr>
        <w:tabs>
          <w:tab w:val="left" w:pos="1260"/>
        </w:tabs>
        <w:spacing w:line="360" w:lineRule="auto"/>
        <w:rPr>
          <w:rFonts w:ascii="宋体" w:hAnsi="宋体"/>
          <w:szCs w:val="21"/>
        </w:rPr>
      </w:pPr>
      <w:r>
        <w:rPr>
          <w:rFonts w:hint="eastAsia" w:ascii="宋体" w:hAnsi="宋体" w:cs="宋体"/>
          <w:szCs w:val="21"/>
        </w:rPr>
        <w:t>不同供应商的响应文件相互混淆；</w:t>
      </w:r>
    </w:p>
    <w:p w14:paraId="7A1DDE57">
      <w:pPr>
        <w:numPr>
          <w:ilvl w:val="0"/>
          <w:numId w:val="9"/>
        </w:numPr>
        <w:tabs>
          <w:tab w:val="left" w:pos="1260"/>
        </w:tabs>
        <w:spacing w:line="360" w:lineRule="auto"/>
        <w:rPr>
          <w:rFonts w:ascii="宋体" w:hAnsi="宋体"/>
          <w:szCs w:val="21"/>
        </w:rPr>
      </w:pPr>
      <w:r>
        <w:rPr>
          <w:rFonts w:hint="eastAsia" w:ascii="宋体" w:hAnsi="宋体" w:cs="宋体"/>
          <w:szCs w:val="21"/>
        </w:rPr>
        <w:t>不同供应商的平台保障金从同一单位或者个人的账户转出；</w:t>
      </w:r>
    </w:p>
    <w:p w14:paraId="4E96B607">
      <w:pPr>
        <w:numPr>
          <w:ilvl w:val="0"/>
          <w:numId w:val="2"/>
        </w:numPr>
        <w:spacing w:line="360" w:lineRule="auto"/>
        <w:rPr>
          <w:rFonts w:ascii="宋体" w:hAnsi="宋体"/>
          <w:szCs w:val="21"/>
        </w:rPr>
      </w:pPr>
      <w:r>
        <w:rPr>
          <w:rFonts w:hint="eastAsia" w:ascii="宋体" w:hAnsi="宋体" w:cs="宋体"/>
          <w:b/>
          <w:bCs/>
          <w:szCs w:val="21"/>
        </w:rPr>
        <w:t>竞价活动失败</w:t>
      </w:r>
    </w:p>
    <w:p w14:paraId="0CEF3D17">
      <w:pPr>
        <w:numPr>
          <w:ilvl w:val="0"/>
          <w:numId w:val="10"/>
        </w:numPr>
        <w:spacing w:line="360" w:lineRule="auto"/>
        <w:rPr>
          <w:rFonts w:ascii="宋体" w:hAnsi="宋体"/>
          <w:szCs w:val="21"/>
        </w:rPr>
      </w:pPr>
      <w:r>
        <w:rPr>
          <w:rFonts w:hint="eastAsia" w:ascii="宋体" w:hAnsi="宋体" w:cs="宋体"/>
          <w:szCs w:val="21"/>
        </w:rPr>
        <w:t>报价供应商不足</w:t>
      </w:r>
      <w:r>
        <w:rPr>
          <w:rFonts w:ascii="宋体" w:hAnsi="宋体" w:cs="宋体"/>
          <w:szCs w:val="21"/>
        </w:rPr>
        <w:t>3</w:t>
      </w:r>
      <w:r>
        <w:rPr>
          <w:rFonts w:hint="eastAsia" w:ascii="宋体" w:hAnsi="宋体" w:cs="宋体"/>
          <w:szCs w:val="21"/>
        </w:rPr>
        <w:t>家，本次竞价活动失败；</w:t>
      </w:r>
    </w:p>
    <w:p w14:paraId="5B4CC33D">
      <w:pPr>
        <w:numPr>
          <w:ilvl w:val="0"/>
          <w:numId w:val="10"/>
        </w:numPr>
        <w:spacing w:line="360" w:lineRule="auto"/>
        <w:rPr>
          <w:rFonts w:ascii="宋体" w:hAnsi="宋体"/>
          <w:szCs w:val="21"/>
        </w:rPr>
      </w:pPr>
      <w:r>
        <w:rPr>
          <w:rFonts w:hint="eastAsia" w:ascii="宋体" w:hAnsi="宋体" w:cs="宋体"/>
          <w:szCs w:val="21"/>
        </w:rPr>
        <w:t>出现影响采购公正的违法、违规行为的；</w:t>
      </w:r>
    </w:p>
    <w:p w14:paraId="01B7FA6D">
      <w:pPr>
        <w:numPr>
          <w:ilvl w:val="0"/>
          <w:numId w:val="10"/>
        </w:numPr>
        <w:spacing w:line="360" w:lineRule="auto"/>
        <w:rPr>
          <w:rFonts w:ascii="宋体" w:hAnsi="宋体"/>
          <w:szCs w:val="21"/>
        </w:rPr>
      </w:pPr>
      <w:r>
        <w:rPr>
          <w:rFonts w:hint="eastAsia" w:ascii="宋体" w:hAnsi="宋体" w:cs="宋体"/>
          <w:szCs w:val="21"/>
        </w:rPr>
        <w:t>因重大变故，采购任务取消的；</w:t>
      </w:r>
    </w:p>
    <w:p w14:paraId="2D6114AC">
      <w:pPr>
        <w:numPr>
          <w:ilvl w:val="0"/>
          <w:numId w:val="2"/>
        </w:numPr>
        <w:spacing w:line="360" w:lineRule="auto"/>
        <w:rPr>
          <w:rFonts w:ascii="宋体" w:hAnsi="宋体"/>
          <w:b/>
          <w:bCs/>
          <w:szCs w:val="21"/>
        </w:rPr>
      </w:pPr>
      <w:r>
        <w:rPr>
          <w:rFonts w:hint="eastAsia" w:ascii="宋体" w:hAnsi="宋体" w:cs="宋体"/>
          <w:b/>
          <w:bCs/>
          <w:szCs w:val="21"/>
        </w:rPr>
        <w:t>平台使用费</w:t>
      </w:r>
    </w:p>
    <w:p w14:paraId="5233E7BA">
      <w:pPr>
        <w:numPr>
          <w:ilvl w:val="0"/>
          <w:numId w:val="11"/>
        </w:numPr>
        <w:tabs>
          <w:tab w:val="left" w:pos="425"/>
        </w:tabs>
        <w:spacing w:line="360" w:lineRule="auto"/>
        <w:rPr>
          <w:rFonts w:ascii="宋体" w:hAnsi="宋体"/>
          <w:szCs w:val="21"/>
        </w:rPr>
      </w:pPr>
      <w:r>
        <w:rPr>
          <w:rFonts w:hint="eastAsia" w:ascii="宋体" w:hAnsi="宋体" w:cs="宋体"/>
          <w:szCs w:val="21"/>
        </w:rPr>
        <w:t>成交供应商须向平台服务商云采链线上采购一体化平台缴纳平台使用费，金额为成交金额的</w:t>
      </w:r>
      <w:r>
        <w:rPr>
          <w:rFonts w:ascii="宋体" w:hAnsi="宋体" w:cs="宋体"/>
          <w:szCs w:val="21"/>
        </w:rPr>
        <w:t>1.5%</w:t>
      </w:r>
      <w:r>
        <w:rPr>
          <w:rFonts w:hint="eastAsia" w:ascii="宋体" w:hAnsi="宋体" w:cs="宋体"/>
          <w:szCs w:val="21"/>
        </w:rPr>
        <w:t>（四舍五入取整数）。</w:t>
      </w:r>
    </w:p>
    <w:p w14:paraId="4C2D32E9">
      <w:pPr>
        <w:numPr>
          <w:ilvl w:val="0"/>
          <w:numId w:val="11"/>
        </w:numPr>
        <w:tabs>
          <w:tab w:val="left" w:pos="425"/>
        </w:tabs>
        <w:spacing w:line="360" w:lineRule="auto"/>
        <w:rPr>
          <w:rFonts w:ascii="宋体" w:hAnsi="宋体"/>
          <w:szCs w:val="21"/>
        </w:rPr>
      </w:pPr>
      <w:r>
        <w:rPr>
          <w:rFonts w:hint="eastAsia" w:ascii="宋体" w:hAnsi="宋体" w:cs="宋体"/>
          <w:szCs w:val="21"/>
        </w:rPr>
        <w:t>成交供应商无正当理由放弃成交资格的必须按竞价公告等相关规定缴纳相应的平台使用费；</w:t>
      </w:r>
    </w:p>
    <w:p w14:paraId="4FA2CEDC">
      <w:pPr>
        <w:numPr>
          <w:ilvl w:val="0"/>
          <w:numId w:val="11"/>
        </w:numPr>
        <w:tabs>
          <w:tab w:val="left" w:pos="425"/>
        </w:tabs>
        <w:spacing w:line="360" w:lineRule="auto"/>
        <w:rPr>
          <w:rFonts w:ascii="宋体" w:hAnsi="宋体"/>
          <w:szCs w:val="21"/>
        </w:rPr>
      </w:pPr>
      <w:r>
        <w:rPr>
          <w:rFonts w:hint="eastAsia" w:ascii="宋体" w:hAnsi="宋体" w:cs="宋体"/>
          <w:szCs w:val="21"/>
        </w:rPr>
        <w:t>如确实因不可抗力放弃成交资格的，应在不可抗力发生后三个工作日内予以通知采购代理机构并提供相关的证明；如逾期，采购代理机构不予退还平台使用费；</w:t>
      </w:r>
    </w:p>
    <w:p w14:paraId="7AD46FDF">
      <w:pPr>
        <w:numPr>
          <w:ilvl w:val="0"/>
          <w:numId w:val="2"/>
        </w:numPr>
        <w:spacing w:line="360" w:lineRule="auto"/>
        <w:rPr>
          <w:rFonts w:ascii="宋体" w:hAnsi="宋体"/>
          <w:b/>
          <w:bCs/>
          <w:szCs w:val="21"/>
        </w:rPr>
      </w:pPr>
      <w:r>
        <w:rPr>
          <w:rFonts w:hint="eastAsia" w:ascii="宋体" w:hAnsi="宋体" w:cs="宋体"/>
          <w:b/>
          <w:bCs/>
          <w:szCs w:val="21"/>
        </w:rPr>
        <w:t>联系方式</w:t>
      </w:r>
    </w:p>
    <w:p w14:paraId="131522AC">
      <w:pPr>
        <w:spacing w:line="360" w:lineRule="auto"/>
        <w:ind w:left="420"/>
        <w:rPr>
          <w:rFonts w:ascii="宋体" w:hAnsi="宋体"/>
          <w:szCs w:val="21"/>
        </w:rPr>
      </w:pPr>
      <w:r>
        <w:rPr>
          <w:rFonts w:hint="eastAsia" w:ascii="宋体" w:hAnsi="宋体" w:cs="宋体"/>
          <w:szCs w:val="21"/>
        </w:rPr>
        <w:t>扫码关注微信公众号</w:t>
      </w:r>
      <w:r>
        <w:rPr>
          <w:rFonts w:ascii="宋体" w:hAnsi="宋体" w:cs="Calibri"/>
          <w:szCs w:val="21"/>
        </w:rPr>
        <w:t>“</w:t>
      </w:r>
      <w:r>
        <w:rPr>
          <w:rFonts w:hint="eastAsia" w:ascii="宋体" w:hAnsi="宋体" w:cs="宋体"/>
          <w:szCs w:val="21"/>
        </w:rPr>
        <w:t>云采链互联服务平台</w:t>
      </w:r>
      <w:r>
        <w:rPr>
          <w:rFonts w:ascii="宋体" w:hAnsi="宋体" w:cs="Calibri"/>
          <w:szCs w:val="21"/>
        </w:rPr>
        <w:t>”</w:t>
      </w:r>
      <w:r>
        <w:rPr>
          <w:rFonts w:hint="eastAsia" w:ascii="宋体" w:hAnsi="宋体" w:cs="宋体"/>
          <w:szCs w:val="21"/>
        </w:rPr>
        <w:t>，即可在线咨询相关事项；</w:t>
      </w:r>
    </w:p>
    <w:p w14:paraId="765EA0F7">
      <w:pPr>
        <w:widowControl/>
        <w:jc w:val="center"/>
      </w:pPr>
      <w:r>
        <w:drawing>
          <wp:anchor distT="0" distB="0" distL="114300" distR="114300" simplePos="0" relativeHeight="251659264" behindDoc="0" locked="0" layoutInCell="1" allowOverlap="1">
            <wp:simplePos x="0" y="0"/>
            <wp:positionH relativeFrom="column">
              <wp:posOffset>1882140</wp:posOffset>
            </wp:positionH>
            <wp:positionV relativeFrom="paragraph">
              <wp:posOffset>99060</wp:posOffset>
            </wp:positionV>
            <wp:extent cx="1371600" cy="137160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1371600" cy="1371600"/>
                    </a:xfrm>
                    <a:prstGeom prst="rect">
                      <a:avLst/>
                    </a:prstGeom>
                    <a:noFill/>
                    <a:ln w="9525">
                      <a:noFill/>
                      <a:miter lim="800000"/>
                      <a:headEnd/>
                      <a:tailEnd/>
                    </a:ln>
                  </pic:spPr>
                </pic:pic>
              </a:graphicData>
            </a:graphic>
          </wp:anchor>
        </w:drawing>
      </w:r>
      <w:r>
        <w:br w:type="page"/>
      </w:r>
    </w:p>
    <w:p w14:paraId="3912AE9B">
      <w:pPr>
        <w:jc w:val="center"/>
        <w:outlineLvl w:val="0"/>
        <w:rPr>
          <w:rFonts w:ascii="宋体" w:hAnsi="宋体" w:cs="宋体"/>
          <w:b/>
          <w:bCs/>
          <w:color w:val="000000" w:themeColor="text1"/>
          <w:sz w:val="32"/>
          <w:szCs w:val="32"/>
          <w14:textFill>
            <w14:solidFill>
              <w14:schemeClr w14:val="tx1"/>
            </w14:solidFill>
          </w14:textFill>
        </w:rPr>
      </w:pPr>
      <w:bookmarkStart w:id="1" w:name="_Hlk54791406"/>
      <w:r>
        <w:rPr>
          <w:rFonts w:hint="eastAsia" w:ascii="Cambria" w:hAnsi="Cambria" w:cs="宋体"/>
          <w:b/>
          <w:bCs/>
          <w:sz w:val="32"/>
          <w:szCs w:val="32"/>
        </w:rPr>
        <w:t>第二章 采购需求书</w:t>
      </w:r>
      <w:bookmarkEnd w:id="1"/>
    </w:p>
    <w:p w14:paraId="3FCF6747">
      <w:pPr>
        <w:pStyle w:val="135"/>
        <w:numPr>
          <w:ilvl w:val="0"/>
          <w:numId w:val="12"/>
        </w:numPr>
        <w:ind w:left="-420" w:leftChars="0" w:firstLine="420" w:firstLineChars="0"/>
        <w:rPr>
          <w:b/>
          <w:bCs/>
        </w:rPr>
      </w:pPr>
      <w:bookmarkStart w:id="2" w:name="_Toc202251078"/>
      <w:bookmarkStart w:id="3" w:name="_Toc202252037"/>
      <w:bookmarkStart w:id="4" w:name="_Toc202819882"/>
      <w:bookmarkStart w:id="5" w:name="_Toc202254108"/>
      <w:bookmarkStart w:id="6" w:name="_Toc202817000"/>
      <w:bookmarkStart w:id="7" w:name="_Toc351386973"/>
      <w:bookmarkStart w:id="8" w:name="_Toc202251703"/>
      <w:bookmarkStart w:id="9" w:name="_Toc202820355"/>
      <w:r>
        <w:rPr>
          <w:rFonts w:hint="eastAsia"/>
          <w:b/>
          <w:bCs/>
        </w:rPr>
        <w:t>项目一览表</w:t>
      </w:r>
    </w:p>
    <w:tbl>
      <w:tblPr>
        <w:tblStyle w:val="3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41"/>
        <w:gridCol w:w="677"/>
        <w:gridCol w:w="3612"/>
        <w:gridCol w:w="1989"/>
      </w:tblGrid>
      <w:tr w14:paraId="062FD4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15" w:type="pct"/>
            <w:tcBorders>
              <w:top w:val="single" w:color="auto" w:sz="12" w:space="0"/>
              <w:bottom w:val="single" w:color="auto" w:sz="2" w:space="0"/>
            </w:tcBorders>
            <w:shd w:val="clear" w:color="auto" w:fill="EEECE1"/>
            <w:vAlign w:val="center"/>
          </w:tcPr>
          <w:p w14:paraId="6E80DFA3">
            <w:pPr>
              <w:keepNext w:val="0"/>
              <w:keepLines w:val="0"/>
              <w:suppressLineNumbers w:val="0"/>
              <w:spacing w:before="0" w:beforeAutospacing="0" w:after="0" w:afterAutospacing="0"/>
              <w:ind w:left="0" w:right="0"/>
              <w:jc w:val="center"/>
              <w:rPr>
                <w:rFonts w:hint="default" w:ascii="宋体" w:hAnsi="宋体"/>
                <w:b/>
                <w:color w:val="000000" w:themeColor="text1"/>
                <w:sz w:val="21"/>
                <w:szCs w:val="21"/>
                <w14:textFill>
                  <w14:solidFill>
                    <w14:schemeClr w14:val="tx1"/>
                  </w14:solidFill>
                </w14:textFill>
              </w:rPr>
            </w:pPr>
            <w:bookmarkStart w:id="10" w:name="_Hlk536436587"/>
            <w:r>
              <w:rPr>
                <w:rFonts w:hint="eastAsia" w:ascii="宋体" w:hAnsi="宋体"/>
                <w:b/>
                <w:color w:val="000000" w:themeColor="text1"/>
                <w:sz w:val="21"/>
                <w:szCs w:val="21"/>
                <w14:textFill>
                  <w14:solidFill>
                    <w14:schemeClr w14:val="tx1"/>
                  </w14:solidFill>
                </w14:textFill>
              </w:rPr>
              <w:t>项目内容</w:t>
            </w:r>
          </w:p>
        </w:tc>
        <w:tc>
          <w:tcPr>
            <w:tcW w:w="397" w:type="pct"/>
            <w:tcBorders>
              <w:top w:val="single" w:color="auto" w:sz="12" w:space="0"/>
              <w:bottom w:val="single" w:color="auto" w:sz="2" w:space="0"/>
            </w:tcBorders>
            <w:shd w:val="clear" w:color="auto" w:fill="EEECE1"/>
            <w:vAlign w:val="center"/>
          </w:tcPr>
          <w:p w14:paraId="7D65F91A">
            <w:pPr>
              <w:keepNext w:val="0"/>
              <w:keepLines w:val="0"/>
              <w:suppressLineNumbers w:val="0"/>
              <w:spacing w:before="0" w:beforeAutospacing="0" w:after="0" w:afterAutospacing="0"/>
              <w:ind w:left="0" w:right="0"/>
              <w:jc w:val="center"/>
              <w:rPr>
                <w:rFonts w:hint="default"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数量</w:t>
            </w:r>
          </w:p>
        </w:tc>
        <w:tc>
          <w:tcPr>
            <w:tcW w:w="2119" w:type="pct"/>
            <w:tcBorders>
              <w:top w:val="single" w:color="auto" w:sz="12" w:space="0"/>
              <w:bottom w:val="single" w:color="auto" w:sz="2" w:space="0"/>
            </w:tcBorders>
            <w:shd w:val="clear" w:color="auto" w:fill="EEECE1"/>
            <w:vAlign w:val="center"/>
          </w:tcPr>
          <w:p w14:paraId="7F517155">
            <w:pPr>
              <w:keepNext w:val="0"/>
              <w:keepLines w:val="0"/>
              <w:suppressLineNumbers w:val="0"/>
              <w:spacing w:before="0" w:beforeAutospacing="0" w:after="0" w:afterAutospacing="0"/>
              <w:ind w:left="0" w:right="0"/>
              <w:jc w:val="center"/>
              <w:rPr>
                <w:rFonts w:hint="eastAsia" w:ascii="宋体" w:hAnsi="宋体" w:eastAsia="宋体"/>
                <w:b/>
                <w:color w:val="000000" w:themeColor="text1"/>
                <w:sz w:val="21"/>
                <w:szCs w:val="21"/>
                <w:lang w:eastAsia="zh-CN"/>
                <w14:textFill>
                  <w14:solidFill>
                    <w14:schemeClr w14:val="tx1"/>
                  </w14:solidFill>
                </w14:textFill>
              </w:rPr>
            </w:pPr>
            <w:r>
              <w:rPr>
                <w:rFonts w:hint="eastAsia" w:ascii="宋体" w:hAnsi="宋体"/>
                <w:b/>
                <w:color w:val="000000" w:themeColor="text1"/>
                <w:sz w:val="21"/>
                <w:szCs w:val="21"/>
                <w:lang w:val="en-US" w:eastAsia="zh-CN"/>
                <w14:textFill>
                  <w14:solidFill>
                    <w14:schemeClr w14:val="tx1"/>
                  </w14:solidFill>
                </w14:textFill>
              </w:rPr>
              <w:t>供货期</w:t>
            </w:r>
          </w:p>
        </w:tc>
        <w:tc>
          <w:tcPr>
            <w:tcW w:w="1167" w:type="pct"/>
            <w:tcBorders>
              <w:top w:val="single" w:color="auto" w:sz="12" w:space="0"/>
              <w:bottom w:val="single" w:color="auto" w:sz="2" w:space="0"/>
            </w:tcBorders>
            <w:shd w:val="clear" w:color="auto" w:fill="EEECE1"/>
            <w:vAlign w:val="center"/>
          </w:tcPr>
          <w:p w14:paraId="059C4777">
            <w:pPr>
              <w:keepNext w:val="0"/>
              <w:keepLines w:val="0"/>
              <w:suppressLineNumbers w:val="0"/>
              <w:spacing w:before="0" w:beforeAutospacing="0" w:after="0" w:afterAutospacing="0"/>
              <w:ind w:left="0" w:right="0"/>
              <w:jc w:val="center"/>
              <w:rPr>
                <w:rFonts w:hint="default" w:ascii="宋体" w:hAnsi="宋体"/>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预算金额（含税）</w:t>
            </w:r>
          </w:p>
        </w:tc>
      </w:tr>
      <w:tr w14:paraId="20580F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15" w:type="pct"/>
            <w:tcBorders>
              <w:top w:val="single" w:color="auto" w:sz="2" w:space="0"/>
            </w:tcBorders>
            <w:vAlign w:val="center"/>
          </w:tcPr>
          <w:p w14:paraId="44C02F43">
            <w:pPr>
              <w:keepNext w:val="0"/>
              <w:keepLines w:val="0"/>
              <w:suppressLineNumbers w:val="0"/>
              <w:spacing w:before="0" w:beforeAutospacing="0" w:after="0" w:afterAutospacing="0"/>
              <w:ind w:left="0" w:right="0"/>
              <w:jc w:val="center"/>
              <w:rPr>
                <w:rFonts w:hint="eastAsia" w:ascii="宋体" w:hAnsi="宋体" w:eastAsia="宋体"/>
                <w:color w:val="000000" w:themeColor="text1"/>
                <w:kern w:val="0"/>
                <w:sz w:val="21"/>
                <w:szCs w:val="21"/>
                <w:lang w:eastAsia="zh-CN"/>
                <w14:textFill>
                  <w14:solidFill>
                    <w14:schemeClr w14:val="tx1"/>
                  </w14:solidFill>
                </w14:textFill>
              </w:rPr>
            </w:pPr>
            <w:r>
              <w:rPr>
                <w:rFonts w:hint="eastAsia" w:ascii="宋体" w:hAnsi="宋体" w:cs="Calibri"/>
                <w:color w:val="000000" w:themeColor="text1"/>
                <w:sz w:val="21"/>
                <w:szCs w:val="21"/>
                <w:lang w:eastAsia="zh-CN"/>
                <w14:textFill>
                  <w14:solidFill>
                    <w14:schemeClr w14:val="tx1"/>
                  </w14:solidFill>
                </w14:textFill>
              </w:rPr>
              <w:t>2025年佛山高明分公司办公设备配置项目</w:t>
            </w:r>
          </w:p>
        </w:tc>
        <w:tc>
          <w:tcPr>
            <w:tcW w:w="397" w:type="pct"/>
            <w:tcBorders>
              <w:top w:val="single" w:color="auto" w:sz="2" w:space="0"/>
            </w:tcBorders>
            <w:vAlign w:val="center"/>
          </w:tcPr>
          <w:p w14:paraId="76245B2C">
            <w:pPr>
              <w:keepNext w:val="0"/>
              <w:keepLines w:val="0"/>
              <w:suppressLineNumbers w:val="0"/>
              <w:spacing w:before="0" w:beforeAutospacing="0" w:after="0" w:afterAutospacing="0"/>
              <w:ind w:left="0" w:right="0"/>
              <w:jc w:val="center"/>
              <w:rPr>
                <w:rFonts w:hint="eastAsia" w:ascii="宋体" w:hAnsi="宋体" w:eastAsia="宋体"/>
                <w:color w:val="000000" w:themeColor="text1"/>
                <w:kern w:val="0"/>
                <w:sz w:val="21"/>
                <w:szCs w:val="21"/>
                <w:lang w:val="en-US" w:eastAsia="zh-CN"/>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1</w:t>
            </w:r>
            <w:r>
              <w:rPr>
                <w:rFonts w:hint="eastAsia" w:ascii="宋体" w:hAnsi="宋体"/>
                <w:color w:val="000000" w:themeColor="text1"/>
                <w:kern w:val="0"/>
                <w:sz w:val="21"/>
                <w:szCs w:val="21"/>
                <w:lang w:val="en-US" w:eastAsia="zh-CN"/>
                <w14:textFill>
                  <w14:solidFill>
                    <w14:schemeClr w14:val="tx1"/>
                  </w14:solidFill>
                </w14:textFill>
              </w:rPr>
              <w:t>批</w:t>
            </w:r>
          </w:p>
        </w:tc>
        <w:tc>
          <w:tcPr>
            <w:tcW w:w="2119" w:type="pct"/>
            <w:tcBorders>
              <w:top w:val="single" w:color="auto" w:sz="2" w:space="0"/>
            </w:tcBorders>
            <w:vAlign w:val="center"/>
          </w:tcPr>
          <w:p w14:paraId="69D8907F">
            <w:pPr>
              <w:pStyle w:val="112"/>
              <w:keepLines w:val="0"/>
              <w:suppressLineNumbers w:val="0"/>
              <w:spacing w:beforeAutospacing="0" w:afterAutospacing="0"/>
              <w:ind w:left="0" w:right="0"/>
              <w:rPr>
                <w:rFonts w:hint="default" w:ascii="宋体" w:hAnsi="宋体"/>
                <w:bCs/>
                <w:color w:val="000000" w:themeColor="text1"/>
                <w:spacing w:val="0"/>
                <w:sz w:val="21"/>
                <w:szCs w:val="21"/>
                <w14:textFill>
                  <w14:solidFill>
                    <w14:schemeClr w14:val="tx1"/>
                  </w14:solidFill>
                </w14:textFill>
              </w:rPr>
            </w:pPr>
            <w:bookmarkStart w:id="50" w:name="_GoBack"/>
            <w:r>
              <w:rPr>
                <w:rFonts w:hint="eastAsia" w:ascii="宋体" w:hAnsi="宋体" w:eastAsia="宋体" w:cs="宋体"/>
                <w:color w:val="000000"/>
                <w:sz w:val="21"/>
                <w:szCs w:val="21"/>
              </w:rPr>
              <w:t>合同签订生效</w:t>
            </w:r>
            <w:r>
              <w:rPr>
                <w:rFonts w:hint="eastAsia" w:ascii="宋体" w:hAnsi="宋体" w:eastAsia="宋体" w:cs="宋体"/>
                <w:color w:val="000000"/>
                <w:sz w:val="21"/>
                <w:szCs w:val="21"/>
                <w:lang w:eastAsia="zh-CN"/>
              </w:rPr>
              <w:t>且</w:t>
            </w:r>
            <w:r>
              <w:rPr>
                <w:rFonts w:hint="eastAsia" w:ascii="宋体" w:hAnsi="宋体" w:eastAsia="宋体" w:cs="宋体"/>
                <w:color w:val="000000"/>
                <w:kern w:val="0"/>
                <w:sz w:val="21"/>
                <w:szCs w:val="21"/>
                <w:lang w:val="en-US" w:eastAsia="zh-CN" w:bidi="ar-SA"/>
              </w:rPr>
              <w:t>收到书面订货单</w:t>
            </w:r>
            <w:r>
              <w:rPr>
                <w:rFonts w:hint="eastAsia" w:ascii="宋体" w:hAnsi="宋体" w:eastAsia="宋体" w:cs="宋体"/>
                <w:color w:val="000000"/>
                <w:sz w:val="21"/>
                <w:szCs w:val="21"/>
              </w:rPr>
              <w:t>后</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个工作日内成交供应商完成所有设备的送货安装调试</w:t>
            </w:r>
            <w:r>
              <w:rPr>
                <w:rFonts w:hint="eastAsia" w:ascii="宋体" w:hAnsi="宋体" w:eastAsia="宋体" w:cs="宋体"/>
                <w:color w:val="000000"/>
                <w:sz w:val="21"/>
                <w:szCs w:val="21"/>
                <w:lang w:eastAsia="zh-CN"/>
              </w:rPr>
              <w:t>。</w:t>
            </w:r>
            <w:bookmarkEnd w:id="50"/>
          </w:p>
        </w:tc>
        <w:tc>
          <w:tcPr>
            <w:tcW w:w="1167" w:type="pct"/>
            <w:tcBorders>
              <w:top w:val="single" w:color="auto" w:sz="2" w:space="0"/>
            </w:tcBorders>
            <w:vAlign w:val="center"/>
          </w:tcPr>
          <w:p w14:paraId="7D39FA10">
            <w:pPr>
              <w:keepNext w:val="0"/>
              <w:keepLines w:val="0"/>
              <w:suppressLineNumbers w:val="0"/>
              <w:spacing w:before="0" w:beforeAutospacing="0" w:after="0" w:afterAutospacing="0"/>
              <w:ind w:left="0" w:right="0"/>
              <w:jc w:val="center"/>
              <w:rPr>
                <w:rFonts w:hint="default" w:ascii="宋体" w:hAnsi="宋体"/>
                <w:color w:val="000000" w:themeColor="text1"/>
                <w:kern w:val="0"/>
                <w:sz w:val="21"/>
                <w:szCs w:val="21"/>
                <w14:textFill>
                  <w14:solidFill>
                    <w14:schemeClr w14:val="tx1"/>
                  </w14:solidFill>
                </w14:textFill>
              </w:rPr>
            </w:pPr>
            <w:r>
              <w:rPr>
                <w:rFonts w:hint="eastAsia" w:ascii="宋体" w:hAnsi="宋体"/>
                <w:color w:val="000000" w:themeColor="text1"/>
                <w:kern w:val="0"/>
                <w:sz w:val="21"/>
                <w:szCs w:val="21"/>
                <w14:textFill>
                  <w14:solidFill>
                    <w14:schemeClr w14:val="tx1"/>
                  </w14:solidFill>
                </w14:textFill>
              </w:rPr>
              <w:t>人民币</w:t>
            </w:r>
            <w:r>
              <w:rPr>
                <w:rFonts w:hint="eastAsia" w:ascii="宋体" w:hAnsi="宋体" w:eastAsia="宋体" w:cs="宋体"/>
                <w:bCs/>
                <w:sz w:val="21"/>
                <w:szCs w:val="21"/>
                <w:lang w:val="en-US" w:eastAsia="zh-CN"/>
              </w:rPr>
              <w:t>24500</w:t>
            </w:r>
            <w:r>
              <w:rPr>
                <w:rFonts w:hint="eastAsia" w:ascii="宋体" w:hAnsi="宋体"/>
                <w:color w:val="000000" w:themeColor="text1"/>
                <w:kern w:val="0"/>
                <w:sz w:val="21"/>
                <w:szCs w:val="21"/>
                <w14:textFill>
                  <w14:solidFill>
                    <w14:schemeClr w14:val="tx1"/>
                  </w14:solidFill>
                </w14:textFill>
              </w:rPr>
              <w:t>元</w:t>
            </w:r>
          </w:p>
        </w:tc>
      </w:tr>
      <w:bookmarkEnd w:id="10"/>
    </w:tbl>
    <w:p w14:paraId="237617F8">
      <w:pPr>
        <w:pStyle w:val="135"/>
        <w:numPr>
          <w:ilvl w:val="0"/>
          <w:numId w:val="12"/>
        </w:numPr>
        <w:ind w:left="-420" w:leftChars="0" w:firstLine="420" w:firstLineChars="0"/>
        <w:rPr>
          <w:rFonts w:hint="eastAsia" w:ascii="宋体" w:hAnsi="宋体" w:eastAsia="宋体" w:cs="宋体"/>
          <w:b/>
          <w:kern w:val="0"/>
          <w:sz w:val="21"/>
          <w:szCs w:val="21"/>
        </w:rPr>
      </w:pPr>
      <w:r>
        <w:rPr>
          <w:rFonts w:hint="eastAsia" w:ascii="宋体" w:hAnsi="宋体" w:eastAsia="宋体" w:cs="宋体"/>
          <w:b/>
          <w:kern w:val="0"/>
          <w:sz w:val="21"/>
          <w:szCs w:val="21"/>
        </w:rPr>
        <w:t>项目概</w:t>
      </w:r>
      <w:r>
        <w:rPr>
          <w:rFonts w:hint="eastAsia" w:ascii="宋体" w:hAnsi="宋体" w:eastAsia="宋体" w:cs="宋体"/>
          <w:b/>
          <w:kern w:val="0"/>
          <w:sz w:val="21"/>
          <w:szCs w:val="21"/>
          <w:lang w:eastAsia="zh-CN"/>
        </w:rPr>
        <w:t>述</w:t>
      </w:r>
    </w:p>
    <w:p w14:paraId="449001BF">
      <w:pPr>
        <w:keepNext w:val="0"/>
        <w:keepLines w:val="0"/>
        <w:pageBreakBefore w:val="0"/>
        <w:numPr>
          <w:ilvl w:val="0"/>
          <w:numId w:val="13"/>
        </w:numPr>
        <w:tabs>
          <w:tab w:val="left" w:pos="9354"/>
        </w:tabs>
        <w:kinsoku/>
        <w:wordWrap/>
        <w:overflowPunct/>
        <w:topLinePunct w:val="0"/>
        <w:autoSpaceDE/>
        <w:autoSpaceDN/>
        <w:bidi w:val="0"/>
        <w:adjustRightInd/>
        <w:snapToGrid/>
        <w:spacing w:line="360" w:lineRule="auto"/>
        <w:ind w:left="-210" w:leftChars="0" w:right="277" w:rightChars="132" w:firstLine="420" w:firstLineChars="0"/>
        <w:rPr>
          <w:rFonts w:hint="eastAsia" w:ascii="宋体" w:hAnsi="宋体" w:eastAsia="宋体" w:cs="宋体"/>
          <w:bCs/>
          <w:sz w:val="21"/>
          <w:szCs w:val="21"/>
          <w:lang w:val="zh-CN"/>
        </w:rPr>
      </w:pPr>
      <w:r>
        <w:rPr>
          <w:rFonts w:hint="eastAsia" w:ascii="宋体" w:hAnsi="宋体" w:eastAsia="宋体" w:cs="宋体"/>
          <w:bCs/>
          <w:sz w:val="21"/>
          <w:szCs w:val="21"/>
          <w:lang w:val="zh-CN"/>
        </w:rPr>
        <w:t>单位：广东省广播电视网络股份有限公司佛山高明分公司</w:t>
      </w:r>
    </w:p>
    <w:p w14:paraId="15D7CB35">
      <w:pPr>
        <w:keepNext w:val="0"/>
        <w:keepLines w:val="0"/>
        <w:pageBreakBefore w:val="0"/>
        <w:numPr>
          <w:ilvl w:val="0"/>
          <w:numId w:val="13"/>
        </w:numPr>
        <w:tabs>
          <w:tab w:val="left" w:pos="9354"/>
        </w:tabs>
        <w:kinsoku/>
        <w:wordWrap/>
        <w:overflowPunct/>
        <w:topLinePunct w:val="0"/>
        <w:autoSpaceDE/>
        <w:autoSpaceDN/>
        <w:bidi w:val="0"/>
        <w:adjustRightInd/>
        <w:snapToGrid/>
        <w:spacing w:line="360" w:lineRule="auto"/>
        <w:ind w:left="-210" w:leftChars="0" w:right="277" w:rightChars="132" w:firstLine="420" w:firstLineChars="0"/>
        <w:rPr>
          <w:rFonts w:hint="eastAsia" w:ascii="宋体" w:hAnsi="宋体" w:eastAsia="宋体" w:cs="宋体"/>
          <w:bCs/>
          <w:sz w:val="21"/>
          <w:szCs w:val="21"/>
          <w:lang w:val="zh-CN"/>
        </w:rPr>
      </w:pPr>
      <w:r>
        <w:rPr>
          <w:rFonts w:hint="eastAsia" w:ascii="宋体" w:hAnsi="宋体" w:eastAsia="宋体" w:cs="宋体"/>
          <w:bCs/>
          <w:sz w:val="21"/>
          <w:szCs w:val="21"/>
          <w:lang w:val="zh-CN"/>
        </w:rPr>
        <w:t>项目名称：2025年佛山高明分公司办公设备配置项目</w:t>
      </w:r>
    </w:p>
    <w:p w14:paraId="308A4E03">
      <w:pPr>
        <w:keepNext w:val="0"/>
        <w:keepLines w:val="0"/>
        <w:pageBreakBefore w:val="0"/>
        <w:numPr>
          <w:ilvl w:val="0"/>
          <w:numId w:val="13"/>
        </w:numPr>
        <w:tabs>
          <w:tab w:val="left" w:pos="9354"/>
        </w:tabs>
        <w:kinsoku/>
        <w:wordWrap/>
        <w:overflowPunct/>
        <w:topLinePunct w:val="0"/>
        <w:autoSpaceDE/>
        <w:autoSpaceDN/>
        <w:bidi w:val="0"/>
        <w:adjustRightInd/>
        <w:snapToGrid/>
        <w:spacing w:line="360" w:lineRule="auto"/>
        <w:ind w:left="-210" w:leftChars="0" w:right="277" w:rightChars="132" w:firstLine="420" w:firstLineChars="0"/>
        <w:rPr>
          <w:rFonts w:hint="eastAsia" w:ascii="宋体" w:hAnsi="宋体" w:eastAsia="宋体" w:cs="宋体"/>
          <w:bCs/>
          <w:sz w:val="21"/>
          <w:szCs w:val="21"/>
          <w:lang w:val="zh-CN" w:eastAsia="zh-CN"/>
        </w:rPr>
      </w:pPr>
      <w:r>
        <w:rPr>
          <w:rFonts w:hint="eastAsia" w:ascii="宋体" w:hAnsi="宋体" w:eastAsia="宋体" w:cs="宋体"/>
          <w:bCs/>
          <w:sz w:val="21"/>
          <w:szCs w:val="21"/>
          <w:lang w:val="zh-CN"/>
        </w:rPr>
        <w:t>项目简介：按照高明分公司日常工作的实际使用需求，需新购置一批新的办公设备</w:t>
      </w:r>
      <w:r>
        <w:rPr>
          <w:rFonts w:hint="eastAsia" w:ascii="宋体" w:hAnsi="宋体" w:eastAsia="宋体" w:cs="宋体"/>
          <w:bCs/>
          <w:sz w:val="21"/>
          <w:szCs w:val="21"/>
          <w:lang w:val="zh-CN" w:eastAsia="zh-CN"/>
        </w:rPr>
        <w:t>。</w:t>
      </w:r>
    </w:p>
    <w:p w14:paraId="2F6C2D49">
      <w:pPr>
        <w:keepNext w:val="0"/>
        <w:keepLines w:val="0"/>
        <w:pageBreakBefore w:val="0"/>
        <w:numPr>
          <w:ilvl w:val="0"/>
          <w:numId w:val="13"/>
        </w:numPr>
        <w:tabs>
          <w:tab w:val="left" w:pos="9354"/>
        </w:tabs>
        <w:kinsoku/>
        <w:wordWrap/>
        <w:overflowPunct/>
        <w:topLinePunct w:val="0"/>
        <w:autoSpaceDE/>
        <w:autoSpaceDN/>
        <w:bidi w:val="0"/>
        <w:adjustRightInd/>
        <w:snapToGrid/>
        <w:spacing w:line="360" w:lineRule="auto"/>
        <w:ind w:left="-210" w:leftChars="0" w:right="277" w:rightChars="132" w:firstLine="420" w:firstLineChars="0"/>
        <w:rPr>
          <w:rFonts w:hint="eastAsia" w:ascii="宋体" w:hAnsi="宋体" w:eastAsia="宋体" w:cs="宋体"/>
          <w:bCs/>
          <w:sz w:val="21"/>
          <w:szCs w:val="21"/>
        </w:rPr>
      </w:pPr>
      <w:r>
        <w:rPr>
          <w:rFonts w:hint="eastAsia" w:ascii="宋体" w:hAnsi="宋体" w:eastAsia="宋体" w:cs="宋体"/>
          <w:color w:val="000000"/>
          <w:sz w:val="21"/>
          <w:szCs w:val="21"/>
          <w:lang w:val="zh-CN"/>
        </w:rPr>
        <w:t>项目预算总金额</w:t>
      </w:r>
      <w:r>
        <w:rPr>
          <w:rFonts w:hint="eastAsia" w:ascii="宋体" w:hAnsi="宋体" w:eastAsia="宋体" w:cs="宋体"/>
          <w:bCs/>
          <w:sz w:val="21"/>
          <w:szCs w:val="21"/>
          <w:lang w:val="zh-CN"/>
        </w:rPr>
        <w:t>：</w:t>
      </w:r>
      <w:r>
        <w:rPr>
          <w:rFonts w:hint="eastAsia" w:ascii="宋体" w:hAnsi="宋体" w:eastAsia="宋体" w:cs="宋体"/>
          <w:bCs/>
          <w:sz w:val="21"/>
          <w:szCs w:val="21"/>
          <w:lang w:val="en-US" w:eastAsia="zh-CN"/>
        </w:rPr>
        <w:t>24500</w:t>
      </w:r>
      <w:r>
        <w:rPr>
          <w:rFonts w:hint="eastAsia" w:ascii="宋体" w:hAnsi="宋体" w:eastAsia="宋体" w:cs="宋体"/>
          <w:bCs/>
          <w:sz w:val="21"/>
          <w:szCs w:val="21"/>
          <w:lang w:val="zh-CN"/>
        </w:rPr>
        <w:t>元。</w:t>
      </w:r>
    </w:p>
    <w:p w14:paraId="00D7F90A">
      <w:pPr>
        <w:keepNext w:val="0"/>
        <w:keepLines w:val="0"/>
        <w:pageBreakBefore w:val="0"/>
        <w:numPr>
          <w:ilvl w:val="0"/>
          <w:numId w:val="13"/>
        </w:numPr>
        <w:tabs>
          <w:tab w:val="left" w:pos="9354"/>
        </w:tabs>
        <w:kinsoku/>
        <w:wordWrap/>
        <w:overflowPunct/>
        <w:topLinePunct w:val="0"/>
        <w:autoSpaceDE/>
        <w:autoSpaceDN/>
        <w:bidi w:val="0"/>
        <w:adjustRightInd/>
        <w:snapToGrid/>
        <w:spacing w:line="360" w:lineRule="auto"/>
        <w:ind w:left="-210" w:leftChars="0" w:right="277" w:rightChars="132" w:firstLine="420" w:firstLineChars="0"/>
        <w:rPr>
          <w:rFonts w:hint="eastAsia" w:ascii="宋体" w:hAnsi="宋体" w:eastAsia="宋体" w:cs="宋体"/>
          <w:color w:val="000000"/>
          <w:sz w:val="21"/>
          <w:szCs w:val="21"/>
          <w:lang w:eastAsia="zh-CN"/>
        </w:rPr>
      </w:pPr>
      <w:r>
        <w:rPr>
          <w:rFonts w:hint="eastAsia" w:ascii="宋体" w:hAnsi="宋体" w:eastAsia="宋体" w:cs="宋体"/>
          <w:kern w:val="0"/>
          <w:sz w:val="21"/>
          <w:szCs w:val="21"/>
        </w:rPr>
        <w:t>交货期：</w:t>
      </w:r>
      <w:r>
        <w:rPr>
          <w:rFonts w:hint="eastAsia" w:ascii="宋体" w:hAnsi="宋体" w:eastAsia="宋体" w:cs="宋体"/>
          <w:color w:val="000000"/>
          <w:sz w:val="21"/>
          <w:szCs w:val="21"/>
        </w:rPr>
        <w:t>合同签订生效</w:t>
      </w:r>
      <w:r>
        <w:rPr>
          <w:rFonts w:hint="eastAsia" w:ascii="宋体" w:hAnsi="宋体" w:eastAsia="宋体" w:cs="宋体"/>
          <w:color w:val="000000"/>
          <w:sz w:val="21"/>
          <w:szCs w:val="21"/>
          <w:lang w:eastAsia="zh-CN"/>
        </w:rPr>
        <w:t>且</w:t>
      </w:r>
      <w:r>
        <w:rPr>
          <w:rFonts w:hint="eastAsia" w:ascii="宋体" w:hAnsi="宋体" w:eastAsia="宋体" w:cs="宋体"/>
          <w:color w:val="000000"/>
          <w:kern w:val="0"/>
          <w:sz w:val="21"/>
          <w:szCs w:val="21"/>
          <w:lang w:val="en-US" w:eastAsia="zh-CN" w:bidi="ar-SA"/>
        </w:rPr>
        <w:t>收到书面订货单</w:t>
      </w:r>
      <w:r>
        <w:rPr>
          <w:rFonts w:hint="eastAsia" w:ascii="宋体" w:hAnsi="宋体" w:eastAsia="宋体" w:cs="宋体"/>
          <w:color w:val="000000"/>
          <w:sz w:val="21"/>
          <w:szCs w:val="21"/>
        </w:rPr>
        <w:t>后</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个工作日内成交供应商完成所有设备的送货安装调试</w:t>
      </w:r>
      <w:r>
        <w:rPr>
          <w:rFonts w:hint="eastAsia" w:ascii="宋体" w:hAnsi="宋体" w:eastAsia="宋体" w:cs="宋体"/>
          <w:color w:val="000000"/>
          <w:sz w:val="21"/>
          <w:szCs w:val="21"/>
          <w:lang w:eastAsia="zh-CN"/>
        </w:rPr>
        <w:t>。</w:t>
      </w:r>
    </w:p>
    <w:p w14:paraId="2B4EE9FA">
      <w:pPr>
        <w:keepNext w:val="0"/>
        <w:keepLines w:val="0"/>
        <w:pageBreakBefore w:val="0"/>
        <w:numPr>
          <w:ilvl w:val="0"/>
          <w:numId w:val="13"/>
        </w:numPr>
        <w:tabs>
          <w:tab w:val="left" w:pos="9354"/>
        </w:tabs>
        <w:kinsoku/>
        <w:wordWrap/>
        <w:overflowPunct/>
        <w:topLinePunct w:val="0"/>
        <w:autoSpaceDE/>
        <w:autoSpaceDN/>
        <w:bidi w:val="0"/>
        <w:adjustRightInd/>
        <w:snapToGrid/>
        <w:spacing w:line="360" w:lineRule="auto"/>
        <w:ind w:left="-210" w:leftChars="0" w:right="277" w:rightChars="132" w:firstLine="420" w:firstLineChars="0"/>
        <w:rPr>
          <w:rFonts w:hint="eastAsia" w:ascii="宋体" w:hAnsi="宋体" w:eastAsia="宋体" w:cs="宋体"/>
          <w:kern w:val="0"/>
          <w:sz w:val="21"/>
          <w:szCs w:val="21"/>
          <w:lang w:val="en-US"/>
        </w:rPr>
      </w:pPr>
      <w:r>
        <w:rPr>
          <w:rFonts w:hint="eastAsia" w:ascii="宋体" w:hAnsi="宋体" w:eastAsia="宋体" w:cs="宋体"/>
          <w:kern w:val="0"/>
          <w:sz w:val="21"/>
          <w:szCs w:val="21"/>
        </w:rPr>
        <w:t>供货</w:t>
      </w:r>
      <w:r>
        <w:rPr>
          <w:rFonts w:hint="eastAsia" w:ascii="宋体" w:hAnsi="宋体" w:eastAsia="宋体" w:cs="宋体"/>
          <w:kern w:val="0"/>
          <w:sz w:val="21"/>
          <w:szCs w:val="21"/>
          <w:lang w:eastAsia="zh-CN"/>
        </w:rPr>
        <w:t>及安装</w:t>
      </w:r>
      <w:r>
        <w:rPr>
          <w:rFonts w:hint="eastAsia" w:ascii="宋体" w:hAnsi="宋体" w:eastAsia="宋体" w:cs="宋体"/>
          <w:kern w:val="0"/>
          <w:sz w:val="21"/>
          <w:szCs w:val="21"/>
        </w:rPr>
        <w:t>地点：</w:t>
      </w:r>
      <w:r>
        <w:rPr>
          <w:rFonts w:hint="eastAsia" w:ascii="宋体" w:hAnsi="宋体" w:eastAsia="宋体" w:cs="宋体"/>
          <w:kern w:val="0"/>
          <w:sz w:val="21"/>
          <w:szCs w:val="21"/>
          <w:lang w:eastAsia="zh-CN"/>
        </w:rPr>
        <w:t>佛山市高明区荷城怡乐路</w:t>
      </w:r>
      <w:r>
        <w:rPr>
          <w:rFonts w:hint="eastAsia" w:ascii="宋体" w:hAnsi="宋体" w:eastAsia="宋体" w:cs="宋体"/>
          <w:kern w:val="0"/>
          <w:sz w:val="21"/>
          <w:szCs w:val="21"/>
          <w:lang w:val="en-US" w:eastAsia="zh-CN"/>
        </w:rPr>
        <w:t>130号。</w:t>
      </w:r>
    </w:p>
    <w:p w14:paraId="38C66B68">
      <w:pPr>
        <w:keepNext w:val="0"/>
        <w:keepLines w:val="0"/>
        <w:pageBreakBefore w:val="0"/>
        <w:numPr>
          <w:ilvl w:val="0"/>
          <w:numId w:val="13"/>
        </w:numPr>
        <w:tabs>
          <w:tab w:val="left" w:pos="9354"/>
        </w:tabs>
        <w:kinsoku/>
        <w:wordWrap/>
        <w:overflowPunct/>
        <w:topLinePunct w:val="0"/>
        <w:autoSpaceDE/>
        <w:autoSpaceDN/>
        <w:bidi w:val="0"/>
        <w:adjustRightInd/>
        <w:snapToGrid/>
        <w:spacing w:line="360" w:lineRule="auto"/>
        <w:ind w:left="-210" w:leftChars="0" w:right="277" w:rightChars="132" w:firstLine="420" w:firstLineChars="0"/>
        <w:rPr>
          <w:rFonts w:hint="eastAsia" w:ascii="宋体" w:hAnsi="宋体" w:eastAsia="宋体" w:cs="宋体"/>
          <w:bCs/>
          <w:sz w:val="21"/>
          <w:szCs w:val="21"/>
        </w:rPr>
      </w:pPr>
      <w:r>
        <w:rPr>
          <w:rFonts w:hint="eastAsia" w:ascii="宋体" w:hAnsi="宋体" w:eastAsia="宋体" w:cs="宋体"/>
          <w:bCs/>
          <w:sz w:val="21"/>
          <w:szCs w:val="21"/>
          <w:lang w:eastAsia="zh-CN"/>
        </w:rPr>
        <w:t>成交供应商</w:t>
      </w:r>
      <w:r>
        <w:rPr>
          <w:rFonts w:hint="eastAsia" w:ascii="宋体" w:hAnsi="宋体" w:eastAsia="宋体" w:cs="宋体"/>
          <w:bCs/>
          <w:sz w:val="21"/>
          <w:szCs w:val="21"/>
        </w:rPr>
        <w:t>家数：1家</w:t>
      </w:r>
    </w:p>
    <w:p w14:paraId="4BBC1D5C">
      <w:pPr>
        <w:keepNext w:val="0"/>
        <w:keepLines w:val="0"/>
        <w:pageBreakBefore w:val="0"/>
        <w:numPr>
          <w:ilvl w:val="0"/>
          <w:numId w:val="13"/>
        </w:numPr>
        <w:tabs>
          <w:tab w:val="left" w:pos="9354"/>
        </w:tabs>
        <w:kinsoku/>
        <w:wordWrap/>
        <w:overflowPunct/>
        <w:topLinePunct w:val="0"/>
        <w:autoSpaceDE/>
        <w:autoSpaceDN/>
        <w:bidi w:val="0"/>
        <w:adjustRightInd/>
        <w:snapToGrid/>
        <w:spacing w:line="360" w:lineRule="auto"/>
        <w:ind w:left="-210" w:leftChars="0" w:right="277" w:rightChars="132" w:firstLine="420" w:firstLineChars="0"/>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资格条件：</w:t>
      </w:r>
    </w:p>
    <w:p w14:paraId="31FCA130">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具有独立承担民事责任能力的在中华人民共和国境内注册的法人或其他组织，提供有效的营业执照或法人登记证书复印件。如为独立法人设立的分支机构参加投标，</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需提供独立法人出具的唯一投标授权书，授权书需明确</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的权限范围，并提交独立法人有效的营业执照或法人登记证书复印件。</w:t>
      </w:r>
    </w:p>
    <w:p w14:paraId="7F66D753">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供应商</w:t>
      </w:r>
      <w:r>
        <w:rPr>
          <w:rFonts w:hint="eastAsia" w:ascii="宋体" w:hAnsi="宋体" w:eastAsia="宋体" w:cs="宋体"/>
          <w:color w:val="000000"/>
          <w:sz w:val="21"/>
          <w:szCs w:val="21"/>
        </w:rPr>
        <w:t>不得存在下列情形之一：被责令停业的；被暂停或取消投标资格的；财产被接管或冻结的；在最近三年内有骗取中标或严重违约的；在投标过程中因重大违规被采购人处罚的；在“信用中国”（www.creditchina.gov.cn）、中国政府采购网（www.ccgp.gov.cn）被列入失信被执行人、重大税收违法案件当事人名单、政府采购严重违法失信行为记录名单。</w:t>
      </w:r>
    </w:p>
    <w:p w14:paraId="5020E067">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.本项目不接受联合体，不得转包、不得分包。</w:t>
      </w:r>
    </w:p>
    <w:p w14:paraId="5D259FC9">
      <w:pPr>
        <w:pStyle w:val="135"/>
        <w:numPr>
          <w:ilvl w:val="0"/>
          <w:numId w:val="12"/>
        </w:numPr>
        <w:ind w:left="-420" w:leftChars="0" w:firstLine="420" w:firstLineChars="0"/>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采购内容：</w:t>
      </w:r>
    </w:p>
    <w:p w14:paraId="4E002C53">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rPr>
          <w:rFonts w:hint="eastAsia" w:ascii="宋体" w:hAnsi="宋体" w:eastAsia="宋体" w:cs="宋体"/>
          <w:b w:val="0"/>
          <w:bCs w:val="0"/>
          <w:color w:val="000000"/>
          <w:kern w:val="2"/>
          <w:sz w:val="21"/>
          <w:szCs w:val="21"/>
          <w:lang w:eastAsia="zh-CN"/>
        </w:rPr>
      </w:pPr>
      <w:r>
        <w:rPr>
          <w:rFonts w:hint="eastAsia" w:ascii="宋体" w:hAnsi="宋体" w:eastAsia="宋体" w:cs="宋体"/>
          <w:b w:val="0"/>
          <w:bCs w:val="0"/>
          <w:color w:val="000000"/>
          <w:kern w:val="2"/>
          <w:sz w:val="21"/>
          <w:szCs w:val="21"/>
          <w:lang w:eastAsia="zh-CN"/>
        </w:rPr>
        <w:t>办公设备采购明细表</w:t>
      </w:r>
    </w:p>
    <w:tbl>
      <w:tblPr>
        <w:tblStyle w:val="36"/>
        <w:tblW w:w="4998" w:type="pct"/>
        <w:tblInd w:w="0" w:type="dxa"/>
        <w:tblLayout w:type="autofit"/>
        <w:tblCellMar>
          <w:top w:w="0" w:type="dxa"/>
          <w:left w:w="108" w:type="dxa"/>
          <w:bottom w:w="0" w:type="dxa"/>
          <w:right w:w="108" w:type="dxa"/>
        </w:tblCellMar>
      </w:tblPr>
      <w:tblGrid>
        <w:gridCol w:w="631"/>
        <w:gridCol w:w="1074"/>
        <w:gridCol w:w="3851"/>
        <w:gridCol w:w="1845"/>
        <w:gridCol w:w="1118"/>
      </w:tblGrid>
      <w:tr w14:paraId="3CECDF06">
        <w:tblPrEx>
          <w:tblCellMar>
            <w:top w:w="0" w:type="dxa"/>
            <w:left w:w="108" w:type="dxa"/>
            <w:bottom w:w="0" w:type="dxa"/>
            <w:right w:w="108" w:type="dxa"/>
          </w:tblCellMar>
        </w:tblPrEx>
        <w:trPr>
          <w:trHeight w:val="532" w:hRule="atLeast"/>
        </w:trPr>
        <w:tc>
          <w:tcPr>
            <w:tcW w:w="3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9DFE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630" w:type="pct"/>
            <w:tcBorders>
              <w:top w:val="single" w:color="auto" w:sz="4" w:space="0"/>
              <w:left w:val="nil"/>
              <w:bottom w:val="single" w:color="auto" w:sz="4" w:space="0"/>
              <w:right w:val="single" w:color="auto" w:sz="4" w:space="0"/>
            </w:tcBorders>
            <w:shd w:val="clear" w:color="auto" w:fill="FFFFFF"/>
            <w:noWrap w:val="0"/>
            <w:vAlign w:val="center"/>
          </w:tcPr>
          <w:p w14:paraId="4700E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办公电器</w:t>
            </w:r>
          </w:p>
        </w:tc>
        <w:tc>
          <w:tcPr>
            <w:tcW w:w="2259" w:type="pct"/>
            <w:tcBorders>
              <w:top w:val="single" w:color="auto" w:sz="4" w:space="0"/>
              <w:left w:val="nil"/>
              <w:bottom w:val="single" w:color="auto" w:sz="4" w:space="0"/>
              <w:right w:val="single" w:color="auto" w:sz="4" w:space="0"/>
            </w:tcBorders>
            <w:shd w:val="clear" w:color="auto" w:fill="FFFFFF"/>
            <w:noWrap w:val="0"/>
            <w:vAlign w:val="center"/>
          </w:tcPr>
          <w:p w14:paraId="2E0156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bCs/>
                <w:i w:val="0"/>
                <w:iCs w:val="0"/>
                <w:color w:val="000000"/>
                <w:kern w:val="0"/>
                <w:sz w:val="21"/>
                <w:szCs w:val="21"/>
                <w:u w:val="none"/>
                <w:lang w:val="en-US" w:eastAsia="zh-CN" w:bidi="ar"/>
              </w:rPr>
              <w:t>设备规格型号</w:t>
            </w:r>
          </w:p>
        </w:tc>
        <w:tc>
          <w:tcPr>
            <w:tcW w:w="1082" w:type="pct"/>
            <w:tcBorders>
              <w:top w:val="single" w:color="auto" w:sz="4" w:space="0"/>
              <w:left w:val="nil"/>
              <w:bottom w:val="single" w:color="auto" w:sz="4" w:space="0"/>
              <w:right w:val="single" w:color="auto" w:sz="4" w:space="0"/>
            </w:tcBorders>
            <w:shd w:val="clear" w:color="auto" w:fill="FFFFFF"/>
            <w:noWrap w:val="0"/>
            <w:vAlign w:val="center"/>
          </w:tcPr>
          <w:p w14:paraId="5A496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参考型号</w:t>
            </w:r>
          </w:p>
        </w:tc>
        <w:tc>
          <w:tcPr>
            <w:tcW w:w="656" w:type="pct"/>
            <w:tcBorders>
              <w:top w:val="single" w:color="auto" w:sz="4" w:space="0"/>
              <w:left w:val="nil"/>
              <w:bottom w:val="single" w:color="auto" w:sz="4" w:space="0"/>
              <w:right w:val="single" w:color="auto" w:sz="4" w:space="0"/>
            </w:tcBorders>
            <w:shd w:val="clear" w:color="auto" w:fill="FFFFFF"/>
            <w:noWrap w:val="0"/>
            <w:vAlign w:val="center"/>
          </w:tcPr>
          <w:p w14:paraId="0E0A9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预算（元）</w:t>
            </w:r>
          </w:p>
        </w:tc>
      </w:tr>
      <w:tr w14:paraId="0B078E3F">
        <w:tblPrEx>
          <w:tblCellMar>
            <w:top w:w="0" w:type="dxa"/>
            <w:left w:w="108" w:type="dxa"/>
            <w:bottom w:w="0" w:type="dxa"/>
            <w:right w:w="108" w:type="dxa"/>
          </w:tblCellMar>
        </w:tblPrEx>
        <w:trPr>
          <w:trHeight w:val="625" w:hRule="atLeast"/>
        </w:trPr>
        <w:tc>
          <w:tcPr>
            <w:tcW w:w="370" w:type="pct"/>
            <w:tcBorders>
              <w:top w:val="nil"/>
              <w:left w:val="single" w:color="auto" w:sz="4" w:space="0"/>
              <w:bottom w:val="single" w:color="auto" w:sz="4" w:space="0"/>
              <w:right w:val="single" w:color="auto" w:sz="4" w:space="0"/>
            </w:tcBorders>
            <w:shd w:val="clear" w:color="auto" w:fill="FFFFFF"/>
            <w:noWrap w:val="0"/>
            <w:vAlign w:val="center"/>
          </w:tcPr>
          <w:p w14:paraId="5C444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630" w:type="pct"/>
            <w:tcBorders>
              <w:top w:val="nil"/>
              <w:left w:val="nil"/>
              <w:bottom w:val="single" w:color="auto" w:sz="4" w:space="0"/>
              <w:right w:val="single" w:color="auto" w:sz="4" w:space="0"/>
            </w:tcBorders>
            <w:shd w:val="clear" w:color="auto" w:fill="FFFFFF"/>
            <w:noWrap w:val="0"/>
            <w:vAlign w:val="center"/>
          </w:tcPr>
          <w:p w14:paraId="439A28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台式电脑</w:t>
            </w:r>
          </w:p>
        </w:tc>
        <w:tc>
          <w:tcPr>
            <w:tcW w:w="2259" w:type="pct"/>
            <w:tcBorders>
              <w:top w:val="nil"/>
              <w:left w:val="nil"/>
              <w:bottom w:val="single" w:color="auto" w:sz="4" w:space="0"/>
              <w:right w:val="single" w:color="auto" w:sz="4" w:space="0"/>
            </w:tcBorders>
            <w:shd w:val="clear" w:color="auto" w:fill="FFFFFF"/>
            <w:noWrap w:val="0"/>
            <w:vAlign w:val="center"/>
          </w:tcPr>
          <w:p w14:paraId="11CE1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主机+21.5英寸显示器（分辨率1920*1080）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内存容量：16GB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处理器：intel i5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硬盘容量：512GB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显卡型号：GT730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CPU型号：i5-12400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核心数：六核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网卡：无线网卡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芯片组：intel B660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显卡类型：独立显卡</w:t>
            </w:r>
          </w:p>
        </w:tc>
        <w:tc>
          <w:tcPr>
            <w:tcW w:w="1082" w:type="pct"/>
            <w:tcBorders>
              <w:top w:val="nil"/>
              <w:left w:val="nil"/>
              <w:bottom w:val="single" w:color="auto" w:sz="4" w:space="0"/>
              <w:right w:val="single" w:color="auto" w:sz="4" w:space="0"/>
            </w:tcBorders>
            <w:shd w:val="clear" w:color="auto" w:fill="FFFFFF"/>
            <w:noWrap w:val="0"/>
            <w:vAlign w:val="center"/>
          </w:tcPr>
          <w:p w14:paraId="33A994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戴尔（DELL）成就3030 台式电脑酷睿12代i5电脑主机整机 JH1A 主机+21.5英寸显示器 i5-12400 16G 512G 2G独显 定制</w:t>
            </w:r>
          </w:p>
        </w:tc>
        <w:tc>
          <w:tcPr>
            <w:tcW w:w="656" w:type="pct"/>
            <w:tcBorders>
              <w:top w:val="nil"/>
              <w:left w:val="nil"/>
              <w:bottom w:val="single" w:color="auto" w:sz="4" w:space="0"/>
              <w:right w:val="single" w:color="auto" w:sz="4" w:space="0"/>
            </w:tcBorders>
            <w:shd w:val="clear" w:color="auto" w:fill="FFFFFF"/>
            <w:noWrap w:val="0"/>
            <w:vAlign w:val="center"/>
          </w:tcPr>
          <w:p w14:paraId="2FBC35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4000</w:t>
            </w:r>
          </w:p>
        </w:tc>
      </w:tr>
      <w:tr w14:paraId="3E1D6F09">
        <w:tblPrEx>
          <w:tblCellMar>
            <w:top w:w="0" w:type="dxa"/>
            <w:left w:w="108" w:type="dxa"/>
            <w:bottom w:w="0" w:type="dxa"/>
            <w:right w:w="108" w:type="dxa"/>
          </w:tblCellMar>
        </w:tblPrEx>
        <w:trPr>
          <w:trHeight w:val="250" w:hRule="atLeast"/>
        </w:trPr>
        <w:tc>
          <w:tcPr>
            <w:tcW w:w="3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4296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630" w:type="pct"/>
            <w:tcBorders>
              <w:top w:val="single" w:color="auto" w:sz="4" w:space="0"/>
              <w:left w:val="nil"/>
              <w:bottom w:val="single" w:color="auto" w:sz="4" w:space="0"/>
              <w:right w:val="single" w:color="auto" w:sz="4" w:space="0"/>
            </w:tcBorders>
            <w:shd w:val="clear" w:color="auto" w:fill="FFFFFF"/>
            <w:noWrap w:val="0"/>
            <w:vAlign w:val="center"/>
          </w:tcPr>
          <w:p w14:paraId="60D975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台式电脑</w:t>
            </w:r>
          </w:p>
        </w:tc>
        <w:tc>
          <w:tcPr>
            <w:tcW w:w="2259" w:type="pct"/>
            <w:tcBorders>
              <w:top w:val="single" w:color="auto" w:sz="4" w:space="0"/>
              <w:left w:val="nil"/>
              <w:bottom w:val="single" w:color="auto" w:sz="4" w:space="0"/>
              <w:right w:val="single" w:color="auto" w:sz="4" w:space="0"/>
            </w:tcBorders>
            <w:shd w:val="clear" w:color="auto" w:fill="FFFFFF"/>
            <w:noWrap w:val="0"/>
            <w:vAlign w:val="center"/>
          </w:tcPr>
          <w:p w14:paraId="1F10AD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主机+21.5英寸显示器（分辨率1920*1080）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内存容量：16GB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处理器：intel i5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硬盘容量：512GB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显卡型号：GT730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CPU型号：i5-12400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核心数：六核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网卡：无线网卡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芯片组：intel B660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显卡类型：独立显卡</w:t>
            </w:r>
          </w:p>
        </w:tc>
        <w:tc>
          <w:tcPr>
            <w:tcW w:w="1082" w:type="pct"/>
            <w:tcBorders>
              <w:top w:val="single" w:color="auto" w:sz="4" w:space="0"/>
              <w:left w:val="nil"/>
              <w:bottom w:val="single" w:color="auto" w:sz="4" w:space="0"/>
              <w:right w:val="single" w:color="auto" w:sz="4" w:space="0"/>
            </w:tcBorders>
            <w:shd w:val="clear" w:color="auto" w:fill="FFFFFF"/>
            <w:noWrap w:val="0"/>
            <w:vAlign w:val="center"/>
          </w:tcPr>
          <w:p w14:paraId="536EE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戴尔（DELL）成就3030 台式电脑酷睿12代i5电脑主机整机 JH1A 主机+21.5英寸显示器 i5-12400 16G 512G 2G独显 定制</w:t>
            </w:r>
          </w:p>
        </w:tc>
        <w:tc>
          <w:tcPr>
            <w:tcW w:w="656" w:type="pct"/>
            <w:tcBorders>
              <w:top w:val="single" w:color="auto" w:sz="4" w:space="0"/>
              <w:left w:val="nil"/>
              <w:bottom w:val="single" w:color="auto" w:sz="4" w:space="0"/>
              <w:right w:val="single" w:color="auto" w:sz="4" w:space="0"/>
            </w:tcBorders>
            <w:shd w:val="clear" w:color="auto" w:fill="FFFFFF"/>
            <w:noWrap w:val="0"/>
            <w:vAlign w:val="center"/>
          </w:tcPr>
          <w:p w14:paraId="40C6D4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4000</w:t>
            </w:r>
          </w:p>
        </w:tc>
      </w:tr>
      <w:tr w14:paraId="61CB23C6">
        <w:tblPrEx>
          <w:tblCellMar>
            <w:top w:w="0" w:type="dxa"/>
            <w:left w:w="108" w:type="dxa"/>
            <w:bottom w:w="0" w:type="dxa"/>
            <w:right w:w="108" w:type="dxa"/>
          </w:tblCellMar>
        </w:tblPrEx>
        <w:trPr>
          <w:trHeight w:val="232" w:hRule="atLeast"/>
        </w:trPr>
        <w:tc>
          <w:tcPr>
            <w:tcW w:w="370"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48F68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630" w:type="pct"/>
            <w:tcBorders>
              <w:top w:val="single" w:color="auto" w:sz="4" w:space="0"/>
              <w:left w:val="nil"/>
              <w:bottom w:val="single" w:color="auto" w:sz="4" w:space="0"/>
              <w:right w:val="single" w:color="auto" w:sz="4" w:space="0"/>
            </w:tcBorders>
            <w:shd w:val="clear" w:color="auto" w:fill="FFFFFF"/>
            <w:noWrap w:val="0"/>
            <w:vAlign w:val="center"/>
          </w:tcPr>
          <w:p w14:paraId="3954CD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投影仪</w:t>
            </w:r>
          </w:p>
        </w:tc>
        <w:tc>
          <w:tcPr>
            <w:tcW w:w="2259" w:type="pct"/>
            <w:tcBorders>
              <w:top w:val="single" w:color="auto" w:sz="4" w:space="0"/>
              <w:left w:val="nil"/>
              <w:bottom w:val="single" w:color="auto" w:sz="4" w:space="0"/>
              <w:right w:val="single" w:color="auto" w:sz="4" w:space="0"/>
            </w:tcBorders>
            <w:shd w:val="clear" w:color="auto" w:fill="FFFFFF"/>
            <w:noWrap w:val="0"/>
            <w:vAlign w:val="center"/>
          </w:tcPr>
          <w:p w14:paraId="4187F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I0S亮度：3600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分辨率：XGA（1024*768）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投影距离：0.83-10.95米</w:t>
            </w:r>
          </w:p>
        </w:tc>
        <w:tc>
          <w:tcPr>
            <w:tcW w:w="1082" w:type="pct"/>
            <w:tcBorders>
              <w:top w:val="single" w:color="auto" w:sz="4" w:space="0"/>
              <w:left w:val="nil"/>
              <w:bottom w:val="single" w:color="auto" w:sz="4" w:space="0"/>
              <w:right w:val="single" w:color="auto" w:sz="4" w:space="0"/>
            </w:tcBorders>
            <w:shd w:val="clear" w:color="auto" w:fill="FFFFFF"/>
            <w:noWrap w:val="0"/>
            <w:vAlign w:val="center"/>
          </w:tcPr>
          <w:p w14:paraId="11242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iCs w:val="0"/>
                <w:color w:val="000000"/>
                <w:kern w:val="0"/>
                <w:sz w:val="21"/>
                <w:szCs w:val="21"/>
                <w:u w:val="none"/>
                <w:lang w:val="en-US" w:eastAsia="zh-CN" w:bidi="ar"/>
              </w:rPr>
              <w:t>爱普生（EPSON）CB-X49 投影机 投影仪办公会议培训（3600流明 HDMI高清接口 3LCD 支持侧面投影）</w:t>
            </w:r>
          </w:p>
        </w:tc>
        <w:tc>
          <w:tcPr>
            <w:tcW w:w="656" w:type="pct"/>
            <w:tcBorders>
              <w:top w:val="single" w:color="auto" w:sz="4" w:space="0"/>
              <w:left w:val="nil"/>
              <w:bottom w:val="single" w:color="auto" w:sz="4" w:space="0"/>
              <w:right w:val="single" w:color="auto" w:sz="4" w:space="0"/>
            </w:tcBorders>
            <w:shd w:val="clear" w:color="auto" w:fill="FFFFFF"/>
            <w:noWrap w:val="0"/>
            <w:vAlign w:val="center"/>
          </w:tcPr>
          <w:p w14:paraId="79EECE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4000</w:t>
            </w:r>
          </w:p>
        </w:tc>
      </w:tr>
      <w:tr w14:paraId="2F691168">
        <w:tblPrEx>
          <w:tblCellMar>
            <w:top w:w="0" w:type="dxa"/>
            <w:left w:w="108" w:type="dxa"/>
            <w:bottom w:w="0" w:type="dxa"/>
            <w:right w:w="108" w:type="dxa"/>
          </w:tblCellMar>
        </w:tblPrEx>
        <w:trPr>
          <w:trHeight w:val="238" w:hRule="atLeast"/>
        </w:trPr>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80249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630" w:type="pct"/>
            <w:tcBorders>
              <w:top w:val="single" w:color="auto" w:sz="4" w:space="0"/>
              <w:left w:val="nil"/>
              <w:bottom w:val="single" w:color="auto" w:sz="4" w:space="0"/>
              <w:right w:val="single" w:color="auto" w:sz="4" w:space="0"/>
            </w:tcBorders>
            <w:shd w:val="clear" w:color="auto" w:fill="FFFFFF"/>
            <w:noWrap w:val="0"/>
            <w:vAlign w:val="center"/>
          </w:tcPr>
          <w:p w14:paraId="71E07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台式电脑</w:t>
            </w:r>
          </w:p>
        </w:tc>
        <w:tc>
          <w:tcPr>
            <w:tcW w:w="2259" w:type="pct"/>
            <w:tcBorders>
              <w:top w:val="single" w:color="auto" w:sz="4" w:space="0"/>
              <w:left w:val="nil"/>
              <w:bottom w:val="single" w:color="auto" w:sz="4" w:space="0"/>
              <w:right w:val="single" w:color="auto" w:sz="4" w:space="0"/>
            </w:tcBorders>
            <w:shd w:val="clear" w:color="auto" w:fill="FFFFFF"/>
            <w:noWrap w:val="0"/>
            <w:vAlign w:val="center"/>
          </w:tcPr>
          <w:p w14:paraId="26521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主机+23.8英寸显示器（分辨率1920*1080）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内存容量：32GB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系统：Windows 11家庭中文版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处理器：intel i5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硬盘容量：1TB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显卡型号：集成显卡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CPU型号：i5-12400</w:t>
            </w:r>
          </w:p>
        </w:tc>
        <w:tc>
          <w:tcPr>
            <w:tcW w:w="1082" w:type="pct"/>
            <w:tcBorders>
              <w:top w:val="single" w:color="auto" w:sz="4" w:space="0"/>
              <w:left w:val="nil"/>
              <w:bottom w:val="single" w:color="auto" w:sz="4" w:space="0"/>
              <w:right w:val="single" w:color="auto" w:sz="4" w:space="0"/>
            </w:tcBorders>
            <w:shd w:val="clear" w:color="auto" w:fill="FFFFFF"/>
            <w:noWrap w:val="0"/>
            <w:vAlign w:val="center"/>
          </w:tcPr>
          <w:p w14:paraId="3F4A3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戴尔（DELL）成就3030 台式电脑酷睿12代i5电脑主机整机 JH1A 主机+23.8英寸显示器 i5-12400 32G内存 1TB固态 定制</w:t>
            </w:r>
          </w:p>
        </w:tc>
        <w:tc>
          <w:tcPr>
            <w:tcW w:w="656" w:type="pct"/>
            <w:tcBorders>
              <w:top w:val="single" w:color="auto" w:sz="4" w:space="0"/>
              <w:left w:val="nil"/>
              <w:bottom w:val="single" w:color="auto" w:sz="4" w:space="0"/>
              <w:right w:val="single" w:color="auto" w:sz="4" w:space="0"/>
            </w:tcBorders>
            <w:shd w:val="clear" w:color="auto" w:fill="FFFFFF"/>
            <w:noWrap w:val="0"/>
            <w:vAlign w:val="center"/>
          </w:tcPr>
          <w:p w14:paraId="02B7B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4500</w:t>
            </w:r>
          </w:p>
        </w:tc>
      </w:tr>
      <w:tr w14:paraId="5A9BCF7B">
        <w:tblPrEx>
          <w:tblCellMar>
            <w:top w:w="0" w:type="dxa"/>
            <w:left w:w="108" w:type="dxa"/>
            <w:bottom w:w="0" w:type="dxa"/>
            <w:right w:w="108" w:type="dxa"/>
          </w:tblCellMar>
        </w:tblPrEx>
        <w:trPr>
          <w:trHeight w:val="218" w:hRule="atLeast"/>
        </w:trPr>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C14F3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630" w:type="pct"/>
            <w:tcBorders>
              <w:top w:val="single" w:color="auto" w:sz="4" w:space="0"/>
              <w:left w:val="nil"/>
              <w:bottom w:val="single" w:color="auto" w:sz="4" w:space="0"/>
              <w:right w:val="single" w:color="auto" w:sz="4" w:space="0"/>
            </w:tcBorders>
            <w:shd w:val="clear" w:color="auto" w:fill="FFFFFF"/>
            <w:noWrap w:val="0"/>
            <w:vAlign w:val="center"/>
          </w:tcPr>
          <w:p w14:paraId="17C882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手提电脑</w:t>
            </w:r>
          </w:p>
        </w:tc>
        <w:tc>
          <w:tcPr>
            <w:tcW w:w="2259" w:type="pct"/>
            <w:tcBorders>
              <w:top w:val="single" w:color="auto" w:sz="4" w:space="0"/>
              <w:left w:val="nil"/>
              <w:bottom w:val="single" w:color="auto" w:sz="4" w:space="0"/>
              <w:right w:val="single" w:color="auto" w:sz="4" w:space="0"/>
            </w:tcBorders>
            <w:shd w:val="clear" w:color="auto" w:fill="FFFFFF"/>
            <w:noWrap w:val="0"/>
            <w:vAlign w:val="center"/>
          </w:tcPr>
          <w:p w14:paraId="02EB5F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屏幕比例：16:10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屏幕尺寸：16.0-16.9英寸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接口支持：全功能Type-C，USB-C，USB-A，HDMI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屏幕特性：高分辨率(2K以上)，护眼认证，高亮度(全屏&gt;400nits)，高刷新率(120Hz以上)，高屏占比(≥85%)，高色域(100%sRGB)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处理器(CPU)：锐龙7000系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系统：Windows 11 带Office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扩展性：硬盘扩展，内存扩展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显卡：AMD核显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硬盘容量：1TB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内存容量：16GB</w:t>
            </w:r>
          </w:p>
        </w:tc>
        <w:tc>
          <w:tcPr>
            <w:tcW w:w="1082" w:type="pct"/>
            <w:tcBorders>
              <w:top w:val="single" w:color="auto" w:sz="4" w:space="0"/>
              <w:left w:val="nil"/>
              <w:bottom w:val="single" w:color="auto" w:sz="4" w:space="0"/>
              <w:right w:val="single" w:color="auto" w:sz="4" w:space="0"/>
            </w:tcBorders>
            <w:shd w:val="clear" w:color="auto" w:fill="FFFFFF"/>
            <w:noWrap w:val="0"/>
            <w:vAlign w:val="center"/>
          </w:tcPr>
          <w:p w14:paraId="2CEDB7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惠普（HP）战66七代 AMD锐龙16英寸轻薄笔记本电脑(高性能R7 16G 1T 2.5K高色域低蓝光120Hz)</w:t>
            </w:r>
          </w:p>
        </w:tc>
        <w:tc>
          <w:tcPr>
            <w:tcW w:w="656" w:type="pct"/>
            <w:tcBorders>
              <w:top w:val="single" w:color="auto" w:sz="4" w:space="0"/>
              <w:left w:val="nil"/>
              <w:bottom w:val="single" w:color="auto" w:sz="4" w:space="0"/>
              <w:right w:val="single" w:color="auto" w:sz="4" w:space="0"/>
            </w:tcBorders>
            <w:shd w:val="clear" w:color="auto" w:fill="FFFFFF"/>
            <w:noWrap w:val="0"/>
            <w:vAlign w:val="center"/>
          </w:tcPr>
          <w:p w14:paraId="3B1EE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4500</w:t>
            </w:r>
          </w:p>
        </w:tc>
      </w:tr>
      <w:tr w14:paraId="716749B2">
        <w:tblPrEx>
          <w:tblCellMar>
            <w:top w:w="0" w:type="dxa"/>
            <w:left w:w="108" w:type="dxa"/>
            <w:bottom w:w="0" w:type="dxa"/>
            <w:right w:w="108" w:type="dxa"/>
          </w:tblCellMar>
        </w:tblPrEx>
        <w:trPr>
          <w:trHeight w:val="270" w:hRule="atLeast"/>
        </w:trPr>
        <w:tc>
          <w:tcPr>
            <w:tcW w:w="370"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F2DEE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630" w:type="pct"/>
            <w:tcBorders>
              <w:top w:val="single" w:color="auto" w:sz="4" w:space="0"/>
              <w:left w:val="nil"/>
              <w:bottom w:val="single" w:color="auto" w:sz="4" w:space="0"/>
              <w:right w:val="single" w:color="auto" w:sz="4" w:space="0"/>
            </w:tcBorders>
            <w:shd w:val="clear" w:color="auto" w:fill="FFFFFF"/>
            <w:noWrap w:val="0"/>
            <w:vAlign w:val="center"/>
          </w:tcPr>
          <w:p w14:paraId="5C96FF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高速扫描仪（双面扫描，可联网）</w:t>
            </w:r>
          </w:p>
        </w:tc>
        <w:tc>
          <w:tcPr>
            <w:tcW w:w="2259" w:type="pct"/>
            <w:tcBorders>
              <w:top w:val="single" w:color="auto" w:sz="4" w:space="0"/>
              <w:left w:val="nil"/>
              <w:bottom w:val="single" w:color="auto" w:sz="4" w:space="0"/>
              <w:right w:val="single" w:color="auto" w:sz="4" w:space="0"/>
            </w:tcBorders>
            <w:shd w:val="clear" w:color="auto" w:fill="FFFFFF"/>
            <w:noWrap w:val="0"/>
            <w:vAlign w:val="center"/>
          </w:tcPr>
          <w:p w14:paraId="118D4F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扫描速度：200dpi/300dpi（彩色/灰度/黑白) 35ppm/70ipm*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接口：USB3.0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扫描介质：名片，明信片、A4、US letter、Legal、A5、A6、B5、B6、长纸、A3、B4、Envelope、PL Card（有/无浮雕）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分辨率：600dpi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感光元件：CIS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进纸容量：100页</w:t>
            </w:r>
          </w:p>
        </w:tc>
        <w:tc>
          <w:tcPr>
            <w:tcW w:w="1082" w:type="pct"/>
            <w:tcBorders>
              <w:top w:val="single" w:color="auto" w:sz="4" w:space="0"/>
              <w:left w:val="nil"/>
              <w:bottom w:val="single" w:color="auto" w:sz="4" w:space="0"/>
              <w:right w:val="single" w:color="auto" w:sz="4" w:space="0"/>
            </w:tcBorders>
            <w:shd w:val="clear" w:color="auto" w:fill="FFFFFF"/>
            <w:noWrap w:val="0"/>
            <w:vAlign w:val="center"/>
          </w:tcPr>
          <w:p w14:paraId="71013B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爱普生（EPSON）ES-580W A4馈纸式扫描仪自动连续双面彩色扫描 高速办公用 无线wifi（触屏 支持扫至U盘）</w:t>
            </w:r>
          </w:p>
        </w:tc>
        <w:tc>
          <w:tcPr>
            <w:tcW w:w="656" w:type="pct"/>
            <w:tcBorders>
              <w:top w:val="single" w:color="auto" w:sz="4" w:space="0"/>
              <w:left w:val="nil"/>
              <w:bottom w:val="single" w:color="auto" w:sz="4" w:space="0"/>
              <w:right w:val="single" w:color="auto" w:sz="4" w:space="0"/>
            </w:tcBorders>
            <w:shd w:val="clear" w:color="auto" w:fill="FFFFFF"/>
            <w:noWrap w:val="0"/>
            <w:vAlign w:val="center"/>
          </w:tcPr>
          <w:p w14:paraId="2E2D16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3500</w:t>
            </w:r>
          </w:p>
        </w:tc>
      </w:tr>
    </w:tbl>
    <w:p w14:paraId="1C4C624D">
      <w:pPr>
        <w:keepNext w:val="0"/>
        <w:keepLines w:val="0"/>
        <w:pageBreakBefore w:val="0"/>
        <w:tabs>
          <w:tab w:val="left" w:pos="420"/>
        </w:tabs>
        <w:kinsoku/>
        <w:wordWrap/>
        <w:overflowPunct/>
        <w:topLinePunct w:val="0"/>
        <w:autoSpaceDE/>
        <w:autoSpaceDN/>
        <w:bidi w:val="0"/>
        <w:adjustRightInd/>
        <w:snapToGrid/>
        <w:spacing w:line="360" w:lineRule="auto"/>
        <w:rPr>
          <w:rFonts w:hint="eastAsia" w:ascii="宋体" w:hAnsi="宋体" w:eastAsia="宋体" w:cs="宋体"/>
          <w:b/>
          <w:bCs/>
          <w:sz w:val="21"/>
          <w:szCs w:val="21"/>
          <w:lang w:eastAsia="zh-CN"/>
        </w:rPr>
      </w:pPr>
      <w:r>
        <w:rPr>
          <w:rFonts w:hint="eastAsia" w:ascii="宋体" w:hAnsi="宋体" w:eastAsia="宋体" w:cs="宋体"/>
          <w:b/>
          <w:bCs/>
          <w:kern w:val="0"/>
          <w:sz w:val="21"/>
          <w:szCs w:val="21"/>
        </w:rPr>
        <w:t>注：</w:t>
      </w:r>
      <w:r>
        <w:rPr>
          <w:rFonts w:hint="eastAsia" w:ascii="宋体" w:hAnsi="宋体" w:eastAsia="宋体" w:cs="宋体"/>
          <w:kern w:val="0"/>
          <w:sz w:val="21"/>
          <w:szCs w:val="21"/>
          <w:lang w:eastAsia="zh-CN"/>
        </w:rPr>
        <w:t>采购</w:t>
      </w:r>
      <w:r>
        <w:rPr>
          <w:rFonts w:hint="eastAsia" w:ascii="宋体" w:hAnsi="宋体" w:eastAsia="宋体" w:cs="宋体"/>
          <w:kern w:val="0"/>
          <w:sz w:val="21"/>
          <w:szCs w:val="21"/>
        </w:rPr>
        <w:t>明细表中的提出的品牌是参考品牌，报价时不限于</w:t>
      </w:r>
      <w:r>
        <w:rPr>
          <w:rFonts w:hint="eastAsia" w:ascii="宋体" w:hAnsi="宋体" w:eastAsia="宋体" w:cs="宋体"/>
          <w:kern w:val="0"/>
          <w:sz w:val="21"/>
          <w:szCs w:val="21"/>
          <w:lang w:eastAsia="zh-CN"/>
        </w:rPr>
        <w:t>供应商</w:t>
      </w:r>
      <w:r>
        <w:rPr>
          <w:rFonts w:hint="eastAsia" w:ascii="宋体" w:hAnsi="宋体" w:eastAsia="宋体" w:cs="宋体"/>
          <w:kern w:val="0"/>
          <w:sz w:val="21"/>
          <w:szCs w:val="21"/>
        </w:rPr>
        <w:t>提供其他品牌，质量等同或优于参考品牌均可</w:t>
      </w:r>
      <w:r>
        <w:rPr>
          <w:rFonts w:hint="eastAsia" w:ascii="宋体" w:hAnsi="宋体" w:eastAsia="宋体" w:cs="宋体"/>
          <w:kern w:val="0"/>
          <w:sz w:val="21"/>
          <w:szCs w:val="21"/>
          <w:lang w:eastAsia="zh-CN"/>
        </w:rPr>
        <w:t>；</w:t>
      </w:r>
    </w:p>
    <w:p w14:paraId="6C6860A4">
      <w:pPr>
        <w:pStyle w:val="135"/>
        <w:numPr>
          <w:ilvl w:val="0"/>
          <w:numId w:val="12"/>
        </w:numPr>
        <w:ind w:left="-420" w:leftChars="0" w:firstLine="420" w:firstLineChars="0"/>
        <w:rPr>
          <w:rFonts w:hint="eastAsia" w:ascii="宋体" w:hAnsi="宋体" w:eastAsia="宋体" w:cs="宋体"/>
          <w:b/>
          <w:bCs/>
          <w:kern w:val="0"/>
          <w:sz w:val="21"/>
          <w:szCs w:val="21"/>
        </w:rPr>
      </w:pPr>
      <w:r>
        <w:rPr>
          <w:rFonts w:hint="eastAsia" w:ascii="宋体" w:hAnsi="宋体" w:eastAsia="宋体" w:cs="宋体"/>
          <w:b/>
          <w:bCs/>
          <w:kern w:val="0"/>
          <w:sz w:val="21"/>
          <w:szCs w:val="21"/>
        </w:rPr>
        <w:t>商务要求</w:t>
      </w:r>
    </w:p>
    <w:p w14:paraId="63FFAC41">
      <w:pPr>
        <w:keepNext w:val="0"/>
        <w:keepLines w:val="0"/>
        <w:pageBreakBefore w:val="0"/>
        <w:numPr>
          <w:ilvl w:val="0"/>
          <w:numId w:val="14"/>
        </w:numPr>
        <w:tabs>
          <w:tab w:val="left" w:pos="840"/>
        </w:tabs>
        <w:kinsoku/>
        <w:wordWrap/>
        <w:overflowPunct/>
        <w:topLinePunct w:val="0"/>
        <w:autoSpaceDE/>
        <w:autoSpaceDN/>
        <w:bidi w:val="0"/>
        <w:adjustRightInd/>
        <w:snapToGrid/>
        <w:spacing w:line="360" w:lineRule="auto"/>
        <w:ind w:left="-210" w:leftChars="0" w:firstLine="420" w:firstLineChars="0"/>
        <w:rPr>
          <w:rFonts w:hint="eastAsia" w:ascii="宋体" w:hAnsi="宋体" w:eastAsia="宋体" w:cs="宋体"/>
          <w:b/>
          <w:bCs/>
          <w:kern w:val="0"/>
          <w:sz w:val="21"/>
          <w:szCs w:val="21"/>
        </w:rPr>
      </w:pPr>
      <w:r>
        <w:rPr>
          <w:rFonts w:hint="eastAsia" w:ascii="宋体" w:hAnsi="宋体" w:eastAsia="宋体" w:cs="宋体"/>
          <w:b/>
          <w:bCs/>
          <w:kern w:val="0"/>
          <w:sz w:val="21"/>
          <w:szCs w:val="21"/>
        </w:rPr>
        <w:t>报价要求：</w:t>
      </w:r>
    </w:p>
    <w:p w14:paraId="11ACAC52">
      <w:pPr>
        <w:keepNext w:val="0"/>
        <w:keepLines w:val="0"/>
        <w:pageBreakBefore w:val="0"/>
        <w:numPr>
          <w:ilvl w:val="0"/>
          <w:numId w:val="15"/>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报价方式为广东省佛山市交货价，以人民币为报价货币，提供正式增值税专用发票。</w:t>
      </w:r>
    </w:p>
    <w:p w14:paraId="06F35815">
      <w:pPr>
        <w:keepNext w:val="0"/>
        <w:keepLines w:val="0"/>
        <w:pageBreakBefore w:val="0"/>
        <w:numPr>
          <w:ilvl w:val="0"/>
          <w:numId w:val="15"/>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响应报价表中所填入的综合单价，包括货物及零配件的生产、购置、送货上门、运输装卸、保险费、安装调试费、送检费、质保期售后服务、技术培训费（包括技术资料等）、全额含税发票及合同实施过程中可能产生的其他费用等。</w:t>
      </w:r>
      <w:r>
        <w:rPr>
          <w:rFonts w:hint="eastAsia" w:ascii="宋体" w:hAnsi="宋体" w:eastAsia="宋体" w:cs="宋体"/>
          <w:sz w:val="21"/>
          <w:szCs w:val="21"/>
          <w:lang w:eastAsia="zh-CN"/>
        </w:rPr>
        <w:t>响应人</w:t>
      </w:r>
      <w:r>
        <w:rPr>
          <w:rFonts w:hint="eastAsia" w:ascii="宋体" w:hAnsi="宋体" w:eastAsia="宋体" w:cs="宋体"/>
          <w:sz w:val="21"/>
          <w:szCs w:val="21"/>
        </w:rPr>
        <w:t>对每种型号（规格）货物只允许有一个报价，采购人不接受有任何选择的报价。</w:t>
      </w:r>
    </w:p>
    <w:p w14:paraId="67A0ECEE">
      <w:pPr>
        <w:keepNext w:val="0"/>
        <w:keepLines w:val="0"/>
        <w:pageBreakBefore w:val="0"/>
        <w:numPr>
          <w:ilvl w:val="0"/>
          <w:numId w:val="15"/>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响应报价不得超过</w:t>
      </w:r>
      <w:r>
        <w:rPr>
          <w:rFonts w:hint="eastAsia" w:ascii="宋体" w:hAnsi="宋体" w:eastAsia="宋体" w:cs="宋体"/>
          <w:sz w:val="21"/>
          <w:szCs w:val="21"/>
          <w:lang w:eastAsia="zh-CN"/>
        </w:rPr>
        <w:t>预算</w:t>
      </w:r>
      <w:r>
        <w:rPr>
          <w:rFonts w:hint="eastAsia" w:ascii="宋体" w:hAnsi="宋体" w:eastAsia="宋体" w:cs="宋体"/>
          <w:sz w:val="21"/>
          <w:szCs w:val="21"/>
        </w:rPr>
        <w:t>的最高限价，响应人的报价若明显低于市场价格，响应人必须对其报价</w:t>
      </w:r>
      <w:r>
        <w:rPr>
          <w:rFonts w:hint="eastAsia" w:ascii="宋体" w:hAnsi="宋体" w:eastAsia="宋体" w:cs="宋体"/>
          <w:sz w:val="21"/>
          <w:szCs w:val="21"/>
          <w:lang w:eastAsia="zh-CN"/>
        </w:rPr>
        <w:t>作出书面</w:t>
      </w:r>
      <w:r>
        <w:rPr>
          <w:rFonts w:hint="eastAsia" w:ascii="宋体" w:hAnsi="宋体" w:eastAsia="宋体" w:cs="宋体"/>
          <w:b w:val="0"/>
          <w:bCs w:val="0"/>
          <w:kern w:val="0"/>
          <w:sz w:val="21"/>
          <w:szCs w:val="21"/>
          <w:lang w:val="en-US" w:eastAsia="zh-CN"/>
        </w:rPr>
        <w:t>说明</w:t>
      </w:r>
      <w:r>
        <w:rPr>
          <w:rFonts w:hint="eastAsia" w:ascii="宋体" w:hAnsi="宋体" w:eastAsia="宋体" w:cs="宋体"/>
          <w:sz w:val="21"/>
          <w:szCs w:val="21"/>
        </w:rPr>
        <w:t>，并提供</w:t>
      </w:r>
      <w:r>
        <w:rPr>
          <w:rFonts w:hint="eastAsia" w:ascii="宋体" w:hAnsi="宋体" w:eastAsia="宋体" w:cs="宋体"/>
          <w:sz w:val="21"/>
          <w:szCs w:val="21"/>
          <w:lang w:eastAsia="zh-CN"/>
        </w:rPr>
        <w:t>相应的</w:t>
      </w:r>
      <w:r>
        <w:rPr>
          <w:rFonts w:hint="eastAsia" w:ascii="宋体" w:hAnsi="宋体" w:eastAsia="宋体" w:cs="宋体"/>
          <w:sz w:val="21"/>
          <w:szCs w:val="21"/>
        </w:rPr>
        <w:t>证明材料。否则采购单位有权认定该响应人以低于成本报价，响应无效。</w:t>
      </w:r>
    </w:p>
    <w:p w14:paraId="654772B6">
      <w:pPr>
        <w:keepNext w:val="0"/>
        <w:keepLines w:val="0"/>
        <w:pageBreakBefore w:val="0"/>
        <w:numPr>
          <w:ilvl w:val="0"/>
          <w:numId w:val="15"/>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应保证所提供的货物是全新、未使用过的，并完全符合合同规定的质量、规格和性能的要求。在货物质量保证期之内，</w:t>
      </w:r>
      <w:r>
        <w:rPr>
          <w:rFonts w:hint="eastAsia" w:ascii="宋体" w:hAnsi="宋体" w:eastAsia="宋体" w:cs="宋体"/>
          <w:sz w:val="21"/>
          <w:szCs w:val="21"/>
          <w:lang w:eastAsia="zh-CN"/>
        </w:rPr>
        <w:t>成交供应商</w:t>
      </w:r>
      <w:r>
        <w:rPr>
          <w:rFonts w:hint="eastAsia" w:ascii="宋体" w:hAnsi="宋体" w:eastAsia="宋体" w:cs="宋体"/>
          <w:sz w:val="21"/>
          <w:szCs w:val="21"/>
        </w:rPr>
        <w:t>应对由于设计、工艺或材料的缺陷而发生的任何不足或故障负责。</w:t>
      </w:r>
    </w:p>
    <w:p w14:paraId="16977267">
      <w:pPr>
        <w:keepNext w:val="0"/>
        <w:keepLines w:val="0"/>
        <w:pageBreakBefore w:val="0"/>
        <w:numPr>
          <w:ilvl w:val="0"/>
          <w:numId w:val="14"/>
        </w:numPr>
        <w:tabs>
          <w:tab w:val="left" w:pos="840"/>
        </w:tabs>
        <w:kinsoku/>
        <w:wordWrap/>
        <w:overflowPunct/>
        <w:topLinePunct w:val="0"/>
        <w:autoSpaceDE/>
        <w:autoSpaceDN/>
        <w:bidi w:val="0"/>
        <w:adjustRightInd/>
        <w:snapToGrid/>
        <w:spacing w:line="360" w:lineRule="auto"/>
        <w:ind w:left="-210" w:leftChars="0" w:firstLine="420" w:firstLineChars="0"/>
        <w:rPr>
          <w:rFonts w:hint="eastAsia" w:ascii="宋体" w:hAnsi="宋体" w:eastAsia="宋体" w:cs="宋体"/>
          <w:b/>
          <w:bCs/>
          <w:kern w:val="0"/>
          <w:sz w:val="21"/>
          <w:szCs w:val="21"/>
        </w:rPr>
      </w:pPr>
      <w:r>
        <w:rPr>
          <w:rFonts w:hint="eastAsia" w:ascii="宋体" w:hAnsi="宋体" w:eastAsia="宋体" w:cs="宋体"/>
          <w:b/>
          <w:bCs/>
          <w:kern w:val="0"/>
          <w:sz w:val="21"/>
          <w:szCs w:val="21"/>
        </w:rPr>
        <w:t>质保期、售后服务</w:t>
      </w:r>
    </w:p>
    <w:p w14:paraId="0C6E0D2E">
      <w:pPr>
        <w:keepNext w:val="0"/>
        <w:keepLines w:val="0"/>
        <w:pageBreakBefore w:val="0"/>
        <w:kinsoku/>
        <w:wordWrap/>
        <w:overflowPunct/>
        <w:topLinePunct w:val="0"/>
        <w:autoSpaceDE/>
        <w:autoSpaceDN/>
        <w:bidi w:val="0"/>
        <w:adjustRightInd/>
        <w:snapToGrid/>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货物保质期1年，如</w:t>
      </w:r>
      <w:r>
        <w:rPr>
          <w:rFonts w:hint="eastAsia" w:ascii="宋体" w:hAnsi="宋体" w:eastAsia="宋体" w:cs="宋体"/>
          <w:sz w:val="21"/>
          <w:szCs w:val="21"/>
          <w:lang w:eastAsia="zh-CN"/>
        </w:rPr>
        <w:t>成交供应商</w:t>
      </w:r>
      <w:r>
        <w:rPr>
          <w:rFonts w:hint="eastAsia" w:ascii="宋体" w:hAnsi="宋体" w:eastAsia="宋体" w:cs="宋体"/>
          <w:sz w:val="21"/>
          <w:szCs w:val="21"/>
        </w:rPr>
        <w:t>保质期承诺高于1年，则以</w:t>
      </w:r>
      <w:r>
        <w:rPr>
          <w:rFonts w:hint="eastAsia" w:ascii="宋体" w:hAnsi="宋体" w:eastAsia="宋体" w:cs="宋体"/>
          <w:sz w:val="21"/>
          <w:szCs w:val="21"/>
          <w:lang w:eastAsia="zh-CN"/>
        </w:rPr>
        <w:t>成交供应商</w:t>
      </w:r>
      <w:r>
        <w:rPr>
          <w:rFonts w:hint="eastAsia" w:ascii="宋体" w:hAnsi="宋体" w:eastAsia="宋体" w:cs="宋体"/>
          <w:sz w:val="21"/>
          <w:szCs w:val="21"/>
        </w:rPr>
        <w:t>承诺为准，</w:t>
      </w:r>
      <w:r>
        <w:rPr>
          <w:rFonts w:hint="eastAsia" w:ascii="宋体" w:hAnsi="宋体" w:eastAsia="宋体" w:cs="宋体"/>
          <w:sz w:val="21"/>
          <w:szCs w:val="21"/>
          <w:lang w:eastAsia="zh-CN"/>
        </w:rPr>
        <w:t>质保期</w:t>
      </w:r>
      <w:r>
        <w:rPr>
          <w:rFonts w:hint="eastAsia" w:ascii="宋体" w:hAnsi="宋体" w:eastAsia="宋体" w:cs="宋体"/>
          <w:sz w:val="21"/>
          <w:szCs w:val="21"/>
        </w:rPr>
        <w:t>从货物验收合格之日开始计算。</w:t>
      </w:r>
    </w:p>
    <w:p w14:paraId="24D84588">
      <w:pPr>
        <w:keepNext w:val="0"/>
        <w:keepLines w:val="0"/>
        <w:pageBreakBefore w:val="0"/>
        <w:numPr>
          <w:ilvl w:val="0"/>
          <w:numId w:val="16"/>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sz w:val="21"/>
          <w:szCs w:val="21"/>
        </w:rPr>
      </w:pPr>
      <w:r>
        <w:rPr>
          <w:rFonts w:hint="eastAsia" w:ascii="宋体" w:hAnsi="宋体" w:eastAsia="宋体" w:cs="宋体"/>
          <w:sz w:val="21"/>
          <w:szCs w:val="21"/>
        </w:rPr>
        <w:t>质保期内，</w:t>
      </w:r>
      <w:r>
        <w:rPr>
          <w:rFonts w:hint="eastAsia" w:ascii="宋体" w:hAnsi="宋体" w:eastAsia="宋体" w:cs="宋体"/>
          <w:sz w:val="21"/>
          <w:szCs w:val="21"/>
          <w:lang w:eastAsia="zh-CN"/>
        </w:rPr>
        <w:t>成交供应商</w:t>
      </w:r>
      <w:r>
        <w:rPr>
          <w:rFonts w:hint="eastAsia" w:ascii="宋体" w:hAnsi="宋体" w:eastAsia="宋体" w:cs="宋体"/>
          <w:sz w:val="21"/>
          <w:szCs w:val="21"/>
        </w:rPr>
        <w:t>对所供货物实行免费包修、包换、包退、包维护保养，期满后可同时提供终身、有偿维修保养服务。</w:t>
      </w:r>
    </w:p>
    <w:p w14:paraId="32517A06">
      <w:pPr>
        <w:keepNext w:val="0"/>
        <w:keepLines w:val="0"/>
        <w:pageBreakBefore w:val="0"/>
        <w:numPr>
          <w:ilvl w:val="0"/>
          <w:numId w:val="16"/>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b w:val="0"/>
          <w:bCs w:val="0"/>
          <w:kern w:val="0"/>
          <w:sz w:val="21"/>
          <w:szCs w:val="21"/>
          <w:lang w:val="en-US" w:eastAsia="zh-CN"/>
        </w:rPr>
        <w:t>质保期内，如设备或零部件因非人为因素出现故障而造成短期停用时，则质保期和免</w:t>
      </w:r>
      <w:r>
        <w:rPr>
          <w:rFonts w:hint="eastAsia" w:ascii="宋体" w:hAnsi="宋体" w:eastAsia="宋体" w:cs="宋体"/>
          <w:sz w:val="21"/>
          <w:szCs w:val="21"/>
        </w:rPr>
        <w:t>费维修期相应顺延。</w:t>
      </w:r>
    </w:p>
    <w:p w14:paraId="3F57B0D1">
      <w:pPr>
        <w:keepNext w:val="0"/>
        <w:keepLines w:val="0"/>
        <w:pageBreakBefore w:val="0"/>
        <w:numPr>
          <w:ilvl w:val="0"/>
          <w:numId w:val="14"/>
        </w:numPr>
        <w:tabs>
          <w:tab w:val="left" w:pos="840"/>
        </w:tabs>
        <w:kinsoku/>
        <w:wordWrap/>
        <w:overflowPunct/>
        <w:topLinePunct w:val="0"/>
        <w:autoSpaceDE/>
        <w:autoSpaceDN/>
        <w:bidi w:val="0"/>
        <w:adjustRightInd/>
        <w:snapToGrid/>
        <w:spacing w:line="360" w:lineRule="auto"/>
        <w:ind w:left="-210" w:leftChars="0" w:firstLine="420" w:firstLineChars="0"/>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 xml:space="preserve">服务要求    </w:t>
      </w:r>
    </w:p>
    <w:p w14:paraId="11DF7C6F">
      <w:pPr>
        <w:keepNext w:val="0"/>
        <w:keepLines w:val="0"/>
        <w:pageBreakBefore w:val="0"/>
        <w:numPr>
          <w:ilvl w:val="0"/>
          <w:numId w:val="17"/>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color w:val="FF0000"/>
          <w:kern w:val="0"/>
          <w:sz w:val="21"/>
          <w:szCs w:val="21"/>
        </w:rPr>
      </w:pPr>
      <w:r>
        <w:rPr>
          <w:rFonts w:hint="eastAsia" w:ascii="宋体" w:hAnsi="宋体" w:eastAsia="宋体" w:cs="宋体"/>
          <w:kern w:val="0"/>
          <w:sz w:val="21"/>
          <w:szCs w:val="21"/>
        </w:rPr>
        <w:t>成交供应商不得将本项目转包、分包，否则采购人有权单方终止合同，由此产生的一切经济损失由成交供应商自行承担。</w:t>
      </w:r>
    </w:p>
    <w:p w14:paraId="4DA191B8">
      <w:pPr>
        <w:keepNext w:val="0"/>
        <w:keepLines w:val="0"/>
        <w:pageBreakBefore w:val="0"/>
        <w:numPr>
          <w:ilvl w:val="0"/>
          <w:numId w:val="17"/>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color w:val="000000"/>
          <w:kern w:val="0"/>
          <w:sz w:val="21"/>
          <w:szCs w:val="21"/>
        </w:rPr>
        <w:t>成交供应商不得变更供应商品，应严格按</w:t>
      </w:r>
      <w:r>
        <w:rPr>
          <w:rFonts w:hint="eastAsia" w:ascii="宋体" w:hAnsi="宋体" w:eastAsia="宋体" w:cs="宋体"/>
          <w:color w:val="000000"/>
          <w:kern w:val="0"/>
          <w:sz w:val="21"/>
          <w:szCs w:val="21"/>
          <w:lang w:eastAsia="zh-CN"/>
        </w:rPr>
        <w:t>合同</w:t>
      </w:r>
      <w:r>
        <w:rPr>
          <w:rFonts w:hint="eastAsia" w:ascii="宋体" w:hAnsi="宋体" w:eastAsia="宋体" w:cs="宋体"/>
          <w:color w:val="000000"/>
          <w:kern w:val="0"/>
          <w:sz w:val="21"/>
          <w:szCs w:val="21"/>
        </w:rPr>
        <w:t>要求供应，否则</w:t>
      </w:r>
      <w:r>
        <w:rPr>
          <w:rFonts w:hint="eastAsia" w:ascii="宋体" w:hAnsi="宋体" w:eastAsia="宋体" w:cs="宋体"/>
          <w:kern w:val="0"/>
          <w:sz w:val="21"/>
          <w:szCs w:val="21"/>
        </w:rPr>
        <w:t>，采购人有权拒收。如因</w:t>
      </w:r>
      <w:r>
        <w:rPr>
          <w:rFonts w:hint="eastAsia" w:ascii="宋体" w:hAnsi="宋体" w:eastAsia="宋体" w:cs="宋体"/>
          <w:kern w:val="0"/>
          <w:sz w:val="21"/>
          <w:szCs w:val="21"/>
          <w:lang w:eastAsia="zh-CN"/>
        </w:rPr>
        <w:t>特殊</w:t>
      </w:r>
      <w:r>
        <w:rPr>
          <w:rFonts w:hint="eastAsia" w:ascii="宋体" w:hAnsi="宋体" w:eastAsia="宋体" w:cs="宋体"/>
          <w:kern w:val="0"/>
          <w:sz w:val="21"/>
          <w:szCs w:val="21"/>
        </w:rPr>
        <w:t>问题需要变更的，应书面通知采购人。</w:t>
      </w:r>
    </w:p>
    <w:p w14:paraId="667B1957">
      <w:pPr>
        <w:keepNext w:val="0"/>
        <w:keepLines w:val="0"/>
        <w:pageBreakBefore w:val="0"/>
        <w:numPr>
          <w:ilvl w:val="0"/>
          <w:numId w:val="17"/>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所提供的产品须与成交供应商报价文件响应的品牌、规格、产地和厂家相符，且符合国家或行业标准，若不相符，成交供应商须无条件退换，损失由成交供应商承担。</w:t>
      </w:r>
    </w:p>
    <w:p w14:paraId="4E430F6D">
      <w:pPr>
        <w:keepNext w:val="0"/>
        <w:keepLines w:val="0"/>
        <w:pageBreakBefore w:val="0"/>
        <w:numPr>
          <w:ilvl w:val="0"/>
          <w:numId w:val="17"/>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成交供应商应保证所提供的货物是全新、未使用过的，并完全符合采购人规定的质量、规格和性能的要求。</w:t>
      </w:r>
    </w:p>
    <w:p w14:paraId="617C3535">
      <w:pPr>
        <w:keepNext w:val="0"/>
        <w:keepLines w:val="0"/>
        <w:pageBreakBefore w:val="0"/>
        <w:numPr>
          <w:ilvl w:val="0"/>
          <w:numId w:val="17"/>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 xml:space="preserve">成交供应商配送人员稳定，衣着整齐，统一佩戴工作牌，服从采购人的相关管理规定。 </w:t>
      </w:r>
    </w:p>
    <w:p w14:paraId="34F3895E">
      <w:pPr>
        <w:keepNext w:val="0"/>
        <w:keepLines w:val="0"/>
        <w:pageBreakBefore w:val="0"/>
        <w:numPr>
          <w:ilvl w:val="0"/>
          <w:numId w:val="14"/>
        </w:numPr>
        <w:tabs>
          <w:tab w:val="left" w:pos="840"/>
        </w:tabs>
        <w:kinsoku/>
        <w:wordWrap/>
        <w:overflowPunct/>
        <w:topLinePunct w:val="0"/>
        <w:autoSpaceDE/>
        <w:autoSpaceDN/>
        <w:bidi w:val="0"/>
        <w:adjustRightInd/>
        <w:snapToGrid/>
        <w:spacing w:line="360" w:lineRule="auto"/>
        <w:ind w:left="-210" w:leftChars="0" w:firstLine="420" w:firstLineChars="0"/>
        <w:rPr>
          <w:rFonts w:hint="eastAsia" w:ascii="宋体" w:hAnsi="宋体" w:eastAsia="宋体" w:cs="宋体"/>
          <w:b/>
          <w:bCs/>
          <w:kern w:val="0"/>
          <w:sz w:val="21"/>
          <w:szCs w:val="21"/>
        </w:rPr>
      </w:pPr>
      <w:r>
        <w:rPr>
          <w:rFonts w:hint="eastAsia" w:ascii="宋体" w:hAnsi="宋体" w:eastAsia="宋体" w:cs="宋体"/>
          <w:b/>
          <w:bCs/>
          <w:kern w:val="0"/>
          <w:sz w:val="21"/>
          <w:szCs w:val="21"/>
        </w:rPr>
        <w:t>交货要求</w:t>
      </w:r>
    </w:p>
    <w:p w14:paraId="6737BF62">
      <w:pPr>
        <w:keepNext w:val="0"/>
        <w:keepLines w:val="0"/>
        <w:pageBreakBefore w:val="0"/>
        <w:numPr>
          <w:ilvl w:val="0"/>
          <w:numId w:val="18"/>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成交供应商收到采购人书面订货单后</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个工作日内将货物送到指定地点交付</w:t>
      </w:r>
      <w:r>
        <w:rPr>
          <w:rFonts w:hint="eastAsia" w:ascii="宋体" w:hAnsi="宋体" w:eastAsia="宋体" w:cs="宋体"/>
          <w:kern w:val="0"/>
          <w:sz w:val="21"/>
          <w:szCs w:val="21"/>
          <w:lang w:eastAsia="zh-CN"/>
        </w:rPr>
        <w:t>并完成安装</w:t>
      </w:r>
      <w:r>
        <w:rPr>
          <w:rFonts w:hint="eastAsia" w:ascii="宋体" w:hAnsi="宋体" w:eastAsia="宋体" w:cs="宋体"/>
          <w:kern w:val="0"/>
          <w:sz w:val="21"/>
          <w:szCs w:val="21"/>
        </w:rPr>
        <w:t>。</w:t>
      </w:r>
    </w:p>
    <w:p w14:paraId="4D8C41E0">
      <w:pPr>
        <w:keepNext w:val="0"/>
        <w:keepLines w:val="0"/>
        <w:pageBreakBefore w:val="0"/>
        <w:numPr>
          <w:ilvl w:val="0"/>
          <w:numId w:val="18"/>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成交供应商售后服务包括：免费送货，应急送货的在收到订货后2小时内运送到佛山市</w:t>
      </w:r>
      <w:r>
        <w:rPr>
          <w:rFonts w:hint="eastAsia" w:ascii="宋体" w:hAnsi="宋体" w:eastAsia="宋体" w:cs="宋体"/>
          <w:kern w:val="0"/>
          <w:sz w:val="21"/>
          <w:szCs w:val="21"/>
          <w:lang w:eastAsia="zh-CN"/>
        </w:rPr>
        <w:t>高明区</w:t>
      </w:r>
      <w:r>
        <w:rPr>
          <w:rFonts w:hint="eastAsia" w:ascii="宋体" w:hAnsi="宋体" w:eastAsia="宋体" w:cs="宋体"/>
          <w:kern w:val="0"/>
          <w:sz w:val="21"/>
          <w:szCs w:val="21"/>
        </w:rPr>
        <w:t>指定地交付。应急送货不分工作日、休息日。</w:t>
      </w:r>
    </w:p>
    <w:p w14:paraId="7B582275">
      <w:pPr>
        <w:keepNext w:val="0"/>
        <w:keepLines w:val="0"/>
        <w:pageBreakBefore w:val="0"/>
        <w:numPr>
          <w:ilvl w:val="0"/>
          <w:numId w:val="14"/>
        </w:numPr>
        <w:tabs>
          <w:tab w:val="left" w:pos="840"/>
        </w:tabs>
        <w:kinsoku/>
        <w:wordWrap/>
        <w:overflowPunct/>
        <w:topLinePunct w:val="0"/>
        <w:autoSpaceDE/>
        <w:autoSpaceDN/>
        <w:bidi w:val="0"/>
        <w:adjustRightInd/>
        <w:snapToGrid/>
        <w:spacing w:line="360" w:lineRule="auto"/>
        <w:ind w:left="-210" w:leftChars="0" w:firstLine="420" w:firstLineChars="0"/>
        <w:rPr>
          <w:rFonts w:hint="eastAsia" w:ascii="宋体" w:hAnsi="宋体" w:eastAsia="宋体" w:cs="宋体"/>
          <w:b/>
          <w:bCs/>
          <w:kern w:val="0"/>
          <w:sz w:val="21"/>
          <w:szCs w:val="21"/>
        </w:rPr>
      </w:pPr>
      <w:r>
        <w:rPr>
          <w:rFonts w:hint="eastAsia" w:ascii="宋体" w:hAnsi="宋体" w:eastAsia="宋体" w:cs="宋体"/>
          <w:b/>
          <w:bCs/>
          <w:kern w:val="0"/>
          <w:sz w:val="21"/>
          <w:szCs w:val="21"/>
        </w:rPr>
        <w:t>付款方式</w:t>
      </w:r>
    </w:p>
    <w:p w14:paraId="423205D6">
      <w:pPr>
        <w:keepNext w:val="0"/>
        <w:keepLines w:val="0"/>
        <w:pageBreakBefore w:val="0"/>
        <w:numPr>
          <w:ilvl w:val="0"/>
          <w:numId w:val="19"/>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合同中确定的单价为所供货物的最高限价。</w:t>
      </w:r>
    </w:p>
    <w:p w14:paraId="7F153B9D">
      <w:pPr>
        <w:keepNext w:val="0"/>
        <w:keepLines w:val="0"/>
        <w:pageBreakBefore w:val="0"/>
        <w:numPr>
          <w:ilvl w:val="0"/>
          <w:numId w:val="19"/>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rPr>
      </w:pPr>
      <w:r>
        <w:rPr>
          <w:rFonts w:hint="eastAsia" w:ascii="宋体" w:hAnsi="宋体" w:eastAsia="宋体" w:cs="宋体"/>
          <w:kern w:val="0"/>
          <w:sz w:val="21"/>
          <w:szCs w:val="21"/>
        </w:rPr>
        <w:t>结算单价包含货物的价款、仓储和运输费、装卸费及为进口应缴纳的一切关税等费用，采购人无须向成交供应商另外支付任何费用。</w:t>
      </w:r>
    </w:p>
    <w:p w14:paraId="382D714C">
      <w:pPr>
        <w:keepNext w:val="0"/>
        <w:keepLines w:val="0"/>
        <w:pageBreakBefore w:val="0"/>
        <w:numPr>
          <w:ilvl w:val="0"/>
          <w:numId w:val="19"/>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结算方式：</w:t>
      </w:r>
    </w:p>
    <w:p w14:paraId="38EB92BA">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rPr>
      </w:pPr>
      <w:r>
        <w:rPr>
          <w:rFonts w:hint="eastAsia" w:ascii="宋体" w:hAnsi="宋体" w:eastAsia="宋体" w:cs="宋体"/>
          <w:kern w:val="0"/>
          <w:sz w:val="21"/>
          <w:szCs w:val="21"/>
        </w:rPr>
        <w:t>第一期：</w:t>
      </w:r>
      <w:r>
        <w:rPr>
          <w:rFonts w:hint="eastAsia" w:ascii="宋体" w:hAnsi="宋体" w:eastAsia="宋体" w:cs="宋体"/>
          <w:kern w:val="0"/>
          <w:sz w:val="21"/>
          <w:szCs w:val="21"/>
          <w:lang w:eastAsia="zh-CN"/>
        </w:rPr>
        <w:t>成交供应商自采购货物经</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验收合格之日起1个月内，提供该</w:t>
      </w:r>
      <w:r>
        <w:rPr>
          <w:rFonts w:hint="eastAsia" w:ascii="宋体" w:hAnsi="宋体" w:eastAsia="宋体" w:cs="宋体"/>
          <w:kern w:val="0"/>
          <w:sz w:val="21"/>
          <w:szCs w:val="21"/>
          <w:lang w:eastAsia="zh-CN"/>
        </w:rPr>
        <w:t>采购货物</w:t>
      </w:r>
      <w:r>
        <w:rPr>
          <w:rFonts w:hint="eastAsia" w:ascii="宋体" w:hAnsi="宋体" w:eastAsia="宋体" w:cs="宋体"/>
          <w:kern w:val="0"/>
          <w:sz w:val="21"/>
          <w:szCs w:val="21"/>
        </w:rPr>
        <w:t>的全额增值税专用发票给</w:t>
      </w:r>
      <w:r>
        <w:rPr>
          <w:rFonts w:hint="eastAsia" w:ascii="宋体" w:hAnsi="宋体" w:eastAsia="宋体" w:cs="宋体"/>
          <w:kern w:val="0"/>
          <w:sz w:val="21"/>
          <w:szCs w:val="21"/>
          <w:lang w:eastAsia="zh-CN"/>
        </w:rPr>
        <w:t>采购人，采购人</w:t>
      </w:r>
      <w:r>
        <w:rPr>
          <w:rFonts w:hint="eastAsia" w:ascii="宋体" w:hAnsi="宋体" w:eastAsia="宋体" w:cs="宋体"/>
          <w:kern w:val="0"/>
          <w:sz w:val="21"/>
          <w:szCs w:val="21"/>
        </w:rPr>
        <w:t>自收到合法有效发票之日</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个月内</w:t>
      </w:r>
      <w:r>
        <w:rPr>
          <w:rFonts w:hint="eastAsia" w:ascii="宋体" w:hAnsi="宋体" w:eastAsia="宋体" w:cs="宋体"/>
          <w:kern w:val="0"/>
          <w:sz w:val="21"/>
          <w:szCs w:val="21"/>
        </w:rPr>
        <w:t>，支付</w:t>
      </w:r>
      <w:r>
        <w:rPr>
          <w:rFonts w:hint="eastAsia" w:ascii="宋体" w:hAnsi="宋体" w:eastAsia="宋体" w:cs="宋体"/>
          <w:kern w:val="0"/>
          <w:sz w:val="21"/>
          <w:szCs w:val="21"/>
          <w:lang w:eastAsia="zh-CN"/>
        </w:rPr>
        <w:t>相应</w:t>
      </w:r>
      <w:r>
        <w:rPr>
          <w:rFonts w:hint="eastAsia" w:ascii="宋体" w:hAnsi="宋体" w:eastAsia="宋体" w:cs="宋体"/>
          <w:kern w:val="0"/>
          <w:sz w:val="21"/>
          <w:szCs w:val="21"/>
        </w:rPr>
        <w:t>货款的【95%】。</w:t>
      </w:r>
    </w:p>
    <w:p w14:paraId="3CB58E60">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0"/>
          <w:sz w:val="21"/>
          <w:szCs w:val="21"/>
          <w:lang w:eastAsia="zh-CN"/>
        </w:rPr>
      </w:pPr>
      <w:r>
        <w:rPr>
          <w:rFonts w:hint="eastAsia" w:ascii="宋体" w:hAnsi="宋体" w:eastAsia="宋体" w:cs="宋体"/>
          <w:kern w:val="0"/>
          <w:sz w:val="21"/>
          <w:szCs w:val="21"/>
        </w:rPr>
        <w:t>第</w:t>
      </w:r>
      <w:r>
        <w:rPr>
          <w:rFonts w:hint="eastAsia" w:ascii="宋体" w:hAnsi="宋体" w:eastAsia="宋体" w:cs="宋体"/>
          <w:kern w:val="0"/>
          <w:sz w:val="21"/>
          <w:szCs w:val="21"/>
          <w:lang w:eastAsia="zh-CN"/>
        </w:rPr>
        <w:t>二期：剩余【5%】货款为质量保证金（即质保金），如无质量问题，质保期满后3个月内无息支付。</w:t>
      </w:r>
    </w:p>
    <w:p w14:paraId="631D4E4C">
      <w:pPr>
        <w:keepNext w:val="0"/>
        <w:keepLines w:val="0"/>
        <w:pageBreakBefore w:val="0"/>
        <w:numPr>
          <w:ilvl w:val="0"/>
          <w:numId w:val="19"/>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付款方式：采用银行汇付（含电汇）形式。</w:t>
      </w:r>
    </w:p>
    <w:p w14:paraId="62699582">
      <w:pPr>
        <w:keepNext w:val="0"/>
        <w:keepLines w:val="0"/>
        <w:pageBreakBefore w:val="0"/>
        <w:numPr>
          <w:ilvl w:val="0"/>
          <w:numId w:val="19"/>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成交供应商</w:t>
      </w:r>
      <w:r>
        <w:rPr>
          <w:rFonts w:hint="eastAsia" w:ascii="宋体" w:hAnsi="宋体" w:eastAsia="宋体" w:cs="宋体"/>
          <w:kern w:val="0"/>
          <w:sz w:val="21"/>
          <w:szCs w:val="21"/>
          <w:lang w:eastAsia="zh-CN"/>
        </w:rPr>
        <w:t>须按照采购人要求提供合法增值税专用发票，否则，采购人有权延期付款，由此造成迟延付款的责任由成交供应商自行承担。</w:t>
      </w:r>
    </w:p>
    <w:p w14:paraId="3EB5088F">
      <w:pPr>
        <w:keepNext w:val="0"/>
        <w:keepLines w:val="0"/>
        <w:pageBreakBefore w:val="0"/>
        <w:numPr>
          <w:ilvl w:val="0"/>
          <w:numId w:val="19"/>
        </w:numPr>
        <w:tabs>
          <w:tab w:val="left" w:pos="840"/>
        </w:tabs>
        <w:kinsoku/>
        <w:wordWrap/>
        <w:overflowPunct/>
        <w:topLinePunct w:val="0"/>
        <w:autoSpaceDE/>
        <w:autoSpaceDN/>
        <w:bidi w:val="0"/>
        <w:adjustRightInd/>
        <w:snapToGrid/>
        <w:spacing w:line="360" w:lineRule="auto"/>
        <w:ind w:left="425" w:leftChars="0" w:hanging="425" w:firstLineChars="0"/>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出现国家税收政策调整时，双方应根据实际税收调整情况，以本合同中的货物不含税单价为依据相应调整受影响的合同含税金额，成交供应商需按照税收调整政策规定开具合法合规发票。</w:t>
      </w:r>
    </w:p>
    <w:p w14:paraId="573E256E">
      <w:pPr>
        <w:rPr>
          <w:rFonts w:hint="eastAsia" w:ascii="宋体" w:hAnsi="宋体" w:cs="宋体"/>
          <w:b/>
          <w:bCs/>
          <w:sz w:val="32"/>
          <w:szCs w:val="32"/>
        </w:rPr>
      </w:pPr>
      <w:r>
        <w:rPr>
          <w:rFonts w:hint="eastAsia" w:ascii="宋体" w:hAnsi="宋体" w:cs="宋体"/>
          <w:b/>
          <w:bCs/>
          <w:sz w:val="32"/>
          <w:szCs w:val="32"/>
        </w:rPr>
        <w:br w:type="page"/>
      </w:r>
    </w:p>
    <w:p w14:paraId="37B6EA69">
      <w:pPr>
        <w:spacing w:line="360" w:lineRule="auto"/>
        <w:jc w:val="center"/>
        <w:outlineLvl w:val="0"/>
        <w:rPr>
          <w:rFonts w:ascii="宋体" w:hAnsi="宋体" w:cs="宋体"/>
          <w:b/>
          <w:bCs/>
          <w:sz w:val="32"/>
          <w:szCs w:val="32"/>
        </w:rPr>
      </w:pPr>
      <w:r>
        <w:rPr>
          <w:rFonts w:hint="eastAsia" w:ascii="宋体" w:hAnsi="宋体" w:cs="宋体"/>
          <w:b/>
          <w:bCs/>
          <w:sz w:val="32"/>
          <w:szCs w:val="32"/>
        </w:rPr>
        <w:t>第三部分　价格部分</w:t>
      </w:r>
    </w:p>
    <w:bookmarkEnd w:id="2"/>
    <w:bookmarkEnd w:id="3"/>
    <w:bookmarkEnd w:id="4"/>
    <w:bookmarkEnd w:id="5"/>
    <w:bookmarkEnd w:id="6"/>
    <w:bookmarkEnd w:id="7"/>
    <w:bookmarkEnd w:id="8"/>
    <w:bookmarkEnd w:id="9"/>
    <w:p w14:paraId="1CC027AF">
      <w:pPr>
        <w:spacing w:line="360" w:lineRule="auto"/>
        <w:jc w:val="center"/>
        <w:rPr>
          <w:rFonts w:hint="eastAsia" w:ascii="宋体" w:hAnsi="宋体" w:cs="Arial"/>
          <w:b/>
          <w:sz w:val="28"/>
          <w:szCs w:val="28"/>
        </w:rPr>
      </w:pPr>
      <w:r>
        <w:rPr>
          <w:rFonts w:hint="eastAsia" w:ascii="宋体" w:hAnsi="宋体" w:cs="Arial"/>
          <w:b/>
          <w:sz w:val="28"/>
          <w:szCs w:val="28"/>
        </w:rPr>
        <w:t>报价一览表</w:t>
      </w:r>
    </w:p>
    <w:p w14:paraId="40FBD8A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rPr>
      </w:pPr>
      <w:r>
        <w:rPr>
          <w:rFonts w:hint="eastAsia" w:ascii="宋体" w:hAnsi="宋体"/>
        </w:rPr>
        <w:t>项目名称:</w:t>
      </w:r>
      <w:r>
        <w:rPr>
          <w:rFonts w:hint="eastAsia" w:ascii="宋体" w:hAnsi="宋体"/>
          <w:lang w:eastAsia="zh-CN"/>
        </w:rPr>
        <w:t>2025年佛山高明分公司办公设备配置项目</w:t>
      </w:r>
      <w:r>
        <w:rPr>
          <w:rFonts w:hint="eastAsia" w:ascii="宋体" w:hAnsi="宋体"/>
        </w:rPr>
        <w:t xml:space="preserve">                                              </w:t>
      </w:r>
    </w:p>
    <w:p w14:paraId="39C0D456">
      <w:pPr>
        <w:spacing w:line="360" w:lineRule="auto"/>
        <w:jc w:val="both"/>
        <w:rPr>
          <w:rFonts w:hint="eastAsia" w:ascii="宋体" w:hAnsi="宋体"/>
        </w:rPr>
      </w:pPr>
      <w:r>
        <w:rPr>
          <w:rFonts w:hint="eastAsia" w:ascii="宋体" w:hAnsi="宋体"/>
        </w:rPr>
        <w:t>采购项目编号：</w:t>
      </w:r>
      <w:r>
        <w:rPr>
          <w:rFonts w:hint="eastAsia" w:ascii="宋体" w:hAnsi="宋体" w:eastAsia="宋体" w:cs="宋体"/>
          <w:b w:val="0"/>
          <w:bCs w:val="0"/>
          <w:sz w:val="21"/>
          <w:szCs w:val="21"/>
        </w:rPr>
        <w:t>FS-BGSB-3L-2025-001004</w:t>
      </w:r>
      <w:r>
        <w:rPr>
          <w:rFonts w:hint="eastAsia" w:ascii="宋体" w:hAnsi="宋体"/>
          <w:lang w:val="en-US" w:eastAsia="zh-CN"/>
        </w:rPr>
        <w:t xml:space="preserve">                       </w:t>
      </w:r>
      <w:r>
        <w:rPr>
          <w:rFonts w:hint="eastAsia" w:ascii="宋体" w:hAnsi="宋体"/>
        </w:rPr>
        <w:t>货币单位：元（人民币）</w:t>
      </w:r>
    </w:p>
    <w:tbl>
      <w:tblPr>
        <w:tblStyle w:val="36"/>
        <w:tblW w:w="4998" w:type="pct"/>
        <w:tblInd w:w="0" w:type="dxa"/>
        <w:tblLayout w:type="autofit"/>
        <w:tblCellMar>
          <w:top w:w="0" w:type="dxa"/>
          <w:left w:w="108" w:type="dxa"/>
          <w:bottom w:w="0" w:type="dxa"/>
          <w:right w:w="108" w:type="dxa"/>
        </w:tblCellMar>
      </w:tblPr>
      <w:tblGrid>
        <w:gridCol w:w="491"/>
        <w:gridCol w:w="666"/>
        <w:gridCol w:w="2503"/>
        <w:gridCol w:w="2200"/>
        <w:gridCol w:w="884"/>
        <w:gridCol w:w="884"/>
        <w:gridCol w:w="891"/>
      </w:tblGrid>
      <w:tr w14:paraId="65C9F824">
        <w:tblPrEx>
          <w:tblCellMar>
            <w:top w:w="0" w:type="dxa"/>
            <w:left w:w="108" w:type="dxa"/>
            <w:bottom w:w="0" w:type="dxa"/>
            <w:right w:w="108" w:type="dxa"/>
          </w:tblCellMar>
        </w:tblPrEx>
        <w:trPr>
          <w:trHeight w:val="532" w:hRule="atLeast"/>
        </w:trPr>
        <w:tc>
          <w:tcPr>
            <w:tcW w:w="2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7B3A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序号</w:t>
            </w:r>
          </w:p>
        </w:tc>
        <w:tc>
          <w:tcPr>
            <w:tcW w:w="391" w:type="pct"/>
            <w:tcBorders>
              <w:top w:val="single" w:color="auto" w:sz="4" w:space="0"/>
              <w:left w:val="nil"/>
              <w:bottom w:val="single" w:color="auto" w:sz="4" w:space="0"/>
              <w:right w:val="single" w:color="auto" w:sz="4" w:space="0"/>
            </w:tcBorders>
            <w:shd w:val="clear" w:color="auto" w:fill="FFFFFF"/>
            <w:noWrap w:val="0"/>
            <w:vAlign w:val="center"/>
          </w:tcPr>
          <w:p w14:paraId="11A31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办公电器</w:t>
            </w:r>
          </w:p>
        </w:tc>
        <w:tc>
          <w:tcPr>
            <w:tcW w:w="1469" w:type="pct"/>
            <w:tcBorders>
              <w:top w:val="single" w:color="auto" w:sz="4" w:space="0"/>
              <w:left w:val="nil"/>
              <w:bottom w:val="single" w:color="auto" w:sz="4" w:space="0"/>
              <w:right w:val="single" w:color="auto" w:sz="4" w:space="0"/>
            </w:tcBorders>
            <w:shd w:val="clear" w:color="auto" w:fill="FFFFFF"/>
            <w:noWrap w:val="0"/>
            <w:vAlign w:val="center"/>
          </w:tcPr>
          <w:p w14:paraId="11E697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lang w:eastAsia="zh-CN"/>
              </w:rPr>
            </w:pPr>
            <w:r>
              <w:rPr>
                <w:rFonts w:hint="eastAsia" w:ascii="宋体" w:hAnsi="宋体" w:eastAsia="宋体" w:cs="宋体"/>
                <w:b/>
                <w:bCs/>
                <w:i w:val="0"/>
                <w:iCs w:val="0"/>
                <w:color w:val="000000"/>
                <w:kern w:val="0"/>
                <w:sz w:val="21"/>
                <w:szCs w:val="21"/>
                <w:u w:val="none"/>
                <w:lang w:val="en-US" w:eastAsia="zh-CN" w:bidi="ar"/>
              </w:rPr>
              <w:t>设备规格型号</w:t>
            </w:r>
          </w:p>
        </w:tc>
        <w:tc>
          <w:tcPr>
            <w:tcW w:w="1291" w:type="pct"/>
            <w:tcBorders>
              <w:top w:val="single" w:color="auto" w:sz="4" w:space="0"/>
              <w:left w:val="nil"/>
              <w:bottom w:val="single" w:color="auto" w:sz="4" w:space="0"/>
              <w:right w:val="single" w:color="auto" w:sz="4" w:space="0"/>
            </w:tcBorders>
            <w:shd w:val="clear" w:color="auto" w:fill="FFFFFF"/>
            <w:noWrap w:val="0"/>
            <w:vAlign w:val="center"/>
          </w:tcPr>
          <w:p w14:paraId="18386C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rPr>
            </w:pPr>
            <w:r>
              <w:rPr>
                <w:rFonts w:hint="eastAsia" w:ascii="宋体" w:hAnsi="宋体" w:eastAsia="宋体" w:cs="宋体"/>
                <w:b/>
                <w:bCs/>
                <w:i w:val="0"/>
                <w:iCs w:val="0"/>
                <w:color w:val="000000"/>
                <w:kern w:val="0"/>
                <w:sz w:val="21"/>
                <w:szCs w:val="21"/>
                <w:u w:val="none"/>
                <w:lang w:val="en-US" w:eastAsia="zh-CN" w:bidi="ar"/>
              </w:rPr>
              <w:t>参考型号</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0A117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color w:val="000000"/>
                <w:kern w:val="0"/>
                <w:sz w:val="21"/>
                <w:szCs w:val="21"/>
                <w:lang w:val="en-US" w:eastAsia="zh-CN" w:bidi="ar"/>
              </w:rPr>
            </w:pPr>
            <w:r>
              <w:rPr>
                <w:rFonts w:hint="eastAsia" w:ascii="宋体" w:hAnsi="宋体" w:eastAsia="宋体" w:cs="宋体"/>
                <w:b/>
                <w:bCs/>
                <w:i w:val="0"/>
                <w:iCs w:val="0"/>
                <w:color w:val="000000"/>
                <w:kern w:val="0"/>
                <w:sz w:val="21"/>
                <w:szCs w:val="21"/>
                <w:u w:val="none"/>
                <w:lang w:val="en-US" w:eastAsia="zh-CN" w:bidi="ar"/>
              </w:rPr>
              <w:t>预算限价（元）</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4907A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报价（元）</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244D73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备注</w:t>
            </w:r>
          </w:p>
        </w:tc>
      </w:tr>
      <w:tr w14:paraId="3B8F87A2">
        <w:tblPrEx>
          <w:tblCellMar>
            <w:top w:w="0" w:type="dxa"/>
            <w:left w:w="108" w:type="dxa"/>
            <w:bottom w:w="0" w:type="dxa"/>
            <w:right w:w="108" w:type="dxa"/>
          </w:tblCellMar>
        </w:tblPrEx>
        <w:trPr>
          <w:trHeight w:val="625" w:hRule="atLeast"/>
        </w:trPr>
        <w:tc>
          <w:tcPr>
            <w:tcW w:w="288" w:type="pct"/>
            <w:tcBorders>
              <w:top w:val="nil"/>
              <w:left w:val="single" w:color="auto" w:sz="4" w:space="0"/>
              <w:bottom w:val="single" w:color="auto" w:sz="4" w:space="0"/>
              <w:right w:val="single" w:color="auto" w:sz="4" w:space="0"/>
            </w:tcBorders>
            <w:shd w:val="clear" w:color="auto" w:fill="FFFFFF"/>
            <w:noWrap w:val="0"/>
            <w:vAlign w:val="center"/>
          </w:tcPr>
          <w:p w14:paraId="5393C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391" w:type="pct"/>
            <w:tcBorders>
              <w:top w:val="nil"/>
              <w:left w:val="nil"/>
              <w:bottom w:val="single" w:color="auto" w:sz="4" w:space="0"/>
              <w:right w:val="single" w:color="auto" w:sz="4" w:space="0"/>
            </w:tcBorders>
            <w:shd w:val="clear" w:color="auto" w:fill="FFFFFF"/>
            <w:noWrap w:val="0"/>
            <w:vAlign w:val="center"/>
          </w:tcPr>
          <w:p w14:paraId="43A3E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台式电脑</w:t>
            </w:r>
          </w:p>
        </w:tc>
        <w:tc>
          <w:tcPr>
            <w:tcW w:w="1469" w:type="pct"/>
            <w:tcBorders>
              <w:top w:val="nil"/>
              <w:left w:val="nil"/>
              <w:bottom w:val="single" w:color="auto" w:sz="4" w:space="0"/>
              <w:right w:val="single" w:color="auto" w:sz="4" w:space="0"/>
            </w:tcBorders>
            <w:shd w:val="clear" w:color="auto" w:fill="FFFFFF"/>
            <w:noWrap w:val="0"/>
            <w:vAlign w:val="center"/>
          </w:tcPr>
          <w:p w14:paraId="083FAA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主机+21.5英寸显示器（分辨率1920*1080）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内存容量：16GB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处理器：intel i5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硬盘容量：512GB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显卡型号：GT730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CPU型号：i5-12400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核心数：六核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网卡：无线网卡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芯片组：intel B660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显卡类型：独立显卡</w:t>
            </w:r>
          </w:p>
        </w:tc>
        <w:tc>
          <w:tcPr>
            <w:tcW w:w="1291" w:type="pct"/>
            <w:tcBorders>
              <w:top w:val="nil"/>
              <w:left w:val="nil"/>
              <w:bottom w:val="single" w:color="auto" w:sz="4" w:space="0"/>
              <w:right w:val="single" w:color="auto" w:sz="4" w:space="0"/>
            </w:tcBorders>
            <w:shd w:val="clear" w:color="auto" w:fill="FFFFFF"/>
            <w:noWrap w:val="0"/>
            <w:vAlign w:val="center"/>
          </w:tcPr>
          <w:p w14:paraId="6D4BA6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戴尔（DELL）成就3030 台式电脑酷睿12代i5电脑主机整机 JH1A 主机+21.5英寸显示器 i5-12400 16G 512G 2G独显 定制</w:t>
            </w:r>
          </w:p>
        </w:tc>
        <w:tc>
          <w:tcPr>
            <w:tcW w:w="519" w:type="pct"/>
            <w:tcBorders>
              <w:top w:val="nil"/>
              <w:left w:val="nil"/>
              <w:bottom w:val="single" w:color="auto" w:sz="4" w:space="0"/>
              <w:right w:val="single" w:color="auto" w:sz="4" w:space="0"/>
            </w:tcBorders>
            <w:shd w:val="clear" w:color="auto" w:fill="FFFFFF"/>
            <w:noWrap w:val="0"/>
            <w:vAlign w:val="center"/>
          </w:tcPr>
          <w:p w14:paraId="4755D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4000</w:t>
            </w:r>
          </w:p>
        </w:tc>
        <w:tc>
          <w:tcPr>
            <w:tcW w:w="519" w:type="pct"/>
            <w:tcBorders>
              <w:top w:val="nil"/>
              <w:left w:val="nil"/>
              <w:bottom w:val="single" w:color="auto" w:sz="4" w:space="0"/>
              <w:right w:val="single" w:color="auto" w:sz="4" w:space="0"/>
            </w:tcBorders>
            <w:shd w:val="clear" w:color="auto" w:fill="FFFFFF"/>
            <w:noWrap w:val="0"/>
            <w:vAlign w:val="center"/>
          </w:tcPr>
          <w:p w14:paraId="29A3F3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nil"/>
              <w:left w:val="nil"/>
              <w:bottom w:val="single" w:color="auto" w:sz="4" w:space="0"/>
              <w:right w:val="single" w:color="auto" w:sz="4" w:space="0"/>
            </w:tcBorders>
            <w:shd w:val="clear" w:color="auto" w:fill="FFFFFF"/>
            <w:noWrap w:val="0"/>
            <w:vAlign w:val="center"/>
          </w:tcPr>
          <w:p w14:paraId="4615B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D338ED">
        <w:tblPrEx>
          <w:tblCellMar>
            <w:top w:w="0" w:type="dxa"/>
            <w:left w:w="108" w:type="dxa"/>
            <w:bottom w:w="0" w:type="dxa"/>
            <w:right w:w="108" w:type="dxa"/>
          </w:tblCellMar>
        </w:tblPrEx>
        <w:trPr>
          <w:trHeight w:val="250" w:hRule="atLeast"/>
        </w:trPr>
        <w:tc>
          <w:tcPr>
            <w:tcW w:w="2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54CC0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391" w:type="pct"/>
            <w:tcBorders>
              <w:top w:val="single" w:color="auto" w:sz="4" w:space="0"/>
              <w:left w:val="nil"/>
              <w:bottom w:val="single" w:color="auto" w:sz="4" w:space="0"/>
              <w:right w:val="single" w:color="auto" w:sz="4" w:space="0"/>
            </w:tcBorders>
            <w:shd w:val="clear" w:color="auto" w:fill="FFFFFF"/>
            <w:noWrap w:val="0"/>
            <w:vAlign w:val="center"/>
          </w:tcPr>
          <w:p w14:paraId="4D617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台式电脑</w:t>
            </w:r>
          </w:p>
        </w:tc>
        <w:tc>
          <w:tcPr>
            <w:tcW w:w="1469" w:type="pct"/>
            <w:tcBorders>
              <w:top w:val="single" w:color="auto" w:sz="4" w:space="0"/>
              <w:left w:val="nil"/>
              <w:bottom w:val="single" w:color="auto" w:sz="4" w:space="0"/>
              <w:right w:val="single" w:color="auto" w:sz="4" w:space="0"/>
            </w:tcBorders>
            <w:shd w:val="clear" w:color="auto" w:fill="FFFFFF"/>
            <w:noWrap w:val="0"/>
            <w:vAlign w:val="center"/>
          </w:tcPr>
          <w:p w14:paraId="50B6F3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主机+21.5英寸显示器（分辨率1920*1080）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内存容量：16GB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处理器：intel i5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硬盘容量：512GB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显卡型号：GT730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CPU型号：i5-12400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核心数：六核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网卡：无线网卡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芯片组：intel B660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显卡类型：独立显卡</w:t>
            </w:r>
          </w:p>
        </w:tc>
        <w:tc>
          <w:tcPr>
            <w:tcW w:w="1291" w:type="pct"/>
            <w:tcBorders>
              <w:top w:val="single" w:color="auto" w:sz="4" w:space="0"/>
              <w:left w:val="nil"/>
              <w:bottom w:val="single" w:color="auto" w:sz="4" w:space="0"/>
              <w:right w:val="single" w:color="auto" w:sz="4" w:space="0"/>
            </w:tcBorders>
            <w:shd w:val="clear" w:color="auto" w:fill="FFFFFF"/>
            <w:noWrap w:val="0"/>
            <w:vAlign w:val="center"/>
          </w:tcPr>
          <w:p w14:paraId="09C61A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iCs w:val="0"/>
                <w:color w:val="000000"/>
                <w:kern w:val="0"/>
                <w:sz w:val="21"/>
                <w:szCs w:val="21"/>
                <w:u w:val="none"/>
                <w:lang w:val="en-US" w:eastAsia="zh-CN" w:bidi="ar"/>
              </w:rPr>
              <w:t>戴尔（DELL）成就3030 台式电脑酷睿12代i5电脑主机整机 JH1A 主机+21.5英寸显示器 i5-12400 16G 512G 2G独显 定制</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2E6C89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4000</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312232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344CE3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A3A915">
        <w:tblPrEx>
          <w:tblCellMar>
            <w:top w:w="0" w:type="dxa"/>
            <w:left w:w="108" w:type="dxa"/>
            <w:bottom w:w="0" w:type="dxa"/>
            <w:right w:w="108" w:type="dxa"/>
          </w:tblCellMar>
        </w:tblPrEx>
        <w:trPr>
          <w:trHeight w:val="232" w:hRule="atLeast"/>
        </w:trPr>
        <w:tc>
          <w:tcPr>
            <w:tcW w:w="288" w:type="pct"/>
            <w:tcBorders>
              <w:top w:val="single" w:color="auto" w:sz="4" w:space="0"/>
              <w:left w:val="single" w:color="auto" w:sz="4" w:space="0"/>
              <w:bottom w:val="single" w:color="auto" w:sz="4" w:space="0"/>
              <w:right w:val="single" w:color="auto" w:sz="4" w:space="0"/>
            </w:tcBorders>
            <w:shd w:val="clear" w:color="auto" w:fill="FFFFFF"/>
            <w:noWrap w:val="0"/>
            <w:vAlign w:val="center"/>
          </w:tcPr>
          <w:p w14:paraId="1BE81B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Cs/>
                <w:sz w:val="21"/>
                <w:szCs w:val="21"/>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391" w:type="pct"/>
            <w:tcBorders>
              <w:top w:val="single" w:color="auto" w:sz="4" w:space="0"/>
              <w:left w:val="nil"/>
              <w:bottom w:val="single" w:color="auto" w:sz="4" w:space="0"/>
              <w:right w:val="single" w:color="auto" w:sz="4" w:space="0"/>
            </w:tcBorders>
            <w:shd w:val="clear" w:color="auto" w:fill="FFFFFF"/>
            <w:noWrap w:val="0"/>
            <w:vAlign w:val="center"/>
          </w:tcPr>
          <w:p w14:paraId="5932B2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投影仪</w:t>
            </w:r>
          </w:p>
        </w:tc>
        <w:tc>
          <w:tcPr>
            <w:tcW w:w="1469" w:type="pct"/>
            <w:tcBorders>
              <w:top w:val="single" w:color="auto" w:sz="4" w:space="0"/>
              <w:left w:val="nil"/>
              <w:bottom w:val="single" w:color="auto" w:sz="4" w:space="0"/>
              <w:right w:val="single" w:color="auto" w:sz="4" w:space="0"/>
            </w:tcBorders>
            <w:shd w:val="clear" w:color="auto" w:fill="FFFFFF"/>
            <w:noWrap w:val="0"/>
            <w:vAlign w:val="center"/>
          </w:tcPr>
          <w:p w14:paraId="56E13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I0S亮度：3600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分辨率：XGA（1024*768）</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投影距离：0.83-10.95米</w:t>
            </w:r>
          </w:p>
        </w:tc>
        <w:tc>
          <w:tcPr>
            <w:tcW w:w="1291" w:type="pct"/>
            <w:tcBorders>
              <w:top w:val="single" w:color="auto" w:sz="4" w:space="0"/>
              <w:left w:val="nil"/>
              <w:bottom w:val="single" w:color="auto" w:sz="4" w:space="0"/>
              <w:right w:val="single" w:color="auto" w:sz="4" w:space="0"/>
            </w:tcBorders>
            <w:shd w:val="clear" w:color="auto" w:fill="FFFFFF"/>
            <w:noWrap w:val="0"/>
            <w:vAlign w:val="center"/>
          </w:tcPr>
          <w:p w14:paraId="6A3CB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lang w:eastAsia="zh-CN"/>
              </w:rPr>
            </w:pPr>
            <w:r>
              <w:rPr>
                <w:rFonts w:hint="eastAsia" w:ascii="宋体" w:hAnsi="宋体" w:eastAsia="宋体" w:cs="宋体"/>
                <w:i w:val="0"/>
                <w:iCs w:val="0"/>
                <w:color w:val="000000"/>
                <w:kern w:val="0"/>
                <w:sz w:val="21"/>
                <w:szCs w:val="21"/>
                <w:u w:val="none"/>
                <w:lang w:val="en-US" w:eastAsia="zh-CN" w:bidi="ar"/>
              </w:rPr>
              <w:t>爱普生（EPSON）CB-X49 投影机 投影仪办公会议培训（3600流明 HDMI高清接口 3LCD 支持侧面投影）</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6CA77F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4000</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48C60E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427AE5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1A239204">
        <w:tblPrEx>
          <w:tblCellMar>
            <w:top w:w="0" w:type="dxa"/>
            <w:left w:w="108" w:type="dxa"/>
            <w:bottom w:w="0" w:type="dxa"/>
            <w:right w:w="108" w:type="dxa"/>
          </w:tblCellMar>
        </w:tblPrEx>
        <w:trPr>
          <w:trHeight w:val="238" w:hRule="atLeast"/>
        </w:trPr>
        <w:tc>
          <w:tcPr>
            <w:tcW w:w="2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7A2F8D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391" w:type="pct"/>
            <w:tcBorders>
              <w:top w:val="single" w:color="auto" w:sz="4" w:space="0"/>
              <w:left w:val="nil"/>
              <w:bottom w:val="single" w:color="auto" w:sz="4" w:space="0"/>
              <w:right w:val="single" w:color="auto" w:sz="4" w:space="0"/>
            </w:tcBorders>
            <w:shd w:val="clear" w:color="auto" w:fill="FFFFFF"/>
            <w:noWrap w:val="0"/>
            <w:vAlign w:val="center"/>
          </w:tcPr>
          <w:p w14:paraId="123B06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台式电脑</w:t>
            </w:r>
          </w:p>
        </w:tc>
        <w:tc>
          <w:tcPr>
            <w:tcW w:w="1469" w:type="pct"/>
            <w:tcBorders>
              <w:top w:val="single" w:color="auto" w:sz="4" w:space="0"/>
              <w:left w:val="nil"/>
              <w:bottom w:val="single" w:color="auto" w:sz="4" w:space="0"/>
              <w:right w:val="single" w:color="auto" w:sz="4" w:space="0"/>
            </w:tcBorders>
            <w:shd w:val="clear" w:color="auto" w:fill="FFFFFF"/>
            <w:noWrap w:val="0"/>
            <w:vAlign w:val="center"/>
          </w:tcPr>
          <w:p w14:paraId="064A9C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主机+23.8英寸显示器（分辨率1920*1080）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内存容量：32GB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系统：Windows 11家庭中文版</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处理器：intel i5</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硬盘容量：1TB SSD</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显卡型号：集成显卡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CPU型号：i5-12400</w:t>
            </w:r>
          </w:p>
        </w:tc>
        <w:tc>
          <w:tcPr>
            <w:tcW w:w="1291" w:type="pct"/>
            <w:tcBorders>
              <w:top w:val="single" w:color="auto" w:sz="4" w:space="0"/>
              <w:left w:val="nil"/>
              <w:bottom w:val="single" w:color="auto" w:sz="4" w:space="0"/>
              <w:right w:val="single" w:color="auto" w:sz="4" w:space="0"/>
            </w:tcBorders>
            <w:shd w:val="clear" w:color="auto" w:fill="FFFFFF"/>
            <w:noWrap w:val="0"/>
            <w:vAlign w:val="center"/>
          </w:tcPr>
          <w:p w14:paraId="318C56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戴尔（DELL）成就3030 台式电脑酷睿12代i5电脑主机整机 JH1A 主机+23.8英寸显示器 i5-12400 32G内存 1TB固态 定制</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61055A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4500</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3560F6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70E4EB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7EB819B">
        <w:tblPrEx>
          <w:tblCellMar>
            <w:top w:w="0" w:type="dxa"/>
            <w:left w:w="108" w:type="dxa"/>
            <w:bottom w:w="0" w:type="dxa"/>
            <w:right w:w="108" w:type="dxa"/>
          </w:tblCellMar>
        </w:tblPrEx>
        <w:trPr>
          <w:trHeight w:val="218" w:hRule="atLeast"/>
        </w:trPr>
        <w:tc>
          <w:tcPr>
            <w:tcW w:w="2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0B83CE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391" w:type="pct"/>
            <w:tcBorders>
              <w:top w:val="single" w:color="auto" w:sz="4" w:space="0"/>
              <w:left w:val="nil"/>
              <w:bottom w:val="single" w:color="auto" w:sz="4" w:space="0"/>
              <w:right w:val="single" w:color="auto" w:sz="4" w:space="0"/>
            </w:tcBorders>
            <w:shd w:val="clear" w:color="auto" w:fill="FFFFFF"/>
            <w:noWrap w:val="0"/>
            <w:vAlign w:val="center"/>
          </w:tcPr>
          <w:p w14:paraId="000E6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手提电脑</w:t>
            </w:r>
          </w:p>
        </w:tc>
        <w:tc>
          <w:tcPr>
            <w:tcW w:w="1469" w:type="pct"/>
            <w:tcBorders>
              <w:top w:val="single" w:color="auto" w:sz="4" w:space="0"/>
              <w:left w:val="nil"/>
              <w:bottom w:val="single" w:color="auto" w:sz="4" w:space="0"/>
              <w:right w:val="single" w:color="auto" w:sz="4" w:space="0"/>
            </w:tcBorders>
            <w:shd w:val="clear" w:color="auto" w:fill="FFFFFF"/>
            <w:noWrap w:val="0"/>
            <w:vAlign w:val="center"/>
          </w:tcPr>
          <w:p w14:paraId="3411A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屏幕比例：16:10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屏幕尺寸：16.0-16.9英寸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接口支持：全功能Type-C，USB-C，USB-A，HDMI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屏幕特性：高分辨率(2K以上)，护眼认证，高亮度(全屏&gt;400nits)，高刷新率(120Hz以上)，高屏占比(≥85%)，高色域(100%sRGB)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处理器(CPU)：锐龙7000系</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系统：Windows 11 带Office</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扩展性：硬盘扩展，内存扩展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显卡：AMD核显</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硬盘容量：1TB</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内存容量：16GB</w:t>
            </w:r>
          </w:p>
        </w:tc>
        <w:tc>
          <w:tcPr>
            <w:tcW w:w="1291" w:type="pct"/>
            <w:tcBorders>
              <w:top w:val="single" w:color="auto" w:sz="4" w:space="0"/>
              <w:left w:val="nil"/>
              <w:bottom w:val="single" w:color="auto" w:sz="4" w:space="0"/>
              <w:right w:val="single" w:color="auto" w:sz="4" w:space="0"/>
            </w:tcBorders>
            <w:shd w:val="clear" w:color="auto" w:fill="FFFFFF"/>
            <w:noWrap w:val="0"/>
            <w:vAlign w:val="center"/>
          </w:tcPr>
          <w:p w14:paraId="00E50B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惠普（HP）战66七代 AMD锐龙16英寸轻薄笔记本电脑(高性能R7 16G 1T 2.5K高色域低蓝光120Hz)</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27173B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4500</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6D0905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047AE0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36811481">
        <w:tblPrEx>
          <w:tblCellMar>
            <w:top w:w="0" w:type="dxa"/>
            <w:left w:w="108" w:type="dxa"/>
            <w:bottom w:w="0" w:type="dxa"/>
            <w:right w:w="108" w:type="dxa"/>
          </w:tblCellMar>
        </w:tblPrEx>
        <w:trPr>
          <w:trHeight w:val="270" w:hRule="atLeast"/>
        </w:trPr>
        <w:tc>
          <w:tcPr>
            <w:tcW w:w="288" w:type="pct"/>
            <w:tcBorders>
              <w:top w:val="single" w:color="auto" w:sz="4" w:space="0"/>
              <w:left w:val="single" w:color="auto" w:sz="4" w:space="0"/>
              <w:bottom w:val="single" w:color="auto" w:sz="4" w:space="0"/>
              <w:right w:val="single" w:color="auto" w:sz="4" w:space="0"/>
            </w:tcBorders>
            <w:shd w:val="clear" w:color="auto" w:fill="auto"/>
            <w:noWrap w:val="0"/>
            <w:vAlign w:val="center"/>
          </w:tcPr>
          <w:p w14:paraId="13044E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391" w:type="pct"/>
            <w:tcBorders>
              <w:top w:val="single" w:color="auto" w:sz="4" w:space="0"/>
              <w:left w:val="nil"/>
              <w:bottom w:val="single" w:color="auto" w:sz="4" w:space="0"/>
              <w:right w:val="single" w:color="auto" w:sz="4" w:space="0"/>
            </w:tcBorders>
            <w:shd w:val="clear" w:color="auto" w:fill="FFFFFF"/>
            <w:noWrap w:val="0"/>
            <w:vAlign w:val="center"/>
          </w:tcPr>
          <w:p w14:paraId="08B41C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高速扫描仪（双面扫描，可联网）</w:t>
            </w:r>
          </w:p>
        </w:tc>
        <w:tc>
          <w:tcPr>
            <w:tcW w:w="1469" w:type="pct"/>
            <w:tcBorders>
              <w:top w:val="single" w:color="auto" w:sz="4" w:space="0"/>
              <w:left w:val="nil"/>
              <w:bottom w:val="single" w:color="auto" w:sz="4" w:space="0"/>
              <w:right w:val="single" w:color="auto" w:sz="4" w:space="0"/>
            </w:tcBorders>
            <w:shd w:val="clear" w:color="auto" w:fill="FFFFFF"/>
            <w:noWrap w:val="0"/>
            <w:vAlign w:val="center"/>
          </w:tcPr>
          <w:p w14:paraId="7BA21B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扫描速度：200dpi/300dpi（彩色/灰度/黑白) 35ppm/70ipm*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接口：USB3.0</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扫描介质：名片，明信片、A4、US letter、Legal、A5、A6、B5、B6、长纸、A3、B4、Envelope、PL Card（有/无浮雕）</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分辨率：600dpi</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感光元件：CIS</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进纸容量：100页</w:t>
            </w:r>
          </w:p>
        </w:tc>
        <w:tc>
          <w:tcPr>
            <w:tcW w:w="1291" w:type="pct"/>
            <w:tcBorders>
              <w:top w:val="single" w:color="auto" w:sz="4" w:space="0"/>
              <w:left w:val="nil"/>
              <w:bottom w:val="single" w:color="auto" w:sz="4" w:space="0"/>
              <w:right w:val="single" w:color="auto" w:sz="4" w:space="0"/>
            </w:tcBorders>
            <w:shd w:val="clear" w:color="auto" w:fill="FFFFFF"/>
            <w:noWrap w:val="0"/>
            <w:vAlign w:val="center"/>
          </w:tcPr>
          <w:p w14:paraId="652909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爱普生（EPSON）ES-580W A4馈纸式扫描仪自动连续双面彩色扫描 高速办公用 无线wifi（触屏 支持扫至U盘）</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6A860F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3500</w:t>
            </w: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5D9A39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19" w:type="pct"/>
            <w:tcBorders>
              <w:top w:val="single" w:color="auto" w:sz="4" w:space="0"/>
              <w:left w:val="nil"/>
              <w:bottom w:val="single" w:color="auto" w:sz="4" w:space="0"/>
              <w:right w:val="single" w:color="auto" w:sz="4" w:space="0"/>
            </w:tcBorders>
            <w:shd w:val="clear" w:color="auto" w:fill="FFFFFF"/>
            <w:noWrap w:val="0"/>
            <w:vAlign w:val="center"/>
          </w:tcPr>
          <w:p w14:paraId="598E0F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C1121DD">
        <w:tblPrEx>
          <w:tblCellMar>
            <w:top w:w="0" w:type="dxa"/>
            <w:left w:w="108" w:type="dxa"/>
            <w:bottom w:w="0" w:type="dxa"/>
            <w:right w:w="108" w:type="dxa"/>
          </w:tblCellMar>
        </w:tblPrEx>
        <w:trPr>
          <w:trHeight w:val="645"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14:paraId="6AD51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合计（每项报价之和）：人民币</w:t>
            </w:r>
            <w:r>
              <w:rPr>
                <w:rFonts w:hint="eastAsia" w:ascii="宋体" w:hAnsi="宋体" w:eastAsia="宋体" w:cs="宋体"/>
                <w:b/>
                <w:bCs/>
                <w:i w:val="0"/>
                <w:iCs w:val="0"/>
                <w:color w:val="000000"/>
                <w:kern w:val="0"/>
                <w:sz w:val="21"/>
                <w:szCs w:val="21"/>
                <w:u w:val="single"/>
                <w:lang w:val="en-US" w:eastAsia="zh-CN" w:bidi="ar"/>
              </w:rPr>
              <w:t xml:space="preserve">          </w:t>
            </w:r>
            <w:r>
              <w:rPr>
                <w:rFonts w:hint="eastAsia" w:ascii="宋体" w:hAnsi="宋体" w:eastAsia="宋体" w:cs="宋体"/>
                <w:b/>
                <w:bCs/>
                <w:i w:val="0"/>
                <w:iCs w:val="0"/>
                <w:color w:val="000000"/>
                <w:kern w:val="0"/>
                <w:sz w:val="21"/>
                <w:szCs w:val="21"/>
                <w:u w:val="none"/>
                <w:lang w:val="en-US" w:eastAsia="zh-CN" w:bidi="ar"/>
              </w:rPr>
              <w:t>元</w:t>
            </w:r>
          </w:p>
          <w:p w14:paraId="0E5672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000000"/>
                <w:kern w:val="0"/>
                <w:sz w:val="21"/>
                <w:szCs w:val="21"/>
              </w:rPr>
              <w:t>发票类型：增值税专用发票，税率：</w:t>
            </w:r>
            <w:r>
              <w:rPr>
                <w:rFonts w:hint="eastAsia" w:ascii="宋体" w:hAnsi="宋体" w:cs="宋体"/>
                <w:b/>
                <w:bCs/>
                <w:color w:val="000000"/>
                <w:kern w:val="0"/>
                <w:sz w:val="21"/>
                <w:szCs w:val="21"/>
                <w:u w:val="single"/>
                <w:lang w:val="en-US" w:eastAsia="zh-CN"/>
              </w:rPr>
              <w:t xml:space="preserve">       </w:t>
            </w:r>
            <w:r>
              <w:rPr>
                <w:rFonts w:hint="eastAsia" w:ascii="宋体" w:hAnsi="宋体" w:cs="宋体"/>
                <w:b/>
                <w:bCs/>
                <w:color w:val="000000"/>
                <w:kern w:val="0"/>
                <w:sz w:val="21"/>
                <w:szCs w:val="21"/>
                <w:lang w:val="en-US" w:eastAsia="zh-CN"/>
              </w:rPr>
              <w:t xml:space="preserve"> %</w:t>
            </w:r>
          </w:p>
        </w:tc>
      </w:tr>
    </w:tbl>
    <w:p w14:paraId="7E397813">
      <w:pPr>
        <w:spacing w:line="360" w:lineRule="auto"/>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备注：</w:t>
      </w:r>
    </w:p>
    <w:p w14:paraId="789EBA5A">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1、当国家税收政策调整导致增值税税率发生变化时，保持不含税单价不变，根据政策规定的适用税率调整情况，调整增值税税率、税额、含税价格以及合同结算金额。</w:t>
      </w:r>
    </w:p>
    <w:p w14:paraId="78D837A1">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2、本报价单位为人民币，单位为元，精确到个位数。</w:t>
      </w:r>
    </w:p>
    <w:p w14:paraId="217425C2">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3、报价方式为包括服务及零配件的购置和安装、运输保险、装卸、培训辅导、质保期售后服务、全额增值税专用发票等。</w:t>
      </w:r>
    </w:p>
    <w:p w14:paraId="3CA0262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pacing w:val="4"/>
          <w:szCs w:val="21"/>
          <w:lang w:eastAsia="zh-CN"/>
          <w14:textFill>
            <w14:solidFill>
              <w14:schemeClr w14:val="tx1"/>
            </w14:solidFill>
          </w14:textFill>
        </w:rPr>
        <w:t>供应商</w:t>
      </w:r>
      <w:r>
        <w:rPr>
          <w:rFonts w:hint="eastAsia" w:ascii="宋体" w:hAnsi="宋体"/>
          <w:color w:val="000000" w:themeColor="text1"/>
          <w:spacing w:val="4"/>
          <w:szCs w:val="21"/>
          <w14:textFill>
            <w14:solidFill>
              <w14:schemeClr w14:val="tx1"/>
            </w14:solidFill>
          </w14:textFill>
        </w:rPr>
        <w:t>名称（盖公章）：</w:t>
      </w:r>
    </w:p>
    <w:p w14:paraId="2AB336AF">
      <w:pPr>
        <w:spacing w:line="360" w:lineRule="auto"/>
        <w:rPr>
          <w:rFonts w:ascii="宋体" w:hAnsi="宋体"/>
          <w:color w:val="000000" w:themeColor="text1"/>
          <w:spacing w:val="4"/>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w:t>
      </w:r>
      <w:r>
        <w:rPr>
          <w:rFonts w:hint="eastAsia" w:ascii="宋体" w:hAnsi="宋体"/>
          <w:color w:val="000000" w:themeColor="text1"/>
          <w:spacing w:val="4"/>
          <w:szCs w:val="21"/>
          <w:lang w:eastAsia="zh-CN"/>
          <w14:textFill>
            <w14:solidFill>
              <w14:schemeClr w14:val="tx1"/>
            </w14:solidFill>
          </w14:textFill>
        </w:rPr>
        <w:t>供应商</w:t>
      </w:r>
      <w:r>
        <w:rPr>
          <w:rFonts w:hint="eastAsia" w:ascii="宋体" w:hAnsi="宋体"/>
          <w:color w:val="000000" w:themeColor="text1"/>
          <w:szCs w:val="21"/>
          <w14:textFill>
            <w14:solidFill>
              <w14:schemeClr w14:val="tx1"/>
            </w14:solidFill>
          </w14:textFill>
        </w:rPr>
        <w:t>授权代表（</w:t>
      </w:r>
      <w:r>
        <w:rPr>
          <w:rFonts w:hint="eastAsia" w:ascii="宋体" w:hAnsi="宋体" w:cs="宋体"/>
          <w:color w:val="000000" w:themeColor="text1"/>
          <w:szCs w:val="21"/>
          <w:lang w:eastAsia="zh-TW"/>
          <w14:textFill>
            <w14:solidFill>
              <w14:schemeClr w14:val="tx1"/>
            </w14:solidFill>
          </w14:textFill>
        </w:rPr>
        <w:t>签署本人姓名（或印盖本人姓名章）</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pacing w:val="4"/>
          <w:szCs w:val="21"/>
          <w14:textFill>
            <w14:solidFill>
              <w14:schemeClr w14:val="tx1"/>
            </w14:solidFill>
          </w14:textFill>
        </w:rPr>
        <w:t>：</w:t>
      </w:r>
    </w:p>
    <w:p w14:paraId="7A6020E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日期：</w:t>
      </w:r>
    </w:p>
    <w:p w14:paraId="53FB041B"/>
    <w:p w14:paraId="41DF048B">
      <w:pPr>
        <w:rPr>
          <w:b/>
          <w:bCs/>
          <w:sz w:val="28"/>
          <w:szCs w:val="28"/>
        </w:rPr>
      </w:pPr>
      <w:r>
        <w:rPr>
          <w:rFonts w:hint="eastAsia"/>
          <w:b/>
          <w:bCs/>
          <w:sz w:val="28"/>
          <w:szCs w:val="28"/>
        </w:rPr>
        <w:br w:type="page"/>
      </w:r>
    </w:p>
    <w:p w14:paraId="2BE575A3">
      <w:pPr>
        <w:pStyle w:val="58"/>
        <w:spacing w:line="360" w:lineRule="auto"/>
        <w:jc w:val="center"/>
        <w:outlineLvl w:val="1"/>
      </w:pPr>
      <w:r>
        <w:rPr>
          <w:rFonts w:hint="eastAsia"/>
          <w:b/>
          <w:bCs/>
          <w:sz w:val="28"/>
          <w:szCs w:val="28"/>
        </w:rPr>
        <w:t>供应商资格声明函</w:t>
      </w:r>
    </w:p>
    <w:p w14:paraId="375B193E">
      <w:pPr>
        <w:autoSpaceDE w:val="0"/>
        <w:autoSpaceDN w:val="0"/>
        <w:adjustRightInd w:val="0"/>
        <w:snapToGrid w:val="0"/>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致：</w:t>
      </w:r>
      <w:r>
        <w:rPr>
          <w:rFonts w:hint="eastAsia" w:ascii="宋体" w:hAnsi="宋体" w:cs="宋体"/>
          <w:b/>
          <w:bCs/>
          <w:color w:val="000000" w:themeColor="text1"/>
          <w:szCs w:val="21"/>
          <w:lang w:eastAsia="zh-CN"/>
          <w14:textFill>
            <w14:solidFill>
              <w14:schemeClr w14:val="tx1"/>
            </w14:solidFill>
          </w14:textFill>
        </w:rPr>
        <w:t>广东省广播电视网络股份有限公司佛山高明分公司</w:t>
      </w:r>
      <w:r>
        <w:rPr>
          <w:rFonts w:hint="eastAsia" w:ascii="宋体" w:hAnsi="宋体"/>
          <w:b/>
          <w:color w:val="000000" w:themeColor="text1"/>
          <w:szCs w:val="21"/>
          <w14:textFill>
            <w14:solidFill>
              <w14:schemeClr w14:val="tx1"/>
            </w14:solidFill>
          </w14:textFill>
        </w:rPr>
        <w:t>、采联国际招标采购集团有限公司</w:t>
      </w:r>
    </w:p>
    <w:p w14:paraId="1BBC1DE1">
      <w:pPr>
        <w:snapToGrid w:val="0"/>
        <w:spacing w:line="360" w:lineRule="auto"/>
        <w:ind w:firstLine="424" w:firstLineChars="202"/>
        <w:rPr>
          <w:rFonts w:ascii="宋体" w:hAnsi="宋体"/>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关于贵单位、贵司发布</w:t>
      </w:r>
      <w:r>
        <w:rPr>
          <w:rFonts w:hint="eastAsia" w:ascii="宋体" w:hAnsi="宋体" w:cs="宋体"/>
          <w:b/>
          <w:bCs/>
          <w:color w:val="000000" w:themeColor="text1"/>
          <w:szCs w:val="21"/>
          <w:u w:val="single"/>
          <w:lang w:eastAsia="zh-CN"/>
          <w14:textFill>
            <w14:solidFill>
              <w14:schemeClr w14:val="tx1"/>
            </w14:solidFill>
          </w14:textFill>
        </w:rPr>
        <w:t>2025年佛山高明分公司办公设备配置项目</w:t>
      </w:r>
      <w:r>
        <w:rPr>
          <w:rFonts w:hint="eastAsia" w:ascii="宋体" w:hAnsi="宋体"/>
          <w:color w:val="000000" w:themeColor="text1"/>
          <w:szCs w:val="21"/>
          <w14:textFill>
            <w14:solidFill>
              <w14:schemeClr w14:val="tx1"/>
            </w14:solidFill>
          </w14:textFill>
        </w:rPr>
        <w:t>的竞价公告</w:t>
      </w:r>
      <w:r>
        <w:rPr>
          <w:rFonts w:hint="eastAsia" w:ascii="宋体" w:hAnsi="宋体"/>
          <w:color w:val="000000" w:themeColor="text1"/>
          <w14:textFill>
            <w14:solidFill>
              <w14:schemeClr w14:val="tx1"/>
            </w14:solidFill>
          </w14:textFill>
        </w:rPr>
        <w:t>，并声明：</w:t>
      </w:r>
    </w:p>
    <w:p w14:paraId="03E8888F">
      <w:pPr>
        <w:spacing w:line="360" w:lineRule="auto"/>
        <w:ind w:firstLine="420" w:firstLineChars="200"/>
        <w:rPr>
          <w:rFonts w:ascii="宋体" w:hAnsi="宋体" w:cs="宋体"/>
        </w:rPr>
      </w:pPr>
      <w:r>
        <w:rPr>
          <w:rFonts w:hint="eastAsia" w:ascii="宋体" w:hAnsi="宋体" w:cs="宋体"/>
        </w:rPr>
        <w:t>本公司（企业）不存在下列情形之一：</w:t>
      </w:r>
    </w:p>
    <w:p w14:paraId="20254509">
      <w:pPr>
        <w:numPr>
          <w:ilvl w:val="0"/>
          <w:numId w:val="20"/>
        </w:numPr>
        <w:spacing w:line="360" w:lineRule="auto"/>
        <w:rPr>
          <w:rFonts w:ascii="宋体" w:hAnsi="宋体" w:cs="宋体"/>
        </w:rPr>
      </w:pPr>
      <w:r>
        <w:rPr>
          <w:rFonts w:hint="eastAsia" w:ascii="宋体" w:hAnsi="宋体" w:cs="宋体"/>
        </w:rPr>
        <w:t>与采购人存在利害关系且可能影响招标公正性；</w:t>
      </w:r>
    </w:p>
    <w:p w14:paraId="41BC3B5A">
      <w:pPr>
        <w:numPr>
          <w:ilvl w:val="0"/>
          <w:numId w:val="20"/>
        </w:numPr>
        <w:spacing w:line="360" w:lineRule="auto"/>
        <w:rPr>
          <w:rFonts w:ascii="宋体" w:hAnsi="宋体" w:cs="宋体"/>
        </w:rPr>
      </w:pPr>
      <w:r>
        <w:rPr>
          <w:rFonts w:hint="eastAsia" w:ascii="宋体" w:hAnsi="宋体" w:cs="宋体"/>
        </w:rPr>
        <w:t>与本项目同一标包或未划分标包的同一项目的其他供应商为同一个单位负责人；</w:t>
      </w:r>
    </w:p>
    <w:p w14:paraId="467FD123">
      <w:pPr>
        <w:numPr>
          <w:ilvl w:val="0"/>
          <w:numId w:val="20"/>
        </w:numPr>
        <w:spacing w:line="360" w:lineRule="auto"/>
        <w:rPr>
          <w:rFonts w:ascii="宋体" w:hAnsi="宋体" w:cs="宋体"/>
        </w:rPr>
      </w:pPr>
      <w:r>
        <w:rPr>
          <w:rFonts w:hint="eastAsia" w:ascii="宋体" w:hAnsi="宋体" w:cs="宋体"/>
        </w:rPr>
        <w:t>与本项目同一标包或未划分标包的同一项目的其他供应商存在控股、管理关系；</w:t>
      </w:r>
    </w:p>
    <w:p w14:paraId="7D181C82">
      <w:pPr>
        <w:numPr>
          <w:ilvl w:val="0"/>
          <w:numId w:val="20"/>
        </w:numPr>
        <w:spacing w:line="360" w:lineRule="auto"/>
        <w:rPr>
          <w:rFonts w:ascii="宋体" w:hAnsi="宋体" w:cs="宋体"/>
        </w:rPr>
      </w:pPr>
      <w:r>
        <w:rPr>
          <w:rFonts w:hint="eastAsia" w:ascii="宋体" w:hAnsi="宋体" w:cs="宋体"/>
        </w:rPr>
        <w:t>为本项目提供过设计、编制技术规范和其他文件的咨询服务；</w:t>
      </w:r>
    </w:p>
    <w:p w14:paraId="4FE87FFA">
      <w:pPr>
        <w:numPr>
          <w:ilvl w:val="0"/>
          <w:numId w:val="20"/>
        </w:numPr>
        <w:spacing w:line="360" w:lineRule="auto"/>
        <w:rPr>
          <w:rFonts w:ascii="宋体" w:hAnsi="宋体" w:cs="宋体"/>
        </w:rPr>
      </w:pPr>
      <w:r>
        <w:rPr>
          <w:rFonts w:hint="eastAsia" w:ascii="宋体" w:hAnsi="宋体" w:cs="宋体"/>
        </w:rPr>
        <w:t>为本项目的招标代理机构；</w:t>
      </w:r>
    </w:p>
    <w:p w14:paraId="0C5EBAE0">
      <w:pPr>
        <w:numPr>
          <w:ilvl w:val="0"/>
          <w:numId w:val="20"/>
        </w:numPr>
        <w:spacing w:line="360" w:lineRule="auto"/>
        <w:rPr>
          <w:rFonts w:ascii="宋体" w:hAnsi="宋体" w:cs="宋体"/>
        </w:rPr>
      </w:pPr>
      <w:r>
        <w:rPr>
          <w:rFonts w:hint="eastAsia" w:ascii="宋体" w:hAnsi="宋体" w:cs="宋体"/>
        </w:rPr>
        <w:t>与本项目的招标代理机构同为一个法定代表人；</w:t>
      </w:r>
    </w:p>
    <w:p w14:paraId="75E0C333">
      <w:pPr>
        <w:numPr>
          <w:ilvl w:val="0"/>
          <w:numId w:val="20"/>
        </w:numPr>
        <w:spacing w:line="360" w:lineRule="auto"/>
        <w:rPr>
          <w:rFonts w:ascii="宋体" w:hAnsi="宋体" w:cs="宋体"/>
        </w:rPr>
      </w:pPr>
      <w:r>
        <w:rPr>
          <w:rFonts w:hint="eastAsia" w:ascii="宋体" w:hAnsi="宋体" w:cs="宋体"/>
        </w:rPr>
        <w:t>与本项目的招标代理机构存在控股或参股关系；</w:t>
      </w:r>
    </w:p>
    <w:p w14:paraId="13630744">
      <w:pPr>
        <w:numPr>
          <w:ilvl w:val="0"/>
          <w:numId w:val="20"/>
        </w:numPr>
        <w:spacing w:line="360" w:lineRule="auto"/>
        <w:rPr>
          <w:rFonts w:ascii="宋体" w:hAnsi="宋体" w:cs="宋体"/>
        </w:rPr>
      </w:pPr>
      <w:r>
        <w:rPr>
          <w:rFonts w:hint="eastAsia" w:ascii="宋体" w:hAnsi="宋体" w:cs="宋体"/>
        </w:rPr>
        <w:t>被依法暂停或者取消投标资格；</w:t>
      </w:r>
    </w:p>
    <w:p w14:paraId="4806A9FD">
      <w:pPr>
        <w:numPr>
          <w:ilvl w:val="0"/>
          <w:numId w:val="20"/>
        </w:numPr>
        <w:spacing w:line="360" w:lineRule="auto"/>
        <w:rPr>
          <w:rFonts w:ascii="宋体" w:hAnsi="宋体" w:cs="宋体"/>
        </w:rPr>
      </w:pPr>
      <w:r>
        <w:rPr>
          <w:rFonts w:hint="eastAsia" w:ascii="宋体" w:hAnsi="宋体" w:cs="宋体"/>
        </w:rPr>
        <w:t>在招标公告发布之日至投标截止之日任意一日，存在因违反采购人（或广东省广播电视网络股份有限公司）供应商管理规定而受到禁止参与采购活动的处罚的情形；</w:t>
      </w:r>
    </w:p>
    <w:p w14:paraId="57E5B200">
      <w:pPr>
        <w:numPr>
          <w:ilvl w:val="0"/>
          <w:numId w:val="20"/>
        </w:numPr>
        <w:spacing w:line="360" w:lineRule="auto"/>
        <w:rPr>
          <w:rFonts w:ascii="宋体" w:hAnsi="宋体" w:cs="宋体"/>
        </w:rPr>
      </w:pPr>
      <w:r>
        <w:rPr>
          <w:rFonts w:hint="eastAsia" w:ascii="宋体" w:hAnsi="宋体" w:cs="宋体"/>
        </w:rPr>
        <w:t>被责令停产停业、暂扣或者吊销许可证、暂扣或者吊销执照；</w:t>
      </w:r>
    </w:p>
    <w:p w14:paraId="39DA0BB4">
      <w:pPr>
        <w:numPr>
          <w:ilvl w:val="0"/>
          <w:numId w:val="20"/>
        </w:numPr>
        <w:spacing w:line="360" w:lineRule="auto"/>
        <w:rPr>
          <w:rFonts w:ascii="宋体" w:hAnsi="宋体" w:cs="宋体"/>
        </w:rPr>
      </w:pPr>
      <w:r>
        <w:rPr>
          <w:rFonts w:hint="eastAsia" w:ascii="宋体" w:hAnsi="宋体" w:cs="宋体"/>
        </w:rPr>
        <w:t>进入清算程序，或被宣告破产，或其他丧失履约能力的情形；</w:t>
      </w:r>
    </w:p>
    <w:p w14:paraId="7ED14CB9">
      <w:pPr>
        <w:numPr>
          <w:ilvl w:val="0"/>
          <w:numId w:val="20"/>
        </w:numPr>
        <w:spacing w:line="360" w:lineRule="auto"/>
        <w:rPr>
          <w:rFonts w:ascii="宋体" w:hAnsi="宋体" w:cs="宋体"/>
        </w:rPr>
      </w:pPr>
      <w:r>
        <w:rPr>
          <w:rFonts w:hint="eastAsia" w:ascii="宋体" w:hAnsi="宋体" w:cs="宋体"/>
        </w:rPr>
        <w:t>在最近三年内发生重大产品质量问题（以相关行业主管部门的行政处罚决定或司法机关出具的有关法律文书为准）；</w:t>
      </w:r>
    </w:p>
    <w:p w14:paraId="4EC80F9B">
      <w:pPr>
        <w:numPr>
          <w:ilvl w:val="0"/>
          <w:numId w:val="20"/>
        </w:numPr>
        <w:spacing w:line="360" w:lineRule="auto"/>
        <w:rPr>
          <w:rFonts w:ascii="宋体" w:hAnsi="宋体" w:cs="宋体"/>
        </w:rPr>
      </w:pPr>
      <w:r>
        <w:rPr>
          <w:rFonts w:hint="eastAsia" w:ascii="宋体" w:hAnsi="宋体" w:cs="宋体"/>
        </w:rPr>
        <w:t>被工商行政管理机关在全国企业信用信息公示系统中列入严重违法失信企业名单；</w:t>
      </w:r>
    </w:p>
    <w:p w14:paraId="7A84ADA4">
      <w:pPr>
        <w:numPr>
          <w:ilvl w:val="0"/>
          <w:numId w:val="20"/>
        </w:numPr>
        <w:spacing w:line="360" w:lineRule="auto"/>
        <w:rPr>
          <w:rFonts w:ascii="宋体" w:hAnsi="宋体" w:cs="宋体"/>
        </w:rPr>
      </w:pPr>
      <w:r>
        <w:rPr>
          <w:rFonts w:hint="eastAsia" w:ascii="宋体" w:hAnsi="宋体" w:cs="宋体"/>
        </w:rPr>
        <w:t>被最高人民法院在“信用中国”网站或各级信用信息共享平台中列入失信被执行人名单；</w:t>
      </w:r>
    </w:p>
    <w:p w14:paraId="62440E7C">
      <w:pPr>
        <w:numPr>
          <w:ilvl w:val="0"/>
          <w:numId w:val="20"/>
        </w:numPr>
        <w:spacing w:line="360" w:lineRule="auto"/>
        <w:rPr>
          <w:rFonts w:ascii="宋体" w:hAnsi="宋体" w:cs="宋体"/>
        </w:rPr>
      </w:pPr>
      <w:r>
        <w:rPr>
          <w:rFonts w:hint="eastAsia" w:ascii="宋体" w:hAnsi="宋体" w:cs="宋体"/>
        </w:rPr>
        <w:t>在近三年内供应商或其法定代表人、拟委任的项目负责人或供应商授权代表有行贿犯罪行为的；</w:t>
      </w:r>
    </w:p>
    <w:p w14:paraId="206C7E74">
      <w:pPr>
        <w:numPr>
          <w:ilvl w:val="0"/>
          <w:numId w:val="20"/>
        </w:numPr>
        <w:spacing w:line="360" w:lineRule="auto"/>
        <w:rPr>
          <w:rFonts w:ascii="宋体" w:hAnsi="宋体" w:cs="宋体"/>
        </w:rPr>
      </w:pPr>
      <w:r>
        <w:rPr>
          <w:rFonts w:hint="eastAsia" w:ascii="宋体" w:hAnsi="宋体" w:cs="宋体"/>
        </w:rPr>
        <w:t>法律法规或本竞价文件规定的其他禁止情形。</w:t>
      </w:r>
    </w:p>
    <w:p w14:paraId="1A35818A">
      <w:pPr>
        <w:numPr>
          <w:ilvl w:val="0"/>
          <w:numId w:val="20"/>
        </w:numPr>
        <w:spacing w:line="360" w:lineRule="auto"/>
        <w:rPr>
          <w:rFonts w:ascii="宋体" w:hAnsi="宋体" w:cs="宋体"/>
        </w:rPr>
      </w:pPr>
      <w:r>
        <w:rPr>
          <w:rFonts w:ascii="宋体" w:hAnsi="宋体" w:cs="宋体"/>
        </w:rPr>
        <w:t>本项目不允许非法分包或违法转包，不接受联合体参加</w:t>
      </w:r>
      <w:r>
        <w:rPr>
          <w:rFonts w:hint="eastAsia" w:ascii="宋体" w:hAnsi="宋体" w:cs="宋体"/>
        </w:rPr>
        <w:t>。特此声明！</w:t>
      </w:r>
    </w:p>
    <w:p w14:paraId="4471E92F">
      <w:pPr>
        <w:spacing w:line="360" w:lineRule="auto"/>
        <w:rPr>
          <w:rFonts w:ascii="宋体" w:hAnsi="宋体" w:cs="宋体"/>
        </w:rPr>
      </w:pPr>
      <w:r>
        <w:rPr>
          <w:rFonts w:hint="eastAsia" w:ascii="宋体" w:hAnsi="宋体" w:cs="宋体"/>
        </w:rPr>
        <w:t>备注：</w:t>
      </w:r>
    </w:p>
    <w:p w14:paraId="4B3A073F">
      <w:pPr>
        <w:pStyle w:val="59"/>
        <w:numPr>
          <w:ilvl w:val="0"/>
          <w:numId w:val="21"/>
        </w:numPr>
        <w:autoSpaceDE w:val="0"/>
        <w:autoSpaceDN w:val="0"/>
        <w:adjustRightInd w:val="0"/>
        <w:spacing w:line="360" w:lineRule="auto"/>
        <w:ind w:firstLineChars="0"/>
        <w:rPr>
          <w:rFonts w:ascii="宋体" w:hAnsi="宋体"/>
        </w:rPr>
      </w:pPr>
      <w:r>
        <w:rPr>
          <w:rFonts w:hint="eastAsia" w:ascii="宋体" w:hAnsi="宋体"/>
        </w:rPr>
        <w:t>本声明函必须提供且内容不得擅自删改，否则视为响应无效。</w:t>
      </w:r>
    </w:p>
    <w:p w14:paraId="0A284D80">
      <w:pPr>
        <w:pStyle w:val="59"/>
        <w:numPr>
          <w:ilvl w:val="0"/>
          <w:numId w:val="21"/>
        </w:numPr>
        <w:snapToGrid w:val="0"/>
        <w:spacing w:line="360" w:lineRule="auto"/>
        <w:ind w:firstLineChars="0"/>
        <w:rPr>
          <w:rFonts w:ascii="宋体" w:hAnsi="宋体"/>
        </w:rPr>
      </w:pPr>
      <w:r>
        <w:rPr>
          <w:rFonts w:hint="eastAsia" w:ascii="宋体" w:hAnsi="宋体"/>
        </w:rPr>
        <w:t>本声明函如有虚假或与事实不符的，作无效报价处理。</w:t>
      </w:r>
    </w:p>
    <w:p w14:paraId="5743F262">
      <w:pPr>
        <w:pStyle w:val="59"/>
        <w:wordWrap w:val="0"/>
        <w:spacing w:line="360" w:lineRule="auto"/>
        <w:ind w:left="1200" w:right="218" w:firstLine="0" w:firstLineChars="0"/>
        <w:jc w:val="right"/>
        <w:rPr>
          <w:rFonts w:ascii="宋体" w:hAnsi="宋体"/>
          <w:u w:val="single"/>
        </w:rPr>
      </w:pPr>
      <w:r>
        <w:rPr>
          <w:rFonts w:hint="eastAsia" w:ascii="宋体" w:hAnsi="宋体"/>
          <w:spacing w:val="4"/>
        </w:rPr>
        <w:t>供应商名称（</w:t>
      </w:r>
      <w:r>
        <w:rPr>
          <w:rFonts w:hint="eastAsia" w:ascii="宋体" w:hAnsi="宋体"/>
        </w:rPr>
        <w:t>单位盖</w:t>
      </w:r>
      <w:r>
        <w:rPr>
          <w:rFonts w:hint="eastAsia" w:ascii="宋体" w:hAnsi="宋体"/>
          <w:spacing w:val="4"/>
        </w:rPr>
        <w:t>公章）：</w:t>
      </w:r>
      <w:r>
        <w:rPr>
          <w:rFonts w:hint="eastAsia" w:ascii="宋体" w:hAnsi="宋体"/>
          <w:spacing w:val="4"/>
          <w:u w:val="single"/>
        </w:rPr>
        <w:t xml:space="preserve">          </w:t>
      </w:r>
    </w:p>
    <w:p w14:paraId="43FCA7C1">
      <w:pPr>
        <w:wordWrap w:val="0"/>
        <w:spacing w:line="360" w:lineRule="auto"/>
        <w:ind w:left="840"/>
        <w:jc w:val="right"/>
        <w:rPr>
          <w:rFonts w:ascii="宋体" w:hAnsi="宋体"/>
          <w:u w:val="single"/>
        </w:rPr>
      </w:pPr>
      <w:r>
        <w:rPr>
          <w:rFonts w:hint="eastAsia" w:ascii="宋体" w:hAnsi="宋体"/>
          <w:spacing w:val="4"/>
        </w:rPr>
        <w:t>日期：</w:t>
      </w:r>
      <w:r>
        <w:rPr>
          <w:rFonts w:hint="eastAsia" w:ascii="宋体" w:hAnsi="宋体"/>
          <w:spacing w:val="4"/>
          <w:u w:val="single"/>
        </w:rPr>
        <w:t xml:space="preserve">          </w:t>
      </w:r>
    </w:p>
    <w:p w14:paraId="080396F2">
      <w:pPr>
        <w:autoSpaceDE w:val="0"/>
        <w:autoSpaceDN w:val="0"/>
        <w:adjustRightInd w:val="0"/>
        <w:spacing w:before="240" w:after="60" w:line="312" w:lineRule="auto"/>
        <w:jc w:val="center"/>
        <w:outlineLvl w:val="1"/>
        <w:rPr>
          <w:rFonts w:ascii="宋体" w:hAnsi="宋体"/>
          <w:b/>
          <w:bCs/>
          <w:kern w:val="28"/>
          <w:sz w:val="32"/>
          <w:szCs w:val="32"/>
        </w:rPr>
      </w:pPr>
      <w:r>
        <w:rPr>
          <w:rFonts w:hint="eastAsia" w:ascii="宋体" w:hAnsi="宋体"/>
          <w:b/>
          <w:bCs/>
          <w:kern w:val="28"/>
          <w:sz w:val="32"/>
          <w:szCs w:val="32"/>
        </w:rPr>
        <w:t>用户需求书响应声明函</w:t>
      </w:r>
    </w:p>
    <w:p w14:paraId="14231B73">
      <w:pPr>
        <w:autoSpaceDE w:val="0"/>
        <w:autoSpaceDN w:val="0"/>
        <w:adjustRightInd w:val="0"/>
        <w:snapToGrid w:val="0"/>
        <w:spacing w:line="480" w:lineRule="auto"/>
        <w:rPr>
          <w:rFonts w:ascii="宋体" w:hAnsi="宋体"/>
          <w:b/>
        </w:rPr>
      </w:pPr>
      <w:bookmarkStart w:id="11" w:name="_Hlk74835188"/>
      <w:bookmarkStart w:id="12" w:name="_Hlk70414952"/>
      <w:r>
        <w:rPr>
          <w:rFonts w:hint="eastAsia" w:ascii="宋体" w:hAnsi="宋体"/>
          <w:b/>
        </w:rPr>
        <w:t>致：</w:t>
      </w:r>
      <w:r>
        <w:rPr>
          <w:rFonts w:hint="eastAsia" w:ascii="宋体" w:hAnsi="宋体" w:cs="宋体"/>
          <w:b/>
          <w:bCs/>
          <w:lang w:eastAsia="zh-CN"/>
        </w:rPr>
        <w:t>广东省广播电视网络股份有限公司佛山高明分公司</w:t>
      </w:r>
      <w:r>
        <w:rPr>
          <w:rFonts w:hint="eastAsia" w:ascii="宋体" w:hAnsi="宋体"/>
          <w:b/>
        </w:rPr>
        <w:t>、采联国际招标采购集团有限公司</w:t>
      </w:r>
    </w:p>
    <w:p w14:paraId="613552BA">
      <w:pPr>
        <w:autoSpaceDE w:val="0"/>
        <w:autoSpaceDN w:val="0"/>
        <w:adjustRightInd w:val="0"/>
        <w:snapToGrid w:val="0"/>
        <w:spacing w:line="480" w:lineRule="auto"/>
        <w:ind w:firstLine="424" w:firstLineChars="202"/>
        <w:rPr>
          <w:rFonts w:ascii="宋体" w:hAnsi="宋体"/>
        </w:rPr>
      </w:pPr>
      <w:r>
        <w:rPr>
          <w:rFonts w:hint="eastAsia" w:ascii="宋体" w:hAnsi="宋体"/>
        </w:rPr>
        <w:t>关于贵单位、贵司发布</w:t>
      </w:r>
      <w:r>
        <w:rPr>
          <w:rFonts w:hint="eastAsia" w:ascii="宋体" w:hAnsi="宋体" w:cs="宋体"/>
          <w:b/>
          <w:bCs/>
          <w:u w:val="single"/>
        </w:rPr>
        <w:t xml:space="preserve"> </w:t>
      </w:r>
      <w:r>
        <w:rPr>
          <w:rFonts w:hint="eastAsia" w:ascii="宋体" w:hAnsi="宋体" w:cs="宋体"/>
          <w:b/>
          <w:bCs/>
          <w:u w:val="single"/>
          <w:lang w:eastAsia="zh-CN"/>
        </w:rPr>
        <w:t>2025年佛山高明分公司办公设备配置项目</w:t>
      </w:r>
      <w:r>
        <w:rPr>
          <w:rFonts w:hint="eastAsia" w:ascii="宋体" w:hAnsi="宋体" w:cs="宋体"/>
          <w:b/>
          <w:bCs/>
          <w:u w:val="single"/>
        </w:rPr>
        <w:t xml:space="preserve"> </w:t>
      </w:r>
      <w:r>
        <w:rPr>
          <w:rFonts w:hint="eastAsia" w:ascii="宋体" w:hAnsi="宋体"/>
        </w:rPr>
        <w:t>的竞价公告</w:t>
      </w:r>
      <w:bookmarkEnd w:id="11"/>
      <w:r>
        <w:rPr>
          <w:rFonts w:hint="eastAsia" w:ascii="宋体" w:hAnsi="宋体"/>
        </w:rPr>
        <w:t>，本公司（企业）愿意参加采购活动，并作出如下声明：</w:t>
      </w:r>
    </w:p>
    <w:bookmarkEnd w:id="12"/>
    <w:p w14:paraId="69184AAF">
      <w:pPr>
        <w:autoSpaceDE w:val="0"/>
        <w:autoSpaceDN w:val="0"/>
        <w:adjustRightInd w:val="0"/>
        <w:snapToGrid w:val="0"/>
        <w:spacing w:line="480" w:lineRule="auto"/>
        <w:ind w:firstLine="424" w:firstLineChars="202"/>
        <w:rPr>
          <w:rFonts w:ascii="宋体" w:hAnsi="宋体"/>
        </w:rPr>
      </w:pPr>
      <w:r>
        <w:rPr>
          <w:rFonts w:hint="eastAsia" w:ascii="宋体" w:hAnsi="宋体"/>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14:paraId="76D06C07">
      <w:pPr>
        <w:autoSpaceDE w:val="0"/>
        <w:autoSpaceDN w:val="0"/>
        <w:adjustRightInd w:val="0"/>
        <w:snapToGrid w:val="0"/>
        <w:spacing w:line="480" w:lineRule="auto"/>
        <w:ind w:firstLine="424" w:firstLineChars="202"/>
        <w:rPr>
          <w:rFonts w:ascii="宋体" w:hAnsi="宋体" w:cs="宋体"/>
        </w:rPr>
      </w:pPr>
      <w:r>
        <w:rPr>
          <w:rFonts w:hint="eastAsia" w:ascii="宋体" w:hAnsi="宋体" w:cs="宋体"/>
        </w:rPr>
        <w:t>本公司（企业）承诺在本次采购活动中，如有违法、违规、弄虚作假行为，所造成的损失、不良后果及法律责任，一律由我公司（企业）承担。</w:t>
      </w:r>
    </w:p>
    <w:p w14:paraId="7B4844F1">
      <w:pPr>
        <w:autoSpaceDE w:val="0"/>
        <w:autoSpaceDN w:val="0"/>
        <w:adjustRightInd w:val="0"/>
        <w:snapToGrid w:val="0"/>
        <w:spacing w:line="360" w:lineRule="auto"/>
        <w:rPr>
          <w:rFonts w:ascii="宋体" w:hAnsi="宋体"/>
          <w:b/>
          <w:bCs/>
        </w:rPr>
      </w:pPr>
    </w:p>
    <w:p w14:paraId="05E35AC6">
      <w:pPr>
        <w:autoSpaceDE w:val="0"/>
        <w:autoSpaceDN w:val="0"/>
        <w:adjustRightInd w:val="0"/>
        <w:snapToGrid w:val="0"/>
        <w:spacing w:line="360" w:lineRule="auto"/>
        <w:ind w:right="436"/>
        <w:jc w:val="center"/>
        <w:rPr>
          <w:rFonts w:ascii="宋体" w:hAnsi="宋体"/>
          <w:u w:val="single"/>
        </w:rPr>
      </w:pPr>
      <w:r>
        <w:rPr>
          <w:rFonts w:hint="eastAsia" w:ascii="宋体" w:hAnsi="宋体"/>
          <w:spacing w:val="4"/>
        </w:rPr>
        <w:t xml:space="preserve">                 供应商名称（</w:t>
      </w:r>
      <w:r>
        <w:rPr>
          <w:rFonts w:hint="eastAsia" w:ascii="宋体" w:hAnsi="宋体"/>
        </w:rPr>
        <w:t>单位盖</w:t>
      </w:r>
      <w:r>
        <w:rPr>
          <w:rFonts w:hint="eastAsia" w:ascii="宋体" w:hAnsi="宋体"/>
          <w:spacing w:val="4"/>
        </w:rPr>
        <w:t>公章）：</w:t>
      </w:r>
    </w:p>
    <w:p w14:paraId="27E8A162">
      <w:pPr>
        <w:autoSpaceDE w:val="0"/>
        <w:autoSpaceDN w:val="0"/>
        <w:adjustRightInd w:val="0"/>
        <w:snapToGrid w:val="0"/>
        <w:spacing w:line="360" w:lineRule="auto"/>
        <w:ind w:right="436" w:firstLine="5670" w:firstLineChars="2700"/>
        <w:rPr>
          <w:rFonts w:ascii="宋体" w:hAnsi="宋体" w:cs="宋体"/>
        </w:rPr>
      </w:pPr>
      <w:r>
        <w:rPr>
          <w:rFonts w:hint="eastAsia" w:ascii="宋体" w:hAnsi="宋体" w:cs="宋体"/>
        </w:rPr>
        <w:t>日期：</w:t>
      </w:r>
      <w:bookmarkStart w:id="13" w:name="_Toc435515303"/>
      <w:bookmarkStart w:id="14" w:name="_Toc435514863"/>
    </w:p>
    <w:p w14:paraId="4BBC2334">
      <w:pPr>
        <w:rPr>
          <w:rFonts w:ascii="宋体" w:hAnsi="宋体" w:cs="宋体"/>
        </w:rPr>
      </w:pPr>
      <w:r>
        <w:rPr>
          <w:rFonts w:hint="eastAsia" w:ascii="宋体" w:hAnsi="宋体" w:cs="宋体"/>
        </w:rPr>
        <w:br w:type="page"/>
      </w:r>
    </w:p>
    <w:p w14:paraId="58333164">
      <w:pPr>
        <w:pStyle w:val="3"/>
        <w:pageBreakBefore/>
        <w:adjustRightInd w:val="0"/>
        <w:snapToGrid w:val="0"/>
        <w:spacing w:before="0" w:after="0" w:line="360" w:lineRule="auto"/>
        <w:jc w:val="center"/>
        <w:rPr>
          <w:rFonts w:ascii="宋体" w:hAnsi="宋体"/>
        </w:rPr>
      </w:pPr>
      <w:r>
        <w:rPr>
          <w:rFonts w:hint="eastAsia" w:ascii="宋体" w:hAnsi="宋体"/>
        </w:rPr>
        <w:t>法定代表人授权委托书</w:t>
      </w:r>
    </w:p>
    <w:p w14:paraId="2DA31C99">
      <w:pPr>
        <w:pStyle w:val="16"/>
        <w:spacing w:line="360" w:lineRule="auto"/>
        <w:ind w:firstLine="420" w:firstLineChars="200"/>
        <w:rPr>
          <w:rFonts w:hAnsi="宋体"/>
          <w:sz w:val="21"/>
        </w:rPr>
      </w:pPr>
      <w:r>
        <w:rPr>
          <w:rFonts w:hint="eastAsia" w:hAnsi="宋体"/>
          <w:sz w:val="21"/>
        </w:rPr>
        <w:t>本授权委托书声明：注册于</w:t>
      </w:r>
      <w:r>
        <w:rPr>
          <w:rFonts w:hint="eastAsia" w:hAnsi="宋体"/>
          <w:sz w:val="21"/>
          <w:u w:val="single"/>
        </w:rPr>
        <w:t xml:space="preserve"> （供应商地址）  </w:t>
      </w:r>
      <w:r>
        <w:rPr>
          <w:rFonts w:hint="eastAsia" w:hAnsi="宋体"/>
          <w:sz w:val="21"/>
        </w:rPr>
        <w:t>的</w:t>
      </w:r>
      <w:r>
        <w:rPr>
          <w:rFonts w:hint="eastAsia" w:hAnsi="宋体"/>
          <w:sz w:val="21"/>
          <w:u w:val="single"/>
        </w:rPr>
        <w:t xml:space="preserve">  （供应商名称）    </w:t>
      </w:r>
      <w:r>
        <w:rPr>
          <w:rFonts w:hint="eastAsia" w:hAnsi="宋体"/>
          <w:sz w:val="21"/>
        </w:rPr>
        <w:t>在下面签名的</w:t>
      </w:r>
      <w:r>
        <w:rPr>
          <w:rFonts w:hint="eastAsia" w:hAnsi="宋体"/>
          <w:sz w:val="21"/>
          <w:u w:val="single"/>
        </w:rPr>
        <w:t>（法定代表人姓名、职务）</w:t>
      </w:r>
      <w:r>
        <w:rPr>
          <w:rFonts w:hint="eastAsia" w:hAnsi="宋体"/>
          <w:sz w:val="21"/>
        </w:rPr>
        <w:t>在此授权本公司</w:t>
      </w:r>
      <w:r>
        <w:rPr>
          <w:rFonts w:hint="eastAsia" w:hAnsi="宋体"/>
          <w:sz w:val="21"/>
          <w:u w:val="single"/>
        </w:rPr>
        <w:t>（被授权人姓名、职务）</w:t>
      </w:r>
      <w:r>
        <w:rPr>
          <w:rFonts w:hint="eastAsia" w:hAnsi="宋体"/>
          <w:sz w:val="21"/>
        </w:rPr>
        <w:t>作为我公司的合法代理人，就</w:t>
      </w:r>
      <w:r>
        <w:rPr>
          <w:rFonts w:hint="eastAsia" w:hAnsi="宋体"/>
          <w:sz w:val="21"/>
          <w:u w:val="single"/>
        </w:rPr>
        <w:t xml:space="preserve"> </w:t>
      </w:r>
      <w:r>
        <w:rPr>
          <w:rFonts w:hint="eastAsia" w:hAnsi="宋体" w:cs="宋体"/>
          <w:b/>
          <w:bCs/>
          <w:sz w:val="21"/>
          <w:u w:val="single"/>
          <w:lang w:eastAsia="zh-CN"/>
        </w:rPr>
        <w:t>2025年佛山高明分公司办公设备配置项目</w:t>
      </w:r>
      <w:r>
        <w:rPr>
          <w:rFonts w:hint="eastAsia" w:hAnsi="宋体"/>
          <w:sz w:val="21"/>
        </w:rPr>
        <w:t>的竞价采购项目活动，采购合同的签订、执行、完成和售后服务，作为供应商代表以我方的名义处理一切与之有关的事务。</w:t>
      </w:r>
    </w:p>
    <w:p w14:paraId="47BDBB8D">
      <w:pPr>
        <w:pStyle w:val="16"/>
        <w:spacing w:line="360" w:lineRule="auto"/>
        <w:ind w:firstLine="420" w:firstLineChars="200"/>
        <w:rPr>
          <w:rFonts w:hAnsi="宋体"/>
          <w:sz w:val="21"/>
        </w:rPr>
      </w:pPr>
      <w:r>
        <w:rPr>
          <w:rFonts w:hint="eastAsia" w:hAnsi="宋体"/>
          <w:sz w:val="21"/>
        </w:rPr>
        <w:t>被授权人（供应商授权代表）无转委托权限。</w:t>
      </w:r>
    </w:p>
    <w:p w14:paraId="4D2B54FA">
      <w:pPr>
        <w:spacing w:line="360" w:lineRule="auto"/>
        <w:ind w:firstLine="420" w:firstLineChars="200"/>
        <w:rPr>
          <w:rFonts w:ascii="宋体" w:hAnsi="宋体"/>
          <w:szCs w:val="21"/>
        </w:rPr>
      </w:pPr>
      <w:r>
        <w:rPr>
          <w:rFonts w:hint="eastAsia" w:ascii="宋体" w:hAnsi="宋体"/>
          <w:szCs w:val="21"/>
        </w:rPr>
        <w:t>本授权书自法定代表人签字之日起生效，特此声明。</w:t>
      </w:r>
    </w:p>
    <w:p w14:paraId="4E7E7C26">
      <w:pPr>
        <w:spacing w:line="360" w:lineRule="auto"/>
        <w:ind w:firstLine="200"/>
        <w:rPr>
          <w:rFonts w:ascii="宋体" w:hAnsi="宋体"/>
          <w:b/>
          <w:szCs w:val="21"/>
        </w:rPr>
      </w:pPr>
      <w:r>
        <w:rPr>
          <w:rFonts w:hint="eastAsia" w:ascii="宋体" w:hAnsi="宋体"/>
          <w:b/>
          <w:szCs w:val="21"/>
        </w:rPr>
        <w:t>随附1、《法定代表人证明书》；</w:t>
      </w:r>
    </w:p>
    <w:p w14:paraId="3FE5B55E">
      <w:pPr>
        <w:spacing w:line="360" w:lineRule="auto"/>
        <w:ind w:firstLine="200"/>
        <w:rPr>
          <w:rFonts w:ascii="宋体" w:hAnsi="宋体"/>
          <w:szCs w:val="21"/>
        </w:rPr>
      </w:pPr>
    </w:p>
    <w:p w14:paraId="50DEBEA9">
      <w:pPr>
        <w:spacing w:line="360" w:lineRule="auto"/>
        <w:ind w:firstLine="200"/>
        <w:rPr>
          <w:rFonts w:ascii="宋体" w:hAnsi="宋体"/>
          <w:szCs w:val="21"/>
        </w:rPr>
      </w:pPr>
      <w:r>
        <w:rPr>
          <w:rFonts w:hint="eastAsia" w:ascii="宋体" w:hAnsi="宋体"/>
          <w:szCs w:val="21"/>
        </w:rPr>
        <w:t>供应商名称（盖公章）：</w:t>
      </w:r>
    </w:p>
    <w:p w14:paraId="43D2E6AC">
      <w:pPr>
        <w:spacing w:line="360" w:lineRule="auto"/>
        <w:ind w:firstLine="200"/>
        <w:rPr>
          <w:rFonts w:ascii="宋体" w:hAnsi="宋体"/>
          <w:szCs w:val="21"/>
        </w:rPr>
      </w:pPr>
      <w:r>
        <w:rPr>
          <w:rFonts w:hint="eastAsia" w:ascii="宋体" w:hAnsi="宋体"/>
          <w:szCs w:val="21"/>
        </w:rPr>
        <w:t>地      址：</w:t>
      </w:r>
    </w:p>
    <w:p w14:paraId="602AE585">
      <w:pPr>
        <w:tabs>
          <w:tab w:val="left" w:pos="3780"/>
        </w:tabs>
        <w:spacing w:line="360" w:lineRule="auto"/>
        <w:ind w:firstLine="200"/>
        <w:rPr>
          <w:rFonts w:ascii="宋体" w:hAnsi="宋体"/>
          <w:szCs w:val="21"/>
        </w:rPr>
      </w:pPr>
      <w:r>
        <w:rPr>
          <w:rFonts w:hint="eastAsia" w:ascii="宋体" w:hAnsi="宋体"/>
          <w:szCs w:val="21"/>
        </w:rPr>
        <w:t>法定代表人（签字或盖章）：                         签字日期：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CDF3E09">
      <w:pPr>
        <w:spacing w:line="360" w:lineRule="auto"/>
        <w:rPr>
          <w:rFonts w:ascii="宋体" w:hAnsi="宋体"/>
          <w:szCs w:val="21"/>
        </w:rPr>
      </w:pPr>
      <w:r>
        <w:rPr>
          <w:rFonts w:ascii="宋体" w:hAnsi="宋体"/>
          <w:szCs w:val="21"/>
        </w:rPr>
        <mc:AlternateContent>
          <mc:Choice Requires="wpg">
            <w:drawing>
              <wp:anchor distT="0" distB="0" distL="114300" distR="114300" simplePos="0" relativeHeight="251660288" behindDoc="0" locked="0" layoutInCell="1" allowOverlap="1">
                <wp:simplePos x="0" y="0"/>
                <wp:positionH relativeFrom="column">
                  <wp:posOffset>66040</wp:posOffset>
                </wp:positionH>
                <wp:positionV relativeFrom="paragraph">
                  <wp:posOffset>157480</wp:posOffset>
                </wp:positionV>
                <wp:extent cx="4665980" cy="1509395"/>
                <wp:effectExtent l="4445" t="4445" r="15875" b="10160"/>
                <wp:wrapNone/>
                <wp:docPr id="5" name="组合 1026"/>
                <wp:cNvGraphicFramePr/>
                <a:graphic xmlns:a="http://schemas.openxmlformats.org/drawingml/2006/main">
                  <a:graphicData uri="http://schemas.microsoft.com/office/word/2010/wordprocessingGroup">
                    <wpg:wgp>
                      <wpg:cNvGrpSpPr/>
                      <wpg:grpSpPr>
                        <a:xfrm>
                          <a:off x="0" y="0"/>
                          <a:ext cx="4665980" cy="1509395"/>
                          <a:chOff x="1080" y="8670"/>
                          <a:chExt cx="8900" cy="2509"/>
                        </a:xfrm>
                        <a:effectLst/>
                      </wpg:grpSpPr>
                      <wps:wsp>
                        <wps:cNvPr id="6" name="矩形 1027"/>
                        <wps:cNvSpPr>
                          <a:spLocks noChangeArrowheads="1"/>
                        </wps:cNvSpPr>
                        <wps:spPr bwMode="auto">
                          <a:xfrm>
                            <a:off x="1080" y="8670"/>
                            <a:ext cx="4218" cy="2509"/>
                          </a:xfrm>
                          <a:prstGeom prst="rect">
                            <a:avLst/>
                          </a:prstGeom>
                          <a:solidFill>
                            <a:srgbClr val="FFFFFF"/>
                          </a:solidFill>
                          <a:ln w="9525">
                            <a:solidFill>
                              <a:srgbClr val="000000"/>
                            </a:solidFill>
                            <a:miter lim="200000"/>
                          </a:ln>
                          <a:effectLst/>
                        </wps:spPr>
                        <wps:txbx>
                          <w:txbxContent>
                            <w:p w14:paraId="4B46A09A">
                              <w:pPr>
                                <w:jc w:val="center"/>
                              </w:pPr>
                              <w:r>
                                <w:rPr>
                                  <w:rFonts w:hint="eastAsia"/>
                                </w:rPr>
                                <w:t>身份证（正面）</w:t>
                              </w:r>
                            </w:p>
                          </w:txbxContent>
                        </wps:txbx>
                        <wps:bodyPr rot="0" vert="horz" wrap="square" lIns="91440" tIns="45720" rIns="91440" bIns="45720" anchor="t" anchorCtr="0" upright="1">
                          <a:noAutofit/>
                        </wps:bodyPr>
                      </wps:wsp>
                      <wps:wsp>
                        <wps:cNvPr id="7" name="矩形 1028"/>
                        <wps:cNvSpPr>
                          <a:spLocks noChangeArrowheads="1"/>
                        </wps:cNvSpPr>
                        <wps:spPr bwMode="auto">
                          <a:xfrm>
                            <a:off x="5761" y="8670"/>
                            <a:ext cx="4219" cy="2509"/>
                          </a:xfrm>
                          <a:prstGeom prst="rect">
                            <a:avLst/>
                          </a:prstGeom>
                          <a:solidFill>
                            <a:srgbClr val="FFFFFF"/>
                          </a:solidFill>
                          <a:ln w="9525">
                            <a:solidFill>
                              <a:srgbClr val="000000"/>
                            </a:solidFill>
                            <a:miter lim="200000"/>
                          </a:ln>
                          <a:effectLst/>
                        </wps:spPr>
                        <wps:txbx>
                          <w:txbxContent>
                            <w:p w14:paraId="3BBE8197">
                              <w:pPr>
                                <w:jc w:val="center"/>
                              </w:pPr>
                              <w:r>
                                <w:rPr>
                                  <w:rFonts w:hint="eastAsia"/>
                                </w:rPr>
                                <w:t>身份证（反面）</w:t>
                              </w:r>
                            </w:p>
                            <w:p w14:paraId="75F9B968"/>
                          </w:txbxContent>
                        </wps:txbx>
                        <wps:bodyPr rot="0" vert="horz" wrap="square" lIns="91440" tIns="45720" rIns="91440" bIns="45720" anchor="t" anchorCtr="0" upright="1">
                          <a:noAutofit/>
                        </wps:bodyPr>
                      </wps:wsp>
                    </wpg:wgp>
                  </a:graphicData>
                </a:graphic>
              </wp:anchor>
            </w:drawing>
          </mc:Choice>
          <mc:Fallback>
            <w:pict>
              <v:group id="组合 1026" o:spid="_x0000_s1026" o:spt="203" style="position:absolute;left:0pt;margin-left:5.2pt;margin-top:12.4pt;height:118.85pt;width:367.4pt;z-index:251660288;mso-width-relative:page;mso-height-relative:page;" coordorigin="1080,8670" coordsize="8900,2509" o:gfxdata="UEsDBAoAAAAAAIdO4kAAAAAAAAAAAAAAAAAEAAAAZHJzL1BLAwQUAAAACACHTuJAPDRVoNgAAAAJ&#10;AQAADwAAAGRycy9kb3ducmV2LnhtbE2PwU7DMBBE70j8g7VI3KidkBQU4lSoAk4VEi0S4raNt0nU&#10;2I5iN2n/nuUEx9kZzb4pV2fbi4nG0HmnIVkoEORqbzrXaPjcvd49gggRncHeO9JwoQCr6vqqxML4&#10;2X3QtI2N4BIXCtTQxjgUUoa6JYth4Qdy7B38aDGyHBtpRpy53PYyVWopLXaOP7Q40Lql+rg9WQ1v&#10;M87P98nLtDke1pfvXf7+tUlI69ubRD2BiHSOf2H4xWd0qJhp70/OBNGzVhknNaQZL2D/IctTEHs+&#10;LNMcZFXK/wuqH1BLAwQUAAAACACHTuJA5bPUVtQCAAB8CAAADgAAAGRycy9lMm9Eb2MueG1s7VbN&#10;btQwEL4j8Q6W7zQ/bHY3UbNV1dIKqUClwgN4HSexSGxjezdbzhx65A2QuPEMiMepeA3GTroN2x4q&#10;EEhI5JD1eDyfZ7757Oz+waZt0Jppw6XIcbQXYsQElQUXVY7fvD55MsfIWCIK0kjBcnzJDD5YPH60&#10;36mMxbKWTcE0AhBhsk7luLZWZUFgaM1aYvakYgKcpdQtsWDqKig06QC9bYI4DKdBJ3WhtKTMGJg9&#10;7p14QNQPAZRlySk7lnTVMmF7VM0aYqEkU3Nl8MJnW5aM2ldlaZhFTY6hUuvfsAmMl+4dLPZJVmmi&#10;ak6HFMhDUtipqSVcwKZbqGNiCVppfgeq5VRLI0u7R2Ub9IV4RqCKKNzh5lTLlfK1VFlXqS3p0Kgd&#10;1n8Zlr5cn2vEixwnGAnSQsO/f/1w/fEKRWE8dfR0qspg1alWF+pcDxNVb7mKN6Vu3S/Ugjae2Mst&#10;sWxjEYXJyXSapHPgnIIvSsL0aZr01NMa+uPiotD5wT2fzoa20PrZED9PwyE4hmAXGdxuzHybz4x1&#10;0y7bbXKdAomaW97M7/F2URPFfDuMY2Tgbbrl7dOX62+fHW+znje/ypHm6DHqTNK3Bgl5VBNRsUOt&#10;ZVczUkBSka/IZQuwfYAzDISiZfdCFtAVsrLSK2yH73t427IeR3CWHeX3sKa0sadMtsgNcqzhpHh4&#10;sh6YJNnNEp++bHhxwpvGG7paHjUarQmcqhP/DD0x42WNQF2O0yROPPJPPjOGCP1zH0TLLVw2DW+h&#10;hvGiRrg8djrfM+YUazK7WW68Vk22lMUlEKllf/jh6oNBLfV7jDo4+Dk271ZEM4ya5wKakUaTCYjN&#10;emOSzGIw9NizHHuIoACVY4tRPzyy/e2yUppXNewU+eKFPIQGlnwQ6U1WXrFepH3af1yts7tqnf9F&#10;tSazabRzykdqTf+r9Z9Rq79p4aPkr+LhA+q+emPbq/v2T8P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Dw0VaDYAAAACQEAAA8AAAAAAAAAAQAgAAAAIgAAAGRycy9kb3ducmV2LnhtbFBLAQIUABQA&#10;AAAIAIdO4kDls9RW1AIAAHwIAAAOAAAAAAAAAAEAIAAAACcBAABkcnMvZTJvRG9jLnhtbFBLBQYA&#10;AAAABgAGAFkBAABtBgAAAAA=&#10;">
                <o:lock v:ext="edit" aspectratio="f"/>
                <v:rect id="矩形 1027" o:spid="_x0000_s1026" o:spt="1" style="position:absolute;left:1080;top:8670;height:2509;width:4218;" fillcolor="#FFFFFF" filled="t" stroked="t" coordsize="21600,21600" o:gfxdata="UEsDBAoAAAAAAIdO4kAAAAAAAAAAAAAAAAAEAAAAZHJzL1BLAwQUAAAACACHTuJAaELxYbsAAADa&#10;AAAADwAAAGRycy9kb3ducmV2LnhtbEWPQWsCMRSE74L/ITyhN03Wg8jWKLSlUIqsuIrnx+Z1N3Tz&#10;Ejap2n9vBMHjMDPfMKvN1fXiTEO0njUUMwWCuPHGcqvhePicLkHEhGyw90wa/inCZj0erbA0/sJ7&#10;OtepFRnCsUQNXUqhlDI2HTmMMx+Is/fjB4cpy6GVZsBLhrtezpVaSIeW80KHgd47an7rP6fhFFgV&#10;2yqkqv6e77ZvO3v6qKzWL5NCvYJIdE3P8KP9ZTQs4H4l3wC5v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ELxYbsAAADa&#10;AAAADwAAAAAAAAABACAAAAAiAAAAZHJzL2Rvd25yZXYueG1sUEsBAhQAFAAAAAgAh07iQDMvBZ47&#10;AAAAOQAAABAAAAAAAAAAAQAgAAAACgEAAGRycy9zaGFwZXhtbC54bWxQSwUGAAAAAAYABgBbAQAA&#10;tAMAAAAA&#10;">
                  <v:fill on="t" focussize="0,0"/>
                  <v:stroke color="#000000" miterlimit="2" joinstyle="miter"/>
                  <v:imagedata o:title=""/>
                  <o:lock v:ext="edit" aspectratio="f"/>
                  <v:textbox>
                    <w:txbxContent>
                      <w:p w14:paraId="4B46A09A">
                        <w:pPr>
                          <w:jc w:val="center"/>
                        </w:pPr>
                        <w:r>
                          <w:rPr>
                            <w:rFonts w:hint="eastAsia"/>
                          </w:rPr>
                          <w:t>身份证（正面）</w:t>
                        </w:r>
                      </w:p>
                    </w:txbxContent>
                  </v:textbox>
                </v:rect>
                <v:rect id="矩形 1028" o:spid="_x0000_s1026" o:spt="1" style="position:absolute;left:5761;top:8670;height:2509;width:4219;" fillcolor="#FFFFFF" filled="t" stroked="t" coordsize="21600,21600" o:gfxdata="UEsDBAoAAAAAAIdO4kAAAAAAAAAAAAAAAAAEAAAAZHJzL1BLAwQUAAAACACHTuJABw5U+rwAAADa&#10;AAAADwAAAGRycy9kb3ducmV2LnhtbEWPQWsCMRSE7wX/Q3hCb91kPdSyGgWVQimy0m3x/Ng8d4Ob&#10;l7BJ1f77Rij0OMzMN8xyfXODuNAYrWcNZaFAELfeWO40fH2+Pr2AiAnZ4OCZNPxQhPVq8rDEyvgr&#10;f9ClSZ3IEI4VauhTCpWUse3JYSx8IM7eyY8OU5ZjJ82I1wx3g5wp9SwdWs4LPQba9tSem2+n4RhY&#10;lfs6pLp5nx32m4M97mqr9eO0VAsQiW7pP/zXfjMa5nC/km+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OVPq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3BBE8197">
                        <w:pPr>
                          <w:jc w:val="center"/>
                        </w:pPr>
                        <w:r>
                          <w:rPr>
                            <w:rFonts w:hint="eastAsia"/>
                          </w:rPr>
                          <w:t>身份证（反面）</w:t>
                        </w:r>
                      </w:p>
                      <w:p w14:paraId="75F9B968"/>
                    </w:txbxContent>
                  </v:textbox>
                </v:rect>
              </v:group>
            </w:pict>
          </mc:Fallback>
        </mc:AlternateContent>
      </w:r>
    </w:p>
    <w:p w14:paraId="79FB8E1F">
      <w:pPr>
        <w:spacing w:line="360" w:lineRule="auto"/>
        <w:rPr>
          <w:rFonts w:ascii="宋体" w:hAnsi="宋体"/>
          <w:szCs w:val="21"/>
        </w:rPr>
      </w:pPr>
    </w:p>
    <w:p w14:paraId="4A73C1A0">
      <w:pPr>
        <w:spacing w:line="360" w:lineRule="auto"/>
        <w:rPr>
          <w:rFonts w:ascii="宋体" w:hAnsi="宋体"/>
          <w:szCs w:val="21"/>
        </w:rPr>
      </w:pPr>
    </w:p>
    <w:p w14:paraId="4AF076C9">
      <w:pPr>
        <w:spacing w:line="360" w:lineRule="auto"/>
        <w:rPr>
          <w:rFonts w:ascii="宋体" w:hAnsi="宋体"/>
          <w:szCs w:val="21"/>
        </w:rPr>
      </w:pPr>
    </w:p>
    <w:p w14:paraId="62F04BE7">
      <w:pPr>
        <w:spacing w:line="360" w:lineRule="auto"/>
        <w:rPr>
          <w:rFonts w:ascii="宋体" w:hAnsi="宋体"/>
          <w:szCs w:val="21"/>
        </w:rPr>
      </w:pPr>
    </w:p>
    <w:p w14:paraId="7233EB42">
      <w:pPr>
        <w:spacing w:line="360" w:lineRule="auto"/>
        <w:rPr>
          <w:rFonts w:ascii="宋体" w:hAnsi="宋体"/>
          <w:szCs w:val="21"/>
        </w:rPr>
      </w:pPr>
    </w:p>
    <w:p w14:paraId="0189D158">
      <w:pPr>
        <w:spacing w:line="360" w:lineRule="auto"/>
        <w:rPr>
          <w:rFonts w:ascii="宋体" w:hAnsi="宋体"/>
          <w:szCs w:val="21"/>
        </w:rPr>
      </w:pPr>
    </w:p>
    <w:p w14:paraId="10054106">
      <w:pPr>
        <w:pStyle w:val="3"/>
        <w:spacing w:before="0" w:after="0" w:line="360" w:lineRule="auto"/>
        <w:jc w:val="center"/>
        <w:rPr>
          <w:rFonts w:ascii="宋体" w:hAnsi="宋体"/>
        </w:rPr>
      </w:pPr>
      <w:r>
        <w:rPr>
          <w:rFonts w:ascii="宋体" w:hAnsi="宋体"/>
          <w:szCs w:val="21"/>
        </w:rPr>
        <w:br w:type="page"/>
      </w:r>
      <w:r>
        <w:rPr>
          <w:rFonts w:hint="eastAsia" w:ascii="宋体" w:hAnsi="宋体"/>
        </w:rPr>
        <w:t>法定代表人证明书</w:t>
      </w:r>
    </w:p>
    <w:p w14:paraId="74DDA01C">
      <w:pPr>
        <w:tabs>
          <w:tab w:val="left" w:pos="900"/>
        </w:tabs>
        <w:spacing w:line="360" w:lineRule="auto"/>
        <w:ind w:firstLine="945" w:firstLineChars="45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同志，现任我单位</w:t>
      </w:r>
      <w:r>
        <w:rPr>
          <w:rFonts w:ascii="宋体" w:hAnsi="宋体"/>
          <w:szCs w:val="21"/>
          <w:u w:val="single"/>
        </w:rPr>
        <w:t xml:space="preserve">         </w:t>
      </w:r>
      <w:r>
        <w:rPr>
          <w:rFonts w:hint="eastAsia" w:ascii="宋体" w:hAnsi="宋体"/>
          <w:szCs w:val="21"/>
        </w:rPr>
        <w:t>职务，为法定代表人，特此证明。</w:t>
      </w:r>
    </w:p>
    <w:p w14:paraId="2587A06C">
      <w:pPr>
        <w:spacing w:line="360" w:lineRule="auto"/>
        <w:ind w:firstLine="420" w:firstLineChars="200"/>
        <w:rPr>
          <w:rFonts w:ascii="宋体" w:hAnsi="宋体"/>
          <w:szCs w:val="21"/>
        </w:rPr>
      </w:pPr>
      <w:r>
        <w:rPr>
          <w:rFonts w:hint="eastAsia" w:ascii="宋体" w:hAnsi="宋体"/>
          <w:szCs w:val="21"/>
        </w:rPr>
        <w:t>本证明书自签发之日起生效，有效期与本公司参与</w:t>
      </w:r>
      <w:r>
        <w:rPr>
          <w:rFonts w:hint="eastAsia" w:ascii="宋体" w:hAnsi="宋体"/>
        </w:rPr>
        <w:t>竞价采购项目</w:t>
      </w:r>
      <w:r>
        <w:rPr>
          <w:rFonts w:hint="eastAsia" w:ascii="宋体" w:hAnsi="宋体"/>
          <w:szCs w:val="21"/>
        </w:rPr>
        <w:t>的文件中标注的有效期相同。</w:t>
      </w:r>
    </w:p>
    <w:p w14:paraId="068ED2B4">
      <w:pPr>
        <w:spacing w:line="360" w:lineRule="auto"/>
        <w:ind w:firstLine="420" w:firstLineChars="200"/>
        <w:rPr>
          <w:rFonts w:ascii="宋体" w:hAnsi="宋体"/>
          <w:szCs w:val="21"/>
        </w:rPr>
      </w:pPr>
      <w:r>
        <w:rPr>
          <w:rFonts w:hint="eastAsia" w:ascii="宋体" w:hAnsi="宋体"/>
          <w:szCs w:val="21"/>
        </w:rPr>
        <w:t>附：</w:t>
      </w:r>
    </w:p>
    <w:p w14:paraId="7340301C">
      <w:pPr>
        <w:spacing w:line="360" w:lineRule="auto"/>
        <w:ind w:firstLine="840" w:firstLineChars="400"/>
        <w:rPr>
          <w:rFonts w:ascii="宋体" w:hAnsi="宋体"/>
          <w:szCs w:val="21"/>
        </w:rPr>
      </w:pPr>
      <w:r>
        <w:rPr>
          <w:rFonts w:hint="eastAsia" w:ascii="宋体" w:hAnsi="宋体"/>
          <w:szCs w:val="21"/>
        </w:rPr>
        <w:t xml:space="preserve">营业执照（注册号）：                       </w:t>
      </w:r>
    </w:p>
    <w:p w14:paraId="60CA3429">
      <w:pPr>
        <w:spacing w:line="360" w:lineRule="auto"/>
        <w:ind w:firstLine="840" w:firstLineChars="400"/>
        <w:rPr>
          <w:rFonts w:ascii="宋体" w:hAnsi="宋体"/>
          <w:szCs w:val="21"/>
        </w:rPr>
      </w:pPr>
      <w:r>
        <w:rPr>
          <w:rFonts w:hint="eastAsia" w:ascii="宋体" w:hAnsi="宋体"/>
          <w:szCs w:val="21"/>
        </w:rPr>
        <w:t>经济性质：</w:t>
      </w:r>
    </w:p>
    <w:p w14:paraId="7BD8DDC6">
      <w:pPr>
        <w:spacing w:line="360" w:lineRule="auto"/>
        <w:ind w:firstLine="840" w:firstLineChars="400"/>
        <w:rPr>
          <w:rFonts w:ascii="宋体" w:hAnsi="宋体"/>
          <w:szCs w:val="21"/>
        </w:rPr>
      </w:pPr>
      <w:r>
        <w:rPr>
          <w:rFonts w:hint="eastAsia" w:ascii="宋体" w:hAnsi="宋体"/>
          <w:szCs w:val="21"/>
        </w:rPr>
        <w:t>主营（产）：</w:t>
      </w:r>
    </w:p>
    <w:p w14:paraId="5C8DE7D8">
      <w:pPr>
        <w:spacing w:line="360" w:lineRule="auto"/>
        <w:ind w:firstLine="840" w:firstLineChars="400"/>
        <w:rPr>
          <w:rFonts w:ascii="宋体" w:hAnsi="宋体"/>
          <w:szCs w:val="21"/>
        </w:rPr>
      </w:pPr>
      <w:r>
        <w:rPr>
          <w:rFonts w:hint="eastAsia" w:ascii="宋体" w:hAnsi="宋体"/>
          <w:szCs w:val="21"/>
        </w:rPr>
        <w:t>兼营（产）：</w:t>
      </w:r>
    </w:p>
    <w:p w14:paraId="3366DF47">
      <w:pPr>
        <w:spacing w:line="360" w:lineRule="auto"/>
        <w:ind w:firstLine="840" w:firstLineChars="400"/>
        <w:rPr>
          <w:rFonts w:ascii="宋体" w:hAnsi="宋体"/>
          <w:szCs w:val="21"/>
        </w:rPr>
      </w:pPr>
      <w:r>
        <w:rPr>
          <w:rFonts w:ascii="宋体" w:hAnsi="宋体"/>
          <w:szCs w:val="21"/>
        </w:rPr>
        <mc:AlternateContent>
          <mc:Choice Requires="wpg">
            <w:drawing>
              <wp:anchor distT="0" distB="0" distL="114300" distR="114300" simplePos="0" relativeHeight="251661312" behindDoc="0" locked="0" layoutInCell="1" allowOverlap="1">
                <wp:simplePos x="0" y="0"/>
                <wp:positionH relativeFrom="column">
                  <wp:posOffset>41910</wp:posOffset>
                </wp:positionH>
                <wp:positionV relativeFrom="paragraph">
                  <wp:posOffset>243840</wp:posOffset>
                </wp:positionV>
                <wp:extent cx="4968240" cy="1452880"/>
                <wp:effectExtent l="4445" t="4445" r="5715" b="15875"/>
                <wp:wrapNone/>
                <wp:docPr id="1" name="组合 1029"/>
                <wp:cNvGraphicFramePr/>
                <a:graphic xmlns:a="http://schemas.openxmlformats.org/drawingml/2006/main">
                  <a:graphicData uri="http://schemas.microsoft.com/office/word/2010/wordprocessingGroup">
                    <wpg:wgp>
                      <wpg:cNvGrpSpPr/>
                      <wpg:grpSpPr>
                        <a:xfrm>
                          <a:off x="0" y="0"/>
                          <a:ext cx="4968240" cy="1452880"/>
                          <a:chOff x="1146" y="7566"/>
                          <a:chExt cx="8717" cy="2609"/>
                        </a:xfrm>
                        <a:effectLst/>
                      </wpg:grpSpPr>
                      <wps:wsp>
                        <wps:cNvPr id="3" name="矩形 1030"/>
                        <wps:cNvSpPr>
                          <a:spLocks noChangeArrowheads="1"/>
                        </wps:cNvSpPr>
                        <wps:spPr bwMode="auto">
                          <a:xfrm>
                            <a:off x="1146" y="7566"/>
                            <a:ext cx="4166" cy="2609"/>
                          </a:xfrm>
                          <a:prstGeom prst="rect">
                            <a:avLst/>
                          </a:prstGeom>
                          <a:solidFill>
                            <a:srgbClr val="FFFFFF"/>
                          </a:solidFill>
                          <a:ln w="9525">
                            <a:solidFill>
                              <a:srgbClr val="000000"/>
                            </a:solidFill>
                            <a:miter lim="200000"/>
                          </a:ln>
                          <a:effectLst/>
                        </wps:spPr>
                        <wps:txbx>
                          <w:txbxContent>
                            <w:p w14:paraId="66263399">
                              <w:pPr>
                                <w:jc w:val="center"/>
                              </w:pPr>
                              <w:r>
                                <w:rPr>
                                  <w:rFonts w:hint="eastAsia"/>
                                </w:rPr>
                                <w:t>身份证（正面）</w:t>
                              </w:r>
                            </w:p>
                            <w:p w14:paraId="57DF67E9">
                              <w:pPr>
                                <w:ind w:firstLine="1050" w:firstLineChars="500"/>
                              </w:pPr>
                            </w:p>
                          </w:txbxContent>
                        </wps:txbx>
                        <wps:bodyPr rot="0" vert="horz" wrap="square" lIns="91440" tIns="45720" rIns="91440" bIns="45720" anchor="t" anchorCtr="0" upright="1">
                          <a:noAutofit/>
                        </wps:bodyPr>
                      </wps:wsp>
                      <wps:wsp>
                        <wps:cNvPr id="4" name="矩形 1031"/>
                        <wps:cNvSpPr>
                          <a:spLocks noChangeArrowheads="1"/>
                        </wps:cNvSpPr>
                        <wps:spPr bwMode="auto">
                          <a:xfrm>
                            <a:off x="5719" y="7566"/>
                            <a:ext cx="4144" cy="2609"/>
                          </a:xfrm>
                          <a:prstGeom prst="rect">
                            <a:avLst/>
                          </a:prstGeom>
                          <a:solidFill>
                            <a:srgbClr val="FFFFFF"/>
                          </a:solidFill>
                          <a:ln w="9525">
                            <a:solidFill>
                              <a:srgbClr val="000000"/>
                            </a:solidFill>
                            <a:miter lim="200000"/>
                          </a:ln>
                          <a:effectLst/>
                        </wps:spPr>
                        <wps:txbx>
                          <w:txbxContent>
                            <w:p w14:paraId="576D3CE1">
                              <w:pPr>
                                <w:jc w:val="center"/>
                              </w:pPr>
                              <w:r>
                                <w:rPr>
                                  <w:rFonts w:hint="eastAsia"/>
                                </w:rPr>
                                <w:t>身份证（反面）</w:t>
                              </w:r>
                            </w:p>
                            <w:p w14:paraId="5A862BE8">
                              <w:pPr>
                                <w:ind w:firstLine="1050" w:firstLineChars="500"/>
                              </w:pPr>
                            </w:p>
                          </w:txbxContent>
                        </wps:txbx>
                        <wps:bodyPr rot="0" vert="horz" wrap="square" lIns="91440" tIns="45720" rIns="91440" bIns="45720" anchor="t" anchorCtr="0" upright="1">
                          <a:noAutofit/>
                        </wps:bodyPr>
                      </wps:wsp>
                    </wpg:wgp>
                  </a:graphicData>
                </a:graphic>
              </wp:anchor>
            </w:drawing>
          </mc:Choice>
          <mc:Fallback>
            <w:pict>
              <v:group id="组合 1029" o:spid="_x0000_s1026" o:spt="203" style="position:absolute;left:0pt;margin-left:3.3pt;margin-top:19.2pt;height:114.4pt;width:391.2pt;z-index:251661312;mso-width-relative:page;mso-height-relative:page;" coordorigin="1146,7566" coordsize="8717,2609" o:gfxdata="UEsDBAoAAAAAAIdO4kAAAAAAAAAAAAAAAAAEAAAAZHJzL1BLAwQUAAAACACHTuJADLgjldkAAAAI&#10;AQAADwAAAGRycy9kb3ducmV2LnhtbE2PQUvDQBSE74L/YXmCN7tJqmmMeSlS1FMRbIXS2zb7moRm&#10;34bsNmn/vetJj8MMM98Uy4vpxEiDay0jxLMIBHFldcs1wvf2/SED4bxirTrLhHAlB8vy9qZQubYT&#10;f9G48bUIJexyhdB43+dSuqoho9zM9sTBO9rBKB/kUEs9qCmUm04mUZRKo1oOC43qadVQddqcDcLH&#10;pKbXefw2rk/H1XW/ffrcrWNCvL+LoxcQni7+Lwy/+AEdysB0sGfWTnQIaRqCCPPsEUSwF9lzuHZA&#10;SNJFArIs5P8D5Q9QSwMEFAAAAAgAh07iQPpeNvneAgAAfAgAAA4AAABkcnMvZTJvRG9jLnhtbO1W&#10;zW7UMBC+I/EOlu80mzT7FzVbVS2tkApUKjyA13ESC8c2tnez5cyhR94AiRvPgHicitdg7KS7220P&#10;FagHJHLIejz2+JtvPk/24HDVCLRkxnIlcxzvDTBikqqCyyrH79+dvphgZB2RBRFKshxfMYsPZ8+f&#10;HbQ6Y4mqlSiYQRBE2qzVOa6d01kUWVqzhtg9pZkEZ6lMQxyYpooKQ1qI3ogoGQxGUatMoY2izFqY&#10;PemcuI9oHhNQlSWn7ETRRcOk66IaJoiDlGzNtcWzgLYsGXVvy9Iyh0SOIVMX3nAIjOf+Hc0OSFYZ&#10;omtOewjkMRB2cmoIl3DoOtQJcQQtDL8XquHUKKtKt0dVE3WJBEYgi3iww82ZUQsdcqmyttJr0qFQ&#10;O6z/cVj6ZnlhEC9ACRhJ0kDBf/34fPPlGsWDZOrpaXWVwaozoy/1heknqs7yGa9K0/hfyAWtArFX&#10;a2LZyiEKk+l0NElS4JyCL06HyWTSU09rqI/fF8fpCCNwj4ejUVcWWr/s90/G8bjbnIwGAVW0OZiF&#10;Mp9bB9gij3YNrtUgUbvhzf4db5c10SyUw3pGet7217x9/X7z8xvwth9y84fDKk+ap8fqc0U/WCTV&#10;cU1kxY6MUW3NSAGgYp8vQN/a4A0LW9G8fa0KqApZOBUUtsP3A7ytWY+ByUD5A6xpY90ZUw3ygxwb&#10;uCkhPFn2TJLsdkmArwQvTrkQwTDV/FgYtCRwq07DEzKALLeXCYnaHE+HyTBEvuOz2yEG4XkoRMMd&#10;NBvBmxxD74CnXySkx7FT+Y4xr1ibudV8FbRqs7kqroBIo7rLD60PBrUynzBq4eLn2H5cEMMwEq8k&#10;FGMap16pLhjpcJyAYbY9820PkRRC5dhh1A2PXdddFtrwqoaT4pC8VEdQwJL3Ir1F1ZcdRNrBfnK1&#10;pvfVGtR3R3xPp9bhOJ7u3PKNWlMA5xvEf7X+A2oNnRY+SqDgO1+9bTuoe/OnYf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DLgjldkAAAAIAQAADwAAAAAAAAABACAAAAAiAAAAZHJzL2Rvd25yZXYu&#10;eG1sUEsBAhQAFAAAAAgAh07iQPpeNvneAgAAfAgAAA4AAAAAAAAAAQAgAAAAKAEAAGRycy9lMm9E&#10;b2MueG1sUEsFBgAAAAAGAAYAWQEAAHgGAAAAAA==&#10;">
                <o:lock v:ext="edit" aspectratio="f"/>
                <v:rect id="矩形 1030" o:spid="_x0000_s1026" o:spt="1" style="position:absolute;left:1146;top:7566;height:2609;width:4166;" fillcolor="#FFFFFF" filled="t" stroked="t" coordsize="21600,21600" o:gfxdata="UEsDBAoAAAAAAIdO4kAAAAAAAAAAAAAAAAAEAAAAZHJzL1BLAwQUAAAACACHTuJAeDVS+bwAAADa&#10;AAAADwAAAGRycy9kb3ducmV2LnhtbEWPQWsCMRSE7wX/Q3hCb91kL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1Uvm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66263399">
                        <w:pPr>
                          <w:jc w:val="center"/>
                        </w:pPr>
                        <w:r>
                          <w:rPr>
                            <w:rFonts w:hint="eastAsia"/>
                          </w:rPr>
                          <w:t>身份证（正面）</w:t>
                        </w:r>
                      </w:p>
                      <w:p w14:paraId="57DF67E9">
                        <w:pPr>
                          <w:ind w:firstLine="1050" w:firstLineChars="500"/>
                        </w:pPr>
                      </w:p>
                    </w:txbxContent>
                  </v:textbox>
                </v:rect>
                <v:rect id="矩形 1031" o:spid="_x0000_s1026" o:spt="1" style="position:absolute;left:5719;top:7566;height:2609;width:4144;" fillcolor="#FFFFFF" filled="t" stroked="t" coordsize="21600,21600" o:gfxdata="UEsDBAoAAAAAAIdO4kAAAAAAAAAAAAAAAAAEAAAAZHJzL1BLAwQUAAAACACHTuJA99zKjbwAAADa&#10;AAAADwAAAGRycy9kb3ducmV2LnhtbEWPQWsCMRSE7wX/Q3hCb91kpUhZjYJKoRRZ6bZ4fmyeu8HN&#10;S9ikav99IxR6HGbmG2a5vrlBXGiM1rOGslAgiFtvLHcavj5fn15AxIRscPBMGn4owno1eVhiZfyV&#10;P+jSpE5kCMcKNfQphUrK2PbkMBY+EGfv5EeHKcuxk2bEa4a7Qc6UmkuHlvNCj4G2PbXn5ttpOAZW&#10;5b4OqW7eZ4f95mCPu9pq/Tgt1QJEolv6D/+134yGZ7hfyTdAr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fcyo28AAAA&#10;2gAAAA8AAAAAAAAAAQAgAAAAIgAAAGRycy9kb3ducmV2LnhtbFBLAQIUABQAAAAIAIdO4kAzLwWe&#10;OwAAADkAAAAQAAAAAAAAAAEAIAAAAAsBAABkcnMvc2hhcGV4bWwueG1sUEsFBgAAAAAGAAYAWwEA&#10;ALUDAAAAAA==&#10;">
                  <v:fill on="t" focussize="0,0"/>
                  <v:stroke color="#000000" miterlimit="2" joinstyle="miter"/>
                  <v:imagedata o:title=""/>
                  <o:lock v:ext="edit" aspectratio="f"/>
                  <v:textbox>
                    <w:txbxContent>
                      <w:p w14:paraId="576D3CE1">
                        <w:pPr>
                          <w:jc w:val="center"/>
                        </w:pPr>
                        <w:r>
                          <w:rPr>
                            <w:rFonts w:hint="eastAsia"/>
                          </w:rPr>
                          <w:t>身份证（反面）</w:t>
                        </w:r>
                      </w:p>
                      <w:p w14:paraId="5A862BE8">
                        <w:pPr>
                          <w:ind w:firstLine="1050" w:firstLineChars="500"/>
                        </w:pPr>
                      </w:p>
                    </w:txbxContent>
                  </v:textbox>
                </v:rect>
              </v:group>
            </w:pict>
          </mc:Fallback>
        </mc:AlternateContent>
      </w:r>
    </w:p>
    <w:p w14:paraId="1B8E670F">
      <w:pPr>
        <w:spacing w:line="360" w:lineRule="auto"/>
        <w:rPr>
          <w:rFonts w:ascii="宋体" w:hAnsi="宋体"/>
          <w:b/>
          <w:bCs/>
          <w:szCs w:val="21"/>
        </w:rPr>
      </w:pPr>
    </w:p>
    <w:p w14:paraId="732FD505">
      <w:pPr>
        <w:spacing w:line="360" w:lineRule="auto"/>
        <w:rPr>
          <w:rFonts w:ascii="宋体" w:hAnsi="宋体"/>
          <w:b/>
          <w:bCs/>
          <w:szCs w:val="21"/>
        </w:rPr>
      </w:pPr>
    </w:p>
    <w:p w14:paraId="29051EB6">
      <w:pPr>
        <w:spacing w:line="360" w:lineRule="auto"/>
        <w:rPr>
          <w:rFonts w:ascii="宋体" w:hAnsi="宋体"/>
          <w:b/>
          <w:bCs/>
        </w:rPr>
      </w:pPr>
    </w:p>
    <w:p w14:paraId="3B6A2E1F">
      <w:pPr>
        <w:spacing w:line="360" w:lineRule="auto"/>
        <w:rPr>
          <w:rFonts w:ascii="宋体" w:hAnsi="宋体"/>
          <w:b/>
          <w:bCs/>
        </w:rPr>
      </w:pPr>
    </w:p>
    <w:p w14:paraId="2BFFAAE5">
      <w:pPr>
        <w:spacing w:line="360" w:lineRule="auto"/>
        <w:rPr>
          <w:rFonts w:ascii="宋体" w:hAnsi="宋体"/>
          <w:b/>
          <w:bCs/>
        </w:rPr>
      </w:pPr>
    </w:p>
    <w:p w14:paraId="219ADC71">
      <w:pPr>
        <w:spacing w:line="360" w:lineRule="auto"/>
        <w:rPr>
          <w:rFonts w:ascii="宋体" w:hAnsi="宋体"/>
          <w:b/>
          <w:bCs/>
        </w:rPr>
      </w:pPr>
    </w:p>
    <w:p w14:paraId="5B1C3145">
      <w:pPr>
        <w:spacing w:line="360" w:lineRule="auto"/>
        <w:rPr>
          <w:rFonts w:ascii="宋体" w:hAnsi="宋体"/>
          <w:b/>
          <w:bCs/>
        </w:rPr>
      </w:pPr>
      <w:r>
        <w:rPr>
          <w:rFonts w:hint="eastAsia" w:ascii="宋体" w:hAnsi="宋体"/>
          <w:b/>
          <w:bCs/>
        </w:rPr>
        <w:t xml:space="preserve">                         </w:t>
      </w:r>
    </w:p>
    <w:p w14:paraId="1D473D38">
      <w:pPr>
        <w:spacing w:line="360" w:lineRule="auto"/>
        <w:rPr>
          <w:rFonts w:ascii="宋体" w:hAnsi="宋体"/>
          <w:szCs w:val="21"/>
        </w:rPr>
      </w:pPr>
      <w:r>
        <w:rPr>
          <w:rFonts w:hint="eastAsia" w:ascii="宋体" w:hAnsi="宋体"/>
          <w:b/>
          <w:bCs/>
        </w:rPr>
        <w:t xml:space="preserve">                                </w:t>
      </w:r>
      <w:r>
        <w:rPr>
          <w:rFonts w:hint="eastAsia" w:ascii="宋体" w:hAnsi="宋体"/>
          <w:b/>
          <w:bCs/>
          <w:szCs w:val="21"/>
        </w:rPr>
        <w:t xml:space="preserve">            </w:t>
      </w:r>
      <w:r>
        <w:rPr>
          <w:rFonts w:hint="eastAsia" w:ascii="宋体" w:hAnsi="宋体"/>
          <w:szCs w:val="21"/>
        </w:rPr>
        <w:t>供应商名称：（盖公章）：</w:t>
      </w:r>
    </w:p>
    <w:p w14:paraId="005E3258">
      <w:pPr>
        <w:spacing w:line="360" w:lineRule="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地址：</w:t>
      </w:r>
    </w:p>
    <w:p w14:paraId="2917A5D5">
      <w:pPr>
        <w:spacing w:line="360" w:lineRule="auto"/>
        <w:rPr>
          <w:rFonts w:ascii="宋体" w:hAnsi="宋体"/>
          <w:b/>
          <w:bCs/>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日期：</w:t>
      </w:r>
    </w:p>
    <w:bookmarkEnd w:id="13"/>
    <w:bookmarkEnd w:id="14"/>
    <w:p w14:paraId="55087EAC">
      <w:pPr>
        <w:rPr>
          <w:rFonts w:ascii="宋体" w:hAnsi="宋体" w:cs="宋体"/>
          <w:b/>
          <w:bCs/>
          <w:sz w:val="28"/>
          <w:szCs w:val="28"/>
        </w:rPr>
      </w:pPr>
      <w:r>
        <w:rPr>
          <w:rFonts w:ascii="宋体" w:hAnsi="宋体" w:cs="宋体"/>
          <w:b/>
          <w:bCs/>
          <w:sz w:val="28"/>
          <w:szCs w:val="28"/>
        </w:rPr>
        <w:br w:type="page"/>
      </w:r>
    </w:p>
    <w:p w14:paraId="0E0762EF">
      <w:pPr>
        <w:numPr>
          <w:ilvl w:val="0"/>
          <w:numId w:val="0"/>
        </w:numPr>
        <w:spacing w:after="0" w:line="360" w:lineRule="auto"/>
        <w:jc w:val="center"/>
        <w:outlineLvl w:val="0"/>
        <w:rPr>
          <w:rFonts w:hint="eastAsia" w:cs="Tahoma" w:asciiTheme="minorEastAsia" w:hAnsiTheme="minorEastAsia" w:eastAsiaTheme="minorEastAsia"/>
          <w:b/>
          <w:color w:val="000000"/>
          <w:sz w:val="24"/>
          <w:szCs w:val="24"/>
        </w:rPr>
      </w:pPr>
      <w:r>
        <w:rPr>
          <w:rFonts w:hint="eastAsia" w:cs="Tahoma" w:asciiTheme="minorEastAsia" w:hAnsiTheme="minorEastAsia" w:eastAsiaTheme="minorEastAsia"/>
          <w:b/>
          <w:color w:val="000000"/>
          <w:sz w:val="24"/>
          <w:szCs w:val="24"/>
          <w:lang w:eastAsia="zh-CN"/>
        </w:rPr>
        <w:t>四、</w:t>
      </w:r>
      <w:r>
        <w:rPr>
          <w:rFonts w:hint="eastAsia" w:cs="Tahoma" w:asciiTheme="minorEastAsia" w:hAnsiTheme="minorEastAsia" w:eastAsiaTheme="minorEastAsia"/>
          <w:b/>
          <w:color w:val="000000"/>
          <w:sz w:val="24"/>
          <w:szCs w:val="24"/>
        </w:rPr>
        <w:t>合同模板</w:t>
      </w:r>
    </w:p>
    <w:p w14:paraId="3F43345A">
      <w:pPr>
        <w:spacing w:line="360" w:lineRule="auto"/>
        <w:jc w:val="right"/>
        <w:rPr>
          <w:rFonts w:asciiTheme="minorEastAsia" w:hAnsiTheme="minorEastAsia" w:eastAsiaTheme="minorEastAsia"/>
          <w:b/>
          <w:sz w:val="24"/>
        </w:rPr>
      </w:pPr>
      <w:r>
        <w:rPr>
          <w:rFonts w:asciiTheme="minorEastAsia" w:hAnsiTheme="minorEastAsia" w:eastAsiaTheme="minorEastAsia"/>
          <w:sz w:val="24"/>
        </w:rPr>
        <w:t xml:space="preserve"> </w:t>
      </w:r>
      <w:r>
        <w:rPr>
          <w:rFonts w:hint="eastAsia" w:asciiTheme="minorEastAsia" w:hAnsiTheme="minorEastAsia" w:eastAsiaTheme="minorEastAsia"/>
          <w:b/>
          <w:sz w:val="24"/>
        </w:rPr>
        <w:t>合同编号：【</w:t>
      </w:r>
      <w:r>
        <w:rPr>
          <w:rFonts w:asciiTheme="minorEastAsia" w:hAnsiTheme="minorEastAsia" w:eastAsiaTheme="minorEastAsia"/>
          <w:b/>
          <w:sz w:val="24"/>
        </w:rPr>
        <w:fldChar w:fldCharType="begin">
          <w:ffData>
            <w:name w:val="文字1"/>
            <w:enabled/>
            <w:calcOnExit w:val="0"/>
            <w:textInput/>
          </w:ffData>
        </w:fldChar>
      </w:r>
      <w:r>
        <w:rPr>
          <w:rFonts w:asciiTheme="minorEastAsia" w:hAnsiTheme="minorEastAsia" w:eastAsiaTheme="minorEastAsia"/>
          <w:b/>
          <w:sz w:val="24"/>
        </w:rPr>
        <w:instrText xml:space="preserve"> </w:instrText>
      </w:r>
      <w:r>
        <w:rPr>
          <w:rFonts w:hint="eastAsia" w:asciiTheme="minorEastAsia" w:hAnsiTheme="minorEastAsia" w:eastAsiaTheme="minorEastAsia"/>
          <w:b/>
          <w:sz w:val="24"/>
        </w:rPr>
        <w:instrText xml:space="preserve">FORMTEXT</w:instrText>
      </w:r>
      <w:r>
        <w:rPr>
          <w:rFonts w:asciiTheme="minorEastAsia" w:hAnsiTheme="minorEastAsia" w:eastAsiaTheme="minorEastAsia"/>
          <w:b/>
          <w:sz w:val="24"/>
        </w:rPr>
        <w:instrText xml:space="preserve"> </w:instrText>
      </w:r>
      <w:r>
        <w:rPr>
          <w:rFonts w:asciiTheme="minorEastAsia" w:hAnsiTheme="minorEastAsia" w:eastAsiaTheme="minorEastAsia"/>
          <w:b/>
          <w:sz w:val="24"/>
        </w:rPr>
        <w:fldChar w:fldCharType="separate"/>
      </w:r>
      <w:r>
        <w:rPr>
          <w:rFonts w:asciiTheme="minorEastAsia" w:hAnsiTheme="minorEastAsia" w:eastAsiaTheme="minorEastAsia"/>
          <w:b/>
          <w:sz w:val="24"/>
        </w:rPr>
        <w:t>     </w:t>
      </w:r>
      <w:r>
        <w:rPr>
          <w:rFonts w:asciiTheme="minorEastAsia" w:hAnsiTheme="minorEastAsia" w:eastAsiaTheme="minorEastAsia"/>
          <w:b/>
          <w:sz w:val="24"/>
        </w:rPr>
        <w:fldChar w:fldCharType="end"/>
      </w:r>
      <w:r>
        <w:rPr>
          <w:rFonts w:hint="eastAsia" w:asciiTheme="minorEastAsia" w:hAnsiTheme="minorEastAsia" w:eastAsiaTheme="minorEastAsia"/>
          <w:b/>
          <w:sz w:val="24"/>
        </w:rPr>
        <w:t>】</w:t>
      </w:r>
    </w:p>
    <w:p w14:paraId="34A0423F">
      <w:pPr>
        <w:spacing w:line="360" w:lineRule="auto"/>
        <w:rPr>
          <w:rFonts w:asciiTheme="minorEastAsia" w:hAnsiTheme="minorEastAsia" w:eastAsiaTheme="minorEastAsia"/>
          <w:sz w:val="24"/>
        </w:rPr>
      </w:pPr>
    </w:p>
    <w:p w14:paraId="7E869F27">
      <w:pPr>
        <w:spacing w:line="360" w:lineRule="auto"/>
        <w:rPr>
          <w:rFonts w:asciiTheme="minorEastAsia" w:hAnsiTheme="minorEastAsia" w:eastAsiaTheme="minorEastAsia"/>
          <w:sz w:val="24"/>
        </w:rPr>
      </w:pPr>
    </w:p>
    <w:p w14:paraId="4D638BA9">
      <w:pPr>
        <w:spacing w:line="480" w:lineRule="auto"/>
        <w:jc w:val="center"/>
        <w:rPr>
          <w:rFonts w:asciiTheme="minorEastAsia" w:hAnsiTheme="minorEastAsia" w:eastAsiaTheme="minorEastAsia"/>
          <w:b/>
          <w:bCs/>
          <w:sz w:val="36"/>
          <w:szCs w:val="36"/>
        </w:rPr>
      </w:pPr>
      <w:r>
        <w:rPr>
          <w:rFonts w:hint="eastAsia" w:asciiTheme="minorEastAsia" w:hAnsiTheme="minorEastAsia" w:eastAsiaTheme="minorEastAsia"/>
          <w:b/>
          <w:bCs/>
          <w:sz w:val="36"/>
          <w:szCs w:val="36"/>
        </w:rPr>
        <w:t>广东省广播电视网络股份有限公司</w:t>
      </w:r>
    </w:p>
    <w:p w14:paraId="23D8C06B">
      <w:pPr>
        <w:pStyle w:val="16"/>
        <w:tabs>
          <w:tab w:val="left" w:pos="4120"/>
        </w:tabs>
        <w:adjustRightInd w:val="0"/>
        <w:spacing w:line="480" w:lineRule="auto"/>
        <w:jc w:val="center"/>
        <w:rPr>
          <w:rFonts w:hint="eastAsia" w:asciiTheme="minorEastAsia" w:hAnsiTheme="minorEastAsia" w:eastAsiaTheme="minorEastAsia"/>
          <w:b/>
          <w:sz w:val="36"/>
          <w:szCs w:val="36"/>
        </w:rPr>
      </w:pPr>
      <w:bookmarkStart w:id="15" w:name="_Hlk12884316"/>
      <w:r>
        <w:rPr>
          <w:rFonts w:hint="eastAsia" w:asciiTheme="minorEastAsia" w:hAnsiTheme="minorEastAsia" w:eastAsiaTheme="minorEastAsia"/>
          <w:b/>
          <w:sz w:val="36"/>
          <w:szCs w:val="36"/>
        </w:rPr>
        <w:t>【</w:t>
      </w:r>
      <w:r>
        <w:rPr>
          <w:rFonts w:hint="eastAsia" w:cs="Times New Roman" w:asciiTheme="minorEastAsia" w:hAnsiTheme="minorEastAsia" w:eastAsiaTheme="minorEastAsia"/>
          <w:b/>
          <w:bCs/>
          <w:kern w:val="2"/>
          <w:sz w:val="36"/>
          <w:szCs w:val="36"/>
          <w:lang w:val="en-US" w:eastAsia="zh-CN" w:bidi="ar-SA"/>
        </w:rPr>
        <w:t>2025年佛山高明分公司办公设备配置项目</w:t>
      </w:r>
      <w:r>
        <w:rPr>
          <w:rFonts w:hint="eastAsia" w:asciiTheme="minorEastAsia" w:hAnsiTheme="minorEastAsia" w:eastAsiaTheme="minorEastAsia"/>
          <w:b/>
          <w:sz w:val="36"/>
          <w:szCs w:val="36"/>
        </w:rPr>
        <w:t>】</w:t>
      </w:r>
    </w:p>
    <w:p w14:paraId="69D3CA88">
      <w:pPr>
        <w:pStyle w:val="16"/>
        <w:tabs>
          <w:tab w:val="left" w:pos="4120"/>
        </w:tabs>
        <w:adjustRightInd w:val="0"/>
        <w:spacing w:line="480" w:lineRule="auto"/>
        <w:jc w:val="cente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t>小额货物采购合同</w:t>
      </w:r>
    </w:p>
    <w:bookmarkEnd w:id="15"/>
    <w:p w14:paraId="730DAA8A">
      <w:pPr>
        <w:tabs>
          <w:tab w:val="left" w:pos="3296"/>
        </w:tabs>
        <w:adjustRightInd w:val="0"/>
        <w:snapToGrid w:val="0"/>
        <w:spacing w:line="360" w:lineRule="auto"/>
        <w:rPr>
          <w:rFonts w:asciiTheme="minorEastAsia" w:hAnsiTheme="minorEastAsia" w:eastAsiaTheme="minorEastAsia"/>
          <w:b/>
          <w:bCs/>
          <w:sz w:val="24"/>
        </w:rPr>
      </w:pPr>
    </w:p>
    <w:p w14:paraId="5E5CC99A">
      <w:pPr>
        <w:tabs>
          <w:tab w:val="left" w:pos="3296"/>
        </w:tabs>
        <w:adjustRightInd w:val="0"/>
        <w:snapToGrid w:val="0"/>
        <w:spacing w:line="360" w:lineRule="auto"/>
        <w:rPr>
          <w:rFonts w:asciiTheme="minorEastAsia" w:hAnsiTheme="minorEastAsia" w:eastAsiaTheme="minorEastAsia"/>
          <w:b/>
          <w:bCs/>
          <w:sz w:val="24"/>
        </w:rPr>
      </w:pPr>
    </w:p>
    <w:p w14:paraId="1D06EB37">
      <w:pPr>
        <w:tabs>
          <w:tab w:val="left" w:pos="3296"/>
        </w:tabs>
        <w:adjustRightInd w:val="0"/>
        <w:snapToGrid w:val="0"/>
        <w:spacing w:line="360" w:lineRule="auto"/>
        <w:rPr>
          <w:rFonts w:asciiTheme="minorEastAsia" w:hAnsiTheme="minorEastAsia" w:eastAsiaTheme="minorEastAsia"/>
          <w:b/>
          <w:bCs/>
          <w:sz w:val="24"/>
        </w:rPr>
      </w:pPr>
    </w:p>
    <w:p w14:paraId="38724023">
      <w:pPr>
        <w:tabs>
          <w:tab w:val="left" w:pos="3296"/>
        </w:tabs>
        <w:adjustRightInd w:val="0"/>
        <w:snapToGrid w:val="0"/>
        <w:spacing w:line="360" w:lineRule="auto"/>
        <w:rPr>
          <w:rFonts w:asciiTheme="minorEastAsia" w:hAnsiTheme="minorEastAsia" w:eastAsiaTheme="minorEastAsia"/>
          <w:b/>
          <w:bCs/>
          <w:sz w:val="24"/>
        </w:rPr>
      </w:pPr>
    </w:p>
    <w:p w14:paraId="3CE4865A">
      <w:pPr>
        <w:tabs>
          <w:tab w:val="left" w:pos="3296"/>
        </w:tabs>
        <w:adjustRightInd w:val="0"/>
        <w:snapToGrid w:val="0"/>
        <w:spacing w:line="360" w:lineRule="auto"/>
        <w:rPr>
          <w:rFonts w:asciiTheme="minorEastAsia" w:hAnsiTheme="minorEastAsia" w:eastAsiaTheme="minorEastAsia"/>
          <w:b/>
          <w:bCs/>
          <w:sz w:val="24"/>
        </w:rPr>
      </w:pPr>
    </w:p>
    <w:p w14:paraId="505D7262">
      <w:pPr>
        <w:tabs>
          <w:tab w:val="left" w:pos="3296"/>
        </w:tabs>
        <w:adjustRightInd w:val="0"/>
        <w:snapToGrid w:val="0"/>
        <w:spacing w:line="360" w:lineRule="auto"/>
        <w:rPr>
          <w:rFonts w:asciiTheme="minorEastAsia" w:hAnsiTheme="minorEastAsia" w:eastAsiaTheme="minorEastAsia"/>
          <w:b/>
          <w:bCs/>
          <w:sz w:val="24"/>
        </w:rPr>
      </w:pPr>
    </w:p>
    <w:p w14:paraId="3D5AF819">
      <w:pPr>
        <w:tabs>
          <w:tab w:val="left" w:pos="3296"/>
        </w:tabs>
        <w:adjustRightInd w:val="0"/>
        <w:snapToGrid w:val="0"/>
        <w:spacing w:line="360" w:lineRule="auto"/>
        <w:rPr>
          <w:rFonts w:asciiTheme="minorEastAsia" w:hAnsiTheme="minorEastAsia" w:eastAsiaTheme="minorEastAsia"/>
          <w:b/>
          <w:bCs/>
          <w:sz w:val="24"/>
        </w:rPr>
      </w:pPr>
    </w:p>
    <w:p w14:paraId="19BF8FF9">
      <w:pPr>
        <w:tabs>
          <w:tab w:val="left" w:pos="3296"/>
        </w:tabs>
        <w:adjustRightInd w:val="0"/>
        <w:snapToGrid w:val="0"/>
        <w:spacing w:line="480" w:lineRule="auto"/>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甲方</w:t>
      </w:r>
      <w:r>
        <w:rPr>
          <w:rFonts w:hint="eastAsia" w:asciiTheme="minorEastAsia" w:hAnsiTheme="minorEastAsia" w:eastAsiaTheme="minorEastAsia"/>
          <w:b/>
          <w:bCs/>
          <w:sz w:val="32"/>
          <w:szCs w:val="32"/>
          <w:lang w:eastAsia="zh-CN"/>
        </w:rPr>
        <w:t>（采购人）</w:t>
      </w:r>
      <w:r>
        <w:rPr>
          <w:rFonts w:asciiTheme="minorEastAsia" w:hAnsiTheme="minorEastAsia" w:eastAsiaTheme="minorEastAsia"/>
          <w:b/>
          <w:bCs/>
          <w:sz w:val="32"/>
          <w:szCs w:val="32"/>
        </w:rPr>
        <w:t>：</w:t>
      </w:r>
      <w:r>
        <w:rPr>
          <w:rFonts w:hint="eastAsia" w:asciiTheme="minorEastAsia" w:hAnsiTheme="minorEastAsia" w:eastAsiaTheme="minorEastAsia"/>
          <w:b/>
          <w:bCs/>
          <w:sz w:val="32"/>
          <w:szCs w:val="32"/>
        </w:rPr>
        <w:t>广东省广播电视网络股份有限公司</w:t>
      </w:r>
    </w:p>
    <w:p w14:paraId="3BACC226">
      <w:pPr>
        <w:tabs>
          <w:tab w:val="left" w:pos="3296"/>
        </w:tabs>
        <w:adjustRightInd w:val="0"/>
        <w:snapToGrid w:val="0"/>
        <w:spacing w:line="480" w:lineRule="auto"/>
        <w:ind w:firstLine="3534" w:firstLineChars="1100"/>
        <w:rPr>
          <w:rFonts w:asciiTheme="minorEastAsia" w:hAnsiTheme="minorEastAsia" w:eastAsiaTheme="minorEastAsia"/>
          <w:b/>
          <w:bCs/>
          <w:sz w:val="32"/>
          <w:szCs w:val="32"/>
        </w:rPr>
      </w:pPr>
      <w:r>
        <w:rPr>
          <w:rFonts w:hint="eastAsia" w:asciiTheme="minorEastAsia" w:hAnsiTheme="minorEastAsia" w:eastAsiaTheme="minorEastAsia"/>
          <w:b/>
          <w:bCs/>
          <w:sz w:val="32"/>
          <w:szCs w:val="32"/>
          <w:lang w:eastAsia="zh-CN"/>
        </w:rPr>
        <w:t>佛山高明</w:t>
      </w:r>
      <w:r>
        <w:rPr>
          <w:rFonts w:hint="eastAsia" w:asciiTheme="minorEastAsia" w:hAnsiTheme="minorEastAsia" w:eastAsiaTheme="minorEastAsia"/>
          <w:b/>
          <w:bCs/>
          <w:sz w:val="32"/>
          <w:szCs w:val="32"/>
        </w:rPr>
        <w:t>分公司</w:t>
      </w:r>
    </w:p>
    <w:p w14:paraId="3D37C4CD">
      <w:pPr>
        <w:tabs>
          <w:tab w:val="left" w:pos="3296"/>
        </w:tabs>
        <w:adjustRightInd w:val="0"/>
        <w:snapToGrid w:val="0"/>
        <w:spacing w:line="480" w:lineRule="auto"/>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乙方</w:t>
      </w:r>
      <w:r>
        <w:rPr>
          <w:rFonts w:hint="eastAsia" w:asciiTheme="minorEastAsia" w:hAnsiTheme="minorEastAsia" w:eastAsiaTheme="minorEastAsia"/>
          <w:b/>
          <w:bCs/>
          <w:sz w:val="32"/>
          <w:szCs w:val="32"/>
          <w:lang w:eastAsia="zh-CN"/>
        </w:rPr>
        <w:t>（供应商）</w:t>
      </w:r>
      <w:r>
        <w:rPr>
          <w:rFonts w:asciiTheme="minorEastAsia" w:hAnsiTheme="minorEastAsia" w:eastAsiaTheme="minorEastAsia"/>
          <w:b/>
          <w:bCs/>
          <w:sz w:val="32"/>
          <w:szCs w:val="32"/>
        </w:rPr>
        <w:t xml:space="preserve">： </w:t>
      </w:r>
      <w:r>
        <w:rPr>
          <w:rFonts w:asciiTheme="minorEastAsia" w:hAnsiTheme="minorEastAsia" w:eastAsiaTheme="minorEastAsia"/>
          <w:b/>
          <w:bCs/>
          <w:sz w:val="36"/>
          <w:szCs w:val="36"/>
        </w:rPr>
        <w:fldChar w:fldCharType="begin">
          <w:ffData>
            <w:name w:val="文字3"/>
            <w:enabled/>
            <w:calcOnExit w:val="0"/>
            <w:textInput/>
          </w:ffData>
        </w:fldChar>
      </w:r>
      <w:r>
        <w:rPr>
          <w:rFonts w:asciiTheme="minorEastAsia" w:hAnsiTheme="minorEastAsia" w:eastAsiaTheme="minorEastAsia"/>
          <w:b/>
          <w:bCs/>
          <w:sz w:val="36"/>
          <w:szCs w:val="36"/>
        </w:rPr>
        <w:instrText xml:space="preserve"> FORMTEXT </w:instrText>
      </w:r>
      <w:r>
        <w:rPr>
          <w:rFonts w:asciiTheme="minorEastAsia" w:hAnsiTheme="minorEastAsia" w:eastAsiaTheme="minorEastAsia"/>
          <w:b/>
          <w:bCs/>
          <w:sz w:val="36"/>
          <w:szCs w:val="36"/>
        </w:rPr>
        <w:fldChar w:fldCharType="separate"/>
      </w:r>
      <w:r>
        <w:rPr>
          <w:rFonts w:asciiTheme="minorEastAsia" w:hAnsiTheme="minorEastAsia" w:eastAsiaTheme="minorEastAsia"/>
          <w:b/>
          <w:bCs/>
          <w:sz w:val="36"/>
          <w:szCs w:val="36"/>
        </w:rPr>
        <w:t>     </w:t>
      </w:r>
      <w:r>
        <w:rPr>
          <w:rFonts w:asciiTheme="minorEastAsia" w:hAnsiTheme="minorEastAsia" w:eastAsiaTheme="minorEastAsia"/>
          <w:b/>
          <w:bCs/>
          <w:sz w:val="36"/>
          <w:szCs w:val="36"/>
        </w:rPr>
        <w:fldChar w:fldCharType="end"/>
      </w:r>
    </w:p>
    <w:p w14:paraId="3194C3CD">
      <w:pPr>
        <w:widowControl/>
        <w:spacing w:line="360" w:lineRule="auto"/>
        <w:rPr>
          <w:rFonts w:asciiTheme="minorEastAsia" w:hAnsiTheme="minorEastAsia" w:eastAsiaTheme="minorEastAsia"/>
          <w:sz w:val="24"/>
        </w:rPr>
      </w:pPr>
      <w:r>
        <w:rPr>
          <w:rFonts w:hint="eastAsia" w:asciiTheme="minorEastAsia" w:hAnsiTheme="minorEastAsia" w:eastAsiaTheme="minorEastAsia"/>
          <w:sz w:val="24"/>
        </w:rPr>
        <w:t>甲方：</w:t>
      </w:r>
      <w:bookmarkStart w:id="16" w:name="_Hlk12867808"/>
      <w:r>
        <w:rPr>
          <w:rFonts w:hint="eastAsia" w:asciiTheme="minorEastAsia" w:hAnsiTheme="minorEastAsia" w:eastAsiaTheme="minorEastAsia"/>
          <w:sz w:val="24"/>
        </w:rPr>
        <w:t>广东省广播电视网络股份有限公司</w:t>
      </w:r>
      <w:r>
        <w:rPr>
          <w:rFonts w:hint="eastAsia" w:asciiTheme="minorEastAsia" w:hAnsiTheme="minorEastAsia" w:eastAsiaTheme="minorEastAsia"/>
          <w:bCs/>
          <w:sz w:val="24"/>
          <w:lang w:eastAsia="zh-CN"/>
        </w:rPr>
        <w:t>佛山高明分公司</w:t>
      </w:r>
      <w:bookmarkEnd w:id="16"/>
    </w:p>
    <w:p w14:paraId="6454A31B">
      <w:pPr>
        <w:snapToGrid w:val="0"/>
        <w:spacing w:line="360" w:lineRule="auto"/>
        <w:rPr>
          <w:rFonts w:asciiTheme="minorEastAsia" w:hAnsiTheme="minorEastAsia" w:eastAsiaTheme="minorEastAsia"/>
          <w:sz w:val="24"/>
          <w:lang w:eastAsia="zh-CN"/>
        </w:rPr>
      </w:pPr>
      <w:bookmarkStart w:id="17" w:name="_Hlk519765214"/>
      <w:r>
        <w:rPr>
          <w:rFonts w:hint="eastAsia" w:asciiTheme="minorEastAsia" w:hAnsiTheme="minorEastAsia" w:eastAsiaTheme="minorEastAsia"/>
          <w:sz w:val="24"/>
          <w:lang w:eastAsia="zh-CN"/>
        </w:rPr>
        <w:t>住所地：</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41ACD3FB">
      <w:pPr>
        <w:snapToGrid w:val="0"/>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rPr>
        <w:t>法定代表人</w:t>
      </w:r>
      <w:r>
        <w:rPr>
          <w:rFonts w:hint="eastAsia" w:asciiTheme="minorEastAsia" w:hAnsiTheme="minorEastAsia" w:eastAsiaTheme="minorEastAsia"/>
          <w:sz w:val="24"/>
          <w:lang w:eastAsia="zh-CN"/>
        </w:rPr>
        <w:t>：</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18FE4675">
      <w:pPr>
        <w:snapToGrid w:val="0"/>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eastAsia="zh-CN"/>
        </w:rPr>
        <w:t>：</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353BE0DE">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1799CF88">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传真：</w:t>
      </w:r>
      <w:bookmarkEnd w:id="17"/>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00404F73">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邮箱：</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6EF8BC2E">
      <w:pPr>
        <w:snapToGrid w:val="0"/>
        <w:spacing w:line="360" w:lineRule="auto"/>
        <w:rPr>
          <w:rFonts w:asciiTheme="minorEastAsia" w:hAnsiTheme="minorEastAsia" w:eastAsiaTheme="minorEastAsia"/>
          <w:sz w:val="24"/>
          <w:u w:val="single"/>
        </w:rPr>
      </w:pPr>
      <w:r>
        <w:rPr>
          <w:rFonts w:hint="eastAsia" w:asciiTheme="minorEastAsia" w:hAnsiTheme="minorEastAsia" w:eastAsiaTheme="minorEastAsia"/>
          <w:sz w:val="24"/>
        </w:rPr>
        <w:t>通讯地址</w:t>
      </w:r>
      <w:r>
        <w:rPr>
          <w:rFonts w:hint="eastAsia" w:asciiTheme="minorEastAsia" w:hAnsiTheme="minorEastAsia" w:eastAsiaTheme="minorEastAsia"/>
          <w:sz w:val="24"/>
          <w:lang w:eastAsia="zh-CN"/>
        </w:rPr>
        <w:t>：</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3CCB86A0">
      <w:pPr>
        <w:snapToGrid w:val="0"/>
        <w:spacing w:line="360" w:lineRule="auto"/>
        <w:rPr>
          <w:rFonts w:asciiTheme="minorEastAsia" w:hAnsiTheme="minorEastAsia" w:eastAsiaTheme="minorEastAsia"/>
          <w:bCs/>
          <w:sz w:val="24"/>
          <w:u w:val="single"/>
          <w:lang w:eastAsia="zh-CN"/>
        </w:rPr>
      </w:pPr>
    </w:p>
    <w:p w14:paraId="18C9B63F">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乙方：</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2228116C">
      <w:pPr>
        <w:snapToGrid w:val="0"/>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lang w:eastAsia="zh-CN"/>
        </w:rPr>
        <w:t>住所地：</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155203D6">
      <w:pPr>
        <w:snapToGrid w:val="0"/>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rPr>
        <w:t>法定代表人</w:t>
      </w:r>
      <w:r>
        <w:rPr>
          <w:rFonts w:hint="eastAsia" w:asciiTheme="minorEastAsia" w:hAnsiTheme="minorEastAsia" w:eastAsiaTheme="minorEastAsia"/>
          <w:sz w:val="24"/>
          <w:lang w:eastAsia="zh-CN"/>
        </w:rPr>
        <w:t>：</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427457E8">
      <w:pPr>
        <w:snapToGrid w:val="0"/>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rPr>
        <w:t>联系人</w:t>
      </w:r>
      <w:r>
        <w:rPr>
          <w:rFonts w:hint="eastAsia" w:asciiTheme="minorEastAsia" w:hAnsiTheme="minorEastAsia" w:eastAsiaTheme="minorEastAsia"/>
          <w:sz w:val="24"/>
          <w:lang w:eastAsia="zh-CN"/>
        </w:rPr>
        <w:t>：</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5201F550">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4FE8CD24">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传真：</w:t>
      </w:r>
      <w:r>
        <w:rPr>
          <w:rFonts w:asciiTheme="minorEastAsia" w:hAnsiTheme="minorEastAsia" w:eastAsiaTheme="minorEastAsia"/>
          <w:b/>
          <w:bCs/>
          <w:sz w:val="24"/>
        </w:rPr>
        <w:t xml:space="preserve"> </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5E8119F6">
      <w:pPr>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邮箱：</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4C94D444">
      <w:pPr>
        <w:snapToGrid w:val="0"/>
        <w:spacing w:line="360" w:lineRule="auto"/>
        <w:rPr>
          <w:rFonts w:asciiTheme="minorEastAsia" w:hAnsiTheme="minorEastAsia" w:eastAsiaTheme="minorEastAsia"/>
          <w:sz w:val="24"/>
          <w:lang w:eastAsia="zh-CN"/>
        </w:rPr>
      </w:pPr>
      <w:r>
        <w:rPr>
          <w:rFonts w:hint="eastAsia" w:asciiTheme="minorEastAsia" w:hAnsiTheme="minorEastAsia" w:eastAsiaTheme="minorEastAsia"/>
          <w:sz w:val="24"/>
        </w:rPr>
        <w:t>通讯地址</w:t>
      </w:r>
      <w:r>
        <w:rPr>
          <w:rFonts w:hint="eastAsia" w:asciiTheme="minorEastAsia" w:hAnsiTheme="minorEastAsia" w:eastAsiaTheme="minorEastAsia"/>
          <w:sz w:val="24"/>
          <w:lang w:eastAsia="zh-CN"/>
        </w:rPr>
        <w:t>：</w:t>
      </w:r>
      <w:r>
        <w:rPr>
          <w:rFonts w:asciiTheme="minorEastAsia" w:hAnsiTheme="minorEastAsia" w:eastAsiaTheme="minorEastAsia"/>
          <w:b/>
          <w:bCs/>
          <w:sz w:val="24"/>
        </w:rPr>
        <w:fldChar w:fldCharType="begin">
          <w:ffData>
            <w:name w:val="文字3"/>
            <w:enabled/>
            <w:calcOnExit w:val="0"/>
            <w:textInput/>
          </w:ffData>
        </w:fldChar>
      </w:r>
      <w:r>
        <w:rPr>
          <w:rFonts w:asciiTheme="minorEastAsia" w:hAnsiTheme="minorEastAsia" w:eastAsiaTheme="minorEastAsia"/>
          <w:b/>
          <w:bCs/>
          <w:sz w:val="24"/>
        </w:rPr>
        <w:instrText xml:space="preserve"> </w:instrText>
      </w:r>
      <w:r>
        <w:rPr>
          <w:rFonts w:hint="eastAsia" w:asciiTheme="minorEastAsia" w:hAnsiTheme="minorEastAsia" w:eastAsiaTheme="minorEastAsia"/>
          <w:b/>
          <w:bCs/>
          <w:sz w:val="24"/>
        </w:rPr>
        <w:instrText xml:space="preserve">FORMTEXT</w:instrText>
      </w:r>
      <w:r>
        <w:rPr>
          <w:rFonts w:asciiTheme="minorEastAsia" w:hAnsiTheme="minorEastAsia" w:eastAsiaTheme="minorEastAsia"/>
          <w:b/>
          <w:bCs/>
          <w:sz w:val="24"/>
        </w:rPr>
        <w:instrText xml:space="preserve"> </w:instrText>
      </w:r>
      <w:r>
        <w:rPr>
          <w:rFonts w:asciiTheme="minorEastAsia" w:hAnsiTheme="minorEastAsia" w:eastAsiaTheme="minorEastAsia"/>
          <w:b/>
          <w:bCs/>
          <w:sz w:val="24"/>
        </w:rPr>
        <w:fldChar w:fldCharType="separate"/>
      </w:r>
      <w:r>
        <w:rPr>
          <w:rFonts w:asciiTheme="minorEastAsia" w:hAnsiTheme="minorEastAsia" w:eastAsiaTheme="minorEastAsia"/>
          <w:b/>
          <w:bCs/>
          <w:sz w:val="24"/>
        </w:rPr>
        <w:t>     </w:t>
      </w:r>
      <w:r>
        <w:rPr>
          <w:rFonts w:asciiTheme="minorEastAsia" w:hAnsiTheme="minorEastAsia" w:eastAsiaTheme="minorEastAsia"/>
          <w:b/>
          <w:bCs/>
          <w:sz w:val="24"/>
        </w:rPr>
        <w:fldChar w:fldCharType="end"/>
      </w:r>
    </w:p>
    <w:p w14:paraId="15577D80">
      <w:pPr>
        <w:snapToGrid w:val="0"/>
        <w:spacing w:line="360" w:lineRule="auto"/>
        <w:rPr>
          <w:rFonts w:asciiTheme="minorEastAsia" w:hAnsiTheme="minorEastAsia" w:eastAsiaTheme="minorEastAsia"/>
          <w:bCs/>
          <w:sz w:val="24"/>
          <w:u w:val="single"/>
          <w:lang w:eastAsia="zh-CN"/>
        </w:rPr>
      </w:pPr>
    </w:p>
    <w:p w14:paraId="1AD845A1">
      <w:pPr>
        <w:widowControl/>
        <w:suppressAutoHyphens w:val="0"/>
        <w:autoSpaceDE w:val="0"/>
        <w:autoSpaceDN w:val="0"/>
        <w:spacing w:line="360" w:lineRule="auto"/>
        <w:ind w:firstLine="480" w:firstLineChars="200"/>
        <w:textAlignment w:val="bottom"/>
        <w:rPr>
          <w:rFonts w:asciiTheme="minorEastAsia" w:hAnsiTheme="minorEastAsia" w:eastAsiaTheme="minorEastAsia"/>
          <w:kern w:val="2"/>
          <w:sz w:val="24"/>
          <w:lang w:eastAsia="zh-CN"/>
        </w:rPr>
      </w:pPr>
      <w:r>
        <w:rPr>
          <w:rFonts w:hint="eastAsia" w:asciiTheme="minorEastAsia" w:hAnsiTheme="minorEastAsia" w:eastAsiaTheme="minorEastAsia"/>
          <w:kern w:val="2"/>
          <w:sz w:val="24"/>
          <w:lang w:eastAsia="zh-CN"/>
        </w:rPr>
        <w:t>甲乙双方根据</w:t>
      </w:r>
      <w:r>
        <w:rPr>
          <w:rFonts w:hint="eastAsia" w:ascii="宋体" w:hAnsi="宋体"/>
          <w:kern w:val="2"/>
          <w:sz w:val="24"/>
          <w:szCs w:val="24"/>
          <w:lang w:val="en-GB"/>
        </w:rPr>
        <w:t>《中华人民共和国民法典》及相关法律法规的规定</w:t>
      </w:r>
      <w:r>
        <w:rPr>
          <w:rFonts w:hint="eastAsia" w:asciiTheme="minorEastAsia" w:hAnsiTheme="minorEastAsia" w:eastAsiaTheme="minorEastAsia"/>
          <w:kern w:val="2"/>
          <w:sz w:val="24"/>
          <w:lang w:eastAsia="zh-CN"/>
        </w:rPr>
        <w:t>，本着“平等、自愿、诚实、信用”的原则，经双方友好协商，订立本采购合同。</w:t>
      </w:r>
    </w:p>
    <w:p w14:paraId="7EA4CC1E">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18" w:name="_Hlk12965013"/>
      <w:r>
        <w:rPr>
          <w:rFonts w:hint="eastAsia" w:ascii="宋体" w:hAnsi="宋体"/>
          <w:b/>
          <w:kern w:val="2"/>
          <w:sz w:val="24"/>
          <w:szCs w:val="24"/>
        </w:rPr>
        <w:t>货物内容、单位、数量及要求</w:t>
      </w:r>
    </w:p>
    <w:bookmarkEnd w:id="18"/>
    <w:p w14:paraId="075CFD51">
      <w:pPr>
        <w:pStyle w:val="16"/>
        <w:numPr>
          <w:ilvl w:val="1"/>
          <w:numId w:val="23"/>
        </w:numPr>
        <w:spacing w:line="360" w:lineRule="auto"/>
        <w:ind w:left="0" w:firstLine="567"/>
        <w:rPr>
          <w:rFonts w:asciiTheme="minorEastAsia" w:hAnsiTheme="minorEastAsia" w:eastAsiaTheme="minorEastAsia"/>
          <w:sz w:val="24"/>
        </w:rPr>
      </w:pPr>
      <w:r>
        <w:rPr>
          <w:rFonts w:hint="eastAsia" w:asciiTheme="minorEastAsia" w:hAnsiTheme="minorEastAsia" w:eastAsiaTheme="minorEastAsia"/>
          <w:sz w:val="24"/>
        </w:rPr>
        <w:t>货物基本内容</w:t>
      </w:r>
    </w:p>
    <w:tbl>
      <w:tblPr>
        <w:tblStyle w:val="36"/>
        <w:tblW w:w="911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7"/>
        <w:gridCol w:w="2050"/>
        <w:gridCol w:w="1494"/>
        <w:gridCol w:w="992"/>
        <w:gridCol w:w="1134"/>
        <w:gridCol w:w="1276"/>
        <w:gridCol w:w="1418"/>
      </w:tblGrid>
      <w:tr w14:paraId="782EF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747" w:type="dxa"/>
            <w:gridSpan w:val="2"/>
            <w:vAlign w:val="center"/>
          </w:tcPr>
          <w:p w14:paraId="0AFF3F06">
            <w:pPr>
              <w:keepNext w:val="0"/>
              <w:keepLines w:val="0"/>
              <w:suppressLineNumbers w:val="0"/>
              <w:spacing w:before="156" w:beforeLines="50" w:beforeAutospacing="0" w:after="0" w:afterAutospacing="0" w:line="360" w:lineRule="auto"/>
              <w:ind w:left="-210" w:leftChars="-100" w:right="0" w:firstLine="211" w:firstLineChars="88"/>
              <w:jc w:val="center"/>
              <w:rPr>
                <w:rFonts w:hint="default" w:asciiTheme="minorEastAsia" w:hAnsiTheme="minorEastAsia" w:eastAsiaTheme="minorEastAsia"/>
                <w:kern w:val="2"/>
                <w:sz w:val="24"/>
                <w:szCs w:val="20"/>
                <w:lang w:eastAsia="zh-CN"/>
              </w:rPr>
            </w:pPr>
            <w:r>
              <w:rPr>
                <w:rFonts w:hint="eastAsia" w:asciiTheme="minorEastAsia" w:hAnsiTheme="minorEastAsia" w:eastAsiaTheme="minorEastAsia"/>
                <w:kern w:val="2"/>
                <w:sz w:val="24"/>
                <w:szCs w:val="20"/>
                <w:lang w:eastAsia="zh-CN"/>
              </w:rPr>
              <w:t>序号</w:t>
            </w:r>
          </w:p>
        </w:tc>
        <w:tc>
          <w:tcPr>
            <w:tcW w:w="2050" w:type="dxa"/>
            <w:vAlign w:val="center"/>
          </w:tcPr>
          <w:p w14:paraId="1DBC8127">
            <w:pPr>
              <w:keepNext w:val="0"/>
              <w:keepLines w:val="0"/>
              <w:suppressLineNumbers w:val="0"/>
              <w:spacing w:before="156" w:beforeLines="50" w:beforeAutospacing="0" w:after="0" w:afterAutospacing="0" w:line="360" w:lineRule="auto"/>
              <w:ind w:left="-210" w:leftChars="-100" w:right="0" w:firstLine="211" w:firstLineChars="88"/>
              <w:jc w:val="center"/>
              <w:rPr>
                <w:rFonts w:hint="default" w:asciiTheme="minorEastAsia" w:hAnsiTheme="minorEastAsia" w:eastAsiaTheme="minorEastAsia"/>
                <w:kern w:val="2"/>
                <w:sz w:val="24"/>
                <w:szCs w:val="20"/>
                <w:lang w:eastAsia="zh-CN"/>
              </w:rPr>
            </w:pPr>
            <w:r>
              <w:rPr>
                <w:rFonts w:hint="eastAsia" w:asciiTheme="minorEastAsia" w:hAnsiTheme="minorEastAsia" w:eastAsiaTheme="minorEastAsia"/>
                <w:kern w:val="2"/>
                <w:sz w:val="24"/>
                <w:szCs w:val="20"/>
                <w:lang w:eastAsia="zh-CN"/>
              </w:rPr>
              <w:t>货物名称</w:t>
            </w:r>
          </w:p>
        </w:tc>
        <w:tc>
          <w:tcPr>
            <w:tcW w:w="1494" w:type="dxa"/>
            <w:vAlign w:val="center"/>
          </w:tcPr>
          <w:p w14:paraId="2086BA81">
            <w:pPr>
              <w:keepNext w:val="0"/>
              <w:keepLines w:val="0"/>
              <w:suppressLineNumbers w:val="0"/>
              <w:spacing w:before="156" w:beforeLines="50" w:beforeAutospacing="0" w:after="0" w:afterAutospacing="0" w:line="360" w:lineRule="auto"/>
              <w:ind w:left="-210" w:leftChars="-100" w:right="0" w:firstLine="211" w:firstLineChars="88"/>
              <w:jc w:val="center"/>
              <w:rPr>
                <w:rFonts w:hint="default" w:asciiTheme="minorEastAsia" w:hAnsiTheme="minorEastAsia" w:eastAsiaTheme="minorEastAsia"/>
                <w:kern w:val="2"/>
                <w:sz w:val="24"/>
                <w:szCs w:val="20"/>
                <w:lang w:eastAsia="zh-CN"/>
              </w:rPr>
            </w:pPr>
            <w:r>
              <w:rPr>
                <w:rFonts w:hint="eastAsia" w:asciiTheme="minorEastAsia" w:hAnsiTheme="minorEastAsia" w:eastAsiaTheme="minorEastAsia"/>
                <w:kern w:val="2"/>
                <w:sz w:val="24"/>
                <w:szCs w:val="20"/>
                <w:lang w:eastAsia="zh-CN"/>
              </w:rPr>
              <w:t>规格参数</w:t>
            </w:r>
          </w:p>
        </w:tc>
        <w:tc>
          <w:tcPr>
            <w:tcW w:w="992" w:type="dxa"/>
            <w:vAlign w:val="center"/>
          </w:tcPr>
          <w:p w14:paraId="177D7A03">
            <w:pPr>
              <w:keepNext w:val="0"/>
              <w:keepLines w:val="0"/>
              <w:suppressLineNumbers w:val="0"/>
              <w:spacing w:before="156" w:beforeLines="50" w:beforeAutospacing="0" w:after="0" w:afterAutospacing="0" w:line="360" w:lineRule="auto"/>
              <w:ind w:left="-210" w:leftChars="-100" w:right="0" w:firstLine="211" w:firstLineChars="88"/>
              <w:jc w:val="center"/>
              <w:rPr>
                <w:rFonts w:hint="default" w:asciiTheme="minorEastAsia" w:hAnsiTheme="minorEastAsia" w:eastAsiaTheme="minorEastAsia"/>
                <w:kern w:val="2"/>
                <w:sz w:val="24"/>
                <w:szCs w:val="20"/>
                <w:lang w:eastAsia="zh-CN"/>
              </w:rPr>
            </w:pPr>
            <w:r>
              <w:rPr>
                <w:rFonts w:hint="eastAsia" w:asciiTheme="minorEastAsia" w:hAnsiTheme="minorEastAsia" w:eastAsiaTheme="minorEastAsia"/>
                <w:kern w:val="2"/>
                <w:sz w:val="24"/>
                <w:szCs w:val="20"/>
                <w:lang w:eastAsia="zh-CN"/>
              </w:rPr>
              <w:t>数量</w:t>
            </w:r>
          </w:p>
        </w:tc>
        <w:tc>
          <w:tcPr>
            <w:tcW w:w="1134" w:type="dxa"/>
            <w:vAlign w:val="center"/>
          </w:tcPr>
          <w:p w14:paraId="0F205C96">
            <w:pPr>
              <w:keepNext w:val="0"/>
              <w:keepLines w:val="0"/>
              <w:suppressLineNumbers w:val="0"/>
              <w:spacing w:before="156" w:beforeLines="50" w:beforeAutospacing="0" w:after="0" w:afterAutospacing="0" w:line="360" w:lineRule="auto"/>
              <w:ind w:left="-210" w:leftChars="-100" w:right="0" w:firstLine="184" w:firstLineChars="88"/>
              <w:jc w:val="center"/>
              <w:rPr>
                <w:rFonts w:hint="default" w:asciiTheme="minorEastAsia" w:hAnsiTheme="minorEastAsia" w:eastAsiaTheme="minorEastAsia"/>
                <w:kern w:val="2"/>
                <w:sz w:val="24"/>
                <w:szCs w:val="20"/>
                <w:lang w:eastAsia="zh-CN"/>
              </w:rPr>
            </w:pPr>
            <w:r>
              <w:rPr>
                <w:rFonts w:hint="eastAsia"/>
                <w:lang w:eastAsia="zh-CN"/>
              </w:rPr>
              <w:t>含税单价（元）</w:t>
            </w:r>
          </w:p>
        </w:tc>
        <w:tc>
          <w:tcPr>
            <w:tcW w:w="1276" w:type="dxa"/>
            <w:vAlign w:val="center"/>
          </w:tcPr>
          <w:p w14:paraId="1F6A8981">
            <w:pPr>
              <w:keepNext w:val="0"/>
              <w:keepLines w:val="0"/>
              <w:suppressLineNumbers w:val="0"/>
              <w:spacing w:before="156" w:beforeLines="50" w:beforeAutospacing="0" w:after="0" w:afterAutospacing="0" w:line="360" w:lineRule="auto"/>
              <w:ind w:left="-210" w:leftChars="-100" w:right="0" w:firstLine="184" w:firstLineChars="88"/>
              <w:jc w:val="center"/>
              <w:rPr>
                <w:rFonts w:hint="default" w:asciiTheme="minorEastAsia" w:hAnsiTheme="minorEastAsia" w:eastAsiaTheme="minorEastAsia"/>
                <w:kern w:val="2"/>
                <w:sz w:val="24"/>
                <w:szCs w:val="20"/>
                <w:lang w:eastAsia="zh-CN"/>
              </w:rPr>
            </w:pPr>
            <w:r>
              <w:rPr>
                <w:rFonts w:hint="eastAsia"/>
                <w:lang w:eastAsia="zh-CN"/>
              </w:rPr>
              <w:t>总价</w:t>
            </w:r>
            <w:r>
              <w:rPr>
                <w:rFonts w:hint="cs"/>
                <w:lang w:eastAsia="zh-CN"/>
              </w:rPr>
              <w:t xml:space="preserve"> </w:t>
            </w:r>
            <w:r>
              <w:rPr>
                <w:rFonts w:hint="default"/>
                <w:lang w:eastAsia="zh-CN"/>
              </w:rPr>
              <w:t xml:space="preserve">  </w:t>
            </w:r>
            <w:r>
              <w:rPr>
                <w:rFonts w:hint="eastAsia"/>
                <w:lang w:eastAsia="zh-CN"/>
              </w:rPr>
              <w:t>（元）</w:t>
            </w:r>
          </w:p>
        </w:tc>
        <w:tc>
          <w:tcPr>
            <w:tcW w:w="1418" w:type="dxa"/>
            <w:vAlign w:val="center"/>
          </w:tcPr>
          <w:p w14:paraId="4C9E4B89">
            <w:pPr>
              <w:keepNext w:val="0"/>
              <w:keepLines w:val="0"/>
              <w:suppressLineNumbers w:val="0"/>
              <w:spacing w:before="156" w:beforeLines="50" w:beforeAutospacing="0" w:after="0" w:afterAutospacing="0" w:line="360" w:lineRule="auto"/>
              <w:ind w:left="-210" w:leftChars="-100" w:right="0" w:firstLine="211" w:firstLineChars="88"/>
              <w:jc w:val="center"/>
              <w:rPr>
                <w:rFonts w:hint="default" w:asciiTheme="minorEastAsia" w:hAnsiTheme="minorEastAsia" w:eastAsiaTheme="minorEastAsia"/>
                <w:kern w:val="2"/>
                <w:sz w:val="24"/>
                <w:szCs w:val="20"/>
                <w:lang w:eastAsia="zh-CN"/>
              </w:rPr>
            </w:pPr>
            <w:r>
              <w:rPr>
                <w:rFonts w:hint="eastAsia" w:asciiTheme="minorEastAsia" w:hAnsiTheme="minorEastAsia" w:eastAsiaTheme="minorEastAsia"/>
                <w:kern w:val="2"/>
                <w:sz w:val="24"/>
                <w:szCs w:val="20"/>
                <w:lang w:eastAsia="zh-CN"/>
              </w:rPr>
              <w:t>品牌</w:t>
            </w:r>
          </w:p>
        </w:tc>
      </w:tr>
      <w:tr w14:paraId="565B1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47" w:type="dxa"/>
            <w:gridSpan w:val="2"/>
            <w:vAlign w:val="center"/>
          </w:tcPr>
          <w:p w14:paraId="12780A22">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2050" w:type="dxa"/>
            <w:vAlign w:val="center"/>
          </w:tcPr>
          <w:p w14:paraId="6A973279">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494" w:type="dxa"/>
            <w:vAlign w:val="center"/>
          </w:tcPr>
          <w:p w14:paraId="17149800">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992" w:type="dxa"/>
            <w:vAlign w:val="center"/>
          </w:tcPr>
          <w:p w14:paraId="3BFA59CC">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134" w:type="dxa"/>
            <w:vAlign w:val="center"/>
          </w:tcPr>
          <w:p w14:paraId="45791E85">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276" w:type="dxa"/>
            <w:vAlign w:val="center"/>
          </w:tcPr>
          <w:p w14:paraId="35DBCBDF">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418" w:type="dxa"/>
            <w:vAlign w:val="center"/>
          </w:tcPr>
          <w:p w14:paraId="554A5FA7">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r>
      <w:tr w14:paraId="5A34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47" w:type="dxa"/>
            <w:gridSpan w:val="2"/>
            <w:vAlign w:val="center"/>
          </w:tcPr>
          <w:p w14:paraId="425C134F">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2050" w:type="dxa"/>
            <w:vAlign w:val="center"/>
          </w:tcPr>
          <w:p w14:paraId="4080C90E">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494" w:type="dxa"/>
            <w:vAlign w:val="center"/>
          </w:tcPr>
          <w:p w14:paraId="14943B38">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992" w:type="dxa"/>
            <w:vAlign w:val="center"/>
          </w:tcPr>
          <w:p w14:paraId="1BBBB2CC">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134" w:type="dxa"/>
            <w:vAlign w:val="center"/>
          </w:tcPr>
          <w:p w14:paraId="484BFB60">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276" w:type="dxa"/>
            <w:vAlign w:val="center"/>
          </w:tcPr>
          <w:p w14:paraId="0E217D25">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418" w:type="dxa"/>
            <w:vAlign w:val="center"/>
          </w:tcPr>
          <w:p w14:paraId="6B7A0BFC">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r>
      <w:tr w14:paraId="1364A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47" w:type="dxa"/>
            <w:gridSpan w:val="2"/>
            <w:vAlign w:val="center"/>
          </w:tcPr>
          <w:p w14:paraId="0AC5F5A6">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2050" w:type="dxa"/>
            <w:vAlign w:val="center"/>
          </w:tcPr>
          <w:p w14:paraId="6C3ABA55">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494" w:type="dxa"/>
            <w:vAlign w:val="center"/>
          </w:tcPr>
          <w:p w14:paraId="44BA01F6">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992" w:type="dxa"/>
            <w:vAlign w:val="center"/>
          </w:tcPr>
          <w:p w14:paraId="28388CB6">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134" w:type="dxa"/>
            <w:vAlign w:val="center"/>
          </w:tcPr>
          <w:p w14:paraId="79333AF7">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276" w:type="dxa"/>
            <w:vAlign w:val="center"/>
          </w:tcPr>
          <w:p w14:paraId="338C0359">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c>
          <w:tcPr>
            <w:tcW w:w="1418" w:type="dxa"/>
            <w:vAlign w:val="center"/>
          </w:tcPr>
          <w:p w14:paraId="0AB69F89">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p>
        </w:tc>
      </w:tr>
      <w:tr w14:paraId="519FE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797" w:type="dxa"/>
            <w:gridSpan w:val="3"/>
            <w:vAlign w:val="center"/>
          </w:tcPr>
          <w:p w14:paraId="59B3E6B2">
            <w:pPr>
              <w:keepNext w:val="0"/>
              <w:keepLines w:val="0"/>
              <w:suppressLineNumbers w:val="0"/>
              <w:spacing w:before="156" w:beforeLines="50" w:beforeAutospacing="0" w:after="0" w:afterAutospacing="0" w:line="360" w:lineRule="auto"/>
              <w:ind w:left="-210" w:leftChars="-100" w:right="0" w:firstLine="211" w:firstLineChars="88"/>
              <w:jc w:val="center"/>
              <w:rPr>
                <w:rFonts w:hint="default" w:asciiTheme="minorEastAsia" w:hAnsiTheme="minorEastAsia" w:eastAsiaTheme="minorEastAsia"/>
                <w:kern w:val="2"/>
                <w:sz w:val="24"/>
                <w:szCs w:val="20"/>
                <w:lang w:eastAsia="zh-CN"/>
              </w:rPr>
            </w:pPr>
            <w:r>
              <w:rPr>
                <w:rFonts w:hint="eastAsia" w:asciiTheme="minorEastAsia" w:hAnsiTheme="minorEastAsia" w:eastAsiaTheme="minorEastAsia"/>
                <w:kern w:val="2"/>
                <w:sz w:val="24"/>
                <w:szCs w:val="20"/>
                <w:lang w:eastAsia="zh-CN"/>
              </w:rPr>
              <w:t>合计</w:t>
            </w:r>
          </w:p>
        </w:tc>
        <w:tc>
          <w:tcPr>
            <w:tcW w:w="6314" w:type="dxa"/>
            <w:gridSpan w:val="5"/>
            <w:vAlign w:val="center"/>
          </w:tcPr>
          <w:p w14:paraId="2D47EF1D">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r>
              <w:rPr>
                <w:rFonts w:hint="default" w:asciiTheme="minorEastAsia" w:hAnsiTheme="minorEastAsia" w:eastAsiaTheme="minorEastAsia"/>
                <w:kern w:val="2"/>
                <w:sz w:val="24"/>
                <w:szCs w:val="20"/>
                <w:lang w:eastAsia="zh-CN"/>
              </w:rPr>
              <w:fldChar w:fldCharType="begin">
                <w:ffData>
                  <w:name w:val="文字3"/>
                  <w:enabled/>
                  <w:calcOnExit w:val="0"/>
                  <w:textInput/>
                </w:ffData>
              </w:fldChar>
            </w:r>
            <w:r>
              <w:rPr>
                <w:rFonts w:hint="default" w:asciiTheme="minorEastAsia" w:hAnsiTheme="minorEastAsia" w:eastAsiaTheme="minorEastAsia"/>
                <w:kern w:val="2"/>
                <w:sz w:val="24"/>
                <w:szCs w:val="20"/>
                <w:lang w:eastAsia="zh-CN"/>
              </w:rPr>
              <w:instrText xml:space="preserve"> </w:instrText>
            </w:r>
            <w:r>
              <w:rPr>
                <w:rFonts w:hint="eastAsia" w:asciiTheme="minorEastAsia" w:hAnsiTheme="minorEastAsia" w:eastAsiaTheme="minorEastAsia"/>
                <w:kern w:val="2"/>
                <w:sz w:val="24"/>
                <w:szCs w:val="20"/>
                <w:lang w:eastAsia="zh-CN"/>
              </w:rPr>
              <w:instrText xml:space="preserve">FORMTEXT</w:instrText>
            </w:r>
            <w:r>
              <w:rPr>
                <w:rFonts w:hint="default" w:asciiTheme="minorEastAsia" w:hAnsiTheme="minorEastAsia" w:eastAsiaTheme="minorEastAsia"/>
                <w:kern w:val="2"/>
                <w:sz w:val="24"/>
                <w:szCs w:val="20"/>
                <w:lang w:eastAsia="zh-CN"/>
              </w:rPr>
              <w:instrText xml:space="preserve"> </w:instrText>
            </w:r>
            <w:r>
              <w:rPr>
                <w:rFonts w:hint="default" w:asciiTheme="minorEastAsia" w:hAnsiTheme="minorEastAsia" w:eastAsiaTheme="minorEastAsia"/>
                <w:kern w:val="2"/>
                <w:sz w:val="24"/>
                <w:szCs w:val="20"/>
                <w:lang w:eastAsia="zh-CN"/>
              </w:rPr>
              <w:fldChar w:fldCharType="separate"/>
            </w:r>
            <w:r>
              <w:rPr>
                <w:rFonts w:hint="default" w:asciiTheme="minorEastAsia" w:hAnsiTheme="minorEastAsia" w:eastAsiaTheme="minorEastAsia"/>
                <w:kern w:val="2"/>
                <w:sz w:val="24"/>
                <w:szCs w:val="20"/>
                <w:lang w:eastAsia="zh-CN"/>
              </w:rPr>
              <w:t>     </w:t>
            </w:r>
            <w:r>
              <w:rPr>
                <w:rFonts w:hint="default" w:asciiTheme="minorEastAsia" w:hAnsiTheme="minorEastAsia" w:eastAsiaTheme="minorEastAsia"/>
                <w:kern w:val="2"/>
                <w:sz w:val="24"/>
                <w:szCs w:val="20"/>
                <w:lang w:eastAsia="zh-CN"/>
              </w:rPr>
              <w:fldChar w:fldCharType="end"/>
            </w:r>
            <w:r>
              <w:rPr>
                <w:rFonts w:hint="eastAsia" w:asciiTheme="minorEastAsia" w:hAnsiTheme="minorEastAsia" w:eastAsiaTheme="minorEastAsia"/>
                <w:kern w:val="2"/>
                <w:sz w:val="24"/>
                <w:szCs w:val="20"/>
                <w:lang w:eastAsia="zh-CN"/>
              </w:rPr>
              <w:t>元  （含税）</w:t>
            </w:r>
            <w:r>
              <w:rPr>
                <w:rFonts w:hint="eastAsia" w:asciiTheme="minorEastAsia" w:hAnsiTheme="minorEastAsia" w:eastAsiaTheme="minorEastAsia"/>
                <w:sz w:val="24"/>
                <w:szCs w:val="20"/>
                <w:lang w:eastAsia="zh-CN"/>
              </w:rPr>
              <w:t>提供发票种类：增值税</w:t>
            </w:r>
            <w:r>
              <w:rPr>
                <w:rFonts w:hint="default" w:asciiTheme="minorEastAsia" w:hAnsiTheme="minorEastAsia" w:eastAsiaTheme="minorEastAsia"/>
                <w:kern w:val="2"/>
                <w:sz w:val="24"/>
              </w:rPr>
              <w:fldChar w:fldCharType="begin">
                <w:ffData>
                  <w:name w:val="文字3"/>
                  <w:enabled/>
                  <w:calcOnExit w:val="0"/>
                  <w:textInput/>
                </w:ffData>
              </w:fldChar>
            </w:r>
            <w:r>
              <w:rPr>
                <w:rFonts w:hint="default" w:asciiTheme="minorEastAsia" w:hAnsiTheme="minorEastAsia" w:eastAsiaTheme="minorEastAsia"/>
                <w:kern w:val="2"/>
                <w:sz w:val="24"/>
              </w:rPr>
              <w:instrText xml:space="preserve"> </w:instrText>
            </w:r>
            <w:r>
              <w:rPr>
                <w:rFonts w:hint="eastAsia" w:asciiTheme="minorEastAsia" w:hAnsiTheme="minorEastAsia" w:eastAsiaTheme="minorEastAsia"/>
                <w:kern w:val="2"/>
                <w:sz w:val="24"/>
              </w:rPr>
              <w:instrText xml:space="preserve">FORMTEXT</w:instrText>
            </w:r>
            <w:r>
              <w:rPr>
                <w:rFonts w:hint="default" w:asciiTheme="minorEastAsia" w:hAnsiTheme="minorEastAsia" w:eastAsiaTheme="minorEastAsia"/>
                <w:kern w:val="2"/>
                <w:sz w:val="24"/>
              </w:rPr>
              <w:instrText xml:space="preserve"> </w:instrText>
            </w:r>
            <w:r>
              <w:rPr>
                <w:rFonts w:hint="default" w:asciiTheme="minorEastAsia" w:hAnsiTheme="minorEastAsia" w:eastAsiaTheme="minorEastAsia"/>
                <w:kern w:val="2"/>
                <w:sz w:val="24"/>
              </w:rPr>
              <w:fldChar w:fldCharType="separate"/>
            </w:r>
            <w:r>
              <w:rPr>
                <w:rFonts w:hint="default"/>
              </w:rPr>
              <w:t>     </w:t>
            </w:r>
            <w:r>
              <w:rPr>
                <w:rFonts w:hint="default" w:asciiTheme="minorEastAsia" w:hAnsiTheme="minorEastAsia" w:eastAsiaTheme="minorEastAsia"/>
                <w:kern w:val="2"/>
                <w:sz w:val="24"/>
              </w:rPr>
              <w:fldChar w:fldCharType="end"/>
            </w:r>
            <w:r>
              <w:rPr>
                <w:rFonts w:hint="eastAsia" w:asciiTheme="minorEastAsia" w:hAnsiTheme="minorEastAsia" w:eastAsiaTheme="minorEastAsia"/>
                <w:sz w:val="24"/>
                <w:szCs w:val="20"/>
                <w:lang w:eastAsia="zh-CN"/>
              </w:rPr>
              <w:t>发票</w:t>
            </w:r>
            <w:r>
              <w:rPr>
                <w:rFonts w:hint="eastAsia" w:asciiTheme="minorEastAsia" w:hAnsiTheme="minorEastAsia" w:eastAsiaTheme="minorEastAsia"/>
                <w:sz w:val="24"/>
                <w:szCs w:val="20"/>
                <w:lang w:val="en-US" w:eastAsia="zh-CN"/>
              </w:rPr>
              <w:t xml:space="preserve"> 税率：</w:t>
            </w:r>
            <w:r>
              <w:rPr>
                <w:rFonts w:hint="eastAsia" w:asciiTheme="minorEastAsia" w:hAnsiTheme="minorEastAsia" w:eastAsiaTheme="minorEastAsia"/>
                <w:sz w:val="24"/>
                <w:szCs w:val="20"/>
                <w:u w:val="single"/>
                <w:lang w:val="en-US" w:eastAsia="zh-CN"/>
              </w:rPr>
              <w:t xml:space="preserve"> %</w:t>
            </w:r>
          </w:p>
        </w:tc>
      </w:tr>
      <w:tr w14:paraId="6C3C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40" w:type="dxa"/>
            <w:vAlign w:val="center"/>
          </w:tcPr>
          <w:p w14:paraId="223DDF75">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r>
              <w:rPr>
                <w:rFonts w:hint="eastAsia" w:asciiTheme="minorEastAsia" w:hAnsiTheme="minorEastAsia" w:eastAsiaTheme="minorEastAsia"/>
                <w:kern w:val="2"/>
                <w:sz w:val="24"/>
                <w:szCs w:val="20"/>
                <w:lang w:eastAsia="zh-CN"/>
              </w:rPr>
              <w:t>备注</w:t>
            </w:r>
          </w:p>
        </w:tc>
        <w:tc>
          <w:tcPr>
            <w:tcW w:w="8371" w:type="dxa"/>
            <w:gridSpan w:val="7"/>
            <w:vAlign w:val="center"/>
          </w:tcPr>
          <w:p w14:paraId="6DC643C1">
            <w:pPr>
              <w:keepNext w:val="0"/>
              <w:keepLines w:val="0"/>
              <w:suppressLineNumbers w:val="0"/>
              <w:spacing w:before="156" w:beforeLines="50" w:beforeAutospacing="0" w:after="0" w:afterAutospacing="0" w:line="360" w:lineRule="auto"/>
              <w:ind w:left="-210" w:leftChars="-100" w:right="0" w:firstLine="211" w:firstLineChars="88"/>
              <w:rPr>
                <w:rFonts w:hint="default" w:asciiTheme="minorEastAsia" w:hAnsiTheme="minorEastAsia" w:eastAsiaTheme="minorEastAsia"/>
                <w:kern w:val="2"/>
                <w:sz w:val="24"/>
                <w:szCs w:val="20"/>
                <w:lang w:eastAsia="zh-CN"/>
              </w:rPr>
            </w:pPr>
            <w:r>
              <w:rPr>
                <w:rFonts w:hint="default" w:asciiTheme="minorEastAsia" w:hAnsiTheme="minorEastAsia" w:eastAsiaTheme="minorEastAsia"/>
                <w:kern w:val="2"/>
                <w:sz w:val="24"/>
                <w:szCs w:val="20"/>
                <w:lang w:eastAsia="zh-CN"/>
              </w:rPr>
              <w:fldChar w:fldCharType="begin">
                <w:ffData>
                  <w:name w:val="文字3"/>
                  <w:enabled/>
                  <w:calcOnExit w:val="0"/>
                  <w:textInput/>
                </w:ffData>
              </w:fldChar>
            </w:r>
            <w:r>
              <w:rPr>
                <w:rFonts w:hint="default" w:asciiTheme="minorEastAsia" w:hAnsiTheme="minorEastAsia" w:eastAsiaTheme="minorEastAsia"/>
                <w:kern w:val="2"/>
                <w:sz w:val="24"/>
                <w:szCs w:val="20"/>
                <w:lang w:eastAsia="zh-CN"/>
              </w:rPr>
              <w:instrText xml:space="preserve"> </w:instrText>
            </w:r>
            <w:r>
              <w:rPr>
                <w:rFonts w:hint="eastAsia" w:asciiTheme="minorEastAsia" w:hAnsiTheme="minorEastAsia" w:eastAsiaTheme="minorEastAsia"/>
                <w:kern w:val="2"/>
                <w:sz w:val="24"/>
                <w:szCs w:val="20"/>
                <w:lang w:eastAsia="zh-CN"/>
              </w:rPr>
              <w:instrText xml:space="preserve">FORMTEXT</w:instrText>
            </w:r>
            <w:r>
              <w:rPr>
                <w:rFonts w:hint="default" w:asciiTheme="minorEastAsia" w:hAnsiTheme="minorEastAsia" w:eastAsiaTheme="minorEastAsia"/>
                <w:kern w:val="2"/>
                <w:sz w:val="24"/>
                <w:szCs w:val="20"/>
                <w:lang w:eastAsia="zh-CN"/>
              </w:rPr>
              <w:instrText xml:space="preserve"> </w:instrText>
            </w:r>
            <w:r>
              <w:rPr>
                <w:rFonts w:hint="default" w:asciiTheme="minorEastAsia" w:hAnsiTheme="minorEastAsia" w:eastAsiaTheme="minorEastAsia"/>
                <w:kern w:val="2"/>
                <w:sz w:val="24"/>
                <w:szCs w:val="20"/>
                <w:lang w:eastAsia="zh-CN"/>
              </w:rPr>
              <w:fldChar w:fldCharType="separate"/>
            </w:r>
            <w:r>
              <w:rPr>
                <w:rFonts w:hint="default" w:asciiTheme="minorEastAsia" w:hAnsiTheme="minorEastAsia" w:eastAsiaTheme="minorEastAsia"/>
                <w:kern w:val="2"/>
                <w:sz w:val="24"/>
                <w:szCs w:val="20"/>
                <w:lang w:eastAsia="zh-CN"/>
              </w:rPr>
              <w:t>     </w:t>
            </w:r>
            <w:r>
              <w:rPr>
                <w:rFonts w:hint="default" w:asciiTheme="minorEastAsia" w:hAnsiTheme="minorEastAsia" w:eastAsiaTheme="minorEastAsia"/>
                <w:kern w:val="2"/>
                <w:sz w:val="24"/>
                <w:szCs w:val="20"/>
                <w:lang w:eastAsia="zh-CN"/>
              </w:rPr>
              <w:fldChar w:fldCharType="end"/>
            </w:r>
          </w:p>
        </w:tc>
      </w:tr>
    </w:tbl>
    <w:p w14:paraId="31377B39">
      <w:pPr>
        <w:suppressAutoHyphens w:val="0"/>
        <w:spacing w:line="360" w:lineRule="auto"/>
        <w:rPr>
          <w:rFonts w:asciiTheme="minorEastAsia" w:hAnsiTheme="minorEastAsia" w:eastAsiaTheme="minorEastAsia"/>
          <w:lang w:eastAsia="zh-CN"/>
        </w:rPr>
      </w:pPr>
    </w:p>
    <w:p w14:paraId="5CA0CFF0">
      <w:pPr>
        <w:pStyle w:val="59"/>
        <w:numPr>
          <w:ilvl w:val="2"/>
          <w:numId w:val="24"/>
        </w:numPr>
        <w:tabs>
          <w:tab w:val="left" w:pos="1418"/>
        </w:tabs>
        <w:spacing w:line="360" w:lineRule="auto"/>
        <w:ind w:left="0" w:firstLine="567" w:firstLineChars="0"/>
        <w:rPr>
          <w:rFonts w:asciiTheme="minorEastAsia" w:hAnsiTheme="minorEastAsia" w:eastAsiaTheme="minorEastAsia"/>
          <w:kern w:val="2"/>
          <w:sz w:val="24"/>
        </w:rPr>
      </w:pPr>
      <w:r>
        <w:rPr>
          <w:rFonts w:hint="eastAsia" w:asciiTheme="minorEastAsia" w:hAnsiTheme="minorEastAsia" w:eastAsiaTheme="minorEastAsia"/>
          <w:kern w:val="2"/>
          <w:sz w:val="24"/>
        </w:rPr>
        <w:t>合同总额（含税）人民币小写：¥ 【</w:t>
      </w:r>
      <w:r>
        <w:rPr>
          <w:rFonts w:asciiTheme="minorEastAsia" w:hAnsiTheme="minorEastAsia" w:eastAsiaTheme="minorEastAsia"/>
          <w:kern w:val="2"/>
          <w:sz w:val="24"/>
        </w:rPr>
        <w:fldChar w:fldCharType="begin">
          <w:ffData>
            <w:name w:val="文字3"/>
            <w:enabled/>
            <w:calcOnExit w:val="0"/>
            <w:textInput/>
          </w:ffData>
        </w:fldChar>
      </w:r>
      <w:r>
        <w:rPr>
          <w:rFonts w:asciiTheme="minorEastAsia" w:hAnsiTheme="minorEastAsia" w:eastAsiaTheme="minorEastAsia"/>
          <w:kern w:val="2"/>
          <w:sz w:val="24"/>
        </w:rPr>
        <w:instrText xml:space="preserve"> </w:instrText>
      </w:r>
      <w:r>
        <w:rPr>
          <w:rFonts w:hint="eastAsia" w:asciiTheme="minorEastAsia" w:hAnsiTheme="minorEastAsia" w:eastAsiaTheme="minorEastAsia"/>
          <w:kern w:val="2"/>
          <w:sz w:val="24"/>
        </w:rPr>
        <w:instrText xml:space="preserve">FORMTEXT</w:instrText>
      </w:r>
      <w:r>
        <w:rPr>
          <w:rFonts w:asciiTheme="minorEastAsia" w:hAnsiTheme="minorEastAsia" w:eastAsiaTheme="minorEastAsia"/>
          <w:kern w:val="2"/>
          <w:sz w:val="24"/>
        </w:rPr>
        <w:instrText xml:space="preserve"> </w:instrText>
      </w:r>
      <w:r>
        <w:rPr>
          <w:rFonts w:asciiTheme="minorEastAsia" w:hAnsiTheme="minorEastAsia" w:eastAsiaTheme="minorEastAsia"/>
          <w:kern w:val="2"/>
          <w:sz w:val="24"/>
        </w:rPr>
        <w:fldChar w:fldCharType="separate"/>
      </w:r>
      <w:r>
        <w:t>     </w:t>
      </w:r>
      <w:r>
        <w:rPr>
          <w:rFonts w:asciiTheme="minorEastAsia" w:hAnsiTheme="minorEastAsia" w:eastAsiaTheme="minorEastAsia"/>
          <w:kern w:val="2"/>
          <w:sz w:val="24"/>
        </w:rPr>
        <w:fldChar w:fldCharType="end"/>
      </w:r>
      <w:r>
        <w:rPr>
          <w:rFonts w:hint="eastAsia" w:asciiTheme="minorEastAsia" w:hAnsiTheme="minorEastAsia" w:eastAsiaTheme="minorEastAsia"/>
          <w:kern w:val="2"/>
          <w:sz w:val="24"/>
        </w:rPr>
        <w:t>】元（大写：</w:t>
      </w:r>
      <w:r>
        <w:rPr>
          <w:rFonts w:asciiTheme="minorEastAsia" w:hAnsiTheme="minorEastAsia" w:eastAsiaTheme="minorEastAsia"/>
          <w:kern w:val="2"/>
          <w:sz w:val="24"/>
        </w:rPr>
        <w:fldChar w:fldCharType="begin">
          <w:ffData>
            <w:name w:val="文字3"/>
            <w:enabled/>
            <w:calcOnExit w:val="0"/>
            <w:textInput/>
          </w:ffData>
        </w:fldChar>
      </w:r>
      <w:r>
        <w:rPr>
          <w:rFonts w:asciiTheme="minorEastAsia" w:hAnsiTheme="minorEastAsia" w:eastAsiaTheme="minorEastAsia"/>
          <w:kern w:val="2"/>
          <w:sz w:val="24"/>
        </w:rPr>
        <w:instrText xml:space="preserve"> </w:instrText>
      </w:r>
      <w:r>
        <w:rPr>
          <w:rFonts w:hint="eastAsia" w:asciiTheme="minorEastAsia" w:hAnsiTheme="minorEastAsia" w:eastAsiaTheme="minorEastAsia"/>
          <w:kern w:val="2"/>
          <w:sz w:val="24"/>
        </w:rPr>
        <w:instrText xml:space="preserve">FORMTEXT</w:instrText>
      </w:r>
      <w:r>
        <w:rPr>
          <w:rFonts w:asciiTheme="minorEastAsia" w:hAnsiTheme="minorEastAsia" w:eastAsiaTheme="minorEastAsia"/>
          <w:kern w:val="2"/>
          <w:sz w:val="24"/>
        </w:rPr>
        <w:instrText xml:space="preserve"> </w:instrText>
      </w:r>
      <w:r>
        <w:rPr>
          <w:rFonts w:asciiTheme="minorEastAsia" w:hAnsiTheme="minorEastAsia" w:eastAsiaTheme="minorEastAsia"/>
          <w:kern w:val="2"/>
          <w:sz w:val="24"/>
        </w:rPr>
        <w:fldChar w:fldCharType="separate"/>
      </w:r>
      <w:r>
        <w:t>     </w:t>
      </w:r>
      <w:r>
        <w:rPr>
          <w:rFonts w:asciiTheme="minorEastAsia" w:hAnsiTheme="minorEastAsia" w:eastAsiaTheme="minorEastAsia"/>
          <w:kern w:val="2"/>
          <w:sz w:val="24"/>
        </w:rPr>
        <w:fldChar w:fldCharType="end"/>
      </w:r>
      <w:r>
        <w:rPr>
          <w:rFonts w:hint="eastAsia" w:asciiTheme="minorEastAsia" w:hAnsiTheme="minorEastAsia" w:eastAsiaTheme="minorEastAsia"/>
          <w:kern w:val="2"/>
          <w:sz w:val="24"/>
        </w:rPr>
        <w:t>元整）</w:t>
      </w:r>
      <w:r>
        <w:rPr>
          <w:rFonts w:hint="eastAsia" w:asciiTheme="minorEastAsia" w:hAnsiTheme="minorEastAsia" w:eastAsiaTheme="minorEastAsia"/>
          <w:kern w:val="2"/>
          <w:sz w:val="24"/>
          <w:lang w:eastAsia="zh-CN"/>
        </w:rPr>
        <w:t>，</w:t>
      </w:r>
      <w:r>
        <w:rPr>
          <w:rFonts w:hint="eastAsia" w:asciiTheme="minorEastAsia" w:hAnsiTheme="minorEastAsia" w:eastAsiaTheme="minorEastAsia"/>
          <w:kern w:val="2"/>
          <w:sz w:val="24"/>
          <w:lang w:val="en-US" w:eastAsia="zh-CN"/>
        </w:rPr>
        <w:t>不含税金额为人民币</w:t>
      </w:r>
      <w:r>
        <w:rPr>
          <w:rFonts w:asciiTheme="minorEastAsia" w:hAnsiTheme="minorEastAsia" w:eastAsiaTheme="minorEastAsia"/>
          <w:kern w:val="2"/>
          <w:sz w:val="24"/>
        </w:rPr>
        <w:fldChar w:fldCharType="begin">
          <w:ffData>
            <w:name w:val="文字3"/>
            <w:enabled/>
            <w:calcOnExit w:val="0"/>
            <w:textInput/>
          </w:ffData>
        </w:fldChar>
      </w:r>
      <w:r>
        <w:rPr>
          <w:rFonts w:asciiTheme="minorEastAsia" w:hAnsiTheme="minorEastAsia" w:eastAsiaTheme="minorEastAsia"/>
          <w:kern w:val="2"/>
          <w:sz w:val="24"/>
        </w:rPr>
        <w:instrText xml:space="preserve"> </w:instrText>
      </w:r>
      <w:r>
        <w:rPr>
          <w:rFonts w:hint="eastAsia" w:asciiTheme="minorEastAsia" w:hAnsiTheme="minorEastAsia" w:eastAsiaTheme="minorEastAsia"/>
          <w:kern w:val="2"/>
          <w:sz w:val="24"/>
        </w:rPr>
        <w:instrText xml:space="preserve">FORMTEXT</w:instrText>
      </w:r>
      <w:r>
        <w:rPr>
          <w:rFonts w:asciiTheme="minorEastAsia" w:hAnsiTheme="minorEastAsia" w:eastAsiaTheme="minorEastAsia"/>
          <w:kern w:val="2"/>
          <w:sz w:val="24"/>
        </w:rPr>
        <w:instrText xml:space="preserve"> </w:instrText>
      </w:r>
      <w:r>
        <w:rPr>
          <w:rFonts w:asciiTheme="minorEastAsia" w:hAnsiTheme="minorEastAsia" w:eastAsiaTheme="minorEastAsia"/>
          <w:kern w:val="2"/>
          <w:sz w:val="24"/>
        </w:rPr>
        <w:fldChar w:fldCharType="separate"/>
      </w:r>
      <w:r>
        <w:t>     </w:t>
      </w:r>
      <w:r>
        <w:rPr>
          <w:rFonts w:asciiTheme="minorEastAsia" w:hAnsiTheme="minorEastAsia" w:eastAsiaTheme="minorEastAsia"/>
          <w:kern w:val="2"/>
          <w:sz w:val="24"/>
        </w:rPr>
        <w:fldChar w:fldCharType="end"/>
      </w:r>
      <w:r>
        <w:rPr>
          <w:rFonts w:hint="eastAsia" w:asciiTheme="minorEastAsia" w:hAnsiTheme="minorEastAsia" w:eastAsiaTheme="minorEastAsia"/>
          <w:kern w:val="2"/>
          <w:sz w:val="24"/>
          <w:lang w:val="en-US" w:eastAsia="zh-CN"/>
        </w:rPr>
        <w:t>元，税金金额为人民币</w:t>
      </w:r>
      <w:r>
        <w:rPr>
          <w:rFonts w:asciiTheme="minorEastAsia" w:hAnsiTheme="minorEastAsia" w:eastAsiaTheme="minorEastAsia"/>
          <w:kern w:val="2"/>
          <w:sz w:val="24"/>
        </w:rPr>
        <w:fldChar w:fldCharType="begin">
          <w:ffData>
            <w:name w:val="文字3"/>
            <w:enabled/>
            <w:calcOnExit w:val="0"/>
            <w:textInput/>
          </w:ffData>
        </w:fldChar>
      </w:r>
      <w:r>
        <w:rPr>
          <w:rFonts w:asciiTheme="minorEastAsia" w:hAnsiTheme="minorEastAsia" w:eastAsiaTheme="minorEastAsia"/>
          <w:kern w:val="2"/>
          <w:sz w:val="24"/>
        </w:rPr>
        <w:instrText xml:space="preserve"> </w:instrText>
      </w:r>
      <w:r>
        <w:rPr>
          <w:rFonts w:hint="eastAsia" w:asciiTheme="minorEastAsia" w:hAnsiTheme="minorEastAsia" w:eastAsiaTheme="minorEastAsia"/>
          <w:kern w:val="2"/>
          <w:sz w:val="24"/>
        </w:rPr>
        <w:instrText xml:space="preserve">FORMTEXT</w:instrText>
      </w:r>
      <w:r>
        <w:rPr>
          <w:rFonts w:asciiTheme="minorEastAsia" w:hAnsiTheme="minorEastAsia" w:eastAsiaTheme="minorEastAsia"/>
          <w:kern w:val="2"/>
          <w:sz w:val="24"/>
        </w:rPr>
        <w:instrText xml:space="preserve"> </w:instrText>
      </w:r>
      <w:r>
        <w:rPr>
          <w:rFonts w:asciiTheme="minorEastAsia" w:hAnsiTheme="minorEastAsia" w:eastAsiaTheme="minorEastAsia"/>
          <w:kern w:val="2"/>
          <w:sz w:val="24"/>
        </w:rPr>
        <w:fldChar w:fldCharType="separate"/>
      </w:r>
      <w:r>
        <w:t>     </w:t>
      </w:r>
      <w:r>
        <w:rPr>
          <w:rFonts w:asciiTheme="minorEastAsia" w:hAnsiTheme="minorEastAsia" w:eastAsiaTheme="minorEastAsia"/>
          <w:kern w:val="2"/>
          <w:sz w:val="24"/>
        </w:rPr>
        <w:fldChar w:fldCharType="end"/>
      </w:r>
      <w:r>
        <w:rPr>
          <w:rFonts w:hint="eastAsia" w:asciiTheme="minorEastAsia" w:hAnsiTheme="minorEastAsia" w:eastAsiaTheme="minorEastAsia"/>
          <w:kern w:val="2"/>
          <w:sz w:val="24"/>
          <w:lang w:val="en-US" w:eastAsia="zh-CN"/>
        </w:rPr>
        <w:t>元</w:t>
      </w:r>
      <w:r>
        <w:rPr>
          <w:rFonts w:hint="eastAsia" w:asciiTheme="minorEastAsia" w:hAnsiTheme="minorEastAsia" w:eastAsiaTheme="minorEastAsia"/>
          <w:kern w:val="2"/>
          <w:sz w:val="24"/>
        </w:rPr>
        <w:t xml:space="preserve">。  </w:t>
      </w:r>
    </w:p>
    <w:p w14:paraId="7F76D010">
      <w:pPr>
        <w:pStyle w:val="59"/>
        <w:numPr>
          <w:ilvl w:val="2"/>
          <w:numId w:val="24"/>
        </w:numPr>
        <w:tabs>
          <w:tab w:val="left" w:pos="1134"/>
          <w:tab w:val="left" w:pos="1418"/>
        </w:tabs>
        <w:spacing w:line="360" w:lineRule="auto"/>
        <w:ind w:left="0" w:firstLine="567" w:firstLineChars="0"/>
        <w:rPr>
          <w:rFonts w:asciiTheme="minorEastAsia" w:hAnsiTheme="minorEastAsia" w:eastAsiaTheme="minorEastAsia"/>
          <w:kern w:val="2"/>
          <w:sz w:val="24"/>
        </w:rPr>
      </w:pPr>
      <w:r>
        <w:rPr>
          <w:rFonts w:hint="eastAsia" w:asciiTheme="minorEastAsia" w:hAnsiTheme="minorEastAsia" w:eastAsiaTheme="minorEastAsia"/>
          <w:kern w:val="2"/>
          <w:sz w:val="24"/>
        </w:rPr>
        <w:t>合同总额包括原材料费、制作加工费、零配件的购置和安装、包装费、运输费、保险费、装卸费、安装费、调试费、培训辅导、质保期售后服务、税费等以及甲方在乙方完全履行本合同约定义务后应向乙方支付的所有相关款项和费用。</w:t>
      </w:r>
    </w:p>
    <w:p w14:paraId="052771FC">
      <w:pPr>
        <w:pStyle w:val="59"/>
        <w:numPr>
          <w:ilvl w:val="0"/>
          <w:numId w:val="22"/>
        </w:numPr>
        <w:tabs>
          <w:tab w:val="clear" w:pos="1102"/>
        </w:tabs>
        <w:autoSpaceDE/>
        <w:autoSpaceDN/>
        <w:adjustRightInd/>
        <w:spacing w:before="240" w:line="480" w:lineRule="auto"/>
        <w:ind w:left="981" w:hanging="420" w:firstLineChars="0"/>
        <w:jc w:val="both"/>
        <w:rPr>
          <w:rFonts w:ascii="宋体" w:hAnsi="宋体"/>
          <w:b/>
          <w:kern w:val="2"/>
          <w:sz w:val="24"/>
          <w:szCs w:val="24"/>
        </w:rPr>
      </w:pPr>
      <w:bookmarkStart w:id="19" w:name="_Toc518311988"/>
      <w:r>
        <w:rPr>
          <w:rFonts w:hint="eastAsia" w:ascii="宋体" w:hAnsi="宋体"/>
          <w:b/>
          <w:kern w:val="2"/>
          <w:sz w:val="24"/>
          <w:szCs w:val="24"/>
        </w:rPr>
        <w:t>货款支付方式</w:t>
      </w:r>
      <w:bookmarkEnd w:id="19"/>
    </w:p>
    <w:p w14:paraId="50ECEA27">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48F25330">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4F73018C">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甲方采购货物按照以下【方式</w:t>
      </w:r>
      <w:r>
        <w:rPr>
          <w:rFonts w:hint="eastAsia" w:asciiTheme="minorEastAsia" w:hAnsiTheme="minorEastAsia" w:eastAsiaTheme="minorEastAsia"/>
          <w:sz w:val="24"/>
          <w:szCs w:val="24"/>
          <w:lang w:eastAsia="zh-CN"/>
        </w:rPr>
        <w:t>二</w:t>
      </w:r>
      <w:r>
        <w:rPr>
          <w:rFonts w:hint="eastAsia" w:asciiTheme="minorEastAsia" w:hAnsiTheme="minorEastAsia" w:eastAsiaTheme="minorEastAsia"/>
          <w:sz w:val="24"/>
          <w:szCs w:val="24"/>
        </w:rPr>
        <w:t>】向乙方付款：</w:t>
      </w:r>
    </w:p>
    <w:p w14:paraId="2E0E6123">
      <w:pPr>
        <w:spacing w:line="360" w:lineRule="auto"/>
        <w:ind w:firstLine="566" w:firstLineChars="235"/>
        <w:rPr>
          <w:rFonts w:asciiTheme="minorEastAsia" w:hAnsiTheme="minorEastAsia" w:eastAsiaTheme="minorEastAsia"/>
          <w:b/>
          <w:sz w:val="24"/>
        </w:rPr>
      </w:pPr>
      <w:r>
        <w:rPr>
          <w:rFonts w:hint="eastAsia" w:asciiTheme="minorEastAsia" w:hAnsiTheme="minorEastAsia" w:eastAsiaTheme="minorEastAsia"/>
          <w:b/>
          <w:sz w:val="24"/>
        </w:rPr>
        <w:t>方式一：</w:t>
      </w:r>
    </w:p>
    <w:p w14:paraId="7D79F99B">
      <w:pPr>
        <w:spacing w:line="360" w:lineRule="auto"/>
        <w:ind w:firstLine="564" w:firstLineChars="235"/>
        <w:rPr>
          <w:rFonts w:asciiTheme="minorEastAsia" w:hAnsiTheme="minorEastAsia" w:eastAsiaTheme="minorEastAsia"/>
          <w:b/>
          <w:sz w:val="24"/>
        </w:rPr>
      </w:pPr>
      <w:r>
        <w:rPr>
          <w:rFonts w:hint="eastAsia" w:asciiTheme="minorEastAsia" w:hAnsiTheme="minorEastAsia" w:eastAsiaTheme="minorEastAsia"/>
          <w:sz w:val="24"/>
        </w:rPr>
        <w:t>乙方自</w:t>
      </w:r>
      <w:r>
        <w:rPr>
          <w:rFonts w:hint="eastAsia" w:asciiTheme="minorEastAsia" w:hAnsiTheme="minorEastAsia" w:eastAsiaTheme="minorEastAsia"/>
          <w:sz w:val="24"/>
          <w:lang w:eastAsia="zh-CN"/>
        </w:rPr>
        <w:t>采购货物经甲方</w:t>
      </w:r>
      <w:r>
        <w:rPr>
          <w:rFonts w:hint="eastAsia" w:asciiTheme="minorEastAsia" w:hAnsiTheme="minorEastAsia" w:eastAsiaTheme="minorEastAsia"/>
          <w:sz w:val="24"/>
        </w:rPr>
        <w:t>验收合格之日起</w:t>
      </w:r>
      <w:r>
        <w:rPr>
          <w:rFonts w:hint="cs" w:asciiTheme="minorEastAsia" w:hAnsiTheme="minorEastAsia" w:eastAsiaTheme="minorEastAsia"/>
          <w:sz w:val="24"/>
        </w:rPr>
        <w:t>1</w:t>
      </w:r>
      <w:r>
        <w:rPr>
          <w:rFonts w:hint="eastAsia" w:asciiTheme="minorEastAsia" w:hAnsiTheme="minorEastAsia" w:eastAsiaTheme="minorEastAsia"/>
          <w:sz w:val="24"/>
        </w:rPr>
        <w:t>个月内，提供</w:t>
      </w:r>
      <w:r>
        <w:rPr>
          <w:rFonts w:hint="eastAsia" w:asciiTheme="minorEastAsia" w:hAnsiTheme="minorEastAsia" w:eastAsiaTheme="minorEastAsia"/>
          <w:sz w:val="24"/>
          <w:lang w:eastAsia="zh-CN"/>
        </w:rPr>
        <w:t>该采购货物</w:t>
      </w:r>
      <w:r>
        <w:rPr>
          <w:rFonts w:hint="eastAsia" w:asciiTheme="minorEastAsia" w:hAnsiTheme="minorEastAsia" w:eastAsiaTheme="minorEastAsia"/>
          <w:sz w:val="24"/>
        </w:rPr>
        <w:t>的</w:t>
      </w:r>
      <w:r>
        <w:rPr>
          <w:rFonts w:hint="eastAsia" w:asciiTheme="minorEastAsia" w:hAnsiTheme="minorEastAsia" w:eastAsiaTheme="minorEastAsia"/>
          <w:sz w:val="24"/>
          <w:lang w:eastAsia="zh-CN"/>
        </w:rPr>
        <w:t>全额</w:t>
      </w:r>
      <w:r>
        <w:rPr>
          <w:rFonts w:hint="eastAsia" w:asciiTheme="minorEastAsia" w:hAnsiTheme="minorEastAsia" w:eastAsiaTheme="minorEastAsia"/>
          <w:sz w:val="24"/>
        </w:rPr>
        <w:t>增值税专用发票给甲方</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甲方自</w:t>
      </w:r>
      <w:r>
        <w:rPr>
          <w:rFonts w:hint="eastAsia" w:asciiTheme="minorEastAsia" w:hAnsiTheme="minorEastAsia" w:eastAsiaTheme="minorEastAsia"/>
          <w:sz w:val="24"/>
          <w:lang w:eastAsia="zh-CN"/>
        </w:rPr>
        <w:t>收到合法有效发票之日起</w:t>
      </w:r>
      <w:r>
        <w:rPr>
          <w:rFonts w:hint="eastAsia" w:asciiTheme="minorEastAsia" w:hAnsiTheme="minorEastAsia" w:eastAsiaTheme="minorEastAsia"/>
          <w:sz w:val="24"/>
          <w:lang w:val="en-US" w:eastAsia="zh-CN"/>
        </w:rPr>
        <w:t>6</w:t>
      </w:r>
      <w:r>
        <w:rPr>
          <w:rFonts w:hint="eastAsia" w:asciiTheme="minorEastAsia" w:hAnsiTheme="minorEastAsia" w:eastAsiaTheme="minorEastAsia"/>
          <w:kern w:val="2"/>
          <w:sz w:val="24"/>
          <w:lang w:eastAsia="zh-CN"/>
        </w:rPr>
        <w:t>个月</w:t>
      </w:r>
      <w:r>
        <w:rPr>
          <w:rFonts w:hint="eastAsia" w:asciiTheme="minorEastAsia" w:hAnsiTheme="minorEastAsia" w:eastAsiaTheme="minorEastAsia"/>
          <w:sz w:val="24"/>
          <w:lang w:eastAsia="zh-CN"/>
        </w:rPr>
        <w:t>内</w:t>
      </w:r>
      <w:r>
        <w:rPr>
          <w:rFonts w:hint="eastAsia" w:asciiTheme="minorEastAsia" w:hAnsiTheme="minorEastAsia" w:eastAsiaTheme="minorEastAsia"/>
          <w:sz w:val="24"/>
        </w:rPr>
        <w:t>，</w:t>
      </w:r>
      <w:r>
        <w:rPr>
          <w:rFonts w:hint="eastAsia" w:asciiTheme="minorEastAsia" w:hAnsiTheme="minorEastAsia" w:eastAsiaTheme="minorEastAsia"/>
          <w:sz w:val="24"/>
          <w:lang w:eastAsia="zh-CN"/>
        </w:rPr>
        <w:t>一次性通过转账方式</w:t>
      </w:r>
      <w:r>
        <w:rPr>
          <w:rFonts w:hint="eastAsia" w:asciiTheme="minorEastAsia" w:hAnsiTheme="minorEastAsia" w:eastAsiaTheme="minorEastAsia"/>
          <w:sz w:val="24"/>
        </w:rPr>
        <w:t>支付</w:t>
      </w:r>
      <w:r>
        <w:rPr>
          <w:rFonts w:hint="eastAsia" w:asciiTheme="minorEastAsia" w:hAnsiTheme="minorEastAsia" w:eastAsiaTheme="minorEastAsia"/>
          <w:sz w:val="24"/>
          <w:lang w:eastAsia="zh-CN"/>
        </w:rPr>
        <w:t>全额货</w:t>
      </w:r>
      <w:r>
        <w:rPr>
          <w:rFonts w:hint="eastAsia" w:asciiTheme="minorEastAsia" w:hAnsiTheme="minorEastAsia" w:eastAsiaTheme="minorEastAsia"/>
          <w:sz w:val="24"/>
        </w:rPr>
        <w:t>款。</w:t>
      </w:r>
    </w:p>
    <w:p w14:paraId="05CACC90">
      <w:pPr>
        <w:spacing w:line="360" w:lineRule="auto"/>
        <w:ind w:firstLine="566" w:firstLineChars="235"/>
        <w:rPr>
          <w:rFonts w:asciiTheme="minorEastAsia" w:hAnsiTheme="minorEastAsia" w:eastAsiaTheme="minorEastAsia"/>
          <w:sz w:val="24"/>
        </w:rPr>
      </w:pPr>
      <w:r>
        <w:rPr>
          <w:rFonts w:hint="eastAsia" w:asciiTheme="minorEastAsia" w:hAnsiTheme="minorEastAsia" w:eastAsiaTheme="minorEastAsia"/>
          <w:b/>
          <w:sz w:val="24"/>
        </w:rPr>
        <w:t>方式二：</w:t>
      </w:r>
    </w:p>
    <w:p w14:paraId="209B6347">
      <w:pPr>
        <w:spacing w:line="360" w:lineRule="auto"/>
        <w:ind w:firstLine="564" w:firstLineChars="235"/>
        <w:rPr>
          <w:rFonts w:asciiTheme="minorEastAsia" w:hAnsiTheme="minorEastAsia" w:eastAsiaTheme="minorEastAsia"/>
          <w:sz w:val="24"/>
        </w:rPr>
      </w:pPr>
      <w:r>
        <w:rPr>
          <w:rFonts w:hint="eastAsia" w:asciiTheme="minorEastAsia" w:hAnsiTheme="minorEastAsia" w:eastAsiaTheme="minorEastAsia"/>
          <w:sz w:val="24"/>
        </w:rPr>
        <w:t>第一期：乙方</w:t>
      </w:r>
      <w:r>
        <w:rPr>
          <w:rFonts w:hint="eastAsia" w:asciiTheme="minorEastAsia" w:hAnsiTheme="minorEastAsia" w:eastAsiaTheme="minorEastAsia"/>
          <w:sz w:val="24"/>
          <w:lang w:eastAsia="zh-CN"/>
        </w:rPr>
        <w:t>自采购货物经甲方</w:t>
      </w:r>
      <w:r>
        <w:rPr>
          <w:rFonts w:hint="eastAsia" w:asciiTheme="minorEastAsia" w:hAnsiTheme="minorEastAsia" w:eastAsiaTheme="minorEastAsia"/>
          <w:sz w:val="24"/>
        </w:rPr>
        <w:t>验收合格之日起</w:t>
      </w:r>
      <w:r>
        <w:rPr>
          <w:rFonts w:hint="cs" w:asciiTheme="minorEastAsia" w:hAnsiTheme="minorEastAsia" w:eastAsiaTheme="minorEastAsia"/>
          <w:sz w:val="24"/>
        </w:rPr>
        <w:t>1</w:t>
      </w:r>
      <w:r>
        <w:rPr>
          <w:rFonts w:hint="eastAsia" w:asciiTheme="minorEastAsia" w:hAnsiTheme="minorEastAsia" w:eastAsiaTheme="minorEastAsia"/>
          <w:sz w:val="24"/>
        </w:rPr>
        <w:t>个月内，提供该</w:t>
      </w:r>
      <w:r>
        <w:rPr>
          <w:rFonts w:hint="eastAsia" w:asciiTheme="minorEastAsia" w:hAnsiTheme="minorEastAsia" w:eastAsiaTheme="minorEastAsia"/>
          <w:sz w:val="24"/>
          <w:lang w:eastAsia="zh-CN"/>
        </w:rPr>
        <w:t>采购货物</w:t>
      </w:r>
      <w:r>
        <w:rPr>
          <w:rFonts w:hint="eastAsia" w:asciiTheme="minorEastAsia" w:hAnsiTheme="minorEastAsia" w:eastAsiaTheme="minorEastAsia"/>
          <w:sz w:val="24"/>
        </w:rPr>
        <w:t>的全额增值税专用发票给甲方</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甲方自收到合法有效发票之日</w:t>
      </w:r>
      <w:r>
        <w:rPr>
          <w:rFonts w:hint="eastAsia" w:asciiTheme="minorEastAsia" w:hAnsiTheme="minorEastAsia" w:eastAsiaTheme="minorEastAsia"/>
          <w:sz w:val="24"/>
          <w:lang w:val="en-US" w:eastAsia="zh-CN"/>
        </w:rPr>
        <w:t>6</w:t>
      </w:r>
      <w:r>
        <w:rPr>
          <w:rFonts w:hint="eastAsia" w:asciiTheme="minorEastAsia" w:hAnsiTheme="minorEastAsia" w:eastAsiaTheme="minorEastAsia"/>
          <w:sz w:val="24"/>
          <w:lang w:eastAsia="zh-CN"/>
        </w:rPr>
        <w:t>个月内</w:t>
      </w:r>
      <w:r>
        <w:rPr>
          <w:rFonts w:hint="eastAsia" w:asciiTheme="minorEastAsia" w:hAnsiTheme="minorEastAsia" w:eastAsiaTheme="minorEastAsia"/>
          <w:sz w:val="24"/>
        </w:rPr>
        <w:t>，支付</w:t>
      </w:r>
      <w:r>
        <w:rPr>
          <w:rFonts w:hint="eastAsia" w:asciiTheme="minorEastAsia" w:hAnsiTheme="minorEastAsia" w:eastAsiaTheme="minorEastAsia"/>
          <w:sz w:val="24"/>
          <w:lang w:eastAsia="zh-CN"/>
        </w:rPr>
        <w:t>相应</w:t>
      </w:r>
      <w:r>
        <w:rPr>
          <w:rFonts w:hint="eastAsia" w:asciiTheme="minorEastAsia" w:hAnsiTheme="minorEastAsia" w:eastAsiaTheme="minorEastAsia"/>
          <w:sz w:val="24"/>
        </w:rPr>
        <w:t>货款的【</w:t>
      </w:r>
      <w:r>
        <w:rPr>
          <w:rFonts w:asciiTheme="minorEastAsia" w:hAnsiTheme="minorEastAsia" w:eastAsiaTheme="minorEastAsia"/>
          <w:sz w:val="24"/>
        </w:rPr>
        <w:t>95</w:t>
      </w:r>
      <w:r>
        <w:rPr>
          <w:rFonts w:hint="eastAsia" w:asciiTheme="minorEastAsia" w:hAnsiTheme="minorEastAsia" w:eastAsiaTheme="minorEastAsia"/>
          <w:sz w:val="24"/>
        </w:rPr>
        <w:t>%】。</w:t>
      </w:r>
    </w:p>
    <w:p w14:paraId="564AA2BB">
      <w:pPr>
        <w:spacing w:line="360" w:lineRule="auto"/>
        <w:ind w:firstLine="564" w:firstLineChars="235"/>
        <w:rPr>
          <w:rFonts w:asciiTheme="minorEastAsia" w:hAnsiTheme="minorEastAsia" w:eastAsiaTheme="minorEastAsia"/>
          <w:sz w:val="24"/>
          <w:lang w:eastAsia="zh-CN"/>
        </w:rPr>
      </w:pPr>
      <w:r>
        <w:rPr>
          <w:rFonts w:hint="eastAsia" w:asciiTheme="minorEastAsia" w:hAnsiTheme="minorEastAsia" w:eastAsiaTheme="minorEastAsia"/>
          <w:sz w:val="24"/>
        </w:rPr>
        <w:t>第二期：</w:t>
      </w:r>
      <w:r>
        <w:rPr>
          <w:rFonts w:hint="eastAsia" w:asciiTheme="minorEastAsia" w:hAnsiTheme="minorEastAsia" w:eastAsiaTheme="minorEastAsia"/>
          <w:sz w:val="24"/>
          <w:lang w:eastAsia="zh-CN"/>
        </w:rPr>
        <w:t>剩余</w:t>
      </w:r>
      <w:r>
        <w:rPr>
          <w:rFonts w:hint="eastAsia" w:asciiTheme="minorEastAsia" w:hAnsiTheme="minorEastAsia" w:eastAsiaTheme="minorEastAsia"/>
          <w:sz w:val="24"/>
        </w:rPr>
        <w:t>【5%】</w:t>
      </w:r>
      <w:r>
        <w:rPr>
          <w:rFonts w:hint="eastAsia" w:asciiTheme="minorEastAsia" w:hAnsiTheme="minorEastAsia" w:eastAsiaTheme="minorEastAsia"/>
          <w:sz w:val="24"/>
          <w:lang w:eastAsia="zh-CN"/>
        </w:rPr>
        <w:t>货款</w:t>
      </w:r>
      <w:r>
        <w:rPr>
          <w:rFonts w:hint="eastAsia" w:asciiTheme="minorEastAsia" w:hAnsiTheme="minorEastAsia" w:eastAsiaTheme="minorEastAsia"/>
          <w:sz w:val="24"/>
        </w:rPr>
        <w:t>为质量保证金（即质保金），如无质量问题，</w:t>
      </w:r>
      <w:r>
        <w:rPr>
          <w:rFonts w:hint="eastAsia" w:asciiTheme="minorEastAsia" w:hAnsiTheme="minorEastAsia" w:eastAsiaTheme="minorEastAsia"/>
          <w:sz w:val="24"/>
          <w:lang w:eastAsia="zh-CN"/>
        </w:rPr>
        <w:t>质保期满后</w:t>
      </w:r>
      <w:r>
        <w:rPr>
          <w:rFonts w:asciiTheme="minorEastAsia" w:hAnsiTheme="minorEastAsia" w:eastAsiaTheme="minorEastAsia"/>
          <w:sz w:val="24"/>
          <w:lang w:eastAsia="zh-CN"/>
        </w:rPr>
        <w:t>3</w:t>
      </w:r>
      <w:r>
        <w:rPr>
          <w:rFonts w:hint="eastAsia" w:asciiTheme="minorEastAsia" w:hAnsiTheme="minorEastAsia" w:eastAsiaTheme="minorEastAsia"/>
          <w:sz w:val="24"/>
          <w:lang w:eastAsia="zh-CN"/>
        </w:rPr>
        <w:t>个月内无息支付。</w:t>
      </w:r>
    </w:p>
    <w:p w14:paraId="40E135A7">
      <w:pPr>
        <w:pStyle w:val="16"/>
        <w:numPr>
          <w:ilvl w:val="1"/>
          <w:numId w:val="25"/>
        </w:numPr>
        <w:spacing w:line="360" w:lineRule="auto"/>
        <w:ind w:left="0" w:firstLine="567"/>
        <w:rPr>
          <w:rFonts w:asciiTheme="minorEastAsia" w:hAnsiTheme="minorEastAsia" w:eastAsiaTheme="minorEastAsia"/>
          <w:sz w:val="24"/>
        </w:rPr>
      </w:pPr>
      <w:bookmarkStart w:id="20" w:name="_Hlk520054790"/>
      <w:r>
        <w:rPr>
          <w:rFonts w:hint="eastAsia" w:asciiTheme="minorEastAsia" w:hAnsiTheme="minorEastAsia" w:eastAsiaTheme="minorEastAsia"/>
          <w:sz w:val="24"/>
        </w:rPr>
        <w:t>乙方须按照甲方要求提供合法增值税专用发票</w:t>
      </w:r>
      <w:bookmarkEnd w:id="20"/>
      <w:r>
        <w:rPr>
          <w:rFonts w:hint="eastAsia" w:asciiTheme="minorEastAsia" w:hAnsiTheme="minorEastAsia" w:eastAsiaTheme="minorEastAsia"/>
          <w:sz w:val="24"/>
        </w:rPr>
        <w:t>，否则，甲方有权延期付款，由此造成迟延付款的责任由乙方自行承担。</w:t>
      </w:r>
    </w:p>
    <w:p w14:paraId="55B06BB5">
      <w:pPr>
        <w:pStyle w:val="16"/>
        <w:numPr>
          <w:ilvl w:val="1"/>
          <w:numId w:val="25"/>
        </w:numPr>
        <w:spacing w:line="360" w:lineRule="auto"/>
        <w:ind w:left="0" w:firstLine="567"/>
        <w:rPr>
          <w:rFonts w:asciiTheme="minorEastAsia" w:hAnsiTheme="minorEastAsia" w:eastAsiaTheme="minorEastAsia"/>
          <w:sz w:val="24"/>
          <w:szCs w:val="24"/>
        </w:rPr>
      </w:pPr>
      <w:bookmarkStart w:id="21" w:name="_Hlk519866474"/>
      <w:bookmarkStart w:id="22" w:name="_Hlk520055077"/>
      <w:r>
        <w:rPr>
          <w:rFonts w:hint="eastAsia" w:asciiTheme="minorEastAsia" w:hAnsiTheme="minorEastAsia" w:eastAsiaTheme="minorEastAsia"/>
          <w:sz w:val="24"/>
          <w:szCs w:val="24"/>
        </w:rPr>
        <w:t>出现国家税收政策调整时，双方应根据实际税收调整情况，以本合同中的货物不含税单价为依据相应调整受影响的合同含税金额，乙方需按照税收调整政策规定开具合法合规发票</w:t>
      </w:r>
      <w:bookmarkEnd w:id="21"/>
      <w:r>
        <w:rPr>
          <w:rFonts w:hint="eastAsia" w:asciiTheme="minorEastAsia" w:hAnsiTheme="minorEastAsia" w:eastAsiaTheme="minorEastAsia"/>
          <w:sz w:val="24"/>
          <w:szCs w:val="24"/>
        </w:rPr>
        <w:t>。</w:t>
      </w:r>
    </w:p>
    <w:bookmarkEnd w:id="22"/>
    <w:p w14:paraId="77560AE5">
      <w:pPr>
        <w:pStyle w:val="16"/>
        <w:numPr>
          <w:ilvl w:val="1"/>
          <w:numId w:val="25"/>
        </w:numPr>
        <w:spacing w:line="360" w:lineRule="auto"/>
        <w:ind w:left="0" w:firstLine="567"/>
        <w:rPr>
          <w:rFonts w:asciiTheme="minorEastAsia" w:hAnsiTheme="minorEastAsia" w:eastAsiaTheme="minorEastAsia"/>
          <w:sz w:val="24"/>
          <w:szCs w:val="24"/>
        </w:rPr>
      </w:pPr>
      <w:bookmarkStart w:id="23" w:name="_Hlk519866191"/>
      <w:bookmarkStart w:id="24" w:name="_Hlk519866172"/>
      <w:r>
        <w:rPr>
          <w:rFonts w:hint="eastAsia" w:asciiTheme="minorEastAsia" w:hAnsiTheme="minorEastAsia" w:eastAsiaTheme="minorEastAsia"/>
          <w:sz w:val="24"/>
          <w:szCs w:val="24"/>
        </w:rPr>
        <w:t>乙方指定收款账户如下</w:t>
      </w:r>
      <w:bookmarkEnd w:id="23"/>
      <w:r>
        <w:rPr>
          <w:rFonts w:hint="eastAsia" w:asciiTheme="minorEastAsia" w:hAnsiTheme="minorEastAsia" w:eastAsiaTheme="minorEastAsia"/>
          <w:sz w:val="24"/>
          <w:szCs w:val="24"/>
        </w:rPr>
        <w:t>：</w:t>
      </w:r>
    </w:p>
    <w:bookmarkEnd w:id="24"/>
    <w:p w14:paraId="2DA27023">
      <w:pPr>
        <w:spacing w:line="360" w:lineRule="auto"/>
        <w:ind w:firstLine="482" w:firstLineChars="200"/>
        <w:rPr>
          <w:rFonts w:asciiTheme="minorEastAsia" w:hAnsiTheme="minorEastAsia" w:eastAsiaTheme="minorEastAsia"/>
          <w:b/>
          <w:sz w:val="24"/>
          <w:u w:val="single"/>
        </w:rPr>
      </w:pPr>
      <w:r>
        <w:rPr>
          <w:rFonts w:hint="eastAsia" w:asciiTheme="minorEastAsia" w:hAnsiTheme="minorEastAsia" w:eastAsiaTheme="minorEastAsia"/>
          <w:b/>
          <w:sz w:val="24"/>
        </w:rPr>
        <w:t>账号：</w:t>
      </w:r>
      <w:r>
        <w:rPr>
          <w:rFonts w:asciiTheme="minorEastAsia" w:hAnsiTheme="minorEastAsia" w:eastAsiaTheme="minorEastAsia"/>
          <w:kern w:val="2"/>
          <w:sz w:val="24"/>
          <w:lang w:eastAsia="zh-CN"/>
        </w:rPr>
        <w:t xml:space="preserve"> </w:t>
      </w:r>
      <w:r>
        <w:rPr>
          <w:rFonts w:asciiTheme="minorEastAsia" w:hAnsiTheme="minorEastAsia" w:eastAsiaTheme="minorEastAsia"/>
          <w:kern w:val="2"/>
          <w:sz w:val="24"/>
          <w:lang w:eastAsia="zh-CN"/>
        </w:rPr>
        <w:fldChar w:fldCharType="begin">
          <w:ffData>
            <w:name w:val="文字13"/>
            <w:enabled/>
            <w:calcOnExit w:val="0"/>
            <w:textInput/>
          </w:ffData>
        </w:fldChar>
      </w:r>
      <w:bookmarkStart w:id="25" w:name="文字13"/>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bookmarkEnd w:id="25"/>
    </w:p>
    <w:p w14:paraId="1FB68180">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账户名称：</w:t>
      </w:r>
      <w:r>
        <w:rPr>
          <w:rFonts w:asciiTheme="minorEastAsia" w:hAnsiTheme="minorEastAsia" w:eastAsiaTheme="minorEastAsia"/>
          <w:kern w:val="2"/>
          <w:sz w:val="24"/>
          <w:lang w:eastAsia="zh-CN"/>
        </w:rPr>
        <w:t xml:space="preserve"> </w:t>
      </w:r>
      <w:r>
        <w:rPr>
          <w:rFonts w:asciiTheme="minorEastAsia" w:hAnsiTheme="minorEastAsia" w:eastAsiaTheme="minorEastAsia"/>
          <w:kern w:val="2"/>
          <w:sz w:val="24"/>
          <w:lang w:eastAsia="zh-CN"/>
        </w:rPr>
        <w:fldChar w:fldCharType="begin">
          <w:ffData>
            <w:name w:val="文字14"/>
            <w:enabled/>
            <w:calcOnExit w:val="0"/>
            <w:textInput/>
          </w:ffData>
        </w:fldChar>
      </w:r>
      <w:bookmarkStart w:id="26" w:name="文字14"/>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bookmarkEnd w:id="26"/>
    </w:p>
    <w:p w14:paraId="522ACF11">
      <w:pPr>
        <w:spacing w:line="360" w:lineRule="auto"/>
        <w:ind w:firstLine="482" w:firstLineChars="200"/>
        <w:rPr>
          <w:rFonts w:asciiTheme="minorEastAsia" w:hAnsiTheme="minorEastAsia" w:eastAsiaTheme="minorEastAsia"/>
          <w:b/>
          <w:kern w:val="2"/>
          <w:sz w:val="24"/>
          <w:lang w:eastAsia="zh-CN"/>
        </w:rPr>
      </w:pPr>
      <w:r>
        <w:rPr>
          <w:rFonts w:hint="eastAsia" w:asciiTheme="minorEastAsia" w:hAnsiTheme="minorEastAsia" w:eastAsiaTheme="minorEastAsia"/>
          <w:b/>
          <w:sz w:val="24"/>
        </w:rPr>
        <w:t>开户行：</w:t>
      </w:r>
      <w:r>
        <w:rPr>
          <w:rFonts w:asciiTheme="minorEastAsia" w:hAnsiTheme="minorEastAsia" w:eastAsiaTheme="minorEastAsia"/>
          <w:kern w:val="2"/>
          <w:sz w:val="24"/>
          <w:lang w:eastAsia="zh-CN"/>
        </w:rPr>
        <w:t xml:space="preserve"> </w:t>
      </w:r>
      <w:r>
        <w:rPr>
          <w:rFonts w:asciiTheme="minorEastAsia" w:hAnsiTheme="minorEastAsia" w:eastAsiaTheme="minorEastAsia"/>
          <w:kern w:val="2"/>
          <w:sz w:val="24"/>
          <w:lang w:eastAsia="zh-CN"/>
        </w:rPr>
        <w:fldChar w:fldCharType="begin">
          <w:ffData>
            <w:name w:val="文字15"/>
            <w:enabled/>
            <w:calcOnExit w:val="0"/>
            <w:textInput/>
          </w:ffData>
        </w:fldChar>
      </w:r>
      <w:bookmarkStart w:id="27" w:name="文字15"/>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bookmarkEnd w:id="27"/>
    </w:p>
    <w:p w14:paraId="09B02DE8">
      <w:pPr>
        <w:pStyle w:val="16"/>
        <w:numPr>
          <w:ilvl w:val="1"/>
          <w:numId w:val="25"/>
        </w:numPr>
        <w:spacing w:line="360" w:lineRule="auto"/>
        <w:ind w:left="0" w:firstLine="567"/>
        <w:rPr>
          <w:rFonts w:asciiTheme="minorEastAsia" w:hAnsiTheme="minorEastAsia" w:eastAsiaTheme="minorEastAsia"/>
          <w:sz w:val="24"/>
          <w:szCs w:val="24"/>
        </w:rPr>
      </w:pPr>
      <w:bookmarkStart w:id="28" w:name="_Hlk519866249"/>
      <w:r>
        <w:rPr>
          <w:rFonts w:hint="eastAsia" w:asciiTheme="minorEastAsia" w:hAnsiTheme="minorEastAsia" w:eastAsiaTheme="minorEastAsia"/>
          <w:sz w:val="24"/>
          <w:szCs w:val="24"/>
        </w:rPr>
        <w:t>若乙方需要改变上述账户，应提前【10】个工作日以书面形式通知甲方，否则，因此造成的损失由乙方自行承担。</w:t>
      </w:r>
    </w:p>
    <w:bookmarkEnd w:id="28"/>
    <w:p w14:paraId="733B9795">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29" w:name="_Toc518311989"/>
      <w:r>
        <w:rPr>
          <w:rFonts w:hint="eastAsia" w:ascii="宋体" w:hAnsi="宋体"/>
          <w:b/>
          <w:kern w:val="2"/>
          <w:sz w:val="24"/>
          <w:szCs w:val="24"/>
        </w:rPr>
        <w:t>包装和运输</w:t>
      </w:r>
      <w:bookmarkEnd w:id="29"/>
    </w:p>
    <w:p w14:paraId="1F471591">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2FE25268">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乙方应根据货物特点对货物进行坚固包装使其防水、防潮、防腐、防锈、防震等，并适于货物装卸和运输要求。凡因包装不善致使货物遭到损坏或丢失的，由乙方承担责任。</w:t>
      </w:r>
    </w:p>
    <w:p w14:paraId="16F52008">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包装标准为原厂制造商未启封全新包装，序列号、包装箱号与出厂批号一致，并可追索查阅。包装物乙方不回收。</w:t>
      </w:r>
    </w:p>
    <w:p w14:paraId="173C3DB5">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30" w:name="_Toc518311990"/>
      <w:r>
        <w:rPr>
          <w:rFonts w:hint="eastAsia" w:ascii="宋体" w:hAnsi="宋体"/>
          <w:b/>
          <w:kern w:val="2"/>
          <w:sz w:val="24"/>
          <w:szCs w:val="24"/>
        </w:rPr>
        <w:t>交付验收</w:t>
      </w:r>
      <w:bookmarkEnd w:id="30"/>
    </w:p>
    <w:p w14:paraId="474E3B8E">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064E8796">
      <w:pPr>
        <w:pStyle w:val="16"/>
        <w:numPr>
          <w:ilvl w:val="1"/>
          <w:numId w:val="25"/>
        </w:numPr>
        <w:spacing w:line="360" w:lineRule="auto"/>
        <w:ind w:left="0" w:firstLine="567"/>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交货时间：乙方按甲方要求在书面订货单后</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个工作日内完成供货、安装、调试。</w:t>
      </w:r>
    </w:p>
    <w:p w14:paraId="3CC0E201">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交货地点：按甲方要求将货物送到甲方指定收货地点</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供货</w:t>
      </w:r>
      <w:r>
        <w:rPr>
          <w:rFonts w:hint="eastAsia" w:asciiTheme="minorEastAsia" w:hAnsiTheme="minorEastAsia" w:eastAsiaTheme="minorEastAsia"/>
          <w:sz w:val="24"/>
          <w:szCs w:val="24"/>
          <w:lang w:eastAsia="zh-CN"/>
        </w:rPr>
        <w:t>及安装</w:t>
      </w:r>
      <w:r>
        <w:rPr>
          <w:rFonts w:hint="eastAsia" w:asciiTheme="minorEastAsia" w:hAnsiTheme="minorEastAsia" w:eastAsiaTheme="minorEastAsia"/>
          <w:sz w:val="24"/>
          <w:szCs w:val="24"/>
        </w:rPr>
        <w:t>地点：</w:t>
      </w:r>
      <w:r>
        <w:rPr>
          <w:rFonts w:hint="default" w:asciiTheme="minorEastAsia" w:hAnsiTheme="minorEastAsia" w:eastAsiaTheme="minorEastAsia"/>
          <w:sz w:val="24"/>
          <w:szCs w:val="24"/>
          <w:lang w:eastAsia="zh-CN"/>
        </w:rPr>
        <w:t>①</w:t>
      </w:r>
      <w:r>
        <w:rPr>
          <w:rFonts w:hint="eastAsia" w:asciiTheme="minorEastAsia" w:hAnsiTheme="minorEastAsia" w:eastAsiaTheme="minorEastAsia"/>
          <w:sz w:val="24"/>
          <w:szCs w:val="24"/>
          <w:lang w:eastAsia="zh-CN"/>
        </w:rPr>
        <w:t>佛山市高明区荷城怡乐路</w:t>
      </w:r>
      <w:r>
        <w:rPr>
          <w:rFonts w:hint="eastAsia" w:asciiTheme="minorEastAsia" w:hAnsiTheme="minorEastAsia" w:eastAsiaTheme="minorEastAsia"/>
          <w:sz w:val="24"/>
          <w:szCs w:val="24"/>
          <w:lang w:val="en-US" w:eastAsia="zh-CN"/>
        </w:rPr>
        <w:t>130号；</w:t>
      </w:r>
      <w:r>
        <w:rPr>
          <w:rFonts w:hint="default" w:asciiTheme="minorEastAsia" w:hAnsiTheme="minorEastAsia" w:eastAsiaTheme="minorEastAsia"/>
          <w:sz w:val="24"/>
          <w:szCs w:val="24"/>
          <w:lang w:val="en-US" w:eastAsia="zh-CN"/>
        </w:rPr>
        <w:t>②</w:t>
      </w:r>
      <w:r>
        <w:rPr>
          <w:rFonts w:hint="eastAsia" w:asciiTheme="minorEastAsia" w:hAnsiTheme="minorEastAsia" w:eastAsiaTheme="minorEastAsia"/>
          <w:sz w:val="24"/>
          <w:szCs w:val="24"/>
          <w:lang w:val="en-US" w:eastAsia="zh-CN"/>
        </w:rPr>
        <w:t>佛山市高明区沧江路88号；</w:t>
      </w:r>
      <w:r>
        <w:rPr>
          <w:rFonts w:hint="default" w:asciiTheme="minorEastAsia" w:hAnsiTheme="minorEastAsia" w:eastAsiaTheme="minorEastAsia"/>
          <w:sz w:val="24"/>
          <w:szCs w:val="24"/>
          <w:lang w:val="en-US" w:eastAsia="zh-CN"/>
        </w:rPr>
        <w:t>③</w:t>
      </w:r>
      <w:r>
        <w:rPr>
          <w:rFonts w:hint="eastAsia" w:asciiTheme="minorEastAsia" w:hAnsiTheme="minorEastAsia" w:eastAsiaTheme="minorEastAsia"/>
          <w:sz w:val="24"/>
          <w:szCs w:val="24"/>
          <w:lang w:val="en-US" w:eastAsia="zh-CN"/>
        </w:rPr>
        <w:t>佛山市高明区更合镇工业大道45号）。</w:t>
      </w:r>
      <w:r>
        <w:rPr>
          <w:rFonts w:hint="eastAsia" w:asciiTheme="minorEastAsia" w:hAnsiTheme="minorEastAsia" w:eastAsiaTheme="minorEastAsia"/>
          <w:sz w:val="24"/>
          <w:szCs w:val="24"/>
        </w:rPr>
        <w:t>乙方须出具送货单，由甲方收货人员签收。如果发现货物短缺、毁损等与合同约定不符的情况，甲方有权拒收。</w:t>
      </w:r>
    </w:p>
    <w:p w14:paraId="4A8EE02D">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送货单/收货单签收仅视为甲方确认货物的数量、外观等外在情况符合要求，非甲方对货物质量的确认，货物质量的确认以甲方另行出具的书面验收结论报告为准。送货单/收货单的签署不使甲方丧失因质量问题而向乙方索赔和求偿的权利，同时不免除乙方对于货物质量缺陷或瑕疵负有的相应担保责任。</w:t>
      </w:r>
    </w:p>
    <w:p w14:paraId="7FBCD053">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甲方签收货物后（如需安装调试的货物在安装调试完成后）甲方根据货物检验结果出具书面到货验收结论，货物质量的确认以甲方出具的书面验收结论为准。</w:t>
      </w:r>
    </w:p>
    <w:p w14:paraId="37E041AF">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如甲方因乙方交货不符合合同要求或双方约定的质量、规格等原因而拒收或者解除合同的，货物毁损、灭失的风险、迟交货责任由乙方自行承担。</w:t>
      </w:r>
    </w:p>
    <w:p w14:paraId="36637064">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31" w:name="_Toc518311991"/>
      <w:r>
        <w:rPr>
          <w:rFonts w:hint="eastAsia" w:ascii="宋体" w:hAnsi="宋体"/>
          <w:b/>
          <w:kern w:val="2"/>
          <w:sz w:val="24"/>
          <w:szCs w:val="24"/>
        </w:rPr>
        <w:t>货物质量要求</w:t>
      </w:r>
      <w:bookmarkEnd w:id="31"/>
    </w:p>
    <w:p w14:paraId="2965D570">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28BFEB48">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本合同项下的货物适用下列技术和质量标准</w:t>
      </w:r>
      <w:bookmarkStart w:id="32" w:name="_Hlk520055294"/>
      <w:r>
        <w:rPr>
          <w:rFonts w:hint="eastAsia" w:asciiTheme="minorEastAsia" w:hAnsiTheme="minorEastAsia" w:eastAsiaTheme="minorEastAsia"/>
          <w:sz w:val="24"/>
          <w:szCs w:val="24"/>
        </w:rPr>
        <w:t>(以其中标准最高者为准</w:t>
      </w:r>
      <w:r>
        <w:rPr>
          <w:rFonts w:asciiTheme="minorEastAsia" w:hAnsiTheme="minorEastAsia" w:eastAsiaTheme="minorEastAsia"/>
          <w:sz w:val="24"/>
          <w:szCs w:val="24"/>
        </w:rPr>
        <w:t>)</w:t>
      </w:r>
      <w:r>
        <w:rPr>
          <w:rFonts w:hint="eastAsia" w:asciiTheme="minorEastAsia" w:hAnsiTheme="minorEastAsia" w:eastAsiaTheme="minorEastAsia"/>
          <w:sz w:val="24"/>
          <w:szCs w:val="24"/>
        </w:rPr>
        <w:t>：</w:t>
      </w:r>
      <w:bookmarkEnd w:id="32"/>
      <w:r>
        <w:rPr>
          <w:rFonts w:hint="eastAsia" w:asciiTheme="minorEastAsia" w:hAnsiTheme="minorEastAsia" w:eastAsiaTheme="minorEastAsia"/>
          <w:sz w:val="24"/>
          <w:szCs w:val="24"/>
        </w:rPr>
        <w:t xml:space="preserve"> ①符合中华人民共和国国家和履约地相关安全质量标准、行业技术规范标准、环保节能标准；②符合甲方采购文件和响应承诺中合同约定的合理最佳配置、参数规格及各项要求；③符合产品来源国官方颁布的最新标准；④双方约定的质量标准。</w:t>
      </w:r>
    </w:p>
    <w:p w14:paraId="3C7CE1A1">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中国境内制造的产品必须提供出厂合格证，并向甲方名下终端客户提供保修注册资料。关键产品/主机设备的用户手册、保修手册、有关单证资料及配备件、随机工具等，使用操作及安全须知等重要资料应附有中文说明。</w:t>
      </w:r>
    </w:p>
    <w:p w14:paraId="6A39621C">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当货物来源于中华人民共和国境外时，货物必须附有原产地证明、中华人民共和国商检机构的检验证明、合法进货渠道证明及海关完税证明，此外，有关技术资料中须附有全文翻译的、完整的中文文本。</w:t>
      </w:r>
    </w:p>
    <w:p w14:paraId="33302D1E">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产品均为近12个月内原厂制造的全新合格产品，且有合法透明的来源渠道，如为整机须无污染、无侵权行为、表面无划损、无任何缺陷隐患，可依常规合法安全使用。</w:t>
      </w:r>
    </w:p>
    <w:p w14:paraId="31D7D049">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33" w:name="_Toc518311995"/>
      <w:r>
        <w:rPr>
          <w:rFonts w:hint="eastAsia" w:ascii="宋体" w:hAnsi="宋体"/>
          <w:b/>
          <w:kern w:val="2"/>
          <w:sz w:val="24"/>
          <w:szCs w:val="24"/>
        </w:rPr>
        <w:t>质量检测</w:t>
      </w:r>
      <w:bookmarkEnd w:id="33"/>
    </w:p>
    <w:p w14:paraId="63FF5FCE">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6053F3C5">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甲方有权在合同期内委托第三方检测机构对乙方所供货物进行质量专项检测，检测结果对双方有约束力。</w:t>
      </w:r>
    </w:p>
    <w:p w14:paraId="77BEF4DA">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检测结果不符合合同约定的，甲方有权单方解除合同，退回乙方已供货物。乙方必须在接到甲方检测结果通知的【5】个工作日内返还甲方已付货款，并承担违约责任，赔偿由此给甲方造成的全部损失。检测结果不符合合同约定的，检测费用由乙方承担。</w:t>
      </w:r>
    </w:p>
    <w:p w14:paraId="7B2919F5">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34" w:name="_Toc518311996"/>
      <w:r>
        <w:rPr>
          <w:rFonts w:hint="eastAsia" w:ascii="宋体" w:hAnsi="宋体"/>
          <w:b/>
          <w:kern w:val="2"/>
          <w:sz w:val="24"/>
          <w:szCs w:val="24"/>
        </w:rPr>
        <w:t>质保期和售后服务</w:t>
      </w:r>
      <w:bookmarkEnd w:id="34"/>
    </w:p>
    <w:p w14:paraId="71145F4B">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1CF981A5">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质量保证期（简称“质保期”）：货物验收合格之日起【</w:t>
      </w:r>
      <w:r>
        <w:rPr>
          <w:rFonts w:hint="eastAsia" w:asciiTheme="minorEastAsia" w:hAnsiTheme="minorEastAsia" w:eastAsiaTheme="minorEastAsia"/>
          <w:sz w:val="24"/>
          <w:szCs w:val="24"/>
          <w:lang w:eastAsia="zh-CN"/>
        </w:rPr>
        <w:t>壹</w:t>
      </w:r>
      <w:r>
        <w:rPr>
          <w:rFonts w:hint="eastAsia" w:asciiTheme="minorEastAsia" w:hAnsiTheme="minorEastAsia" w:eastAsiaTheme="minorEastAsia"/>
          <w:sz w:val="24"/>
          <w:szCs w:val="24"/>
        </w:rPr>
        <w:t>】年。配件与主产品的质保期一致。</w:t>
      </w:r>
    </w:p>
    <w:p w14:paraId="7F7B3441">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保期内，甲方在使用货物过程中出现问题的，乙方应在接到甲方通知后2小时内响应，4小时内到达现场，24小时内处理完毕。乙方须提供常设每周7天×24小时热线服务和长期的免费技术支持。期满后可提供优质终身（有偿）维修保养服务。</w:t>
      </w:r>
    </w:p>
    <w:p w14:paraId="724ED5CF">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质保期内，对保修范围内的保修服务所发生的全部物质损耗和人员费用，均由乙方予以承担。乙方未及时承担保修责任的，甲方有权采用其他渠道和方式对乙方货物进行维修、补正，由此产生的费用由乙方承担。</w:t>
      </w:r>
    </w:p>
    <w:p w14:paraId="4DEC4607">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质保期内, 如设备或零部件非人为因素出现故障而造成短期停用时，则质保期相应顺延。如设备因自身故障致停用时间累计超过30天则质保期在状态恢复正常时重新起计。</w:t>
      </w:r>
    </w:p>
    <w:p w14:paraId="1EADF528">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35" w:name="_Toc518311997"/>
      <w:r>
        <w:rPr>
          <w:rFonts w:hint="eastAsia" w:ascii="宋体" w:hAnsi="宋体"/>
          <w:b/>
          <w:kern w:val="2"/>
          <w:sz w:val="24"/>
          <w:szCs w:val="24"/>
        </w:rPr>
        <w:t>知识产权</w:t>
      </w:r>
      <w:bookmarkEnd w:id="35"/>
    </w:p>
    <w:p w14:paraId="0DD6DA2F">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0B07EF4D">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乙方保证对其销售的货物及服务拥有完全的所有权/处分权，无任何知识产权方面的权利限制或瑕疵并不会侵犯第三方的合法权利。如果甲方因按照合同的约定使用货物或服务而侵犯第三方的合法权利，并因此涉入诉讼、索赔或造成甲方损失的，乙方应在上述侵权诉讼进行过程中就诉讼策略及其他事宜向甲方提供必要的支持与协助，并承担所产生的一切诉讼费用、律师费用、差旅费用、和解金额或生效法律文书中规定的损害赔偿金额等费用以及由此给甲方造成的全部损失。</w:t>
      </w:r>
    </w:p>
    <w:p w14:paraId="2BD95118">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除非为完成本合同所需的目的，乙方不得对甲方定制的产品复制拷贝或挪作他用。未经甲方同意，乙方所使用甲方提供的资料和物品不得用于与履行合同无关的事项。否则视乙方违约，造成甲方的损失需予以赔偿。</w:t>
      </w:r>
    </w:p>
    <w:p w14:paraId="73BD7DB2">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r>
        <w:rPr>
          <w:rFonts w:hint="eastAsia" w:ascii="宋体" w:hAnsi="宋体"/>
          <w:b/>
          <w:kern w:val="2"/>
          <w:sz w:val="24"/>
          <w:szCs w:val="24"/>
        </w:rPr>
        <w:t>通知条款</w:t>
      </w:r>
      <w:r>
        <w:rPr>
          <w:rFonts w:ascii="宋体" w:hAnsi="宋体"/>
          <w:b/>
          <w:kern w:val="2"/>
          <w:sz w:val="24"/>
          <w:szCs w:val="24"/>
        </w:rPr>
        <w:t> </w:t>
      </w:r>
    </w:p>
    <w:p w14:paraId="3DA134E0">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2E04D7C7">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双方确认本合同所载明的通讯地址、住所地、联系人、联系电话、邮箱等信息（以下统称“送达地址”）为对方、人民法院（或仲裁机构）发送各类纸质或电子数据通知、信函、法律文书（以下统称“文书”）的送达地址。</w:t>
      </w:r>
    </w:p>
    <w:p w14:paraId="3AF300CF">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一方对其送达地址作出变更的，应将变更后的送达地址书面告知另一方，否则送达地址仍以本合同载明为准。</w:t>
      </w:r>
      <w:r>
        <w:rPr>
          <w:rFonts w:asciiTheme="minorEastAsia" w:hAnsiTheme="minorEastAsia" w:eastAsiaTheme="minorEastAsia"/>
          <w:sz w:val="24"/>
          <w:szCs w:val="24"/>
        </w:rPr>
        <w:t xml:space="preserve"> </w:t>
      </w:r>
    </w:p>
    <w:p w14:paraId="517D4761">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因一方确认的送达地址不准确、送达地址变更后未及时告知对方或发生接收人、收件人拒绝签收等情形，导致文书未能被实际接收的，拒绝接收方应自行承担有效送达的法律后果。邮寄送达的，以付邮后第7日视为送达之日；直接送达的，送达人当场在送达回证上记明情况之日为送达之日。</w:t>
      </w:r>
    </w:p>
    <w:p w14:paraId="36D5123C">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r>
        <w:rPr>
          <w:rFonts w:hint="eastAsia" w:ascii="宋体" w:hAnsi="宋体"/>
          <w:b/>
          <w:kern w:val="2"/>
          <w:sz w:val="24"/>
          <w:szCs w:val="24"/>
        </w:rPr>
        <w:t>不可抗力</w:t>
      </w:r>
    </w:p>
    <w:p w14:paraId="0F4E77C0">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64633702">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“不可抗力事件”指</w:t>
      </w:r>
      <w:r>
        <w:rPr>
          <w:rFonts w:asciiTheme="minorEastAsia" w:hAnsiTheme="minorEastAsia" w:eastAsiaTheme="minorEastAsia"/>
          <w:sz w:val="24"/>
          <w:szCs w:val="24"/>
        </w:rPr>
        <w:t>不能预见、不能避免</w:t>
      </w:r>
      <w:r>
        <w:rPr>
          <w:rFonts w:hint="eastAsia" w:asciiTheme="minorEastAsia" w:hAnsiTheme="minorEastAsia" w:eastAsiaTheme="minorEastAsia"/>
          <w:sz w:val="24"/>
          <w:szCs w:val="24"/>
        </w:rPr>
        <w:t>且</w:t>
      </w:r>
      <w:r>
        <w:rPr>
          <w:rFonts w:asciiTheme="minorEastAsia" w:hAnsiTheme="minorEastAsia" w:eastAsiaTheme="minorEastAsia"/>
          <w:sz w:val="24"/>
          <w:szCs w:val="24"/>
        </w:rPr>
        <w:t>不能克服的客观情况</w:t>
      </w:r>
      <w:r>
        <w:rPr>
          <w:rFonts w:hint="eastAsia" w:asciiTheme="minorEastAsia" w:hAnsiTheme="minorEastAsia" w:eastAsiaTheme="minorEastAsia"/>
          <w:sz w:val="24"/>
          <w:szCs w:val="24"/>
        </w:rPr>
        <w:t>。包括但不限于：</w:t>
      </w:r>
      <w:bookmarkStart w:id="36" w:name="_Hlk5978400"/>
      <w:r>
        <w:rPr>
          <w:rFonts w:hint="eastAsia" w:asciiTheme="minorEastAsia" w:hAnsiTheme="minorEastAsia" w:eastAsiaTheme="minorEastAsia"/>
          <w:sz w:val="24"/>
          <w:szCs w:val="24"/>
        </w:rPr>
        <w:t>政府或政府机构的禁令或行为（包括甲方上级主管部门下达的政策性文件）、暴乱、战争、水灾、地震、海啸或其他自然现象</w:t>
      </w:r>
      <w:bookmarkEnd w:id="36"/>
      <w:r>
        <w:rPr>
          <w:rFonts w:hint="eastAsia" w:asciiTheme="minorEastAsia" w:hAnsiTheme="minorEastAsia" w:eastAsiaTheme="minorEastAsia"/>
          <w:sz w:val="24"/>
          <w:szCs w:val="24"/>
        </w:rPr>
        <w:t>。若一方因不可抗力事件而不能履行本合同所约定的义务，该方应在不可抗力事件发生后及时书面通知另一方，并在不可抗力时间结束后1</w:t>
      </w:r>
      <w:r>
        <w:rPr>
          <w:rFonts w:asciiTheme="minorEastAsia" w:hAnsiTheme="minorEastAsia" w:eastAsiaTheme="minorEastAsia"/>
          <w:sz w:val="24"/>
          <w:szCs w:val="24"/>
        </w:rPr>
        <w:t>4</w:t>
      </w:r>
      <w:r>
        <w:rPr>
          <w:rFonts w:hint="eastAsia" w:asciiTheme="minorEastAsia" w:hAnsiTheme="minorEastAsia" w:eastAsiaTheme="minorEastAsia"/>
          <w:sz w:val="24"/>
          <w:szCs w:val="24"/>
        </w:rPr>
        <w:t>日内向对方提供相关证明材料，双方应尽其最大可能地减少损失。若发生不可抗力事件，一方无需对因不能履行或迟延履行义务而导致另一方遭受的任何损害承担责任。</w:t>
      </w:r>
    </w:p>
    <w:p w14:paraId="6CB37004">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一方迟延履行义务后发生不可抗力的，不能免除该方的法律责任。</w:t>
      </w:r>
    </w:p>
    <w:p w14:paraId="7AE39729">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37" w:name="_Toc518311999"/>
      <w:r>
        <w:rPr>
          <w:rFonts w:hint="eastAsia" w:ascii="宋体" w:hAnsi="宋体"/>
          <w:b/>
          <w:kern w:val="2"/>
          <w:sz w:val="24"/>
          <w:szCs w:val="24"/>
        </w:rPr>
        <w:t>违约责任与合同解除</w:t>
      </w:r>
      <w:bookmarkEnd w:id="37"/>
    </w:p>
    <w:p w14:paraId="12788D9E">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6A443284">
      <w:pPr>
        <w:pStyle w:val="16"/>
        <w:numPr>
          <w:ilvl w:val="1"/>
          <w:numId w:val="25"/>
        </w:numPr>
        <w:spacing w:line="360" w:lineRule="auto"/>
        <w:ind w:left="0" w:firstLine="567"/>
        <w:rPr>
          <w:rFonts w:asciiTheme="minorEastAsia" w:hAnsiTheme="minorEastAsia" w:eastAsiaTheme="minorEastAsia"/>
          <w:sz w:val="24"/>
          <w:szCs w:val="24"/>
        </w:rPr>
      </w:pPr>
      <w:r>
        <w:rPr>
          <w:rFonts w:asciiTheme="minorEastAsia" w:hAnsiTheme="minorEastAsia" w:eastAsiaTheme="minorEastAsia"/>
          <w:sz w:val="24"/>
          <w:szCs w:val="24"/>
        </w:rPr>
        <w:t>乙方违反本合同规定逾期交货（含安装调试）或逾期提供服务的，每逾期</w:t>
      </w:r>
      <w:r>
        <w:rPr>
          <w:rFonts w:hint="eastAsia" w:asciiTheme="minorEastAsia" w:hAnsiTheme="minorEastAsia" w:eastAsiaTheme="minorEastAsia"/>
          <w:sz w:val="24"/>
          <w:szCs w:val="24"/>
        </w:rPr>
        <w:t>1</w:t>
      </w:r>
      <w:r>
        <w:rPr>
          <w:rFonts w:asciiTheme="minorEastAsia" w:hAnsiTheme="minorEastAsia" w:eastAsiaTheme="minorEastAsia"/>
          <w:sz w:val="24"/>
          <w:szCs w:val="24"/>
        </w:rPr>
        <w:t>日，须按</w:t>
      </w:r>
      <w:r>
        <w:rPr>
          <w:rFonts w:hint="eastAsia" w:asciiTheme="minorEastAsia" w:hAnsiTheme="minorEastAsia" w:eastAsiaTheme="minorEastAsia"/>
          <w:sz w:val="24"/>
          <w:szCs w:val="24"/>
        </w:rPr>
        <w:t>合同总金额</w:t>
      </w:r>
      <w:r>
        <w:rPr>
          <w:rFonts w:asciiTheme="minorEastAsia" w:hAnsiTheme="minorEastAsia" w:eastAsiaTheme="minorEastAsia"/>
          <w:sz w:val="24"/>
          <w:szCs w:val="24"/>
        </w:rPr>
        <w:t>的【0.5%】支付违约金给</w:t>
      </w:r>
      <w:r>
        <w:rPr>
          <w:rFonts w:hint="eastAsia" w:asciiTheme="minorEastAsia" w:hAnsiTheme="minorEastAsia" w:eastAsiaTheme="minorEastAsia"/>
          <w:sz w:val="24"/>
          <w:szCs w:val="24"/>
        </w:rPr>
        <w:t>甲方。</w:t>
      </w:r>
    </w:p>
    <w:p w14:paraId="243AEE13">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逾期交货超过【</w:t>
      </w:r>
      <w:r>
        <w:rPr>
          <w:rFonts w:asciiTheme="minorEastAsia" w:hAnsiTheme="minorEastAsia" w:eastAsiaTheme="minorEastAsia"/>
          <w:sz w:val="24"/>
          <w:szCs w:val="24"/>
        </w:rPr>
        <w:t>10</w:t>
      </w:r>
      <w:r>
        <w:rPr>
          <w:rFonts w:hint="eastAsia" w:asciiTheme="minorEastAsia" w:hAnsiTheme="minorEastAsia" w:eastAsiaTheme="minorEastAsia"/>
          <w:sz w:val="24"/>
          <w:szCs w:val="24"/>
        </w:rPr>
        <w:t>】日的，视为乙方不能交货，甲方有权单方解除合同，乙方须向甲方支付合同总金额【</w:t>
      </w:r>
      <w:r>
        <w:rPr>
          <w:rFonts w:asciiTheme="minorEastAsia" w:hAnsiTheme="minorEastAsia" w:eastAsiaTheme="minorEastAsia"/>
          <w:sz w:val="24"/>
          <w:szCs w:val="24"/>
        </w:rPr>
        <w:t>20%】违约金</w:t>
      </w:r>
      <w:r>
        <w:rPr>
          <w:rFonts w:hint="eastAsia" w:asciiTheme="minorEastAsia" w:hAnsiTheme="minorEastAsia" w:eastAsiaTheme="minorEastAsia"/>
          <w:sz w:val="24"/>
          <w:szCs w:val="24"/>
        </w:rPr>
        <w:t>，并另行赔偿因此造成甲方的其它损失。</w:t>
      </w:r>
    </w:p>
    <w:p w14:paraId="3BFD1497">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如乙方所供货物存在质量问题，或存在其他严重违约行为的，甲方有权单方解除合同或要求乙方整改、退换，乙方须向甲方支付合同总金额【</w:t>
      </w:r>
      <w:r>
        <w:rPr>
          <w:rFonts w:asciiTheme="minorEastAsia" w:hAnsiTheme="minorEastAsia" w:eastAsiaTheme="minorEastAsia"/>
          <w:sz w:val="24"/>
          <w:szCs w:val="24"/>
        </w:rPr>
        <w:t>20%】</w:t>
      </w:r>
      <w:r>
        <w:rPr>
          <w:rFonts w:hint="eastAsia" w:asciiTheme="minorEastAsia" w:hAnsiTheme="minorEastAsia" w:eastAsiaTheme="minorEastAsia"/>
          <w:sz w:val="24"/>
          <w:szCs w:val="24"/>
        </w:rPr>
        <w:t>违约金，由此给甲方或其他第三方造成的损失由乙方另行赔偿。</w:t>
      </w:r>
    </w:p>
    <w:p w14:paraId="6045B194">
      <w:pPr>
        <w:pStyle w:val="16"/>
        <w:numPr>
          <w:ilvl w:val="1"/>
          <w:numId w:val="25"/>
        </w:numPr>
        <w:spacing w:line="360" w:lineRule="auto"/>
        <w:ind w:left="0" w:firstLine="567"/>
        <w:rPr>
          <w:rFonts w:asciiTheme="minorEastAsia" w:hAnsiTheme="minorEastAsia" w:eastAsiaTheme="minorEastAsia"/>
          <w:sz w:val="24"/>
          <w:szCs w:val="24"/>
        </w:rPr>
      </w:pPr>
      <w:bookmarkStart w:id="38" w:name="_Hlk519870361"/>
      <w:r>
        <w:rPr>
          <w:rFonts w:asciiTheme="minorEastAsia" w:hAnsiTheme="minorEastAsia" w:eastAsiaTheme="minorEastAsia"/>
          <w:sz w:val="24"/>
          <w:szCs w:val="24"/>
        </w:rPr>
        <w:t>上述条款约定的违约金</w:t>
      </w:r>
      <w:r>
        <w:rPr>
          <w:rFonts w:hint="eastAsia" w:asciiTheme="minorEastAsia" w:hAnsiTheme="minorEastAsia" w:eastAsiaTheme="minorEastAsia"/>
          <w:sz w:val="24"/>
          <w:szCs w:val="24"/>
        </w:rPr>
        <w:t>、赔偿金甲方</w:t>
      </w:r>
      <w:bookmarkStart w:id="39" w:name="_Hlk520059152"/>
      <w:r>
        <w:rPr>
          <w:rFonts w:hint="eastAsia" w:asciiTheme="minorEastAsia" w:hAnsiTheme="minorEastAsia" w:eastAsiaTheme="minorEastAsia"/>
          <w:sz w:val="24"/>
          <w:szCs w:val="24"/>
        </w:rPr>
        <w:t>有权从任一批次合同款、质保金中扣除。</w:t>
      </w:r>
      <w:bookmarkEnd w:id="39"/>
      <w:r>
        <w:rPr>
          <w:rFonts w:hint="eastAsia" w:asciiTheme="minorEastAsia" w:hAnsiTheme="minorEastAsia" w:eastAsiaTheme="minorEastAsia"/>
          <w:sz w:val="24"/>
          <w:szCs w:val="24"/>
        </w:rPr>
        <w:t>甲方因向乙方主张权利或因本合同相关事宜被第三方追究责任而支付的合理费用包括但不限于律师费、财产保全担保费、公证费、鉴定费、差旅费及其他为实现权利而发生的费用由乙方承担。</w:t>
      </w:r>
    </w:p>
    <w:bookmarkEnd w:id="38"/>
    <w:p w14:paraId="5A9303E3">
      <w:pPr>
        <w:pStyle w:val="16"/>
        <w:numPr>
          <w:ilvl w:val="1"/>
          <w:numId w:val="25"/>
        </w:numPr>
        <w:spacing w:line="360" w:lineRule="auto"/>
        <w:ind w:left="0" w:firstLine="567"/>
        <w:rPr>
          <w:rFonts w:asciiTheme="minorEastAsia" w:hAnsiTheme="minorEastAsia" w:eastAsiaTheme="minorEastAsia"/>
          <w:sz w:val="24"/>
          <w:szCs w:val="24"/>
        </w:rPr>
      </w:pPr>
      <w:bookmarkStart w:id="40" w:name="_Hlk519870520"/>
      <w:r>
        <w:rPr>
          <w:rFonts w:hint="eastAsia" w:asciiTheme="minorEastAsia" w:hAnsiTheme="minorEastAsia" w:eastAsiaTheme="minorEastAsia"/>
          <w:sz w:val="24"/>
          <w:szCs w:val="24"/>
        </w:rPr>
        <w:t>在乙方履行合同规定的各项义务的前提下，甲方无正当理由逾期支付价款的，每逾期1日，则甲方应按应付未付金额的</w:t>
      </w:r>
      <w:r>
        <w:rPr>
          <w:rFonts w:asciiTheme="minorEastAsia" w:hAnsiTheme="minorEastAsia" w:eastAsiaTheme="minorEastAsia"/>
          <w:sz w:val="24"/>
          <w:szCs w:val="24"/>
        </w:rPr>
        <w:t>0.1</w:t>
      </w:r>
      <w:r>
        <w:rPr>
          <w:rFonts w:hint="eastAsia" w:asciiTheme="minorEastAsia" w:hAnsiTheme="minorEastAsia" w:eastAsiaTheme="minorEastAsia"/>
          <w:sz w:val="24"/>
          <w:szCs w:val="24"/>
        </w:rPr>
        <w:t>%向乙方支付违约金。</w:t>
      </w:r>
      <w:bookmarkEnd w:id="40"/>
    </w:p>
    <w:p w14:paraId="190C9C32">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41" w:name="_Toc518312001"/>
      <w:r>
        <w:rPr>
          <w:rFonts w:hint="eastAsia" w:ascii="宋体" w:hAnsi="宋体"/>
          <w:b/>
          <w:kern w:val="2"/>
          <w:sz w:val="24"/>
          <w:szCs w:val="24"/>
        </w:rPr>
        <w:t>争议解决</w:t>
      </w:r>
      <w:bookmarkEnd w:id="41"/>
    </w:p>
    <w:p w14:paraId="2DE982D4">
      <w:pPr>
        <w:widowControl/>
        <w:spacing w:line="360" w:lineRule="auto"/>
        <w:ind w:firstLine="480" w:firstLineChars="200"/>
        <w:textAlignment w:val="bottom"/>
        <w:rPr>
          <w:rFonts w:asciiTheme="minorEastAsia" w:hAnsiTheme="minorEastAsia" w:eastAsiaTheme="minorEastAsia"/>
          <w:kern w:val="2"/>
          <w:sz w:val="24"/>
        </w:rPr>
      </w:pPr>
      <w:bookmarkStart w:id="42" w:name="_Hlk520710740"/>
      <w:bookmarkStart w:id="43" w:name="_Hlk520710721"/>
      <w:r>
        <w:rPr>
          <w:rFonts w:hint="eastAsia" w:asciiTheme="minorEastAsia" w:hAnsiTheme="minorEastAsia" w:eastAsiaTheme="minorEastAsia"/>
          <w:kern w:val="2"/>
          <w:sz w:val="24"/>
        </w:rPr>
        <w:t>本合同履行过程中如发生争议，双方应友好协商解决。协商不成的，任何一方有权向甲方住所地有管辖权的人民法院提起诉讼</w:t>
      </w:r>
      <w:bookmarkStart w:id="44" w:name="_Hlk520059954"/>
      <w:bookmarkStart w:id="45" w:name="_Hlk520059941"/>
      <w:r>
        <w:rPr>
          <w:rFonts w:hint="eastAsia" w:asciiTheme="minorEastAsia" w:hAnsiTheme="minorEastAsia" w:eastAsiaTheme="minorEastAsia"/>
          <w:kern w:val="2"/>
          <w:sz w:val="24"/>
        </w:rPr>
        <w:t>。</w:t>
      </w:r>
      <w:bookmarkEnd w:id="42"/>
      <w:bookmarkEnd w:id="44"/>
    </w:p>
    <w:bookmarkEnd w:id="43"/>
    <w:bookmarkEnd w:id="45"/>
    <w:p w14:paraId="2B51F0C6">
      <w:pPr>
        <w:pStyle w:val="59"/>
        <w:numPr>
          <w:ilvl w:val="0"/>
          <w:numId w:val="22"/>
        </w:numPr>
        <w:tabs>
          <w:tab w:val="clear" w:pos="1102"/>
        </w:tabs>
        <w:autoSpaceDE/>
        <w:autoSpaceDN/>
        <w:adjustRightInd/>
        <w:spacing w:before="240" w:line="480" w:lineRule="auto"/>
        <w:ind w:left="982" w:hanging="420" w:firstLineChars="0"/>
        <w:jc w:val="both"/>
        <w:rPr>
          <w:rFonts w:ascii="宋体" w:hAnsi="宋体"/>
          <w:b/>
          <w:kern w:val="2"/>
          <w:sz w:val="24"/>
          <w:szCs w:val="24"/>
        </w:rPr>
      </w:pPr>
      <w:bookmarkStart w:id="46" w:name="_Toc518312003"/>
      <w:r>
        <w:rPr>
          <w:rFonts w:hint="eastAsia" w:ascii="宋体" w:hAnsi="宋体"/>
          <w:b/>
          <w:kern w:val="2"/>
          <w:sz w:val="24"/>
          <w:szCs w:val="24"/>
        </w:rPr>
        <w:t>其他</w:t>
      </w:r>
      <w:bookmarkEnd w:id="46"/>
    </w:p>
    <w:p w14:paraId="5C3876F0">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60308B43">
      <w:pPr>
        <w:pStyle w:val="59"/>
        <w:numPr>
          <w:ilvl w:val="0"/>
          <w:numId w:val="25"/>
        </w:numPr>
        <w:autoSpaceDE/>
        <w:autoSpaceDN/>
        <w:adjustRightInd/>
        <w:spacing w:line="360" w:lineRule="auto"/>
        <w:ind w:firstLineChars="0"/>
        <w:jc w:val="both"/>
        <w:rPr>
          <w:rFonts w:asciiTheme="minorEastAsia" w:hAnsiTheme="minorEastAsia" w:eastAsiaTheme="minorEastAsia"/>
          <w:vanish/>
          <w:kern w:val="2"/>
          <w:sz w:val="24"/>
          <w:szCs w:val="24"/>
        </w:rPr>
      </w:pPr>
    </w:p>
    <w:p w14:paraId="3D601830">
      <w:pPr>
        <w:pStyle w:val="16"/>
        <w:numPr>
          <w:ilvl w:val="1"/>
          <w:numId w:val="25"/>
        </w:numPr>
        <w:spacing w:line="360" w:lineRule="auto"/>
        <w:ind w:left="0" w:firstLine="567"/>
        <w:rPr>
          <w:rFonts w:asciiTheme="minorEastAsia" w:hAnsiTheme="minorEastAsia" w:eastAsiaTheme="minorEastAsia"/>
          <w:sz w:val="24"/>
          <w:szCs w:val="24"/>
        </w:rPr>
      </w:pPr>
      <w:r>
        <w:rPr>
          <w:rFonts w:hint="eastAsia" w:asciiTheme="minorEastAsia" w:hAnsiTheme="minorEastAsia" w:eastAsiaTheme="minorEastAsia"/>
          <w:sz w:val="24"/>
          <w:szCs w:val="24"/>
        </w:rPr>
        <w:t>合同修改和补充。合同未尽事宜，应由双方友好协商解决。如需对合同及其附件作任何修改或补充，须由双方以书面做出方为有效。修改或补充文件与本合同有不一致的，以修改或补充文件为准。</w:t>
      </w:r>
    </w:p>
    <w:p w14:paraId="63B9D244">
      <w:pPr>
        <w:pStyle w:val="16"/>
        <w:numPr>
          <w:ilvl w:val="1"/>
          <w:numId w:val="25"/>
        </w:numPr>
        <w:spacing w:line="360" w:lineRule="auto"/>
        <w:ind w:left="0" w:firstLine="567"/>
        <w:rPr>
          <w:rFonts w:asciiTheme="minorEastAsia" w:hAnsiTheme="minorEastAsia" w:eastAsiaTheme="minorEastAsia"/>
          <w:sz w:val="24"/>
          <w:szCs w:val="24"/>
        </w:rPr>
      </w:pPr>
      <w:r>
        <w:rPr>
          <w:rFonts w:asciiTheme="minorEastAsia" w:hAnsiTheme="minorEastAsia" w:eastAsiaTheme="minorEastAsia"/>
          <w:sz w:val="24"/>
          <w:szCs w:val="24"/>
        </w:rPr>
        <w:t>本</w:t>
      </w:r>
      <w:r>
        <w:rPr>
          <w:rFonts w:hint="eastAsia" w:asciiTheme="minorEastAsia" w:hAnsiTheme="minorEastAsia" w:eastAsiaTheme="minorEastAsia"/>
          <w:sz w:val="24"/>
          <w:szCs w:val="24"/>
        </w:rPr>
        <w:t>合同</w:t>
      </w:r>
      <w:r>
        <w:rPr>
          <w:rFonts w:asciiTheme="minorEastAsia" w:hAnsiTheme="minorEastAsia" w:eastAsiaTheme="minorEastAsia"/>
          <w:sz w:val="24"/>
          <w:szCs w:val="24"/>
        </w:rPr>
        <w:t>自</w:t>
      </w:r>
      <w:r>
        <w:rPr>
          <w:rFonts w:hint="eastAsia" w:asciiTheme="minorEastAsia" w:hAnsiTheme="minorEastAsia" w:eastAsiaTheme="minorEastAsia"/>
          <w:sz w:val="24"/>
          <w:szCs w:val="24"/>
        </w:rPr>
        <w:t>双方签署（单位加盖公章、法定代表人或授权代表签名）</w:t>
      </w:r>
      <w:r>
        <w:rPr>
          <w:rFonts w:asciiTheme="minorEastAsia" w:hAnsiTheme="minorEastAsia" w:eastAsiaTheme="minorEastAsia"/>
          <w:sz w:val="24"/>
          <w:szCs w:val="24"/>
        </w:rPr>
        <w:t>之日起生效之日起生效。</w:t>
      </w:r>
      <w:r>
        <w:rPr>
          <w:rFonts w:hint="eastAsia" w:asciiTheme="minorEastAsia" w:hAnsiTheme="minorEastAsia" w:eastAsiaTheme="minorEastAsia"/>
          <w:sz w:val="24"/>
          <w:szCs w:val="24"/>
        </w:rPr>
        <w:t>本合同壹</w:t>
      </w:r>
      <w:r>
        <w:rPr>
          <w:rFonts w:asciiTheme="minorEastAsia" w:hAnsiTheme="minorEastAsia" w:eastAsiaTheme="minorEastAsia"/>
          <w:sz w:val="24"/>
          <w:szCs w:val="24"/>
        </w:rPr>
        <w:t>式</w:t>
      </w: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ffData>
            <w:name w:val="文字33"/>
            <w:enabled/>
            <w:calcOnExit w:val="0"/>
            <w:textInput/>
          </w:ffData>
        </w:fldChar>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FORMTEXT</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     </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rPr>
          <w:rFonts w:asciiTheme="minorEastAsia" w:hAnsiTheme="minorEastAsia" w:eastAsiaTheme="minorEastAsia"/>
          <w:sz w:val="24"/>
          <w:szCs w:val="24"/>
        </w:rPr>
        <w:t>份，甲</w:t>
      </w:r>
      <w:r>
        <w:rPr>
          <w:rFonts w:hint="eastAsia" w:asciiTheme="minorEastAsia" w:hAnsiTheme="minorEastAsia" w:eastAsiaTheme="minorEastAsia"/>
          <w:sz w:val="24"/>
          <w:szCs w:val="24"/>
        </w:rPr>
        <w:t>、</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双方</w:t>
      </w:r>
      <w:r>
        <w:rPr>
          <w:rFonts w:asciiTheme="minorEastAsia" w:hAnsiTheme="minorEastAsia" w:eastAsiaTheme="minorEastAsia"/>
          <w:sz w:val="24"/>
          <w:szCs w:val="24"/>
        </w:rPr>
        <w:t>各执</w:t>
      </w:r>
      <w:r>
        <w:rPr>
          <w:rFonts w:hint="eastAsia" w:asciiTheme="minorEastAsia" w:hAnsiTheme="minorEastAsia" w:eastAsiaTheme="minorEastAsia"/>
          <w:sz w:val="24"/>
          <w:szCs w:val="24"/>
        </w:rPr>
        <w:t>【</w:t>
      </w:r>
      <w:r>
        <w:rPr>
          <w:rFonts w:asciiTheme="minorEastAsia" w:hAnsiTheme="minorEastAsia" w:eastAsiaTheme="minorEastAsia"/>
          <w:sz w:val="24"/>
          <w:szCs w:val="24"/>
        </w:rPr>
        <w:fldChar w:fldCharType="begin">
          <w:ffData>
            <w:name w:val="文字33"/>
            <w:enabled/>
            <w:calcOnExit w:val="0"/>
            <w:textInput/>
          </w:ffData>
        </w:fldChar>
      </w:r>
      <w:r>
        <w:rPr>
          <w:rFonts w:asciiTheme="minorEastAsia" w:hAnsiTheme="minorEastAsia" w:eastAsiaTheme="minorEastAsia"/>
          <w:sz w:val="24"/>
          <w:szCs w:val="24"/>
        </w:rPr>
        <w:instrText xml:space="preserve"> </w:instrText>
      </w:r>
      <w:r>
        <w:rPr>
          <w:rFonts w:hint="eastAsia" w:asciiTheme="minorEastAsia" w:hAnsiTheme="minorEastAsia" w:eastAsiaTheme="minorEastAsia"/>
          <w:sz w:val="24"/>
          <w:szCs w:val="24"/>
        </w:rPr>
        <w:instrText xml:space="preserve">FORMTEXT</w:instrText>
      </w:r>
      <w:r>
        <w:rPr>
          <w:rFonts w:asciiTheme="minorEastAsia" w:hAnsiTheme="minorEastAsia" w:eastAsiaTheme="minorEastAsia"/>
          <w:sz w:val="24"/>
          <w:szCs w:val="24"/>
        </w:rPr>
        <w:instrText xml:space="preserve">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rPr>
        <w:t>     </w:t>
      </w:r>
      <w:r>
        <w:rPr>
          <w:rFonts w:asciiTheme="minorEastAsia" w:hAnsiTheme="minorEastAsia" w:eastAsiaTheme="minorEastAsia"/>
          <w:sz w:val="24"/>
          <w:szCs w:val="24"/>
        </w:rPr>
        <w:fldChar w:fldCharType="end"/>
      </w:r>
      <w:r>
        <w:rPr>
          <w:rFonts w:hint="eastAsia" w:asciiTheme="minorEastAsia" w:hAnsiTheme="minorEastAsia" w:eastAsiaTheme="minorEastAsia"/>
          <w:sz w:val="24"/>
          <w:szCs w:val="24"/>
        </w:rPr>
        <w:t>】</w:t>
      </w:r>
      <w:r>
        <w:rPr>
          <w:rFonts w:asciiTheme="minorEastAsia" w:hAnsiTheme="minorEastAsia" w:eastAsiaTheme="minorEastAsia"/>
          <w:sz w:val="24"/>
          <w:szCs w:val="24"/>
        </w:rPr>
        <w:t>份，具有同等法律效力。</w:t>
      </w:r>
    </w:p>
    <w:p w14:paraId="21313034">
      <w:pPr>
        <w:widowControl/>
        <w:spacing w:line="360" w:lineRule="auto"/>
        <w:ind w:firstLine="424" w:firstLineChars="177"/>
        <w:textAlignment w:val="bottom"/>
        <w:rPr>
          <w:rFonts w:asciiTheme="minorEastAsia" w:hAnsiTheme="minorEastAsia" w:eastAsiaTheme="minorEastAsia"/>
          <w:kern w:val="2"/>
          <w:sz w:val="24"/>
        </w:rPr>
      </w:pPr>
      <w:r>
        <w:rPr>
          <w:rFonts w:hint="eastAsia" w:asciiTheme="minorEastAsia" w:hAnsiTheme="minorEastAsia" w:eastAsiaTheme="minorEastAsia"/>
          <w:kern w:val="2"/>
          <w:sz w:val="24"/>
        </w:rPr>
        <w:t>（以下无正文）</w:t>
      </w:r>
    </w:p>
    <w:p w14:paraId="5F3CDC43">
      <w:pPr>
        <w:spacing w:line="360" w:lineRule="auto"/>
        <w:rPr>
          <w:rFonts w:asciiTheme="minorEastAsia" w:hAnsiTheme="minorEastAsia" w:eastAsiaTheme="minorEastAsia"/>
          <w:sz w:val="24"/>
        </w:rPr>
      </w:pPr>
      <w:bookmarkStart w:id="47" w:name="_Hlk12866345"/>
      <w:bookmarkStart w:id="48" w:name="_Hlk12873992"/>
      <w:r>
        <w:rPr>
          <w:rFonts w:hint="eastAsia" w:asciiTheme="minorEastAsia" w:hAnsiTheme="minorEastAsia" w:eastAsiaTheme="minorEastAsia"/>
          <w:sz w:val="24"/>
        </w:rPr>
        <w:t>（此页无正文，为《</w:t>
      </w:r>
      <w:r>
        <w:rPr>
          <w:rFonts w:asciiTheme="minorEastAsia" w:hAnsiTheme="minorEastAsia" w:eastAsiaTheme="minorEastAsia"/>
          <w:kern w:val="2"/>
          <w:sz w:val="24"/>
          <w:lang w:eastAsia="zh-CN"/>
        </w:rPr>
        <w:fldChar w:fldCharType="begin">
          <w:ffData>
            <w:name w:val="文字13"/>
            <w:enabled/>
            <w:calcOnExit w:val="0"/>
            <w:textInput/>
          </w:ffData>
        </w:fldChar>
      </w:r>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r>
        <w:rPr>
          <w:rFonts w:hint="eastAsia" w:asciiTheme="minorEastAsia" w:hAnsiTheme="minorEastAsia" w:eastAsiaTheme="minorEastAsia"/>
          <w:sz w:val="24"/>
          <w:lang w:eastAsia="zh-CN"/>
        </w:rPr>
        <w:t>小额</w:t>
      </w:r>
      <w:r>
        <w:rPr>
          <w:rFonts w:hint="eastAsia" w:asciiTheme="minorEastAsia" w:hAnsiTheme="minorEastAsia" w:eastAsiaTheme="minorEastAsia"/>
          <w:sz w:val="24"/>
        </w:rPr>
        <w:t>货物采购合同》签署页【合同编号：</w:t>
      </w:r>
      <w:r>
        <w:rPr>
          <w:rFonts w:asciiTheme="minorEastAsia" w:hAnsiTheme="minorEastAsia" w:eastAsiaTheme="minorEastAsia"/>
          <w:kern w:val="2"/>
          <w:sz w:val="24"/>
          <w:lang w:eastAsia="zh-CN"/>
        </w:rPr>
        <w:fldChar w:fldCharType="begin">
          <w:ffData>
            <w:name w:val="文字13"/>
            <w:enabled/>
            <w:calcOnExit w:val="0"/>
            <w:textInput/>
          </w:ffData>
        </w:fldChar>
      </w:r>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r>
        <w:rPr>
          <w:rFonts w:hint="eastAsia" w:asciiTheme="minorEastAsia" w:hAnsiTheme="minorEastAsia" w:eastAsiaTheme="minorEastAsia"/>
          <w:sz w:val="24"/>
        </w:rPr>
        <w:t>】）</w:t>
      </w:r>
    </w:p>
    <w:bookmarkEnd w:id="47"/>
    <w:p w14:paraId="7537443B">
      <w:pPr>
        <w:spacing w:line="360" w:lineRule="auto"/>
        <w:rPr>
          <w:rFonts w:hint="eastAsia" w:asciiTheme="minorEastAsia" w:hAnsiTheme="minorEastAsia" w:eastAsiaTheme="minorEastAsia"/>
          <w:sz w:val="24"/>
        </w:rPr>
      </w:pPr>
      <w:bookmarkStart w:id="49" w:name="_Hlk12866387"/>
    </w:p>
    <w:p w14:paraId="604A8A88">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甲方（盖章）：广东省广播电视网络股份有限公司</w:t>
      </w:r>
      <w:r>
        <w:rPr>
          <w:rFonts w:hint="eastAsia" w:asciiTheme="minorEastAsia" w:hAnsiTheme="minorEastAsia" w:eastAsiaTheme="minorEastAsia"/>
          <w:sz w:val="24"/>
          <w:lang w:eastAsia="zh-CN"/>
        </w:rPr>
        <w:t>佛山</w:t>
      </w:r>
      <w:r>
        <w:rPr>
          <w:rFonts w:hint="eastAsia" w:asciiTheme="minorEastAsia" w:hAnsiTheme="minorEastAsia" w:eastAsiaTheme="minorEastAsia"/>
          <w:kern w:val="2"/>
          <w:sz w:val="24"/>
          <w:lang w:eastAsia="zh-CN"/>
        </w:rPr>
        <w:t>高明</w:t>
      </w:r>
      <w:r>
        <w:rPr>
          <w:rFonts w:hint="eastAsia" w:asciiTheme="minorEastAsia" w:hAnsiTheme="minorEastAsia" w:eastAsiaTheme="minorEastAsia"/>
          <w:sz w:val="24"/>
        </w:rPr>
        <w:t>分公司</w:t>
      </w:r>
    </w:p>
    <w:p w14:paraId="4B0018B4">
      <w:pPr>
        <w:spacing w:line="360" w:lineRule="auto"/>
        <w:rPr>
          <w:rFonts w:asciiTheme="minorEastAsia" w:hAnsiTheme="minorEastAsia" w:eastAsiaTheme="minorEastAsia"/>
          <w:sz w:val="24"/>
        </w:rPr>
      </w:pPr>
      <w:r>
        <w:rPr>
          <w:rFonts w:hint="eastAsia" w:asciiTheme="minorEastAsia" w:hAnsiTheme="minorEastAsia" w:eastAsiaTheme="minorEastAsia"/>
          <w:sz w:val="24"/>
          <w:lang w:eastAsia="zh-CN"/>
        </w:rPr>
        <w:t>负责</w:t>
      </w:r>
      <w:r>
        <w:rPr>
          <w:rFonts w:hint="eastAsia" w:asciiTheme="minorEastAsia" w:hAnsiTheme="minorEastAsia" w:eastAsiaTheme="minorEastAsia"/>
          <w:sz w:val="24"/>
        </w:rPr>
        <w:t>人或授权代表（签名）：</w:t>
      </w:r>
    </w:p>
    <w:p w14:paraId="7D0B8F6E">
      <w:pPr>
        <w:spacing w:line="360" w:lineRule="auto"/>
        <w:rPr>
          <w:rFonts w:asciiTheme="minorEastAsia" w:hAnsiTheme="minorEastAsia" w:eastAsiaTheme="minorEastAsia"/>
          <w:sz w:val="24"/>
        </w:rPr>
      </w:pPr>
      <w:r>
        <w:rPr>
          <w:rFonts w:hint="eastAsia" w:asciiTheme="minorEastAsia" w:hAnsiTheme="minorEastAsia" w:eastAsiaTheme="minorEastAsia"/>
          <w:sz w:val="24"/>
        </w:rPr>
        <w:t>经办人（签名）：</w:t>
      </w:r>
    </w:p>
    <w:p w14:paraId="65143AB7">
      <w:pPr>
        <w:spacing w:line="360" w:lineRule="auto"/>
        <w:rPr>
          <w:rFonts w:asciiTheme="minorEastAsia" w:hAnsiTheme="minorEastAsia" w:eastAsiaTheme="minorEastAsia"/>
          <w:sz w:val="24"/>
        </w:rPr>
      </w:pPr>
    </w:p>
    <w:p w14:paraId="57839D02">
      <w:pPr>
        <w:spacing w:line="360" w:lineRule="auto"/>
        <w:rPr>
          <w:rFonts w:asciiTheme="minorEastAsia" w:hAnsiTheme="minorEastAsia" w:eastAsiaTheme="minorEastAsia"/>
          <w:sz w:val="24"/>
        </w:rPr>
      </w:pPr>
      <w:r>
        <w:rPr>
          <w:rFonts w:hint="eastAsia" w:asciiTheme="minorEastAsia" w:hAnsiTheme="minorEastAsia" w:eastAsiaTheme="minorEastAsia"/>
          <w:sz w:val="24"/>
        </w:rPr>
        <w:t>签署日期：     年     月     日</w:t>
      </w:r>
    </w:p>
    <w:p w14:paraId="193F60A3">
      <w:pPr>
        <w:spacing w:line="360" w:lineRule="auto"/>
        <w:rPr>
          <w:rFonts w:asciiTheme="minorEastAsia" w:hAnsiTheme="minorEastAsia" w:eastAsiaTheme="minorEastAsia"/>
          <w:sz w:val="24"/>
        </w:rPr>
      </w:pPr>
    </w:p>
    <w:p w14:paraId="09A12BDB">
      <w:p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乙方（盖章）：  </w:t>
      </w:r>
      <w:r>
        <w:rPr>
          <w:rFonts w:asciiTheme="minorEastAsia" w:hAnsiTheme="minorEastAsia" w:eastAsiaTheme="minorEastAsia"/>
          <w:kern w:val="2"/>
          <w:sz w:val="24"/>
          <w:lang w:eastAsia="zh-CN"/>
        </w:rPr>
        <w:fldChar w:fldCharType="begin">
          <w:ffData>
            <w:name w:val="文字13"/>
            <w:enabled/>
            <w:calcOnExit w:val="0"/>
            <w:textInput/>
          </w:ffData>
        </w:fldChar>
      </w:r>
      <w:r>
        <w:rPr>
          <w:rFonts w:asciiTheme="minorEastAsia" w:hAnsiTheme="minorEastAsia" w:eastAsiaTheme="minorEastAsia"/>
          <w:kern w:val="2"/>
          <w:sz w:val="24"/>
          <w:lang w:eastAsia="zh-CN"/>
        </w:rPr>
        <w:instrText xml:space="preserve"> </w:instrText>
      </w:r>
      <w:r>
        <w:rPr>
          <w:rFonts w:hint="eastAsia" w:asciiTheme="minorEastAsia" w:hAnsiTheme="minorEastAsia" w:eastAsiaTheme="minorEastAsia"/>
          <w:kern w:val="2"/>
          <w:sz w:val="24"/>
          <w:lang w:eastAsia="zh-CN"/>
        </w:rPr>
        <w:instrText xml:space="preserve">FORMTEXT</w:instrText>
      </w:r>
      <w:r>
        <w:rPr>
          <w:rFonts w:asciiTheme="minorEastAsia" w:hAnsiTheme="minorEastAsia" w:eastAsiaTheme="minorEastAsia"/>
          <w:kern w:val="2"/>
          <w:sz w:val="24"/>
          <w:lang w:eastAsia="zh-CN"/>
        </w:rPr>
        <w:instrText xml:space="preserve"> </w:instrText>
      </w:r>
      <w:r>
        <w:rPr>
          <w:rFonts w:asciiTheme="minorEastAsia" w:hAnsiTheme="minorEastAsia" w:eastAsiaTheme="minorEastAsia"/>
          <w:kern w:val="2"/>
          <w:sz w:val="24"/>
          <w:lang w:eastAsia="zh-CN"/>
        </w:rPr>
        <w:fldChar w:fldCharType="separate"/>
      </w:r>
      <w:r>
        <w:rPr>
          <w:rFonts w:asciiTheme="minorEastAsia" w:hAnsiTheme="minorEastAsia" w:eastAsiaTheme="minorEastAsia"/>
          <w:kern w:val="2"/>
          <w:sz w:val="24"/>
          <w:lang w:eastAsia="zh-CN"/>
        </w:rPr>
        <w:t>     </w:t>
      </w:r>
      <w:r>
        <w:rPr>
          <w:rFonts w:asciiTheme="minorEastAsia" w:hAnsiTheme="minorEastAsia" w:eastAsiaTheme="minorEastAsia"/>
          <w:kern w:val="2"/>
          <w:sz w:val="24"/>
          <w:lang w:eastAsia="zh-CN"/>
        </w:rPr>
        <w:fldChar w:fldCharType="end"/>
      </w:r>
      <w:r>
        <w:rPr>
          <w:rFonts w:hint="eastAsia" w:asciiTheme="minorEastAsia" w:hAnsiTheme="minorEastAsia" w:eastAsiaTheme="minorEastAsia"/>
          <w:sz w:val="24"/>
        </w:rPr>
        <w:t xml:space="preserve"> </w:t>
      </w:r>
    </w:p>
    <w:p w14:paraId="706F9E62">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法定代表人或授权代表（签名）：</w:t>
      </w:r>
    </w:p>
    <w:p w14:paraId="2D0F525A">
      <w:pPr>
        <w:spacing w:line="360" w:lineRule="auto"/>
        <w:rPr>
          <w:rFonts w:asciiTheme="minorEastAsia" w:hAnsiTheme="minorEastAsia" w:eastAsiaTheme="minorEastAsia"/>
          <w:sz w:val="24"/>
        </w:rPr>
      </w:pPr>
      <w:r>
        <w:rPr>
          <w:rFonts w:hint="eastAsia" w:asciiTheme="minorEastAsia" w:hAnsiTheme="minorEastAsia" w:eastAsiaTheme="minorEastAsia"/>
          <w:sz w:val="24"/>
        </w:rPr>
        <w:t>经办人（签名）：</w:t>
      </w:r>
    </w:p>
    <w:p w14:paraId="30265BE8">
      <w:pPr>
        <w:spacing w:line="360" w:lineRule="auto"/>
        <w:rPr>
          <w:rFonts w:asciiTheme="minorEastAsia" w:hAnsiTheme="minorEastAsia" w:eastAsiaTheme="minorEastAsia"/>
          <w:sz w:val="24"/>
        </w:rPr>
      </w:pPr>
    </w:p>
    <w:p w14:paraId="1DC56B4A">
      <w:pPr>
        <w:spacing w:line="360" w:lineRule="auto"/>
        <w:rPr>
          <w:rFonts w:asciiTheme="minorEastAsia" w:hAnsiTheme="minorEastAsia" w:eastAsiaTheme="minorEastAsia"/>
          <w:sz w:val="24"/>
        </w:rPr>
      </w:pPr>
      <w:r>
        <w:rPr>
          <w:rFonts w:hint="eastAsia" w:asciiTheme="minorEastAsia" w:hAnsiTheme="minorEastAsia" w:eastAsiaTheme="minorEastAsia"/>
          <w:sz w:val="24"/>
        </w:rPr>
        <w:t>签署日期：      年     月      日</w:t>
      </w:r>
    </w:p>
    <w:bookmarkEnd w:id="49"/>
    <w:p w14:paraId="14ED7C6E">
      <w:pPr>
        <w:spacing w:line="360" w:lineRule="auto"/>
        <w:rPr>
          <w:rFonts w:asciiTheme="minorEastAsia" w:hAnsiTheme="minorEastAsia" w:eastAsiaTheme="minorEastAsia"/>
          <w:sz w:val="24"/>
        </w:rPr>
      </w:pPr>
    </w:p>
    <w:p w14:paraId="7DC133AE">
      <w:pPr>
        <w:spacing w:line="360" w:lineRule="auto"/>
        <w:rPr>
          <w:rFonts w:asciiTheme="minorEastAsia" w:hAnsiTheme="minorEastAsia" w:eastAsiaTheme="minorEastAsia"/>
          <w:sz w:val="24"/>
        </w:rPr>
      </w:pPr>
      <w:r>
        <w:rPr>
          <w:rFonts w:hint="eastAsia" w:asciiTheme="minorEastAsia" w:hAnsiTheme="minorEastAsia" w:eastAsiaTheme="minorEastAsia"/>
          <w:sz w:val="24"/>
        </w:rPr>
        <w:t>合同签订地：</w:t>
      </w:r>
      <w:bookmarkEnd w:id="48"/>
    </w:p>
    <w:p w14:paraId="729C6712">
      <w:pPr>
        <w:numPr>
          <w:ilvl w:val="0"/>
          <w:numId w:val="0"/>
        </w:numPr>
        <w:spacing w:after="0" w:line="360" w:lineRule="auto"/>
        <w:rPr>
          <w:rFonts w:hint="eastAsia" w:cs="Tahoma" w:asciiTheme="minorEastAsia" w:hAnsiTheme="minorEastAsia" w:eastAsiaTheme="minorEastAsia"/>
          <w:b/>
          <w:color w:val="000000"/>
          <w:sz w:val="24"/>
          <w:szCs w:val="24"/>
        </w:rPr>
      </w:pPr>
    </w:p>
    <w:p w14:paraId="14113F59">
      <w:pPr>
        <w:rPr>
          <w:rFonts w:ascii="宋体" w:hAnsi="宋体" w:cs="宋体"/>
          <w:b/>
          <w:bCs/>
          <w:sz w:val="28"/>
          <w:szCs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1395B">
    <w:pPr>
      <w:pStyle w:val="2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p w14:paraId="36174189">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7185E6"/>
    <w:multiLevelType w:val="singleLevel"/>
    <w:tmpl w:val="987185E6"/>
    <w:lvl w:ilvl="0" w:tentative="0">
      <w:start w:val="1"/>
      <w:numFmt w:val="decimal"/>
      <w:lvlText w:val="(%1)"/>
      <w:lvlJc w:val="left"/>
      <w:pPr>
        <w:ind w:left="425" w:hanging="425"/>
      </w:pPr>
      <w:rPr>
        <w:rFonts w:hint="default"/>
      </w:rPr>
    </w:lvl>
  </w:abstractNum>
  <w:abstractNum w:abstractNumId="1">
    <w:nsid w:val="AFEFE4D0"/>
    <w:multiLevelType w:val="singleLevel"/>
    <w:tmpl w:val="AFEFE4D0"/>
    <w:lvl w:ilvl="0" w:tentative="0">
      <w:start w:val="1"/>
      <w:numFmt w:val="decimal"/>
      <w:suff w:val="space"/>
      <w:lvlText w:val="%1."/>
      <w:lvlJc w:val="left"/>
      <w:pPr>
        <w:ind w:left="425" w:hanging="425"/>
      </w:pPr>
      <w:rPr>
        <w:rFonts w:hint="default"/>
      </w:rPr>
    </w:lvl>
  </w:abstractNum>
  <w:abstractNum w:abstractNumId="2">
    <w:nsid w:val="CC9FC98B"/>
    <w:multiLevelType w:val="singleLevel"/>
    <w:tmpl w:val="CC9FC98B"/>
    <w:lvl w:ilvl="0" w:tentative="0">
      <w:start w:val="1"/>
      <w:numFmt w:val="decimal"/>
      <w:suff w:val="space"/>
      <w:lvlText w:val="%1."/>
      <w:lvlJc w:val="left"/>
      <w:pPr>
        <w:ind w:left="425" w:hanging="425"/>
      </w:pPr>
      <w:rPr>
        <w:rFonts w:hint="default"/>
      </w:rPr>
    </w:lvl>
  </w:abstractNum>
  <w:abstractNum w:abstractNumId="3">
    <w:nsid w:val="DAE714B1"/>
    <w:multiLevelType w:val="singleLevel"/>
    <w:tmpl w:val="DAE714B1"/>
    <w:lvl w:ilvl="0" w:tentative="0">
      <w:start w:val="1"/>
      <w:numFmt w:val="decimal"/>
      <w:suff w:val="space"/>
      <w:lvlText w:val="%1."/>
      <w:lvlJc w:val="left"/>
      <w:pPr>
        <w:ind w:left="425" w:hanging="425"/>
      </w:pPr>
      <w:rPr>
        <w:rFonts w:hint="default"/>
      </w:rPr>
    </w:lvl>
  </w:abstractNum>
  <w:abstractNum w:abstractNumId="4">
    <w:nsid w:val="EAA36F58"/>
    <w:multiLevelType w:val="singleLevel"/>
    <w:tmpl w:val="EAA36F58"/>
    <w:lvl w:ilvl="0" w:tentative="0">
      <w:start w:val="1"/>
      <w:numFmt w:val="decimal"/>
      <w:suff w:val="space"/>
      <w:lvlText w:val="(%1)"/>
      <w:lvlJc w:val="left"/>
      <w:pPr>
        <w:ind w:left="845" w:hanging="425"/>
      </w:pPr>
      <w:rPr>
        <w:rFonts w:hint="default"/>
      </w:rPr>
    </w:lvl>
  </w:abstractNum>
  <w:abstractNum w:abstractNumId="5">
    <w:nsid w:val="EBBFA8F8"/>
    <w:multiLevelType w:val="singleLevel"/>
    <w:tmpl w:val="EBBFA8F8"/>
    <w:lvl w:ilvl="0" w:tentative="0">
      <w:start w:val="1"/>
      <w:numFmt w:val="decimal"/>
      <w:suff w:val="space"/>
      <w:lvlText w:val="%1."/>
      <w:lvlJc w:val="left"/>
      <w:pPr>
        <w:ind w:left="425" w:hanging="425"/>
      </w:pPr>
      <w:rPr>
        <w:rFonts w:hint="default"/>
      </w:rPr>
    </w:lvl>
  </w:abstractNum>
  <w:abstractNum w:abstractNumId="6">
    <w:nsid w:val="F66E68F8"/>
    <w:multiLevelType w:val="singleLevel"/>
    <w:tmpl w:val="F66E68F8"/>
    <w:lvl w:ilvl="0" w:tentative="0">
      <w:start w:val="1"/>
      <w:numFmt w:val="decimal"/>
      <w:suff w:val="space"/>
      <w:lvlText w:val="%1."/>
      <w:lvlJc w:val="left"/>
      <w:pPr>
        <w:ind w:left="425" w:hanging="425"/>
      </w:pPr>
      <w:rPr>
        <w:rFonts w:hint="default"/>
      </w:rPr>
    </w:lvl>
  </w:abstractNum>
  <w:abstractNum w:abstractNumId="7">
    <w:nsid w:val="FE4EB068"/>
    <w:multiLevelType w:val="singleLevel"/>
    <w:tmpl w:val="FE4EB068"/>
    <w:lvl w:ilvl="0" w:tentative="0">
      <w:start w:val="1"/>
      <w:numFmt w:val="chineseCounting"/>
      <w:suff w:val="nothing"/>
      <w:lvlText w:val="（%1）"/>
      <w:lvlJc w:val="left"/>
      <w:pPr>
        <w:ind w:left="-210" w:firstLine="420"/>
      </w:pPr>
      <w:rPr>
        <w:rFonts w:hint="eastAsia"/>
      </w:rPr>
    </w:lvl>
  </w:abstractNum>
  <w:abstractNum w:abstractNumId="8">
    <w:nsid w:val="00F78758"/>
    <w:multiLevelType w:val="singleLevel"/>
    <w:tmpl w:val="00F78758"/>
    <w:lvl w:ilvl="0" w:tentative="0">
      <w:start w:val="1"/>
      <w:numFmt w:val="decimal"/>
      <w:suff w:val="space"/>
      <w:lvlText w:val="%1."/>
      <w:lvlJc w:val="left"/>
      <w:pPr>
        <w:ind w:left="425" w:hanging="425"/>
      </w:pPr>
      <w:rPr>
        <w:rFonts w:hint="default"/>
      </w:rPr>
    </w:lvl>
  </w:abstractNum>
  <w:abstractNum w:abstractNumId="9">
    <w:nsid w:val="12836572"/>
    <w:multiLevelType w:val="multilevel"/>
    <w:tmpl w:val="12836572"/>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139D1937"/>
    <w:multiLevelType w:val="multilevel"/>
    <w:tmpl w:val="139D1937"/>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1">
    <w:nsid w:val="1D2F2F5B"/>
    <w:multiLevelType w:val="singleLevel"/>
    <w:tmpl w:val="1D2F2F5B"/>
    <w:lvl w:ilvl="0" w:tentative="0">
      <w:start w:val="1"/>
      <w:numFmt w:val="chineseCounting"/>
      <w:suff w:val="nothing"/>
      <w:lvlText w:val="（%1）"/>
      <w:lvlJc w:val="left"/>
      <w:pPr>
        <w:ind w:left="-420" w:firstLine="420"/>
      </w:pPr>
      <w:rPr>
        <w:rFonts w:hint="eastAsia"/>
      </w:rPr>
    </w:lvl>
  </w:abstractNum>
  <w:abstractNum w:abstractNumId="12">
    <w:nsid w:val="263A2675"/>
    <w:multiLevelType w:val="multilevel"/>
    <w:tmpl w:val="263A2675"/>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3">
    <w:nsid w:val="27193E13"/>
    <w:multiLevelType w:val="singleLevel"/>
    <w:tmpl w:val="27193E13"/>
    <w:lvl w:ilvl="0" w:tentative="0">
      <w:start w:val="1"/>
      <w:numFmt w:val="chineseCounting"/>
      <w:suff w:val="nothing"/>
      <w:lvlText w:val="（%1）"/>
      <w:lvlJc w:val="left"/>
      <w:pPr>
        <w:ind w:left="-210" w:firstLine="420"/>
      </w:pPr>
      <w:rPr>
        <w:rFonts w:hint="eastAsia"/>
      </w:rPr>
    </w:lvl>
  </w:abstractNum>
  <w:abstractNum w:abstractNumId="14">
    <w:nsid w:val="286835A9"/>
    <w:multiLevelType w:val="singleLevel"/>
    <w:tmpl w:val="286835A9"/>
    <w:lvl w:ilvl="0" w:tentative="0">
      <w:start w:val="1"/>
      <w:numFmt w:val="decimal"/>
      <w:suff w:val="space"/>
      <w:lvlText w:val="%1."/>
      <w:lvlJc w:val="left"/>
      <w:pPr>
        <w:ind w:left="425" w:hanging="425"/>
      </w:pPr>
      <w:rPr>
        <w:rFonts w:hint="default"/>
      </w:rPr>
    </w:lvl>
  </w:abstractNum>
  <w:abstractNum w:abstractNumId="15">
    <w:nsid w:val="4B375756"/>
    <w:multiLevelType w:val="multilevel"/>
    <w:tmpl w:val="4B375756"/>
    <w:lvl w:ilvl="0" w:tentative="0">
      <w:start w:val="1"/>
      <w:numFmt w:val="japaneseCounting"/>
      <w:suff w:val="space"/>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50C92BA7"/>
    <w:multiLevelType w:val="singleLevel"/>
    <w:tmpl w:val="50C92BA7"/>
    <w:lvl w:ilvl="0" w:tentative="0">
      <w:start w:val="1"/>
      <w:numFmt w:val="chineseCounting"/>
      <w:suff w:val="nothing"/>
      <w:lvlText w:val="%1、"/>
      <w:lvlJc w:val="left"/>
      <w:pPr>
        <w:ind w:left="-420" w:firstLine="420"/>
      </w:pPr>
      <w:rPr>
        <w:rFonts w:hint="eastAsia" w:ascii="宋体" w:hAnsi="宋体" w:eastAsia="宋体" w:cs="宋体"/>
        <w:b/>
        <w:bCs/>
        <w:sz w:val="21"/>
        <w:szCs w:val="21"/>
      </w:rPr>
    </w:lvl>
  </w:abstractNum>
  <w:abstractNum w:abstractNumId="17">
    <w:nsid w:val="590AFF14"/>
    <w:multiLevelType w:val="singleLevel"/>
    <w:tmpl w:val="590AFF14"/>
    <w:lvl w:ilvl="0" w:tentative="0">
      <w:start w:val="1"/>
      <w:numFmt w:val="decimal"/>
      <w:suff w:val="space"/>
      <w:lvlText w:val="%1."/>
      <w:lvlJc w:val="left"/>
      <w:pPr>
        <w:ind w:left="425" w:hanging="425"/>
      </w:pPr>
      <w:rPr>
        <w:rFonts w:hint="default"/>
      </w:rPr>
    </w:lvl>
  </w:abstractNum>
  <w:abstractNum w:abstractNumId="18">
    <w:nsid w:val="5DF31D2D"/>
    <w:multiLevelType w:val="singleLevel"/>
    <w:tmpl w:val="5DF31D2D"/>
    <w:lvl w:ilvl="0" w:tentative="0">
      <w:start w:val="1"/>
      <w:numFmt w:val="decimal"/>
      <w:suff w:val="space"/>
      <w:lvlText w:val="%1."/>
      <w:lvlJc w:val="left"/>
      <w:pPr>
        <w:ind w:left="425" w:hanging="425"/>
      </w:pPr>
      <w:rPr>
        <w:rFonts w:hint="default"/>
      </w:rPr>
    </w:lvl>
  </w:abstractNum>
  <w:abstractNum w:abstractNumId="19">
    <w:nsid w:val="5E35F112"/>
    <w:multiLevelType w:val="singleLevel"/>
    <w:tmpl w:val="5E35F112"/>
    <w:lvl w:ilvl="0" w:tentative="0">
      <w:start w:val="1"/>
      <w:numFmt w:val="decimal"/>
      <w:suff w:val="space"/>
      <w:lvlText w:val="%1."/>
      <w:lvlJc w:val="left"/>
      <w:pPr>
        <w:ind w:left="425" w:hanging="425"/>
      </w:pPr>
      <w:rPr>
        <w:rFonts w:hint="default"/>
      </w:rPr>
    </w:lvl>
  </w:abstractNum>
  <w:abstractNum w:abstractNumId="20">
    <w:nsid w:val="5F2A42AA"/>
    <w:multiLevelType w:val="singleLevel"/>
    <w:tmpl w:val="5F2A42AA"/>
    <w:lvl w:ilvl="0" w:tentative="0">
      <w:start w:val="1"/>
      <w:numFmt w:val="decimal"/>
      <w:suff w:val="space"/>
      <w:lvlText w:val="%1."/>
      <w:lvlJc w:val="left"/>
      <w:pPr>
        <w:ind w:left="425" w:hanging="425"/>
      </w:pPr>
      <w:rPr>
        <w:rFonts w:hint="default"/>
      </w:rPr>
    </w:lvl>
  </w:abstractNum>
  <w:abstractNum w:abstractNumId="21">
    <w:nsid w:val="620153AE"/>
    <w:multiLevelType w:val="multilevel"/>
    <w:tmpl w:val="620153AE"/>
    <w:lvl w:ilvl="0" w:tentative="0">
      <w:start w:val="1"/>
      <w:numFmt w:val="decimal"/>
      <w:lvlText w:val="(%1)"/>
      <w:lvlJc w:val="left"/>
      <w:pPr>
        <w:tabs>
          <w:tab w:val="left" w:pos="1200"/>
        </w:tabs>
        <w:ind w:left="1200" w:hanging="360"/>
      </w:pPr>
      <w:rPr>
        <w:rFonts w:hint="default"/>
        <w:b w:val="0"/>
        <w:bCs w:val="0"/>
        <w:sz w:val="21"/>
        <w:szCs w:val="21"/>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2">
    <w:nsid w:val="6EF90E41"/>
    <w:multiLevelType w:val="singleLevel"/>
    <w:tmpl w:val="6EF90E41"/>
    <w:lvl w:ilvl="0" w:tentative="0">
      <w:start w:val="1"/>
      <w:numFmt w:val="decimal"/>
      <w:suff w:val="space"/>
      <w:lvlText w:val="%1."/>
      <w:lvlJc w:val="left"/>
      <w:pPr>
        <w:ind w:left="425" w:hanging="425"/>
      </w:pPr>
      <w:rPr>
        <w:rFonts w:hint="default"/>
      </w:rPr>
    </w:lvl>
  </w:abstractNum>
  <w:abstractNum w:abstractNumId="23">
    <w:nsid w:val="713E3E78"/>
    <w:multiLevelType w:val="singleLevel"/>
    <w:tmpl w:val="713E3E78"/>
    <w:lvl w:ilvl="0" w:tentative="0">
      <w:start w:val="1"/>
      <w:numFmt w:val="decimal"/>
      <w:suff w:val="space"/>
      <w:lvlText w:val="%1."/>
      <w:lvlJc w:val="left"/>
      <w:pPr>
        <w:ind w:left="425" w:hanging="425"/>
      </w:pPr>
      <w:rPr>
        <w:rFonts w:hint="default"/>
      </w:rPr>
    </w:lvl>
  </w:abstractNum>
  <w:abstractNum w:abstractNumId="24">
    <w:nsid w:val="7CB216F1"/>
    <w:multiLevelType w:val="multilevel"/>
    <w:tmpl w:val="7CB216F1"/>
    <w:lvl w:ilvl="0" w:tentative="0">
      <w:start w:val="1"/>
      <w:numFmt w:val="chineseCountingThousand"/>
      <w:lvlText w:val="第%1条"/>
      <w:lvlJc w:val="left"/>
      <w:pPr>
        <w:tabs>
          <w:tab w:val="left" w:pos="1102"/>
        </w:tabs>
        <w:ind w:left="1102" w:hanging="960"/>
      </w:pPr>
      <w:rPr>
        <w:rFonts w:hint="eastAsia"/>
        <w:b/>
        <w:i w:val="0"/>
        <w:lang w:val="en-US"/>
      </w:rPr>
    </w:lvl>
    <w:lvl w:ilvl="1" w:tentative="0">
      <w:start w:val="1"/>
      <w:numFmt w:val="decimal"/>
      <w:lvlText w:val="（%2）"/>
      <w:lvlJc w:val="left"/>
      <w:pPr>
        <w:tabs>
          <w:tab w:val="left" w:pos="720"/>
        </w:tabs>
        <w:ind w:left="720" w:hanging="720"/>
      </w:pPr>
      <w:rPr>
        <w:rFonts w:hint="default"/>
        <w:lang w:val="en-US"/>
      </w:rPr>
    </w:lvl>
    <w:lvl w:ilvl="2" w:tentative="0">
      <w:start w:val="1"/>
      <w:numFmt w:val="decimal"/>
      <w:lvlText w:val="%3."/>
      <w:lvlJc w:val="left"/>
      <w:pPr>
        <w:ind w:left="502" w:hanging="360"/>
      </w:pPr>
      <w:rPr>
        <w:rFonts w:hint="default"/>
      </w:rPr>
    </w:lvl>
    <w:lvl w:ilvl="3" w:tentative="0">
      <w:start w:val="1"/>
      <w:numFmt w:val="decimal"/>
      <w:lvlText w:val="%4、"/>
      <w:lvlJc w:val="left"/>
      <w:pPr>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5"/>
  </w:num>
  <w:num w:numId="2">
    <w:abstractNumId w:val="11"/>
  </w:num>
  <w:num w:numId="3">
    <w:abstractNumId w:val="14"/>
  </w:num>
  <w:num w:numId="4">
    <w:abstractNumId w:val="18"/>
  </w:num>
  <w:num w:numId="5">
    <w:abstractNumId w:val="1"/>
  </w:num>
  <w:num w:numId="6">
    <w:abstractNumId w:val="23"/>
  </w:num>
  <w:num w:numId="7">
    <w:abstractNumId w:val="17"/>
  </w:num>
  <w:num w:numId="8">
    <w:abstractNumId w:val="5"/>
  </w:num>
  <w:num w:numId="9">
    <w:abstractNumId w:val="4"/>
  </w:num>
  <w:num w:numId="10">
    <w:abstractNumId w:val="19"/>
  </w:num>
  <w:num w:numId="11">
    <w:abstractNumId w:val="20"/>
  </w:num>
  <w:num w:numId="12">
    <w:abstractNumId w:val="16"/>
  </w:num>
  <w:num w:numId="13">
    <w:abstractNumId w:val="7"/>
  </w:num>
  <w:num w:numId="14">
    <w:abstractNumId w:val="13"/>
  </w:num>
  <w:num w:numId="15">
    <w:abstractNumId w:val="3"/>
  </w:num>
  <w:num w:numId="16">
    <w:abstractNumId w:val="8"/>
  </w:num>
  <w:num w:numId="17">
    <w:abstractNumId w:val="2"/>
  </w:num>
  <w:num w:numId="18">
    <w:abstractNumId w:val="6"/>
  </w:num>
  <w:num w:numId="19">
    <w:abstractNumId w:val="22"/>
  </w:num>
  <w:num w:numId="20">
    <w:abstractNumId w:val="0"/>
  </w:num>
  <w:num w:numId="21">
    <w:abstractNumId w:val="21"/>
  </w:num>
  <w:num w:numId="22">
    <w:abstractNumId w:val="24"/>
  </w:num>
  <w:num w:numId="23">
    <w:abstractNumId w:val="10"/>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jYmRjYzJhOWExYzgyZjhkOTA0NjMzMjFhZDRlM2EifQ=="/>
  </w:docVars>
  <w:rsids>
    <w:rsidRoot w:val="00982A85"/>
    <w:rsid w:val="000004AD"/>
    <w:rsid w:val="0000166B"/>
    <w:rsid w:val="00002FF5"/>
    <w:rsid w:val="00003929"/>
    <w:rsid w:val="0000601A"/>
    <w:rsid w:val="0000694E"/>
    <w:rsid w:val="000072B1"/>
    <w:rsid w:val="000076D5"/>
    <w:rsid w:val="00007FAE"/>
    <w:rsid w:val="00012357"/>
    <w:rsid w:val="00013778"/>
    <w:rsid w:val="00013B79"/>
    <w:rsid w:val="00013CBD"/>
    <w:rsid w:val="00015F62"/>
    <w:rsid w:val="00017E85"/>
    <w:rsid w:val="00020817"/>
    <w:rsid w:val="00022BA8"/>
    <w:rsid w:val="00022E1E"/>
    <w:rsid w:val="000243AE"/>
    <w:rsid w:val="00024FEE"/>
    <w:rsid w:val="00025123"/>
    <w:rsid w:val="00026161"/>
    <w:rsid w:val="0002789D"/>
    <w:rsid w:val="00027B41"/>
    <w:rsid w:val="00027D53"/>
    <w:rsid w:val="00030AA4"/>
    <w:rsid w:val="0003162D"/>
    <w:rsid w:val="0003243C"/>
    <w:rsid w:val="0003262C"/>
    <w:rsid w:val="00033C58"/>
    <w:rsid w:val="00033DF8"/>
    <w:rsid w:val="000348F7"/>
    <w:rsid w:val="000353FF"/>
    <w:rsid w:val="000356AB"/>
    <w:rsid w:val="00040958"/>
    <w:rsid w:val="0004362F"/>
    <w:rsid w:val="00043EDC"/>
    <w:rsid w:val="00047817"/>
    <w:rsid w:val="000525A8"/>
    <w:rsid w:val="00054850"/>
    <w:rsid w:val="00054D90"/>
    <w:rsid w:val="00054E0C"/>
    <w:rsid w:val="0005685F"/>
    <w:rsid w:val="000578DB"/>
    <w:rsid w:val="00057A4C"/>
    <w:rsid w:val="0006011A"/>
    <w:rsid w:val="00060CC7"/>
    <w:rsid w:val="00060F78"/>
    <w:rsid w:val="00062631"/>
    <w:rsid w:val="00062CB7"/>
    <w:rsid w:val="00065C20"/>
    <w:rsid w:val="00065F20"/>
    <w:rsid w:val="00066C1E"/>
    <w:rsid w:val="00070575"/>
    <w:rsid w:val="00071751"/>
    <w:rsid w:val="000718D3"/>
    <w:rsid w:val="00074C93"/>
    <w:rsid w:val="00075128"/>
    <w:rsid w:val="000762D2"/>
    <w:rsid w:val="000768DE"/>
    <w:rsid w:val="000771D7"/>
    <w:rsid w:val="000775BA"/>
    <w:rsid w:val="0007767B"/>
    <w:rsid w:val="00082175"/>
    <w:rsid w:val="00082903"/>
    <w:rsid w:val="00083903"/>
    <w:rsid w:val="00084EA8"/>
    <w:rsid w:val="00086EF0"/>
    <w:rsid w:val="00087E87"/>
    <w:rsid w:val="000902E3"/>
    <w:rsid w:val="00092B0A"/>
    <w:rsid w:val="00092E24"/>
    <w:rsid w:val="00094059"/>
    <w:rsid w:val="0009405C"/>
    <w:rsid w:val="00094256"/>
    <w:rsid w:val="00094BC5"/>
    <w:rsid w:val="000950AD"/>
    <w:rsid w:val="000A11F6"/>
    <w:rsid w:val="000A1F19"/>
    <w:rsid w:val="000A237A"/>
    <w:rsid w:val="000A4C0F"/>
    <w:rsid w:val="000A7338"/>
    <w:rsid w:val="000B0865"/>
    <w:rsid w:val="000B1E95"/>
    <w:rsid w:val="000B3769"/>
    <w:rsid w:val="000B4261"/>
    <w:rsid w:val="000B4E75"/>
    <w:rsid w:val="000B5DB8"/>
    <w:rsid w:val="000B6CE6"/>
    <w:rsid w:val="000B6D58"/>
    <w:rsid w:val="000B6D8E"/>
    <w:rsid w:val="000C01BD"/>
    <w:rsid w:val="000C11C9"/>
    <w:rsid w:val="000C33B6"/>
    <w:rsid w:val="000C3802"/>
    <w:rsid w:val="000C3C4C"/>
    <w:rsid w:val="000C4327"/>
    <w:rsid w:val="000C44B2"/>
    <w:rsid w:val="000C4DAA"/>
    <w:rsid w:val="000C7317"/>
    <w:rsid w:val="000C7893"/>
    <w:rsid w:val="000C79FE"/>
    <w:rsid w:val="000D08A8"/>
    <w:rsid w:val="000D09DE"/>
    <w:rsid w:val="000D0BF1"/>
    <w:rsid w:val="000D2E4B"/>
    <w:rsid w:val="000D2EFA"/>
    <w:rsid w:val="000D4BCE"/>
    <w:rsid w:val="000D5B59"/>
    <w:rsid w:val="000D6196"/>
    <w:rsid w:val="000D6C2A"/>
    <w:rsid w:val="000E6013"/>
    <w:rsid w:val="000E6636"/>
    <w:rsid w:val="000E7BC3"/>
    <w:rsid w:val="000F0AF2"/>
    <w:rsid w:val="000F191C"/>
    <w:rsid w:val="000F3D41"/>
    <w:rsid w:val="000F4BC7"/>
    <w:rsid w:val="000F4ED1"/>
    <w:rsid w:val="000F550C"/>
    <w:rsid w:val="000F60C3"/>
    <w:rsid w:val="000F6735"/>
    <w:rsid w:val="001007FC"/>
    <w:rsid w:val="00100FA9"/>
    <w:rsid w:val="001011C9"/>
    <w:rsid w:val="001016EE"/>
    <w:rsid w:val="00101E33"/>
    <w:rsid w:val="001029DF"/>
    <w:rsid w:val="00102E3B"/>
    <w:rsid w:val="00103F7C"/>
    <w:rsid w:val="0010492F"/>
    <w:rsid w:val="00105761"/>
    <w:rsid w:val="00105E54"/>
    <w:rsid w:val="0010650C"/>
    <w:rsid w:val="0011014B"/>
    <w:rsid w:val="0011085A"/>
    <w:rsid w:val="001141AB"/>
    <w:rsid w:val="0011445E"/>
    <w:rsid w:val="00114817"/>
    <w:rsid w:val="001156A8"/>
    <w:rsid w:val="00121369"/>
    <w:rsid w:val="00122334"/>
    <w:rsid w:val="001227D9"/>
    <w:rsid w:val="00122E20"/>
    <w:rsid w:val="00124673"/>
    <w:rsid w:val="00124993"/>
    <w:rsid w:val="00124E48"/>
    <w:rsid w:val="0012566B"/>
    <w:rsid w:val="001273FD"/>
    <w:rsid w:val="00131EF8"/>
    <w:rsid w:val="00132949"/>
    <w:rsid w:val="00132BD5"/>
    <w:rsid w:val="00132EB7"/>
    <w:rsid w:val="00133482"/>
    <w:rsid w:val="00133C28"/>
    <w:rsid w:val="001342C6"/>
    <w:rsid w:val="0013463B"/>
    <w:rsid w:val="00134FCD"/>
    <w:rsid w:val="001359F0"/>
    <w:rsid w:val="001369BE"/>
    <w:rsid w:val="00137AAB"/>
    <w:rsid w:val="0014121D"/>
    <w:rsid w:val="00141A88"/>
    <w:rsid w:val="00142609"/>
    <w:rsid w:val="00142BA2"/>
    <w:rsid w:val="00144CC0"/>
    <w:rsid w:val="00150DC2"/>
    <w:rsid w:val="00151C38"/>
    <w:rsid w:val="00155252"/>
    <w:rsid w:val="00155A56"/>
    <w:rsid w:val="00157D2F"/>
    <w:rsid w:val="001601A5"/>
    <w:rsid w:val="001627EF"/>
    <w:rsid w:val="001628FE"/>
    <w:rsid w:val="0016331B"/>
    <w:rsid w:val="00163E2D"/>
    <w:rsid w:val="001661BD"/>
    <w:rsid w:val="00166511"/>
    <w:rsid w:val="00170DD5"/>
    <w:rsid w:val="001713DD"/>
    <w:rsid w:val="00171E6F"/>
    <w:rsid w:val="001720B6"/>
    <w:rsid w:val="00173E34"/>
    <w:rsid w:val="00174598"/>
    <w:rsid w:val="00174634"/>
    <w:rsid w:val="00175C47"/>
    <w:rsid w:val="00175D51"/>
    <w:rsid w:val="00177762"/>
    <w:rsid w:val="0018057B"/>
    <w:rsid w:val="00180FFA"/>
    <w:rsid w:val="00181679"/>
    <w:rsid w:val="00182016"/>
    <w:rsid w:val="00183884"/>
    <w:rsid w:val="001849C1"/>
    <w:rsid w:val="00185212"/>
    <w:rsid w:val="001857F8"/>
    <w:rsid w:val="001874FD"/>
    <w:rsid w:val="00192899"/>
    <w:rsid w:val="00193AA2"/>
    <w:rsid w:val="001948DD"/>
    <w:rsid w:val="00195AA8"/>
    <w:rsid w:val="001968FF"/>
    <w:rsid w:val="00196BA3"/>
    <w:rsid w:val="00197395"/>
    <w:rsid w:val="00197A38"/>
    <w:rsid w:val="001A0039"/>
    <w:rsid w:val="001A077A"/>
    <w:rsid w:val="001A4BFC"/>
    <w:rsid w:val="001A4EAD"/>
    <w:rsid w:val="001A552D"/>
    <w:rsid w:val="001A5ED0"/>
    <w:rsid w:val="001A7BA3"/>
    <w:rsid w:val="001B0868"/>
    <w:rsid w:val="001B114A"/>
    <w:rsid w:val="001B1D4E"/>
    <w:rsid w:val="001B3F7F"/>
    <w:rsid w:val="001B42FB"/>
    <w:rsid w:val="001B49EA"/>
    <w:rsid w:val="001B6168"/>
    <w:rsid w:val="001B632A"/>
    <w:rsid w:val="001C137D"/>
    <w:rsid w:val="001C1A03"/>
    <w:rsid w:val="001C384F"/>
    <w:rsid w:val="001C628B"/>
    <w:rsid w:val="001C6404"/>
    <w:rsid w:val="001C68A3"/>
    <w:rsid w:val="001C7C20"/>
    <w:rsid w:val="001D068F"/>
    <w:rsid w:val="001D1318"/>
    <w:rsid w:val="001D3363"/>
    <w:rsid w:val="001D387E"/>
    <w:rsid w:val="001D5CE8"/>
    <w:rsid w:val="001D641C"/>
    <w:rsid w:val="001E01E5"/>
    <w:rsid w:val="001E1784"/>
    <w:rsid w:val="001E214D"/>
    <w:rsid w:val="001E338A"/>
    <w:rsid w:val="001E3487"/>
    <w:rsid w:val="001E5303"/>
    <w:rsid w:val="001E6A32"/>
    <w:rsid w:val="001E7EA8"/>
    <w:rsid w:val="001F035C"/>
    <w:rsid w:val="001F2D11"/>
    <w:rsid w:val="001F6B91"/>
    <w:rsid w:val="002010B9"/>
    <w:rsid w:val="00203015"/>
    <w:rsid w:val="00203A7B"/>
    <w:rsid w:val="00203AAC"/>
    <w:rsid w:val="002040B5"/>
    <w:rsid w:val="00204254"/>
    <w:rsid w:val="00204A3E"/>
    <w:rsid w:val="00204B05"/>
    <w:rsid w:val="00204CCE"/>
    <w:rsid w:val="00205EB3"/>
    <w:rsid w:val="0020699F"/>
    <w:rsid w:val="0021731B"/>
    <w:rsid w:val="0022004C"/>
    <w:rsid w:val="0022017F"/>
    <w:rsid w:val="002201F5"/>
    <w:rsid w:val="00221187"/>
    <w:rsid w:val="00222803"/>
    <w:rsid w:val="002241FC"/>
    <w:rsid w:val="00224B88"/>
    <w:rsid w:val="002250A6"/>
    <w:rsid w:val="00230171"/>
    <w:rsid w:val="0023050A"/>
    <w:rsid w:val="002307EF"/>
    <w:rsid w:val="002309D8"/>
    <w:rsid w:val="00232387"/>
    <w:rsid w:val="00233077"/>
    <w:rsid w:val="002333A8"/>
    <w:rsid w:val="002352EE"/>
    <w:rsid w:val="00235CCE"/>
    <w:rsid w:val="002372AE"/>
    <w:rsid w:val="0023788F"/>
    <w:rsid w:val="00237BA5"/>
    <w:rsid w:val="0024089F"/>
    <w:rsid w:val="00241906"/>
    <w:rsid w:val="00243A59"/>
    <w:rsid w:val="00244632"/>
    <w:rsid w:val="002451F1"/>
    <w:rsid w:val="002453A1"/>
    <w:rsid w:val="00245769"/>
    <w:rsid w:val="00246F4C"/>
    <w:rsid w:val="00247265"/>
    <w:rsid w:val="00247847"/>
    <w:rsid w:val="00247C52"/>
    <w:rsid w:val="00251245"/>
    <w:rsid w:val="00251851"/>
    <w:rsid w:val="00253392"/>
    <w:rsid w:val="0025746D"/>
    <w:rsid w:val="00257CD4"/>
    <w:rsid w:val="00260A5B"/>
    <w:rsid w:val="00261419"/>
    <w:rsid w:val="00261DEB"/>
    <w:rsid w:val="002630C1"/>
    <w:rsid w:val="00266FDC"/>
    <w:rsid w:val="00270713"/>
    <w:rsid w:val="00272D6D"/>
    <w:rsid w:val="00276AC7"/>
    <w:rsid w:val="002772C8"/>
    <w:rsid w:val="00281992"/>
    <w:rsid w:val="0028218B"/>
    <w:rsid w:val="00282627"/>
    <w:rsid w:val="00282EF3"/>
    <w:rsid w:val="00283200"/>
    <w:rsid w:val="00284C06"/>
    <w:rsid w:val="002857A2"/>
    <w:rsid w:val="00286419"/>
    <w:rsid w:val="00287A48"/>
    <w:rsid w:val="00291B25"/>
    <w:rsid w:val="002937E9"/>
    <w:rsid w:val="002955EF"/>
    <w:rsid w:val="00295D41"/>
    <w:rsid w:val="0029640B"/>
    <w:rsid w:val="0029640E"/>
    <w:rsid w:val="002967C9"/>
    <w:rsid w:val="00297745"/>
    <w:rsid w:val="00297C61"/>
    <w:rsid w:val="002A23EA"/>
    <w:rsid w:val="002A4E98"/>
    <w:rsid w:val="002A4FAE"/>
    <w:rsid w:val="002A626B"/>
    <w:rsid w:val="002A6D9B"/>
    <w:rsid w:val="002B2317"/>
    <w:rsid w:val="002B2F9B"/>
    <w:rsid w:val="002B3C66"/>
    <w:rsid w:val="002B3DB5"/>
    <w:rsid w:val="002B3F80"/>
    <w:rsid w:val="002B6395"/>
    <w:rsid w:val="002B66D9"/>
    <w:rsid w:val="002B6B9B"/>
    <w:rsid w:val="002B773B"/>
    <w:rsid w:val="002C01ED"/>
    <w:rsid w:val="002C2D03"/>
    <w:rsid w:val="002C4618"/>
    <w:rsid w:val="002D12CC"/>
    <w:rsid w:val="002D3D93"/>
    <w:rsid w:val="002D4683"/>
    <w:rsid w:val="002D7BAD"/>
    <w:rsid w:val="002E01F5"/>
    <w:rsid w:val="002E2682"/>
    <w:rsid w:val="002E3921"/>
    <w:rsid w:val="002E46CD"/>
    <w:rsid w:val="002E56C2"/>
    <w:rsid w:val="002E5AE4"/>
    <w:rsid w:val="002E764A"/>
    <w:rsid w:val="002F1117"/>
    <w:rsid w:val="002F1533"/>
    <w:rsid w:val="002F27D3"/>
    <w:rsid w:val="002F28C6"/>
    <w:rsid w:val="002F37E6"/>
    <w:rsid w:val="002F3B36"/>
    <w:rsid w:val="002F5270"/>
    <w:rsid w:val="002F5A2E"/>
    <w:rsid w:val="002F5BE4"/>
    <w:rsid w:val="002F62B9"/>
    <w:rsid w:val="00302C72"/>
    <w:rsid w:val="00302EE6"/>
    <w:rsid w:val="00303408"/>
    <w:rsid w:val="00304646"/>
    <w:rsid w:val="00305689"/>
    <w:rsid w:val="00306707"/>
    <w:rsid w:val="00307274"/>
    <w:rsid w:val="003078D8"/>
    <w:rsid w:val="0031155C"/>
    <w:rsid w:val="00313DA9"/>
    <w:rsid w:val="00313DE3"/>
    <w:rsid w:val="00314B2E"/>
    <w:rsid w:val="00314E41"/>
    <w:rsid w:val="00314EC8"/>
    <w:rsid w:val="00315D72"/>
    <w:rsid w:val="00317D71"/>
    <w:rsid w:val="003217A8"/>
    <w:rsid w:val="0032637C"/>
    <w:rsid w:val="00330512"/>
    <w:rsid w:val="003337CB"/>
    <w:rsid w:val="00335FB5"/>
    <w:rsid w:val="003369E9"/>
    <w:rsid w:val="00337911"/>
    <w:rsid w:val="00341508"/>
    <w:rsid w:val="003424F1"/>
    <w:rsid w:val="003433F4"/>
    <w:rsid w:val="00344C42"/>
    <w:rsid w:val="003458B6"/>
    <w:rsid w:val="00346281"/>
    <w:rsid w:val="00346FE2"/>
    <w:rsid w:val="00347C73"/>
    <w:rsid w:val="0035266C"/>
    <w:rsid w:val="00354681"/>
    <w:rsid w:val="00354ED0"/>
    <w:rsid w:val="003561C6"/>
    <w:rsid w:val="0035776D"/>
    <w:rsid w:val="00360039"/>
    <w:rsid w:val="00360226"/>
    <w:rsid w:val="003608DA"/>
    <w:rsid w:val="00363B27"/>
    <w:rsid w:val="00366ACA"/>
    <w:rsid w:val="00367B8F"/>
    <w:rsid w:val="003712F2"/>
    <w:rsid w:val="0037174C"/>
    <w:rsid w:val="00372CF0"/>
    <w:rsid w:val="0037324E"/>
    <w:rsid w:val="00373990"/>
    <w:rsid w:val="00373E8C"/>
    <w:rsid w:val="003742E7"/>
    <w:rsid w:val="00374FF1"/>
    <w:rsid w:val="0037518C"/>
    <w:rsid w:val="0037529C"/>
    <w:rsid w:val="003753AC"/>
    <w:rsid w:val="00375817"/>
    <w:rsid w:val="00375F11"/>
    <w:rsid w:val="00376651"/>
    <w:rsid w:val="0038242E"/>
    <w:rsid w:val="0038349B"/>
    <w:rsid w:val="00385101"/>
    <w:rsid w:val="003865FC"/>
    <w:rsid w:val="0038670A"/>
    <w:rsid w:val="00386E64"/>
    <w:rsid w:val="0039250E"/>
    <w:rsid w:val="003930CE"/>
    <w:rsid w:val="003967F6"/>
    <w:rsid w:val="00396A9B"/>
    <w:rsid w:val="00397270"/>
    <w:rsid w:val="003A1526"/>
    <w:rsid w:val="003A34A8"/>
    <w:rsid w:val="003A58EE"/>
    <w:rsid w:val="003A67C0"/>
    <w:rsid w:val="003B05EF"/>
    <w:rsid w:val="003B0B39"/>
    <w:rsid w:val="003B0EFA"/>
    <w:rsid w:val="003B20E8"/>
    <w:rsid w:val="003B2C89"/>
    <w:rsid w:val="003B2E1D"/>
    <w:rsid w:val="003B4829"/>
    <w:rsid w:val="003C0343"/>
    <w:rsid w:val="003C2E45"/>
    <w:rsid w:val="003C4094"/>
    <w:rsid w:val="003C5149"/>
    <w:rsid w:val="003C5F99"/>
    <w:rsid w:val="003C6075"/>
    <w:rsid w:val="003D04A8"/>
    <w:rsid w:val="003D0B3C"/>
    <w:rsid w:val="003D3925"/>
    <w:rsid w:val="003D4D12"/>
    <w:rsid w:val="003D5F1A"/>
    <w:rsid w:val="003E183F"/>
    <w:rsid w:val="003E23EC"/>
    <w:rsid w:val="003E605F"/>
    <w:rsid w:val="003E681C"/>
    <w:rsid w:val="003F03FC"/>
    <w:rsid w:val="003F1469"/>
    <w:rsid w:val="003F1E37"/>
    <w:rsid w:val="003F2252"/>
    <w:rsid w:val="003F248F"/>
    <w:rsid w:val="003F28D5"/>
    <w:rsid w:val="003F30D7"/>
    <w:rsid w:val="003F3D8E"/>
    <w:rsid w:val="003F45D2"/>
    <w:rsid w:val="003F5332"/>
    <w:rsid w:val="003F5879"/>
    <w:rsid w:val="003F6AB0"/>
    <w:rsid w:val="003F6AC4"/>
    <w:rsid w:val="00400369"/>
    <w:rsid w:val="00400814"/>
    <w:rsid w:val="00400A3A"/>
    <w:rsid w:val="00401798"/>
    <w:rsid w:val="004039EB"/>
    <w:rsid w:val="00403B2E"/>
    <w:rsid w:val="00404F70"/>
    <w:rsid w:val="00405B31"/>
    <w:rsid w:val="0040744D"/>
    <w:rsid w:val="004078E1"/>
    <w:rsid w:val="00412370"/>
    <w:rsid w:val="0041295E"/>
    <w:rsid w:val="004147D5"/>
    <w:rsid w:val="00415B0C"/>
    <w:rsid w:val="0041647C"/>
    <w:rsid w:val="004202F0"/>
    <w:rsid w:val="00420E2E"/>
    <w:rsid w:val="004216F6"/>
    <w:rsid w:val="00423A23"/>
    <w:rsid w:val="0042407C"/>
    <w:rsid w:val="0042608F"/>
    <w:rsid w:val="00426188"/>
    <w:rsid w:val="00426932"/>
    <w:rsid w:val="004308BE"/>
    <w:rsid w:val="00431640"/>
    <w:rsid w:val="0043178F"/>
    <w:rsid w:val="004326AC"/>
    <w:rsid w:val="00434AB3"/>
    <w:rsid w:val="004353BE"/>
    <w:rsid w:val="00436349"/>
    <w:rsid w:val="00437C51"/>
    <w:rsid w:val="00441B65"/>
    <w:rsid w:val="00441D67"/>
    <w:rsid w:val="00441FBD"/>
    <w:rsid w:val="00444443"/>
    <w:rsid w:val="00445E0D"/>
    <w:rsid w:val="004461EA"/>
    <w:rsid w:val="00446604"/>
    <w:rsid w:val="004468C0"/>
    <w:rsid w:val="00451115"/>
    <w:rsid w:val="00451149"/>
    <w:rsid w:val="00452322"/>
    <w:rsid w:val="00452614"/>
    <w:rsid w:val="00453929"/>
    <w:rsid w:val="00453B3E"/>
    <w:rsid w:val="00453B49"/>
    <w:rsid w:val="0045524B"/>
    <w:rsid w:val="00456206"/>
    <w:rsid w:val="00460087"/>
    <w:rsid w:val="00461908"/>
    <w:rsid w:val="0046204A"/>
    <w:rsid w:val="0046239A"/>
    <w:rsid w:val="004623A4"/>
    <w:rsid w:val="00462ACB"/>
    <w:rsid w:val="0046311B"/>
    <w:rsid w:val="0046333B"/>
    <w:rsid w:val="004638AD"/>
    <w:rsid w:val="00464C9E"/>
    <w:rsid w:val="00465F69"/>
    <w:rsid w:val="004679EE"/>
    <w:rsid w:val="00467C40"/>
    <w:rsid w:val="0047063B"/>
    <w:rsid w:val="00470845"/>
    <w:rsid w:val="00470FA9"/>
    <w:rsid w:val="00475E48"/>
    <w:rsid w:val="004761CB"/>
    <w:rsid w:val="0048061F"/>
    <w:rsid w:val="00483CB1"/>
    <w:rsid w:val="004877BE"/>
    <w:rsid w:val="00487856"/>
    <w:rsid w:val="00487A68"/>
    <w:rsid w:val="004933C4"/>
    <w:rsid w:val="004948FC"/>
    <w:rsid w:val="0049650F"/>
    <w:rsid w:val="004A1C28"/>
    <w:rsid w:val="004A37D0"/>
    <w:rsid w:val="004A3911"/>
    <w:rsid w:val="004A475D"/>
    <w:rsid w:val="004A559B"/>
    <w:rsid w:val="004A5726"/>
    <w:rsid w:val="004A7466"/>
    <w:rsid w:val="004B05AC"/>
    <w:rsid w:val="004B1E4D"/>
    <w:rsid w:val="004B2621"/>
    <w:rsid w:val="004B2E70"/>
    <w:rsid w:val="004B4996"/>
    <w:rsid w:val="004B5361"/>
    <w:rsid w:val="004B5B40"/>
    <w:rsid w:val="004B5C83"/>
    <w:rsid w:val="004B7402"/>
    <w:rsid w:val="004B7FE8"/>
    <w:rsid w:val="004C0358"/>
    <w:rsid w:val="004C31A2"/>
    <w:rsid w:val="004C4D70"/>
    <w:rsid w:val="004C75E1"/>
    <w:rsid w:val="004C7C2C"/>
    <w:rsid w:val="004D0051"/>
    <w:rsid w:val="004D0EDD"/>
    <w:rsid w:val="004D1256"/>
    <w:rsid w:val="004D2104"/>
    <w:rsid w:val="004D31C3"/>
    <w:rsid w:val="004D31DB"/>
    <w:rsid w:val="004D49DC"/>
    <w:rsid w:val="004D7AC9"/>
    <w:rsid w:val="004D7B73"/>
    <w:rsid w:val="004E0C4E"/>
    <w:rsid w:val="004E1080"/>
    <w:rsid w:val="004E21A5"/>
    <w:rsid w:val="004E2ECA"/>
    <w:rsid w:val="004E2FAA"/>
    <w:rsid w:val="004E33C4"/>
    <w:rsid w:val="004E3A74"/>
    <w:rsid w:val="004E4511"/>
    <w:rsid w:val="004E4579"/>
    <w:rsid w:val="004E533F"/>
    <w:rsid w:val="004E59D5"/>
    <w:rsid w:val="004E61CB"/>
    <w:rsid w:val="004E6AAA"/>
    <w:rsid w:val="004F0482"/>
    <w:rsid w:val="004F160C"/>
    <w:rsid w:val="004F17C0"/>
    <w:rsid w:val="004F2189"/>
    <w:rsid w:val="004F38D7"/>
    <w:rsid w:val="004F3E15"/>
    <w:rsid w:val="004F400F"/>
    <w:rsid w:val="004F4A64"/>
    <w:rsid w:val="004F4AC9"/>
    <w:rsid w:val="004F4B15"/>
    <w:rsid w:val="004F5BCA"/>
    <w:rsid w:val="004F6600"/>
    <w:rsid w:val="004F661C"/>
    <w:rsid w:val="004F6D58"/>
    <w:rsid w:val="004F7528"/>
    <w:rsid w:val="005003E6"/>
    <w:rsid w:val="005007D7"/>
    <w:rsid w:val="005037A6"/>
    <w:rsid w:val="00503C93"/>
    <w:rsid w:val="00504C45"/>
    <w:rsid w:val="00506149"/>
    <w:rsid w:val="00507172"/>
    <w:rsid w:val="00507DE0"/>
    <w:rsid w:val="005114E0"/>
    <w:rsid w:val="00513E34"/>
    <w:rsid w:val="0051589E"/>
    <w:rsid w:val="005158BA"/>
    <w:rsid w:val="005205EB"/>
    <w:rsid w:val="0052061C"/>
    <w:rsid w:val="00520919"/>
    <w:rsid w:val="00522454"/>
    <w:rsid w:val="00522DD5"/>
    <w:rsid w:val="00524791"/>
    <w:rsid w:val="005257FB"/>
    <w:rsid w:val="00527E64"/>
    <w:rsid w:val="00533537"/>
    <w:rsid w:val="00535420"/>
    <w:rsid w:val="005366A5"/>
    <w:rsid w:val="00540B5C"/>
    <w:rsid w:val="00544EBF"/>
    <w:rsid w:val="00546D26"/>
    <w:rsid w:val="00553D8A"/>
    <w:rsid w:val="00555465"/>
    <w:rsid w:val="00555B5B"/>
    <w:rsid w:val="005602B6"/>
    <w:rsid w:val="0056110B"/>
    <w:rsid w:val="00561E85"/>
    <w:rsid w:val="00563AB0"/>
    <w:rsid w:val="005653F0"/>
    <w:rsid w:val="00570E49"/>
    <w:rsid w:val="00576BF2"/>
    <w:rsid w:val="00577B76"/>
    <w:rsid w:val="00583A46"/>
    <w:rsid w:val="00583A8F"/>
    <w:rsid w:val="005846E4"/>
    <w:rsid w:val="005858EF"/>
    <w:rsid w:val="00587087"/>
    <w:rsid w:val="005876F8"/>
    <w:rsid w:val="00591603"/>
    <w:rsid w:val="00592D8F"/>
    <w:rsid w:val="00593E9F"/>
    <w:rsid w:val="005975E2"/>
    <w:rsid w:val="005978D3"/>
    <w:rsid w:val="005A0EE2"/>
    <w:rsid w:val="005A134F"/>
    <w:rsid w:val="005A1864"/>
    <w:rsid w:val="005A1B29"/>
    <w:rsid w:val="005A4EE2"/>
    <w:rsid w:val="005A60BB"/>
    <w:rsid w:val="005A6AF8"/>
    <w:rsid w:val="005B0414"/>
    <w:rsid w:val="005B103A"/>
    <w:rsid w:val="005B21A8"/>
    <w:rsid w:val="005B2485"/>
    <w:rsid w:val="005B261B"/>
    <w:rsid w:val="005B26D7"/>
    <w:rsid w:val="005B5B34"/>
    <w:rsid w:val="005B6BFC"/>
    <w:rsid w:val="005C0A35"/>
    <w:rsid w:val="005C118A"/>
    <w:rsid w:val="005C147F"/>
    <w:rsid w:val="005C2276"/>
    <w:rsid w:val="005C2442"/>
    <w:rsid w:val="005C2C7B"/>
    <w:rsid w:val="005C43EA"/>
    <w:rsid w:val="005C5C76"/>
    <w:rsid w:val="005C5FCE"/>
    <w:rsid w:val="005C6C99"/>
    <w:rsid w:val="005C7733"/>
    <w:rsid w:val="005D0399"/>
    <w:rsid w:val="005D14A8"/>
    <w:rsid w:val="005D31FC"/>
    <w:rsid w:val="005D49B8"/>
    <w:rsid w:val="005D4FED"/>
    <w:rsid w:val="005D5B5A"/>
    <w:rsid w:val="005D7DC9"/>
    <w:rsid w:val="005E0C5B"/>
    <w:rsid w:val="005E2ACB"/>
    <w:rsid w:val="005E40A6"/>
    <w:rsid w:val="005E4434"/>
    <w:rsid w:val="005E4EA8"/>
    <w:rsid w:val="005E5136"/>
    <w:rsid w:val="005E5CFD"/>
    <w:rsid w:val="005E65C3"/>
    <w:rsid w:val="005F015E"/>
    <w:rsid w:val="005F2095"/>
    <w:rsid w:val="005F3572"/>
    <w:rsid w:val="005F3614"/>
    <w:rsid w:val="005F3BD0"/>
    <w:rsid w:val="005F4C64"/>
    <w:rsid w:val="005F4E5B"/>
    <w:rsid w:val="005F5C7F"/>
    <w:rsid w:val="005F7160"/>
    <w:rsid w:val="005F7665"/>
    <w:rsid w:val="0060127F"/>
    <w:rsid w:val="0060530F"/>
    <w:rsid w:val="006054CB"/>
    <w:rsid w:val="00605FB8"/>
    <w:rsid w:val="006064E3"/>
    <w:rsid w:val="0060707F"/>
    <w:rsid w:val="00610B9C"/>
    <w:rsid w:val="00610C57"/>
    <w:rsid w:val="00611693"/>
    <w:rsid w:val="00612085"/>
    <w:rsid w:val="006128A7"/>
    <w:rsid w:val="00613694"/>
    <w:rsid w:val="00613F1B"/>
    <w:rsid w:val="0061499F"/>
    <w:rsid w:val="0061748A"/>
    <w:rsid w:val="00617D33"/>
    <w:rsid w:val="00620924"/>
    <w:rsid w:val="00621C91"/>
    <w:rsid w:val="0062435D"/>
    <w:rsid w:val="00624618"/>
    <w:rsid w:val="006262AF"/>
    <w:rsid w:val="006271E4"/>
    <w:rsid w:val="006274EA"/>
    <w:rsid w:val="0062761A"/>
    <w:rsid w:val="00627CD2"/>
    <w:rsid w:val="0063005A"/>
    <w:rsid w:val="00632A27"/>
    <w:rsid w:val="00632F9F"/>
    <w:rsid w:val="0063447F"/>
    <w:rsid w:val="00634678"/>
    <w:rsid w:val="00634B4B"/>
    <w:rsid w:val="00636ED9"/>
    <w:rsid w:val="006371C6"/>
    <w:rsid w:val="0063788E"/>
    <w:rsid w:val="006421F6"/>
    <w:rsid w:val="00646440"/>
    <w:rsid w:val="00650CE9"/>
    <w:rsid w:val="0065165A"/>
    <w:rsid w:val="00654384"/>
    <w:rsid w:val="006557F3"/>
    <w:rsid w:val="0065640A"/>
    <w:rsid w:val="00656987"/>
    <w:rsid w:val="006601E8"/>
    <w:rsid w:val="006619AA"/>
    <w:rsid w:val="00662B2D"/>
    <w:rsid w:val="00662E3E"/>
    <w:rsid w:val="006642F2"/>
    <w:rsid w:val="006645A1"/>
    <w:rsid w:val="00666151"/>
    <w:rsid w:val="006666F2"/>
    <w:rsid w:val="00667575"/>
    <w:rsid w:val="00667593"/>
    <w:rsid w:val="00670112"/>
    <w:rsid w:val="00670A51"/>
    <w:rsid w:val="006724EC"/>
    <w:rsid w:val="006731DC"/>
    <w:rsid w:val="006755A9"/>
    <w:rsid w:val="006759BD"/>
    <w:rsid w:val="00680BCE"/>
    <w:rsid w:val="00680FE7"/>
    <w:rsid w:val="006817FC"/>
    <w:rsid w:val="00683D0F"/>
    <w:rsid w:val="00684447"/>
    <w:rsid w:val="00685383"/>
    <w:rsid w:val="0068539F"/>
    <w:rsid w:val="00685F85"/>
    <w:rsid w:val="006871EF"/>
    <w:rsid w:val="0069016D"/>
    <w:rsid w:val="00690862"/>
    <w:rsid w:val="00690BD4"/>
    <w:rsid w:val="006933B4"/>
    <w:rsid w:val="0069525B"/>
    <w:rsid w:val="00696843"/>
    <w:rsid w:val="00696E0F"/>
    <w:rsid w:val="00697C1D"/>
    <w:rsid w:val="006A11D8"/>
    <w:rsid w:val="006A6C8E"/>
    <w:rsid w:val="006A7A3F"/>
    <w:rsid w:val="006B121A"/>
    <w:rsid w:val="006B1B49"/>
    <w:rsid w:val="006B1EA0"/>
    <w:rsid w:val="006B4041"/>
    <w:rsid w:val="006B5731"/>
    <w:rsid w:val="006B5A1F"/>
    <w:rsid w:val="006B68B9"/>
    <w:rsid w:val="006B7B2A"/>
    <w:rsid w:val="006C0AC7"/>
    <w:rsid w:val="006C172D"/>
    <w:rsid w:val="006C21FE"/>
    <w:rsid w:val="006C2214"/>
    <w:rsid w:val="006C25E2"/>
    <w:rsid w:val="006C70D5"/>
    <w:rsid w:val="006C746D"/>
    <w:rsid w:val="006C7C99"/>
    <w:rsid w:val="006D08A5"/>
    <w:rsid w:val="006D0D8B"/>
    <w:rsid w:val="006D140D"/>
    <w:rsid w:val="006D25D1"/>
    <w:rsid w:val="006D3232"/>
    <w:rsid w:val="006D378B"/>
    <w:rsid w:val="006D3EDA"/>
    <w:rsid w:val="006D5266"/>
    <w:rsid w:val="006D784A"/>
    <w:rsid w:val="006D7B74"/>
    <w:rsid w:val="006E05AB"/>
    <w:rsid w:val="006E2B74"/>
    <w:rsid w:val="006E2BE3"/>
    <w:rsid w:val="006E30E0"/>
    <w:rsid w:val="006E37C1"/>
    <w:rsid w:val="006E5A42"/>
    <w:rsid w:val="006E69CA"/>
    <w:rsid w:val="006E7DD5"/>
    <w:rsid w:val="006F0393"/>
    <w:rsid w:val="006F4BC7"/>
    <w:rsid w:val="006F4D75"/>
    <w:rsid w:val="006F5892"/>
    <w:rsid w:val="006F59DF"/>
    <w:rsid w:val="006F5C81"/>
    <w:rsid w:val="006F7440"/>
    <w:rsid w:val="00700F73"/>
    <w:rsid w:val="0070208E"/>
    <w:rsid w:val="007036E1"/>
    <w:rsid w:val="00704E2B"/>
    <w:rsid w:val="00704E41"/>
    <w:rsid w:val="0070589B"/>
    <w:rsid w:val="00705B8F"/>
    <w:rsid w:val="0070682E"/>
    <w:rsid w:val="00706C2F"/>
    <w:rsid w:val="0070737E"/>
    <w:rsid w:val="00710720"/>
    <w:rsid w:val="00710BF6"/>
    <w:rsid w:val="00711F6B"/>
    <w:rsid w:val="00712623"/>
    <w:rsid w:val="0071296A"/>
    <w:rsid w:val="00712BC6"/>
    <w:rsid w:val="007135A2"/>
    <w:rsid w:val="00713A6F"/>
    <w:rsid w:val="00714BA9"/>
    <w:rsid w:val="0071658E"/>
    <w:rsid w:val="00716C6B"/>
    <w:rsid w:val="00716C81"/>
    <w:rsid w:val="0071773E"/>
    <w:rsid w:val="00720B38"/>
    <w:rsid w:val="00721144"/>
    <w:rsid w:val="00723A33"/>
    <w:rsid w:val="00724348"/>
    <w:rsid w:val="00724FBA"/>
    <w:rsid w:val="007251B0"/>
    <w:rsid w:val="00725449"/>
    <w:rsid w:val="007265A7"/>
    <w:rsid w:val="00731180"/>
    <w:rsid w:val="007312F6"/>
    <w:rsid w:val="0073229A"/>
    <w:rsid w:val="00732FD7"/>
    <w:rsid w:val="007345D2"/>
    <w:rsid w:val="00736D9C"/>
    <w:rsid w:val="00737412"/>
    <w:rsid w:val="007374E9"/>
    <w:rsid w:val="00737959"/>
    <w:rsid w:val="00737C92"/>
    <w:rsid w:val="0074058D"/>
    <w:rsid w:val="00741D12"/>
    <w:rsid w:val="00742487"/>
    <w:rsid w:val="0074297E"/>
    <w:rsid w:val="007444BD"/>
    <w:rsid w:val="00746270"/>
    <w:rsid w:val="00747509"/>
    <w:rsid w:val="00747E83"/>
    <w:rsid w:val="00752396"/>
    <w:rsid w:val="00752B15"/>
    <w:rsid w:val="00752E44"/>
    <w:rsid w:val="00753D59"/>
    <w:rsid w:val="00754E35"/>
    <w:rsid w:val="0075705D"/>
    <w:rsid w:val="00762E03"/>
    <w:rsid w:val="00762EAA"/>
    <w:rsid w:val="00764349"/>
    <w:rsid w:val="007649A8"/>
    <w:rsid w:val="007649E6"/>
    <w:rsid w:val="007663A1"/>
    <w:rsid w:val="00767133"/>
    <w:rsid w:val="00767FDE"/>
    <w:rsid w:val="007700A7"/>
    <w:rsid w:val="00772F09"/>
    <w:rsid w:val="00776458"/>
    <w:rsid w:val="007778A7"/>
    <w:rsid w:val="007817E8"/>
    <w:rsid w:val="00782164"/>
    <w:rsid w:val="007852EC"/>
    <w:rsid w:val="00790A49"/>
    <w:rsid w:val="00791C36"/>
    <w:rsid w:val="00792F73"/>
    <w:rsid w:val="00793900"/>
    <w:rsid w:val="0079421E"/>
    <w:rsid w:val="00796C18"/>
    <w:rsid w:val="00797285"/>
    <w:rsid w:val="007A50A8"/>
    <w:rsid w:val="007A5165"/>
    <w:rsid w:val="007A6F65"/>
    <w:rsid w:val="007B0734"/>
    <w:rsid w:val="007B09B5"/>
    <w:rsid w:val="007B31EF"/>
    <w:rsid w:val="007B403B"/>
    <w:rsid w:val="007B5158"/>
    <w:rsid w:val="007B63DA"/>
    <w:rsid w:val="007B643C"/>
    <w:rsid w:val="007B6604"/>
    <w:rsid w:val="007B666F"/>
    <w:rsid w:val="007B7908"/>
    <w:rsid w:val="007B7F6F"/>
    <w:rsid w:val="007C25A7"/>
    <w:rsid w:val="007C2968"/>
    <w:rsid w:val="007C3058"/>
    <w:rsid w:val="007C4BFD"/>
    <w:rsid w:val="007C75CE"/>
    <w:rsid w:val="007D128F"/>
    <w:rsid w:val="007D2B99"/>
    <w:rsid w:val="007D3479"/>
    <w:rsid w:val="007D390B"/>
    <w:rsid w:val="007D48D1"/>
    <w:rsid w:val="007D6126"/>
    <w:rsid w:val="007E0155"/>
    <w:rsid w:val="007E1B16"/>
    <w:rsid w:val="007E310D"/>
    <w:rsid w:val="007E4628"/>
    <w:rsid w:val="007E5070"/>
    <w:rsid w:val="007E5685"/>
    <w:rsid w:val="007E660D"/>
    <w:rsid w:val="007F2580"/>
    <w:rsid w:val="007F3082"/>
    <w:rsid w:val="007F6FD1"/>
    <w:rsid w:val="007F7367"/>
    <w:rsid w:val="007F73BE"/>
    <w:rsid w:val="00801ADF"/>
    <w:rsid w:val="00801C1B"/>
    <w:rsid w:val="00804BF9"/>
    <w:rsid w:val="008059B7"/>
    <w:rsid w:val="00805D56"/>
    <w:rsid w:val="0080766F"/>
    <w:rsid w:val="00811499"/>
    <w:rsid w:val="008115D2"/>
    <w:rsid w:val="008128A5"/>
    <w:rsid w:val="00813DCE"/>
    <w:rsid w:val="008147AE"/>
    <w:rsid w:val="00814CDB"/>
    <w:rsid w:val="0081543C"/>
    <w:rsid w:val="00815E73"/>
    <w:rsid w:val="00816C29"/>
    <w:rsid w:val="00816F71"/>
    <w:rsid w:val="00821913"/>
    <w:rsid w:val="0082330E"/>
    <w:rsid w:val="00827D3E"/>
    <w:rsid w:val="00827D86"/>
    <w:rsid w:val="00827FB6"/>
    <w:rsid w:val="00827FF9"/>
    <w:rsid w:val="00830C34"/>
    <w:rsid w:val="00831669"/>
    <w:rsid w:val="00832FC5"/>
    <w:rsid w:val="0083301D"/>
    <w:rsid w:val="00833803"/>
    <w:rsid w:val="00833E19"/>
    <w:rsid w:val="00833EA3"/>
    <w:rsid w:val="00833EB7"/>
    <w:rsid w:val="00834588"/>
    <w:rsid w:val="0083484D"/>
    <w:rsid w:val="008352F8"/>
    <w:rsid w:val="00837090"/>
    <w:rsid w:val="00837F79"/>
    <w:rsid w:val="008404D1"/>
    <w:rsid w:val="0084220A"/>
    <w:rsid w:val="008444CD"/>
    <w:rsid w:val="00844811"/>
    <w:rsid w:val="00846482"/>
    <w:rsid w:val="0084657E"/>
    <w:rsid w:val="00847071"/>
    <w:rsid w:val="00850400"/>
    <w:rsid w:val="00851B83"/>
    <w:rsid w:val="0085232E"/>
    <w:rsid w:val="00852535"/>
    <w:rsid w:val="00852E0B"/>
    <w:rsid w:val="00852EFB"/>
    <w:rsid w:val="00853AB1"/>
    <w:rsid w:val="00855BE5"/>
    <w:rsid w:val="00862090"/>
    <w:rsid w:val="00863346"/>
    <w:rsid w:val="008646C0"/>
    <w:rsid w:val="00864F02"/>
    <w:rsid w:val="0086596B"/>
    <w:rsid w:val="00866506"/>
    <w:rsid w:val="00867AB6"/>
    <w:rsid w:val="008702D7"/>
    <w:rsid w:val="0087285F"/>
    <w:rsid w:val="00876365"/>
    <w:rsid w:val="00880030"/>
    <w:rsid w:val="0088033E"/>
    <w:rsid w:val="00880AF4"/>
    <w:rsid w:val="00881959"/>
    <w:rsid w:val="00882165"/>
    <w:rsid w:val="008825CA"/>
    <w:rsid w:val="00883837"/>
    <w:rsid w:val="008838E3"/>
    <w:rsid w:val="00884E3A"/>
    <w:rsid w:val="0088512F"/>
    <w:rsid w:val="00890245"/>
    <w:rsid w:val="0089150A"/>
    <w:rsid w:val="008946B2"/>
    <w:rsid w:val="00896691"/>
    <w:rsid w:val="00896988"/>
    <w:rsid w:val="0089706B"/>
    <w:rsid w:val="008A1223"/>
    <w:rsid w:val="008A1920"/>
    <w:rsid w:val="008A208C"/>
    <w:rsid w:val="008A20D0"/>
    <w:rsid w:val="008A5CBB"/>
    <w:rsid w:val="008B2574"/>
    <w:rsid w:val="008B3C0A"/>
    <w:rsid w:val="008B60C1"/>
    <w:rsid w:val="008B6157"/>
    <w:rsid w:val="008B61C1"/>
    <w:rsid w:val="008B6450"/>
    <w:rsid w:val="008B7C82"/>
    <w:rsid w:val="008C0A6D"/>
    <w:rsid w:val="008C1B18"/>
    <w:rsid w:val="008C259C"/>
    <w:rsid w:val="008C6A2F"/>
    <w:rsid w:val="008C73CC"/>
    <w:rsid w:val="008C7991"/>
    <w:rsid w:val="008D052B"/>
    <w:rsid w:val="008D14FF"/>
    <w:rsid w:val="008D3041"/>
    <w:rsid w:val="008D620A"/>
    <w:rsid w:val="008D6A1B"/>
    <w:rsid w:val="008D7602"/>
    <w:rsid w:val="008E032C"/>
    <w:rsid w:val="008E19F4"/>
    <w:rsid w:val="008E1BA5"/>
    <w:rsid w:val="008E3F89"/>
    <w:rsid w:val="008E59F2"/>
    <w:rsid w:val="008E5CCF"/>
    <w:rsid w:val="008F0D90"/>
    <w:rsid w:val="008F392E"/>
    <w:rsid w:val="008F3C85"/>
    <w:rsid w:val="008F4237"/>
    <w:rsid w:val="008F5CD5"/>
    <w:rsid w:val="009008D8"/>
    <w:rsid w:val="009009EB"/>
    <w:rsid w:val="009028CD"/>
    <w:rsid w:val="009046C1"/>
    <w:rsid w:val="00904886"/>
    <w:rsid w:val="00904DA9"/>
    <w:rsid w:val="00904E98"/>
    <w:rsid w:val="00905733"/>
    <w:rsid w:val="00905850"/>
    <w:rsid w:val="0090639A"/>
    <w:rsid w:val="00906C0D"/>
    <w:rsid w:val="00910D6E"/>
    <w:rsid w:val="0091145D"/>
    <w:rsid w:val="0091395D"/>
    <w:rsid w:val="00913F64"/>
    <w:rsid w:val="00916F69"/>
    <w:rsid w:val="009170E2"/>
    <w:rsid w:val="0092116C"/>
    <w:rsid w:val="00924C87"/>
    <w:rsid w:val="00925ADB"/>
    <w:rsid w:val="00925D09"/>
    <w:rsid w:val="00927463"/>
    <w:rsid w:val="00927F31"/>
    <w:rsid w:val="009308BF"/>
    <w:rsid w:val="0093156F"/>
    <w:rsid w:val="00931A98"/>
    <w:rsid w:val="00931EDC"/>
    <w:rsid w:val="009344ED"/>
    <w:rsid w:val="00935E67"/>
    <w:rsid w:val="009365B2"/>
    <w:rsid w:val="00937770"/>
    <w:rsid w:val="00940C09"/>
    <w:rsid w:val="00941BDC"/>
    <w:rsid w:val="009424F6"/>
    <w:rsid w:val="0095021E"/>
    <w:rsid w:val="00951362"/>
    <w:rsid w:val="00951880"/>
    <w:rsid w:val="00953EB4"/>
    <w:rsid w:val="00953EFB"/>
    <w:rsid w:val="009546E9"/>
    <w:rsid w:val="00955076"/>
    <w:rsid w:val="00956EF0"/>
    <w:rsid w:val="0095713D"/>
    <w:rsid w:val="00960126"/>
    <w:rsid w:val="00960A89"/>
    <w:rsid w:val="00962257"/>
    <w:rsid w:val="009622BD"/>
    <w:rsid w:val="0096573D"/>
    <w:rsid w:val="00966D02"/>
    <w:rsid w:val="00966E19"/>
    <w:rsid w:val="00967F7A"/>
    <w:rsid w:val="00970DE0"/>
    <w:rsid w:val="00970DED"/>
    <w:rsid w:val="009728B3"/>
    <w:rsid w:val="009745C8"/>
    <w:rsid w:val="00974A83"/>
    <w:rsid w:val="00974AAC"/>
    <w:rsid w:val="009762B8"/>
    <w:rsid w:val="00976A14"/>
    <w:rsid w:val="00976BB2"/>
    <w:rsid w:val="0097776F"/>
    <w:rsid w:val="009777AE"/>
    <w:rsid w:val="00982A85"/>
    <w:rsid w:val="00982BC2"/>
    <w:rsid w:val="00983584"/>
    <w:rsid w:val="00983B66"/>
    <w:rsid w:val="0098492F"/>
    <w:rsid w:val="0098500E"/>
    <w:rsid w:val="00986D2C"/>
    <w:rsid w:val="009916B7"/>
    <w:rsid w:val="009927C8"/>
    <w:rsid w:val="009929F6"/>
    <w:rsid w:val="00992A29"/>
    <w:rsid w:val="00992B23"/>
    <w:rsid w:val="00992F66"/>
    <w:rsid w:val="009932AC"/>
    <w:rsid w:val="00994D67"/>
    <w:rsid w:val="009A0381"/>
    <w:rsid w:val="009A0F60"/>
    <w:rsid w:val="009A184E"/>
    <w:rsid w:val="009A404A"/>
    <w:rsid w:val="009A4132"/>
    <w:rsid w:val="009A5359"/>
    <w:rsid w:val="009B298A"/>
    <w:rsid w:val="009B5838"/>
    <w:rsid w:val="009B79DE"/>
    <w:rsid w:val="009C0071"/>
    <w:rsid w:val="009C01DB"/>
    <w:rsid w:val="009C0C57"/>
    <w:rsid w:val="009C145D"/>
    <w:rsid w:val="009C2A16"/>
    <w:rsid w:val="009C33E0"/>
    <w:rsid w:val="009C589D"/>
    <w:rsid w:val="009C58D3"/>
    <w:rsid w:val="009C5E3B"/>
    <w:rsid w:val="009D0508"/>
    <w:rsid w:val="009D09EE"/>
    <w:rsid w:val="009D1904"/>
    <w:rsid w:val="009D20F7"/>
    <w:rsid w:val="009D2FD7"/>
    <w:rsid w:val="009D34D5"/>
    <w:rsid w:val="009D4720"/>
    <w:rsid w:val="009D4FF5"/>
    <w:rsid w:val="009E02DF"/>
    <w:rsid w:val="009E1D05"/>
    <w:rsid w:val="009E2BFE"/>
    <w:rsid w:val="009E2C79"/>
    <w:rsid w:val="009E38A7"/>
    <w:rsid w:val="009E4459"/>
    <w:rsid w:val="009E50BF"/>
    <w:rsid w:val="009E5AB4"/>
    <w:rsid w:val="009E5BE5"/>
    <w:rsid w:val="009E64D3"/>
    <w:rsid w:val="009E78CD"/>
    <w:rsid w:val="009F19FC"/>
    <w:rsid w:val="009F1EF9"/>
    <w:rsid w:val="009F3C14"/>
    <w:rsid w:val="009F54B1"/>
    <w:rsid w:val="009F56E8"/>
    <w:rsid w:val="009F5D49"/>
    <w:rsid w:val="009F6699"/>
    <w:rsid w:val="009F6DF8"/>
    <w:rsid w:val="009F768A"/>
    <w:rsid w:val="009F7DA8"/>
    <w:rsid w:val="009F7FE2"/>
    <w:rsid w:val="00A00445"/>
    <w:rsid w:val="00A01BB5"/>
    <w:rsid w:val="00A02F29"/>
    <w:rsid w:val="00A03765"/>
    <w:rsid w:val="00A038CA"/>
    <w:rsid w:val="00A13801"/>
    <w:rsid w:val="00A157E8"/>
    <w:rsid w:val="00A22D8B"/>
    <w:rsid w:val="00A23E67"/>
    <w:rsid w:val="00A2445F"/>
    <w:rsid w:val="00A25277"/>
    <w:rsid w:val="00A26585"/>
    <w:rsid w:val="00A30DA2"/>
    <w:rsid w:val="00A31978"/>
    <w:rsid w:val="00A31F67"/>
    <w:rsid w:val="00A341A1"/>
    <w:rsid w:val="00A341E9"/>
    <w:rsid w:val="00A363EB"/>
    <w:rsid w:val="00A44919"/>
    <w:rsid w:val="00A44ABE"/>
    <w:rsid w:val="00A51818"/>
    <w:rsid w:val="00A51D0D"/>
    <w:rsid w:val="00A52474"/>
    <w:rsid w:val="00A52762"/>
    <w:rsid w:val="00A529FE"/>
    <w:rsid w:val="00A53B74"/>
    <w:rsid w:val="00A53F1C"/>
    <w:rsid w:val="00A56A19"/>
    <w:rsid w:val="00A605B8"/>
    <w:rsid w:val="00A645AD"/>
    <w:rsid w:val="00A66E63"/>
    <w:rsid w:val="00A66FD0"/>
    <w:rsid w:val="00A7000B"/>
    <w:rsid w:val="00A70CA6"/>
    <w:rsid w:val="00A73730"/>
    <w:rsid w:val="00A738C1"/>
    <w:rsid w:val="00A75130"/>
    <w:rsid w:val="00A75B61"/>
    <w:rsid w:val="00A76359"/>
    <w:rsid w:val="00A800A5"/>
    <w:rsid w:val="00A803B7"/>
    <w:rsid w:val="00A80A61"/>
    <w:rsid w:val="00A81014"/>
    <w:rsid w:val="00A84E12"/>
    <w:rsid w:val="00A84EF0"/>
    <w:rsid w:val="00A85872"/>
    <w:rsid w:val="00A872BC"/>
    <w:rsid w:val="00A9285F"/>
    <w:rsid w:val="00A95225"/>
    <w:rsid w:val="00A97CE8"/>
    <w:rsid w:val="00AA0464"/>
    <w:rsid w:val="00AA08FB"/>
    <w:rsid w:val="00AA0AFE"/>
    <w:rsid w:val="00AA26B7"/>
    <w:rsid w:val="00AA4597"/>
    <w:rsid w:val="00AB0443"/>
    <w:rsid w:val="00AB127E"/>
    <w:rsid w:val="00AB2F38"/>
    <w:rsid w:val="00AB3FCB"/>
    <w:rsid w:val="00AB42D6"/>
    <w:rsid w:val="00AB4A3D"/>
    <w:rsid w:val="00AB4AF2"/>
    <w:rsid w:val="00AB583C"/>
    <w:rsid w:val="00AB63BD"/>
    <w:rsid w:val="00AB653C"/>
    <w:rsid w:val="00AB7042"/>
    <w:rsid w:val="00AB7AD7"/>
    <w:rsid w:val="00AB7CC1"/>
    <w:rsid w:val="00AC0462"/>
    <w:rsid w:val="00AC071E"/>
    <w:rsid w:val="00AC1122"/>
    <w:rsid w:val="00AC1915"/>
    <w:rsid w:val="00AC2F16"/>
    <w:rsid w:val="00AC3526"/>
    <w:rsid w:val="00AC4116"/>
    <w:rsid w:val="00AC4616"/>
    <w:rsid w:val="00AC4B85"/>
    <w:rsid w:val="00AC5657"/>
    <w:rsid w:val="00AC672A"/>
    <w:rsid w:val="00AC693B"/>
    <w:rsid w:val="00AC6A9D"/>
    <w:rsid w:val="00AD10AC"/>
    <w:rsid w:val="00AD14B5"/>
    <w:rsid w:val="00AD4DA0"/>
    <w:rsid w:val="00AD66D6"/>
    <w:rsid w:val="00AD6A9E"/>
    <w:rsid w:val="00AE0C44"/>
    <w:rsid w:val="00AE1D5A"/>
    <w:rsid w:val="00AE2B00"/>
    <w:rsid w:val="00AE4B30"/>
    <w:rsid w:val="00AE4F0E"/>
    <w:rsid w:val="00AE5135"/>
    <w:rsid w:val="00AE6B34"/>
    <w:rsid w:val="00AE6BA0"/>
    <w:rsid w:val="00AF07B4"/>
    <w:rsid w:val="00AF1876"/>
    <w:rsid w:val="00AF79F8"/>
    <w:rsid w:val="00B02E0B"/>
    <w:rsid w:val="00B045B0"/>
    <w:rsid w:val="00B064BB"/>
    <w:rsid w:val="00B068D0"/>
    <w:rsid w:val="00B06C11"/>
    <w:rsid w:val="00B074F9"/>
    <w:rsid w:val="00B07C40"/>
    <w:rsid w:val="00B10257"/>
    <w:rsid w:val="00B1304C"/>
    <w:rsid w:val="00B133D1"/>
    <w:rsid w:val="00B159B0"/>
    <w:rsid w:val="00B15D00"/>
    <w:rsid w:val="00B16688"/>
    <w:rsid w:val="00B177FC"/>
    <w:rsid w:val="00B20466"/>
    <w:rsid w:val="00B20A02"/>
    <w:rsid w:val="00B24633"/>
    <w:rsid w:val="00B25347"/>
    <w:rsid w:val="00B25BFA"/>
    <w:rsid w:val="00B2666F"/>
    <w:rsid w:val="00B27874"/>
    <w:rsid w:val="00B307E4"/>
    <w:rsid w:val="00B31212"/>
    <w:rsid w:val="00B32BB6"/>
    <w:rsid w:val="00B33122"/>
    <w:rsid w:val="00B33C5A"/>
    <w:rsid w:val="00B3633A"/>
    <w:rsid w:val="00B404F7"/>
    <w:rsid w:val="00B41860"/>
    <w:rsid w:val="00B43844"/>
    <w:rsid w:val="00B523FB"/>
    <w:rsid w:val="00B55D52"/>
    <w:rsid w:val="00B56BEF"/>
    <w:rsid w:val="00B600F9"/>
    <w:rsid w:val="00B60E77"/>
    <w:rsid w:val="00B62AC9"/>
    <w:rsid w:val="00B63764"/>
    <w:rsid w:val="00B64A97"/>
    <w:rsid w:val="00B65C12"/>
    <w:rsid w:val="00B67F2B"/>
    <w:rsid w:val="00B70C83"/>
    <w:rsid w:val="00B717FC"/>
    <w:rsid w:val="00B71A82"/>
    <w:rsid w:val="00B72A7C"/>
    <w:rsid w:val="00B73EFA"/>
    <w:rsid w:val="00B7482C"/>
    <w:rsid w:val="00B74AD1"/>
    <w:rsid w:val="00B75338"/>
    <w:rsid w:val="00B75E9D"/>
    <w:rsid w:val="00B82D79"/>
    <w:rsid w:val="00B834D3"/>
    <w:rsid w:val="00B83773"/>
    <w:rsid w:val="00B83A91"/>
    <w:rsid w:val="00B84EAE"/>
    <w:rsid w:val="00B85E2B"/>
    <w:rsid w:val="00B86E6F"/>
    <w:rsid w:val="00B901AA"/>
    <w:rsid w:val="00B90A6E"/>
    <w:rsid w:val="00B90DA6"/>
    <w:rsid w:val="00B93F3C"/>
    <w:rsid w:val="00B94A45"/>
    <w:rsid w:val="00B94EDA"/>
    <w:rsid w:val="00BA0A61"/>
    <w:rsid w:val="00BA0D58"/>
    <w:rsid w:val="00BA180E"/>
    <w:rsid w:val="00BA188A"/>
    <w:rsid w:val="00BA2753"/>
    <w:rsid w:val="00BA4912"/>
    <w:rsid w:val="00BA53D8"/>
    <w:rsid w:val="00BA56BC"/>
    <w:rsid w:val="00BA59CB"/>
    <w:rsid w:val="00BA69C1"/>
    <w:rsid w:val="00BA6A96"/>
    <w:rsid w:val="00BA7EE6"/>
    <w:rsid w:val="00BB30CC"/>
    <w:rsid w:val="00BB395B"/>
    <w:rsid w:val="00BB3DE8"/>
    <w:rsid w:val="00BB4025"/>
    <w:rsid w:val="00BB606D"/>
    <w:rsid w:val="00BB72BA"/>
    <w:rsid w:val="00BB79B0"/>
    <w:rsid w:val="00BB7BF9"/>
    <w:rsid w:val="00BC056D"/>
    <w:rsid w:val="00BC0DC9"/>
    <w:rsid w:val="00BC3EC1"/>
    <w:rsid w:val="00BC66B4"/>
    <w:rsid w:val="00BD146B"/>
    <w:rsid w:val="00BD1A78"/>
    <w:rsid w:val="00BD2489"/>
    <w:rsid w:val="00BD28ED"/>
    <w:rsid w:val="00BD2B90"/>
    <w:rsid w:val="00BD3763"/>
    <w:rsid w:val="00BD5A40"/>
    <w:rsid w:val="00BE2D7C"/>
    <w:rsid w:val="00BE3138"/>
    <w:rsid w:val="00BE3437"/>
    <w:rsid w:val="00BE397D"/>
    <w:rsid w:val="00BE3A8F"/>
    <w:rsid w:val="00BE3AB8"/>
    <w:rsid w:val="00BE704C"/>
    <w:rsid w:val="00BE7F02"/>
    <w:rsid w:val="00BF1FD8"/>
    <w:rsid w:val="00BF3349"/>
    <w:rsid w:val="00BF36E7"/>
    <w:rsid w:val="00BF3AE8"/>
    <w:rsid w:val="00BF7090"/>
    <w:rsid w:val="00BF74B0"/>
    <w:rsid w:val="00BF7D96"/>
    <w:rsid w:val="00C02361"/>
    <w:rsid w:val="00C03ACC"/>
    <w:rsid w:val="00C05BBD"/>
    <w:rsid w:val="00C104AE"/>
    <w:rsid w:val="00C10DAA"/>
    <w:rsid w:val="00C12BF0"/>
    <w:rsid w:val="00C13214"/>
    <w:rsid w:val="00C144CB"/>
    <w:rsid w:val="00C210D0"/>
    <w:rsid w:val="00C219F8"/>
    <w:rsid w:val="00C21EA4"/>
    <w:rsid w:val="00C22662"/>
    <w:rsid w:val="00C26DE6"/>
    <w:rsid w:val="00C2705A"/>
    <w:rsid w:val="00C27BA8"/>
    <w:rsid w:val="00C30B9C"/>
    <w:rsid w:val="00C31BCD"/>
    <w:rsid w:val="00C32165"/>
    <w:rsid w:val="00C3273D"/>
    <w:rsid w:val="00C328E3"/>
    <w:rsid w:val="00C32CDD"/>
    <w:rsid w:val="00C34846"/>
    <w:rsid w:val="00C34973"/>
    <w:rsid w:val="00C34A02"/>
    <w:rsid w:val="00C34DEC"/>
    <w:rsid w:val="00C35004"/>
    <w:rsid w:val="00C379E1"/>
    <w:rsid w:val="00C37D12"/>
    <w:rsid w:val="00C37D56"/>
    <w:rsid w:val="00C37EF5"/>
    <w:rsid w:val="00C410A8"/>
    <w:rsid w:val="00C425DC"/>
    <w:rsid w:val="00C444C2"/>
    <w:rsid w:val="00C44CC4"/>
    <w:rsid w:val="00C4551C"/>
    <w:rsid w:val="00C45AC6"/>
    <w:rsid w:val="00C47D85"/>
    <w:rsid w:val="00C52A27"/>
    <w:rsid w:val="00C53C26"/>
    <w:rsid w:val="00C55B2B"/>
    <w:rsid w:val="00C56112"/>
    <w:rsid w:val="00C56697"/>
    <w:rsid w:val="00C56D44"/>
    <w:rsid w:val="00C5796F"/>
    <w:rsid w:val="00C57AA9"/>
    <w:rsid w:val="00C62370"/>
    <w:rsid w:val="00C653FB"/>
    <w:rsid w:val="00C6581F"/>
    <w:rsid w:val="00C6787E"/>
    <w:rsid w:val="00C67A1C"/>
    <w:rsid w:val="00C709D6"/>
    <w:rsid w:val="00C70C2C"/>
    <w:rsid w:val="00C7148E"/>
    <w:rsid w:val="00C7258C"/>
    <w:rsid w:val="00C7696A"/>
    <w:rsid w:val="00C77568"/>
    <w:rsid w:val="00C81181"/>
    <w:rsid w:val="00C8137B"/>
    <w:rsid w:val="00C81B4B"/>
    <w:rsid w:val="00C81F8E"/>
    <w:rsid w:val="00C82CBF"/>
    <w:rsid w:val="00C860A1"/>
    <w:rsid w:val="00C86A4E"/>
    <w:rsid w:val="00C86E7A"/>
    <w:rsid w:val="00C87EB5"/>
    <w:rsid w:val="00C9041C"/>
    <w:rsid w:val="00C91F84"/>
    <w:rsid w:val="00C925C1"/>
    <w:rsid w:val="00C92605"/>
    <w:rsid w:val="00C93822"/>
    <w:rsid w:val="00C9483A"/>
    <w:rsid w:val="00C95419"/>
    <w:rsid w:val="00C95F56"/>
    <w:rsid w:val="00C976EC"/>
    <w:rsid w:val="00C97C87"/>
    <w:rsid w:val="00C97D5B"/>
    <w:rsid w:val="00CA4151"/>
    <w:rsid w:val="00CA44AE"/>
    <w:rsid w:val="00CA45A1"/>
    <w:rsid w:val="00CA5D72"/>
    <w:rsid w:val="00CA6E90"/>
    <w:rsid w:val="00CB1F1B"/>
    <w:rsid w:val="00CB3674"/>
    <w:rsid w:val="00CB4DA2"/>
    <w:rsid w:val="00CB6A88"/>
    <w:rsid w:val="00CB6BCD"/>
    <w:rsid w:val="00CC0843"/>
    <w:rsid w:val="00CC2960"/>
    <w:rsid w:val="00CC3104"/>
    <w:rsid w:val="00CC412D"/>
    <w:rsid w:val="00CD093B"/>
    <w:rsid w:val="00CD4D63"/>
    <w:rsid w:val="00CD52CD"/>
    <w:rsid w:val="00CD5D0B"/>
    <w:rsid w:val="00CD6523"/>
    <w:rsid w:val="00CD6C37"/>
    <w:rsid w:val="00CD7266"/>
    <w:rsid w:val="00CE26EE"/>
    <w:rsid w:val="00CE3BE1"/>
    <w:rsid w:val="00CE45C3"/>
    <w:rsid w:val="00CE50BC"/>
    <w:rsid w:val="00CE650E"/>
    <w:rsid w:val="00CE70DC"/>
    <w:rsid w:val="00CE7EC0"/>
    <w:rsid w:val="00CF0DC3"/>
    <w:rsid w:val="00CF128E"/>
    <w:rsid w:val="00CF3248"/>
    <w:rsid w:val="00CF46A7"/>
    <w:rsid w:val="00CF4746"/>
    <w:rsid w:val="00CF54FB"/>
    <w:rsid w:val="00CF68A4"/>
    <w:rsid w:val="00D0053C"/>
    <w:rsid w:val="00D015D5"/>
    <w:rsid w:val="00D03639"/>
    <w:rsid w:val="00D047E0"/>
    <w:rsid w:val="00D062E1"/>
    <w:rsid w:val="00D07714"/>
    <w:rsid w:val="00D12626"/>
    <w:rsid w:val="00D148DD"/>
    <w:rsid w:val="00D16706"/>
    <w:rsid w:val="00D17164"/>
    <w:rsid w:val="00D20DA2"/>
    <w:rsid w:val="00D215F4"/>
    <w:rsid w:val="00D23FA7"/>
    <w:rsid w:val="00D259AA"/>
    <w:rsid w:val="00D27B98"/>
    <w:rsid w:val="00D30849"/>
    <w:rsid w:val="00D31633"/>
    <w:rsid w:val="00D33868"/>
    <w:rsid w:val="00D34E5D"/>
    <w:rsid w:val="00D371DE"/>
    <w:rsid w:val="00D40BC9"/>
    <w:rsid w:val="00D4372D"/>
    <w:rsid w:val="00D46F9D"/>
    <w:rsid w:val="00D47376"/>
    <w:rsid w:val="00D518FA"/>
    <w:rsid w:val="00D52236"/>
    <w:rsid w:val="00D52BC7"/>
    <w:rsid w:val="00D52F30"/>
    <w:rsid w:val="00D55504"/>
    <w:rsid w:val="00D56A2E"/>
    <w:rsid w:val="00D56DF8"/>
    <w:rsid w:val="00D574A2"/>
    <w:rsid w:val="00D617D5"/>
    <w:rsid w:val="00D61A80"/>
    <w:rsid w:val="00D61D57"/>
    <w:rsid w:val="00D63DB7"/>
    <w:rsid w:val="00D655C6"/>
    <w:rsid w:val="00D763E1"/>
    <w:rsid w:val="00D76671"/>
    <w:rsid w:val="00D771E9"/>
    <w:rsid w:val="00D80829"/>
    <w:rsid w:val="00D81551"/>
    <w:rsid w:val="00D8156D"/>
    <w:rsid w:val="00D81F33"/>
    <w:rsid w:val="00D82072"/>
    <w:rsid w:val="00D82450"/>
    <w:rsid w:val="00D825E3"/>
    <w:rsid w:val="00D83688"/>
    <w:rsid w:val="00D862DA"/>
    <w:rsid w:val="00D91265"/>
    <w:rsid w:val="00D923D0"/>
    <w:rsid w:val="00D924AB"/>
    <w:rsid w:val="00D92EFD"/>
    <w:rsid w:val="00D94804"/>
    <w:rsid w:val="00D94D8F"/>
    <w:rsid w:val="00D95293"/>
    <w:rsid w:val="00D95E77"/>
    <w:rsid w:val="00D967EA"/>
    <w:rsid w:val="00D970BE"/>
    <w:rsid w:val="00DA11E0"/>
    <w:rsid w:val="00DA1328"/>
    <w:rsid w:val="00DA155B"/>
    <w:rsid w:val="00DA2A89"/>
    <w:rsid w:val="00DB162E"/>
    <w:rsid w:val="00DB1F65"/>
    <w:rsid w:val="00DB4587"/>
    <w:rsid w:val="00DB4889"/>
    <w:rsid w:val="00DB4BAE"/>
    <w:rsid w:val="00DB53F3"/>
    <w:rsid w:val="00DB65B9"/>
    <w:rsid w:val="00DB662E"/>
    <w:rsid w:val="00DB72EC"/>
    <w:rsid w:val="00DB7C91"/>
    <w:rsid w:val="00DB7FF8"/>
    <w:rsid w:val="00DC0734"/>
    <w:rsid w:val="00DC08B1"/>
    <w:rsid w:val="00DC5D60"/>
    <w:rsid w:val="00DC7236"/>
    <w:rsid w:val="00DD05E9"/>
    <w:rsid w:val="00DD0781"/>
    <w:rsid w:val="00DD0E1D"/>
    <w:rsid w:val="00DD2134"/>
    <w:rsid w:val="00DD2F96"/>
    <w:rsid w:val="00DD3BE8"/>
    <w:rsid w:val="00DD4058"/>
    <w:rsid w:val="00DD45C9"/>
    <w:rsid w:val="00DD4D6A"/>
    <w:rsid w:val="00DD6E24"/>
    <w:rsid w:val="00DE0266"/>
    <w:rsid w:val="00DE0CFA"/>
    <w:rsid w:val="00DE230B"/>
    <w:rsid w:val="00DE3F89"/>
    <w:rsid w:val="00DE4166"/>
    <w:rsid w:val="00DE4168"/>
    <w:rsid w:val="00DE42BB"/>
    <w:rsid w:val="00DE5003"/>
    <w:rsid w:val="00DE67F5"/>
    <w:rsid w:val="00DE6A16"/>
    <w:rsid w:val="00DE76DB"/>
    <w:rsid w:val="00DF11B3"/>
    <w:rsid w:val="00DF16B0"/>
    <w:rsid w:val="00DF2830"/>
    <w:rsid w:val="00DF4315"/>
    <w:rsid w:val="00DF6488"/>
    <w:rsid w:val="00DF7595"/>
    <w:rsid w:val="00E00E04"/>
    <w:rsid w:val="00E028C1"/>
    <w:rsid w:val="00E02ED5"/>
    <w:rsid w:val="00E03944"/>
    <w:rsid w:val="00E05A13"/>
    <w:rsid w:val="00E118DB"/>
    <w:rsid w:val="00E140B7"/>
    <w:rsid w:val="00E143A9"/>
    <w:rsid w:val="00E14976"/>
    <w:rsid w:val="00E16708"/>
    <w:rsid w:val="00E16C3E"/>
    <w:rsid w:val="00E202D8"/>
    <w:rsid w:val="00E22215"/>
    <w:rsid w:val="00E23765"/>
    <w:rsid w:val="00E24CFF"/>
    <w:rsid w:val="00E256BF"/>
    <w:rsid w:val="00E30397"/>
    <w:rsid w:val="00E31E67"/>
    <w:rsid w:val="00E34D37"/>
    <w:rsid w:val="00E3545F"/>
    <w:rsid w:val="00E35807"/>
    <w:rsid w:val="00E42863"/>
    <w:rsid w:val="00E44969"/>
    <w:rsid w:val="00E44A97"/>
    <w:rsid w:val="00E4537A"/>
    <w:rsid w:val="00E45E6A"/>
    <w:rsid w:val="00E466B6"/>
    <w:rsid w:val="00E50EAC"/>
    <w:rsid w:val="00E512FE"/>
    <w:rsid w:val="00E52BC1"/>
    <w:rsid w:val="00E53C09"/>
    <w:rsid w:val="00E53F5C"/>
    <w:rsid w:val="00E54262"/>
    <w:rsid w:val="00E54544"/>
    <w:rsid w:val="00E54972"/>
    <w:rsid w:val="00E56865"/>
    <w:rsid w:val="00E57996"/>
    <w:rsid w:val="00E60AF9"/>
    <w:rsid w:val="00E6228A"/>
    <w:rsid w:val="00E62D41"/>
    <w:rsid w:val="00E6380E"/>
    <w:rsid w:val="00E63C6C"/>
    <w:rsid w:val="00E6405B"/>
    <w:rsid w:val="00E64C69"/>
    <w:rsid w:val="00E65331"/>
    <w:rsid w:val="00E65718"/>
    <w:rsid w:val="00E6604B"/>
    <w:rsid w:val="00E66373"/>
    <w:rsid w:val="00E66B10"/>
    <w:rsid w:val="00E6750B"/>
    <w:rsid w:val="00E678A2"/>
    <w:rsid w:val="00E6791B"/>
    <w:rsid w:val="00E7001B"/>
    <w:rsid w:val="00E70C9D"/>
    <w:rsid w:val="00E72C84"/>
    <w:rsid w:val="00E75044"/>
    <w:rsid w:val="00E7667C"/>
    <w:rsid w:val="00E77047"/>
    <w:rsid w:val="00E774FD"/>
    <w:rsid w:val="00E80235"/>
    <w:rsid w:val="00E812D0"/>
    <w:rsid w:val="00E8171F"/>
    <w:rsid w:val="00E818AC"/>
    <w:rsid w:val="00E81D34"/>
    <w:rsid w:val="00E83380"/>
    <w:rsid w:val="00E83633"/>
    <w:rsid w:val="00E8366C"/>
    <w:rsid w:val="00E84ECD"/>
    <w:rsid w:val="00E853EE"/>
    <w:rsid w:val="00E866B7"/>
    <w:rsid w:val="00E866DA"/>
    <w:rsid w:val="00E93039"/>
    <w:rsid w:val="00E94CD4"/>
    <w:rsid w:val="00E97F6D"/>
    <w:rsid w:val="00EA11C1"/>
    <w:rsid w:val="00EA180C"/>
    <w:rsid w:val="00EA1D3C"/>
    <w:rsid w:val="00EA6340"/>
    <w:rsid w:val="00EB0B36"/>
    <w:rsid w:val="00EB103B"/>
    <w:rsid w:val="00EB20AD"/>
    <w:rsid w:val="00EB2AEA"/>
    <w:rsid w:val="00EB2D53"/>
    <w:rsid w:val="00EB3438"/>
    <w:rsid w:val="00EB3913"/>
    <w:rsid w:val="00EB4267"/>
    <w:rsid w:val="00EB48F9"/>
    <w:rsid w:val="00EB4DD9"/>
    <w:rsid w:val="00EC059C"/>
    <w:rsid w:val="00EC0A70"/>
    <w:rsid w:val="00EC3284"/>
    <w:rsid w:val="00EC5BA6"/>
    <w:rsid w:val="00EC78A3"/>
    <w:rsid w:val="00ED798A"/>
    <w:rsid w:val="00EE016F"/>
    <w:rsid w:val="00EE0251"/>
    <w:rsid w:val="00EE2A58"/>
    <w:rsid w:val="00EE35A5"/>
    <w:rsid w:val="00EE7180"/>
    <w:rsid w:val="00EE72E9"/>
    <w:rsid w:val="00EE7F76"/>
    <w:rsid w:val="00EF01CA"/>
    <w:rsid w:val="00EF1102"/>
    <w:rsid w:val="00EF1378"/>
    <w:rsid w:val="00EF2AD8"/>
    <w:rsid w:val="00EF3291"/>
    <w:rsid w:val="00EF44DC"/>
    <w:rsid w:val="00EF68BF"/>
    <w:rsid w:val="00F01E13"/>
    <w:rsid w:val="00F0376B"/>
    <w:rsid w:val="00F04394"/>
    <w:rsid w:val="00F05559"/>
    <w:rsid w:val="00F0596C"/>
    <w:rsid w:val="00F06091"/>
    <w:rsid w:val="00F0697E"/>
    <w:rsid w:val="00F07867"/>
    <w:rsid w:val="00F07F8B"/>
    <w:rsid w:val="00F1011F"/>
    <w:rsid w:val="00F11DE9"/>
    <w:rsid w:val="00F143AE"/>
    <w:rsid w:val="00F152DF"/>
    <w:rsid w:val="00F1701C"/>
    <w:rsid w:val="00F17EF1"/>
    <w:rsid w:val="00F21C52"/>
    <w:rsid w:val="00F223FA"/>
    <w:rsid w:val="00F23B36"/>
    <w:rsid w:val="00F2437D"/>
    <w:rsid w:val="00F256A9"/>
    <w:rsid w:val="00F26C42"/>
    <w:rsid w:val="00F30A8B"/>
    <w:rsid w:val="00F310E1"/>
    <w:rsid w:val="00F32D3C"/>
    <w:rsid w:val="00F3493F"/>
    <w:rsid w:val="00F34E5E"/>
    <w:rsid w:val="00F351DF"/>
    <w:rsid w:val="00F3526D"/>
    <w:rsid w:val="00F35F8D"/>
    <w:rsid w:val="00F374C3"/>
    <w:rsid w:val="00F378A0"/>
    <w:rsid w:val="00F448A8"/>
    <w:rsid w:val="00F45096"/>
    <w:rsid w:val="00F45D54"/>
    <w:rsid w:val="00F46B1D"/>
    <w:rsid w:val="00F52239"/>
    <w:rsid w:val="00F52876"/>
    <w:rsid w:val="00F530AE"/>
    <w:rsid w:val="00F53270"/>
    <w:rsid w:val="00F554E7"/>
    <w:rsid w:val="00F559C3"/>
    <w:rsid w:val="00F5615B"/>
    <w:rsid w:val="00F57722"/>
    <w:rsid w:val="00F619A4"/>
    <w:rsid w:val="00F63458"/>
    <w:rsid w:val="00F6396B"/>
    <w:rsid w:val="00F639B5"/>
    <w:rsid w:val="00F63AA2"/>
    <w:rsid w:val="00F6428E"/>
    <w:rsid w:val="00F65B86"/>
    <w:rsid w:val="00F66B15"/>
    <w:rsid w:val="00F66BF6"/>
    <w:rsid w:val="00F713C5"/>
    <w:rsid w:val="00F7255E"/>
    <w:rsid w:val="00F72BD8"/>
    <w:rsid w:val="00F734C3"/>
    <w:rsid w:val="00F74A1E"/>
    <w:rsid w:val="00F7517E"/>
    <w:rsid w:val="00F76DFD"/>
    <w:rsid w:val="00F81532"/>
    <w:rsid w:val="00F816E6"/>
    <w:rsid w:val="00F841AD"/>
    <w:rsid w:val="00F843D6"/>
    <w:rsid w:val="00F862B0"/>
    <w:rsid w:val="00F91EBC"/>
    <w:rsid w:val="00F92074"/>
    <w:rsid w:val="00F920C2"/>
    <w:rsid w:val="00F93A5D"/>
    <w:rsid w:val="00F954B5"/>
    <w:rsid w:val="00F959D1"/>
    <w:rsid w:val="00FA0D7A"/>
    <w:rsid w:val="00FA2445"/>
    <w:rsid w:val="00FA38C8"/>
    <w:rsid w:val="00FA407B"/>
    <w:rsid w:val="00FA41F6"/>
    <w:rsid w:val="00FA5780"/>
    <w:rsid w:val="00FA58FC"/>
    <w:rsid w:val="00FA676E"/>
    <w:rsid w:val="00FA6B51"/>
    <w:rsid w:val="00FA7CA6"/>
    <w:rsid w:val="00FA7E3F"/>
    <w:rsid w:val="00FB088F"/>
    <w:rsid w:val="00FB1D27"/>
    <w:rsid w:val="00FB403C"/>
    <w:rsid w:val="00FB69BB"/>
    <w:rsid w:val="00FB6F51"/>
    <w:rsid w:val="00FB79F3"/>
    <w:rsid w:val="00FC0F8E"/>
    <w:rsid w:val="00FC4DE7"/>
    <w:rsid w:val="00FC500A"/>
    <w:rsid w:val="00FC5F5C"/>
    <w:rsid w:val="00FC6A81"/>
    <w:rsid w:val="00FC6C11"/>
    <w:rsid w:val="00FC6E9D"/>
    <w:rsid w:val="00FC7589"/>
    <w:rsid w:val="00FC778E"/>
    <w:rsid w:val="00FC7D3A"/>
    <w:rsid w:val="00FD0134"/>
    <w:rsid w:val="00FD11A3"/>
    <w:rsid w:val="00FD22AF"/>
    <w:rsid w:val="00FD2413"/>
    <w:rsid w:val="00FD2B39"/>
    <w:rsid w:val="00FD2C3B"/>
    <w:rsid w:val="00FD3BCD"/>
    <w:rsid w:val="00FE13B0"/>
    <w:rsid w:val="00FE308B"/>
    <w:rsid w:val="00FE35C6"/>
    <w:rsid w:val="00FE458D"/>
    <w:rsid w:val="00FE49CE"/>
    <w:rsid w:val="00FE75D1"/>
    <w:rsid w:val="00FF1A45"/>
    <w:rsid w:val="00FF1FF7"/>
    <w:rsid w:val="00FF2DC3"/>
    <w:rsid w:val="00FF39BF"/>
    <w:rsid w:val="00FF4173"/>
    <w:rsid w:val="00FF5262"/>
    <w:rsid w:val="00FF5943"/>
    <w:rsid w:val="00FF5A73"/>
    <w:rsid w:val="00FF7E17"/>
    <w:rsid w:val="01150F31"/>
    <w:rsid w:val="021C21E7"/>
    <w:rsid w:val="023A2E2C"/>
    <w:rsid w:val="0246416B"/>
    <w:rsid w:val="024737BC"/>
    <w:rsid w:val="031E6271"/>
    <w:rsid w:val="033608B1"/>
    <w:rsid w:val="0339199B"/>
    <w:rsid w:val="04CF481B"/>
    <w:rsid w:val="055238A3"/>
    <w:rsid w:val="06164F56"/>
    <w:rsid w:val="08026668"/>
    <w:rsid w:val="09014AA2"/>
    <w:rsid w:val="09694018"/>
    <w:rsid w:val="0A191FEC"/>
    <w:rsid w:val="0A7F09E6"/>
    <w:rsid w:val="0BBA69EB"/>
    <w:rsid w:val="0BF16E09"/>
    <w:rsid w:val="0C5361FA"/>
    <w:rsid w:val="0D6358AB"/>
    <w:rsid w:val="0D77267A"/>
    <w:rsid w:val="0E973E3F"/>
    <w:rsid w:val="0EE053D2"/>
    <w:rsid w:val="12B00485"/>
    <w:rsid w:val="12D64E56"/>
    <w:rsid w:val="12D96AE3"/>
    <w:rsid w:val="13B1655E"/>
    <w:rsid w:val="13B91233"/>
    <w:rsid w:val="14E8498B"/>
    <w:rsid w:val="1526094C"/>
    <w:rsid w:val="152C2CD2"/>
    <w:rsid w:val="153D1B8E"/>
    <w:rsid w:val="16837029"/>
    <w:rsid w:val="16D84D00"/>
    <w:rsid w:val="16E52A43"/>
    <w:rsid w:val="16EE2793"/>
    <w:rsid w:val="18830246"/>
    <w:rsid w:val="19004638"/>
    <w:rsid w:val="195C5947"/>
    <w:rsid w:val="19C705AD"/>
    <w:rsid w:val="1B0E5A7A"/>
    <w:rsid w:val="1B285AE1"/>
    <w:rsid w:val="1B730B4D"/>
    <w:rsid w:val="1BD7667B"/>
    <w:rsid w:val="1CEF1518"/>
    <w:rsid w:val="1D2E512B"/>
    <w:rsid w:val="1D851279"/>
    <w:rsid w:val="1E854FF8"/>
    <w:rsid w:val="1EBB17EE"/>
    <w:rsid w:val="1F1C1A28"/>
    <w:rsid w:val="1F425D13"/>
    <w:rsid w:val="1F5A0134"/>
    <w:rsid w:val="1F6348E4"/>
    <w:rsid w:val="1F8668FF"/>
    <w:rsid w:val="1FC40F96"/>
    <w:rsid w:val="1FDC3E6A"/>
    <w:rsid w:val="20224CC1"/>
    <w:rsid w:val="20E94426"/>
    <w:rsid w:val="215738AB"/>
    <w:rsid w:val="217253F2"/>
    <w:rsid w:val="222C5B99"/>
    <w:rsid w:val="22331AEF"/>
    <w:rsid w:val="226B601C"/>
    <w:rsid w:val="22AC7E3E"/>
    <w:rsid w:val="243B796B"/>
    <w:rsid w:val="24E97293"/>
    <w:rsid w:val="258252AA"/>
    <w:rsid w:val="25BF5294"/>
    <w:rsid w:val="26756174"/>
    <w:rsid w:val="27583DCB"/>
    <w:rsid w:val="28047D67"/>
    <w:rsid w:val="282E0EB7"/>
    <w:rsid w:val="288A7E1F"/>
    <w:rsid w:val="28CD4DF8"/>
    <w:rsid w:val="2917568E"/>
    <w:rsid w:val="297E178F"/>
    <w:rsid w:val="29D356AD"/>
    <w:rsid w:val="2A541155"/>
    <w:rsid w:val="2AB61CF2"/>
    <w:rsid w:val="2B5167B5"/>
    <w:rsid w:val="2BBC1662"/>
    <w:rsid w:val="2BD90319"/>
    <w:rsid w:val="2C2E754B"/>
    <w:rsid w:val="2CCD136F"/>
    <w:rsid w:val="2D297748"/>
    <w:rsid w:val="2D2A7C52"/>
    <w:rsid w:val="2D7B5F44"/>
    <w:rsid w:val="2E1D27AF"/>
    <w:rsid w:val="2E362BA9"/>
    <w:rsid w:val="2E7C03E8"/>
    <w:rsid w:val="2EA73716"/>
    <w:rsid w:val="30BD1074"/>
    <w:rsid w:val="30E6493A"/>
    <w:rsid w:val="311F205E"/>
    <w:rsid w:val="32507167"/>
    <w:rsid w:val="331B6501"/>
    <w:rsid w:val="336B1473"/>
    <w:rsid w:val="33F8223D"/>
    <w:rsid w:val="34C12764"/>
    <w:rsid w:val="34EA7A1E"/>
    <w:rsid w:val="354A59C6"/>
    <w:rsid w:val="35E87AD2"/>
    <w:rsid w:val="36A77C00"/>
    <w:rsid w:val="376E0A72"/>
    <w:rsid w:val="37983D42"/>
    <w:rsid w:val="37DD1DEF"/>
    <w:rsid w:val="37FA4319"/>
    <w:rsid w:val="381F3470"/>
    <w:rsid w:val="38AB53F9"/>
    <w:rsid w:val="38C70421"/>
    <w:rsid w:val="38E45431"/>
    <w:rsid w:val="3902751A"/>
    <w:rsid w:val="39E27207"/>
    <w:rsid w:val="3A0E3D7F"/>
    <w:rsid w:val="3A1967BD"/>
    <w:rsid w:val="3A796C0C"/>
    <w:rsid w:val="3ACA7BAC"/>
    <w:rsid w:val="3B0C58DD"/>
    <w:rsid w:val="3B8561E0"/>
    <w:rsid w:val="3B975572"/>
    <w:rsid w:val="3C791504"/>
    <w:rsid w:val="3CE4159C"/>
    <w:rsid w:val="3D452D98"/>
    <w:rsid w:val="3ED80E13"/>
    <w:rsid w:val="3FA12AE7"/>
    <w:rsid w:val="41391F47"/>
    <w:rsid w:val="4186502C"/>
    <w:rsid w:val="42A12C14"/>
    <w:rsid w:val="43C5407F"/>
    <w:rsid w:val="448D16D6"/>
    <w:rsid w:val="44B51A44"/>
    <w:rsid w:val="450C5A74"/>
    <w:rsid w:val="45105C52"/>
    <w:rsid w:val="451C5469"/>
    <w:rsid w:val="45D34A34"/>
    <w:rsid w:val="46830090"/>
    <w:rsid w:val="47435185"/>
    <w:rsid w:val="4772665A"/>
    <w:rsid w:val="47A36E74"/>
    <w:rsid w:val="47E96303"/>
    <w:rsid w:val="480F320D"/>
    <w:rsid w:val="48735D3E"/>
    <w:rsid w:val="48D06FFE"/>
    <w:rsid w:val="495F0E1B"/>
    <w:rsid w:val="4AB80227"/>
    <w:rsid w:val="4B0B4954"/>
    <w:rsid w:val="4BE506E1"/>
    <w:rsid w:val="4C2B1AAF"/>
    <w:rsid w:val="4C9A38A4"/>
    <w:rsid w:val="4CB2108E"/>
    <w:rsid w:val="4CD64AED"/>
    <w:rsid w:val="4D0B07E0"/>
    <w:rsid w:val="4D2964E3"/>
    <w:rsid w:val="4DE3275E"/>
    <w:rsid w:val="4DEF2DCB"/>
    <w:rsid w:val="4E4F65C6"/>
    <w:rsid w:val="4E9904C8"/>
    <w:rsid w:val="4EFF388D"/>
    <w:rsid w:val="50081462"/>
    <w:rsid w:val="51D03C4F"/>
    <w:rsid w:val="51F95026"/>
    <w:rsid w:val="528173EF"/>
    <w:rsid w:val="528648C0"/>
    <w:rsid w:val="52B31E96"/>
    <w:rsid w:val="52B93069"/>
    <w:rsid w:val="52DD06F1"/>
    <w:rsid w:val="534E5FDD"/>
    <w:rsid w:val="539411E0"/>
    <w:rsid w:val="53CA72F5"/>
    <w:rsid w:val="54122549"/>
    <w:rsid w:val="541330D5"/>
    <w:rsid w:val="54187FE4"/>
    <w:rsid w:val="5430412D"/>
    <w:rsid w:val="54A91265"/>
    <w:rsid w:val="54C776D7"/>
    <w:rsid w:val="55C55442"/>
    <w:rsid w:val="569C630A"/>
    <w:rsid w:val="56D471B9"/>
    <w:rsid w:val="5741113E"/>
    <w:rsid w:val="58817EFF"/>
    <w:rsid w:val="59653481"/>
    <w:rsid w:val="5A037552"/>
    <w:rsid w:val="5AA00579"/>
    <w:rsid w:val="5ABC4DE1"/>
    <w:rsid w:val="5ACE46A6"/>
    <w:rsid w:val="5B8D2D21"/>
    <w:rsid w:val="5C982E14"/>
    <w:rsid w:val="5CA60A2B"/>
    <w:rsid w:val="5CDB0592"/>
    <w:rsid w:val="5DD4783F"/>
    <w:rsid w:val="5DF24B50"/>
    <w:rsid w:val="5E423CC7"/>
    <w:rsid w:val="5EE5503B"/>
    <w:rsid w:val="5EF22C19"/>
    <w:rsid w:val="5F0720C0"/>
    <w:rsid w:val="5F0C1449"/>
    <w:rsid w:val="5F477198"/>
    <w:rsid w:val="5F994D4B"/>
    <w:rsid w:val="60206B9C"/>
    <w:rsid w:val="617050B9"/>
    <w:rsid w:val="61AC7DCD"/>
    <w:rsid w:val="61B91604"/>
    <w:rsid w:val="62A81F07"/>
    <w:rsid w:val="62F10093"/>
    <w:rsid w:val="62FC61E6"/>
    <w:rsid w:val="631338FF"/>
    <w:rsid w:val="63AB23D8"/>
    <w:rsid w:val="63AD43A2"/>
    <w:rsid w:val="6470105F"/>
    <w:rsid w:val="656D47A5"/>
    <w:rsid w:val="65B5782C"/>
    <w:rsid w:val="66D71EA3"/>
    <w:rsid w:val="67174B7D"/>
    <w:rsid w:val="67F73E3E"/>
    <w:rsid w:val="68711225"/>
    <w:rsid w:val="69061E11"/>
    <w:rsid w:val="69B31610"/>
    <w:rsid w:val="6A0B5B1A"/>
    <w:rsid w:val="6A5D1F52"/>
    <w:rsid w:val="6AD07D8E"/>
    <w:rsid w:val="6ADF09DC"/>
    <w:rsid w:val="6AFE2D65"/>
    <w:rsid w:val="6B0E00E5"/>
    <w:rsid w:val="6B251DCB"/>
    <w:rsid w:val="6BCD4ADA"/>
    <w:rsid w:val="6BD448E4"/>
    <w:rsid w:val="6C382C77"/>
    <w:rsid w:val="6C534CD6"/>
    <w:rsid w:val="6C651A2B"/>
    <w:rsid w:val="6CDE742D"/>
    <w:rsid w:val="6D431148"/>
    <w:rsid w:val="6D4D272D"/>
    <w:rsid w:val="6D532F72"/>
    <w:rsid w:val="6DB85CAB"/>
    <w:rsid w:val="6F7826BA"/>
    <w:rsid w:val="6FAC6BCC"/>
    <w:rsid w:val="6FCE356B"/>
    <w:rsid w:val="70FA3707"/>
    <w:rsid w:val="71321960"/>
    <w:rsid w:val="7137374C"/>
    <w:rsid w:val="717413BA"/>
    <w:rsid w:val="719B415C"/>
    <w:rsid w:val="72D2080E"/>
    <w:rsid w:val="730D4025"/>
    <w:rsid w:val="73CE4D80"/>
    <w:rsid w:val="740B754B"/>
    <w:rsid w:val="74135BE1"/>
    <w:rsid w:val="752D3B9F"/>
    <w:rsid w:val="75E46B48"/>
    <w:rsid w:val="766133B3"/>
    <w:rsid w:val="77091498"/>
    <w:rsid w:val="770C4F72"/>
    <w:rsid w:val="77575B8F"/>
    <w:rsid w:val="791D0378"/>
    <w:rsid w:val="798126C5"/>
    <w:rsid w:val="79A228E7"/>
    <w:rsid w:val="7AF04A5C"/>
    <w:rsid w:val="7B614FBB"/>
    <w:rsid w:val="7C202D41"/>
    <w:rsid w:val="7CB91D79"/>
    <w:rsid w:val="7D083FA0"/>
    <w:rsid w:val="7D536DD9"/>
    <w:rsid w:val="7D941D57"/>
    <w:rsid w:val="7DA23B0D"/>
    <w:rsid w:val="7E0331EF"/>
    <w:rsid w:val="7E17565A"/>
    <w:rsid w:val="7EC27EA3"/>
    <w:rsid w:val="7F304176"/>
    <w:rsid w:val="7F760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6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3"/>
    <w:qFormat/>
    <w:uiPriority w:val="0"/>
    <w:pPr>
      <w:spacing w:before="100" w:beforeAutospacing="1" w:after="100" w:afterAutospacing="1"/>
      <w:jc w:val="left"/>
      <w:outlineLvl w:val="2"/>
    </w:pPr>
    <w:rPr>
      <w:rFonts w:hint="eastAsia" w:ascii="宋体" w:hAnsi="宋体"/>
      <w:b/>
      <w:kern w:val="0"/>
      <w:sz w:val="27"/>
      <w:szCs w:val="27"/>
    </w:rPr>
  </w:style>
  <w:style w:type="paragraph" w:styleId="5">
    <w:name w:val="heading 4"/>
    <w:basedOn w:val="1"/>
    <w:next w:val="1"/>
    <w:link w:val="64"/>
    <w:qFormat/>
    <w:uiPriority w:val="0"/>
    <w:pPr>
      <w:keepNext/>
      <w:keepLines/>
      <w:spacing w:before="280" w:after="290" w:line="372" w:lineRule="auto"/>
      <w:outlineLvl w:val="3"/>
    </w:pPr>
    <w:rPr>
      <w:rFonts w:ascii="Arial" w:hAnsi="Arial" w:eastAsia="黑体"/>
      <w:b/>
      <w:sz w:val="28"/>
    </w:rPr>
  </w:style>
  <w:style w:type="character" w:default="1" w:styleId="38">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link w:val="82"/>
    <w:qFormat/>
    <w:uiPriority w:val="99"/>
    <w:pPr>
      <w:ind w:firstLine="420"/>
    </w:pPr>
    <w:rPr>
      <w:szCs w:val="20"/>
    </w:rPr>
  </w:style>
  <w:style w:type="paragraph" w:styleId="8">
    <w:name w:val="caption"/>
    <w:basedOn w:val="1"/>
    <w:next w:val="1"/>
    <w:qFormat/>
    <w:uiPriority w:val="0"/>
    <w:rPr>
      <w:rFonts w:ascii="Arial" w:hAnsi="Arial" w:eastAsia="黑体" w:cs="Arial"/>
      <w:sz w:val="20"/>
      <w:szCs w:val="20"/>
    </w:rPr>
  </w:style>
  <w:style w:type="paragraph" w:styleId="9">
    <w:name w:val="Document Map"/>
    <w:basedOn w:val="1"/>
    <w:link w:val="54"/>
    <w:unhideWhenUsed/>
    <w:qFormat/>
    <w:uiPriority w:val="0"/>
    <w:rPr>
      <w:rFonts w:ascii="宋体"/>
      <w:sz w:val="18"/>
      <w:szCs w:val="18"/>
    </w:rPr>
  </w:style>
  <w:style w:type="paragraph" w:styleId="10">
    <w:name w:val="annotation text"/>
    <w:basedOn w:val="1"/>
    <w:link w:val="51"/>
    <w:unhideWhenUsed/>
    <w:qFormat/>
    <w:uiPriority w:val="0"/>
    <w:pPr>
      <w:jc w:val="left"/>
    </w:pPr>
  </w:style>
  <w:style w:type="paragraph" w:styleId="11">
    <w:name w:val="Body Text 3"/>
    <w:basedOn w:val="1"/>
    <w:link w:val="98"/>
    <w:qFormat/>
    <w:uiPriority w:val="0"/>
    <w:pPr>
      <w:spacing w:after="120"/>
    </w:pPr>
    <w:rPr>
      <w:sz w:val="16"/>
      <w:szCs w:val="16"/>
    </w:rPr>
  </w:style>
  <w:style w:type="paragraph" w:styleId="12">
    <w:name w:val="Body Text"/>
    <w:basedOn w:val="1"/>
    <w:link w:val="103"/>
    <w:qFormat/>
    <w:uiPriority w:val="0"/>
    <w:pPr>
      <w:spacing w:line="360" w:lineRule="auto"/>
    </w:pPr>
    <w:rPr>
      <w:szCs w:val="20"/>
    </w:rPr>
  </w:style>
  <w:style w:type="paragraph" w:styleId="13">
    <w:name w:val="Body Text Indent"/>
    <w:basedOn w:val="1"/>
    <w:link w:val="108"/>
    <w:qFormat/>
    <w:uiPriority w:val="0"/>
    <w:pPr>
      <w:ind w:firstLine="830" w:firstLineChars="352"/>
    </w:pPr>
    <w:rPr>
      <w:rFonts w:ascii="仿宋_GB2312" w:eastAsia="仿宋_GB2312"/>
      <w:sz w:val="32"/>
      <w:szCs w:val="2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spacing w:line="300" w:lineRule="auto"/>
      <w:ind w:left="420"/>
      <w:jc w:val="left"/>
    </w:pPr>
    <w:rPr>
      <w:i/>
      <w:iCs/>
      <w:szCs w:val="20"/>
    </w:rPr>
  </w:style>
  <w:style w:type="paragraph" w:styleId="16">
    <w:name w:val="Plain Text"/>
    <w:basedOn w:val="1"/>
    <w:link w:val="53"/>
    <w:qFormat/>
    <w:uiPriority w:val="99"/>
    <w:rPr>
      <w:rFonts w:ascii="宋体" w:hAnsi="Courier New"/>
      <w:kern w:val="0"/>
      <w:sz w:val="20"/>
      <w:szCs w:val="21"/>
    </w:rPr>
  </w:style>
  <w:style w:type="paragraph" w:styleId="17">
    <w:name w:val="toc 8"/>
    <w:basedOn w:val="1"/>
    <w:next w:val="1"/>
    <w:qFormat/>
    <w:uiPriority w:val="39"/>
    <w:pPr>
      <w:ind w:left="1470"/>
      <w:jc w:val="left"/>
    </w:pPr>
    <w:rPr>
      <w:sz w:val="18"/>
      <w:szCs w:val="18"/>
    </w:rPr>
  </w:style>
  <w:style w:type="paragraph" w:styleId="18">
    <w:name w:val="Date"/>
    <w:basedOn w:val="1"/>
    <w:next w:val="1"/>
    <w:link w:val="65"/>
    <w:qFormat/>
    <w:uiPriority w:val="0"/>
    <w:rPr>
      <w:rFonts w:ascii="Calibri" w:hAnsi="Calibri"/>
      <w:szCs w:val="20"/>
    </w:rPr>
  </w:style>
  <w:style w:type="paragraph" w:styleId="19">
    <w:name w:val="Balloon Text"/>
    <w:basedOn w:val="1"/>
    <w:link w:val="46"/>
    <w:unhideWhenUsed/>
    <w:qFormat/>
    <w:uiPriority w:val="0"/>
    <w:rPr>
      <w:kern w:val="0"/>
      <w:sz w:val="18"/>
      <w:szCs w:val="18"/>
    </w:rPr>
  </w:style>
  <w:style w:type="paragraph" w:styleId="20">
    <w:name w:val="footer"/>
    <w:basedOn w:val="1"/>
    <w:link w:val="45"/>
    <w:unhideWhenUsed/>
    <w:qFormat/>
    <w:uiPriority w:val="99"/>
    <w:pPr>
      <w:tabs>
        <w:tab w:val="center" w:pos="4153"/>
        <w:tab w:val="right" w:pos="8306"/>
      </w:tabs>
      <w:snapToGrid w:val="0"/>
      <w:jc w:val="left"/>
    </w:pPr>
    <w:rPr>
      <w:sz w:val="18"/>
      <w:szCs w:val="18"/>
    </w:rPr>
  </w:style>
  <w:style w:type="paragraph" w:styleId="21">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line="360" w:lineRule="auto"/>
      <w:jc w:val="left"/>
    </w:pPr>
    <w:rPr>
      <w:b/>
      <w:bCs/>
      <w:caps/>
      <w:szCs w:val="20"/>
    </w:rPr>
  </w:style>
  <w:style w:type="paragraph" w:styleId="23">
    <w:name w:val="toc 4"/>
    <w:basedOn w:val="1"/>
    <w:next w:val="1"/>
    <w:qFormat/>
    <w:uiPriority w:val="39"/>
    <w:pPr>
      <w:ind w:left="630"/>
      <w:jc w:val="left"/>
    </w:pPr>
    <w:rPr>
      <w:sz w:val="18"/>
      <w:szCs w:val="18"/>
    </w:rPr>
  </w:style>
  <w:style w:type="paragraph" w:styleId="24">
    <w:name w:val="index heading"/>
    <w:basedOn w:val="1"/>
    <w:next w:val="25"/>
    <w:qFormat/>
    <w:uiPriority w:val="0"/>
    <w:rPr>
      <w:szCs w:val="20"/>
    </w:rPr>
  </w:style>
  <w:style w:type="paragraph" w:styleId="25">
    <w:name w:val="index 1"/>
    <w:basedOn w:val="1"/>
    <w:next w:val="1"/>
    <w:unhideWhenUsed/>
    <w:qFormat/>
    <w:uiPriority w:val="0"/>
    <w:rPr>
      <w:rFonts w:ascii="Calibri" w:hAnsi="Calibri"/>
    </w:rPr>
  </w:style>
  <w:style w:type="paragraph" w:styleId="26">
    <w:name w:val="toc 6"/>
    <w:basedOn w:val="1"/>
    <w:next w:val="1"/>
    <w:qFormat/>
    <w:uiPriority w:val="39"/>
    <w:pPr>
      <w:ind w:left="1050"/>
      <w:jc w:val="left"/>
    </w:pPr>
    <w:rPr>
      <w:sz w:val="18"/>
      <w:szCs w:val="18"/>
    </w:rPr>
  </w:style>
  <w:style w:type="paragraph" w:styleId="27">
    <w:name w:val="Body Text Indent 3"/>
    <w:basedOn w:val="1"/>
    <w:link w:val="109"/>
    <w:qFormat/>
    <w:uiPriority w:val="0"/>
    <w:pPr>
      <w:spacing w:line="360" w:lineRule="auto"/>
      <w:ind w:firstLine="420" w:firstLineChars="200"/>
    </w:pPr>
    <w:rPr>
      <w:szCs w:val="20"/>
    </w:rPr>
  </w:style>
  <w:style w:type="paragraph" w:styleId="28">
    <w:name w:val="toc 2"/>
    <w:basedOn w:val="1"/>
    <w:next w:val="1"/>
    <w:qFormat/>
    <w:uiPriority w:val="39"/>
    <w:pPr>
      <w:spacing w:line="360" w:lineRule="auto"/>
      <w:ind w:left="210"/>
      <w:jc w:val="left"/>
    </w:pPr>
    <w:rPr>
      <w:smallCaps/>
      <w:szCs w:val="20"/>
    </w:rPr>
  </w:style>
  <w:style w:type="paragraph" w:styleId="29">
    <w:name w:val="toc 9"/>
    <w:basedOn w:val="1"/>
    <w:next w:val="1"/>
    <w:qFormat/>
    <w:uiPriority w:val="39"/>
    <w:pPr>
      <w:ind w:left="1680"/>
      <w:jc w:val="left"/>
    </w:pPr>
    <w:rPr>
      <w:sz w:val="18"/>
      <w:szCs w:val="18"/>
    </w:rPr>
  </w:style>
  <w:style w:type="paragraph" w:styleId="30">
    <w:name w:val="Body Text 2"/>
    <w:basedOn w:val="1"/>
    <w:link w:val="126"/>
    <w:qFormat/>
    <w:uiPriority w:val="0"/>
    <w:pPr>
      <w:spacing w:after="120" w:line="480" w:lineRule="auto"/>
    </w:pPr>
  </w:style>
  <w:style w:type="paragraph" w:styleId="31">
    <w:name w:val="HTML Preformatted"/>
    <w:basedOn w:val="1"/>
    <w:link w:val="77"/>
    <w:qFormat/>
    <w:uiPriority w:val="0"/>
    <w:pPr>
      <w:widowControl/>
      <w:jc w:val="left"/>
    </w:pPr>
    <w:rPr>
      <w:rFonts w:ascii="黑体" w:hAnsi="Courier New" w:eastAsia="黑体" w:cs="Courier New"/>
      <w:kern w:val="0"/>
      <w:sz w:val="20"/>
      <w:szCs w:val="21"/>
    </w:rPr>
  </w:style>
  <w:style w:type="paragraph" w:styleId="32">
    <w:name w:val="Normal (Web)"/>
    <w:basedOn w:val="1"/>
    <w:qFormat/>
    <w:uiPriority w:val="99"/>
    <w:pPr>
      <w:widowControl/>
      <w:spacing w:beforeAutospacing="1" w:afterAutospacing="1"/>
      <w:jc w:val="left"/>
    </w:pPr>
    <w:rPr>
      <w:rFonts w:ascii="宋体" w:hAnsi="宋体"/>
      <w:color w:val="000000"/>
      <w:kern w:val="0"/>
      <w:sz w:val="24"/>
    </w:rPr>
  </w:style>
  <w:style w:type="paragraph" w:styleId="33">
    <w:name w:val="Title"/>
    <w:basedOn w:val="1"/>
    <w:link w:val="96"/>
    <w:qFormat/>
    <w:uiPriority w:val="0"/>
    <w:pPr>
      <w:spacing w:before="240" w:after="60"/>
      <w:jc w:val="center"/>
      <w:outlineLvl w:val="0"/>
    </w:pPr>
    <w:rPr>
      <w:rFonts w:ascii="Arial" w:hAnsi="Arial" w:cs="Arial"/>
      <w:b/>
      <w:bCs/>
      <w:sz w:val="32"/>
      <w:szCs w:val="32"/>
    </w:rPr>
  </w:style>
  <w:style w:type="paragraph" w:styleId="34">
    <w:name w:val="annotation subject"/>
    <w:basedOn w:val="10"/>
    <w:next w:val="10"/>
    <w:link w:val="52"/>
    <w:unhideWhenUsed/>
    <w:qFormat/>
    <w:uiPriority w:val="0"/>
    <w:rPr>
      <w:b/>
      <w:bCs/>
    </w:rPr>
  </w:style>
  <w:style w:type="paragraph" w:styleId="35">
    <w:name w:val="Body Text First Indent"/>
    <w:basedOn w:val="12"/>
    <w:link w:val="114"/>
    <w:qFormat/>
    <w:uiPriority w:val="0"/>
    <w:pPr>
      <w:spacing w:after="120" w:line="240" w:lineRule="auto"/>
      <w:ind w:firstLine="420" w:firstLineChars="100"/>
    </w:pPr>
    <w:rPr>
      <w:szCs w:val="24"/>
    </w:rPr>
  </w:style>
  <w:style w:type="table" w:styleId="37">
    <w:name w:val="Table Grid"/>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qFormat/>
    <w:uiPriority w:val="0"/>
    <w:rPr>
      <w:b/>
    </w:rPr>
  </w:style>
  <w:style w:type="character" w:styleId="40">
    <w:name w:val="page number"/>
    <w:basedOn w:val="38"/>
    <w:qFormat/>
    <w:uiPriority w:val="0"/>
  </w:style>
  <w:style w:type="character" w:styleId="41">
    <w:name w:val="FollowedHyperlink"/>
    <w:unhideWhenUsed/>
    <w:qFormat/>
    <w:uiPriority w:val="99"/>
    <w:rPr>
      <w:color w:val="954F72"/>
      <w:u w:val="single"/>
    </w:rPr>
  </w:style>
  <w:style w:type="character" w:styleId="42">
    <w:name w:val="Hyperlink"/>
    <w:unhideWhenUsed/>
    <w:qFormat/>
    <w:uiPriority w:val="99"/>
    <w:rPr>
      <w:color w:val="0000FF"/>
      <w:u w:val="single"/>
    </w:rPr>
  </w:style>
  <w:style w:type="character" w:styleId="43">
    <w:name w:val="annotation reference"/>
    <w:unhideWhenUsed/>
    <w:qFormat/>
    <w:uiPriority w:val="0"/>
    <w:rPr>
      <w:sz w:val="21"/>
      <w:szCs w:val="21"/>
    </w:rPr>
  </w:style>
  <w:style w:type="character" w:customStyle="1" w:styleId="44">
    <w:name w:val="页眉 Char"/>
    <w:link w:val="21"/>
    <w:qFormat/>
    <w:uiPriority w:val="99"/>
    <w:rPr>
      <w:rFonts w:ascii="Times New Roman" w:hAnsi="Times New Roman"/>
      <w:kern w:val="2"/>
      <w:sz w:val="18"/>
      <w:szCs w:val="18"/>
    </w:rPr>
  </w:style>
  <w:style w:type="character" w:customStyle="1" w:styleId="45">
    <w:name w:val="页脚 Char"/>
    <w:link w:val="20"/>
    <w:qFormat/>
    <w:uiPriority w:val="99"/>
    <w:rPr>
      <w:rFonts w:ascii="Times New Roman" w:hAnsi="Times New Roman"/>
      <w:kern w:val="2"/>
      <w:sz w:val="18"/>
      <w:szCs w:val="18"/>
    </w:rPr>
  </w:style>
  <w:style w:type="character" w:customStyle="1" w:styleId="46">
    <w:name w:val="批注框文本 Char"/>
    <w:link w:val="19"/>
    <w:qFormat/>
    <w:uiPriority w:val="0"/>
    <w:rPr>
      <w:rFonts w:ascii="Times New Roman" w:hAnsi="Times New Roman" w:eastAsia="宋体" w:cs="Times New Roman"/>
      <w:sz w:val="18"/>
      <w:szCs w:val="18"/>
    </w:rPr>
  </w:style>
  <w:style w:type="paragraph" w:customStyle="1" w:styleId="47">
    <w:name w:val="列表段落1"/>
    <w:basedOn w:val="1"/>
    <w:link w:val="49"/>
    <w:qFormat/>
    <w:uiPriority w:val="99"/>
    <w:pPr>
      <w:ind w:firstLine="420" w:firstLineChars="200"/>
    </w:pPr>
  </w:style>
  <w:style w:type="paragraph" w:customStyle="1" w:styleId="48">
    <w:name w:val="列出段落1"/>
    <w:basedOn w:val="1"/>
    <w:qFormat/>
    <w:uiPriority w:val="0"/>
    <w:pPr>
      <w:ind w:firstLine="420" w:firstLineChars="200"/>
    </w:pPr>
  </w:style>
  <w:style w:type="character" w:customStyle="1" w:styleId="49">
    <w:name w:val="列表段落 字符"/>
    <w:link w:val="47"/>
    <w:qFormat/>
    <w:uiPriority w:val="99"/>
    <w:rPr>
      <w:kern w:val="2"/>
      <w:sz w:val="21"/>
      <w:szCs w:val="24"/>
    </w:rPr>
  </w:style>
  <w:style w:type="paragraph" w:customStyle="1" w:styleId="5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1">
    <w:name w:val="批注文字 Char"/>
    <w:link w:val="10"/>
    <w:qFormat/>
    <w:uiPriority w:val="0"/>
    <w:rPr>
      <w:kern w:val="2"/>
      <w:sz w:val="21"/>
      <w:szCs w:val="24"/>
    </w:rPr>
  </w:style>
  <w:style w:type="character" w:customStyle="1" w:styleId="52">
    <w:name w:val="批注主题 Char"/>
    <w:link w:val="34"/>
    <w:qFormat/>
    <w:uiPriority w:val="0"/>
    <w:rPr>
      <w:b/>
      <w:bCs/>
      <w:kern w:val="2"/>
      <w:sz w:val="21"/>
      <w:szCs w:val="24"/>
    </w:rPr>
  </w:style>
  <w:style w:type="character" w:customStyle="1" w:styleId="53">
    <w:name w:val="纯文本 Char2"/>
    <w:link w:val="16"/>
    <w:qFormat/>
    <w:uiPriority w:val="0"/>
    <w:rPr>
      <w:rFonts w:ascii="宋体" w:hAnsi="Courier New"/>
      <w:szCs w:val="21"/>
    </w:rPr>
  </w:style>
  <w:style w:type="character" w:customStyle="1" w:styleId="54">
    <w:name w:val="文档结构图 Char"/>
    <w:basedOn w:val="38"/>
    <w:link w:val="9"/>
    <w:qFormat/>
    <w:uiPriority w:val="0"/>
    <w:rPr>
      <w:rFonts w:ascii="宋体"/>
      <w:kern w:val="2"/>
      <w:sz w:val="18"/>
      <w:szCs w:val="18"/>
    </w:rPr>
  </w:style>
  <w:style w:type="character" w:customStyle="1" w:styleId="55">
    <w:name w:val="纯文本 Char"/>
    <w:basedOn w:val="38"/>
    <w:qFormat/>
    <w:uiPriority w:val="99"/>
    <w:rPr>
      <w:rFonts w:ascii="宋体" w:hAnsi="Courier New"/>
      <w:kern w:val="2"/>
      <w:sz w:val="21"/>
    </w:rPr>
  </w:style>
  <w:style w:type="character" w:customStyle="1" w:styleId="56">
    <w:name w:val="列出段落 Char"/>
    <w:qFormat/>
    <w:locked/>
    <w:uiPriority w:val="0"/>
  </w:style>
  <w:style w:type="character" w:customStyle="1" w:styleId="57">
    <w:name w:val="纯文本 Char1"/>
    <w:link w:val="58"/>
    <w:qFormat/>
    <w:locked/>
    <w:uiPriority w:val="0"/>
    <w:rPr>
      <w:rFonts w:ascii="宋体" w:hAnsi="Courier New"/>
    </w:rPr>
  </w:style>
  <w:style w:type="paragraph" w:customStyle="1" w:styleId="58">
    <w:name w:val="纯文本1"/>
    <w:basedOn w:val="1"/>
    <w:link w:val="57"/>
    <w:qFormat/>
    <w:uiPriority w:val="0"/>
    <w:rPr>
      <w:rFonts w:ascii="宋体" w:hAnsi="Courier New"/>
      <w:kern w:val="0"/>
      <w:sz w:val="20"/>
      <w:szCs w:val="20"/>
    </w:rPr>
  </w:style>
  <w:style w:type="paragraph" w:styleId="59">
    <w:name w:val="List Paragraph"/>
    <w:basedOn w:val="1"/>
    <w:qFormat/>
    <w:uiPriority w:val="34"/>
    <w:pPr>
      <w:ind w:firstLine="420" w:firstLineChars="200"/>
    </w:pPr>
  </w:style>
  <w:style w:type="paragraph" w:customStyle="1" w:styleId="60">
    <w:name w:val="表格文字"/>
    <w:basedOn w:val="1"/>
    <w:qFormat/>
    <w:uiPriority w:val="0"/>
    <w:pPr>
      <w:jc w:val="left"/>
    </w:pPr>
    <w:rPr>
      <w:rFonts w:ascii="Calibri" w:hAnsi="Calibri"/>
      <w:bCs/>
      <w:spacing w:val="10"/>
      <w:kern w:val="0"/>
      <w:sz w:val="24"/>
      <w:szCs w:val="20"/>
    </w:rPr>
  </w:style>
  <w:style w:type="character" w:customStyle="1" w:styleId="61">
    <w:name w:val="标题 1 Char"/>
    <w:basedOn w:val="38"/>
    <w:link w:val="2"/>
    <w:qFormat/>
    <w:uiPriority w:val="0"/>
    <w:rPr>
      <w:rFonts w:ascii="宋体" w:hAnsi="宋体"/>
      <w:b/>
      <w:kern w:val="44"/>
      <w:sz w:val="48"/>
      <w:szCs w:val="48"/>
    </w:rPr>
  </w:style>
  <w:style w:type="character" w:customStyle="1" w:styleId="62">
    <w:name w:val="标题 2 Char1"/>
    <w:basedOn w:val="38"/>
    <w:link w:val="3"/>
    <w:qFormat/>
    <w:uiPriority w:val="0"/>
    <w:rPr>
      <w:rFonts w:ascii="Arial" w:hAnsi="Arial" w:eastAsia="黑体"/>
      <w:b/>
      <w:kern w:val="2"/>
      <w:sz w:val="32"/>
      <w:szCs w:val="24"/>
    </w:rPr>
  </w:style>
  <w:style w:type="character" w:customStyle="1" w:styleId="63">
    <w:name w:val="标题 3 Char"/>
    <w:basedOn w:val="38"/>
    <w:link w:val="4"/>
    <w:qFormat/>
    <w:uiPriority w:val="0"/>
    <w:rPr>
      <w:rFonts w:ascii="宋体" w:hAnsi="宋体"/>
      <w:b/>
      <w:sz w:val="27"/>
      <w:szCs w:val="27"/>
    </w:rPr>
  </w:style>
  <w:style w:type="character" w:customStyle="1" w:styleId="64">
    <w:name w:val="标题 4 Char"/>
    <w:basedOn w:val="38"/>
    <w:link w:val="5"/>
    <w:qFormat/>
    <w:uiPriority w:val="0"/>
    <w:rPr>
      <w:rFonts w:ascii="Arial" w:hAnsi="Arial" w:eastAsia="黑体"/>
      <w:b/>
      <w:kern w:val="2"/>
      <w:sz w:val="28"/>
      <w:szCs w:val="24"/>
    </w:rPr>
  </w:style>
  <w:style w:type="character" w:customStyle="1" w:styleId="65">
    <w:name w:val="日期 Char"/>
    <w:basedOn w:val="38"/>
    <w:link w:val="18"/>
    <w:qFormat/>
    <w:uiPriority w:val="0"/>
    <w:rPr>
      <w:rFonts w:ascii="Calibri" w:hAnsi="Calibri"/>
      <w:kern w:val="2"/>
      <w:sz w:val="21"/>
    </w:rPr>
  </w:style>
  <w:style w:type="paragraph" w:customStyle="1" w:styleId="66">
    <w:name w:val="正文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67">
    <w:name w:val="Blockquote"/>
    <w:basedOn w:val="1"/>
    <w:qFormat/>
    <w:uiPriority w:val="0"/>
    <w:pPr>
      <w:autoSpaceDE w:val="0"/>
      <w:autoSpaceDN w:val="0"/>
      <w:adjustRightInd w:val="0"/>
      <w:spacing w:before="100" w:after="100"/>
      <w:ind w:left="360" w:right="360"/>
      <w:jc w:val="left"/>
    </w:pPr>
    <w:rPr>
      <w:rFonts w:ascii="Calibri" w:hAnsi="Calibri"/>
      <w:kern w:val="0"/>
      <w:sz w:val="24"/>
      <w:szCs w:val="20"/>
    </w:rPr>
  </w:style>
  <w:style w:type="table" w:customStyle="1" w:styleId="68">
    <w:name w:val="网格型1"/>
    <w:basedOn w:val="36"/>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
    <w:name w:val="xl6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2">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character" w:customStyle="1" w:styleId="74">
    <w:name w:val="A4"/>
    <w:qFormat/>
    <w:uiPriority w:val="0"/>
    <w:rPr>
      <w:rFonts w:hint="eastAsia" w:ascii="新宋体" w:hAnsi="新宋体" w:eastAsia="新宋体" w:cs="新宋体"/>
      <w:color w:val="000000"/>
    </w:rPr>
  </w:style>
  <w:style w:type="character" w:customStyle="1" w:styleId="75">
    <w:name w:val="纯文本 Char Char1"/>
    <w:qFormat/>
    <w:uiPriority w:val="0"/>
    <w:rPr>
      <w:rFonts w:ascii="宋体" w:hAnsi="Courier New" w:eastAsia="宋体"/>
      <w:kern w:val="2"/>
      <w:sz w:val="21"/>
      <w:szCs w:val="24"/>
      <w:lang w:val="en-US" w:eastAsia="zh-CN" w:bidi="ar-SA"/>
    </w:rPr>
  </w:style>
  <w:style w:type="character" w:customStyle="1" w:styleId="76">
    <w:name w:val="文档结构图 字符1"/>
    <w:basedOn w:val="38"/>
    <w:semiHidden/>
    <w:qFormat/>
    <w:uiPriority w:val="0"/>
    <w:rPr>
      <w:rFonts w:ascii="Microsoft YaHei UI" w:hAnsi="Calibri" w:eastAsia="Microsoft YaHei UI"/>
      <w:kern w:val="2"/>
      <w:sz w:val="18"/>
      <w:szCs w:val="18"/>
    </w:rPr>
  </w:style>
  <w:style w:type="character" w:customStyle="1" w:styleId="77">
    <w:name w:val="HTML 预设格式 Char"/>
    <w:link w:val="31"/>
    <w:qFormat/>
    <w:uiPriority w:val="99"/>
    <w:rPr>
      <w:rFonts w:ascii="黑体" w:hAnsi="Courier New" w:eastAsia="黑体" w:cs="Courier New"/>
      <w:szCs w:val="21"/>
    </w:rPr>
  </w:style>
  <w:style w:type="character" w:customStyle="1" w:styleId="78">
    <w:name w:val="HTML 预设格式 字符1"/>
    <w:basedOn w:val="38"/>
    <w:qFormat/>
    <w:uiPriority w:val="0"/>
    <w:rPr>
      <w:rFonts w:ascii="Courier New" w:hAnsi="Courier New" w:cs="Courier New"/>
      <w:kern w:val="2"/>
    </w:rPr>
  </w:style>
  <w:style w:type="character" w:customStyle="1" w:styleId="79">
    <w:name w:val="font141"/>
    <w:basedOn w:val="38"/>
    <w:qFormat/>
    <w:uiPriority w:val="0"/>
  </w:style>
  <w:style w:type="character" w:customStyle="1" w:styleId="80">
    <w:name w:val="HTML 预设格式 Char1"/>
    <w:qFormat/>
    <w:uiPriority w:val="0"/>
    <w:rPr>
      <w:rFonts w:ascii="Courier New" w:hAnsi="Courier New" w:cs="Courier New"/>
      <w:kern w:val="2"/>
    </w:rPr>
  </w:style>
  <w:style w:type="character" w:customStyle="1" w:styleId="81">
    <w:name w:val="small"/>
    <w:basedOn w:val="38"/>
    <w:qFormat/>
    <w:uiPriority w:val="0"/>
  </w:style>
  <w:style w:type="character" w:customStyle="1" w:styleId="82">
    <w:name w:val="正文缩进 Char"/>
    <w:link w:val="7"/>
    <w:qFormat/>
    <w:uiPriority w:val="0"/>
    <w:rPr>
      <w:kern w:val="2"/>
      <w:sz w:val="21"/>
    </w:rPr>
  </w:style>
  <w:style w:type="character" w:customStyle="1" w:styleId="83">
    <w:name w:val="bold1"/>
    <w:qFormat/>
    <w:uiPriority w:val="0"/>
    <w:rPr>
      <w:b/>
      <w:bCs/>
      <w:shd w:val="clear" w:color="auto" w:fill="FFFFFF"/>
    </w:rPr>
  </w:style>
  <w:style w:type="character" w:customStyle="1" w:styleId="84">
    <w:name w:val="标题 2 Char"/>
    <w:qFormat/>
    <w:uiPriority w:val="0"/>
    <w:rPr>
      <w:rFonts w:ascii="Arial" w:hAnsi="Arial" w:eastAsia="黑体"/>
      <w:b/>
      <w:bCs/>
      <w:kern w:val="2"/>
      <w:sz w:val="32"/>
      <w:szCs w:val="32"/>
      <w:lang w:val="en-US" w:eastAsia="zh-CN" w:bidi="ar-SA"/>
    </w:rPr>
  </w:style>
  <w:style w:type="paragraph" w:customStyle="1" w:styleId="85">
    <w:name w:val="Char Char2 Char"/>
    <w:basedOn w:val="1"/>
    <w:qFormat/>
    <w:uiPriority w:val="0"/>
    <w:rPr>
      <w:rFonts w:ascii="宋体" w:hAnsi="宋体"/>
      <w:b/>
      <w:sz w:val="28"/>
      <w:szCs w:val="28"/>
    </w:rPr>
  </w:style>
  <w:style w:type="paragraph" w:customStyle="1" w:styleId="86">
    <w:name w:val="Char Char Char Char Char Char Char Char Char Char"/>
    <w:basedOn w:val="1"/>
    <w:qFormat/>
    <w:uiPriority w:val="0"/>
    <w:rPr>
      <w:rFonts w:ascii="Tahoma" w:hAnsi="Tahoma"/>
      <w:sz w:val="24"/>
      <w:szCs w:val="20"/>
    </w:rPr>
  </w:style>
  <w:style w:type="paragraph" w:customStyle="1" w:styleId="87">
    <w:name w:val="Char Char Char Char Char Char Char"/>
    <w:basedOn w:val="1"/>
    <w:qFormat/>
    <w:uiPriority w:val="0"/>
    <w:pPr>
      <w:tabs>
        <w:tab w:val="left" w:pos="425"/>
      </w:tabs>
      <w:ind w:left="425" w:hanging="425"/>
    </w:pPr>
    <w:rPr>
      <w:rFonts w:eastAsia="仿宋_GB2312"/>
      <w:kern w:val="24"/>
      <w:sz w:val="24"/>
    </w:rPr>
  </w:style>
  <w:style w:type="paragraph" w:customStyle="1" w:styleId="88">
    <w:name w:val="table"/>
    <w:basedOn w:val="1"/>
    <w:qFormat/>
    <w:uiPriority w:val="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89">
    <w:name w:val="正文标题"/>
    <w:basedOn w:val="1"/>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90">
    <w:name w:val="大标题"/>
    <w:basedOn w:val="2"/>
    <w:qFormat/>
    <w:uiPriority w:val="0"/>
    <w:pPr>
      <w:keepNext/>
      <w:spacing w:before="0" w:beforeAutospacing="0" w:after="0" w:afterAutospacing="0" w:line="360" w:lineRule="auto"/>
      <w:jc w:val="center"/>
    </w:pPr>
    <w:rPr>
      <w:rFonts w:hint="default" w:hAnsi="Arial" w:cs="Arial"/>
      <w:bCs/>
      <w:snapToGrid w:val="0"/>
      <w:kern w:val="0"/>
      <w:sz w:val="52"/>
      <w:szCs w:val="72"/>
    </w:rPr>
  </w:style>
  <w:style w:type="paragraph" w:customStyle="1" w:styleId="9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2">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93">
    <w:name w:val="_Style 2"/>
    <w:basedOn w:val="1"/>
    <w:qFormat/>
    <w:uiPriority w:val="34"/>
    <w:pPr>
      <w:ind w:firstLine="420" w:firstLineChars="200"/>
    </w:pPr>
  </w:style>
  <w:style w:type="paragraph" w:customStyle="1" w:styleId="94">
    <w:name w:val="Char Char1"/>
    <w:basedOn w:val="1"/>
    <w:qFormat/>
    <w:uiPriority w:val="0"/>
    <w:rPr>
      <w:rFonts w:ascii="宋体" w:hAnsi="宋体"/>
      <w:b/>
      <w:sz w:val="28"/>
      <w:szCs w:val="28"/>
    </w:rPr>
  </w:style>
  <w:style w:type="paragraph" w:customStyle="1" w:styleId="95">
    <w:name w:val="默认段落字体 Para Char"/>
    <w:basedOn w:val="1"/>
    <w:qFormat/>
    <w:uiPriority w:val="0"/>
    <w:rPr>
      <w:rFonts w:ascii="宋体" w:hAnsi="宋体"/>
      <w:b/>
      <w:sz w:val="28"/>
      <w:szCs w:val="28"/>
    </w:rPr>
  </w:style>
  <w:style w:type="character" w:customStyle="1" w:styleId="96">
    <w:name w:val="标题 Char"/>
    <w:basedOn w:val="38"/>
    <w:link w:val="33"/>
    <w:qFormat/>
    <w:uiPriority w:val="0"/>
    <w:rPr>
      <w:rFonts w:ascii="Arial" w:hAnsi="Arial" w:cs="Arial"/>
      <w:b/>
      <w:bCs/>
      <w:kern w:val="2"/>
      <w:sz w:val="32"/>
      <w:szCs w:val="32"/>
    </w:rPr>
  </w:style>
  <w:style w:type="paragraph" w:customStyle="1" w:styleId="97">
    <w:name w:val="办公自动化专用标题"/>
    <w:basedOn w:val="33"/>
    <w:qFormat/>
    <w:uiPriority w:val="0"/>
    <w:pPr>
      <w:spacing w:line="560" w:lineRule="atLeast"/>
    </w:pPr>
    <w:rPr>
      <w:rFonts w:ascii="宋体" w:cs="Times New Roman"/>
      <w:bCs w:val="0"/>
      <w:sz w:val="44"/>
      <w:szCs w:val="20"/>
    </w:rPr>
  </w:style>
  <w:style w:type="character" w:customStyle="1" w:styleId="98">
    <w:name w:val="正文文本 3 Char"/>
    <w:basedOn w:val="38"/>
    <w:link w:val="11"/>
    <w:qFormat/>
    <w:uiPriority w:val="0"/>
    <w:rPr>
      <w:kern w:val="2"/>
      <w:sz w:val="16"/>
      <w:szCs w:val="16"/>
    </w:rPr>
  </w:style>
  <w:style w:type="paragraph" w:customStyle="1" w:styleId="99">
    <w:name w:val="_Style 1"/>
    <w:basedOn w:val="1"/>
    <w:qFormat/>
    <w:uiPriority w:val="34"/>
    <w:pPr>
      <w:ind w:firstLine="420" w:firstLineChars="200"/>
    </w:pPr>
  </w:style>
  <w:style w:type="paragraph" w:customStyle="1" w:styleId="100">
    <w:name w:val="p0"/>
    <w:basedOn w:val="1"/>
    <w:qFormat/>
    <w:uiPriority w:val="0"/>
    <w:pPr>
      <w:widowControl/>
    </w:pPr>
    <w:rPr>
      <w:kern w:val="0"/>
      <w:szCs w:val="21"/>
    </w:rPr>
  </w:style>
  <w:style w:type="paragraph" w:customStyle="1" w:styleId="101">
    <w:name w:val="Char Char1 Char Char Char Char Char Char"/>
    <w:basedOn w:val="1"/>
    <w:qFormat/>
    <w:uiPriority w:val="0"/>
    <w:pPr>
      <w:widowControl/>
      <w:adjustRightInd w:val="0"/>
      <w:snapToGrid w:val="0"/>
      <w:spacing w:beforeLines="25" w:afterLines="25" w:line="240" w:lineRule="exact"/>
      <w:ind w:firstLine="560" w:firstLineChars="192"/>
      <w:jc w:val="left"/>
    </w:pPr>
    <w:rPr>
      <w:szCs w:val="20"/>
    </w:rPr>
  </w:style>
  <w:style w:type="paragraph" w:customStyle="1" w:styleId="102">
    <w:name w:val="HLegal 2"/>
    <w:basedOn w:val="1"/>
    <w:qFormat/>
    <w:uiPriority w:val="0"/>
    <w:pPr>
      <w:widowControl/>
      <w:spacing w:beforeLines="50" w:afterLines="50" w:line="300" w:lineRule="auto"/>
      <w:ind w:left="1" w:hanging="1"/>
      <w:jc w:val="left"/>
    </w:pPr>
    <w:rPr>
      <w:rFonts w:ascii="宋体" w:hAnsi="宋体" w:cs="宋体"/>
      <w:bCs/>
      <w:kern w:val="0"/>
      <w:sz w:val="24"/>
      <w:lang w:val="en-GB"/>
    </w:rPr>
  </w:style>
  <w:style w:type="character" w:customStyle="1" w:styleId="103">
    <w:name w:val="正文文本 Char"/>
    <w:basedOn w:val="38"/>
    <w:link w:val="12"/>
    <w:qFormat/>
    <w:uiPriority w:val="0"/>
    <w:rPr>
      <w:kern w:val="2"/>
      <w:sz w:val="21"/>
    </w:rPr>
  </w:style>
  <w:style w:type="paragraph" w:customStyle="1" w:styleId="104">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5">
    <w:name w:val="题注4"/>
    <w:basedOn w:val="1"/>
    <w:next w:val="8"/>
    <w:qFormat/>
    <w:uiPriority w:val="0"/>
    <w:pPr>
      <w:ind w:left="-132" w:leftChars="-64" w:right="-105" w:rightChars="-50" w:hanging="2"/>
      <w:jc w:val="center"/>
    </w:pPr>
    <w:rPr>
      <w:b/>
      <w:color w:val="FF0000"/>
      <w:szCs w:val="21"/>
      <w:lang w:val="en-GB"/>
    </w:rPr>
  </w:style>
  <w:style w:type="paragraph" w:customStyle="1" w:styleId="106">
    <w:name w:val="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07">
    <w:name w:val="默认段落字体 Para Char Char Char Char"/>
    <w:basedOn w:val="1"/>
    <w:qFormat/>
    <w:uiPriority w:val="0"/>
    <w:pPr>
      <w:spacing w:line="360" w:lineRule="auto"/>
      <w:ind w:firstLine="200" w:firstLineChars="200"/>
    </w:pPr>
    <w:rPr>
      <w:rFonts w:ascii="宋体" w:hAnsi="宋体" w:cs="宋体"/>
      <w:sz w:val="24"/>
    </w:rPr>
  </w:style>
  <w:style w:type="character" w:customStyle="1" w:styleId="108">
    <w:name w:val="正文文本缩进 Char"/>
    <w:basedOn w:val="38"/>
    <w:link w:val="13"/>
    <w:qFormat/>
    <w:uiPriority w:val="0"/>
    <w:rPr>
      <w:rFonts w:ascii="仿宋_GB2312" w:eastAsia="仿宋_GB2312"/>
      <w:kern w:val="2"/>
      <w:sz w:val="32"/>
    </w:rPr>
  </w:style>
  <w:style w:type="character" w:customStyle="1" w:styleId="109">
    <w:name w:val="正文文本缩进 3 Char"/>
    <w:basedOn w:val="38"/>
    <w:link w:val="27"/>
    <w:qFormat/>
    <w:uiPriority w:val="0"/>
    <w:rPr>
      <w:kern w:val="2"/>
      <w:sz w:val="21"/>
    </w:rPr>
  </w:style>
  <w:style w:type="paragraph" w:customStyle="1" w:styleId="11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11">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12">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13">
    <w:name w:val="表头"/>
    <w:basedOn w:val="8"/>
    <w:qFormat/>
    <w:uiPriority w:val="0"/>
    <w:pPr>
      <w:keepNext/>
      <w:keepLines/>
      <w:widowControl/>
      <w:spacing w:before="120" w:after="120" w:line="300" w:lineRule="auto"/>
      <w:jc w:val="center"/>
      <w:textAlignment w:val="baseline"/>
    </w:pPr>
    <w:rPr>
      <w:rFonts w:cs="Times New Roman"/>
      <w:kern w:val="0"/>
      <w:sz w:val="21"/>
    </w:rPr>
  </w:style>
  <w:style w:type="character" w:customStyle="1" w:styleId="114">
    <w:name w:val="正文首行缩进 Char"/>
    <w:basedOn w:val="103"/>
    <w:link w:val="35"/>
    <w:qFormat/>
    <w:uiPriority w:val="0"/>
    <w:rPr>
      <w:kern w:val="2"/>
      <w:sz w:val="21"/>
      <w:szCs w:val="24"/>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题注5"/>
    <w:basedOn w:val="1"/>
    <w:next w:val="8"/>
    <w:qFormat/>
    <w:uiPriority w:val="0"/>
    <w:pPr>
      <w:jc w:val="center"/>
    </w:pPr>
    <w:rPr>
      <w:b/>
      <w:color w:val="000000"/>
      <w:sz w:val="24"/>
      <w:szCs w:val="21"/>
    </w:rPr>
  </w:style>
  <w:style w:type="paragraph" w:customStyle="1" w:styleId="117">
    <w:name w:val="修订1"/>
    <w:hidden/>
    <w:unhideWhenUsed/>
    <w:qFormat/>
    <w:uiPriority w:val="99"/>
    <w:rPr>
      <w:rFonts w:ascii="Calibri" w:hAnsi="Calibri" w:eastAsia="宋体" w:cs="Times New Roman"/>
      <w:kern w:val="2"/>
      <w:sz w:val="21"/>
      <w:szCs w:val="24"/>
      <w:lang w:val="en-US" w:eastAsia="zh-CN" w:bidi="ar-SA"/>
    </w:rPr>
  </w:style>
  <w:style w:type="character" w:customStyle="1" w:styleId="118">
    <w:name w:val="页眉 字符1"/>
    <w:basedOn w:val="38"/>
    <w:semiHidden/>
    <w:qFormat/>
    <w:uiPriority w:val="99"/>
    <w:rPr>
      <w:kern w:val="2"/>
      <w:sz w:val="18"/>
      <w:szCs w:val="18"/>
    </w:rPr>
  </w:style>
  <w:style w:type="character" w:customStyle="1" w:styleId="119">
    <w:name w:val="页脚 字符1"/>
    <w:basedOn w:val="38"/>
    <w:semiHidden/>
    <w:qFormat/>
    <w:uiPriority w:val="99"/>
    <w:rPr>
      <w:kern w:val="2"/>
      <w:sz w:val="18"/>
      <w:szCs w:val="18"/>
    </w:rPr>
  </w:style>
  <w:style w:type="character" w:customStyle="1" w:styleId="120">
    <w:name w:val="批注框文本 字符1"/>
    <w:basedOn w:val="38"/>
    <w:semiHidden/>
    <w:qFormat/>
    <w:uiPriority w:val="99"/>
    <w:rPr>
      <w:kern w:val="2"/>
      <w:sz w:val="18"/>
      <w:szCs w:val="18"/>
    </w:rPr>
  </w:style>
  <w:style w:type="table" w:customStyle="1" w:styleId="121">
    <w:name w:val="网格型2"/>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2">
    <w:name w:val="普通文字1 Char"/>
    <w:qFormat/>
    <w:uiPriority w:val="0"/>
    <w:rPr>
      <w:rFonts w:ascii="宋体" w:hAnsi="Courier New" w:eastAsia="宋体" w:cs="Courier New"/>
      <w:kern w:val="2"/>
      <w:sz w:val="21"/>
      <w:szCs w:val="21"/>
      <w:lang w:val="en-US" w:eastAsia="zh-CN" w:bidi="ar-SA"/>
    </w:rPr>
  </w:style>
  <w:style w:type="table" w:customStyle="1" w:styleId="123">
    <w:name w:val="网格型3"/>
    <w:basedOn w:val="3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4">
    <w:name w:val="网格型11"/>
    <w:basedOn w:val="36"/>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5">
    <w:name w:val="_Style 95"/>
    <w:basedOn w:val="1"/>
    <w:next w:val="59"/>
    <w:qFormat/>
    <w:uiPriority w:val="0"/>
    <w:pPr>
      <w:ind w:firstLine="420" w:firstLineChars="200"/>
    </w:pPr>
    <w:rPr>
      <w:rFonts w:ascii="Calibri" w:hAnsi="Calibri"/>
      <w:szCs w:val="22"/>
    </w:rPr>
  </w:style>
  <w:style w:type="character" w:customStyle="1" w:styleId="126">
    <w:name w:val="正文文本 2 Char"/>
    <w:basedOn w:val="38"/>
    <w:link w:val="30"/>
    <w:qFormat/>
    <w:uiPriority w:val="0"/>
    <w:rPr>
      <w:kern w:val="2"/>
      <w:sz w:val="21"/>
      <w:szCs w:val="24"/>
    </w:rPr>
  </w:style>
  <w:style w:type="character" w:customStyle="1" w:styleId="127">
    <w:name w:val="NormalCharacter"/>
    <w:semiHidden/>
    <w:qFormat/>
    <w:uiPriority w:val="0"/>
    <w:rPr>
      <w:rFonts w:ascii="Calibri" w:hAnsi="Calibri"/>
      <w:kern w:val="2"/>
      <w:sz w:val="21"/>
      <w:szCs w:val="22"/>
      <w:lang w:val="en-US" w:eastAsia="zh-CN" w:bidi="ar-SA"/>
    </w:rPr>
  </w:style>
  <w:style w:type="paragraph" w:customStyle="1" w:styleId="128">
    <w:name w:val="UserStyle_0"/>
    <w:basedOn w:val="1"/>
    <w:qFormat/>
    <w:uiPriority w:val="0"/>
    <w:pPr>
      <w:jc w:val="left"/>
      <w:textAlignment w:val="baseline"/>
    </w:pPr>
    <w:rPr>
      <w:bCs/>
      <w:spacing w:val="10"/>
      <w:kern w:val="0"/>
      <w:sz w:val="24"/>
      <w:szCs w:val="20"/>
    </w:rPr>
  </w:style>
  <w:style w:type="paragraph" w:customStyle="1" w:styleId="129">
    <w:name w:val="正文_0"/>
    <w:qFormat/>
    <w:uiPriority w:val="0"/>
    <w:rPr>
      <w:rFonts w:ascii="Times New Roman" w:hAnsi="Times New Roman" w:eastAsia="宋体" w:cs="Times New Roman"/>
      <w:sz w:val="21"/>
      <w:szCs w:val="22"/>
      <w:lang w:val="en-US" w:eastAsia="zh-CN" w:bidi="ar-SA"/>
    </w:rPr>
  </w:style>
  <w:style w:type="paragraph" w:customStyle="1" w:styleId="130">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131">
    <w:name w:val="正文2"/>
    <w:qFormat/>
    <w:uiPriority w:val="0"/>
    <w:pPr>
      <w:widowControl w:val="0"/>
      <w:jc w:val="both"/>
    </w:pPr>
    <w:rPr>
      <w:rFonts w:hint="eastAsia" w:ascii="Calibri" w:hAnsi="Calibri" w:eastAsia="宋体" w:cs="Times New Roman"/>
      <w:kern w:val="2"/>
      <w:sz w:val="21"/>
      <w:szCs w:val="22"/>
      <w:lang w:val="en-US" w:eastAsia="zh-CN" w:bidi="ar-SA"/>
    </w:rPr>
  </w:style>
  <w:style w:type="paragraph" w:customStyle="1" w:styleId="132">
    <w:name w:val="纯文本2"/>
    <w:basedOn w:val="1"/>
    <w:qFormat/>
    <w:uiPriority w:val="0"/>
    <w:rPr>
      <w:rFonts w:ascii="宋体" w:hAnsi="Courier New" w:cs="Courier New"/>
      <w:szCs w:val="21"/>
    </w:rPr>
  </w:style>
  <w:style w:type="paragraph" w:customStyle="1" w:styleId="133">
    <w:name w:val="正文_1"/>
    <w:next w:val="134"/>
    <w:qFormat/>
    <w:uiPriority w:val="0"/>
    <w:rPr>
      <w:rFonts w:ascii="Times New Roman" w:hAnsi="Times New Roman" w:eastAsia="宋体" w:cs="Times New Roman"/>
      <w:sz w:val="21"/>
      <w:lang w:val="en-US" w:eastAsia="zh-CN" w:bidi="ar-SA"/>
    </w:rPr>
  </w:style>
  <w:style w:type="paragraph" w:customStyle="1" w:styleId="134">
    <w:name w:val="正文文本_1"/>
    <w:qFormat/>
    <w:uiPriority w:val="0"/>
    <w:pPr>
      <w:widowControl w:val="0"/>
      <w:spacing w:after="120" w:line="276" w:lineRule="auto"/>
      <w:jc w:val="both"/>
    </w:pPr>
    <w:rPr>
      <w:rFonts w:ascii="Times New Roman" w:hAnsi="Times New Roman" w:eastAsia="宋体" w:cs="Times New Roman"/>
      <w:kern w:val="2"/>
      <w:sz w:val="21"/>
      <w:lang w:val="en-US" w:eastAsia="zh-CN" w:bidi="ar-SA"/>
    </w:rPr>
  </w:style>
  <w:style w:type="paragraph" w:customStyle="1" w:styleId="135">
    <w:name w:val="列表段落2"/>
    <w:basedOn w:val="1"/>
    <w:qFormat/>
    <w:uiPriority w:val="34"/>
    <w:pPr>
      <w:ind w:firstLine="420" w:firstLineChars="200"/>
    </w:pPr>
  </w:style>
  <w:style w:type="paragraph" w:customStyle="1" w:styleId="136">
    <w:name w:val="列出段落11"/>
    <w:basedOn w:val="1"/>
    <w:qFormat/>
    <w:uiPriority w:val="34"/>
    <w:pPr>
      <w:ind w:firstLine="420" w:firstLineChars="200"/>
    </w:pPr>
    <w:rPr>
      <w:rFonts w:ascii="Calibri" w:hAnsi="Calibri" w:cs="宋体"/>
    </w:rPr>
  </w:style>
  <w:style w:type="paragraph" w:customStyle="1" w:styleId="137">
    <w:name w:val="_Style 3"/>
    <w:basedOn w:val="1"/>
    <w:qFormat/>
    <w:uiPriority w:val="0"/>
    <w:pPr>
      <w:ind w:firstLine="420" w:firstLineChars="200"/>
    </w:pPr>
  </w:style>
  <w:style w:type="character" w:customStyle="1" w:styleId="138">
    <w:name w:val="font11"/>
    <w:basedOn w:val="38"/>
    <w:qFormat/>
    <w:uiPriority w:val="0"/>
    <w:rPr>
      <w:rFonts w:hint="eastAsia" w:ascii="宋体" w:hAnsi="宋体" w:eastAsia="宋体" w:cs="宋体"/>
      <w:b/>
      <w:bCs/>
      <w:color w:val="000000"/>
      <w:sz w:val="18"/>
      <w:szCs w:val="18"/>
      <w:u w:val="none"/>
    </w:rPr>
  </w:style>
  <w:style w:type="character" w:customStyle="1" w:styleId="139">
    <w:name w:val="页码1"/>
    <w:basedOn w:val="3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4196</Words>
  <Characters>4393</Characters>
  <Lines>1</Lines>
  <Paragraphs>1</Paragraphs>
  <TotalTime>16</TotalTime>
  <ScaleCrop>false</ScaleCrop>
  <LinksUpToDate>false</LinksUpToDate>
  <CharactersWithSpaces>4412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2022-04-28T06:53:00Z</dcterms:created>
  <dc:creator>Administrator</dc:creator>
  <cp:lastModifiedBy>雄</cp:lastModifiedBy>
  <cp:lastPrinted>2024-07-16T02:23:00Z</cp:lastPrinted>
  <dcterms:modified xsi:type="dcterms:W3CDTF">2025-04-15T08:21:52Z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EF7D16F48D654459A11A92C85F0B1625_13</vt:lpwstr>
  </property>
  <property fmtid="{D5CDD505-2E9C-101B-9397-08002B2CF9AE}" pid="4" name="KSOTemplateDocerSaveRecord">
    <vt:lpwstr>eyJoZGlkIjoiMjljYmRjYzJhOWExYzgyZjhkOTA0NjMzMjFhZDRlM2EiLCJ1c2VySWQiOiI0MDkwNDAzNDUifQ==</vt:lpwstr>
  </property>
</Properties>
</file>