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6"/>
        <w:snapToGrid w:val="0"/>
        <w:spacing w:beforeLines="50"/>
        <w:jc w:val="center"/>
        <w:rPr>
          <w:rFonts w:ascii="宋体" w:hAnsi="宋体" w:cs="Calibri"/>
          <w:b/>
          <w:color w:val="000000" w:themeColor="text1"/>
          <w:sz w:val="84"/>
          <w:szCs w:val="84"/>
        </w:rPr>
      </w:pPr>
    </w:p>
    <w:p>
      <w:pPr>
        <w:pStyle w:val="46"/>
        <w:snapToGrid w:val="0"/>
        <w:spacing w:beforeLines="50"/>
        <w:jc w:val="center"/>
        <w:rPr>
          <w:rFonts w:ascii="宋体" w:hAnsi="宋体" w:cs="Calibri"/>
          <w:b/>
          <w:color w:val="000000" w:themeColor="text1"/>
          <w:sz w:val="84"/>
          <w:szCs w:val="84"/>
        </w:rPr>
      </w:pPr>
    </w:p>
    <w:p>
      <w:pPr>
        <w:pStyle w:val="46"/>
        <w:snapToGrid w:val="0"/>
        <w:spacing w:beforeLines="50"/>
        <w:jc w:val="center"/>
        <w:rPr>
          <w:rFonts w:ascii="宋体" w:hAnsi="宋体"/>
          <w:b/>
          <w:bCs/>
          <w:color w:val="000000" w:themeColor="text1"/>
          <w:sz w:val="84"/>
          <w:szCs w:val="84"/>
        </w:rPr>
      </w:pPr>
      <w:r>
        <w:rPr>
          <w:rFonts w:hint="eastAsia" w:ascii="宋体" w:hAnsi="宋体" w:cs="Calibri"/>
          <w:b/>
          <w:color w:val="000000" w:themeColor="text1"/>
          <w:sz w:val="84"/>
          <w:szCs w:val="84"/>
        </w:rPr>
        <w:t>竞价文件</w:t>
      </w:r>
    </w:p>
    <w:p>
      <w:pPr>
        <w:pStyle w:val="46"/>
        <w:spacing w:line="360" w:lineRule="auto"/>
        <w:jc w:val="center"/>
        <w:rPr>
          <w:rFonts w:ascii="宋体" w:hAnsi="宋体" w:cs="Calibri"/>
          <w:b/>
          <w:bCs/>
          <w:color w:val="000000" w:themeColor="text1"/>
          <w:sz w:val="24"/>
        </w:rPr>
      </w:pPr>
    </w:p>
    <w:p>
      <w:pPr>
        <w:pStyle w:val="46"/>
        <w:spacing w:line="360" w:lineRule="auto"/>
        <w:rPr>
          <w:rFonts w:ascii="宋体" w:hAnsi="宋体" w:cs="Calibri"/>
          <w:color w:val="000000" w:themeColor="text1"/>
          <w:sz w:val="30"/>
          <w:szCs w:val="30"/>
        </w:rPr>
      </w:pPr>
    </w:p>
    <w:p>
      <w:pPr>
        <w:pStyle w:val="46"/>
        <w:spacing w:line="360" w:lineRule="auto"/>
        <w:rPr>
          <w:rFonts w:ascii="宋体" w:hAnsi="宋体" w:cs="Calibri"/>
          <w:color w:val="000000" w:themeColor="text1"/>
          <w:sz w:val="30"/>
          <w:szCs w:val="30"/>
        </w:rPr>
      </w:pPr>
    </w:p>
    <w:p>
      <w:pPr>
        <w:pStyle w:val="46"/>
        <w:spacing w:line="360" w:lineRule="auto"/>
        <w:rPr>
          <w:rFonts w:ascii="宋体" w:hAnsi="宋体" w:cs="Calibri"/>
          <w:color w:val="000000" w:themeColor="text1"/>
          <w:sz w:val="30"/>
          <w:szCs w:val="30"/>
        </w:rPr>
      </w:pPr>
    </w:p>
    <w:p>
      <w:pPr>
        <w:pStyle w:val="46"/>
        <w:spacing w:line="360" w:lineRule="auto"/>
        <w:rPr>
          <w:rFonts w:ascii="宋体" w:hAnsi="宋体" w:cs="Calibri"/>
          <w:color w:val="000000" w:themeColor="text1"/>
          <w:sz w:val="30"/>
          <w:szCs w:val="30"/>
        </w:rPr>
      </w:pPr>
    </w:p>
    <w:p>
      <w:pPr>
        <w:pStyle w:val="46"/>
        <w:spacing w:line="360" w:lineRule="auto"/>
        <w:jc w:val="left"/>
        <w:rPr>
          <w:rFonts w:ascii="宋体" w:hAnsi="宋体" w:cs="Calibri"/>
          <w:b/>
          <w:bCs/>
          <w:color w:val="000000" w:themeColor="text1"/>
          <w:sz w:val="28"/>
          <w:szCs w:val="32"/>
        </w:rPr>
      </w:pPr>
      <w:r>
        <w:rPr>
          <w:rFonts w:hint="eastAsia" w:ascii="宋体" w:hAnsi="宋体" w:cs="Calibri"/>
          <w:b/>
          <w:bCs/>
          <w:color w:val="000000" w:themeColor="text1"/>
          <w:sz w:val="28"/>
          <w:szCs w:val="32"/>
        </w:rPr>
        <w:t>采购方式：线上竞价</w:t>
      </w:r>
    </w:p>
    <w:p>
      <w:pPr>
        <w:widowControl/>
        <w:jc w:val="left"/>
        <w:rPr>
          <w:rFonts w:ascii="宋体" w:hAnsi="宋体" w:cs="Calibri"/>
          <w:b/>
          <w:bCs/>
          <w:color w:val="000000" w:themeColor="text1"/>
          <w:sz w:val="28"/>
          <w:szCs w:val="32"/>
        </w:rPr>
      </w:pPr>
      <w:r>
        <w:rPr>
          <w:rFonts w:hint="eastAsia" w:ascii="宋体" w:hAnsi="宋体" w:cs="Calibri"/>
          <w:b/>
          <w:bCs/>
          <w:color w:val="000000" w:themeColor="text1"/>
          <w:sz w:val="28"/>
          <w:szCs w:val="32"/>
        </w:rPr>
        <w:t>项目名称：</w:t>
      </w:r>
      <w:bookmarkStart w:id="0" w:name="_Hlk48529998"/>
      <w:r>
        <w:rPr>
          <w:rFonts w:hint="eastAsia" w:ascii="宋体" w:hAnsi="宋体" w:cs="宋体"/>
          <w:b/>
          <w:sz w:val="28"/>
          <w:szCs w:val="28"/>
        </w:rPr>
        <w:t>南海分公司DVB网关电源采购项目</w:t>
      </w:r>
      <w:r>
        <w:rPr>
          <w:rFonts w:hint="eastAsia" w:ascii="宋体" w:hAnsi="宋体" w:cs="Calibri"/>
          <w:b/>
          <w:color w:val="000000" w:themeColor="text1"/>
          <w:sz w:val="28"/>
          <w:szCs w:val="28"/>
        </w:rPr>
        <w:t xml:space="preserve"> </w:t>
      </w:r>
      <w:r>
        <w:rPr>
          <w:rFonts w:hint="eastAsia" w:ascii="宋体" w:hAnsi="宋体" w:cs="Calibri"/>
          <w:b/>
          <w:bCs/>
          <w:color w:val="000000" w:themeColor="text1"/>
          <w:sz w:val="28"/>
          <w:szCs w:val="32"/>
        </w:rPr>
        <w:t xml:space="preserve"> </w:t>
      </w:r>
    </w:p>
    <w:p>
      <w:pPr>
        <w:pStyle w:val="46"/>
        <w:tabs>
          <w:tab w:val="left" w:pos="2790"/>
        </w:tabs>
        <w:spacing w:line="360" w:lineRule="auto"/>
        <w:ind w:left="1405" w:hanging="1405" w:hangingChars="500"/>
        <w:jc w:val="left"/>
        <w:rPr>
          <w:rFonts w:ascii="宋体" w:hAnsi="宋体" w:cs="Calibri"/>
          <w:b/>
          <w:bCs/>
          <w:color w:val="000000" w:themeColor="text1"/>
          <w:sz w:val="28"/>
          <w:szCs w:val="32"/>
        </w:rPr>
      </w:pPr>
      <w:r>
        <w:rPr>
          <w:rFonts w:hint="eastAsia" w:ascii="宋体" w:hAnsi="宋体" w:cs="Calibri"/>
          <w:b/>
          <w:bCs/>
          <w:color w:val="000000" w:themeColor="text1"/>
          <w:sz w:val="28"/>
          <w:szCs w:val="32"/>
        </w:rPr>
        <w:t>项目编号：</w:t>
      </w:r>
      <w:bookmarkEnd w:id="0"/>
      <w:r>
        <w:rPr>
          <w:rFonts w:ascii="宋体" w:hAnsi="宋体" w:cs="Calibri"/>
          <w:b/>
          <w:bCs/>
          <w:color w:val="000000" w:themeColor="text1"/>
          <w:sz w:val="28"/>
          <w:szCs w:val="32"/>
        </w:rPr>
        <w:t>FS202404P0008</w:t>
      </w:r>
    </w:p>
    <w:p>
      <w:pPr>
        <w:pStyle w:val="46"/>
        <w:tabs>
          <w:tab w:val="left" w:pos="2790"/>
        </w:tabs>
        <w:spacing w:line="360" w:lineRule="auto"/>
        <w:ind w:left="1500" w:hanging="1500" w:hangingChars="500"/>
        <w:jc w:val="left"/>
        <w:rPr>
          <w:rFonts w:ascii="宋体" w:hAnsi="宋体" w:cs="华文中宋"/>
          <w:color w:val="000000" w:themeColor="text1"/>
          <w:sz w:val="30"/>
          <w:szCs w:val="30"/>
        </w:rPr>
      </w:pPr>
    </w:p>
    <w:p>
      <w:pPr>
        <w:pStyle w:val="46"/>
        <w:autoSpaceDE w:val="0"/>
        <w:autoSpaceDN w:val="0"/>
        <w:adjustRightInd w:val="0"/>
        <w:snapToGrid w:val="0"/>
        <w:spacing w:beforeLines="50" w:afterLines="50" w:line="360" w:lineRule="auto"/>
        <w:jc w:val="left"/>
        <w:rPr>
          <w:rFonts w:ascii="宋体" w:hAnsi="宋体" w:cs="华文中宋"/>
          <w:color w:val="000000" w:themeColor="text1"/>
          <w:kern w:val="0"/>
          <w:sz w:val="30"/>
          <w:szCs w:val="30"/>
        </w:rPr>
      </w:pP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rPr>
      </w:pPr>
      <w:r>
        <w:rPr>
          <w:rFonts w:hint="eastAsia" w:ascii="宋体" w:hAnsi="宋体" w:cs="Calibri"/>
          <w:b/>
          <w:bCs/>
          <w:color w:val="000000" w:themeColor="text1"/>
          <w:sz w:val="28"/>
          <w:szCs w:val="32"/>
        </w:rPr>
        <w:t>广东省广播电视网络股份有限公司佛山南海分公司</w:t>
      </w: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rPr>
      </w:pPr>
      <w:r>
        <w:rPr>
          <w:rFonts w:hint="eastAsia" w:ascii="宋体" w:hAnsi="宋体" w:cs="Calibri"/>
          <w:b/>
          <w:bCs/>
          <w:color w:val="000000" w:themeColor="text1"/>
          <w:sz w:val="28"/>
          <w:szCs w:val="32"/>
        </w:rPr>
        <w:t>采联国际招标采购集团有限公司</w:t>
      </w:r>
    </w:p>
    <w:p>
      <w:pPr>
        <w:pStyle w:val="46"/>
        <w:autoSpaceDE w:val="0"/>
        <w:autoSpaceDN w:val="0"/>
        <w:adjustRightInd w:val="0"/>
        <w:snapToGrid w:val="0"/>
        <w:spacing w:line="360" w:lineRule="auto"/>
        <w:ind w:left="420" w:firstLine="420"/>
        <w:jc w:val="center"/>
        <w:rPr>
          <w:rFonts w:ascii="宋体" w:hAnsi="宋体" w:cs="Calibri"/>
          <w:b/>
          <w:color w:val="000000" w:themeColor="text1"/>
          <w:sz w:val="28"/>
          <w:szCs w:val="22"/>
        </w:rPr>
      </w:pPr>
      <w:r>
        <w:rPr>
          <w:rFonts w:hint="eastAsia" w:ascii="宋体" w:hAnsi="宋体" w:cs="Calibri"/>
          <w:b/>
          <w:color w:val="000000" w:themeColor="text1"/>
          <w:sz w:val="28"/>
          <w:szCs w:val="21"/>
        </w:rPr>
        <w:t>二零二四年</w:t>
      </w:r>
      <w:r>
        <w:rPr>
          <w:rFonts w:hint="eastAsia" w:ascii="宋体" w:hAnsi="宋体" w:cs="Calibri"/>
          <w:b/>
          <w:color w:val="000000" w:themeColor="text1"/>
          <w:sz w:val="28"/>
          <w:szCs w:val="21"/>
          <w:lang w:val="en-US" w:eastAsia="zh-CN"/>
        </w:rPr>
        <w:t>五</w:t>
      </w:r>
      <w:r>
        <w:rPr>
          <w:rFonts w:hint="eastAsia" w:ascii="宋体" w:hAnsi="宋体" w:cs="Calibri"/>
          <w:b/>
          <w:color w:val="000000" w:themeColor="text1"/>
          <w:sz w:val="28"/>
          <w:szCs w:val="21"/>
        </w:rPr>
        <w:t>月</w:t>
      </w:r>
    </w:p>
    <w:p>
      <w:pPr>
        <w:pStyle w:val="46"/>
        <w:autoSpaceDE w:val="0"/>
        <w:autoSpaceDN w:val="0"/>
        <w:adjustRightInd w:val="0"/>
        <w:snapToGrid w:val="0"/>
        <w:spacing w:line="360" w:lineRule="auto"/>
        <w:ind w:left="420" w:firstLine="420"/>
        <w:jc w:val="center"/>
        <w:rPr>
          <w:rFonts w:ascii="宋体" w:hAnsi="宋体" w:cs="Calibri"/>
          <w:color w:val="000000" w:themeColor="text1"/>
          <w:sz w:val="28"/>
          <w:szCs w:val="21"/>
        </w:rPr>
      </w:pPr>
    </w:p>
    <w:p>
      <w:pPr>
        <w:jc w:val="center"/>
        <w:outlineLvl w:val="0"/>
        <w:rPr>
          <w:rFonts w:ascii="宋体" w:hAnsi="宋体" w:cs="宋体"/>
          <w:b/>
          <w:bCs/>
          <w:color w:val="000000" w:themeColor="text1"/>
          <w:sz w:val="32"/>
          <w:szCs w:val="32"/>
        </w:rPr>
      </w:pPr>
      <w:r>
        <w:rPr>
          <w:rFonts w:ascii="宋体" w:hAnsi="宋体"/>
          <w:b/>
          <w:color w:val="000000" w:themeColor="text1"/>
          <w:sz w:val="44"/>
          <w:szCs w:val="44"/>
        </w:rPr>
        <w:br w:type="page"/>
      </w:r>
      <w:r>
        <w:rPr>
          <w:rFonts w:hint="eastAsia" w:ascii="宋体" w:hAnsi="宋体" w:cs="宋体"/>
          <w:b/>
          <w:bCs/>
          <w:color w:val="000000" w:themeColor="text1"/>
          <w:sz w:val="32"/>
          <w:szCs w:val="32"/>
        </w:rPr>
        <w:t>第一章</w:t>
      </w:r>
      <w:r>
        <w:rPr>
          <w:rFonts w:ascii="宋体" w:hAnsi="宋体" w:cs="宋体"/>
          <w:b/>
          <w:bCs/>
          <w:color w:val="000000" w:themeColor="text1"/>
          <w:sz w:val="32"/>
          <w:szCs w:val="32"/>
        </w:rPr>
        <w:t xml:space="preserve"> </w:t>
      </w:r>
      <w:r>
        <w:rPr>
          <w:rFonts w:hint="eastAsia" w:ascii="宋体" w:hAnsi="宋体" w:cs="宋体"/>
          <w:b/>
          <w:bCs/>
          <w:color w:val="000000" w:themeColor="text1"/>
          <w:sz w:val="32"/>
          <w:szCs w:val="32"/>
        </w:rPr>
        <w:t>竞价须知</w:t>
      </w:r>
    </w:p>
    <w:p>
      <w:pPr>
        <w:numPr>
          <w:ilvl w:val="0"/>
          <w:numId w:val="1"/>
        </w:numPr>
        <w:spacing w:line="360" w:lineRule="auto"/>
        <w:rPr>
          <w:rFonts w:ascii="宋体" w:hAnsi="宋体"/>
          <w:color w:val="000000" w:themeColor="text1"/>
          <w:szCs w:val="21"/>
        </w:rPr>
      </w:pPr>
      <w:r>
        <w:rPr>
          <w:rFonts w:hint="eastAsia" w:ascii="宋体" w:hAnsi="宋体" w:cs="宋体"/>
          <w:color w:val="000000" w:themeColor="text1"/>
          <w:szCs w:val="21"/>
        </w:rPr>
        <w:t>本项目通过云采链线上采购一体化平台进行竞价，参与竞价的供应商必须登录平台进行注册，注册成功后方可参与项目竞价。</w:t>
      </w:r>
    </w:p>
    <w:p>
      <w:pPr>
        <w:numPr>
          <w:ilvl w:val="0"/>
          <w:numId w:val="1"/>
        </w:numPr>
        <w:spacing w:line="360" w:lineRule="auto"/>
        <w:rPr>
          <w:rFonts w:ascii="宋体" w:hAnsi="宋体"/>
          <w:color w:val="000000" w:themeColor="text1"/>
          <w:szCs w:val="21"/>
        </w:rPr>
      </w:pPr>
      <w:r>
        <w:rPr>
          <w:rFonts w:hint="eastAsia" w:ascii="宋体" w:hAnsi="宋体"/>
          <w:color w:val="000000" w:themeColor="text1"/>
          <w:szCs w:val="21"/>
        </w:rPr>
        <w:t>语言要求</w:t>
      </w:r>
    </w:p>
    <w:p>
      <w:pPr>
        <w:spacing w:line="360" w:lineRule="auto"/>
        <w:ind w:left="420"/>
        <w:rPr>
          <w:rFonts w:ascii="宋体" w:hAnsi="宋体"/>
          <w:color w:val="000000" w:themeColor="text1"/>
          <w:szCs w:val="21"/>
        </w:rPr>
      </w:pPr>
      <w:r>
        <w:rPr>
          <w:rFonts w:hint="eastAsia" w:ascii="宋体" w:hAnsi="宋体"/>
          <w:color w:val="000000" w:themeColor="text1"/>
          <w:szCs w:val="21"/>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1"/>
        </w:numPr>
        <w:spacing w:line="360" w:lineRule="auto"/>
        <w:rPr>
          <w:rFonts w:ascii="宋体" w:hAnsi="宋体"/>
          <w:color w:val="000000" w:themeColor="text1"/>
          <w:szCs w:val="21"/>
        </w:rPr>
      </w:pPr>
      <w:r>
        <w:rPr>
          <w:rFonts w:hint="eastAsia" w:ascii="宋体" w:hAnsi="宋体"/>
          <w:color w:val="000000" w:themeColor="text1"/>
          <w:szCs w:val="21"/>
        </w:rPr>
        <w:t xml:space="preserve">在云采链平台参与项目竞价后放弃成交资格超过三次（含三次）的供应商连同该供应商同一法人名下所有公司将被列入平台黑名单，永久不得参与平台的项目竞价。  </w:t>
      </w:r>
    </w:p>
    <w:p>
      <w:pPr>
        <w:numPr>
          <w:ilvl w:val="0"/>
          <w:numId w:val="1"/>
        </w:numPr>
        <w:spacing w:line="360" w:lineRule="auto"/>
        <w:rPr>
          <w:rFonts w:ascii="宋体" w:hAnsi="宋体"/>
          <w:color w:val="000000" w:themeColor="text1"/>
          <w:szCs w:val="21"/>
        </w:rPr>
      </w:pPr>
      <w:r>
        <w:rPr>
          <w:rFonts w:hint="eastAsia" w:ascii="宋体" w:hAnsi="宋体" w:cs="宋体"/>
          <w:color w:val="000000" w:themeColor="text1"/>
          <w:szCs w:val="21"/>
        </w:rPr>
        <w:t>竞价须知</w:t>
      </w:r>
    </w:p>
    <w:p>
      <w:pPr>
        <w:numPr>
          <w:ilvl w:val="0"/>
          <w:numId w:val="2"/>
        </w:numPr>
        <w:spacing w:line="360" w:lineRule="auto"/>
        <w:rPr>
          <w:rFonts w:ascii="宋体" w:hAnsi="宋体"/>
          <w:b/>
          <w:bCs/>
          <w:color w:val="000000" w:themeColor="text1"/>
          <w:szCs w:val="21"/>
        </w:rPr>
      </w:pPr>
      <w:r>
        <w:rPr>
          <w:rFonts w:hint="eastAsia" w:ascii="宋体" w:hAnsi="宋体" w:cs="宋体"/>
          <w:b/>
          <w:bCs/>
          <w:color w:val="000000" w:themeColor="text1"/>
          <w:szCs w:val="21"/>
        </w:rPr>
        <w:t>竞价说明</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参与竞价的供应商应承担所有与准备和参加竞价有关的费用，不</w:t>
      </w:r>
      <w:r>
        <w:rPr>
          <w:rFonts w:hint="eastAsia" w:ascii="宋体" w:hAnsi="宋体" w:cs="宋体"/>
          <w:color w:val="000000" w:themeColor="text1"/>
          <w:szCs w:val="21"/>
          <w:lang w:eastAsia="zh-TW"/>
        </w:rPr>
        <w:t>论</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的结果如何</w:t>
      </w:r>
      <w:r>
        <w:rPr>
          <w:rFonts w:hint="eastAsia" w:ascii="宋体" w:hAnsi="宋体" w:cs="宋体"/>
          <w:color w:val="000000" w:themeColor="text1"/>
          <w:szCs w:val="21"/>
        </w:rPr>
        <w:t>，采购</w:t>
      </w:r>
      <w:r>
        <w:rPr>
          <w:rFonts w:hint="eastAsia" w:ascii="宋体" w:hAnsi="宋体" w:cs="宋体"/>
          <w:color w:val="000000" w:themeColor="text1"/>
          <w:szCs w:val="21"/>
          <w:lang w:eastAsia="zh-TW"/>
        </w:rPr>
        <w:t>人</w:t>
      </w:r>
      <w:r>
        <w:rPr>
          <w:rFonts w:hint="eastAsia" w:ascii="宋体" w:hAnsi="宋体" w:cs="宋体"/>
          <w:color w:val="000000" w:themeColor="text1"/>
          <w:szCs w:val="21"/>
        </w:rPr>
        <w:t>和</w:t>
      </w:r>
      <w:r>
        <w:rPr>
          <w:rFonts w:hint="eastAsia" w:ascii="宋体" w:hAnsi="宋体" w:cs="宋体"/>
          <w:color w:val="000000" w:themeColor="text1"/>
          <w:szCs w:val="21"/>
          <w:lang w:eastAsia="zh-TW"/>
        </w:rPr>
        <w:t>代理机构均无义务和责任承担这些费用</w:t>
      </w:r>
      <w:r>
        <w:rPr>
          <w:rFonts w:hint="eastAsia" w:ascii="宋体" w:hAnsi="宋体" w:cs="宋体"/>
          <w:color w:val="000000" w:themeColor="text1"/>
          <w:szCs w:val="21"/>
        </w:rPr>
        <w:t>。</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参与竞价的</w:t>
      </w:r>
      <w:r>
        <w:rPr>
          <w:rFonts w:hint="eastAsia" w:ascii="宋体" w:hAnsi="宋体" w:cs="宋体"/>
          <w:color w:val="000000" w:themeColor="text1"/>
          <w:szCs w:val="21"/>
          <w:lang w:val="zh-CN"/>
        </w:rPr>
        <w:t>供应商需对用户需求书的所有条款进行整体响应，用户需求书条款若有一条负偏离或不响应，</w:t>
      </w:r>
      <w:r>
        <w:rPr>
          <w:rFonts w:hint="eastAsia" w:ascii="宋体" w:hAnsi="宋体" w:cs="宋体"/>
          <w:color w:val="000000" w:themeColor="text1"/>
          <w:szCs w:val="21"/>
        </w:rPr>
        <w:t>不推荐为成交候选人</w:t>
      </w:r>
      <w:r>
        <w:rPr>
          <w:rFonts w:hint="eastAsia" w:ascii="宋体" w:hAnsi="宋体" w:cs="宋体"/>
          <w:color w:val="000000" w:themeColor="text1"/>
          <w:szCs w:val="21"/>
          <w:lang w:val="zh-CN"/>
        </w:rPr>
        <w:t>。</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若成交供应商自身原因无法完成本项目，则采购人有权利保留追究责任。</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成交供应商因自身原因被取消成交资格，采购人可重新启动采购或按竞价公告规定顺延推选符合要求的供应商作为成交人。</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若本项目竞价采购失败，采购人将重新采购，届时采购人有权根据项目具体情况，决定重新采购项目的采购方式。</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成交供应商若无正当理由恶意放弃成交资格，采购人有权将拒绝其参加本项目重新组织的竞价采购活动。</w:t>
      </w:r>
    </w:p>
    <w:p>
      <w:pPr>
        <w:pStyle w:val="48"/>
        <w:numPr>
          <w:ilvl w:val="0"/>
          <w:numId w:val="3"/>
        </w:numPr>
        <w:spacing w:line="360" w:lineRule="auto"/>
        <w:ind w:firstLineChars="0"/>
        <w:rPr>
          <w:rFonts w:ascii="宋体" w:hAnsi="宋体" w:cs="宋体"/>
          <w:color w:val="000000" w:themeColor="text1"/>
          <w:szCs w:val="21"/>
        </w:rPr>
      </w:pPr>
      <w:r>
        <w:rPr>
          <w:rFonts w:hint="eastAsia" w:ascii="宋体" w:hAnsi="宋体" w:cs="宋体"/>
          <w:color w:val="000000" w:themeColor="text1"/>
          <w:szCs w:val="21"/>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参与竞价的</w:t>
      </w:r>
      <w:r>
        <w:rPr>
          <w:rFonts w:hint="eastAsia" w:ascii="宋体" w:hAnsi="宋体" w:cs="宋体"/>
          <w:color w:val="000000" w:themeColor="text1"/>
          <w:szCs w:val="21"/>
          <w:lang w:eastAsia="zh-TW"/>
        </w:rPr>
        <w:t>供应商向我司咨询的有关项目事项，一切以</w:t>
      </w:r>
      <w:r>
        <w:rPr>
          <w:rFonts w:hint="eastAsia" w:ascii="宋体" w:hAnsi="宋体" w:cs="宋体"/>
          <w:color w:val="000000" w:themeColor="text1"/>
          <w:szCs w:val="21"/>
        </w:rPr>
        <w:t>竞价文件</w:t>
      </w:r>
      <w:r>
        <w:rPr>
          <w:rFonts w:hint="eastAsia" w:ascii="宋体" w:hAnsi="宋体" w:cs="宋体"/>
          <w:color w:val="000000" w:themeColor="text1"/>
          <w:szCs w:val="21"/>
          <w:lang w:eastAsia="zh-TW"/>
        </w:rPr>
        <w:t>规定</w:t>
      </w:r>
      <w:r>
        <w:rPr>
          <w:rFonts w:hint="eastAsia" w:ascii="宋体" w:hAnsi="宋体" w:cs="宋体"/>
          <w:color w:val="000000" w:themeColor="text1"/>
          <w:szCs w:val="21"/>
        </w:rPr>
        <w:t>和竞价公告规定以及</w:t>
      </w:r>
      <w:r>
        <w:rPr>
          <w:rFonts w:hint="eastAsia" w:ascii="宋体" w:hAnsi="宋体" w:cs="宋体"/>
          <w:color w:val="000000" w:themeColor="text1"/>
          <w:szCs w:val="21"/>
          <w:lang w:eastAsia="zh-TW"/>
        </w:rPr>
        <w:t>本公司</w:t>
      </w:r>
      <w:r>
        <w:rPr>
          <w:rFonts w:hint="eastAsia" w:ascii="宋体" w:hAnsi="宋体" w:cs="宋体"/>
          <w:color w:val="000000" w:themeColor="text1"/>
          <w:szCs w:val="21"/>
        </w:rPr>
        <w:t>的</w:t>
      </w:r>
      <w:r>
        <w:rPr>
          <w:rFonts w:hint="eastAsia" w:ascii="宋体" w:hAnsi="宋体" w:cs="宋体"/>
          <w:color w:val="000000" w:themeColor="text1"/>
          <w:szCs w:val="21"/>
          <w:lang w:eastAsia="zh-TW"/>
        </w:rPr>
        <w:t>书面答复为准，其他一切形式均为个人意见，不代表本公司的意见</w:t>
      </w:r>
      <w:r>
        <w:rPr>
          <w:rFonts w:hint="eastAsia" w:ascii="宋体" w:hAnsi="宋体" w:cs="宋体"/>
          <w:color w:val="000000" w:themeColor="text1"/>
          <w:szCs w:val="21"/>
        </w:rPr>
        <w:t>。</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参与竞价的供应商应认真阅读</w:t>
      </w:r>
      <w:r>
        <w:rPr>
          <w:rFonts w:hint="eastAsia" w:ascii="宋体" w:hAnsi="宋体" w:cs="宋体"/>
          <w:color w:val="000000" w:themeColor="text1"/>
          <w:szCs w:val="21"/>
          <w:lang w:eastAsia="zh-TW"/>
        </w:rPr>
        <w:t>、并充分理解</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文件的全部内容（包括所有的补充、修改内容重要事项、格式、条款</w:t>
      </w:r>
      <w:r>
        <w:rPr>
          <w:rFonts w:hint="eastAsia" w:ascii="宋体" w:hAnsi="宋体" w:cs="宋体"/>
          <w:color w:val="000000" w:themeColor="text1"/>
          <w:szCs w:val="21"/>
        </w:rPr>
        <w:t>、服务要求</w:t>
      </w:r>
      <w:r>
        <w:rPr>
          <w:rFonts w:hint="eastAsia" w:ascii="宋体" w:hAnsi="宋体" w:cs="宋体"/>
          <w:color w:val="000000" w:themeColor="text1"/>
          <w:szCs w:val="21"/>
          <w:lang w:eastAsia="zh-TW"/>
        </w:rPr>
        <w:t>和技术规范、参数及要求等）。</w:t>
      </w:r>
      <w:r>
        <w:rPr>
          <w:rFonts w:hint="eastAsia" w:ascii="宋体" w:hAnsi="宋体" w:cs="宋体"/>
          <w:color w:val="000000" w:themeColor="text1"/>
          <w:szCs w:val="21"/>
        </w:rPr>
        <w:t>供应商</w:t>
      </w:r>
      <w:r>
        <w:rPr>
          <w:rFonts w:hint="eastAsia" w:ascii="宋体" w:hAnsi="宋体" w:cs="宋体"/>
          <w:color w:val="000000" w:themeColor="text1"/>
          <w:szCs w:val="21"/>
          <w:lang w:eastAsia="zh-TW"/>
        </w:rPr>
        <w:t>没有按照</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文件要求提交全部资料，或者</w:t>
      </w:r>
      <w:r>
        <w:rPr>
          <w:rFonts w:hint="eastAsia" w:ascii="宋体" w:hAnsi="宋体" w:cs="宋体"/>
          <w:color w:val="000000" w:themeColor="text1"/>
          <w:szCs w:val="21"/>
        </w:rPr>
        <w:t>参与竞价所上传的</w:t>
      </w:r>
      <w:r>
        <w:rPr>
          <w:rFonts w:hint="eastAsia" w:ascii="宋体" w:hAnsi="宋体" w:cs="宋体"/>
          <w:color w:val="000000" w:themeColor="text1"/>
          <w:szCs w:val="21"/>
          <w:lang w:eastAsia="zh-TW"/>
        </w:rPr>
        <w:t>文件没有对</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文件在各方面都作出实质性响应是</w:t>
      </w:r>
      <w:r>
        <w:rPr>
          <w:rFonts w:hint="eastAsia" w:ascii="宋体" w:hAnsi="宋体" w:cs="宋体"/>
          <w:color w:val="000000" w:themeColor="text1"/>
          <w:szCs w:val="21"/>
        </w:rPr>
        <w:t>供应商</w:t>
      </w:r>
      <w:r>
        <w:rPr>
          <w:rFonts w:hint="eastAsia" w:ascii="宋体" w:hAnsi="宋体" w:cs="宋体"/>
          <w:color w:val="000000" w:themeColor="text1"/>
          <w:szCs w:val="21"/>
          <w:lang w:eastAsia="zh-TW"/>
        </w:rPr>
        <w:t>的风险，有可能导致其</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被拒绝，</w:t>
      </w:r>
      <w:r>
        <w:rPr>
          <w:rFonts w:hint="eastAsia" w:ascii="宋体" w:hAnsi="宋体" w:cs="宋体"/>
          <w:color w:val="000000" w:themeColor="text1"/>
          <w:szCs w:val="21"/>
        </w:rPr>
        <w:t>或被认定为无效竞价。</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采购人有权拒绝接受任何不合格的货物或服务，由此产生的费用及相关后果均由成交供应商自行承担；</w:t>
      </w:r>
    </w:p>
    <w:p>
      <w:pPr>
        <w:pStyle w:val="45"/>
        <w:numPr>
          <w:ilvl w:val="0"/>
          <w:numId w:val="3"/>
        </w:numPr>
        <w:spacing w:line="360" w:lineRule="auto"/>
        <w:ind w:firstLineChars="0"/>
        <w:rPr>
          <w:rFonts w:ascii="宋体" w:hAnsi="宋体"/>
          <w:color w:val="000000" w:themeColor="text1"/>
        </w:rPr>
      </w:pPr>
      <w:r>
        <w:rPr>
          <w:rFonts w:hint="eastAsia" w:ascii="宋体" w:hAnsi="宋体"/>
          <w:color w:val="000000" w:themeColor="text1"/>
        </w:rPr>
        <w:t>供应商认为竞价结果损害其权益的，应按照云采链平台相关指引在规定的时间内向采购人或代理机构提交书面质疑，不提交的视为无异议，逾期提交将不予受理；</w:t>
      </w:r>
    </w:p>
    <w:p>
      <w:pPr>
        <w:numPr>
          <w:ilvl w:val="0"/>
          <w:numId w:val="3"/>
        </w:numPr>
        <w:spacing w:line="360" w:lineRule="auto"/>
        <w:rPr>
          <w:rFonts w:ascii="宋体" w:hAnsi="宋体"/>
          <w:color w:val="000000" w:themeColor="text1"/>
          <w:szCs w:val="21"/>
        </w:rPr>
      </w:pPr>
      <w:r>
        <w:rPr>
          <w:rFonts w:hint="eastAsia" w:ascii="宋体" w:hAnsi="宋体" w:cs="宋体"/>
          <w:color w:val="000000" w:themeColor="text1"/>
          <w:szCs w:val="21"/>
        </w:rPr>
        <w:t>本竞价公告和竞价文件的解释权归</w:t>
      </w:r>
      <w:r>
        <w:rPr>
          <w:rFonts w:hint="eastAsia" w:ascii="宋体" w:hAnsi="宋体" w:cs="宋体"/>
          <w:color w:val="000000" w:themeColor="text1"/>
          <w:szCs w:val="21"/>
          <w:lang w:eastAsia="zh-TW"/>
        </w:rPr>
        <w:t>“</w:t>
      </w:r>
      <w:r>
        <w:rPr>
          <w:rFonts w:hint="eastAsia" w:ascii="宋体" w:hAnsi="宋体" w:cs="宋体"/>
          <w:color w:val="000000" w:themeColor="text1"/>
          <w:szCs w:val="21"/>
        </w:rPr>
        <w:t>云采链线上采购一体化平台</w:t>
      </w:r>
      <w:r>
        <w:rPr>
          <w:rFonts w:hint="eastAsia" w:ascii="宋体" w:hAnsi="宋体" w:cs="宋体"/>
          <w:color w:val="000000" w:themeColor="text1"/>
          <w:szCs w:val="21"/>
          <w:lang w:eastAsia="zh-TW"/>
        </w:rPr>
        <w:t>”所有。</w:t>
      </w:r>
    </w:p>
    <w:p>
      <w:pPr>
        <w:numPr>
          <w:ilvl w:val="0"/>
          <w:numId w:val="2"/>
        </w:numPr>
        <w:spacing w:line="360" w:lineRule="auto"/>
        <w:rPr>
          <w:rFonts w:ascii="宋体" w:hAnsi="宋体"/>
          <w:color w:val="000000" w:themeColor="text1"/>
        </w:rPr>
      </w:pPr>
      <w:r>
        <w:rPr>
          <w:rFonts w:hint="eastAsia" w:ascii="宋体" w:hAnsi="宋体"/>
          <w:b/>
          <w:color w:val="000000" w:themeColor="text1"/>
        </w:rPr>
        <w:t>竞价文件的澄清或修改</w:t>
      </w:r>
    </w:p>
    <w:p>
      <w:pPr>
        <w:numPr>
          <w:ilvl w:val="1"/>
          <w:numId w:val="4"/>
        </w:numPr>
        <w:spacing w:line="360" w:lineRule="auto"/>
        <w:rPr>
          <w:rFonts w:ascii="宋体" w:hAnsi="宋体"/>
          <w:color w:val="000000" w:themeColor="text1"/>
        </w:rPr>
      </w:pPr>
      <w:r>
        <w:rPr>
          <w:rFonts w:hint="eastAsia" w:ascii="宋体" w:hAnsi="宋体"/>
          <w:color w:val="000000" w:themeColor="text1"/>
        </w:rPr>
        <w:t>采购人或者采购代理机构可以对已发出的竞价文件进行必要的澄清或者修改。澄清或者修改的内容将在云采链平台上发布澄清（更正/变更）公告。</w:t>
      </w:r>
    </w:p>
    <w:p>
      <w:pPr>
        <w:numPr>
          <w:ilvl w:val="1"/>
          <w:numId w:val="4"/>
        </w:numPr>
        <w:spacing w:line="360" w:lineRule="auto"/>
        <w:rPr>
          <w:rFonts w:ascii="宋体" w:hAnsi="宋体"/>
          <w:color w:val="000000" w:themeColor="text1"/>
        </w:rPr>
      </w:pPr>
      <w:r>
        <w:rPr>
          <w:rFonts w:hint="eastAsia" w:ascii="宋体" w:hAnsi="宋体"/>
          <w:color w:val="000000" w:themeColor="text1"/>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rPr>
        <w:t>如报名</w:t>
      </w:r>
      <w:r>
        <w:rPr>
          <w:rFonts w:hint="eastAsia" w:ascii="宋体" w:hAnsi="宋体" w:cs="宋体"/>
          <w:color w:val="000000" w:themeColor="text1"/>
          <w:szCs w:val="21"/>
          <w:lang w:eastAsia="zh-TW"/>
        </w:rPr>
        <w:t>截止时间</w:t>
      </w:r>
      <w:r>
        <w:rPr>
          <w:rFonts w:hint="eastAsia" w:ascii="宋体" w:hAnsi="宋体" w:cs="宋体"/>
          <w:color w:val="000000" w:themeColor="text1"/>
          <w:szCs w:val="21"/>
        </w:rPr>
        <w:t>少于一个工作日的，</w:t>
      </w:r>
      <w:r>
        <w:rPr>
          <w:rFonts w:hint="eastAsia" w:ascii="宋体" w:hAnsi="宋体"/>
          <w:color w:val="000000" w:themeColor="text1"/>
        </w:rPr>
        <w:t>采购人或者采购代理机构应当相应顺延报名的截止时间。</w:t>
      </w:r>
    </w:p>
    <w:p>
      <w:pPr>
        <w:numPr>
          <w:ilvl w:val="1"/>
          <w:numId w:val="4"/>
        </w:numPr>
        <w:spacing w:line="360" w:lineRule="auto"/>
        <w:rPr>
          <w:rFonts w:ascii="宋体" w:hAnsi="宋体"/>
          <w:color w:val="000000" w:themeColor="text1"/>
        </w:rPr>
      </w:pPr>
      <w:r>
        <w:rPr>
          <w:rFonts w:hint="eastAsia" w:ascii="宋体" w:hAnsi="宋体"/>
          <w:color w:val="000000" w:themeColor="text1"/>
        </w:rPr>
        <w:t>采购人或者采购代理机构发出的澄清或修改（更正/变更）的内容为竞价文件的组成部分，并对供应商具有约束力。</w:t>
      </w:r>
    </w:p>
    <w:p>
      <w:pPr>
        <w:numPr>
          <w:ilvl w:val="0"/>
          <w:numId w:val="2"/>
        </w:numPr>
        <w:spacing w:line="360" w:lineRule="auto"/>
        <w:rPr>
          <w:rFonts w:ascii="宋体" w:hAnsi="宋体"/>
          <w:b/>
          <w:bCs/>
          <w:color w:val="000000" w:themeColor="text1"/>
          <w:szCs w:val="21"/>
        </w:rPr>
      </w:pPr>
      <w:r>
        <w:rPr>
          <w:rFonts w:hint="eastAsia" w:ascii="宋体" w:hAnsi="宋体" w:cs="宋体"/>
          <w:b/>
          <w:bCs/>
          <w:color w:val="000000" w:themeColor="text1"/>
          <w:szCs w:val="21"/>
        </w:rPr>
        <w:t>报名要求（</w:t>
      </w:r>
      <w:r>
        <w:rPr>
          <w:rFonts w:hint="eastAsia" w:ascii="宋体" w:hAnsi="宋体" w:cs="宋体"/>
          <w:color w:val="000000" w:themeColor="text1"/>
          <w:szCs w:val="21"/>
        </w:rPr>
        <w:t>参与竞价的</w:t>
      </w:r>
      <w:r>
        <w:rPr>
          <w:rFonts w:hint="eastAsia" w:ascii="宋体" w:hAnsi="宋体" w:cs="宋体"/>
          <w:b/>
          <w:bCs/>
          <w:color w:val="000000" w:themeColor="text1"/>
          <w:szCs w:val="21"/>
        </w:rPr>
        <w:t>供应商资质要求</w:t>
      </w:r>
      <w:r>
        <w:rPr>
          <w:rFonts w:ascii="宋体" w:hAnsi="宋体" w:cs="宋体"/>
          <w:b/>
          <w:bCs/>
          <w:color w:val="000000" w:themeColor="text1"/>
          <w:szCs w:val="21"/>
        </w:rPr>
        <w:t>:</w:t>
      </w:r>
      <w:r>
        <w:rPr>
          <w:rFonts w:ascii="宋体" w:hAnsi="宋体" w:cs="宋体"/>
          <w:color w:val="000000" w:themeColor="text1"/>
          <w:szCs w:val="21"/>
        </w:rPr>
        <w:t xml:space="preserve"> </w:t>
      </w:r>
      <w:r>
        <w:rPr>
          <w:rFonts w:hint="eastAsia" w:ascii="宋体" w:hAnsi="宋体" w:cs="宋体"/>
          <w:b/>
          <w:bCs/>
          <w:color w:val="000000" w:themeColor="text1"/>
          <w:szCs w:val="21"/>
        </w:rPr>
        <w:t>报名时需要提供以下盖章资料</w:t>
      </w:r>
      <w:r>
        <w:rPr>
          <w:rFonts w:hint="eastAsia" w:ascii="宋体" w:hAnsi="宋体" w:cs="宋体"/>
          <w:color w:val="000000" w:themeColor="text1"/>
          <w:szCs w:val="21"/>
        </w:rPr>
        <w:t>，并对上传的报名文件资料承担责任</w:t>
      </w:r>
      <w:r>
        <w:rPr>
          <w:rFonts w:hint="eastAsia" w:ascii="宋体" w:hAnsi="宋体" w:cs="宋体"/>
          <w:b/>
          <w:bCs/>
          <w:color w:val="000000" w:themeColor="text1"/>
          <w:szCs w:val="21"/>
        </w:rPr>
        <w:t>）</w:t>
      </w:r>
    </w:p>
    <w:p>
      <w:pPr>
        <w:pStyle w:val="48"/>
        <w:numPr>
          <w:ilvl w:val="0"/>
          <w:numId w:val="5"/>
        </w:numPr>
        <w:spacing w:line="360" w:lineRule="auto"/>
        <w:ind w:firstLineChars="0"/>
        <w:rPr>
          <w:rFonts w:ascii="宋体" w:hAnsi="宋体"/>
          <w:color w:val="000000" w:themeColor="text1"/>
        </w:rPr>
      </w:pPr>
      <w:r>
        <w:rPr>
          <w:rFonts w:hint="eastAsia" w:ascii="宋体" w:hAnsi="宋体" w:cs="宋体"/>
          <w:color w:val="000000" w:themeColor="text1"/>
          <w:szCs w:val="21"/>
        </w:rPr>
        <w:t>参与竞价</w:t>
      </w:r>
      <w:r>
        <w:rPr>
          <w:rFonts w:hint="eastAsia" w:ascii="宋体" w:hAnsi="宋体"/>
          <w:color w:val="000000" w:themeColor="text1"/>
        </w:rPr>
        <w:t>供应商须具有独立承担民事责任能力的在中华人民共和国境内注册的法人、其他组织或个体工商户，提供有效的营业执照或法人登记证书复印件。如为独立法人设立的分支机构参加竞价，报价人需提供独立法人出具的唯一竞价授权书，授权书需明确报价人的权限范围，并提交独立法人有效的营业执照或法人登记证书复印件。</w:t>
      </w:r>
    </w:p>
    <w:p>
      <w:pPr>
        <w:pStyle w:val="48"/>
        <w:numPr>
          <w:ilvl w:val="0"/>
          <w:numId w:val="5"/>
        </w:numPr>
        <w:spacing w:line="360" w:lineRule="auto"/>
        <w:ind w:firstLineChars="0"/>
        <w:rPr>
          <w:rFonts w:ascii="宋体" w:hAnsi="宋体"/>
          <w:color w:val="000000" w:themeColor="text1"/>
        </w:rPr>
      </w:pPr>
      <w:r>
        <w:rPr>
          <w:rFonts w:hint="eastAsia" w:ascii="宋体" w:hAnsi="宋体"/>
          <w:color w:val="000000" w:themeColor="text1"/>
        </w:rPr>
        <w:t>本项目供应商不得存在下列情形之一：被责令停业的；被暂停或取消竞价资格的；财产被接管或冻结的；在最近三年内有骗取中标或严重违约的；在竞价过程中因重大违规被采购人处罚的；在“信用中国”（www.creditchina.gov.cn）、中国政府采购网（www.ccgp.gov.cn）被列入失信被执行人、重大税收违法失信主体、政府采购严重违法失信行为记录名单。供应商须提供供应商资格声明函，格式详见附件；</w:t>
      </w:r>
    </w:p>
    <w:p>
      <w:pPr>
        <w:pStyle w:val="48"/>
        <w:numPr>
          <w:ilvl w:val="0"/>
          <w:numId w:val="5"/>
        </w:numPr>
        <w:spacing w:line="360" w:lineRule="auto"/>
        <w:ind w:firstLineChars="0"/>
        <w:rPr>
          <w:rFonts w:ascii="宋体" w:hAnsi="宋体"/>
          <w:color w:val="000000" w:themeColor="text1"/>
        </w:rPr>
      </w:pPr>
      <w:r>
        <w:rPr>
          <w:rFonts w:hint="eastAsia" w:ascii="宋体" w:hAnsi="宋体"/>
          <w:color w:val="000000" w:themeColor="text1"/>
        </w:rPr>
        <w:t>供应商完全响应本项目用户需求的条款、内容及要求的，提供用户需求书响应声明函，格式详见附件。</w:t>
      </w:r>
    </w:p>
    <w:p>
      <w:pPr>
        <w:numPr>
          <w:ilvl w:val="0"/>
          <w:numId w:val="2"/>
        </w:numPr>
        <w:spacing w:line="360" w:lineRule="auto"/>
        <w:rPr>
          <w:rFonts w:ascii="宋体" w:hAnsi="宋体"/>
          <w:b/>
          <w:bCs/>
          <w:color w:val="000000" w:themeColor="text1"/>
          <w:szCs w:val="21"/>
        </w:rPr>
      </w:pPr>
      <w:r>
        <w:rPr>
          <w:rFonts w:hint="eastAsia" w:ascii="宋体" w:hAnsi="宋体" w:cs="宋体"/>
          <w:b/>
          <w:bCs/>
          <w:color w:val="000000" w:themeColor="text1"/>
          <w:szCs w:val="21"/>
        </w:rPr>
        <w:t>报价要求（报价时需要提供以下盖章资料</w:t>
      </w:r>
      <w:r>
        <w:rPr>
          <w:rFonts w:hint="eastAsia" w:ascii="宋体" w:hAnsi="宋体" w:cs="宋体"/>
          <w:color w:val="000000" w:themeColor="text1"/>
          <w:szCs w:val="21"/>
        </w:rPr>
        <w:t>，并对上传的竞价文件资料承担责任</w:t>
      </w:r>
      <w:r>
        <w:rPr>
          <w:rFonts w:hint="eastAsia" w:ascii="宋体" w:hAnsi="宋体" w:cs="宋体"/>
          <w:b/>
          <w:bCs/>
          <w:color w:val="000000" w:themeColor="text1"/>
          <w:szCs w:val="21"/>
        </w:rPr>
        <w:t>）</w:t>
      </w:r>
    </w:p>
    <w:p>
      <w:pPr>
        <w:numPr>
          <w:ilvl w:val="0"/>
          <w:numId w:val="6"/>
        </w:numPr>
        <w:spacing w:line="360" w:lineRule="auto"/>
        <w:rPr>
          <w:rFonts w:ascii="宋体" w:hAnsi="宋体"/>
          <w:color w:val="000000" w:themeColor="text1"/>
          <w:szCs w:val="21"/>
        </w:rPr>
      </w:pPr>
      <w:r>
        <w:rPr>
          <w:rFonts w:hint="eastAsia" w:ascii="宋体" w:hAnsi="宋体" w:cs="宋体"/>
          <w:color w:val="000000" w:themeColor="text1"/>
          <w:szCs w:val="21"/>
        </w:rPr>
        <w:t>通过报名供应商应根据本公告要求，在规定的竞价时间内对采购项目进行报价，同时按本公告要求完整</w:t>
      </w:r>
      <w:r>
        <w:rPr>
          <w:rFonts w:hint="eastAsia" w:ascii="宋体" w:hAnsi="宋体" w:cs="宋体"/>
          <w:color w:val="000000" w:themeColor="text1"/>
          <w:szCs w:val="21"/>
          <w:lang w:eastAsia="zh-TW"/>
        </w:rPr>
        <w:t>、真实、准确地</w:t>
      </w:r>
      <w:r>
        <w:rPr>
          <w:rFonts w:hint="eastAsia" w:ascii="宋体" w:hAnsi="宋体" w:cs="宋体"/>
          <w:color w:val="000000" w:themeColor="text1"/>
          <w:szCs w:val="21"/>
        </w:rPr>
        <w:t>填写并上传相应</w:t>
      </w:r>
      <w:r>
        <w:rPr>
          <w:rFonts w:hint="eastAsia" w:ascii="宋体" w:hAnsi="宋体" w:cs="宋体"/>
          <w:b/>
          <w:bCs/>
          <w:color w:val="000000" w:themeColor="text1"/>
          <w:szCs w:val="21"/>
        </w:rPr>
        <w:t>报价附件（报价表）</w:t>
      </w:r>
      <w:r>
        <w:rPr>
          <w:rFonts w:hint="eastAsia" w:ascii="宋体" w:hAnsi="宋体" w:cs="宋体"/>
          <w:color w:val="000000" w:themeColor="text1"/>
          <w:szCs w:val="21"/>
        </w:rPr>
        <w:t>。</w:t>
      </w:r>
    </w:p>
    <w:p>
      <w:pPr>
        <w:pStyle w:val="48"/>
        <w:numPr>
          <w:ilvl w:val="0"/>
          <w:numId w:val="6"/>
        </w:numPr>
        <w:spacing w:line="360" w:lineRule="auto"/>
        <w:ind w:firstLineChars="0"/>
        <w:rPr>
          <w:rFonts w:ascii="宋体" w:hAnsi="宋体" w:cs="宋体"/>
          <w:color w:val="000000" w:themeColor="text1"/>
          <w:szCs w:val="21"/>
        </w:rPr>
      </w:pPr>
      <w:r>
        <w:rPr>
          <w:rFonts w:hint="eastAsia" w:ascii="宋体" w:hAnsi="宋体" w:cs="宋体"/>
          <w:color w:val="000000" w:themeColor="text1"/>
          <w:szCs w:val="21"/>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numPr>
          <w:ilvl w:val="0"/>
          <w:numId w:val="2"/>
        </w:numPr>
        <w:spacing w:line="360" w:lineRule="auto"/>
        <w:rPr>
          <w:rFonts w:ascii="宋体" w:hAnsi="宋体"/>
          <w:b/>
          <w:bCs/>
          <w:color w:val="000000" w:themeColor="text1"/>
          <w:szCs w:val="21"/>
        </w:rPr>
      </w:pPr>
      <w:r>
        <w:rPr>
          <w:rFonts w:hint="eastAsia" w:ascii="宋体" w:hAnsi="宋体" w:cs="宋体"/>
          <w:b/>
          <w:bCs/>
          <w:color w:val="000000" w:themeColor="text1"/>
          <w:szCs w:val="21"/>
        </w:rPr>
        <w:t>确定成交候选人</w:t>
      </w:r>
    </w:p>
    <w:p>
      <w:pPr>
        <w:numPr>
          <w:ilvl w:val="0"/>
          <w:numId w:val="7"/>
        </w:numPr>
        <w:spacing w:line="360" w:lineRule="auto"/>
        <w:rPr>
          <w:rFonts w:ascii="宋体" w:hAnsi="宋体"/>
          <w:color w:val="000000" w:themeColor="text1"/>
          <w:szCs w:val="21"/>
        </w:rPr>
      </w:pPr>
      <w:r>
        <w:rPr>
          <w:rFonts w:hint="eastAsia" w:ascii="宋体" w:hAnsi="宋体" w:cs="宋体"/>
          <w:color w:val="000000" w:themeColor="text1"/>
          <w:szCs w:val="21"/>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pPr>
        <w:numPr>
          <w:ilvl w:val="0"/>
          <w:numId w:val="7"/>
        </w:numPr>
        <w:spacing w:line="360" w:lineRule="auto"/>
        <w:rPr>
          <w:rFonts w:ascii="宋体" w:hAnsi="宋体"/>
          <w:color w:val="000000" w:themeColor="text1"/>
          <w:szCs w:val="21"/>
        </w:rPr>
      </w:pPr>
      <w:r>
        <w:rPr>
          <w:rFonts w:hint="eastAsia" w:ascii="宋体" w:hAnsi="宋体" w:cs="宋体"/>
          <w:color w:val="000000" w:themeColor="text1"/>
          <w:szCs w:val="21"/>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rPr>
            </w:pPr>
            <w:r>
              <w:rPr>
                <w:rFonts w:hint="eastAsia" w:ascii="宋体" w:hAnsi="宋体"/>
                <w:color w:val="000000" w:themeColor="text1"/>
                <w:szCs w:val="21"/>
              </w:rPr>
              <w:t>报价供应商提供的发票类型</w:t>
            </w:r>
          </w:p>
        </w:tc>
        <w:tc>
          <w:tcPr>
            <w:tcW w:w="3264" w:type="dxa"/>
            <w:shd w:val="clear" w:color="auto" w:fill="auto"/>
          </w:tcPr>
          <w:p>
            <w:pPr>
              <w:spacing w:line="360" w:lineRule="auto"/>
              <w:rPr>
                <w:rFonts w:ascii="宋体" w:hAnsi="宋体"/>
                <w:color w:val="000000" w:themeColor="text1"/>
                <w:szCs w:val="21"/>
              </w:rPr>
            </w:pPr>
            <w:r>
              <w:rPr>
                <w:rFonts w:hint="eastAsia" w:ascii="宋体" w:hAnsi="宋体"/>
                <w:color w:val="000000" w:themeColor="text1"/>
                <w:szCs w:val="21"/>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rPr>
            </w:pPr>
            <w:r>
              <w:rPr>
                <w:rFonts w:hint="eastAsia" w:ascii="宋体" w:hAnsi="宋体"/>
                <w:color w:val="000000" w:themeColor="text1"/>
                <w:szCs w:val="21"/>
              </w:rPr>
              <w:t>增值税专用发票</w:t>
            </w:r>
          </w:p>
        </w:tc>
        <w:tc>
          <w:tcPr>
            <w:tcW w:w="3264" w:type="dxa"/>
            <w:shd w:val="clear" w:color="auto" w:fill="auto"/>
          </w:tcPr>
          <w:p>
            <w:pPr>
              <w:spacing w:line="360" w:lineRule="auto"/>
              <w:rPr>
                <w:rFonts w:ascii="宋体" w:hAnsi="宋体"/>
                <w:color w:val="000000" w:themeColor="text1"/>
                <w:szCs w:val="21"/>
              </w:rPr>
            </w:pPr>
            <w:r>
              <w:rPr>
                <w:rFonts w:hint="eastAsia" w:ascii="宋体" w:hAnsi="宋体"/>
                <w:color w:val="000000" w:themeColor="text1"/>
                <w:szCs w:val="21"/>
              </w:rPr>
              <w:t>报价/（1+增值税率）</w:t>
            </w:r>
          </w:p>
        </w:tc>
      </w:tr>
    </w:tbl>
    <w:p>
      <w:pPr>
        <w:numPr>
          <w:ilvl w:val="0"/>
          <w:numId w:val="2"/>
        </w:numPr>
        <w:spacing w:line="360" w:lineRule="auto"/>
        <w:rPr>
          <w:rFonts w:ascii="宋体" w:hAnsi="宋体"/>
          <w:b/>
          <w:bCs/>
          <w:color w:val="000000" w:themeColor="text1"/>
          <w:szCs w:val="21"/>
        </w:rPr>
      </w:pPr>
      <w:bookmarkStart w:id="1" w:name="_Hlk54791406"/>
      <w:r>
        <w:rPr>
          <w:rFonts w:hint="eastAsia" w:ascii="宋体" w:hAnsi="宋体" w:cs="宋体"/>
          <w:b/>
          <w:bCs/>
          <w:color w:val="000000" w:themeColor="text1"/>
          <w:szCs w:val="21"/>
        </w:rPr>
        <w:t>无效报价</w:t>
      </w:r>
    </w:p>
    <w:p>
      <w:pPr>
        <w:pStyle w:val="48"/>
        <w:numPr>
          <w:ilvl w:val="0"/>
          <w:numId w:val="8"/>
        </w:numPr>
        <w:spacing w:line="360" w:lineRule="auto"/>
        <w:ind w:firstLineChars="0"/>
        <w:rPr>
          <w:rFonts w:ascii="宋体" w:hAnsi="宋体" w:cs="宋体"/>
          <w:color w:val="000000" w:themeColor="text1"/>
          <w:szCs w:val="21"/>
        </w:rPr>
      </w:pPr>
      <w:r>
        <w:rPr>
          <w:rFonts w:hint="eastAsia" w:ascii="宋体" w:hAnsi="宋体" w:cs="宋体"/>
          <w:color w:val="000000" w:themeColor="text1"/>
          <w:szCs w:val="21"/>
        </w:rPr>
        <w:t>参与竞价的供应商报价超过最高限价或低于最低限价或超过项目对应产品单项最高限价的视为无效报价。</w:t>
      </w:r>
    </w:p>
    <w:p>
      <w:pPr>
        <w:numPr>
          <w:ilvl w:val="0"/>
          <w:numId w:val="8"/>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参与竞价的供应商须提供本项目要求的资质文件，如果不按公告规定或竞价文件要求等相关规定提供符合要求的资质文件，将被视为无效报价；</w:t>
      </w:r>
    </w:p>
    <w:p>
      <w:pPr>
        <w:numPr>
          <w:ilvl w:val="0"/>
          <w:numId w:val="8"/>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参与竞价的供应商须对本项目采购内容进行整体报价，任何只对其中一部分内容进行的报价都被视为无效报价。</w:t>
      </w:r>
    </w:p>
    <w:p>
      <w:pPr>
        <w:numPr>
          <w:ilvl w:val="0"/>
          <w:numId w:val="8"/>
        </w:numPr>
        <w:spacing w:line="360" w:lineRule="auto"/>
        <w:rPr>
          <w:rFonts w:ascii="宋体" w:hAnsi="宋体"/>
          <w:color w:val="000000" w:themeColor="text1"/>
          <w:szCs w:val="21"/>
        </w:rPr>
      </w:pPr>
      <w:r>
        <w:rPr>
          <w:rFonts w:ascii="宋体" w:hAnsi="宋体"/>
          <w:color w:val="000000" w:themeColor="text1"/>
          <w:u w:val="double"/>
        </w:rPr>
        <w:t>报价表</w:t>
      </w:r>
      <w:r>
        <w:rPr>
          <w:rFonts w:hint="eastAsia" w:ascii="宋体" w:hAnsi="宋体"/>
          <w:color w:val="000000" w:themeColor="text1"/>
          <w:u w:val="double"/>
        </w:rPr>
        <w:t>以及有报价供应商落款的报价文件</w:t>
      </w:r>
      <w:r>
        <w:rPr>
          <w:rFonts w:ascii="宋体" w:hAnsi="宋体"/>
          <w:color w:val="000000" w:themeColor="text1"/>
          <w:u w:val="double"/>
        </w:rPr>
        <w:t>必须加盖</w:t>
      </w:r>
      <w:r>
        <w:rPr>
          <w:rFonts w:hint="eastAsia" w:ascii="宋体" w:hAnsi="宋体"/>
          <w:color w:val="000000" w:themeColor="text1"/>
          <w:u w:val="double"/>
        </w:rPr>
        <w:t>报价供应商</w:t>
      </w:r>
      <w:r>
        <w:rPr>
          <w:rFonts w:ascii="宋体" w:hAnsi="宋体"/>
          <w:color w:val="000000" w:themeColor="text1"/>
          <w:u w:val="double"/>
        </w:rPr>
        <w:t>公章，否则视为无效报价</w:t>
      </w:r>
    </w:p>
    <w:p>
      <w:pPr>
        <w:pStyle w:val="48"/>
        <w:numPr>
          <w:ilvl w:val="0"/>
          <w:numId w:val="8"/>
        </w:numPr>
        <w:spacing w:line="360" w:lineRule="auto"/>
        <w:ind w:firstLineChars="0"/>
        <w:rPr>
          <w:rFonts w:ascii="宋体" w:hAnsi="宋体" w:cs="宋体"/>
          <w:color w:val="000000" w:themeColor="text1"/>
          <w:szCs w:val="21"/>
        </w:rPr>
      </w:pPr>
      <w:r>
        <w:rPr>
          <w:rFonts w:hint="eastAsia" w:ascii="宋体" w:hAnsi="宋体" w:cs="宋体"/>
          <w:color w:val="000000" w:themeColor="text1"/>
          <w:szCs w:val="21"/>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48"/>
        <w:numPr>
          <w:ilvl w:val="0"/>
          <w:numId w:val="8"/>
        </w:numPr>
        <w:spacing w:line="360" w:lineRule="auto"/>
        <w:ind w:firstLineChars="0"/>
        <w:rPr>
          <w:rFonts w:ascii="宋体" w:hAnsi="宋体" w:cs="宋体"/>
          <w:b/>
          <w:bCs/>
          <w:color w:val="000000" w:themeColor="text1"/>
          <w:szCs w:val="21"/>
        </w:rPr>
      </w:pPr>
      <w:r>
        <w:rPr>
          <w:rFonts w:hint="eastAsia" w:ascii="宋体" w:hAnsi="宋体" w:cs="宋体"/>
          <w:b/>
          <w:bCs/>
          <w:color w:val="000000" w:themeColor="text1"/>
          <w:szCs w:val="21"/>
        </w:rPr>
        <w:t>按有关法律、法规、规章属于报价无效的。</w:t>
      </w:r>
    </w:p>
    <w:p>
      <w:pPr>
        <w:numPr>
          <w:ilvl w:val="0"/>
          <w:numId w:val="8"/>
        </w:numPr>
        <w:shd w:val="clear" w:color="auto" w:fill="FFFFFF"/>
        <w:spacing w:line="360" w:lineRule="auto"/>
        <w:rPr>
          <w:rFonts w:ascii="宋体" w:hAnsi="宋体"/>
          <w:color w:val="000000" w:themeColor="text1"/>
          <w:szCs w:val="21"/>
        </w:rPr>
      </w:pPr>
      <w:r>
        <w:rPr>
          <w:rFonts w:hint="eastAsia" w:ascii="宋体" w:hAnsi="宋体" w:cs="宋体"/>
          <w:b/>
          <w:bCs/>
          <w:color w:val="000000" w:themeColor="text1"/>
          <w:szCs w:val="21"/>
        </w:rPr>
        <w:t>有下列情形之一的，视为串通竞价，其报价无效：</w:t>
      </w:r>
    </w:p>
    <w:p>
      <w:pPr>
        <w:numPr>
          <w:ilvl w:val="2"/>
          <w:numId w:val="9"/>
        </w:numPr>
        <w:tabs>
          <w:tab w:val="left" w:pos="1260"/>
        </w:tabs>
        <w:spacing w:line="360" w:lineRule="auto"/>
        <w:rPr>
          <w:rFonts w:ascii="宋体" w:hAnsi="宋体"/>
          <w:color w:val="000000" w:themeColor="text1"/>
          <w:szCs w:val="21"/>
        </w:rPr>
      </w:pPr>
      <w:r>
        <w:rPr>
          <w:rFonts w:hint="eastAsia" w:ascii="宋体" w:hAnsi="宋体"/>
          <w:color w:val="000000" w:themeColor="text1"/>
        </w:rPr>
        <w:t>存在单位负责人为同一人或存在控股、管理关系的不同单位参与同一竞价项目；</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不同供应商的响应文件由同一单位或者个人编制；</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不同供应商委托同一单位或者个人办理竞价事宜；</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不同供应商使用同一</w:t>
      </w:r>
      <w:r>
        <w:rPr>
          <w:rFonts w:ascii="宋体" w:hAnsi="宋体" w:cs="宋体"/>
          <w:color w:val="000000" w:themeColor="text1"/>
          <w:szCs w:val="21"/>
        </w:rPr>
        <w:t>IP</w:t>
      </w:r>
      <w:r>
        <w:rPr>
          <w:rFonts w:hint="eastAsia" w:ascii="宋体" w:hAnsi="宋体" w:cs="宋体"/>
          <w:color w:val="000000" w:themeColor="text1"/>
          <w:szCs w:val="21"/>
        </w:rPr>
        <w:t>地址参与竞价；</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不同供应商的响应文件载明的项目管理成员或者联系人员为同一人；</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不同供应商的响应文件异常一致或者报价呈规律性差异；</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不同供应商的响应文件相互混淆；</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不同供应商的平台使用费从同一单位或者个人的账户转出；</w:t>
      </w:r>
    </w:p>
    <w:p>
      <w:pPr>
        <w:numPr>
          <w:ilvl w:val="0"/>
          <w:numId w:val="2"/>
        </w:numPr>
        <w:spacing w:line="360" w:lineRule="auto"/>
        <w:rPr>
          <w:rFonts w:ascii="宋体" w:hAnsi="宋体"/>
          <w:color w:val="000000" w:themeColor="text1"/>
          <w:szCs w:val="21"/>
        </w:rPr>
      </w:pPr>
      <w:r>
        <w:rPr>
          <w:rFonts w:hint="eastAsia" w:ascii="宋体" w:hAnsi="宋体" w:cs="宋体"/>
          <w:b/>
          <w:bCs/>
          <w:color w:val="000000" w:themeColor="text1"/>
          <w:szCs w:val="21"/>
        </w:rPr>
        <w:t>竞价活动失败</w:t>
      </w:r>
    </w:p>
    <w:p>
      <w:pPr>
        <w:numPr>
          <w:ilvl w:val="0"/>
          <w:numId w:val="10"/>
        </w:numPr>
        <w:spacing w:line="360" w:lineRule="auto"/>
        <w:rPr>
          <w:rFonts w:ascii="宋体" w:hAnsi="宋体"/>
          <w:color w:val="000000" w:themeColor="text1"/>
          <w:szCs w:val="21"/>
        </w:rPr>
      </w:pPr>
      <w:r>
        <w:rPr>
          <w:rFonts w:hint="eastAsia" w:ascii="宋体" w:hAnsi="宋体" w:cs="宋体"/>
          <w:color w:val="000000" w:themeColor="text1"/>
          <w:szCs w:val="21"/>
        </w:rPr>
        <w:t>报价供应商不足</w:t>
      </w:r>
      <w:r>
        <w:rPr>
          <w:rFonts w:ascii="宋体" w:hAnsi="宋体" w:cs="宋体"/>
          <w:color w:val="000000" w:themeColor="text1"/>
          <w:szCs w:val="21"/>
        </w:rPr>
        <w:t>3</w:t>
      </w:r>
      <w:r>
        <w:rPr>
          <w:rFonts w:hint="eastAsia" w:ascii="宋体" w:hAnsi="宋体" w:cs="宋体"/>
          <w:color w:val="000000" w:themeColor="text1"/>
          <w:szCs w:val="21"/>
        </w:rPr>
        <w:t>家，本次竞价活动失败；</w:t>
      </w:r>
    </w:p>
    <w:p>
      <w:pPr>
        <w:numPr>
          <w:ilvl w:val="0"/>
          <w:numId w:val="10"/>
        </w:numPr>
        <w:spacing w:line="360" w:lineRule="auto"/>
        <w:rPr>
          <w:rFonts w:ascii="宋体" w:hAnsi="宋体"/>
          <w:color w:val="000000" w:themeColor="text1"/>
          <w:szCs w:val="21"/>
        </w:rPr>
      </w:pPr>
      <w:r>
        <w:rPr>
          <w:rFonts w:hint="eastAsia" w:ascii="宋体" w:hAnsi="宋体" w:cs="宋体"/>
          <w:color w:val="000000" w:themeColor="text1"/>
          <w:szCs w:val="21"/>
        </w:rPr>
        <w:t>出现影响采购公正的违法、违规行为的；</w:t>
      </w:r>
    </w:p>
    <w:p>
      <w:pPr>
        <w:numPr>
          <w:ilvl w:val="0"/>
          <w:numId w:val="10"/>
        </w:numPr>
        <w:spacing w:line="360" w:lineRule="auto"/>
        <w:rPr>
          <w:rFonts w:ascii="宋体" w:hAnsi="宋体"/>
          <w:color w:val="000000" w:themeColor="text1"/>
          <w:szCs w:val="21"/>
        </w:rPr>
      </w:pPr>
      <w:r>
        <w:rPr>
          <w:rFonts w:hint="eastAsia" w:ascii="宋体" w:hAnsi="宋体" w:cs="宋体"/>
          <w:color w:val="000000" w:themeColor="text1"/>
          <w:szCs w:val="21"/>
        </w:rPr>
        <w:t>因重大变故，采购任务取消的；</w:t>
      </w:r>
    </w:p>
    <w:p>
      <w:pPr>
        <w:numPr>
          <w:ilvl w:val="0"/>
          <w:numId w:val="2"/>
        </w:numPr>
        <w:spacing w:line="360" w:lineRule="auto"/>
        <w:rPr>
          <w:rFonts w:ascii="宋体" w:hAnsi="宋体"/>
          <w:b/>
          <w:bCs/>
          <w:color w:val="000000" w:themeColor="text1"/>
          <w:szCs w:val="21"/>
        </w:rPr>
      </w:pPr>
      <w:r>
        <w:rPr>
          <w:rFonts w:hint="eastAsia" w:ascii="宋体" w:hAnsi="宋体" w:cs="宋体"/>
          <w:b/>
          <w:bCs/>
          <w:color w:val="000000" w:themeColor="text1"/>
          <w:szCs w:val="21"/>
        </w:rPr>
        <w:t>使用费</w:t>
      </w:r>
    </w:p>
    <w:p>
      <w:pPr>
        <w:numPr>
          <w:ilvl w:val="0"/>
          <w:numId w:val="11"/>
        </w:numPr>
        <w:tabs>
          <w:tab w:val="left" w:pos="425"/>
        </w:tabs>
        <w:spacing w:line="360" w:lineRule="auto"/>
        <w:rPr>
          <w:rFonts w:ascii="宋体" w:hAnsi="宋体"/>
          <w:color w:val="000000" w:themeColor="text1"/>
          <w:szCs w:val="21"/>
        </w:rPr>
      </w:pPr>
      <w:r>
        <w:rPr>
          <w:rFonts w:hint="eastAsia" w:ascii="宋体" w:hAnsi="宋体" w:cs="宋体"/>
          <w:color w:val="000000" w:themeColor="text1"/>
          <w:szCs w:val="21"/>
        </w:rPr>
        <w:t>成交供应商须向平台服务商云采链线上采购一体化平台缴纳平台使用费，金额为成交金额的1.5%（四舍五入取整数）。</w:t>
      </w:r>
    </w:p>
    <w:p>
      <w:pPr>
        <w:numPr>
          <w:ilvl w:val="0"/>
          <w:numId w:val="11"/>
        </w:numPr>
        <w:tabs>
          <w:tab w:val="left" w:pos="425"/>
        </w:tabs>
        <w:spacing w:line="360" w:lineRule="auto"/>
        <w:rPr>
          <w:rFonts w:ascii="宋体" w:hAnsi="宋体"/>
          <w:color w:val="000000" w:themeColor="text1"/>
          <w:szCs w:val="21"/>
        </w:rPr>
      </w:pPr>
      <w:r>
        <w:rPr>
          <w:rFonts w:hint="eastAsia" w:ascii="宋体" w:hAnsi="宋体" w:cs="宋体"/>
          <w:color w:val="000000" w:themeColor="text1"/>
          <w:szCs w:val="21"/>
        </w:rPr>
        <w:t>成交供应商无正当理由放弃成交资格的必须按竞价公告等相关规定缴纳相应的平台使用费；</w:t>
      </w:r>
    </w:p>
    <w:p>
      <w:pPr>
        <w:numPr>
          <w:ilvl w:val="0"/>
          <w:numId w:val="11"/>
        </w:numPr>
        <w:tabs>
          <w:tab w:val="left" w:pos="425"/>
        </w:tabs>
        <w:spacing w:line="360" w:lineRule="auto"/>
        <w:rPr>
          <w:rFonts w:ascii="宋体" w:hAnsi="宋体"/>
          <w:color w:val="000000" w:themeColor="text1"/>
          <w:szCs w:val="21"/>
        </w:rPr>
      </w:pPr>
      <w:r>
        <w:rPr>
          <w:rFonts w:hint="eastAsia" w:ascii="宋体" w:hAnsi="宋体" w:cs="宋体"/>
          <w:color w:val="000000" w:themeColor="text1"/>
          <w:szCs w:val="21"/>
        </w:rPr>
        <w:t>如确实因不可抗力放弃成交资格的，应在不可抗力发生后三个工作日内予以通知采购代理机构并提供相关的证明；如逾期，采购代理机构不予退还平台使用费；</w:t>
      </w:r>
    </w:p>
    <w:p>
      <w:pPr>
        <w:numPr>
          <w:ilvl w:val="0"/>
          <w:numId w:val="2"/>
        </w:numPr>
        <w:spacing w:line="360" w:lineRule="auto"/>
        <w:rPr>
          <w:rFonts w:ascii="宋体" w:hAnsi="宋体"/>
          <w:b/>
          <w:bCs/>
          <w:color w:val="000000" w:themeColor="text1"/>
          <w:szCs w:val="21"/>
        </w:rPr>
      </w:pPr>
      <w:r>
        <w:rPr>
          <w:rFonts w:hint="eastAsia" w:ascii="宋体" w:hAnsi="宋体" w:cs="宋体"/>
          <w:b/>
          <w:bCs/>
          <w:color w:val="000000" w:themeColor="text1"/>
          <w:szCs w:val="21"/>
        </w:rPr>
        <w:t>联系方式</w:t>
      </w:r>
    </w:p>
    <w:p>
      <w:pPr>
        <w:spacing w:line="360" w:lineRule="auto"/>
        <w:ind w:left="420"/>
        <w:rPr>
          <w:rFonts w:ascii="宋体" w:hAnsi="宋体"/>
          <w:color w:val="000000" w:themeColor="text1"/>
          <w:szCs w:val="21"/>
        </w:rPr>
      </w:pPr>
      <w:r>
        <w:rPr>
          <w:rFonts w:hint="eastAsia" w:ascii="宋体" w:hAnsi="宋体" w:cs="宋体"/>
          <w:color w:val="000000" w:themeColor="text1"/>
          <w:szCs w:val="21"/>
        </w:rPr>
        <w:t>扫码关注微信公众号</w:t>
      </w:r>
      <w:r>
        <w:rPr>
          <w:rFonts w:ascii="宋体" w:hAnsi="宋体" w:cs="Calibri"/>
          <w:color w:val="000000" w:themeColor="text1"/>
          <w:szCs w:val="21"/>
        </w:rPr>
        <w:t>“</w:t>
      </w:r>
      <w:r>
        <w:rPr>
          <w:rFonts w:hint="eastAsia" w:ascii="宋体" w:hAnsi="宋体" w:cs="宋体"/>
          <w:color w:val="000000" w:themeColor="text1"/>
          <w:szCs w:val="21"/>
        </w:rPr>
        <w:t>云采链互联服务平台</w:t>
      </w:r>
      <w:r>
        <w:rPr>
          <w:rFonts w:ascii="宋体" w:hAnsi="宋体" w:cs="Calibri"/>
          <w:color w:val="000000" w:themeColor="text1"/>
          <w:szCs w:val="21"/>
        </w:rPr>
        <w:t>”</w:t>
      </w:r>
      <w:r>
        <w:rPr>
          <w:rFonts w:hint="eastAsia" w:ascii="宋体" w:hAnsi="宋体" w:cs="宋体"/>
          <w:color w:val="000000" w:themeColor="text1"/>
          <w:szCs w:val="21"/>
        </w:rPr>
        <w:t>，即可在线咨询相关事项；</w:t>
      </w:r>
    </w:p>
    <w:p>
      <w:pPr>
        <w:widowControl/>
        <w:jc w:val="center"/>
        <w:rPr>
          <w:rFonts w:ascii="宋体" w:hAnsi="宋体" w:cs="宋体"/>
          <w:b/>
          <w:bCs/>
          <w:color w:val="000000" w:themeColor="text1"/>
          <w:sz w:val="32"/>
          <w:szCs w:val="32"/>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r>
        <w:rPr>
          <w:rFonts w:ascii="宋体" w:hAnsi="宋体"/>
          <w:color w:val="000000" w:themeColor="text1"/>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p>
    <w:p>
      <w:pPr>
        <w:jc w:val="center"/>
        <w:outlineLvl w:val="0"/>
        <w:rPr>
          <w:rFonts w:ascii="宋体" w:hAnsi="宋体" w:cs="宋体"/>
          <w:b/>
          <w:bCs/>
          <w:color w:val="000000" w:themeColor="text1"/>
          <w:sz w:val="32"/>
          <w:szCs w:val="32"/>
        </w:rPr>
      </w:pPr>
      <w:r>
        <w:rPr>
          <w:rFonts w:hint="eastAsia" w:ascii="宋体" w:hAnsi="宋体" w:cs="宋体"/>
          <w:b/>
          <w:bCs/>
          <w:color w:val="000000" w:themeColor="text1"/>
          <w:sz w:val="32"/>
          <w:szCs w:val="32"/>
        </w:rPr>
        <w:t>第二章 采购需求书</w:t>
      </w:r>
    </w:p>
    <w:p>
      <w:pPr>
        <w:snapToGrid w:val="0"/>
        <w:spacing w:line="360" w:lineRule="auto"/>
        <w:rPr>
          <w:rFonts w:ascii="宋体" w:hAnsi="宋体"/>
          <w:b/>
          <w:bCs/>
          <w:color w:val="000000" w:themeColor="text1"/>
          <w:szCs w:val="21"/>
        </w:rPr>
      </w:pPr>
      <w:r>
        <w:rPr>
          <w:rFonts w:hint="eastAsia" w:ascii="宋体" w:hAnsi="宋体"/>
          <w:b/>
          <w:bCs/>
          <w:color w:val="000000" w:themeColor="text1"/>
          <w:szCs w:val="21"/>
        </w:rPr>
        <w:t>说明：</w:t>
      </w:r>
    </w:p>
    <w:p>
      <w:pPr>
        <w:tabs>
          <w:tab w:val="left" w:pos="420"/>
        </w:tabs>
        <w:snapToGrid w:val="0"/>
        <w:spacing w:line="360" w:lineRule="auto"/>
        <w:rPr>
          <w:rFonts w:ascii="宋体" w:hAnsi="宋体"/>
          <w:b/>
          <w:bCs/>
          <w:color w:val="000000" w:themeColor="text1"/>
          <w:szCs w:val="21"/>
        </w:rPr>
      </w:pPr>
      <w:r>
        <w:rPr>
          <w:rFonts w:hint="eastAsia" w:ascii="宋体" w:hAnsi="宋体"/>
          <w:b/>
          <w:bCs/>
          <w:color w:val="000000" w:themeColor="text1"/>
          <w:szCs w:val="21"/>
        </w:rPr>
        <w:t>供应商须对本项目采购内容进行整体响应，任何只对采购内容其中一部分内容进行的响应都被视为无效报价。</w:t>
      </w:r>
    </w:p>
    <w:bookmarkEnd w:id="1"/>
    <w:p>
      <w:pPr>
        <w:numPr>
          <w:ilvl w:val="0"/>
          <w:numId w:val="12"/>
        </w:numPr>
        <w:spacing w:line="360" w:lineRule="auto"/>
        <w:rPr>
          <w:rFonts w:ascii="宋体" w:hAnsi="宋体" w:cs="宋体"/>
          <w:b/>
          <w:szCs w:val="21"/>
        </w:rPr>
      </w:pPr>
      <w:r>
        <w:rPr>
          <w:rFonts w:hint="eastAsia" w:ascii="宋体" w:hAnsi="宋体" w:cs="宋体"/>
          <w:b/>
          <w:szCs w:val="21"/>
        </w:rPr>
        <w:t>项目概况：</w:t>
      </w:r>
    </w:p>
    <w:p>
      <w:pPr>
        <w:widowControl/>
        <w:numPr>
          <w:ilvl w:val="0"/>
          <w:numId w:val="13"/>
        </w:numPr>
        <w:snapToGrid w:val="0"/>
        <w:spacing w:line="360" w:lineRule="auto"/>
        <w:jc w:val="left"/>
        <w:rPr>
          <w:rFonts w:ascii="宋体" w:hAnsi="宋体" w:cs="宋体"/>
          <w:bCs/>
          <w:szCs w:val="21"/>
        </w:rPr>
      </w:pPr>
      <w:r>
        <w:rPr>
          <w:rFonts w:hint="eastAsia" w:ascii="宋体" w:hAnsi="宋体" w:cs="宋体"/>
          <w:bCs/>
          <w:szCs w:val="21"/>
        </w:rPr>
        <w:t>项目名称：南海分公司DVB网关电源采购项目</w:t>
      </w:r>
    </w:p>
    <w:p>
      <w:pPr>
        <w:widowControl/>
        <w:numPr>
          <w:ilvl w:val="0"/>
          <w:numId w:val="13"/>
        </w:numPr>
        <w:snapToGrid w:val="0"/>
        <w:spacing w:line="360" w:lineRule="auto"/>
        <w:jc w:val="left"/>
        <w:rPr>
          <w:rFonts w:ascii="宋体" w:hAnsi="宋体" w:cs="宋体"/>
          <w:szCs w:val="21"/>
        </w:rPr>
      </w:pPr>
      <w:r>
        <w:rPr>
          <w:rFonts w:hint="eastAsia" w:ascii="宋体" w:hAnsi="宋体" w:cs="宋体"/>
          <w:szCs w:val="21"/>
        </w:rPr>
        <w:t>交货期：合同签订后10天（自然日）内交货到指定地点。</w:t>
      </w:r>
    </w:p>
    <w:p>
      <w:pPr>
        <w:widowControl/>
        <w:numPr>
          <w:ilvl w:val="0"/>
          <w:numId w:val="13"/>
        </w:numPr>
        <w:snapToGrid w:val="0"/>
        <w:spacing w:line="360" w:lineRule="auto"/>
        <w:jc w:val="left"/>
        <w:rPr>
          <w:rFonts w:ascii="宋体" w:hAnsi="宋体" w:cs="宋体"/>
          <w:szCs w:val="21"/>
        </w:rPr>
      </w:pPr>
      <w:r>
        <w:rPr>
          <w:rFonts w:hint="eastAsia" w:ascii="宋体" w:hAnsi="宋体" w:cs="宋体"/>
          <w:bCs/>
          <w:szCs w:val="21"/>
        </w:rPr>
        <w:t>项目内</w:t>
      </w:r>
      <w:r>
        <w:rPr>
          <w:rFonts w:hint="eastAsia" w:ascii="宋体" w:hAnsi="宋体" w:cs="宋体"/>
          <w:szCs w:val="21"/>
        </w:rPr>
        <w:t>容：</w:t>
      </w:r>
    </w:p>
    <w:p>
      <w:pPr>
        <w:widowControl/>
        <w:numPr>
          <w:ilvl w:val="255"/>
          <w:numId w:val="0"/>
        </w:numPr>
        <w:snapToGrid w:val="0"/>
        <w:spacing w:line="360" w:lineRule="auto"/>
        <w:ind w:firstLine="420" w:firstLineChars="200"/>
        <w:jc w:val="left"/>
        <w:rPr>
          <w:rFonts w:ascii="宋体" w:hAnsi="宋体" w:cs="宋体"/>
          <w:szCs w:val="21"/>
        </w:rPr>
      </w:pPr>
      <w:r>
        <w:rPr>
          <w:rFonts w:hint="eastAsia" w:ascii="宋体" w:hAnsi="宋体" w:cs="宋体"/>
          <w:szCs w:val="21"/>
        </w:rPr>
        <w:t>佛山南海分公司近期拟盘活一批旧CM网关供应用户市场，由于旧CM网关均为裸机，故盘活时需重新购买DVB网关电源配套旧CM网关使用，经综合考虑库存数量及项目推进进度，计划购置5000个DVB网关电源作为盘活旧终端配置使用。详见“技术要求”。</w:t>
      </w:r>
    </w:p>
    <w:p>
      <w:pPr>
        <w:widowControl/>
        <w:numPr>
          <w:ilvl w:val="0"/>
          <w:numId w:val="13"/>
        </w:numPr>
        <w:snapToGrid w:val="0"/>
        <w:spacing w:line="360" w:lineRule="auto"/>
        <w:jc w:val="left"/>
        <w:rPr>
          <w:rFonts w:ascii="宋体" w:hAnsi="宋体" w:cs="宋体"/>
          <w:szCs w:val="21"/>
        </w:rPr>
      </w:pPr>
      <w:r>
        <w:rPr>
          <w:rFonts w:hint="eastAsia" w:ascii="宋体" w:hAnsi="宋体" w:cs="宋体"/>
          <w:szCs w:val="21"/>
        </w:rPr>
        <w:t>项目情况：</w:t>
      </w:r>
    </w:p>
    <w:tbl>
      <w:tblPr>
        <w:tblStyle w:val="36"/>
        <w:tblW w:w="7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025"/>
        <w:gridCol w:w="1717"/>
        <w:gridCol w:w="1792"/>
        <w:gridCol w:w="1125"/>
        <w:gridCol w:w="2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95" w:hRule="atLeast"/>
          <w:jc w:val="center"/>
        </w:trPr>
        <w:tc>
          <w:tcPr>
            <w:tcW w:w="1025"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序号</w:t>
            </w:r>
          </w:p>
        </w:tc>
        <w:tc>
          <w:tcPr>
            <w:tcW w:w="1717"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产 品 名 称</w:t>
            </w:r>
          </w:p>
        </w:tc>
        <w:tc>
          <w:tcPr>
            <w:tcW w:w="1792"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数量</w:t>
            </w:r>
          </w:p>
        </w:tc>
        <w:tc>
          <w:tcPr>
            <w:tcW w:w="1125"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质保期</w:t>
            </w:r>
          </w:p>
        </w:tc>
        <w:tc>
          <w:tcPr>
            <w:tcW w:w="2195" w:type="dxa"/>
            <w:shd w:val="clear" w:color="auto" w:fill="FFFFFF" w:themeFill="background1"/>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highlight w:val="none"/>
              </w:rPr>
              <w:t>单价最高限价（含税）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61" w:hRule="atLeast"/>
          <w:jc w:val="center"/>
        </w:trPr>
        <w:tc>
          <w:tcPr>
            <w:tcW w:w="1025"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1</w:t>
            </w:r>
          </w:p>
        </w:tc>
        <w:tc>
          <w:tcPr>
            <w:tcW w:w="1717"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DVB网关电源</w:t>
            </w:r>
          </w:p>
        </w:tc>
        <w:tc>
          <w:tcPr>
            <w:tcW w:w="1792"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5000个</w:t>
            </w:r>
          </w:p>
        </w:tc>
        <w:tc>
          <w:tcPr>
            <w:tcW w:w="1125"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1年</w:t>
            </w:r>
          </w:p>
        </w:tc>
        <w:tc>
          <w:tcPr>
            <w:tcW w:w="2195" w:type="dxa"/>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Cs w:val="21"/>
              </w:rPr>
              <w:t>22元/个</w:t>
            </w:r>
          </w:p>
        </w:tc>
      </w:tr>
    </w:tbl>
    <w:p>
      <w:pPr>
        <w:spacing w:line="360" w:lineRule="auto"/>
        <w:rPr>
          <w:rFonts w:ascii="宋体" w:hAnsi="宋体" w:cs="宋体"/>
          <w:kern w:val="0"/>
          <w:szCs w:val="21"/>
        </w:rPr>
      </w:pPr>
      <w:r>
        <w:rPr>
          <w:rFonts w:hint="eastAsia" w:ascii="宋体" w:hAnsi="宋体" w:cs="宋体"/>
          <w:kern w:val="0"/>
          <w:szCs w:val="21"/>
        </w:rPr>
        <w:t>注：报价含设备及零配件的购置和安装、运输保险、装卸、培训辅导、质保期售后服务、全额含税发票、雇员费用、合同实施过程中的应预见和不可预见费用等。</w:t>
      </w:r>
    </w:p>
    <w:p>
      <w:pPr>
        <w:widowControl/>
        <w:numPr>
          <w:ilvl w:val="0"/>
          <w:numId w:val="13"/>
        </w:numPr>
        <w:snapToGrid w:val="0"/>
        <w:spacing w:line="360" w:lineRule="auto"/>
        <w:jc w:val="left"/>
        <w:rPr>
          <w:rFonts w:ascii="宋体" w:hAnsi="宋体" w:cs="宋体"/>
          <w:szCs w:val="21"/>
        </w:rPr>
      </w:pPr>
      <w:r>
        <w:rPr>
          <w:rFonts w:hint="eastAsia" w:ascii="宋体" w:hAnsi="宋体" w:cs="宋体"/>
          <w:kern w:val="0"/>
          <w:szCs w:val="21"/>
        </w:rPr>
        <w:t>本项目选取一名符合要求的报价人作为成交人。</w:t>
      </w:r>
    </w:p>
    <w:p>
      <w:pPr>
        <w:numPr>
          <w:ilvl w:val="0"/>
          <w:numId w:val="12"/>
        </w:numPr>
        <w:spacing w:line="360" w:lineRule="auto"/>
        <w:rPr>
          <w:rFonts w:ascii="宋体" w:hAnsi="宋体" w:cs="宋体"/>
          <w:bCs/>
          <w:szCs w:val="21"/>
        </w:rPr>
      </w:pPr>
      <w:bookmarkStart w:id="2" w:name="_Toc367716444"/>
      <w:r>
        <w:rPr>
          <w:rFonts w:hint="eastAsia" w:ascii="宋体" w:hAnsi="宋体" w:cs="宋体"/>
          <w:b/>
          <w:szCs w:val="21"/>
        </w:rPr>
        <w:t>技术要求</w:t>
      </w:r>
      <w:bookmarkEnd w:id="2"/>
      <w:r>
        <w:rPr>
          <w:rFonts w:hint="eastAsia" w:ascii="宋体" w:hAnsi="宋体" w:cs="宋体"/>
          <w:b/>
          <w:szCs w:val="21"/>
        </w:rPr>
        <w:t>：</w:t>
      </w:r>
    </w:p>
    <w:p>
      <w:pPr>
        <w:numPr>
          <w:ilvl w:val="0"/>
          <w:numId w:val="14"/>
        </w:numPr>
        <w:spacing w:line="360" w:lineRule="auto"/>
        <w:rPr>
          <w:rFonts w:ascii="宋体" w:hAnsi="宋体" w:cs="宋体"/>
          <w:kern w:val="0"/>
          <w:szCs w:val="21"/>
        </w:rPr>
      </w:pPr>
      <w:r>
        <w:rPr>
          <w:rFonts w:hint="eastAsia" w:ascii="宋体" w:hAnsi="宋体" w:cs="宋体"/>
          <w:kern w:val="0"/>
          <w:szCs w:val="21"/>
        </w:rPr>
        <w:t>技术参数</w:t>
      </w:r>
    </w:p>
    <w:p>
      <w:pPr>
        <w:spacing w:line="360" w:lineRule="auto"/>
        <w:rPr>
          <w:rFonts w:ascii="宋体" w:hAnsi="宋体" w:cs="宋体"/>
          <w:kern w:val="0"/>
          <w:szCs w:val="21"/>
        </w:rPr>
      </w:pPr>
      <w:r>
        <w:rPr>
          <w:rFonts w:hint="eastAsia" w:ascii="宋体" w:hAnsi="宋体" w:cs="宋体"/>
          <w:kern w:val="0"/>
          <w:szCs w:val="21"/>
        </w:rPr>
        <w:t>1、符合3C认证的外置电源DC，</w:t>
      </w:r>
    </w:p>
    <w:p>
      <w:pPr>
        <w:spacing w:line="360" w:lineRule="auto"/>
        <w:rPr>
          <w:rFonts w:ascii="宋体" w:hAnsi="宋体" w:cs="宋体"/>
          <w:kern w:val="0"/>
          <w:szCs w:val="21"/>
        </w:rPr>
      </w:pPr>
      <w:r>
        <w:rPr>
          <w:rFonts w:hint="eastAsia" w:ascii="宋体" w:hAnsi="宋体" w:cs="宋体"/>
          <w:kern w:val="0"/>
          <w:szCs w:val="21"/>
        </w:rPr>
        <w:t>2、AC220V输入，DC12V输出</w:t>
      </w:r>
    </w:p>
    <w:p>
      <w:pPr>
        <w:spacing w:line="360" w:lineRule="auto"/>
        <w:rPr>
          <w:rFonts w:ascii="宋体" w:hAnsi="宋体" w:cs="宋体"/>
          <w:kern w:val="0"/>
          <w:szCs w:val="21"/>
        </w:rPr>
      </w:pPr>
      <w:r>
        <w:rPr>
          <w:rFonts w:hint="eastAsia" w:ascii="宋体" w:hAnsi="宋体" w:cs="宋体"/>
          <w:kern w:val="0"/>
          <w:szCs w:val="21"/>
        </w:rPr>
        <w:t xml:space="preserve">3、12V/2A </w:t>
      </w:r>
    </w:p>
    <w:p>
      <w:pPr>
        <w:spacing w:line="360" w:lineRule="auto"/>
        <w:rPr>
          <w:rFonts w:ascii="宋体" w:hAnsi="宋体" w:cs="宋体"/>
          <w:kern w:val="0"/>
          <w:szCs w:val="21"/>
        </w:rPr>
      </w:pPr>
      <w:r>
        <w:rPr>
          <w:rFonts w:hint="eastAsia" w:ascii="宋体" w:hAnsi="宋体" w:cs="宋体"/>
          <w:kern w:val="0"/>
          <w:szCs w:val="21"/>
        </w:rPr>
        <w:t>4、电源插头与适配器采用分离模式，即通过电源引线（60至80cm长度，引线采用固定方式（即不可插拔）引出插头与排插连接，不带指示灯。12V2A适配器DC头内径采用尺寸规格：5.5*2.5*10mm, 即其内径尺寸为2.5mm。</w:t>
      </w:r>
    </w:p>
    <w:p>
      <w:pPr>
        <w:spacing w:line="360" w:lineRule="auto"/>
        <w:rPr>
          <w:rFonts w:ascii="宋体" w:hAnsi="宋体" w:cs="宋体"/>
          <w:kern w:val="0"/>
          <w:szCs w:val="21"/>
        </w:rPr>
      </w:pPr>
      <w:r>
        <w:rPr>
          <w:rFonts w:hint="eastAsia" w:ascii="宋体" w:hAnsi="宋体" w:cs="宋体"/>
          <w:kern w:val="0"/>
          <w:szCs w:val="21"/>
        </w:rPr>
        <w:t>5、抗雷击4KV</w:t>
      </w:r>
    </w:p>
    <w:p>
      <w:pPr>
        <w:spacing w:line="360" w:lineRule="auto"/>
        <w:rPr>
          <w:rFonts w:ascii="宋体" w:hAnsi="宋体" w:cs="宋体"/>
          <w:kern w:val="0"/>
          <w:szCs w:val="21"/>
        </w:rPr>
      </w:pPr>
      <w:r>
        <w:rPr>
          <w:rFonts w:hint="eastAsia" w:ascii="宋体" w:hAnsi="宋体" w:cs="宋体"/>
          <w:kern w:val="0"/>
          <w:szCs w:val="21"/>
        </w:rPr>
        <w:t>6、参考尺寸 -94x45x33mm-RoHS</w:t>
      </w:r>
    </w:p>
    <w:p>
      <w:pPr>
        <w:numPr>
          <w:ilvl w:val="0"/>
          <w:numId w:val="14"/>
        </w:numPr>
        <w:spacing w:line="360" w:lineRule="auto"/>
        <w:rPr>
          <w:rFonts w:ascii="宋体" w:hAnsi="宋体" w:cs="宋体"/>
          <w:kern w:val="0"/>
          <w:szCs w:val="21"/>
        </w:rPr>
      </w:pPr>
      <w:r>
        <w:rPr>
          <w:rFonts w:hint="eastAsia" w:ascii="宋体" w:hAnsi="宋体" w:cs="宋体"/>
          <w:kern w:val="0"/>
          <w:szCs w:val="21"/>
        </w:rPr>
        <w:t>电气性能</w:t>
      </w:r>
    </w:p>
    <w:p>
      <w:pPr>
        <w:spacing w:line="360" w:lineRule="auto"/>
        <w:rPr>
          <w:rFonts w:ascii="宋体" w:hAnsi="宋体" w:cs="宋体"/>
          <w:kern w:val="0"/>
          <w:szCs w:val="21"/>
        </w:rPr>
      </w:pPr>
      <w:r>
        <w:rPr>
          <w:rFonts w:hint="eastAsia" w:ascii="宋体" w:hAnsi="宋体" w:cs="宋体"/>
          <w:kern w:val="0"/>
          <w:szCs w:val="21"/>
        </w:rPr>
        <w:t>1、[保 护]:过电压,过电流,短路保护</w:t>
      </w:r>
    </w:p>
    <w:p>
      <w:pPr>
        <w:spacing w:line="360" w:lineRule="auto"/>
        <w:rPr>
          <w:rFonts w:ascii="宋体" w:hAnsi="宋体" w:cs="宋体"/>
          <w:kern w:val="0"/>
          <w:szCs w:val="21"/>
        </w:rPr>
      </w:pPr>
      <w:r>
        <w:rPr>
          <w:rFonts w:hint="eastAsia" w:ascii="宋体" w:hAnsi="宋体" w:cs="宋体"/>
          <w:kern w:val="0"/>
          <w:szCs w:val="21"/>
        </w:rPr>
        <w:t>2、[可 靠 性]:温升(烧机):每台85-95%负载,40±5℃,4小时</w:t>
      </w:r>
    </w:p>
    <w:p>
      <w:pPr>
        <w:spacing w:line="360" w:lineRule="auto"/>
        <w:rPr>
          <w:rFonts w:ascii="宋体" w:hAnsi="宋体" w:cs="宋体"/>
          <w:kern w:val="0"/>
          <w:szCs w:val="21"/>
        </w:rPr>
      </w:pPr>
      <w:r>
        <w:rPr>
          <w:rFonts w:hint="eastAsia" w:ascii="宋体" w:hAnsi="宋体" w:cs="宋体"/>
          <w:kern w:val="0"/>
          <w:szCs w:val="21"/>
        </w:rPr>
        <w:t>3、温升电流:0.25mA MAX 254VAC</w:t>
      </w:r>
    </w:p>
    <w:p>
      <w:pPr>
        <w:spacing w:line="360" w:lineRule="auto"/>
        <w:rPr>
          <w:rFonts w:ascii="宋体" w:hAnsi="宋体" w:cs="宋体"/>
          <w:kern w:val="0"/>
          <w:szCs w:val="21"/>
        </w:rPr>
      </w:pPr>
      <w:r>
        <w:rPr>
          <w:rFonts w:hint="eastAsia" w:ascii="宋体" w:hAnsi="宋体" w:cs="宋体"/>
          <w:kern w:val="0"/>
          <w:szCs w:val="21"/>
        </w:rPr>
        <w:t>4、绝缘耐压(在初级和次级之间):3000VAC,60S,10mA MAX</w:t>
      </w:r>
    </w:p>
    <w:p>
      <w:pPr>
        <w:spacing w:line="360" w:lineRule="auto"/>
        <w:rPr>
          <w:rFonts w:ascii="宋体" w:hAnsi="宋体" w:cs="宋体"/>
          <w:kern w:val="0"/>
          <w:szCs w:val="21"/>
        </w:rPr>
      </w:pPr>
      <w:r>
        <w:rPr>
          <w:rFonts w:hint="eastAsia" w:ascii="宋体" w:hAnsi="宋体" w:cs="宋体"/>
          <w:kern w:val="0"/>
          <w:szCs w:val="21"/>
        </w:rPr>
        <w:t>5、MTBF:按MIL-HDBK-217F标准,满负载,25℃,50000小时以上</w:t>
      </w:r>
    </w:p>
    <w:p>
      <w:pPr>
        <w:spacing w:line="360" w:lineRule="auto"/>
        <w:rPr>
          <w:rFonts w:ascii="宋体" w:hAnsi="宋体" w:cs="宋体"/>
          <w:kern w:val="0"/>
          <w:szCs w:val="21"/>
        </w:rPr>
      </w:pPr>
      <w:r>
        <w:rPr>
          <w:rFonts w:hint="eastAsia" w:ascii="宋体" w:hAnsi="宋体" w:cs="宋体"/>
          <w:kern w:val="0"/>
          <w:szCs w:val="21"/>
        </w:rPr>
        <w:t>6、[工作湿度]:5~95%RH</w:t>
      </w:r>
    </w:p>
    <w:p>
      <w:pPr>
        <w:spacing w:line="360" w:lineRule="auto"/>
        <w:rPr>
          <w:rFonts w:ascii="宋体" w:hAnsi="宋体" w:cs="宋体"/>
          <w:kern w:val="0"/>
          <w:szCs w:val="21"/>
        </w:rPr>
      </w:pPr>
      <w:r>
        <w:rPr>
          <w:rFonts w:hint="eastAsia" w:ascii="宋体" w:hAnsi="宋体" w:cs="宋体"/>
          <w:kern w:val="0"/>
          <w:szCs w:val="21"/>
        </w:rPr>
        <w:t>7、[储存温度]:-20~85℃</w:t>
      </w:r>
    </w:p>
    <w:p>
      <w:pPr>
        <w:spacing w:line="360" w:lineRule="auto"/>
        <w:rPr>
          <w:rFonts w:ascii="宋体" w:hAnsi="宋体" w:cs="宋体"/>
          <w:kern w:val="0"/>
          <w:szCs w:val="21"/>
        </w:rPr>
      </w:pPr>
      <w:r>
        <w:rPr>
          <w:rFonts w:hint="eastAsia" w:ascii="宋体" w:hAnsi="宋体" w:cs="宋体"/>
          <w:kern w:val="0"/>
          <w:szCs w:val="21"/>
        </w:rPr>
        <w:t>8、[工作环境温度]:0~40℃</w:t>
      </w:r>
    </w:p>
    <w:p>
      <w:pPr>
        <w:numPr>
          <w:ilvl w:val="0"/>
          <w:numId w:val="14"/>
        </w:numPr>
        <w:spacing w:line="360" w:lineRule="auto"/>
        <w:rPr>
          <w:rFonts w:ascii="宋体" w:hAnsi="宋体" w:cs="宋体"/>
          <w:kern w:val="0"/>
          <w:szCs w:val="21"/>
        </w:rPr>
      </w:pPr>
      <w:r>
        <w:rPr>
          <w:rFonts w:hint="eastAsia" w:ascii="宋体" w:hAnsi="宋体" w:cs="宋体"/>
          <w:kern w:val="0"/>
          <w:szCs w:val="21"/>
        </w:rPr>
        <w:t>产品特性</w:t>
      </w:r>
    </w:p>
    <w:p>
      <w:pPr>
        <w:spacing w:line="360" w:lineRule="auto"/>
        <w:rPr>
          <w:rFonts w:ascii="宋体" w:hAnsi="宋体" w:cs="宋体"/>
          <w:kern w:val="0"/>
          <w:szCs w:val="21"/>
        </w:rPr>
      </w:pPr>
      <w:r>
        <w:rPr>
          <w:rFonts w:hint="eastAsia" w:ascii="宋体" w:hAnsi="宋体" w:cs="宋体"/>
          <w:kern w:val="0"/>
          <w:szCs w:val="21"/>
        </w:rPr>
        <w:t xml:space="preserve">1、开关电源 </w:t>
      </w:r>
    </w:p>
    <w:p>
      <w:pPr>
        <w:spacing w:line="360" w:lineRule="auto"/>
        <w:rPr>
          <w:rFonts w:ascii="宋体" w:hAnsi="宋体" w:cs="宋体"/>
          <w:kern w:val="0"/>
          <w:szCs w:val="21"/>
        </w:rPr>
      </w:pPr>
      <w:r>
        <w:rPr>
          <w:rFonts w:hint="eastAsia" w:ascii="宋体" w:hAnsi="宋体" w:cs="宋体"/>
          <w:kern w:val="0"/>
          <w:szCs w:val="21"/>
        </w:rPr>
        <w:t xml:space="preserve">2、交流转直流 </w:t>
      </w:r>
    </w:p>
    <w:p>
      <w:pPr>
        <w:spacing w:line="360" w:lineRule="auto"/>
        <w:rPr>
          <w:rFonts w:ascii="宋体" w:hAnsi="宋体" w:cs="宋体"/>
          <w:kern w:val="0"/>
          <w:szCs w:val="21"/>
        </w:rPr>
      </w:pPr>
      <w:r>
        <w:rPr>
          <w:rFonts w:hint="eastAsia" w:ascii="宋体" w:hAnsi="宋体" w:cs="宋体"/>
          <w:kern w:val="0"/>
          <w:szCs w:val="21"/>
        </w:rPr>
        <w:t>3、内置抗</w:t>
      </w:r>
      <w:r>
        <w:fldChar w:fldCharType="begin"/>
      </w:r>
      <w:r>
        <w:instrText xml:space="preserve"> HYPERLINK "https://baike.baidu.com/item/%E7%94%B5%E7%A3%81%E5%B9%B2%E6%89%B0%E6%BB%A4%E6%B3%A2%E5%99%A8/10080614?fromModule=lemma_inlink" \t "_blank" </w:instrText>
      </w:r>
      <w:r>
        <w:fldChar w:fldCharType="separate"/>
      </w:r>
      <w:r>
        <w:rPr>
          <w:rFonts w:hint="eastAsia" w:ascii="宋体" w:hAnsi="宋体" w:cs="宋体"/>
          <w:kern w:val="0"/>
          <w:szCs w:val="21"/>
        </w:rPr>
        <w:t>电磁干扰滤波器</w:t>
      </w:r>
      <w:r>
        <w:rPr>
          <w:rFonts w:hint="eastAsia" w:ascii="宋体" w:hAnsi="宋体" w:cs="宋体"/>
          <w:kern w:val="0"/>
          <w:szCs w:val="21"/>
        </w:rPr>
        <w:fldChar w:fldCharType="end"/>
      </w:r>
    </w:p>
    <w:p>
      <w:pPr>
        <w:numPr>
          <w:ilvl w:val="0"/>
          <w:numId w:val="12"/>
        </w:numPr>
        <w:spacing w:line="360" w:lineRule="auto"/>
        <w:rPr>
          <w:rFonts w:ascii="宋体" w:hAnsi="宋体" w:cs="宋体"/>
          <w:b/>
          <w:szCs w:val="21"/>
        </w:rPr>
      </w:pPr>
      <w:r>
        <w:rPr>
          <w:rFonts w:hint="eastAsia" w:ascii="宋体" w:hAnsi="宋体" w:cs="宋体"/>
          <w:b/>
          <w:szCs w:val="21"/>
        </w:rPr>
        <w:t>付款方式</w:t>
      </w:r>
    </w:p>
    <w:p>
      <w:pPr>
        <w:numPr>
          <w:ilvl w:val="0"/>
          <w:numId w:val="15"/>
        </w:numPr>
        <w:snapToGrid w:val="0"/>
        <w:spacing w:line="360" w:lineRule="auto"/>
        <w:rPr>
          <w:rFonts w:ascii="宋体" w:hAnsi="宋体" w:cs="宋体"/>
          <w:szCs w:val="21"/>
        </w:rPr>
      </w:pPr>
      <w:r>
        <w:rPr>
          <w:rFonts w:hint="eastAsia" w:ascii="宋体" w:hAnsi="宋体" w:cs="宋体"/>
          <w:szCs w:val="21"/>
        </w:rPr>
        <w:t>成交供应商自采购货物经采购人初验合格之日起1个月内，提供该采购货物的全额增值税专用发票给采购人，采购人自收到合法有效发票之日起6个月内，支付相应货款的【95%】。剩余【5%】货款为质量保证金（即质保金），如无质量问题，质保期满后6个月内无息支付。</w:t>
      </w:r>
    </w:p>
    <w:p>
      <w:pPr>
        <w:numPr>
          <w:ilvl w:val="0"/>
          <w:numId w:val="15"/>
        </w:numPr>
        <w:snapToGrid w:val="0"/>
        <w:spacing w:line="360" w:lineRule="auto"/>
        <w:rPr>
          <w:rFonts w:ascii="宋体" w:hAnsi="宋体" w:cs="宋体"/>
          <w:szCs w:val="21"/>
        </w:rPr>
      </w:pPr>
      <w:r>
        <w:rPr>
          <w:rFonts w:hint="eastAsia" w:ascii="宋体" w:hAnsi="宋体" w:cs="宋体"/>
          <w:szCs w:val="21"/>
        </w:rPr>
        <w:t>付款方式：银行转账或银行承兑汇票。</w:t>
      </w:r>
    </w:p>
    <w:p>
      <w:pPr>
        <w:numPr>
          <w:ilvl w:val="0"/>
          <w:numId w:val="15"/>
        </w:numPr>
        <w:snapToGrid w:val="0"/>
        <w:spacing w:line="360" w:lineRule="auto"/>
        <w:rPr>
          <w:rFonts w:ascii="宋体" w:hAnsi="宋体" w:cs="宋体"/>
          <w:szCs w:val="21"/>
        </w:rPr>
      </w:pPr>
      <w:r>
        <w:rPr>
          <w:rFonts w:hint="eastAsia" w:ascii="宋体" w:hAnsi="宋体" w:cs="宋体"/>
          <w:szCs w:val="21"/>
        </w:rPr>
        <w:t>若出现国家税收政策调整时，双方应根据实际税收调整情况，以本合同中的货物不含税单价为依据相应调整受影响的合同含税金额，成交供应商需按照税收调整政策规定开具合法合规发票。</w:t>
      </w:r>
    </w:p>
    <w:p>
      <w:pPr>
        <w:numPr>
          <w:ilvl w:val="0"/>
          <w:numId w:val="12"/>
        </w:numPr>
        <w:spacing w:line="360" w:lineRule="auto"/>
        <w:rPr>
          <w:rFonts w:ascii="宋体" w:hAnsi="宋体" w:cs="宋体"/>
          <w:b/>
          <w:szCs w:val="21"/>
        </w:rPr>
      </w:pPr>
      <w:r>
        <w:rPr>
          <w:rFonts w:hint="eastAsia" w:ascii="宋体" w:hAnsi="宋体" w:cs="宋体"/>
          <w:b/>
          <w:szCs w:val="21"/>
        </w:rPr>
        <w:t>报价要求</w:t>
      </w:r>
    </w:p>
    <w:p>
      <w:pPr>
        <w:numPr>
          <w:ilvl w:val="0"/>
          <w:numId w:val="16"/>
        </w:numPr>
        <w:snapToGrid w:val="0"/>
        <w:spacing w:line="360" w:lineRule="auto"/>
        <w:rPr>
          <w:rFonts w:ascii="宋体" w:hAnsi="宋体" w:cs="宋体"/>
          <w:szCs w:val="21"/>
        </w:rPr>
      </w:pPr>
      <w:r>
        <w:rPr>
          <w:rFonts w:hint="eastAsia" w:ascii="宋体" w:hAnsi="宋体" w:cs="宋体"/>
          <w:szCs w:val="21"/>
        </w:rPr>
        <w:t>报价方式为广东省佛山市交货价，以人民币为报价货币，提供正式增值税专用发票。</w:t>
      </w:r>
    </w:p>
    <w:p>
      <w:pPr>
        <w:numPr>
          <w:ilvl w:val="0"/>
          <w:numId w:val="16"/>
        </w:numPr>
        <w:snapToGrid w:val="0"/>
        <w:spacing w:line="360" w:lineRule="auto"/>
        <w:rPr>
          <w:rFonts w:ascii="宋体" w:hAnsi="宋体" w:cs="宋体"/>
          <w:szCs w:val="21"/>
        </w:rPr>
      </w:pPr>
      <w:r>
        <w:rPr>
          <w:rFonts w:hint="eastAsia" w:ascii="宋体" w:hAnsi="宋体" w:cs="宋体"/>
          <w:szCs w:val="21"/>
        </w:rPr>
        <w:t>响应报价表中所填入的综合单价，包括货物及零配件的生产、购置、送货上门、运输装卸、保险费、安装调试费、送检费、质保期售后服务、技术培训费（包括技术资料等）、全额含税发票及合同实施过程中可能产生的其他费用等。响应供应商对每种型号（规格）货物只允许有一个报价，采购人不接受有任何选择的报价。</w:t>
      </w:r>
    </w:p>
    <w:p>
      <w:pPr>
        <w:numPr>
          <w:ilvl w:val="0"/>
          <w:numId w:val="16"/>
        </w:numPr>
        <w:snapToGrid w:val="0"/>
        <w:spacing w:line="360" w:lineRule="auto"/>
        <w:rPr>
          <w:rFonts w:ascii="宋体" w:hAnsi="宋体" w:cs="宋体"/>
          <w:szCs w:val="21"/>
        </w:rPr>
      </w:pPr>
      <w:r>
        <w:rPr>
          <w:rFonts w:hint="eastAsia" w:ascii="宋体" w:hAnsi="宋体" w:cs="宋体"/>
          <w:szCs w:val="21"/>
        </w:rPr>
        <w:t>响应报价不得超过对应的最高限价，响应供应商的报价若明显低于市场价格，响应供应商必须对其报价提供详细的企业成本分析说明，并提供分项报价表所有项目一一对应的价格证明材料（必须在报价表后附原件）。否则评标委员会有权认定该响应供应商以低于成本报价，响应无效。</w:t>
      </w:r>
    </w:p>
    <w:p>
      <w:pPr>
        <w:numPr>
          <w:ilvl w:val="0"/>
          <w:numId w:val="16"/>
        </w:numPr>
        <w:snapToGrid w:val="0"/>
        <w:spacing w:line="360" w:lineRule="auto"/>
        <w:rPr>
          <w:rFonts w:ascii="宋体" w:hAnsi="宋体" w:cs="宋体"/>
          <w:szCs w:val="21"/>
        </w:rPr>
      </w:pPr>
      <w:r>
        <w:rPr>
          <w:rFonts w:hint="eastAsia" w:ascii="宋体" w:hAnsi="宋体" w:cs="宋体"/>
          <w:szCs w:val="21"/>
        </w:rPr>
        <w:t>成交供应商应保证所提供的货物是全新、未使用过的，并完全符合合同规定的质量、规格和性能的要求。在货物质量保证期之内，成交供应商应对由于设计、工艺或材料的缺陷而发生的任何不足或故障负责。</w:t>
      </w:r>
    </w:p>
    <w:p>
      <w:pPr>
        <w:pStyle w:val="2"/>
        <w:numPr>
          <w:ilvl w:val="255"/>
          <w:numId w:val="0"/>
        </w:numPr>
        <w:spacing w:line="360" w:lineRule="auto"/>
        <w:rPr>
          <w:rFonts w:ascii="宋体" w:hAnsi="宋体" w:cs="宋体"/>
          <w:szCs w:val="21"/>
        </w:rPr>
      </w:pPr>
    </w:p>
    <w:p>
      <w:pPr>
        <w:widowControl/>
        <w:jc w:val="center"/>
        <w:outlineLvl w:val="0"/>
        <w:rPr>
          <w:rFonts w:ascii="宋体" w:hAnsi="宋体" w:cs="宋体"/>
          <w:b/>
          <w:bCs/>
          <w:color w:val="000000" w:themeColor="text1"/>
          <w:sz w:val="32"/>
          <w:szCs w:val="32"/>
        </w:rPr>
        <w:sectPr>
          <w:footerReference r:id="rId4" w:type="first"/>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pPr>
        <w:widowControl/>
        <w:jc w:val="center"/>
        <w:outlineLvl w:val="0"/>
        <w:rPr>
          <w:rFonts w:ascii="宋体" w:hAnsi="宋体" w:cs="宋体"/>
          <w:b/>
          <w:bCs/>
          <w:color w:val="000000" w:themeColor="text1"/>
          <w:sz w:val="32"/>
          <w:szCs w:val="32"/>
        </w:rPr>
      </w:pPr>
      <w:r>
        <w:rPr>
          <w:rFonts w:hint="eastAsia" w:ascii="宋体" w:hAnsi="宋体" w:cs="宋体"/>
          <w:b/>
          <w:bCs/>
          <w:color w:val="000000" w:themeColor="text1"/>
          <w:sz w:val="32"/>
          <w:szCs w:val="32"/>
        </w:rPr>
        <w:t>第三章 竞价附件</w:t>
      </w:r>
    </w:p>
    <w:p>
      <w:pPr>
        <w:pStyle w:val="147"/>
        <w:tabs>
          <w:tab w:val="left" w:pos="426"/>
        </w:tabs>
        <w:adjustRightInd w:val="0"/>
        <w:snapToGrid w:val="0"/>
        <w:spacing w:line="360" w:lineRule="auto"/>
        <w:ind w:firstLine="0" w:firstLineChars="0"/>
        <w:jc w:val="center"/>
        <w:outlineLvl w:val="1"/>
        <w:rPr>
          <w:rFonts w:hAnsi="宋体" w:cs="宋体"/>
          <w:b/>
          <w:bCs/>
          <w:color w:val="000000" w:themeColor="text1"/>
          <w:sz w:val="32"/>
          <w:szCs w:val="32"/>
        </w:rPr>
      </w:pPr>
      <w:r>
        <w:rPr>
          <w:rFonts w:hint="eastAsia" w:hAnsi="宋体" w:cs="宋体"/>
          <w:b/>
          <w:bCs/>
          <w:color w:val="000000" w:themeColor="text1"/>
          <w:sz w:val="32"/>
          <w:szCs w:val="32"/>
        </w:rPr>
        <w:t>报价表</w:t>
      </w:r>
    </w:p>
    <w:p>
      <w:pPr>
        <w:jc w:val="left"/>
        <w:rPr>
          <w:rFonts w:ascii="宋体" w:hAnsi="宋体" w:cs="宋体"/>
          <w:b/>
          <w:bCs/>
          <w:color w:val="000000" w:themeColor="text1"/>
          <w:szCs w:val="21"/>
        </w:rPr>
      </w:pPr>
      <w:r>
        <w:rPr>
          <w:rFonts w:hint="eastAsia" w:ascii="宋体" w:hAnsi="宋体" w:cs="宋体"/>
          <w:b/>
          <w:bCs/>
          <w:color w:val="000000" w:themeColor="text1"/>
          <w:szCs w:val="21"/>
        </w:rPr>
        <w:t>说明：请把报价附件扫描为一个PDF上传。</w:t>
      </w:r>
    </w:p>
    <w:p>
      <w:pPr>
        <w:pStyle w:val="2"/>
      </w:pPr>
    </w:p>
    <w:p>
      <w:pPr>
        <w:jc w:val="left"/>
        <w:rPr>
          <w:rFonts w:ascii="宋体" w:hAnsi="宋体"/>
          <w:color w:val="000000" w:themeColor="text1"/>
          <w:szCs w:val="21"/>
        </w:rPr>
      </w:pPr>
      <w:r>
        <w:rPr>
          <w:rFonts w:hint="eastAsia" w:ascii="宋体" w:hAnsi="宋体"/>
          <w:color w:val="000000" w:themeColor="text1"/>
          <w:szCs w:val="21"/>
        </w:rPr>
        <w:t>项目名称:</w:t>
      </w:r>
      <w:r>
        <w:rPr>
          <w:rFonts w:hint="eastAsia" w:ascii="宋体" w:hAnsi="宋体"/>
          <w:color w:val="000000" w:themeColor="text1"/>
        </w:rPr>
        <w:t xml:space="preserve">南海分公司DVB网关电源采购项目 </w:t>
      </w:r>
      <w:r>
        <w:rPr>
          <w:rFonts w:hint="eastAsia" w:ascii="宋体" w:hAnsi="宋体"/>
          <w:color w:val="000000" w:themeColor="text1"/>
          <w:szCs w:val="21"/>
        </w:rPr>
        <w:t xml:space="preserve">      </w:t>
      </w:r>
    </w:p>
    <w:p>
      <w:pPr>
        <w:spacing w:line="360" w:lineRule="auto"/>
        <w:rPr>
          <w:rFonts w:ascii="宋体" w:hAnsi="宋体"/>
          <w:color w:val="000000" w:themeColor="text1"/>
          <w:szCs w:val="21"/>
          <w:u w:val="single"/>
          <w:lang w:val="zh-CN"/>
        </w:rPr>
      </w:pPr>
      <w:r>
        <w:rPr>
          <w:rFonts w:hint="eastAsia" w:ascii="宋体" w:hAnsi="宋体"/>
          <w:color w:val="000000" w:themeColor="text1"/>
          <w:szCs w:val="21"/>
        </w:rPr>
        <w:t>采购项目编号：</w:t>
      </w:r>
      <w:r>
        <w:rPr>
          <w:rFonts w:hint="eastAsia" w:ascii="宋体" w:hAnsi="宋体"/>
          <w:color w:val="000000" w:themeColor="text1"/>
          <w:szCs w:val="21"/>
          <w:u w:val="single"/>
        </w:rPr>
        <w:t xml:space="preserve"> </w:t>
      </w:r>
      <w:r>
        <w:rPr>
          <w:rFonts w:hint="eastAsia" w:ascii="宋体" w:hAnsi="宋体"/>
          <w:b w:val="0"/>
          <w:bCs w:val="0"/>
          <w:color w:val="000000" w:themeColor="text1"/>
          <w:sz w:val="21"/>
          <w:szCs w:val="21"/>
          <w:u w:val="single"/>
        </w:rPr>
        <w:t xml:space="preserve"> </w:t>
      </w:r>
      <w:r>
        <w:rPr>
          <w:rFonts w:ascii="宋体" w:hAnsi="宋体" w:cs="Calibri"/>
          <w:b w:val="0"/>
          <w:bCs w:val="0"/>
          <w:color w:val="000000" w:themeColor="text1"/>
          <w:sz w:val="21"/>
          <w:szCs w:val="21"/>
          <w:u w:val="single"/>
        </w:rPr>
        <w:t>FS202404P0008</w:t>
      </w:r>
      <w:r>
        <w:rPr>
          <w:rFonts w:hint="eastAsia" w:ascii="宋体" w:hAnsi="宋体"/>
          <w:b w:val="0"/>
          <w:bCs w:val="0"/>
          <w:color w:val="000000" w:themeColor="text1"/>
          <w:sz w:val="21"/>
          <w:szCs w:val="21"/>
          <w:u w:val="single"/>
        </w:rPr>
        <w:t xml:space="preserve">      </w:t>
      </w:r>
      <w:r>
        <w:rPr>
          <w:rFonts w:hint="eastAsia" w:ascii="宋体" w:hAnsi="宋体"/>
          <w:color w:val="000000" w:themeColor="text1"/>
          <w:szCs w:val="21"/>
        </w:rPr>
        <w:t xml:space="preserve">                  </w:t>
      </w:r>
      <w:r>
        <w:rPr>
          <w:rFonts w:hint="eastAsia" w:ascii="宋体" w:hAnsi="宋体"/>
          <w:color w:val="000000" w:themeColor="text1"/>
          <w:szCs w:val="21"/>
          <w:lang w:val="zh-CN"/>
        </w:rPr>
        <w:t xml:space="preserve"> </w:t>
      </w:r>
      <w:r>
        <w:rPr>
          <w:rFonts w:hint="eastAsia" w:ascii="宋体" w:hAnsi="宋体"/>
          <w:color w:val="000000" w:themeColor="text1"/>
          <w:szCs w:val="21"/>
          <w:u w:val="single"/>
          <w:lang w:val="zh-CN"/>
        </w:rPr>
        <w:t>货币单位：元（人民币）</w:t>
      </w:r>
    </w:p>
    <w:tbl>
      <w:tblPr>
        <w:tblStyle w:val="36"/>
        <w:tblpPr w:leftFromText="180" w:rightFromText="180" w:vertAnchor="text" w:horzAnchor="page" w:tblpX="567" w:tblpY="133"/>
        <w:tblOverlap w:val="never"/>
        <w:tblW w:w="98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707"/>
        <w:gridCol w:w="1838"/>
        <w:gridCol w:w="1440"/>
        <w:gridCol w:w="1080"/>
        <w:gridCol w:w="2192"/>
        <w:gridCol w:w="1310"/>
        <w:gridCol w:w="1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2" w:hRule="atLeast"/>
        </w:trPr>
        <w:tc>
          <w:tcPr>
            <w:tcW w:w="707" w:type="dxa"/>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序号</w:t>
            </w:r>
          </w:p>
        </w:tc>
        <w:tc>
          <w:tcPr>
            <w:tcW w:w="1838" w:type="dxa"/>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名称</w:t>
            </w:r>
          </w:p>
        </w:tc>
        <w:tc>
          <w:tcPr>
            <w:tcW w:w="1440" w:type="dxa"/>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数量</w:t>
            </w:r>
          </w:p>
        </w:tc>
        <w:tc>
          <w:tcPr>
            <w:tcW w:w="1080" w:type="dxa"/>
            <w:shd w:val="clear" w:color="auto" w:fill="FFFFFF"/>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单位</w:t>
            </w:r>
          </w:p>
        </w:tc>
        <w:tc>
          <w:tcPr>
            <w:tcW w:w="2192" w:type="dxa"/>
            <w:shd w:val="clear" w:color="auto" w:fill="FFFFFF"/>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含税单价（元/个）</w:t>
            </w:r>
          </w:p>
        </w:tc>
        <w:tc>
          <w:tcPr>
            <w:tcW w:w="1310" w:type="dxa"/>
            <w:shd w:val="clear" w:color="auto" w:fill="FFFFFF"/>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小计（元）</w:t>
            </w:r>
          </w:p>
        </w:tc>
        <w:tc>
          <w:tcPr>
            <w:tcW w:w="1313" w:type="dxa"/>
            <w:tcBorders>
              <w:top w:val="single" w:color="000000" w:sz="4" w:space="0"/>
              <w:left w:val="single" w:color="000000" w:sz="4" w:space="0"/>
              <w:bottom w:val="single" w:color="000000" w:sz="4" w:space="0"/>
            </w:tcBorders>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单价最高限价（元/个）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41" w:hRule="atLeast"/>
        </w:trPr>
        <w:tc>
          <w:tcPr>
            <w:tcW w:w="707" w:type="dxa"/>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w:t>
            </w:r>
          </w:p>
        </w:tc>
        <w:tc>
          <w:tcPr>
            <w:tcW w:w="1838" w:type="dxa"/>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DVB网关电源</w:t>
            </w:r>
          </w:p>
        </w:tc>
        <w:tc>
          <w:tcPr>
            <w:tcW w:w="1440" w:type="dxa"/>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5000</w:t>
            </w:r>
          </w:p>
        </w:tc>
        <w:tc>
          <w:tcPr>
            <w:tcW w:w="1080" w:type="dxa"/>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0"/>
                <w:szCs w:val="20"/>
              </w:rPr>
              <w:t>个</w:t>
            </w:r>
          </w:p>
        </w:tc>
        <w:tc>
          <w:tcPr>
            <w:tcW w:w="2192" w:type="dxa"/>
            <w:vAlign w:val="center"/>
          </w:tcPr>
          <w:p>
            <w:pPr>
              <w:widowControl/>
              <w:jc w:val="center"/>
              <w:textAlignment w:val="center"/>
              <w:rPr>
                <w:rFonts w:ascii="宋体" w:hAnsi="宋体" w:cs="宋体"/>
                <w:color w:val="000000"/>
                <w:kern w:val="0"/>
                <w:szCs w:val="21"/>
              </w:rPr>
            </w:pPr>
          </w:p>
        </w:tc>
        <w:tc>
          <w:tcPr>
            <w:tcW w:w="1310" w:type="dxa"/>
            <w:vAlign w:val="center"/>
          </w:tcPr>
          <w:p>
            <w:pPr>
              <w:widowControl/>
              <w:jc w:val="center"/>
              <w:textAlignment w:val="center"/>
              <w:rPr>
                <w:rFonts w:ascii="宋体" w:hAnsi="宋体" w:cs="宋体"/>
                <w:color w:val="000000"/>
                <w:kern w:val="0"/>
                <w:szCs w:val="21"/>
              </w:rPr>
            </w:pPr>
          </w:p>
        </w:tc>
        <w:tc>
          <w:tcPr>
            <w:tcW w:w="1313" w:type="dxa"/>
            <w:tcBorders>
              <w:top w:val="single" w:color="000000" w:sz="4" w:space="0"/>
              <w:left w:val="single" w:color="000000" w:sz="4" w:space="0"/>
              <w:bottom w:val="single" w:color="000000" w:sz="4" w:space="0"/>
            </w:tcBorders>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3" w:hRule="atLeast"/>
        </w:trPr>
        <w:tc>
          <w:tcPr>
            <w:tcW w:w="2545" w:type="dxa"/>
            <w:gridSpan w:val="2"/>
            <w:vMerge w:val="restart"/>
            <w:shd w:val="clear" w:color="auto" w:fill="FFFFFF"/>
            <w:vAlign w:val="center"/>
          </w:tcPr>
          <w:p>
            <w:pPr>
              <w:widowControl/>
              <w:jc w:val="center"/>
              <w:textAlignment w:val="center"/>
              <w:rPr>
                <w:rFonts w:ascii="宋体" w:hAnsi="宋体" w:cs="宋体"/>
                <w:color w:val="000000"/>
                <w:kern w:val="0"/>
                <w:szCs w:val="21"/>
              </w:rPr>
            </w:pPr>
            <w:r>
              <w:rPr>
                <w:rFonts w:hint="eastAsia" w:ascii="宋体" w:hAnsi="宋体" w:cs="宋体"/>
                <w:color w:val="000000"/>
                <w:sz w:val="18"/>
                <w:szCs w:val="18"/>
              </w:rPr>
              <w:t>合计（元）</w:t>
            </w:r>
          </w:p>
        </w:tc>
        <w:tc>
          <w:tcPr>
            <w:tcW w:w="7335" w:type="dxa"/>
            <w:gridSpan w:val="5"/>
            <w:vAlign w:val="center"/>
          </w:tcPr>
          <w:p>
            <w:pPr>
              <w:widowControl/>
              <w:textAlignment w:val="center"/>
              <w:rPr>
                <w:szCs w:val="21"/>
              </w:rPr>
            </w:pPr>
            <w:r>
              <w:rPr>
                <w:rFonts w:hint="eastAsia" w:ascii="宋体" w:hAnsi="宋体" w:cs="宋体"/>
                <w:color w:val="000000"/>
                <w:kern w:val="0"/>
                <w:sz w:val="22"/>
                <w:szCs w:val="22"/>
              </w:rPr>
              <w:t>小写：人民币</w:t>
            </w:r>
            <w:r>
              <w:rPr>
                <w:rFonts w:hint="eastAsia" w:ascii="宋体" w:hAnsi="宋体" w:cs="宋体"/>
                <w:color w:val="000000"/>
                <w:kern w:val="0"/>
                <w:sz w:val="22"/>
                <w:szCs w:val="22"/>
                <w:u w:val="single"/>
              </w:rPr>
              <w:t xml:space="preserve">                  </w:t>
            </w:r>
            <w:r>
              <w:rPr>
                <w:rFonts w:hint="eastAsia" w:ascii="宋体" w:hAnsi="宋体" w:cs="宋体"/>
                <w:color w:val="000000"/>
                <w:kern w:val="0"/>
                <w:sz w:val="22"/>
                <w:szCs w:val="22"/>
              </w:rPr>
              <w:t>元；</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大写：人民币</w:t>
            </w:r>
            <w:r>
              <w:rPr>
                <w:rFonts w:hint="eastAsia" w:ascii="宋体" w:hAnsi="宋体" w:cs="宋体"/>
                <w:color w:val="000000"/>
                <w:kern w:val="0"/>
                <w:sz w:val="22"/>
                <w:szCs w:val="22"/>
                <w:u w:val="single"/>
              </w:rPr>
              <w:t xml:space="preserve">                 </w:t>
            </w:r>
            <w:r>
              <w:rPr>
                <w:rFonts w:hint="eastAsia" w:ascii="宋体" w:hAnsi="宋体" w:cs="宋体"/>
                <w:color w:val="000000"/>
                <w:kern w:val="0"/>
                <w:sz w:val="22"/>
                <w:szCs w:val="22"/>
              </w:rPr>
              <w:t>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79" w:hRule="atLeast"/>
        </w:trPr>
        <w:tc>
          <w:tcPr>
            <w:tcW w:w="2545" w:type="dxa"/>
            <w:gridSpan w:val="2"/>
            <w:vMerge w:val="continue"/>
            <w:shd w:val="clear" w:color="auto" w:fill="FFFFFF"/>
            <w:vAlign w:val="center"/>
          </w:tcPr>
          <w:p>
            <w:pPr>
              <w:widowControl/>
              <w:textAlignment w:val="center"/>
              <w:rPr>
                <w:rFonts w:ascii="宋体" w:hAnsi="宋体" w:cs="宋体"/>
                <w:color w:val="000000"/>
                <w:kern w:val="0"/>
                <w:szCs w:val="21"/>
              </w:rPr>
            </w:pPr>
          </w:p>
        </w:tc>
        <w:tc>
          <w:tcPr>
            <w:tcW w:w="7335" w:type="dxa"/>
            <w:gridSpan w:val="5"/>
            <w:vAlign w:val="center"/>
          </w:tcPr>
          <w:p>
            <w:pPr>
              <w:widowControl/>
              <w:textAlignment w:val="center"/>
              <w:rPr>
                <w:rFonts w:ascii="宋体" w:hAnsi="宋体" w:cs="宋体"/>
                <w:color w:val="000000"/>
                <w:kern w:val="0"/>
                <w:sz w:val="22"/>
                <w:szCs w:val="22"/>
              </w:rPr>
            </w:pPr>
            <w:r>
              <w:rPr>
                <w:rFonts w:hint="eastAsia" w:ascii="宋体" w:hAnsi="宋体" w:cs="宋体"/>
                <w:color w:val="000000"/>
                <w:kern w:val="0"/>
                <w:sz w:val="22"/>
                <w:szCs w:val="22"/>
              </w:rPr>
              <w:t>发票类型和税率：（在相应项目打“√”）</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□发票类型：增值税专用发票，税率：13%</w:t>
            </w:r>
          </w:p>
          <w:p>
            <w:pPr>
              <w:pStyle w:val="2"/>
              <w:ind w:firstLine="0"/>
            </w:pPr>
            <w:r>
              <w:rPr>
                <w:rFonts w:hint="eastAsia" w:ascii="宋体" w:hAnsi="宋体" w:cs="宋体"/>
                <w:color w:val="000000"/>
                <w:kern w:val="0"/>
                <w:sz w:val="22"/>
                <w:szCs w:val="22"/>
              </w:rPr>
              <w:t>□发票类型：增值税专用发票，税率：3%</w:t>
            </w:r>
          </w:p>
        </w:tc>
      </w:tr>
    </w:tbl>
    <w:p>
      <w:pPr>
        <w:spacing w:line="192" w:lineRule="auto"/>
        <w:jc w:val="left"/>
        <w:rPr>
          <w:rFonts w:ascii="宋体" w:hAnsi="宋体" w:cs="宋体"/>
          <w:kern w:val="0"/>
          <w:sz w:val="18"/>
          <w:szCs w:val="18"/>
        </w:rPr>
      </w:pPr>
      <w:r>
        <w:rPr>
          <w:rFonts w:hint="eastAsia" w:ascii="宋体" w:hAnsi="宋体" w:cs="宋体"/>
          <w:kern w:val="0"/>
          <w:sz w:val="18"/>
          <w:szCs w:val="18"/>
        </w:rPr>
        <w:t>备注：</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kern w:val="0"/>
          <w:sz w:val="18"/>
          <w:szCs w:val="18"/>
        </w:rPr>
      </w:pPr>
      <w:r>
        <w:rPr>
          <w:rFonts w:hint="eastAsia" w:ascii="宋体" w:hAnsi="宋体" w:cs="宋体"/>
          <w:kern w:val="0"/>
          <w:sz w:val="18"/>
          <w:szCs w:val="18"/>
        </w:rPr>
        <w:t>1、当国家税收政策调整导致增值税税率发生变化时，保持不含税单价不变，根据政策规定的适用税率调整情况，调整增值税税率、税额、含税价格以及合同结算金额。</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kern w:val="0"/>
          <w:sz w:val="18"/>
          <w:szCs w:val="18"/>
        </w:rPr>
      </w:pPr>
      <w:r>
        <w:rPr>
          <w:rFonts w:hint="eastAsia" w:ascii="宋体" w:hAnsi="宋体" w:cs="宋体"/>
          <w:kern w:val="0"/>
          <w:sz w:val="18"/>
          <w:szCs w:val="18"/>
        </w:rPr>
        <w:t>2、本报价精确到分位，含税单价报价不得超过项目最高单价限价22元。</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kern w:val="0"/>
          <w:sz w:val="18"/>
          <w:szCs w:val="18"/>
        </w:rPr>
      </w:pPr>
      <w:r>
        <w:rPr>
          <w:rFonts w:hint="eastAsia" w:ascii="宋体" w:hAnsi="宋体" w:cs="宋体"/>
          <w:kern w:val="0"/>
          <w:sz w:val="18"/>
          <w:szCs w:val="18"/>
        </w:rPr>
        <w:t>3、本报价为一价全包价，包括设备及零配件的生产、购置、送货上门、运输装卸、安装调试、配件及质保期售后服务、全额含税发票及合同实施过程中可能产生的一切费用。</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kern w:val="0"/>
          <w:sz w:val="18"/>
          <w:szCs w:val="18"/>
        </w:rPr>
      </w:pPr>
      <w:r>
        <w:rPr>
          <w:rFonts w:hint="eastAsia" w:ascii="宋体" w:hAnsi="宋体" w:cs="宋体"/>
          <w:kern w:val="0"/>
          <w:sz w:val="18"/>
          <w:szCs w:val="18"/>
        </w:rPr>
        <w:t>4、税率不同，应折算税率（不含税价=投标价/（1+税率））。</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olor w:val="000000" w:themeColor="text1"/>
          <w:szCs w:val="21"/>
          <w:u w:val="single"/>
        </w:rPr>
      </w:pPr>
      <w:r>
        <w:rPr>
          <w:rFonts w:hint="eastAsia" w:ascii="宋体" w:hAnsi="宋体"/>
          <w:color w:val="000000" w:themeColor="text1"/>
          <w:spacing w:val="4"/>
          <w:szCs w:val="21"/>
        </w:rPr>
        <w:t>报价人名称（盖公章）：</w:t>
      </w:r>
    </w:p>
    <w:p>
      <w:pPr>
        <w:rPr>
          <w:rFonts w:ascii="宋体" w:hAnsi="宋体" w:cs="宋体"/>
          <w:color w:val="000000" w:themeColor="text1"/>
          <w:kern w:val="0"/>
          <w:szCs w:val="21"/>
        </w:rPr>
      </w:pPr>
    </w:p>
    <w:p>
      <w:pPr>
        <w:rPr>
          <w:rFonts w:ascii="宋体" w:hAnsi="宋体"/>
          <w:color w:val="000000" w:themeColor="text1"/>
          <w:spacing w:val="4"/>
          <w:szCs w:val="21"/>
        </w:rPr>
      </w:pPr>
      <w:r>
        <w:rPr>
          <w:rFonts w:hint="eastAsia" w:ascii="宋体" w:hAnsi="宋体"/>
          <w:color w:val="000000" w:themeColor="text1"/>
          <w:szCs w:val="21"/>
        </w:rPr>
        <w:t>法定代表人或</w:t>
      </w:r>
      <w:r>
        <w:rPr>
          <w:rFonts w:hint="eastAsia" w:ascii="宋体" w:hAnsi="宋体"/>
          <w:color w:val="000000" w:themeColor="text1"/>
          <w:spacing w:val="4"/>
          <w:szCs w:val="21"/>
        </w:rPr>
        <w:t>报价人</w:t>
      </w:r>
      <w:r>
        <w:rPr>
          <w:rFonts w:hint="eastAsia" w:ascii="宋体" w:hAnsi="宋体"/>
          <w:color w:val="000000" w:themeColor="text1"/>
          <w:szCs w:val="21"/>
        </w:rPr>
        <w:t>授权代表（</w:t>
      </w:r>
      <w:r>
        <w:rPr>
          <w:rFonts w:hint="eastAsia" w:ascii="宋体" w:hAnsi="宋体" w:cs="宋体"/>
          <w:color w:val="000000" w:themeColor="text1"/>
          <w:szCs w:val="21"/>
          <w:lang w:eastAsia="zh-TW"/>
        </w:rPr>
        <w:t>签署本人姓名（或印盖本人姓名章）</w:t>
      </w:r>
      <w:r>
        <w:rPr>
          <w:rFonts w:hint="eastAsia" w:ascii="宋体" w:hAnsi="宋体"/>
          <w:color w:val="000000" w:themeColor="text1"/>
          <w:szCs w:val="21"/>
        </w:rPr>
        <w:t>）</w:t>
      </w:r>
      <w:r>
        <w:rPr>
          <w:rFonts w:hint="eastAsia" w:ascii="宋体" w:hAnsi="宋体"/>
          <w:color w:val="000000" w:themeColor="text1"/>
          <w:spacing w:val="4"/>
          <w:szCs w:val="21"/>
        </w:rPr>
        <w:t>：</w:t>
      </w:r>
    </w:p>
    <w:p>
      <w:pPr>
        <w:rPr>
          <w:rFonts w:ascii="宋体" w:hAnsi="宋体"/>
          <w:color w:val="000000" w:themeColor="text1"/>
          <w:spacing w:val="4"/>
          <w:szCs w:val="21"/>
        </w:rPr>
      </w:pPr>
    </w:p>
    <w:p>
      <w:pPr>
        <w:rPr>
          <w:rFonts w:ascii="宋体" w:hAnsi="宋体"/>
          <w:color w:val="000000" w:themeColor="text1"/>
          <w:szCs w:val="21"/>
        </w:rPr>
      </w:pPr>
      <w:r>
        <w:rPr>
          <w:rFonts w:hint="eastAsia" w:ascii="宋体" w:hAnsi="宋体"/>
          <w:color w:val="000000" w:themeColor="text1"/>
          <w:spacing w:val="4"/>
          <w:szCs w:val="21"/>
        </w:rPr>
        <w:t>日期：</w:t>
      </w:r>
    </w:p>
    <w:p>
      <w:pPr>
        <w:widowControl/>
        <w:jc w:val="left"/>
        <w:rPr>
          <w:rFonts w:ascii="宋体" w:hAnsi="宋体" w:cs="宋体"/>
          <w:b/>
          <w:bCs/>
          <w:szCs w:val="21"/>
        </w:rPr>
      </w:pPr>
      <w:r>
        <w:rPr>
          <w:rFonts w:ascii="宋体" w:hAnsi="宋体"/>
          <w:color w:val="000000" w:themeColor="text1"/>
        </w:rPr>
        <w:br w:type="page"/>
      </w:r>
    </w:p>
    <w:p>
      <w:pPr>
        <w:rPr>
          <w:rFonts w:ascii="宋体" w:hAnsi="宋体"/>
          <w:color w:val="000000" w:themeColor="text1"/>
        </w:rPr>
      </w:pPr>
    </w:p>
    <w:p>
      <w:pPr>
        <w:pStyle w:val="4"/>
        <w:spacing w:before="0" w:after="0"/>
        <w:jc w:val="center"/>
        <w:rPr>
          <w:rFonts w:ascii="宋体" w:hAnsi="宋体" w:eastAsia="宋体"/>
          <w:color w:val="000000" w:themeColor="text1"/>
        </w:rPr>
      </w:pPr>
      <w:r>
        <w:rPr>
          <w:rFonts w:hint="eastAsia" w:ascii="宋体" w:hAnsi="宋体" w:eastAsia="宋体"/>
          <w:color w:val="000000" w:themeColor="text1"/>
        </w:rPr>
        <w:t>供应商资格声明函</w:t>
      </w:r>
    </w:p>
    <w:p>
      <w:pPr>
        <w:rPr>
          <w:rFonts w:ascii="宋体" w:hAnsi="宋体"/>
          <w:b/>
          <w:color w:val="000000" w:themeColor="text1"/>
        </w:rPr>
      </w:pPr>
    </w:p>
    <w:p>
      <w:pPr>
        <w:autoSpaceDE w:val="0"/>
        <w:autoSpaceDN w:val="0"/>
        <w:adjustRightInd w:val="0"/>
        <w:snapToGrid w:val="0"/>
        <w:spacing w:line="360" w:lineRule="auto"/>
        <w:rPr>
          <w:rFonts w:ascii="宋体" w:hAnsi="宋体"/>
          <w:b/>
          <w:color w:val="000000" w:themeColor="text1"/>
          <w:szCs w:val="21"/>
        </w:rPr>
      </w:pPr>
      <w:r>
        <w:rPr>
          <w:rFonts w:hint="eastAsia" w:ascii="宋体" w:hAnsi="宋体"/>
          <w:b/>
          <w:color w:val="000000" w:themeColor="text1"/>
          <w:szCs w:val="21"/>
        </w:rPr>
        <w:t>致：</w:t>
      </w:r>
      <w:r>
        <w:rPr>
          <w:rFonts w:hint="eastAsia" w:ascii="宋体" w:hAnsi="宋体" w:cs="宋体"/>
          <w:b/>
          <w:bCs/>
          <w:color w:val="000000" w:themeColor="text1"/>
          <w:szCs w:val="21"/>
        </w:rPr>
        <w:t>广东省广播电视网络股份有限公司佛山南海分公司</w:t>
      </w:r>
      <w:r>
        <w:rPr>
          <w:rFonts w:hint="eastAsia" w:ascii="宋体" w:hAnsi="宋体"/>
          <w:b/>
          <w:color w:val="000000" w:themeColor="text1"/>
          <w:szCs w:val="21"/>
        </w:rPr>
        <w:t>、采联国际招标采购集团有限公司</w:t>
      </w:r>
    </w:p>
    <w:p>
      <w:pPr>
        <w:autoSpaceDE w:val="0"/>
        <w:autoSpaceDN w:val="0"/>
        <w:adjustRightInd w:val="0"/>
        <w:snapToGrid w:val="0"/>
        <w:spacing w:line="360" w:lineRule="auto"/>
        <w:rPr>
          <w:rFonts w:ascii="宋体" w:hAnsi="宋体"/>
          <w:b/>
          <w:color w:val="000000" w:themeColor="text1"/>
          <w:szCs w:val="21"/>
        </w:rPr>
      </w:pPr>
    </w:p>
    <w:p>
      <w:pPr>
        <w:snapToGrid w:val="0"/>
        <w:spacing w:line="360" w:lineRule="auto"/>
        <w:ind w:firstLine="424" w:firstLineChars="202"/>
        <w:rPr>
          <w:rFonts w:ascii="宋体" w:hAnsi="宋体"/>
          <w:color w:val="000000" w:themeColor="text1"/>
        </w:rPr>
      </w:pPr>
      <w:r>
        <w:rPr>
          <w:rFonts w:hint="eastAsia" w:ascii="宋体" w:hAnsi="宋体"/>
          <w:color w:val="000000" w:themeColor="text1"/>
          <w:szCs w:val="21"/>
        </w:rPr>
        <w:t>关于贵单位、贵司发布</w:t>
      </w:r>
      <w:r>
        <w:rPr>
          <w:rFonts w:hint="eastAsia" w:ascii="宋体" w:hAnsi="宋体"/>
          <w:b/>
          <w:bCs/>
          <w:color w:val="000000" w:themeColor="text1"/>
          <w:u w:val="single"/>
        </w:rPr>
        <w:t>南海分公司DVB网关电源采购项目</w:t>
      </w:r>
      <w:r>
        <w:rPr>
          <w:rFonts w:hint="eastAsia" w:ascii="宋体" w:hAnsi="宋体"/>
          <w:color w:val="000000" w:themeColor="text1"/>
          <w:szCs w:val="21"/>
        </w:rPr>
        <w:t>的竞价公告</w:t>
      </w:r>
      <w:r>
        <w:rPr>
          <w:rFonts w:hint="eastAsia" w:ascii="宋体" w:hAnsi="宋体"/>
          <w:color w:val="000000" w:themeColor="text1"/>
        </w:rPr>
        <w:t>，并声明：</w:t>
      </w:r>
    </w:p>
    <w:p>
      <w:pPr>
        <w:snapToGrid w:val="0"/>
        <w:spacing w:line="360" w:lineRule="auto"/>
        <w:ind w:firstLine="420" w:firstLineChars="200"/>
        <w:rPr>
          <w:rFonts w:ascii="宋体" w:hAnsi="宋体"/>
          <w:bCs/>
          <w:color w:val="000000" w:themeColor="text1"/>
          <w:szCs w:val="20"/>
        </w:rPr>
      </w:pPr>
      <w:r>
        <w:rPr>
          <w:rFonts w:hint="eastAsia" w:ascii="宋体" w:hAnsi="宋体"/>
          <w:color w:val="000000" w:themeColor="text1"/>
        </w:rPr>
        <w:t>一、本公司（企业）</w:t>
      </w:r>
      <w:r>
        <w:rPr>
          <w:rFonts w:hint="eastAsia" w:ascii="宋体" w:hAnsi="宋体"/>
          <w:bCs/>
          <w:color w:val="000000" w:themeColor="text1"/>
          <w:szCs w:val="20"/>
        </w:rPr>
        <w:t>具备《中华人民共和国政府采购法》第二十二条规定的条件：</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（一）具有独立承担民事责任的能力；</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（二）具有良好的商业信誉和健全的财务会计制度；</w:t>
      </w:r>
      <w:r>
        <w:rPr>
          <w:rFonts w:ascii="宋体" w:hAnsi="宋体" w:cs="宋体"/>
          <w:color w:val="000000" w:themeColor="text1"/>
          <w:kern w:val="0"/>
          <w:szCs w:val="21"/>
        </w:rPr>
        <w:t xml:space="preserve"> </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（三）具有履行合同所必需的设备和专业技术能力；</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（四）有依法缴纳税收和社会保障资金的良好记录；</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（五）参加政府采购活动前三年内，在经营活动中没有重大违法记录；</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（六）法律、行政法规规定的其他条件。</w:t>
      </w:r>
    </w:p>
    <w:p>
      <w:pPr>
        <w:snapToGrid w:val="0"/>
        <w:spacing w:line="360" w:lineRule="auto"/>
        <w:ind w:firstLine="424" w:firstLineChars="202"/>
        <w:rPr>
          <w:rFonts w:ascii="宋体" w:hAnsi="宋体"/>
          <w:color w:val="000000" w:themeColor="text1"/>
        </w:rPr>
      </w:pPr>
      <w:r>
        <w:rPr>
          <w:rFonts w:hint="eastAsia" w:ascii="宋体" w:hAnsi="宋体"/>
          <w:color w:val="000000" w:themeColor="text1"/>
        </w:rPr>
        <w:t>二、本公司具有本次采购项目服务能力。</w:t>
      </w:r>
    </w:p>
    <w:p>
      <w:pPr>
        <w:snapToGrid w:val="0"/>
        <w:spacing w:line="360" w:lineRule="auto"/>
        <w:ind w:firstLine="424" w:firstLineChars="202"/>
        <w:rPr>
          <w:rFonts w:ascii="宋体" w:hAnsi="宋体"/>
          <w:color w:val="000000" w:themeColor="text1"/>
        </w:rPr>
      </w:pPr>
      <w:r>
        <w:rPr>
          <w:rFonts w:hint="eastAsia" w:ascii="宋体" w:hAnsi="宋体"/>
          <w:color w:val="000000" w:themeColor="text1"/>
        </w:rPr>
        <w:t>三、本公司有固定的经营场所，信誉良好、售后维护服务好，并且在经营活动中无严重违法记录。</w:t>
      </w:r>
    </w:p>
    <w:p>
      <w:pPr>
        <w:snapToGrid w:val="0"/>
        <w:spacing w:line="360" w:lineRule="auto"/>
        <w:ind w:firstLine="424" w:firstLineChars="202"/>
        <w:rPr>
          <w:rFonts w:ascii="宋体" w:hAnsi="宋体"/>
          <w:color w:val="000000" w:themeColor="text1"/>
        </w:rPr>
      </w:pPr>
      <w:r>
        <w:rPr>
          <w:rFonts w:hint="eastAsia" w:ascii="宋体" w:hAnsi="宋体"/>
          <w:color w:val="000000" w:themeColor="text1"/>
        </w:rPr>
        <w:t xml:space="preserve">四、本公司不存在下列情形之一：被责令停业的；被暂停或取消竞价资格的；财产被接管或冻结的；在最近三年内有骗取中标或严重违约的；在竞价过程中因重大违规被采购人处罚的；在“信用中国”（www.creditchina.gov.cn）、中国政府采购网www.ccgp.gov.cn）被列入失信被执行人、重大税收违法失信主体、政府采购严重违法失信行为记录名单。本公司不分包或转包，不联合体参加本次采购项目。 </w:t>
      </w:r>
    </w:p>
    <w:p>
      <w:pPr>
        <w:snapToGrid w:val="0"/>
        <w:spacing w:line="360" w:lineRule="auto"/>
        <w:ind w:firstLine="424" w:firstLineChars="202"/>
        <w:rPr>
          <w:rFonts w:ascii="宋体" w:hAnsi="宋体"/>
          <w:color w:val="000000" w:themeColor="text1"/>
        </w:rPr>
      </w:pPr>
      <w:r>
        <w:rPr>
          <w:rFonts w:hint="eastAsia" w:ascii="宋体" w:hAnsi="宋体"/>
          <w:color w:val="000000" w:themeColor="text1"/>
        </w:rPr>
        <w:t>本公司（企业）承诺在本次采购活动中，如有违法、违规</w:t>
      </w:r>
      <w:r>
        <w:rPr>
          <w:rFonts w:hint="eastAsia" w:ascii="宋体" w:hAnsi="宋体"/>
          <w:color w:val="000000" w:themeColor="text1"/>
          <w:szCs w:val="21"/>
        </w:rPr>
        <w:t>、</w:t>
      </w:r>
      <w:r>
        <w:rPr>
          <w:rFonts w:hint="eastAsia" w:ascii="宋体" w:hAnsi="宋体"/>
          <w:color w:val="000000" w:themeColor="text1"/>
        </w:rPr>
        <w:t>弄虚作假行为，所造成的损失、不良后果及法律责任，一律由我公司（企业）承担。</w:t>
      </w:r>
    </w:p>
    <w:p>
      <w:pPr>
        <w:spacing w:line="360" w:lineRule="auto"/>
        <w:ind w:firstLine="420"/>
        <w:rPr>
          <w:rFonts w:ascii="宋体" w:hAnsi="宋体"/>
          <w:color w:val="000000" w:themeColor="text1"/>
        </w:rPr>
      </w:pPr>
      <w:r>
        <w:rPr>
          <w:rFonts w:hint="eastAsia" w:ascii="宋体" w:hAnsi="宋体"/>
          <w:color w:val="000000" w:themeColor="text1"/>
        </w:rPr>
        <w:t>特此声明！</w:t>
      </w:r>
    </w:p>
    <w:p>
      <w:pPr>
        <w:autoSpaceDE w:val="0"/>
        <w:autoSpaceDN w:val="0"/>
        <w:adjustRightInd w:val="0"/>
        <w:spacing w:line="360" w:lineRule="auto"/>
        <w:ind w:firstLine="413" w:firstLineChars="196"/>
        <w:rPr>
          <w:rFonts w:ascii="宋体" w:hAnsi="宋体"/>
          <w:b/>
          <w:color w:val="000000" w:themeColor="text1"/>
        </w:rPr>
      </w:pPr>
      <w:r>
        <w:rPr>
          <w:rFonts w:hint="eastAsia" w:ascii="宋体" w:hAnsi="宋体"/>
          <w:b/>
          <w:color w:val="000000" w:themeColor="text1"/>
        </w:rPr>
        <w:t>备注：</w:t>
      </w:r>
    </w:p>
    <w:p>
      <w:pPr>
        <w:pStyle w:val="48"/>
        <w:numPr>
          <w:ilvl w:val="0"/>
          <w:numId w:val="17"/>
        </w:numPr>
        <w:autoSpaceDE w:val="0"/>
        <w:autoSpaceDN w:val="0"/>
        <w:adjustRightInd w:val="0"/>
        <w:spacing w:line="360" w:lineRule="auto"/>
        <w:ind w:firstLineChars="0"/>
        <w:rPr>
          <w:rFonts w:ascii="宋体" w:hAnsi="宋体"/>
          <w:color w:val="000000" w:themeColor="text1"/>
        </w:rPr>
      </w:pPr>
      <w:r>
        <w:rPr>
          <w:rFonts w:hint="eastAsia" w:ascii="宋体" w:hAnsi="宋体"/>
          <w:color w:val="000000" w:themeColor="text1"/>
        </w:rPr>
        <w:t>本声明函必须提供且内容不得擅自删改，否则视为响应无效。</w:t>
      </w:r>
    </w:p>
    <w:p>
      <w:pPr>
        <w:pStyle w:val="48"/>
        <w:numPr>
          <w:ilvl w:val="0"/>
          <w:numId w:val="17"/>
        </w:numPr>
        <w:snapToGrid w:val="0"/>
        <w:spacing w:line="360" w:lineRule="auto"/>
        <w:ind w:firstLineChars="0"/>
        <w:rPr>
          <w:rFonts w:ascii="宋体" w:hAnsi="宋体"/>
          <w:color w:val="000000" w:themeColor="text1"/>
          <w:szCs w:val="21"/>
        </w:rPr>
      </w:pPr>
      <w:r>
        <w:rPr>
          <w:rFonts w:hint="eastAsia" w:ascii="宋体" w:hAnsi="宋体"/>
          <w:color w:val="000000" w:themeColor="text1"/>
          <w:szCs w:val="21"/>
        </w:rPr>
        <w:t>本声明函如有虚假或与事实不符的，作无效报价处理。</w:t>
      </w:r>
    </w:p>
    <w:p>
      <w:pPr>
        <w:widowControl/>
        <w:spacing w:line="360" w:lineRule="auto"/>
        <w:ind w:left="840"/>
        <w:jc w:val="left"/>
        <w:rPr>
          <w:rFonts w:ascii="宋体" w:hAnsi="宋体"/>
          <w:b/>
          <w:bCs/>
          <w:color w:val="000000" w:themeColor="text1"/>
          <w:kern w:val="0"/>
          <w:sz w:val="32"/>
          <w:szCs w:val="32"/>
        </w:rPr>
      </w:pPr>
    </w:p>
    <w:p>
      <w:pPr>
        <w:pStyle w:val="48"/>
        <w:wordWrap w:val="0"/>
        <w:spacing w:line="360" w:lineRule="auto"/>
        <w:ind w:left="1200" w:right="218" w:firstLine="0" w:firstLineChars="0"/>
        <w:jc w:val="right"/>
        <w:rPr>
          <w:rFonts w:ascii="宋体" w:hAnsi="宋体"/>
          <w:color w:val="000000" w:themeColor="text1"/>
          <w:szCs w:val="21"/>
          <w:u w:val="single"/>
        </w:rPr>
      </w:pPr>
      <w:r>
        <w:rPr>
          <w:rFonts w:hint="eastAsia" w:ascii="宋体" w:hAnsi="宋体"/>
          <w:color w:val="000000" w:themeColor="text1"/>
          <w:spacing w:val="4"/>
          <w:szCs w:val="21"/>
        </w:rPr>
        <w:t>供应商名称（</w:t>
      </w:r>
      <w:r>
        <w:rPr>
          <w:rFonts w:hint="eastAsia" w:ascii="宋体" w:hAnsi="宋体"/>
          <w:color w:val="000000" w:themeColor="text1"/>
          <w:szCs w:val="21"/>
        </w:rPr>
        <w:t>单位盖</w:t>
      </w:r>
      <w:r>
        <w:rPr>
          <w:rFonts w:hint="eastAsia" w:ascii="宋体" w:hAnsi="宋体"/>
          <w:color w:val="000000" w:themeColor="text1"/>
          <w:spacing w:val="4"/>
          <w:szCs w:val="21"/>
        </w:rPr>
        <w:t>公章）：</w:t>
      </w:r>
      <w:r>
        <w:rPr>
          <w:rFonts w:hint="eastAsia" w:ascii="宋体" w:hAnsi="宋体"/>
          <w:color w:val="000000" w:themeColor="text1"/>
          <w:spacing w:val="4"/>
          <w:szCs w:val="21"/>
          <w:u w:val="single"/>
        </w:rPr>
        <w:t xml:space="preserve">          </w:t>
      </w:r>
    </w:p>
    <w:p>
      <w:pPr>
        <w:pStyle w:val="48"/>
        <w:spacing w:line="360" w:lineRule="auto"/>
        <w:ind w:left="1200" w:right="210" w:firstLine="0" w:firstLineChars="0"/>
        <w:jc w:val="right"/>
        <w:rPr>
          <w:rFonts w:ascii="宋体" w:hAnsi="宋体"/>
          <w:color w:val="000000" w:themeColor="text1"/>
          <w:szCs w:val="21"/>
          <w:u w:val="single"/>
        </w:rPr>
      </w:pPr>
    </w:p>
    <w:p>
      <w:pPr>
        <w:wordWrap w:val="0"/>
        <w:spacing w:line="360" w:lineRule="auto"/>
        <w:ind w:left="840"/>
        <w:jc w:val="right"/>
        <w:rPr>
          <w:rFonts w:ascii="宋体" w:hAnsi="宋体"/>
          <w:color w:val="000000" w:themeColor="text1"/>
          <w:szCs w:val="21"/>
          <w:u w:val="single"/>
        </w:rPr>
      </w:pPr>
      <w:r>
        <w:rPr>
          <w:rFonts w:hint="eastAsia" w:ascii="宋体" w:hAnsi="宋体"/>
          <w:color w:val="000000" w:themeColor="text1"/>
          <w:spacing w:val="4"/>
          <w:szCs w:val="21"/>
        </w:rPr>
        <w:t>日期：</w:t>
      </w:r>
      <w:r>
        <w:rPr>
          <w:rFonts w:hint="eastAsia" w:ascii="宋体" w:hAnsi="宋体"/>
          <w:color w:val="000000" w:themeColor="text1"/>
          <w:spacing w:val="4"/>
          <w:szCs w:val="21"/>
          <w:u w:val="single"/>
        </w:rPr>
        <w:t xml:space="preserve">          </w:t>
      </w:r>
    </w:p>
    <w:p>
      <w:pPr>
        <w:autoSpaceDE w:val="0"/>
        <w:autoSpaceDN w:val="0"/>
        <w:adjustRightInd w:val="0"/>
        <w:spacing w:before="240" w:after="60" w:line="312" w:lineRule="auto"/>
        <w:jc w:val="center"/>
        <w:outlineLvl w:val="1"/>
        <w:rPr>
          <w:rFonts w:ascii="宋体" w:hAnsi="宋体"/>
          <w:b/>
          <w:bCs/>
          <w:color w:val="000000" w:themeColor="text1"/>
          <w:kern w:val="28"/>
          <w:sz w:val="32"/>
          <w:szCs w:val="32"/>
        </w:rPr>
      </w:pPr>
      <w:r>
        <w:rPr>
          <w:rFonts w:hint="eastAsia" w:ascii="宋体" w:hAnsi="宋体"/>
          <w:b/>
          <w:bCs/>
          <w:color w:val="000000" w:themeColor="text1"/>
          <w:kern w:val="28"/>
          <w:sz w:val="32"/>
          <w:szCs w:val="32"/>
        </w:rPr>
        <w:t>用户需求书响应声明函</w:t>
      </w:r>
    </w:p>
    <w:p>
      <w:pPr>
        <w:autoSpaceDE w:val="0"/>
        <w:autoSpaceDN w:val="0"/>
        <w:adjustRightInd w:val="0"/>
        <w:snapToGrid w:val="0"/>
        <w:spacing w:line="360" w:lineRule="auto"/>
        <w:rPr>
          <w:rFonts w:ascii="宋体" w:hAnsi="宋体"/>
          <w:b/>
          <w:color w:val="000000" w:themeColor="text1"/>
          <w:szCs w:val="21"/>
        </w:rPr>
      </w:pPr>
      <w:bookmarkStart w:id="3" w:name="_Hlk74835188"/>
      <w:bookmarkStart w:id="4" w:name="_Hlk70414952"/>
      <w:r>
        <w:rPr>
          <w:rFonts w:hint="eastAsia" w:ascii="宋体" w:hAnsi="宋体"/>
          <w:b/>
          <w:color w:val="000000" w:themeColor="text1"/>
          <w:szCs w:val="21"/>
        </w:rPr>
        <w:t>致：</w:t>
      </w:r>
      <w:r>
        <w:rPr>
          <w:rFonts w:hint="eastAsia" w:ascii="宋体" w:hAnsi="宋体" w:cs="宋体"/>
          <w:b/>
          <w:bCs/>
          <w:color w:val="000000" w:themeColor="text1"/>
          <w:szCs w:val="21"/>
        </w:rPr>
        <w:t>广东省广播电视网络股份有限公司佛山南海分公司</w:t>
      </w:r>
      <w:r>
        <w:rPr>
          <w:rFonts w:hint="eastAsia" w:ascii="宋体" w:hAnsi="宋体"/>
          <w:b/>
          <w:color w:val="000000" w:themeColor="text1"/>
          <w:szCs w:val="21"/>
        </w:rPr>
        <w:t>、采联国际招标采购集团有限公司</w:t>
      </w:r>
    </w:p>
    <w:p>
      <w:pPr>
        <w:autoSpaceDE w:val="0"/>
        <w:autoSpaceDN w:val="0"/>
        <w:adjustRightInd w:val="0"/>
        <w:snapToGrid w:val="0"/>
        <w:spacing w:line="360" w:lineRule="auto"/>
        <w:rPr>
          <w:rFonts w:ascii="宋体" w:hAnsi="宋体"/>
          <w:b/>
          <w:color w:val="000000" w:themeColor="text1"/>
          <w:szCs w:val="21"/>
        </w:rPr>
      </w:pPr>
    </w:p>
    <w:p>
      <w:pPr>
        <w:autoSpaceDE w:val="0"/>
        <w:autoSpaceDN w:val="0"/>
        <w:adjustRightInd w:val="0"/>
        <w:snapToGrid w:val="0"/>
        <w:spacing w:line="360" w:lineRule="auto"/>
        <w:ind w:firstLine="424" w:firstLineChars="202"/>
        <w:rPr>
          <w:rFonts w:ascii="宋体" w:hAnsi="宋体"/>
          <w:color w:val="000000" w:themeColor="text1"/>
          <w:szCs w:val="21"/>
        </w:rPr>
      </w:pPr>
      <w:r>
        <w:rPr>
          <w:rFonts w:hint="eastAsia" w:ascii="宋体" w:hAnsi="宋体"/>
          <w:color w:val="000000" w:themeColor="text1"/>
          <w:szCs w:val="21"/>
        </w:rPr>
        <w:t>关于贵单位、贵司发布</w:t>
      </w:r>
      <w:r>
        <w:rPr>
          <w:rFonts w:hint="eastAsia" w:ascii="宋体" w:hAnsi="宋体"/>
          <w:b/>
          <w:bCs/>
          <w:color w:val="000000" w:themeColor="text1"/>
          <w:u w:val="single"/>
        </w:rPr>
        <w:t>南海分公司DVB网关电源采购项目</w:t>
      </w:r>
      <w:r>
        <w:rPr>
          <w:rFonts w:hint="eastAsia" w:ascii="宋体" w:hAnsi="宋体"/>
          <w:color w:val="000000" w:themeColor="text1"/>
          <w:szCs w:val="21"/>
        </w:rPr>
        <w:t>的竞价公告</w:t>
      </w:r>
      <w:bookmarkEnd w:id="3"/>
      <w:r>
        <w:rPr>
          <w:rFonts w:hint="eastAsia" w:ascii="宋体" w:hAnsi="宋体"/>
          <w:color w:val="000000" w:themeColor="text1"/>
          <w:szCs w:val="21"/>
        </w:rPr>
        <w:t>，本公司（企业）愿意参加采购活动，并作出如下声明：</w:t>
      </w:r>
    </w:p>
    <w:bookmarkEnd w:id="4"/>
    <w:p>
      <w:pPr>
        <w:autoSpaceDE w:val="0"/>
        <w:autoSpaceDN w:val="0"/>
        <w:adjustRightInd w:val="0"/>
        <w:snapToGrid w:val="0"/>
        <w:spacing w:line="360" w:lineRule="auto"/>
        <w:ind w:firstLine="424" w:firstLineChars="202"/>
        <w:rPr>
          <w:rFonts w:ascii="宋体" w:hAnsi="宋体"/>
          <w:color w:val="000000" w:themeColor="text1"/>
          <w:szCs w:val="21"/>
        </w:rPr>
      </w:pPr>
      <w:r>
        <w:rPr>
          <w:rFonts w:hint="eastAsia" w:ascii="宋体" w:hAnsi="宋体"/>
          <w:color w:val="000000" w:themeColor="text1"/>
          <w:szCs w:val="21"/>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color w:val="000000" w:themeColor="text1"/>
          <w:szCs w:val="21"/>
        </w:rPr>
      </w:pPr>
      <w:r>
        <w:rPr>
          <w:rFonts w:hint="eastAsia" w:ascii="宋体" w:hAnsi="宋体" w:cs="宋体"/>
          <w:color w:val="000000" w:themeColor="text1"/>
          <w:szCs w:val="21"/>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color w:val="000000" w:themeColor="text1"/>
          <w:szCs w:val="21"/>
        </w:rPr>
      </w:pPr>
    </w:p>
    <w:p>
      <w:pPr>
        <w:autoSpaceDE w:val="0"/>
        <w:autoSpaceDN w:val="0"/>
        <w:adjustRightInd w:val="0"/>
        <w:snapToGrid w:val="0"/>
        <w:spacing w:line="360" w:lineRule="auto"/>
        <w:ind w:right="436" w:firstLine="3488" w:firstLineChars="1600"/>
        <w:rPr>
          <w:rFonts w:ascii="宋体" w:hAnsi="宋体"/>
          <w:color w:val="000000" w:themeColor="text1"/>
          <w:szCs w:val="21"/>
          <w:u w:val="single"/>
        </w:rPr>
      </w:pPr>
      <w:r>
        <w:rPr>
          <w:rFonts w:hint="eastAsia" w:ascii="宋体" w:hAnsi="宋体"/>
          <w:color w:val="000000" w:themeColor="text1"/>
          <w:spacing w:val="4"/>
          <w:szCs w:val="21"/>
        </w:rPr>
        <w:t>供应商名称（</w:t>
      </w:r>
      <w:r>
        <w:rPr>
          <w:rFonts w:hint="eastAsia" w:ascii="宋体" w:hAnsi="宋体"/>
          <w:color w:val="000000" w:themeColor="text1"/>
          <w:szCs w:val="21"/>
        </w:rPr>
        <w:t>单位盖</w:t>
      </w:r>
      <w:r>
        <w:rPr>
          <w:rFonts w:hint="eastAsia" w:ascii="宋体" w:hAnsi="宋体"/>
          <w:color w:val="000000" w:themeColor="text1"/>
          <w:spacing w:val="4"/>
          <w:szCs w:val="21"/>
        </w:rPr>
        <w:t>公章）：</w:t>
      </w:r>
    </w:p>
    <w:p>
      <w:pPr>
        <w:autoSpaceDE w:val="0"/>
        <w:autoSpaceDN w:val="0"/>
        <w:adjustRightInd w:val="0"/>
        <w:snapToGrid w:val="0"/>
        <w:spacing w:line="360" w:lineRule="auto"/>
        <w:ind w:firstLine="105" w:firstLineChars="50"/>
        <w:jc w:val="right"/>
        <w:rPr>
          <w:rFonts w:ascii="宋体" w:hAnsi="宋体"/>
          <w:color w:val="000000" w:themeColor="text1"/>
          <w:szCs w:val="21"/>
          <w:u w:val="single"/>
        </w:rPr>
      </w:pPr>
    </w:p>
    <w:p>
      <w:pPr>
        <w:autoSpaceDE w:val="0"/>
        <w:autoSpaceDN w:val="0"/>
        <w:adjustRightInd w:val="0"/>
        <w:snapToGrid w:val="0"/>
        <w:spacing w:line="360" w:lineRule="auto"/>
        <w:ind w:right="436" w:firstLine="2625" w:firstLineChars="1250"/>
        <w:jc w:val="center"/>
        <w:rPr>
          <w:rFonts w:ascii="宋体" w:hAnsi="宋体" w:cs="宋体"/>
          <w:color w:val="000000" w:themeColor="text1"/>
          <w:szCs w:val="21"/>
        </w:rPr>
      </w:pPr>
      <w:r>
        <w:rPr>
          <w:rFonts w:hint="eastAsia" w:ascii="宋体" w:hAnsi="宋体" w:cs="宋体"/>
          <w:color w:val="000000" w:themeColor="text1"/>
          <w:szCs w:val="21"/>
        </w:rPr>
        <w:t xml:space="preserve">           日期：</w:t>
      </w:r>
    </w:p>
    <w:p>
      <w:pPr>
        <w:pStyle w:val="16"/>
      </w:pPr>
      <w:bookmarkStart w:id="5" w:name="_Toc15461"/>
      <w:bookmarkStart w:id="6" w:name="_Toc9362"/>
      <w:bookmarkStart w:id="7" w:name="_Toc5769"/>
      <w:bookmarkStart w:id="8" w:name="_Toc11252"/>
    </w:p>
    <w:p>
      <w:pPr>
        <w:rPr>
          <w:rFonts w:ascii="宋体" w:hAnsi="宋体"/>
          <w:b/>
          <w:sz w:val="32"/>
          <w:szCs w:val="32"/>
        </w:rPr>
      </w:pPr>
      <w:r>
        <w:rPr>
          <w:rFonts w:hint="eastAsia" w:ascii="宋体" w:hAnsi="宋体"/>
          <w:b/>
          <w:sz w:val="32"/>
          <w:szCs w:val="32"/>
        </w:rPr>
        <w:br w:type="page"/>
      </w:r>
    </w:p>
    <w:p>
      <w:pPr>
        <w:spacing w:line="360" w:lineRule="auto"/>
        <w:ind w:firstLine="2393" w:firstLineChars="745"/>
        <w:outlineLvl w:val="1"/>
        <w:rPr>
          <w:sz w:val="56"/>
          <w:szCs w:val="56"/>
        </w:rPr>
      </w:pPr>
      <w:r>
        <w:rPr>
          <w:rFonts w:hint="eastAsia" w:ascii="宋体" w:hAnsi="宋体"/>
          <w:b/>
          <w:sz w:val="32"/>
          <w:szCs w:val="32"/>
        </w:rPr>
        <w:t>第三章  参考合同格式</w:t>
      </w:r>
      <w:bookmarkEnd w:id="5"/>
      <w:bookmarkEnd w:id="6"/>
      <w:bookmarkEnd w:id="7"/>
      <w:bookmarkEnd w:id="8"/>
    </w:p>
    <w:p>
      <w:pPr>
        <w:spacing w:line="360" w:lineRule="auto"/>
        <w:rPr>
          <w:rFonts w:eastAsia="仿宋_GB2312"/>
          <w:b/>
          <w:sz w:val="24"/>
        </w:rPr>
      </w:pPr>
    </w:p>
    <w:p>
      <w:pPr>
        <w:spacing w:line="600" w:lineRule="auto"/>
        <w:jc w:val="center"/>
        <w:rPr>
          <w:rFonts w:ascii="宋体" w:hAnsi="宋体"/>
          <w:b/>
          <w:bCs/>
          <w:sz w:val="44"/>
          <w:szCs w:val="44"/>
        </w:rPr>
      </w:pPr>
      <w:r>
        <w:rPr>
          <w:rFonts w:hint="eastAsia" w:ascii="宋体" w:hAnsi="宋体"/>
          <w:b/>
          <w:bCs/>
          <w:sz w:val="44"/>
          <w:szCs w:val="44"/>
        </w:rPr>
        <w:t>南海分公司DVB网关电源采购项目</w:t>
      </w:r>
    </w:p>
    <w:p>
      <w:pPr>
        <w:spacing w:line="360" w:lineRule="auto"/>
        <w:jc w:val="center"/>
        <w:rPr>
          <w:rFonts w:ascii="宋体" w:hAnsi="宋体"/>
          <w:b/>
          <w:bCs/>
          <w:sz w:val="44"/>
          <w:szCs w:val="44"/>
        </w:rPr>
      </w:pPr>
    </w:p>
    <w:p>
      <w:pPr>
        <w:spacing w:line="360" w:lineRule="auto"/>
        <w:jc w:val="center"/>
        <w:rPr>
          <w:rFonts w:ascii="宋体" w:hAnsi="宋体"/>
          <w:b/>
          <w:bCs/>
          <w:sz w:val="44"/>
          <w:szCs w:val="44"/>
        </w:rPr>
      </w:pPr>
      <w:r>
        <w:rPr>
          <w:rFonts w:hint="eastAsia" w:ascii="宋体" w:hAnsi="宋体"/>
          <w:b/>
          <w:bCs/>
          <w:sz w:val="44"/>
          <w:szCs w:val="44"/>
        </w:rPr>
        <w:t>采购合同书</w:t>
      </w:r>
    </w:p>
    <w:p>
      <w:pPr>
        <w:spacing w:line="360" w:lineRule="auto"/>
        <w:jc w:val="center"/>
        <w:rPr>
          <w:rFonts w:ascii="宋体" w:hAnsi="宋体"/>
          <w:b/>
          <w:bCs/>
        </w:rPr>
      </w:pPr>
    </w:p>
    <w:p>
      <w:pPr>
        <w:spacing w:line="360" w:lineRule="auto"/>
        <w:jc w:val="center"/>
        <w:rPr>
          <w:rFonts w:ascii="宋体" w:hAnsi="宋体"/>
          <w:b/>
          <w:bCs/>
        </w:rPr>
      </w:pPr>
    </w:p>
    <w:p>
      <w:pPr>
        <w:spacing w:line="360" w:lineRule="auto"/>
        <w:jc w:val="center"/>
        <w:rPr>
          <w:rFonts w:ascii="宋体" w:hAnsi="宋体"/>
          <w:b/>
          <w:bCs/>
        </w:rPr>
      </w:pPr>
    </w:p>
    <w:p>
      <w:pPr>
        <w:tabs>
          <w:tab w:val="left" w:pos="3296"/>
        </w:tabs>
        <w:snapToGrid w:val="0"/>
        <w:spacing w:line="360" w:lineRule="auto"/>
        <w:rPr>
          <w:rFonts w:ascii="宋体" w:hAnsi="宋体"/>
          <w:b/>
          <w:bCs/>
        </w:rPr>
      </w:pPr>
    </w:p>
    <w:p>
      <w:pPr>
        <w:tabs>
          <w:tab w:val="left" w:pos="3296"/>
        </w:tabs>
        <w:snapToGrid w:val="0"/>
        <w:spacing w:line="360" w:lineRule="auto"/>
        <w:jc w:val="center"/>
        <w:rPr>
          <w:rFonts w:ascii="宋体" w:hAnsi="宋体"/>
          <w:b/>
          <w:bCs/>
          <w:sz w:val="32"/>
          <w:szCs w:val="32"/>
        </w:rPr>
      </w:pPr>
    </w:p>
    <w:p>
      <w:pPr>
        <w:tabs>
          <w:tab w:val="left" w:pos="3296"/>
        </w:tabs>
        <w:snapToGrid w:val="0"/>
        <w:spacing w:line="360" w:lineRule="auto"/>
        <w:rPr>
          <w:rFonts w:ascii="宋体" w:hAnsi="宋体"/>
          <w:b/>
          <w:bCs/>
          <w:sz w:val="30"/>
          <w:szCs w:val="30"/>
        </w:rPr>
      </w:pPr>
      <w:r>
        <w:rPr>
          <w:rFonts w:hint="eastAsia" w:ascii="宋体" w:hAnsi="宋体"/>
          <w:b/>
          <w:bCs/>
          <w:sz w:val="30"/>
          <w:szCs w:val="30"/>
        </w:rPr>
        <w:t>甲方</w:t>
      </w:r>
      <w:r>
        <w:rPr>
          <w:rFonts w:ascii="宋体" w:hAnsi="宋体"/>
          <w:b/>
          <w:bCs/>
          <w:sz w:val="30"/>
          <w:szCs w:val="30"/>
        </w:rPr>
        <w:t>（</w:t>
      </w:r>
      <w:r>
        <w:rPr>
          <w:rFonts w:hint="eastAsia" w:ascii="宋体" w:hAnsi="宋体"/>
          <w:b/>
          <w:bCs/>
          <w:sz w:val="30"/>
          <w:szCs w:val="30"/>
        </w:rPr>
        <w:t>采购人</w:t>
      </w:r>
      <w:r>
        <w:rPr>
          <w:rFonts w:ascii="宋体" w:hAnsi="宋体"/>
          <w:b/>
          <w:bCs/>
          <w:sz w:val="30"/>
          <w:szCs w:val="30"/>
        </w:rPr>
        <w:t>）：</w:t>
      </w:r>
      <w:r>
        <w:rPr>
          <w:rFonts w:hint="eastAsia" w:ascii="宋体" w:hAnsi="宋体"/>
          <w:b/>
          <w:bCs/>
          <w:sz w:val="30"/>
          <w:szCs w:val="30"/>
        </w:rPr>
        <w:t>广东省广播电视网络股份有限公司佛山南海分公司</w:t>
      </w:r>
    </w:p>
    <w:p>
      <w:pPr>
        <w:tabs>
          <w:tab w:val="left" w:pos="3296"/>
        </w:tabs>
        <w:snapToGrid w:val="0"/>
        <w:spacing w:line="360" w:lineRule="auto"/>
        <w:rPr>
          <w:rFonts w:ascii="宋体" w:hAnsi="宋体"/>
          <w:b/>
          <w:bCs/>
          <w:sz w:val="32"/>
          <w:szCs w:val="32"/>
        </w:rPr>
      </w:pPr>
      <w:r>
        <w:rPr>
          <w:rFonts w:hint="eastAsia" w:ascii="宋体" w:hAnsi="宋体"/>
          <w:b/>
          <w:bCs/>
          <w:sz w:val="30"/>
          <w:szCs w:val="30"/>
        </w:rPr>
        <w:t>乙方</w:t>
      </w:r>
      <w:r>
        <w:rPr>
          <w:rFonts w:ascii="宋体" w:hAnsi="宋体"/>
          <w:b/>
          <w:bCs/>
          <w:sz w:val="30"/>
          <w:szCs w:val="30"/>
        </w:rPr>
        <w:t>（</w:t>
      </w:r>
      <w:r>
        <w:rPr>
          <w:rFonts w:hint="eastAsia" w:ascii="宋体" w:hAnsi="宋体"/>
          <w:b/>
          <w:bCs/>
          <w:sz w:val="30"/>
          <w:szCs w:val="30"/>
        </w:rPr>
        <w:t>供应商</w:t>
      </w:r>
      <w:r>
        <w:rPr>
          <w:rFonts w:ascii="宋体" w:hAnsi="宋体"/>
          <w:b/>
          <w:bCs/>
          <w:sz w:val="30"/>
          <w:szCs w:val="30"/>
        </w:rPr>
        <w:t>）：</w:t>
      </w:r>
      <w:r>
        <w:rPr>
          <w:rFonts w:hint="eastAsia" w:ascii="宋体" w:hAnsi="宋体"/>
          <w:b/>
          <w:bCs/>
          <w:sz w:val="30"/>
          <w:szCs w:val="30"/>
        </w:rPr>
        <w:t>【</w:t>
      </w:r>
      <w:r>
        <w:rPr>
          <w:rFonts w:ascii="宋体" w:hAnsi="宋体"/>
          <w:b/>
          <w:bCs/>
          <w:sz w:val="30"/>
          <w:szCs w:val="30"/>
        </w:rPr>
        <w:fldChar w:fldCharType="begin">
          <w:ffData>
            <w:name w:val="文字2"/>
            <w:enabled/>
            <w:calcOnExit w:val="0"/>
            <w:textInput/>
          </w:ffData>
        </w:fldChar>
      </w:r>
      <w:r>
        <w:rPr>
          <w:rFonts w:hint="eastAsia" w:ascii="宋体" w:hAnsi="宋体"/>
          <w:b/>
          <w:bCs/>
          <w:sz w:val="30"/>
          <w:szCs w:val="30"/>
        </w:rPr>
        <w:instrText xml:space="preserve">FORMTEXT</w:instrText>
      </w:r>
      <w:r>
        <w:rPr>
          <w:rFonts w:ascii="宋体" w:hAnsi="宋体"/>
          <w:b/>
          <w:bCs/>
          <w:sz w:val="30"/>
          <w:szCs w:val="30"/>
        </w:rPr>
        <w:fldChar w:fldCharType="separate"/>
      </w:r>
      <w:r>
        <w:rPr>
          <w:rFonts w:ascii="宋体" w:hAnsi="宋体"/>
          <w:b/>
          <w:bCs/>
          <w:sz w:val="30"/>
          <w:szCs w:val="30"/>
        </w:rPr>
        <w:t>     </w:t>
      </w:r>
      <w:r>
        <w:rPr>
          <w:rFonts w:ascii="宋体" w:hAnsi="宋体"/>
          <w:b/>
          <w:bCs/>
          <w:sz w:val="30"/>
          <w:szCs w:val="30"/>
        </w:rPr>
        <w:fldChar w:fldCharType="end"/>
      </w:r>
      <w:r>
        <w:rPr>
          <w:rFonts w:hint="eastAsia" w:ascii="宋体" w:hAnsi="宋体"/>
          <w:b/>
          <w:bCs/>
          <w:sz w:val="30"/>
          <w:szCs w:val="30"/>
        </w:rPr>
        <w:t>】</w:t>
      </w:r>
    </w:p>
    <w:p>
      <w:pPr>
        <w:widowControl/>
        <w:autoSpaceDE w:val="0"/>
        <w:autoSpaceDN w:val="0"/>
        <w:spacing w:line="360" w:lineRule="auto"/>
        <w:textAlignment w:val="bottom"/>
        <w:rPr>
          <w:rFonts w:ascii="宋体" w:hAnsi="宋体"/>
        </w:rPr>
      </w:pPr>
    </w:p>
    <w:p>
      <w:pPr>
        <w:widowControl/>
        <w:autoSpaceDE w:val="0"/>
        <w:autoSpaceDN w:val="0"/>
        <w:spacing w:line="360" w:lineRule="auto"/>
        <w:textAlignment w:val="bottom"/>
        <w:rPr>
          <w:rFonts w:ascii="宋体" w:hAnsi="宋体"/>
        </w:rPr>
      </w:pPr>
    </w:p>
    <w:p>
      <w:pPr>
        <w:widowControl/>
        <w:autoSpaceDE w:val="0"/>
        <w:autoSpaceDN w:val="0"/>
        <w:spacing w:line="360" w:lineRule="auto"/>
        <w:textAlignment w:val="bottom"/>
        <w:rPr>
          <w:rFonts w:ascii="宋体" w:hAnsi="宋体"/>
        </w:rPr>
      </w:pPr>
    </w:p>
    <w:p>
      <w:pPr>
        <w:widowControl/>
        <w:autoSpaceDE w:val="0"/>
        <w:autoSpaceDN w:val="0"/>
        <w:spacing w:line="360" w:lineRule="auto"/>
        <w:textAlignment w:val="bottom"/>
        <w:rPr>
          <w:rFonts w:ascii="宋体" w:hAnsi="宋体"/>
        </w:rPr>
      </w:pPr>
    </w:p>
    <w:p>
      <w:pPr>
        <w:spacing w:line="360" w:lineRule="auto"/>
        <w:rPr>
          <w:rFonts w:ascii="宋体" w:hAnsi="宋体" w:cs="宋体"/>
          <w:b/>
          <w:kern w:val="0"/>
          <w:szCs w:val="21"/>
        </w:rPr>
      </w:pPr>
      <w:r>
        <w:rPr>
          <w:rFonts w:hint="eastAsia" w:ascii="宋体" w:hAnsi="宋体" w:cs="宋体"/>
          <w:b/>
          <w:kern w:val="0"/>
          <w:szCs w:val="21"/>
        </w:rPr>
        <w:t>特别提示：以下为本合同的核心条款，各供应商如前来参加本项目采购活动，则视同认可所有条款，不得在成交后单方面提出异议或提出实质性的修改要求。同时，成交供应商响应时所作出的承诺将补充至本合同。</w:t>
      </w:r>
    </w:p>
    <w:p>
      <w:pPr>
        <w:widowControl/>
        <w:jc w:val="left"/>
        <w:rPr>
          <w:rFonts w:ascii="宋体" w:hAnsi="宋体"/>
        </w:rPr>
      </w:pPr>
      <w:r>
        <w:rPr>
          <w:rFonts w:ascii="宋体" w:hAnsi="宋体"/>
        </w:rPr>
        <w:br w:type="page"/>
      </w:r>
    </w:p>
    <w:p>
      <w:pPr>
        <w:spacing w:line="420" w:lineRule="exact"/>
        <w:rPr>
          <w:szCs w:val="21"/>
        </w:rPr>
      </w:pPr>
      <w:r>
        <w:rPr>
          <w:szCs w:val="21"/>
        </w:rPr>
        <w:t>甲    方：</w:t>
      </w:r>
      <w:r>
        <w:rPr>
          <w:szCs w:val="21"/>
        </w:rPr>
        <w:tab/>
      </w:r>
      <w:r>
        <w:rPr>
          <w:szCs w:val="21"/>
        </w:rPr>
        <w:t>广东省广播电视网络股份有限公司佛山南海分公司</w:t>
      </w:r>
    </w:p>
    <w:p>
      <w:pPr>
        <w:spacing w:line="420" w:lineRule="exact"/>
        <w:rPr>
          <w:szCs w:val="21"/>
        </w:rPr>
      </w:pPr>
      <w:r>
        <w:rPr>
          <w:szCs w:val="21"/>
        </w:rPr>
        <w:t>乙    方：</w:t>
      </w:r>
      <w:r>
        <w:rPr>
          <w:szCs w:val="21"/>
        </w:rPr>
        <w:tab/>
      </w:r>
    </w:p>
    <w:p>
      <w:pPr>
        <w:spacing w:line="420" w:lineRule="exact"/>
        <w:rPr>
          <w:szCs w:val="21"/>
        </w:rPr>
      </w:pPr>
    </w:p>
    <w:p>
      <w:pPr>
        <w:spacing w:line="420" w:lineRule="exact"/>
        <w:ind w:firstLine="420" w:firstLineChars="200"/>
        <w:rPr>
          <w:rFonts w:ascii="宋体" w:hAnsi="宋体" w:cs="宋体"/>
          <w:szCs w:val="21"/>
        </w:rPr>
      </w:pPr>
      <w:r>
        <w:rPr>
          <w:rFonts w:hint="eastAsia" w:ascii="宋体" w:hAnsi="宋体" w:cs="宋体"/>
          <w:szCs w:val="21"/>
        </w:rPr>
        <w:t>根据《中华人民共和国民法典》和本项目采购相关文件，经双方协商，本着平等互利和诚实信用的原则，同意通过协议供货形式签订本采购合同。</w:t>
      </w:r>
    </w:p>
    <w:p>
      <w:pPr>
        <w:numPr>
          <w:ilvl w:val="0"/>
          <w:numId w:val="18"/>
        </w:numPr>
        <w:tabs>
          <w:tab w:val="left" w:pos="0"/>
          <w:tab w:val="left" w:pos="7920"/>
        </w:tabs>
        <w:spacing w:line="360" w:lineRule="auto"/>
        <w:rPr>
          <w:rFonts w:ascii="宋体" w:hAnsi="宋体" w:cs="宋体"/>
          <w:b/>
          <w:bCs/>
          <w:szCs w:val="21"/>
        </w:rPr>
      </w:pPr>
      <w:r>
        <w:rPr>
          <w:rFonts w:hint="eastAsia" w:ascii="宋体" w:hAnsi="宋体" w:cs="宋体"/>
          <w:b/>
          <w:bCs/>
          <w:szCs w:val="21"/>
        </w:rPr>
        <w:t>采购货物清单及款项：</w:t>
      </w:r>
    </w:p>
    <w:tbl>
      <w:tblPr>
        <w:tblStyle w:val="36"/>
        <w:tblpPr w:leftFromText="180" w:rightFromText="180" w:vertAnchor="text" w:horzAnchor="page" w:tblpX="1117" w:tblpY="467"/>
        <w:tblOverlap w:val="never"/>
        <w:tblW w:w="9610" w:type="dxa"/>
        <w:tblInd w:w="0" w:type="dxa"/>
        <w:tblLayout w:type="fixed"/>
        <w:tblCellMar>
          <w:top w:w="0" w:type="dxa"/>
          <w:left w:w="108" w:type="dxa"/>
          <w:bottom w:w="0" w:type="dxa"/>
          <w:right w:w="108" w:type="dxa"/>
        </w:tblCellMar>
      </w:tblPr>
      <w:tblGrid>
        <w:gridCol w:w="659"/>
        <w:gridCol w:w="1576"/>
        <w:gridCol w:w="798"/>
        <w:gridCol w:w="1181"/>
        <w:gridCol w:w="1181"/>
        <w:gridCol w:w="1181"/>
        <w:gridCol w:w="1181"/>
        <w:gridCol w:w="1165"/>
        <w:gridCol w:w="688"/>
      </w:tblGrid>
      <w:tr>
        <w:tblPrEx>
          <w:tblCellMar>
            <w:top w:w="0" w:type="dxa"/>
            <w:left w:w="108" w:type="dxa"/>
            <w:bottom w:w="0" w:type="dxa"/>
            <w:right w:w="108" w:type="dxa"/>
          </w:tblCellMar>
        </w:tblPrEx>
        <w:trPr>
          <w:trHeight w:val="1183" w:hRule="atLeast"/>
        </w:trPr>
        <w:tc>
          <w:tcPr>
            <w:tcW w:w="6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r>
              <w:rPr>
                <w:rFonts w:hint="eastAsia" w:ascii="宋体" w:hAnsi="宋体" w:cs="宋体"/>
                <w:kern w:val="0"/>
                <w:szCs w:val="21"/>
              </w:rPr>
              <w:t>序号</w:t>
            </w:r>
          </w:p>
        </w:tc>
        <w:tc>
          <w:tcPr>
            <w:tcW w:w="1576" w:type="dxa"/>
            <w:tcBorders>
              <w:top w:val="single" w:color="auto" w:sz="4" w:space="0"/>
              <w:left w:val="nil"/>
              <w:bottom w:val="single" w:color="auto" w:sz="4" w:space="0"/>
              <w:right w:val="single" w:color="auto" w:sz="4" w:space="0"/>
            </w:tcBorders>
            <w:vAlign w:val="center"/>
          </w:tcPr>
          <w:p>
            <w:pPr>
              <w:widowControl/>
              <w:numPr>
                <w:ilvl w:val="255"/>
                <w:numId w:val="0"/>
              </w:numPr>
              <w:snapToGrid w:val="0"/>
              <w:spacing w:line="360" w:lineRule="auto"/>
              <w:jc w:val="center"/>
              <w:rPr>
                <w:rFonts w:ascii="宋体" w:hAnsi="宋体" w:cs="宋体"/>
                <w:kern w:val="0"/>
                <w:szCs w:val="21"/>
              </w:rPr>
            </w:pPr>
            <w:r>
              <w:rPr>
                <w:rFonts w:hint="eastAsia" w:ascii="宋体" w:hAnsi="宋体" w:cs="宋体"/>
                <w:sz w:val="24"/>
              </w:rPr>
              <w:t>产 品 名 称</w:t>
            </w:r>
          </w:p>
        </w:tc>
        <w:tc>
          <w:tcPr>
            <w:tcW w:w="798" w:type="dxa"/>
            <w:tcBorders>
              <w:top w:val="single" w:color="auto" w:sz="4" w:space="0"/>
              <w:left w:val="single" w:color="auto" w:sz="4" w:space="0"/>
              <w:bottom w:val="single" w:color="auto" w:sz="4" w:space="0"/>
              <w:right w:val="single" w:color="auto" w:sz="4" w:space="0"/>
            </w:tcBorders>
            <w:vAlign w:val="center"/>
          </w:tcPr>
          <w:p>
            <w:pPr>
              <w:widowControl/>
              <w:numPr>
                <w:ilvl w:val="255"/>
                <w:numId w:val="0"/>
              </w:numPr>
              <w:snapToGrid w:val="0"/>
              <w:spacing w:line="360" w:lineRule="auto"/>
              <w:jc w:val="center"/>
              <w:rPr>
                <w:rFonts w:ascii="宋体" w:hAnsi="宋体" w:cs="宋体"/>
                <w:kern w:val="0"/>
                <w:szCs w:val="21"/>
              </w:rPr>
            </w:pPr>
            <w:r>
              <w:rPr>
                <w:rFonts w:hint="eastAsia" w:ascii="宋体" w:hAnsi="宋体" w:cs="宋体"/>
                <w:sz w:val="24"/>
              </w:rPr>
              <w:t>数量</w:t>
            </w:r>
          </w:p>
        </w:tc>
        <w:tc>
          <w:tcPr>
            <w:tcW w:w="118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r>
              <w:rPr>
                <w:rFonts w:hint="eastAsia" w:ascii="宋体" w:hAnsi="宋体" w:cs="宋体"/>
                <w:kern w:val="0"/>
                <w:szCs w:val="21"/>
              </w:rPr>
              <w:t>单位</w:t>
            </w:r>
          </w:p>
        </w:tc>
        <w:tc>
          <w:tcPr>
            <w:tcW w:w="1181" w:type="dxa"/>
            <w:tcBorders>
              <w:top w:val="single" w:color="auto" w:sz="4" w:space="0"/>
              <w:left w:val="nil"/>
              <w:bottom w:val="single" w:color="auto" w:sz="4" w:space="0"/>
              <w:right w:val="single" w:color="auto" w:sz="4" w:space="0"/>
            </w:tcBorders>
            <w:vAlign w:val="center"/>
          </w:tcPr>
          <w:p>
            <w:pPr>
              <w:tabs>
                <w:tab w:val="left" w:pos="0"/>
                <w:tab w:val="left" w:pos="7920"/>
              </w:tabs>
              <w:spacing w:line="360" w:lineRule="auto"/>
              <w:jc w:val="center"/>
              <w:rPr>
                <w:rFonts w:ascii="宋体" w:hAnsi="宋体" w:cs="宋体"/>
                <w:kern w:val="0"/>
                <w:szCs w:val="21"/>
              </w:rPr>
            </w:pPr>
            <w:r>
              <w:rPr>
                <w:rFonts w:hint="eastAsia" w:ascii="宋体" w:hAnsi="宋体" w:cs="宋体"/>
                <w:szCs w:val="21"/>
              </w:rPr>
              <w:t>不含税单价（元/个）</w:t>
            </w:r>
          </w:p>
        </w:tc>
        <w:tc>
          <w:tcPr>
            <w:tcW w:w="1181" w:type="dxa"/>
            <w:tcBorders>
              <w:top w:val="single" w:color="auto" w:sz="4" w:space="0"/>
              <w:left w:val="nil"/>
              <w:bottom w:val="single" w:color="auto" w:sz="4" w:space="0"/>
              <w:right w:val="single" w:color="auto" w:sz="4" w:space="0"/>
            </w:tcBorders>
            <w:vAlign w:val="center"/>
          </w:tcPr>
          <w:p>
            <w:pPr>
              <w:tabs>
                <w:tab w:val="left" w:pos="0"/>
                <w:tab w:val="left" w:pos="7920"/>
              </w:tabs>
              <w:spacing w:line="360" w:lineRule="auto"/>
              <w:jc w:val="center"/>
              <w:rPr>
                <w:rFonts w:ascii="宋体" w:hAnsi="宋体" w:cs="宋体"/>
                <w:szCs w:val="21"/>
              </w:rPr>
            </w:pPr>
            <w:r>
              <w:rPr>
                <w:rFonts w:hint="eastAsia" w:ascii="宋体" w:hAnsi="宋体" w:cs="宋体"/>
                <w:szCs w:val="21"/>
              </w:rPr>
              <w:t>单价税金（元/个）</w:t>
            </w:r>
          </w:p>
        </w:tc>
        <w:tc>
          <w:tcPr>
            <w:tcW w:w="1181" w:type="dxa"/>
            <w:tcBorders>
              <w:top w:val="single" w:color="auto" w:sz="4" w:space="0"/>
              <w:left w:val="nil"/>
              <w:bottom w:val="single" w:color="auto" w:sz="4" w:space="0"/>
              <w:right w:val="single" w:color="auto" w:sz="4" w:space="0"/>
            </w:tcBorders>
            <w:vAlign w:val="center"/>
          </w:tcPr>
          <w:p>
            <w:pPr>
              <w:tabs>
                <w:tab w:val="left" w:pos="0"/>
                <w:tab w:val="left" w:pos="7920"/>
              </w:tabs>
              <w:spacing w:line="360" w:lineRule="auto"/>
              <w:jc w:val="center"/>
              <w:rPr>
                <w:rFonts w:ascii="宋体" w:hAnsi="宋体" w:cs="宋体"/>
                <w:szCs w:val="21"/>
              </w:rPr>
            </w:pPr>
            <w:r>
              <w:rPr>
                <w:rFonts w:hint="eastAsia" w:ascii="宋体" w:hAnsi="宋体" w:cs="宋体"/>
                <w:szCs w:val="21"/>
              </w:rPr>
              <w:t>含税单价（元/个）</w:t>
            </w:r>
          </w:p>
        </w:tc>
        <w:tc>
          <w:tcPr>
            <w:tcW w:w="1165" w:type="dxa"/>
            <w:tcBorders>
              <w:top w:val="single" w:color="auto" w:sz="4" w:space="0"/>
              <w:left w:val="nil"/>
              <w:bottom w:val="single" w:color="auto" w:sz="4" w:space="0"/>
              <w:right w:val="single" w:color="auto" w:sz="4" w:space="0"/>
            </w:tcBorders>
            <w:vAlign w:val="center"/>
          </w:tcPr>
          <w:p>
            <w:pPr>
              <w:tabs>
                <w:tab w:val="left" w:pos="0"/>
                <w:tab w:val="left" w:pos="7920"/>
              </w:tabs>
              <w:spacing w:line="360" w:lineRule="auto"/>
              <w:jc w:val="center"/>
              <w:rPr>
                <w:rFonts w:ascii="宋体" w:hAnsi="宋体" w:cs="宋体"/>
                <w:kern w:val="0"/>
                <w:szCs w:val="21"/>
              </w:rPr>
            </w:pPr>
            <w:r>
              <w:rPr>
                <w:rFonts w:hint="eastAsia" w:ascii="宋体" w:hAnsi="宋体" w:cs="宋体"/>
                <w:szCs w:val="21"/>
              </w:rPr>
              <w:t>小计（元）</w:t>
            </w:r>
          </w:p>
        </w:tc>
        <w:tc>
          <w:tcPr>
            <w:tcW w:w="68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Cs w:val="21"/>
              </w:rPr>
            </w:pPr>
            <w:r>
              <w:rPr>
                <w:rFonts w:hint="eastAsia" w:ascii="宋体" w:hAnsi="宋体" w:cs="宋体"/>
                <w:kern w:val="0"/>
                <w:szCs w:val="21"/>
              </w:rPr>
              <w:t>备注</w:t>
            </w:r>
          </w:p>
        </w:tc>
      </w:tr>
      <w:tr>
        <w:tblPrEx>
          <w:tblCellMar>
            <w:top w:w="0" w:type="dxa"/>
            <w:left w:w="108" w:type="dxa"/>
            <w:bottom w:w="0" w:type="dxa"/>
            <w:right w:w="108" w:type="dxa"/>
          </w:tblCellMar>
        </w:tblPrEx>
        <w:trPr>
          <w:trHeight w:val="853" w:hRule="atLeast"/>
        </w:trPr>
        <w:tc>
          <w:tcPr>
            <w:tcW w:w="6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1</w:t>
            </w:r>
          </w:p>
        </w:tc>
        <w:tc>
          <w:tcPr>
            <w:tcW w:w="1576" w:type="dxa"/>
            <w:tcBorders>
              <w:top w:val="single" w:color="auto" w:sz="4" w:space="0"/>
              <w:left w:val="nil"/>
              <w:bottom w:val="single" w:color="auto" w:sz="4" w:space="0"/>
              <w:right w:val="single" w:color="auto" w:sz="4" w:space="0"/>
            </w:tcBorders>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 w:val="24"/>
              </w:rPr>
              <w:t>DVB网关电源</w:t>
            </w:r>
          </w:p>
        </w:tc>
        <w:tc>
          <w:tcPr>
            <w:tcW w:w="798" w:type="dxa"/>
            <w:tcBorders>
              <w:top w:val="single" w:color="auto" w:sz="4" w:space="0"/>
              <w:left w:val="single" w:color="auto" w:sz="4" w:space="0"/>
              <w:bottom w:val="single" w:color="auto" w:sz="4" w:space="0"/>
              <w:right w:val="single" w:color="auto" w:sz="4" w:space="0"/>
            </w:tcBorders>
            <w:vAlign w:val="center"/>
          </w:tcPr>
          <w:p>
            <w:pPr>
              <w:widowControl/>
              <w:numPr>
                <w:ilvl w:val="255"/>
                <w:numId w:val="0"/>
              </w:numPr>
              <w:snapToGrid w:val="0"/>
              <w:spacing w:line="360" w:lineRule="auto"/>
              <w:jc w:val="center"/>
              <w:rPr>
                <w:rFonts w:ascii="宋体" w:hAnsi="宋体" w:cs="宋体"/>
                <w:szCs w:val="21"/>
              </w:rPr>
            </w:pPr>
            <w:r>
              <w:rPr>
                <w:rFonts w:hint="eastAsia" w:ascii="宋体" w:hAnsi="宋体" w:cs="宋体"/>
                <w:sz w:val="24"/>
              </w:rPr>
              <w:t>5000</w:t>
            </w:r>
          </w:p>
        </w:tc>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 w:val="24"/>
              </w:rPr>
              <w:t>个</w:t>
            </w:r>
          </w:p>
        </w:tc>
        <w:tc>
          <w:tcPr>
            <w:tcW w:w="118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p>
        </w:tc>
        <w:tc>
          <w:tcPr>
            <w:tcW w:w="118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p>
        </w:tc>
        <w:tc>
          <w:tcPr>
            <w:tcW w:w="118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p>
        </w:tc>
        <w:tc>
          <w:tcPr>
            <w:tcW w:w="116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p>
        </w:tc>
        <w:tc>
          <w:tcPr>
            <w:tcW w:w="68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p>
        </w:tc>
      </w:tr>
      <w:tr>
        <w:tblPrEx>
          <w:tblCellMar>
            <w:top w:w="0" w:type="dxa"/>
            <w:left w:w="108" w:type="dxa"/>
            <w:bottom w:w="0" w:type="dxa"/>
            <w:right w:w="108" w:type="dxa"/>
          </w:tblCellMar>
        </w:tblPrEx>
        <w:trPr>
          <w:trHeight w:val="963" w:hRule="atLeast"/>
        </w:trPr>
        <w:tc>
          <w:tcPr>
            <w:tcW w:w="3033"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zCs w:val="21"/>
              </w:rPr>
            </w:pPr>
            <w:r>
              <w:rPr>
                <w:rFonts w:hint="eastAsia" w:ascii="宋体" w:hAnsi="宋体" w:cs="宋体"/>
                <w:kern w:val="0"/>
                <w:szCs w:val="21"/>
              </w:rPr>
              <w:t>合计</w:t>
            </w:r>
          </w:p>
        </w:tc>
        <w:tc>
          <w:tcPr>
            <w:tcW w:w="6577" w:type="dxa"/>
            <w:gridSpan w:val="6"/>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小写：人民币元；</w:t>
            </w:r>
          </w:p>
          <w:p>
            <w:pPr>
              <w:rPr>
                <w:rFonts w:ascii="宋体" w:hAnsi="宋体" w:cs="宋体"/>
                <w:szCs w:val="21"/>
              </w:rPr>
            </w:pPr>
            <w:r>
              <w:rPr>
                <w:rFonts w:hint="eastAsia" w:ascii="宋体" w:hAnsi="宋体" w:cs="宋体"/>
                <w:szCs w:val="21"/>
              </w:rPr>
              <w:t>大写：人民币</w:t>
            </w:r>
            <w:r>
              <w:rPr>
                <w:rFonts w:hint="eastAsia" w:ascii="宋体" w:hAnsi="宋体" w:cs="宋体"/>
                <w:szCs w:val="21"/>
                <w:u w:val="single"/>
              </w:rPr>
              <w:t xml:space="preserve">         元</w:t>
            </w:r>
            <w:r>
              <w:rPr>
                <w:rFonts w:hint="eastAsia" w:ascii="宋体" w:hAnsi="宋体" w:cs="宋体"/>
                <w:szCs w:val="21"/>
              </w:rPr>
              <w:t>整；</w:t>
            </w:r>
          </w:p>
          <w:p>
            <w:pPr>
              <w:rPr>
                <w:rFonts w:ascii="宋体" w:hAnsi="宋体" w:cs="宋体"/>
                <w:szCs w:val="21"/>
              </w:rPr>
            </w:pPr>
            <w:r>
              <w:rPr>
                <w:rFonts w:hint="eastAsia" w:ascii="宋体" w:hAnsi="宋体" w:cs="宋体"/>
                <w:szCs w:val="21"/>
              </w:rPr>
              <w:t>提供增值税发票税率</w:t>
            </w:r>
            <w:r>
              <w:rPr>
                <w:rFonts w:hint="eastAsia" w:ascii="宋体" w:hAnsi="宋体" w:cs="宋体"/>
                <w:szCs w:val="21"/>
                <w:u w:val="single"/>
              </w:rPr>
              <w:t xml:space="preserve">      %</w:t>
            </w:r>
          </w:p>
        </w:tc>
      </w:tr>
      <w:tr>
        <w:tblPrEx>
          <w:tblCellMar>
            <w:top w:w="0" w:type="dxa"/>
            <w:left w:w="108" w:type="dxa"/>
            <w:bottom w:w="0" w:type="dxa"/>
            <w:right w:w="108" w:type="dxa"/>
          </w:tblCellMar>
        </w:tblPrEx>
        <w:trPr>
          <w:trHeight w:val="963" w:hRule="atLeast"/>
        </w:trPr>
        <w:tc>
          <w:tcPr>
            <w:tcW w:w="3033" w:type="dxa"/>
            <w:gridSpan w:val="3"/>
            <w:tcBorders>
              <w:top w:val="single" w:color="auto" w:sz="4" w:space="0"/>
              <w:left w:val="single" w:color="auto" w:sz="4" w:space="0"/>
              <w:bottom w:val="single" w:color="auto" w:sz="4" w:space="0"/>
              <w:right w:val="single" w:color="auto" w:sz="4" w:space="0"/>
            </w:tcBorders>
            <w:vAlign w:val="center"/>
          </w:tcPr>
          <w:p>
            <w:pPr>
              <w:widowControl/>
              <w:tabs>
                <w:tab w:val="left" w:pos="-360"/>
              </w:tabs>
              <w:spacing w:line="360" w:lineRule="auto"/>
              <w:ind w:right="-34"/>
              <w:jc w:val="center"/>
              <w:textAlignment w:val="bottom"/>
              <w:rPr>
                <w:rFonts w:ascii="宋体" w:hAnsi="宋体"/>
                <w:szCs w:val="21"/>
              </w:rPr>
            </w:pPr>
            <w:r>
              <w:rPr>
                <w:rFonts w:hint="eastAsia" w:ascii="宋体" w:hAnsi="宋体" w:cs="宋体"/>
                <w:szCs w:val="21"/>
              </w:rPr>
              <w:t>不含税总额：元</w:t>
            </w:r>
          </w:p>
        </w:tc>
        <w:tc>
          <w:tcPr>
            <w:tcW w:w="6577" w:type="dxa"/>
            <w:gridSpan w:val="6"/>
            <w:tcBorders>
              <w:top w:val="single" w:color="auto" w:sz="4" w:space="0"/>
              <w:left w:val="single" w:color="auto" w:sz="4" w:space="0"/>
              <w:bottom w:val="single" w:color="auto" w:sz="4" w:space="0"/>
              <w:right w:val="single" w:color="auto" w:sz="4" w:space="0"/>
            </w:tcBorders>
            <w:vAlign w:val="center"/>
          </w:tcPr>
          <w:p>
            <w:pPr>
              <w:widowControl/>
              <w:tabs>
                <w:tab w:val="left" w:pos="-360"/>
              </w:tabs>
              <w:spacing w:line="360" w:lineRule="auto"/>
              <w:ind w:right="-34"/>
              <w:jc w:val="center"/>
              <w:textAlignment w:val="bottom"/>
              <w:rPr>
                <w:rFonts w:ascii="宋体" w:hAnsi="宋体" w:cs="宋体"/>
                <w:b/>
                <w:bCs/>
                <w:kern w:val="0"/>
                <w:sz w:val="24"/>
              </w:rPr>
            </w:pPr>
            <w:r>
              <w:rPr>
                <w:rFonts w:hint="eastAsia" w:ascii="宋体" w:hAnsi="宋体" w:cs="宋体"/>
                <w:szCs w:val="21"/>
              </w:rPr>
              <w:t>税金： 元</w:t>
            </w:r>
          </w:p>
        </w:tc>
      </w:tr>
    </w:tbl>
    <w:p>
      <w:pPr>
        <w:numPr>
          <w:ilvl w:val="0"/>
          <w:numId w:val="19"/>
        </w:numPr>
        <w:spacing w:line="400" w:lineRule="exact"/>
        <w:rPr>
          <w:rFonts w:ascii="宋体" w:hAnsi="宋体" w:cs="宋体"/>
          <w:szCs w:val="21"/>
        </w:rPr>
      </w:pPr>
      <w:r>
        <w:rPr>
          <w:rFonts w:hint="eastAsia" w:ascii="宋体" w:hAnsi="宋体" w:cs="宋体"/>
          <w:b/>
          <w:bCs/>
          <w:szCs w:val="21"/>
        </w:rPr>
        <w:t>技术规范要求：</w:t>
      </w:r>
    </w:p>
    <w:p>
      <w:pPr>
        <w:numPr>
          <w:ilvl w:val="0"/>
          <w:numId w:val="20"/>
        </w:numPr>
        <w:spacing w:line="360" w:lineRule="auto"/>
        <w:rPr>
          <w:rFonts w:ascii="宋体" w:hAnsi="宋体" w:cs="宋体"/>
          <w:szCs w:val="21"/>
        </w:rPr>
      </w:pPr>
      <w:r>
        <w:rPr>
          <w:rFonts w:hint="eastAsia" w:ascii="宋体" w:hAnsi="宋体" w:cs="宋体"/>
          <w:szCs w:val="21"/>
        </w:rPr>
        <w:t>技术参数</w:t>
      </w:r>
    </w:p>
    <w:p>
      <w:pPr>
        <w:spacing w:line="360" w:lineRule="auto"/>
        <w:rPr>
          <w:rFonts w:ascii="宋体" w:hAnsi="宋体" w:cs="宋体"/>
          <w:szCs w:val="21"/>
        </w:rPr>
      </w:pPr>
      <w:r>
        <w:rPr>
          <w:rFonts w:hint="eastAsia" w:ascii="宋体" w:hAnsi="宋体" w:cs="宋体"/>
          <w:szCs w:val="21"/>
        </w:rPr>
        <w:t>1、符合3C认证的外置电源DC，</w:t>
      </w:r>
    </w:p>
    <w:p>
      <w:pPr>
        <w:spacing w:line="360" w:lineRule="auto"/>
        <w:rPr>
          <w:rFonts w:ascii="宋体" w:hAnsi="宋体" w:cs="宋体"/>
          <w:szCs w:val="21"/>
        </w:rPr>
      </w:pPr>
      <w:r>
        <w:rPr>
          <w:rFonts w:hint="eastAsia" w:ascii="宋体" w:hAnsi="宋体" w:cs="宋体"/>
          <w:szCs w:val="21"/>
        </w:rPr>
        <w:t>2、AC220V输入，DC12V输出</w:t>
      </w:r>
    </w:p>
    <w:p>
      <w:pPr>
        <w:spacing w:line="360" w:lineRule="auto"/>
        <w:rPr>
          <w:rFonts w:ascii="宋体" w:hAnsi="宋体" w:cs="宋体"/>
          <w:szCs w:val="21"/>
        </w:rPr>
      </w:pPr>
      <w:r>
        <w:rPr>
          <w:rFonts w:hint="eastAsia" w:ascii="宋体" w:hAnsi="宋体" w:cs="宋体"/>
          <w:szCs w:val="21"/>
        </w:rPr>
        <w:t xml:space="preserve">3、12V/2A </w:t>
      </w:r>
    </w:p>
    <w:p>
      <w:pPr>
        <w:spacing w:line="360" w:lineRule="auto"/>
        <w:rPr>
          <w:rFonts w:ascii="宋体" w:hAnsi="宋体" w:cs="宋体"/>
          <w:szCs w:val="21"/>
        </w:rPr>
      </w:pPr>
      <w:r>
        <w:rPr>
          <w:rFonts w:hint="eastAsia" w:ascii="宋体" w:hAnsi="宋体" w:cs="宋体"/>
          <w:szCs w:val="21"/>
        </w:rPr>
        <w:t>4、电源插头与适配器采用分离模式，即通过电源引线（60至80cm长度，引线采用固定方式（即不可插拔）引出插头与排插连接，不带指示灯。12V2A适配器DC头内径采用尺寸规格：5.5*2.5*10mm, 即其内径尺寸为2.5mm。</w:t>
      </w:r>
    </w:p>
    <w:p>
      <w:pPr>
        <w:spacing w:line="360" w:lineRule="auto"/>
        <w:rPr>
          <w:rFonts w:ascii="宋体" w:hAnsi="宋体" w:cs="宋体"/>
          <w:szCs w:val="21"/>
        </w:rPr>
      </w:pPr>
      <w:r>
        <w:rPr>
          <w:rFonts w:hint="eastAsia" w:ascii="宋体" w:hAnsi="宋体" w:cs="宋体"/>
          <w:szCs w:val="21"/>
        </w:rPr>
        <w:t>5、抗雷击4KV</w:t>
      </w:r>
    </w:p>
    <w:p>
      <w:pPr>
        <w:spacing w:line="360" w:lineRule="auto"/>
        <w:rPr>
          <w:rFonts w:ascii="宋体" w:hAnsi="宋体" w:cs="宋体"/>
          <w:szCs w:val="21"/>
        </w:rPr>
      </w:pPr>
      <w:r>
        <w:rPr>
          <w:rFonts w:hint="eastAsia" w:ascii="宋体" w:hAnsi="宋体" w:cs="宋体"/>
          <w:szCs w:val="21"/>
        </w:rPr>
        <w:t>6、参考尺寸 -94x45x33mm-RoHS</w:t>
      </w:r>
    </w:p>
    <w:p>
      <w:pPr>
        <w:numPr>
          <w:ilvl w:val="0"/>
          <w:numId w:val="20"/>
        </w:numPr>
        <w:spacing w:line="360" w:lineRule="auto"/>
        <w:rPr>
          <w:rFonts w:ascii="宋体" w:hAnsi="宋体" w:cs="宋体"/>
          <w:szCs w:val="21"/>
        </w:rPr>
      </w:pPr>
      <w:r>
        <w:rPr>
          <w:rFonts w:hint="eastAsia" w:ascii="宋体" w:hAnsi="宋体" w:cs="宋体"/>
          <w:szCs w:val="21"/>
        </w:rPr>
        <w:t>电气性能</w:t>
      </w:r>
    </w:p>
    <w:p>
      <w:pPr>
        <w:spacing w:line="360" w:lineRule="auto"/>
        <w:rPr>
          <w:rFonts w:ascii="宋体" w:hAnsi="宋体" w:cs="宋体"/>
          <w:szCs w:val="21"/>
        </w:rPr>
      </w:pPr>
      <w:r>
        <w:rPr>
          <w:rFonts w:hint="eastAsia" w:ascii="宋体" w:hAnsi="宋体" w:cs="宋体"/>
          <w:szCs w:val="21"/>
        </w:rPr>
        <w:t>1、[保 护]:过电压,过电流,短路保护</w:t>
      </w:r>
    </w:p>
    <w:p>
      <w:pPr>
        <w:spacing w:line="360" w:lineRule="auto"/>
        <w:rPr>
          <w:rFonts w:ascii="宋体" w:hAnsi="宋体" w:cs="宋体"/>
          <w:szCs w:val="21"/>
        </w:rPr>
      </w:pPr>
      <w:r>
        <w:rPr>
          <w:rFonts w:hint="eastAsia" w:ascii="宋体" w:hAnsi="宋体" w:cs="宋体"/>
          <w:szCs w:val="21"/>
        </w:rPr>
        <w:t>2、[可 靠 性]:温升(烧机):每台85-95%负载,40±5℃,4小时</w:t>
      </w:r>
    </w:p>
    <w:p>
      <w:pPr>
        <w:spacing w:line="360" w:lineRule="auto"/>
        <w:rPr>
          <w:rFonts w:ascii="宋体" w:hAnsi="宋体" w:cs="宋体"/>
          <w:szCs w:val="21"/>
        </w:rPr>
      </w:pPr>
      <w:r>
        <w:rPr>
          <w:rFonts w:hint="eastAsia" w:ascii="宋体" w:hAnsi="宋体" w:cs="宋体"/>
          <w:szCs w:val="21"/>
        </w:rPr>
        <w:t>3、温升电流:0.25mA MAX 254VAC</w:t>
      </w:r>
    </w:p>
    <w:p>
      <w:pPr>
        <w:spacing w:line="360" w:lineRule="auto"/>
        <w:rPr>
          <w:rFonts w:ascii="宋体" w:hAnsi="宋体" w:cs="宋体"/>
          <w:szCs w:val="21"/>
        </w:rPr>
      </w:pPr>
      <w:r>
        <w:rPr>
          <w:rFonts w:hint="eastAsia" w:ascii="宋体" w:hAnsi="宋体" w:cs="宋体"/>
          <w:szCs w:val="21"/>
        </w:rPr>
        <w:t>4、绝缘耐压(在初级和次级之间):3000VAC,60S,10mA MAX</w:t>
      </w:r>
    </w:p>
    <w:p>
      <w:pPr>
        <w:spacing w:line="360" w:lineRule="auto"/>
        <w:rPr>
          <w:rFonts w:ascii="宋体" w:hAnsi="宋体" w:cs="宋体"/>
          <w:szCs w:val="21"/>
        </w:rPr>
      </w:pPr>
      <w:r>
        <w:rPr>
          <w:rFonts w:hint="eastAsia" w:ascii="宋体" w:hAnsi="宋体" w:cs="宋体"/>
          <w:szCs w:val="21"/>
        </w:rPr>
        <w:t>5、MTBF:按MIL-HDBK-217F标准,满负载,25℃,50000小时以上</w:t>
      </w:r>
    </w:p>
    <w:p>
      <w:pPr>
        <w:spacing w:line="360" w:lineRule="auto"/>
        <w:rPr>
          <w:rFonts w:ascii="宋体" w:hAnsi="宋体" w:cs="宋体"/>
          <w:szCs w:val="21"/>
        </w:rPr>
      </w:pPr>
      <w:r>
        <w:rPr>
          <w:rFonts w:hint="eastAsia" w:ascii="宋体" w:hAnsi="宋体" w:cs="宋体"/>
          <w:szCs w:val="21"/>
        </w:rPr>
        <w:t>6、[工作湿度]:5~95%RH</w:t>
      </w:r>
    </w:p>
    <w:p>
      <w:pPr>
        <w:spacing w:line="360" w:lineRule="auto"/>
        <w:rPr>
          <w:rFonts w:ascii="宋体" w:hAnsi="宋体" w:cs="宋体"/>
          <w:szCs w:val="21"/>
        </w:rPr>
      </w:pPr>
      <w:r>
        <w:rPr>
          <w:rFonts w:hint="eastAsia" w:ascii="宋体" w:hAnsi="宋体" w:cs="宋体"/>
          <w:szCs w:val="21"/>
        </w:rPr>
        <w:t>7、[储存温度]:-20~85℃</w:t>
      </w:r>
    </w:p>
    <w:p>
      <w:pPr>
        <w:spacing w:line="360" w:lineRule="auto"/>
        <w:rPr>
          <w:rFonts w:ascii="宋体" w:hAnsi="宋体" w:cs="宋体"/>
          <w:szCs w:val="21"/>
        </w:rPr>
      </w:pPr>
      <w:r>
        <w:rPr>
          <w:rFonts w:hint="eastAsia" w:ascii="宋体" w:hAnsi="宋体" w:cs="宋体"/>
          <w:szCs w:val="21"/>
        </w:rPr>
        <w:t>8、[工作环境温度]:0~40℃</w:t>
      </w:r>
    </w:p>
    <w:p>
      <w:pPr>
        <w:numPr>
          <w:ilvl w:val="0"/>
          <w:numId w:val="20"/>
        </w:numPr>
        <w:spacing w:line="360" w:lineRule="auto"/>
        <w:rPr>
          <w:rFonts w:ascii="宋体" w:hAnsi="宋体" w:cs="宋体"/>
          <w:szCs w:val="21"/>
        </w:rPr>
      </w:pPr>
      <w:r>
        <w:rPr>
          <w:rFonts w:hint="eastAsia" w:ascii="宋体" w:hAnsi="宋体" w:cs="宋体"/>
          <w:szCs w:val="21"/>
        </w:rPr>
        <w:t>产品特性</w:t>
      </w:r>
    </w:p>
    <w:p>
      <w:pPr>
        <w:spacing w:line="360" w:lineRule="auto"/>
        <w:rPr>
          <w:rFonts w:ascii="宋体" w:hAnsi="宋体" w:cs="宋体"/>
          <w:szCs w:val="21"/>
        </w:rPr>
      </w:pPr>
      <w:r>
        <w:rPr>
          <w:rFonts w:hint="eastAsia" w:ascii="宋体" w:hAnsi="宋体" w:cs="宋体"/>
          <w:szCs w:val="21"/>
        </w:rPr>
        <w:t xml:space="preserve">1、开关电源 </w:t>
      </w:r>
    </w:p>
    <w:p>
      <w:pPr>
        <w:spacing w:line="360" w:lineRule="auto"/>
        <w:rPr>
          <w:rFonts w:ascii="宋体" w:hAnsi="宋体" w:cs="宋体"/>
          <w:szCs w:val="21"/>
        </w:rPr>
      </w:pPr>
      <w:r>
        <w:rPr>
          <w:rFonts w:hint="eastAsia" w:ascii="宋体" w:hAnsi="宋体" w:cs="宋体"/>
          <w:szCs w:val="21"/>
        </w:rPr>
        <w:t xml:space="preserve">2、交流转直流 </w:t>
      </w:r>
    </w:p>
    <w:p>
      <w:pPr>
        <w:spacing w:line="360" w:lineRule="auto"/>
        <w:rPr>
          <w:rFonts w:ascii="宋体" w:hAnsi="宋体" w:cs="宋体"/>
          <w:szCs w:val="21"/>
        </w:rPr>
      </w:pPr>
      <w:r>
        <w:rPr>
          <w:rFonts w:hint="eastAsia" w:ascii="宋体" w:hAnsi="宋体" w:cs="宋体"/>
          <w:szCs w:val="21"/>
        </w:rPr>
        <w:t>3、内置抗电磁干扰滤波器</w:t>
      </w:r>
    </w:p>
    <w:p>
      <w:pPr>
        <w:numPr>
          <w:ilvl w:val="0"/>
          <w:numId w:val="19"/>
        </w:numPr>
        <w:spacing w:line="360" w:lineRule="auto"/>
        <w:rPr>
          <w:rFonts w:ascii="宋体" w:hAnsi="宋体" w:cs="宋体"/>
          <w:b/>
          <w:bCs/>
          <w:szCs w:val="21"/>
        </w:rPr>
      </w:pPr>
      <w:r>
        <w:rPr>
          <w:rFonts w:hint="eastAsia" w:ascii="宋体" w:hAnsi="宋体" w:cs="宋体"/>
          <w:b/>
          <w:bCs/>
          <w:szCs w:val="21"/>
        </w:rPr>
        <w:t>验收及售后服务要求：</w:t>
      </w:r>
    </w:p>
    <w:p>
      <w:pPr>
        <w:numPr>
          <w:ilvl w:val="0"/>
          <w:numId w:val="21"/>
        </w:numPr>
        <w:spacing w:line="360" w:lineRule="auto"/>
        <w:rPr>
          <w:rFonts w:ascii="宋体" w:hAnsi="宋体" w:cs="宋体"/>
          <w:szCs w:val="21"/>
        </w:rPr>
      </w:pPr>
      <w:r>
        <w:rPr>
          <w:rFonts w:hint="eastAsia" w:ascii="宋体" w:hAnsi="宋体" w:cs="宋体"/>
          <w:szCs w:val="21"/>
        </w:rPr>
        <w:t>乙方所提供的产品类应通过国家（如有）相关强制认证要求，符合中华人民共和国国家和履约地相关安全质量标准、行业技术规范标准、环保节能标准；符合采购文件和采购响应文件中双方共同认可的合理最佳配置、参数规格及各项要求；符合产品来源国官方颁布的最新标准；双方约定的其他验收标准。</w:t>
      </w:r>
    </w:p>
    <w:p>
      <w:pPr>
        <w:numPr>
          <w:ilvl w:val="0"/>
          <w:numId w:val="21"/>
        </w:numPr>
        <w:tabs>
          <w:tab w:val="left" w:pos="840"/>
        </w:tabs>
        <w:spacing w:line="360" w:lineRule="auto"/>
        <w:rPr>
          <w:rFonts w:ascii="宋体" w:hAnsi="宋体" w:cs="宋体"/>
          <w:szCs w:val="21"/>
        </w:rPr>
      </w:pPr>
      <w:r>
        <w:rPr>
          <w:rFonts w:hint="eastAsia" w:ascii="宋体" w:hAnsi="宋体" w:cs="宋体"/>
          <w:szCs w:val="21"/>
        </w:rPr>
        <w:t>乙方所提供的货物必须</w:t>
      </w:r>
      <w:r>
        <w:rPr>
          <w:rFonts w:hint="eastAsia" w:ascii="宋体" w:hAnsi="宋体" w:cs="宋体"/>
          <w:bCs/>
          <w:szCs w:val="21"/>
        </w:rPr>
        <w:t>是原装、全新的产品，并且符合国家及采购人提出的有关质量标准</w:t>
      </w:r>
      <w:r>
        <w:rPr>
          <w:rFonts w:hint="eastAsia" w:ascii="宋体" w:hAnsi="宋体" w:cs="宋体"/>
          <w:szCs w:val="21"/>
        </w:rPr>
        <w:t>。</w:t>
      </w:r>
    </w:p>
    <w:p>
      <w:pPr>
        <w:numPr>
          <w:ilvl w:val="0"/>
          <w:numId w:val="21"/>
        </w:numPr>
        <w:tabs>
          <w:tab w:val="left" w:pos="840"/>
        </w:tabs>
        <w:spacing w:line="360" w:lineRule="auto"/>
        <w:rPr>
          <w:rFonts w:ascii="宋体" w:hAnsi="宋体" w:cs="宋体"/>
          <w:szCs w:val="21"/>
        </w:rPr>
      </w:pPr>
      <w:r>
        <w:rPr>
          <w:rFonts w:hint="eastAsia" w:ascii="宋体" w:hAnsi="宋体" w:cs="宋体"/>
          <w:szCs w:val="21"/>
        </w:rPr>
        <w:t>货物在质保期内如有质量问题，乙方必须及时响应，并在5天内更换有质量问题的货物。</w:t>
      </w:r>
    </w:p>
    <w:p>
      <w:pPr>
        <w:numPr>
          <w:ilvl w:val="0"/>
          <w:numId w:val="21"/>
        </w:numPr>
        <w:tabs>
          <w:tab w:val="left" w:pos="840"/>
        </w:tabs>
        <w:spacing w:line="360" w:lineRule="auto"/>
        <w:rPr>
          <w:rFonts w:ascii="宋体" w:hAnsi="宋体" w:cs="宋体"/>
          <w:szCs w:val="21"/>
        </w:rPr>
      </w:pPr>
      <w:r>
        <w:rPr>
          <w:rFonts w:hint="eastAsia" w:ascii="宋体" w:hAnsi="宋体" w:cs="宋体"/>
          <w:szCs w:val="21"/>
        </w:rPr>
        <w:t>乙方所投产品制造商须具备完整的售后服务体系、具有快速响应维护能力，能够提供一定数量的库存备件（乙方需承诺库存数量），在项目实施地具有较大规模的销售和售后服务的组织机构及完善快捷的技术支持能力，拥有固定可靠的有效服务网点，负责质保期内外的服务工作。有效服务网点指由乙方自己或者其授权的服务商设立的具有维修和服务能力，并存有相应备品备件的网点。</w:t>
      </w:r>
    </w:p>
    <w:p>
      <w:pPr>
        <w:numPr>
          <w:ilvl w:val="0"/>
          <w:numId w:val="21"/>
        </w:numPr>
        <w:tabs>
          <w:tab w:val="left" w:pos="840"/>
        </w:tabs>
        <w:spacing w:line="360" w:lineRule="auto"/>
        <w:rPr>
          <w:rFonts w:ascii="宋体" w:hAnsi="宋体" w:cs="宋体"/>
          <w:b/>
          <w:bCs/>
          <w:szCs w:val="21"/>
        </w:rPr>
      </w:pPr>
      <w:r>
        <w:rPr>
          <w:rFonts w:hint="eastAsia" w:ascii="宋体" w:hAnsi="宋体" w:cs="宋体"/>
          <w:szCs w:val="21"/>
        </w:rPr>
        <w:t>乙方须保证甲方在其本国使用乙方提供的货物时，不存在任何已知的不合法的情形，也不存在任何已知的与第三方专利权、著作权、商标权或工业设计权相关的任何争议。如果有任何因甲方使用乙方提供的货物而提起的侵权指控，乙方依法承担全部责任。</w:t>
      </w:r>
    </w:p>
    <w:p>
      <w:pPr>
        <w:tabs>
          <w:tab w:val="left" w:pos="840"/>
        </w:tabs>
        <w:spacing w:line="360" w:lineRule="auto"/>
        <w:rPr>
          <w:rFonts w:ascii="宋体" w:hAnsi="宋体" w:cs="宋体"/>
          <w:b/>
          <w:bCs/>
          <w:szCs w:val="21"/>
        </w:rPr>
      </w:pPr>
      <w:r>
        <w:rPr>
          <w:rFonts w:hint="eastAsia" w:ascii="宋体" w:hAnsi="宋体" w:cs="宋体"/>
          <w:b/>
          <w:bCs/>
          <w:szCs w:val="21"/>
        </w:rPr>
        <w:t>第四条 付款方式：</w:t>
      </w:r>
    </w:p>
    <w:p>
      <w:pPr>
        <w:numPr>
          <w:ilvl w:val="0"/>
          <w:numId w:val="22"/>
        </w:numPr>
        <w:tabs>
          <w:tab w:val="left" w:pos="840"/>
        </w:tabs>
        <w:spacing w:line="360" w:lineRule="auto"/>
        <w:rPr>
          <w:rFonts w:ascii="宋体" w:hAnsi="宋体" w:cs="宋体"/>
          <w:szCs w:val="21"/>
        </w:rPr>
      </w:pPr>
      <w:r>
        <w:rPr>
          <w:rFonts w:hint="eastAsia" w:ascii="宋体" w:hAnsi="宋体" w:cs="宋体"/>
          <w:szCs w:val="21"/>
        </w:rPr>
        <w:t>乙方自采购货物经甲方验收合格之日起1个月内，提供该采购货物的全额增值税专用发票给甲方，甲方自收到合法有效发票之日起6个月内，支付相应货款的【95%】；剩余【5%】货款为质量保证金（即质保金），如无质量问题，质保期满后6个月内无息支付。</w:t>
      </w:r>
    </w:p>
    <w:p>
      <w:pPr>
        <w:numPr>
          <w:ilvl w:val="0"/>
          <w:numId w:val="22"/>
        </w:numPr>
        <w:tabs>
          <w:tab w:val="left" w:pos="840"/>
        </w:tabs>
        <w:spacing w:line="360" w:lineRule="auto"/>
        <w:rPr>
          <w:rFonts w:ascii="宋体" w:hAnsi="宋体" w:cs="宋体"/>
          <w:szCs w:val="21"/>
        </w:rPr>
      </w:pPr>
      <w:r>
        <w:rPr>
          <w:rFonts w:hint="eastAsia" w:ascii="宋体" w:hAnsi="宋体" w:cs="宋体"/>
          <w:szCs w:val="21"/>
        </w:rPr>
        <w:t>付款方式：银行转账或银行承兑汇票。</w:t>
      </w:r>
    </w:p>
    <w:p>
      <w:pPr>
        <w:numPr>
          <w:ilvl w:val="0"/>
          <w:numId w:val="22"/>
        </w:numPr>
        <w:tabs>
          <w:tab w:val="left" w:pos="840"/>
        </w:tabs>
        <w:spacing w:line="360" w:lineRule="auto"/>
        <w:rPr>
          <w:rFonts w:ascii="宋体" w:hAnsi="宋体" w:cs="宋体"/>
          <w:szCs w:val="21"/>
        </w:rPr>
      </w:pPr>
      <w:r>
        <w:rPr>
          <w:rFonts w:hint="eastAsia" w:ascii="宋体" w:hAnsi="宋体" w:cs="宋体"/>
          <w:szCs w:val="21"/>
        </w:rPr>
        <w:t>若出现国家税收政策调整时，双方应根据实际税收调整情况，以本合同中的货物不含税单价为依据相应调整受影响的合同含税金额，乙方需按照税收调整政策规定开具合法合规发票。</w:t>
      </w:r>
    </w:p>
    <w:p>
      <w:pPr>
        <w:numPr>
          <w:ilvl w:val="0"/>
          <w:numId w:val="22"/>
        </w:numPr>
        <w:tabs>
          <w:tab w:val="left" w:pos="840"/>
        </w:tabs>
        <w:spacing w:line="360" w:lineRule="auto"/>
        <w:rPr>
          <w:rFonts w:ascii="宋体" w:hAnsi="宋体" w:cs="宋体"/>
          <w:szCs w:val="21"/>
        </w:rPr>
      </w:pPr>
      <w:r>
        <w:rPr>
          <w:rFonts w:hint="eastAsia" w:ascii="宋体" w:hAnsi="宋体" w:cs="宋体"/>
          <w:szCs w:val="21"/>
        </w:rPr>
        <w:t>乙方指定收款账户如下：</w:t>
      </w:r>
    </w:p>
    <w:p>
      <w:pPr>
        <w:widowControl/>
        <w:spacing w:line="360" w:lineRule="auto"/>
        <w:ind w:right="420" w:firstLine="420" w:firstLineChars="200"/>
        <w:rPr>
          <w:rFonts w:ascii="宋体" w:hAnsi="宋体" w:cs="宋体"/>
          <w:szCs w:val="21"/>
        </w:rPr>
      </w:pPr>
      <w:r>
        <w:rPr>
          <w:rFonts w:hint="eastAsia" w:ascii="宋体" w:hAnsi="宋体" w:cs="宋体"/>
          <w:szCs w:val="21"/>
        </w:rPr>
        <w:t>账号：     </w:t>
      </w:r>
    </w:p>
    <w:p>
      <w:pPr>
        <w:widowControl/>
        <w:spacing w:line="360" w:lineRule="auto"/>
        <w:ind w:right="420" w:firstLine="420" w:firstLineChars="200"/>
        <w:rPr>
          <w:rFonts w:ascii="宋体" w:hAnsi="宋体" w:cs="宋体"/>
          <w:szCs w:val="21"/>
        </w:rPr>
      </w:pPr>
      <w:r>
        <w:rPr>
          <w:rFonts w:hint="eastAsia" w:ascii="宋体" w:hAnsi="宋体" w:cs="宋体"/>
          <w:szCs w:val="21"/>
        </w:rPr>
        <w:t>账户名称：     </w:t>
      </w:r>
    </w:p>
    <w:p>
      <w:pPr>
        <w:widowControl/>
        <w:spacing w:line="360" w:lineRule="auto"/>
        <w:ind w:right="420" w:firstLine="420" w:firstLineChars="200"/>
        <w:rPr>
          <w:rFonts w:ascii="宋体" w:hAnsi="宋体" w:cs="宋体"/>
          <w:szCs w:val="21"/>
        </w:rPr>
      </w:pPr>
      <w:r>
        <w:rPr>
          <w:rFonts w:hint="eastAsia" w:ascii="宋体" w:hAnsi="宋体" w:cs="宋体"/>
          <w:szCs w:val="21"/>
        </w:rPr>
        <w:t>开户行：     </w:t>
      </w:r>
    </w:p>
    <w:p>
      <w:pPr>
        <w:numPr>
          <w:ilvl w:val="0"/>
          <w:numId w:val="22"/>
        </w:numPr>
        <w:tabs>
          <w:tab w:val="left" w:pos="840"/>
        </w:tabs>
        <w:spacing w:line="360" w:lineRule="auto"/>
        <w:rPr>
          <w:rFonts w:ascii="宋体" w:hAnsi="宋体" w:cs="宋体"/>
          <w:szCs w:val="21"/>
        </w:rPr>
      </w:pPr>
      <w:r>
        <w:rPr>
          <w:rFonts w:hint="eastAsia" w:ascii="宋体" w:hAnsi="宋体" w:cs="宋体"/>
          <w:szCs w:val="21"/>
        </w:rPr>
        <w:t>若乙方需要改变上述账户，应提前【10】个工作日以书面形式通知甲方，否则，因此造成的损失由乙方自行承担。</w:t>
      </w:r>
    </w:p>
    <w:p>
      <w:pPr>
        <w:spacing w:line="360" w:lineRule="auto"/>
        <w:rPr>
          <w:rFonts w:ascii="宋体" w:hAnsi="宋体" w:cs="宋体"/>
          <w:b/>
          <w:bCs/>
          <w:szCs w:val="21"/>
        </w:rPr>
      </w:pPr>
      <w:r>
        <w:rPr>
          <w:rFonts w:hint="eastAsia" w:ascii="宋体" w:hAnsi="宋体" w:cs="宋体"/>
          <w:b/>
          <w:bCs/>
          <w:szCs w:val="21"/>
        </w:rPr>
        <w:t>第五条 交货期及送货地址：</w:t>
      </w:r>
    </w:p>
    <w:p>
      <w:pPr>
        <w:numPr>
          <w:ilvl w:val="0"/>
          <w:numId w:val="23"/>
        </w:numPr>
        <w:tabs>
          <w:tab w:val="left" w:pos="840"/>
        </w:tabs>
        <w:spacing w:line="360" w:lineRule="auto"/>
        <w:rPr>
          <w:rFonts w:ascii="宋体" w:hAnsi="宋体" w:cs="宋体"/>
          <w:szCs w:val="21"/>
        </w:rPr>
      </w:pPr>
      <w:r>
        <w:rPr>
          <w:rFonts w:hint="eastAsia" w:ascii="宋体" w:hAnsi="宋体" w:cs="宋体"/>
          <w:szCs w:val="21"/>
        </w:rPr>
        <w:t>合同签订后10天（自然日）内交货。</w:t>
      </w:r>
    </w:p>
    <w:p>
      <w:pPr>
        <w:numPr>
          <w:ilvl w:val="0"/>
          <w:numId w:val="23"/>
        </w:numPr>
        <w:tabs>
          <w:tab w:val="left" w:pos="840"/>
        </w:tabs>
        <w:spacing w:line="360" w:lineRule="auto"/>
        <w:rPr>
          <w:rFonts w:ascii="宋体" w:hAnsi="宋体" w:cs="宋体"/>
          <w:szCs w:val="21"/>
        </w:rPr>
      </w:pPr>
      <w:r>
        <w:rPr>
          <w:rFonts w:hint="eastAsia" w:ascii="宋体" w:hAnsi="宋体" w:cs="宋体"/>
          <w:szCs w:val="21"/>
        </w:rPr>
        <w:t>送货地址：佛山市南海区指定地点。</w:t>
      </w:r>
    </w:p>
    <w:p>
      <w:pPr>
        <w:spacing w:line="360" w:lineRule="auto"/>
        <w:rPr>
          <w:rFonts w:ascii="宋体" w:hAnsi="宋体" w:cs="宋体"/>
          <w:b/>
          <w:bCs/>
          <w:szCs w:val="21"/>
        </w:rPr>
      </w:pPr>
      <w:r>
        <w:rPr>
          <w:rFonts w:hint="eastAsia" w:ascii="宋体" w:hAnsi="宋体" w:cs="宋体"/>
          <w:b/>
          <w:bCs/>
          <w:szCs w:val="21"/>
        </w:rPr>
        <w:t>第六条 违约责任</w:t>
      </w:r>
    </w:p>
    <w:p>
      <w:pPr>
        <w:numPr>
          <w:ilvl w:val="0"/>
          <w:numId w:val="24"/>
        </w:numPr>
        <w:tabs>
          <w:tab w:val="left" w:pos="840"/>
        </w:tabs>
        <w:spacing w:line="360" w:lineRule="auto"/>
        <w:rPr>
          <w:rFonts w:ascii="宋体" w:hAnsi="宋体" w:cs="宋体"/>
          <w:szCs w:val="21"/>
        </w:rPr>
      </w:pPr>
      <w:r>
        <w:rPr>
          <w:rFonts w:hint="eastAsia" w:ascii="宋体" w:hAnsi="宋体" w:cs="宋体"/>
          <w:szCs w:val="21"/>
        </w:rPr>
        <w:t>甲方无正当理由拒收验收的，甲方向乙方支付合同总价百分之五的违约金。</w:t>
      </w:r>
    </w:p>
    <w:p>
      <w:pPr>
        <w:numPr>
          <w:ilvl w:val="0"/>
          <w:numId w:val="24"/>
        </w:numPr>
        <w:tabs>
          <w:tab w:val="left" w:pos="840"/>
        </w:tabs>
        <w:spacing w:line="360" w:lineRule="auto"/>
        <w:rPr>
          <w:rFonts w:ascii="宋体" w:hAnsi="宋体" w:cs="宋体"/>
          <w:szCs w:val="21"/>
        </w:rPr>
      </w:pPr>
      <w:r>
        <w:rPr>
          <w:rFonts w:hint="eastAsia" w:ascii="宋体" w:hAnsi="宋体" w:cs="宋体"/>
          <w:szCs w:val="21"/>
        </w:rPr>
        <w:t>甲方逾期付款的，每逾期一日，按合同总价万分之三向乙方支付违约金。</w:t>
      </w:r>
    </w:p>
    <w:p>
      <w:pPr>
        <w:numPr>
          <w:ilvl w:val="0"/>
          <w:numId w:val="24"/>
        </w:numPr>
        <w:tabs>
          <w:tab w:val="left" w:pos="840"/>
        </w:tabs>
        <w:spacing w:line="360" w:lineRule="auto"/>
        <w:rPr>
          <w:rFonts w:ascii="宋体" w:hAnsi="宋体" w:cs="宋体"/>
          <w:szCs w:val="21"/>
          <w:highlight w:val="none"/>
        </w:rPr>
      </w:pPr>
      <w:r>
        <w:rPr>
          <w:rFonts w:hint="eastAsia" w:ascii="宋体" w:hAnsi="宋体" w:cs="宋体"/>
          <w:szCs w:val="21"/>
        </w:rPr>
        <w:t>乙方逾期完工的，每逾期一日，按合同总价万分之三向甲方支付违约金，计至完</w:t>
      </w:r>
      <w:r>
        <w:rPr>
          <w:rFonts w:hint="eastAsia" w:ascii="宋体" w:hAnsi="宋体" w:cs="宋体"/>
          <w:szCs w:val="21"/>
          <w:highlight w:val="none"/>
        </w:rPr>
        <w:t>工之日止。如乙方</w:t>
      </w:r>
      <w:r>
        <w:rPr>
          <w:rFonts w:hint="eastAsia" w:ascii="宋体" w:hAnsi="宋体" w:cs="宋体"/>
          <w:szCs w:val="21"/>
          <w:highlight w:val="none"/>
        </w:rPr>
        <w:t>逾期天</w:t>
      </w:r>
      <w:r>
        <w:rPr>
          <w:rFonts w:hint="eastAsia" w:ascii="宋体" w:hAnsi="宋体" w:cs="宋体"/>
          <w:szCs w:val="21"/>
          <w:highlight w:val="none"/>
        </w:rPr>
        <w:t>仍未完工的，甲方有权终止合同，乙方则应按合同总价百分之五向甲方支付违约金。</w:t>
      </w:r>
    </w:p>
    <w:p>
      <w:pPr>
        <w:numPr>
          <w:ilvl w:val="0"/>
          <w:numId w:val="24"/>
        </w:numPr>
        <w:tabs>
          <w:tab w:val="left" w:pos="840"/>
        </w:tabs>
        <w:spacing w:line="360" w:lineRule="auto"/>
        <w:rPr>
          <w:rFonts w:ascii="宋体" w:hAnsi="宋体" w:cs="宋体"/>
          <w:szCs w:val="21"/>
          <w:highlight w:val="none"/>
        </w:rPr>
      </w:pPr>
      <w:r>
        <w:rPr>
          <w:rFonts w:hint="eastAsia" w:ascii="宋体" w:hAnsi="宋体" w:cs="宋体"/>
          <w:szCs w:val="21"/>
          <w:highlight w:val="none"/>
        </w:rPr>
        <w:t>乙方交付货物的品质、性能、技术标准、质量要求不符合合同约定的，甲方有权向乙方提出更换货物及索赔，乙方应在甲方提出之日</w:t>
      </w:r>
      <w:r>
        <w:rPr>
          <w:rFonts w:hint="eastAsia" w:ascii="宋体" w:hAnsi="宋体" w:cs="宋体"/>
          <w:szCs w:val="21"/>
          <w:highlight w:val="none"/>
        </w:rPr>
        <w:t>起天内</w:t>
      </w:r>
      <w:r>
        <w:rPr>
          <w:rFonts w:hint="eastAsia" w:ascii="宋体" w:hAnsi="宋体" w:cs="宋体"/>
          <w:szCs w:val="21"/>
          <w:highlight w:val="none"/>
        </w:rPr>
        <w:t>免费</w:t>
      </w:r>
      <w:bookmarkStart w:id="9" w:name="_GoBack"/>
      <w:bookmarkEnd w:id="9"/>
      <w:r>
        <w:rPr>
          <w:rFonts w:hint="eastAsia" w:ascii="宋体" w:hAnsi="宋体" w:cs="宋体"/>
          <w:szCs w:val="21"/>
          <w:highlight w:val="none"/>
        </w:rPr>
        <w:t xml:space="preserve">更换货物。 </w:t>
      </w:r>
    </w:p>
    <w:p>
      <w:pPr>
        <w:numPr>
          <w:ilvl w:val="0"/>
          <w:numId w:val="24"/>
        </w:numPr>
        <w:tabs>
          <w:tab w:val="left" w:pos="840"/>
        </w:tabs>
        <w:spacing w:line="360" w:lineRule="auto"/>
        <w:ind w:left="0" w:leftChars="0" w:firstLine="420" w:firstLineChars="0"/>
        <w:rPr>
          <w:rFonts w:ascii="宋体" w:hAnsi="宋体" w:cs="宋体"/>
          <w:szCs w:val="21"/>
        </w:rPr>
      </w:pPr>
      <w:r>
        <w:rPr>
          <w:rFonts w:hint="eastAsia" w:ascii="宋体" w:hAnsi="宋体" w:cs="宋体"/>
          <w:szCs w:val="21"/>
        </w:rPr>
        <w:t>如经两次更换，货物质量仍不符合合同约定的，甲方有权终止合同，乙方应向甲方返还已付款项，并按合同总价百分之五向甲方支付违约金。</w:t>
      </w:r>
    </w:p>
    <w:p>
      <w:pPr>
        <w:numPr>
          <w:ilvl w:val="0"/>
          <w:numId w:val="24"/>
        </w:numPr>
        <w:tabs>
          <w:tab w:val="left" w:pos="840"/>
        </w:tabs>
        <w:spacing w:line="360" w:lineRule="auto"/>
        <w:rPr>
          <w:rFonts w:ascii="宋体" w:hAnsi="宋体" w:cs="宋体"/>
          <w:szCs w:val="21"/>
        </w:rPr>
      </w:pPr>
      <w:r>
        <w:rPr>
          <w:rFonts w:hint="eastAsia" w:ascii="宋体" w:hAnsi="宋体" w:cs="宋体"/>
          <w:szCs w:val="21"/>
        </w:rPr>
        <w:t>乙方保证本合同项下的货物的权利无瑕疵，包括货物所有权及知识产权等权利无瑕疵。如任何第三方经法院（或仲裁机构）裁决有权对上述货物主张权利或国家机关依法对货物进行没收查处的，乙方除应向甲方返还已收款项外，还应按合同总价百分之五向甲方支付的违约金并赔偿因此给甲方造成的一切损失。</w:t>
      </w:r>
    </w:p>
    <w:p>
      <w:pPr>
        <w:numPr>
          <w:ilvl w:val="0"/>
          <w:numId w:val="25"/>
        </w:numPr>
        <w:spacing w:line="360" w:lineRule="auto"/>
        <w:rPr>
          <w:rFonts w:ascii="宋体" w:hAnsi="宋体" w:cs="宋体"/>
          <w:b/>
          <w:bCs/>
          <w:szCs w:val="21"/>
        </w:rPr>
      </w:pPr>
      <w:r>
        <w:rPr>
          <w:rFonts w:hint="eastAsia" w:ascii="宋体" w:hAnsi="宋体" w:cs="宋体"/>
          <w:b/>
          <w:bCs/>
          <w:szCs w:val="21"/>
        </w:rPr>
        <w:t>不可抗力</w:t>
      </w:r>
    </w:p>
    <w:p>
      <w:pPr>
        <w:spacing w:line="360" w:lineRule="auto"/>
        <w:ind w:firstLine="420" w:firstLineChars="200"/>
        <w:rPr>
          <w:rFonts w:ascii="宋体" w:hAnsi="宋体" w:cs="宋体"/>
          <w:szCs w:val="21"/>
        </w:rPr>
      </w:pPr>
      <w:r>
        <w:rPr>
          <w:rFonts w:hint="eastAsia" w:ascii="宋体" w:hAnsi="宋体" w:cs="宋体"/>
          <w:szCs w:val="21"/>
        </w:rPr>
        <w:t>任何一方由于不可抗力的原因不能履行合同时，应在不可抗力发生后天内向对方通报不能履行或不能完全履行的理由，在取得不可抗力发生地市级以上政府相关部门证明以后，允许延期履行、部分履行或者不履行合同，并根据情况可部分或全部免于承担违约责任。</w:t>
      </w:r>
    </w:p>
    <w:p>
      <w:pPr>
        <w:spacing w:line="360" w:lineRule="auto"/>
        <w:rPr>
          <w:rFonts w:ascii="宋体" w:hAnsi="宋体" w:cs="宋体"/>
          <w:b/>
          <w:bCs/>
          <w:szCs w:val="21"/>
        </w:rPr>
      </w:pPr>
      <w:r>
        <w:rPr>
          <w:rFonts w:hint="eastAsia" w:ascii="宋体" w:hAnsi="宋体" w:cs="宋体"/>
          <w:b/>
          <w:bCs/>
          <w:szCs w:val="21"/>
        </w:rPr>
        <w:t>第八条 合同的变更、中止、终止</w:t>
      </w:r>
    </w:p>
    <w:p>
      <w:pPr>
        <w:spacing w:line="360" w:lineRule="auto"/>
        <w:ind w:firstLine="420" w:firstLineChars="200"/>
        <w:rPr>
          <w:rFonts w:ascii="宋体" w:hAnsi="宋体" w:cs="宋体"/>
          <w:szCs w:val="21"/>
        </w:rPr>
      </w:pPr>
      <w:r>
        <w:rPr>
          <w:rFonts w:hint="eastAsia" w:ascii="宋体" w:hAnsi="宋体" w:cs="宋体"/>
          <w:szCs w:val="21"/>
        </w:rPr>
        <w:t>甲乙双方均不得擅自变更、中止或者终止本合同。</w:t>
      </w:r>
    </w:p>
    <w:p>
      <w:pPr>
        <w:spacing w:line="360" w:lineRule="auto"/>
        <w:ind w:firstLine="420" w:firstLineChars="200"/>
        <w:rPr>
          <w:rFonts w:ascii="宋体" w:hAnsi="宋体" w:cs="宋体"/>
          <w:szCs w:val="21"/>
        </w:rPr>
      </w:pPr>
      <w:r>
        <w:rPr>
          <w:rFonts w:hint="eastAsia" w:ascii="宋体" w:hAnsi="宋体" w:cs="宋体"/>
          <w:szCs w:val="21"/>
        </w:rPr>
        <w:t>如继续履行本合同将损害国家利益和社会公共利益的，双方应变更、中止或者终止合同。双方不能就此协商一致的，按本合同第十条处理。</w:t>
      </w:r>
    </w:p>
    <w:p>
      <w:pPr>
        <w:numPr>
          <w:ilvl w:val="0"/>
          <w:numId w:val="26"/>
        </w:numPr>
        <w:spacing w:line="360" w:lineRule="auto"/>
        <w:rPr>
          <w:rFonts w:ascii="宋体" w:hAnsi="宋体" w:cs="宋体"/>
          <w:b/>
          <w:bCs/>
          <w:szCs w:val="21"/>
        </w:rPr>
      </w:pPr>
      <w:r>
        <w:rPr>
          <w:rFonts w:hint="eastAsia" w:ascii="宋体" w:hAnsi="宋体" w:cs="宋体"/>
          <w:b/>
          <w:bCs/>
          <w:szCs w:val="21"/>
        </w:rPr>
        <w:t>法律适用和争议解决</w:t>
      </w:r>
    </w:p>
    <w:p>
      <w:pPr>
        <w:spacing w:line="360" w:lineRule="auto"/>
        <w:ind w:firstLine="420" w:firstLineChars="200"/>
        <w:rPr>
          <w:rFonts w:ascii="宋体" w:hAnsi="宋体" w:cs="宋体"/>
          <w:szCs w:val="21"/>
        </w:rPr>
      </w:pPr>
      <w:r>
        <w:rPr>
          <w:rFonts w:hint="eastAsia" w:ascii="宋体" w:hAnsi="宋体" w:cs="宋体"/>
          <w:szCs w:val="21"/>
        </w:rPr>
        <w:t>本合同适用法律为中华人民共和国法律、法规。</w:t>
      </w:r>
    </w:p>
    <w:p>
      <w:pPr>
        <w:spacing w:line="360" w:lineRule="auto"/>
        <w:ind w:firstLine="420" w:firstLineChars="200"/>
        <w:rPr>
          <w:rFonts w:ascii="宋体" w:hAnsi="宋体" w:cs="宋体"/>
          <w:szCs w:val="21"/>
        </w:rPr>
      </w:pPr>
      <w:r>
        <w:rPr>
          <w:rFonts w:hint="eastAsia" w:ascii="宋体" w:hAnsi="宋体" w:cs="宋体"/>
          <w:szCs w:val="21"/>
        </w:rPr>
        <w:t>如履行本合同过程中发生争议的，由双方当事人协商解决。协商不成的，双方同意向佛山仲裁委员会提起仲裁。</w:t>
      </w:r>
    </w:p>
    <w:p>
      <w:pPr>
        <w:numPr>
          <w:ilvl w:val="0"/>
          <w:numId w:val="26"/>
        </w:numPr>
        <w:spacing w:line="360" w:lineRule="auto"/>
        <w:rPr>
          <w:rFonts w:ascii="宋体" w:hAnsi="宋体" w:cs="宋体"/>
          <w:b/>
          <w:bCs/>
          <w:szCs w:val="21"/>
        </w:rPr>
      </w:pPr>
      <w:r>
        <w:rPr>
          <w:rFonts w:hint="eastAsia" w:ascii="宋体" w:hAnsi="宋体" w:cs="宋体"/>
          <w:b/>
          <w:bCs/>
          <w:szCs w:val="21"/>
        </w:rPr>
        <w:t>其它</w:t>
      </w:r>
    </w:p>
    <w:p>
      <w:pPr>
        <w:numPr>
          <w:ilvl w:val="0"/>
          <w:numId w:val="27"/>
        </w:numPr>
        <w:spacing w:line="360" w:lineRule="auto"/>
        <w:rPr>
          <w:rFonts w:ascii="宋体" w:hAnsi="宋体" w:cs="宋体"/>
          <w:szCs w:val="21"/>
        </w:rPr>
      </w:pPr>
      <w:r>
        <w:rPr>
          <w:rFonts w:hint="eastAsia" w:ascii="宋体" w:hAnsi="宋体" w:cs="宋体"/>
          <w:szCs w:val="21"/>
        </w:rPr>
        <w:t>本合同所有附件都是本合同不可分割的一部分，与本合同具有同等法律效力。本合同附件与本合同条款有冲突的，以本合同条款为准。</w:t>
      </w:r>
    </w:p>
    <w:p>
      <w:pPr>
        <w:numPr>
          <w:ilvl w:val="0"/>
          <w:numId w:val="27"/>
        </w:numPr>
        <w:spacing w:line="360" w:lineRule="auto"/>
        <w:rPr>
          <w:rFonts w:ascii="宋体" w:hAnsi="宋体" w:cs="宋体"/>
          <w:szCs w:val="21"/>
        </w:rPr>
      </w:pPr>
      <w:r>
        <w:rPr>
          <w:rFonts w:hint="eastAsia" w:ascii="宋体" w:hAnsi="宋体" w:cs="宋体"/>
          <w:szCs w:val="21"/>
        </w:rPr>
        <w:t>有关本合同条款的修改、补充和变更，均应以书面形式进行，经双方签名、盖公章后生效，但所有补充合同的采购金额不得超过本合同采购金额的百分之十，超过的部分无效。</w:t>
      </w:r>
    </w:p>
    <w:p>
      <w:pPr>
        <w:spacing w:line="360" w:lineRule="auto"/>
        <w:rPr>
          <w:rFonts w:ascii="宋体" w:hAnsi="宋体" w:cs="宋体"/>
          <w:b/>
          <w:bCs/>
          <w:szCs w:val="21"/>
        </w:rPr>
      </w:pPr>
      <w:r>
        <w:rPr>
          <w:rFonts w:hint="eastAsia" w:ascii="宋体" w:hAnsi="宋体" w:cs="宋体"/>
          <w:b/>
          <w:bCs/>
          <w:szCs w:val="21"/>
        </w:rPr>
        <w:t>第十一条 合同的效力</w:t>
      </w:r>
    </w:p>
    <w:p>
      <w:pPr>
        <w:pStyle w:val="12"/>
        <w:snapToGrid w:val="0"/>
        <w:ind w:firstLine="420" w:firstLineChars="200"/>
        <w:rPr>
          <w:rFonts w:ascii="宋体" w:hAnsi="宋体" w:cs="宋体"/>
          <w:kern w:val="0"/>
          <w:szCs w:val="21"/>
        </w:rPr>
      </w:pPr>
      <w:r>
        <w:rPr>
          <w:rFonts w:hint="eastAsia" w:ascii="宋体" w:hAnsi="宋体" w:cs="宋体"/>
          <w:kern w:val="0"/>
          <w:szCs w:val="21"/>
        </w:rPr>
        <w:t>本合同一式</w:t>
      </w:r>
      <w:r>
        <w:rPr>
          <w:rFonts w:hint="eastAsia" w:ascii="宋体" w:hAnsi="宋体" w:cs="宋体"/>
          <w:kern w:val="0"/>
          <w:szCs w:val="21"/>
          <w:u w:val="single"/>
        </w:rPr>
        <w:t xml:space="preserve"> 肆 </w:t>
      </w:r>
      <w:r>
        <w:rPr>
          <w:rFonts w:hint="eastAsia" w:ascii="宋体" w:hAnsi="宋体" w:cs="宋体"/>
          <w:kern w:val="0"/>
          <w:szCs w:val="21"/>
        </w:rPr>
        <w:t>份 ，甲方执</w:t>
      </w:r>
      <w:r>
        <w:rPr>
          <w:rFonts w:hint="eastAsia" w:ascii="宋体" w:hAnsi="宋体" w:cs="宋体"/>
          <w:kern w:val="0"/>
          <w:szCs w:val="21"/>
          <w:u w:val="single"/>
        </w:rPr>
        <w:t>叁</w:t>
      </w:r>
      <w:r>
        <w:rPr>
          <w:rFonts w:hint="eastAsia" w:ascii="宋体" w:hAnsi="宋体" w:cs="宋体"/>
          <w:kern w:val="0"/>
          <w:szCs w:val="21"/>
        </w:rPr>
        <w:t>份，乙方执</w:t>
      </w:r>
      <w:r>
        <w:rPr>
          <w:rFonts w:hint="eastAsia" w:ascii="宋体" w:hAnsi="宋体" w:cs="宋体"/>
          <w:kern w:val="0"/>
          <w:szCs w:val="21"/>
          <w:u w:val="single"/>
        </w:rPr>
        <w:t xml:space="preserve"> 壹 </w:t>
      </w:r>
      <w:r>
        <w:rPr>
          <w:rFonts w:hint="eastAsia" w:ascii="宋体" w:hAnsi="宋体" w:cs="宋体"/>
          <w:kern w:val="0"/>
          <w:szCs w:val="21"/>
        </w:rPr>
        <w:t>份，均具有同等法律效力，自甲乙双方签字盖章之日起生效,本合同执行完毕自然终止。</w:t>
      </w:r>
    </w:p>
    <w:p>
      <w:pPr>
        <w:spacing w:line="360" w:lineRule="auto"/>
        <w:ind w:firstLine="420" w:firstLineChars="200"/>
        <w:rPr>
          <w:rFonts w:ascii="宋体" w:hAnsi="宋体" w:cs="宋体"/>
          <w:bCs/>
          <w:szCs w:val="21"/>
        </w:rPr>
      </w:pPr>
      <w:r>
        <w:rPr>
          <w:rFonts w:hint="eastAsia" w:ascii="宋体" w:hAnsi="宋体" w:cs="宋体"/>
          <w:bCs/>
          <w:szCs w:val="21"/>
        </w:rPr>
        <w:t>甲方（盖章）：广东省广播电视网络股份有限公司佛山南海分公司</w:t>
      </w:r>
    </w:p>
    <w:p>
      <w:pPr>
        <w:spacing w:line="360" w:lineRule="auto"/>
        <w:ind w:left="420"/>
        <w:rPr>
          <w:rFonts w:ascii="宋体" w:hAnsi="宋体" w:cs="宋体"/>
          <w:bCs/>
          <w:szCs w:val="21"/>
        </w:rPr>
      </w:pPr>
      <w:r>
        <w:rPr>
          <w:rFonts w:hint="eastAsia" w:ascii="宋体" w:hAnsi="宋体" w:cs="宋体"/>
          <w:bCs/>
          <w:szCs w:val="21"/>
        </w:rPr>
        <w:t xml:space="preserve">负责人或授权代表人：                               </w:t>
      </w:r>
    </w:p>
    <w:p>
      <w:pPr>
        <w:spacing w:line="360" w:lineRule="auto"/>
        <w:ind w:left="420"/>
        <w:rPr>
          <w:rFonts w:ascii="宋体" w:hAnsi="宋体" w:cs="宋体"/>
          <w:bCs/>
          <w:szCs w:val="21"/>
        </w:rPr>
      </w:pPr>
      <w:r>
        <w:rPr>
          <w:rFonts w:hint="eastAsia" w:ascii="宋体" w:hAnsi="宋体" w:cs="宋体"/>
          <w:bCs/>
          <w:szCs w:val="21"/>
        </w:rPr>
        <w:t>经办人：</w:t>
      </w:r>
    </w:p>
    <w:p>
      <w:pPr>
        <w:spacing w:line="360" w:lineRule="auto"/>
        <w:ind w:left="420"/>
        <w:rPr>
          <w:rFonts w:ascii="宋体" w:hAnsi="宋体" w:cs="宋体"/>
          <w:bCs/>
          <w:szCs w:val="21"/>
        </w:rPr>
      </w:pPr>
      <w:r>
        <w:rPr>
          <w:rFonts w:hint="eastAsia" w:ascii="宋体" w:hAnsi="宋体" w:cs="宋体"/>
          <w:bCs/>
          <w:szCs w:val="21"/>
        </w:rPr>
        <w:t>电话：</w:t>
      </w:r>
    </w:p>
    <w:p>
      <w:pPr>
        <w:spacing w:line="360" w:lineRule="auto"/>
        <w:ind w:left="420"/>
        <w:rPr>
          <w:rFonts w:ascii="宋体" w:hAnsi="宋体" w:cs="宋体"/>
          <w:bCs/>
          <w:szCs w:val="21"/>
        </w:rPr>
      </w:pPr>
      <w:r>
        <w:rPr>
          <w:rFonts w:hint="eastAsia" w:ascii="宋体" w:hAnsi="宋体" w:cs="宋体"/>
          <w:bCs/>
          <w:szCs w:val="21"/>
        </w:rPr>
        <w:t>日期：2024年     月    日</w:t>
      </w:r>
      <w:r>
        <w:rPr>
          <w:rFonts w:hint="eastAsia" w:ascii="宋体" w:hAnsi="宋体" w:cs="宋体"/>
          <w:bCs/>
          <w:szCs w:val="21"/>
        </w:rPr>
        <w:tab/>
      </w:r>
    </w:p>
    <w:p>
      <w:pPr>
        <w:spacing w:line="360" w:lineRule="auto"/>
        <w:ind w:left="420"/>
        <w:rPr>
          <w:rFonts w:ascii="宋体" w:hAnsi="宋体" w:cs="宋体"/>
          <w:bCs/>
          <w:szCs w:val="21"/>
        </w:rPr>
      </w:pPr>
      <w:r>
        <w:rPr>
          <w:rFonts w:hint="eastAsia" w:ascii="宋体" w:hAnsi="宋体" w:cs="宋体"/>
          <w:bCs/>
          <w:szCs w:val="21"/>
        </w:rPr>
        <w:t>乙方（盖章）：</w:t>
      </w:r>
    </w:p>
    <w:p>
      <w:pPr>
        <w:spacing w:line="360" w:lineRule="auto"/>
        <w:ind w:left="420"/>
        <w:rPr>
          <w:rFonts w:ascii="宋体" w:hAnsi="宋体" w:cs="宋体"/>
          <w:bCs/>
          <w:szCs w:val="21"/>
        </w:rPr>
      </w:pPr>
      <w:r>
        <w:rPr>
          <w:rFonts w:hint="eastAsia" w:ascii="宋体" w:hAnsi="宋体" w:cs="宋体"/>
          <w:bCs/>
          <w:szCs w:val="21"/>
        </w:rPr>
        <w:t xml:space="preserve">法定代表人或授权代表人：                           </w:t>
      </w:r>
    </w:p>
    <w:p>
      <w:pPr>
        <w:spacing w:line="360" w:lineRule="auto"/>
        <w:ind w:left="420"/>
        <w:rPr>
          <w:rFonts w:ascii="宋体" w:hAnsi="宋体" w:cs="宋体"/>
          <w:bCs/>
          <w:szCs w:val="21"/>
        </w:rPr>
      </w:pPr>
      <w:r>
        <w:rPr>
          <w:rFonts w:hint="eastAsia" w:ascii="宋体" w:hAnsi="宋体" w:cs="宋体"/>
          <w:bCs/>
          <w:szCs w:val="21"/>
        </w:rPr>
        <w:t>经办人：</w:t>
      </w:r>
    </w:p>
    <w:p>
      <w:pPr>
        <w:spacing w:line="360" w:lineRule="auto"/>
        <w:ind w:left="420"/>
        <w:rPr>
          <w:rFonts w:ascii="宋体" w:hAnsi="宋体" w:cs="宋体"/>
          <w:bCs/>
          <w:szCs w:val="21"/>
        </w:rPr>
      </w:pPr>
      <w:r>
        <w:rPr>
          <w:rFonts w:hint="eastAsia" w:ascii="宋体" w:hAnsi="宋体" w:cs="宋体"/>
          <w:bCs/>
          <w:szCs w:val="21"/>
        </w:rPr>
        <w:t>电话：</w:t>
      </w:r>
    </w:p>
    <w:p>
      <w:pPr>
        <w:spacing w:line="360" w:lineRule="auto"/>
        <w:ind w:left="420"/>
        <w:rPr>
          <w:rFonts w:ascii="宋体" w:hAnsi="宋体" w:cs="宋体"/>
          <w:bCs/>
          <w:szCs w:val="21"/>
        </w:rPr>
      </w:pPr>
      <w:r>
        <w:rPr>
          <w:rFonts w:hint="eastAsia" w:ascii="宋体" w:hAnsi="宋体" w:cs="宋体"/>
          <w:bCs/>
          <w:szCs w:val="21"/>
        </w:rPr>
        <w:t>日期：2024年     月     日</w:t>
      </w:r>
    </w:p>
    <w:p>
      <w:pPr>
        <w:spacing w:line="360" w:lineRule="auto"/>
        <w:ind w:firstLine="420" w:firstLineChars="200"/>
        <w:rPr>
          <w:rFonts w:ascii="宋体" w:hAnsi="宋体" w:cs="宋体"/>
          <w:color w:val="000000" w:themeColor="text1"/>
        </w:rPr>
      </w:pPr>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6</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16</w:t>
    </w:r>
    <w:r>
      <w:rPr>
        <w:b/>
        <w:bCs/>
        <w:sz w:val="24"/>
        <w:szCs w:val="24"/>
      </w:rPr>
      <w:fldChar w:fldCharType="end"/>
    </w:r>
  </w:p>
  <w:p>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18</w:t>
    </w:r>
    <w:r>
      <w:rPr>
        <w:b/>
        <w:bCs/>
        <w:sz w:val="24"/>
        <w:szCs w:val="24"/>
      </w:rPr>
      <w:fldChar w:fldCharType="end"/>
    </w:r>
  </w:p>
  <w:p>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B0C305"/>
    <w:multiLevelType w:val="singleLevel"/>
    <w:tmpl w:val="99B0C305"/>
    <w:lvl w:ilvl="0" w:tentative="0">
      <w:start w:val="1"/>
      <w:numFmt w:val="chineseCounting"/>
      <w:suff w:val="nothing"/>
      <w:lvlText w:val="（%1）"/>
      <w:lvlJc w:val="left"/>
      <w:pPr>
        <w:ind w:left="-420" w:firstLine="420"/>
      </w:pPr>
      <w:rPr>
        <w:rFonts w:hint="eastAsia"/>
      </w:rPr>
    </w:lvl>
  </w:abstractNum>
  <w:abstractNum w:abstractNumId="1">
    <w:nsid w:val="9F64AE5E"/>
    <w:multiLevelType w:val="singleLevel"/>
    <w:tmpl w:val="9F64AE5E"/>
    <w:lvl w:ilvl="0" w:tentative="0">
      <w:start w:val="1"/>
      <w:numFmt w:val="chineseCounting"/>
      <w:suff w:val="nothing"/>
      <w:lvlText w:val="（%1）"/>
      <w:lvlJc w:val="left"/>
      <w:pPr>
        <w:ind w:left="-420" w:firstLine="420"/>
      </w:pPr>
      <w:rPr>
        <w:rFonts w:hint="eastAsia"/>
      </w:rPr>
    </w:lvl>
  </w:abstractNum>
  <w:abstractNum w:abstractNumId="2">
    <w:nsid w:val="C6A8199D"/>
    <w:multiLevelType w:val="singleLevel"/>
    <w:tmpl w:val="C6A8199D"/>
    <w:lvl w:ilvl="0" w:tentative="0">
      <w:start w:val="1"/>
      <w:numFmt w:val="chineseCounting"/>
      <w:suff w:val="nothing"/>
      <w:lvlText w:val="（%1）"/>
      <w:lvlJc w:val="left"/>
      <w:pPr>
        <w:ind w:left="-210" w:firstLine="420"/>
      </w:pPr>
      <w:rPr>
        <w:rFonts w:hint="eastAsia"/>
      </w:rPr>
    </w:lvl>
  </w:abstractNum>
  <w:abstractNum w:abstractNumId="3">
    <w:nsid w:val="CCC5A8BB"/>
    <w:multiLevelType w:val="singleLevel"/>
    <w:tmpl w:val="CCC5A8BB"/>
    <w:lvl w:ilvl="0" w:tentative="0">
      <w:start w:val="1"/>
      <w:numFmt w:val="chineseCounting"/>
      <w:suff w:val="space"/>
      <w:lvlText w:val="第%1条"/>
      <w:lvlJc w:val="left"/>
      <w:rPr>
        <w:rFonts w:hint="eastAsia"/>
      </w:rPr>
    </w:lvl>
  </w:abstractNum>
  <w:abstractNum w:abstractNumId="4">
    <w:nsid w:val="DA678D34"/>
    <w:multiLevelType w:val="singleLevel"/>
    <w:tmpl w:val="DA678D34"/>
    <w:lvl w:ilvl="0" w:tentative="0">
      <w:start w:val="1"/>
      <w:numFmt w:val="chineseCounting"/>
      <w:suff w:val="nothing"/>
      <w:lvlText w:val="（%1）"/>
      <w:lvlJc w:val="left"/>
      <w:pPr>
        <w:ind w:left="0" w:firstLine="420"/>
      </w:pPr>
      <w:rPr>
        <w:rFonts w:hint="eastAsia"/>
      </w:rPr>
    </w:lvl>
  </w:abstractNum>
  <w:abstractNum w:abstractNumId="5">
    <w:nsid w:val="E587E3B3"/>
    <w:multiLevelType w:val="singleLevel"/>
    <w:tmpl w:val="E587E3B3"/>
    <w:lvl w:ilvl="0" w:tentative="0">
      <w:start w:val="1"/>
      <w:numFmt w:val="chineseCounting"/>
      <w:suff w:val="nothing"/>
      <w:lvlText w:val="（%1）"/>
      <w:lvlJc w:val="left"/>
      <w:pPr>
        <w:ind w:left="0" w:firstLine="420"/>
      </w:pPr>
      <w:rPr>
        <w:rFonts w:hint="eastAsia"/>
      </w:rPr>
    </w:lvl>
  </w:abstractNum>
  <w:abstractNum w:abstractNumId="6">
    <w:nsid w:val="EFF3AD52"/>
    <w:multiLevelType w:val="singleLevel"/>
    <w:tmpl w:val="EFF3AD52"/>
    <w:lvl w:ilvl="0" w:tentative="0">
      <w:start w:val="1"/>
      <w:numFmt w:val="chineseCounting"/>
      <w:suff w:val="nothing"/>
      <w:lvlText w:val="（%1）"/>
      <w:lvlJc w:val="left"/>
      <w:pPr>
        <w:ind w:left="-210" w:firstLine="420"/>
      </w:pPr>
      <w:rPr>
        <w:rFonts w:hint="eastAsia"/>
      </w:rPr>
    </w:lvl>
  </w:abstractNum>
  <w:abstractNum w:abstractNumId="7">
    <w:nsid w:val="F54182F2"/>
    <w:multiLevelType w:val="singleLevel"/>
    <w:tmpl w:val="F54182F2"/>
    <w:lvl w:ilvl="0" w:tentative="0">
      <w:start w:val="7"/>
      <w:numFmt w:val="chineseCounting"/>
      <w:suff w:val="space"/>
      <w:lvlText w:val="第%1条"/>
      <w:lvlJc w:val="left"/>
      <w:rPr>
        <w:rFonts w:hint="eastAsia"/>
      </w:rPr>
    </w:lvl>
  </w:abstractNum>
  <w:abstractNum w:abstractNumId="8">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9">
    <w:nsid w:val="125214F2"/>
    <w:multiLevelType w:val="multilevel"/>
    <w:tmpl w:val="125214F2"/>
    <w:lvl w:ilvl="0" w:tentative="0">
      <w:start w:val="1"/>
      <w:numFmt w:val="decimal"/>
      <w:suff w:val="nothing"/>
      <w:lvlText w:val="%1)"/>
      <w:lvlJc w:val="left"/>
      <w:pPr>
        <w:ind w:left="840" w:hanging="420"/>
      </w:pPr>
      <w:rPr>
        <w:rFonts w:hint="default"/>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0">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1">
    <w:nsid w:val="167AE936"/>
    <w:multiLevelType w:val="singleLevel"/>
    <w:tmpl w:val="167AE936"/>
    <w:lvl w:ilvl="0" w:tentative="0">
      <w:start w:val="1"/>
      <w:numFmt w:val="chineseCounting"/>
      <w:suff w:val="nothing"/>
      <w:lvlText w:val="（%1）"/>
      <w:lvlJc w:val="left"/>
      <w:pPr>
        <w:ind w:left="0" w:firstLine="420"/>
      </w:pPr>
      <w:rPr>
        <w:rFonts w:hint="eastAsia"/>
      </w:rPr>
    </w:lvl>
  </w:abstractNum>
  <w:abstractNum w:abstractNumId="12">
    <w:nsid w:val="1696A1F1"/>
    <w:multiLevelType w:val="singleLevel"/>
    <w:tmpl w:val="1696A1F1"/>
    <w:lvl w:ilvl="0" w:tentative="0">
      <w:start w:val="1"/>
      <w:numFmt w:val="chineseCounting"/>
      <w:suff w:val="nothing"/>
      <w:lvlText w:val="（%1）"/>
      <w:lvlJc w:val="left"/>
      <w:pPr>
        <w:ind w:left="0" w:firstLine="420"/>
      </w:pPr>
      <w:rPr>
        <w:rFonts w:hint="eastAsia"/>
      </w:rPr>
    </w:lvl>
  </w:abstractNum>
  <w:abstractNum w:abstractNumId="13">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4">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5">
    <w:nsid w:val="259C1D66"/>
    <w:multiLevelType w:val="multilevel"/>
    <w:tmpl w:val="259C1D66"/>
    <w:lvl w:ilvl="0" w:tentative="0">
      <w:start w:val="1"/>
      <w:numFmt w:val="decimal"/>
      <w:suff w:val="nothing"/>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6">
    <w:nsid w:val="34433F59"/>
    <w:multiLevelType w:val="multilevel"/>
    <w:tmpl w:val="34433F59"/>
    <w:lvl w:ilvl="0" w:tentative="0">
      <w:start w:val="1"/>
      <w:numFmt w:val="decimal"/>
      <w:suff w:val="nothing"/>
      <w:lvlText w:val="%1."/>
      <w:lvlJc w:val="left"/>
      <w:pPr>
        <w:ind w:left="420" w:hanging="420"/>
      </w:pPr>
      <w:rPr>
        <w:rFonts w:hint="default"/>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7">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8">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9">
    <w:nsid w:val="44EE503A"/>
    <w:multiLevelType w:val="singleLevel"/>
    <w:tmpl w:val="44EE503A"/>
    <w:lvl w:ilvl="0" w:tentative="0">
      <w:start w:val="1"/>
      <w:numFmt w:val="chineseCounting"/>
      <w:suff w:val="nothing"/>
      <w:lvlText w:val="（%1）"/>
      <w:lvlJc w:val="left"/>
      <w:pPr>
        <w:ind w:left="-420" w:firstLine="420"/>
      </w:pPr>
      <w:rPr>
        <w:rFonts w:hint="eastAsia"/>
      </w:rPr>
    </w:lvl>
  </w:abstractNum>
  <w:abstractNum w:abstractNumId="20">
    <w:nsid w:val="4CE23F7C"/>
    <w:multiLevelType w:val="multilevel"/>
    <w:tmpl w:val="4CE23F7C"/>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21">
    <w:nsid w:val="55FB6BFE"/>
    <w:multiLevelType w:val="singleLevel"/>
    <w:tmpl w:val="55FB6BFE"/>
    <w:lvl w:ilvl="0" w:tentative="0">
      <w:start w:val="9"/>
      <w:numFmt w:val="chineseCounting"/>
      <w:suff w:val="space"/>
      <w:lvlText w:val="第%1条"/>
      <w:lvlJc w:val="left"/>
    </w:lvl>
  </w:abstractNum>
  <w:abstractNum w:abstractNumId="22">
    <w:nsid w:val="55FB74CC"/>
    <w:multiLevelType w:val="singleLevel"/>
    <w:tmpl w:val="55FB74CC"/>
    <w:lvl w:ilvl="0" w:tentative="0">
      <w:start w:val="2"/>
      <w:numFmt w:val="chineseCounting"/>
      <w:suff w:val="space"/>
      <w:lvlText w:val="第%1条"/>
      <w:lvlJc w:val="left"/>
    </w:lvl>
  </w:abstractNum>
  <w:abstractNum w:abstractNumId="23">
    <w:nsid w:val="5920EAB9"/>
    <w:multiLevelType w:val="singleLevel"/>
    <w:tmpl w:val="5920EAB9"/>
    <w:lvl w:ilvl="0" w:tentative="0">
      <w:start w:val="1"/>
      <w:numFmt w:val="chineseCounting"/>
      <w:suff w:val="nothing"/>
      <w:lvlText w:val="%1、"/>
      <w:lvlJc w:val="left"/>
    </w:lvl>
  </w:abstractNum>
  <w:abstractNum w:abstractNumId="24">
    <w:nsid w:val="59794862"/>
    <w:multiLevelType w:val="multilevel"/>
    <w:tmpl w:val="5979486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5">
    <w:nsid w:val="796BE1E6"/>
    <w:multiLevelType w:val="multilevel"/>
    <w:tmpl w:val="796BE1E6"/>
    <w:lvl w:ilvl="0" w:tentative="0">
      <w:start w:val="1"/>
      <w:numFmt w:val="chineseCountingThousand"/>
      <w:suff w:val="space"/>
      <w:lvlText w:val="%1、"/>
      <w:lvlJc w:val="left"/>
      <w:pPr>
        <w:ind w:left="420" w:hanging="420"/>
      </w:pPr>
      <w:rPr>
        <w:rFonts w:hint="eastAsia" w:cs="仿宋_GB2312"/>
        <w:b w:val="0"/>
        <w:color w:val="auto"/>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6">
    <w:nsid w:val="7A5F0545"/>
    <w:multiLevelType w:val="singleLevel"/>
    <w:tmpl w:val="7A5F0545"/>
    <w:lvl w:ilvl="0" w:tentative="0">
      <w:start w:val="1"/>
      <w:numFmt w:val="chineseCounting"/>
      <w:suff w:val="nothing"/>
      <w:lvlText w:val="（%1）"/>
      <w:lvlJc w:val="left"/>
      <w:pPr>
        <w:ind w:left="431" w:firstLine="420"/>
      </w:pPr>
      <w:rPr>
        <w:rFonts w:hint="eastAsia"/>
        <w:b w:val="0"/>
      </w:rPr>
    </w:lvl>
  </w:abstractNum>
  <w:num w:numId="1">
    <w:abstractNumId w:val="25"/>
  </w:num>
  <w:num w:numId="2">
    <w:abstractNumId w:val="16"/>
  </w:num>
  <w:num w:numId="3">
    <w:abstractNumId w:val="17"/>
  </w:num>
  <w:num w:numId="4">
    <w:abstractNumId w:val="13"/>
  </w:num>
  <w:num w:numId="5">
    <w:abstractNumId w:val="15"/>
  </w:num>
  <w:num w:numId="6">
    <w:abstractNumId w:val="24"/>
  </w:num>
  <w:num w:numId="7">
    <w:abstractNumId w:val="8"/>
  </w:num>
  <w:num w:numId="8">
    <w:abstractNumId w:val="9"/>
  </w:num>
  <w:num w:numId="9">
    <w:abstractNumId w:val="18"/>
  </w:num>
  <w:num w:numId="10">
    <w:abstractNumId w:val="10"/>
  </w:num>
  <w:num w:numId="11">
    <w:abstractNumId w:val="14"/>
  </w:num>
  <w:num w:numId="12">
    <w:abstractNumId w:val="23"/>
  </w:num>
  <w:num w:numId="13">
    <w:abstractNumId w:val="1"/>
  </w:num>
  <w:num w:numId="14">
    <w:abstractNumId w:val="19"/>
  </w:num>
  <w:num w:numId="15">
    <w:abstractNumId w:val="2"/>
  </w:num>
  <w:num w:numId="16">
    <w:abstractNumId w:val="6"/>
  </w:num>
  <w:num w:numId="17">
    <w:abstractNumId w:val="20"/>
  </w:num>
  <w:num w:numId="18">
    <w:abstractNumId w:val="3"/>
  </w:num>
  <w:num w:numId="19">
    <w:abstractNumId w:val="22"/>
  </w:num>
  <w:num w:numId="20">
    <w:abstractNumId w:val="0"/>
  </w:num>
  <w:num w:numId="21">
    <w:abstractNumId w:val="26"/>
  </w:num>
  <w:num w:numId="22">
    <w:abstractNumId w:val="5"/>
  </w:num>
  <w:num w:numId="23">
    <w:abstractNumId w:val="12"/>
  </w:num>
  <w:num w:numId="24">
    <w:abstractNumId w:val="4"/>
  </w:num>
  <w:num w:numId="25">
    <w:abstractNumId w:val="7"/>
  </w:num>
  <w:num w:numId="26">
    <w:abstractNumId w:val="21"/>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AEF"/>
    <w:rsid w:val="00002FF5"/>
    <w:rsid w:val="0000601A"/>
    <w:rsid w:val="0000694E"/>
    <w:rsid w:val="000072B1"/>
    <w:rsid w:val="00007FAE"/>
    <w:rsid w:val="00012357"/>
    <w:rsid w:val="00013778"/>
    <w:rsid w:val="00013B79"/>
    <w:rsid w:val="00013CBD"/>
    <w:rsid w:val="00015F62"/>
    <w:rsid w:val="00017E85"/>
    <w:rsid w:val="00020817"/>
    <w:rsid w:val="00022BA8"/>
    <w:rsid w:val="00022CFC"/>
    <w:rsid w:val="00022E1E"/>
    <w:rsid w:val="000243AE"/>
    <w:rsid w:val="00025123"/>
    <w:rsid w:val="00025C07"/>
    <w:rsid w:val="00026161"/>
    <w:rsid w:val="0002789D"/>
    <w:rsid w:val="00027B41"/>
    <w:rsid w:val="00027D53"/>
    <w:rsid w:val="00030AA4"/>
    <w:rsid w:val="0003162D"/>
    <w:rsid w:val="00033C58"/>
    <w:rsid w:val="00033DF8"/>
    <w:rsid w:val="000353FF"/>
    <w:rsid w:val="000356AB"/>
    <w:rsid w:val="00040958"/>
    <w:rsid w:val="0004362F"/>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9584A"/>
    <w:rsid w:val="000A11F6"/>
    <w:rsid w:val="000A1F19"/>
    <w:rsid w:val="000A237A"/>
    <w:rsid w:val="000A4C0F"/>
    <w:rsid w:val="000B0865"/>
    <w:rsid w:val="000B1E95"/>
    <w:rsid w:val="000B3769"/>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C3"/>
    <w:rsid w:val="000F6735"/>
    <w:rsid w:val="001007FC"/>
    <w:rsid w:val="00100FA9"/>
    <w:rsid w:val="001016EE"/>
    <w:rsid w:val="00101E33"/>
    <w:rsid w:val="001029DF"/>
    <w:rsid w:val="00102E3B"/>
    <w:rsid w:val="00103F7C"/>
    <w:rsid w:val="0010492F"/>
    <w:rsid w:val="00105761"/>
    <w:rsid w:val="00105E54"/>
    <w:rsid w:val="0010650C"/>
    <w:rsid w:val="0011014B"/>
    <w:rsid w:val="0011085A"/>
    <w:rsid w:val="001141AB"/>
    <w:rsid w:val="001156A8"/>
    <w:rsid w:val="00121369"/>
    <w:rsid w:val="00122334"/>
    <w:rsid w:val="001227D9"/>
    <w:rsid w:val="00122CC6"/>
    <w:rsid w:val="00122E20"/>
    <w:rsid w:val="0012332C"/>
    <w:rsid w:val="00124616"/>
    <w:rsid w:val="0012467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025B"/>
    <w:rsid w:val="0014121D"/>
    <w:rsid w:val="00141A88"/>
    <w:rsid w:val="00142609"/>
    <w:rsid w:val="00142BA2"/>
    <w:rsid w:val="00144CC0"/>
    <w:rsid w:val="00150DC2"/>
    <w:rsid w:val="001517C5"/>
    <w:rsid w:val="00155252"/>
    <w:rsid w:val="00155A56"/>
    <w:rsid w:val="00157D2F"/>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79"/>
    <w:rsid w:val="00181DA6"/>
    <w:rsid w:val="00182016"/>
    <w:rsid w:val="00183884"/>
    <w:rsid w:val="001849C1"/>
    <w:rsid w:val="00185212"/>
    <w:rsid w:val="001857F8"/>
    <w:rsid w:val="00186E0C"/>
    <w:rsid w:val="001874FD"/>
    <w:rsid w:val="00192899"/>
    <w:rsid w:val="00193AA2"/>
    <w:rsid w:val="001948DD"/>
    <w:rsid w:val="001954D2"/>
    <w:rsid w:val="001968FF"/>
    <w:rsid w:val="00196BA3"/>
    <w:rsid w:val="00197395"/>
    <w:rsid w:val="00197A38"/>
    <w:rsid w:val="001A0039"/>
    <w:rsid w:val="001A077A"/>
    <w:rsid w:val="001A28D3"/>
    <w:rsid w:val="001A4BFC"/>
    <w:rsid w:val="001A4EAD"/>
    <w:rsid w:val="001A552D"/>
    <w:rsid w:val="001A7BA3"/>
    <w:rsid w:val="001B0868"/>
    <w:rsid w:val="001B114A"/>
    <w:rsid w:val="001B1D4E"/>
    <w:rsid w:val="001B24E3"/>
    <w:rsid w:val="001B2E9B"/>
    <w:rsid w:val="001B3F7F"/>
    <w:rsid w:val="001B42FB"/>
    <w:rsid w:val="001B49EA"/>
    <w:rsid w:val="001B5734"/>
    <w:rsid w:val="001B6168"/>
    <w:rsid w:val="001B632A"/>
    <w:rsid w:val="001C137D"/>
    <w:rsid w:val="001C1A03"/>
    <w:rsid w:val="001C384F"/>
    <w:rsid w:val="001C5D63"/>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5303"/>
    <w:rsid w:val="001E5BC0"/>
    <w:rsid w:val="001E658A"/>
    <w:rsid w:val="001E6A32"/>
    <w:rsid w:val="001E7EA8"/>
    <w:rsid w:val="001F035C"/>
    <w:rsid w:val="001F6B91"/>
    <w:rsid w:val="002010B9"/>
    <w:rsid w:val="00203015"/>
    <w:rsid w:val="00203A7B"/>
    <w:rsid w:val="00203AAC"/>
    <w:rsid w:val="002040B5"/>
    <w:rsid w:val="00204834"/>
    <w:rsid w:val="00204B05"/>
    <w:rsid w:val="00204CCE"/>
    <w:rsid w:val="00205EB3"/>
    <w:rsid w:val="0020699F"/>
    <w:rsid w:val="00207530"/>
    <w:rsid w:val="0021731B"/>
    <w:rsid w:val="0022004C"/>
    <w:rsid w:val="0022017F"/>
    <w:rsid w:val="002201F5"/>
    <w:rsid w:val="00221187"/>
    <w:rsid w:val="002218AA"/>
    <w:rsid w:val="00222803"/>
    <w:rsid w:val="002239EA"/>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731"/>
    <w:rsid w:val="00245769"/>
    <w:rsid w:val="00246F4C"/>
    <w:rsid w:val="00247265"/>
    <w:rsid w:val="00247847"/>
    <w:rsid w:val="00247C52"/>
    <w:rsid w:val="00250475"/>
    <w:rsid w:val="00251245"/>
    <w:rsid w:val="00251851"/>
    <w:rsid w:val="00253392"/>
    <w:rsid w:val="0025746D"/>
    <w:rsid w:val="00257CD4"/>
    <w:rsid w:val="00260A5B"/>
    <w:rsid w:val="00261419"/>
    <w:rsid w:val="00261DEB"/>
    <w:rsid w:val="002630C1"/>
    <w:rsid w:val="00263361"/>
    <w:rsid w:val="00266FDC"/>
    <w:rsid w:val="00270713"/>
    <w:rsid w:val="00270F81"/>
    <w:rsid w:val="00272D6D"/>
    <w:rsid w:val="00276AC7"/>
    <w:rsid w:val="002772C8"/>
    <w:rsid w:val="00281992"/>
    <w:rsid w:val="0028218B"/>
    <w:rsid w:val="00282263"/>
    <w:rsid w:val="00282627"/>
    <w:rsid w:val="00283200"/>
    <w:rsid w:val="00284C06"/>
    <w:rsid w:val="002856F0"/>
    <w:rsid w:val="002857A2"/>
    <w:rsid w:val="0028593E"/>
    <w:rsid w:val="00287A48"/>
    <w:rsid w:val="00291B25"/>
    <w:rsid w:val="002937E9"/>
    <w:rsid w:val="002955EF"/>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C66"/>
    <w:rsid w:val="002B3DB5"/>
    <w:rsid w:val="002B574F"/>
    <w:rsid w:val="002B6395"/>
    <w:rsid w:val="002B66D9"/>
    <w:rsid w:val="002B6B9B"/>
    <w:rsid w:val="002B773B"/>
    <w:rsid w:val="002C01ED"/>
    <w:rsid w:val="002C2310"/>
    <w:rsid w:val="002C2D03"/>
    <w:rsid w:val="002C4618"/>
    <w:rsid w:val="002D12CC"/>
    <w:rsid w:val="002D281F"/>
    <w:rsid w:val="002D3D93"/>
    <w:rsid w:val="002D4683"/>
    <w:rsid w:val="002D6CA7"/>
    <w:rsid w:val="002E01F5"/>
    <w:rsid w:val="002E2682"/>
    <w:rsid w:val="002E39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1850"/>
    <w:rsid w:val="003125AD"/>
    <w:rsid w:val="00313DA9"/>
    <w:rsid w:val="00313DE3"/>
    <w:rsid w:val="00314B2E"/>
    <w:rsid w:val="00314E41"/>
    <w:rsid w:val="00314EC8"/>
    <w:rsid w:val="00315D72"/>
    <w:rsid w:val="00317D71"/>
    <w:rsid w:val="003217A8"/>
    <w:rsid w:val="0032637C"/>
    <w:rsid w:val="00326D5B"/>
    <w:rsid w:val="00330512"/>
    <w:rsid w:val="00331A72"/>
    <w:rsid w:val="003337CB"/>
    <w:rsid w:val="00335FB5"/>
    <w:rsid w:val="003369E9"/>
    <w:rsid w:val="00337911"/>
    <w:rsid w:val="00337D27"/>
    <w:rsid w:val="00337FBC"/>
    <w:rsid w:val="00341508"/>
    <w:rsid w:val="003424F1"/>
    <w:rsid w:val="00342DA7"/>
    <w:rsid w:val="003433F4"/>
    <w:rsid w:val="00344740"/>
    <w:rsid w:val="00344C42"/>
    <w:rsid w:val="003458B6"/>
    <w:rsid w:val="00346281"/>
    <w:rsid w:val="00346FE2"/>
    <w:rsid w:val="00347C73"/>
    <w:rsid w:val="0035266C"/>
    <w:rsid w:val="00354ED0"/>
    <w:rsid w:val="003561C6"/>
    <w:rsid w:val="0035776D"/>
    <w:rsid w:val="003578B0"/>
    <w:rsid w:val="00357E4F"/>
    <w:rsid w:val="00360039"/>
    <w:rsid w:val="00360120"/>
    <w:rsid w:val="00360226"/>
    <w:rsid w:val="003608DA"/>
    <w:rsid w:val="00363B27"/>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349B"/>
    <w:rsid w:val="00385101"/>
    <w:rsid w:val="003865FC"/>
    <w:rsid w:val="0038670A"/>
    <w:rsid w:val="003901CB"/>
    <w:rsid w:val="0039250E"/>
    <w:rsid w:val="003930CE"/>
    <w:rsid w:val="003967F6"/>
    <w:rsid w:val="00396A5C"/>
    <w:rsid w:val="00397270"/>
    <w:rsid w:val="00397F7D"/>
    <w:rsid w:val="003A0562"/>
    <w:rsid w:val="003A1526"/>
    <w:rsid w:val="003A34A8"/>
    <w:rsid w:val="003A58EE"/>
    <w:rsid w:val="003A67C0"/>
    <w:rsid w:val="003B05EF"/>
    <w:rsid w:val="003B0B39"/>
    <w:rsid w:val="003B0EFA"/>
    <w:rsid w:val="003B20E8"/>
    <w:rsid w:val="003B2C89"/>
    <w:rsid w:val="003B2E1D"/>
    <w:rsid w:val="003B3EDA"/>
    <w:rsid w:val="003B4796"/>
    <w:rsid w:val="003B4829"/>
    <w:rsid w:val="003B4F9B"/>
    <w:rsid w:val="003C0343"/>
    <w:rsid w:val="003C2E45"/>
    <w:rsid w:val="003C4094"/>
    <w:rsid w:val="003C5149"/>
    <w:rsid w:val="003C5F99"/>
    <w:rsid w:val="003C6075"/>
    <w:rsid w:val="003D04A8"/>
    <w:rsid w:val="003D0B3C"/>
    <w:rsid w:val="003D1B74"/>
    <w:rsid w:val="003D2BF8"/>
    <w:rsid w:val="003D3925"/>
    <w:rsid w:val="003D4D12"/>
    <w:rsid w:val="003D5F1A"/>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2370"/>
    <w:rsid w:val="004127C8"/>
    <w:rsid w:val="0041295E"/>
    <w:rsid w:val="00413E66"/>
    <w:rsid w:val="004147D5"/>
    <w:rsid w:val="0041647C"/>
    <w:rsid w:val="0041797C"/>
    <w:rsid w:val="00420E2E"/>
    <w:rsid w:val="004216F6"/>
    <w:rsid w:val="00421B40"/>
    <w:rsid w:val="00423A23"/>
    <w:rsid w:val="0042407C"/>
    <w:rsid w:val="0042608F"/>
    <w:rsid w:val="00426188"/>
    <w:rsid w:val="00426932"/>
    <w:rsid w:val="00427E43"/>
    <w:rsid w:val="004308BE"/>
    <w:rsid w:val="00431640"/>
    <w:rsid w:val="0043178F"/>
    <w:rsid w:val="00434AB3"/>
    <w:rsid w:val="004353BE"/>
    <w:rsid w:val="00436349"/>
    <w:rsid w:val="00437C51"/>
    <w:rsid w:val="00441B65"/>
    <w:rsid w:val="00441D67"/>
    <w:rsid w:val="00441FBD"/>
    <w:rsid w:val="004432DA"/>
    <w:rsid w:val="00444443"/>
    <w:rsid w:val="004450E0"/>
    <w:rsid w:val="00445E0D"/>
    <w:rsid w:val="004461EA"/>
    <w:rsid w:val="00446604"/>
    <w:rsid w:val="004468C0"/>
    <w:rsid w:val="00447AE8"/>
    <w:rsid w:val="00451115"/>
    <w:rsid w:val="00451149"/>
    <w:rsid w:val="00452322"/>
    <w:rsid w:val="00452614"/>
    <w:rsid w:val="00453929"/>
    <w:rsid w:val="00453B3E"/>
    <w:rsid w:val="00456206"/>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671"/>
    <w:rsid w:val="004E6AAA"/>
    <w:rsid w:val="004F160C"/>
    <w:rsid w:val="004F17C0"/>
    <w:rsid w:val="004F2189"/>
    <w:rsid w:val="004F38D7"/>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14E0"/>
    <w:rsid w:val="0051589E"/>
    <w:rsid w:val="005158BA"/>
    <w:rsid w:val="0052061C"/>
    <w:rsid w:val="00520919"/>
    <w:rsid w:val="00522454"/>
    <w:rsid w:val="00522DD5"/>
    <w:rsid w:val="00524791"/>
    <w:rsid w:val="005257FB"/>
    <w:rsid w:val="00527E64"/>
    <w:rsid w:val="00533537"/>
    <w:rsid w:val="00534097"/>
    <w:rsid w:val="00535420"/>
    <w:rsid w:val="005366A5"/>
    <w:rsid w:val="005409A5"/>
    <w:rsid w:val="00540B5C"/>
    <w:rsid w:val="00544E6B"/>
    <w:rsid w:val="00544EBF"/>
    <w:rsid w:val="00546D26"/>
    <w:rsid w:val="00551759"/>
    <w:rsid w:val="00553D8A"/>
    <w:rsid w:val="00555465"/>
    <w:rsid w:val="00555B5B"/>
    <w:rsid w:val="005602B6"/>
    <w:rsid w:val="00561BBE"/>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0C54"/>
    <w:rsid w:val="00591603"/>
    <w:rsid w:val="00592D8F"/>
    <w:rsid w:val="00593AC7"/>
    <w:rsid w:val="00593E9F"/>
    <w:rsid w:val="005975E2"/>
    <w:rsid w:val="005978D3"/>
    <w:rsid w:val="005A0EE2"/>
    <w:rsid w:val="005A134F"/>
    <w:rsid w:val="005A1864"/>
    <w:rsid w:val="005A1B29"/>
    <w:rsid w:val="005A404F"/>
    <w:rsid w:val="005A4EE2"/>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C7DAE"/>
    <w:rsid w:val="005D0399"/>
    <w:rsid w:val="005D14A8"/>
    <w:rsid w:val="005D31FC"/>
    <w:rsid w:val="005D3212"/>
    <w:rsid w:val="005D49B8"/>
    <w:rsid w:val="005D4B21"/>
    <w:rsid w:val="005D4FED"/>
    <w:rsid w:val="005D5B5A"/>
    <w:rsid w:val="005D7DC9"/>
    <w:rsid w:val="005E0C5B"/>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2A27"/>
    <w:rsid w:val="00632F9F"/>
    <w:rsid w:val="00634678"/>
    <w:rsid w:val="00634B4B"/>
    <w:rsid w:val="00636ED9"/>
    <w:rsid w:val="006371C6"/>
    <w:rsid w:val="0063788E"/>
    <w:rsid w:val="006421F6"/>
    <w:rsid w:val="00642EC1"/>
    <w:rsid w:val="00646440"/>
    <w:rsid w:val="00650CE9"/>
    <w:rsid w:val="0065165A"/>
    <w:rsid w:val="006532B6"/>
    <w:rsid w:val="00654384"/>
    <w:rsid w:val="00654CC3"/>
    <w:rsid w:val="0065548D"/>
    <w:rsid w:val="006557F3"/>
    <w:rsid w:val="0065640A"/>
    <w:rsid w:val="00662B2D"/>
    <w:rsid w:val="00662E3E"/>
    <w:rsid w:val="006645A1"/>
    <w:rsid w:val="00666151"/>
    <w:rsid w:val="006666F2"/>
    <w:rsid w:val="00667575"/>
    <w:rsid w:val="00667593"/>
    <w:rsid w:val="00670112"/>
    <w:rsid w:val="00670A51"/>
    <w:rsid w:val="006731DC"/>
    <w:rsid w:val="006755A9"/>
    <w:rsid w:val="006759BD"/>
    <w:rsid w:val="00680BCE"/>
    <w:rsid w:val="00680FE7"/>
    <w:rsid w:val="006817FC"/>
    <w:rsid w:val="00683725"/>
    <w:rsid w:val="00683D0F"/>
    <w:rsid w:val="00685383"/>
    <w:rsid w:val="0068539F"/>
    <w:rsid w:val="00685BD7"/>
    <w:rsid w:val="00685F85"/>
    <w:rsid w:val="006871EF"/>
    <w:rsid w:val="00690166"/>
    <w:rsid w:val="0069016D"/>
    <w:rsid w:val="006901F2"/>
    <w:rsid w:val="00690862"/>
    <w:rsid w:val="00690BD4"/>
    <w:rsid w:val="00691506"/>
    <w:rsid w:val="00691659"/>
    <w:rsid w:val="006933B4"/>
    <w:rsid w:val="0069525B"/>
    <w:rsid w:val="00696843"/>
    <w:rsid w:val="00696E0F"/>
    <w:rsid w:val="006971A2"/>
    <w:rsid w:val="00697C1D"/>
    <w:rsid w:val="006A11D8"/>
    <w:rsid w:val="006A682C"/>
    <w:rsid w:val="006A6C8E"/>
    <w:rsid w:val="006A7A3F"/>
    <w:rsid w:val="006B121A"/>
    <w:rsid w:val="006B1B49"/>
    <w:rsid w:val="006B1EA0"/>
    <w:rsid w:val="006B4041"/>
    <w:rsid w:val="006B4F74"/>
    <w:rsid w:val="006B5731"/>
    <w:rsid w:val="006B5A1F"/>
    <w:rsid w:val="006B68B9"/>
    <w:rsid w:val="006B7B2A"/>
    <w:rsid w:val="006C0AC7"/>
    <w:rsid w:val="006C172D"/>
    <w:rsid w:val="006C2214"/>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2B74"/>
    <w:rsid w:val="006E2BE3"/>
    <w:rsid w:val="006E30E0"/>
    <w:rsid w:val="006E37C1"/>
    <w:rsid w:val="006E69CA"/>
    <w:rsid w:val="006E7DD5"/>
    <w:rsid w:val="006F0393"/>
    <w:rsid w:val="006F4BC7"/>
    <w:rsid w:val="006F4D75"/>
    <w:rsid w:val="006F5446"/>
    <w:rsid w:val="006F5892"/>
    <w:rsid w:val="006F59DF"/>
    <w:rsid w:val="006F5C81"/>
    <w:rsid w:val="006F6AF0"/>
    <w:rsid w:val="006F6CDD"/>
    <w:rsid w:val="006F7440"/>
    <w:rsid w:val="00700F73"/>
    <w:rsid w:val="0070208E"/>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E83"/>
    <w:rsid w:val="00750101"/>
    <w:rsid w:val="00752396"/>
    <w:rsid w:val="00752B15"/>
    <w:rsid w:val="00752E44"/>
    <w:rsid w:val="00754E35"/>
    <w:rsid w:val="00756DA6"/>
    <w:rsid w:val="0075705D"/>
    <w:rsid w:val="00761B13"/>
    <w:rsid w:val="00762E03"/>
    <w:rsid w:val="00764349"/>
    <w:rsid w:val="007649A8"/>
    <w:rsid w:val="007649E6"/>
    <w:rsid w:val="007663A1"/>
    <w:rsid w:val="00767133"/>
    <w:rsid w:val="007700A7"/>
    <w:rsid w:val="00772F09"/>
    <w:rsid w:val="00776458"/>
    <w:rsid w:val="007778A7"/>
    <w:rsid w:val="007817E8"/>
    <w:rsid w:val="00782164"/>
    <w:rsid w:val="00784F12"/>
    <w:rsid w:val="007852EC"/>
    <w:rsid w:val="00790A49"/>
    <w:rsid w:val="00791C36"/>
    <w:rsid w:val="00792F73"/>
    <w:rsid w:val="00793900"/>
    <w:rsid w:val="0079421E"/>
    <w:rsid w:val="00796C18"/>
    <w:rsid w:val="00796FB5"/>
    <w:rsid w:val="00797285"/>
    <w:rsid w:val="007A50A8"/>
    <w:rsid w:val="007A5165"/>
    <w:rsid w:val="007A5C19"/>
    <w:rsid w:val="007A6F65"/>
    <w:rsid w:val="007B0734"/>
    <w:rsid w:val="007B09B5"/>
    <w:rsid w:val="007B31EF"/>
    <w:rsid w:val="007B403B"/>
    <w:rsid w:val="007B5158"/>
    <w:rsid w:val="007B63DA"/>
    <w:rsid w:val="007B643C"/>
    <w:rsid w:val="007B6604"/>
    <w:rsid w:val="007B666F"/>
    <w:rsid w:val="007B7908"/>
    <w:rsid w:val="007B7F6F"/>
    <w:rsid w:val="007C0641"/>
    <w:rsid w:val="007C25A7"/>
    <w:rsid w:val="007C2968"/>
    <w:rsid w:val="007C3058"/>
    <w:rsid w:val="007C4BFD"/>
    <w:rsid w:val="007C6B41"/>
    <w:rsid w:val="007C75CE"/>
    <w:rsid w:val="007D0A73"/>
    <w:rsid w:val="007D128F"/>
    <w:rsid w:val="007D2B99"/>
    <w:rsid w:val="007D3479"/>
    <w:rsid w:val="007D390B"/>
    <w:rsid w:val="007D48D1"/>
    <w:rsid w:val="007D6126"/>
    <w:rsid w:val="007E0155"/>
    <w:rsid w:val="007E15DB"/>
    <w:rsid w:val="007E1B16"/>
    <w:rsid w:val="007E1D82"/>
    <w:rsid w:val="007E310D"/>
    <w:rsid w:val="007E4628"/>
    <w:rsid w:val="007E5070"/>
    <w:rsid w:val="007E5685"/>
    <w:rsid w:val="007E660D"/>
    <w:rsid w:val="007F1FC8"/>
    <w:rsid w:val="007F2580"/>
    <w:rsid w:val="007F3082"/>
    <w:rsid w:val="007F6FD1"/>
    <w:rsid w:val="007F7367"/>
    <w:rsid w:val="007F73BE"/>
    <w:rsid w:val="00801ADF"/>
    <w:rsid w:val="00801C1B"/>
    <w:rsid w:val="00804BF9"/>
    <w:rsid w:val="008059B7"/>
    <w:rsid w:val="00805AC3"/>
    <w:rsid w:val="00805D56"/>
    <w:rsid w:val="0080766F"/>
    <w:rsid w:val="00811499"/>
    <w:rsid w:val="008115D2"/>
    <w:rsid w:val="008128A5"/>
    <w:rsid w:val="00813DCE"/>
    <w:rsid w:val="008147AE"/>
    <w:rsid w:val="00814CDB"/>
    <w:rsid w:val="0081543C"/>
    <w:rsid w:val="00815E73"/>
    <w:rsid w:val="00816F71"/>
    <w:rsid w:val="00821485"/>
    <w:rsid w:val="008218F6"/>
    <w:rsid w:val="00821913"/>
    <w:rsid w:val="0082330E"/>
    <w:rsid w:val="00824083"/>
    <w:rsid w:val="00826B5F"/>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5CF9"/>
    <w:rsid w:val="00846482"/>
    <w:rsid w:val="0084657E"/>
    <w:rsid w:val="00847071"/>
    <w:rsid w:val="0084791A"/>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02C"/>
    <w:rsid w:val="008946B2"/>
    <w:rsid w:val="00896691"/>
    <w:rsid w:val="00896988"/>
    <w:rsid w:val="0089706B"/>
    <w:rsid w:val="008971F4"/>
    <w:rsid w:val="008A1223"/>
    <w:rsid w:val="008A1920"/>
    <w:rsid w:val="008A208C"/>
    <w:rsid w:val="008A20D0"/>
    <w:rsid w:val="008A379D"/>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371C"/>
    <w:rsid w:val="0091395D"/>
    <w:rsid w:val="00913F64"/>
    <w:rsid w:val="00916F69"/>
    <w:rsid w:val="009170E2"/>
    <w:rsid w:val="00917D2D"/>
    <w:rsid w:val="0092303C"/>
    <w:rsid w:val="00924C87"/>
    <w:rsid w:val="00925ADB"/>
    <w:rsid w:val="00925D09"/>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520"/>
    <w:rsid w:val="00960126"/>
    <w:rsid w:val="00960A89"/>
    <w:rsid w:val="00962257"/>
    <w:rsid w:val="009622BD"/>
    <w:rsid w:val="0096573D"/>
    <w:rsid w:val="00966D02"/>
    <w:rsid w:val="009672AB"/>
    <w:rsid w:val="00967F7A"/>
    <w:rsid w:val="00970DED"/>
    <w:rsid w:val="00971A70"/>
    <w:rsid w:val="009728B3"/>
    <w:rsid w:val="009745C8"/>
    <w:rsid w:val="00974A83"/>
    <w:rsid w:val="00974AAC"/>
    <w:rsid w:val="009762B8"/>
    <w:rsid w:val="00976A14"/>
    <w:rsid w:val="00976BB2"/>
    <w:rsid w:val="0097776F"/>
    <w:rsid w:val="009777AE"/>
    <w:rsid w:val="00982A85"/>
    <w:rsid w:val="00982BC2"/>
    <w:rsid w:val="00983584"/>
    <w:rsid w:val="009838FA"/>
    <w:rsid w:val="00983B66"/>
    <w:rsid w:val="0098492F"/>
    <w:rsid w:val="0098500E"/>
    <w:rsid w:val="00986D2C"/>
    <w:rsid w:val="009916B7"/>
    <w:rsid w:val="009927C8"/>
    <w:rsid w:val="009929F6"/>
    <w:rsid w:val="00992B23"/>
    <w:rsid w:val="00992F66"/>
    <w:rsid w:val="009932AC"/>
    <w:rsid w:val="00994D67"/>
    <w:rsid w:val="009A0F60"/>
    <w:rsid w:val="009A184E"/>
    <w:rsid w:val="009A39EF"/>
    <w:rsid w:val="009A4132"/>
    <w:rsid w:val="009A4982"/>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78CD"/>
    <w:rsid w:val="009F19FC"/>
    <w:rsid w:val="009F1EF9"/>
    <w:rsid w:val="009F3C14"/>
    <w:rsid w:val="009F54B1"/>
    <w:rsid w:val="009F56E8"/>
    <w:rsid w:val="009F5D49"/>
    <w:rsid w:val="009F6DF8"/>
    <w:rsid w:val="009F70E0"/>
    <w:rsid w:val="009F768A"/>
    <w:rsid w:val="009F7DA8"/>
    <w:rsid w:val="00A00445"/>
    <w:rsid w:val="00A01BB5"/>
    <w:rsid w:val="00A02F29"/>
    <w:rsid w:val="00A03765"/>
    <w:rsid w:val="00A038CA"/>
    <w:rsid w:val="00A039DD"/>
    <w:rsid w:val="00A10A6C"/>
    <w:rsid w:val="00A10EAD"/>
    <w:rsid w:val="00A134BB"/>
    <w:rsid w:val="00A13801"/>
    <w:rsid w:val="00A157E8"/>
    <w:rsid w:val="00A21D85"/>
    <w:rsid w:val="00A22D8B"/>
    <w:rsid w:val="00A23E67"/>
    <w:rsid w:val="00A2445F"/>
    <w:rsid w:val="00A25277"/>
    <w:rsid w:val="00A26585"/>
    <w:rsid w:val="00A30DA2"/>
    <w:rsid w:val="00A31978"/>
    <w:rsid w:val="00A31F67"/>
    <w:rsid w:val="00A33D14"/>
    <w:rsid w:val="00A341A1"/>
    <w:rsid w:val="00A363EB"/>
    <w:rsid w:val="00A41E03"/>
    <w:rsid w:val="00A44919"/>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6E63"/>
    <w:rsid w:val="00A66FD0"/>
    <w:rsid w:val="00A7000B"/>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4B46"/>
    <w:rsid w:val="00A95225"/>
    <w:rsid w:val="00A97CE8"/>
    <w:rsid w:val="00AA0464"/>
    <w:rsid w:val="00AA08FB"/>
    <w:rsid w:val="00AA0AFE"/>
    <w:rsid w:val="00AA26B7"/>
    <w:rsid w:val="00AA4597"/>
    <w:rsid w:val="00AB0443"/>
    <w:rsid w:val="00AB0A31"/>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4F34"/>
    <w:rsid w:val="00AC5657"/>
    <w:rsid w:val="00AC672A"/>
    <w:rsid w:val="00AC693B"/>
    <w:rsid w:val="00AC6A9D"/>
    <w:rsid w:val="00AD10AC"/>
    <w:rsid w:val="00AD14B5"/>
    <w:rsid w:val="00AD3537"/>
    <w:rsid w:val="00AD35B4"/>
    <w:rsid w:val="00AD4DA0"/>
    <w:rsid w:val="00AD53E5"/>
    <w:rsid w:val="00AD5CBC"/>
    <w:rsid w:val="00AD6A9E"/>
    <w:rsid w:val="00AE003B"/>
    <w:rsid w:val="00AE0C44"/>
    <w:rsid w:val="00AE1D5A"/>
    <w:rsid w:val="00AE1F1E"/>
    <w:rsid w:val="00AE2B00"/>
    <w:rsid w:val="00AE4B30"/>
    <w:rsid w:val="00AE4F0E"/>
    <w:rsid w:val="00AE5135"/>
    <w:rsid w:val="00AE6B34"/>
    <w:rsid w:val="00AE6BA0"/>
    <w:rsid w:val="00AF149A"/>
    <w:rsid w:val="00AF1876"/>
    <w:rsid w:val="00AF26DF"/>
    <w:rsid w:val="00AF79F8"/>
    <w:rsid w:val="00B02E0B"/>
    <w:rsid w:val="00B045B0"/>
    <w:rsid w:val="00B064BB"/>
    <w:rsid w:val="00B06C11"/>
    <w:rsid w:val="00B074F9"/>
    <w:rsid w:val="00B07C40"/>
    <w:rsid w:val="00B1304C"/>
    <w:rsid w:val="00B133D1"/>
    <w:rsid w:val="00B159B0"/>
    <w:rsid w:val="00B15D00"/>
    <w:rsid w:val="00B16688"/>
    <w:rsid w:val="00B16AFD"/>
    <w:rsid w:val="00B177FC"/>
    <w:rsid w:val="00B20466"/>
    <w:rsid w:val="00B20A02"/>
    <w:rsid w:val="00B24633"/>
    <w:rsid w:val="00B25BFA"/>
    <w:rsid w:val="00B2666F"/>
    <w:rsid w:val="00B27874"/>
    <w:rsid w:val="00B307E4"/>
    <w:rsid w:val="00B31212"/>
    <w:rsid w:val="00B32BB6"/>
    <w:rsid w:val="00B33122"/>
    <w:rsid w:val="00B33C5A"/>
    <w:rsid w:val="00B3633A"/>
    <w:rsid w:val="00B403A1"/>
    <w:rsid w:val="00B404F7"/>
    <w:rsid w:val="00B41860"/>
    <w:rsid w:val="00B43844"/>
    <w:rsid w:val="00B523FB"/>
    <w:rsid w:val="00B55D52"/>
    <w:rsid w:val="00B56BEF"/>
    <w:rsid w:val="00B600F9"/>
    <w:rsid w:val="00B60E77"/>
    <w:rsid w:val="00B60EEF"/>
    <w:rsid w:val="00B62AC9"/>
    <w:rsid w:val="00B63764"/>
    <w:rsid w:val="00B64A97"/>
    <w:rsid w:val="00B65C12"/>
    <w:rsid w:val="00B67F2B"/>
    <w:rsid w:val="00B70436"/>
    <w:rsid w:val="00B70C83"/>
    <w:rsid w:val="00B717FC"/>
    <w:rsid w:val="00B71A82"/>
    <w:rsid w:val="00B72A7C"/>
    <w:rsid w:val="00B72F76"/>
    <w:rsid w:val="00B73EFA"/>
    <w:rsid w:val="00B74AD1"/>
    <w:rsid w:val="00B75338"/>
    <w:rsid w:val="00B75E9D"/>
    <w:rsid w:val="00B834D3"/>
    <w:rsid w:val="00B83773"/>
    <w:rsid w:val="00B83A91"/>
    <w:rsid w:val="00B84EAE"/>
    <w:rsid w:val="00B85E2B"/>
    <w:rsid w:val="00B86E6F"/>
    <w:rsid w:val="00B901AA"/>
    <w:rsid w:val="00B90A6E"/>
    <w:rsid w:val="00B90DA6"/>
    <w:rsid w:val="00B931E3"/>
    <w:rsid w:val="00B93F3C"/>
    <w:rsid w:val="00B94A45"/>
    <w:rsid w:val="00B94EDA"/>
    <w:rsid w:val="00B95E82"/>
    <w:rsid w:val="00B9716C"/>
    <w:rsid w:val="00BA0A61"/>
    <w:rsid w:val="00BA0D58"/>
    <w:rsid w:val="00BA180E"/>
    <w:rsid w:val="00BA188A"/>
    <w:rsid w:val="00BA2753"/>
    <w:rsid w:val="00BA4912"/>
    <w:rsid w:val="00BA53D8"/>
    <w:rsid w:val="00BA56BC"/>
    <w:rsid w:val="00BA59CB"/>
    <w:rsid w:val="00BA69C1"/>
    <w:rsid w:val="00BA6A96"/>
    <w:rsid w:val="00BB30CC"/>
    <w:rsid w:val="00BB395B"/>
    <w:rsid w:val="00BB3DE8"/>
    <w:rsid w:val="00BB4025"/>
    <w:rsid w:val="00BB606D"/>
    <w:rsid w:val="00BB72BA"/>
    <w:rsid w:val="00BB79B0"/>
    <w:rsid w:val="00BB7BF9"/>
    <w:rsid w:val="00BC056D"/>
    <w:rsid w:val="00BC0DC9"/>
    <w:rsid w:val="00BC182D"/>
    <w:rsid w:val="00BC3EC1"/>
    <w:rsid w:val="00BC6039"/>
    <w:rsid w:val="00BC66B4"/>
    <w:rsid w:val="00BC6BDA"/>
    <w:rsid w:val="00BD146B"/>
    <w:rsid w:val="00BD1A78"/>
    <w:rsid w:val="00BD2489"/>
    <w:rsid w:val="00BD28ED"/>
    <w:rsid w:val="00BD2B90"/>
    <w:rsid w:val="00BD3763"/>
    <w:rsid w:val="00BD5A40"/>
    <w:rsid w:val="00BE2D7C"/>
    <w:rsid w:val="00BE3138"/>
    <w:rsid w:val="00BE3437"/>
    <w:rsid w:val="00BE397D"/>
    <w:rsid w:val="00BE3A8F"/>
    <w:rsid w:val="00BE3AB8"/>
    <w:rsid w:val="00BE64EF"/>
    <w:rsid w:val="00BE6BBE"/>
    <w:rsid w:val="00BE7F02"/>
    <w:rsid w:val="00BF1FD8"/>
    <w:rsid w:val="00BF3349"/>
    <w:rsid w:val="00BF36E7"/>
    <w:rsid w:val="00BF3AE8"/>
    <w:rsid w:val="00BF685B"/>
    <w:rsid w:val="00BF7090"/>
    <w:rsid w:val="00BF74B0"/>
    <w:rsid w:val="00BF7D96"/>
    <w:rsid w:val="00C02361"/>
    <w:rsid w:val="00C03ACC"/>
    <w:rsid w:val="00C05BBD"/>
    <w:rsid w:val="00C104AE"/>
    <w:rsid w:val="00C10DAA"/>
    <w:rsid w:val="00C12BF0"/>
    <w:rsid w:val="00C13214"/>
    <w:rsid w:val="00C1362C"/>
    <w:rsid w:val="00C140B0"/>
    <w:rsid w:val="00C144CB"/>
    <w:rsid w:val="00C219F8"/>
    <w:rsid w:val="00C21EA4"/>
    <w:rsid w:val="00C22658"/>
    <w:rsid w:val="00C22662"/>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696A"/>
    <w:rsid w:val="00C7719A"/>
    <w:rsid w:val="00C77568"/>
    <w:rsid w:val="00C81181"/>
    <w:rsid w:val="00C8137B"/>
    <w:rsid w:val="00C81B4B"/>
    <w:rsid w:val="00C81F8E"/>
    <w:rsid w:val="00C82CBF"/>
    <w:rsid w:val="00C8344D"/>
    <w:rsid w:val="00C8511E"/>
    <w:rsid w:val="00C860A1"/>
    <w:rsid w:val="00C86A4E"/>
    <w:rsid w:val="00C86E7A"/>
    <w:rsid w:val="00C87EB5"/>
    <w:rsid w:val="00C9041C"/>
    <w:rsid w:val="00C90DDA"/>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4151"/>
    <w:rsid w:val="00CA44AE"/>
    <w:rsid w:val="00CA45A1"/>
    <w:rsid w:val="00CA5D72"/>
    <w:rsid w:val="00CA6E90"/>
    <w:rsid w:val="00CB1F1B"/>
    <w:rsid w:val="00CB3674"/>
    <w:rsid w:val="00CB4DA2"/>
    <w:rsid w:val="00CB6A88"/>
    <w:rsid w:val="00CB6BCD"/>
    <w:rsid w:val="00CC0843"/>
    <w:rsid w:val="00CC3104"/>
    <w:rsid w:val="00CC412D"/>
    <w:rsid w:val="00CC4D1B"/>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6617"/>
    <w:rsid w:val="00CE70DC"/>
    <w:rsid w:val="00CF15C2"/>
    <w:rsid w:val="00CF1636"/>
    <w:rsid w:val="00CF2642"/>
    <w:rsid w:val="00CF3248"/>
    <w:rsid w:val="00CF46A7"/>
    <w:rsid w:val="00CF4746"/>
    <w:rsid w:val="00CF54FB"/>
    <w:rsid w:val="00CF68A4"/>
    <w:rsid w:val="00D0053C"/>
    <w:rsid w:val="00D015D5"/>
    <w:rsid w:val="00D021DF"/>
    <w:rsid w:val="00D03639"/>
    <w:rsid w:val="00D047E0"/>
    <w:rsid w:val="00D07714"/>
    <w:rsid w:val="00D12626"/>
    <w:rsid w:val="00D148DD"/>
    <w:rsid w:val="00D16706"/>
    <w:rsid w:val="00D17164"/>
    <w:rsid w:val="00D215F4"/>
    <w:rsid w:val="00D23FA7"/>
    <w:rsid w:val="00D259AA"/>
    <w:rsid w:val="00D27B98"/>
    <w:rsid w:val="00D30849"/>
    <w:rsid w:val="00D31633"/>
    <w:rsid w:val="00D33868"/>
    <w:rsid w:val="00D34132"/>
    <w:rsid w:val="00D34E5D"/>
    <w:rsid w:val="00D371DE"/>
    <w:rsid w:val="00D40BC9"/>
    <w:rsid w:val="00D4372D"/>
    <w:rsid w:val="00D43FA4"/>
    <w:rsid w:val="00D4438C"/>
    <w:rsid w:val="00D47376"/>
    <w:rsid w:val="00D50ACD"/>
    <w:rsid w:val="00D518FA"/>
    <w:rsid w:val="00D52236"/>
    <w:rsid w:val="00D52BC7"/>
    <w:rsid w:val="00D52F30"/>
    <w:rsid w:val="00D53337"/>
    <w:rsid w:val="00D55504"/>
    <w:rsid w:val="00D56A2E"/>
    <w:rsid w:val="00D574A2"/>
    <w:rsid w:val="00D617D5"/>
    <w:rsid w:val="00D61A80"/>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84B"/>
    <w:rsid w:val="00DC5D60"/>
    <w:rsid w:val="00DC7236"/>
    <w:rsid w:val="00DD05E9"/>
    <w:rsid w:val="00DD0E1D"/>
    <w:rsid w:val="00DD1906"/>
    <w:rsid w:val="00DD2134"/>
    <w:rsid w:val="00DD2F96"/>
    <w:rsid w:val="00DD3BE8"/>
    <w:rsid w:val="00DD4058"/>
    <w:rsid w:val="00DD45C9"/>
    <w:rsid w:val="00DD6E24"/>
    <w:rsid w:val="00DE0266"/>
    <w:rsid w:val="00DE230B"/>
    <w:rsid w:val="00DE3F89"/>
    <w:rsid w:val="00DE4166"/>
    <w:rsid w:val="00DE4168"/>
    <w:rsid w:val="00DE42BB"/>
    <w:rsid w:val="00DE43BF"/>
    <w:rsid w:val="00DE5003"/>
    <w:rsid w:val="00DE609B"/>
    <w:rsid w:val="00DE67F5"/>
    <w:rsid w:val="00DE6A16"/>
    <w:rsid w:val="00DE76DB"/>
    <w:rsid w:val="00DF11B3"/>
    <w:rsid w:val="00DF16B0"/>
    <w:rsid w:val="00DF2830"/>
    <w:rsid w:val="00DF4315"/>
    <w:rsid w:val="00DF4592"/>
    <w:rsid w:val="00DF53F7"/>
    <w:rsid w:val="00DF6488"/>
    <w:rsid w:val="00DF7595"/>
    <w:rsid w:val="00E00E04"/>
    <w:rsid w:val="00E028C1"/>
    <w:rsid w:val="00E02ED5"/>
    <w:rsid w:val="00E03944"/>
    <w:rsid w:val="00E05ACD"/>
    <w:rsid w:val="00E07701"/>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6865"/>
    <w:rsid w:val="00E57996"/>
    <w:rsid w:val="00E60AF9"/>
    <w:rsid w:val="00E62083"/>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2FC0"/>
    <w:rsid w:val="00E75044"/>
    <w:rsid w:val="00E7667C"/>
    <w:rsid w:val="00E77047"/>
    <w:rsid w:val="00E774FD"/>
    <w:rsid w:val="00E77705"/>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6C6F"/>
    <w:rsid w:val="00EA11C1"/>
    <w:rsid w:val="00EA170D"/>
    <w:rsid w:val="00EA1D3C"/>
    <w:rsid w:val="00EA3CC5"/>
    <w:rsid w:val="00EA428E"/>
    <w:rsid w:val="00EA6340"/>
    <w:rsid w:val="00EB03A2"/>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385E"/>
    <w:rsid w:val="00EE5849"/>
    <w:rsid w:val="00EE7F76"/>
    <w:rsid w:val="00EF01CA"/>
    <w:rsid w:val="00EF1102"/>
    <w:rsid w:val="00EF1378"/>
    <w:rsid w:val="00EF2AD8"/>
    <w:rsid w:val="00EF329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FA"/>
    <w:rsid w:val="00F23B36"/>
    <w:rsid w:val="00F2437D"/>
    <w:rsid w:val="00F256A9"/>
    <w:rsid w:val="00F265AD"/>
    <w:rsid w:val="00F26C42"/>
    <w:rsid w:val="00F30A8B"/>
    <w:rsid w:val="00F31056"/>
    <w:rsid w:val="00F310E1"/>
    <w:rsid w:val="00F3161A"/>
    <w:rsid w:val="00F32D3C"/>
    <w:rsid w:val="00F3493F"/>
    <w:rsid w:val="00F34E5E"/>
    <w:rsid w:val="00F351DF"/>
    <w:rsid w:val="00F3526D"/>
    <w:rsid w:val="00F35F8D"/>
    <w:rsid w:val="00F36046"/>
    <w:rsid w:val="00F378A0"/>
    <w:rsid w:val="00F40240"/>
    <w:rsid w:val="00F448A8"/>
    <w:rsid w:val="00F44E21"/>
    <w:rsid w:val="00F45D54"/>
    <w:rsid w:val="00F46B1D"/>
    <w:rsid w:val="00F46B67"/>
    <w:rsid w:val="00F52239"/>
    <w:rsid w:val="00F52876"/>
    <w:rsid w:val="00F530AE"/>
    <w:rsid w:val="00F53270"/>
    <w:rsid w:val="00F559C3"/>
    <w:rsid w:val="00F5615B"/>
    <w:rsid w:val="00F57722"/>
    <w:rsid w:val="00F60AC0"/>
    <w:rsid w:val="00F619A4"/>
    <w:rsid w:val="00F63458"/>
    <w:rsid w:val="00F6396B"/>
    <w:rsid w:val="00F639B5"/>
    <w:rsid w:val="00F63AA2"/>
    <w:rsid w:val="00F6428E"/>
    <w:rsid w:val="00F646B5"/>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1F59"/>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86E"/>
    <w:rsid w:val="00FB088F"/>
    <w:rsid w:val="00FB13D2"/>
    <w:rsid w:val="00FB1D08"/>
    <w:rsid w:val="00FB1D27"/>
    <w:rsid w:val="00FB403C"/>
    <w:rsid w:val="00FC0F8E"/>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D6D6E"/>
    <w:rsid w:val="00FE13B0"/>
    <w:rsid w:val="00FE35C6"/>
    <w:rsid w:val="00FE458D"/>
    <w:rsid w:val="00FE5DDE"/>
    <w:rsid w:val="00FE75D1"/>
    <w:rsid w:val="00FE7627"/>
    <w:rsid w:val="00FF1A45"/>
    <w:rsid w:val="00FF1FF7"/>
    <w:rsid w:val="00FF2DC3"/>
    <w:rsid w:val="00FF4173"/>
    <w:rsid w:val="00FF5262"/>
    <w:rsid w:val="00FF5943"/>
    <w:rsid w:val="00FF5A73"/>
    <w:rsid w:val="00FF7E17"/>
    <w:rsid w:val="01D51113"/>
    <w:rsid w:val="023A2E2C"/>
    <w:rsid w:val="0339199B"/>
    <w:rsid w:val="035C6341"/>
    <w:rsid w:val="03776CFE"/>
    <w:rsid w:val="03815C1E"/>
    <w:rsid w:val="04AF5486"/>
    <w:rsid w:val="04CF481B"/>
    <w:rsid w:val="05516998"/>
    <w:rsid w:val="055238A3"/>
    <w:rsid w:val="0554557E"/>
    <w:rsid w:val="059C3DC1"/>
    <w:rsid w:val="06164F56"/>
    <w:rsid w:val="07592D58"/>
    <w:rsid w:val="08026668"/>
    <w:rsid w:val="085D29AB"/>
    <w:rsid w:val="085F0594"/>
    <w:rsid w:val="08AD4124"/>
    <w:rsid w:val="08E80AB4"/>
    <w:rsid w:val="095F390F"/>
    <w:rsid w:val="09761BF8"/>
    <w:rsid w:val="09E21FE2"/>
    <w:rsid w:val="0A143D51"/>
    <w:rsid w:val="0A7F09E6"/>
    <w:rsid w:val="0AAC68B2"/>
    <w:rsid w:val="0ADC7583"/>
    <w:rsid w:val="0AEE4ADC"/>
    <w:rsid w:val="0B4C367F"/>
    <w:rsid w:val="0B95651A"/>
    <w:rsid w:val="0BE107DE"/>
    <w:rsid w:val="0D091D9A"/>
    <w:rsid w:val="0D6358AB"/>
    <w:rsid w:val="0D77267A"/>
    <w:rsid w:val="0DAF047E"/>
    <w:rsid w:val="0DB241E0"/>
    <w:rsid w:val="0DD77445"/>
    <w:rsid w:val="0E994293"/>
    <w:rsid w:val="0EAB697C"/>
    <w:rsid w:val="0EE053D2"/>
    <w:rsid w:val="0EED1247"/>
    <w:rsid w:val="0F602361"/>
    <w:rsid w:val="0F6E581A"/>
    <w:rsid w:val="0F7F2DF1"/>
    <w:rsid w:val="11653413"/>
    <w:rsid w:val="11DA4319"/>
    <w:rsid w:val="124E2F7E"/>
    <w:rsid w:val="12B00485"/>
    <w:rsid w:val="12DE120C"/>
    <w:rsid w:val="13B1655E"/>
    <w:rsid w:val="13B1687F"/>
    <w:rsid w:val="153D1B8E"/>
    <w:rsid w:val="156E18E9"/>
    <w:rsid w:val="16145045"/>
    <w:rsid w:val="16293AD8"/>
    <w:rsid w:val="1793394F"/>
    <w:rsid w:val="180D7CB1"/>
    <w:rsid w:val="18830246"/>
    <w:rsid w:val="18904AA8"/>
    <w:rsid w:val="19D90F8F"/>
    <w:rsid w:val="1A1270E3"/>
    <w:rsid w:val="1A212CF6"/>
    <w:rsid w:val="1A5C6FD8"/>
    <w:rsid w:val="1B0E5A7A"/>
    <w:rsid w:val="1B14193F"/>
    <w:rsid w:val="1B46686F"/>
    <w:rsid w:val="1BCD7546"/>
    <w:rsid w:val="1BED0AD9"/>
    <w:rsid w:val="1C2D0877"/>
    <w:rsid w:val="1C97655E"/>
    <w:rsid w:val="1D2E512B"/>
    <w:rsid w:val="1DB904C5"/>
    <w:rsid w:val="1F164BA3"/>
    <w:rsid w:val="1F372E01"/>
    <w:rsid w:val="1F5A0134"/>
    <w:rsid w:val="1F7113B2"/>
    <w:rsid w:val="1F7D602E"/>
    <w:rsid w:val="20224CC1"/>
    <w:rsid w:val="2094332F"/>
    <w:rsid w:val="213D1BBA"/>
    <w:rsid w:val="216A25EE"/>
    <w:rsid w:val="217253F2"/>
    <w:rsid w:val="21972EF0"/>
    <w:rsid w:val="219A7F56"/>
    <w:rsid w:val="221A0BA8"/>
    <w:rsid w:val="221E19EC"/>
    <w:rsid w:val="222C5B99"/>
    <w:rsid w:val="22331AEF"/>
    <w:rsid w:val="22AC7E3E"/>
    <w:rsid w:val="22CD7100"/>
    <w:rsid w:val="23030608"/>
    <w:rsid w:val="24000B0D"/>
    <w:rsid w:val="243B796B"/>
    <w:rsid w:val="24CF6582"/>
    <w:rsid w:val="24D33CEE"/>
    <w:rsid w:val="264D28A0"/>
    <w:rsid w:val="269B185D"/>
    <w:rsid w:val="26AA3F9A"/>
    <w:rsid w:val="27252BF1"/>
    <w:rsid w:val="27583DCB"/>
    <w:rsid w:val="278D6C65"/>
    <w:rsid w:val="283D61C9"/>
    <w:rsid w:val="288527C5"/>
    <w:rsid w:val="288A7E1F"/>
    <w:rsid w:val="289B7554"/>
    <w:rsid w:val="2917568E"/>
    <w:rsid w:val="299F1664"/>
    <w:rsid w:val="29D356AD"/>
    <w:rsid w:val="2AAD4E88"/>
    <w:rsid w:val="2AE47783"/>
    <w:rsid w:val="2B263EBD"/>
    <w:rsid w:val="2B545055"/>
    <w:rsid w:val="2B8423ED"/>
    <w:rsid w:val="2CB9783E"/>
    <w:rsid w:val="2CD81EA7"/>
    <w:rsid w:val="2D2A7C52"/>
    <w:rsid w:val="2E362BA9"/>
    <w:rsid w:val="2E830A4C"/>
    <w:rsid w:val="2EA73716"/>
    <w:rsid w:val="30327475"/>
    <w:rsid w:val="30561C05"/>
    <w:rsid w:val="30E6493A"/>
    <w:rsid w:val="311F205E"/>
    <w:rsid w:val="32612AE4"/>
    <w:rsid w:val="32C804EA"/>
    <w:rsid w:val="331B6501"/>
    <w:rsid w:val="34614EEB"/>
    <w:rsid w:val="34C12764"/>
    <w:rsid w:val="34EA7A1E"/>
    <w:rsid w:val="34F85D8A"/>
    <w:rsid w:val="354A59C6"/>
    <w:rsid w:val="369F27AF"/>
    <w:rsid w:val="36A77C00"/>
    <w:rsid w:val="36CA50CD"/>
    <w:rsid w:val="36D91C7E"/>
    <w:rsid w:val="376E0A72"/>
    <w:rsid w:val="3771091F"/>
    <w:rsid w:val="377A2F10"/>
    <w:rsid w:val="37983D42"/>
    <w:rsid w:val="37DD1DEF"/>
    <w:rsid w:val="37FA4319"/>
    <w:rsid w:val="381B4B51"/>
    <w:rsid w:val="38792107"/>
    <w:rsid w:val="38E45431"/>
    <w:rsid w:val="39E27207"/>
    <w:rsid w:val="3A0E3D7F"/>
    <w:rsid w:val="3A167C26"/>
    <w:rsid w:val="3A75445C"/>
    <w:rsid w:val="3A9A79E6"/>
    <w:rsid w:val="3ACA7BAC"/>
    <w:rsid w:val="3AF74FDF"/>
    <w:rsid w:val="3B0C58DD"/>
    <w:rsid w:val="3B0F22ED"/>
    <w:rsid w:val="3B515C19"/>
    <w:rsid w:val="3B975572"/>
    <w:rsid w:val="3C224E6C"/>
    <w:rsid w:val="3C791504"/>
    <w:rsid w:val="3D511C43"/>
    <w:rsid w:val="3E492A9D"/>
    <w:rsid w:val="3EA7303F"/>
    <w:rsid w:val="3EAA2A2E"/>
    <w:rsid w:val="3F3A6CC1"/>
    <w:rsid w:val="3F6C4C64"/>
    <w:rsid w:val="3FA12AE7"/>
    <w:rsid w:val="3FDE185C"/>
    <w:rsid w:val="402C4AA5"/>
    <w:rsid w:val="404E159F"/>
    <w:rsid w:val="406C4A22"/>
    <w:rsid w:val="40A22263"/>
    <w:rsid w:val="41951CC4"/>
    <w:rsid w:val="419C52FA"/>
    <w:rsid w:val="41A63819"/>
    <w:rsid w:val="41B45826"/>
    <w:rsid w:val="42811FDE"/>
    <w:rsid w:val="448D16D6"/>
    <w:rsid w:val="44DD6308"/>
    <w:rsid w:val="450C5A74"/>
    <w:rsid w:val="4548009D"/>
    <w:rsid w:val="45880914"/>
    <w:rsid w:val="45A208FF"/>
    <w:rsid w:val="45D34A34"/>
    <w:rsid w:val="45E20462"/>
    <w:rsid w:val="465504C9"/>
    <w:rsid w:val="46830090"/>
    <w:rsid w:val="46D37977"/>
    <w:rsid w:val="479E5F2A"/>
    <w:rsid w:val="47A36E74"/>
    <w:rsid w:val="47E96303"/>
    <w:rsid w:val="486442FE"/>
    <w:rsid w:val="4878293F"/>
    <w:rsid w:val="48D06FFE"/>
    <w:rsid w:val="491922AA"/>
    <w:rsid w:val="492A46E4"/>
    <w:rsid w:val="495F0E1B"/>
    <w:rsid w:val="496843D5"/>
    <w:rsid w:val="49B26B9D"/>
    <w:rsid w:val="4A2251C4"/>
    <w:rsid w:val="4A5F1DE4"/>
    <w:rsid w:val="4B1B667D"/>
    <w:rsid w:val="4C2B1AAF"/>
    <w:rsid w:val="4C316C9E"/>
    <w:rsid w:val="4C9A38A4"/>
    <w:rsid w:val="4CB2108E"/>
    <w:rsid w:val="4D2964E3"/>
    <w:rsid w:val="4D9C7AE5"/>
    <w:rsid w:val="4DE3275E"/>
    <w:rsid w:val="4F2605B3"/>
    <w:rsid w:val="519E079B"/>
    <w:rsid w:val="51F95026"/>
    <w:rsid w:val="52A92D1D"/>
    <w:rsid w:val="52B93069"/>
    <w:rsid w:val="53121CF3"/>
    <w:rsid w:val="534E5FDD"/>
    <w:rsid w:val="539411E0"/>
    <w:rsid w:val="53CA72F5"/>
    <w:rsid w:val="54122549"/>
    <w:rsid w:val="541330D5"/>
    <w:rsid w:val="54746B86"/>
    <w:rsid w:val="54A91265"/>
    <w:rsid w:val="54E06452"/>
    <w:rsid w:val="55382D7B"/>
    <w:rsid w:val="555E56FA"/>
    <w:rsid w:val="556F3C64"/>
    <w:rsid w:val="55C55442"/>
    <w:rsid w:val="55EC7130"/>
    <w:rsid w:val="569C630A"/>
    <w:rsid w:val="56D471B9"/>
    <w:rsid w:val="5741113E"/>
    <w:rsid w:val="574D7D61"/>
    <w:rsid w:val="58817EFF"/>
    <w:rsid w:val="589F3CA9"/>
    <w:rsid w:val="58A950FF"/>
    <w:rsid w:val="58D646AA"/>
    <w:rsid w:val="59305216"/>
    <w:rsid w:val="59A321FB"/>
    <w:rsid w:val="5A037552"/>
    <w:rsid w:val="5A2E76B3"/>
    <w:rsid w:val="5ABC4DE1"/>
    <w:rsid w:val="5ACE46A6"/>
    <w:rsid w:val="5BEF1B84"/>
    <w:rsid w:val="5C630B77"/>
    <w:rsid w:val="5C982E14"/>
    <w:rsid w:val="5CA17795"/>
    <w:rsid w:val="5CA60A2B"/>
    <w:rsid w:val="5CD851F3"/>
    <w:rsid w:val="5CDB0592"/>
    <w:rsid w:val="5D494E68"/>
    <w:rsid w:val="5DD4783F"/>
    <w:rsid w:val="5E423CC7"/>
    <w:rsid w:val="5E6E17AA"/>
    <w:rsid w:val="5EAE0BD4"/>
    <w:rsid w:val="5ECB4B96"/>
    <w:rsid w:val="5EF22C19"/>
    <w:rsid w:val="5F0720C0"/>
    <w:rsid w:val="5F0C1449"/>
    <w:rsid w:val="5F180B40"/>
    <w:rsid w:val="5F4762BC"/>
    <w:rsid w:val="5F477198"/>
    <w:rsid w:val="5F994D4B"/>
    <w:rsid w:val="60206B9C"/>
    <w:rsid w:val="61747B97"/>
    <w:rsid w:val="61B91604"/>
    <w:rsid w:val="621C14AD"/>
    <w:rsid w:val="62557A34"/>
    <w:rsid w:val="62926B95"/>
    <w:rsid w:val="62FC61E6"/>
    <w:rsid w:val="631338FF"/>
    <w:rsid w:val="63EC6927"/>
    <w:rsid w:val="643F41AB"/>
    <w:rsid w:val="6470105F"/>
    <w:rsid w:val="64E90B6D"/>
    <w:rsid w:val="653C162C"/>
    <w:rsid w:val="67110DC2"/>
    <w:rsid w:val="672A5E48"/>
    <w:rsid w:val="674F01FA"/>
    <w:rsid w:val="686D5EAE"/>
    <w:rsid w:val="68771BD2"/>
    <w:rsid w:val="69061E11"/>
    <w:rsid w:val="69123C78"/>
    <w:rsid w:val="691F6E62"/>
    <w:rsid w:val="69FD6FD7"/>
    <w:rsid w:val="6A0B5B1A"/>
    <w:rsid w:val="6A974BDB"/>
    <w:rsid w:val="6AD07D8E"/>
    <w:rsid w:val="6AFE2D65"/>
    <w:rsid w:val="6B0E00E5"/>
    <w:rsid w:val="6B1B2E20"/>
    <w:rsid w:val="6B626C6F"/>
    <w:rsid w:val="6B65775B"/>
    <w:rsid w:val="6BB0436D"/>
    <w:rsid w:val="6BE94F1F"/>
    <w:rsid w:val="6C353187"/>
    <w:rsid w:val="6D431148"/>
    <w:rsid w:val="6D532F72"/>
    <w:rsid w:val="6D7101EF"/>
    <w:rsid w:val="6E6E13D6"/>
    <w:rsid w:val="6EB97CB1"/>
    <w:rsid w:val="6F6873AE"/>
    <w:rsid w:val="6F971E6E"/>
    <w:rsid w:val="6F991C7F"/>
    <w:rsid w:val="6FAC6BCC"/>
    <w:rsid w:val="6FCE356B"/>
    <w:rsid w:val="701F4BD7"/>
    <w:rsid w:val="70926A15"/>
    <w:rsid w:val="70D32296"/>
    <w:rsid w:val="70E23ED0"/>
    <w:rsid w:val="714557AB"/>
    <w:rsid w:val="715B1CF9"/>
    <w:rsid w:val="717413BA"/>
    <w:rsid w:val="72004D0D"/>
    <w:rsid w:val="72697ED9"/>
    <w:rsid w:val="72D2080E"/>
    <w:rsid w:val="72FB0CA7"/>
    <w:rsid w:val="73412D47"/>
    <w:rsid w:val="735367A0"/>
    <w:rsid w:val="740B754B"/>
    <w:rsid w:val="745936DE"/>
    <w:rsid w:val="7480745B"/>
    <w:rsid w:val="75032472"/>
    <w:rsid w:val="75E46B48"/>
    <w:rsid w:val="760A5DBE"/>
    <w:rsid w:val="766133B3"/>
    <w:rsid w:val="78283036"/>
    <w:rsid w:val="78DE51D5"/>
    <w:rsid w:val="791D0378"/>
    <w:rsid w:val="793C199B"/>
    <w:rsid w:val="7956473D"/>
    <w:rsid w:val="798126C5"/>
    <w:rsid w:val="79A228E7"/>
    <w:rsid w:val="7B614FBB"/>
    <w:rsid w:val="7BA46A5C"/>
    <w:rsid w:val="7BE82AE3"/>
    <w:rsid w:val="7C8901DA"/>
    <w:rsid w:val="7CB849F5"/>
    <w:rsid w:val="7CB91D79"/>
    <w:rsid w:val="7D50686A"/>
    <w:rsid w:val="7DA23B0D"/>
    <w:rsid w:val="7DD2140A"/>
    <w:rsid w:val="7E532A16"/>
    <w:rsid w:val="7EC27EA3"/>
    <w:rsid w:val="7F767479"/>
    <w:rsid w:val="7FD40C10"/>
    <w:rsid w:val="7FDF6D63"/>
    <w:rsid w:val="DC1F267C"/>
    <w:rsid w:val="E77DB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2"/>
    <w:autoRedefine/>
    <w:qFormat/>
    <w:uiPriority w:val="0"/>
    <w:pPr>
      <w:spacing w:before="100" w:beforeAutospacing="1" w:after="100" w:afterAutospacing="1"/>
      <w:jc w:val="left"/>
      <w:outlineLvl w:val="0"/>
    </w:pPr>
    <w:rPr>
      <w:rFonts w:hint="eastAsia" w:ascii="宋体" w:hAnsi="宋体"/>
      <w:b/>
      <w:kern w:val="44"/>
      <w:sz w:val="48"/>
      <w:szCs w:val="48"/>
    </w:rPr>
  </w:style>
  <w:style w:type="paragraph" w:styleId="4">
    <w:name w:val="heading 2"/>
    <w:basedOn w:val="1"/>
    <w:next w:val="1"/>
    <w:link w:val="103"/>
    <w:autoRedefine/>
    <w:qFormat/>
    <w:uiPriority w:val="0"/>
    <w:pPr>
      <w:keepNext/>
      <w:keepLines/>
      <w:spacing w:before="260" w:after="260" w:line="413" w:lineRule="auto"/>
      <w:outlineLvl w:val="1"/>
    </w:pPr>
    <w:rPr>
      <w:rFonts w:ascii="Arial" w:hAnsi="Arial" w:eastAsia="黑体"/>
      <w:b/>
      <w:sz w:val="32"/>
    </w:rPr>
  </w:style>
  <w:style w:type="paragraph" w:styleId="5">
    <w:name w:val="heading 3"/>
    <w:basedOn w:val="1"/>
    <w:next w:val="1"/>
    <w:link w:val="104"/>
    <w:autoRedefine/>
    <w:qFormat/>
    <w:uiPriority w:val="0"/>
    <w:pPr>
      <w:spacing w:before="100" w:beforeAutospacing="1" w:after="100" w:afterAutospacing="1"/>
      <w:jc w:val="left"/>
      <w:outlineLvl w:val="2"/>
    </w:pPr>
    <w:rPr>
      <w:rFonts w:hint="eastAsia" w:ascii="宋体" w:hAnsi="宋体"/>
      <w:b/>
      <w:kern w:val="0"/>
      <w:sz w:val="27"/>
      <w:szCs w:val="27"/>
    </w:rPr>
  </w:style>
  <w:style w:type="paragraph" w:styleId="6">
    <w:name w:val="heading 4"/>
    <w:basedOn w:val="1"/>
    <w:next w:val="1"/>
    <w:link w:val="105"/>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semiHidden/>
    <w:unhideWhenUsed/>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link w:val="115"/>
    <w:autoRedefine/>
    <w:qFormat/>
    <w:uiPriority w:val="0"/>
    <w:pPr>
      <w:ind w:firstLine="420"/>
    </w:pPr>
    <w:rPr>
      <w:szCs w:val="20"/>
    </w:rPr>
  </w:style>
  <w:style w:type="paragraph" w:styleId="7">
    <w:name w:val="toc 7"/>
    <w:basedOn w:val="1"/>
    <w:next w:val="1"/>
    <w:autoRedefine/>
    <w:qFormat/>
    <w:uiPriority w:val="39"/>
    <w:pPr>
      <w:ind w:left="1260"/>
      <w:jc w:val="left"/>
    </w:pPr>
    <w:rPr>
      <w:sz w:val="18"/>
      <w:szCs w:val="18"/>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98"/>
    <w:autoRedefine/>
    <w:unhideWhenUsed/>
    <w:qFormat/>
    <w:uiPriority w:val="0"/>
    <w:rPr>
      <w:rFonts w:ascii="宋体"/>
      <w:sz w:val="18"/>
      <w:szCs w:val="18"/>
    </w:rPr>
  </w:style>
  <w:style w:type="paragraph" w:styleId="10">
    <w:name w:val="annotation text"/>
    <w:basedOn w:val="1"/>
    <w:link w:val="95"/>
    <w:autoRedefine/>
    <w:unhideWhenUsed/>
    <w:qFormat/>
    <w:uiPriority w:val="0"/>
    <w:pPr>
      <w:jc w:val="left"/>
    </w:pPr>
  </w:style>
  <w:style w:type="paragraph" w:styleId="11">
    <w:name w:val="Body Text 3"/>
    <w:basedOn w:val="1"/>
    <w:link w:val="119"/>
    <w:autoRedefine/>
    <w:qFormat/>
    <w:uiPriority w:val="0"/>
    <w:pPr>
      <w:spacing w:after="120"/>
    </w:pPr>
    <w:rPr>
      <w:sz w:val="16"/>
      <w:szCs w:val="16"/>
    </w:rPr>
  </w:style>
  <w:style w:type="paragraph" w:styleId="12">
    <w:name w:val="Body Text"/>
    <w:basedOn w:val="1"/>
    <w:link w:val="120"/>
    <w:autoRedefine/>
    <w:qFormat/>
    <w:uiPriority w:val="0"/>
    <w:pPr>
      <w:spacing w:line="360" w:lineRule="auto"/>
    </w:pPr>
    <w:rPr>
      <w:szCs w:val="20"/>
    </w:rPr>
  </w:style>
  <w:style w:type="paragraph" w:styleId="13">
    <w:name w:val="Body Text Indent"/>
    <w:basedOn w:val="1"/>
    <w:link w:val="121"/>
    <w:qFormat/>
    <w:uiPriority w:val="0"/>
    <w:pPr>
      <w:ind w:firstLine="830" w:firstLineChars="352"/>
    </w:pPr>
    <w:rPr>
      <w:rFonts w:ascii="仿宋_GB2312" w:eastAsia="仿宋_GB2312"/>
      <w:sz w:val="32"/>
      <w:szCs w:val="20"/>
    </w:rPr>
  </w:style>
  <w:style w:type="paragraph" w:styleId="14">
    <w:name w:val="toc 5"/>
    <w:basedOn w:val="1"/>
    <w:next w:val="1"/>
    <w:autoRedefine/>
    <w:qFormat/>
    <w:uiPriority w:val="39"/>
    <w:pPr>
      <w:ind w:left="840"/>
      <w:jc w:val="left"/>
    </w:pPr>
    <w:rPr>
      <w:sz w:val="18"/>
      <w:szCs w:val="18"/>
    </w:rPr>
  </w:style>
  <w:style w:type="paragraph" w:styleId="15">
    <w:name w:val="toc 3"/>
    <w:basedOn w:val="1"/>
    <w:next w:val="1"/>
    <w:autoRedefine/>
    <w:qFormat/>
    <w:uiPriority w:val="39"/>
    <w:pPr>
      <w:spacing w:line="300" w:lineRule="auto"/>
      <w:ind w:left="420"/>
      <w:jc w:val="left"/>
    </w:pPr>
    <w:rPr>
      <w:i/>
      <w:iCs/>
      <w:szCs w:val="20"/>
    </w:rPr>
  </w:style>
  <w:style w:type="paragraph" w:styleId="16">
    <w:name w:val="Plain Text"/>
    <w:basedOn w:val="1"/>
    <w:link w:val="97"/>
    <w:autoRedefine/>
    <w:qFormat/>
    <w:uiPriority w:val="0"/>
    <w:rPr>
      <w:rFonts w:ascii="宋体" w:hAnsi="Courier New"/>
      <w:kern w:val="0"/>
      <w:sz w:val="20"/>
      <w:szCs w:val="21"/>
    </w:rPr>
  </w:style>
  <w:style w:type="paragraph" w:styleId="17">
    <w:name w:val="toc 8"/>
    <w:basedOn w:val="1"/>
    <w:next w:val="1"/>
    <w:autoRedefine/>
    <w:qFormat/>
    <w:uiPriority w:val="39"/>
    <w:pPr>
      <w:ind w:left="1470"/>
      <w:jc w:val="left"/>
    </w:pPr>
    <w:rPr>
      <w:sz w:val="18"/>
      <w:szCs w:val="18"/>
    </w:rPr>
  </w:style>
  <w:style w:type="paragraph" w:styleId="18">
    <w:name w:val="Date"/>
    <w:basedOn w:val="1"/>
    <w:next w:val="1"/>
    <w:link w:val="106"/>
    <w:autoRedefine/>
    <w:qFormat/>
    <w:uiPriority w:val="0"/>
    <w:rPr>
      <w:rFonts w:ascii="Calibri" w:hAnsi="Calibri"/>
      <w:szCs w:val="20"/>
    </w:rPr>
  </w:style>
  <w:style w:type="paragraph" w:styleId="19">
    <w:name w:val="Balloon Text"/>
    <w:basedOn w:val="1"/>
    <w:link w:val="93"/>
    <w:autoRedefine/>
    <w:unhideWhenUsed/>
    <w:qFormat/>
    <w:uiPriority w:val="0"/>
    <w:rPr>
      <w:kern w:val="0"/>
      <w:sz w:val="18"/>
      <w:szCs w:val="18"/>
    </w:rPr>
  </w:style>
  <w:style w:type="paragraph" w:styleId="20">
    <w:name w:val="footer"/>
    <w:basedOn w:val="1"/>
    <w:link w:val="92"/>
    <w:autoRedefine/>
    <w:unhideWhenUsed/>
    <w:qFormat/>
    <w:uiPriority w:val="0"/>
    <w:pPr>
      <w:tabs>
        <w:tab w:val="center" w:pos="4153"/>
        <w:tab w:val="right" w:pos="8306"/>
      </w:tabs>
      <w:snapToGrid w:val="0"/>
      <w:jc w:val="left"/>
    </w:pPr>
    <w:rPr>
      <w:sz w:val="18"/>
      <w:szCs w:val="18"/>
    </w:rPr>
  </w:style>
  <w:style w:type="paragraph" w:styleId="21">
    <w:name w:val="header"/>
    <w:basedOn w:val="1"/>
    <w:link w:val="91"/>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autoRedefine/>
    <w:qFormat/>
    <w:uiPriority w:val="39"/>
    <w:pPr>
      <w:spacing w:before="120" w:after="120" w:line="360" w:lineRule="auto"/>
      <w:jc w:val="left"/>
    </w:pPr>
    <w:rPr>
      <w:b/>
      <w:bCs/>
      <w:caps/>
      <w:szCs w:val="20"/>
    </w:rPr>
  </w:style>
  <w:style w:type="paragraph" w:styleId="23">
    <w:name w:val="toc 4"/>
    <w:basedOn w:val="1"/>
    <w:next w:val="1"/>
    <w:autoRedefine/>
    <w:qFormat/>
    <w:uiPriority w:val="39"/>
    <w:pPr>
      <w:ind w:left="630"/>
      <w:jc w:val="left"/>
    </w:pPr>
    <w:rPr>
      <w:sz w:val="18"/>
      <w:szCs w:val="18"/>
    </w:rPr>
  </w:style>
  <w:style w:type="paragraph" w:styleId="24">
    <w:name w:val="index heading"/>
    <w:basedOn w:val="1"/>
    <w:next w:val="25"/>
    <w:autoRedefine/>
    <w:qFormat/>
    <w:uiPriority w:val="0"/>
    <w:rPr>
      <w:szCs w:val="20"/>
    </w:rPr>
  </w:style>
  <w:style w:type="paragraph" w:styleId="25">
    <w:name w:val="index 1"/>
    <w:basedOn w:val="1"/>
    <w:next w:val="1"/>
    <w:autoRedefine/>
    <w:unhideWhenUsed/>
    <w:qFormat/>
    <w:uiPriority w:val="0"/>
    <w:rPr>
      <w:rFonts w:ascii="Calibri" w:hAnsi="Calibri"/>
    </w:rPr>
  </w:style>
  <w:style w:type="paragraph" w:styleId="26">
    <w:name w:val="toc 6"/>
    <w:basedOn w:val="1"/>
    <w:next w:val="1"/>
    <w:autoRedefine/>
    <w:qFormat/>
    <w:uiPriority w:val="39"/>
    <w:pPr>
      <w:ind w:left="1050"/>
      <w:jc w:val="left"/>
    </w:pPr>
    <w:rPr>
      <w:sz w:val="18"/>
      <w:szCs w:val="18"/>
    </w:rPr>
  </w:style>
  <w:style w:type="paragraph" w:styleId="27">
    <w:name w:val="Body Text Indent 3"/>
    <w:basedOn w:val="1"/>
    <w:link w:val="122"/>
    <w:autoRedefine/>
    <w:qFormat/>
    <w:uiPriority w:val="0"/>
    <w:pPr>
      <w:spacing w:line="360" w:lineRule="auto"/>
      <w:ind w:firstLine="420" w:firstLineChars="200"/>
    </w:pPr>
    <w:rPr>
      <w:szCs w:val="20"/>
    </w:rPr>
  </w:style>
  <w:style w:type="paragraph" w:styleId="28">
    <w:name w:val="toc 2"/>
    <w:basedOn w:val="1"/>
    <w:next w:val="1"/>
    <w:autoRedefine/>
    <w:qFormat/>
    <w:uiPriority w:val="39"/>
    <w:pPr>
      <w:spacing w:line="360" w:lineRule="auto"/>
      <w:ind w:left="210"/>
      <w:jc w:val="left"/>
    </w:pPr>
    <w:rPr>
      <w:smallCaps/>
      <w:szCs w:val="20"/>
    </w:rPr>
  </w:style>
  <w:style w:type="paragraph" w:styleId="29">
    <w:name w:val="toc 9"/>
    <w:basedOn w:val="1"/>
    <w:next w:val="1"/>
    <w:autoRedefine/>
    <w:qFormat/>
    <w:uiPriority w:val="39"/>
    <w:pPr>
      <w:ind w:left="1680"/>
      <w:jc w:val="left"/>
    </w:pPr>
    <w:rPr>
      <w:sz w:val="18"/>
      <w:szCs w:val="18"/>
    </w:rPr>
  </w:style>
  <w:style w:type="paragraph" w:styleId="30">
    <w:name w:val="Body Text 2"/>
    <w:basedOn w:val="1"/>
    <w:link w:val="128"/>
    <w:autoRedefine/>
    <w:qFormat/>
    <w:uiPriority w:val="0"/>
    <w:pPr>
      <w:spacing w:after="120" w:line="480" w:lineRule="auto"/>
    </w:pPr>
  </w:style>
  <w:style w:type="paragraph" w:styleId="31">
    <w:name w:val="HTML Preformatted"/>
    <w:basedOn w:val="1"/>
    <w:link w:val="110"/>
    <w:autoRedefine/>
    <w:qFormat/>
    <w:uiPriority w:val="99"/>
    <w:pPr>
      <w:widowControl/>
      <w:jc w:val="left"/>
    </w:pPr>
    <w:rPr>
      <w:rFonts w:ascii="黑体" w:hAnsi="Courier New" w:eastAsia="黑体" w:cs="Courier New"/>
      <w:kern w:val="0"/>
      <w:sz w:val="20"/>
      <w:szCs w:val="21"/>
    </w:rPr>
  </w:style>
  <w:style w:type="paragraph" w:styleId="32">
    <w:name w:val="Normal (Web)"/>
    <w:basedOn w:val="1"/>
    <w:autoRedefine/>
    <w:qFormat/>
    <w:uiPriority w:val="99"/>
    <w:pPr>
      <w:widowControl/>
      <w:spacing w:beforeAutospacing="1" w:afterAutospacing="1"/>
      <w:jc w:val="left"/>
    </w:pPr>
    <w:rPr>
      <w:rFonts w:ascii="宋体" w:hAnsi="宋体"/>
      <w:color w:val="000000"/>
      <w:kern w:val="0"/>
      <w:sz w:val="24"/>
    </w:rPr>
  </w:style>
  <w:style w:type="paragraph" w:styleId="33">
    <w:name w:val="Title"/>
    <w:basedOn w:val="1"/>
    <w:link w:val="118"/>
    <w:autoRedefine/>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6"/>
    <w:autoRedefine/>
    <w:unhideWhenUsed/>
    <w:qFormat/>
    <w:uiPriority w:val="0"/>
    <w:rPr>
      <w:b/>
      <w:bCs/>
    </w:rPr>
  </w:style>
  <w:style w:type="paragraph" w:styleId="35">
    <w:name w:val="Body Text First Indent"/>
    <w:basedOn w:val="12"/>
    <w:link w:val="123"/>
    <w:autoRedefine/>
    <w:qFormat/>
    <w:uiPriority w:val="0"/>
    <w:pPr>
      <w:spacing w:after="120" w:line="240" w:lineRule="auto"/>
      <w:ind w:firstLine="420" w:firstLineChars="100"/>
    </w:pPr>
    <w:rPr>
      <w:szCs w:val="24"/>
    </w:rPr>
  </w:style>
  <w:style w:type="table" w:styleId="37">
    <w:name w:val="Table Grid"/>
    <w:basedOn w:val="3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autoRedefine/>
    <w:unhideWhenUsed/>
    <w:qFormat/>
    <w:uiPriority w:val="99"/>
    <w:rPr>
      <w:color w:val="954F72"/>
      <w:u w:val="single"/>
    </w:rPr>
  </w:style>
  <w:style w:type="character" w:styleId="42">
    <w:name w:val="Hyperlink"/>
    <w:autoRedefine/>
    <w:unhideWhenUsed/>
    <w:qFormat/>
    <w:uiPriority w:val="99"/>
    <w:rPr>
      <w:color w:val="0000FF"/>
      <w:u w:val="single"/>
    </w:rPr>
  </w:style>
  <w:style w:type="character" w:styleId="43">
    <w:name w:val="annotation reference"/>
    <w:autoRedefine/>
    <w:unhideWhenUsed/>
    <w:qFormat/>
    <w:uiPriority w:val="0"/>
    <w:rPr>
      <w:sz w:val="21"/>
      <w:szCs w:val="21"/>
    </w:rPr>
  </w:style>
  <w:style w:type="paragraph" w:customStyle="1" w:styleId="44">
    <w:name w:val="列表段落1"/>
    <w:basedOn w:val="1"/>
    <w:link w:val="94"/>
    <w:autoRedefine/>
    <w:qFormat/>
    <w:uiPriority w:val="0"/>
    <w:pPr>
      <w:ind w:firstLine="420" w:firstLineChars="200"/>
    </w:pPr>
  </w:style>
  <w:style w:type="paragraph" w:customStyle="1" w:styleId="45">
    <w:name w:val="列出段落1"/>
    <w:basedOn w:val="1"/>
    <w:autoRedefine/>
    <w:qFormat/>
    <w:uiPriority w:val="0"/>
    <w:pPr>
      <w:ind w:firstLine="420" w:firstLineChars="200"/>
    </w:pPr>
  </w:style>
  <w:style w:type="paragraph" w:customStyle="1" w:styleId="46">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纯文本1"/>
    <w:basedOn w:val="1"/>
    <w:link w:val="101"/>
    <w:autoRedefine/>
    <w:qFormat/>
    <w:uiPriority w:val="0"/>
    <w:rPr>
      <w:rFonts w:ascii="宋体" w:hAnsi="Courier New"/>
      <w:kern w:val="0"/>
      <w:sz w:val="20"/>
      <w:szCs w:val="20"/>
    </w:rPr>
  </w:style>
  <w:style w:type="paragraph" w:customStyle="1" w:styleId="48">
    <w:name w:val="列表段落2"/>
    <w:basedOn w:val="1"/>
    <w:autoRedefine/>
    <w:qFormat/>
    <w:uiPriority w:val="34"/>
    <w:pPr>
      <w:ind w:firstLine="420" w:firstLineChars="200"/>
    </w:pPr>
  </w:style>
  <w:style w:type="paragraph" w:customStyle="1" w:styleId="49">
    <w:name w:val="表格文字"/>
    <w:basedOn w:val="1"/>
    <w:autoRedefine/>
    <w:qFormat/>
    <w:uiPriority w:val="0"/>
    <w:pPr>
      <w:jc w:val="left"/>
    </w:pPr>
    <w:rPr>
      <w:rFonts w:ascii="Calibri" w:hAnsi="Calibri"/>
      <w:bCs/>
      <w:spacing w:val="10"/>
      <w:kern w:val="0"/>
      <w:sz w:val="24"/>
      <w:szCs w:val="20"/>
    </w:rPr>
  </w:style>
  <w:style w:type="paragraph" w:customStyle="1" w:styleId="50">
    <w:name w:val="正文1"/>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1">
    <w:name w:val="Blockquote"/>
    <w:basedOn w:val="1"/>
    <w:autoRedefine/>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2">
    <w:name w:val="msonormal"/>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3">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54">
    <w:name w:val="xl69"/>
    <w:basedOn w:val="1"/>
    <w:autoRedefine/>
    <w:qFormat/>
    <w:uiPriority w:val="0"/>
    <w:pPr>
      <w:widowControl/>
      <w:spacing w:before="100" w:beforeAutospacing="1" w:after="100" w:afterAutospacing="1"/>
      <w:jc w:val="center"/>
    </w:pPr>
    <w:rPr>
      <w:rFonts w:ascii="宋体" w:hAnsi="宋体" w:cs="宋体"/>
      <w:kern w:val="0"/>
      <w:sz w:val="20"/>
      <w:szCs w:val="20"/>
    </w:rPr>
  </w:style>
  <w:style w:type="paragraph" w:customStyle="1" w:styleId="55">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7">
    <w:name w:val="Char Char2 Char"/>
    <w:basedOn w:val="1"/>
    <w:autoRedefine/>
    <w:qFormat/>
    <w:uiPriority w:val="0"/>
    <w:rPr>
      <w:rFonts w:ascii="宋体" w:hAnsi="宋体"/>
      <w:b/>
      <w:sz w:val="28"/>
      <w:szCs w:val="28"/>
    </w:rPr>
  </w:style>
  <w:style w:type="paragraph" w:customStyle="1" w:styleId="58">
    <w:name w:val="Char Char Char Char Char Char Char Char Char Char"/>
    <w:basedOn w:val="1"/>
    <w:autoRedefine/>
    <w:qFormat/>
    <w:uiPriority w:val="0"/>
    <w:rPr>
      <w:rFonts w:ascii="Tahoma" w:hAnsi="Tahoma"/>
      <w:sz w:val="24"/>
      <w:szCs w:val="20"/>
    </w:rPr>
  </w:style>
  <w:style w:type="paragraph" w:customStyle="1" w:styleId="59">
    <w:name w:val="Char Char Char Char Char Char Char"/>
    <w:basedOn w:val="1"/>
    <w:autoRedefine/>
    <w:qFormat/>
    <w:uiPriority w:val="0"/>
    <w:pPr>
      <w:tabs>
        <w:tab w:val="left" w:pos="425"/>
      </w:tabs>
      <w:ind w:left="425" w:hanging="425"/>
    </w:pPr>
    <w:rPr>
      <w:rFonts w:eastAsia="仿宋_GB2312"/>
      <w:kern w:val="24"/>
      <w:sz w:val="24"/>
    </w:rPr>
  </w:style>
  <w:style w:type="paragraph" w:customStyle="1" w:styleId="60">
    <w:name w:val="table"/>
    <w:basedOn w:val="1"/>
    <w:autoRedefine/>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1">
    <w:name w:val="正文标题"/>
    <w:basedOn w:val="1"/>
    <w:autoRedefine/>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2">
    <w:name w:val="大标题"/>
    <w:basedOn w:val="3"/>
    <w:autoRedefine/>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3">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
    <w:name w:val="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65">
    <w:name w:val="_Style 2"/>
    <w:basedOn w:val="1"/>
    <w:autoRedefine/>
    <w:qFormat/>
    <w:uiPriority w:val="34"/>
    <w:pPr>
      <w:ind w:firstLine="420" w:firstLineChars="200"/>
    </w:pPr>
  </w:style>
  <w:style w:type="paragraph" w:customStyle="1" w:styleId="66">
    <w:name w:val="Char Char1"/>
    <w:basedOn w:val="1"/>
    <w:autoRedefine/>
    <w:qFormat/>
    <w:uiPriority w:val="0"/>
    <w:rPr>
      <w:rFonts w:ascii="宋体" w:hAnsi="宋体"/>
      <w:b/>
      <w:sz w:val="28"/>
      <w:szCs w:val="28"/>
    </w:rPr>
  </w:style>
  <w:style w:type="paragraph" w:customStyle="1" w:styleId="67">
    <w:name w:val="默认段落字体 Para Char"/>
    <w:basedOn w:val="1"/>
    <w:autoRedefine/>
    <w:qFormat/>
    <w:uiPriority w:val="0"/>
    <w:rPr>
      <w:rFonts w:ascii="宋体" w:hAnsi="宋体"/>
      <w:b/>
      <w:sz w:val="28"/>
      <w:szCs w:val="28"/>
    </w:rPr>
  </w:style>
  <w:style w:type="paragraph" w:customStyle="1" w:styleId="68">
    <w:name w:val="办公自动化专用标题"/>
    <w:basedOn w:val="33"/>
    <w:autoRedefine/>
    <w:qFormat/>
    <w:uiPriority w:val="0"/>
    <w:pPr>
      <w:spacing w:line="560" w:lineRule="atLeast"/>
    </w:pPr>
    <w:rPr>
      <w:rFonts w:ascii="宋体" w:cs="Times New Roman"/>
      <w:bCs w:val="0"/>
      <w:sz w:val="44"/>
      <w:szCs w:val="20"/>
    </w:rPr>
  </w:style>
  <w:style w:type="paragraph" w:customStyle="1" w:styleId="69">
    <w:name w:val="_Style 1"/>
    <w:basedOn w:val="1"/>
    <w:autoRedefine/>
    <w:qFormat/>
    <w:uiPriority w:val="34"/>
    <w:pPr>
      <w:ind w:firstLine="420" w:firstLineChars="200"/>
    </w:pPr>
  </w:style>
  <w:style w:type="paragraph" w:customStyle="1" w:styleId="70">
    <w:name w:val="p0"/>
    <w:basedOn w:val="1"/>
    <w:autoRedefine/>
    <w:qFormat/>
    <w:uiPriority w:val="0"/>
    <w:pPr>
      <w:widowControl/>
    </w:pPr>
    <w:rPr>
      <w:kern w:val="0"/>
      <w:szCs w:val="21"/>
    </w:rPr>
  </w:style>
  <w:style w:type="paragraph" w:customStyle="1" w:styleId="71">
    <w:name w:val="Char Char1 Char Char Char Char Char Char"/>
    <w:basedOn w:val="1"/>
    <w:autoRedefine/>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2">
    <w:name w:val="HLegal 2"/>
    <w:basedOn w:val="1"/>
    <w:autoRedefine/>
    <w:qFormat/>
    <w:uiPriority w:val="0"/>
    <w:pPr>
      <w:widowControl/>
      <w:spacing w:beforeLines="50" w:afterLines="50" w:line="300" w:lineRule="auto"/>
      <w:ind w:left="1"/>
      <w:jc w:val="left"/>
    </w:pPr>
    <w:rPr>
      <w:rFonts w:ascii="宋体" w:hAnsi="宋体" w:cs="宋体"/>
      <w:bCs/>
      <w:kern w:val="0"/>
      <w:sz w:val="24"/>
    </w:rPr>
  </w:style>
  <w:style w:type="paragraph" w:customStyle="1" w:styleId="73">
    <w:name w:val="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题注4"/>
    <w:basedOn w:val="1"/>
    <w:next w:val="8"/>
    <w:autoRedefine/>
    <w:qFormat/>
    <w:uiPriority w:val="0"/>
    <w:pPr>
      <w:ind w:left="-132" w:leftChars="-64" w:right="-105" w:rightChars="-50" w:hanging="2"/>
      <w:jc w:val="center"/>
    </w:pPr>
    <w:rPr>
      <w:b/>
      <w:color w:val="FF0000"/>
      <w:szCs w:val="21"/>
    </w:rPr>
  </w:style>
  <w:style w:type="paragraph" w:customStyle="1" w:styleId="75">
    <w:name w:val="Char Char Char Char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6">
    <w:name w:val="默认段落字体 Para Char Char Char Char"/>
    <w:basedOn w:val="1"/>
    <w:autoRedefine/>
    <w:qFormat/>
    <w:uiPriority w:val="0"/>
    <w:pPr>
      <w:spacing w:line="360" w:lineRule="auto"/>
      <w:ind w:firstLine="200" w:firstLineChars="200"/>
    </w:pPr>
    <w:rPr>
      <w:rFonts w:ascii="宋体" w:hAnsi="宋体" w:cs="宋体"/>
      <w:sz w:val="24"/>
    </w:rPr>
  </w:style>
  <w:style w:type="paragraph" w:customStyle="1" w:styleId="77">
    <w:name w:val="xl2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8">
    <w:name w:val="xl29"/>
    <w:basedOn w:val="1"/>
    <w:autoRedefine/>
    <w:qFormat/>
    <w:uiPriority w:val="0"/>
    <w:pPr>
      <w:widowControl/>
      <w:spacing w:before="100" w:beforeAutospacing="1" w:after="100" w:afterAutospacing="1"/>
      <w:jc w:val="center"/>
    </w:pPr>
    <w:rPr>
      <w:rFonts w:ascii="宋体" w:hAnsi="宋体"/>
      <w:kern w:val="0"/>
      <w:sz w:val="28"/>
      <w:szCs w:val="28"/>
    </w:rPr>
  </w:style>
  <w:style w:type="paragraph" w:customStyle="1" w:styleId="79">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0">
    <w:name w:val="表头"/>
    <w:basedOn w:val="8"/>
    <w:autoRedefine/>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1">
    <w:name w:val="普通 (Web)"/>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82">
    <w:name w:val="题注5"/>
    <w:basedOn w:val="1"/>
    <w:next w:val="8"/>
    <w:autoRedefine/>
    <w:qFormat/>
    <w:uiPriority w:val="0"/>
    <w:pPr>
      <w:jc w:val="center"/>
    </w:pPr>
    <w:rPr>
      <w:b/>
      <w:color w:val="000000"/>
      <w:sz w:val="24"/>
      <w:szCs w:val="21"/>
    </w:rPr>
  </w:style>
  <w:style w:type="paragraph" w:customStyle="1" w:styleId="83">
    <w:name w:val="修订1"/>
    <w:autoRedefine/>
    <w:hidden/>
    <w:unhideWhenUsed/>
    <w:qFormat/>
    <w:uiPriority w:val="99"/>
    <w:rPr>
      <w:rFonts w:ascii="Calibri" w:hAnsi="Calibri" w:eastAsia="宋体" w:cs="Times New Roman"/>
      <w:kern w:val="2"/>
      <w:sz w:val="21"/>
      <w:szCs w:val="24"/>
      <w:lang w:val="en-US" w:eastAsia="zh-CN" w:bidi="ar-SA"/>
    </w:rPr>
  </w:style>
  <w:style w:type="paragraph" w:customStyle="1" w:styleId="84">
    <w:name w:val="_Style 95"/>
    <w:basedOn w:val="1"/>
    <w:next w:val="48"/>
    <w:autoRedefine/>
    <w:qFormat/>
    <w:uiPriority w:val="0"/>
    <w:pPr>
      <w:ind w:firstLine="420" w:firstLineChars="200"/>
    </w:pPr>
    <w:rPr>
      <w:rFonts w:ascii="Calibri" w:hAnsi="Calibri"/>
      <w:szCs w:val="22"/>
    </w:rPr>
  </w:style>
  <w:style w:type="paragraph" w:customStyle="1" w:styleId="85">
    <w:name w:val="_Style 126"/>
    <w:basedOn w:val="1"/>
    <w:next w:val="48"/>
    <w:autoRedefine/>
    <w:qFormat/>
    <w:uiPriority w:val="34"/>
    <w:pPr>
      <w:ind w:firstLine="420" w:firstLineChars="200"/>
    </w:pPr>
    <w:rPr>
      <w:rFonts w:ascii="Calibri" w:hAnsi="Calibri"/>
      <w:szCs w:val="22"/>
    </w:rPr>
  </w:style>
  <w:style w:type="paragraph" w:customStyle="1" w:styleId="86">
    <w:name w:val="4"/>
    <w:basedOn w:val="1"/>
    <w:next w:val="1"/>
    <w:autoRedefine/>
    <w:qFormat/>
    <w:uiPriority w:val="0"/>
    <w:pPr>
      <w:spacing w:after="120"/>
    </w:pPr>
    <w:rPr>
      <w:szCs w:val="20"/>
    </w:rPr>
  </w:style>
  <w:style w:type="paragraph" w:customStyle="1" w:styleId="87">
    <w:name w:val="_Style 128"/>
    <w:basedOn w:val="1"/>
    <w:next w:val="48"/>
    <w:autoRedefine/>
    <w:qFormat/>
    <w:uiPriority w:val="34"/>
    <w:pPr>
      <w:ind w:firstLine="420" w:firstLineChars="200"/>
    </w:pPr>
    <w:rPr>
      <w:rFonts w:ascii="Calibri" w:hAnsi="Calibri"/>
      <w:szCs w:val="22"/>
    </w:rPr>
  </w:style>
  <w:style w:type="paragraph" w:customStyle="1" w:styleId="88">
    <w:name w:val="修订2"/>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列出段落2"/>
    <w:basedOn w:val="1"/>
    <w:autoRedefine/>
    <w:qFormat/>
    <w:uiPriority w:val="99"/>
    <w:pPr>
      <w:ind w:firstLine="420" w:firstLineChars="200"/>
    </w:pPr>
    <w:rPr>
      <w:szCs w:val="21"/>
    </w:rPr>
  </w:style>
  <w:style w:type="paragraph" w:customStyle="1" w:styleId="90">
    <w:name w:val="HTML 预设格式3"/>
    <w:basedOn w:val="1"/>
    <w:autoRedefine/>
    <w:qFormat/>
    <w:uiPriority w:val="0"/>
    <w:pPr>
      <w:widowControl/>
      <w:jc w:val="left"/>
    </w:pPr>
    <w:rPr>
      <w:rFonts w:hint="eastAsia" w:ascii="黑体" w:hAnsi="Courier New" w:eastAsia="黑体"/>
      <w:szCs w:val="21"/>
    </w:rPr>
  </w:style>
  <w:style w:type="character" w:customStyle="1" w:styleId="91">
    <w:name w:val="页眉 Char"/>
    <w:link w:val="21"/>
    <w:autoRedefine/>
    <w:qFormat/>
    <w:uiPriority w:val="99"/>
    <w:rPr>
      <w:rFonts w:ascii="Times New Roman" w:hAnsi="Times New Roman"/>
      <w:kern w:val="2"/>
      <w:sz w:val="18"/>
      <w:szCs w:val="18"/>
    </w:rPr>
  </w:style>
  <w:style w:type="character" w:customStyle="1" w:styleId="92">
    <w:name w:val="页脚 Char"/>
    <w:link w:val="20"/>
    <w:autoRedefine/>
    <w:qFormat/>
    <w:uiPriority w:val="99"/>
    <w:rPr>
      <w:rFonts w:ascii="Times New Roman" w:hAnsi="Times New Roman"/>
      <w:kern w:val="2"/>
      <w:sz w:val="18"/>
      <w:szCs w:val="18"/>
    </w:rPr>
  </w:style>
  <w:style w:type="character" w:customStyle="1" w:styleId="93">
    <w:name w:val="批注框文本 Char"/>
    <w:link w:val="19"/>
    <w:autoRedefine/>
    <w:qFormat/>
    <w:uiPriority w:val="0"/>
    <w:rPr>
      <w:rFonts w:ascii="Times New Roman" w:hAnsi="Times New Roman" w:eastAsia="宋体" w:cs="Times New Roman"/>
      <w:sz w:val="18"/>
      <w:szCs w:val="18"/>
    </w:rPr>
  </w:style>
  <w:style w:type="character" w:customStyle="1" w:styleId="94">
    <w:name w:val="列表段落 字符"/>
    <w:link w:val="44"/>
    <w:autoRedefine/>
    <w:qFormat/>
    <w:uiPriority w:val="34"/>
    <w:rPr>
      <w:kern w:val="2"/>
      <w:sz w:val="21"/>
      <w:szCs w:val="24"/>
    </w:rPr>
  </w:style>
  <w:style w:type="character" w:customStyle="1" w:styleId="95">
    <w:name w:val="批注文字 Char"/>
    <w:link w:val="10"/>
    <w:autoRedefine/>
    <w:qFormat/>
    <w:uiPriority w:val="0"/>
    <w:rPr>
      <w:kern w:val="2"/>
      <w:sz w:val="21"/>
      <w:szCs w:val="24"/>
    </w:rPr>
  </w:style>
  <w:style w:type="character" w:customStyle="1" w:styleId="96">
    <w:name w:val="批注主题 Char"/>
    <w:link w:val="34"/>
    <w:autoRedefine/>
    <w:qFormat/>
    <w:uiPriority w:val="0"/>
    <w:rPr>
      <w:b/>
      <w:bCs/>
      <w:kern w:val="2"/>
      <w:sz w:val="21"/>
      <w:szCs w:val="24"/>
    </w:rPr>
  </w:style>
  <w:style w:type="character" w:customStyle="1" w:styleId="97">
    <w:name w:val="纯文本 Char2"/>
    <w:link w:val="16"/>
    <w:autoRedefine/>
    <w:qFormat/>
    <w:uiPriority w:val="99"/>
    <w:rPr>
      <w:rFonts w:ascii="宋体" w:hAnsi="Courier New"/>
      <w:szCs w:val="21"/>
    </w:rPr>
  </w:style>
  <w:style w:type="character" w:customStyle="1" w:styleId="98">
    <w:name w:val="文档结构图 Char"/>
    <w:link w:val="9"/>
    <w:autoRedefine/>
    <w:qFormat/>
    <w:uiPriority w:val="0"/>
    <w:rPr>
      <w:rFonts w:ascii="宋体"/>
      <w:kern w:val="2"/>
      <w:sz w:val="18"/>
      <w:szCs w:val="18"/>
    </w:rPr>
  </w:style>
  <w:style w:type="character" w:customStyle="1" w:styleId="99">
    <w:name w:val="纯文本 Char"/>
    <w:autoRedefine/>
    <w:semiHidden/>
    <w:qFormat/>
    <w:uiPriority w:val="99"/>
    <w:rPr>
      <w:rFonts w:ascii="宋体" w:hAnsi="Courier New"/>
      <w:kern w:val="2"/>
      <w:sz w:val="21"/>
    </w:rPr>
  </w:style>
  <w:style w:type="character" w:customStyle="1" w:styleId="100">
    <w:name w:val="列出段落 Char"/>
    <w:autoRedefine/>
    <w:qFormat/>
    <w:locked/>
    <w:uiPriority w:val="99"/>
  </w:style>
  <w:style w:type="character" w:customStyle="1" w:styleId="101">
    <w:name w:val="纯文本 Char1"/>
    <w:link w:val="47"/>
    <w:autoRedefine/>
    <w:qFormat/>
    <w:locked/>
    <w:uiPriority w:val="99"/>
    <w:rPr>
      <w:rFonts w:ascii="宋体" w:hAnsi="Courier New"/>
    </w:rPr>
  </w:style>
  <w:style w:type="character" w:customStyle="1" w:styleId="102">
    <w:name w:val="标题 1 Char"/>
    <w:link w:val="3"/>
    <w:autoRedefine/>
    <w:qFormat/>
    <w:uiPriority w:val="0"/>
    <w:rPr>
      <w:rFonts w:ascii="宋体" w:hAnsi="宋体"/>
      <w:b/>
      <w:kern w:val="44"/>
      <w:sz w:val="48"/>
      <w:szCs w:val="48"/>
    </w:rPr>
  </w:style>
  <w:style w:type="character" w:customStyle="1" w:styleId="103">
    <w:name w:val="标题 2 Char1"/>
    <w:link w:val="4"/>
    <w:autoRedefine/>
    <w:qFormat/>
    <w:uiPriority w:val="0"/>
    <w:rPr>
      <w:rFonts w:ascii="Arial" w:hAnsi="Arial" w:eastAsia="黑体"/>
      <w:b/>
      <w:kern w:val="2"/>
      <w:sz w:val="32"/>
      <w:szCs w:val="24"/>
    </w:rPr>
  </w:style>
  <w:style w:type="character" w:customStyle="1" w:styleId="104">
    <w:name w:val="标题 3 Char"/>
    <w:link w:val="5"/>
    <w:autoRedefine/>
    <w:qFormat/>
    <w:uiPriority w:val="0"/>
    <w:rPr>
      <w:rFonts w:ascii="宋体" w:hAnsi="宋体"/>
      <w:b/>
      <w:sz w:val="27"/>
      <w:szCs w:val="27"/>
    </w:rPr>
  </w:style>
  <w:style w:type="character" w:customStyle="1" w:styleId="105">
    <w:name w:val="标题 4 Char"/>
    <w:link w:val="6"/>
    <w:autoRedefine/>
    <w:qFormat/>
    <w:uiPriority w:val="0"/>
    <w:rPr>
      <w:rFonts w:ascii="Arial" w:hAnsi="Arial" w:eastAsia="黑体"/>
      <w:b/>
      <w:kern w:val="2"/>
      <w:sz w:val="28"/>
      <w:szCs w:val="24"/>
    </w:rPr>
  </w:style>
  <w:style w:type="character" w:customStyle="1" w:styleId="106">
    <w:name w:val="日期 Char"/>
    <w:link w:val="18"/>
    <w:autoRedefine/>
    <w:qFormat/>
    <w:uiPriority w:val="0"/>
    <w:rPr>
      <w:rFonts w:ascii="Calibri" w:hAnsi="Calibri"/>
      <w:kern w:val="2"/>
      <w:sz w:val="21"/>
    </w:rPr>
  </w:style>
  <w:style w:type="character" w:customStyle="1" w:styleId="107">
    <w:name w:val="A4"/>
    <w:autoRedefine/>
    <w:qFormat/>
    <w:uiPriority w:val="0"/>
    <w:rPr>
      <w:rFonts w:hint="eastAsia" w:ascii="新宋体" w:hAnsi="新宋体" w:eastAsia="新宋体" w:cs="新宋体"/>
      <w:color w:val="000000"/>
    </w:rPr>
  </w:style>
  <w:style w:type="character" w:customStyle="1" w:styleId="108">
    <w:name w:val="纯文本 Char Char1"/>
    <w:autoRedefine/>
    <w:qFormat/>
    <w:uiPriority w:val="0"/>
    <w:rPr>
      <w:rFonts w:ascii="宋体" w:hAnsi="Courier New" w:eastAsia="宋体"/>
      <w:kern w:val="2"/>
      <w:sz w:val="21"/>
      <w:szCs w:val="24"/>
      <w:lang w:val="en-US" w:eastAsia="zh-CN" w:bidi="ar-SA"/>
    </w:rPr>
  </w:style>
  <w:style w:type="character" w:customStyle="1" w:styleId="109">
    <w:name w:val="文档结构图 字符1"/>
    <w:autoRedefine/>
    <w:semiHidden/>
    <w:qFormat/>
    <w:uiPriority w:val="0"/>
    <w:rPr>
      <w:rFonts w:ascii="Microsoft YaHei UI" w:hAnsi="Calibri" w:eastAsia="Microsoft YaHei UI"/>
      <w:kern w:val="2"/>
      <w:sz w:val="18"/>
      <w:szCs w:val="18"/>
    </w:rPr>
  </w:style>
  <w:style w:type="character" w:customStyle="1" w:styleId="110">
    <w:name w:val="HTML 预设格式 Char2"/>
    <w:link w:val="31"/>
    <w:autoRedefine/>
    <w:qFormat/>
    <w:uiPriority w:val="99"/>
    <w:rPr>
      <w:rFonts w:ascii="黑体" w:hAnsi="Courier New" w:eastAsia="黑体" w:cs="Courier New"/>
      <w:szCs w:val="21"/>
    </w:rPr>
  </w:style>
  <w:style w:type="character" w:customStyle="1" w:styleId="111">
    <w:name w:val="HTML 预设格式 字符1"/>
    <w:autoRedefine/>
    <w:qFormat/>
    <w:uiPriority w:val="0"/>
    <w:rPr>
      <w:rFonts w:ascii="Courier New" w:hAnsi="Courier New" w:cs="Courier New"/>
      <w:kern w:val="2"/>
    </w:rPr>
  </w:style>
  <w:style w:type="character" w:customStyle="1" w:styleId="112">
    <w:name w:val="font141"/>
    <w:basedOn w:val="38"/>
    <w:autoRedefine/>
    <w:qFormat/>
    <w:uiPriority w:val="0"/>
  </w:style>
  <w:style w:type="character" w:customStyle="1" w:styleId="113">
    <w:name w:val="HTML 预设格式 Char1"/>
    <w:autoRedefine/>
    <w:qFormat/>
    <w:uiPriority w:val="0"/>
    <w:rPr>
      <w:rFonts w:ascii="Courier New" w:hAnsi="Courier New" w:cs="Courier New"/>
      <w:kern w:val="2"/>
    </w:rPr>
  </w:style>
  <w:style w:type="character" w:customStyle="1" w:styleId="114">
    <w:name w:val="small"/>
    <w:basedOn w:val="38"/>
    <w:autoRedefine/>
    <w:qFormat/>
    <w:uiPriority w:val="0"/>
  </w:style>
  <w:style w:type="character" w:customStyle="1" w:styleId="115">
    <w:name w:val="正文缩进 Char"/>
    <w:link w:val="2"/>
    <w:autoRedefine/>
    <w:qFormat/>
    <w:uiPriority w:val="0"/>
    <w:rPr>
      <w:kern w:val="2"/>
      <w:sz w:val="21"/>
    </w:rPr>
  </w:style>
  <w:style w:type="character" w:customStyle="1" w:styleId="116">
    <w:name w:val="bold1"/>
    <w:autoRedefine/>
    <w:qFormat/>
    <w:uiPriority w:val="0"/>
    <w:rPr>
      <w:b/>
      <w:bCs/>
      <w:shd w:val="clear" w:color="auto" w:fill="FFFFFF"/>
    </w:rPr>
  </w:style>
  <w:style w:type="character" w:customStyle="1" w:styleId="117">
    <w:name w:val="标题 2 Char"/>
    <w:autoRedefine/>
    <w:qFormat/>
    <w:uiPriority w:val="0"/>
    <w:rPr>
      <w:rFonts w:ascii="Arial" w:hAnsi="Arial" w:eastAsia="黑体"/>
      <w:b/>
      <w:bCs/>
      <w:kern w:val="2"/>
      <w:sz w:val="32"/>
      <w:szCs w:val="32"/>
      <w:lang w:val="en-US" w:eastAsia="zh-CN" w:bidi="ar-SA"/>
    </w:rPr>
  </w:style>
  <w:style w:type="character" w:customStyle="1" w:styleId="118">
    <w:name w:val="标题 Char"/>
    <w:link w:val="33"/>
    <w:autoRedefine/>
    <w:qFormat/>
    <w:uiPriority w:val="0"/>
    <w:rPr>
      <w:rFonts w:ascii="Arial" w:hAnsi="Arial" w:cs="Arial"/>
      <w:b/>
      <w:bCs/>
      <w:kern w:val="2"/>
      <w:sz w:val="32"/>
      <w:szCs w:val="32"/>
    </w:rPr>
  </w:style>
  <w:style w:type="character" w:customStyle="1" w:styleId="119">
    <w:name w:val="正文文本 3 Char"/>
    <w:link w:val="11"/>
    <w:autoRedefine/>
    <w:qFormat/>
    <w:uiPriority w:val="0"/>
    <w:rPr>
      <w:kern w:val="2"/>
      <w:sz w:val="16"/>
      <w:szCs w:val="16"/>
    </w:rPr>
  </w:style>
  <w:style w:type="character" w:customStyle="1" w:styleId="120">
    <w:name w:val="正文文本 Char"/>
    <w:link w:val="12"/>
    <w:autoRedefine/>
    <w:qFormat/>
    <w:uiPriority w:val="0"/>
    <w:rPr>
      <w:kern w:val="2"/>
      <w:sz w:val="21"/>
    </w:rPr>
  </w:style>
  <w:style w:type="character" w:customStyle="1" w:styleId="121">
    <w:name w:val="正文文本缩进 Char"/>
    <w:link w:val="13"/>
    <w:autoRedefine/>
    <w:qFormat/>
    <w:uiPriority w:val="0"/>
    <w:rPr>
      <w:rFonts w:ascii="仿宋_GB2312" w:eastAsia="仿宋_GB2312"/>
      <w:kern w:val="2"/>
      <w:sz w:val="32"/>
    </w:rPr>
  </w:style>
  <w:style w:type="character" w:customStyle="1" w:styleId="122">
    <w:name w:val="正文文本缩进 3 Char"/>
    <w:link w:val="27"/>
    <w:autoRedefine/>
    <w:qFormat/>
    <w:uiPriority w:val="0"/>
    <w:rPr>
      <w:kern w:val="2"/>
      <w:sz w:val="21"/>
    </w:rPr>
  </w:style>
  <w:style w:type="character" w:customStyle="1" w:styleId="123">
    <w:name w:val="正文首行缩进 Char"/>
    <w:link w:val="35"/>
    <w:autoRedefine/>
    <w:qFormat/>
    <w:uiPriority w:val="0"/>
    <w:rPr>
      <w:kern w:val="2"/>
      <w:sz w:val="21"/>
      <w:szCs w:val="24"/>
    </w:rPr>
  </w:style>
  <w:style w:type="character" w:customStyle="1" w:styleId="124">
    <w:name w:val="页眉 字符1"/>
    <w:autoRedefine/>
    <w:semiHidden/>
    <w:qFormat/>
    <w:uiPriority w:val="99"/>
    <w:rPr>
      <w:kern w:val="2"/>
      <w:sz w:val="18"/>
      <w:szCs w:val="18"/>
    </w:rPr>
  </w:style>
  <w:style w:type="character" w:customStyle="1" w:styleId="125">
    <w:name w:val="页脚 字符1"/>
    <w:autoRedefine/>
    <w:semiHidden/>
    <w:qFormat/>
    <w:uiPriority w:val="99"/>
    <w:rPr>
      <w:kern w:val="2"/>
      <w:sz w:val="18"/>
      <w:szCs w:val="18"/>
    </w:rPr>
  </w:style>
  <w:style w:type="character" w:customStyle="1" w:styleId="126">
    <w:name w:val="批注框文本 字符1"/>
    <w:autoRedefine/>
    <w:semiHidden/>
    <w:qFormat/>
    <w:uiPriority w:val="99"/>
    <w:rPr>
      <w:kern w:val="2"/>
      <w:sz w:val="18"/>
      <w:szCs w:val="18"/>
    </w:rPr>
  </w:style>
  <w:style w:type="character" w:customStyle="1" w:styleId="127">
    <w:name w:val="普通文字1 Char"/>
    <w:autoRedefine/>
    <w:qFormat/>
    <w:uiPriority w:val="0"/>
    <w:rPr>
      <w:rFonts w:ascii="宋体" w:hAnsi="Courier New" w:eastAsia="宋体" w:cs="Courier New"/>
      <w:kern w:val="2"/>
      <w:sz w:val="21"/>
      <w:szCs w:val="21"/>
      <w:lang w:val="en-US" w:eastAsia="zh-CN" w:bidi="ar-SA"/>
    </w:rPr>
  </w:style>
  <w:style w:type="character" w:customStyle="1" w:styleId="128">
    <w:name w:val="正文文本 2 Char"/>
    <w:link w:val="30"/>
    <w:autoRedefine/>
    <w:qFormat/>
    <w:uiPriority w:val="0"/>
    <w:rPr>
      <w:kern w:val="2"/>
      <w:sz w:val="21"/>
      <w:szCs w:val="24"/>
    </w:rPr>
  </w:style>
  <w:style w:type="character" w:customStyle="1" w:styleId="129">
    <w:name w:val="HTML 预设格式 Char"/>
    <w:autoRedefine/>
    <w:qFormat/>
    <w:uiPriority w:val="99"/>
    <w:rPr>
      <w:rFonts w:ascii="黑体" w:hAnsi="Courier New" w:eastAsia="黑体" w:cs="Courier New"/>
    </w:rPr>
  </w:style>
  <w:style w:type="table" w:customStyle="1" w:styleId="130">
    <w:name w:val="网格型1"/>
    <w:basedOn w:val="36"/>
    <w:autoRedefine/>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31">
    <w:name w:val="网格型2"/>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2">
    <w:name w:val="网格型3"/>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3">
    <w:name w:val="网格型11"/>
    <w:basedOn w:val="36"/>
    <w:autoRedefine/>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34">
    <w:name w:val="列表段落3"/>
    <w:basedOn w:val="1"/>
    <w:autoRedefine/>
    <w:qFormat/>
    <w:uiPriority w:val="34"/>
    <w:pPr>
      <w:ind w:firstLine="420" w:firstLineChars="200"/>
    </w:pPr>
  </w:style>
  <w:style w:type="paragraph" w:customStyle="1" w:styleId="135">
    <w:name w:val="修订3"/>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6">
    <w:name w:val="样式"/>
    <w:basedOn w:val="2"/>
    <w:autoRedefine/>
    <w:qFormat/>
    <w:uiPriority w:val="0"/>
    <w:pPr>
      <w:spacing w:line="360" w:lineRule="auto"/>
      <w:ind w:firstLine="0"/>
    </w:pPr>
    <w:rPr>
      <w:rFonts w:ascii="宋体" w:hAnsi="宋体" w:cs="Arial"/>
      <w:b/>
      <w:color w:val="000000"/>
      <w:kern w:val="0"/>
      <w:sz w:val="24"/>
      <w:szCs w:val="24"/>
    </w:rPr>
  </w:style>
  <w:style w:type="paragraph" w:customStyle="1" w:styleId="137">
    <w:name w:val="修订4"/>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38">
    <w:name w:val="修订5"/>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9">
    <w:name w:val="修订6"/>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0">
    <w:name w:val="修订7"/>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1">
    <w:name w:val="List Paragraph1"/>
    <w:basedOn w:val="1"/>
    <w:autoRedefine/>
    <w:qFormat/>
    <w:uiPriority w:val="0"/>
    <w:pPr>
      <w:adjustRightInd w:val="0"/>
      <w:ind w:firstLine="420" w:firstLineChars="200"/>
      <w:jc w:val="left"/>
    </w:pPr>
    <w:rPr>
      <w:kern w:val="0"/>
      <w:szCs w:val="20"/>
    </w:rPr>
  </w:style>
  <w:style w:type="paragraph" w:customStyle="1" w:styleId="142">
    <w:name w:val="纯文本2"/>
    <w:basedOn w:val="1"/>
    <w:autoRedefine/>
    <w:qFormat/>
    <w:uiPriority w:val="0"/>
    <w:rPr>
      <w:rFonts w:ascii="宋体" w:hAnsi="Courier New"/>
      <w:kern w:val="0"/>
      <w:sz w:val="20"/>
      <w:szCs w:val="21"/>
    </w:rPr>
  </w:style>
  <w:style w:type="paragraph" w:customStyle="1" w:styleId="143">
    <w:name w:val="样式1"/>
    <w:basedOn w:val="1"/>
    <w:autoRedefine/>
    <w:qFormat/>
    <w:uiPriority w:val="0"/>
    <w:pPr>
      <w:jc w:val="left"/>
    </w:pPr>
    <w:rPr>
      <w:rFonts w:ascii="Calibri" w:hAnsi="Calibri"/>
      <w:sz w:val="24"/>
      <w:szCs w:val="22"/>
    </w:rPr>
  </w:style>
  <w:style w:type="paragraph" w:customStyle="1" w:styleId="144">
    <w:name w:val="正文2"/>
    <w:autoRedefine/>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45">
    <w:name w:val="正文_0_1"/>
    <w:autoRedefine/>
    <w:qFormat/>
    <w:uiPriority w:val="99"/>
    <w:pPr>
      <w:widowControl w:val="0"/>
      <w:jc w:val="both"/>
    </w:pPr>
    <w:rPr>
      <w:rFonts w:ascii="Calibri" w:hAnsi="Calibri" w:eastAsia="宋体" w:cs="Calibri"/>
      <w:kern w:val="2"/>
      <w:sz w:val="21"/>
      <w:szCs w:val="21"/>
      <w:lang w:val="en-US" w:eastAsia="zh-CN" w:bidi="ar-SA"/>
    </w:rPr>
  </w:style>
  <w:style w:type="paragraph" w:customStyle="1" w:styleId="146">
    <w:name w:val="修订8"/>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7">
    <w:name w:val="段"/>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388EFF-0BEE-4513-A9FF-C3E8C9FC199D}">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16</Pages>
  <Words>1491</Words>
  <Characters>8503</Characters>
  <Lines>70</Lines>
  <Paragraphs>19</Paragraphs>
  <TotalTime>7</TotalTime>
  <ScaleCrop>false</ScaleCrop>
  <LinksUpToDate>false</LinksUpToDate>
  <CharactersWithSpaces>9975</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2024-01-12T09:12:00Z</dcterms:created>
  <dc:creator>Administrator</dc:creator>
  <cp:lastModifiedBy>云采链平台-清</cp:lastModifiedBy>
  <dcterms:modified xsi:type="dcterms:W3CDTF">2024-05-06T03:41:46Z</dcterms:modified>
  <dc:title>竞价文件</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DE5062DFE9E541B896E7A43DC4E420DA_13</vt:lpwstr>
  </property>
</Properties>
</file>