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0"/>
        <w:snapToGrid w:val="0"/>
        <w:spacing w:beforeLines="50"/>
        <w:jc w:val="center"/>
        <w:rPr>
          <w:rFonts w:ascii="宋体" w:hAnsi="宋体" w:cs="Calibri"/>
          <w:b/>
          <w:sz w:val="84"/>
          <w:szCs w:val="84"/>
        </w:rPr>
      </w:pPr>
    </w:p>
    <w:p>
      <w:pPr>
        <w:pStyle w:val="50"/>
        <w:snapToGrid w:val="0"/>
        <w:spacing w:beforeLines="50"/>
        <w:jc w:val="center"/>
        <w:rPr>
          <w:rFonts w:ascii="宋体" w:hAnsi="宋体" w:cs="Calibri"/>
          <w:b/>
          <w:sz w:val="84"/>
          <w:szCs w:val="84"/>
        </w:rPr>
      </w:pPr>
    </w:p>
    <w:p>
      <w:pPr>
        <w:pStyle w:val="50"/>
        <w:snapToGrid w:val="0"/>
        <w:spacing w:beforeLines="50"/>
        <w:jc w:val="center"/>
        <w:rPr>
          <w:rFonts w:ascii="仿宋_GB2312" w:hAnsi="仿宋_GB2312"/>
          <w:b/>
          <w:bCs/>
          <w:sz w:val="84"/>
          <w:szCs w:val="84"/>
        </w:rPr>
      </w:pPr>
      <w:r>
        <w:rPr>
          <w:rFonts w:hint="eastAsia" w:ascii="宋体" w:hAnsi="宋体" w:cs="Calibri"/>
          <w:b/>
          <w:sz w:val="84"/>
          <w:szCs w:val="84"/>
        </w:rPr>
        <w:t>竞价文件</w:t>
      </w:r>
    </w:p>
    <w:p>
      <w:pPr>
        <w:pStyle w:val="50"/>
        <w:spacing w:line="360" w:lineRule="auto"/>
        <w:jc w:val="center"/>
        <w:rPr>
          <w:rFonts w:ascii="宋体" w:hAnsi="宋体" w:cs="Calibri"/>
          <w:b/>
          <w:bCs/>
          <w:sz w:val="24"/>
        </w:rPr>
      </w:pPr>
    </w:p>
    <w:p>
      <w:pPr>
        <w:pStyle w:val="50"/>
        <w:spacing w:line="360" w:lineRule="auto"/>
        <w:rPr>
          <w:rFonts w:ascii="华文中宋" w:hAnsi="华文中宋" w:eastAsia="华文中宋" w:cs="Calibri"/>
          <w:sz w:val="30"/>
          <w:szCs w:val="30"/>
        </w:rPr>
      </w:pPr>
    </w:p>
    <w:p>
      <w:pPr>
        <w:pStyle w:val="50"/>
        <w:spacing w:line="360" w:lineRule="auto"/>
        <w:rPr>
          <w:rFonts w:ascii="华文中宋" w:hAnsi="华文中宋" w:eastAsia="华文中宋" w:cs="Calibri"/>
          <w:sz w:val="30"/>
          <w:szCs w:val="30"/>
        </w:rPr>
      </w:pPr>
    </w:p>
    <w:p>
      <w:pPr>
        <w:pStyle w:val="50"/>
        <w:spacing w:line="360" w:lineRule="auto"/>
        <w:rPr>
          <w:rFonts w:ascii="华文中宋" w:hAnsi="华文中宋" w:eastAsia="华文中宋" w:cs="Calibri"/>
          <w:sz w:val="30"/>
          <w:szCs w:val="30"/>
        </w:rPr>
      </w:pPr>
    </w:p>
    <w:p>
      <w:pPr>
        <w:pStyle w:val="50"/>
        <w:spacing w:line="360" w:lineRule="auto"/>
        <w:rPr>
          <w:rFonts w:ascii="华文中宋" w:hAnsi="华文中宋" w:eastAsia="华文中宋" w:cs="Calibri"/>
          <w:sz w:val="30"/>
          <w:szCs w:val="30"/>
        </w:rPr>
      </w:pPr>
    </w:p>
    <w:p>
      <w:pPr>
        <w:pStyle w:val="50"/>
        <w:spacing w:line="360" w:lineRule="auto"/>
        <w:jc w:val="left"/>
        <w:rPr>
          <w:rFonts w:ascii="宋体" w:hAnsi="宋体" w:cs="Calibri"/>
          <w:b/>
          <w:bCs/>
          <w:sz w:val="28"/>
          <w:szCs w:val="32"/>
        </w:rPr>
      </w:pPr>
      <w:r>
        <w:rPr>
          <w:rFonts w:hint="eastAsia" w:ascii="宋体" w:hAnsi="宋体" w:cs="Calibri"/>
          <w:b/>
          <w:bCs/>
          <w:sz w:val="28"/>
          <w:szCs w:val="32"/>
        </w:rPr>
        <w:t>采购方式：线上竞价</w:t>
      </w:r>
    </w:p>
    <w:p>
      <w:pPr>
        <w:widowControl/>
        <w:ind w:left="1405" w:hanging="1405" w:hangingChars="500"/>
        <w:jc w:val="left"/>
        <w:rPr>
          <w:rFonts w:hint="default" w:ascii="宋体" w:hAnsi="宋体" w:eastAsia="宋体" w:cs="Calibri"/>
          <w:b/>
          <w:bCs/>
          <w:sz w:val="28"/>
          <w:szCs w:val="32"/>
          <w:lang w:val="en-US" w:eastAsia="zh-CN"/>
        </w:rPr>
      </w:pPr>
      <w:r>
        <w:rPr>
          <w:rFonts w:hint="eastAsia" w:ascii="宋体" w:hAnsi="宋体" w:cs="Calibri"/>
          <w:b/>
          <w:bCs/>
          <w:sz w:val="28"/>
          <w:szCs w:val="32"/>
        </w:rPr>
        <w:t>项目名称：</w:t>
      </w:r>
      <w:bookmarkStart w:id="0" w:name="_Hlk48529998"/>
      <w:r>
        <w:rPr>
          <w:rFonts w:hint="eastAsia" w:ascii="宋体" w:hAnsi="宋体" w:cs="Calibri"/>
          <w:b/>
          <w:bCs/>
          <w:sz w:val="28"/>
          <w:szCs w:val="32"/>
          <w:lang w:val="en-US" w:eastAsia="zh-CN"/>
        </w:rPr>
        <w:t>采购应急广播收扩机项目</w:t>
      </w:r>
    </w:p>
    <w:p>
      <w:pPr>
        <w:pStyle w:val="50"/>
        <w:tabs>
          <w:tab w:val="left" w:pos="2790"/>
        </w:tabs>
        <w:spacing w:line="360" w:lineRule="auto"/>
        <w:ind w:left="1405" w:hanging="1405" w:hangingChars="500"/>
        <w:jc w:val="left"/>
        <w:rPr>
          <w:rFonts w:ascii="宋体" w:hAnsi="宋体" w:cs="Calibri"/>
          <w:b/>
          <w:bCs/>
          <w:sz w:val="28"/>
          <w:szCs w:val="32"/>
        </w:rPr>
      </w:pPr>
      <w:r>
        <w:rPr>
          <w:rFonts w:hint="eastAsia" w:ascii="宋体" w:hAnsi="宋体" w:cs="Calibri"/>
          <w:b/>
          <w:bCs/>
          <w:sz w:val="28"/>
          <w:szCs w:val="32"/>
        </w:rPr>
        <w:t>项目编号：</w:t>
      </w:r>
      <w:bookmarkEnd w:id="0"/>
      <w:r>
        <w:rPr>
          <w:rFonts w:hint="eastAsia" w:ascii="宋体" w:hAnsi="宋体" w:eastAsia="宋体" w:cs="Calibri"/>
          <w:b/>
          <w:bCs/>
          <w:color w:val="333333"/>
          <w:sz w:val="28"/>
          <w:szCs w:val="32"/>
          <w:shd w:val="clear" w:color="auto" w:fill="auto"/>
        </w:rPr>
        <w:t>FS202407P0017</w:t>
      </w:r>
    </w:p>
    <w:p>
      <w:pPr>
        <w:pStyle w:val="50"/>
        <w:autoSpaceDE w:val="0"/>
        <w:autoSpaceDN w:val="0"/>
        <w:adjustRightInd w:val="0"/>
        <w:snapToGrid w:val="0"/>
        <w:spacing w:beforeLines="50" w:afterLines="50" w:line="360" w:lineRule="auto"/>
        <w:jc w:val="center"/>
        <w:rPr>
          <w:rFonts w:ascii="黑体" w:hAnsi="华文中宋" w:eastAsia="黑体" w:cs="华文中宋"/>
          <w:kern w:val="0"/>
          <w:sz w:val="30"/>
          <w:szCs w:val="30"/>
        </w:rPr>
      </w:pPr>
    </w:p>
    <w:p>
      <w:pPr>
        <w:pStyle w:val="50"/>
        <w:autoSpaceDE w:val="0"/>
        <w:autoSpaceDN w:val="0"/>
        <w:adjustRightInd w:val="0"/>
        <w:snapToGrid w:val="0"/>
        <w:spacing w:beforeLines="50" w:afterLines="50" w:line="360" w:lineRule="auto"/>
        <w:jc w:val="left"/>
        <w:rPr>
          <w:rFonts w:ascii="黑体" w:hAnsi="华文中宋" w:eastAsia="黑体" w:cs="华文中宋"/>
          <w:kern w:val="0"/>
          <w:sz w:val="30"/>
          <w:szCs w:val="30"/>
        </w:rPr>
      </w:pPr>
    </w:p>
    <w:p>
      <w:pPr>
        <w:pStyle w:val="50"/>
        <w:autoSpaceDE w:val="0"/>
        <w:autoSpaceDN w:val="0"/>
        <w:adjustRightInd w:val="0"/>
        <w:snapToGrid w:val="0"/>
        <w:spacing w:line="360" w:lineRule="auto"/>
        <w:ind w:left="420" w:firstLine="420"/>
        <w:jc w:val="center"/>
        <w:rPr>
          <w:rFonts w:ascii="仿宋_GB2312" w:hAnsi="仿宋_GB2312" w:cs="Calibri"/>
          <w:b/>
          <w:bCs/>
          <w:sz w:val="28"/>
          <w:szCs w:val="32"/>
        </w:rPr>
      </w:pPr>
      <w:r>
        <w:rPr>
          <w:rFonts w:hint="eastAsia" w:ascii="仿宋_GB2312" w:hAnsi="仿宋_GB2312" w:cs="Calibri"/>
          <w:b/>
          <w:bCs/>
          <w:sz w:val="28"/>
          <w:szCs w:val="32"/>
        </w:rPr>
        <w:t>广东省广播电视网络股份有限公司佛山三水分公司</w:t>
      </w:r>
    </w:p>
    <w:p>
      <w:pPr>
        <w:pStyle w:val="50"/>
        <w:autoSpaceDE w:val="0"/>
        <w:autoSpaceDN w:val="0"/>
        <w:adjustRightInd w:val="0"/>
        <w:snapToGrid w:val="0"/>
        <w:spacing w:line="360" w:lineRule="auto"/>
        <w:ind w:left="420" w:firstLine="420"/>
        <w:jc w:val="center"/>
        <w:rPr>
          <w:rFonts w:ascii="仿宋_GB2312" w:hAnsi="仿宋_GB2312" w:cs="Calibri"/>
          <w:b/>
          <w:bCs/>
          <w:sz w:val="28"/>
          <w:szCs w:val="32"/>
        </w:rPr>
      </w:pPr>
      <w:r>
        <w:rPr>
          <w:rFonts w:hint="eastAsia" w:ascii="仿宋_GB2312" w:hAnsi="仿宋_GB2312" w:cs="Calibri"/>
          <w:b/>
          <w:bCs/>
          <w:sz w:val="28"/>
          <w:szCs w:val="32"/>
        </w:rPr>
        <w:t>采联国际招标采购集团有限公司</w:t>
      </w:r>
    </w:p>
    <w:p>
      <w:pPr>
        <w:pStyle w:val="50"/>
        <w:autoSpaceDE w:val="0"/>
        <w:autoSpaceDN w:val="0"/>
        <w:adjustRightInd w:val="0"/>
        <w:snapToGrid w:val="0"/>
        <w:spacing w:line="360" w:lineRule="auto"/>
        <w:ind w:left="420" w:firstLine="420"/>
        <w:jc w:val="center"/>
        <w:rPr>
          <w:rFonts w:ascii="仿宋_GB2312" w:hAnsi="仿宋_GB2312" w:cs="Calibri"/>
          <w:b/>
          <w:sz w:val="28"/>
          <w:szCs w:val="22"/>
        </w:rPr>
      </w:pPr>
      <w:r>
        <w:rPr>
          <w:rFonts w:hint="eastAsia" w:ascii="仿宋_GB2312" w:hAnsi="仿宋_GB2312" w:cs="Calibri"/>
          <w:b/>
          <w:sz w:val="28"/>
          <w:szCs w:val="21"/>
        </w:rPr>
        <w:t>二零二四年七月</w:t>
      </w:r>
    </w:p>
    <w:p>
      <w:pPr>
        <w:pStyle w:val="50"/>
        <w:autoSpaceDE w:val="0"/>
        <w:autoSpaceDN w:val="0"/>
        <w:adjustRightInd w:val="0"/>
        <w:snapToGrid w:val="0"/>
        <w:spacing w:line="360" w:lineRule="auto"/>
        <w:ind w:left="420" w:firstLine="420"/>
        <w:jc w:val="center"/>
        <w:rPr>
          <w:rFonts w:ascii="仿宋_GB2312" w:hAnsi="仿宋_GB2312" w:cs="Calibri"/>
          <w:sz w:val="28"/>
          <w:szCs w:val="21"/>
        </w:rPr>
      </w:pPr>
    </w:p>
    <w:p>
      <w:pPr>
        <w:jc w:val="center"/>
        <w:outlineLvl w:val="0"/>
        <w:rPr>
          <w:rFonts w:ascii="Cambria" w:hAnsi="Cambria" w:cs="宋体"/>
          <w:b/>
          <w:bCs/>
          <w:sz w:val="32"/>
          <w:szCs w:val="32"/>
        </w:rPr>
      </w:pPr>
      <w:r>
        <w:rPr>
          <w:rFonts w:ascii="Calibri" w:hAnsi="Calibri"/>
          <w:b/>
          <w:sz w:val="44"/>
          <w:szCs w:val="44"/>
        </w:rPr>
        <w:br w:type="page"/>
      </w:r>
      <w:r>
        <w:rPr>
          <w:rFonts w:hint="eastAsia" w:ascii="Cambria" w:hAnsi="Cambria" w:cs="宋体"/>
          <w:b/>
          <w:bCs/>
          <w:sz w:val="32"/>
          <w:szCs w:val="32"/>
        </w:rPr>
        <w:t>第一章</w:t>
      </w:r>
      <w:r>
        <w:rPr>
          <w:rFonts w:ascii="Cambria" w:hAnsi="Cambria" w:cs="宋体"/>
          <w:b/>
          <w:bCs/>
          <w:sz w:val="32"/>
          <w:szCs w:val="32"/>
        </w:rPr>
        <w:t xml:space="preserve"> </w:t>
      </w:r>
      <w:r>
        <w:rPr>
          <w:rFonts w:hint="eastAsia" w:ascii="Cambria" w:hAnsi="Cambria" w:cs="宋体"/>
          <w:b/>
          <w:bCs/>
          <w:sz w:val="32"/>
          <w:szCs w:val="32"/>
        </w:rPr>
        <w:t>竞价须知</w:t>
      </w:r>
    </w:p>
    <w:p>
      <w:pPr>
        <w:numPr>
          <w:ilvl w:val="0"/>
          <w:numId w:val="1"/>
        </w:numPr>
        <w:spacing w:line="360" w:lineRule="auto"/>
        <w:rPr>
          <w:rFonts w:ascii="宋体" w:hAnsi="宋体"/>
          <w:szCs w:val="21"/>
        </w:rPr>
      </w:pPr>
      <w:r>
        <w:rPr>
          <w:rFonts w:hint="eastAsia" w:ascii="宋体" w:hAnsi="宋体" w:cs="宋体"/>
          <w:szCs w:val="21"/>
        </w:rPr>
        <w:t>本项目通过云采链线上采购一体化平台进行竞价，参与竞价的供应商必须登录平台进行注册，注册成功后方可参与项目竞价。</w:t>
      </w:r>
    </w:p>
    <w:p>
      <w:pPr>
        <w:numPr>
          <w:ilvl w:val="0"/>
          <w:numId w:val="1"/>
        </w:numPr>
        <w:spacing w:line="360" w:lineRule="auto"/>
        <w:rPr>
          <w:rFonts w:ascii="宋体" w:hAnsi="宋体"/>
          <w:szCs w:val="21"/>
        </w:rPr>
      </w:pPr>
      <w:r>
        <w:rPr>
          <w:rFonts w:hint="eastAsia" w:ascii="宋体" w:hAnsi="宋体"/>
          <w:szCs w:val="21"/>
        </w:rPr>
        <w:t>语言要求</w:t>
      </w:r>
    </w:p>
    <w:p>
      <w:pPr>
        <w:spacing w:line="360" w:lineRule="auto"/>
        <w:ind w:left="420"/>
        <w:rPr>
          <w:rFonts w:ascii="宋体" w:hAnsi="宋体"/>
          <w:szCs w:val="21"/>
        </w:rPr>
      </w:pPr>
      <w:r>
        <w:rPr>
          <w:rFonts w:hint="eastAsia" w:ascii="宋体" w:hAnsi="宋体"/>
          <w:szCs w:val="21"/>
        </w:rPr>
        <w:t>供应商提交的响应文件以及供应商与采购人或平台就有关项目的所有来往函电均应使用中文书写。供应商提交的文件或资料可以用另一种语言，但相应内容应附有中文翻译本，由翻译机构盖章或者翻译人员签名。两种语言不一致时以中文翻译本为准。</w:t>
      </w:r>
    </w:p>
    <w:p>
      <w:pPr>
        <w:numPr>
          <w:ilvl w:val="0"/>
          <w:numId w:val="1"/>
        </w:numPr>
        <w:spacing w:line="360" w:lineRule="auto"/>
        <w:rPr>
          <w:rFonts w:ascii="宋体" w:hAnsi="宋体"/>
          <w:szCs w:val="21"/>
        </w:rPr>
      </w:pPr>
      <w:r>
        <w:rPr>
          <w:rFonts w:hint="eastAsia" w:ascii="宋体" w:hAnsi="宋体"/>
          <w:szCs w:val="21"/>
        </w:rPr>
        <w:t xml:space="preserve">在云采链平台参与项目竞价后放弃成交资格超过三次（含三次）的供应商连同该供应商同一法人名下所有公司将被列入平台黑名单，永久不得参与平台的项目竞价。  </w:t>
      </w:r>
    </w:p>
    <w:p>
      <w:pPr>
        <w:numPr>
          <w:ilvl w:val="0"/>
          <w:numId w:val="1"/>
        </w:numPr>
        <w:spacing w:line="360" w:lineRule="auto"/>
        <w:rPr>
          <w:rFonts w:ascii="宋体" w:hAnsi="宋体"/>
          <w:szCs w:val="21"/>
        </w:rPr>
      </w:pPr>
      <w:r>
        <w:rPr>
          <w:rFonts w:hint="eastAsia" w:ascii="宋体" w:hAnsi="宋体" w:cs="宋体"/>
          <w:szCs w:val="21"/>
        </w:rPr>
        <w:t>竞价须知</w:t>
      </w:r>
    </w:p>
    <w:p>
      <w:pPr>
        <w:numPr>
          <w:ilvl w:val="0"/>
          <w:numId w:val="2"/>
        </w:numPr>
        <w:spacing w:line="360" w:lineRule="auto"/>
        <w:rPr>
          <w:rFonts w:ascii="宋体" w:hAnsi="宋体"/>
          <w:b/>
          <w:bCs/>
          <w:szCs w:val="21"/>
        </w:rPr>
      </w:pPr>
      <w:r>
        <w:rPr>
          <w:rFonts w:hint="eastAsia" w:ascii="宋体" w:hAnsi="宋体" w:cs="宋体"/>
          <w:b/>
          <w:bCs/>
          <w:szCs w:val="21"/>
        </w:rPr>
        <w:t>竞价说明</w:t>
      </w:r>
    </w:p>
    <w:p>
      <w:pPr>
        <w:numPr>
          <w:ilvl w:val="0"/>
          <w:numId w:val="3"/>
        </w:numPr>
        <w:spacing w:line="360" w:lineRule="auto"/>
        <w:rPr>
          <w:rFonts w:ascii="宋体" w:hAnsi="宋体"/>
          <w:szCs w:val="21"/>
        </w:rPr>
      </w:pPr>
      <w:r>
        <w:rPr>
          <w:rFonts w:hint="eastAsia" w:ascii="宋体" w:hAnsi="宋体" w:cs="宋体"/>
          <w:szCs w:val="21"/>
        </w:rPr>
        <w:t>参与竞价的供应商应承担所有与准备和参加竞价有关的费用，不</w:t>
      </w:r>
      <w:r>
        <w:rPr>
          <w:rFonts w:hint="eastAsia" w:ascii="宋体" w:hAnsi="宋体" w:cs="宋体"/>
          <w:szCs w:val="21"/>
          <w:lang w:eastAsia="zh-TW"/>
        </w:rPr>
        <w:t>论</w:t>
      </w:r>
      <w:r>
        <w:rPr>
          <w:rFonts w:hint="eastAsia" w:ascii="宋体" w:hAnsi="宋体" w:cs="宋体"/>
          <w:szCs w:val="21"/>
        </w:rPr>
        <w:t>竞价</w:t>
      </w:r>
      <w:r>
        <w:rPr>
          <w:rFonts w:hint="eastAsia" w:ascii="宋体" w:hAnsi="宋体" w:cs="宋体"/>
          <w:szCs w:val="21"/>
          <w:lang w:eastAsia="zh-TW"/>
        </w:rPr>
        <w:t>的结果如何</w:t>
      </w:r>
      <w:r>
        <w:rPr>
          <w:rFonts w:hint="eastAsia" w:ascii="宋体" w:hAnsi="宋体" w:cs="宋体"/>
          <w:szCs w:val="21"/>
        </w:rPr>
        <w:t>，采购</w:t>
      </w:r>
      <w:r>
        <w:rPr>
          <w:rFonts w:hint="eastAsia" w:ascii="宋体" w:hAnsi="宋体" w:cs="宋体"/>
          <w:szCs w:val="21"/>
          <w:lang w:eastAsia="zh-TW"/>
        </w:rPr>
        <w:t>人</w:t>
      </w:r>
      <w:r>
        <w:rPr>
          <w:rFonts w:hint="eastAsia" w:ascii="宋体" w:hAnsi="宋体" w:cs="宋体"/>
          <w:szCs w:val="21"/>
        </w:rPr>
        <w:t>和</w:t>
      </w:r>
      <w:r>
        <w:rPr>
          <w:rFonts w:hint="eastAsia" w:ascii="宋体" w:hAnsi="宋体" w:cs="宋体"/>
          <w:szCs w:val="21"/>
          <w:lang w:eastAsia="zh-TW"/>
        </w:rPr>
        <w:t>代理机构均无义务和责任承担这些费用</w:t>
      </w:r>
      <w:r>
        <w:rPr>
          <w:rFonts w:hint="eastAsia" w:ascii="宋体" w:hAnsi="宋体" w:cs="宋体"/>
          <w:szCs w:val="21"/>
        </w:rPr>
        <w:t>。</w:t>
      </w:r>
    </w:p>
    <w:p>
      <w:pPr>
        <w:numPr>
          <w:ilvl w:val="0"/>
          <w:numId w:val="3"/>
        </w:numPr>
        <w:spacing w:line="360" w:lineRule="auto"/>
        <w:rPr>
          <w:rFonts w:ascii="宋体" w:hAnsi="宋体"/>
          <w:szCs w:val="21"/>
        </w:rPr>
      </w:pPr>
      <w:r>
        <w:rPr>
          <w:rFonts w:hint="eastAsia" w:ascii="宋体" w:hAnsi="宋体" w:cs="宋体"/>
          <w:szCs w:val="21"/>
        </w:rPr>
        <w:t>参与竞价的供应商必须按竞价附件的格式填写，不得增加或删除表格内容。除单价、金额或项目要求填写的内容外，不得擅自改动竞价附件内容，否则将有可能影响成交结果，不推荐为成交候选人。</w:t>
      </w:r>
    </w:p>
    <w:p>
      <w:pPr>
        <w:numPr>
          <w:ilvl w:val="0"/>
          <w:numId w:val="3"/>
        </w:numPr>
        <w:spacing w:line="360" w:lineRule="auto"/>
        <w:rPr>
          <w:rFonts w:ascii="宋体" w:hAnsi="宋体"/>
          <w:szCs w:val="21"/>
        </w:rPr>
      </w:pPr>
      <w:r>
        <w:rPr>
          <w:rFonts w:hint="eastAsia" w:ascii="宋体" w:hAnsi="宋体" w:cs="宋体"/>
          <w:szCs w:val="21"/>
        </w:rPr>
        <w:t>参与竞价的</w:t>
      </w:r>
      <w:r>
        <w:rPr>
          <w:rFonts w:hint="eastAsia" w:ascii="宋体" w:hAnsi="宋体" w:cs="宋体"/>
          <w:szCs w:val="21"/>
          <w:lang w:val="zh-CN"/>
        </w:rPr>
        <w:t>供应商需对用户需求书的所有条款进行整体响应，用户需求书条款若有一条负偏离或不响应，</w:t>
      </w:r>
      <w:r>
        <w:rPr>
          <w:rFonts w:hint="eastAsia" w:ascii="宋体" w:hAnsi="宋体" w:cs="宋体"/>
          <w:szCs w:val="21"/>
        </w:rPr>
        <w:t>不推荐为成交候选人</w:t>
      </w:r>
      <w:r>
        <w:rPr>
          <w:rFonts w:hint="eastAsia" w:ascii="宋体" w:hAnsi="宋体" w:cs="宋体"/>
          <w:szCs w:val="21"/>
          <w:lang w:val="zh-CN"/>
        </w:rPr>
        <w:t>。</w:t>
      </w:r>
    </w:p>
    <w:p>
      <w:pPr>
        <w:numPr>
          <w:ilvl w:val="0"/>
          <w:numId w:val="3"/>
        </w:numPr>
        <w:spacing w:line="360" w:lineRule="auto"/>
        <w:rPr>
          <w:rFonts w:ascii="宋体" w:hAnsi="宋体"/>
          <w:szCs w:val="21"/>
        </w:rPr>
      </w:pPr>
      <w:r>
        <w:rPr>
          <w:rFonts w:hint="eastAsia" w:ascii="宋体" w:hAnsi="宋体" w:cs="宋体"/>
          <w:szCs w:val="21"/>
        </w:rPr>
        <w:t>若成交供应商自身原因无法完成本项目，则采购人有权利保留追究责任。</w:t>
      </w:r>
    </w:p>
    <w:p>
      <w:pPr>
        <w:numPr>
          <w:ilvl w:val="0"/>
          <w:numId w:val="3"/>
        </w:numPr>
        <w:spacing w:line="360" w:lineRule="auto"/>
        <w:rPr>
          <w:rFonts w:ascii="宋体" w:hAnsi="宋体"/>
          <w:szCs w:val="21"/>
        </w:rPr>
      </w:pPr>
      <w:r>
        <w:rPr>
          <w:rFonts w:hint="eastAsia" w:ascii="宋体" w:hAnsi="宋体" w:cs="宋体"/>
          <w:szCs w:val="21"/>
        </w:rPr>
        <w:t>成交供应商因自身原因被取消成交资格，采购人可重新启动采购或按竞价公告规定顺延推选符合要求的供应商作为成交人。</w:t>
      </w:r>
    </w:p>
    <w:p>
      <w:pPr>
        <w:numPr>
          <w:ilvl w:val="0"/>
          <w:numId w:val="3"/>
        </w:numPr>
        <w:spacing w:line="360" w:lineRule="auto"/>
        <w:rPr>
          <w:rFonts w:ascii="宋体" w:hAnsi="宋体"/>
          <w:szCs w:val="21"/>
        </w:rPr>
      </w:pPr>
      <w:r>
        <w:rPr>
          <w:rFonts w:hint="eastAsia" w:ascii="宋体" w:hAnsi="宋体" w:cs="宋体"/>
          <w:szCs w:val="21"/>
        </w:rPr>
        <w:t>若本项目竞价采购失败，采购人将重新采购，届时采购人有权根据项目具体情况，决定重新采购项目的采购方式。</w:t>
      </w:r>
    </w:p>
    <w:p>
      <w:pPr>
        <w:numPr>
          <w:ilvl w:val="0"/>
          <w:numId w:val="3"/>
        </w:numPr>
        <w:spacing w:line="360" w:lineRule="auto"/>
        <w:rPr>
          <w:rFonts w:ascii="宋体" w:hAnsi="宋体"/>
          <w:szCs w:val="21"/>
        </w:rPr>
      </w:pPr>
      <w:r>
        <w:rPr>
          <w:rFonts w:hint="eastAsia" w:ascii="宋体" w:hAnsi="宋体" w:cs="宋体"/>
          <w:szCs w:val="21"/>
        </w:rPr>
        <w:t>成交供应商若无正当理由恶意放弃成交资格，采购人有权将拒绝其参加本项目重新组织的竞价采购活动。</w:t>
      </w:r>
    </w:p>
    <w:p>
      <w:pPr>
        <w:pStyle w:val="59"/>
        <w:numPr>
          <w:ilvl w:val="0"/>
          <w:numId w:val="3"/>
        </w:numPr>
        <w:spacing w:line="360" w:lineRule="auto"/>
        <w:ind w:firstLineChars="0"/>
        <w:rPr>
          <w:rFonts w:ascii="宋体" w:hAnsi="宋体" w:cs="宋体"/>
          <w:szCs w:val="21"/>
        </w:rPr>
      </w:pPr>
      <w:r>
        <w:rPr>
          <w:rFonts w:hint="eastAsia" w:ascii="宋体" w:hAnsi="宋体" w:cs="宋体"/>
          <w:szCs w:val="21"/>
        </w:rPr>
        <w:t>如采购人或代理机构在审核或复核参与竞价的供应商所提交的竞价资料时，供应商须无条件配合；期间若发现存在弄虚作假或相关的失信记录或违反国家法律法规等相关的不良情形，采购人可取消其成交资格并保留追究责任的权力。</w:t>
      </w:r>
    </w:p>
    <w:p>
      <w:pPr>
        <w:numPr>
          <w:ilvl w:val="0"/>
          <w:numId w:val="3"/>
        </w:numPr>
        <w:spacing w:line="360" w:lineRule="auto"/>
        <w:rPr>
          <w:rFonts w:ascii="宋体" w:hAnsi="宋体"/>
          <w:szCs w:val="21"/>
        </w:rPr>
      </w:pPr>
      <w:r>
        <w:rPr>
          <w:rFonts w:hint="eastAsia" w:ascii="宋体" w:hAnsi="宋体" w:cs="宋体"/>
          <w:szCs w:val="21"/>
        </w:rPr>
        <w:t>参与竞价的</w:t>
      </w:r>
      <w:r>
        <w:rPr>
          <w:rFonts w:hint="eastAsia" w:ascii="宋体" w:hAnsi="宋体" w:cs="宋体"/>
          <w:szCs w:val="21"/>
          <w:lang w:eastAsia="zh-TW"/>
        </w:rPr>
        <w:t>供应商向我司咨询的有关项目事项，一切以</w:t>
      </w:r>
      <w:r>
        <w:rPr>
          <w:rFonts w:hint="eastAsia" w:ascii="宋体" w:hAnsi="宋体" w:cs="宋体"/>
          <w:szCs w:val="21"/>
        </w:rPr>
        <w:t>竞价文件</w:t>
      </w:r>
      <w:r>
        <w:rPr>
          <w:rFonts w:hint="eastAsia" w:ascii="宋体" w:hAnsi="宋体" w:cs="宋体"/>
          <w:szCs w:val="21"/>
          <w:lang w:eastAsia="zh-TW"/>
        </w:rPr>
        <w:t>规定</w:t>
      </w:r>
      <w:r>
        <w:rPr>
          <w:rFonts w:hint="eastAsia" w:ascii="宋体" w:hAnsi="宋体" w:cs="宋体"/>
          <w:szCs w:val="21"/>
        </w:rPr>
        <w:t>和竞价公告规定以及</w:t>
      </w:r>
      <w:r>
        <w:rPr>
          <w:rFonts w:hint="eastAsia" w:ascii="宋体" w:hAnsi="宋体" w:cs="宋体"/>
          <w:szCs w:val="21"/>
          <w:lang w:eastAsia="zh-TW"/>
        </w:rPr>
        <w:t>本公司</w:t>
      </w:r>
      <w:r>
        <w:rPr>
          <w:rFonts w:hint="eastAsia" w:ascii="宋体" w:hAnsi="宋体" w:cs="宋体"/>
          <w:szCs w:val="21"/>
        </w:rPr>
        <w:t>的</w:t>
      </w:r>
      <w:r>
        <w:rPr>
          <w:rFonts w:hint="eastAsia" w:ascii="宋体" w:hAnsi="宋体" w:cs="宋体"/>
          <w:szCs w:val="21"/>
          <w:lang w:eastAsia="zh-TW"/>
        </w:rPr>
        <w:t>书面答复为准，其他一切形式均为个人意见，不代表本公司的意见</w:t>
      </w:r>
      <w:r>
        <w:rPr>
          <w:rFonts w:hint="eastAsia" w:ascii="宋体" w:hAnsi="宋体" w:cs="宋体"/>
          <w:szCs w:val="21"/>
        </w:rPr>
        <w:t>。</w:t>
      </w:r>
    </w:p>
    <w:p>
      <w:pPr>
        <w:numPr>
          <w:ilvl w:val="0"/>
          <w:numId w:val="3"/>
        </w:numPr>
        <w:spacing w:line="360" w:lineRule="auto"/>
        <w:rPr>
          <w:rFonts w:ascii="宋体" w:hAnsi="宋体"/>
          <w:szCs w:val="21"/>
        </w:rPr>
      </w:pPr>
      <w:r>
        <w:rPr>
          <w:rFonts w:hint="eastAsia" w:ascii="宋体" w:hAnsi="宋体" w:cs="宋体"/>
          <w:szCs w:val="21"/>
        </w:rPr>
        <w:t>参与竞价的供应商应认真阅读</w:t>
      </w:r>
      <w:r>
        <w:rPr>
          <w:rFonts w:hint="eastAsia" w:ascii="宋体" w:hAnsi="宋体" w:cs="宋体"/>
          <w:szCs w:val="21"/>
          <w:lang w:eastAsia="zh-TW"/>
        </w:rPr>
        <w:t>、并充分理解</w:t>
      </w:r>
      <w:r>
        <w:rPr>
          <w:rFonts w:hint="eastAsia" w:ascii="宋体" w:hAnsi="宋体" w:cs="宋体"/>
          <w:szCs w:val="21"/>
        </w:rPr>
        <w:t>竞价</w:t>
      </w:r>
      <w:r>
        <w:rPr>
          <w:rFonts w:hint="eastAsia" w:ascii="宋体" w:hAnsi="宋体" w:cs="宋体"/>
          <w:szCs w:val="21"/>
          <w:lang w:eastAsia="zh-TW"/>
        </w:rPr>
        <w:t>文件的全部内容（包括所有的补充、修改内容重要事项、格式、条款</w:t>
      </w:r>
      <w:r>
        <w:rPr>
          <w:rFonts w:hint="eastAsia" w:ascii="宋体" w:hAnsi="宋体" w:cs="宋体"/>
          <w:szCs w:val="21"/>
        </w:rPr>
        <w:t>、服务要求</w:t>
      </w:r>
      <w:r>
        <w:rPr>
          <w:rFonts w:hint="eastAsia" w:ascii="宋体" w:hAnsi="宋体" w:cs="宋体"/>
          <w:szCs w:val="21"/>
          <w:lang w:eastAsia="zh-TW"/>
        </w:rPr>
        <w:t>和技术规范、参数及要求等）。</w:t>
      </w:r>
      <w:r>
        <w:rPr>
          <w:rFonts w:hint="eastAsia" w:ascii="宋体" w:hAnsi="宋体" w:cs="宋体"/>
          <w:szCs w:val="21"/>
        </w:rPr>
        <w:t>供应商</w:t>
      </w:r>
      <w:r>
        <w:rPr>
          <w:rFonts w:hint="eastAsia" w:ascii="宋体" w:hAnsi="宋体" w:cs="宋体"/>
          <w:szCs w:val="21"/>
          <w:lang w:eastAsia="zh-TW"/>
        </w:rPr>
        <w:t>没有按照</w:t>
      </w:r>
      <w:r>
        <w:rPr>
          <w:rFonts w:hint="eastAsia" w:ascii="宋体" w:hAnsi="宋体" w:cs="宋体"/>
          <w:szCs w:val="21"/>
        </w:rPr>
        <w:t>竞价</w:t>
      </w:r>
      <w:r>
        <w:rPr>
          <w:rFonts w:hint="eastAsia" w:ascii="宋体" w:hAnsi="宋体" w:cs="宋体"/>
          <w:szCs w:val="21"/>
          <w:lang w:eastAsia="zh-TW"/>
        </w:rPr>
        <w:t>文件要求提交全部资料，或者</w:t>
      </w:r>
      <w:r>
        <w:rPr>
          <w:rFonts w:hint="eastAsia" w:ascii="宋体" w:hAnsi="宋体" w:cs="宋体"/>
          <w:szCs w:val="21"/>
        </w:rPr>
        <w:t>参与竞价所上传的</w:t>
      </w:r>
      <w:r>
        <w:rPr>
          <w:rFonts w:hint="eastAsia" w:ascii="宋体" w:hAnsi="宋体" w:cs="宋体"/>
          <w:szCs w:val="21"/>
          <w:lang w:eastAsia="zh-TW"/>
        </w:rPr>
        <w:t>文件没有对</w:t>
      </w:r>
      <w:r>
        <w:rPr>
          <w:rFonts w:hint="eastAsia" w:ascii="宋体" w:hAnsi="宋体" w:cs="宋体"/>
          <w:szCs w:val="21"/>
        </w:rPr>
        <w:t>竞价</w:t>
      </w:r>
      <w:r>
        <w:rPr>
          <w:rFonts w:hint="eastAsia" w:ascii="宋体" w:hAnsi="宋体" w:cs="宋体"/>
          <w:szCs w:val="21"/>
          <w:lang w:eastAsia="zh-TW"/>
        </w:rPr>
        <w:t>文件在各方面都作出实质性响应是</w:t>
      </w:r>
      <w:r>
        <w:rPr>
          <w:rFonts w:hint="eastAsia" w:ascii="宋体" w:hAnsi="宋体" w:cs="宋体"/>
          <w:szCs w:val="21"/>
        </w:rPr>
        <w:t>供应商</w:t>
      </w:r>
      <w:r>
        <w:rPr>
          <w:rFonts w:hint="eastAsia" w:ascii="宋体" w:hAnsi="宋体" w:cs="宋体"/>
          <w:szCs w:val="21"/>
          <w:lang w:eastAsia="zh-TW"/>
        </w:rPr>
        <w:t>的风险，有可能导致其</w:t>
      </w:r>
      <w:r>
        <w:rPr>
          <w:rFonts w:hint="eastAsia" w:ascii="宋体" w:hAnsi="宋体" w:cs="宋体"/>
          <w:szCs w:val="21"/>
        </w:rPr>
        <w:t>竞价</w:t>
      </w:r>
      <w:r>
        <w:rPr>
          <w:rFonts w:hint="eastAsia" w:ascii="宋体" w:hAnsi="宋体" w:cs="宋体"/>
          <w:szCs w:val="21"/>
          <w:lang w:eastAsia="zh-TW"/>
        </w:rPr>
        <w:t>被拒绝，</w:t>
      </w:r>
      <w:r>
        <w:rPr>
          <w:rFonts w:hint="eastAsia" w:ascii="宋体" w:hAnsi="宋体" w:cs="宋体"/>
          <w:szCs w:val="21"/>
        </w:rPr>
        <w:t>或被认定为无效竞价。</w:t>
      </w:r>
    </w:p>
    <w:p>
      <w:pPr>
        <w:numPr>
          <w:ilvl w:val="0"/>
          <w:numId w:val="3"/>
        </w:numPr>
        <w:spacing w:line="360" w:lineRule="auto"/>
        <w:rPr>
          <w:rFonts w:ascii="宋体" w:hAnsi="宋体"/>
          <w:szCs w:val="21"/>
        </w:rPr>
      </w:pPr>
      <w:r>
        <w:rPr>
          <w:rFonts w:hint="eastAsia" w:ascii="宋体" w:hAnsi="宋体" w:cs="宋体"/>
          <w:szCs w:val="21"/>
        </w:rPr>
        <w:t>采购人有权拒绝接受任何不合格的货物或服务，由此产生的费用及相关后果均由成交供应商自行承担；</w:t>
      </w:r>
    </w:p>
    <w:p>
      <w:pPr>
        <w:pStyle w:val="48"/>
        <w:numPr>
          <w:ilvl w:val="0"/>
          <w:numId w:val="3"/>
        </w:numPr>
        <w:spacing w:line="360" w:lineRule="auto"/>
        <w:ind w:firstLineChars="0"/>
        <w:rPr>
          <w:rFonts w:ascii="宋体" w:hAnsi="宋体"/>
        </w:rPr>
      </w:pPr>
      <w:r>
        <w:rPr>
          <w:rFonts w:hint="eastAsia" w:ascii="宋体" w:hAnsi="宋体"/>
        </w:rPr>
        <w:t>供应商认为竞价结果损害其权益的，应按照云采链平台相关指引在规定的时间内向采购人或代理机构提交书面质疑，不提交的视为无异议，逾期提交将不予受理；</w:t>
      </w:r>
    </w:p>
    <w:p>
      <w:pPr>
        <w:numPr>
          <w:ilvl w:val="0"/>
          <w:numId w:val="3"/>
        </w:numPr>
        <w:spacing w:line="360" w:lineRule="auto"/>
        <w:rPr>
          <w:rFonts w:ascii="宋体" w:hAnsi="宋体"/>
          <w:szCs w:val="21"/>
        </w:rPr>
      </w:pPr>
      <w:r>
        <w:rPr>
          <w:rFonts w:hint="eastAsia" w:ascii="宋体" w:hAnsi="宋体" w:cs="宋体"/>
          <w:szCs w:val="21"/>
        </w:rPr>
        <w:t>本竞价公告和竞价文件的解释权归</w:t>
      </w:r>
      <w:r>
        <w:rPr>
          <w:rFonts w:hint="eastAsia" w:ascii="宋体" w:hAnsi="宋体" w:cs="宋体"/>
          <w:szCs w:val="21"/>
          <w:lang w:eastAsia="zh-TW"/>
        </w:rPr>
        <w:t>“</w:t>
      </w:r>
      <w:r>
        <w:rPr>
          <w:rFonts w:hint="eastAsia" w:ascii="宋体" w:hAnsi="宋体" w:cs="宋体"/>
          <w:szCs w:val="21"/>
        </w:rPr>
        <w:t>云采链线上采购一体化平台</w:t>
      </w:r>
      <w:r>
        <w:rPr>
          <w:rFonts w:hint="eastAsia" w:ascii="宋体" w:hAnsi="宋体" w:cs="宋体"/>
          <w:szCs w:val="21"/>
          <w:lang w:eastAsia="zh-TW"/>
        </w:rPr>
        <w:t>”所有。</w:t>
      </w:r>
    </w:p>
    <w:p>
      <w:pPr>
        <w:numPr>
          <w:ilvl w:val="0"/>
          <w:numId w:val="2"/>
        </w:numPr>
        <w:spacing w:line="360" w:lineRule="auto"/>
        <w:rPr>
          <w:rFonts w:ascii="宋体" w:hAnsi="宋体"/>
        </w:rPr>
      </w:pPr>
      <w:r>
        <w:rPr>
          <w:rFonts w:hint="eastAsia" w:ascii="宋体" w:hAnsi="宋体"/>
          <w:b/>
        </w:rPr>
        <w:t>竞价文件的澄清或修改</w:t>
      </w:r>
    </w:p>
    <w:p>
      <w:pPr>
        <w:numPr>
          <w:ilvl w:val="1"/>
          <w:numId w:val="4"/>
        </w:numPr>
        <w:spacing w:line="360" w:lineRule="auto"/>
        <w:rPr>
          <w:rFonts w:ascii="宋体" w:hAnsi="宋体"/>
        </w:rPr>
      </w:pPr>
      <w:r>
        <w:rPr>
          <w:rFonts w:hint="eastAsia" w:ascii="宋体" w:hAnsi="宋体"/>
        </w:rPr>
        <w:t>采购人或者采购代理机构可以对已发出的竞价文件进行必要的澄清或者修改。澄清或者修改的内容将在云采链平台上发布澄清（更正/变更）公告。</w:t>
      </w:r>
    </w:p>
    <w:p>
      <w:pPr>
        <w:numPr>
          <w:ilvl w:val="1"/>
          <w:numId w:val="4"/>
        </w:numPr>
        <w:spacing w:line="360" w:lineRule="auto"/>
        <w:rPr>
          <w:rFonts w:ascii="宋体" w:hAnsi="宋体"/>
        </w:rPr>
      </w:pPr>
      <w:r>
        <w:rPr>
          <w:rFonts w:hint="eastAsia" w:ascii="宋体" w:hAnsi="宋体"/>
        </w:rPr>
        <w:t>无论澄清或者修改的内容是否影响竞价，平台将以短信形式通知所有的报名供应商；报名供应商应按要求履行相应的义务；</w:t>
      </w:r>
      <w:r>
        <w:rPr>
          <w:rFonts w:hint="eastAsia" w:ascii="宋体" w:hAnsi="宋体" w:cs="宋体"/>
          <w:szCs w:val="21"/>
        </w:rPr>
        <w:t>如报名</w:t>
      </w:r>
      <w:r>
        <w:rPr>
          <w:rFonts w:hint="eastAsia" w:ascii="宋体" w:hAnsi="宋体" w:cs="宋体"/>
          <w:szCs w:val="21"/>
          <w:lang w:eastAsia="zh-TW"/>
        </w:rPr>
        <w:t>截止时间</w:t>
      </w:r>
      <w:r>
        <w:rPr>
          <w:rFonts w:hint="eastAsia" w:ascii="宋体" w:hAnsi="宋体" w:cs="宋体"/>
          <w:szCs w:val="21"/>
        </w:rPr>
        <w:t>少于一个工作日的，</w:t>
      </w:r>
      <w:r>
        <w:rPr>
          <w:rFonts w:hint="eastAsia" w:ascii="宋体" w:hAnsi="宋体"/>
        </w:rPr>
        <w:t>采购人或者采购代理机构应当相应顺延报名的截止时间。</w:t>
      </w:r>
    </w:p>
    <w:p>
      <w:pPr>
        <w:numPr>
          <w:ilvl w:val="1"/>
          <w:numId w:val="4"/>
        </w:numPr>
        <w:spacing w:line="360" w:lineRule="auto"/>
        <w:rPr>
          <w:rFonts w:ascii="宋体" w:hAnsi="宋体"/>
        </w:rPr>
      </w:pPr>
      <w:r>
        <w:rPr>
          <w:rFonts w:hint="eastAsia" w:ascii="宋体" w:hAnsi="宋体"/>
        </w:rPr>
        <w:t>采购人或者采购代理机构发出的澄清或修改（更正/变更）的内容为竞价文件的组成部分，并对供应商具有约束力。</w:t>
      </w:r>
    </w:p>
    <w:p>
      <w:pPr>
        <w:numPr>
          <w:ilvl w:val="0"/>
          <w:numId w:val="2"/>
        </w:numPr>
        <w:spacing w:line="360" w:lineRule="auto"/>
        <w:rPr>
          <w:rFonts w:ascii="宋体" w:hAnsi="宋体"/>
          <w:b/>
          <w:bCs/>
          <w:szCs w:val="21"/>
        </w:rPr>
      </w:pPr>
      <w:r>
        <w:rPr>
          <w:rFonts w:hint="eastAsia" w:ascii="宋体" w:hAnsi="宋体" w:cs="宋体"/>
          <w:b/>
          <w:bCs/>
          <w:szCs w:val="21"/>
        </w:rPr>
        <w:t>报名要求（</w:t>
      </w:r>
      <w:r>
        <w:rPr>
          <w:rFonts w:hint="eastAsia" w:ascii="宋体" w:hAnsi="宋体" w:cs="宋体"/>
          <w:szCs w:val="21"/>
        </w:rPr>
        <w:t>参与竞价的</w:t>
      </w:r>
      <w:r>
        <w:rPr>
          <w:rFonts w:hint="eastAsia" w:ascii="宋体" w:hAnsi="宋体" w:cs="宋体"/>
          <w:b/>
          <w:bCs/>
          <w:szCs w:val="21"/>
        </w:rPr>
        <w:t>供应商资质要求</w:t>
      </w:r>
      <w:r>
        <w:rPr>
          <w:rFonts w:ascii="宋体" w:hAnsi="宋体" w:cs="宋体"/>
          <w:b/>
          <w:bCs/>
          <w:szCs w:val="21"/>
        </w:rPr>
        <w:t>:</w:t>
      </w:r>
      <w:r>
        <w:rPr>
          <w:rFonts w:ascii="宋体" w:hAnsi="宋体" w:cs="宋体"/>
          <w:szCs w:val="21"/>
        </w:rPr>
        <w:t xml:space="preserve"> </w:t>
      </w:r>
      <w:r>
        <w:rPr>
          <w:rFonts w:hint="eastAsia" w:ascii="宋体" w:hAnsi="宋体" w:cs="宋体"/>
          <w:szCs w:val="21"/>
        </w:rPr>
        <w:t>报名时需要提供以下盖章资料，并对上传的报名文件资料承担责任</w:t>
      </w:r>
      <w:r>
        <w:rPr>
          <w:rFonts w:hint="eastAsia" w:ascii="宋体" w:hAnsi="宋体" w:cs="宋体"/>
          <w:b/>
          <w:bCs/>
          <w:szCs w:val="21"/>
        </w:rPr>
        <w:t>）</w:t>
      </w:r>
    </w:p>
    <w:p>
      <w:pPr>
        <w:pStyle w:val="59"/>
        <w:numPr>
          <w:ilvl w:val="0"/>
          <w:numId w:val="5"/>
        </w:numPr>
        <w:spacing w:line="360" w:lineRule="auto"/>
        <w:ind w:left="420" w:leftChars="200" w:firstLineChars="0"/>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报名供应商具有独立承担民事责任能力的在中华人民共和国境内注册的法人或其他组织（提供法人或其他组织的营业执照等证明材料）；如为独立法人设立的分支机构参加，响应人需提供独立法人出具的唯一响应授权书，授权书需明确响应人的权限范围，并提交独立法人有效的营业执照或法人登记证书复印件；</w:t>
      </w:r>
      <w:r>
        <w:rPr>
          <w:rFonts w:ascii="宋体" w:hAnsi="宋体"/>
          <w:color w:val="000000" w:themeColor="text1"/>
          <w14:textFill>
            <w14:solidFill>
              <w14:schemeClr w14:val="tx1"/>
            </w14:solidFill>
          </w14:textFill>
        </w:rPr>
        <w:t xml:space="preserve"> </w:t>
      </w:r>
    </w:p>
    <w:p>
      <w:pPr>
        <w:pStyle w:val="59"/>
        <w:numPr>
          <w:ilvl w:val="0"/>
          <w:numId w:val="5"/>
        </w:numPr>
        <w:spacing w:line="360" w:lineRule="auto"/>
        <w:ind w:left="420" w:leftChars="200" w:firstLineChars="0"/>
        <w:rPr>
          <w:rFonts w:ascii="宋体" w:hAnsi="宋体"/>
          <w:b/>
          <w:bCs/>
          <w:color w:val="000000" w:themeColor="text1"/>
          <w14:textFill>
            <w14:solidFill>
              <w14:schemeClr w14:val="tx1"/>
            </w14:solidFill>
          </w14:textFill>
        </w:rPr>
      </w:pPr>
      <w:r>
        <w:rPr>
          <w:rFonts w:hint="eastAsia" w:ascii="宋体" w:hAnsi="宋体" w:cs="宋体"/>
          <w:b/>
          <w:bCs/>
          <w:kern w:val="0"/>
          <w:szCs w:val="21"/>
          <w:highlight w:val="none"/>
        </w:rPr>
        <w:t>现有应急广播系统平台软件厂家是成都康特电子高新科技有限责任公司，成交供应商设备必须完成与现有应急广播系统平台软件和设备适配</w:t>
      </w:r>
      <w:r>
        <w:rPr>
          <w:rFonts w:hint="eastAsia" w:ascii="宋体" w:hAnsi="宋体" w:cs="宋体"/>
          <w:b/>
          <w:bCs/>
          <w:kern w:val="0"/>
          <w:szCs w:val="21"/>
          <w:highlight w:val="none"/>
          <w:lang w:eastAsia="zh-CN"/>
        </w:rPr>
        <w:t>，</w:t>
      </w:r>
      <w:r>
        <w:rPr>
          <w:rFonts w:hint="eastAsia" w:ascii="宋体" w:hAnsi="宋体" w:cs="宋体"/>
          <w:b/>
          <w:bCs/>
          <w:kern w:val="0"/>
          <w:szCs w:val="21"/>
          <w:highlight w:val="none"/>
          <w:lang w:val="en-US" w:eastAsia="zh-CN"/>
        </w:rPr>
        <w:t>且必须提供已经完成适配的承诺函，提供承诺函，格式自拟。</w:t>
      </w:r>
    </w:p>
    <w:p>
      <w:pPr>
        <w:pStyle w:val="59"/>
        <w:numPr>
          <w:ilvl w:val="0"/>
          <w:numId w:val="5"/>
        </w:numPr>
        <w:spacing w:line="360" w:lineRule="auto"/>
        <w:ind w:left="420" w:leftChars="200" w:firstLineChars="0"/>
        <w:rPr>
          <w:rFonts w:ascii="宋体" w:hAnsi="宋体"/>
          <w:b/>
          <w:bCs/>
          <w:color w:val="000000" w:themeColor="text1"/>
          <w14:textFill>
            <w14:solidFill>
              <w14:schemeClr w14:val="tx1"/>
            </w14:solidFill>
          </w14:textFill>
        </w:rPr>
      </w:pPr>
      <w:r>
        <w:rPr>
          <w:rFonts w:hint="eastAsia" w:ascii="宋体" w:hAnsi="宋体" w:cs="宋体"/>
          <w:b/>
          <w:bCs/>
          <w:kern w:val="0"/>
          <w:sz w:val="21"/>
          <w:szCs w:val="21"/>
          <w:highlight w:val="none"/>
          <w:lang w:val="en-US" w:eastAsia="zh-CN" w:bidi="ar-SA"/>
        </w:rPr>
        <w:t>.</w:t>
      </w:r>
      <w:r>
        <w:rPr>
          <w:rFonts w:hint="eastAsia" w:ascii="宋体" w:hAnsi="宋体" w:cs="宋体"/>
          <w:b/>
          <w:bCs/>
          <w:kern w:val="0"/>
          <w:szCs w:val="21"/>
          <w:highlight w:val="none"/>
          <w:lang w:val="en-US" w:eastAsia="zh-CN"/>
        </w:rPr>
        <w:t>供货设备</w:t>
      </w:r>
      <w:r>
        <w:rPr>
          <w:rFonts w:hint="eastAsia" w:ascii="宋体" w:hAnsi="宋体" w:cs="宋体"/>
          <w:b/>
          <w:bCs/>
          <w:kern w:val="0"/>
          <w:szCs w:val="21"/>
          <w:highlight w:val="none"/>
        </w:rPr>
        <w:t>应符合国家广播电视总局发布的《应急广播大喇叭系统技术要求和测量方法》行业标准要求，具备国家广电总局广播电视科学研究院广播电视检测中心或广播电视规划院广播电视计量检测中心出具的《多模收扩机》检测报告（须提供检测报告扫描件，报告结果需显示合格等相关结论）</w:t>
      </w:r>
      <w:r>
        <w:rPr>
          <w:rFonts w:hint="eastAsia" w:ascii="宋体" w:hAnsi="宋体" w:cs="宋体"/>
          <w:b/>
          <w:bCs/>
          <w:kern w:val="0"/>
          <w:szCs w:val="21"/>
          <w:highlight w:val="none"/>
          <w:lang w:eastAsia="zh-CN"/>
        </w:rPr>
        <w:t>；</w:t>
      </w:r>
    </w:p>
    <w:p>
      <w:pPr>
        <w:pStyle w:val="59"/>
        <w:numPr>
          <w:ilvl w:val="0"/>
          <w:numId w:val="5"/>
        </w:numPr>
        <w:spacing w:line="360" w:lineRule="auto"/>
        <w:ind w:left="420" w:leftChars="200" w:firstLineChars="0"/>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本项目不允许非法分包或违法转包，不接受联合体参加，供应商须提供供应商资格声明函，格式详见附件；</w:t>
      </w:r>
    </w:p>
    <w:p>
      <w:pPr>
        <w:pStyle w:val="59"/>
        <w:numPr>
          <w:ilvl w:val="0"/>
          <w:numId w:val="5"/>
        </w:numPr>
        <w:spacing w:line="360" w:lineRule="auto"/>
        <w:ind w:left="420" w:leftChars="200" w:firstLineChars="0"/>
        <w:rPr>
          <w:rFonts w:ascii="Helvetica" w:hAnsi="Helvetica" w:eastAsia="Helvetica" w:cs="Helvetica"/>
          <w:sz w:val="14"/>
          <w:szCs w:val="14"/>
        </w:rPr>
      </w:pPr>
      <w:r>
        <w:rPr>
          <w:rFonts w:hint="eastAsia" w:ascii="宋体" w:hAnsi="宋体" w:cs="宋体"/>
          <w:kern w:val="0"/>
          <w:szCs w:val="21"/>
        </w:rPr>
        <w:t>供应商完全响应本项目用户需求的条款、内容及要求的，提供用户需求书响应声明函，格式详见附件。</w:t>
      </w:r>
    </w:p>
    <w:p>
      <w:pPr>
        <w:numPr>
          <w:ilvl w:val="0"/>
          <w:numId w:val="2"/>
        </w:numPr>
        <w:spacing w:line="360" w:lineRule="auto"/>
        <w:rPr>
          <w:rFonts w:ascii="宋体" w:hAnsi="宋体"/>
          <w:b/>
          <w:bCs/>
          <w:szCs w:val="21"/>
        </w:rPr>
      </w:pPr>
      <w:r>
        <w:rPr>
          <w:rFonts w:hint="eastAsia" w:ascii="宋体" w:hAnsi="宋体" w:cs="宋体"/>
          <w:b/>
          <w:bCs/>
          <w:szCs w:val="21"/>
        </w:rPr>
        <w:t>报价要求（</w:t>
      </w:r>
      <w:r>
        <w:rPr>
          <w:rFonts w:hint="eastAsia" w:ascii="宋体" w:hAnsi="宋体" w:cs="宋体"/>
          <w:szCs w:val="21"/>
        </w:rPr>
        <w:t>报价时需要提供以下盖章资料，并对上传的竞价文件资料承担责任</w:t>
      </w:r>
      <w:r>
        <w:rPr>
          <w:rFonts w:hint="eastAsia" w:ascii="宋体" w:hAnsi="宋体" w:cs="宋体"/>
          <w:b/>
          <w:bCs/>
          <w:szCs w:val="21"/>
        </w:rPr>
        <w:t>）</w:t>
      </w:r>
    </w:p>
    <w:p>
      <w:pPr>
        <w:numPr>
          <w:ilvl w:val="0"/>
          <w:numId w:val="6"/>
        </w:numPr>
        <w:spacing w:line="360" w:lineRule="auto"/>
        <w:rPr>
          <w:rFonts w:ascii="宋体" w:hAnsi="宋体"/>
          <w:szCs w:val="21"/>
        </w:rPr>
      </w:pPr>
      <w:r>
        <w:rPr>
          <w:rFonts w:hint="eastAsia" w:ascii="宋体" w:hAnsi="宋体" w:cs="宋体"/>
          <w:szCs w:val="21"/>
        </w:rPr>
        <w:t>通过报名供应商应根据本公告要求，在规定的竞价时间内对采购项目进行报价，同时按本公告要求完整</w:t>
      </w:r>
      <w:r>
        <w:rPr>
          <w:rFonts w:hint="eastAsia" w:ascii="宋体" w:hAnsi="宋体" w:cs="宋体"/>
          <w:szCs w:val="21"/>
          <w:lang w:eastAsia="zh-TW"/>
        </w:rPr>
        <w:t>、真实、准确地</w:t>
      </w:r>
      <w:r>
        <w:rPr>
          <w:rFonts w:hint="eastAsia" w:ascii="宋体" w:hAnsi="宋体" w:cs="宋体"/>
          <w:szCs w:val="21"/>
        </w:rPr>
        <w:t>填写并上传相应报价附件（</w:t>
      </w:r>
      <w:r>
        <w:rPr>
          <w:rFonts w:hint="eastAsia" w:ascii="宋体" w:hAnsi="宋体" w:cs="宋体"/>
          <w:b/>
          <w:bCs/>
          <w:szCs w:val="21"/>
        </w:rPr>
        <w:t>报价表</w:t>
      </w:r>
      <w:r>
        <w:rPr>
          <w:rFonts w:hint="eastAsia" w:ascii="宋体" w:hAnsi="宋体" w:cs="宋体"/>
          <w:szCs w:val="21"/>
        </w:rPr>
        <w:t>）。</w:t>
      </w:r>
    </w:p>
    <w:p>
      <w:pPr>
        <w:pStyle w:val="59"/>
        <w:numPr>
          <w:ilvl w:val="0"/>
          <w:numId w:val="6"/>
        </w:numPr>
        <w:spacing w:line="360" w:lineRule="auto"/>
        <w:ind w:firstLineChars="0"/>
        <w:rPr>
          <w:rFonts w:ascii="宋体" w:hAnsi="宋体" w:cs="宋体"/>
          <w:szCs w:val="21"/>
        </w:rPr>
      </w:pPr>
      <w:r>
        <w:rPr>
          <w:rFonts w:hint="eastAsia" w:ascii="宋体" w:hAnsi="宋体" w:cs="宋体"/>
          <w:szCs w:val="21"/>
        </w:rPr>
        <w:t>公告中的报价次数指报价期间供应商可进行的最多报价次数。如报价次数为2次，指供应商最多可进行2次报价。如供应商只进行1次报价，则以此次报价为准；如供应商因报价有误或其他原因需重新进行第2次报价，则以第2次报价为准，以此类推。</w:t>
      </w:r>
    </w:p>
    <w:p>
      <w:pPr>
        <w:numPr>
          <w:ilvl w:val="0"/>
          <w:numId w:val="2"/>
        </w:numPr>
        <w:spacing w:line="360" w:lineRule="auto"/>
        <w:rPr>
          <w:rFonts w:ascii="宋体" w:hAnsi="宋体"/>
          <w:b/>
          <w:bCs/>
          <w:szCs w:val="21"/>
        </w:rPr>
      </w:pPr>
      <w:r>
        <w:rPr>
          <w:rFonts w:hint="eastAsia" w:ascii="宋体" w:hAnsi="宋体" w:cs="宋体"/>
          <w:b/>
          <w:bCs/>
          <w:szCs w:val="21"/>
        </w:rPr>
        <w:t>确定成交候选人</w:t>
      </w:r>
    </w:p>
    <w:p>
      <w:pPr>
        <w:pStyle w:val="59"/>
        <w:numPr>
          <w:ilvl w:val="0"/>
          <w:numId w:val="7"/>
        </w:numPr>
        <w:spacing w:line="360" w:lineRule="auto"/>
        <w:ind w:left="839" w:firstLineChars="0"/>
        <w:rPr>
          <w:rFonts w:ascii="宋体" w:hAnsi="宋体" w:cs="宋体"/>
          <w:szCs w:val="21"/>
        </w:rPr>
      </w:pPr>
      <w:r>
        <w:rPr>
          <w:rFonts w:hint="eastAsia" w:ascii="宋体" w:hAnsi="宋体" w:cs="宋体"/>
          <w:szCs w:val="21"/>
        </w:rPr>
        <w:t>本项目以最低价中标的方式确定成交供应商。报价时间截止后，系统按报价（经价格核准后的价格）由低到高顺序排列，报价最低的为第一成交候选人，报价相同的，按报价时间在前的为第一成交候选人；报价次低的为第二成交候选人，以此类推。</w:t>
      </w:r>
    </w:p>
    <w:p>
      <w:pPr>
        <w:numPr>
          <w:ilvl w:val="0"/>
          <w:numId w:val="7"/>
        </w:numPr>
        <w:spacing w:line="360" w:lineRule="auto"/>
        <w:ind w:left="839"/>
        <w:rPr>
          <w:rFonts w:ascii="宋体" w:hAnsi="宋体"/>
          <w:szCs w:val="21"/>
        </w:rPr>
      </w:pPr>
      <w:r>
        <w:rPr>
          <w:rFonts w:hint="eastAsia" w:ascii="宋体" w:hAnsi="宋体" w:cs="宋体"/>
          <w:szCs w:val="21"/>
        </w:rPr>
        <w:t>如各报价供应商提供的税率不一致时，则分别按下述规定计算各价格，如全部报价供应商税率都一致则无需转换价格。</w:t>
      </w:r>
    </w:p>
    <w:tbl>
      <w:tblPr>
        <w:tblStyle w:val="37"/>
        <w:tblW w:w="750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44"/>
        <w:gridCol w:w="32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44" w:type="dxa"/>
          </w:tcPr>
          <w:p>
            <w:pPr>
              <w:numPr>
                <w:ilvl w:val="255"/>
                <w:numId w:val="0"/>
              </w:numPr>
              <w:spacing w:line="360" w:lineRule="auto"/>
              <w:rPr>
                <w:rFonts w:ascii="宋体" w:hAnsi="宋体"/>
                <w:szCs w:val="21"/>
              </w:rPr>
            </w:pPr>
            <w:r>
              <w:rPr>
                <w:rFonts w:hint="eastAsia" w:ascii="宋体" w:hAnsi="宋体"/>
                <w:szCs w:val="21"/>
              </w:rPr>
              <w:t>报价供应商提供的发票类型</w:t>
            </w:r>
          </w:p>
        </w:tc>
        <w:tc>
          <w:tcPr>
            <w:tcW w:w="3264" w:type="dxa"/>
          </w:tcPr>
          <w:p>
            <w:pPr>
              <w:numPr>
                <w:ilvl w:val="255"/>
                <w:numId w:val="0"/>
              </w:numPr>
              <w:spacing w:line="360" w:lineRule="auto"/>
              <w:rPr>
                <w:rFonts w:ascii="宋体" w:hAnsi="宋体"/>
                <w:szCs w:val="21"/>
              </w:rPr>
            </w:pPr>
            <w:r>
              <w:rPr>
                <w:rFonts w:hint="eastAsia" w:ascii="宋体" w:hAnsi="宋体"/>
                <w:szCs w:val="21"/>
              </w:rPr>
              <w:t>价格计算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44" w:type="dxa"/>
          </w:tcPr>
          <w:p>
            <w:pPr>
              <w:numPr>
                <w:ilvl w:val="255"/>
                <w:numId w:val="0"/>
              </w:numPr>
              <w:spacing w:line="360" w:lineRule="auto"/>
              <w:rPr>
                <w:rFonts w:ascii="宋体" w:hAnsi="宋体"/>
                <w:szCs w:val="21"/>
              </w:rPr>
            </w:pPr>
            <w:r>
              <w:rPr>
                <w:rFonts w:hint="eastAsia" w:ascii="宋体" w:hAnsi="宋体"/>
                <w:szCs w:val="21"/>
              </w:rPr>
              <w:t>增值税专用发票</w:t>
            </w:r>
          </w:p>
        </w:tc>
        <w:tc>
          <w:tcPr>
            <w:tcW w:w="3264" w:type="dxa"/>
          </w:tcPr>
          <w:p>
            <w:pPr>
              <w:numPr>
                <w:ilvl w:val="255"/>
                <w:numId w:val="0"/>
              </w:numPr>
              <w:spacing w:line="360" w:lineRule="auto"/>
              <w:rPr>
                <w:rFonts w:ascii="宋体" w:hAnsi="宋体"/>
                <w:szCs w:val="21"/>
              </w:rPr>
            </w:pPr>
            <w:r>
              <w:rPr>
                <w:rFonts w:hint="eastAsia" w:ascii="宋体" w:hAnsi="宋体"/>
                <w:szCs w:val="21"/>
              </w:rPr>
              <w:t>报价/（1+增值税率）</w:t>
            </w:r>
          </w:p>
        </w:tc>
      </w:tr>
    </w:tbl>
    <w:p>
      <w:pPr>
        <w:numPr>
          <w:ilvl w:val="0"/>
          <w:numId w:val="2"/>
        </w:numPr>
        <w:spacing w:line="360" w:lineRule="auto"/>
        <w:rPr>
          <w:rFonts w:ascii="宋体" w:hAnsi="宋体"/>
          <w:b/>
          <w:bCs/>
          <w:szCs w:val="21"/>
        </w:rPr>
      </w:pPr>
      <w:r>
        <w:rPr>
          <w:rFonts w:hint="eastAsia" w:ascii="宋体" w:hAnsi="宋体" w:cs="宋体"/>
          <w:b/>
          <w:bCs/>
          <w:szCs w:val="21"/>
        </w:rPr>
        <w:t>无效报价</w:t>
      </w:r>
    </w:p>
    <w:p>
      <w:pPr>
        <w:pStyle w:val="59"/>
        <w:numPr>
          <w:ilvl w:val="0"/>
          <w:numId w:val="8"/>
        </w:numPr>
        <w:ind w:firstLineChars="0"/>
        <w:rPr>
          <w:rFonts w:ascii="宋体" w:hAnsi="宋体" w:cs="宋体"/>
          <w:szCs w:val="21"/>
        </w:rPr>
      </w:pPr>
      <w:r>
        <w:rPr>
          <w:rFonts w:hint="eastAsia" w:ascii="宋体" w:hAnsi="宋体" w:cs="宋体"/>
          <w:szCs w:val="21"/>
        </w:rPr>
        <w:t>参与竞价的供应商报价超过最高限价或低于最低限价或超过项目对应产品单项最高限价的视为无效报价。</w:t>
      </w:r>
    </w:p>
    <w:p>
      <w:pPr>
        <w:numPr>
          <w:ilvl w:val="0"/>
          <w:numId w:val="8"/>
        </w:numPr>
        <w:spacing w:line="360" w:lineRule="auto"/>
        <w:rPr>
          <w:rFonts w:ascii="宋体" w:hAnsi="宋体"/>
          <w:szCs w:val="21"/>
        </w:rPr>
      </w:pPr>
      <w:r>
        <w:rPr>
          <w:rFonts w:hint="eastAsia" w:ascii="宋体" w:hAnsi="宋体" w:cs="宋体"/>
          <w:szCs w:val="21"/>
        </w:rPr>
        <w:t>参与竞价的供应商须提供本项目要求的资质文件，如果不按公告规定或竞价文件要求等相关规定提供符合要求的资质文件，将被视为无效报价；</w:t>
      </w:r>
    </w:p>
    <w:p>
      <w:pPr>
        <w:numPr>
          <w:ilvl w:val="0"/>
          <w:numId w:val="8"/>
        </w:numPr>
        <w:spacing w:line="360" w:lineRule="auto"/>
        <w:rPr>
          <w:rFonts w:ascii="宋体" w:hAnsi="宋体"/>
          <w:szCs w:val="21"/>
        </w:rPr>
      </w:pPr>
      <w:r>
        <w:rPr>
          <w:rFonts w:hint="eastAsia" w:ascii="宋体" w:hAnsi="宋体" w:cs="宋体"/>
          <w:szCs w:val="21"/>
        </w:rPr>
        <w:t>参与竞价的供应商须对本项目采购内容进行整体报价，任何只对其中一部分内容进行的报价都被视为无效报价。</w:t>
      </w:r>
    </w:p>
    <w:p>
      <w:pPr>
        <w:numPr>
          <w:ilvl w:val="0"/>
          <w:numId w:val="8"/>
        </w:numPr>
        <w:spacing w:line="360" w:lineRule="auto"/>
        <w:rPr>
          <w:rFonts w:ascii="宋体" w:hAnsi="宋体"/>
          <w:szCs w:val="21"/>
        </w:rPr>
      </w:pPr>
      <w:r>
        <w:rPr>
          <w:u w:val="double"/>
        </w:rPr>
        <w:t>报价表</w:t>
      </w:r>
      <w:r>
        <w:rPr>
          <w:rFonts w:hint="eastAsia"/>
          <w:u w:val="double"/>
        </w:rPr>
        <w:t>以及有报价供应商落款的报价文件</w:t>
      </w:r>
      <w:r>
        <w:rPr>
          <w:u w:val="double"/>
        </w:rPr>
        <w:t>必须加盖</w:t>
      </w:r>
      <w:r>
        <w:rPr>
          <w:rFonts w:hint="eastAsia"/>
          <w:u w:val="double"/>
        </w:rPr>
        <w:t>报价供应商</w:t>
      </w:r>
      <w:r>
        <w:rPr>
          <w:u w:val="double"/>
        </w:rPr>
        <w:t>公章，否则视为无效报价</w:t>
      </w:r>
    </w:p>
    <w:p>
      <w:pPr>
        <w:pStyle w:val="59"/>
        <w:numPr>
          <w:ilvl w:val="0"/>
          <w:numId w:val="8"/>
        </w:numPr>
        <w:spacing w:line="360" w:lineRule="auto"/>
        <w:ind w:firstLineChars="0"/>
        <w:rPr>
          <w:rFonts w:ascii="宋体" w:hAnsi="宋体" w:cs="宋体"/>
          <w:szCs w:val="21"/>
        </w:rPr>
      </w:pPr>
      <w:r>
        <w:rPr>
          <w:rFonts w:hint="eastAsia" w:ascii="宋体" w:hAnsi="宋体" w:cs="宋体"/>
          <w:szCs w:val="21"/>
        </w:rPr>
        <w:t>大写金额和小写金额不一致的，以大写金额为准；单价金额小数点或者百分比有明显错位的，以报价表的总价为准，并修改单价；总价金额与按单价汇总金额不一致的，以单价金额计算结果为准；不接受总价优惠折扣形式的报价，供应商应将对项目的优惠直接在清单报价中体现出来。如果供应商不接受对其错误的更正，其报价将被视为无效报价；</w:t>
      </w:r>
    </w:p>
    <w:p>
      <w:pPr>
        <w:pStyle w:val="59"/>
        <w:ind w:left="420" w:firstLine="0" w:firstLineChars="0"/>
        <w:rPr>
          <w:rFonts w:ascii="宋体" w:hAnsi="宋体" w:cs="宋体"/>
          <w:b/>
          <w:bCs/>
          <w:szCs w:val="21"/>
        </w:rPr>
      </w:pPr>
      <w:r>
        <w:rPr>
          <w:rFonts w:hint="eastAsia" w:ascii="宋体" w:hAnsi="宋体" w:cs="宋体"/>
          <w:szCs w:val="21"/>
        </w:rPr>
        <w:t>6)</w:t>
      </w:r>
      <w:r>
        <w:rPr>
          <w:rFonts w:hint="eastAsia" w:ascii="宋体" w:hAnsi="宋体" w:cs="宋体"/>
          <w:b/>
          <w:bCs/>
          <w:szCs w:val="21"/>
        </w:rPr>
        <w:t>按有关法律、法规、规章属于报价无效的。</w:t>
      </w:r>
    </w:p>
    <w:p>
      <w:pPr>
        <w:shd w:val="clear" w:color="auto" w:fill="FFFFFF"/>
        <w:spacing w:line="360" w:lineRule="auto"/>
        <w:ind w:left="420"/>
        <w:rPr>
          <w:rFonts w:ascii="宋体" w:hAnsi="宋体"/>
          <w:szCs w:val="21"/>
        </w:rPr>
      </w:pPr>
      <w:r>
        <w:rPr>
          <w:rFonts w:hint="eastAsia" w:ascii="宋体" w:hAnsi="宋体" w:cs="宋体"/>
          <w:szCs w:val="21"/>
        </w:rPr>
        <w:t>7)</w:t>
      </w:r>
      <w:r>
        <w:rPr>
          <w:rFonts w:hint="eastAsia" w:ascii="宋体" w:hAnsi="宋体" w:cs="宋体"/>
          <w:b/>
          <w:bCs/>
          <w:szCs w:val="21"/>
        </w:rPr>
        <w:t>有下列情形之一的，视为串通竞价，其报价无效：</w:t>
      </w:r>
    </w:p>
    <w:p>
      <w:pPr>
        <w:numPr>
          <w:ilvl w:val="2"/>
          <w:numId w:val="9"/>
        </w:numPr>
        <w:tabs>
          <w:tab w:val="left" w:pos="1260"/>
        </w:tabs>
        <w:spacing w:line="360" w:lineRule="auto"/>
        <w:rPr>
          <w:rFonts w:ascii="宋体" w:hAnsi="宋体"/>
          <w:szCs w:val="21"/>
        </w:rPr>
      </w:pPr>
      <w:r>
        <w:rPr>
          <w:rFonts w:hint="eastAsia" w:ascii="宋体"/>
        </w:rPr>
        <w:t>存在单位负责人为同一人或存在控股、管理关系的不同单位参与同一竞价项目；</w:t>
      </w:r>
    </w:p>
    <w:p>
      <w:pPr>
        <w:numPr>
          <w:ilvl w:val="2"/>
          <w:numId w:val="9"/>
        </w:numPr>
        <w:tabs>
          <w:tab w:val="left" w:pos="1260"/>
        </w:tabs>
        <w:spacing w:line="360" w:lineRule="auto"/>
        <w:rPr>
          <w:rFonts w:ascii="宋体" w:hAnsi="宋体"/>
          <w:szCs w:val="21"/>
        </w:rPr>
      </w:pPr>
      <w:r>
        <w:rPr>
          <w:rFonts w:hint="eastAsia" w:ascii="宋体" w:hAnsi="宋体" w:cs="宋体"/>
          <w:szCs w:val="21"/>
        </w:rPr>
        <w:t>不同供应商的响应文件由同一单位或者个人编制；</w:t>
      </w:r>
    </w:p>
    <w:p>
      <w:pPr>
        <w:numPr>
          <w:ilvl w:val="2"/>
          <w:numId w:val="9"/>
        </w:numPr>
        <w:tabs>
          <w:tab w:val="left" w:pos="1260"/>
        </w:tabs>
        <w:spacing w:line="360" w:lineRule="auto"/>
        <w:rPr>
          <w:rFonts w:ascii="宋体" w:hAnsi="宋体"/>
          <w:szCs w:val="21"/>
        </w:rPr>
      </w:pPr>
      <w:r>
        <w:rPr>
          <w:rFonts w:hint="eastAsia" w:ascii="宋体" w:hAnsi="宋体" w:cs="宋体"/>
          <w:szCs w:val="21"/>
        </w:rPr>
        <w:t>不同供应商委托同一单位或者个人办理竞价事宜；</w:t>
      </w:r>
    </w:p>
    <w:p>
      <w:pPr>
        <w:numPr>
          <w:ilvl w:val="2"/>
          <w:numId w:val="9"/>
        </w:numPr>
        <w:tabs>
          <w:tab w:val="left" w:pos="1260"/>
        </w:tabs>
        <w:spacing w:line="360" w:lineRule="auto"/>
        <w:rPr>
          <w:rFonts w:ascii="宋体" w:hAnsi="宋体"/>
          <w:szCs w:val="21"/>
        </w:rPr>
      </w:pPr>
      <w:r>
        <w:rPr>
          <w:rFonts w:hint="eastAsia" w:ascii="宋体" w:hAnsi="宋体" w:cs="宋体"/>
          <w:szCs w:val="21"/>
        </w:rPr>
        <w:t>不同供应商使用同一</w:t>
      </w:r>
      <w:r>
        <w:rPr>
          <w:rFonts w:ascii="宋体" w:hAnsi="宋体" w:cs="宋体"/>
          <w:szCs w:val="21"/>
        </w:rPr>
        <w:t>IP</w:t>
      </w:r>
      <w:r>
        <w:rPr>
          <w:rFonts w:hint="eastAsia" w:ascii="宋体" w:hAnsi="宋体" w:cs="宋体"/>
          <w:szCs w:val="21"/>
        </w:rPr>
        <w:t>地址参与竞价；</w:t>
      </w:r>
    </w:p>
    <w:p>
      <w:pPr>
        <w:numPr>
          <w:ilvl w:val="2"/>
          <w:numId w:val="9"/>
        </w:numPr>
        <w:tabs>
          <w:tab w:val="left" w:pos="1260"/>
        </w:tabs>
        <w:spacing w:line="360" w:lineRule="auto"/>
        <w:rPr>
          <w:rFonts w:ascii="宋体" w:hAnsi="宋体"/>
          <w:szCs w:val="21"/>
        </w:rPr>
      </w:pPr>
      <w:r>
        <w:rPr>
          <w:rFonts w:hint="eastAsia" w:ascii="宋体" w:hAnsi="宋体" w:cs="宋体"/>
          <w:szCs w:val="21"/>
        </w:rPr>
        <w:t>不同供应商的响应文件载明的项目管理成员或者联系人员为同一人；</w:t>
      </w:r>
    </w:p>
    <w:p>
      <w:pPr>
        <w:numPr>
          <w:ilvl w:val="2"/>
          <w:numId w:val="9"/>
        </w:numPr>
        <w:tabs>
          <w:tab w:val="left" w:pos="1260"/>
        </w:tabs>
        <w:spacing w:line="360" w:lineRule="auto"/>
        <w:rPr>
          <w:rFonts w:ascii="宋体" w:hAnsi="宋体"/>
          <w:szCs w:val="21"/>
        </w:rPr>
      </w:pPr>
      <w:r>
        <w:rPr>
          <w:rFonts w:hint="eastAsia" w:ascii="宋体" w:hAnsi="宋体" w:cs="宋体"/>
          <w:szCs w:val="21"/>
        </w:rPr>
        <w:t>不同供应商的响应文件异常一致或者报价呈规律性差异；</w:t>
      </w:r>
    </w:p>
    <w:p>
      <w:pPr>
        <w:numPr>
          <w:ilvl w:val="2"/>
          <w:numId w:val="9"/>
        </w:numPr>
        <w:tabs>
          <w:tab w:val="left" w:pos="1260"/>
        </w:tabs>
        <w:spacing w:line="360" w:lineRule="auto"/>
        <w:rPr>
          <w:rFonts w:ascii="宋体" w:hAnsi="宋体"/>
          <w:szCs w:val="21"/>
        </w:rPr>
      </w:pPr>
      <w:r>
        <w:rPr>
          <w:rFonts w:hint="eastAsia" w:ascii="宋体" w:hAnsi="宋体" w:cs="宋体"/>
          <w:szCs w:val="21"/>
        </w:rPr>
        <w:t>不同供应商的响应文件相互混淆；</w:t>
      </w:r>
    </w:p>
    <w:p>
      <w:pPr>
        <w:numPr>
          <w:ilvl w:val="2"/>
          <w:numId w:val="9"/>
        </w:numPr>
        <w:tabs>
          <w:tab w:val="left" w:pos="1260"/>
        </w:tabs>
        <w:spacing w:line="360" w:lineRule="auto"/>
        <w:rPr>
          <w:rFonts w:ascii="宋体" w:hAnsi="宋体"/>
          <w:szCs w:val="21"/>
        </w:rPr>
      </w:pPr>
      <w:r>
        <w:rPr>
          <w:rFonts w:hint="eastAsia" w:ascii="宋体" w:hAnsi="宋体" w:cs="宋体"/>
          <w:szCs w:val="21"/>
        </w:rPr>
        <w:t>不同供应商的平台使用费从同一单位或者个人的账户转出；</w:t>
      </w:r>
    </w:p>
    <w:p>
      <w:pPr>
        <w:spacing w:line="360" w:lineRule="auto"/>
        <w:rPr>
          <w:rFonts w:ascii="宋体" w:hAnsi="宋体"/>
          <w:szCs w:val="21"/>
        </w:rPr>
      </w:pPr>
      <w:r>
        <w:rPr>
          <w:rFonts w:hint="eastAsia" w:ascii="宋体" w:hAnsi="宋体" w:cs="宋体"/>
          <w:b/>
          <w:bCs/>
          <w:szCs w:val="21"/>
        </w:rPr>
        <w:t>7.竞价活动失败</w:t>
      </w:r>
    </w:p>
    <w:p>
      <w:pPr>
        <w:numPr>
          <w:ilvl w:val="0"/>
          <w:numId w:val="10"/>
        </w:numPr>
        <w:spacing w:line="360" w:lineRule="auto"/>
        <w:rPr>
          <w:rFonts w:ascii="宋体" w:hAnsi="宋体"/>
          <w:szCs w:val="21"/>
        </w:rPr>
      </w:pPr>
      <w:r>
        <w:rPr>
          <w:rFonts w:hint="eastAsia" w:ascii="宋体" w:hAnsi="宋体" w:cs="宋体"/>
          <w:szCs w:val="21"/>
        </w:rPr>
        <w:t>报价供应商不足</w:t>
      </w:r>
      <w:r>
        <w:rPr>
          <w:rFonts w:ascii="宋体" w:hAnsi="宋体" w:cs="宋体"/>
          <w:szCs w:val="21"/>
        </w:rPr>
        <w:t>3</w:t>
      </w:r>
      <w:r>
        <w:rPr>
          <w:rFonts w:hint="eastAsia" w:ascii="宋体" w:hAnsi="宋体" w:cs="宋体"/>
          <w:szCs w:val="21"/>
        </w:rPr>
        <w:t>家，本次竞价活动失败；</w:t>
      </w:r>
    </w:p>
    <w:p>
      <w:pPr>
        <w:numPr>
          <w:ilvl w:val="0"/>
          <w:numId w:val="10"/>
        </w:numPr>
        <w:spacing w:line="360" w:lineRule="auto"/>
        <w:rPr>
          <w:rFonts w:ascii="宋体" w:hAnsi="宋体"/>
          <w:szCs w:val="21"/>
        </w:rPr>
      </w:pPr>
      <w:r>
        <w:rPr>
          <w:rFonts w:hint="eastAsia" w:ascii="宋体" w:hAnsi="宋体" w:cs="宋体"/>
          <w:szCs w:val="21"/>
        </w:rPr>
        <w:t>出现影响采购公正的违法、违规行为的；</w:t>
      </w:r>
    </w:p>
    <w:p>
      <w:pPr>
        <w:numPr>
          <w:ilvl w:val="0"/>
          <w:numId w:val="10"/>
        </w:numPr>
        <w:spacing w:line="360" w:lineRule="auto"/>
        <w:rPr>
          <w:rFonts w:ascii="宋体" w:hAnsi="宋体"/>
          <w:szCs w:val="21"/>
        </w:rPr>
      </w:pPr>
      <w:r>
        <w:rPr>
          <w:rFonts w:hint="eastAsia" w:ascii="宋体" w:hAnsi="宋体" w:cs="宋体"/>
          <w:szCs w:val="21"/>
        </w:rPr>
        <w:t>因重大变故，采购任务取消的；</w:t>
      </w:r>
    </w:p>
    <w:p>
      <w:pPr>
        <w:spacing w:line="360" w:lineRule="auto"/>
        <w:rPr>
          <w:rFonts w:ascii="宋体" w:hAnsi="宋体"/>
          <w:b/>
          <w:bCs/>
          <w:szCs w:val="21"/>
        </w:rPr>
      </w:pPr>
      <w:r>
        <w:rPr>
          <w:rFonts w:hint="eastAsia" w:ascii="宋体" w:hAnsi="宋体" w:cs="宋体"/>
          <w:b/>
          <w:bCs/>
          <w:szCs w:val="21"/>
        </w:rPr>
        <w:t>8.使用费</w:t>
      </w:r>
    </w:p>
    <w:p>
      <w:pPr>
        <w:numPr>
          <w:ilvl w:val="0"/>
          <w:numId w:val="11"/>
        </w:numPr>
        <w:tabs>
          <w:tab w:val="left" w:pos="425"/>
        </w:tabs>
        <w:spacing w:line="360" w:lineRule="auto"/>
        <w:rPr>
          <w:rFonts w:ascii="宋体" w:hAnsi="宋体"/>
          <w:szCs w:val="21"/>
        </w:rPr>
      </w:pPr>
      <w:r>
        <w:rPr>
          <w:rFonts w:hint="eastAsia" w:ascii="宋体" w:hAnsi="宋体" w:cs="宋体"/>
          <w:szCs w:val="21"/>
        </w:rPr>
        <w:t>成交供应商须向平台服务商云采链线上采购一体化平台缴纳平台使用费，金额为成交金额的</w:t>
      </w:r>
      <w:r>
        <w:rPr>
          <w:rFonts w:ascii="宋体" w:hAnsi="宋体" w:cs="宋体"/>
          <w:szCs w:val="21"/>
        </w:rPr>
        <w:t>1.5%</w:t>
      </w:r>
      <w:r>
        <w:rPr>
          <w:rFonts w:hint="eastAsia" w:ascii="宋体" w:hAnsi="宋体" w:cs="宋体"/>
          <w:szCs w:val="21"/>
        </w:rPr>
        <w:t>（四舍五入取整数）。</w:t>
      </w:r>
    </w:p>
    <w:p>
      <w:pPr>
        <w:numPr>
          <w:ilvl w:val="0"/>
          <w:numId w:val="11"/>
        </w:numPr>
        <w:tabs>
          <w:tab w:val="left" w:pos="425"/>
        </w:tabs>
        <w:spacing w:line="360" w:lineRule="auto"/>
        <w:rPr>
          <w:rFonts w:ascii="宋体" w:hAnsi="宋体"/>
          <w:szCs w:val="21"/>
        </w:rPr>
      </w:pPr>
      <w:r>
        <w:rPr>
          <w:rFonts w:hint="eastAsia" w:ascii="宋体" w:hAnsi="宋体" w:cs="宋体"/>
          <w:szCs w:val="21"/>
        </w:rPr>
        <w:t>成交供应商无正当理由放弃成交资格的必须按竞价公告等相关规定缴纳相应的平台使用费；</w:t>
      </w:r>
    </w:p>
    <w:p>
      <w:pPr>
        <w:numPr>
          <w:ilvl w:val="0"/>
          <w:numId w:val="11"/>
        </w:numPr>
        <w:tabs>
          <w:tab w:val="left" w:pos="425"/>
        </w:tabs>
        <w:spacing w:line="360" w:lineRule="auto"/>
        <w:rPr>
          <w:rFonts w:ascii="宋体" w:hAnsi="宋体"/>
          <w:szCs w:val="21"/>
        </w:rPr>
      </w:pPr>
      <w:r>
        <w:rPr>
          <w:rFonts w:hint="eastAsia" w:ascii="宋体" w:hAnsi="宋体" w:cs="宋体"/>
          <w:szCs w:val="21"/>
        </w:rPr>
        <w:t>如确实因不可抗力放弃成交资格的，应在不可抗力发生后三个工作日内予以通知采购代理机构并提供相关的证明；如逾期，采购代理机构不予退还平台使用费；</w:t>
      </w:r>
    </w:p>
    <w:p>
      <w:pPr>
        <w:spacing w:line="360" w:lineRule="auto"/>
        <w:rPr>
          <w:rFonts w:ascii="宋体" w:hAnsi="宋体"/>
          <w:b/>
          <w:bCs/>
          <w:szCs w:val="21"/>
        </w:rPr>
      </w:pPr>
      <w:r>
        <w:rPr>
          <w:rFonts w:hint="eastAsia" w:ascii="宋体" w:hAnsi="宋体" w:cs="宋体"/>
          <w:b/>
          <w:bCs/>
          <w:szCs w:val="21"/>
        </w:rPr>
        <w:t>9.联系方式</w:t>
      </w:r>
    </w:p>
    <w:p>
      <w:pPr>
        <w:spacing w:line="360" w:lineRule="auto"/>
        <w:ind w:left="420"/>
        <w:rPr>
          <w:rFonts w:ascii="宋体" w:hAnsi="宋体"/>
          <w:szCs w:val="21"/>
        </w:rPr>
      </w:pPr>
      <w:r>
        <w:rPr>
          <w:rFonts w:hint="eastAsia" w:ascii="宋体" w:hAnsi="宋体" w:cs="宋体"/>
          <w:szCs w:val="21"/>
        </w:rPr>
        <w:t>扫码关注微信公众号</w:t>
      </w:r>
      <w:r>
        <w:rPr>
          <w:rFonts w:ascii="宋体" w:hAnsi="宋体" w:cs="Calibri"/>
          <w:szCs w:val="21"/>
        </w:rPr>
        <w:t>“</w:t>
      </w:r>
      <w:r>
        <w:rPr>
          <w:rFonts w:hint="eastAsia" w:ascii="宋体" w:hAnsi="宋体" w:cs="宋体"/>
          <w:szCs w:val="21"/>
        </w:rPr>
        <w:t>云采链互联服务平台</w:t>
      </w:r>
      <w:r>
        <w:rPr>
          <w:rFonts w:ascii="宋体" w:hAnsi="宋体" w:cs="Calibri"/>
          <w:szCs w:val="21"/>
        </w:rPr>
        <w:t>”</w:t>
      </w:r>
      <w:r>
        <w:rPr>
          <w:rFonts w:hint="eastAsia" w:ascii="宋体" w:hAnsi="宋体" w:cs="宋体"/>
          <w:szCs w:val="21"/>
        </w:rPr>
        <w:t>，即可在线咨询相关事项；</w:t>
      </w:r>
    </w:p>
    <w:p>
      <w:pPr>
        <w:widowControl/>
        <w:jc w:val="center"/>
      </w:pPr>
      <w:r>
        <w:drawing>
          <wp:anchor distT="0" distB="0" distL="114300" distR="114300" simplePos="0" relativeHeight="251659264" behindDoc="0" locked="0" layoutInCell="1" allowOverlap="1">
            <wp:simplePos x="0" y="0"/>
            <wp:positionH relativeFrom="column">
              <wp:posOffset>1882140</wp:posOffset>
            </wp:positionH>
            <wp:positionV relativeFrom="paragraph">
              <wp:posOffset>99060</wp:posOffset>
            </wp:positionV>
            <wp:extent cx="1371600" cy="1371600"/>
            <wp:effectExtent l="19050" t="0" r="0" b="0"/>
            <wp:wrapSquare wrapText="bothSides"/>
            <wp:docPr id="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pic:cNvPicPr>
                      <a:picLocks noChangeAspect="1" noChangeArrowheads="1"/>
                    </pic:cNvPicPr>
                  </pic:nvPicPr>
                  <pic:blipFill>
                    <a:blip r:embed="rId4" cstate="print"/>
                    <a:srcRect/>
                    <a:stretch>
                      <a:fillRect/>
                    </a:stretch>
                  </pic:blipFill>
                  <pic:spPr>
                    <a:xfrm>
                      <a:off x="0" y="0"/>
                      <a:ext cx="1371600" cy="1371600"/>
                    </a:xfrm>
                    <a:prstGeom prst="rect">
                      <a:avLst/>
                    </a:prstGeom>
                    <a:noFill/>
                    <a:ln w="9525">
                      <a:noFill/>
                      <a:miter lim="800000"/>
                      <a:headEnd/>
                      <a:tailEnd/>
                    </a:ln>
                  </pic:spPr>
                </pic:pic>
              </a:graphicData>
            </a:graphic>
          </wp:anchor>
        </w:drawing>
      </w:r>
      <w:r>
        <w:br w:type="page"/>
      </w:r>
    </w:p>
    <w:p>
      <w:pPr>
        <w:jc w:val="center"/>
        <w:outlineLvl w:val="0"/>
        <w:rPr>
          <w:rFonts w:ascii="Cambria" w:hAnsi="Cambria" w:cs="宋体"/>
          <w:b/>
          <w:bCs/>
          <w:sz w:val="32"/>
          <w:szCs w:val="32"/>
        </w:rPr>
      </w:pPr>
      <w:bookmarkStart w:id="1" w:name="_Hlk54791406"/>
      <w:r>
        <w:rPr>
          <w:rFonts w:hint="eastAsia" w:ascii="Cambria" w:hAnsi="Cambria" w:cs="宋体"/>
          <w:b/>
          <w:bCs/>
          <w:sz w:val="32"/>
          <w:szCs w:val="32"/>
        </w:rPr>
        <w:t>第二章 采购需求书</w:t>
      </w:r>
    </w:p>
    <w:p>
      <w:pPr>
        <w:snapToGrid w:val="0"/>
        <w:spacing w:line="360" w:lineRule="auto"/>
        <w:rPr>
          <w:rFonts w:ascii="宋体" w:hAnsi="宋体"/>
          <w:b/>
          <w:bCs/>
          <w:szCs w:val="21"/>
        </w:rPr>
      </w:pPr>
      <w:r>
        <w:rPr>
          <w:rFonts w:hint="eastAsia" w:ascii="宋体" w:hAnsi="宋体"/>
          <w:b/>
          <w:bCs/>
          <w:szCs w:val="21"/>
        </w:rPr>
        <w:t>说明：</w:t>
      </w:r>
    </w:p>
    <w:p>
      <w:pPr>
        <w:tabs>
          <w:tab w:val="left" w:pos="420"/>
        </w:tabs>
        <w:snapToGrid w:val="0"/>
        <w:spacing w:line="360" w:lineRule="auto"/>
        <w:rPr>
          <w:rFonts w:ascii="宋体" w:hAnsi="宋体"/>
          <w:b/>
          <w:bCs/>
          <w:szCs w:val="21"/>
        </w:rPr>
      </w:pPr>
      <w:r>
        <w:rPr>
          <w:rFonts w:hint="eastAsia" w:ascii="宋体" w:hAnsi="宋体"/>
          <w:b/>
          <w:bCs/>
          <w:szCs w:val="21"/>
        </w:rPr>
        <w:t>供应商须对本项目采购内容进行整体响应，任何只对采购内容其中一部分内容进行的响应都被视为无效报价。</w:t>
      </w:r>
    </w:p>
    <w:p>
      <w:pPr>
        <w:pStyle w:val="59"/>
        <w:numPr>
          <w:ilvl w:val="0"/>
          <w:numId w:val="12"/>
        </w:numPr>
        <w:spacing w:line="360" w:lineRule="auto"/>
        <w:ind w:left="0" w:firstLine="0" w:firstLineChars="0"/>
        <w:rPr>
          <w:rFonts w:ascii="宋体" w:hAnsi="宋体" w:cs="宋体"/>
          <w:b/>
          <w:bCs/>
          <w:szCs w:val="21"/>
        </w:rPr>
      </w:pPr>
      <w:r>
        <w:rPr>
          <w:rFonts w:hint="eastAsia" w:ascii="宋体" w:hAnsi="宋体" w:cs="宋体"/>
          <w:b/>
          <w:bCs/>
          <w:szCs w:val="21"/>
        </w:rPr>
        <w:t>项目一览表</w:t>
      </w:r>
    </w:p>
    <w:tbl>
      <w:tblPr>
        <w:tblStyle w:val="36"/>
        <w:tblW w:w="8916"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3028"/>
        <w:gridCol w:w="1234"/>
        <w:gridCol w:w="2333"/>
        <w:gridCol w:w="232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07" w:hRule="atLeast"/>
          <w:jc w:val="center"/>
        </w:trPr>
        <w:tc>
          <w:tcPr>
            <w:tcW w:w="3028" w:type="dxa"/>
            <w:tcBorders>
              <w:top w:val="single" w:color="auto" w:sz="12" w:space="0"/>
              <w:bottom w:val="single" w:color="auto" w:sz="2" w:space="0"/>
            </w:tcBorders>
            <w:shd w:val="clear" w:color="auto" w:fill="EEECE1"/>
            <w:vAlign w:val="center"/>
          </w:tcPr>
          <w:p>
            <w:pPr>
              <w:spacing w:line="360" w:lineRule="auto"/>
              <w:jc w:val="center"/>
              <w:rPr>
                <w:rFonts w:ascii="宋体" w:hAnsi="宋体"/>
                <w:b/>
                <w:szCs w:val="21"/>
              </w:rPr>
            </w:pPr>
            <w:bookmarkStart w:id="2" w:name="_Hlk536436587"/>
            <w:r>
              <w:rPr>
                <w:rFonts w:hint="eastAsia" w:ascii="宋体" w:hAnsi="宋体"/>
                <w:b/>
                <w:szCs w:val="21"/>
              </w:rPr>
              <w:t>采购内容</w:t>
            </w:r>
          </w:p>
        </w:tc>
        <w:tc>
          <w:tcPr>
            <w:tcW w:w="1234" w:type="dxa"/>
            <w:tcBorders>
              <w:top w:val="single" w:color="auto" w:sz="12" w:space="0"/>
              <w:bottom w:val="single" w:color="auto" w:sz="2" w:space="0"/>
            </w:tcBorders>
            <w:shd w:val="clear" w:color="auto" w:fill="EEECE1"/>
            <w:vAlign w:val="center"/>
          </w:tcPr>
          <w:p>
            <w:pPr>
              <w:spacing w:line="360" w:lineRule="auto"/>
              <w:jc w:val="center"/>
              <w:rPr>
                <w:rFonts w:ascii="宋体" w:hAnsi="宋体"/>
                <w:b/>
                <w:szCs w:val="21"/>
              </w:rPr>
            </w:pPr>
            <w:r>
              <w:rPr>
                <w:rFonts w:hint="eastAsia" w:ascii="宋体" w:hAnsi="宋体"/>
                <w:b/>
                <w:szCs w:val="21"/>
              </w:rPr>
              <w:t>数量</w:t>
            </w:r>
          </w:p>
        </w:tc>
        <w:tc>
          <w:tcPr>
            <w:tcW w:w="2333" w:type="dxa"/>
            <w:tcBorders>
              <w:top w:val="single" w:color="auto" w:sz="12" w:space="0"/>
              <w:bottom w:val="single" w:color="auto" w:sz="2" w:space="0"/>
            </w:tcBorders>
            <w:shd w:val="clear" w:color="auto" w:fill="EEECE1"/>
            <w:vAlign w:val="center"/>
          </w:tcPr>
          <w:p>
            <w:pPr>
              <w:spacing w:line="360" w:lineRule="auto"/>
              <w:jc w:val="center"/>
              <w:rPr>
                <w:rFonts w:ascii="宋体" w:hAnsi="宋体"/>
                <w:b/>
                <w:szCs w:val="21"/>
              </w:rPr>
            </w:pPr>
            <w:r>
              <w:rPr>
                <w:rFonts w:hint="eastAsia" w:ascii="宋体" w:hAnsi="宋体"/>
                <w:b/>
                <w:szCs w:val="21"/>
              </w:rPr>
              <w:t>服务期</w:t>
            </w:r>
          </w:p>
        </w:tc>
        <w:tc>
          <w:tcPr>
            <w:tcW w:w="2321" w:type="dxa"/>
            <w:tcBorders>
              <w:top w:val="single" w:color="auto" w:sz="12" w:space="0"/>
              <w:bottom w:val="single" w:color="auto" w:sz="2" w:space="0"/>
            </w:tcBorders>
            <w:shd w:val="clear" w:color="auto" w:fill="EEECE1"/>
            <w:vAlign w:val="center"/>
          </w:tcPr>
          <w:p>
            <w:pPr>
              <w:spacing w:line="360" w:lineRule="auto"/>
              <w:jc w:val="center"/>
              <w:rPr>
                <w:rFonts w:ascii="宋体" w:hAnsi="宋体"/>
                <w:szCs w:val="21"/>
              </w:rPr>
            </w:pPr>
            <w:r>
              <w:rPr>
                <w:rFonts w:hint="eastAsia" w:ascii="宋体" w:hAnsi="宋体"/>
                <w:b/>
                <w:szCs w:val="21"/>
              </w:rPr>
              <w:t>项目预算</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87" w:hRule="atLeast"/>
          <w:jc w:val="center"/>
        </w:trPr>
        <w:tc>
          <w:tcPr>
            <w:tcW w:w="3028" w:type="dxa"/>
            <w:tcBorders>
              <w:top w:val="single" w:color="auto" w:sz="2" w:space="0"/>
            </w:tcBorders>
            <w:vAlign w:val="center"/>
          </w:tcPr>
          <w:p>
            <w:pPr>
              <w:spacing w:line="360" w:lineRule="auto"/>
              <w:jc w:val="center"/>
              <w:rPr>
                <w:rFonts w:hint="eastAsia" w:ascii="宋体" w:hAnsi="宋体" w:eastAsia="宋体"/>
                <w:kern w:val="0"/>
                <w:szCs w:val="21"/>
                <w:lang w:eastAsia="zh-CN"/>
              </w:rPr>
            </w:pPr>
            <w:r>
              <w:rPr>
                <w:rFonts w:hint="eastAsia" w:ascii="宋体" w:hAnsi="宋体"/>
                <w:szCs w:val="21"/>
                <w:lang w:eastAsia="zh-CN"/>
              </w:rPr>
              <w:t>采购应急广播收扩机项目</w:t>
            </w:r>
          </w:p>
        </w:tc>
        <w:tc>
          <w:tcPr>
            <w:tcW w:w="1234" w:type="dxa"/>
            <w:tcBorders>
              <w:top w:val="single" w:color="auto" w:sz="2" w:space="0"/>
            </w:tcBorders>
            <w:vAlign w:val="center"/>
          </w:tcPr>
          <w:p>
            <w:pPr>
              <w:spacing w:line="360" w:lineRule="auto"/>
              <w:jc w:val="center"/>
              <w:rPr>
                <w:rFonts w:ascii="宋体" w:hAnsi="宋体" w:cs="宋体"/>
                <w:kern w:val="0"/>
                <w:szCs w:val="21"/>
              </w:rPr>
            </w:pPr>
            <w:r>
              <w:rPr>
                <w:rFonts w:hint="eastAsia" w:ascii="宋体" w:hAnsi="宋体" w:cs="宋体"/>
                <w:kern w:val="0"/>
                <w:szCs w:val="21"/>
              </w:rPr>
              <w:t>100台</w:t>
            </w:r>
          </w:p>
        </w:tc>
        <w:tc>
          <w:tcPr>
            <w:tcW w:w="2333" w:type="dxa"/>
            <w:tcBorders>
              <w:top w:val="single" w:color="auto" w:sz="2" w:space="0"/>
            </w:tcBorders>
            <w:vAlign w:val="center"/>
          </w:tcPr>
          <w:p>
            <w:pPr>
              <w:pStyle w:val="112"/>
              <w:spacing w:before="0" w:after="0" w:line="360" w:lineRule="auto"/>
              <w:rPr>
                <w:rFonts w:ascii="宋体" w:hAnsi="宋体" w:cs="宋体"/>
                <w:snapToGrid/>
                <w:spacing w:val="0"/>
                <w:kern w:val="2"/>
                <w:sz w:val="21"/>
                <w:szCs w:val="21"/>
              </w:rPr>
            </w:pPr>
            <w:r>
              <w:rPr>
                <w:rFonts w:hint="eastAsia" w:ascii="宋体" w:hAnsi="宋体" w:cs="宋体"/>
                <w:snapToGrid/>
                <w:spacing w:val="0"/>
                <w:kern w:val="2"/>
                <w:sz w:val="21"/>
                <w:szCs w:val="21"/>
              </w:rPr>
              <w:t>合同签订生效之日起20日内到货。</w:t>
            </w:r>
          </w:p>
        </w:tc>
        <w:tc>
          <w:tcPr>
            <w:tcW w:w="2321" w:type="dxa"/>
            <w:tcBorders>
              <w:top w:val="single" w:color="auto" w:sz="2" w:space="0"/>
            </w:tcBorders>
            <w:vAlign w:val="center"/>
          </w:tcPr>
          <w:p>
            <w:pPr>
              <w:spacing w:line="360" w:lineRule="auto"/>
              <w:jc w:val="center"/>
              <w:rPr>
                <w:rFonts w:ascii="宋体" w:hAnsi="宋体" w:cs="宋体"/>
                <w:kern w:val="0"/>
                <w:szCs w:val="21"/>
              </w:rPr>
            </w:pPr>
            <w:r>
              <w:rPr>
                <w:rFonts w:hint="eastAsia" w:ascii="宋体" w:hAnsi="宋体" w:cs="宋体"/>
                <w:kern w:val="0"/>
                <w:szCs w:val="21"/>
              </w:rPr>
              <w:t>人民币105000元</w:t>
            </w:r>
          </w:p>
        </w:tc>
      </w:tr>
      <w:bookmarkEnd w:id="1"/>
      <w:bookmarkEnd w:id="2"/>
    </w:tbl>
    <w:p>
      <w:pPr>
        <w:pStyle w:val="59"/>
        <w:numPr>
          <w:ilvl w:val="0"/>
          <w:numId w:val="12"/>
        </w:numPr>
        <w:spacing w:line="360" w:lineRule="auto"/>
        <w:ind w:left="0" w:firstLine="0" w:firstLineChars="0"/>
        <w:rPr>
          <w:rFonts w:ascii="宋体" w:hAnsi="宋体" w:cs="宋体"/>
          <w:b/>
          <w:bCs/>
          <w:szCs w:val="21"/>
        </w:rPr>
      </w:pPr>
      <w:r>
        <w:rPr>
          <w:rFonts w:hint="eastAsia" w:ascii="宋体" w:hAnsi="宋体" w:cs="宋体"/>
          <w:b/>
          <w:bCs/>
          <w:szCs w:val="21"/>
        </w:rPr>
        <w:t>采购设备清单</w:t>
      </w:r>
    </w:p>
    <w:tbl>
      <w:tblPr>
        <w:tblStyle w:val="37"/>
        <w:tblW w:w="85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4"/>
        <w:gridCol w:w="1248"/>
        <w:gridCol w:w="4721"/>
        <w:gridCol w:w="893"/>
        <w:gridCol w:w="8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64" w:type="dxa"/>
            <w:vAlign w:val="center"/>
          </w:tcPr>
          <w:p>
            <w:pPr>
              <w:jc w:val="center"/>
              <w:rPr>
                <w:rFonts w:ascii="宋体"/>
                <w:bCs/>
                <w:sz w:val="18"/>
                <w:szCs w:val="18"/>
              </w:rPr>
            </w:pPr>
            <w:r>
              <w:rPr>
                <w:rFonts w:hint="eastAsia"/>
                <w:b/>
                <w:sz w:val="18"/>
                <w:szCs w:val="18"/>
              </w:rPr>
              <w:t>序号</w:t>
            </w:r>
          </w:p>
        </w:tc>
        <w:tc>
          <w:tcPr>
            <w:tcW w:w="1248" w:type="dxa"/>
            <w:vAlign w:val="center"/>
          </w:tcPr>
          <w:p>
            <w:pPr>
              <w:jc w:val="center"/>
              <w:rPr>
                <w:b/>
                <w:sz w:val="18"/>
                <w:szCs w:val="18"/>
              </w:rPr>
            </w:pPr>
            <w:r>
              <w:rPr>
                <w:rFonts w:hint="eastAsia" w:ascii="宋体"/>
                <w:bCs/>
                <w:sz w:val="18"/>
                <w:szCs w:val="18"/>
              </w:rPr>
              <w:t xml:space="preserve"> </w:t>
            </w:r>
            <w:r>
              <w:rPr>
                <w:rFonts w:hint="eastAsia"/>
                <w:b/>
                <w:sz w:val="18"/>
                <w:szCs w:val="18"/>
              </w:rPr>
              <w:t>采购内容</w:t>
            </w:r>
          </w:p>
        </w:tc>
        <w:tc>
          <w:tcPr>
            <w:tcW w:w="4721" w:type="dxa"/>
            <w:vAlign w:val="center"/>
          </w:tcPr>
          <w:p>
            <w:pPr>
              <w:jc w:val="center"/>
              <w:rPr>
                <w:b/>
                <w:sz w:val="18"/>
                <w:szCs w:val="18"/>
              </w:rPr>
            </w:pPr>
            <w:r>
              <w:rPr>
                <w:b/>
                <w:sz w:val="18"/>
                <w:szCs w:val="18"/>
              </w:rPr>
              <w:t>参数要求</w:t>
            </w:r>
          </w:p>
        </w:tc>
        <w:tc>
          <w:tcPr>
            <w:tcW w:w="893" w:type="dxa"/>
            <w:vAlign w:val="center"/>
          </w:tcPr>
          <w:p>
            <w:pPr>
              <w:jc w:val="center"/>
              <w:rPr>
                <w:b/>
                <w:sz w:val="18"/>
                <w:szCs w:val="18"/>
              </w:rPr>
            </w:pPr>
            <w:r>
              <w:rPr>
                <w:rFonts w:hint="eastAsia"/>
                <w:b/>
                <w:sz w:val="18"/>
                <w:szCs w:val="18"/>
              </w:rPr>
              <w:t>单位</w:t>
            </w:r>
          </w:p>
        </w:tc>
        <w:tc>
          <w:tcPr>
            <w:tcW w:w="893" w:type="dxa"/>
            <w:vAlign w:val="center"/>
          </w:tcPr>
          <w:p>
            <w:pPr>
              <w:jc w:val="center"/>
              <w:rPr>
                <w:b/>
                <w:sz w:val="18"/>
                <w:szCs w:val="18"/>
              </w:rPr>
            </w:pPr>
            <w:r>
              <w:rPr>
                <w:rFonts w:hint="eastAsia"/>
                <w:b/>
                <w:sz w:val="18"/>
                <w:szCs w:val="18"/>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jc w:val="center"/>
        </w:trPr>
        <w:tc>
          <w:tcPr>
            <w:tcW w:w="764" w:type="dxa"/>
            <w:vAlign w:val="center"/>
          </w:tcPr>
          <w:p>
            <w:pPr>
              <w:jc w:val="center"/>
              <w:rPr>
                <w:rFonts w:ascii="宋体" w:hAnsi="宋体" w:cs="宋体"/>
                <w:color w:val="000000"/>
                <w:kern w:val="0"/>
                <w:sz w:val="20"/>
                <w:szCs w:val="20"/>
              </w:rPr>
            </w:pPr>
            <w:r>
              <w:rPr>
                <w:rFonts w:hint="eastAsia" w:ascii="宋体" w:hAnsi="宋体" w:cs="宋体"/>
                <w:color w:val="000000"/>
                <w:kern w:val="0"/>
                <w:sz w:val="20"/>
                <w:szCs w:val="20"/>
              </w:rPr>
              <w:t>1</w:t>
            </w:r>
          </w:p>
        </w:tc>
        <w:tc>
          <w:tcPr>
            <w:tcW w:w="1248" w:type="dxa"/>
            <w:vAlign w:val="center"/>
          </w:tcPr>
          <w:p>
            <w:pPr>
              <w:jc w:val="center"/>
            </w:pPr>
            <w:r>
              <w:rPr>
                <w:rFonts w:hint="eastAsia" w:ascii="宋体" w:hAnsi="宋体" w:cs="宋体"/>
                <w:color w:val="000000"/>
                <w:kern w:val="0"/>
                <w:sz w:val="20"/>
                <w:szCs w:val="20"/>
              </w:rPr>
              <w:t>多模</w:t>
            </w:r>
            <w:r>
              <w:rPr>
                <w:rFonts w:hint="eastAsia" w:ascii="宋体" w:hAnsi="宋体"/>
                <w:szCs w:val="21"/>
              </w:rPr>
              <w:t>收扩机</w:t>
            </w:r>
          </w:p>
        </w:tc>
        <w:tc>
          <w:tcPr>
            <w:tcW w:w="4721" w:type="dxa"/>
            <w:vAlign w:val="center"/>
          </w:tcPr>
          <w:p>
            <w:pPr>
              <w:widowControl/>
              <w:jc w:val="left"/>
              <w:rPr>
                <w:rFonts w:hint="eastAsia" w:ascii="宋体" w:hAnsi="宋体" w:eastAsia="宋体" w:cs="宋体"/>
                <w:color w:val="000000"/>
                <w:kern w:val="0"/>
                <w:sz w:val="20"/>
                <w:szCs w:val="20"/>
                <w:lang w:eastAsia="zh-CN"/>
              </w:rPr>
            </w:pPr>
            <w:r>
              <w:t>1.</w:t>
            </w:r>
            <w:r>
              <w:rPr>
                <w:rFonts w:hint="eastAsia" w:ascii="宋体" w:hAnsi="宋体" w:cs="宋体"/>
                <w:color w:val="000000"/>
                <w:kern w:val="0"/>
                <w:sz w:val="20"/>
                <w:szCs w:val="20"/>
              </w:rPr>
              <w:t xml:space="preserve">  室外防雨型设计</w:t>
            </w:r>
          </w:p>
          <w:p>
            <w:pPr>
              <w:widowControl/>
              <w:jc w:val="left"/>
              <w:rPr>
                <w:rFonts w:hint="eastAsia" w:ascii="宋体" w:hAnsi="宋体" w:eastAsia="宋体" w:cs="宋体"/>
                <w:color w:val="000000"/>
                <w:kern w:val="0"/>
                <w:sz w:val="20"/>
                <w:szCs w:val="20"/>
                <w:lang w:eastAsia="zh-CN"/>
              </w:rPr>
            </w:pPr>
            <w:r>
              <w:rPr>
                <w:rFonts w:hint="eastAsia" w:ascii="宋体" w:hAnsi="宋体" w:cs="宋体"/>
                <w:color w:val="000000"/>
                <w:kern w:val="0"/>
                <w:sz w:val="20"/>
                <w:szCs w:val="20"/>
              </w:rPr>
              <w:t>2. 具有通过IP与数字应急广播平台管理软件连网功能。</w:t>
            </w:r>
          </w:p>
          <w:p>
            <w:pPr>
              <w:widowControl/>
              <w:jc w:val="left"/>
              <w:rPr>
                <w:rFonts w:hint="eastAsia" w:ascii="宋体" w:hAnsi="宋体" w:eastAsia="宋体" w:cs="宋体"/>
                <w:color w:val="000000"/>
                <w:kern w:val="0"/>
                <w:sz w:val="20"/>
                <w:szCs w:val="20"/>
                <w:lang w:eastAsia="zh-CN"/>
              </w:rPr>
            </w:pPr>
            <w:r>
              <w:rPr>
                <w:rFonts w:hint="eastAsia" w:ascii="宋体" w:hAnsi="宋体" w:cs="宋体"/>
                <w:color w:val="000000"/>
                <w:kern w:val="0"/>
                <w:sz w:val="20"/>
                <w:szCs w:val="20"/>
              </w:rPr>
              <w:t>3. 具有支持上级平台通过IP网络对本机实时数据、状态回传至数字应急广播平台管理软件功能。</w:t>
            </w:r>
          </w:p>
          <w:p>
            <w:pPr>
              <w:widowControl/>
              <w:jc w:val="left"/>
              <w:rPr>
                <w:rFonts w:hint="eastAsia" w:ascii="宋体" w:hAnsi="宋体" w:eastAsia="宋体" w:cs="宋体"/>
                <w:color w:val="000000"/>
                <w:kern w:val="0"/>
                <w:sz w:val="20"/>
                <w:szCs w:val="20"/>
                <w:lang w:eastAsia="zh-CN"/>
              </w:rPr>
            </w:pPr>
            <w:r>
              <w:rPr>
                <w:rFonts w:hint="eastAsia" w:ascii="宋体" w:hAnsi="宋体" w:cs="宋体"/>
                <w:color w:val="000000"/>
                <w:kern w:val="0"/>
                <w:sz w:val="20"/>
                <w:szCs w:val="20"/>
              </w:rPr>
              <w:t>4. 支持平台对本机地图定位、状态显示功能。</w:t>
            </w:r>
          </w:p>
          <w:p>
            <w:pPr>
              <w:widowControl/>
              <w:jc w:val="left"/>
              <w:rPr>
                <w:rFonts w:hint="eastAsia" w:ascii="宋体" w:hAnsi="宋体" w:eastAsia="宋体" w:cs="宋体"/>
                <w:color w:val="000000"/>
                <w:kern w:val="0"/>
                <w:sz w:val="20"/>
                <w:szCs w:val="20"/>
                <w:lang w:eastAsia="zh-CN"/>
              </w:rPr>
            </w:pPr>
            <w:r>
              <w:rPr>
                <w:rFonts w:hint="eastAsia" w:ascii="宋体" w:hAnsi="宋体" w:cs="宋体"/>
                <w:color w:val="000000"/>
                <w:kern w:val="0"/>
                <w:sz w:val="20"/>
                <w:szCs w:val="20"/>
              </w:rPr>
              <w:t>5. 支持平台对本机分区、分组、定点广播功能。</w:t>
            </w:r>
          </w:p>
          <w:p>
            <w:pPr>
              <w:widowControl/>
              <w:jc w:val="left"/>
              <w:rPr>
                <w:rFonts w:hint="eastAsia" w:ascii="宋体" w:hAnsi="宋体" w:eastAsia="宋体" w:cs="宋体"/>
                <w:color w:val="000000"/>
                <w:kern w:val="0"/>
                <w:sz w:val="20"/>
                <w:szCs w:val="20"/>
                <w:lang w:eastAsia="zh-CN"/>
              </w:rPr>
            </w:pPr>
            <w:r>
              <w:rPr>
                <w:rFonts w:hint="eastAsia" w:ascii="宋体" w:hAnsi="宋体" w:cs="宋体"/>
                <w:color w:val="000000"/>
                <w:kern w:val="0"/>
                <w:sz w:val="20"/>
                <w:szCs w:val="20"/>
              </w:rPr>
              <w:t>6. 具有接收平台下发的RDS流控制指令和安全指令以及音频功能，RDS具有多频率优先功能。</w:t>
            </w:r>
          </w:p>
          <w:p>
            <w:pPr>
              <w:widowControl/>
              <w:jc w:val="left"/>
              <w:rPr>
                <w:rFonts w:hint="eastAsia" w:ascii="宋体" w:hAnsi="宋体" w:eastAsia="宋体" w:cs="宋体"/>
                <w:color w:val="000000"/>
                <w:kern w:val="0"/>
                <w:sz w:val="20"/>
                <w:szCs w:val="20"/>
                <w:lang w:eastAsia="zh-CN"/>
              </w:rPr>
            </w:pPr>
            <w:r>
              <w:rPr>
                <w:rFonts w:hint="eastAsia" w:ascii="宋体" w:hAnsi="宋体" w:cs="宋体"/>
                <w:color w:val="000000"/>
                <w:kern w:val="0"/>
                <w:sz w:val="20"/>
                <w:szCs w:val="20"/>
              </w:rPr>
              <w:t>7. 具有接收平台下发的TS流控制指令和安全指令以及音频功能。</w:t>
            </w:r>
          </w:p>
          <w:p>
            <w:pPr>
              <w:widowControl/>
              <w:jc w:val="left"/>
              <w:rPr>
                <w:rFonts w:hint="eastAsia" w:ascii="宋体" w:hAnsi="宋体" w:eastAsia="宋体" w:cs="宋体"/>
                <w:color w:val="000000"/>
                <w:kern w:val="0"/>
                <w:sz w:val="20"/>
                <w:szCs w:val="20"/>
                <w:lang w:eastAsia="zh-CN"/>
              </w:rPr>
            </w:pPr>
            <w:r>
              <w:rPr>
                <w:rFonts w:hint="eastAsia" w:ascii="宋体" w:hAnsi="宋体" w:cs="宋体"/>
                <w:color w:val="000000"/>
                <w:kern w:val="0"/>
                <w:sz w:val="20"/>
                <w:szCs w:val="20"/>
              </w:rPr>
              <w:t>8. 具有接收平台下发的IP流控制指令和安全指令以及音频功能。</w:t>
            </w:r>
          </w:p>
          <w:p>
            <w:pPr>
              <w:widowControl/>
              <w:jc w:val="left"/>
              <w:rPr>
                <w:rFonts w:hint="eastAsia" w:ascii="宋体" w:hAnsi="宋体" w:eastAsia="宋体" w:cs="宋体"/>
                <w:color w:val="000000"/>
                <w:kern w:val="0"/>
                <w:sz w:val="20"/>
                <w:szCs w:val="20"/>
                <w:lang w:eastAsia="zh-CN"/>
              </w:rPr>
            </w:pPr>
            <w:r>
              <w:rPr>
                <w:rFonts w:hint="eastAsia" w:ascii="宋体" w:hAnsi="宋体" w:cs="宋体"/>
                <w:color w:val="000000"/>
                <w:kern w:val="0"/>
                <w:sz w:val="20"/>
                <w:szCs w:val="20"/>
              </w:rPr>
              <w:t>9. 具有支持平台对本机频率、音量、开关机、逻辑地址、电池电量等参数设置和查询功能。</w:t>
            </w:r>
          </w:p>
          <w:p>
            <w:pPr>
              <w:widowControl/>
              <w:jc w:val="left"/>
              <w:rPr>
                <w:rFonts w:hint="eastAsia" w:ascii="宋体" w:hAnsi="宋体" w:eastAsia="宋体" w:cs="宋体"/>
                <w:color w:val="000000"/>
                <w:kern w:val="0"/>
                <w:sz w:val="20"/>
                <w:szCs w:val="20"/>
                <w:lang w:eastAsia="zh-CN"/>
              </w:rPr>
            </w:pPr>
            <w:r>
              <w:rPr>
                <w:rFonts w:hint="eastAsia" w:ascii="宋体" w:hAnsi="宋体" w:cs="宋体"/>
                <w:color w:val="000000"/>
                <w:kern w:val="0"/>
                <w:sz w:val="20"/>
                <w:szCs w:val="20"/>
              </w:rPr>
              <w:t>10. 具有支持平台对本机进行远程升级功能。</w:t>
            </w:r>
          </w:p>
          <w:p>
            <w:pPr>
              <w:widowControl/>
              <w:jc w:val="left"/>
              <w:rPr>
                <w:rFonts w:hint="eastAsia" w:ascii="宋体" w:hAnsi="宋体" w:eastAsia="宋体" w:cs="宋体"/>
                <w:color w:val="000000"/>
                <w:kern w:val="0"/>
                <w:sz w:val="20"/>
                <w:szCs w:val="20"/>
                <w:lang w:eastAsia="zh-CN"/>
              </w:rPr>
            </w:pPr>
            <w:r>
              <w:rPr>
                <w:rFonts w:hint="eastAsia" w:ascii="宋体" w:hAnsi="宋体" w:cs="宋体"/>
                <w:color w:val="000000"/>
                <w:kern w:val="0"/>
                <w:sz w:val="20"/>
                <w:szCs w:val="20"/>
              </w:rPr>
              <w:t>11. 具有本机故障检测功能，支持平台对本机故障状态回传与统计。</w:t>
            </w:r>
          </w:p>
          <w:p>
            <w:pPr>
              <w:widowControl/>
              <w:jc w:val="left"/>
              <w:rPr>
                <w:rFonts w:hint="eastAsia" w:ascii="宋体" w:hAnsi="宋体" w:eastAsia="宋体" w:cs="宋体"/>
                <w:color w:val="000000"/>
                <w:kern w:val="0"/>
                <w:sz w:val="20"/>
                <w:szCs w:val="20"/>
                <w:lang w:eastAsia="zh-CN"/>
              </w:rPr>
            </w:pPr>
            <w:r>
              <w:rPr>
                <w:rFonts w:hint="eastAsia" w:ascii="宋体" w:hAnsi="宋体" w:cs="宋体"/>
                <w:color w:val="000000"/>
                <w:kern w:val="0"/>
                <w:sz w:val="20"/>
                <w:szCs w:val="20"/>
              </w:rPr>
              <w:t>12. 具有本机自动识别上级信源优先级别的功能，能设置上级信源优先级别。</w:t>
            </w:r>
          </w:p>
          <w:p>
            <w:pPr>
              <w:widowControl/>
              <w:jc w:val="left"/>
              <w:rPr>
                <w:rFonts w:ascii="宋体" w:hAnsi="宋体" w:cs="宋体"/>
                <w:color w:val="000000"/>
                <w:kern w:val="0"/>
                <w:sz w:val="20"/>
                <w:szCs w:val="20"/>
              </w:rPr>
            </w:pPr>
            <w:r>
              <w:rPr>
                <w:rFonts w:hint="eastAsia" w:ascii="宋体" w:hAnsi="宋体" w:cs="宋体"/>
                <w:color w:val="000000"/>
                <w:kern w:val="0"/>
                <w:sz w:val="20"/>
                <w:szCs w:val="20"/>
              </w:rPr>
              <w:t>13. 具有本地软件程序升级功能。</w:t>
            </w:r>
          </w:p>
        </w:tc>
        <w:tc>
          <w:tcPr>
            <w:tcW w:w="893" w:type="dxa"/>
            <w:vAlign w:val="center"/>
          </w:tcPr>
          <w:p>
            <w:pPr>
              <w:jc w:val="center"/>
            </w:pPr>
            <w:r>
              <w:rPr>
                <w:rFonts w:hint="eastAsia"/>
              </w:rPr>
              <w:t>台</w:t>
            </w:r>
          </w:p>
        </w:tc>
        <w:tc>
          <w:tcPr>
            <w:tcW w:w="893" w:type="dxa"/>
            <w:vAlign w:val="center"/>
          </w:tcPr>
          <w:p>
            <w:pPr>
              <w:ind w:right="-42" w:rightChars="-20"/>
              <w:jc w:val="center"/>
              <w:rPr>
                <w:rFonts w:ascii="宋体" w:hAnsi="宋体" w:cs="宋体"/>
                <w:color w:val="000000"/>
                <w:kern w:val="0"/>
                <w:sz w:val="20"/>
                <w:szCs w:val="20"/>
              </w:rPr>
            </w:pPr>
            <w:r>
              <w:rPr>
                <w:rFonts w:hint="eastAsia" w:ascii="宋体" w:hAnsi="宋体" w:cs="宋体"/>
                <w:color w:val="000000"/>
                <w:kern w:val="0"/>
                <w:sz w:val="20"/>
                <w:szCs w:val="20"/>
              </w:rPr>
              <w:t>100</w:t>
            </w:r>
          </w:p>
        </w:tc>
      </w:tr>
    </w:tbl>
    <w:p>
      <w:pPr>
        <w:pStyle w:val="59"/>
        <w:spacing w:line="360" w:lineRule="auto"/>
        <w:ind w:firstLine="0" w:firstLineChars="0"/>
        <w:rPr>
          <w:rFonts w:ascii="宋体" w:hAnsi="宋体" w:cs="宋体"/>
          <w:b/>
          <w:bCs/>
          <w:szCs w:val="21"/>
        </w:rPr>
      </w:pPr>
      <w:r>
        <w:rPr>
          <w:rFonts w:hint="eastAsia" w:ascii="宋体" w:hAnsi="宋体" w:cs="宋体"/>
          <w:b/>
          <w:bCs/>
          <w:szCs w:val="21"/>
        </w:rPr>
        <w:t>1.采购文件中的设备参数响应供应商如有任何一条未响应或不满足，按无效响应处理。</w:t>
      </w:r>
    </w:p>
    <w:p>
      <w:pPr>
        <w:pStyle w:val="59"/>
        <w:spacing w:line="360" w:lineRule="auto"/>
        <w:ind w:firstLine="0" w:firstLineChars="0"/>
        <w:rPr>
          <w:rFonts w:ascii="宋体" w:hAnsi="宋体" w:cs="宋体"/>
          <w:b/>
          <w:bCs/>
          <w:szCs w:val="21"/>
        </w:rPr>
      </w:pPr>
      <w:r>
        <w:rPr>
          <w:rFonts w:hint="eastAsia" w:ascii="宋体" w:hAnsi="宋体" w:cs="宋体"/>
          <w:b/>
          <w:bCs/>
          <w:szCs w:val="21"/>
        </w:rPr>
        <w:t>2.在未获采购方事先书面同意的情况下，成交供应商不得将服务的任何部分或全部进行转包或分包。</w:t>
      </w:r>
    </w:p>
    <w:p>
      <w:pPr>
        <w:pStyle w:val="59"/>
        <w:numPr>
          <w:ilvl w:val="0"/>
          <w:numId w:val="12"/>
        </w:numPr>
        <w:spacing w:line="360" w:lineRule="auto"/>
        <w:ind w:firstLineChars="0"/>
        <w:rPr>
          <w:rFonts w:ascii="宋体" w:hAnsi="宋体" w:cs="宋体"/>
          <w:b/>
          <w:bCs/>
          <w:szCs w:val="21"/>
        </w:rPr>
      </w:pPr>
      <w:r>
        <w:rPr>
          <w:rFonts w:hint="eastAsia" w:ascii="宋体" w:hAnsi="宋体" w:cs="宋体"/>
          <w:b/>
          <w:bCs/>
          <w:szCs w:val="21"/>
        </w:rPr>
        <w:t>商务要求</w:t>
      </w:r>
    </w:p>
    <w:p>
      <w:pPr>
        <w:pStyle w:val="59"/>
        <w:numPr>
          <w:ilvl w:val="0"/>
          <w:numId w:val="13"/>
        </w:numPr>
        <w:spacing w:line="360" w:lineRule="auto"/>
        <w:ind w:firstLineChars="0"/>
        <w:rPr>
          <w:rFonts w:ascii="宋体" w:hAnsi="宋体" w:cs="宋体"/>
          <w:b/>
          <w:kern w:val="0"/>
          <w:szCs w:val="21"/>
        </w:rPr>
      </w:pPr>
      <w:r>
        <w:rPr>
          <w:rFonts w:hint="eastAsia" w:ascii="宋体" w:hAnsi="宋体" w:cs="宋体"/>
          <w:b/>
          <w:kern w:val="0"/>
          <w:szCs w:val="21"/>
        </w:rPr>
        <w:t>报价要求</w:t>
      </w:r>
    </w:p>
    <w:p>
      <w:pPr>
        <w:pStyle w:val="59"/>
        <w:numPr>
          <w:ilvl w:val="0"/>
          <w:numId w:val="14"/>
        </w:numPr>
        <w:spacing w:line="360" w:lineRule="auto"/>
        <w:ind w:firstLineChars="0"/>
        <w:rPr>
          <w:rFonts w:ascii="宋体" w:hAnsi="宋体" w:cs="宋体"/>
          <w:b/>
          <w:kern w:val="0"/>
          <w:szCs w:val="21"/>
        </w:rPr>
      </w:pPr>
      <w:r>
        <w:rPr>
          <w:rFonts w:hint="eastAsia" w:ascii="宋体" w:hAnsi="宋体" w:cs="宋体"/>
          <w:szCs w:val="21"/>
        </w:rPr>
        <w:t>报价中必须包含货物成本、运输、装卸、保险、质保期售后服务、全额增值税专用发票、雇员费用、合同实施过程中应预见的费用等。采购人不再支付任何其它费用。</w:t>
      </w:r>
    </w:p>
    <w:p>
      <w:pPr>
        <w:pStyle w:val="59"/>
        <w:numPr>
          <w:ilvl w:val="0"/>
          <w:numId w:val="14"/>
        </w:numPr>
        <w:tabs>
          <w:tab w:val="left" w:pos="709"/>
        </w:tabs>
        <w:spacing w:line="360" w:lineRule="auto"/>
        <w:ind w:right="-57" w:rightChars="-27" w:firstLineChars="0"/>
        <w:rPr>
          <w:rFonts w:ascii="宋体" w:hAnsi="宋体" w:cs="宋体"/>
          <w:szCs w:val="21"/>
        </w:rPr>
      </w:pPr>
      <w:r>
        <w:rPr>
          <w:rFonts w:hint="eastAsia" w:ascii="宋体" w:hAnsi="宋体" w:cs="宋体"/>
          <w:szCs w:val="21"/>
        </w:rPr>
        <w:t>报价应按采购内容清单和有关要求进行报价。本采购文件中没有列出但实际在实施本项目过程中必须的设备、材料或其他工程，供应商在报价文件中必须列出，并且供应商对项目内容不允许漏项，成交供应商不得向采购人收取任何额外费用。</w:t>
      </w:r>
    </w:p>
    <w:p>
      <w:pPr>
        <w:pStyle w:val="59"/>
        <w:numPr>
          <w:ilvl w:val="0"/>
          <w:numId w:val="14"/>
        </w:numPr>
        <w:tabs>
          <w:tab w:val="left" w:pos="709"/>
        </w:tabs>
        <w:spacing w:line="360" w:lineRule="auto"/>
        <w:ind w:right="-57" w:rightChars="-27" w:firstLineChars="0"/>
        <w:rPr>
          <w:rFonts w:ascii="宋体" w:hAnsi="宋体" w:cs="宋体"/>
          <w:szCs w:val="21"/>
        </w:rPr>
      </w:pPr>
      <w:r>
        <w:rPr>
          <w:rFonts w:hint="eastAsia" w:ascii="宋体" w:hAnsi="宋体" w:cs="宋体"/>
          <w:szCs w:val="21"/>
        </w:rPr>
        <w:t>报价应按采购内容清单和有关要求进行报价。成交人不得向采购人收取任何额外费用。</w:t>
      </w:r>
    </w:p>
    <w:p>
      <w:pPr>
        <w:pStyle w:val="59"/>
        <w:numPr>
          <w:ilvl w:val="0"/>
          <w:numId w:val="14"/>
        </w:numPr>
        <w:spacing w:line="360" w:lineRule="auto"/>
        <w:ind w:right="-57" w:rightChars="-27" w:firstLineChars="0"/>
        <w:rPr>
          <w:rFonts w:ascii="宋体" w:hAnsi="宋体" w:cs="宋体"/>
          <w:szCs w:val="21"/>
        </w:rPr>
      </w:pPr>
      <w:r>
        <w:rPr>
          <w:rFonts w:hint="eastAsia" w:ascii="宋体" w:hAnsi="宋体" w:cs="宋体"/>
          <w:szCs w:val="21"/>
        </w:rPr>
        <w:t>报价人的报价要合理，不得偏离市场行情或者低于市场成本，不能恶意报价。</w:t>
      </w:r>
    </w:p>
    <w:p>
      <w:pPr>
        <w:pStyle w:val="59"/>
        <w:numPr>
          <w:ilvl w:val="0"/>
          <w:numId w:val="14"/>
        </w:numPr>
        <w:spacing w:line="360" w:lineRule="auto"/>
        <w:ind w:right="-57" w:rightChars="-27" w:firstLineChars="0"/>
        <w:rPr>
          <w:rFonts w:ascii="宋体" w:hAnsi="宋体" w:cs="宋体"/>
          <w:szCs w:val="21"/>
        </w:rPr>
      </w:pPr>
      <w:r>
        <w:rPr>
          <w:rFonts w:hint="eastAsia" w:ascii="宋体" w:hAnsi="宋体" w:cs="宋体"/>
          <w:szCs w:val="21"/>
        </w:rPr>
        <w:t>供应商应具有相应的技术服务能力，以满足资格要求及特殊条件，并提供相应的资质或证明文件。</w:t>
      </w:r>
    </w:p>
    <w:p>
      <w:pPr>
        <w:pStyle w:val="59"/>
        <w:numPr>
          <w:ilvl w:val="0"/>
          <w:numId w:val="13"/>
        </w:numPr>
        <w:tabs>
          <w:tab w:val="left" w:pos="709"/>
        </w:tabs>
        <w:spacing w:line="360" w:lineRule="auto"/>
        <w:ind w:right="-57" w:rightChars="-27" w:firstLineChars="0"/>
        <w:rPr>
          <w:rFonts w:ascii="宋体" w:hAnsi="宋体" w:cs="宋体"/>
          <w:b/>
          <w:kern w:val="0"/>
          <w:szCs w:val="21"/>
        </w:rPr>
      </w:pPr>
      <w:r>
        <w:rPr>
          <w:rFonts w:hint="eastAsia" w:ascii="宋体" w:hAnsi="宋体" w:cs="宋体"/>
          <w:b/>
          <w:kern w:val="0"/>
          <w:szCs w:val="21"/>
        </w:rPr>
        <w:t>供货要求</w:t>
      </w:r>
    </w:p>
    <w:p>
      <w:pPr>
        <w:numPr>
          <w:ilvl w:val="0"/>
          <w:numId w:val="0"/>
        </w:numPr>
        <w:spacing w:line="360" w:lineRule="auto"/>
        <w:ind w:left="425" w:hanging="425"/>
        <w:jc w:val="left"/>
        <w:rPr>
          <w:rFonts w:ascii="宋体" w:hAnsi="宋体" w:cs="宋体"/>
          <w:szCs w:val="21"/>
        </w:rPr>
      </w:pPr>
      <w:r>
        <w:rPr>
          <w:rFonts w:hint="default" w:ascii="宋体" w:hAnsi="宋体" w:eastAsia="宋体" w:cs="宋体"/>
          <w:kern w:val="2"/>
          <w:sz w:val="21"/>
          <w:szCs w:val="21"/>
          <w:lang w:val="en-US" w:eastAsia="zh-CN" w:bidi="ar-SA"/>
        </w:rPr>
        <w:t>1.</w:t>
      </w:r>
      <w:r>
        <w:rPr>
          <w:rFonts w:hint="eastAsia" w:ascii="宋体" w:hAnsi="宋体" w:cs="宋体"/>
          <w:szCs w:val="21"/>
        </w:rPr>
        <w:t>设备安装后出现同一问题（非人为）质保期需达到半年以上。</w:t>
      </w:r>
    </w:p>
    <w:p>
      <w:pPr>
        <w:pStyle w:val="59"/>
        <w:numPr>
          <w:ilvl w:val="0"/>
          <w:numId w:val="0"/>
        </w:numPr>
        <w:adjustRightInd w:val="0"/>
        <w:snapToGrid w:val="0"/>
        <w:spacing w:line="360" w:lineRule="auto"/>
        <w:ind w:left="425" w:hanging="425" w:firstLineChars="0"/>
        <w:rPr>
          <w:rFonts w:ascii="宋体" w:hAnsi="宋体" w:cs="宋体"/>
          <w:kern w:val="0"/>
          <w:szCs w:val="21"/>
        </w:rPr>
      </w:pPr>
      <w:r>
        <w:rPr>
          <w:rFonts w:hint="default" w:ascii="宋体" w:hAnsi="宋体" w:eastAsia="宋体" w:cs="宋体"/>
          <w:kern w:val="0"/>
          <w:sz w:val="21"/>
          <w:szCs w:val="21"/>
          <w:lang w:val="en-US" w:eastAsia="zh-CN" w:bidi="ar-SA"/>
        </w:rPr>
        <w:t>2.</w:t>
      </w:r>
      <w:r>
        <w:rPr>
          <w:rFonts w:hint="eastAsia" w:ascii="宋体" w:hAnsi="宋体" w:cs="宋体"/>
          <w:kern w:val="0"/>
          <w:szCs w:val="21"/>
        </w:rPr>
        <w:t>所提供的设备须与</w:t>
      </w:r>
      <w:r>
        <w:rPr>
          <w:rFonts w:hint="eastAsia" w:ascii="宋体" w:hAnsi="宋体" w:cs="宋体"/>
          <w:szCs w:val="21"/>
        </w:rPr>
        <w:t>成交人</w:t>
      </w:r>
      <w:r>
        <w:rPr>
          <w:rFonts w:hint="eastAsia" w:ascii="宋体" w:hAnsi="宋体" w:cs="宋体"/>
          <w:kern w:val="0"/>
          <w:szCs w:val="21"/>
        </w:rPr>
        <w:t>竞价文件响应的品牌、规格、产地和厂家相符，且符合国家或行业标准，若不相符，</w:t>
      </w:r>
      <w:r>
        <w:rPr>
          <w:rFonts w:hint="eastAsia" w:ascii="宋体" w:hAnsi="宋体" w:cs="宋体"/>
          <w:szCs w:val="21"/>
        </w:rPr>
        <w:t>成交人</w:t>
      </w:r>
      <w:r>
        <w:rPr>
          <w:rFonts w:hint="eastAsia" w:ascii="宋体" w:hAnsi="宋体" w:cs="宋体"/>
          <w:kern w:val="0"/>
          <w:szCs w:val="21"/>
        </w:rPr>
        <w:t>须无条件退换，损失由成交人承担。</w:t>
      </w:r>
    </w:p>
    <w:p>
      <w:pPr>
        <w:pStyle w:val="59"/>
        <w:numPr>
          <w:ilvl w:val="0"/>
          <w:numId w:val="0"/>
        </w:numPr>
        <w:adjustRightInd w:val="0"/>
        <w:snapToGrid w:val="0"/>
        <w:spacing w:line="360" w:lineRule="auto"/>
        <w:ind w:left="425" w:hanging="425" w:firstLineChars="0"/>
        <w:rPr>
          <w:rFonts w:ascii="宋体" w:hAnsi="宋体" w:cs="宋体"/>
          <w:kern w:val="0"/>
          <w:szCs w:val="21"/>
        </w:rPr>
      </w:pPr>
      <w:r>
        <w:rPr>
          <w:rFonts w:hint="default" w:ascii="宋体" w:hAnsi="宋体" w:eastAsia="宋体" w:cs="宋体"/>
          <w:kern w:val="0"/>
          <w:sz w:val="21"/>
          <w:szCs w:val="21"/>
          <w:lang w:val="en-US" w:eastAsia="zh-CN" w:bidi="ar-SA"/>
        </w:rPr>
        <w:t>3.</w:t>
      </w:r>
      <w:r>
        <w:rPr>
          <w:rFonts w:hint="eastAsia" w:ascii="宋体" w:hAnsi="宋体" w:cs="宋体"/>
          <w:szCs w:val="21"/>
        </w:rPr>
        <w:t>成交人应保证所提供的设备是全新、未使用过的，并完全符合采购人规定的质量、规格和性能的要求。</w:t>
      </w:r>
    </w:p>
    <w:p>
      <w:pPr>
        <w:pStyle w:val="59"/>
        <w:numPr>
          <w:ilvl w:val="0"/>
          <w:numId w:val="0"/>
        </w:numPr>
        <w:adjustRightInd w:val="0"/>
        <w:snapToGrid w:val="0"/>
        <w:spacing w:line="360" w:lineRule="auto"/>
        <w:ind w:left="425" w:hanging="425" w:firstLineChars="0"/>
        <w:rPr>
          <w:rFonts w:hint="eastAsia" w:ascii="宋体" w:hAnsi="宋体" w:cs="宋体"/>
          <w:kern w:val="0"/>
          <w:szCs w:val="21"/>
          <w:highlight w:val="none"/>
        </w:rPr>
      </w:pPr>
      <w:r>
        <w:rPr>
          <w:rFonts w:hint="default" w:ascii="宋体" w:hAnsi="宋体" w:eastAsia="宋体" w:cs="宋体"/>
          <w:kern w:val="0"/>
          <w:sz w:val="21"/>
          <w:szCs w:val="21"/>
          <w:lang w:val="en-US" w:eastAsia="zh-CN" w:bidi="ar-SA"/>
        </w:rPr>
        <w:t>4</w:t>
      </w:r>
      <w:r>
        <w:rPr>
          <w:rFonts w:hint="default" w:ascii="宋体" w:hAnsi="宋体" w:eastAsia="宋体" w:cs="宋体"/>
          <w:kern w:val="0"/>
          <w:sz w:val="21"/>
          <w:szCs w:val="21"/>
          <w:highlight w:val="none"/>
          <w:lang w:val="en-US" w:eastAsia="zh-CN" w:bidi="ar-SA"/>
        </w:rPr>
        <w:t>.</w:t>
      </w:r>
      <w:r>
        <w:rPr>
          <w:rFonts w:hint="eastAsia" w:ascii="宋体" w:hAnsi="宋体" w:cs="宋体"/>
          <w:kern w:val="0"/>
          <w:szCs w:val="21"/>
          <w:highlight w:val="none"/>
        </w:rPr>
        <w:t>现有应急广播系统平台软件厂家是成都康特电子高新科技有限责任公司，成交供应商设备必须完成与现有应急广播系统平台软件和设备适配</w:t>
      </w:r>
      <w:r>
        <w:rPr>
          <w:rFonts w:hint="eastAsia" w:ascii="宋体" w:hAnsi="宋体" w:cs="宋体"/>
          <w:kern w:val="0"/>
          <w:szCs w:val="21"/>
          <w:highlight w:val="none"/>
          <w:lang w:eastAsia="zh-CN"/>
        </w:rPr>
        <w:t>，</w:t>
      </w:r>
      <w:r>
        <w:rPr>
          <w:rFonts w:hint="eastAsia" w:ascii="宋体" w:hAnsi="宋体" w:cs="宋体"/>
          <w:kern w:val="0"/>
          <w:szCs w:val="21"/>
          <w:highlight w:val="none"/>
          <w:lang w:val="en-US" w:eastAsia="zh-CN"/>
        </w:rPr>
        <w:t>且必须提供已经完成适配的承诺函</w:t>
      </w:r>
      <w:r>
        <w:rPr>
          <w:rFonts w:hint="eastAsia" w:ascii="宋体" w:hAnsi="宋体" w:cs="宋体"/>
          <w:kern w:val="0"/>
          <w:szCs w:val="21"/>
          <w:highlight w:val="none"/>
        </w:rPr>
        <w:t>。</w:t>
      </w:r>
      <w:r>
        <w:rPr>
          <w:rFonts w:hint="eastAsia" w:ascii="宋体" w:hAnsi="宋体" w:eastAsia="宋体" w:cs="宋体"/>
          <w:b/>
          <w:bCs/>
          <w:kern w:val="0"/>
          <w:szCs w:val="21"/>
          <w:highlight w:val="none"/>
          <w:lang w:eastAsia="zh-CN"/>
        </w:rPr>
        <w:t>（</w:t>
      </w:r>
      <w:r>
        <w:rPr>
          <w:rFonts w:hint="eastAsia" w:ascii="宋体" w:hAnsi="宋体" w:eastAsia="宋体" w:cs="宋体"/>
          <w:b/>
          <w:bCs/>
          <w:kern w:val="0"/>
          <w:szCs w:val="21"/>
          <w:highlight w:val="none"/>
          <w:lang w:val="en-US" w:eastAsia="zh-CN"/>
        </w:rPr>
        <w:t>此条款为强制条款，若不满足此条款，则本次竞标无效）</w:t>
      </w:r>
    </w:p>
    <w:p>
      <w:pPr>
        <w:pStyle w:val="59"/>
        <w:numPr>
          <w:ilvl w:val="0"/>
          <w:numId w:val="0"/>
        </w:numPr>
        <w:adjustRightInd w:val="0"/>
        <w:snapToGrid w:val="0"/>
        <w:spacing w:line="360" w:lineRule="auto"/>
        <w:ind w:left="425" w:hanging="425" w:firstLineChars="0"/>
        <w:rPr>
          <w:rFonts w:hint="eastAsia" w:ascii="宋体" w:hAnsi="宋体" w:cs="宋体"/>
          <w:kern w:val="0"/>
          <w:szCs w:val="21"/>
          <w:highlight w:val="none"/>
        </w:rPr>
      </w:pPr>
      <w:r>
        <w:rPr>
          <w:rFonts w:hint="eastAsia" w:ascii="宋体" w:hAnsi="宋体" w:eastAsia="宋体" w:cs="宋体"/>
          <w:kern w:val="0"/>
          <w:sz w:val="21"/>
          <w:szCs w:val="21"/>
          <w:highlight w:val="none"/>
          <w:lang w:val="en-US" w:eastAsia="zh-CN" w:bidi="ar-SA"/>
        </w:rPr>
        <w:t>5</w:t>
      </w:r>
      <w:r>
        <w:rPr>
          <w:rFonts w:hint="eastAsia" w:ascii="宋体" w:hAnsi="宋体" w:cs="宋体"/>
          <w:kern w:val="0"/>
          <w:sz w:val="21"/>
          <w:szCs w:val="21"/>
          <w:highlight w:val="none"/>
          <w:lang w:val="en-US" w:eastAsia="zh-CN" w:bidi="ar-SA"/>
        </w:rPr>
        <w:t>.</w:t>
      </w:r>
      <w:r>
        <w:rPr>
          <w:rFonts w:hint="eastAsia" w:ascii="宋体" w:hAnsi="宋体" w:cs="宋体"/>
          <w:kern w:val="0"/>
          <w:szCs w:val="21"/>
          <w:highlight w:val="none"/>
          <w:lang w:val="en-US" w:eastAsia="zh-CN"/>
        </w:rPr>
        <w:t>供货设备</w:t>
      </w:r>
      <w:r>
        <w:rPr>
          <w:rFonts w:hint="eastAsia" w:ascii="宋体" w:hAnsi="宋体" w:cs="宋体"/>
          <w:kern w:val="0"/>
          <w:szCs w:val="21"/>
          <w:highlight w:val="none"/>
        </w:rPr>
        <w:t>应符合国家广播电视总局发布的《应急广播大喇叭系统技术要求和测量方法》行业标准要求，具备国家广电总局广播电视科学研究院广播电视检测中心或广播电视规划院广播电视计量检测中心出具的《多模收扩机》检测报告（须提供检测报告扫描件，报告结果需显示合格等相关结论）。</w:t>
      </w:r>
    </w:p>
    <w:p>
      <w:pPr>
        <w:pStyle w:val="59"/>
        <w:numPr>
          <w:ilvl w:val="0"/>
          <w:numId w:val="0"/>
        </w:numPr>
        <w:adjustRightInd w:val="0"/>
        <w:snapToGrid w:val="0"/>
        <w:spacing w:line="360" w:lineRule="auto"/>
        <w:ind w:left="425" w:hanging="425" w:firstLineChars="0"/>
        <w:rPr>
          <w:rFonts w:ascii="宋体" w:hAnsi="宋体" w:cs="宋体"/>
          <w:kern w:val="0"/>
          <w:szCs w:val="21"/>
        </w:rPr>
      </w:pPr>
      <w:r>
        <w:rPr>
          <w:rFonts w:hint="eastAsia" w:ascii="宋体" w:hAnsi="宋体" w:cs="宋体"/>
          <w:kern w:val="0"/>
          <w:sz w:val="21"/>
          <w:szCs w:val="21"/>
          <w:lang w:val="en-US" w:eastAsia="zh-CN" w:bidi="ar-SA"/>
        </w:rPr>
        <w:t>6</w:t>
      </w:r>
      <w:r>
        <w:rPr>
          <w:rFonts w:hint="default" w:ascii="宋体" w:hAnsi="宋体" w:eastAsia="宋体" w:cs="宋体"/>
          <w:kern w:val="0"/>
          <w:sz w:val="21"/>
          <w:szCs w:val="21"/>
          <w:lang w:val="en-US" w:eastAsia="zh-CN" w:bidi="ar-SA"/>
        </w:rPr>
        <w:t>.</w:t>
      </w:r>
      <w:r>
        <w:rPr>
          <w:rFonts w:hint="eastAsia" w:ascii="宋体" w:hAnsi="宋体" w:cs="宋体"/>
          <w:kern w:val="0"/>
          <w:szCs w:val="21"/>
        </w:rPr>
        <w:t>本次按照报价的高低对成交人进行排名，第一名为本项目的首选合作单位。采购人将根据采购结果和相关流程，与首选合作单位签订项目合作实施协议。如在实施过程中合作单位在收到采购人订单后，无法在规定时间内完成，采购人有权无条件终止合作协议，增补第二名合作单位作为本项目的合作单位。如果第二名也不满足要求则增补第三名合作单位作为本项目的合作单位。以此类推。</w:t>
      </w:r>
    </w:p>
    <w:p>
      <w:pPr>
        <w:pStyle w:val="59"/>
        <w:numPr>
          <w:ilvl w:val="0"/>
          <w:numId w:val="13"/>
        </w:numPr>
        <w:tabs>
          <w:tab w:val="left" w:pos="709"/>
        </w:tabs>
        <w:spacing w:line="360" w:lineRule="auto"/>
        <w:ind w:right="-57" w:rightChars="-27" w:firstLineChars="0"/>
        <w:rPr>
          <w:rFonts w:ascii="宋体" w:hAnsi="宋体" w:cs="宋体"/>
          <w:b/>
          <w:kern w:val="0"/>
          <w:szCs w:val="21"/>
        </w:rPr>
      </w:pPr>
      <w:r>
        <w:rPr>
          <w:rFonts w:hint="eastAsia" w:ascii="宋体" w:hAnsi="宋体" w:cs="宋体"/>
          <w:b/>
          <w:kern w:val="0"/>
          <w:szCs w:val="21"/>
        </w:rPr>
        <w:t>验收要求</w:t>
      </w:r>
    </w:p>
    <w:p>
      <w:pPr>
        <w:numPr>
          <w:ilvl w:val="0"/>
          <w:numId w:val="15"/>
        </w:numPr>
        <w:spacing w:line="360" w:lineRule="auto"/>
        <w:jc w:val="left"/>
        <w:rPr>
          <w:rFonts w:ascii="宋体" w:hAnsi="宋体" w:cs="宋体"/>
          <w:szCs w:val="21"/>
        </w:rPr>
      </w:pPr>
      <w:r>
        <w:rPr>
          <w:rFonts w:hint="eastAsia" w:ascii="宋体" w:hAnsi="宋体" w:cs="宋体"/>
          <w:szCs w:val="21"/>
        </w:rPr>
        <w:t xml:space="preserve">货物若有国家标准按照国家标准验收，若无国家标准按行业标准验收，为原制造商制造的全新产品，整体表面洁净完好、无划伤、无锈迹、非受过碰撞，在中国境内可依常规安全合法使用，无侵权行为。 </w:t>
      </w:r>
    </w:p>
    <w:p>
      <w:pPr>
        <w:numPr>
          <w:ilvl w:val="0"/>
          <w:numId w:val="15"/>
        </w:numPr>
        <w:spacing w:line="360" w:lineRule="auto"/>
        <w:jc w:val="left"/>
        <w:rPr>
          <w:rFonts w:ascii="宋体" w:hAnsi="宋体" w:cs="宋体"/>
          <w:szCs w:val="21"/>
        </w:rPr>
      </w:pPr>
      <w:r>
        <w:rPr>
          <w:rFonts w:hint="eastAsia" w:ascii="宋体" w:hAnsi="宋体" w:cs="宋体"/>
          <w:szCs w:val="21"/>
        </w:rPr>
        <w:t>货物为原厂商未启封全新包装，具出厂合格证，序列号、包装箱号与出厂批号一致，并可追索查阅。所有随设备的附件必须齐全。</w:t>
      </w:r>
    </w:p>
    <w:p>
      <w:pPr>
        <w:numPr>
          <w:ilvl w:val="0"/>
          <w:numId w:val="15"/>
        </w:numPr>
        <w:spacing w:line="360" w:lineRule="auto"/>
        <w:jc w:val="left"/>
        <w:rPr>
          <w:rFonts w:ascii="宋体" w:hAnsi="宋体" w:cs="宋体"/>
          <w:szCs w:val="21"/>
        </w:rPr>
      </w:pPr>
      <w:r>
        <w:rPr>
          <w:rFonts w:hint="eastAsia" w:ascii="宋体" w:hAnsi="宋体" w:cs="宋体"/>
          <w:szCs w:val="21"/>
        </w:rPr>
        <w:t>成交人应提供包括但不限于满足设备使用和维护的技术文件，如设备和配备件箱清单、保修服务卡、中文用户手册、产品质量合格证书、测试报告等。</w:t>
      </w:r>
    </w:p>
    <w:p>
      <w:pPr>
        <w:numPr>
          <w:ilvl w:val="0"/>
          <w:numId w:val="15"/>
        </w:numPr>
        <w:spacing w:line="360" w:lineRule="auto"/>
        <w:jc w:val="left"/>
        <w:rPr>
          <w:rFonts w:ascii="宋体" w:hAnsi="宋体" w:cs="宋体"/>
          <w:kern w:val="0"/>
          <w:szCs w:val="21"/>
        </w:rPr>
      </w:pPr>
      <w:r>
        <w:rPr>
          <w:rFonts w:hint="eastAsia" w:ascii="宋体" w:hAnsi="宋体" w:cs="宋体"/>
          <w:szCs w:val="21"/>
        </w:rPr>
        <w:t>设备到货后，成交人立刻通知采购人进行验收，验收不合格的由成交人在服务时间内完成整改，无法在服务时间内完成整改的，采购人有权无条件终止合作协议。</w:t>
      </w:r>
    </w:p>
    <w:p>
      <w:pPr>
        <w:pStyle w:val="59"/>
        <w:numPr>
          <w:ilvl w:val="0"/>
          <w:numId w:val="13"/>
        </w:numPr>
        <w:tabs>
          <w:tab w:val="left" w:pos="709"/>
        </w:tabs>
        <w:spacing w:line="360" w:lineRule="auto"/>
        <w:ind w:right="-57" w:rightChars="-27" w:firstLineChars="0"/>
        <w:rPr>
          <w:rFonts w:ascii="宋体" w:hAnsi="宋体" w:cs="宋体"/>
          <w:b/>
          <w:kern w:val="0"/>
          <w:szCs w:val="21"/>
        </w:rPr>
      </w:pPr>
      <w:r>
        <w:rPr>
          <w:rFonts w:hint="eastAsia" w:ascii="宋体" w:hAnsi="宋体" w:cs="宋体"/>
          <w:b/>
          <w:kern w:val="0"/>
          <w:szCs w:val="21"/>
        </w:rPr>
        <w:t>质保期</w:t>
      </w:r>
    </w:p>
    <w:p>
      <w:pPr>
        <w:numPr>
          <w:ilvl w:val="0"/>
          <w:numId w:val="16"/>
        </w:numPr>
        <w:spacing w:line="360" w:lineRule="auto"/>
        <w:jc w:val="left"/>
        <w:rPr>
          <w:rFonts w:ascii="宋体" w:hAnsi="宋体" w:cs="宋体"/>
          <w:szCs w:val="21"/>
        </w:rPr>
      </w:pPr>
      <w:r>
        <w:rPr>
          <w:rFonts w:hint="eastAsia" w:ascii="宋体" w:hAnsi="宋体" w:cs="宋体"/>
          <w:szCs w:val="21"/>
        </w:rPr>
        <w:t>设备验收合格后，质保期为1年，质保内出现故障应免费更换。</w:t>
      </w:r>
    </w:p>
    <w:p>
      <w:pPr>
        <w:numPr>
          <w:ilvl w:val="0"/>
          <w:numId w:val="16"/>
        </w:numPr>
        <w:spacing w:line="360" w:lineRule="auto"/>
        <w:jc w:val="left"/>
        <w:rPr>
          <w:rFonts w:ascii="宋体" w:hAnsi="宋体" w:cs="宋体"/>
          <w:szCs w:val="21"/>
        </w:rPr>
      </w:pPr>
      <w:r>
        <w:rPr>
          <w:rFonts w:hint="eastAsia" w:ascii="宋体" w:hAnsi="宋体" w:cs="宋体"/>
          <w:szCs w:val="21"/>
        </w:rPr>
        <w:t>如质保期内货物质量出现问题，成交供应商须负责提供三包（包修、包换、包退）服务，并赔偿由此造成的一切损失。经两次更换后，如货物质量仍存在问题，采购人有权终止合同并要求成交供应商按货物总价的5%赔偿经济损失，如货物总价5%的赔偿不足以弥补经济损失，成交供应商应追加赔偿不足部分。</w:t>
      </w:r>
    </w:p>
    <w:p>
      <w:pPr>
        <w:numPr>
          <w:ilvl w:val="0"/>
          <w:numId w:val="16"/>
        </w:numPr>
        <w:spacing w:line="360" w:lineRule="auto"/>
        <w:jc w:val="left"/>
        <w:rPr>
          <w:rFonts w:ascii="宋体" w:hAnsi="宋体" w:cs="宋体"/>
          <w:szCs w:val="21"/>
        </w:rPr>
      </w:pPr>
      <w:r>
        <w:rPr>
          <w:rFonts w:hint="eastAsia" w:ascii="宋体" w:hAnsi="宋体" w:cs="宋体"/>
          <w:szCs w:val="21"/>
        </w:rPr>
        <w:t>质保期内，供应商对所供货物实行免费包修、包换、包退、包维护保养，期满后可同时提供终身、有偿维修保养服务。</w:t>
      </w:r>
    </w:p>
    <w:p>
      <w:pPr>
        <w:numPr>
          <w:ilvl w:val="0"/>
          <w:numId w:val="16"/>
        </w:numPr>
        <w:spacing w:line="360" w:lineRule="auto"/>
        <w:jc w:val="left"/>
        <w:rPr>
          <w:rFonts w:ascii="宋体" w:hAnsi="宋体" w:cs="宋体"/>
          <w:kern w:val="0"/>
          <w:szCs w:val="21"/>
        </w:rPr>
      </w:pPr>
      <w:r>
        <w:rPr>
          <w:rFonts w:hint="eastAsia" w:ascii="宋体" w:hAnsi="宋体" w:cs="宋体"/>
          <w:szCs w:val="21"/>
        </w:rPr>
        <w:t>质保期内，如设备或零部件因非人为因素出现故障而造成短期停用时，则质保期和免费维修期相应顺延。</w:t>
      </w:r>
    </w:p>
    <w:p>
      <w:pPr>
        <w:pStyle w:val="59"/>
        <w:numPr>
          <w:ilvl w:val="0"/>
          <w:numId w:val="13"/>
        </w:numPr>
        <w:tabs>
          <w:tab w:val="left" w:pos="709"/>
        </w:tabs>
        <w:spacing w:line="360" w:lineRule="auto"/>
        <w:ind w:right="-57" w:rightChars="-27" w:firstLineChars="0"/>
        <w:rPr>
          <w:rFonts w:ascii="宋体" w:hAnsi="宋体" w:cs="宋体"/>
          <w:b/>
          <w:kern w:val="0"/>
          <w:szCs w:val="21"/>
        </w:rPr>
      </w:pPr>
      <w:r>
        <w:rPr>
          <w:rFonts w:hint="eastAsia" w:ascii="宋体" w:hAnsi="宋体" w:cs="宋体"/>
          <w:b/>
          <w:kern w:val="0"/>
          <w:szCs w:val="21"/>
        </w:rPr>
        <w:t>付款方式</w:t>
      </w:r>
    </w:p>
    <w:p>
      <w:pPr>
        <w:widowControl/>
        <w:numPr>
          <w:ilvl w:val="0"/>
          <w:numId w:val="17"/>
        </w:numPr>
        <w:adjustRightInd w:val="0"/>
        <w:snapToGrid w:val="0"/>
        <w:spacing w:line="360" w:lineRule="auto"/>
        <w:jc w:val="left"/>
        <w:rPr>
          <w:rFonts w:ascii="宋体" w:hAnsi="宋体" w:cs="宋体"/>
          <w:kern w:val="0"/>
          <w:szCs w:val="21"/>
        </w:rPr>
      </w:pPr>
      <w:r>
        <w:rPr>
          <w:rFonts w:hint="eastAsia" w:ascii="宋体" w:hAnsi="宋体" w:cs="宋体"/>
          <w:kern w:val="0"/>
          <w:szCs w:val="21"/>
        </w:rPr>
        <w:t>货物验收合格后，成交人向采购人提供全额的增值税专用发票，采购人收到发票后在三个月内一次性全额支付货款。</w:t>
      </w:r>
    </w:p>
    <w:p>
      <w:pPr>
        <w:widowControl/>
        <w:numPr>
          <w:ilvl w:val="0"/>
          <w:numId w:val="17"/>
        </w:numPr>
        <w:adjustRightInd w:val="0"/>
        <w:snapToGrid w:val="0"/>
        <w:spacing w:line="360" w:lineRule="auto"/>
        <w:jc w:val="left"/>
        <w:rPr>
          <w:rFonts w:ascii="宋体" w:hAnsi="宋体" w:cs="宋体"/>
          <w:kern w:val="0"/>
          <w:szCs w:val="21"/>
        </w:rPr>
      </w:pPr>
      <w:r>
        <w:rPr>
          <w:rFonts w:hint="eastAsia" w:ascii="宋体" w:hAnsi="宋体" w:cs="宋体"/>
          <w:kern w:val="0"/>
          <w:szCs w:val="21"/>
        </w:rPr>
        <w:t>付款方式：采用汇款形式，收款人、供应商名称应与发票名称相同。</w:t>
      </w:r>
    </w:p>
    <w:p>
      <w:pPr>
        <w:widowControl/>
        <w:numPr>
          <w:ilvl w:val="0"/>
          <w:numId w:val="17"/>
        </w:numPr>
        <w:adjustRightInd w:val="0"/>
        <w:snapToGrid w:val="0"/>
        <w:spacing w:line="360" w:lineRule="auto"/>
        <w:jc w:val="left"/>
        <w:rPr>
          <w:rFonts w:ascii="宋体" w:hAnsi="宋体" w:cs="宋体"/>
          <w:kern w:val="0"/>
          <w:szCs w:val="21"/>
        </w:rPr>
      </w:pPr>
      <w:r>
        <w:rPr>
          <w:rFonts w:hint="eastAsia" w:ascii="宋体" w:hAnsi="宋体" w:cs="宋体"/>
          <w:kern w:val="0"/>
          <w:szCs w:val="21"/>
        </w:rPr>
        <w:t>成交人须承诺其开具增值税扣税凭证的形式与内容均合法、有效、完整、准确，不开具或开具不合格的增值税扣税凭证，采购人有权延迟支付应付款项直至成交人开具合格票据之日且不承担任何违约责任，且成交人的各项合同义务仍应按合同约定履行。</w:t>
      </w:r>
    </w:p>
    <w:p>
      <w:pPr>
        <w:pStyle w:val="132"/>
        <w:spacing w:line="360" w:lineRule="auto"/>
        <w:rPr>
          <w:rFonts w:hAnsi="宋体" w:cs="宋体"/>
        </w:rPr>
      </w:pPr>
      <w:r>
        <w:rPr>
          <w:rFonts w:hint="eastAsia" w:hAnsi="宋体" w:cs="宋体"/>
        </w:rPr>
        <w:br w:type="page"/>
      </w:r>
    </w:p>
    <w:p>
      <w:pPr>
        <w:jc w:val="center"/>
        <w:outlineLvl w:val="0"/>
        <w:rPr>
          <w:rFonts w:ascii="Cambria" w:hAnsi="Cambria" w:cs="宋体"/>
          <w:b/>
          <w:bCs/>
          <w:sz w:val="32"/>
          <w:szCs w:val="32"/>
        </w:rPr>
      </w:pPr>
      <w:r>
        <w:rPr>
          <w:rFonts w:hint="eastAsia" w:ascii="Cambria" w:hAnsi="Cambria" w:cs="宋体"/>
          <w:b/>
          <w:bCs/>
          <w:sz w:val="32"/>
          <w:szCs w:val="32"/>
        </w:rPr>
        <w:t>第三章 竞价附件</w:t>
      </w:r>
    </w:p>
    <w:p>
      <w:pPr>
        <w:spacing w:line="360" w:lineRule="auto"/>
        <w:jc w:val="center"/>
        <w:outlineLvl w:val="1"/>
        <w:rPr>
          <w:rFonts w:ascii="Cambria" w:hAnsi="Cambria" w:cs="宋体"/>
          <w:b/>
          <w:bCs/>
          <w:sz w:val="32"/>
          <w:szCs w:val="32"/>
        </w:rPr>
      </w:pPr>
      <w:r>
        <w:rPr>
          <w:rFonts w:hint="eastAsia" w:ascii="Cambria" w:hAnsi="Cambria" w:cs="宋体"/>
          <w:b/>
          <w:bCs/>
          <w:sz w:val="32"/>
          <w:szCs w:val="32"/>
        </w:rPr>
        <w:t>报价表</w:t>
      </w:r>
    </w:p>
    <w:tbl>
      <w:tblPr>
        <w:tblStyle w:val="36"/>
        <w:tblpPr w:leftFromText="180" w:rightFromText="180" w:vertAnchor="text" w:horzAnchor="page" w:tblpX="2009" w:tblpY="634"/>
        <w:tblOverlap w:val="never"/>
        <w:tblW w:w="8519"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2801"/>
        <w:gridCol w:w="950"/>
        <w:gridCol w:w="1609"/>
        <w:gridCol w:w="1542"/>
        <w:gridCol w:w="1617"/>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60" w:hRule="atLeast"/>
        </w:trPr>
        <w:tc>
          <w:tcPr>
            <w:tcW w:w="2801" w:type="dxa"/>
            <w:tcBorders>
              <w:top w:val="single" w:color="auto" w:sz="12" w:space="0"/>
              <w:left w:val="single" w:color="auto" w:sz="12" w:space="0"/>
              <w:bottom w:val="double" w:color="auto" w:sz="4" w:space="0"/>
              <w:right w:val="single" w:color="auto" w:sz="4" w:space="0"/>
            </w:tcBorders>
            <w:shd w:val="clear" w:color="auto" w:fill="EEECE1"/>
            <w:vAlign w:val="center"/>
          </w:tcPr>
          <w:p>
            <w:pPr>
              <w:spacing w:line="360" w:lineRule="auto"/>
              <w:jc w:val="center"/>
              <w:rPr>
                <w:rFonts w:ascii="宋体"/>
                <w:b/>
                <w:szCs w:val="21"/>
              </w:rPr>
            </w:pPr>
            <w:r>
              <w:rPr>
                <w:rFonts w:hint="eastAsia" w:ascii="宋体"/>
                <w:b/>
                <w:szCs w:val="21"/>
              </w:rPr>
              <w:t>采购内容</w:t>
            </w:r>
          </w:p>
        </w:tc>
        <w:tc>
          <w:tcPr>
            <w:tcW w:w="950" w:type="dxa"/>
            <w:tcBorders>
              <w:top w:val="single" w:color="auto" w:sz="12" w:space="0"/>
              <w:left w:val="single" w:color="auto" w:sz="4" w:space="0"/>
              <w:bottom w:val="double" w:color="auto" w:sz="4" w:space="0"/>
              <w:right w:val="single" w:color="auto" w:sz="4" w:space="0"/>
            </w:tcBorders>
            <w:shd w:val="clear" w:color="auto" w:fill="EEECE1"/>
            <w:vAlign w:val="center"/>
          </w:tcPr>
          <w:p>
            <w:pPr>
              <w:spacing w:line="360" w:lineRule="auto"/>
              <w:jc w:val="center"/>
              <w:rPr>
                <w:rFonts w:ascii="宋体"/>
                <w:b/>
                <w:szCs w:val="21"/>
              </w:rPr>
            </w:pPr>
            <w:r>
              <w:rPr>
                <w:rFonts w:hint="eastAsia" w:ascii="宋体"/>
                <w:b/>
                <w:szCs w:val="21"/>
              </w:rPr>
              <w:t>数量</w:t>
            </w:r>
          </w:p>
        </w:tc>
        <w:tc>
          <w:tcPr>
            <w:tcW w:w="1609" w:type="dxa"/>
            <w:tcBorders>
              <w:top w:val="single" w:color="auto" w:sz="12" w:space="0"/>
              <w:left w:val="single" w:color="auto" w:sz="4" w:space="0"/>
              <w:bottom w:val="double" w:color="auto" w:sz="4" w:space="0"/>
              <w:right w:val="single" w:color="auto" w:sz="12" w:space="0"/>
            </w:tcBorders>
            <w:shd w:val="clear" w:color="auto" w:fill="EEECE1"/>
            <w:vAlign w:val="center"/>
          </w:tcPr>
          <w:p>
            <w:pPr>
              <w:spacing w:line="360" w:lineRule="auto"/>
              <w:jc w:val="center"/>
              <w:rPr>
                <w:rFonts w:ascii="宋体"/>
                <w:b/>
                <w:szCs w:val="21"/>
              </w:rPr>
            </w:pPr>
            <w:r>
              <w:rPr>
                <w:rFonts w:hint="eastAsia" w:ascii="宋体"/>
                <w:b/>
                <w:szCs w:val="21"/>
              </w:rPr>
              <w:t>单价（元）</w:t>
            </w:r>
          </w:p>
        </w:tc>
        <w:tc>
          <w:tcPr>
            <w:tcW w:w="1542" w:type="dxa"/>
            <w:tcBorders>
              <w:top w:val="single" w:color="auto" w:sz="12" w:space="0"/>
              <w:left w:val="single" w:color="auto" w:sz="4" w:space="0"/>
              <w:bottom w:val="double" w:color="auto" w:sz="4" w:space="0"/>
              <w:right w:val="single" w:color="auto" w:sz="12" w:space="0"/>
            </w:tcBorders>
            <w:shd w:val="clear" w:color="auto" w:fill="EEECE1"/>
            <w:vAlign w:val="center"/>
          </w:tcPr>
          <w:p>
            <w:pPr>
              <w:spacing w:line="360" w:lineRule="auto"/>
              <w:jc w:val="center"/>
              <w:rPr>
                <w:rFonts w:ascii="宋体"/>
                <w:b/>
                <w:szCs w:val="21"/>
              </w:rPr>
            </w:pPr>
            <w:r>
              <w:rPr>
                <w:rFonts w:hint="eastAsia" w:ascii="宋体"/>
                <w:b/>
                <w:szCs w:val="21"/>
              </w:rPr>
              <w:t>小计（元）</w:t>
            </w:r>
          </w:p>
        </w:tc>
        <w:tc>
          <w:tcPr>
            <w:tcW w:w="1617" w:type="dxa"/>
            <w:tcBorders>
              <w:top w:val="single" w:color="auto" w:sz="12" w:space="0"/>
              <w:left w:val="single" w:color="auto" w:sz="4" w:space="0"/>
              <w:bottom w:val="double" w:color="auto" w:sz="4" w:space="0"/>
              <w:right w:val="single" w:color="auto" w:sz="12" w:space="0"/>
            </w:tcBorders>
            <w:shd w:val="clear" w:color="auto" w:fill="EEECE1"/>
            <w:vAlign w:val="center"/>
          </w:tcPr>
          <w:p>
            <w:pPr>
              <w:spacing w:line="360" w:lineRule="auto"/>
              <w:jc w:val="center"/>
              <w:rPr>
                <w:rFonts w:ascii="宋体" w:eastAsiaTheme="minorEastAsia"/>
                <w:b/>
                <w:szCs w:val="21"/>
              </w:rPr>
            </w:pPr>
            <w:r>
              <w:rPr>
                <w:rFonts w:hint="eastAsia" w:ascii="宋体"/>
                <w:b/>
                <w:szCs w:val="21"/>
              </w:rPr>
              <w:t>备注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519" w:hRule="atLeast"/>
        </w:trPr>
        <w:tc>
          <w:tcPr>
            <w:tcW w:w="2801" w:type="dxa"/>
            <w:tcBorders>
              <w:top w:val="single" w:color="auto" w:sz="4" w:space="0"/>
              <w:left w:val="single" w:color="auto" w:sz="12" w:space="0"/>
              <w:bottom w:val="single" w:color="auto" w:sz="4" w:space="0"/>
              <w:right w:val="single" w:color="auto" w:sz="4" w:space="0"/>
            </w:tcBorders>
            <w:vAlign w:val="center"/>
          </w:tcPr>
          <w:p>
            <w:pPr>
              <w:spacing w:line="400" w:lineRule="exact"/>
              <w:jc w:val="left"/>
              <w:rPr>
                <w:rFonts w:hint="eastAsia" w:ascii="宋体" w:eastAsia="宋体"/>
                <w:bCs/>
                <w:szCs w:val="21"/>
                <w:lang w:eastAsia="zh-CN"/>
              </w:rPr>
            </w:pPr>
            <w:r>
              <w:rPr>
                <w:rFonts w:hint="eastAsia" w:ascii="宋体" w:hAnsi="宋体"/>
                <w:szCs w:val="21"/>
                <w:lang w:eastAsia="zh-CN"/>
              </w:rPr>
              <w:t>采购应急广播收扩机项目</w:t>
            </w:r>
          </w:p>
        </w:tc>
        <w:tc>
          <w:tcPr>
            <w:tcW w:w="95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bCs/>
                <w:szCs w:val="21"/>
              </w:rPr>
            </w:pPr>
            <w:r>
              <w:rPr>
                <w:rFonts w:hint="eastAsia" w:ascii="宋体"/>
                <w:bCs/>
                <w:szCs w:val="21"/>
              </w:rPr>
              <w:t>100台</w:t>
            </w:r>
          </w:p>
        </w:tc>
        <w:tc>
          <w:tcPr>
            <w:tcW w:w="1609" w:type="dxa"/>
            <w:tcBorders>
              <w:top w:val="single" w:color="auto" w:sz="4" w:space="0"/>
              <w:left w:val="single" w:color="auto" w:sz="4" w:space="0"/>
              <w:bottom w:val="single" w:color="auto" w:sz="4" w:space="0"/>
              <w:right w:val="single" w:color="auto" w:sz="12" w:space="0"/>
            </w:tcBorders>
            <w:vAlign w:val="center"/>
          </w:tcPr>
          <w:p>
            <w:pPr>
              <w:spacing w:line="400" w:lineRule="exact"/>
              <w:jc w:val="left"/>
              <w:rPr>
                <w:rFonts w:ascii="宋体"/>
                <w:bCs/>
                <w:szCs w:val="21"/>
              </w:rPr>
            </w:pPr>
          </w:p>
        </w:tc>
        <w:tc>
          <w:tcPr>
            <w:tcW w:w="1542" w:type="dxa"/>
            <w:tcBorders>
              <w:top w:val="single" w:color="auto" w:sz="4" w:space="0"/>
              <w:left w:val="single" w:color="auto" w:sz="4" w:space="0"/>
              <w:bottom w:val="single" w:color="auto" w:sz="4" w:space="0"/>
              <w:right w:val="single" w:color="auto" w:sz="12" w:space="0"/>
            </w:tcBorders>
            <w:vAlign w:val="center"/>
          </w:tcPr>
          <w:p>
            <w:pPr>
              <w:spacing w:line="400" w:lineRule="exact"/>
              <w:jc w:val="left"/>
              <w:rPr>
                <w:rFonts w:ascii="宋体"/>
                <w:bCs/>
                <w:szCs w:val="21"/>
              </w:rPr>
            </w:pPr>
          </w:p>
        </w:tc>
        <w:tc>
          <w:tcPr>
            <w:tcW w:w="1617" w:type="dxa"/>
            <w:tcBorders>
              <w:top w:val="single" w:color="auto" w:sz="4" w:space="0"/>
              <w:left w:val="single" w:color="auto" w:sz="4" w:space="0"/>
              <w:bottom w:val="single" w:color="auto" w:sz="4" w:space="0"/>
              <w:right w:val="single" w:color="auto" w:sz="12" w:space="0"/>
            </w:tcBorders>
            <w:vAlign w:val="center"/>
          </w:tcPr>
          <w:p>
            <w:pPr>
              <w:spacing w:line="400" w:lineRule="exact"/>
              <w:jc w:val="left"/>
              <w:rPr>
                <w:rFonts w:ascii="宋体" w:hAnsi="宋体" w:eastAsiaTheme="minorEastAsia"/>
                <w:szCs w:val="21"/>
              </w:rPr>
            </w:pPr>
            <w:r>
              <w:rPr>
                <w:rFonts w:hint="eastAsia" w:ascii="宋体" w:hAnsi="宋体"/>
                <w:szCs w:val="21"/>
              </w:rPr>
              <w:t>最高限价：</w:t>
            </w:r>
            <w:r>
              <w:rPr>
                <w:rFonts w:hint="eastAsia" w:ascii="宋体" w:hAnsi="宋体"/>
                <w:kern w:val="0"/>
                <w:szCs w:val="21"/>
              </w:rPr>
              <w:t>人民</w:t>
            </w:r>
            <w:r>
              <w:rPr>
                <w:rFonts w:hint="eastAsia" w:ascii="宋体" w:hAnsi="宋体" w:cs="宋体"/>
                <w:kern w:val="0"/>
                <w:szCs w:val="21"/>
              </w:rPr>
              <w:t>币105000</w:t>
            </w:r>
            <w:r>
              <w:rPr>
                <w:rFonts w:hint="eastAsia" w:ascii="宋体" w:hAnsi="宋体" w:cs="宋体"/>
                <w:color w:val="000000" w:themeColor="text1"/>
                <w:szCs w:val="21"/>
                <w:shd w:val="clear" w:color="auto" w:fill="FFFFFF"/>
                <w14:textFill>
                  <w14:solidFill>
                    <w14:schemeClr w14:val="tx1"/>
                  </w14:solidFill>
                </w14:textFill>
              </w:rPr>
              <w:t>元</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1119" w:hRule="atLeast"/>
        </w:trPr>
        <w:tc>
          <w:tcPr>
            <w:tcW w:w="6902" w:type="dxa"/>
            <w:gridSpan w:val="4"/>
            <w:tcBorders>
              <w:top w:val="single" w:color="auto" w:sz="4" w:space="0"/>
              <w:left w:val="single" w:color="auto" w:sz="12" w:space="0"/>
              <w:bottom w:val="single" w:color="auto" w:sz="12" w:space="0"/>
              <w:right w:val="single" w:color="auto" w:sz="12" w:space="0"/>
            </w:tcBorders>
            <w:vAlign w:val="center"/>
          </w:tcPr>
          <w:p>
            <w:pPr>
              <w:spacing w:line="360" w:lineRule="auto"/>
              <w:rPr>
                <w:rFonts w:ascii="宋体" w:hAnsi="宋体"/>
                <w:szCs w:val="21"/>
              </w:rPr>
            </w:pPr>
            <w:r>
              <w:rPr>
                <w:rFonts w:hint="eastAsia" w:ascii="宋体" w:hAnsi="宋体"/>
                <w:szCs w:val="21"/>
              </w:rPr>
              <w:t xml:space="preserve">提供发票类型：增值税专用发票    </w:t>
            </w:r>
          </w:p>
          <w:p>
            <w:pPr>
              <w:spacing w:line="400" w:lineRule="exact"/>
              <w:rPr>
                <w:rFonts w:ascii="宋体" w:hAnsi="宋体"/>
                <w:szCs w:val="21"/>
              </w:rPr>
            </w:pPr>
            <w:r>
              <w:rPr>
                <w:rFonts w:hint="eastAsia" w:ascii="宋体" w:hAnsi="宋体" w:cs="Calibri"/>
                <w:b/>
                <w:color w:val="000000" w:themeColor="text1"/>
                <w:szCs w:val="21"/>
                <w14:textFill>
                  <w14:solidFill>
                    <w14:schemeClr w14:val="tx1"/>
                  </w14:solidFill>
                </w14:textFill>
              </w:rPr>
              <w:t>□一般纳税人13%        □小规模纳税人3%</w:t>
            </w:r>
          </w:p>
        </w:tc>
        <w:tc>
          <w:tcPr>
            <w:tcW w:w="1617" w:type="dxa"/>
            <w:tcBorders>
              <w:top w:val="single" w:color="auto" w:sz="4" w:space="0"/>
              <w:left w:val="single" w:color="auto" w:sz="12" w:space="0"/>
              <w:bottom w:val="single" w:color="auto" w:sz="12" w:space="0"/>
              <w:right w:val="single" w:color="auto" w:sz="12" w:space="0"/>
            </w:tcBorders>
          </w:tcPr>
          <w:p>
            <w:pPr>
              <w:spacing w:line="360" w:lineRule="auto"/>
              <w:rPr>
                <w:rFonts w:ascii="宋体" w:hAnsi="宋体"/>
                <w:szCs w:val="21"/>
              </w:rPr>
            </w:pPr>
          </w:p>
        </w:tc>
      </w:tr>
    </w:tbl>
    <w:p>
      <w:pPr>
        <w:shd w:val="clear" w:color="auto" w:fill="FFFFFF"/>
        <w:wordWrap w:val="0"/>
        <w:rPr>
          <w:rFonts w:ascii="宋体" w:hAnsi="宋体" w:cs="Tahoma"/>
          <w:szCs w:val="21"/>
        </w:rPr>
      </w:pPr>
    </w:p>
    <w:p>
      <w:pPr>
        <w:pStyle w:val="59"/>
        <w:numPr>
          <w:ilvl w:val="3"/>
          <w:numId w:val="18"/>
        </w:numPr>
        <w:spacing w:line="360" w:lineRule="auto"/>
        <w:ind w:left="0" w:firstLine="0" w:firstLineChars="0"/>
        <w:rPr>
          <w:rFonts w:ascii="宋体" w:hAnsi="宋体" w:cs="宋体"/>
          <w:szCs w:val="21"/>
        </w:rPr>
      </w:pPr>
      <w:r>
        <w:rPr>
          <w:rFonts w:hint="eastAsia" w:ascii="宋体" w:hAnsi="宋体" w:cs="宋体"/>
          <w:szCs w:val="21"/>
        </w:rPr>
        <w:t>开具增值税专用发票，发票的开票单位必须与签订合同的单位相一致。</w:t>
      </w:r>
    </w:p>
    <w:p>
      <w:pPr>
        <w:pStyle w:val="59"/>
        <w:numPr>
          <w:ilvl w:val="3"/>
          <w:numId w:val="18"/>
        </w:numPr>
        <w:spacing w:line="360" w:lineRule="auto"/>
        <w:ind w:left="0" w:firstLine="0" w:firstLineChars="0"/>
        <w:rPr>
          <w:rFonts w:ascii="宋体" w:hAnsi="宋体" w:cs="宋体"/>
          <w:szCs w:val="21"/>
        </w:rPr>
      </w:pPr>
      <w:r>
        <w:rPr>
          <w:rFonts w:hint="eastAsia" w:ascii="宋体" w:hAnsi="宋体" w:cs="宋体"/>
          <w:bCs/>
          <w:szCs w:val="21"/>
        </w:rPr>
        <w:t>所有报价最多保留至小数点后两位，采用四舍五入，否则将对其进行修正。</w:t>
      </w:r>
    </w:p>
    <w:p>
      <w:pPr>
        <w:pStyle w:val="59"/>
        <w:numPr>
          <w:ilvl w:val="3"/>
          <w:numId w:val="18"/>
        </w:numPr>
        <w:spacing w:line="360" w:lineRule="auto"/>
        <w:ind w:left="0" w:firstLine="0" w:firstLineChars="0"/>
        <w:rPr>
          <w:rFonts w:ascii="宋体" w:hAnsi="宋体" w:cs="宋体"/>
          <w:szCs w:val="21"/>
        </w:rPr>
      </w:pPr>
      <w:r>
        <w:rPr>
          <w:rFonts w:hint="eastAsia" w:ascii="宋体" w:hAnsi="宋体" w:cs="宋体"/>
          <w:szCs w:val="21"/>
        </w:rPr>
        <w:t xml:space="preserve">价格说明： </w:t>
      </w:r>
    </w:p>
    <w:tbl>
      <w:tblPr>
        <w:tblStyle w:val="36"/>
        <w:tblW w:w="718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703"/>
        <w:gridCol w:w="34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jc w:val="center"/>
        </w:trPr>
        <w:tc>
          <w:tcPr>
            <w:tcW w:w="3703" w:type="dxa"/>
            <w:vAlign w:val="center"/>
          </w:tcPr>
          <w:p>
            <w:pPr>
              <w:spacing w:line="360" w:lineRule="auto"/>
              <w:rPr>
                <w:rFonts w:ascii="宋体" w:hAnsi="宋体" w:cs="宋体"/>
                <w:szCs w:val="21"/>
              </w:rPr>
            </w:pPr>
            <w:r>
              <w:rPr>
                <w:rFonts w:hint="eastAsia" w:ascii="宋体" w:hAnsi="宋体" w:cs="宋体"/>
                <w:szCs w:val="21"/>
              </w:rPr>
              <w:t>报价人提供的发票类型</w:t>
            </w:r>
          </w:p>
        </w:tc>
        <w:tc>
          <w:tcPr>
            <w:tcW w:w="3483" w:type="dxa"/>
            <w:vAlign w:val="center"/>
          </w:tcPr>
          <w:p>
            <w:pPr>
              <w:spacing w:line="360" w:lineRule="auto"/>
              <w:rPr>
                <w:rFonts w:ascii="宋体" w:hAnsi="宋体" w:cs="宋体"/>
                <w:szCs w:val="21"/>
              </w:rPr>
            </w:pPr>
            <w:r>
              <w:rPr>
                <w:rFonts w:hint="eastAsia" w:ascii="宋体" w:hAnsi="宋体" w:cs="宋体"/>
                <w:szCs w:val="21"/>
              </w:rPr>
              <w:t>价格计算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3703" w:type="dxa"/>
            <w:vAlign w:val="center"/>
          </w:tcPr>
          <w:p>
            <w:pPr>
              <w:spacing w:line="360" w:lineRule="auto"/>
              <w:rPr>
                <w:rFonts w:ascii="宋体" w:hAnsi="宋体" w:cs="宋体"/>
                <w:szCs w:val="21"/>
              </w:rPr>
            </w:pPr>
            <w:r>
              <w:rPr>
                <w:rFonts w:hint="eastAsia" w:ascii="宋体" w:hAnsi="宋体" w:cs="宋体"/>
                <w:szCs w:val="21"/>
              </w:rPr>
              <w:t>增值税专用发票</w:t>
            </w:r>
          </w:p>
        </w:tc>
        <w:tc>
          <w:tcPr>
            <w:tcW w:w="3483" w:type="dxa"/>
            <w:vAlign w:val="center"/>
          </w:tcPr>
          <w:p>
            <w:pPr>
              <w:spacing w:line="360" w:lineRule="auto"/>
              <w:rPr>
                <w:rFonts w:ascii="宋体" w:hAnsi="宋体" w:cs="宋体"/>
                <w:szCs w:val="21"/>
              </w:rPr>
            </w:pPr>
            <w:r>
              <w:rPr>
                <w:rFonts w:hint="eastAsia" w:ascii="宋体" w:hAnsi="宋体" w:cs="宋体"/>
                <w:szCs w:val="21"/>
              </w:rPr>
              <w:t>价格/（1+增值税率）</w:t>
            </w:r>
          </w:p>
        </w:tc>
      </w:tr>
    </w:tbl>
    <w:p>
      <w:pPr>
        <w:spacing w:line="360" w:lineRule="auto"/>
        <w:rPr>
          <w:rFonts w:ascii="宋体" w:hAnsi="宋体" w:cs="宋体"/>
          <w:szCs w:val="21"/>
        </w:rPr>
      </w:pPr>
      <w:r>
        <w:rPr>
          <w:rFonts w:hint="eastAsia" w:ascii="宋体" w:hAnsi="宋体" w:cs="宋体"/>
          <w:szCs w:val="21"/>
        </w:rPr>
        <w:t>备注：如各报价人提供的税率不一致时，则分别按上述规定计算各价格，如全部报价人税率都一致则无需转换价格。</w:t>
      </w:r>
    </w:p>
    <w:p>
      <w:pPr>
        <w:pStyle w:val="59"/>
        <w:numPr>
          <w:ilvl w:val="3"/>
          <w:numId w:val="18"/>
        </w:numPr>
        <w:spacing w:line="360" w:lineRule="auto"/>
        <w:ind w:left="0" w:firstLine="0" w:firstLineChars="0"/>
        <w:rPr>
          <w:rFonts w:ascii="宋体" w:hAnsi="宋体" w:cs="宋体"/>
          <w:szCs w:val="21"/>
        </w:rPr>
      </w:pPr>
      <w:r>
        <w:rPr>
          <w:rFonts w:hint="eastAsia" w:ascii="宋体" w:hAnsi="宋体" w:cs="宋体"/>
          <w:szCs w:val="21"/>
        </w:rPr>
        <w:t>供应商应如实填报上表的“税率”，如供应商实际开票税率低于报价中的税率，则中标合同金额减少相应的增值税税金金额。如供应商实际开票税率高于报价中的税率，合同金额保持不变。</w:t>
      </w:r>
    </w:p>
    <w:p>
      <w:pPr>
        <w:spacing w:line="360" w:lineRule="auto"/>
        <w:rPr>
          <w:rFonts w:ascii="宋体" w:hAnsi="宋体" w:cs="Tahoma"/>
          <w:szCs w:val="21"/>
        </w:rPr>
      </w:pPr>
    </w:p>
    <w:p>
      <w:pPr>
        <w:spacing w:line="360" w:lineRule="auto"/>
        <w:rPr>
          <w:rFonts w:ascii="宋体" w:hAnsi="宋体" w:cs="Tahoma"/>
          <w:szCs w:val="21"/>
        </w:rPr>
      </w:pPr>
      <w:r>
        <w:rPr>
          <w:rFonts w:hint="eastAsia" w:ascii="宋体" w:hAnsi="宋体" w:cs="Tahoma"/>
          <w:szCs w:val="21"/>
        </w:rPr>
        <w:t xml:space="preserve">报价人法定代表人（或法定代表人授权代表）签字：                   </w:t>
      </w:r>
    </w:p>
    <w:p>
      <w:pPr>
        <w:spacing w:line="360" w:lineRule="auto"/>
        <w:rPr>
          <w:rFonts w:ascii="宋体" w:hAnsi="宋体" w:cs="Tahoma"/>
          <w:szCs w:val="21"/>
        </w:rPr>
      </w:pPr>
      <w:r>
        <w:rPr>
          <w:rFonts w:hint="eastAsia" w:ascii="宋体" w:hAnsi="宋体" w:cs="Tahoma"/>
          <w:szCs w:val="21"/>
        </w:rPr>
        <w:t xml:space="preserve">报价人名称（签章）：                        </w:t>
      </w:r>
    </w:p>
    <w:p>
      <w:pPr>
        <w:spacing w:line="360" w:lineRule="auto"/>
        <w:rPr>
          <w:rFonts w:ascii="宋体" w:hAnsi="宋体" w:cs="Tahoma"/>
          <w:szCs w:val="21"/>
        </w:rPr>
      </w:pPr>
      <w:r>
        <w:rPr>
          <w:rFonts w:hint="eastAsia" w:ascii="宋体" w:hAnsi="宋体" w:cs="Tahoma"/>
          <w:szCs w:val="21"/>
        </w:rPr>
        <w:t>日期：          年      月     日</w:t>
      </w:r>
    </w:p>
    <w:p>
      <w:pPr>
        <w:pStyle w:val="133"/>
      </w:pPr>
    </w:p>
    <w:p>
      <w:pPr>
        <w:spacing w:line="360" w:lineRule="auto"/>
        <w:rPr>
          <w:rFonts w:ascii="宋体" w:hAnsi="宋体"/>
          <w:b/>
          <w:sz w:val="30"/>
          <w:szCs w:val="30"/>
        </w:rPr>
      </w:pPr>
    </w:p>
    <w:p>
      <w:pPr>
        <w:rPr>
          <w:rFonts w:ascii="宋体" w:hAnsi="宋体" w:cs="Tahoma"/>
          <w:b/>
          <w:bCs/>
          <w:color w:val="000000"/>
          <w:sz w:val="28"/>
          <w:szCs w:val="28"/>
        </w:rPr>
      </w:pPr>
      <w:r>
        <w:rPr>
          <w:rFonts w:ascii="宋体" w:hAnsi="宋体" w:cs="Tahoma"/>
          <w:b/>
          <w:bCs/>
          <w:color w:val="000000"/>
          <w:sz w:val="28"/>
          <w:szCs w:val="28"/>
        </w:rPr>
        <w:br w:type="page"/>
      </w:r>
    </w:p>
    <w:p>
      <w:pPr>
        <w:spacing w:line="480" w:lineRule="auto"/>
        <w:jc w:val="center"/>
        <w:outlineLvl w:val="1"/>
      </w:pPr>
      <w:r>
        <w:rPr>
          <w:rFonts w:ascii="宋体" w:hAnsi="宋体" w:cs="Tahoma"/>
          <w:b/>
          <w:bCs/>
          <w:color w:val="000000"/>
          <w:sz w:val="28"/>
          <w:szCs w:val="28"/>
        </w:rPr>
        <w:t xml:space="preserve"> </w:t>
      </w:r>
      <w:r>
        <w:rPr>
          <w:rFonts w:hint="eastAsia"/>
          <w:b/>
          <w:bCs/>
          <w:sz w:val="28"/>
          <w:szCs w:val="28"/>
        </w:rPr>
        <w:t>供应商资格声明函</w:t>
      </w:r>
    </w:p>
    <w:p>
      <w:pPr>
        <w:autoSpaceDE w:val="0"/>
        <w:autoSpaceDN w:val="0"/>
        <w:adjustRightInd w:val="0"/>
        <w:snapToGrid w:val="0"/>
        <w:spacing w:line="480" w:lineRule="auto"/>
        <w:rPr>
          <w:rFonts w:ascii="宋体" w:hAnsi="宋体"/>
          <w:b/>
          <w:szCs w:val="21"/>
        </w:rPr>
      </w:pPr>
      <w:r>
        <w:rPr>
          <w:rFonts w:hint="eastAsia" w:ascii="宋体" w:hAnsi="宋体"/>
          <w:b/>
          <w:szCs w:val="21"/>
        </w:rPr>
        <w:t>致：</w:t>
      </w:r>
      <w:r>
        <w:rPr>
          <w:rFonts w:hint="eastAsia" w:ascii="宋体" w:hAnsi="宋体" w:cs="宋体"/>
          <w:b/>
          <w:bCs/>
          <w:szCs w:val="21"/>
        </w:rPr>
        <w:t>广东省广播电视网络股份有限公司佛山三水分公司</w:t>
      </w:r>
      <w:r>
        <w:rPr>
          <w:rFonts w:hint="eastAsia" w:ascii="宋体" w:hAnsi="宋体"/>
          <w:b/>
          <w:szCs w:val="21"/>
        </w:rPr>
        <w:t>、采联国际招标采购集团有限公司</w:t>
      </w:r>
    </w:p>
    <w:p>
      <w:pPr>
        <w:snapToGrid w:val="0"/>
        <w:spacing w:line="360" w:lineRule="auto"/>
        <w:ind w:firstLine="424" w:firstLineChars="202"/>
        <w:rPr>
          <w:rFonts w:ascii="宋体" w:hAnsi="宋体"/>
        </w:rPr>
      </w:pPr>
      <w:r>
        <w:rPr>
          <w:rFonts w:hint="eastAsia" w:ascii="宋体" w:hAnsi="宋体"/>
          <w:szCs w:val="21"/>
        </w:rPr>
        <w:t>关于贵单位、贵司发布</w:t>
      </w:r>
      <w:r>
        <w:rPr>
          <w:rFonts w:hint="eastAsia" w:ascii="宋体" w:hAnsi="宋体" w:cs="宋体"/>
          <w:b/>
          <w:bCs/>
          <w:szCs w:val="21"/>
          <w:u w:val="single"/>
          <w:lang w:eastAsia="zh-CN"/>
        </w:rPr>
        <w:t>采购应急广播收扩机项目</w:t>
      </w:r>
      <w:r>
        <w:rPr>
          <w:rFonts w:hint="eastAsia" w:ascii="宋体" w:hAnsi="宋体"/>
          <w:szCs w:val="21"/>
        </w:rPr>
        <w:t>的竞价公告</w:t>
      </w:r>
      <w:r>
        <w:rPr>
          <w:rFonts w:hint="eastAsia" w:ascii="宋体" w:hAnsi="宋体"/>
        </w:rPr>
        <w:t>，并声明：</w:t>
      </w:r>
    </w:p>
    <w:p>
      <w:pPr>
        <w:spacing w:line="360" w:lineRule="auto"/>
        <w:ind w:firstLine="420" w:firstLineChars="200"/>
        <w:rPr>
          <w:rFonts w:ascii="宋体" w:hAnsi="宋体" w:cs="宋体"/>
        </w:rPr>
      </w:pPr>
      <w:r>
        <w:rPr>
          <w:rFonts w:hint="eastAsia" w:ascii="宋体" w:hAnsi="宋体" w:cs="宋体"/>
        </w:rPr>
        <w:t>本公司（企业）不存在下列情形之一：</w:t>
      </w:r>
    </w:p>
    <w:p>
      <w:pPr>
        <w:numPr>
          <w:ilvl w:val="0"/>
          <w:numId w:val="19"/>
        </w:numPr>
        <w:spacing w:line="360" w:lineRule="auto"/>
        <w:rPr>
          <w:rFonts w:ascii="宋体" w:hAnsi="宋体" w:cs="宋体"/>
        </w:rPr>
      </w:pPr>
      <w:r>
        <w:rPr>
          <w:rFonts w:hint="eastAsia" w:ascii="宋体" w:hAnsi="宋体" w:cs="宋体"/>
        </w:rPr>
        <w:t>与采购人存在利害关系且可能影响招标公正性；</w:t>
      </w:r>
    </w:p>
    <w:p>
      <w:pPr>
        <w:numPr>
          <w:ilvl w:val="0"/>
          <w:numId w:val="19"/>
        </w:numPr>
        <w:spacing w:line="360" w:lineRule="auto"/>
        <w:rPr>
          <w:rFonts w:ascii="宋体" w:hAnsi="宋体" w:cs="宋体"/>
        </w:rPr>
      </w:pPr>
      <w:r>
        <w:rPr>
          <w:rFonts w:hint="eastAsia" w:ascii="宋体" w:hAnsi="宋体" w:cs="宋体"/>
        </w:rPr>
        <w:t>与本项目同一标包或未划分标包的同一竞价项目的其他供应商为同一个单位负责人；</w:t>
      </w:r>
    </w:p>
    <w:p>
      <w:pPr>
        <w:numPr>
          <w:ilvl w:val="0"/>
          <w:numId w:val="19"/>
        </w:numPr>
        <w:spacing w:line="360" w:lineRule="auto"/>
        <w:rPr>
          <w:rFonts w:ascii="宋体" w:hAnsi="宋体" w:cs="宋体"/>
        </w:rPr>
      </w:pPr>
      <w:r>
        <w:rPr>
          <w:rFonts w:hint="eastAsia" w:ascii="宋体" w:hAnsi="宋体" w:cs="宋体"/>
        </w:rPr>
        <w:t>与本项目同一标包或未划分标包的同一竞价项目的其他供应商存在控股、管理关系；</w:t>
      </w:r>
    </w:p>
    <w:p>
      <w:pPr>
        <w:numPr>
          <w:ilvl w:val="0"/>
          <w:numId w:val="19"/>
        </w:numPr>
        <w:spacing w:line="360" w:lineRule="auto"/>
        <w:rPr>
          <w:rFonts w:ascii="宋体" w:hAnsi="宋体" w:cs="宋体"/>
        </w:rPr>
      </w:pPr>
      <w:r>
        <w:rPr>
          <w:rFonts w:hint="eastAsia" w:ascii="宋体" w:hAnsi="宋体" w:cs="宋体"/>
        </w:rPr>
        <w:t>为本项目提供过设计、编制技术规范和其他文件的咨询服务；</w:t>
      </w:r>
    </w:p>
    <w:p>
      <w:pPr>
        <w:numPr>
          <w:ilvl w:val="0"/>
          <w:numId w:val="19"/>
        </w:numPr>
        <w:spacing w:line="360" w:lineRule="auto"/>
        <w:rPr>
          <w:rFonts w:ascii="宋体" w:hAnsi="宋体" w:cs="宋体"/>
        </w:rPr>
      </w:pPr>
      <w:r>
        <w:rPr>
          <w:rFonts w:hint="eastAsia" w:ascii="宋体" w:hAnsi="宋体" w:cs="宋体"/>
        </w:rPr>
        <w:t>为本项目的招标代理机构；</w:t>
      </w:r>
    </w:p>
    <w:p>
      <w:pPr>
        <w:numPr>
          <w:ilvl w:val="0"/>
          <w:numId w:val="19"/>
        </w:numPr>
        <w:spacing w:line="360" w:lineRule="auto"/>
        <w:rPr>
          <w:rFonts w:ascii="宋体" w:hAnsi="宋体" w:cs="宋体"/>
        </w:rPr>
      </w:pPr>
      <w:r>
        <w:rPr>
          <w:rFonts w:hint="eastAsia" w:ascii="宋体" w:hAnsi="宋体" w:cs="宋体"/>
        </w:rPr>
        <w:t>与本项目的招标代理机构同为一个法定代表人；</w:t>
      </w:r>
    </w:p>
    <w:p>
      <w:pPr>
        <w:numPr>
          <w:ilvl w:val="0"/>
          <w:numId w:val="19"/>
        </w:numPr>
        <w:spacing w:line="360" w:lineRule="auto"/>
        <w:rPr>
          <w:rFonts w:ascii="宋体" w:hAnsi="宋体" w:cs="宋体"/>
        </w:rPr>
      </w:pPr>
      <w:r>
        <w:rPr>
          <w:rFonts w:hint="eastAsia" w:ascii="宋体" w:hAnsi="宋体" w:cs="宋体"/>
        </w:rPr>
        <w:t>与本项目的招标代理机构存在控股或参股关系；</w:t>
      </w:r>
    </w:p>
    <w:p>
      <w:pPr>
        <w:numPr>
          <w:ilvl w:val="0"/>
          <w:numId w:val="19"/>
        </w:numPr>
        <w:spacing w:line="360" w:lineRule="auto"/>
        <w:rPr>
          <w:rFonts w:ascii="宋体" w:hAnsi="宋体" w:cs="宋体"/>
        </w:rPr>
      </w:pPr>
      <w:r>
        <w:rPr>
          <w:rFonts w:hint="eastAsia" w:ascii="宋体" w:hAnsi="宋体" w:cs="宋体"/>
        </w:rPr>
        <w:t>被依法暂停或者取消投标资格；</w:t>
      </w:r>
    </w:p>
    <w:p>
      <w:pPr>
        <w:numPr>
          <w:ilvl w:val="0"/>
          <w:numId w:val="19"/>
        </w:numPr>
        <w:spacing w:line="360" w:lineRule="auto"/>
        <w:rPr>
          <w:rFonts w:ascii="宋体" w:hAnsi="宋体" w:cs="宋体"/>
        </w:rPr>
      </w:pPr>
      <w:r>
        <w:rPr>
          <w:rFonts w:hint="eastAsia" w:ascii="宋体" w:hAnsi="宋体" w:cs="宋体"/>
        </w:rPr>
        <w:t>在招标公告发布之日至投标截止之日任意一日，存在因违反采购人（或广东省广播电视网络股份有限公司）供应商管理规定而受到禁止参与采购活动的处罚的情形；</w:t>
      </w:r>
    </w:p>
    <w:p>
      <w:pPr>
        <w:numPr>
          <w:ilvl w:val="0"/>
          <w:numId w:val="19"/>
        </w:numPr>
        <w:spacing w:line="360" w:lineRule="auto"/>
        <w:rPr>
          <w:rFonts w:ascii="宋体" w:hAnsi="宋体" w:cs="宋体"/>
        </w:rPr>
      </w:pPr>
      <w:r>
        <w:rPr>
          <w:rFonts w:hint="eastAsia" w:ascii="宋体" w:hAnsi="宋体" w:cs="宋体"/>
        </w:rPr>
        <w:t>被责令停产停业、暂扣或者吊销许可证、暂扣或者吊销执照；</w:t>
      </w:r>
    </w:p>
    <w:p>
      <w:pPr>
        <w:numPr>
          <w:ilvl w:val="0"/>
          <w:numId w:val="19"/>
        </w:numPr>
        <w:spacing w:line="360" w:lineRule="auto"/>
        <w:rPr>
          <w:rFonts w:ascii="宋体" w:hAnsi="宋体" w:cs="宋体"/>
        </w:rPr>
      </w:pPr>
      <w:r>
        <w:rPr>
          <w:rFonts w:hint="eastAsia" w:ascii="宋体" w:hAnsi="宋体" w:cs="宋体"/>
        </w:rPr>
        <w:t>进入清算程序，或被宣告破产，或其他丧失履约能力的情形；</w:t>
      </w:r>
    </w:p>
    <w:p>
      <w:pPr>
        <w:numPr>
          <w:ilvl w:val="0"/>
          <w:numId w:val="19"/>
        </w:numPr>
        <w:spacing w:line="360" w:lineRule="auto"/>
        <w:rPr>
          <w:rFonts w:ascii="宋体" w:hAnsi="宋体" w:cs="宋体"/>
        </w:rPr>
      </w:pPr>
      <w:r>
        <w:rPr>
          <w:rFonts w:hint="eastAsia" w:ascii="宋体" w:hAnsi="宋体" w:cs="宋体"/>
        </w:rPr>
        <w:t>在最近三年内发生重大产品质量问题（以相关行业主管部门的行政处罚决定或司法机关出具的有关法律文书为准）；</w:t>
      </w:r>
    </w:p>
    <w:p>
      <w:pPr>
        <w:numPr>
          <w:ilvl w:val="0"/>
          <w:numId w:val="19"/>
        </w:numPr>
        <w:spacing w:line="360" w:lineRule="auto"/>
        <w:rPr>
          <w:rFonts w:ascii="宋体" w:hAnsi="宋体" w:cs="宋体"/>
        </w:rPr>
      </w:pPr>
      <w:r>
        <w:rPr>
          <w:rFonts w:hint="eastAsia" w:ascii="宋体" w:hAnsi="宋体" w:cs="宋体"/>
        </w:rPr>
        <w:t>被工商行政管理机关在全国企业信用信息公示系统中列入严重违法失信企业名单；</w:t>
      </w:r>
    </w:p>
    <w:p>
      <w:pPr>
        <w:numPr>
          <w:ilvl w:val="0"/>
          <w:numId w:val="19"/>
        </w:numPr>
        <w:rPr>
          <w:rFonts w:ascii="宋体" w:hAnsi="宋体" w:cs="宋体"/>
        </w:rPr>
      </w:pPr>
      <w:r>
        <w:rPr>
          <w:rFonts w:hint="eastAsia" w:ascii="宋体" w:hAnsi="宋体" w:cs="宋体"/>
        </w:rPr>
        <w:t>被最高人民法院在“信用中国”网站或各级信用信息共享平台中列入失信被执行人名单；</w:t>
      </w:r>
    </w:p>
    <w:p>
      <w:pPr>
        <w:numPr>
          <w:ilvl w:val="0"/>
          <w:numId w:val="19"/>
        </w:numPr>
        <w:rPr>
          <w:rFonts w:ascii="宋体" w:hAnsi="宋体" w:cs="宋体"/>
        </w:rPr>
      </w:pPr>
      <w:r>
        <w:rPr>
          <w:rFonts w:hint="eastAsia" w:ascii="宋体" w:hAnsi="宋体" w:cs="宋体"/>
        </w:rPr>
        <w:t>在近三年内供应商或其法定代表人、拟委任的项目负责人或供应商授权代表有行贿犯罪行为的；</w:t>
      </w:r>
    </w:p>
    <w:p>
      <w:pPr>
        <w:numPr>
          <w:ilvl w:val="0"/>
          <w:numId w:val="19"/>
        </w:numPr>
        <w:rPr>
          <w:rFonts w:ascii="宋体" w:hAnsi="宋体" w:cs="宋体"/>
        </w:rPr>
      </w:pPr>
      <w:r>
        <w:rPr>
          <w:rFonts w:hint="eastAsia" w:ascii="宋体" w:hAnsi="宋体" w:cs="宋体"/>
        </w:rPr>
        <w:t>法律法规或本竞价文件规定的其他禁止情形。</w:t>
      </w:r>
    </w:p>
    <w:p>
      <w:pPr>
        <w:numPr>
          <w:ilvl w:val="0"/>
          <w:numId w:val="19"/>
        </w:numPr>
        <w:rPr>
          <w:rFonts w:ascii="宋体" w:hAnsi="宋体" w:cs="宋体"/>
        </w:rPr>
      </w:pPr>
      <w:r>
        <w:rPr>
          <w:rFonts w:ascii="宋体" w:hAnsi="宋体" w:cs="宋体"/>
          <w:szCs w:val="21"/>
        </w:rPr>
        <w:t>本项目不允许非法分包或违法转包，不接受联合体参加</w:t>
      </w:r>
      <w:r>
        <w:rPr>
          <w:rFonts w:hint="eastAsia" w:ascii="宋体" w:hAnsi="宋体" w:cs="宋体"/>
          <w:szCs w:val="21"/>
        </w:rPr>
        <w:t>。</w:t>
      </w:r>
      <w:r>
        <w:rPr>
          <w:rFonts w:hint="eastAsia" w:ascii="宋体" w:hAnsi="宋体" w:cs="宋体"/>
        </w:rPr>
        <w:t>特此声明！</w:t>
      </w:r>
    </w:p>
    <w:p>
      <w:pPr>
        <w:rPr>
          <w:rFonts w:ascii="宋体" w:hAnsi="宋体" w:cs="宋体"/>
        </w:rPr>
      </w:pPr>
      <w:r>
        <w:rPr>
          <w:rFonts w:hint="eastAsia" w:ascii="宋体" w:hAnsi="宋体" w:cs="宋体"/>
        </w:rPr>
        <w:t>备注：</w:t>
      </w:r>
    </w:p>
    <w:p>
      <w:pPr>
        <w:pStyle w:val="59"/>
        <w:numPr>
          <w:ilvl w:val="0"/>
          <w:numId w:val="20"/>
        </w:numPr>
        <w:autoSpaceDE w:val="0"/>
        <w:autoSpaceDN w:val="0"/>
        <w:adjustRightInd w:val="0"/>
        <w:ind w:firstLineChars="0"/>
        <w:rPr>
          <w:rFonts w:ascii="宋体" w:hAnsi="宋体"/>
        </w:rPr>
      </w:pPr>
      <w:r>
        <w:rPr>
          <w:rFonts w:hint="eastAsia" w:ascii="宋体" w:hAnsi="宋体"/>
        </w:rPr>
        <w:t>本声明函必须提供且内容不得擅自删改，否则视为响应无效。</w:t>
      </w:r>
    </w:p>
    <w:p>
      <w:pPr>
        <w:pStyle w:val="59"/>
        <w:numPr>
          <w:ilvl w:val="0"/>
          <w:numId w:val="20"/>
        </w:numPr>
        <w:snapToGrid w:val="0"/>
        <w:ind w:firstLineChars="0"/>
        <w:rPr>
          <w:rFonts w:ascii="宋体" w:hAnsi="宋体"/>
          <w:szCs w:val="21"/>
        </w:rPr>
      </w:pPr>
      <w:r>
        <w:rPr>
          <w:rFonts w:hint="eastAsia" w:ascii="宋体" w:hAnsi="宋体"/>
          <w:szCs w:val="21"/>
        </w:rPr>
        <w:t>本声明函如有虚假或与事实不符的，作无效报价处理。</w:t>
      </w:r>
    </w:p>
    <w:p>
      <w:pPr>
        <w:pStyle w:val="59"/>
        <w:wordWrap w:val="0"/>
        <w:ind w:left="1200" w:right="218" w:firstLine="0" w:firstLineChars="0"/>
        <w:jc w:val="right"/>
        <w:rPr>
          <w:rFonts w:ascii="宋体" w:hAnsi="宋体"/>
          <w:szCs w:val="21"/>
          <w:u w:val="single"/>
        </w:rPr>
      </w:pPr>
      <w:r>
        <w:rPr>
          <w:rFonts w:hint="eastAsia" w:ascii="宋体" w:hAnsi="宋体"/>
          <w:spacing w:val="4"/>
          <w:szCs w:val="21"/>
        </w:rPr>
        <w:t>供应商名称（</w:t>
      </w:r>
      <w:r>
        <w:rPr>
          <w:rFonts w:hint="eastAsia" w:ascii="宋体" w:hAnsi="宋体"/>
          <w:szCs w:val="21"/>
        </w:rPr>
        <w:t>单位盖</w:t>
      </w:r>
      <w:r>
        <w:rPr>
          <w:rFonts w:hint="eastAsia" w:ascii="宋体" w:hAnsi="宋体"/>
          <w:spacing w:val="4"/>
          <w:szCs w:val="21"/>
        </w:rPr>
        <w:t>公章）：</w:t>
      </w:r>
      <w:r>
        <w:rPr>
          <w:rFonts w:hint="eastAsia" w:ascii="宋体" w:hAnsi="宋体"/>
          <w:spacing w:val="4"/>
          <w:szCs w:val="21"/>
          <w:u w:val="single"/>
        </w:rPr>
        <w:t xml:space="preserve">          </w:t>
      </w:r>
    </w:p>
    <w:p>
      <w:pPr>
        <w:wordWrap w:val="0"/>
        <w:spacing w:line="360" w:lineRule="auto"/>
        <w:ind w:left="840"/>
        <w:jc w:val="right"/>
        <w:rPr>
          <w:rFonts w:ascii="宋体" w:hAnsi="宋体"/>
          <w:szCs w:val="21"/>
          <w:u w:val="single"/>
        </w:rPr>
      </w:pPr>
      <w:r>
        <w:rPr>
          <w:rFonts w:hint="eastAsia" w:ascii="宋体" w:hAnsi="宋体"/>
          <w:spacing w:val="4"/>
          <w:szCs w:val="21"/>
        </w:rPr>
        <w:t>日期：</w:t>
      </w:r>
      <w:r>
        <w:rPr>
          <w:rFonts w:hint="eastAsia" w:ascii="宋体" w:hAnsi="宋体"/>
          <w:spacing w:val="4"/>
          <w:szCs w:val="21"/>
          <w:u w:val="single"/>
        </w:rPr>
        <w:t xml:space="preserve">          </w:t>
      </w:r>
    </w:p>
    <w:p>
      <w:pPr>
        <w:rPr>
          <w:rFonts w:ascii="宋体" w:hAnsi="宋体"/>
          <w:b/>
          <w:bCs/>
          <w:kern w:val="28"/>
          <w:sz w:val="32"/>
          <w:szCs w:val="32"/>
        </w:rPr>
      </w:pPr>
      <w:r>
        <w:rPr>
          <w:rFonts w:hint="eastAsia" w:ascii="宋体" w:hAnsi="宋体"/>
          <w:b/>
          <w:bCs/>
          <w:kern w:val="28"/>
          <w:sz w:val="32"/>
          <w:szCs w:val="32"/>
        </w:rPr>
        <w:br w:type="page"/>
      </w:r>
    </w:p>
    <w:p>
      <w:pPr>
        <w:autoSpaceDE w:val="0"/>
        <w:autoSpaceDN w:val="0"/>
        <w:adjustRightInd w:val="0"/>
        <w:spacing w:before="240" w:after="60" w:line="312" w:lineRule="auto"/>
        <w:jc w:val="center"/>
        <w:outlineLvl w:val="1"/>
        <w:rPr>
          <w:rFonts w:ascii="宋体" w:hAnsi="宋体"/>
          <w:b/>
          <w:bCs/>
          <w:kern w:val="28"/>
          <w:sz w:val="32"/>
          <w:szCs w:val="32"/>
        </w:rPr>
      </w:pPr>
      <w:r>
        <w:rPr>
          <w:rFonts w:hint="eastAsia" w:ascii="宋体" w:hAnsi="宋体"/>
          <w:b/>
          <w:bCs/>
          <w:kern w:val="28"/>
          <w:sz w:val="32"/>
          <w:szCs w:val="32"/>
        </w:rPr>
        <w:t>用户需求书响应声明函</w:t>
      </w:r>
    </w:p>
    <w:p>
      <w:pPr>
        <w:autoSpaceDE w:val="0"/>
        <w:autoSpaceDN w:val="0"/>
        <w:adjustRightInd w:val="0"/>
        <w:snapToGrid w:val="0"/>
        <w:spacing w:line="360" w:lineRule="auto"/>
        <w:rPr>
          <w:rFonts w:ascii="宋体" w:hAnsi="宋体"/>
          <w:b/>
          <w:szCs w:val="21"/>
        </w:rPr>
      </w:pPr>
      <w:bookmarkStart w:id="3" w:name="_Hlk74835188"/>
      <w:bookmarkStart w:id="4" w:name="_Hlk70414952"/>
      <w:r>
        <w:rPr>
          <w:rFonts w:hint="eastAsia" w:ascii="宋体" w:hAnsi="宋体"/>
          <w:b/>
          <w:szCs w:val="21"/>
        </w:rPr>
        <w:t>致：</w:t>
      </w:r>
      <w:r>
        <w:rPr>
          <w:rFonts w:hint="eastAsia" w:ascii="宋体" w:hAnsi="宋体" w:cs="宋体"/>
          <w:b/>
          <w:bCs/>
          <w:szCs w:val="21"/>
        </w:rPr>
        <w:t>广东省广播电视网络股份有限公司佛山三水分公司</w:t>
      </w:r>
      <w:r>
        <w:rPr>
          <w:rFonts w:hint="eastAsia" w:ascii="宋体" w:hAnsi="宋体"/>
          <w:b/>
          <w:szCs w:val="21"/>
        </w:rPr>
        <w:t>、采联国际招标采购集团有限公司</w:t>
      </w:r>
    </w:p>
    <w:p>
      <w:pPr>
        <w:autoSpaceDE w:val="0"/>
        <w:autoSpaceDN w:val="0"/>
        <w:adjustRightInd w:val="0"/>
        <w:snapToGrid w:val="0"/>
        <w:spacing w:line="360" w:lineRule="auto"/>
        <w:rPr>
          <w:rFonts w:ascii="宋体" w:hAnsi="宋体"/>
          <w:b/>
          <w:szCs w:val="21"/>
        </w:rPr>
      </w:pPr>
    </w:p>
    <w:p>
      <w:pPr>
        <w:autoSpaceDE w:val="0"/>
        <w:autoSpaceDN w:val="0"/>
        <w:adjustRightInd w:val="0"/>
        <w:snapToGrid w:val="0"/>
        <w:spacing w:line="360" w:lineRule="auto"/>
        <w:ind w:firstLine="424" w:firstLineChars="202"/>
        <w:rPr>
          <w:rFonts w:ascii="宋体" w:hAnsi="宋体"/>
          <w:szCs w:val="21"/>
        </w:rPr>
      </w:pPr>
      <w:r>
        <w:rPr>
          <w:rFonts w:hint="eastAsia" w:ascii="宋体" w:hAnsi="宋体"/>
          <w:szCs w:val="21"/>
        </w:rPr>
        <w:t>关于贵单位、贵司发布</w:t>
      </w:r>
      <w:r>
        <w:rPr>
          <w:rFonts w:hint="eastAsia" w:ascii="宋体" w:hAnsi="宋体" w:cs="宋体"/>
          <w:b/>
          <w:bCs/>
          <w:szCs w:val="21"/>
          <w:u w:val="single"/>
          <w:lang w:eastAsia="zh-CN"/>
        </w:rPr>
        <w:t>采购应急广播收扩机项目</w:t>
      </w:r>
      <w:r>
        <w:rPr>
          <w:rFonts w:hint="eastAsia" w:ascii="宋体" w:hAnsi="宋体"/>
          <w:szCs w:val="21"/>
        </w:rPr>
        <w:t>的竞价公告</w:t>
      </w:r>
      <w:bookmarkEnd w:id="3"/>
      <w:r>
        <w:rPr>
          <w:rFonts w:hint="eastAsia" w:ascii="宋体" w:hAnsi="宋体"/>
          <w:szCs w:val="21"/>
        </w:rPr>
        <w:t>，本公司（企业）愿意参加采购活动，并作出如下声明：</w:t>
      </w:r>
    </w:p>
    <w:bookmarkEnd w:id="4"/>
    <w:p>
      <w:pPr>
        <w:autoSpaceDE w:val="0"/>
        <w:autoSpaceDN w:val="0"/>
        <w:adjustRightInd w:val="0"/>
        <w:snapToGrid w:val="0"/>
        <w:spacing w:line="360" w:lineRule="auto"/>
        <w:ind w:firstLine="424" w:firstLineChars="202"/>
        <w:rPr>
          <w:rFonts w:ascii="宋体" w:hAnsi="宋体"/>
          <w:szCs w:val="21"/>
        </w:rPr>
      </w:pPr>
      <w:r>
        <w:rPr>
          <w:rFonts w:hint="eastAsia" w:ascii="宋体" w:hAnsi="宋体"/>
          <w:szCs w:val="21"/>
        </w:rPr>
        <w:t>本公司（企业）承诺在报名时已对于用户需求书中的各项条款、内容及要求给予充分考虑，明确承诺对于本项目的用户需求中的各项条款、内容及要求均为完全响应，不存在任意一条负偏离或不响应的情况。本公司（企业）清楚，若对于用户需求书各项条款存在任意一条负偏离或不响应的情况，不被推荐为成交候选人的要求。</w:t>
      </w:r>
    </w:p>
    <w:p>
      <w:pPr>
        <w:autoSpaceDE w:val="0"/>
        <w:autoSpaceDN w:val="0"/>
        <w:adjustRightInd w:val="0"/>
        <w:snapToGrid w:val="0"/>
        <w:spacing w:line="360" w:lineRule="auto"/>
        <w:ind w:firstLine="424" w:firstLineChars="202"/>
        <w:rPr>
          <w:rFonts w:ascii="宋体" w:hAnsi="宋体" w:cs="宋体"/>
          <w:szCs w:val="21"/>
        </w:rPr>
      </w:pPr>
      <w:r>
        <w:rPr>
          <w:rFonts w:hint="eastAsia" w:ascii="宋体" w:hAnsi="宋体" w:cs="宋体"/>
          <w:szCs w:val="21"/>
        </w:rPr>
        <w:t>本公司（企业）承诺在本次采购活动中，如有违法、违规、弄虚作假行为，所造成的损失、不良后果及法律责任，一律由我公司（企业）承担。</w:t>
      </w:r>
    </w:p>
    <w:p>
      <w:pPr>
        <w:autoSpaceDE w:val="0"/>
        <w:autoSpaceDN w:val="0"/>
        <w:adjustRightInd w:val="0"/>
        <w:snapToGrid w:val="0"/>
        <w:spacing w:line="360" w:lineRule="auto"/>
        <w:rPr>
          <w:rFonts w:ascii="宋体" w:hAnsi="宋体"/>
          <w:b/>
          <w:bCs/>
          <w:szCs w:val="21"/>
        </w:rPr>
      </w:pPr>
    </w:p>
    <w:p>
      <w:pPr>
        <w:autoSpaceDE w:val="0"/>
        <w:autoSpaceDN w:val="0"/>
        <w:adjustRightInd w:val="0"/>
        <w:snapToGrid w:val="0"/>
        <w:spacing w:line="360" w:lineRule="auto"/>
        <w:ind w:right="436"/>
        <w:jc w:val="right"/>
        <w:rPr>
          <w:rFonts w:ascii="宋体" w:hAnsi="宋体"/>
          <w:szCs w:val="21"/>
          <w:u w:val="single"/>
        </w:rPr>
      </w:pPr>
      <w:r>
        <w:rPr>
          <w:rFonts w:hint="eastAsia" w:ascii="宋体" w:hAnsi="宋体"/>
          <w:spacing w:val="4"/>
          <w:szCs w:val="21"/>
        </w:rPr>
        <w:t>供应商名称（</w:t>
      </w:r>
      <w:r>
        <w:rPr>
          <w:rFonts w:hint="eastAsia" w:ascii="宋体" w:hAnsi="宋体"/>
          <w:szCs w:val="21"/>
        </w:rPr>
        <w:t>单位盖</w:t>
      </w:r>
      <w:r>
        <w:rPr>
          <w:rFonts w:hint="eastAsia" w:ascii="宋体" w:hAnsi="宋体"/>
          <w:spacing w:val="4"/>
          <w:szCs w:val="21"/>
        </w:rPr>
        <w:t>公章）：</w:t>
      </w:r>
    </w:p>
    <w:p>
      <w:pPr>
        <w:autoSpaceDE w:val="0"/>
        <w:autoSpaceDN w:val="0"/>
        <w:adjustRightInd w:val="0"/>
        <w:snapToGrid w:val="0"/>
        <w:spacing w:line="360" w:lineRule="auto"/>
        <w:ind w:firstLine="105" w:firstLineChars="50"/>
        <w:jc w:val="right"/>
        <w:rPr>
          <w:rFonts w:ascii="宋体" w:hAnsi="宋体"/>
          <w:szCs w:val="21"/>
          <w:u w:val="single"/>
        </w:rPr>
      </w:pPr>
    </w:p>
    <w:p>
      <w:pPr>
        <w:autoSpaceDE w:val="0"/>
        <w:autoSpaceDN w:val="0"/>
        <w:adjustRightInd w:val="0"/>
        <w:snapToGrid w:val="0"/>
        <w:spacing w:line="360" w:lineRule="auto"/>
        <w:ind w:right="436" w:firstLine="2625" w:firstLineChars="1250"/>
        <w:jc w:val="right"/>
        <w:rPr>
          <w:rFonts w:ascii="宋体" w:hAnsi="宋体" w:cs="宋体"/>
          <w:szCs w:val="21"/>
        </w:rPr>
      </w:pPr>
      <w:r>
        <w:rPr>
          <w:rFonts w:hint="eastAsia" w:ascii="宋体" w:hAnsi="宋体" w:cs="宋体"/>
          <w:szCs w:val="21"/>
        </w:rPr>
        <w:t>日期：</w:t>
      </w:r>
      <w:bookmarkStart w:id="5" w:name="_Toc435515303"/>
      <w:bookmarkStart w:id="6" w:name="_Toc435514863"/>
    </w:p>
    <w:bookmarkEnd w:id="5"/>
    <w:bookmarkEnd w:id="6"/>
    <w:p>
      <w:pPr>
        <w:spacing w:line="360" w:lineRule="auto"/>
        <w:ind w:right="1760"/>
        <w:rPr>
          <w:rFonts w:cs="宋体" w:asciiTheme="minorEastAsia" w:hAnsiTheme="minorEastAsia" w:eastAsiaTheme="minorEastAsia"/>
          <w:sz w:val="24"/>
        </w:rPr>
      </w:pPr>
    </w:p>
    <w:p>
      <w:pPr>
        <w:spacing w:line="360" w:lineRule="auto"/>
        <w:ind w:right="1760"/>
        <w:rPr>
          <w:rFonts w:cs="宋体" w:asciiTheme="minorEastAsia" w:hAnsiTheme="minorEastAsia" w:eastAsiaTheme="minorEastAsia"/>
          <w:sz w:val="24"/>
        </w:rPr>
      </w:pPr>
    </w:p>
    <w:p>
      <w:pPr>
        <w:spacing w:line="360" w:lineRule="auto"/>
        <w:ind w:right="1760"/>
        <w:rPr>
          <w:rFonts w:cs="宋体" w:asciiTheme="minorEastAsia" w:hAnsiTheme="minorEastAsia" w:eastAsiaTheme="minorEastAsia"/>
          <w:sz w:val="24"/>
        </w:rPr>
      </w:pPr>
    </w:p>
    <w:p>
      <w:pPr>
        <w:spacing w:line="360" w:lineRule="auto"/>
        <w:ind w:right="1760"/>
        <w:rPr>
          <w:rFonts w:cs="宋体" w:asciiTheme="minorEastAsia" w:hAnsiTheme="minorEastAsia" w:eastAsiaTheme="minorEastAsia"/>
          <w:sz w:val="24"/>
        </w:rPr>
      </w:pPr>
    </w:p>
    <w:p>
      <w:pPr>
        <w:spacing w:line="360" w:lineRule="auto"/>
        <w:ind w:right="1760"/>
        <w:rPr>
          <w:rFonts w:cs="宋体" w:asciiTheme="minorEastAsia" w:hAnsiTheme="minorEastAsia" w:eastAsiaTheme="minorEastAsia"/>
          <w:sz w:val="24"/>
        </w:rPr>
      </w:pPr>
    </w:p>
    <w:p>
      <w:pPr>
        <w:spacing w:line="360" w:lineRule="auto"/>
        <w:ind w:right="1760"/>
        <w:rPr>
          <w:rFonts w:cs="宋体" w:asciiTheme="minorEastAsia" w:hAnsiTheme="minorEastAsia" w:eastAsiaTheme="minorEastAsia"/>
          <w:sz w:val="24"/>
        </w:rPr>
      </w:pPr>
    </w:p>
    <w:p>
      <w:pPr>
        <w:spacing w:line="360" w:lineRule="auto"/>
        <w:ind w:right="1760"/>
        <w:rPr>
          <w:rFonts w:cs="宋体" w:asciiTheme="minorEastAsia" w:hAnsiTheme="minorEastAsia" w:eastAsiaTheme="minorEastAsia"/>
          <w:sz w:val="24"/>
        </w:rPr>
      </w:pPr>
    </w:p>
    <w:p>
      <w:pPr>
        <w:spacing w:line="360" w:lineRule="auto"/>
        <w:ind w:right="1760"/>
        <w:rPr>
          <w:rFonts w:cs="宋体" w:asciiTheme="minorEastAsia" w:hAnsiTheme="minorEastAsia" w:eastAsiaTheme="minorEastAsia"/>
          <w:sz w:val="24"/>
        </w:rPr>
      </w:pPr>
    </w:p>
    <w:p>
      <w:pPr>
        <w:spacing w:line="360" w:lineRule="auto"/>
        <w:ind w:right="1760"/>
        <w:rPr>
          <w:rFonts w:cs="宋体" w:asciiTheme="minorEastAsia" w:hAnsiTheme="minorEastAsia" w:eastAsiaTheme="minorEastAsia"/>
          <w:sz w:val="24"/>
        </w:rPr>
      </w:pPr>
    </w:p>
    <w:p>
      <w:pPr>
        <w:spacing w:line="360" w:lineRule="auto"/>
        <w:ind w:right="1760"/>
        <w:rPr>
          <w:rFonts w:cs="宋体" w:asciiTheme="minorEastAsia" w:hAnsiTheme="minorEastAsia" w:eastAsiaTheme="minorEastAsia"/>
          <w:sz w:val="24"/>
        </w:rPr>
      </w:pPr>
    </w:p>
    <w:p>
      <w:pPr>
        <w:spacing w:line="360" w:lineRule="auto"/>
        <w:ind w:right="1760"/>
        <w:rPr>
          <w:rFonts w:cs="宋体" w:asciiTheme="minorEastAsia" w:hAnsiTheme="minorEastAsia" w:eastAsiaTheme="minorEastAsia"/>
          <w:sz w:val="24"/>
        </w:rPr>
      </w:pPr>
    </w:p>
    <w:p>
      <w:pPr>
        <w:spacing w:line="360" w:lineRule="auto"/>
        <w:ind w:right="1760"/>
        <w:rPr>
          <w:rFonts w:cs="宋体" w:asciiTheme="minorEastAsia" w:hAnsiTheme="minorEastAsia" w:eastAsiaTheme="minorEastAsia"/>
          <w:sz w:val="24"/>
        </w:rPr>
      </w:pPr>
    </w:p>
    <w:p>
      <w:pPr>
        <w:spacing w:line="360" w:lineRule="auto"/>
        <w:ind w:right="1760"/>
        <w:rPr>
          <w:rFonts w:cs="宋体" w:asciiTheme="minorEastAsia" w:hAnsiTheme="minorEastAsia" w:eastAsiaTheme="minorEastAsia"/>
          <w:sz w:val="24"/>
        </w:rPr>
      </w:pPr>
    </w:p>
    <w:p>
      <w:pPr>
        <w:spacing w:line="360" w:lineRule="auto"/>
        <w:ind w:right="1760"/>
        <w:rPr>
          <w:rFonts w:cs="宋体" w:asciiTheme="minorEastAsia" w:hAnsiTheme="minorEastAsia" w:eastAsiaTheme="minorEastAsia"/>
          <w:sz w:val="24"/>
        </w:rPr>
      </w:pPr>
    </w:p>
    <w:p>
      <w:pPr>
        <w:pStyle w:val="59"/>
        <w:ind w:firstLine="663" w:firstLineChars="221"/>
        <w:rPr>
          <w:rFonts w:ascii="仿宋" w:hAnsi="仿宋" w:eastAsia="仿宋" w:cs="仿宋"/>
          <w:kern w:val="0"/>
          <w:sz w:val="30"/>
          <w:szCs w:val="30"/>
        </w:rPr>
      </w:pPr>
    </w:p>
    <w:p>
      <w:pPr>
        <w:spacing w:line="360" w:lineRule="auto"/>
        <w:jc w:val="center"/>
        <w:outlineLvl w:val="0"/>
        <w:rPr>
          <w:rFonts w:ascii="宋体" w:hAnsi="宋体"/>
          <w:b/>
          <w:szCs w:val="21"/>
        </w:rPr>
      </w:pPr>
      <w:r>
        <w:rPr>
          <w:rFonts w:hint="eastAsia" w:ascii="Cambria" w:hAnsi="Cambria" w:cs="宋体"/>
          <w:b/>
          <w:bCs/>
          <w:sz w:val="32"/>
          <w:szCs w:val="32"/>
        </w:rPr>
        <w:t>第三章 合同</w:t>
      </w:r>
    </w:p>
    <w:p>
      <w:pPr>
        <w:spacing w:line="360" w:lineRule="auto"/>
        <w:jc w:val="right"/>
        <w:rPr>
          <w:rFonts w:ascii="宋体" w:hAnsi="宋体"/>
          <w:b/>
          <w:szCs w:val="21"/>
        </w:rPr>
      </w:pPr>
    </w:p>
    <w:p>
      <w:pPr>
        <w:tabs>
          <w:tab w:val="left" w:pos="4656"/>
          <w:tab w:val="right" w:pos="8426"/>
        </w:tabs>
        <w:spacing w:line="360" w:lineRule="auto"/>
        <w:jc w:val="left"/>
        <w:rPr>
          <w:rFonts w:ascii="宋体" w:hAnsi="宋体"/>
          <w:b/>
          <w:szCs w:val="21"/>
        </w:rPr>
      </w:pPr>
      <w:r>
        <w:rPr>
          <w:rFonts w:hint="eastAsia" w:ascii="宋体" w:hAnsi="宋体"/>
          <w:b/>
          <w:szCs w:val="21"/>
        </w:rPr>
        <w:tab/>
      </w:r>
      <w:r>
        <w:rPr>
          <w:rFonts w:hint="eastAsia" w:ascii="宋体" w:hAnsi="宋体"/>
          <w:b/>
          <w:szCs w:val="21"/>
        </w:rPr>
        <w:t>合同编号：【                  】</w:t>
      </w:r>
    </w:p>
    <w:p>
      <w:pPr>
        <w:widowControl/>
        <w:jc w:val="left"/>
      </w:pPr>
    </w:p>
    <w:p>
      <w:pPr>
        <w:widowControl/>
        <w:jc w:val="left"/>
      </w:pPr>
    </w:p>
    <w:p>
      <w:pPr>
        <w:spacing w:line="360" w:lineRule="auto"/>
        <w:jc w:val="center"/>
        <w:rPr>
          <w:rFonts w:ascii="宋体" w:hAnsi="宋体"/>
          <w:b/>
          <w:bCs/>
          <w:sz w:val="40"/>
          <w:szCs w:val="40"/>
        </w:rPr>
      </w:pPr>
      <w:r>
        <w:rPr>
          <w:rFonts w:hint="eastAsia" w:ascii="宋体" w:hAnsi="宋体" w:cs="仿宋_GB2312"/>
          <w:b/>
          <w:sz w:val="40"/>
          <w:szCs w:val="40"/>
        </w:rPr>
        <w:t xml:space="preserve"> 采购应急广播收扩机合同</w:t>
      </w:r>
    </w:p>
    <w:p>
      <w:pPr>
        <w:spacing w:line="360" w:lineRule="auto"/>
        <w:jc w:val="center"/>
        <w:rPr>
          <w:rFonts w:ascii="宋体" w:hAnsi="宋体"/>
          <w:b/>
          <w:bCs/>
          <w:szCs w:val="21"/>
        </w:rPr>
      </w:pPr>
    </w:p>
    <w:p>
      <w:pPr>
        <w:spacing w:line="360" w:lineRule="auto"/>
        <w:jc w:val="center"/>
        <w:rPr>
          <w:rFonts w:ascii="宋体" w:hAnsi="宋体"/>
          <w:b/>
          <w:bCs/>
          <w:szCs w:val="21"/>
        </w:rPr>
      </w:pPr>
    </w:p>
    <w:p>
      <w:pPr>
        <w:tabs>
          <w:tab w:val="left" w:pos="3296"/>
        </w:tabs>
        <w:adjustRightInd w:val="0"/>
        <w:snapToGrid w:val="0"/>
        <w:spacing w:line="360" w:lineRule="auto"/>
        <w:rPr>
          <w:rFonts w:ascii="宋体" w:hAnsi="宋体"/>
          <w:b/>
          <w:bCs/>
          <w:szCs w:val="21"/>
        </w:rPr>
      </w:pPr>
    </w:p>
    <w:p>
      <w:pPr>
        <w:tabs>
          <w:tab w:val="left" w:pos="3296"/>
        </w:tabs>
        <w:adjustRightInd w:val="0"/>
        <w:snapToGrid w:val="0"/>
        <w:spacing w:line="360" w:lineRule="auto"/>
        <w:jc w:val="center"/>
        <w:rPr>
          <w:rFonts w:ascii="宋体" w:hAnsi="宋体"/>
          <w:b/>
          <w:bCs/>
          <w:szCs w:val="21"/>
        </w:rPr>
      </w:pPr>
    </w:p>
    <w:p>
      <w:pPr>
        <w:tabs>
          <w:tab w:val="left" w:pos="3296"/>
        </w:tabs>
        <w:adjustRightInd w:val="0"/>
        <w:snapToGrid w:val="0"/>
        <w:spacing w:line="360" w:lineRule="auto"/>
        <w:jc w:val="center"/>
        <w:rPr>
          <w:rFonts w:ascii="宋体" w:hAnsi="宋体"/>
          <w:b/>
          <w:bCs/>
          <w:szCs w:val="21"/>
        </w:rPr>
      </w:pPr>
    </w:p>
    <w:p>
      <w:pPr>
        <w:tabs>
          <w:tab w:val="left" w:pos="3296"/>
        </w:tabs>
        <w:adjustRightInd w:val="0"/>
        <w:snapToGrid w:val="0"/>
        <w:spacing w:line="360" w:lineRule="auto"/>
        <w:jc w:val="center"/>
        <w:rPr>
          <w:rFonts w:ascii="宋体" w:hAnsi="宋体"/>
          <w:b/>
          <w:bCs/>
          <w:szCs w:val="21"/>
        </w:rPr>
      </w:pPr>
    </w:p>
    <w:p>
      <w:pPr>
        <w:tabs>
          <w:tab w:val="left" w:pos="3296"/>
        </w:tabs>
        <w:adjustRightInd w:val="0"/>
        <w:snapToGrid w:val="0"/>
        <w:spacing w:line="360" w:lineRule="auto"/>
        <w:rPr>
          <w:rFonts w:ascii="宋体" w:hAnsi="宋体"/>
          <w:b/>
          <w:bCs/>
          <w:szCs w:val="21"/>
        </w:rPr>
      </w:pPr>
    </w:p>
    <w:p>
      <w:pPr>
        <w:tabs>
          <w:tab w:val="left" w:pos="3296"/>
        </w:tabs>
        <w:adjustRightInd w:val="0"/>
        <w:snapToGrid w:val="0"/>
        <w:spacing w:line="360" w:lineRule="auto"/>
        <w:jc w:val="left"/>
        <w:rPr>
          <w:rFonts w:ascii="宋体" w:hAnsi="宋体"/>
          <w:b/>
          <w:bCs/>
          <w:szCs w:val="21"/>
        </w:rPr>
      </w:pPr>
      <w:r>
        <w:rPr>
          <w:rFonts w:hint="eastAsia" w:ascii="宋体" w:hAnsi="宋体"/>
          <w:b/>
          <w:bCs/>
          <w:szCs w:val="21"/>
        </w:rPr>
        <w:t>甲方</w:t>
      </w:r>
      <w:r>
        <w:rPr>
          <w:rFonts w:ascii="宋体" w:hAnsi="宋体"/>
          <w:b/>
          <w:bCs/>
          <w:szCs w:val="21"/>
        </w:rPr>
        <w:t>（</w:t>
      </w:r>
      <w:r>
        <w:rPr>
          <w:rFonts w:hint="eastAsia" w:ascii="宋体" w:hAnsi="宋体"/>
          <w:b/>
          <w:bCs/>
          <w:szCs w:val="21"/>
        </w:rPr>
        <w:t>采购人</w:t>
      </w:r>
      <w:r>
        <w:rPr>
          <w:rFonts w:ascii="宋体" w:hAnsi="宋体"/>
          <w:b/>
          <w:bCs/>
          <w:szCs w:val="21"/>
        </w:rPr>
        <w:t>）：</w:t>
      </w:r>
      <w:r>
        <w:rPr>
          <w:rFonts w:hint="eastAsia" w:ascii="宋体" w:hAnsi="宋体"/>
          <w:b/>
          <w:bCs/>
          <w:szCs w:val="21"/>
        </w:rPr>
        <w:t>广东省广播电视网络股份有限公司佛山三水分公司</w:t>
      </w:r>
    </w:p>
    <w:p>
      <w:pPr>
        <w:tabs>
          <w:tab w:val="left" w:pos="3296"/>
        </w:tabs>
        <w:adjustRightInd w:val="0"/>
        <w:snapToGrid w:val="0"/>
        <w:spacing w:line="360" w:lineRule="auto"/>
        <w:jc w:val="left"/>
        <w:rPr>
          <w:rFonts w:ascii="宋体" w:hAnsi="宋体"/>
          <w:b/>
          <w:bCs/>
          <w:szCs w:val="21"/>
        </w:rPr>
      </w:pPr>
      <w:r>
        <w:rPr>
          <w:rFonts w:hint="eastAsia" w:ascii="宋体" w:hAnsi="宋体"/>
          <w:b/>
          <w:bCs/>
          <w:szCs w:val="21"/>
        </w:rPr>
        <w:t>乙方</w:t>
      </w:r>
      <w:r>
        <w:rPr>
          <w:rFonts w:ascii="宋体" w:hAnsi="宋体"/>
          <w:b/>
          <w:bCs/>
          <w:szCs w:val="21"/>
        </w:rPr>
        <w:t>（</w:t>
      </w:r>
      <w:r>
        <w:rPr>
          <w:rFonts w:hint="eastAsia" w:ascii="宋体" w:hAnsi="宋体"/>
          <w:b/>
          <w:bCs/>
          <w:szCs w:val="21"/>
        </w:rPr>
        <w:t>供应商</w:t>
      </w:r>
      <w:r>
        <w:rPr>
          <w:rFonts w:ascii="宋体" w:hAnsi="宋体"/>
          <w:b/>
          <w:bCs/>
          <w:szCs w:val="21"/>
        </w:rPr>
        <w:t>）：</w:t>
      </w:r>
    </w:p>
    <w:p>
      <w:pPr>
        <w:snapToGrid w:val="0"/>
        <w:spacing w:line="360" w:lineRule="auto"/>
        <w:rPr>
          <w:rFonts w:ascii="宋体" w:hAnsi="宋体"/>
          <w:bCs/>
          <w:szCs w:val="21"/>
          <w:u w:val="single"/>
        </w:rPr>
      </w:pPr>
    </w:p>
    <w:p>
      <w:pPr>
        <w:widowControl/>
        <w:autoSpaceDE w:val="0"/>
        <w:autoSpaceDN w:val="0"/>
        <w:spacing w:line="360" w:lineRule="auto"/>
        <w:ind w:firstLine="420" w:firstLineChars="200"/>
        <w:textAlignment w:val="bottom"/>
        <w:rPr>
          <w:rFonts w:ascii="宋体" w:hAnsi="宋体"/>
          <w:szCs w:val="21"/>
        </w:rPr>
      </w:pPr>
    </w:p>
    <w:p>
      <w:pPr>
        <w:widowControl/>
        <w:autoSpaceDE w:val="0"/>
        <w:autoSpaceDN w:val="0"/>
        <w:spacing w:line="360" w:lineRule="auto"/>
        <w:ind w:firstLine="420" w:firstLineChars="200"/>
        <w:textAlignment w:val="bottom"/>
        <w:rPr>
          <w:rFonts w:ascii="宋体" w:hAnsi="宋体"/>
          <w:szCs w:val="21"/>
        </w:rPr>
      </w:pPr>
    </w:p>
    <w:p>
      <w:pPr>
        <w:spacing w:line="360" w:lineRule="auto"/>
        <w:jc w:val="center"/>
        <w:rPr>
          <w:b/>
          <w:sz w:val="24"/>
        </w:rPr>
      </w:pPr>
    </w:p>
    <w:p>
      <w:pPr>
        <w:spacing w:line="360" w:lineRule="auto"/>
        <w:jc w:val="center"/>
        <w:rPr>
          <w:b/>
          <w:sz w:val="24"/>
        </w:rPr>
      </w:pPr>
    </w:p>
    <w:p>
      <w:pPr>
        <w:spacing w:line="360" w:lineRule="auto"/>
        <w:jc w:val="center"/>
        <w:rPr>
          <w:b/>
          <w:sz w:val="24"/>
        </w:rPr>
      </w:pPr>
    </w:p>
    <w:p>
      <w:pPr>
        <w:spacing w:line="360" w:lineRule="auto"/>
        <w:jc w:val="center"/>
        <w:rPr>
          <w:b/>
          <w:sz w:val="24"/>
        </w:rPr>
      </w:pPr>
    </w:p>
    <w:p>
      <w:pPr>
        <w:spacing w:line="360" w:lineRule="auto"/>
        <w:jc w:val="center"/>
        <w:rPr>
          <w:b/>
          <w:sz w:val="24"/>
        </w:rPr>
      </w:pPr>
    </w:p>
    <w:p>
      <w:pPr>
        <w:spacing w:line="360" w:lineRule="auto"/>
        <w:jc w:val="center"/>
        <w:rPr>
          <w:b/>
          <w:sz w:val="24"/>
        </w:rPr>
      </w:pPr>
    </w:p>
    <w:p>
      <w:pPr>
        <w:spacing w:line="360" w:lineRule="auto"/>
        <w:ind w:firstLine="420" w:firstLineChars="200"/>
        <w:rPr>
          <w:rFonts w:ascii="宋体" w:hAnsi="宋体" w:cs="Tahoma"/>
          <w:color w:val="000000"/>
          <w:szCs w:val="21"/>
        </w:rPr>
      </w:pPr>
      <w:r>
        <w:rPr>
          <w:rFonts w:ascii="宋体" w:hAnsi="宋体" w:cs="Tahoma"/>
          <w:color w:val="000000"/>
          <w:szCs w:val="21"/>
        </w:rPr>
        <w:tab/>
      </w:r>
    </w:p>
    <w:p>
      <w:pPr>
        <w:spacing w:line="360" w:lineRule="auto"/>
        <w:ind w:firstLine="420" w:firstLineChars="200"/>
        <w:rPr>
          <w:rFonts w:ascii="宋体" w:hAnsi="宋体" w:cs="Tahoma"/>
          <w:color w:val="000000"/>
          <w:szCs w:val="21"/>
        </w:rPr>
      </w:pPr>
    </w:p>
    <w:p>
      <w:pPr>
        <w:spacing w:line="360" w:lineRule="auto"/>
        <w:ind w:firstLine="420" w:firstLineChars="200"/>
        <w:rPr>
          <w:rFonts w:ascii="宋体" w:hAnsi="宋体" w:cs="Tahoma"/>
          <w:color w:val="000000"/>
          <w:szCs w:val="21"/>
        </w:rPr>
      </w:pPr>
    </w:p>
    <w:p>
      <w:pPr>
        <w:spacing w:line="360" w:lineRule="auto"/>
        <w:ind w:firstLine="420" w:firstLineChars="200"/>
        <w:rPr>
          <w:rFonts w:ascii="宋体" w:hAnsi="宋体" w:cs="Tahoma"/>
          <w:color w:val="000000"/>
          <w:szCs w:val="21"/>
        </w:rPr>
      </w:pPr>
    </w:p>
    <w:p>
      <w:pPr>
        <w:spacing w:line="360" w:lineRule="auto"/>
        <w:ind w:firstLine="420" w:firstLineChars="200"/>
        <w:rPr>
          <w:rFonts w:ascii="宋体" w:hAnsi="宋体" w:cs="Tahoma"/>
          <w:color w:val="000000"/>
          <w:szCs w:val="21"/>
        </w:rPr>
      </w:pPr>
    </w:p>
    <w:p>
      <w:pPr>
        <w:spacing w:line="360" w:lineRule="auto"/>
        <w:rPr>
          <w:rFonts w:ascii="宋体" w:hAnsi="宋体" w:cs="Tahoma"/>
          <w:color w:val="000000"/>
          <w:szCs w:val="21"/>
        </w:rPr>
      </w:pPr>
    </w:p>
    <w:p>
      <w:pPr>
        <w:widowControl/>
        <w:autoSpaceDE w:val="0"/>
        <w:autoSpaceDN w:val="0"/>
        <w:spacing w:line="360" w:lineRule="auto"/>
        <w:ind w:firstLine="420" w:firstLineChars="200"/>
        <w:textAlignment w:val="bottom"/>
        <w:rPr>
          <w:rFonts w:ascii="宋体" w:hAnsi="宋体"/>
          <w:szCs w:val="21"/>
        </w:rPr>
      </w:pPr>
      <w:r>
        <w:rPr>
          <w:rFonts w:hint="eastAsia" w:ascii="宋体" w:hAnsi="宋体"/>
          <w:szCs w:val="21"/>
        </w:rPr>
        <w:t>甲乙双方就甲方【</w:t>
      </w:r>
      <w:r>
        <w:rPr>
          <w:rFonts w:hint="eastAsia" w:ascii="宋体" w:hAnsi="宋体" w:cs="仿宋_GB2312"/>
          <w:b/>
          <w:sz w:val="24"/>
        </w:rPr>
        <w:t xml:space="preserve"> 采购应急广播收扩机 </w:t>
      </w:r>
      <w:r>
        <w:rPr>
          <w:rFonts w:hint="eastAsia" w:ascii="宋体" w:hAnsi="宋体"/>
          <w:szCs w:val="21"/>
        </w:rPr>
        <w:t>】，采购编号：【</w:t>
      </w:r>
      <w:r>
        <w:rPr>
          <w:rFonts w:hint="eastAsia" w:ascii="宋体" w:hAnsi="宋体" w:cs="仿宋_GB2312"/>
          <w:b/>
          <w:sz w:val="24"/>
        </w:rPr>
        <w:t xml:space="preserve">                 </w:t>
      </w:r>
      <w:r>
        <w:rPr>
          <w:rFonts w:hint="eastAsia" w:ascii="宋体" w:hAnsi="宋体"/>
          <w:szCs w:val="21"/>
        </w:rPr>
        <w:t>】，根据《中华人民共和国民法典》等相关法律法规，本着“平等、自愿、诚实、信用”的原则，经双方友好协商，订立本合同。</w:t>
      </w:r>
    </w:p>
    <w:p>
      <w:pPr>
        <w:pStyle w:val="48"/>
        <w:spacing w:line="360" w:lineRule="auto"/>
        <w:ind w:left="862" w:hanging="720" w:firstLineChars="0"/>
        <w:rPr>
          <w:rFonts w:ascii="宋体" w:hAnsi="宋体"/>
          <w:szCs w:val="21"/>
        </w:rPr>
      </w:pPr>
      <w:r>
        <w:rPr>
          <w:rFonts w:ascii="宋体" w:hAnsi="宋体"/>
          <w:szCs w:val="21"/>
        </w:rPr>
        <w:t>一．</w:t>
      </w:r>
      <w:r>
        <w:rPr>
          <w:rFonts w:hint="eastAsia" w:ascii="宋体" w:hAnsi="宋体"/>
          <w:szCs w:val="21"/>
        </w:rPr>
        <w:t xml:space="preserve">采购设备内容价格（单位：人民币 </w:t>
      </w:r>
      <w:r>
        <w:rPr>
          <w:rFonts w:ascii="宋体" w:hAnsi="宋体"/>
          <w:szCs w:val="21"/>
        </w:rPr>
        <w:t xml:space="preserve">    </w:t>
      </w:r>
      <w:r>
        <w:rPr>
          <w:rFonts w:hint="eastAsia" w:ascii="宋体" w:hAnsi="宋体"/>
          <w:szCs w:val="21"/>
        </w:rPr>
        <w:t>元）</w:t>
      </w:r>
    </w:p>
    <w:tbl>
      <w:tblPr>
        <w:tblStyle w:val="37"/>
        <w:tblW w:w="7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6"/>
        <w:gridCol w:w="710"/>
        <w:gridCol w:w="3539"/>
        <w:gridCol w:w="628"/>
        <w:gridCol w:w="628"/>
        <w:gridCol w:w="628"/>
        <w:gridCol w:w="7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16" w:type="dxa"/>
            <w:vAlign w:val="center"/>
          </w:tcPr>
          <w:p>
            <w:pPr>
              <w:jc w:val="center"/>
              <w:rPr>
                <w:rFonts w:ascii="宋体"/>
                <w:bCs/>
                <w:sz w:val="18"/>
                <w:szCs w:val="18"/>
              </w:rPr>
            </w:pPr>
          </w:p>
        </w:tc>
        <w:tc>
          <w:tcPr>
            <w:tcW w:w="710" w:type="dxa"/>
            <w:vAlign w:val="center"/>
          </w:tcPr>
          <w:p>
            <w:pPr>
              <w:jc w:val="center"/>
              <w:rPr>
                <w:b/>
                <w:sz w:val="18"/>
                <w:szCs w:val="18"/>
              </w:rPr>
            </w:pPr>
            <w:r>
              <w:rPr>
                <w:rFonts w:hint="eastAsia" w:ascii="宋体"/>
                <w:bCs/>
                <w:sz w:val="18"/>
                <w:szCs w:val="18"/>
              </w:rPr>
              <w:t xml:space="preserve"> </w:t>
            </w:r>
            <w:r>
              <w:rPr>
                <w:rFonts w:hint="eastAsia"/>
                <w:b/>
                <w:sz w:val="18"/>
                <w:szCs w:val="18"/>
              </w:rPr>
              <w:t>采购内容</w:t>
            </w:r>
          </w:p>
        </w:tc>
        <w:tc>
          <w:tcPr>
            <w:tcW w:w="3539" w:type="dxa"/>
            <w:vAlign w:val="center"/>
          </w:tcPr>
          <w:p>
            <w:pPr>
              <w:jc w:val="center"/>
              <w:rPr>
                <w:b/>
                <w:sz w:val="18"/>
                <w:szCs w:val="18"/>
              </w:rPr>
            </w:pPr>
            <w:r>
              <w:rPr>
                <w:b/>
                <w:sz w:val="18"/>
                <w:szCs w:val="18"/>
              </w:rPr>
              <w:t>参数要求</w:t>
            </w:r>
          </w:p>
        </w:tc>
        <w:tc>
          <w:tcPr>
            <w:tcW w:w="628" w:type="dxa"/>
            <w:vAlign w:val="center"/>
          </w:tcPr>
          <w:p>
            <w:pPr>
              <w:jc w:val="center"/>
              <w:rPr>
                <w:b/>
                <w:sz w:val="18"/>
                <w:szCs w:val="18"/>
              </w:rPr>
            </w:pPr>
            <w:r>
              <w:rPr>
                <w:rFonts w:hint="eastAsia"/>
                <w:b/>
                <w:sz w:val="18"/>
                <w:szCs w:val="18"/>
              </w:rPr>
              <w:t>单位</w:t>
            </w:r>
          </w:p>
        </w:tc>
        <w:tc>
          <w:tcPr>
            <w:tcW w:w="628" w:type="dxa"/>
            <w:vAlign w:val="center"/>
          </w:tcPr>
          <w:p>
            <w:pPr>
              <w:jc w:val="center"/>
              <w:rPr>
                <w:b/>
                <w:sz w:val="18"/>
                <w:szCs w:val="18"/>
              </w:rPr>
            </w:pPr>
            <w:r>
              <w:rPr>
                <w:rFonts w:hint="eastAsia"/>
                <w:b/>
                <w:sz w:val="18"/>
                <w:szCs w:val="18"/>
              </w:rPr>
              <w:t>数量</w:t>
            </w:r>
          </w:p>
        </w:tc>
        <w:tc>
          <w:tcPr>
            <w:tcW w:w="628" w:type="dxa"/>
            <w:vAlign w:val="center"/>
          </w:tcPr>
          <w:p>
            <w:pPr>
              <w:jc w:val="center"/>
              <w:rPr>
                <w:b/>
                <w:sz w:val="18"/>
                <w:szCs w:val="18"/>
              </w:rPr>
            </w:pPr>
            <w:r>
              <w:rPr>
                <w:rFonts w:hint="eastAsia"/>
                <w:b/>
                <w:sz w:val="18"/>
                <w:szCs w:val="18"/>
              </w:rPr>
              <w:t>备注</w:t>
            </w:r>
          </w:p>
        </w:tc>
        <w:tc>
          <w:tcPr>
            <w:tcW w:w="762" w:type="dxa"/>
            <w:vAlign w:val="center"/>
          </w:tcPr>
          <w:p>
            <w:pPr>
              <w:jc w:val="center"/>
              <w:rPr>
                <w:b/>
                <w:sz w:val="18"/>
                <w:szCs w:val="18"/>
              </w:rPr>
            </w:pPr>
            <w:r>
              <w:rPr>
                <w:rFonts w:hint="eastAsia"/>
                <w:b/>
                <w:sz w:val="18"/>
                <w:szCs w:val="18"/>
              </w:rPr>
              <w:t>小计（元）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jc w:val="center"/>
        </w:trPr>
        <w:tc>
          <w:tcPr>
            <w:tcW w:w="816" w:type="dxa"/>
            <w:vAlign w:val="center"/>
          </w:tcPr>
          <w:p>
            <w:pPr>
              <w:jc w:val="center"/>
              <w:rPr>
                <w:rFonts w:ascii="宋体" w:hAnsi="宋体" w:cs="宋体"/>
                <w:color w:val="000000"/>
                <w:kern w:val="0"/>
                <w:sz w:val="20"/>
                <w:szCs w:val="20"/>
              </w:rPr>
            </w:pPr>
            <w:r>
              <w:rPr>
                <w:rFonts w:hint="eastAsia" w:ascii="宋体" w:hAnsi="宋体" w:cs="宋体"/>
                <w:color w:val="000000"/>
                <w:kern w:val="0"/>
                <w:sz w:val="20"/>
                <w:szCs w:val="20"/>
              </w:rPr>
              <w:t>1</w:t>
            </w:r>
          </w:p>
        </w:tc>
        <w:tc>
          <w:tcPr>
            <w:tcW w:w="710" w:type="dxa"/>
            <w:vAlign w:val="center"/>
          </w:tcPr>
          <w:p>
            <w:pPr>
              <w:jc w:val="center"/>
            </w:pPr>
            <w:r>
              <w:rPr>
                <w:rFonts w:hint="eastAsia" w:ascii="宋体" w:hAnsi="宋体" w:cs="宋体"/>
                <w:color w:val="000000"/>
                <w:kern w:val="0"/>
                <w:sz w:val="20"/>
                <w:szCs w:val="20"/>
              </w:rPr>
              <w:t>多模收扩机</w:t>
            </w:r>
          </w:p>
        </w:tc>
        <w:tc>
          <w:tcPr>
            <w:tcW w:w="3539" w:type="dxa"/>
            <w:vAlign w:val="center"/>
          </w:tcPr>
          <w:p>
            <w:pPr>
              <w:widowControl/>
              <w:jc w:val="left"/>
              <w:rPr>
                <w:rFonts w:hint="eastAsia" w:ascii="宋体" w:hAnsi="宋体" w:eastAsia="宋体" w:cs="宋体"/>
                <w:color w:val="000000"/>
                <w:kern w:val="0"/>
                <w:sz w:val="20"/>
                <w:szCs w:val="20"/>
                <w:lang w:eastAsia="zh-CN"/>
              </w:rPr>
            </w:pPr>
            <w:r>
              <w:t>1.</w:t>
            </w:r>
            <w:r>
              <w:rPr>
                <w:rFonts w:hint="eastAsia" w:ascii="宋体" w:hAnsi="宋体" w:cs="宋体"/>
                <w:color w:val="000000"/>
                <w:kern w:val="0"/>
                <w:sz w:val="20"/>
                <w:szCs w:val="20"/>
              </w:rPr>
              <w:t xml:space="preserve">  室外防雨型设计</w:t>
            </w:r>
          </w:p>
          <w:p>
            <w:pPr>
              <w:widowControl/>
              <w:jc w:val="left"/>
              <w:rPr>
                <w:rFonts w:hint="eastAsia" w:ascii="宋体" w:hAnsi="宋体" w:eastAsia="宋体" w:cs="宋体"/>
                <w:color w:val="000000"/>
                <w:kern w:val="0"/>
                <w:sz w:val="20"/>
                <w:szCs w:val="20"/>
                <w:lang w:eastAsia="zh-CN"/>
              </w:rPr>
            </w:pPr>
            <w:r>
              <w:rPr>
                <w:rFonts w:hint="eastAsia" w:ascii="宋体" w:hAnsi="宋体" w:cs="宋体"/>
                <w:color w:val="000000"/>
                <w:kern w:val="0"/>
                <w:sz w:val="20"/>
                <w:szCs w:val="20"/>
              </w:rPr>
              <w:t>2. 具有通过IP与数字应急广播平台管理软件连网功能。</w:t>
            </w:r>
          </w:p>
          <w:p>
            <w:pPr>
              <w:widowControl/>
              <w:jc w:val="left"/>
              <w:rPr>
                <w:rFonts w:hint="eastAsia" w:ascii="宋体" w:hAnsi="宋体" w:eastAsia="宋体" w:cs="宋体"/>
                <w:color w:val="000000"/>
                <w:kern w:val="0"/>
                <w:sz w:val="20"/>
                <w:szCs w:val="20"/>
                <w:lang w:eastAsia="zh-CN"/>
              </w:rPr>
            </w:pPr>
            <w:r>
              <w:rPr>
                <w:rFonts w:hint="eastAsia" w:ascii="宋体" w:hAnsi="宋体" w:cs="宋体"/>
                <w:color w:val="000000"/>
                <w:kern w:val="0"/>
                <w:sz w:val="20"/>
                <w:szCs w:val="20"/>
              </w:rPr>
              <w:t>3. 具有支持上级平台通过IP网络对本机实时数据、状态回传至数字应急广播平台管理软件功能。</w:t>
            </w:r>
          </w:p>
          <w:p>
            <w:pPr>
              <w:widowControl/>
              <w:jc w:val="left"/>
              <w:rPr>
                <w:rFonts w:hint="eastAsia" w:ascii="宋体" w:hAnsi="宋体" w:eastAsia="宋体" w:cs="宋体"/>
                <w:color w:val="000000"/>
                <w:kern w:val="0"/>
                <w:sz w:val="20"/>
                <w:szCs w:val="20"/>
                <w:lang w:eastAsia="zh-CN"/>
              </w:rPr>
            </w:pPr>
            <w:r>
              <w:rPr>
                <w:rFonts w:hint="eastAsia" w:ascii="宋体" w:hAnsi="宋体" w:cs="宋体"/>
                <w:color w:val="000000"/>
                <w:kern w:val="0"/>
                <w:sz w:val="20"/>
                <w:szCs w:val="20"/>
              </w:rPr>
              <w:t>4. 支持平台对本机地图定位、状态显示功能。</w:t>
            </w:r>
          </w:p>
          <w:p>
            <w:pPr>
              <w:widowControl/>
              <w:jc w:val="left"/>
              <w:rPr>
                <w:rFonts w:hint="eastAsia" w:ascii="宋体" w:hAnsi="宋体" w:eastAsia="宋体" w:cs="宋体"/>
                <w:color w:val="000000"/>
                <w:kern w:val="0"/>
                <w:sz w:val="20"/>
                <w:szCs w:val="20"/>
                <w:lang w:eastAsia="zh-CN"/>
              </w:rPr>
            </w:pPr>
            <w:r>
              <w:rPr>
                <w:rFonts w:hint="eastAsia" w:ascii="宋体" w:hAnsi="宋体" w:cs="宋体"/>
                <w:color w:val="000000"/>
                <w:kern w:val="0"/>
                <w:sz w:val="20"/>
                <w:szCs w:val="20"/>
              </w:rPr>
              <w:t>5. 支持平台对本机分区、分组、定点广播功能。</w:t>
            </w:r>
          </w:p>
          <w:p>
            <w:pPr>
              <w:widowControl/>
              <w:jc w:val="left"/>
              <w:rPr>
                <w:rFonts w:hint="eastAsia" w:ascii="宋体" w:hAnsi="宋体" w:eastAsia="宋体" w:cs="宋体"/>
                <w:color w:val="000000"/>
                <w:kern w:val="0"/>
                <w:sz w:val="20"/>
                <w:szCs w:val="20"/>
                <w:lang w:eastAsia="zh-CN"/>
              </w:rPr>
            </w:pPr>
            <w:r>
              <w:rPr>
                <w:rFonts w:hint="eastAsia" w:ascii="宋体" w:hAnsi="宋体" w:cs="宋体"/>
                <w:color w:val="000000"/>
                <w:kern w:val="0"/>
                <w:sz w:val="20"/>
                <w:szCs w:val="20"/>
              </w:rPr>
              <w:t>6. 具有接收平台下发的RDS流控制指令和安全指令以及音频功能，RDS具有多频率优先功能。</w:t>
            </w:r>
          </w:p>
          <w:p>
            <w:pPr>
              <w:widowControl/>
              <w:jc w:val="left"/>
              <w:rPr>
                <w:rFonts w:hint="eastAsia" w:ascii="宋体" w:hAnsi="宋体" w:eastAsia="宋体" w:cs="宋体"/>
                <w:color w:val="000000"/>
                <w:kern w:val="0"/>
                <w:sz w:val="20"/>
                <w:szCs w:val="20"/>
                <w:lang w:eastAsia="zh-CN"/>
              </w:rPr>
            </w:pPr>
            <w:r>
              <w:rPr>
                <w:rFonts w:hint="eastAsia" w:ascii="宋体" w:hAnsi="宋体" w:cs="宋体"/>
                <w:color w:val="000000"/>
                <w:kern w:val="0"/>
                <w:sz w:val="20"/>
                <w:szCs w:val="20"/>
              </w:rPr>
              <w:t>7. 具有接收平台下发的TS流控制指令和安全指令以及音频功能。</w:t>
            </w:r>
          </w:p>
          <w:p>
            <w:pPr>
              <w:widowControl/>
              <w:jc w:val="left"/>
              <w:rPr>
                <w:rFonts w:hint="eastAsia" w:ascii="宋体" w:hAnsi="宋体" w:eastAsia="宋体" w:cs="宋体"/>
                <w:color w:val="000000"/>
                <w:kern w:val="0"/>
                <w:sz w:val="20"/>
                <w:szCs w:val="20"/>
                <w:lang w:eastAsia="zh-CN"/>
              </w:rPr>
            </w:pPr>
            <w:r>
              <w:rPr>
                <w:rFonts w:hint="eastAsia" w:ascii="宋体" w:hAnsi="宋体" w:cs="宋体"/>
                <w:color w:val="000000"/>
                <w:kern w:val="0"/>
                <w:sz w:val="20"/>
                <w:szCs w:val="20"/>
              </w:rPr>
              <w:t>8. 具有接收平台下发的IP流控制指令和安全指令以及音频功能。</w:t>
            </w:r>
          </w:p>
          <w:p>
            <w:pPr>
              <w:widowControl/>
              <w:jc w:val="left"/>
              <w:rPr>
                <w:rFonts w:hint="eastAsia" w:ascii="宋体" w:hAnsi="宋体" w:eastAsia="宋体" w:cs="宋体"/>
                <w:color w:val="000000"/>
                <w:kern w:val="0"/>
                <w:sz w:val="20"/>
                <w:szCs w:val="20"/>
                <w:lang w:eastAsia="zh-CN"/>
              </w:rPr>
            </w:pPr>
            <w:r>
              <w:rPr>
                <w:rFonts w:hint="eastAsia" w:ascii="宋体" w:hAnsi="宋体" w:cs="宋体"/>
                <w:color w:val="000000"/>
                <w:kern w:val="0"/>
                <w:sz w:val="20"/>
                <w:szCs w:val="20"/>
              </w:rPr>
              <w:t>9. 具有支持平台对本机频率、音量、开关机、逻辑地址、电池电量等参数设置和查询功能。</w:t>
            </w:r>
          </w:p>
          <w:p>
            <w:pPr>
              <w:widowControl/>
              <w:jc w:val="left"/>
              <w:rPr>
                <w:rFonts w:hint="eastAsia" w:ascii="宋体" w:hAnsi="宋体" w:eastAsia="宋体" w:cs="宋体"/>
                <w:color w:val="000000"/>
                <w:kern w:val="0"/>
                <w:sz w:val="20"/>
                <w:szCs w:val="20"/>
                <w:lang w:eastAsia="zh-CN"/>
              </w:rPr>
            </w:pPr>
            <w:r>
              <w:rPr>
                <w:rFonts w:hint="eastAsia" w:ascii="宋体" w:hAnsi="宋体" w:cs="宋体"/>
                <w:color w:val="000000"/>
                <w:kern w:val="0"/>
                <w:sz w:val="20"/>
                <w:szCs w:val="20"/>
              </w:rPr>
              <w:t>10. 具有支持平台对本机进行远程升级功能。</w:t>
            </w:r>
          </w:p>
          <w:p>
            <w:pPr>
              <w:widowControl/>
              <w:jc w:val="left"/>
              <w:rPr>
                <w:rFonts w:hint="eastAsia" w:ascii="宋体" w:hAnsi="宋体" w:eastAsia="宋体" w:cs="宋体"/>
                <w:color w:val="000000"/>
                <w:kern w:val="0"/>
                <w:sz w:val="20"/>
                <w:szCs w:val="20"/>
                <w:lang w:eastAsia="zh-CN"/>
              </w:rPr>
            </w:pPr>
            <w:r>
              <w:rPr>
                <w:rFonts w:hint="eastAsia" w:ascii="宋体" w:hAnsi="宋体" w:cs="宋体"/>
                <w:color w:val="000000"/>
                <w:kern w:val="0"/>
                <w:sz w:val="20"/>
                <w:szCs w:val="20"/>
              </w:rPr>
              <w:t>11. 具有本机故障检测功能，支持平台对本机故障状态回传与统计。</w:t>
            </w:r>
          </w:p>
          <w:p>
            <w:pPr>
              <w:widowControl/>
              <w:jc w:val="left"/>
              <w:rPr>
                <w:rFonts w:hint="eastAsia" w:ascii="宋体" w:hAnsi="宋体" w:eastAsia="宋体" w:cs="宋体"/>
                <w:color w:val="000000"/>
                <w:kern w:val="0"/>
                <w:sz w:val="20"/>
                <w:szCs w:val="20"/>
                <w:lang w:eastAsia="zh-CN"/>
              </w:rPr>
            </w:pPr>
            <w:r>
              <w:rPr>
                <w:rFonts w:hint="eastAsia" w:ascii="宋体" w:hAnsi="宋体" w:cs="宋体"/>
                <w:color w:val="000000"/>
                <w:kern w:val="0"/>
                <w:sz w:val="20"/>
                <w:szCs w:val="20"/>
              </w:rPr>
              <w:t>12. 具有本机自动识别上级信源优先级别的功能，能设置上级信源优先级别。</w:t>
            </w:r>
          </w:p>
          <w:p>
            <w:pPr>
              <w:widowControl/>
              <w:jc w:val="left"/>
              <w:rPr>
                <w:rFonts w:ascii="宋体" w:hAnsi="宋体" w:cs="宋体"/>
                <w:color w:val="000000"/>
                <w:kern w:val="0"/>
                <w:sz w:val="20"/>
                <w:szCs w:val="20"/>
              </w:rPr>
            </w:pPr>
            <w:r>
              <w:rPr>
                <w:rFonts w:hint="eastAsia" w:ascii="宋体" w:hAnsi="宋体" w:cs="宋体"/>
                <w:color w:val="000000"/>
                <w:kern w:val="0"/>
                <w:sz w:val="20"/>
                <w:szCs w:val="20"/>
              </w:rPr>
              <w:t>13. 具有本地软件程序升级功能。</w:t>
            </w:r>
          </w:p>
        </w:tc>
        <w:tc>
          <w:tcPr>
            <w:tcW w:w="628" w:type="dxa"/>
            <w:vAlign w:val="center"/>
          </w:tcPr>
          <w:p>
            <w:pPr>
              <w:jc w:val="center"/>
            </w:pPr>
            <w:r>
              <w:rPr>
                <w:rFonts w:hint="eastAsia"/>
              </w:rPr>
              <w:t>台</w:t>
            </w:r>
          </w:p>
        </w:tc>
        <w:tc>
          <w:tcPr>
            <w:tcW w:w="628" w:type="dxa"/>
            <w:vAlign w:val="center"/>
          </w:tcPr>
          <w:p>
            <w:pPr>
              <w:ind w:right="-42" w:rightChars="-20"/>
              <w:jc w:val="center"/>
              <w:rPr>
                <w:rFonts w:ascii="宋体" w:hAnsi="宋体" w:cs="宋体"/>
                <w:color w:val="000000"/>
                <w:kern w:val="0"/>
                <w:sz w:val="20"/>
                <w:szCs w:val="20"/>
              </w:rPr>
            </w:pPr>
            <w:r>
              <w:rPr>
                <w:rFonts w:hint="eastAsia" w:ascii="宋体" w:hAnsi="宋体" w:cs="宋体"/>
                <w:color w:val="000000"/>
                <w:kern w:val="0"/>
                <w:sz w:val="20"/>
                <w:szCs w:val="20"/>
              </w:rPr>
              <w:t>100</w:t>
            </w:r>
          </w:p>
        </w:tc>
        <w:tc>
          <w:tcPr>
            <w:tcW w:w="628" w:type="dxa"/>
          </w:tcPr>
          <w:p>
            <w:pPr>
              <w:ind w:right="-42" w:rightChars="-20"/>
            </w:pPr>
          </w:p>
        </w:tc>
        <w:tc>
          <w:tcPr>
            <w:tcW w:w="762" w:type="dxa"/>
          </w:tcPr>
          <w:p>
            <w:pPr>
              <w:ind w:right="-42" w:rightChars="-20"/>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68" w:hRule="atLeast"/>
          <w:jc w:val="center"/>
        </w:trPr>
        <w:tc>
          <w:tcPr>
            <w:tcW w:w="816" w:type="dxa"/>
            <w:vAlign w:val="center"/>
          </w:tcPr>
          <w:p>
            <w:pPr>
              <w:jc w:val="center"/>
              <w:rPr>
                <w:rFonts w:ascii="宋体" w:hAnsi="宋体" w:cs="宋体"/>
                <w:color w:val="000000"/>
                <w:kern w:val="0"/>
                <w:sz w:val="20"/>
                <w:szCs w:val="20"/>
              </w:rPr>
            </w:pPr>
            <w:r>
              <w:rPr>
                <w:rFonts w:hint="eastAsia" w:ascii="宋体" w:hAnsi="宋体" w:cs="宋体"/>
                <w:color w:val="000000"/>
                <w:kern w:val="0"/>
                <w:sz w:val="20"/>
                <w:szCs w:val="20"/>
              </w:rPr>
              <w:t>合计（元）</w:t>
            </w:r>
          </w:p>
        </w:tc>
        <w:tc>
          <w:tcPr>
            <w:tcW w:w="6895" w:type="dxa"/>
            <w:gridSpan w:val="6"/>
            <w:vAlign w:val="center"/>
          </w:tcPr>
          <w:p>
            <w:pPr>
              <w:jc w:val="center"/>
              <w:rPr>
                <w:rFonts w:ascii="宋体" w:hAnsi="宋体" w:cs="宋体"/>
                <w:color w:val="000000"/>
                <w:kern w:val="0"/>
                <w:sz w:val="20"/>
                <w:szCs w:val="20"/>
              </w:rPr>
            </w:pPr>
          </w:p>
        </w:tc>
      </w:tr>
    </w:tbl>
    <w:p>
      <w:pPr>
        <w:numPr>
          <w:ilvl w:val="0"/>
          <w:numId w:val="21"/>
        </w:numPr>
        <w:spacing w:line="360" w:lineRule="auto"/>
        <w:rPr>
          <w:rFonts w:ascii="宋体" w:hAnsi="宋体"/>
          <w:bCs/>
          <w:szCs w:val="21"/>
        </w:rPr>
      </w:pPr>
      <w:r>
        <w:rPr>
          <w:rFonts w:hint="eastAsia" w:ascii="宋体" w:hAnsi="宋体"/>
          <w:bCs/>
          <w:szCs w:val="21"/>
        </w:rPr>
        <w:t>合同金额：</w:t>
      </w:r>
    </w:p>
    <w:p>
      <w:pPr>
        <w:numPr>
          <w:ilvl w:val="1"/>
          <w:numId w:val="0"/>
        </w:numPr>
        <w:spacing w:line="360" w:lineRule="auto"/>
        <w:rPr>
          <w:rFonts w:ascii="宋体" w:hAnsi="宋体"/>
          <w:szCs w:val="21"/>
        </w:rPr>
      </w:pPr>
      <w:r>
        <w:rPr>
          <w:rFonts w:hint="eastAsia" w:ascii="宋体" w:hAnsi="宋体"/>
          <w:szCs w:val="21"/>
        </w:rPr>
        <w:t>合同总额（含税）人民币 小写：</w:t>
      </w:r>
      <w:r>
        <w:rPr>
          <w:rFonts w:hint="eastAsia" w:ascii="宋体" w:hAnsi="宋体"/>
          <w:szCs w:val="21"/>
          <w:u w:val="single"/>
        </w:rPr>
        <w:t xml:space="preserve">  </w:t>
      </w:r>
      <w:r>
        <w:rPr>
          <w:rFonts w:hint="eastAsia" w:ascii="宋体" w:hAnsi="宋体" w:cs="宋体"/>
          <w:b/>
          <w:bCs/>
          <w:color w:val="000000"/>
          <w:kern w:val="0"/>
          <w:szCs w:val="21"/>
          <w:u w:val="single"/>
        </w:rPr>
        <w:t xml:space="preserve">          </w:t>
      </w:r>
      <w:r>
        <w:rPr>
          <w:rFonts w:hint="eastAsia" w:ascii="宋体" w:hAnsi="宋体"/>
          <w:szCs w:val="21"/>
          <w:u w:val="single"/>
        </w:rPr>
        <w:t xml:space="preserve">  </w:t>
      </w:r>
      <w:r>
        <w:rPr>
          <w:rFonts w:hint="eastAsia" w:ascii="宋体" w:hAnsi="宋体"/>
          <w:szCs w:val="21"/>
        </w:rPr>
        <w:t xml:space="preserve">   大写：</w:t>
      </w:r>
      <w:r>
        <w:rPr>
          <w:rFonts w:hint="eastAsia" w:ascii="宋体" w:hAnsi="宋体"/>
          <w:szCs w:val="21"/>
          <w:u w:val="single"/>
        </w:rPr>
        <w:t xml:space="preserve">                     </w:t>
      </w:r>
      <w:r>
        <w:rPr>
          <w:rFonts w:hint="eastAsia" w:ascii="宋体" w:hAnsi="宋体"/>
          <w:szCs w:val="21"/>
        </w:rPr>
        <w:t>，</w:t>
      </w:r>
    </w:p>
    <w:p>
      <w:pPr>
        <w:numPr>
          <w:ilvl w:val="1"/>
          <w:numId w:val="0"/>
        </w:numPr>
        <w:spacing w:line="360" w:lineRule="auto"/>
        <w:rPr>
          <w:rFonts w:ascii="宋体" w:hAnsi="宋体"/>
          <w:szCs w:val="21"/>
          <w:u w:val="single"/>
        </w:rPr>
      </w:pPr>
      <w:r>
        <w:rPr>
          <w:rFonts w:hint="eastAsia" w:ascii="宋体" w:hAnsi="宋体"/>
          <w:szCs w:val="21"/>
        </w:rPr>
        <w:t>合同总额（不含税）人民币  小写：</w:t>
      </w:r>
      <w:r>
        <w:rPr>
          <w:rFonts w:hint="eastAsia" w:ascii="宋体" w:hAnsi="宋体"/>
          <w:szCs w:val="21"/>
          <w:u w:val="single"/>
        </w:rPr>
        <w:t xml:space="preserve">  </w:t>
      </w:r>
      <w:r>
        <w:rPr>
          <w:rFonts w:hint="eastAsia" w:ascii="宋体" w:hAnsi="宋体" w:cs="宋体"/>
          <w:b/>
          <w:bCs/>
          <w:color w:val="000000"/>
          <w:kern w:val="0"/>
          <w:szCs w:val="21"/>
          <w:u w:val="single"/>
        </w:rPr>
        <w:t xml:space="preserve">          </w:t>
      </w:r>
      <w:r>
        <w:rPr>
          <w:rFonts w:hint="eastAsia" w:ascii="宋体" w:hAnsi="宋体"/>
          <w:szCs w:val="21"/>
          <w:u w:val="single"/>
        </w:rPr>
        <w:t xml:space="preserve">  </w:t>
      </w:r>
      <w:r>
        <w:rPr>
          <w:rFonts w:hint="eastAsia" w:ascii="宋体" w:hAnsi="宋体"/>
          <w:szCs w:val="21"/>
        </w:rPr>
        <w:t xml:space="preserve">   大写：</w:t>
      </w:r>
      <w:r>
        <w:rPr>
          <w:rFonts w:hint="eastAsia" w:ascii="宋体" w:hAnsi="宋体"/>
          <w:szCs w:val="21"/>
          <w:u w:val="single"/>
        </w:rPr>
        <w:t xml:space="preserve">                        </w:t>
      </w:r>
      <w:r>
        <w:rPr>
          <w:rFonts w:hint="eastAsia" w:ascii="宋体" w:hAnsi="宋体"/>
          <w:szCs w:val="21"/>
        </w:rPr>
        <w:t>，税率按增值税</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rPr>
        <w:t>计算。</w:t>
      </w:r>
    </w:p>
    <w:p>
      <w:pPr>
        <w:numPr>
          <w:ilvl w:val="0"/>
          <w:numId w:val="21"/>
        </w:numPr>
        <w:spacing w:line="360" w:lineRule="auto"/>
        <w:rPr>
          <w:rFonts w:asciiTheme="minorEastAsia" w:hAnsiTheme="minorEastAsia" w:eastAsiaTheme="minorEastAsia"/>
          <w:szCs w:val="21"/>
        </w:rPr>
      </w:pPr>
      <w:r>
        <w:rPr>
          <w:rFonts w:hint="eastAsia" w:ascii="宋体" w:hAnsi="宋体"/>
          <w:szCs w:val="21"/>
        </w:rPr>
        <w:t>付款方式：</w:t>
      </w:r>
    </w:p>
    <w:p>
      <w:pPr>
        <w:widowControl/>
        <w:numPr>
          <w:ilvl w:val="0"/>
          <w:numId w:val="22"/>
        </w:numPr>
        <w:adjustRightInd w:val="0"/>
        <w:snapToGrid w:val="0"/>
        <w:spacing w:line="360" w:lineRule="auto"/>
        <w:jc w:val="left"/>
        <w:rPr>
          <w:rFonts w:asciiTheme="minorEastAsia" w:hAnsiTheme="minorEastAsia" w:eastAsiaTheme="minorEastAsia" w:cstheme="minorBidi"/>
          <w:kern w:val="0"/>
          <w:szCs w:val="21"/>
        </w:rPr>
      </w:pPr>
      <w:r>
        <w:rPr>
          <w:rFonts w:hint="eastAsia" w:asciiTheme="minorEastAsia" w:hAnsiTheme="minorEastAsia" w:eastAsiaTheme="minorEastAsia" w:cstheme="minorBidi"/>
          <w:kern w:val="0"/>
          <w:szCs w:val="21"/>
        </w:rPr>
        <w:t>货物验收合格后，成交人向采购人提供全额的增值税专用发票，采购人收到发票后在三个月内一次性全额支付货款。</w:t>
      </w:r>
    </w:p>
    <w:p>
      <w:pPr>
        <w:widowControl/>
        <w:numPr>
          <w:ilvl w:val="0"/>
          <w:numId w:val="22"/>
        </w:numPr>
        <w:adjustRightInd w:val="0"/>
        <w:snapToGrid w:val="0"/>
        <w:spacing w:line="360" w:lineRule="auto"/>
        <w:jc w:val="left"/>
        <w:rPr>
          <w:rFonts w:asciiTheme="minorEastAsia" w:hAnsiTheme="minorEastAsia" w:eastAsiaTheme="minorEastAsia" w:cstheme="minorBidi"/>
          <w:kern w:val="0"/>
          <w:szCs w:val="21"/>
        </w:rPr>
      </w:pPr>
      <w:r>
        <w:rPr>
          <w:rFonts w:hint="eastAsia" w:asciiTheme="minorEastAsia" w:hAnsiTheme="minorEastAsia" w:eastAsiaTheme="minorEastAsia" w:cstheme="minorBidi"/>
          <w:kern w:val="0"/>
          <w:szCs w:val="21"/>
        </w:rPr>
        <w:t>付款方式：采用汇款形式，收款人、供应商名称应与发票名称相同。</w:t>
      </w:r>
    </w:p>
    <w:p>
      <w:pPr>
        <w:widowControl/>
        <w:numPr>
          <w:ilvl w:val="0"/>
          <w:numId w:val="22"/>
        </w:numPr>
        <w:adjustRightInd w:val="0"/>
        <w:snapToGrid w:val="0"/>
        <w:spacing w:line="360" w:lineRule="auto"/>
        <w:jc w:val="left"/>
        <w:rPr>
          <w:rFonts w:asciiTheme="minorEastAsia" w:hAnsiTheme="minorEastAsia" w:eastAsiaTheme="minorEastAsia" w:cstheme="minorBidi"/>
          <w:kern w:val="0"/>
          <w:szCs w:val="21"/>
        </w:rPr>
      </w:pPr>
      <w:r>
        <w:rPr>
          <w:rFonts w:hint="eastAsia" w:asciiTheme="minorEastAsia" w:hAnsiTheme="minorEastAsia" w:eastAsiaTheme="minorEastAsia" w:cstheme="minorBidi"/>
          <w:kern w:val="0"/>
          <w:szCs w:val="21"/>
        </w:rPr>
        <w:t>成交人</w:t>
      </w:r>
      <w:r>
        <w:rPr>
          <w:rFonts w:asciiTheme="minorEastAsia" w:hAnsiTheme="minorEastAsia" w:eastAsiaTheme="minorEastAsia" w:cstheme="minorBidi"/>
          <w:kern w:val="0"/>
          <w:szCs w:val="21"/>
        </w:rPr>
        <w:t>须承诺其开具增值税扣税凭证的</w:t>
      </w:r>
      <w:r>
        <w:rPr>
          <w:rFonts w:hint="eastAsia" w:asciiTheme="minorEastAsia" w:hAnsiTheme="minorEastAsia" w:eastAsiaTheme="minorEastAsia" w:cstheme="minorBidi"/>
          <w:kern w:val="0"/>
          <w:szCs w:val="21"/>
        </w:rPr>
        <w:t>形式</w:t>
      </w:r>
      <w:r>
        <w:rPr>
          <w:rFonts w:asciiTheme="minorEastAsia" w:hAnsiTheme="minorEastAsia" w:eastAsiaTheme="minorEastAsia" w:cstheme="minorBidi"/>
          <w:kern w:val="0"/>
          <w:szCs w:val="21"/>
        </w:rPr>
        <w:t>与内容均合法、有效、完整、准确，</w:t>
      </w:r>
      <w:r>
        <w:rPr>
          <w:rFonts w:hint="eastAsia" w:asciiTheme="minorEastAsia" w:hAnsiTheme="minorEastAsia" w:eastAsiaTheme="minorEastAsia" w:cstheme="minorBidi"/>
          <w:kern w:val="0"/>
          <w:szCs w:val="21"/>
        </w:rPr>
        <w:t>不开具</w:t>
      </w:r>
      <w:r>
        <w:rPr>
          <w:rFonts w:asciiTheme="minorEastAsia" w:hAnsiTheme="minorEastAsia" w:eastAsiaTheme="minorEastAsia" w:cstheme="minorBidi"/>
          <w:kern w:val="0"/>
          <w:szCs w:val="21"/>
        </w:rPr>
        <w:t>或开具不合格的增值税扣税凭证，采购人有权延迟</w:t>
      </w:r>
      <w:r>
        <w:rPr>
          <w:rFonts w:hint="eastAsia" w:asciiTheme="minorEastAsia" w:hAnsiTheme="minorEastAsia" w:eastAsiaTheme="minorEastAsia" w:cstheme="minorBidi"/>
          <w:kern w:val="0"/>
          <w:szCs w:val="21"/>
        </w:rPr>
        <w:t>支付</w:t>
      </w:r>
      <w:r>
        <w:rPr>
          <w:rFonts w:asciiTheme="minorEastAsia" w:hAnsiTheme="minorEastAsia" w:eastAsiaTheme="minorEastAsia" w:cstheme="minorBidi"/>
          <w:kern w:val="0"/>
          <w:szCs w:val="21"/>
        </w:rPr>
        <w:t>应付款项直至成交人开具合格票据之日且不承担任何违约责任，且</w:t>
      </w:r>
      <w:r>
        <w:rPr>
          <w:rFonts w:hint="eastAsia" w:asciiTheme="minorEastAsia" w:hAnsiTheme="minorEastAsia" w:eastAsiaTheme="minorEastAsia" w:cstheme="minorBidi"/>
          <w:kern w:val="0"/>
          <w:szCs w:val="21"/>
        </w:rPr>
        <w:t>成交人</w:t>
      </w:r>
      <w:r>
        <w:rPr>
          <w:rFonts w:asciiTheme="minorEastAsia" w:hAnsiTheme="minorEastAsia" w:eastAsiaTheme="minorEastAsia" w:cstheme="minorBidi"/>
          <w:kern w:val="0"/>
          <w:szCs w:val="21"/>
        </w:rPr>
        <w:t>的各项合同义务仍应按合同约定履行。</w:t>
      </w:r>
    </w:p>
    <w:p>
      <w:pPr>
        <w:tabs>
          <w:tab w:val="left" w:pos="-2940"/>
        </w:tabs>
        <w:jc w:val="left"/>
        <w:rPr>
          <w:rFonts w:ascii="宋体" w:hAnsi="宋体"/>
          <w:szCs w:val="21"/>
        </w:rPr>
      </w:pPr>
      <w:r>
        <w:rPr>
          <w:rFonts w:hint="eastAsia" w:ascii="宋体" w:hAnsi="宋体"/>
          <w:szCs w:val="21"/>
        </w:rPr>
        <w:t>3、合同执行期限：合同签订后20日到货</w:t>
      </w:r>
      <w:r>
        <w:rPr>
          <w:rFonts w:hint="eastAsia" w:cs="Tahoma" w:asciiTheme="minorEastAsia" w:hAnsiTheme="minorEastAsia" w:eastAsiaTheme="minorEastAsia"/>
          <w:kern w:val="0"/>
          <w:szCs w:val="21"/>
          <w:lang w:val="zh-CN"/>
        </w:rPr>
        <w:t>。</w:t>
      </w:r>
    </w:p>
    <w:p>
      <w:pPr>
        <w:tabs>
          <w:tab w:val="left" w:pos="-2940"/>
        </w:tabs>
        <w:spacing w:line="360" w:lineRule="auto"/>
        <w:rPr>
          <w:rFonts w:ascii="宋体" w:hAnsi="宋体"/>
          <w:szCs w:val="21"/>
        </w:rPr>
      </w:pPr>
      <w:r>
        <w:rPr>
          <w:rFonts w:hint="eastAsia" w:ascii="宋体" w:hAnsi="宋体"/>
          <w:szCs w:val="21"/>
        </w:rPr>
        <w:t>4、乙方为甲方的</w:t>
      </w:r>
      <w:r>
        <w:rPr>
          <w:rFonts w:hint="eastAsia" w:ascii="宋体" w:hAnsi="宋体"/>
          <w:color w:val="000000" w:themeColor="text1"/>
          <w:szCs w:val="21"/>
          <w14:textFill>
            <w14:solidFill>
              <w14:schemeClr w14:val="tx1"/>
            </w14:solidFill>
          </w14:textFill>
        </w:rPr>
        <w:t>采购应急广播收扩机提供</w:t>
      </w:r>
      <w:r>
        <w:rPr>
          <w:rFonts w:hint="eastAsia" w:ascii="宋体" w:hAnsi="宋体"/>
          <w:szCs w:val="21"/>
        </w:rPr>
        <w:t>采购设备。</w:t>
      </w:r>
    </w:p>
    <w:p>
      <w:pPr>
        <w:spacing w:line="400" w:lineRule="exact"/>
        <w:rPr>
          <w:rFonts w:ascii="宋体" w:hAnsi="宋体" w:cs="宋体"/>
          <w:b/>
          <w:kern w:val="0"/>
          <w:szCs w:val="21"/>
        </w:rPr>
      </w:pPr>
      <w:r>
        <w:rPr>
          <w:rFonts w:hint="eastAsia" w:ascii="宋体" w:hAnsi="宋体"/>
          <w:szCs w:val="21"/>
        </w:rPr>
        <w:t>5、验收要求：</w:t>
      </w:r>
    </w:p>
    <w:p>
      <w:pPr>
        <w:numPr>
          <w:ilvl w:val="0"/>
          <w:numId w:val="23"/>
        </w:numPr>
        <w:spacing w:line="360" w:lineRule="auto"/>
        <w:jc w:val="left"/>
        <w:rPr>
          <w:rFonts w:asciiTheme="minorEastAsia" w:hAnsiTheme="minorEastAsia" w:eastAsiaTheme="minorEastAsia"/>
          <w:szCs w:val="21"/>
        </w:rPr>
      </w:pPr>
      <w:r>
        <w:rPr>
          <w:rFonts w:hint="eastAsia" w:asciiTheme="minorEastAsia" w:hAnsiTheme="minorEastAsia" w:eastAsiaTheme="minorEastAsia"/>
          <w:szCs w:val="21"/>
        </w:rPr>
        <w:t xml:space="preserve">货物若有国家标准按照国家标准验收，若无国家标准按行业标准验收，为原制造商制造的全新产品，整体表面洁净完好、无划伤、无锈迹、非受过碰撞，在中国境内可依常规安全合法使用，无侵权行为。 </w:t>
      </w:r>
    </w:p>
    <w:p>
      <w:pPr>
        <w:numPr>
          <w:ilvl w:val="0"/>
          <w:numId w:val="23"/>
        </w:numPr>
        <w:spacing w:line="360" w:lineRule="auto"/>
        <w:jc w:val="left"/>
        <w:rPr>
          <w:rFonts w:asciiTheme="minorEastAsia" w:hAnsiTheme="minorEastAsia" w:eastAsiaTheme="minorEastAsia"/>
          <w:szCs w:val="21"/>
        </w:rPr>
      </w:pPr>
      <w:r>
        <w:rPr>
          <w:rFonts w:hint="eastAsia" w:asciiTheme="minorEastAsia" w:hAnsiTheme="minorEastAsia" w:eastAsiaTheme="minorEastAsia"/>
          <w:szCs w:val="21"/>
        </w:rPr>
        <w:t>货物为原厂商未启封全新包装，具出厂合格证，序列号、包装箱号与出厂批号一致，并可追索查阅。所有随设备的附件必须齐全。</w:t>
      </w:r>
    </w:p>
    <w:p>
      <w:pPr>
        <w:numPr>
          <w:ilvl w:val="0"/>
          <w:numId w:val="23"/>
        </w:numPr>
        <w:spacing w:line="360" w:lineRule="auto"/>
        <w:jc w:val="left"/>
        <w:rPr>
          <w:rFonts w:asciiTheme="minorEastAsia" w:hAnsiTheme="minorEastAsia" w:eastAsiaTheme="minorEastAsia"/>
          <w:szCs w:val="21"/>
        </w:rPr>
      </w:pPr>
      <w:r>
        <w:rPr>
          <w:rFonts w:hint="eastAsia" w:asciiTheme="minorEastAsia" w:hAnsiTheme="minorEastAsia" w:eastAsiaTheme="minorEastAsia"/>
          <w:szCs w:val="21"/>
        </w:rPr>
        <w:t>成交人应提供包括但不限于满足设备使用和维护的技术文件，如设备和配备件箱清单、保修服务卡、中文用户手册、产品质量合格证书、测试报告等。</w:t>
      </w:r>
    </w:p>
    <w:p>
      <w:pPr>
        <w:numPr>
          <w:ilvl w:val="0"/>
          <w:numId w:val="23"/>
        </w:numPr>
        <w:spacing w:line="360" w:lineRule="auto"/>
        <w:jc w:val="left"/>
        <w:rPr>
          <w:rFonts w:asciiTheme="minorEastAsia" w:hAnsiTheme="minorEastAsia" w:eastAsiaTheme="minorEastAsia" w:cstheme="minorBidi"/>
          <w:kern w:val="0"/>
          <w:szCs w:val="21"/>
        </w:rPr>
      </w:pPr>
      <w:r>
        <w:rPr>
          <w:rFonts w:hint="eastAsia" w:asciiTheme="minorEastAsia" w:hAnsiTheme="minorEastAsia" w:eastAsiaTheme="minorEastAsia"/>
          <w:szCs w:val="21"/>
        </w:rPr>
        <w:t>设备到货后，成交人立刻通知采购人进行验收，验收不合格的由成交人在服务时间内完成整改，无法在服务时间内完成整改的，采购人有权无条件终止合作协议。</w:t>
      </w:r>
    </w:p>
    <w:p>
      <w:pPr>
        <w:numPr>
          <w:ilvl w:val="0"/>
          <w:numId w:val="23"/>
        </w:numPr>
        <w:spacing w:line="360" w:lineRule="auto"/>
        <w:jc w:val="left"/>
        <w:rPr>
          <w:rFonts w:asciiTheme="minorEastAsia" w:hAnsiTheme="minorEastAsia" w:eastAsiaTheme="minorEastAsia" w:cstheme="minorBidi"/>
          <w:kern w:val="0"/>
          <w:szCs w:val="21"/>
        </w:rPr>
      </w:pPr>
      <w:r>
        <w:rPr>
          <w:rFonts w:hint="eastAsia" w:asciiTheme="minorEastAsia" w:hAnsiTheme="minorEastAsia" w:eastAsiaTheme="minorEastAsia" w:cstheme="minorBidi"/>
          <w:kern w:val="0"/>
          <w:szCs w:val="21"/>
        </w:rPr>
        <w:t>如设备到货后，无法在合同供货期内完成匹配，采购人有权终止合同并要求成交供应商按货物总价的5%赔偿经济损失，如货物总价5%的赔偿不足以弥补经济损失，成交供应商应追加赔偿不足部分，合同中止后甲方可与第二中标人签订供货合同。</w:t>
      </w:r>
    </w:p>
    <w:p>
      <w:pPr>
        <w:numPr>
          <w:ilvl w:val="0"/>
          <w:numId w:val="23"/>
        </w:numPr>
        <w:spacing w:line="360" w:lineRule="auto"/>
        <w:jc w:val="left"/>
        <w:rPr>
          <w:rFonts w:asciiTheme="minorEastAsia" w:hAnsiTheme="minorEastAsia" w:eastAsiaTheme="minorEastAsia" w:cstheme="minorBidi"/>
          <w:kern w:val="0"/>
          <w:szCs w:val="21"/>
          <w:highlight w:val="none"/>
        </w:rPr>
      </w:pPr>
      <w:r>
        <w:rPr>
          <w:rFonts w:hint="eastAsia" w:ascii="宋体" w:hAnsi="宋体" w:cs="宋体"/>
          <w:kern w:val="0"/>
          <w:szCs w:val="21"/>
          <w:highlight w:val="none"/>
          <w:lang w:val="en-US" w:eastAsia="zh-CN"/>
        </w:rPr>
        <w:t>设备</w:t>
      </w:r>
      <w:r>
        <w:rPr>
          <w:rFonts w:hint="eastAsia" w:ascii="宋体" w:hAnsi="宋体" w:cs="宋体"/>
          <w:kern w:val="0"/>
          <w:szCs w:val="21"/>
          <w:highlight w:val="none"/>
        </w:rPr>
        <w:t>应符合国家广播电视总局发布的《应急广播大喇叭系统技术要求和测量方法》行业标准要求，具备国家广电总局广播电视科学研究院广播电视检测中心或广播电视规划院广播电视计量检测中心出具的《多模收扩机》检测报告（须提供检测报告扫描件，报告结果需显示合格等相关结论）。</w:t>
      </w:r>
    </w:p>
    <w:p>
      <w:pPr>
        <w:pStyle w:val="59"/>
        <w:numPr>
          <w:ilvl w:val="0"/>
          <w:numId w:val="0"/>
        </w:numPr>
        <w:adjustRightInd w:val="0"/>
        <w:snapToGrid w:val="0"/>
        <w:spacing w:line="360" w:lineRule="auto"/>
        <w:ind w:left="0" w:firstLineChars="0"/>
        <w:rPr>
          <w:rFonts w:hint="eastAsia" w:asciiTheme="minorEastAsia" w:hAnsiTheme="minorEastAsia" w:eastAsiaTheme="minorEastAsia" w:cstheme="minorBidi"/>
          <w:kern w:val="0"/>
          <w:szCs w:val="21"/>
          <w:highlight w:val="none"/>
        </w:rPr>
      </w:pPr>
      <w:r>
        <w:rPr>
          <w:rFonts w:hint="default" w:ascii="宋体" w:hAnsi="宋体" w:eastAsia="宋体" w:cs="宋体"/>
          <w:kern w:val="0"/>
          <w:sz w:val="21"/>
          <w:szCs w:val="21"/>
          <w:highlight w:val="none"/>
          <w:lang w:val="en-US" w:eastAsia="zh-CN" w:bidi="ar-SA"/>
        </w:rPr>
        <w:t>★</w:t>
      </w:r>
      <w:r>
        <w:rPr>
          <w:rFonts w:hint="default" w:asciiTheme="minorEastAsia" w:hAnsiTheme="minorEastAsia" w:eastAsiaTheme="minorEastAsia" w:cstheme="minorBidi"/>
          <w:kern w:val="0"/>
          <w:sz w:val="21"/>
          <w:szCs w:val="21"/>
          <w:highlight w:val="none"/>
          <w:lang w:val="en-US" w:eastAsia="zh-CN" w:bidi="ar-SA"/>
        </w:rPr>
        <w:t>(</w:t>
      </w:r>
      <w:r>
        <w:rPr>
          <w:rFonts w:hint="eastAsia" w:asciiTheme="minorEastAsia" w:hAnsiTheme="minorEastAsia" w:eastAsiaTheme="minorEastAsia" w:cstheme="minorBidi"/>
          <w:kern w:val="0"/>
          <w:sz w:val="21"/>
          <w:szCs w:val="21"/>
          <w:highlight w:val="none"/>
          <w:lang w:val="en-US" w:eastAsia="zh-CN" w:bidi="ar-SA"/>
        </w:rPr>
        <w:t>7</w:t>
      </w:r>
      <w:r>
        <w:rPr>
          <w:rFonts w:hint="default" w:asciiTheme="minorEastAsia" w:hAnsiTheme="minorEastAsia" w:eastAsiaTheme="minorEastAsia" w:cstheme="minorBidi"/>
          <w:kern w:val="0"/>
          <w:sz w:val="21"/>
          <w:szCs w:val="21"/>
          <w:highlight w:val="none"/>
          <w:lang w:val="en-US" w:eastAsia="zh-CN" w:bidi="ar-SA"/>
        </w:rPr>
        <w:t>)</w:t>
      </w:r>
      <w:r>
        <w:rPr>
          <w:rFonts w:hint="eastAsia" w:asciiTheme="minorEastAsia" w:hAnsiTheme="minorEastAsia" w:eastAsiaTheme="minorEastAsia" w:cstheme="minorBidi"/>
          <w:kern w:val="0"/>
          <w:szCs w:val="21"/>
          <w:highlight w:val="none"/>
        </w:rPr>
        <w:t>现有应急广播系统平台软件厂家是成都康特电子高新科技有限责任公司，成交供应商设备必须完成与现有应急广播系统平台软件和设备适配</w:t>
      </w:r>
      <w:r>
        <w:rPr>
          <w:rFonts w:hint="eastAsia" w:asciiTheme="minorEastAsia" w:hAnsiTheme="minorEastAsia" w:eastAsiaTheme="minorEastAsia" w:cstheme="minorBidi"/>
          <w:kern w:val="0"/>
          <w:szCs w:val="21"/>
          <w:highlight w:val="none"/>
          <w:lang w:eastAsia="zh-CN"/>
        </w:rPr>
        <w:t>，</w:t>
      </w:r>
      <w:r>
        <w:rPr>
          <w:rFonts w:hint="eastAsia" w:ascii="宋体" w:hAnsi="宋体" w:cs="宋体"/>
          <w:kern w:val="0"/>
          <w:szCs w:val="21"/>
          <w:highlight w:val="none"/>
          <w:lang w:val="en-US" w:eastAsia="zh-CN"/>
        </w:rPr>
        <w:t>且必须提供已经完成适配的承诺函</w:t>
      </w:r>
      <w:r>
        <w:rPr>
          <w:rFonts w:hint="eastAsia" w:asciiTheme="minorEastAsia" w:hAnsiTheme="minorEastAsia" w:eastAsiaTheme="minorEastAsia" w:cstheme="minorBidi"/>
          <w:kern w:val="0"/>
          <w:szCs w:val="21"/>
          <w:highlight w:val="none"/>
        </w:rPr>
        <w:t>。</w:t>
      </w:r>
      <w:r>
        <w:rPr>
          <w:rFonts w:hint="eastAsia" w:asciiTheme="minorEastAsia" w:hAnsiTheme="minorEastAsia" w:eastAsiaTheme="minorEastAsia" w:cstheme="minorBidi"/>
          <w:b/>
          <w:bCs/>
          <w:kern w:val="0"/>
          <w:szCs w:val="21"/>
          <w:highlight w:val="none"/>
          <w:lang w:eastAsia="zh-CN"/>
        </w:rPr>
        <w:t>（</w:t>
      </w:r>
      <w:r>
        <w:rPr>
          <w:rFonts w:hint="eastAsia" w:asciiTheme="minorEastAsia" w:hAnsiTheme="minorEastAsia" w:eastAsiaTheme="minorEastAsia" w:cstheme="minorBidi"/>
          <w:b/>
          <w:bCs/>
          <w:kern w:val="0"/>
          <w:szCs w:val="21"/>
          <w:highlight w:val="none"/>
          <w:lang w:val="en-US" w:eastAsia="zh-CN"/>
        </w:rPr>
        <w:t>此条款为强制条款，若不满足此条款，则本合同无效）</w:t>
      </w:r>
    </w:p>
    <w:p>
      <w:pPr>
        <w:spacing w:line="400" w:lineRule="exact"/>
        <w:rPr>
          <w:rFonts w:ascii="宋体" w:hAnsi="宋体" w:cs="宋体"/>
          <w:b/>
          <w:kern w:val="0"/>
          <w:szCs w:val="21"/>
          <w:highlight w:val="none"/>
        </w:rPr>
      </w:pPr>
      <w:r>
        <w:rPr>
          <w:rFonts w:hint="eastAsia" w:ascii="宋体" w:hAnsi="宋体"/>
          <w:szCs w:val="21"/>
          <w:highlight w:val="none"/>
        </w:rPr>
        <w:t>6、质保要求：</w:t>
      </w:r>
    </w:p>
    <w:p>
      <w:pPr>
        <w:numPr>
          <w:ilvl w:val="0"/>
          <w:numId w:val="24"/>
        </w:numPr>
        <w:spacing w:line="360" w:lineRule="auto"/>
        <w:jc w:val="left"/>
        <w:rPr>
          <w:rFonts w:asciiTheme="minorEastAsia" w:hAnsiTheme="minorEastAsia" w:eastAsiaTheme="minorEastAsia"/>
          <w:szCs w:val="21"/>
        </w:rPr>
      </w:pPr>
      <w:r>
        <w:rPr>
          <w:rFonts w:hint="eastAsia" w:asciiTheme="minorEastAsia" w:hAnsiTheme="minorEastAsia" w:eastAsiaTheme="minorEastAsia"/>
          <w:szCs w:val="21"/>
        </w:rPr>
        <w:t>设备验收合格后，新更换零配件质保期为1年，质保内出现故障应免费更换。</w:t>
      </w:r>
    </w:p>
    <w:p>
      <w:pPr>
        <w:numPr>
          <w:ilvl w:val="0"/>
          <w:numId w:val="24"/>
        </w:numPr>
        <w:spacing w:line="360" w:lineRule="auto"/>
        <w:jc w:val="left"/>
        <w:rPr>
          <w:rFonts w:asciiTheme="minorEastAsia" w:hAnsiTheme="minorEastAsia" w:eastAsiaTheme="minorEastAsia"/>
          <w:szCs w:val="21"/>
        </w:rPr>
      </w:pPr>
      <w:r>
        <w:rPr>
          <w:rFonts w:hint="eastAsia" w:asciiTheme="minorEastAsia" w:hAnsiTheme="minorEastAsia" w:eastAsiaTheme="minorEastAsia"/>
          <w:szCs w:val="21"/>
        </w:rPr>
        <w:t>如质保期内货物质量出现问题，成交供应商须负责提供三包（包修、包换、包退）服务，并赔偿由此造成的一切损失。经两次更换后，如货物质量仍存在问题，采购人有权终止合同并要求成交供应商按货物总价的5%赔偿经济损失，如货物总价5%的赔偿不足以弥补经济损失，成交供应商应追加赔偿不足部分。</w:t>
      </w:r>
    </w:p>
    <w:p>
      <w:pPr>
        <w:numPr>
          <w:ilvl w:val="0"/>
          <w:numId w:val="24"/>
        </w:numPr>
        <w:spacing w:line="360" w:lineRule="auto"/>
        <w:jc w:val="left"/>
        <w:rPr>
          <w:rFonts w:asciiTheme="minorEastAsia" w:hAnsiTheme="minorEastAsia" w:eastAsiaTheme="minorEastAsia"/>
          <w:szCs w:val="21"/>
        </w:rPr>
      </w:pPr>
      <w:r>
        <w:rPr>
          <w:rFonts w:hint="eastAsia" w:asciiTheme="minorEastAsia" w:hAnsiTheme="minorEastAsia" w:eastAsiaTheme="minorEastAsia"/>
          <w:szCs w:val="21"/>
        </w:rPr>
        <w:t>质保期内，供应商对所供货物实行免费包修、包换、包退、包维护保养，期满后可同时提供终身、有偿维修保养服务。</w:t>
      </w:r>
    </w:p>
    <w:p>
      <w:pPr>
        <w:numPr>
          <w:ilvl w:val="0"/>
          <w:numId w:val="24"/>
        </w:numPr>
        <w:spacing w:line="360" w:lineRule="auto"/>
        <w:jc w:val="left"/>
        <w:rPr>
          <w:rFonts w:ascii="宋体" w:hAnsi="宋体"/>
          <w:szCs w:val="21"/>
        </w:rPr>
      </w:pPr>
      <w:r>
        <w:rPr>
          <w:rFonts w:hint="eastAsia" w:asciiTheme="minorEastAsia" w:hAnsiTheme="minorEastAsia" w:eastAsiaTheme="minorEastAsia"/>
          <w:szCs w:val="21"/>
        </w:rPr>
        <w:t>质保期内，如设备或零部件因非人为因素出现故障而造成短期停用时，则质保期和免费维修期相应顺延。</w:t>
      </w:r>
    </w:p>
    <w:p>
      <w:pPr>
        <w:spacing w:line="440" w:lineRule="exact"/>
        <w:rPr>
          <w:rFonts w:ascii="宋体" w:hAnsi="宋体"/>
          <w:szCs w:val="21"/>
        </w:rPr>
      </w:pPr>
      <w:r>
        <w:rPr>
          <w:rFonts w:hint="eastAsia" w:ascii="宋体" w:hAnsi="宋体"/>
          <w:szCs w:val="21"/>
        </w:rPr>
        <w:t>7、提出异议的时间和方法：</w:t>
      </w:r>
    </w:p>
    <w:p>
      <w:pPr>
        <w:spacing w:line="440" w:lineRule="exact"/>
        <w:ind w:left="420" w:firstLine="315" w:firstLineChars="150"/>
        <w:rPr>
          <w:rFonts w:ascii="宋体" w:hAnsi="宋体"/>
          <w:szCs w:val="21"/>
        </w:rPr>
      </w:pPr>
      <w:r>
        <w:rPr>
          <w:rFonts w:hint="eastAsia" w:ascii="宋体" w:hAnsi="宋体"/>
          <w:szCs w:val="21"/>
        </w:rPr>
        <w:t>1.甲方对采购设备质量有异议时，应向乙方提出书面异议。</w:t>
      </w:r>
    </w:p>
    <w:p>
      <w:pPr>
        <w:spacing w:line="440" w:lineRule="exact"/>
        <w:ind w:left="420" w:firstLine="315" w:firstLineChars="150"/>
        <w:rPr>
          <w:rFonts w:ascii="宋体" w:hAnsi="宋体"/>
          <w:szCs w:val="21"/>
        </w:rPr>
      </w:pPr>
      <w:r>
        <w:rPr>
          <w:rFonts w:hint="eastAsia" w:ascii="宋体" w:hAnsi="宋体"/>
          <w:szCs w:val="21"/>
        </w:rPr>
        <w:t>2.乙方在接到甲方书面异议后，应在3天内负责处理并函复甲方处理情况，否则，即视为默认甲方提出的异议和处理意见。</w:t>
      </w:r>
    </w:p>
    <w:p>
      <w:pPr>
        <w:spacing w:line="440" w:lineRule="exact"/>
        <w:ind w:left="420" w:firstLine="315" w:firstLineChars="150"/>
        <w:rPr>
          <w:rFonts w:ascii="宋体" w:hAnsi="宋体"/>
          <w:szCs w:val="21"/>
        </w:rPr>
      </w:pPr>
      <w:r>
        <w:rPr>
          <w:rFonts w:hint="eastAsia" w:ascii="宋体" w:hAnsi="宋体"/>
          <w:szCs w:val="21"/>
        </w:rPr>
        <w:t>3.乙方利用专业技术和行业信息优势之便，以不道德的手段，故意隐瞒和掩盖自身缔约过失，违背投标承诺和未尽义务，损害了甲方的合法权益，甲方在任何时候均可追究乙方的违约责任并索取赔偿，且不受验收程序、质保期和合同时效的限制。</w:t>
      </w:r>
    </w:p>
    <w:p>
      <w:pPr>
        <w:spacing w:line="440" w:lineRule="exact"/>
        <w:ind w:firstLine="105" w:firstLineChars="50"/>
        <w:rPr>
          <w:rFonts w:ascii="宋体" w:hAnsi="宋体"/>
          <w:szCs w:val="21"/>
        </w:rPr>
      </w:pPr>
      <w:bookmarkStart w:id="7" w:name="_Toc78604615"/>
      <w:r>
        <w:rPr>
          <w:rFonts w:hint="eastAsia" w:ascii="宋体" w:hAnsi="宋体"/>
          <w:szCs w:val="21"/>
        </w:rPr>
        <w:t>8、争议的解决</w:t>
      </w:r>
      <w:bookmarkEnd w:id="7"/>
      <w:r>
        <w:rPr>
          <w:rFonts w:hint="eastAsia" w:ascii="宋体" w:hAnsi="宋体"/>
          <w:szCs w:val="21"/>
        </w:rPr>
        <w:t>：</w:t>
      </w:r>
    </w:p>
    <w:p>
      <w:pPr>
        <w:spacing w:line="440" w:lineRule="exact"/>
        <w:ind w:left="420" w:firstLine="420" w:firstLineChars="200"/>
        <w:rPr>
          <w:rFonts w:ascii="宋体" w:hAnsi="宋体"/>
          <w:szCs w:val="21"/>
        </w:rPr>
      </w:pPr>
      <w:r>
        <w:rPr>
          <w:rFonts w:hint="eastAsia" w:ascii="宋体" w:hAnsi="宋体"/>
          <w:szCs w:val="21"/>
        </w:rPr>
        <w:t>1.合同履行过程中发生的任何争议，如双方未能通过友好协商解决，应向佛山市有管辖权的人民法院提起诉讼。对所交付标的物质量有争议的，统一由佛山市辖属的专业检测机构进行终局鉴定，鉴定结果符合质量技术标准时，鉴定费由委托方承担；否则鉴定费由乙方承担。</w:t>
      </w:r>
    </w:p>
    <w:p>
      <w:pPr>
        <w:spacing w:line="440" w:lineRule="exact"/>
        <w:ind w:left="420" w:firstLine="420" w:firstLineChars="200"/>
        <w:rPr>
          <w:rFonts w:ascii="宋体" w:hAnsi="宋体"/>
          <w:szCs w:val="21"/>
        </w:rPr>
      </w:pPr>
      <w:r>
        <w:rPr>
          <w:rFonts w:hint="eastAsia" w:ascii="宋体" w:hAnsi="宋体"/>
          <w:szCs w:val="21"/>
        </w:rPr>
        <w:t>2.法院审理期间，除提交法院审理的事项外，其它无争议的事项和条款仍应继续履行。</w:t>
      </w:r>
    </w:p>
    <w:p>
      <w:pPr>
        <w:spacing w:line="440" w:lineRule="exact"/>
        <w:ind w:firstLine="105" w:firstLineChars="50"/>
        <w:rPr>
          <w:rFonts w:ascii="宋体" w:hAnsi="宋体"/>
          <w:szCs w:val="21"/>
        </w:rPr>
      </w:pPr>
      <w:bookmarkStart w:id="8" w:name="_Toc78604616"/>
      <w:r>
        <w:rPr>
          <w:rFonts w:hint="eastAsia" w:ascii="宋体" w:hAnsi="宋体"/>
          <w:szCs w:val="21"/>
        </w:rPr>
        <w:t>9、不可抗力</w:t>
      </w:r>
      <w:bookmarkEnd w:id="8"/>
      <w:r>
        <w:rPr>
          <w:rFonts w:hint="eastAsia" w:ascii="宋体" w:hAnsi="宋体"/>
          <w:szCs w:val="21"/>
        </w:rPr>
        <w:t>：</w:t>
      </w:r>
    </w:p>
    <w:p>
      <w:pPr>
        <w:spacing w:line="440" w:lineRule="exact"/>
        <w:ind w:left="420" w:firstLine="420" w:firstLineChars="200"/>
        <w:rPr>
          <w:rFonts w:ascii="宋体" w:hAnsi="宋体"/>
          <w:szCs w:val="21"/>
        </w:rPr>
      </w:pPr>
      <w:r>
        <w:rPr>
          <w:rFonts w:hint="eastAsia" w:ascii="宋体" w:hAnsi="宋体"/>
          <w:szCs w:val="21"/>
        </w:rPr>
        <w:t>任何一方由于不可抗力原因不能履行合同时，应在不可抗力事件结束后48小时内向对方通报，以减轻可能给对方造成的损失，在取得有关机构的不可抗力证明或双方谅解确认后，允许延期履行或修订合同，并根据情况可部分或全部免于承担违约责任。</w:t>
      </w:r>
    </w:p>
    <w:p>
      <w:pPr>
        <w:spacing w:line="440" w:lineRule="exact"/>
        <w:ind w:firstLine="210" w:firstLineChars="100"/>
        <w:rPr>
          <w:rFonts w:ascii="宋体" w:hAnsi="宋体"/>
          <w:szCs w:val="21"/>
        </w:rPr>
      </w:pPr>
      <w:r>
        <w:rPr>
          <w:rFonts w:hint="eastAsia" w:ascii="宋体" w:hAnsi="宋体"/>
          <w:szCs w:val="21"/>
        </w:rPr>
        <w:t>10、税费：</w:t>
      </w:r>
    </w:p>
    <w:p>
      <w:pPr>
        <w:spacing w:line="440" w:lineRule="exact"/>
        <w:ind w:left="420" w:firstLine="315" w:firstLineChars="150"/>
        <w:rPr>
          <w:rFonts w:ascii="宋体" w:hAnsi="宋体"/>
          <w:szCs w:val="21"/>
        </w:rPr>
      </w:pPr>
      <w:r>
        <w:rPr>
          <w:rFonts w:hint="eastAsia" w:ascii="宋体" w:hAnsi="宋体"/>
          <w:szCs w:val="21"/>
        </w:rPr>
        <w:t>1.本合同实施过程中所发生的一切税费及不可预见费均由乙方承担。</w:t>
      </w:r>
    </w:p>
    <w:p>
      <w:pPr>
        <w:spacing w:line="440" w:lineRule="exact"/>
        <w:ind w:left="420" w:firstLine="315" w:firstLineChars="150"/>
        <w:rPr>
          <w:rFonts w:ascii="宋体" w:hAnsi="宋体"/>
          <w:szCs w:val="21"/>
        </w:rPr>
      </w:pPr>
      <w:r>
        <w:rPr>
          <w:rFonts w:hint="eastAsia" w:ascii="宋体" w:hAnsi="宋体"/>
          <w:szCs w:val="21"/>
        </w:rPr>
        <w:t>2.乙方依照税务规章优先在合同履约地开具全额增值税专用发票及纳税。</w:t>
      </w:r>
    </w:p>
    <w:p>
      <w:pPr>
        <w:spacing w:line="440" w:lineRule="exact"/>
        <w:ind w:firstLine="210" w:firstLineChars="100"/>
        <w:rPr>
          <w:rFonts w:ascii="宋体" w:hAnsi="宋体"/>
          <w:szCs w:val="21"/>
        </w:rPr>
      </w:pPr>
      <w:r>
        <w:rPr>
          <w:rFonts w:hint="eastAsia" w:ascii="宋体" w:hAnsi="宋体"/>
          <w:szCs w:val="21"/>
        </w:rPr>
        <w:t>11、其它：</w:t>
      </w:r>
    </w:p>
    <w:p>
      <w:pPr>
        <w:spacing w:line="440" w:lineRule="exact"/>
        <w:ind w:left="420"/>
        <w:rPr>
          <w:rFonts w:ascii="宋体" w:hAnsi="宋体"/>
          <w:szCs w:val="21"/>
        </w:rPr>
      </w:pPr>
      <w:r>
        <w:rPr>
          <w:rFonts w:hint="eastAsia" w:ascii="宋体" w:hAnsi="宋体"/>
          <w:szCs w:val="21"/>
        </w:rPr>
        <w:t>1、所有经一方或双方签署确认的文件（包括会议纪要、补充协议、往来信函）、甲方采购文件、要约文件和响应承诺文件、合同附件等均为本合同不可分割的有效组成部分，与本合同具有同等的法律效力和履约义务，其缔约生效日期为有效签署或盖章确认之日期。</w:t>
      </w:r>
    </w:p>
    <w:p>
      <w:pPr>
        <w:spacing w:line="440" w:lineRule="exact"/>
        <w:ind w:left="420"/>
        <w:rPr>
          <w:rFonts w:ascii="宋体" w:hAnsi="宋体"/>
          <w:szCs w:val="21"/>
        </w:rPr>
      </w:pPr>
      <w:r>
        <w:rPr>
          <w:rFonts w:hint="eastAsia" w:ascii="宋体" w:hAnsi="宋体"/>
          <w:szCs w:val="21"/>
        </w:rPr>
        <w:t>2、本合同一式</w:t>
      </w:r>
      <w:r>
        <w:rPr>
          <w:rFonts w:hint="eastAsia" w:ascii="宋体" w:hAnsi="宋体"/>
          <w:szCs w:val="21"/>
        </w:rPr>
        <w:fldChar w:fldCharType="begin"/>
      </w:r>
      <w:r>
        <w:rPr>
          <w:rFonts w:hint="eastAsia" w:ascii="宋体" w:hAnsi="宋体"/>
          <w:szCs w:val="21"/>
        </w:rPr>
        <w:instrText xml:space="preserve"> = 4 \* CHINESENUM2 </w:instrText>
      </w:r>
      <w:r>
        <w:rPr>
          <w:rFonts w:hint="eastAsia" w:ascii="宋体" w:hAnsi="宋体"/>
          <w:szCs w:val="21"/>
        </w:rPr>
        <w:fldChar w:fldCharType="separate"/>
      </w:r>
      <w:r>
        <w:rPr>
          <w:rFonts w:hint="eastAsia" w:ascii="宋体" w:hAnsi="宋体"/>
          <w:szCs w:val="21"/>
        </w:rPr>
        <w:t>肆</w:t>
      </w:r>
      <w:r>
        <w:rPr>
          <w:rFonts w:hint="eastAsia" w:ascii="宋体" w:hAnsi="宋体"/>
          <w:szCs w:val="21"/>
        </w:rPr>
        <w:fldChar w:fldCharType="end"/>
      </w:r>
      <w:r>
        <w:rPr>
          <w:rFonts w:hint="eastAsia" w:ascii="宋体" w:hAnsi="宋体"/>
          <w:szCs w:val="21"/>
        </w:rPr>
        <w:t>份，甲、乙双方各执贰份。</w:t>
      </w:r>
    </w:p>
    <w:p>
      <w:pPr>
        <w:spacing w:line="440" w:lineRule="exact"/>
        <w:ind w:left="420"/>
        <w:rPr>
          <w:rFonts w:ascii="宋体" w:hAnsi="宋体"/>
          <w:szCs w:val="21"/>
        </w:rPr>
      </w:pPr>
      <w:r>
        <w:rPr>
          <w:rFonts w:hint="eastAsia" w:ascii="宋体" w:hAnsi="宋体"/>
          <w:szCs w:val="21"/>
        </w:rPr>
        <w:t>3、本合同签约履约地点：广东省佛山市三水区。</w:t>
      </w:r>
    </w:p>
    <w:p>
      <w:pPr>
        <w:spacing w:line="440" w:lineRule="exact"/>
        <w:ind w:left="420"/>
        <w:rPr>
          <w:rFonts w:ascii="宋体" w:hAnsi="宋体"/>
          <w:szCs w:val="21"/>
        </w:rPr>
      </w:pPr>
      <w:r>
        <w:rPr>
          <w:rFonts w:hint="eastAsia" w:ascii="宋体" w:hAnsi="宋体"/>
          <w:szCs w:val="21"/>
        </w:rPr>
        <w:t>4、双方均已对以上各条款及附件作充分了解，并明确理解由此而产生的相关权责。</w:t>
      </w:r>
    </w:p>
    <w:p>
      <w:pPr>
        <w:spacing w:line="360" w:lineRule="exact"/>
        <w:ind w:firstLine="420" w:firstLineChars="200"/>
        <w:rPr>
          <w:rFonts w:ascii="宋体" w:hAnsi="宋体"/>
          <w:szCs w:val="21"/>
        </w:rPr>
      </w:pPr>
      <w:r>
        <w:rPr>
          <w:rFonts w:hint="eastAsia" w:ascii="宋体" w:hAnsi="宋体"/>
          <w:szCs w:val="21"/>
        </w:rPr>
        <w:t xml:space="preserve">   </w:t>
      </w:r>
    </w:p>
    <w:p>
      <w:pPr>
        <w:spacing w:line="360" w:lineRule="exact"/>
        <w:ind w:firstLine="420" w:firstLineChars="200"/>
        <w:rPr>
          <w:rFonts w:ascii="宋体" w:hAnsi="宋体"/>
          <w:szCs w:val="21"/>
        </w:rPr>
      </w:pPr>
    </w:p>
    <w:p>
      <w:pPr>
        <w:spacing w:line="360" w:lineRule="exact"/>
        <w:ind w:firstLine="420" w:firstLineChars="200"/>
        <w:rPr>
          <w:rFonts w:ascii="宋体" w:hAnsi="宋体"/>
          <w:szCs w:val="21"/>
        </w:rPr>
      </w:pPr>
    </w:p>
    <w:p>
      <w:pPr>
        <w:spacing w:line="360" w:lineRule="auto"/>
        <w:rPr>
          <w:rFonts w:ascii="宋体" w:hAnsi="宋体"/>
          <w:szCs w:val="21"/>
        </w:rPr>
      </w:pPr>
    </w:p>
    <w:p>
      <w:pPr>
        <w:spacing w:line="360" w:lineRule="auto"/>
        <w:rPr>
          <w:rFonts w:ascii="宋体" w:hAnsi="宋体"/>
          <w:szCs w:val="21"/>
        </w:rPr>
      </w:pPr>
      <w:r>
        <w:rPr>
          <w:rFonts w:hint="eastAsia" w:ascii="宋体" w:hAnsi="宋体"/>
          <w:szCs w:val="21"/>
        </w:rPr>
        <w:t>甲方（盖章）：广东省广播电视网络股份有限公司佛山三水分公司</w:t>
      </w:r>
    </w:p>
    <w:p>
      <w:pPr>
        <w:spacing w:line="360" w:lineRule="auto"/>
        <w:rPr>
          <w:rFonts w:ascii="宋体" w:hAnsi="宋体"/>
          <w:szCs w:val="21"/>
        </w:rPr>
      </w:pPr>
      <w:r>
        <w:rPr>
          <w:rFonts w:hint="eastAsia" w:ascii="宋体" w:hAnsi="宋体"/>
          <w:szCs w:val="21"/>
        </w:rPr>
        <w:t>负责人（或授权代表人）：</w:t>
      </w:r>
    </w:p>
    <w:p>
      <w:pPr>
        <w:spacing w:line="360" w:lineRule="auto"/>
        <w:rPr>
          <w:rFonts w:ascii="宋体" w:hAnsi="宋体"/>
          <w:szCs w:val="21"/>
        </w:rPr>
      </w:pPr>
    </w:p>
    <w:p>
      <w:pPr>
        <w:spacing w:line="360" w:lineRule="auto"/>
        <w:rPr>
          <w:rFonts w:ascii="宋体" w:hAnsi="宋体"/>
          <w:szCs w:val="21"/>
        </w:rPr>
      </w:pPr>
      <w:r>
        <w:rPr>
          <w:rFonts w:hint="eastAsia" w:ascii="宋体" w:hAnsi="宋体"/>
          <w:szCs w:val="21"/>
        </w:rPr>
        <w:t>经办人：</w:t>
      </w:r>
    </w:p>
    <w:p>
      <w:pPr>
        <w:spacing w:line="360" w:lineRule="auto"/>
        <w:rPr>
          <w:rFonts w:ascii="宋体" w:hAnsi="宋体"/>
          <w:szCs w:val="21"/>
        </w:rPr>
      </w:pPr>
      <w:r>
        <w:rPr>
          <w:rFonts w:hint="eastAsia" w:ascii="宋体" w:hAnsi="宋体"/>
          <w:szCs w:val="21"/>
        </w:rPr>
        <w:t>日期：    年</w:t>
      </w:r>
      <w:r>
        <w:rPr>
          <w:rFonts w:ascii="宋体" w:hAnsi="宋体"/>
          <w:szCs w:val="21"/>
        </w:rPr>
        <w:t xml:space="preserve">    </w:t>
      </w:r>
      <w:r>
        <w:rPr>
          <w:rFonts w:hint="eastAsia" w:ascii="宋体" w:hAnsi="宋体"/>
          <w:szCs w:val="21"/>
        </w:rPr>
        <w:t>月</w:t>
      </w:r>
      <w:r>
        <w:rPr>
          <w:rFonts w:ascii="宋体" w:hAnsi="宋体"/>
          <w:szCs w:val="21"/>
        </w:rPr>
        <w:t xml:space="preserve">    </w:t>
      </w:r>
      <w:r>
        <w:rPr>
          <w:rFonts w:hint="eastAsia" w:ascii="宋体" w:hAnsi="宋体"/>
          <w:szCs w:val="21"/>
        </w:rPr>
        <w:t>日</w:t>
      </w: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r>
        <w:rPr>
          <w:rFonts w:hint="eastAsia" w:ascii="宋体" w:hAnsi="宋体"/>
          <w:szCs w:val="21"/>
        </w:rPr>
        <w:t>乙方（盖章）：</w:t>
      </w:r>
      <w:r>
        <w:rPr>
          <w:rFonts w:ascii="宋体" w:hAnsi="宋体"/>
          <w:szCs w:val="21"/>
        </w:rPr>
        <w:t xml:space="preserve"> </w:t>
      </w:r>
    </w:p>
    <w:p>
      <w:pPr>
        <w:spacing w:line="360" w:lineRule="auto"/>
        <w:rPr>
          <w:rFonts w:ascii="宋体" w:hAnsi="宋体"/>
          <w:szCs w:val="21"/>
        </w:rPr>
      </w:pPr>
      <w:r>
        <w:rPr>
          <w:rFonts w:hint="eastAsia" w:ascii="宋体" w:hAnsi="宋体"/>
          <w:szCs w:val="21"/>
        </w:rPr>
        <w:t>法定代表人（或授权代表）：</w:t>
      </w:r>
    </w:p>
    <w:p>
      <w:pPr>
        <w:spacing w:line="360" w:lineRule="auto"/>
        <w:rPr>
          <w:rFonts w:ascii="宋体" w:hAnsi="宋体"/>
          <w:szCs w:val="21"/>
        </w:rPr>
      </w:pPr>
      <w:r>
        <w:rPr>
          <w:rFonts w:hint="eastAsia" w:ascii="宋体" w:hAnsi="宋体"/>
          <w:szCs w:val="21"/>
        </w:rPr>
        <w:t>经办人：</w:t>
      </w:r>
    </w:p>
    <w:p>
      <w:pPr>
        <w:spacing w:line="360" w:lineRule="auto"/>
        <w:rPr>
          <w:rFonts w:ascii="宋体" w:hAnsi="宋体"/>
          <w:szCs w:val="21"/>
        </w:rPr>
      </w:pPr>
      <w:r>
        <w:rPr>
          <w:rFonts w:hint="eastAsia" w:ascii="宋体" w:hAnsi="宋体"/>
          <w:szCs w:val="21"/>
        </w:rPr>
        <w:t>联系电话：</w:t>
      </w:r>
    </w:p>
    <w:p>
      <w:pPr>
        <w:spacing w:line="360" w:lineRule="auto"/>
        <w:rPr>
          <w:rFonts w:ascii="宋体" w:hAnsi="宋体"/>
          <w:szCs w:val="21"/>
        </w:rPr>
      </w:pPr>
      <w:r>
        <w:rPr>
          <w:rFonts w:hint="eastAsia" w:ascii="宋体" w:hAnsi="宋体"/>
          <w:szCs w:val="21"/>
        </w:rPr>
        <w:t>日期：    年</w:t>
      </w:r>
      <w:r>
        <w:rPr>
          <w:rFonts w:ascii="宋体" w:hAnsi="宋体"/>
          <w:szCs w:val="21"/>
        </w:rPr>
        <w:t xml:space="preserve">    </w:t>
      </w:r>
      <w:r>
        <w:rPr>
          <w:rFonts w:hint="eastAsia" w:ascii="宋体" w:hAnsi="宋体"/>
          <w:szCs w:val="21"/>
        </w:rPr>
        <w:t>月</w:t>
      </w:r>
      <w:r>
        <w:rPr>
          <w:rFonts w:ascii="宋体" w:hAnsi="宋体"/>
          <w:szCs w:val="21"/>
        </w:rPr>
        <w:t xml:space="preserve">    </w:t>
      </w:r>
      <w:r>
        <w:rPr>
          <w:rFonts w:hint="eastAsia" w:ascii="宋体" w:hAnsi="宋体"/>
          <w:szCs w:val="21"/>
        </w:rPr>
        <w:t>日</w:t>
      </w:r>
    </w:p>
    <w:p>
      <w:pPr>
        <w:spacing w:line="360" w:lineRule="auto"/>
        <w:rPr>
          <w:rFonts w:ascii="宋体" w:hAnsi="宋体"/>
          <w:szCs w:val="21"/>
        </w:rPr>
      </w:pPr>
      <w:r>
        <w:rPr>
          <w:rFonts w:hint="eastAsia" w:ascii="宋体" w:hAnsi="宋体"/>
          <w:szCs w:val="21"/>
        </w:rPr>
        <w:t>帐户名称：</w:t>
      </w:r>
      <w:r>
        <w:rPr>
          <w:rFonts w:ascii="宋体" w:hAnsi="宋体"/>
          <w:szCs w:val="21"/>
        </w:rPr>
        <w:t xml:space="preserve"> </w:t>
      </w:r>
    </w:p>
    <w:p>
      <w:pPr>
        <w:spacing w:line="360" w:lineRule="auto"/>
        <w:rPr>
          <w:rFonts w:ascii="宋体" w:hAnsi="宋体"/>
          <w:szCs w:val="21"/>
        </w:rPr>
      </w:pPr>
      <w:r>
        <w:rPr>
          <w:rFonts w:hint="eastAsia" w:ascii="宋体" w:hAnsi="宋体"/>
          <w:szCs w:val="21"/>
        </w:rPr>
        <w:t>帐</w:t>
      </w:r>
      <w:r>
        <w:rPr>
          <w:rFonts w:ascii="宋体" w:hAnsi="宋体"/>
          <w:szCs w:val="21"/>
        </w:rPr>
        <w:t xml:space="preserve">    </w:t>
      </w:r>
      <w:r>
        <w:rPr>
          <w:rFonts w:hint="eastAsia" w:ascii="宋体" w:hAnsi="宋体"/>
          <w:szCs w:val="21"/>
        </w:rPr>
        <w:t>号：</w:t>
      </w:r>
      <w:r>
        <w:rPr>
          <w:rFonts w:ascii="宋体" w:hAnsi="宋体"/>
          <w:szCs w:val="21"/>
        </w:rPr>
        <w:t xml:space="preserve"> </w:t>
      </w:r>
    </w:p>
    <w:p>
      <w:pPr>
        <w:tabs>
          <w:tab w:val="left" w:pos="1980"/>
          <w:tab w:val="left" w:pos="2160"/>
        </w:tabs>
        <w:spacing w:line="360" w:lineRule="auto"/>
        <w:rPr>
          <w:rFonts w:ascii="宋体" w:hAnsi="宋体"/>
          <w:szCs w:val="21"/>
        </w:rPr>
      </w:pPr>
      <w:r>
        <w:rPr>
          <w:rFonts w:hint="eastAsia" w:ascii="宋体" w:hAnsi="宋体"/>
          <w:szCs w:val="21"/>
        </w:rPr>
        <w:t>开</w:t>
      </w:r>
      <w:r>
        <w:rPr>
          <w:rFonts w:ascii="宋体" w:hAnsi="宋体"/>
          <w:szCs w:val="21"/>
        </w:rPr>
        <w:t xml:space="preserve"> </w:t>
      </w:r>
      <w:r>
        <w:rPr>
          <w:rFonts w:hint="eastAsia" w:ascii="宋体" w:hAnsi="宋体"/>
          <w:szCs w:val="21"/>
        </w:rPr>
        <w:t>户</w:t>
      </w:r>
      <w:r>
        <w:rPr>
          <w:rFonts w:ascii="宋体" w:hAnsi="宋体"/>
          <w:szCs w:val="21"/>
        </w:rPr>
        <w:t xml:space="preserve"> </w:t>
      </w:r>
      <w:r>
        <w:rPr>
          <w:rFonts w:hint="eastAsia" w:ascii="宋体" w:hAnsi="宋体"/>
          <w:szCs w:val="21"/>
        </w:rPr>
        <w:t>行：</w:t>
      </w:r>
      <w:r>
        <w:rPr>
          <w:rFonts w:ascii="宋体" w:hAnsi="宋体"/>
          <w:szCs w:val="21"/>
        </w:rPr>
        <w:t xml:space="preserve"> </w:t>
      </w:r>
    </w:p>
    <w:p>
      <w:pPr>
        <w:widowControl/>
        <w:jc w:val="left"/>
      </w:pPr>
    </w:p>
    <w:p>
      <w:pPr>
        <w:widowControl/>
        <w:jc w:val="left"/>
      </w:pPr>
    </w:p>
    <w:p>
      <w:pPr>
        <w:widowControl/>
        <w:jc w:val="left"/>
      </w:pPr>
    </w:p>
    <w:p>
      <w:pPr>
        <w:widowControl/>
        <w:jc w:val="left"/>
      </w:pPr>
    </w:p>
    <w:p>
      <w:pPr>
        <w:widowControl/>
        <w:jc w:val="left"/>
      </w:pPr>
    </w:p>
    <w:p>
      <w:pPr>
        <w:pStyle w:val="59"/>
        <w:ind w:firstLine="0" w:firstLineChars="0"/>
        <w:rPr>
          <w:rFonts w:ascii="仿宋" w:hAnsi="仿宋" w:eastAsia="仿宋" w:cs="仿宋"/>
          <w:kern w:val="0"/>
          <w:sz w:val="30"/>
          <w:szCs w:val="30"/>
        </w:rPr>
      </w:pPr>
      <w:bookmarkStart w:id="9" w:name="_GoBack"/>
      <w:bookmarkEnd w:id="9"/>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新宋体">
    <w:panose1 w:val="02010609030101010101"/>
    <w:charset w:val="86"/>
    <w:family w:val="modern"/>
    <w:pitch w:val="default"/>
    <w:sig w:usb0="00000283" w:usb1="288F0000" w:usb2="00000006" w:usb3="00000000" w:csb0="00040001" w:csb1="00000000"/>
  </w:font>
  <w:font w:name="Microsoft YaHei UI">
    <w:panose1 w:val="020B0503020204020204"/>
    <w:charset w:val="86"/>
    <w:family w:val="swiss"/>
    <w:pitch w:val="default"/>
    <w:sig w:usb0="80000287" w:usb1="2ACF3C50" w:usb2="00000016" w:usb3="00000000" w:csb0="0004001F" w:csb1="00000000"/>
  </w:font>
  <w:font w:name="Tahoma">
    <w:panose1 w:val="020B0604030504040204"/>
    <w:charset w:val="00"/>
    <w:family w:val="swiss"/>
    <w:pitch w:val="default"/>
    <w:sig w:usb0="E1002EFF" w:usb1="C000605B" w:usb2="00000029" w:usb3="00000000" w:csb0="200101FF" w:csb1="20280000"/>
  </w:font>
  <w:font w:name="仿宋体">
    <w:altName w:val="宋体"/>
    <w:panose1 w:val="00000000000000000000"/>
    <w:charset w:val="86"/>
    <w:family w:val="roman"/>
    <w:pitch w:val="default"/>
    <w:sig w:usb0="00000000" w:usb1="00000000" w:usb2="00000010" w:usb3="00000000" w:csb0="00040000" w:csb1="00000000"/>
  </w:font>
  <w:font w:name="Verdana">
    <w:panose1 w:val="020B0604030504040204"/>
    <w:charset w:val="00"/>
    <w:family w:val="swiss"/>
    <w:pitch w:val="default"/>
    <w:sig w:usb0="A00006FF" w:usb1="4000205B" w:usb2="00000010" w:usb3="00000000" w:csb0="2000019F" w:csb1="00000000"/>
  </w:font>
  <w:font w:name="华文中宋">
    <w:panose1 w:val="02010600040101010101"/>
    <w:charset w:val="86"/>
    <w:family w:val="auto"/>
    <w:pitch w:val="default"/>
    <w:sig w:usb0="00000287" w:usb1="080F0000" w:usb2="00000000" w:usb3="00000000" w:csb0="0004009F" w:csb1="DFD70000"/>
  </w:font>
  <w:font w:name="Cambria">
    <w:panose1 w:val="02040503050406030204"/>
    <w:charset w:val="00"/>
    <w:family w:val="roman"/>
    <w:pitch w:val="default"/>
    <w:sig w:usb0="E00006FF" w:usb1="420024FF" w:usb2="02000000" w:usb3="00000000" w:csb0="2000019F" w:csb1="00000000"/>
  </w:font>
  <w:font w:name="Helvetica">
    <w:altName w:val="Arial"/>
    <w:panose1 w:val="020B0604020202020204"/>
    <w:charset w:val="00"/>
    <w:family w:val="swiss"/>
    <w:pitch w:val="default"/>
    <w:sig w:usb0="00000000" w:usb1="00000000" w:usb2="00000009" w:usb3="00000000" w:csb0="000001F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87185E6"/>
    <w:multiLevelType w:val="singleLevel"/>
    <w:tmpl w:val="987185E6"/>
    <w:lvl w:ilvl="0" w:tentative="0">
      <w:start w:val="1"/>
      <w:numFmt w:val="decimal"/>
      <w:lvlText w:val="(%1)"/>
      <w:lvlJc w:val="left"/>
      <w:pPr>
        <w:ind w:left="425" w:hanging="425"/>
      </w:pPr>
      <w:rPr>
        <w:rFonts w:hint="default"/>
      </w:rPr>
    </w:lvl>
  </w:abstractNum>
  <w:abstractNum w:abstractNumId="1">
    <w:nsid w:val="A014F4C9"/>
    <w:multiLevelType w:val="singleLevel"/>
    <w:tmpl w:val="A014F4C9"/>
    <w:lvl w:ilvl="0" w:tentative="0">
      <w:start w:val="1"/>
      <w:numFmt w:val="chineseCounting"/>
      <w:suff w:val="nothing"/>
      <w:lvlText w:val="（%1）"/>
      <w:lvlJc w:val="left"/>
      <w:pPr>
        <w:ind w:left="-210" w:firstLine="420"/>
      </w:pPr>
      <w:rPr>
        <w:rFonts w:hint="eastAsia"/>
      </w:rPr>
    </w:lvl>
  </w:abstractNum>
  <w:abstractNum w:abstractNumId="2">
    <w:nsid w:val="EBF05510"/>
    <w:multiLevelType w:val="multilevel"/>
    <w:tmpl w:val="EBF05510"/>
    <w:lvl w:ilvl="0" w:tentative="0">
      <w:start w:val="1"/>
      <w:numFmt w:val="decimal"/>
      <w:lvlText w:val="(%1)"/>
      <w:lvlJc w:val="left"/>
      <w:pPr>
        <w:ind w:left="360" w:hanging="360"/>
      </w:pPr>
      <w:rPr>
        <w:rFonts w:hint="default"/>
        <w:b w:val="0"/>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FC269FB9"/>
    <w:multiLevelType w:val="singleLevel"/>
    <w:tmpl w:val="FC269FB9"/>
    <w:lvl w:ilvl="0" w:tentative="0">
      <w:start w:val="1"/>
      <w:numFmt w:val="decimal"/>
      <w:suff w:val="space"/>
      <w:lvlText w:val="%1."/>
      <w:lvlJc w:val="left"/>
      <w:pPr>
        <w:ind w:left="425" w:hanging="425"/>
      </w:pPr>
      <w:rPr>
        <w:rFonts w:hint="default"/>
      </w:rPr>
    </w:lvl>
  </w:abstractNum>
  <w:abstractNum w:abstractNumId="4">
    <w:nsid w:val="03DD5FD5"/>
    <w:multiLevelType w:val="multilevel"/>
    <w:tmpl w:val="03DD5FD5"/>
    <w:lvl w:ilvl="0" w:tentative="0">
      <w:start w:val="1"/>
      <w:numFmt w:val="decimal"/>
      <w:suff w:val="nothing"/>
      <w:lvlText w:val="%1)"/>
      <w:lvlJc w:val="left"/>
      <w:pPr>
        <w:ind w:left="840" w:hanging="420"/>
      </w:pPr>
      <w:rPr>
        <w:rFonts w:hint="eastAsia"/>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5">
    <w:nsid w:val="042D685C"/>
    <w:multiLevelType w:val="multilevel"/>
    <w:tmpl w:val="042D685C"/>
    <w:lvl w:ilvl="0" w:tentative="0">
      <w:start w:val="1"/>
      <w:numFmt w:val="decimal"/>
      <w:suff w:val="nothing"/>
      <w:lvlText w:val="%1)"/>
      <w:lvlJc w:val="left"/>
      <w:pPr>
        <w:ind w:left="420" w:hanging="420"/>
      </w:pPr>
      <w:rPr>
        <w:rFonts w:hint="default" w:ascii="宋体" w:hAnsi="宋体" w:eastAsia="宋体" w:cs="宋体"/>
        <w:sz w:val="21"/>
        <w:szCs w:val="21"/>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05C32D49"/>
    <w:multiLevelType w:val="multilevel"/>
    <w:tmpl w:val="05C32D49"/>
    <w:lvl w:ilvl="0" w:tentative="0">
      <w:start w:val="1"/>
      <w:numFmt w:val="chineseCountingThousand"/>
      <w:suff w:val="nothing"/>
      <w:lvlText w:val="%1、"/>
      <w:lvlJc w:val="left"/>
      <w:pPr>
        <w:ind w:left="450" w:hanging="450"/>
      </w:pPr>
      <w:rPr>
        <w:rFonts w:hint="eastAsia"/>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7">
    <w:nsid w:val="0744CDE8"/>
    <w:multiLevelType w:val="multilevel"/>
    <w:tmpl w:val="0744CDE8"/>
    <w:lvl w:ilvl="0" w:tentative="0">
      <w:start w:val="1"/>
      <w:numFmt w:val="decimal"/>
      <w:lvlText w:val="(%1)"/>
      <w:lvlJc w:val="left"/>
      <w:pPr>
        <w:ind w:left="360" w:hanging="360"/>
      </w:pPr>
      <w:rPr>
        <w:rFonts w:hint="default"/>
        <w:b w:val="0"/>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
    <w:nsid w:val="07C1E3E7"/>
    <w:multiLevelType w:val="multilevel"/>
    <w:tmpl w:val="07C1E3E7"/>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9">
    <w:nsid w:val="125214F2"/>
    <w:multiLevelType w:val="multilevel"/>
    <w:tmpl w:val="125214F2"/>
    <w:lvl w:ilvl="0" w:tentative="0">
      <w:start w:val="1"/>
      <w:numFmt w:val="decimal"/>
      <w:suff w:val="nothing"/>
      <w:lvlText w:val="%1)"/>
      <w:lvlJc w:val="left"/>
      <w:pPr>
        <w:ind w:left="840" w:hanging="420"/>
      </w:pPr>
      <w:rPr>
        <w:rFonts w:hint="eastAsia"/>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10">
    <w:nsid w:val="140A6B21"/>
    <w:multiLevelType w:val="multilevel"/>
    <w:tmpl w:val="140A6B21"/>
    <w:lvl w:ilvl="0" w:tentative="0">
      <w:start w:val="1"/>
      <w:numFmt w:val="decimal"/>
      <w:suff w:val="nothing"/>
      <w:lvlText w:val="%1)"/>
      <w:lvlJc w:val="left"/>
      <w:pPr>
        <w:ind w:left="840" w:hanging="420"/>
      </w:pPr>
      <w:rPr>
        <w:rFonts w:hint="eastAsia"/>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11">
    <w:nsid w:val="1A816FE2"/>
    <w:multiLevelType w:val="multilevel"/>
    <w:tmpl w:val="1A816FE2"/>
    <w:lvl w:ilvl="0" w:tentative="0">
      <w:start w:val="1"/>
      <w:numFmt w:val="japaneseCounting"/>
      <w:lvlText w:val="（%1）"/>
      <w:lvlJc w:val="left"/>
      <w:pPr>
        <w:ind w:left="1080" w:hanging="720"/>
      </w:pPr>
      <w:rPr>
        <w:rFonts w:hint="default"/>
      </w:rPr>
    </w:lvl>
    <w:lvl w:ilvl="1" w:tentative="0">
      <w:start w:val="1"/>
      <w:numFmt w:val="lowerLetter"/>
      <w:lvlText w:val="%2)"/>
      <w:lvlJc w:val="left"/>
      <w:pPr>
        <w:ind w:left="1200" w:hanging="420"/>
      </w:pPr>
    </w:lvl>
    <w:lvl w:ilvl="2" w:tentative="0">
      <w:start w:val="1"/>
      <w:numFmt w:val="lowerRoman"/>
      <w:lvlText w:val="%3."/>
      <w:lvlJc w:val="right"/>
      <w:pPr>
        <w:ind w:left="1620" w:hanging="420"/>
      </w:pPr>
    </w:lvl>
    <w:lvl w:ilvl="3" w:tentative="0">
      <w:start w:val="1"/>
      <w:numFmt w:val="decimal"/>
      <w:lvlText w:val="%4."/>
      <w:lvlJc w:val="left"/>
      <w:pPr>
        <w:ind w:left="2040" w:hanging="420"/>
      </w:pPr>
    </w:lvl>
    <w:lvl w:ilvl="4" w:tentative="0">
      <w:start w:val="1"/>
      <w:numFmt w:val="lowerLetter"/>
      <w:lvlText w:val="%5)"/>
      <w:lvlJc w:val="left"/>
      <w:pPr>
        <w:ind w:left="2460" w:hanging="420"/>
      </w:pPr>
    </w:lvl>
    <w:lvl w:ilvl="5" w:tentative="0">
      <w:start w:val="1"/>
      <w:numFmt w:val="lowerRoman"/>
      <w:lvlText w:val="%6."/>
      <w:lvlJc w:val="right"/>
      <w:pPr>
        <w:ind w:left="2880" w:hanging="420"/>
      </w:pPr>
    </w:lvl>
    <w:lvl w:ilvl="6" w:tentative="0">
      <w:start w:val="1"/>
      <w:numFmt w:val="decimal"/>
      <w:lvlText w:val="%7."/>
      <w:lvlJc w:val="left"/>
      <w:pPr>
        <w:ind w:left="3300" w:hanging="420"/>
      </w:pPr>
    </w:lvl>
    <w:lvl w:ilvl="7" w:tentative="0">
      <w:start w:val="1"/>
      <w:numFmt w:val="lowerLetter"/>
      <w:lvlText w:val="%8)"/>
      <w:lvlJc w:val="left"/>
      <w:pPr>
        <w:ind w:left="3720" w:hanging="420"/>
      </w:pPr>
    </w:lvl>
    <w:lvl w:ilvl="8" w:tentative="0">
      <w:start w:val="1"/>
      <w:numFmt w:val="lowerRoman"/>
      <w:lvlText w:val="%9."/>
      <w:lvlJc w:val="right"/>
      <w:pPr>
        <w:ind w:left="4140" w:hanging="420"/>
      </w:pPr>
    </w:lvl>
  </w:abstractNum>
  <w:abstractNum w:abstractNumId="12">
    <w:nsid w:val="1B5F22E3"/>
    <w:multiLevelType w:val="singleLevel"/>
    <w:tmpl w:val="1B5F22E3"/>
    <w:lvl w:ilvl="0" w:tentative="0">
      <w:start w:val="1"/>
      <w:numFmt w:val="decimal"/>
      <w:suff w:val="space"/>
      <w:lvlText w:val="%1."/>
      <w:lvlJc w:val="left"/>
      <w:pPr>
        <w:ind w:left="425" w:hanging="425"/>
      </w:pPr>
      <w:rPr>
        <w:rFonts w:hint="default"/>
      </w:rPr>
    </w:lvl>
  </w:abstractNum>
  <w:abstractNum w:abstractNumId="13">
    <w:nsid w:val="215C76AC"/>
    <w:multiLevelType w:val="multilevel"/>
    <w:tmpl w:val="215C76AC"/>
    <w:lvl w:ilvl="0" w:tentative="0">
      <w:start w:val="1"/>
      <w:numFmt w:val="decimal"/>
      <w:lvlText w:val="%1."/>
      <w:lvlJc w:val="left"/>
      <w:pPr>
        <w:ind w:left="420" w:hanging="420"/>
      </w:pPr>
      <w:rPr>
        <w:rFonts w:hint="eastAsia"/>
      </w:rPr>
    </w:lvl>
    <w:lvl w:ilvl="1" w:tentative="0">
      <w:start w:val="1"/>
      <w:numFmt w:val="decimal"/>
      <w:suff w:val="nothing"/>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14">
    <w:nsid w:val="227D41A0"/>
    <w:multiLevelType w:val="multilevel"/>
    <w:tmpl w:val="227D41A0"/>
    <w:lvl w:ilvl="0" w:tentative="0">
      <w:start w:val="1"/>
      <w:numFmt w:val="decimal"/>
      <w:suff w:val="nothing"/>
      <w:lvlText w:val="%1)"/>
      <w:lvlJc w:val="left"/>
      <w:pPr>
        <w:ind w:left="840" w:hanging="420"/>
      </w:pPr>
      <w:rPr>
        <w:rFonts w:hint="eastAsia"/>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15">
    <w:nsid w:val="34433F59"/>
    <w:multiLevelType w:val="multilevel"/>
    <w:tmpl w:val="34433F59"/>
    <w:lvl w:ilvl="0" w:tentative="0">
      <w:start w:val="1"/>
      <w:numFmt w:val="decimal"/>
      <w:suff w:val="nothing"/>
      <w:lvlText w:val="%1."/>
      <w:lvlJc w:val="left"/>
      <w:pPr>
        <w:ind w:left="420" w:hanging="420"/>
      </w:pPr>
      <w:rPr>
        <w:rFonts w:hint="eastAsia"/>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16">
    <w:nsid w:val="3CE44964"/>
    <w:multiLevelType w:val="multilevel"/>
    <w:tmpl w:val="3CE44964"/>
    <w:lvl w:ilvl="0" w:tentative="0">
      <w:start w:val="1"/>
      <w:numFmt w:val="decimal"/>
      <w:suff w:val="nothing"/>
      <w:lvlText w:val="%1)"/>
      <w:lvlJc w:val="left"/>
      <w:pPr>
        <w:ind w:left="840" w:hanging="420"/>
      </w:pPr>
      <w:rPr>
        <w:rFonts w:hint="eastAsia"/>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17">
    <w:nsid w:val="3E7E35BD"/>
    <w:multiLevelType w:val="multilevel"/>
    <w:tmpl w:val="3E7E35BD"/>
    <w:lvl w:ilvl="0" w:tentative="0">
      <w:start w:val="1"/>
      <w:numFmt w:val="decimal"/>
      <w:lvlText w:val="%1"/>
      <w:lvlJc w:val="left"/>
      <w:pPr>
        <w:ind w:left="425" w:hanging="425"/>
      </w:pPr>
      <w:rPr>
        <w:rFonts w:hint="eastAsia"/>
      </w:rPr>
    </w:lvl>
    <w:lvl w:ilvl="1" w:tentative="0">
      <w:start w:val="1"/>
      <w:numFmt w:val="decimal"/>
      <w:lvlText w:val="%1.%2"/>
      <w:lvlJc w:val="left"/>
      <w:pPr>
        <w:ind w:left="992" w:hanging="567"/>
      </w:pPr>
      <w:rPr>
        <w:rFonts w:hint="eastAsia"/>
      </w:rPr>
    </w:lvl>
    <w:lvl w:ilvl="2" w:tentative="0">
      <w:start w:val="1"/>
      <w:numFmt w:val="lowerLetter"/>
      <w:suff w:val="nothing"/>
      <w:lvlText w:val="%3)"/>
      <w:lvlJc w:val="left"/>
      <w:pPr>
        <w:ind w:left="1418" w:hanging="567"/>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18">
    <w:nsid w:val="4B375756"/>
    <w:multiLevelType w:val="multilevel"/>
    <w:tmpl w:val="4B375756"/>
    <w:lvl w:ilvl="0" w:tentative="0">
      <w:start w:val="1"/>
      <w:numFmt w:val="japaneseCounting"/>
      <w:suff w:val="space"/>
      <w:lvlText w:val="%1、"/>
      <w:lvlJc w:val="left"/>
      <w:pPr>
        <w:ind w:left="420" w:hanging="420"/>
      </w:pPr>
      <w:rPr>
        <w:rFonts w:hint="eastAsia"/>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19">
    <w:nsid w:val="50D8ED65"/>
    <w:multiLevelType w:val="singleLevel"/>
    <w:tmpl w:val="50D8ED65"/>
    <w:lvl w:ilvl="0" w:tentative="0">
      <w:start w:val="1"/>
      <w:numFmt w:val="decimal"/>
      <w:suff w:val="space"/>
      <w:lvlText w:val="%1."/>
      <w:lvlJc w:val="left"/>
      <w:pPr>
        <w:ind w:left="425" w:hanging="425"/>
      </w:pPr>
      <w:rPr>
        <w:rFonts w:hint="default"/>
      </w:rPr>
    </w:lvl>
  </w:abstractNum>
  <w:abstractNum w:abstractNumId="20">
    <w:nsid w:val="59794862"/>
    <w:multiLevelType w:val="multilevel"/>
    <w:tmpl w:val="59794862"/>
    <w:lvl w:ilvl="0" w:tentative="0">
      <w:start w:val="1"/>
      <w:numFmt w:val="decimal"/>
      <w:suff w:val="nothing"/>
      <w:lvlText w:val="%1)"/>
      <w:lvlJc w:val="left"/>
      <w:pPr>
        <w:ind w:left="840" w:hanging="420"/>
      </w:pPr>
      <w:rPr>
        <w:rFonts w:hint="eastAsia"/>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21">
    <w:nsid w:val="620153AE"/>
    <w:multiLevelType w:val="multilevel"/>
    <w:tmpl w:val="620153AE"/>
    <w:lvl w:ilvl="0" w:tentative="0">
      <w:start w:val="1"/>
      <w:numFmt w:val="decimal"/>
      <w:lvlText w:val="(%1)"/>
      <w:lvlJc w:val="left"/>
      <w:pPr>
        <w:tabs>
          <w:tab w:val="left" w:pos="1200"/>
        </w:tabs>
        <w:ind w:left="1200" w:hanging="360"/>
      </w:pPr>
      <w:rPr>
        <w:rFonts w:hint="default"/>
        <w:b w:val="0"/>
        <w:bCs w:val="0"/>
        <w:sz w:val="21"/>
        <w:szCs w:val="21"/>
      </w:rPr>
    </w:lvl>
    <w:lvl w:ilvl="1" w:tentative="0">
      <w:start w:val="1"/>
      <w:numFmt w:val="decimal"/>
      <w:lvlText w:val="%2．"/>
      <w:lvlJc w:val="left"/>
      <w:pPr>
        <w:tabs>
          <w:tab w:val="left" w:pos="1620"/>
        </w:tabs>
        <w:ind w:left="1620" w:hanging="360"/>
      </w:pPr>
      <w:rPr>
        <w:rFonts w:hint="default" w:ascii="宋体" w:hAnsi="宋体" w:eastAsia="宋体"/>
      </w:rPr>
    </w:lvl>
    <w:lvl w:ilvl="2" w:tentative="0">
      <w:start w:val="1"/>
      <w:numFmt w:val="lowerRoman"/>
      <w:lvlText w:val="%3."/>
      <w:lvlJc w:val="right"/>
      <w:pPr>
        <w:tabs>
          <w:tab w:val="left" w:pos="2100"/>
        </w:tabs>
        <w:ind w:left="2100" w:hanging="420"/>
      </w:pPr>
      <w:rPr>
        <w:rFonts w:hint="eastAsia"/>
      </w:rPr>
    </w:lvl>
    <w:lvl w:ilvl="3" w:tentative="0">
      <w:start w:val="1"/>
      <w:numFmt w:val="decimal"/>
      <w:lvlText w:val="%4."/>
      <w:lvlJc w:val="left"/>
      <w:pPr>
        <w:tabs>
          <w:tab w:val="left" w:pos="2520"/>
        </w:tabs>
        <w:ind w:left="2520" w:hanging="420"/>
      </w:pPr>
      <w:rPr>
        <w:rFonts w:hint="eastAsia"/>
      </w:rPr>
    </w:lvl>
    <w:lvl w:ilvl="4" w:tentative="0">
      <w:start w:val="1"/>
      <w:numFmt w:val="lowerLetter"/>
      <w:lvlText w:val="%5)"/>
      <w:lvlJc w:val="left"/>
      <w:pPr>
        <w:tabs>
          <w:tab w:val="left" w:pos="2940"/>
        </w:tabs>
        <w:ind w:left="2940" w:hanging="420"/>
      </w:pPr>
      <w:rPr>
        <w:rFonts w:hint="eastAsia"/>
      </w:rPr>
    </w:lvl>
    <w:lvl w:ilvl="5" w:tentative="0">
      <w:start w:val="1"/>
      <w:numFmt w:val="lowerRoman"/>
      <w:lvlText w:val="%6."/>
      <w:lvlJc w:val="right"/>
      <w:pPr>
        <w:tabs>
          <w:tab w:val="left" w:pos="3360"/>
        </w:tabs>
        <w:ind w:left="3360" w:hanging="420"/>
      </w:pPr>
      <w:rPr>
        <w:rFonts w:hint="eastAsia"/>
      </w:rPr>
    </w:lvl>
    <w:lvl w:ilvl="6" w:tentative="0">
      <w:start w:val="1"/>
      <w:numFmt w:val="decimal"/>
      <w:lvlText w:val="%7."/>
      <w:lvlJc w:val="left"/>
      <w:pPr>
        <w:tabs>
          <w:tab w:val="left" w:pos="3780"/>
        </w:tabs>
        <w:ind w:left="3780" w:hanging="420"/>
      </w:pPr>
      <w:rPr>
        <w:rFonts w:hint="eastAsia"/>
      </w:rPr>
    </w:lvl>
    <w:lvl w:ilvl="7" w:tentative="0">
      <w:start w:val="1"/>
      <w:numFmt w:val="lowerLetter"/>
      <w:lvlText w:val="%8)"/>
      <w:lvlJc w:val="left"/>
      <w:pPr>
        <w:tabs>
          <w:tab w:val="left" w:pos="4200"/>
        </w:tabs>
        <w:ind w:left="4200" w:hanging="420"/>
      </w:pPr>
      <w:rPr>
        <w:rFonts w:hint="eastAsia"/>
      </w:rPr>
    </w:lvl>
    <w:lvl w:ilvl="8" w:tentative="0">
      <w:start w:val="1"/>
      <w:numFmt w:val="lowerRoman"/>
      <w:lvlText w:val="%9."/>
      <w:lvlJc w:val="right"/>
      <w:pPr>
        <w:tabs>
          <w:tab w:val="left" w:pos="4620"/>
        </w:tabs>
        <w:ind w:left="4620" w:hanging="420"/>
      </w:pPr>
      <w:rPr>
        <w:rFonts w:hint="eastAsia"/>
      </w:rPr>
    </w:lvl>
  </w:abstractNum>
  <w:abstractNum w:abstractNumId="22">
    <w:nsid w:val="6C5052AA"/>
    <w:multiLevelType w:val="singleLevel"/>
    <w:tmpl w:val="6C5052AA"/>
    <w:lvl w:ilvl="0" w:tentative="0">
      <w:start w:val="1"/>
      <w:numFmt w:val="decimal"/>
      <w:suff w:val="space"/>
      <w:lvlText w:val="%1."/>
      <w:lvlJc w:val="left"/>
      <w:pPr>
        <w:ind w:left="425" w:hanging="425"/>
      </w:pPr>
      <w:rPr>
        <w:rFonts w:hint="default"/>
      </w:rPr>
    </w:lvl>
  </w:abstractNum>
  <w:abstractNum w:abstractNumId="23">
    <w:nsid w:val="6E297D47"/>
    <w:multiLevelType w:val="multilevel"/>
    <w:tmpl w:val="6E297D47"/>
    <w:lvl w:ilvl="0" w:tentative="0">
      <w:start w:val="1"/>
      <w:numFmt w:val="decimal"/>
      <w:lvlText w:val="%1."/>
      <w:lvlJc w:val="left"/>
      <w:pPr>
        <w:ind w:left="840" w:hanging="420"/>
      </w:pPr>
      <w:rPr>
        <w:rFonts w:hint="eastAsia"/>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suff w:val="space"/>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num w:numId="1">
    <w:abstractNumId w:val="18"/>
  </w:num>
  <w:num w:numId="2">
    <w:abstractNumId w:val="15"/>
  </w:num>
  <w:num w:numId="3">
    <w:abstractNumId w:val="16"/>
  </w:num>
  <w:num w:numId="4">
    <w:abstractNumId w:val="13"/>
  </w:num>
  <w:num w:numId="5">
    <w:abstractNumId w:val="5"/>
  </w:num>
  <w:num w:numId="6">
    <w:abstractNumId w:val="20"/>
  </w:num>
  <w:num w:numId="7">
    <w:abstractNumId w:val="4"/>
  </w:num>
  <w:num w:numId="8">
    <w:abstractNumId w:val="9"/>
  </w:num>
  <w:num w:numId="9">
    <w:abstractNumId w:val="17"/>
  </w:num>
  <w:num w:numId="10">
    <w:abstractNumId w:val="10"/>
  </w:num>
  <w:num w:numId="11">
    <w:abstractNumId w:val="14"/>
  </w:num>
  <w:num w:numId="12">
    <w:abstractNumId w:val="6"/>
  </w:num>
  <w:num w:numId="13">
    <w:abstractNumId w:val="11"/>
  </w:num>
  <w:num w:numId="14">
    <w:abstractNumId w:val="12"/>
  </w:num>
  <w:num w:numId="15">
    <w:abstractNumId w:val="22"/>
  </w:num>
  <w:num w:numId="16">
    <w:abstractNumId w:val="19"/>
  </w:num>
  <w:num w:numId="17">
    <w:abstractNumId w:val="3"/>
  </w:num>
  <w:num w:numId="18">
    <w:abstractNumId w:val="23"/>
  </w:num>
  <w:num w:numId="19">
    <w:abstractNumId w:val="0"/>
  </w:num>
  <w:num w:numId="20">
    <w:abstractNumId w:val="21"/>
  </w:num>
  <w:num w:numId="21">
    <w:abstractNumId w:val="1"/>
  </w:num>
  <w:num w:numId="22">
    <w:abstractNumId w:val="8"/>
  </w:num>
  <w:num w:numId="23">
    <w:abstractNumId w:val="2"/>
  </w:num>
  <w:num w:numId="2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trackRevisions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ljYmRjYzJhOWExYzgyZjhkOTA0NjMzMjFhZDRlM2EifQ=="/>
  </w:docVars>
  <w:rsids>
    <w:rsidRoot w:val="00982A85"/>
    <w:rsid w:val="000004AD"/>
    <w:rsid w:val="0000166B"/>
    <w:rsid w:val="00002FF5"/>
    <w:rsid w:val="00003929"/>
    <w:rsid w:val="0000601A"/>
    <w:rsid w:val="0000694E"/>
    <w:rsid w:val="000072B1"/>
    <w:rsid w:val="000076D5"/>
    <w:rsid w:val="00007FAE"/>
    <w:rsid w:val="00012357"/>
    <w:rsid w:val="00013778"/>
    <w:rsid w:val="00013B79"/>
    <w:rsid w:val="00013CBD"/>
    <w:rsid w:val="00015F62"/>
    <w:rsid w:val="00017E85"/>
    <w:rsid w:val="00020817"/>
    <w:rsid w:val="00022BA8"/>
    <w:rsid w:val="00022E1E"/>
    <w:rsid w:val="000243AE"/>
    <w:rsid w:val="00024FEE"/>
    <w:rsid w:val="00025123"/>
    <w:rsid w:val="00026161"/>
    <w:rsid w:val="0002789D"/>
    <w:rsid w:val="00027B41"/>
    <w:rsid w:val="00027D53"/>
    <w:rsid w:val="00030AA4"/>
    <w:rsid w:val="0003162D"/>
    <w:rsid w:val="0003243C"/>
    <w:rsid w:val="0003262C"/>
    <w:rsid w:val="00033C58"/>
    <w:rsid w:val="00033DF8"/>
    <w:rsid w:val="000348F7"/>
    <w:rsid w:val="000353FF"/>
    <w:rsid w:val="000356AB"/>
    <w:rsid w:val="00040958"/>
    <w:rsid w:val="0004362F"/>
    <w:rsid w:val="00043EDC"/>
    <w:rsid w:val="00047817"/>
    <w:rsid w:val="000525A8"/>
    <w:rsid w:val="00054850"/>
    <w:rsid w:val="00054D90"/>
    <w:rsid w:val="00054E0C"/>
    <w:rsid w:val="0005685F"/>
    <w:rsid w:val="000578DB"/>
    <w:rsid w:val="00057A4C"/>
    <w:rsid w:val="0006011A"/>
    <w:rsid w:val="00060CC7"/>
    <w:rsid w:val="00060F78"/>
    <w:rsid w:val="00062631"/>
    <w:rsid w:val="00062CB7"/>
    <w:rsid w:val="00065C20"/>
    <w:rsid w:val="00065F20"/>
    <w:rsid w:val="00066C1E"/>
    <w:rsid w:val="00070575"/>
    <w:rsid w:val="00071751"/>
    <w:rsid w:val="000718D3"/>
    <w:rsid w:val="00074C93"/>
    <w:rsid w:val="00075128"/>
    <w:rsid w:val="000762D2"/>
    <w:rsid w:val="000768DE"/>
    <w:rsid w:val="000771D7"/>
    <w:rsid w:val="000775BA"/>
    <w:rsid w:val="0007767B"/>
    <w:rsid w:val="00082175"/>
    <w:rsid w:val="00082903"/>
    <w:rsid w:val="00083903"/>
    <w:rsid w:val="00084EA8"/>
    <w:rsid w:val="00086EF0"/>
    <w:rsid w:val="00087E87"/>
    <w:rsid w:val="000902E3"/>
    <w:rsid w:val="00092B0A"/>
    <w:rsid w:val="00092E24"/>
    <w:rsid w:val="00094059"/>
    <w:rsid w:val="0009405C"/>
    <w:rsid w:val="00094256"/>
    <w:rsid w:val="00094BC5"/>
    <w:rsid w:val="000950AD"/>
    <w:rsid w:val="000A11F6"/>
    <w:rsid w:val="000A1F19"/>
    <w:rsid w:val="000A237A"/>
    <w:rsid w:val="000A4C0F"/>
    <w:rsid w:val="000A7338"/>
    <w:rsid w:val="000B0865"/>
    <w:rsid w:val="000B1E95"/>
    <w:rsid w:val="000B3769"/>
    <w:rsid w:val="000B4261"/>
    <w:rsid w:val="000B4E75"/>
    <w:rsid w:val="000B5DB8"/>
    <w:rsid w:val="000B6CE6"/>
    <w:rsid w:val="000B6D58"/>
    <w:rsid w:val="000B6D8E"/>
    <w:rsid w:val="000C01BD"/>
    <w:rsid w:val="000C11C9"/>
    <w:rsid w:val="000C33B6"/>
    <w:rsid w:val="000C3802"/>
    <w:rsid w:val="000C3C4C"/>
    <w:rsid w:val="000C4327"/>
    <w:rsid w:val="000C44B2"/>
    <w:rsid w:val="000C4DAA"/>
    <w:rsid w:val="000C7317"/>
    <w:rsid w:val="000C7893"/>
    <w:rsid w:val="000C79FE"/>
    <w:rsid w:val="000D08A8"/>
    <w:rsid w:val="000D09DE"/>
    <w:rsid w:val="000D0BF1"/>
    <w:rsid w:val="000D2E4B"/>
    <w:rsid w:val="000D2EFA"/>
    <w:rsid w:val="000D4BCE"/>
    <w:rsid w:val="000D5B59"/>
    <w:rsid w:val="000D6196"/>
    <w:rsid w:val="000D6C2A"/>
    <w:rsid w:val="000E6013"/>
    <w:rsid w:val="000E6636"/>
    <w:rsid w:val="000F0AF2"/>
    <w:rsid w:val="000F191C"/>
    <w:rsid w:val="000F3D41"/>
    <w:rsid w:val="000F4BC7"/>
    <w:rsid w:val="000F4ED1"/>
    <w:rsid w:val="000F550C"/>
    <w:rsid w:val="000F60C3"/>
    <w:rsid w:val="000F6735"/>
    <w:rsid w:val="001007FC"/>
    <w:rsid w:val="00100FA9"/>
    <w:rsid w:val="001011C9"/>
    <w:rsid w:val="001016EE"/>
    <w:rsid w:val="00101E33"/>
    <w:rsid w:val="001029DF"/>
    <w:rsid w:val="00102E3B"/>
    <w:rsid w:val="00103F7C"/>
    <w:rsid w:val="0010492F"/>
    <w:rsid w:val="00105761"/>
    <w:rsid w:val="00105E54"/>
    <w:rsid w:val="0010650C"/>
    <w:rsid w:val="0011014B"/>
    <w:rsid w:val="0011085A"/>
    <w:rsid w:val="001141AB"/>
    <w:rsid w:val="0011445E"/>
    <w:rsid w:val="00114817"/>
    <w:rsid w:val="001156A8"/>
    <w:rsid w:val="00121369"/>
    <w:rsid w:val="00122334"/>
    <w:rsid w:val="001227D9"/>
    <w:rsid w:val="00122E20"/>
    <w:rsid w:val="00124673"/>
    <w:rsid w:val="00124993"/>
    <w:rsid w:val="00124E48"/>
    <w:rsid w:val="0012566B"/>
    <w:rsid w:val="001273FD"/>
    <w:rsid w:val="00131EF8"/>
    <w:rsid w:val="00132949"/>
    <w:rsid w:val="00132BD5"/>
    <w:rsid w:val="00132EB7"/>
    <w:rsid w:val="00133482"/>
    <w:rsid w:val="00133C28"/>
    <w:rsid w:val="001342C6"/>
    <w:rsid w:val="0013463B"/>
    <w:rsid w:val="00134FCD"/>
    <w:rsid w:val="001359F0"/>
    <w:rsid w:val="001369BE"/>
    <w:rsid w:val="00137AAB"/>
    <w:rsid w:val="0014121D"/>
    <w:rsid w:val="00141A88"/>
    <w:rsid w:val="00142609"/>
    <w:rsid w:val="00142BA2"/>
    <w:rsid w:val="00144CC0"/>
    <w:rsid w:val="00150DC2"/>
    <w:rsid w:val="00151C38"/>
    <w:rsid w:val="00155252"/>
    <w:rsid w:val="00155A56"/>
    <w:rsid w:val="00157D2F"/>
    <w:rsid w:val="001601A5"/>
    <w:rsid w:val="001627EF"/>
    <w:rsid w:val="001628FE"/>
    <w:rsid w:val="0016331B"/>
    <w:rsid w:val="00163E2D"/>
    <w:rsid w:val="001661BD"/>
    <w:rsid w:val="00166511"/>
    <w:rsid w:val="00170DD5"/>
    <w:rsid w:val="001713DD"/>
    <w:rsid w:val="00171E6F"/>
    <w:rsid w:val="001720B6"/>
    <w:rsid w:val="00173E34"/>
    <w:rsid w:val="00174598"/>
    <w:rsid w:val="00174634"/>
    <w:rsid w:val="00175C47"/>
    <w:rsid w:val="00175D51"/>
    <w:rsid w:val="00177762"/>
    <w:rsid w:val="0018057B"/>
    <w:rsid w:val="00180FFA"/>
    <w:rsid w:val="00181679"/>
    <w:rsid w:val="00182016"/>
    <w:rsid w:val="00183884"/>
    <w:rsid w:val="001849C1"/>
    <w:rsid w:val="00185212"/>
    <w:rsid w:val="001857F8"/>
    <w:rsid w:val="001874FD"/>
    <w:rsid w:val="00192899"/>
    <w:rsid w:val="00193AA2"/>
    <w:rsid w:val="001948DD"/>
    <w:rsid w:val="00195AA8"/>
    <w:rsid w:val="001968FF"/>
    <w:rsid w:val="00196BA3"/>
    <w:rsid w:val="00197395"/>
    <w:rsid w:val="00197A38"/>
    <w:rsid w:val="001A0039"/>
    <w:rsid w:val="001A077A"/>
    <w:rsid w:val="001A4BFC"/>
    <w:rsid w:val="001A4EAD"/>
    <w:rsid w:val="001A552D"/>
    <w:rsid w:val="001A5ED0"/>
    <w:rsid w:val="001A7BA3"/>
    <w:rsid w:val="001B0868"/>
    <w:rsid w:val="001B114A"/>
    <w:rsid w:val="001B1D4E"/>
    <w:rsid w:val="001B3F7F"/>
    <w:rsid w:val="001B42FB"/>
    <w:rsid w:val="001B49EA"/>
    <w:rsid w:val="001B6168"/>
    <w:rsid w:val="001B632A"/>
    <w:rsid w:val="001C137D"/>
    <w:rsid w:val="001C1A03"/>
    <w:rsid w:val="001C384F"/>
    <w:rsid w:val="001C628B"/>
    <w:rsid w:val="001C6404"/>
    <w:rsid w:val="001C68A3"/>
    <w:rsid w:val="001C7C20"/>
    <w:rsid w:val="001D068F"/>
    <w:rsid w:val="001D1318"/>
    <w:rsid w:val="001D3363"/>
    <w:rsid w:val="001D387E"/>
    <w:rsid w:val="001D5CE8"/>
    <w:rsid w:val="001D641C"/>
    <w:rsid w:val="001E01E5"/>
    <w:rsid w:val="001E1784"/>
    <w:rsid w:val="001E214D"/>
    <w:rsid w:val="001E338A"/>
    <w:rsid w:val="001E3487"/>
    <w:rsid w:val="001E5303"/>
    <w:rsid w:val="001E6A32"/>
    <w:rsid w:val="001E7EA8"/>
    <w:rsid w:val="001F035C"/>
    <w:rsid w:val="001F2D11"/>
    <w:rsid w:val="001F6B91"/>
    <w:rsid w:val="002010B9"/>
    <w:rsid w:val="00203015"/>
    <w:rsid w:val="00203A7B"/>
    <w:rsid w:val="00203AAC"/>
    <w:rsid w:val="002040B5"/>
    <w:rsid w:val="00204254"/>
    <w:rsid w:val="00204A3E"/>
    <w:rsid w:val="00204B05"/>
    <w:rsid w:val="00204CCE"/>
    <w:rsid w:val="00205EB3"/>
    <w:rsid w:val="0020699F"/>
    <w:rsid w:val="0021731B"/>
    <w:rsid w:val="0022004C"/>
    <w:rsid w:val="0022017F"/>
    <w:rsid w:val="002201F5"/>
    <w:rsid w:val="00221187"/>
    <w:rsid w:val="00222803"/>
    <w:rsid w:val="002241FC"/>
    <w:rsid w:val="00224B88"/>
    <w:rsid w:val="002250A6"/>
    <w:rsid w:val="00230171"/>
    <w:rsid w:val="0023050A"/>
    <w:rsid w:val="002307EF"/>
    <w:rsid w:val="002309D8"/>
    <w:rsid w:val="00232387"/>
    <w:rsid w:val="00233077"/>
    <w:rsid w:val="002333A8"/>
    <w:rsid w:val="002352EE"/>
    <w:rsid w:val="00235CCE"/>
    <w:rsid w:val="002372AE"/>
    <w:rsid w:val="0023788F"/>
    <w:rsid w:val="00237BA5"/>
    <w:rsid w:val="0024089F"/>
    <w:rsid w:val="00241906"/>
    <w:rsid w:val="00243A59"/>
    <w:rsid w:val="00244632"/>
    <w:rsid w:val="002451F1"/>
    <w:rsid w:val="002453A1"/>
    <w:rsid w:val="00245769"/>
    <w:rsid w:val="00246F4C"/>
    <w:rsid w:val="00247265"/>
    <w:rsid w:val="00247847"/>
    <w:rsid w:val="00247C52"/>
    <w:rsid w:val="00251245"/>
    <w:rsid w:val="00251851"/>
    <w:rsid w:val="00253392"/>
    <w:rsid w:val="0025746D"/>
    <w:rsid w:val="00257CD4"/>
    <w:rsid w:val="00260A5B"/>
    <w:rsid w:val="00261419"/>
    <w:rsid w:val="00261DEB"/>
    <w:rsid w:val="002630C1"/>
    <w:rsid w:val="00266FDC"/>
    <w:rsid w:val="00270713"/>
    <w:rsid w:val="00272D6D"/>
    <w:rsid w:val="00276AC7"/>
    <w:rsid w:val="002772C8"/>
    <w:rsid w:val="00281992"/>
    <w:rsid w:val="0028218B"/>
    <w:rsid w:val="00282627"/>
    <w:rsid w:val="00282EF3"/>
    <w:rsid w:val="00283200"/>
    <w:rsid w:val="00284C06"/>
    <w:rsid w:val="002857A2"/>
    <w:rsid w:val="00286419"/>
    <w:rsid w:val="00287A48"/>
    <w:rsid w:val="00291B25"/>
    <w:rsid w:val="002937E9"/>
    <w:rsid w:val="002955EF"/>
    <w:rsid w:val="00295D41"/>
    <w:rsid w:val="0029640B"/>
    <w:rsid w:val="0029640E"/>
    <w:rsid w:val="002967C9"/>
    <w:rsid w:val="00297745"/>
    <w:rsid w:val="00297C61"/>
    <w:rsid w:val="002A23EA"/>
    <w:rsid w:val="002A4E98"/>
    <w:rsid w:val="002A4FAE"/>
    <w:rsid w:val="002A626B"/>
    <w:rsid w:val="002A6D9B"/>
    <w:rsid w:val="002B2317"/>
    <w:rsid w:val="002B2F9B"/>
    <w:rsid w:val="002B3C66"/>
    <w:rsid w:val="002B3DB5"/>
    <w:rsid w:val="002B3F80"/>
    <w:rsid w:val="002B6395"/>
    <w:rsid w:val="002B66D9"/>
    <w:rsid w:val="002B6B9B"/>
    <w:rsid w:val="002B773B"/>
    <w:rsid w:val="002C01ED"/>
    <w:rsid w:val="002C2D03"/>
    <w:rsid w:val="002C4618"/>
    <w:rsid w:val="002D12CC"/>
    <w:rsid w:val="002D3D93"/>
    <w:rsid w:val="002D4683"/>
    <w:rsid w:val="002E01F5"/>
    <w:rsid w:val="002E2682"/>
    <w:rsid w:val="002E3921"/>
    <w:rsid w:val="002E46CD"/>
    <w:rsid w:val="002E56C2"/>
    <w:rsid w:val="002E5AE4"/>
    <w:rsid w:val="002E764A"/>
    <w:rsid w:val="002F1117"/>
    <w:rsid w:val="002F1533"/>
    <w:rsid w:val="002F27D3"/>
    <w:rsid w:val="002F28C6"/>
    <w:rsid w:val="002F37E6"/>
    <w:rsid w:val="002F3B36"/>
    <w:rsid w:val="002F5270"/>
    <w:rsid w:val="002F5A2E"/>
    <w:rsid w:val="002F5BE4"/>
    <w:rsid w:val="002F62B9"/>
    <w:rsid w:val="00302C72"/>
    <w:rsid w:val="00302EE6"/>
    <w:rsid w:val="00303408"/>
    <w:rsid w:val="00304646"/>
    <w:rsid w:val="00305689"/>
    <w:rsid w:val="00306707"/>
    <w:rsid w:val="00307274"/>
    <w:rsid w:val="003078D8"/>
    <w:rsid w:val="0031155C"/>
    <w:rsid w:val="00313DA9"/>
    <w:rsid w:val="00313DE3"/>
    <w:rsid w:val="00314B2E"/>
    <w:rsid w:val="00314E41"/>
    <w:rsid w:val="00314EC8"/>
    <w:rsid w:val="00315D72"/>
    <w:rsid w:val="00317D71"/>
    <w:rsid w:val="003217A8"/>
    <w:rsid w:val="0032637C"/>
    <w:rsid w:val="00330512"/>
    <w:rsid w:val="003337CB"/>
    <w:rsid w:val="00335FB5"/>
    <w:rsid w:val="003369E9"/>
    <w:rsid w:val="00337911"/>
    <w:rsid w:val="00341508"/>
    <w:rsid w:val="003424F1"/>
    <w:rsid w:val="003433F4"/>
    <w:rsid w:val="00344C42"/>
    <w:rsid w:val="003458B6"/>
    <w:rsid w:val="00346281"/>
    <w:rsid w:val="00346FE2"/>
    <w:rsid w:val="00347C73"/>
    <w:rsid w:val="0035266C"/>
    <w:rsid w:val="00354681"/>
    <w:rsid w:val="00354ED0"/>
    <w:rsid w:val="003561C6"/>
    <w:rsid w:val="0035776D"/>
    <w:rsid w:val="00360039"/>
    <w:rsid w:val="00360226"/>
    <w:rsid w:val="003608DA"/>
    <w:rsid w:val="00363B27"/>
    <w:rsid w:val="00366ACA"/>
    <w:rsid w:val="00367B8F"/>
    <w:rsid w:val="003712F2"/>
    <w:rsid w:val="0037174C"/>
    <w:rsid w:val="00372CF0"/>
    <w:rsid w:val="0037324E"/>
    <w:rsid w:val="00373990"/>
    <w:rsid w:val="00373E8C"/>
    <w:rsid w:val="003742E7"/>
    <w:rsid w:val="00374FF1"/>
    <w:rsid w:val="0037518C"/>
    <w:rsid w:val="0037529C"/>
    <w:rsid w:val="003753AC"/>
    <w:rsid w:val="00375817"/>
    <w:rsid w:val="00375F11"/>
    <w:rsid w:val="00376651"/>
    <w:rsid w:val="0038242E"/>
    <w:rsid w:val="0038349B"/>
    <w:rsid w:val="00385101"/>
    <w:rsid w:val="003865FC"/>
    <w:rsid w:val="0038670A"/>
    <w:rsid w:val="00386E64"/>
    <w:rsid w:val="0039250E"/>
    <w:rsid w:val="003930CE"/>
    <w:rsid w:val="003967F6"/>
    <w:rsid w:val="00397270"/>
    <w:rsid w:val="003A1526"/>
    <w:rsid w:val="003A34A8"/>
    <w:rsid w:val="003A58EE"/>
    <w:rsid w:val="003A67C0"/>
    <w:rsid w:val="003B05EF"/>
    <w:rsid w:val="003B0B39"/>
    <w:rsid w:val="003B0EFA"/>
    <w:rsid w:val="003B20E8"/>
    <w:rsid w:val="003B2C89"/>
    <w:rsid w:val="003B2E1D"/>
    <w:rsid w:val="003B4829"/>
    <w:rsid w:val="003C0343"/>
    <w:rsid w:val="003C2E45"/>
    <w:rsid w:val="003C4094"/>
    <w:rsid w:val="003C5149"/>
    <w:rsid w:val="003C5F99"/>
    <w:rsid w:val="003C6075"/>
    <w:rsid w:val="003D04A8"/>
    <w:rsid w:val="003D0B3C"/>
    <w:rsid w:val="003D3925"/>
    <w:rsid w:val="003D4D12"/>
    <w:rsid w:val="003D5F1A"/>
    <w:rsid w:val="003E183F"/>
    <w:rsid w:val="003E23EC"/>
    <w:rsid w:val="003E605F"/>
    <w:rsid w:val="003E681C"/>
    <w:rsid w:val="003F03FC"/>
    <w:rsid w:val="003F1469"/>
    <w:rsid w:val="003F1E37"/>
    <w:rsid w:val="003F2252"/>
    <w:rsid w:val="003F248F"/>
    <w:rsid w:val="003F28D5"/>
    <w:rsid w:val="003F30D7"/>
    <w:rsid w:val="003F3D8E"/>
    <w:rsid w:val="003F45D2"/>
    <w:rsid w:val="003F5332"/>
    <w:rsid w:val="003F5879"/>
    <w:rsid w:val="003F6AB0"/>
    <w:rsid w:val="003F6AC4"/>
    <w:rsid w:val="00400369"/>
    <w:rsid w:val="00400814"/>
    <w:rsid w:val="00400A3A"/>
    <w:rsid w:val="00401798"/>
    <w:rsid w:val="004039EB"/>
    <w:rsid w:val="00403B2E"/>
    <w:rsid w:val="00404F70"/>
    <w:rsid w:val="00405B31"/>
    <w:rsid w:val="0040744D"/>
    <w:rsid w:val="004078E1"/>
    <w:rsid w:val="00412370"/>
    <w:rsid w:val="0041295E"/>
    <w:rsid w:val="004147D5"/>
    <w:rsid w:val="00415B0C"/>
    <w:rsid w:val="0041647C"/>
    <w:rsid w:val="004202F0"/>
    <w:rsid w:val="00420E2E"/>
    <w:rsid w:val="004216F6"/>
    <w:rsid w:val="00423A23"/>
    <w:rsid w:val="0042407C"/>
    <w:rsid w:val="0042608F"/>
    <w:rsid w:val="00426188"/>
    <w:rsid w:val="00426932"/>
    <w:rsid w:val="004308BE"/>
    <w:rsid w:val="00431640"/>
    <w:rsid w:val="0043178F"/>
    <w:rsid w:val="004326AC"/>
    <w:rsid w:val="00434AB3"/>
    <w:rsid w:val="004353BE"/>
    <w:rsid w:val="00436349"/>
    <w:rsid w:val="00437C51"/>
    <w:rsid w:val="00441B65"/>
    <w:rsid w:val="00441D67"/>
    <w:rsid w:val="00441FBD"/>
    <w:rsid w:val="00444443"/>
    <w:rsid w:val="00445E0D"/>
    <w:rsid w:val="004461EA"/>
    <w:rsid w:val="00446604"/>
    <w:rsid w:val="004468C0"/>
    <w:rsid w:val="00451115"/>
    <w:rsid w:val="00451149"/>
    <w:rsid w:val="00452322"/>
    <w:rsid w:val="00452614"/>
    <w:rsid w:val="00453929"/>
    <w:rsid w:val="00453B3E"/>
    <w:rsid w:val="00453B49"/>
    <w:rsid w:val="0045524B"/>
    <w:rsid w:val="00456206"/>
    <w:rsid w:val="00460087"/>
    <w:rsid w:val="00461908"/>
    <w:rsid w:val="0046204A"/>
    <w:rsid w:val="0046239A"/>
    <w:rsid w:val="004623A4"/>
    <w:rsid w:val="00462ACB"/>
    <w:rsid w:val="0046311B"/>
    <w:rsid w:val="0046333B"/>
    <w:rsid w:val="004638AD"/>
    <w:rsid w:val="00464C9E"/>
    <w:rsid w:val="00465F69"/>
    <w:rsid w:val="004679EE"/>
    <w:rsid w:val="00467C40"/>
    <w:rsid w:val="0047063B"/>
    <w:rsid w:val="00470845"/>
    <w:rsid w:val="00470FA9"/>
    <w:rsid w:val="00475E48"/>
    <w:rsid w:val="004761CB"/>
    <w:rsid w:val="0048061F"/>
    <w:rsid w:val="00483CB1"/>
    <w:rsid w:val="004877BE"/>
    <w:rsid w:val="00487856"/>
    <w:rsid w:val="00487A68"/>
    <w:rsid w:val="004933C4"/>
    <w:rsid w:val="004948FC"/>
    <w:rsid w:val="0049650F"/>
    <w:rsid w:val="004A1C28"/>
    <w:rsid w:val="004A37D0"/>
    <w:rsid w:val="004A3911"/>
    <w:rsid w:val="004A475D"/>
    <w:rsid w:val="004A559B"/>
    <w:rsid w:val="004A5726"/>
    <w:rsid w:val="004A7466"/>
    <w:rsid w:val="004B05AC"/>
    <w:rsid w:val="004B1E4D"/>
    <w:rsid w:val="004B2621"/>
    <w:rsid w:val="004B2E70"/>
    <w:rsid w:val="004B4996"/>
    <w:rsid w:val="004B5361"/>
    <w:rsid w:val="004B5B40"/>
    <w:rsid w:val="004B5C83"/>
    <w:rsid w:val="004B7402"/>
    <w:rsid w:val="004B7FE8"/>
    <w:rsid w:val="004C0358"/>
    <w:rsid w:val="004C31A2"/>
    <w:rsid w:val="004C4D70"/>
    <w:rsid w:val="004C75E1"/>
    <w:rsid w:val="004C7C2C"/>
    <w:rsid w:val="004D0051"/>
    <w:rsid w:val="004D0EDD"/>
    <w:rsid w:val="004D1256"/>
    <w:rsid w:val="004D2104"/>
    <w:rsid w:val="004D31C3"/>
    <w:rsid w:val="004D31DB"/>
    <w:rsid w:val="004D49DC"/>
    <w:rsid w:val="004D7AC9"/>
    <w:rsid w:val="004D7B73"/>
    <w:rsid w:val="004E0C4E"/>
    <w:rsid w:val="004E1080"/>
    <w:rsid w:val="004E21A5"/>
    <w:rsid w:val="004E2ECA"/>
    <w:rsid w:val="004E2FAA"/>
    <w:rsid w:val="004E33C4"/>
    <w:rsid w:val="004E3A74"/>
    <w:rsid w:val="004E4511"/>
    <w:rsid w:val="004E4579"/>
    <w:rsid w:val="004E59D5"/>
    <w:rsid w:val="004E61CB"/>
    <w:rsid w:val="004E6AAA"/>
    <w:rsid w:val="004F0482"/>
    <w:rsid w:val="004F160C"/>
    <w:rsid w:val="004F17C0"/>
    <w:rsid w:val="004F2189"/>
    <w:rsid w:val="004F38D7"/>
    <w:rsid w:val="004F3E15"/>
    <w:rsid w:val="004F400F"/>
    <w:rsid w:val="004F4A64"/>
    <w:rsid w:val="004F4AC9"/>
    <w:rsid w:val="004F4B15"/>
    <w:rsid w:val="004F5BCA"/>
    <w:rsid w:val="004F6600"/>
    <w:rsid w:val="004F661C"/>
    <w:rsid w:val="004F6D58"/>
    <w:rsid w:val="004F7528"/>
    <w:rsid w:val="005003E6"/>
    <w:rsid w:val="005007D7"/>
    <w:rsid w:val="005037A6"/>
    <w:rsid w:val="00503C93"/>
    <w:rsid w:val="00504C45"/>
    <w:rsid w:val="00506149"/>
    <w:rsid w:val="00507172"/>
    <w:rsid w:val="00507DE0"/>
    <w:rsid w:val="005114E0"/>
    <w:rsid w:val="00513E34"/>
    <w:rsid w:val="0051589E"/>
    <w:rsid w:val="005158BA"/>
    <w:rsid w:val="005205EB"/>
    <w:rsid w:val="0052061C"/>
    <w:rsid w:val="00520919"/>
    <w:rsid w:val="00522454"/>
    <w:rsid w:val="00522DD5"/>
    <w:rsid w:val="00524791"/>
    <w:rsid w:val="005257FB"/>
    <w:rsid w:val="00527E64"/>
    <w:rsid w:val="00533537"/>
    <w:rsid w:val="00535420"/>
    <w:rsid w:val="005366A5"/>
    <w:rsid w:val="00540B5C"/>
    <w:rsid w:val="00544EBF"/>
    <w:rsid w:val="00546D26"/>
    <w:rsid w:val="00553D8A"/>
    <w:rsid w:val="00555465"/>
    <w:rsid w:val="00555B5B"/>
    <w:rsid w:val="005602B6"/>
    <w:rsid w:val="0056110B"/>
    <w:rsid w:val="00561E85"/>
    <w:rsid w:val="00563AB0"/>
    <w:rsid w:val="005653F0"/>
    <w:rsid w:val="00570E49"/>
    <w:rsid w:val="00576BF2"/>
    <w:rsid w:val="00577B76"/>
    <w:rsid w:val="00583A46"/>
    <w:rsid w:val="00583A8F"/>
    <w:rsid w:val="005846E4"/>
    <w:rsid w:val="005858EF"/>
    <w:rsid w:val="00587087"/>
    <w:rsid w:val="005876F8"/>
    <w:rsid w:val="00591603"/>
    <w:rsid w:val="00592D8F"/>
    <w:rsid w:val="00593E9F"/>
    <w:rsid w:val="005975E2"/>
    <w:rsid w:val="005978D3"/>
    <w:rsid w:val="005A0EE2"/>
    <w:rsid w:val="005A134F"/>
    <w:rsid w:val="005A1864"/>
    <w:rsid w:val="005A1B29"/>
    <w:rsid w:val="005A4EE2"/>
    <w:rsid w:val="005A60BB"/>
    <w:rsid w:val="005A6AF8"/>
    <w:rsid w:val="005B0414"/>
    <w:rsid w:val="005B103A"/>
    <w:rsid w:val="005B21A8"/>
    <w:rsid w:val="005B2485"/>
    <w:rsid w:val="005B261B"/>
    <w:rsid w:val="005B26D7"/>
    <w:rsid w:val="005B5B34"/>
    <w:rsid w:val="005B6BFC"/>
    <w:rsid w:val="005C0A35"/>
    <w:rsid w:val="005C118A"/>
    <w:rsid w:val="005C147F"/>
    <w:rsid w:val="005C2276"/>
    <w:rsid w:val="005C2442"/>
    <w:rsid w:val="005C2C7B"/>
    <w:rsid w:val="005C43EA"/>
    <w:rsid w:val="005C5C76"/>
    <w:rsid w:val="005C5FCE"/>
    <w:rsid w:val="005C6C99"/>
    <w:rsid w:val="005C7733"/>
    <w:rsid w:val="005D0399"/>
    <w:rsid w:val="005D14A8"/>
    <w:rsid w:val="005D31FC"/>
    <w:rsid w:val="005D49B8"/>
    <w:rsid w:val="005D4FED"/>
    <w:rsid w:val="005D5B5A"/>
    <w:rsid w:val="005D7DC9"/>
    <w:rsid w:val="005E0C5B"/>
    <w:rsid w:val="005E2ACB"/>
    <w:rsid w:val="005E40A6"/>
    <w:rsid w:val="005E4434"/>
    <w:rsid w:val="005E4EA8"/>
    <w:rsid w:val="005E5136"/>
    <w:rsid w:val="005E5CFD"/>
    <w:rsid w:val="005E65C3"/>
    <w:rsid w:val="005F015E"/>
    <w:rsid w:val="005F2095"/>
    <w:rsid w:val="005F3572"/>
    <w:rsid w:val="005F3614"/>
    <w:rsid w:val="005F3BD0"/>
    <w:rsid w:val="005F4C64"/>
    <w:rsid w:val="005F4E5B"/>
    <w:rsid w:val="005F5C7F"/>
    <w:rsid w:val="005F7160"/>
    <w:rsid w:val="005F7665"/>
    <w:rsid w:val="0060127F"/>
    <w:rsid w:val="0060530F"/>
    <w:rsid w:val="006054CB"/>
    <w:rsid w:val="00605FB8"/>
    <w:rsid w:val="006064E3"/>
    <w:rsid w:val="0060707F"/>
    <w:rsid w:val="00610B9C"/>
    <w:rsid w:val="00610C57"/>
    <w:rsid w:val="00611693"/>
    <w:rsid w:val="00612085"/>
    <w:rsid w:val="006128A7"/>
    <w:rsid w:val="00613694"/>
    <w:rsid w:val="00613F1B"/>
    <w:rsid w:val="0061499F"/>
    <w:rsid w:val="0061748A"/>
    <w:rsid w:val="00617D33"/>
    <w:rsid w:val="00620924"/>
    <w:rsid w:val="00621C91"/>
    <w:rsid w:val="0062435D"/>
    <w:rsid w:val="00624618"/>
    <w:rsid w:val="006262AF"/>
    <w:rsid w:val="006271E4"/>
    <w:rsid w:val="006274EA"/>
    <w:rsid w:val="0062761A"/>
    <w:rsid w:val="00627CD2"/>
    <w:rsid w:val="0063005A"/>
    <w:rsid w:val="00632A27"/>
    <w:rsid w:val="00632F9F"/>
    <w:rsid w:val="00634678"/>
    <w:rsid w:val="00634B4B"/>
    <w:rsid w:val="00636ED9"/>
    <w:rsid w:val="006371C6"/>
    <w:rsid w:val="0063788E"/>
    <w:rsid w:val="006421F6"/>
    <w:rsid w:val="00646440"/>
    <w:rsid w:val="00650CE9"/>
    <w:rsid w:val="0065165A"/>
    <w:rsid w:val="00654384"/>
    <w:rsid w:val="006557F3"/>
    <w:rsid w:val="0065640A"/>
    <w:rsid w:val="006601E8"/>
    <w:rsid w:val="006619AA"/>
    <w:rsid w:val="00662B2D"/>
    <w:rsid w:val="00662E3E"/>
    <w:rsid w:val="006642F2"/>
    <w:rsid w:val="006645A1"/>
    <w:rsid w:val="00666151"/>
    <w:rsid w:val="006666F2"/>
    <w:rsid w:val="00667575"/>
    <w:rsid w:val="00667593"/>
    <w:rsid w:val="00670112"/>
    <w:rsid w:val="00670A51"/>
    <w:rsid w:val="006724EC"/>
    <w:rsid w:val="006731DC"/>
    <w:rsid w:val="006755A9"/>
    <w:rsid w:val="006759BD"/>
    <w:rsid w:val="00680BCE"/>
    <w:rsid w:val="00680FE7"/>
    <w:rsid w:val="006817FC"/>
    <w:rsid w:val="00683D0F"/>
    <w:rsid w:val="00684447"/>
    <w:rsid w:val="00685383"/>
    <w:rsid w:val="0068539F"/>
    <w:rsid w:val="00685F85"/>
    <w:rsid w:val="006871EF"/>
    <w:rsid w:val="0069016D"/>
    <w:rsid w:val="00690862"/>
    <w:rsid w:val="00690BD4"/>
    <w:rsid w:val="006933B4"/>
    <w:rsid w:val="0069525B"/>
    <w:rsid w:val="00696843"/>
    <w:rsid w:val="00696E0F"/>
    <w:rsid w:val="00697C1D"/>
    <w:rsid w:val="006A11D8"/>
    <w:rsid w:val="006A6C8E"/>
    <w:rsid w:val="006A7A3F"/>
    <w:rsid w:val="006B121A"/>
    <w:rsid w:val="006B1B49"/>
    <w:rsid w:val="006B1EA0"/>
    <w:rsid w:val="006B4041"/>
    <w:rsid w:val="006B5731"/>
    <w:rsid w:val="006B5A1F"/>
    <w:rsid w:val="006B68B9"/>
    <w:rsid w:val="006B7B2A"/>
    <w:rsid w:val="006C0AC7"/>
    <w:rsid w:val="006C172D"/>
    <w:rsid w:val="006C21FE"/>
    <w:rsid w:val="006C2214"/>
    <w:rsid w:val="006C25E2"/>
    <w:rsid w:val="006C70D5"/>
    <w:rsid w:val="006C746D"/>
    <w:rsid w:val="006C7C99"/>
    <w:rsid w:val="006D08A5"/>
    <w:rsid w:val="006D0D8B"/>
    <w:rsid w:val="006D140D"/>
    <w:rsid w:val="006D25D1"/>
    <w:rsid w:val="006D3232"/>
    <w:rsid w:val="006D378B"/>
    <w:rsid w:val="006D3EDA"/>
    <w:rsid w:val="006D5266"/>
    <w:rsid w:val="006D784A"/>
    <w:rsid w:val="006D7B74"/>
    <w:rsid w:val="006E05AB"/>
    <w:rsid w:val="006E2B74"/>
    <w:rsid w:val="006E2BE3"/>
    <w:rsid w:val="006E30E0"/>
    <w:rsid w:val="006E37C1"/>
    <w:rsid w:val="006E5A42"/>
    <w:rsid w:val="006E69CA"/>
    <w:rsid w:val="006E7DD5"/>
    <w:rsid w:val="006F0393"/>
    <w:rsid w:val="006F4BC7"/>
    <w:rsid w:val="006F4D75"/>
    <w:rsid w:val="006F5892"/>
    <w:rsid w:val="006F59DF"/>
    <w:rsid w:val="006F5C81"/>
    <w:rsid w:val="006F7440"/>
    <w:rsid w:val="00700F73"/>
    <w:rsid w:val="0070208E"/>
    <w:rsid w:val="007036E1"/>
    <w:rsid w:val="00704E2B"/>
    <w:rsid w:val="00704E41"/>
    <w:rsid w:val="0070589B"/>
    <w:rsid w:val="00705B8F"/>
    <w:rsid w:val="0070682E"/>
    <w:rsid w:val="00706C2F"/>
    <w:rsid w:val="0070737E"/>
    <w:rsid w:val="00710720"/>
    <w:rsid w:val="00710BF6"/>
    <w:rsid w:val="00711F6B"/>
    <w:rsid w:val="00712623"/>
    <w:rsid w:val="0071296A"/>
    <w:rsid w:val="00712BC6"/>
    <w:rsid w:val="007135A2"/>
    <w:rsid w:val="00713A6F"/>
    <w:rsid w:val="00714BA9"/>
    <w:rsid w:val="0071658E"/>
    <w:rsid w:val="00716C6B"/>
    <w:rsid w:val="00716C81"/>
    <w:rsid w:val="0071773E"/>
    <w:rsid w:val="00720B38"/>
    <w:rsid w:val="00721144"/>
    <w:rsid w:val="00723A33"/>
    <w:rsid w:val="00724348"/>
    <w:rsid w:val="00724FBA"/>
    <w:rsid w:val="007251B0"/>
    <w:rsid w:val="00725449"/>
    <w:rsid w:val="007265A7"/>
    <w:rsid w:val="00731180"/>
    <w:rsid w:val="007312F6"/>
    <w:rsid w:val="0073229A"/>
    <w:rsid w:val="00732FD7"/>
    <w:rsid w:val="007345D2"/>
    <w:rsid w:val="00736D9C"/>
    <w:rsid w:val="00737412"/>
    <w:rsid w:val="007374E9"/>
    <w:rsid w:val="00737959"/>
    <w:rsid w:val="00737C92"/>
    <w:rsid w:val="0074058D"/>
    <w:rsid w:val="00741D12"/>
    <w:rsid w:val="00742487"/>
    <w:rsid w:val="0074297E"/>
    <w:rsid w:val="007444BD"/>
    <w:rsid w:val="00746270"/>
    <w:rsid w:val="00747509"/>
    <w:rsid w:val="00747E83"/>
    <w:rsid w:val="00752396"/>
    <w:rsid w:val="00752B15"/>
    <w:rsid w:val="00752E44"/>
    <w:rsid w:val="00753D59"/>
    <w:rsid w:val="00754E35"/>
    <w:rsid w:val="0075705D"/>
    <w:rsid w:val="00762E03"/>
    <w:rsid w:val="00762EAA"/>
    <w:rsid w:val="00764349"/>
    <w:rsid w:val="007649A8"/>
    <w:rsid w:val="007649E6"/>
    <w:rsid w:val="007663A1"/>
    <w:rsid w:val="00767133"/>
    <w:rsid w:val="00767FDE"/>
    <w:rsid w:val="007700A7"/>
    <w:rsid w:val="00772F09"/>
    <w:rsid w:val="00776458"/>
    <w:rsid w:val="007778A7"/>
    <w:rsid w:val="007817E8"/>
    <w:rsid w:val="00782164"/>
    <w:rsid w:val="007852EC"/>
    <w:rsid w:val="00790A49"/>
    <w:rsid w:val="00791C36"/>
    <w:rsid w:val="00792F73"/>
    <w:rsid w:val="00793900"/>
    <w:rsid w:val="0079421E"/>
    <w:rsid w:val="00796C18"/>
    <w:rsid w:val="00797285"/>
    <w:rsid w:val="007A50A8"/>
    <w:rsid w:val="007A5165"/>
    <w:rsid w:val="007A6F65"/>
    <w:rsid w:val="007B0734"/>
    <w:rsid w:val="007B09B5"/>
    <w:rsid w:val="007B31EF"/>
    <w:rsid w:val="007B403B"/>
    <w:rsid w:val="007B5158"/>
    <w:rsid w:val="007B63DA"/>
    <w:rsid w:val="007B643C"/>
    <w:rsid w:val="007B6604"/>
    <w:rsid w:val="007B666F"/>
    <w:rsid w:val="007B7908"/>
    <w:rsid w:val="007B7F6F"/>
    <w:rsid w:val="007C25A7"/>
    <w:rsid w:val="007C2968"/>
    <w:rsid w:val="007C3058"/>
    <w:rsid w:val="007C4BFD"/>
    <w:rsid w:val="007C75CE"/>
    <w:rsid w:val="007D128F"/>
    <w:rsid w:val="007D2B99"/>
    <w:rsid w:val="007D3479"/>
    <w:rsid w:val="007D390B"/>
    <w:rsid w:val="007D48D1"/>
    <w:rsid w:val="007D6126"/>
    <w:rsid w:val="007E0155"/>
    <w:rsid w:val="007E1B16"/>
    <w:rsid w:val="007E310D"/>
    <w:rsid w:val="007E4628"/>
    <w:rsid w:val="007E5070"/>
    <w:rsid w:val="007E5685"/>
    <w:rsid w:val="007E660D"/>
    <w:rsid w:val="007F2580"/>
    <w:rsid w:val="007F3082"/>
    <w:rsid w:val="007F6FD1"/>
    <w:rsid w:val="007F7367"/>
    <w:rsid w:val="007F73BE"/>
    <w:rsid w:val="00801ADF"/>
    <w:rsid w:val="00801C1B"/>
    <w:rsid w:val="00804BF9"/>
    <w:rsid w:val="008059B7"/>
    <w:rsid w:val="00805D56"/>
    <w:rsid w:val="0080766F"/>
    <w:rsid w:val="00811499"/>
    <w:rsid w:val="008115D2"/>
    <w:rsid w:val="008128A5"/>
    <w:rsid w:val="00813DCE"/>
    <w:rsid w:val="008147AE"/>
    <w:rsid w:val="00814CDB"/>
    <w:rsid w:val="0081543C"/>
    <w:rsid w:val="00815E73"/>
    <w:rsid w:val="00816C29"/>
    <w:rsid w:val="00816F71"/>
    <w:rsid w:val="00821913"/>
    <w:rsid w:val="0082330E"/>
    <w:rsid w:val="00827D3E"/>
    <w:rsid w:val="00827D86"/>
    <w:rsid w:val="00827FB6"/>
    <w:rsid w:val="00827FF9"/>
    <w:rsid w:val="00830C34"/>
    <w:rsid w:val="00831669"/>
    <w:rsid w:val="00832FC5"/>
    <w:rsid w:val="0083301D"/>
    <w:rsid w:val="00833803"/>
    <w:rsid w:val="00833E19"/>
    <w:rsid w:val="00833EA3"/>
    <w:rsid w:val="00833EB7"/>
    <w:rsid w:val="00834588"/>
    <w:rsid w:val="0083484D"/>
    <w:rsid w:val="008352F8"/>
    <w:rsid w:val="00837090"/>
    <w:rsid w:val="00837F79"/>
    <w:rsid w:val="008404D1"/>
    <w:rsid w:val="0084220A"/>
    <w:rsid w:val="008444CD"/>
    <w:rsid w:val="00844811"/>
    <w:rsid w:val="00846482"/>
    <w:rsid w:val="0084657E"/>
    <w:rsid w:val="00847071"/>
    <w:rsid w:val="00850400"/>
    <w:rsid w:val="00851B83"/>
    <w:rsid w:val="0085232E"/>
    <w:rsid w:val="00852535"/>
    <w:rsid w:val="00852E0B"/>
    <w:rsid w:val="00852EFB"/>
    <w:rsid w:val="00853AB1"/>
    <w:rsid w:val="00855BE5"/>
    <w:rsid w:val="00862090"/>
    <w:rsid w:val="00863346"/>
    <w:rsid w:val="008646C0"/>
    <w:rsid w:val="00864F02"/>
    <w:rsid w:val="0086596B"/>
    <w:rsid w:val="00866506"/>
    <w:rsid w:val="00867AB6"/>
    <w:rsid w:val="008702D7"/>
    <w:rsid w:val="0087285F"/>
    <w:rsid w:val="00876365"/>
    <w:rsid w:val="00880030"/>
    <w:rsid w:val="0088033E"/>
    <w:rsid w:val="00880AF4"/>
    <w:rsid w:val="00881959"/>
    <w:rsid w:val="00882165"/>
    <w:rsid w:val="008825CA"/>
    <w:rsid w:val="00883837"/>
    <w:rsid w:val="008838E3"/>
    <w:rsid w:val="00884E3A"/>
    <w:rsid w:val="0088512F"/>
    <w:rsid w:val="00890245"/>
    <w:rsid w:val="0089150A"/>
    <w:rsid w:val="008946B2"/>
    <w:rsid w:val="00896691"/>
    <w:rsid w:val="00896988"/>
    <w:rsid w:val="0089706B"/>
    <w:rsid w:val="008A1223"/>
    <w:rsid w:val="008A1920"/>
    <w:rsid w:val="008A208C"/>
    <w:rsid w:val="008A20D0"/>
    <w:rsid w:val="008A5CBB"/>
    <w:rsid w:val="008B2574"/>
    <w:rsid w:val="008B3C0A"/>
    <w:rsid w:val="008B60C1"/>
    <w:rsid w:val="008B6157"/>
    <w:rsid w:val="008B61C1"/>
    <w:rsid w:val="008B6450"/>
    <w:rsid w:val="008B7C82"/>
    <w:rsid w:val="008C0A6D"/>
    <w:rsid w:val="008C1B18"/>
    <w:rsid w:val="008C259C"/>
    <w:rsid w:val="008C6A2F"/>
    <w:rsid w:val="008C73CC"/>
    <w:rsid w:val="008C7991"/>
    <w:rsid w:val="008D052B"/>
    <w:rsid w:val="008D14FF"/>
    <w:rsid w:val="008D3041"/>
    <w:rsid w:val="008D620A"/>
    <w:rsid w:val="008D6A1B"/>
    <w:rsid w:val="008D7602"/>
    <w:rsid w:val="008E032C"/>
    <w:rsid w:val="008E19F4"/>
    <w:rsid w:val="008E1BA5"/>
    <w:rsid w:val="008E3F89"/>
    <w:rsid w:val="008E59F2"/>
    <w:rsid w:val="008E5CCF"/>
    <w:rsid w:val="008F0D90"/>
    <w:rsid w:val="008F392E"/>
    <w:rsid w:val="008F3C85"/>
    <w:rsid w:val="008F4237"/>
    <w:rsid w:val="008F5CD5"/>
    <w:rsid w:val="009008D8"/>
    <w:rsid w:val="009009EB"/>
    <w:rsid w:val="009028CD"/>
    <w:rsid w:val="009046C1"/>
    <w:rsid w:val="00904886"/>
    <w:rsid w:val="00904DA9"/>
    <w:rsid w:val="00904E98"/>
    <w:rsid w:val="00905733"/>
    <w:rsid w:val="00905850"/>
    <w:rsid w:val="0090639A"/>
    <w:rsid w:val="00906C0D"/>
    <w:rsid w:val="00910D6E"/>
    <w:rsid w:val="0091145D"/>
    <w:rsid w:val="0091395D"/>
    <w:rsid w:val="00913F64"/>
    <w:rsid w:val="00916F69"/>
    <w:rsid w:val="009170E2"/>
    <w:rsid w:val="0092116C"/>
    <w:rsid w:val="00924C87"/>
    <w:rsid w:val="00925ADB"/>
    <w:rsid w:val="00925D09"/>
    <w:rsid w:val="00927463"/>
    <w:rsid w:val="00927F31"/>
    <w:rsid w:val="009308BF"/>
    <w:rsid w:val="0093156F"/>
    <w:rsid w:val="00931A98"/>
    <w:rsid w:val="00931EDC"/>
    <w:rsid w:val="009344ED"/>
    <w:rsid w:val="00935E67"/>
    <w:rsid w:val="009365B2"/>
    <w:rsid w:val="00937770"/>
    <w:rsid w:val="00940C09"/>
    <w:rsid w:val="00941BDC"/>
    <w:rsid w:val="009424F6"/>
    <w:rsid w:val="0095021E"/>
    <w:rsid w:val="00951362"/>
    <w:rsid w:val="00951880"/>
    <w:rsid w:val="00953EB4"/>
    <w:rsid w:val="00953EFB"/>
    <w:rsid w:val="009546E9"/>
    <w:rsid w:val="00955076"/>
    <w:rsid w:val="00956EF0"/>
    <w:rsid w:val="0095713D"/>
    <w:rsid w:val="00960126"/>
    <w:rsid w:val="00960A89"/>
    <w:rsid w:val="00962257"/>
    <w:rsid w:val="009622BD"/>
    <w:rsid w:val="0096573D"/>
    <w:rsid w:val="00966D02"/>
    <w:rsid w:val="00966E19"/>
    <w:rsid w:val="00967F7A"/>
    <w:rsid w:val="00970DE0"/>
    <w:rsid w:val="00970DED"/>
    <w:rsid w:val="009728B3"/>
    <w:rsid w:val="009745C8"/>
    <w:rsid w:val="00974A83"/>
    <w:rsid w:val="00974AAC"/>
    <w:rsid w:val="009762B8"/>
    <w:rsid w:val="00976A14"/>
    <w:rsid w:val="00976BB2"/>
    <w:rsid w:val="0097776F"/>
    <w:rsid w:val="009777AE"/>
    <w:rsid w:val="00982A85"/>
    <w:rsid w:val="00982BC2"/>
    <w:rsid w:val="00983584"/>
    <w:rsid w:val="00983B66"/>
    <w:rsid w:val="0098492F"/>
    <w:rsid w:val="0098500E"/>
    <w:rsid w:val="00986D2C"/>
    <w:rsid w:val="009916B7"/>
    <w:rsid w:val="009927C8"/>
    <w:rsid w:val="009929F6"/>
    <w:rsid w:val="00992A29"/>
    <w:rsid w:val="00992B23"/>
    <w:rsid w:val="00992F66"/>
    <w:rsid w:val="009932AC"/>
    <w:rsid w:val="00994D67"/>
    <w:rsid w:val="009A0381"/>
    <w:rsid w:val="009A0F60"/>
    <w:rsid w:val="009A184E"/>
    <w:rsid w:val="009A404A"/>
    <w:rsid w:val="009A4132"/>
    <w:rsid w:val="009A5359"/>
    <w:rsid w:val="009B298A"/>
    <w:rsid w:val="009B5838"/>
    <w:rsid w:val="009C0071"/>
    <w:rsid w:val="009C01DB"/>
    <w:rsid w:val="009C0C57"/>
    <w:rsid w:val="009C145D"/>
    <w:rsid w:val="009C2A16"/>
    <w:rsid w:val="009C33E0"/>
    <w:rsid w:val="009C589D"/>
    <w:rsid w:val="009C58D3"/>
    <w:rsid w:val="009C5E3B"/>
    <w:rsid w:val="009D0508"/>
    <w:rsid w:val="009D09EE"/>
    <w:rsid w:val="009D1904"/>
    <w:rsid w:val="009D20F7"/>
    <w:rsid w:val="009D2FD7"/>
    <w:rsid w:val="009D34D5"/>
    <w:rsid w:val="009D4720"/>
    <w:rsid w:val="009D4FF5"/>
    <w:rsid w:val="009E02DF"/>
    <w:rsid w:val="009E1D05"/>
    <w:rsid w:val="009E2BFE"/>
    <w:rsid w:val="009E2C79"/>
    <w:rsid w:val="009E38A7"/>
    <w:rsid w:val="009E4459"/>
    <w:rsid w:val="009E50BF"/>
    <w:rsid w:val="009E5AB4"/>
    <w:rsid w:val="009E5BE5"/>
    <w:rsid w:val="009E64D3"/>
    <w:rsid w:val="009E78CD"/>
    <w:rsid w:val="009F19FC"/>
    <w:rsid w:val="009F1EF9"/>
    <w:rsid w:val="009F3C14"/>
    <w:rsid w:val="009F54B1"/>
    <w:rsid w:val="009F56E8"/>
    <w:rsid w:val="009F5D49"/>
    <w:rsid w:val="009F6699"/>
    <w:rsid w:val="009F6DF8"/>
    <w:rsid w:val="009F768A"/>
    <w:rsid w:val="009F7DA8"/>
    <w:rsid w:val="009F7FE2"/>
    <w:rsid w:val="00A00445"/>
    <w:rsid w:val="00A01BB5"/>
    <w:rsid w:val="00A02F29"/>
    <w:rsid w:val="00A03765"/>
    <w:rsid w:val="00A038CA"/>
    <w:rsid w:val="00A13801"/>
    <w:rsid w:val="00A157E8"/>
    <w:rsid w:val="00A22D8B"/>
    <w:rsid w:val="00A23E67"/>
    <w:rsid w:val="00A2445F"/>
    <w:rsid w:val="00A25277"/>
    <w:rsid w:val="00A26585"/>
    <w:rsid w:val="00A30DA2"/>
    <w:rsid w:val="00A31978"/>
    <w:rsid w:val="00A31F67"/>
    <w:rsid w:val="00A341A1"/>
    <w:rsid w:val="00A341E9"/>
    <w:rsid w:val="00A363EB"/>
    <w:rsid w:val="00A44919"/>
    <w:rsid w:val="00A51818"/>
    <w:rsid w:val="00A51D0D"/>
    <w:rsid w:val="00A52474"/>
    <w:rsid w:val="00A52762"/>
    <w:rsid w:val="00A529FE"/>
    <w:rsid w:val="00A53B74"/>
    <w:rsid w:val="00A53F1C"/>
    <w:rsid w:val="00A56A19"/>
    <w:rsid w:val="00A605B8"/>
    <w:rsid w:val="00A645AD"/>
    <w:rsid w:val="00A66E63"/>
    <w:rsid w:val="00A66FD0"/>
    <w:rsid w:val="00A7000B"/>
    <w:rsid w:val="00A70CA6"/>
    <w:rsid w:val="00A73730"/>
    <w:rsid w:val="00A738C1"/>
    <w:rsid w:val="00A75130"/>
    <w:rsid w:val="00A75B61"/>
    <w:rsid w:val="00A76359"/>
    <w:rsid w:val="00A800A5"/>
    <w:rsid w:val="00A803B7"/>
    <w:rsid w:val="00A80A61"/>
    <w:rsid w:val="00A81014"/>
    <w:rsid w:val="00A84E12"/>
    <w:rsid w:val="00A84EF0"/>
    <w:rsid w:val="00A85872"/>
    <w:rsid w:val="00A872BC"/>
    <w:rsid w:val="00A9285F"/>
    <w:rsid w:val="00A95225"/>
    <w:rsid w:val="00A97CE8"/>
    <w:rsid w:val="00AA0464"/>
    <w:rsid w:val="00AA08FB"/>
    <w:rsid w:val="00AA0AFE"/>
    <w:rsid w:val="00AA26B7"/>
    <w:rsid w:val="00AA4597"/>
    <w:rsid w:val="00AB0443"/>
    <w:rsid w:val="00AB127E"/>
    <w:rsid w:val="00AB2F38"/>
    <w:rsid w:val="00AB3FCB"/>
    <w:rsid w:val="00AB42D6"/>
    <w:rsid w:val="00AB4A3D"/>
    <w:rsid w:val="00AB4AF2"/>
    <w:rsid w:val="00AB583C"/>
    <w:rsid w:val="00AB63BD"/>
    <w:rsid w:val="00AB653C"/>
    <w:rsid w:val="00AB7042"/>
    <w:rsid w:val="00AB7AD7"/>
    <w:rsid w:val="00AB7CC1"/>
    <w:rsid w:val="00AC0462"/>
    <w:rsid w:val="00AC071E"/>
    <w:rsid w:val="00AC1122"/>
    <w:rsid w:val="00AC1915"/>
    <w:rsid w:val="00AC2F16"/>
    <w:rsid w:val="00AC3526"/>
    <w:rsid w:val="00AC4116"/>
    <w:rsid w:val="00AC4616"/>
    <w:rsid w:val="00AC4B85"/>
    <w:rsid w:val="00AC5657"/>
    <w:rsid w:val="00AC672A"/>
    <w:rsid w:val="00AC693B"/>
    <w:rsid w:val="00AC6A9D"/>
    <w:rsid w:val="00AD10AC"/>
    <w:rsid w:val="00AD14B5"/>
    <w:rsid w:val="00AD4DA0"/>
    <w:rsid w:val="00AD66D6"/>
    <w:rsid w:val="00AD6A9E"/>
    <w:rsid w:val="00AE0C44"/>
    <w:rsid w:val="00AE1D5A"/>
    <w:rsid w:val="00AE2B00"/>
    <w:rsid w:val="00AE4B30"/>
    <w:rsid w:val="00AE4F0E"/>
    <w:rsid w:val="00AE5135"/>
    <w:rsid w:val="00AE6B34"/>
    <w:rsid w:val="00AE6BA0"/>
    <w:rsid w:val="00AF07B4"/>
    <w:rsid w:val="00AF1876"/>
    <w:rsid w:val="00AF79F8"/>
    <w:rsid w:val="00B02E0B"/>
    <w:rsid w:val="00B045B0"/>
    <w:rsid w:val="00B064BB"/>
    <w:rsid w:val="00B068D0"/>
    <w:rsid w:val="00B06C11"/>
    <w:rsid w:val="00B074F9"/>
    <w:rsid w:val="00B07C40"/>
    <w:rsid w:val="00B10257"/>
    <w:rsid w:val="00B1304C"/>
    <w:rsid w:val="00B133D1"/>
    <w:rsid w:val="00B159B0"/>
    <w:rsid w:val="00B15D00"/>
    <w:rsid w:val="00B16688"/>
    <w:rsid w:val="00B177FC"/>
    <w:rsid w:val="00B20466"/>
    <w:rsid w:val="00B20A02"/>
    <w:rsid w:val="00B24633"/>
    <w:rsid w:val="00B25347"/>
    <w:rsid w:val="00B25BFA"/>
    <w:rsid w:val="00B2666F"/>
    <w:rsid w:val="00B27874"/>
    <w:rsid w:val="00B307E4"/>
    <w:rsid w:val="00B31212"/>
    <w:rsid w:val="00B32BB6"/>
    <w:rsid w:val="00B33122"/>
    <w:rsid w:val="00B33C5A"/>
    <w:rsid w:val="00B3633A"/>
    <w:rsid w:val="00B404F7"/>
    <w:rsid w:val="00B41860"/>
    <w:rsid w:val="00B43844"/>
    <w:rsid w:val="00B523FB"/>
    <w:rsid w:val="00B55D52"/>
    <w:rsid w:val="00B56BEF"/>
    <w:rsid w:val="00B600F9"/>
    <w:rsid w:val="00B60E77"/>
    <w:rsid w:val="00B62AC9"/>
    <w:rsid w:val="00B63764"/>
    <w:rsid w:val="00B64A97"/>
    <w:rsid w:val="00B65C12"/>
    <w:rsid w:val="00B67F2B"/>
    <w:rsid w:val="00B70C83"/>
    <w:rsid w:val="00B717FC"/>
    <w:rsid w:val="00B71A82"/>
    <w:rsid w:val="00B72A7C"/>
    <w:rsid w:val="00B73EFA"/>
    <w:rsid w:val="00B7482C"/>
    <w:rsid w:val="00B74AD1"/>
    <w:rsid w:val="00B75338"/>
    <w:rsid w:val="00B75E9D"/>
    <w:rsid w:val="00B82D79"/>
    <w:rsid w:val="00B834D3"/>
    <w:rsid w:val="00B83773"/>
    <w:rsid w:val="00B83A91"/>
    <w:rsid w:val="00B84EAE"/>
    <w:rsid w:val="00B85E2B"/>
    <w:rsid w:val="00B86E6F"/>
    <w:rsid w:val="00B901AA"/>
    <w:rsid w:val="00B90A6E"/>
    <w:rsid w:val="00B90DA6"/>
    <w:rsid w:val="00B93F3C"/>
    <w:rsid w:val="00B94A45"/>
    <w:rsid w:val="00B94EDA"/>
    <w:rsid w:val="00BA0A61"/>
    <w:rsid w:val="00BA0D58"/>
    <w:rsid w:val="00BA180E"/>
    <w:rsid w:val="00BA188A"/>
    <w:rsid w:val="00BA2753"/>
    <w:rsid w:val="00BA4912"/>
    <w:rsid w:val="00BA53D8"/>
    <w:rsid w:val="00BA56BC"/>
    <w:rsid w:val="00BA59CB"/>
    <w:rsid w:val="00BA69C1"/>
    <w:rsid w:val="00BA6A96"/>
    <w:rsid w:val="00BA7EE6"/>
    <w:rsid w:val="00BB30CC"/>
    <w:rsid w:val="00BB395B"/>
    <w:rsid w:val="00BB3DE8"/>
    <w:rsid w:val="00BB4025"/>
    <w:rsid w:val="00BB606D"/>
    <w:rsid w:val="00BB72BA"/>
    <w:rsid w:val="00BB79B0"/>
    <w:rsid w:val="00BB7BF9"/>
    <w:rsid w:val="00BC056D"/>
    <w:rsid w:val="00BC0DC9"/>
    <w:rsid w:val="00BC3EC1"/>
    <w:rsid w:val="00BC66B4"/>
    <w:rsid w:val="00BD146B"/>
    <w:rsid w:val="00BD1A78"/>
    <w:rsid w:val="00BD2489"/>
    <w:rsid w:val="00BD28ED"/>
    <w:rsid w:val="00BD2B90"/>
    <w:rsid w:val="00BD3763"/>
    <w:rsid w:val="00BD5A40"/>
    <w:rsid w:val="00BE2D7C"/>
    <w:rsid w:val="00BE3138"/>
    <w:rsid w:val="00BE3437"/>
    <w:rsid w:val="00BE397D"/>
    <w:rsid w:val="00BE3A8F"/>
    <w:rsid w:val="00BE3AB8"/>
    <w:rsid w:val="00BE704C"/>
    <w:rsid w:val="00BE7F02"/>
    <w:rsid w:val="00BF1FD8"/>
    <w:rsid w:val="00BF3349"/>
    <w:rsid w:val="00BF36E7"/>
    <w:rsid w:val="00BF3AE8"/>
    <w:rsid w:val="00BF7090"/>
    <w:rsid w:val="00BF74B0"/>
    <w:rsid w:val="00BF7D96"/>
    <w:rsid w:val="00C02361"/>
    <w:rsid w:val="00C03ACC"/>
    <w:rsid w:val="00C05BBD"/>
    <w:rsid w:val="00C104AE"/>
    <w:rsid w:val="00C10DAA"/>
    <w:rsid w:val="00C12BF0"/>
    <w:rsid w:val="00C13214"/>
    <w:rsid w:val="00C144CB"/>
    <w:rsid w:val="00C210D0"/>
    <w:rsid w:val="00C219F8"/>
    <w:rsid w:val="00C21EA4"/>
    <w:rsid w:val="00C22662"/>
    <w:rsid w:val="00C26DE6"/>
    <w:rsid w:val="00C2705A"/>
    <w:rsid w:val="00C27BA8"/>
    <w:rsid w:val="00C30B9C"/>
    <w:rsid w:val="00C31BCD"/>
    <w:rsid w:val="00C32165"/>
    <w:rsid w:val="00C3273D"/>
    <w:rsid w:val="00C328E3"/>
    <w:rsid w:val="00C32CDD"/>
    <w:rsid w:val="00C34846"/>
    <w:rsid w:val="00C34973"/>
    <w:rsid w:val="00C34A02"/>
    <w:rsid w:val="00C34DEC"/>
    <w:rsid w:val="00C35004"/>
    <w:rsid w:val="00C379E1"/>
    <w:rsid w:val="00C37D12"/>
    <w:rsid w:val="00C37D56"/>
    <w:rsid w:val="00C37EF5"/>
    <w:rsid w:val="00C410A8"/>
    <w:rsid w:val="00C425DC"/>
    <w:rsid w:val="00C444C2"/>
    <w:rsid w:val="00C44CC4"/>
    <w:rsid w:val="00C4551C"/>
    <w:rsid w:val="00C45AC6"/>
    <w:rsid w:val="00C47D85"/>
    <w:rsid w:val="00C52A27"/>
    <w:rsid w:val="00C53C26"/>
    <w:rsid w:val="00C55B2B"/>
    <w:rsid w:val="00C56112"/>
    <w:rsid w:val="00C56697"/>
    <w:rsid w:val="00C56D44"/>
    <w:rsid w:val="00C5796F"/>
    <w:rsid w:val="00C57AA9"/>
    <w:rsid w:val="00C62370"/>
    <w:rsid w:val="00C653FB"/>
    <w:rsid w:val="00C6581F"/>
    <w:rsid w:val="00C6787E"/>
    <w:rsid w:val="00C67A1C"/>
    <w:rsid w:val="00C709D6"/>
    <w:rsid w:val="00C70C2C"/>
    <w:rsid w:val="00C7148E"/>
    <w:rsid w:val="00C7258C"/>
    <w:rsid w:val="00C7696A"/>
    <w:rsid w:val="00C77568"/>
    <w:rsid w:val="00C81181"/>
    <w:rsid w:val="00C8137B"/>
    <w:rsid w:val="00C81B4B"/>
    <w:rsid w:val="00C81F8E"/>
    <w:rsid w:val="00C82CBF"/>
    <w:rsid w:val="00C860A1"/>
    <w:rsid w:val="00C86A4E"/>
    <w:rsid w:val="00C86E7A"/>
    <w:rsid w:val="00C87EB5"/>
    <w:rsid w:val="00C9041C"/>
    <w:rsid w:val="00C91F84"/>
    <w:rsid w:val="00C925C1"/>
    <w:rsid w:val="00C92605"/>
    <w:rsid w:val="00C93822"/>
    <w:rsid w:val="00C9483A"/>
    <w:rsid w:val="00C95419"/>
    <w:rsid w:val="00C95F56"/>
    <w:rsid w:val="00C976EC"/>
    <w:rsid w:val="00C97C87"/>
    <w:rsid w:val="00C97D5B"/>
    <w:rsid w:val="00CA4151"/>
    <w:rsid w:val="00CA44AE"/>
    <w:rsid w:val="00CA45A1"/>
    <w:rsid w:val="00CA5D72"/>
    <w:rsid w:val="00CA6E90"/>
    <w:rsid w:val="00CB1F1B"/>
    <w:rsid w:val="00CB3674"/>
    <w:rsid w:val="00CB4DA2"/>
    <w:rsid w:val="00CB6A88"/>
    <w:rsid w:val="00CB6BCD"/>
    <w:rsid w:val="00CC0843"/>
    <w:rsid w:val="00CC2960"/>
    <w:rsid w:val="00CC3104"/>
    <w:rsid w:val="00CC412D"/>
    <w:rsid w:val="00CD093B"/>
    <w:rsid w:val="00CD4D63"/>
    <w:rsid w:val="00CD52CD"/>
    <w:rsid w:val="00CD5D0B"/>
    <w:rsid w:val="00CD6523"/>
    <w:rsid w:val="00CD6C37"/>
    <w:rsid w:val="00CD7266"/>
    <w:rsid w:val="00CE26EE"/>
    <w:rsid w:val="00CE3BE1"/>
    <w:rsid w:val="00CE45C3"/>
    <w:rsid w:val="00CE50BC"/>
    <w:rsid w:val="00CE650E"/>
    <w:rsid w:val="00CE70DC"/>
    <w:rsid w:val="00CE7EC0"/>
    <w:rsid w:val="00CF0DC3"/>
    <w:rsid w:val="00CF128E"/>
    <w:rsid w:val="00CF3248"/>
    <w:rsid w:val="00CF46A7"/>
    <w:rsid w:val="00CF4746"/>
    <w:rsid w:val="00CF54FB"/>
    <w:rsid w:val="00CF68A4"/>
    <w:rsid w:val="00D0053C"/>
    <w:rsid w:val="00D015D5"/>
    <w:rsid w:val="00D03639"/>
    <w:rsid w:val="00D047E0"/>
    <w:rsid w:val="00D062E1"/>
    <w:rsid w:val="00D07714"/>
    <w:rsid w:val="00D12626"/>
    <w:rsid w:val="00D148DD"/>
    <w:rsid w:val="00D16706"/>
    <w:rsid w:val="00D17164"/>
    <w:rsid w:val="00D20DA2"/>
    <w:rsid w:val="00D215F4"/>
    <w:rsid w:val="00D23FA7"/>
    <w:rsid w:val="00D259AA"/>
    <w:rsid w:val="00D27B98"/>
    <w:rsid w:val="00D30849"/>
    <w:rsid w:val="00D31633"/>
    <w:rsid w:val="00D33868"/>
    <w:rsid w:val="00D34E5D"/>
    <w:rsid w:val="00D371DE"/>
    <w:rsid w:val="00D40BC9"/>
    <w:rsid w:val="00D4372D"/>
    <w:rsid w:val="00D46F9D"/>
    <w:rsid w:val="00D47376"/>
    <w:rsid w:val="00D518FA"/>
    <w:rsid w:val="00D52236"/>
    <w:rsid w:val="00D52BC7"/>
    <w:rsid w:val="00D52F30"/>
    <w:rsid w:val="00D55504"/>
    <w:rsid w:val="00D56A2E"/>
    <w:rsid w:val="00D56DF8"/>
    <w:rsid w:val="00D574A2"/>
    <w:rsid w:val="00D617D5"/>
    <w:rsid w:val="00D61A80"/>
    <w:rsid w:val="00D61D57"/>
    <w:rsid w:val="00D63DB7"/>
    <w:rsid w:val="00D655C6"/>
    <w:rsid w:val="00D763E1"/>
    <w:rsid w:val="00D76671"/>
    <w:rsid w:val="00D771E9"/>
    <w:rsid w:val="00D80829"/>
    <w:rsid w:val="00D81551"/>
    <w:rsid w:val="00D8156D"/>
    <w:rsid w:val="00D81F33"/>
    <w:rsid w:val="00D82072"/>
    <w:rsid w:val="00D82450"/>
    <w:rsid w:val="00D825E3"/>
    <w:rsid w:val="00D83688"/>
    <w:rsid w:val="00D862DA"/>
    <w:rsid w:val="00D91265"/>
    <w:rsid w:val="00D923D0"/>
    <w:rsid w:val="00D924AB"/>
    <w:rsid w:val="00D92EFD"/>
    <w:rsid w:val="00D94804"/>
    <w:rsid w:val="00D94D8F"/>
    <w:rsid w:val="00D95293"/>
    <w:rsid w:val="00D95E77"/>
    <w:rsid w:val="00D967EA"/>
    <w:rsid w:val="00D970BE"/>
    <w:rsid w:val="00DA11E0"/>
    <w:rsid w:val="00DA1328"/>
    <w:rsid w:val="00DA155B"/>
    <w:rsid w:val="00DA2A89"/>
    <w:rsid w:val="00DB162E"/>
    <w:rsid w:val="00DB1F65"/>
    <w:rsid w:val="00DB4587"/>
    <w:rsid w:val="00DB4889"/>
    <w:rsid w:val="00DB4BAE"/>
    <w:rsid w:val="00DB53F3"/>
    <w:rsid w:val="00DB65B9"/>
    <w:rsid w:val="00DB662E"/>
    <w:rsid w:val="00DB72EC"/>
    <w:rsid w:val="00DB7C91"/>
    <w:rsid w:val="00DB7FF8"/>
    <w:rsid w:val="00DC0734"/>
    <w:rsid w:val="00DC08B1"/>
    <w:rsid w:val="00DC5D60"/>
    <w:rsid w:val="00DC7236"/>
    <w:rsid w:val="00DD05E9"/>
    <w:rsid w:val="00DD0781"/>
    <w:rsid w:val="00DD0E1D"/>
    <w:rsid w:val="00DD2134"/>
    <w:rsid w:val="00DD2F96"/>
    <w:rsid w:val="00DD3BE8"/>
    <w:rsid w:val="00DD4058"/>
    <w:rsid w:val="00DD45C9"/>
    <w:rsid w:val="00DD4D6A"/>
    <w:rsid w:val="00DD6E24"/>
    <w:rsid w:val="00DE0266"/>
    <w:rsid w:val="00DE0CFA"/>
    <w:rsid w:val="00DE230B"/>
    <w:rsid w:val="00DE3F89"/>
    <w:rsid w:val="00DE4166"/>
    <w:rsid w:val="00DE4168"/>
    <w:rsid w:val="00DE42BB"/>
    <w:rsid w:val="00DE5003"/>
    <w:rsid w:val="00DE67F5"/>
    <w:rsid w:val="00DE6A16"/>
    <w:rsid w:val="00DE76DB"/>
    <w:rsid w:val="00DF11B3"/>
    <w:rsid w:val="00DF16B0"/>
    <w:rsid w:val="00DF2830"/>
    <w:rsid w:val="00DF4315"/>
    <w:rsid w:val="00DF6488"/>
    <w:rsid w:val="00DF7595"/>
    <w:rsid w:val="00E00E04"/>
    <w:rsid w:val="00E028C1"/>
    <w:rsid w:val="00E02ED5"/>
    <w:rsid w:val="00E03944"/>
    <w:rsid w:val="00E05A13"/>
    <w:rsid w:val="00E118DB"/>
    <w:rsid w:val="00E140B7"/>
    <w:rsid w:val="00E143A9"/>
    <w:rsid w:val="00E14976"/>
    <w:rsid w:val="00E16708"/>
    <w:rsid w:val="00E16C3E"/>
    <w:rsid w:val="00E202D8"/>
    <w:rsid w:val="00E22215"/>
    <w:rsid w:val="00E23765"/>
    <w:rsid w:val="00E24CFF"/>
    <w:rsid w:val="00E256BF"/>
    <w:rsid w:val="00E30397"/>
    <w:rsid w:val="00E31E67"/>
    <w:rsid w:val="00E34D37"/>
    <w:rsid w:val="00E3545F"/>
    <w:rsid w:val="00E35807"/>
    <w:rsid w:val="00E42863"/>
    <w:rsid w:val="00E44969"/>
    <w:rsid w:val="00E44A97"/>
    <w:rsid w:val="00E4537A"/>
    <w:rsid w:val="00E45E6A"/>
    <w:rsid w:val="00E466B6"/>
    <w:rsid w:val="00E50EAC"/>
    <w:rsid w:val="00E512FE"/>
    <w:rsid w:val="00E52BC1"/>
    <w:rsid w:val="00E53C09"/>
    <w:rsid w:val="00E53F5C"/>
    <w:rsid w:val="00E54262"/>
    <w:rsid w:val="00E54544"/>
    <w:rsid w:val="00E54972"/>
    <w:rsid w:val="00E56865"/>
    <w:rsid w:val="00E57996"/>
    <w:rsid w:val="00E60AF9"/>
    <w:rsid w:val="00E6228A"/>
    <w:rsid w:val="00E62D41"/>
    <w:rsid w:val="00E6380E"/>
    <w:rsid w:val="00E63C6C"/>
    <w:rsid w:val="00E6405B"/>
    <w:rsid w:val="00E64C69"/>
    <w:rsid w:val="00E65331"/>
    <w:rsid w:val="00E65718"/>
    <w:rsid w:val="00E6604B"/>
    <w:rsid w:val="00E66373"/>
    <w:rsid w:val="00E66B10"/>
    <w:rsid w:val="00E6750B"/>
    <w:rsid w:val="00E678A2"/>
    <w:rsid w:val="00E6791B"/>
    <w:rsid w:val="00E7001B"/>
    <w:rsid w:val="00E70C9D"/>
    <w:rsid w:val="00E72C84"/>
    <w:rsid w:val="00E75044"/>
    <w:rsid w:val="00E7667C"/>
    <w:rsid w:val="00E77047"/>
    <w:rsid w:val="00E774FD"/>
    <w:rsid w:val="00E80235"/>
    <w:rsid w:val="00E812D0"/>
    <w:rsid w:val="00E8171F"/>
    <w:rsid w:val="00E818AC"/>
    <w:rsid w:val="00E81D34"/>
    <w:rsid w:val="00E83380"/>
    <w:rsid w:val="00E83633"/>
    <w:rsid w:val="00E8366C"/>
    <w:rsid w:val="00E84ECD"/>
    <w:rsid w:val="00E853EE"/>
    <w:rsid w:val="00E866B7"/>
    <w:rsid w:val="00E866DA"/>
    <w:rsid w:val="00E93039"/>
    <w:rsid w:val="00E94CD4"/>
    <w:rsid w:val="00E97F6D"/>
    <w:rsid w:val="00EA11C1"/>
    <w:rsid w:val="00EA180C"/>
    <w:rsid w:val="00EA1D3C"/>
    <w:rsid w:val="00EA6340"/>
    <w:rsid w:val="00EB0B36"/>
    <w:rsid w:val="00EB103B"/>
    <w:rsid w:val="00EB20AD"/>
    <w:rsid w:val="00EB2AEA"/>
    <w:rsid w:val="00EB2D53"/>
    <w:rsid w:val="00EB3438"/>
    <w:rsid w:val="00EB3913"/>
    <w:rsid w:val="00EB4267"/>
    <w:rsid w:val="00EB48F9"/>
    <w:rsid w:val="00EB4DD9"/>
    <w:rsid w:val="00EC059C"/>
    <w:rsid w:val="00EC0A70"/>
    <w:rsid w:val="00EC3284"/>
    <w:rsid w:val="00EC5BA6"/>
    <w:rsid w:val="00EC78A3"/>
    <w:rsid w:val="00ED798A"/>
    <w:rsid w:val="00EE016F"/>
    <w:rsid w:val="00EE0251"/>
    <w:rsid w:val="00EE2A58"/>
    <w:rsid w:val="00EE35A5"/>
    <w:rsid w:val="00EE7180"/>
    <w:rsid w:val="00EE72E9"/>
    <w:rsid w:val="00EE7F76"/>
    <w:rsid w:val="00EF01CA"/>
    <w:rsid w:val="00EF1102"/>
    <w:rsid w:val="00EF1378"/>
    <w:rsid w:val="00EF2AD8"/>
    <w:rsid w:val="00EF3291"/>
    <w:rsid w:val="00EF44DC"/>
    <w:rsid w:val="00EF68BF"/>
    <w:rsid w:val="00F01E13"/>
    <w:rsid w:val="00F0376B"/>
    <w:rsid w:val="00F04394"/>
    <w:rsid w:val="00F05559"/>
    <w:rsid w:val="00F0596C"/>
    <w:rsid w:val="00F06091"/>
    <w:rsid w:val="00F0697E"/>
    <w:rsid w:val="00F07867"/>
    <w:rsid w:val="00F07F8B"/>
    <w:rsid w:val="00F1011F"/>
    <w:rsid w:val="00F11DE9"/>
    <w:rsid w:val="00F143AE"/>
    <w:rsid w:val="00F152DF"/>
    <w:rsid w:val="00F1701C"/>
    <w:rsid w:val="00F17EF1"/>
    <w:rsid w:val="00F21C52"/>
    <w:rsid w:val="00F223FA"/>
    <w:rsid w:val="00F23B36"/>
    <w:rsid w:val="00F2437D"/>
    <w:rsid w:val="00F256A9"/>
    <w:rsid w:val="00F26C42"/>
    <w:rsid w:val="00F30A8B"/>
    <w:rsid w:val="00F310E1"/>
    <w:rsid w:val="00F32D3C"/>
    <w:rsid w:val="00F3493F"/>
    <w:rsid w:val="00F34E5E"/>
    <w:rsid w:val="00F351DF"/>
    <w:rsid w:val="00F3526D"/>
    <w:rsid w:val="00F35F8D"/>
    <w:rsid w:val="00F374C3"/>
    <w:rsid w:val="00F378A0"/>
    <w:rsid w:val="00F448A8"/>
    <w:rsid w:val="00F45096"/>
    <w:rsid w:val="00F45D54"/>
    <w:rsid w:val="00F46B1D"/>
    <w:rsid w:val="00F52239"/>
    <w:rsid w:val="00F52876"/>
    <w:rsid w:val="00F530AE"/>
    <w:rsid w:val="00F53270"/>
    <w:rsid w:val="00F554E7"/>
    <w:rsid w:val="00F559C3"/>
    <w:rsid w:val="00F5615B"/>
    <w:rsid w:val="00F57722"/>
    <w:rsid w:val="00F619A4"/>
    <w:rsid w:val="00F63458"/>
    <w:rsid w:val="00F6396B"/>
    <w:rsid w:val="00F639B5"/>
    <w:rsid w:val="00F63AA2"/>
    <w:rsid w:val="00F6428E"/>
    <w:rsid w:val="00F65B86"/>
    <w:rsid w:val="00F66B15"/>
    <w:rsid w:val="00F66BF6"/>
    <w:rsid w:val="00F713C5"/>
    <w:rsid w:val="00F7255E"/>
    <w:rsid w:val="00F72BD8"/>
    <w:rsid w:val="00F734C3"/>
    <w:rsid w:val="00F74A1E"/>
    <w:rsid w:val="00F7517E"/>
    <w:rsid w:val="00F76DFD"/>
    <w:rsid w:val="00F81532"/>
    <w:rsid w:val="00F816E6"/>
    <w:rsid w:val="00F841AD"/>
    <w:rsid w:val="00F843D6"/>
    <w:rsid w:val="00F862B0"/>
    <w:rsid w:val="00F91EBC"/>
    <w:rsid w:val="00F92074"/>
    <w:rsid w:val="00F920C2"/>
    <w:rsid w:val="00F93A5D"/>
    <w:rsid w:val="00F954B5"/>
    <w:rsid w:val="00F959D1"/>
    <w:rsid w:val="00FA0D7A"/>
    <w:rsid w:val="00FA2445"/>
    <w:rsid w:val="00FA38C8"/>
    <w:rsid w:val="00FA407B"/>
    <w:rsid w:val="00FA41F6"/>
    <w:rsid w:val="00FA5780"/>
    <w:rsid w:val="00FA58FC"/>
    <w:rsid w:val="00FA676E"/>
    <w:rsid w:val="00FA6B51"/>
    <w:rsid w:val="00FA7CA6"/>
    <w:rsid w:val="00FA7E3F"/>
    <w:rsid w:val="00FB088F"/>
    <w:rsid w:val="00FB1D27"/>
    <w:rsid w:val="00FB403C"/>
    <w:rsid w:val="00FB69BB"/>
    <w:rsid w:val="00FB6F51"/>
    <w:rsid w:val="00FB79F3"/>
    <w:rsid w:val="00FC0F8E"/>
    <w:rsid w:val="00FC4DE7"/>
    <w:rsid w:val="00FC500A"/>
    <w:rsid w:val="00FC5F5C"/>
    <w:rsid w:val="00FC6A81"/>
    <w:rsid w:val="00FC6C11"/>
    <w:rsid w:val="00FC6E9D"/>
    <w:rsid w:val="00FC7589"/>
    <w:rsid w:val="00FC778E"/>
    <w:rsid w:val="00FC7D3A"/>
    <w:rsid w:val="00FD0134"/>
    <w:rsid w:val="00FD11A3"/>
    <w:rsid w:val="00FD22AF"/>
    <w:rsid w:val="00FD2413"/>
    <w:rsid w:val="00FD2B39"/>
    <w:rsid w:val="00FD2C3B"/>
    <w:rsid w:val="00FD3BCD"/>
    <w:rsid w:val="00FE13B0"/>
    <w:rsid w:val="00FE308B"/>
    <w:rsid w:val="00FE35C6"/>
    <w:rsid w:val="00FE458D"/>
    <w:rsid w:val="00FE75D1"/>
    <w:rsid w:val="00FF1A45"/>
    <w:rsid w:val="00FF1FF7"/>
    <w:rsid w:val="00FF2DC3"/>
    <w:rsid w:val="00FF4173"/>
    <w:rsid w:val="00FF5262"/>
    <w:rsid w:val="00FF5943"/>
    <w:rsid w:val="00FF5A73"/>
    <w:rsid w:val="00FF7E17"/>
    <w:rsid w:val="023A2E2C"/>
    <w:rsid w:val="024737BC"/>
    <w:rsid w:val="0339199B"/>
    <w:rsid w:val="04CF481B"/>
    <w:rsid w:val="055238A3"/>
    <w:rsid w:val="06164F56"/>
    <w:rsid w:val="08026668"/>
    <w:rsid w:val="09694018"/>
    <w:rsid w:val="0A191FEC"/>
    <w:rsid w:val="0A7F09E6"/>
    <w:rsid w:val="0BF16E09"/>
    <w:rsid w:val="0D6358AB"/>
    <w:rsid w:val="0D77267A"/>
    <w:rsid w:val="0EE053D2"/>
    <w:rsid w:val="12B00485"/>
    <w:rsid w:val="12D96AE3"/>
    <w:rsid w:val="13B1655E"/>
    <w:rsid w:val="13B91233"/>
    <w:rsid w:val="14E8498B"/>
    <w:rsid w:val="152C2CD2"/>
    <w:rsid w:val="153D1B8E"/>
    <w:rsid w:val="16D84D00"/>
    <w:rsid w:val="16E52A43"/>
    <w:rsid w:val="16EE2793"/>
    <w:rsid w:val="18830246"/>
    <w:rsid w:val="19004638"/>
    <w:rsid w:val="195C5947"/>
    <w:rsid w:val="19C705AD"/>
    <w:rsid w:val="1B0E5A7A"/>
    <w:rsid w:val="1B285AE1"/>
    <w:rsid w:val="1CEF1518"/>
    <w:rsid w:val="1D2E512B"/>
    <w:rsid w:val="1E854FF8"/>
    <w:rsid w:val="1F1C1A28"/>
    <w:rsid w:val="1F5A0134"/>
    <w:rsid w:val="1F6348E4"/>
    <w:rsid w:val="1F8668FF"/>
    <w:rsid w:val="20224CC1"/>
    <w:rsid w:val="20E94426"/>
    <w:rsid w:val="217253F2"/>
    <w:rsid w:val="222C5B99"/>
    <w:rsid w:val="22331AEF"/>
    <w:rsid w:val="22AC7E3E"/>
    <w:rsid w:val="243B796B"/>
    <w:rsid w:val="24E97293"/>
    <w:rsid w:val="258252AA"/>
    <w:rsid w:val="25BF5294"/>
    <w:rsid w:val="26756174"/>
    <w:rsid w:val="27583DCB"/>
    <w:rsid w:val="28047D67"/>
    <w:rsid w:val="288A7E1F"/>
    <w:rsid w:val="28CD4DF8"/>
    <w:rsid w:val="2917568E"/>
    <w:rsid w:val="297E178F"/>
    <w:rsid w:val="29D356AD"/>
    <w:rsid w:val="2A541155"/>
    <w:rsid w:val="2B5167B5"/>
    <w:rsid w:val="2BBC1662"/>
    <w:rsid w:val="2BD90319"/>
    <w:rsid w:val="2C2E754B"/>
    <w:rsid w:val="2CCD136F"/>
    <w:rsid w:val="2D2A7C52"/>
    <w:rsid w:val="2D7B5F44"/>
    <w:rsid w:val="2E1D27AF"/>
    <w:rsid w:val="2E362BA9"/>
    <w:rsid w:val="2EA73716"/>
    <w:rsid w:val="30E6493A"/>
    <w:rsid w:val="311F205E"/>
    <w:rsid w:val="331B6501"/>
    <w:rsid w:val="336B1473"/>
    <w:rsid w:val="34C12764"/>
    <w:rsid w:val="34EA7A1E"/>
    <w:rsid w:val="354A59C6"/>
    <w:rsid w:val="36A77C00"/>
    <w:rsid w:val="376E0A72"/>
    <w:rsid w:val="37983D42"/>
    <w:rsid w:val="37DD1DEF"/>
    <w:rsid w:val="37FA4319"/>
    <w:rsid w:val="381F3470"/>
    <w:rsid w:val="38E45431"/>
    <w:rsid w:val="3902751A"/>
    <w:rsid w:val="39E27207"/>
    <w:rsid w:val="3A0E3D7F"/>
    <w:rsid w:val="3A1967BD"/>
    <w:rsid w:val="3ACA7BAC"/>
    <w:rsid w:val="3B0C58DD"/>
    <w:rsid w:val="3B8561E0"/>
    <w:rsid w:val="3B975572"/>
    <w:rsid w:val="3C791504"/>
    <w:rsid w:val="3D452D98"/>
    <w:rsid w:val="3ED80E13"/>
    <w:rsid w:val="3FA12AE7"/>
    <w:rsid w:val="41391F47"/>
    <w:rsid w:val="4186502C"/>
    <w:rsid w:val="43C5407F"/>
    <w:rsid w:val="448D16D6"/>
    <w:rsid w:val="44B51A44"/>
    <w:rsid w:val="450C5A74"/>
    <w:rsid w:val="45105C52"/>
    <w:rsid w:val="45D34A34"/>
    <w:rsid w:val="46830090"/>
    <w:rsid w:val="47435185"/>
    <w:rsid w:val="4772665A"/>
    <w:rsid w:val="47A36E74"/>
    <w:rsid w:val="47E96303"/>
    <w:rsid w:val="48735D3E"/>
    <w:rsid w:val="48D06FFE"/>
    <w:rsid w:val="495F0E1B"/>
    <w:rsid w:val="4B0B4954"/>
    <w:rsid w:val="4BE506E1"/>
    <w:rsid w:val="4C2B1AAF"/>
    <w:rsid w:val="4C9A38A4"/>
    <w:rsid w:val="4CB2108E"/>
    <w:rsid w:val="4CD64AED"/>
    <w:rsid w:val="4D2964E3"/>
    <w:rsid w:val="4DE3275E"/>
    <w:rsid w:val="4DEF2DCB"/>
    <w:rsid w:val="4E4F65C6"/>
    <w:rsid w:val="4EFF388D"/>
    <w:rsid w:val="51F95026"/>
    <w:rsid w:val="52B93069"/>
    <w:rsid w:val="52DD06F1"/>
    <w:rsid w:val="534E5FDD"/>
    <w:rsid w:val="539411E0"/>
    <w:rsid w:val="53CA72F5"/>
    <w:rsid w:val="54122549"/>
    <w:rsid w:val="541330D5"/>
    <w:rsid w:val="54A91265"/>
    <w:rsid w:val="54C776D7"/>
    <w:rsid w:val="55C55442"/>
    <w:rsid w:val="569C630A"/>
    <w:rsid w:val="56D471B9"/>
    <w:rsid w:val="5741113E"/>
    <w:rsid w:val="58817EFF"/>
    <w:rsid w:val="59653481"/>
    <w:rsid w:val="5A037552"/>
    <w:rsid w:val="5AA00579"/>
    <w:rsid w:val="5ABC4DE1"/>
    <w:rsid w:val="5ACE46A6"/>
    <w:rsid w:val="5B8D2D21"/>
    <w:rsid w:val="5C982E14"/>
    <w:rsid w:val="5CA60A2B"/>
    <w:rsid w:val="5CDB0592"/>
    <w:rsid w:val="5DD4783F"/>
    <w:rsid w:val="5DF24B50"/>
    <w:rsid w:val="5E423CC7"/>
    <w:rsid w:val="5EF22C19"/>
    <w:rsid w:val="5F0720C0"/>
    <w:rsid w:val="5F0C1449"/>
    <w:rsid w:val="5F477198"/>
    <w:rsid w:val="5F994D4B"/>
    <w:rsid w:val="60206B9C"/>
    <w:rsid w:val="617050B9"/>
    <w:rsid w:val="61B91604"/>
    <w:rsid w:val="62A81F07"/>
    <w:rsid w:val="62FC61E6"/>
    <w:rsid w:val="631338FF"/>
    <w:rsid w:val="63AB23D8"/>
    <w:rsid w:val="63AD43A2"/>
    <w:rsid w:val="6470105F"/>
    <w:rsid w:val="656D47A5"/>
    <w:rsid w:val="67174B7D"/>
    <w:rsid w:val="69061E11"/>
    <w:rsid w:val="6A0B5B1A"/>
    <w:rsid w:val="6A5D1F52"/>
    <w:rsid w:val="6AD07D8E"/>
    <w:rsid w:val="6AFE2D65"/>
    <w:rsid w:val="6B0E00E5"/>
    <w:rsid w:val="6B251DCB"/>
    <w:rsid w:val="6BCD4ADA"/>
    <w:rsid w:val="6BD448E4"/>
    <w:rsid w:val="6C382C77"/>
    <w:rsid w:val="6C534CD6"/>
    <w:rsid w:val="6CDE742D"/>
    <w:rsid w:val="6D431148"/>
    <w:rsid w:val="6D4D272D"/>
    <w:rsid w:val="6D532F72"/>
    <w:rsid w:val="6DB85CAB"/>
    <w:rsid w:val="6F7826BA"/>
    <w:rsid w:val="6FAC6BCC"/>
    <w:rsid w:val="6FCE356B"/>
    <w:rsid w:val="717413BA"/>
    <w:rsid w:val="72D2080E"/>
    <w:rsid w:val="740B754B"/>
    <w:rsid w:val="74135BE1"/>
    <w:rsid w:val="75E46B48"/>
    <w:rsid w:val="766133B3"/>
    <w:rsid w:val="770C4F72"/>
    <w:rsid w:val="77575B8F"/>
    <w:rsid w:val="791D0378"/>
    <w:rsid w:val="798126C5"/>
    <w:rsid w:val="79A228E7"/>
    <w:rsid w:val="7AF04A5C"/>
    <w:rsid w:val="7B614FBB"/>
    <w:rsid w:val="7CB91D79"/>
    <w:rsid w:val="7D083FA0"/>
    <w:rsid w:val="7D536DD9"/>
    <w:rsid w:val="7DA23B0D"/>
    <w:rsid w:val="7E0331EF"/>
    <w:rsid w:val="7EC27EA3"/>
    <w:rsid w:val="7F760B8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qFormat="1"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99" w:semiHidden="0" w:name="Normal Indent"/>
    <w:lsdException w:uiPriority="99" w:name="footnote text"/>
    <w:lsdException w:qFormat="1" w:uiPriority="0" w:semiHidden="0" w:name="annotation text"/>
    <w:lsdException w:qFormat="1" w:uiPriority="99" w:semiHidden="0" w:name="header"/>
    <w:lsdException w:qFormat="1" w:uiPriority="99" w:semiHidden="0" w:name="footer"/>
    <w:lsdException w:qFormat="1" w:unhideWhenUsed="0" w:uiPriority="0" w:semiHidden="0"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nhideWhenUsed="0" w:uiPriority="0" w:semiHidden="0" w:name="Body Text First Indent"/>
    <w:lsdException w:uiPriority="99" w:name="Body Text First Indent 2"/>
    <w:lsdException w:uiPriority="99" w:name="Note Heading"/>
    <w:lsdException w:qFormat="1" w:unhideWhenUsed="0" w:uiPriority="0" w:semiHidden="0" w:name="Body Text 2"/>
    <w:lsdException w:qFormat="1" w:unhideWhenUsed="0" w:uiPriority="0" w:semiHidden="0" w:name="Body Text 3"/>
    <w:lsdException w:uiPriority="99" w:name="Body Text Indent 2"/>
    <w:lsdException w:qFormat="1" w:unhideWhenUsed="0" w:uiPriority="0" w:semiHidden="0" w:name="Body Text Indent 3"/>
    <w:lsdException w:uiPriority="99" w:name="Block Text"/>
    <w:lsdException w:qFormat="1" w:uiPriority="99" w:semiHidden="0" w:name="Hyperlink"/>
    <w:lsdException w:qFormat="1" w:uiPriority="99" w:semiHidden="0" w:name="FollowedHyperlink"/>
    <w:lsdException w:qFormat="1" w:unhideWhenUsed="0" w:uiPriority="0" w:semiHidden="0" w:name="Strong"/>
    <w:lsdException w:qFormat="1" w:unhideWhenUsed="0" w:uiPriority="20" w:semiHidden="0" w:name="Emphasis"/>
    <w:lsdException w:qFormat="1" w:uiPriority="0" w:semiHidden="0" w:name="Document Map"/>
    <w:lsdException w:qFormat="1" w:unhideWhenUsed="0" w:uiPriority="99"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name="Normal Table"/>
    <w:lsdException w:qFormat="1"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0"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61"/>
    <w:qFormat/>
    <w:uiPriority w:val="0"/>
    <w:pPr>
      <w:spacing w:before="100" w:beforeAutospacing="1" w:after="100" w:afterAutospacing="1"/>
      <w:jc w:val="left"/>
      <w:outlineLvl w:val="0"/>
    </w:pPr>
    <w:rPr>
      <w:rFonts w:hint="eastAsia" w:ascii="宋体" w:hAnsi="宋体"/>
      <w:b/>
      <w:kern w:val="44"/>
      <w:sz w:val="48"/>
      <w:szCs w:val="48"/>
    </w:rPr>
  </w:style>
  <w:style w:type="paragraph" w:styleId="3">
    <w:name w:val="heading 2"/>
    <w:basedOn w:val="1"/>
    <w:next w:val="1"/>
    <w:link w:val="62"/>
    <w:qFormat/>
    <w:uiPriority w:val="0"/>
    <w:pPr>
      <w:keepNext/>
      <w:keepLines/>
      <w:spacing w:before="260" w:after="260" w:line="413" w:lineRule="auto"/>
      <w:outlineLvl w:val="1"/>
    </w:pPr>
    <w:rPr>
      <w:rFonts w:ascii="Arial" w:hAnsi="Arial" w:eastAsia="黑体"/>
      <w:b/>
      <w:sz w:val="32"/>
    </w:rPr>
  </w:style>
  <w:style w:type="paragraph" w:styleId="4">
    <w:name w:val="heading 3"/>
    <w:basedOn w:val="1"/>
    <w:next w:val="1"/>
    <w:link w:val="63"/>
    <w:qFormat/>
    <w:uiPriority w:val="0"/>
    <w:pPr>
      <w:spacing w:before="100" w:beforeAutospacing="1" w:after="100" w:afterAutospacing="1"/>
      <w:jc w:val="left"/>
      <w:outlineLvl w:val="2"/>
    </w:pPr>
    <w:rPr>
      <w:rFonts w:hint="eastAsia" w:ascii="宋体" w:hAnsi="宋体"/>
      <w:b/>
      <w:kern w:val="0"/>
      <w:sz w:val="27"/>
      <w:szCs w:val="27"/>
    </w:rPr>
  </w:style>
  <w:style w:type="paragraph" w:styleId="5">
    <w:name w:val="heading 4"/>
    <w:basedOn w:val="1"/>
    <w:next w:val="1"/>
    <w:link w:val="64"/>
    <w:qFormat/>
    <w:uiPriority w:val="0"/>
    <w:pPr>
      <w:keepNext/>
      <w:keepLines/>
      <w:spacing w:before="280" w:after="290" w:line="372" w:lineRule="auto"/>
      <w:outlineLvl w:val="3"/>
    </w:pPr>
    <w:rPr>
      <w:rFonts w:ascii="Arial" w:hAnsi="Arial" w:eastAsia="黑体"/>
      <w:b/>
      <w:sz w:val="28"/>
    </w:rPr>
  </w:style>
  <w:style w:type="character" w:default="1" w:styleId="38">
    <w:name w:val="Default Paragraph Font"/>
    <w:semiHidden/>
    <w:unhideWhenUsed/>
    <w:qFormat/>
    <w:uiPriority w:val="1"/>
  </w:style>
  <w:style w:type="table" w:default="1" w:styleId="36">
    <w:name w:val="Normal Table"/>
    <w:semiHidden/>
    <w:unhideWhenUsed/>
    <w:qFormat/>
    <w:uiPriority w:val="99"/>
    <w:tblPr>
      <w:tblCellMar>
        <w:top w:w="0" w:type="dxa"/>
        <w:left w:w="108" w:type="dxa"/>
        <w:bottom w:w="0" w:type="dxa"/>
        <w:right w:w="108" w:type="dxa"/>
      </w:tblCellMar>
    </w:tblPr>
  </w:style>
  <w:style w:type="paragraph" w:styleId="6">
    <w:name w:val="toc 7"/>
    <w:basedOn w:val="1"/>
    <w:next w:val="1"/>
    <w:qFormat/>
    <w:uiPriority w:val="39"/>
    <w:pPr>
      <w:ind w:left="1260"/>
      <w:jc w:val="left"/>
    </w:pPr>
    <w:rPr>
      <w:sz w:val="18"/>
      <w:szCs w:val="18"/>
    </w:rPr>
  </w:style>
  <w:style w:type="paragraph" w:styleId="7">
    <w:name w:val="Normal Indent"/>
    <w:basedOn w:val="1"/>
    <w:link w:val="82"/>
    <w:qFormat/>
    <w:uiPriority w:val="99"/>
    <w:pPr>
      <w:ind w:firstLine="420"/>
    </w:pPr>
    <w:rPr>
      <w:szCs w:val="20"/>
    </w:rPr>
  </w:style>
  <w:style w:type="paragraph" w:styleId="8">
    <w:name w:val="caption"/>
    <w:basedOn w:val="1"/>
    <w:next w:val="1"/>
    <w:qFormat/>
    <w:uiPriority w:val="0"/>
    <w:rPr>
      <w:rFonts w:ascii="Arial" w:hAnsi="Arial" w:eastAsia="黑体" w:cs="Arial"/>
      <w:sz w:val="20"/>
      <w:szCs w:val="20"/>
    </w:rPr>
  </w:style>
  <w:style w:type="paragraph" w:styleId="9">
    <w:name w:val="Document Map"/>
    <w:basedOn w:val="1"/>
    <w:link w:val="54"/>
    <w:unhideWhenUsed/>
    <w:qFormat/>
    <w:uiPriority w:val="0"/>
    <w:rPr>
      <w:rFonts w:ascii="宋体"/>
      <w:sz w:val="18"/>
      <w:szCs w:val="18"/>
    </w:rPr>
  </w:style>
  <w:style w:type="paragraph" w:styleId="10">
    <w:name w:val="annotation text"/>
    <w:basedOn w:val="1"/>
    <w:link w:val="51"/>
    <w:unhideWhenUsed/>
    <w:qFormat/>
    <w:uiPriority w:val="0"/>
    <w:pPr>
      <w:jc w:val="left"/>
    </w:pPr>
  </w:style>
  <w:style w:type="paragraph" w:styleId="11">
    <w:name w:val="Body Text 3"/>
    <w:basedOn w:val="1"/>
    <w:link w:val="98"/>
    <w:qFormat/>
    <w:uiPriority w:val="0"/>
    <w:pPr>
      <w:spacing w:after="120"/>
    </w:pPr>
    <w:rPr>
      <w:sz w:val="16"/>
      <w:szCs w:val="16"/>
    </w:rPr>
  </w:style>
  <w:style w:type="paragraph" w:styleId="12">
    <w:name w:val="Body Text"/>
    <w:basedOn w:val="1"/>
    <w:link w:val="103"/>
    <w:qFormat/>
    <w:uiPriority w:val="0"/>
    <w:pPr>
      <w:spacing w:line="360" w:lineRule="auto"/>
    </w:pPr>
    <w:rPr>
      <w:szCs w:val="20"/>
    </w:rPr>
  </w:style>
  <w:style w:type="paragraph" w:styleId="13">
    <w:name w:val="Body Text Indent"/>
    <w:basedOn w:val="1"/>
    <w:link w:val="108"/>
    <w:qFormat/>
    <w:uiPriority w:val="0"/>
    <w:pPr>
      <w:ind w:firstLine="830" w:firstLineChars="352"/>
    </w:pPr>
    <w:rPr>
      <w:rFonts w:ascii="仿宋_GB2312" w:eastAsia="仿宋_GB2312"/>
      <w:sz w:val="32"/>
      <w:szCs w:val="20"/>
    </w:rPr>
  </w:style>
  <w:style w:type="paragraph" w:styleId="14">
    <w:name w:val="toc 5"/>
    <w:basedOn w:val="1"/>
    <w:next w:val="1"/>
    <w:qFormat/>
    <w:uiPriority w:val="39"/>
    <w:pPr>
      <w:ind w:left="840"/>
      <w:jc w:val="left"/>
    </w:pPr>
    <w:rPr>
      <w:sz w:val="18"/>
      <w:szCs w:val="18"/>
    </w:rPr>
  </w:style>
  <w:style w:type="paragraph" w:styleId="15">
    <w:name w:val="toc 3"/>
    <w:basedOn w:val="1"/>
    <w:next w:val="1"/>
    <w:qFormat/>
    <w:uiPriority w:val="39"/>
    <w:pPr>
      <w:spacing w:line="300" w:lineRule="auto"/>
      <w:ind w:left="420"/>
      <w:jc w:val="left"/>
    </w:pPr>
    <w:rPr>
      <w:i/>
      <w:iCs/>
      <w:szCs w:val="20"/>
    </w:rPr>
  </w:style>
  <w:style w:type="paragraph" w:styleId="16">
    <w:name w:val="Plain Text"/>
    <w:basedOn w:val="1"/>
    <w:link w:val="53"/>
    <w:qFormat/>
    <w:uiPriority w:val="99"/>
    <w:rPr>
      <w:rFonts w:ascii="宋体" w:hAnsi="Courier New"/>
      <w:kern w:val="0"/>
      <w:sz w:val="20"/>
      <w:szCs w:val="21"/>
    </w:rPr>
  </w:style>
  <w:style w:type="paragraph" w:styleId="17">
    <w:name w:val="toc 8"/>
    <w:basedOn w:val="1"/>
    <w:next w:val="1"/>
    <w:qFormat/>
    <w:uiPriority w:val="39"/>
    <w:pPr>
      <w:ind w:left="1470"/>
      <w:jc w:val="left"/>
    </w:pPr>
    <w:rPr>
      <w:sz w:val="18"/>
      <w:szCs w:val="18"/>
    </w:rPr>
  </w:style>
  <w:style w:type="paragraph" w:styleId="18">
    <w:name w:val="Date"/>
    <w:basedOn w:val="1"/>
    <w:next w:val="1"/>
    <w:link w:val="65"/>
    <w:qFormat/>
    <w:uiPriority w:val="0"/>
    <w:rPr>
      <w:rFonts w:ascii="Calibri" w:hAnsi="Calibri"/>
      <w:szCs w:val="20"/>
    </w:rPr>
  </w:style>
  <w:style w:type="paragraph" w:styleId="19">
    <w:name w:val="Balloon Text"/>
    <w:basedOn w:val="1"/>
    <w:link w:val="46"/>
    <w:unhideWhenUsed/>
    <w:qFormat/>
    <w:uiPriority w:val="0"/>
    <w:rPr>
      <w:kern w:val="0"/>
      <w:sz w:val="18"/>
      <w:szCs w:val="18"/>
    </w:rPr>
  </w:style>
  <w:style w:type="paragraph" w:styleId="20">
    <w:name w:val="footer"/>
    <w:basedOn w:val="1"/>
    <w:link w:val="45"/>
    <w:unhideWhenUsed/>
    <w:qFormat/>
    <w:uiPriority w:val="99"/>
    <w:pPr>
      <w:tabs>
        <w:tab w:val="center" w:pos="4153"/>
        <w:tab w:val="right" w:pos="8306"/>
      </w:tabs>
      <w:snapToGrid w:val="0"/>
      <w:jc w:val="left"/>
    </w:pPr>
    <w:rPr>
      <w:sz w:val="18"/>
      <w:szCs w:val="18"/>
    </w:rPr>
  </w:style>
  <w:style w:type="paragraph" w:styleId="21">
    <w:name w:val="header"/>
    <w:basedOn w:val="1"/>
    <w:link w:val="44"/>
    <w:unhideWhenUsed/>
    <w:qFormat/>
    <w:uiPriority w:val="99"/>
    <w:pPr>
      <w:pBdr>
        <w:bottom w:val="single" w:color="auto" w:sz="6" w:space="1"/>
      </w:pBdr>
      <w:tabs>
        <w:tab w:val="center" w:pos="4153"/>
        <w:tab w:val="right" w:pos="8306"/>
      </w:tabs>
      <w:snapToGrid w:val="0"/>
      <w:jc w:val="center"/>
    </w:pPr>
    <w:rPr>
      <w:sz w:val="18"/>
      <w:szCs w:val="18"/>
    </w:rPr>
  </w:style>
  <w:style w:type="paragraph" w:styleId="22">
    <w:name w:val="toc 1"/>
    <w:basedOn w:val="1"/>
    <w:next w:val="1"/>
    <w:qFormat/>
    <w:uiPriority w:val="39"/>
    <w:pPr>
      <w:spacing w:before="120" w:after="120" w:line="360" w:lineRule="auto"/>
      <w:jc w:val="left"/>
    </w:pPr>
    <w:rPr>
      <w:b/>
      <w:bCs/>
      <w:caps/>
      <w:szCs w:val="20"/>
    </w:rPr>
  </w:style>
  <w:style w:type="paragraph" w:styleId="23">
    <w:name w:val="toc 4"/>
    <w:basedOn w:val="1"/>
    <w:next w:val="1"/>
    <w:qFormat/>
    <w:uiPriority w:val="39"/>
    <w:pPr>
      <w:ind w:left="630"/>
      <w:jc w:val="left"/>
    </w:pPr>
    <w:rPr>
      <w:sz w:val="18"/>
      <w:szCs w:val="18"/>
    </w:rPr>
  </w:style>
  <w:style w:type="paragraph" w:styleId="24">
    <w:name w:val="index heading"/>
    <w:basedOn w:val="1"/>
    <w:next w:val="25"/>
    <w:qFormat/>
    <w:uiPriority w:val="0"/>
    <w:rPr>
      <w:szCs w:val="20"/>
    </w:rPr>
  </w:style>
  <w:style w:type="paragraph" w:styleId="25">
    <w:name w:val="index 1"/>
    <w:basedOn w:val="1"/>
    <w:next w:val="1"/>
    <w:unhideWhenUsed/>
    <w:qFormat/>
    <w:uiPriority w:val="0"/>
    <w:rPr>
      <w:rFonts w:ascii="Calibri" w:hAnsi="Calibri"/>
    </w:rPr>
  </w:style>
  <w:style w:type="paragraph" w:styleId="26">
    <w:name w:val="toc 6"/>
    <w:basedOn w:val="1"/>
    <w:next w:val="1"/>
    <w:qFormat/>
    <w:uiPriority w:val="39"/>
    <w:pPr>
      <w:ind w:left="1050"/>
      <w:jc w:val="left"/>
    </w:pPr>
    <w:rPr>
      <w:sz w:val="18"/>
      <w:szCs w:val="18"/>
    </w:rPr>
  </w:style>
  <w:style w:type="paragraph" w:styleId="27">
    <w:name w:val="Body Text Indent 3"/>
    <w:basedOn w:val="1"/>
    <w:link w:val="109"/>
    <w:qFormat/>
    <w:uiPriority w:val="0"/>
    <w:pPr>
      <w:spacing w:line="360" w:lineRule="auto"/>
      <w:ind w:firstLine="420" w:firstLineChars="200"/>
    </w:pPr>
    <w:rPr>
      <w:szCs w:val="20"/>
    </w:rPr>
  </w:style>
  <w:style w:type="paragraph" w:styleId="28">
    <w:name w:val="toc 2"/>
    <w:basedOn w:val="1"/>
    <w:next w:val="1"/>
    <w:qFormat/>
    <w:uiPriority w:val="39"/>
    <w:pPr>
      <w:spacing w:line="360" w:lineRule="auto"/>
      <w:ind w:left="210"/>
      <w:jc w:val="left"/>
    </w:pPr>
    <w:rPr>
      <w:smallCaps/>
      <w:szCs w:val="20"/>
    </w:rPr>
  </w:style>
  <w:style w:type="paragraph" w:styleId="29">
    <w:name w:val="toc 9"/>
    <w:basedOn w:val="1"/>
    <w:next w:val="1"/>
    <w:qFormat/>
    <w:uiPriority w:val="39"/>
    <w:pPr>
      <w:ind w:left="1680"/>
      <w:jc w:val="left"/>
    </w:pPr>
    <w:rPr>
      <w:sz w:val="18"/>
      <w:szCs w:val="18"/>
    </w:rPr>
  </w:style>
  <w:style w:type="paragraph" w:styleId="30">
    <w:name w:val="Body Text 2"/>
    <w:basedOn w:val="1"/>
    <w:link w:val="126"/>
    <w:qFormat/>
    <w:uiPriority w:val="0"/>
    <w:pPr>
      <w:spacing w:after="120" w:line="480" w:lineRule="auto"/>
    </w:pPr>
  </w:style>
  <w:style w:type="paragraph" w:styleId="31">
    <w:name w:val="HTML Preformatted"/>
    <w:basedOn w:val="1"/>
    <w:link w:val="77"/>
    <w:qFormat/>
    <w:uiPriority w:val="0"/>
    <w:pPr>
      <w:widowControl/>
      <w:jc w:val="left"/>
    </w:pPr>
    <w:rPr>
      <w:rFonts w:ascii="黑体" w:hAnsi="Courier New" w:eastAsia="黑体" w:cs="Courier New"/>
      <w:kern w:val="0"/>
      <w:sz w:val="20"/>
      <w:szCs w:val="21"/>
    </w:rPr>
  </w:style>
  <w:style w:type="paragraph" w:styleId="32">
    <w:name w:val="Normal (Web)"/>
    <w:basedOn w:val="1"/>
    <w:qFormat/>
    <w:uiPriority w:val="99"/>
    <w:pPr>
      <w:widowControl/>
      <w:spacing w:beforeAutospacing="1" w:afterAutospacing="1"/>
      <w:jc w:val="left"/>
    </w:pPr>
    <w:rPr>
      <w:rFonts w:ascii="宋体" w:hAnsi="宋体"/>
      <w:color w:val="000000"/>
      <w:kern w:val="0"/>
      <w:sz w:val="24"/>
    </w:rPr>
  </w:style>
  <w:style w:type="paragraph" w:styleId="33">
    <w:name w:val="Title"/>
    <w:basedOn w:val="1"/>
    <w:link w:val="96"/>
    <w:qFormat/>
    <w:uiPriority w:val="0"/>
    <w:pPr>
      <w:spacing w:before="240" w:after="60"/>
      <w:jc w:val="center"/>
      <w:outlineLvl w:val="0"/>
    </w:pPr>
    <w:rPr>
      <w:rFonts w:ascii="Arial" w:hAnsi="Arial" w:cs="Arial"/>
      <w:b/>
      <w:bCs/>
      <w:sz w:val="32"/>
      <w:szCs w:val="32"/>
    </w:rPr>
  </w:style>
  <w:style w:type="paragraph" w:styleId="34">
    <w:name w:val="annotation subject"/>
    <w:basedOn w:val="10"/>
    <w:next w:val="10"/>
    <w:link w:val="52"/>
    <w:unhideWhenUsed/>
    <w:qFormat/>
    <w:uiPriority w:val="0"/>
    <w:rPr>
      <w:b/>
      <w:bCs/>
    </w:rPr>
  </w:style>
  <w:style w:type="paragraph" w:styleId="35">
    <w:name w:val="Body Text First Indent"/>
    <w:basedOn w:val="12"/>
    <w:link w:val="114"/>
    <w:qFormat/>
    <w:uiPriority w:val="0"/>
    <w:pPr>
      <w:spacing w:after="120" w:line="240" w:lineRule="auto"/>
      <w:ind w:firstLine="420" w:firstLineChars="100"/>
    </w:pPr>
    <w:rPr>
      <w:szCs w:val="24"/>
    </w:rPr>
  </w:style>
  <w:style w:type="table" w:styleId="37">
    <w:name w:val="Table Grid"/>
    <w:basedOn w:val="36"/>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9">
    <w:name w:val="Strong"/>
    <w:qFormat/>
    <w:uiPriority w:val="0"/>
    <w:rPr>
      <w:b/>
    </w:rPr>
  </w:style>
  <w:style w:type="character" w:styleId="40">
    <w:name w:val="page number"/>
    <w:basedOn w:val="38"/>
    <w:qFormat/>
    <w:uiPriority w:val="0"/>
  </w:style>
  <w:style w:type="character" w:styleId="41">
    <w:name w:val="FollowedHyperlink"/>
    <w:unhideWhenUsed/>
    <w:qFormat/>
    <w:uiPriority w:val="99"/>
    <w:rPr>
      <w:color w:val="954F72"/>
      <w:u w:val="single"/>
    </w:rPr>
  </w:style>
  <w:style w:type="character" w:styleId="42">
    <w:name w:val="Hyperlink"/>
    <w:unhideWhenUsed/>
    <w:qFormat/>
    <w:uiPriority w:val="99"/>
    <w:rPr>
      <w:color w:val="0000FF"/>
      <w:u w:val="single"/>
    </w:rPr>
  </w:style>
  <w:style w:type="character" w:styleId="43">
    <w:name w:val="annotation reference"/>
    <w:unhideWhenUsed/>
    <w:qFormat/>
    <w:uiPriority w:val="0"/>
    <w:rPr>
      <w:sz w:val="21"/>
      <w:szCs w:val="21"/>
    </w:rPr>
  </w:style>
  <w:style w:type="character" w:customStyle="1" w:styleId="44">
    <w:name w:val="页眉 Char"/>
    <w:link w:val="21"/>
    <w:qFormat/>
    <w:uiPriority w:val="99"/>
    <w:rPr>
      <w:rFonts w:ascii="Times New Roman" w:hAnsi="Times New Roman"/>
      <w:kern w:val="2"/>
      <w:sz w:val="18"/>
      <w:szCs w:val="18"/>
    </w:rPr>
  </w:style>
  <w:style w:type="character" w:customStyle="1" w:styleId="45">
    <w:name w:val="页脚 Char"/>
    <w:link w:val="20"/>
    <w:qFormat/>
    <w:uiPriority w:val="99"/>
    <w:rPr>
      <w:rFonts w:ascii="Times New Roman" w:hAnsi="Times New Roman"/>
      <w:kern w:val="2"/>
      <w:sz w:val="18"/>
      <w:szCs w:val="18"/>
    </w:rPr>
  </w:style>
  <w:style w:type="character" w:customStyle="1" w:styleId="46">
    <w:name w:val="批注框文本 Char"/>
    <w:link w:val="19"/>
    <w:qFormat/>
    <w:uiPriority w:val="0"/>
    <w:rPr>
      <w:rFonts w:ascii="Times New Roman" w:hAnsi="Times New Roman" w:eastAsia="宋体" w:cs="Times New Roman"/>
      <w:sz w:val="18"/>
      <w:szCs w:val="18"/>
    </w:rPr>
  </w:style>
  <w:style w:type="paragraph" w:customStyle="1" w:styleId="47">
    <w:name w:val="列表段落1"/>
    <w:basedOn w:val="1"/>
    <w:link w:val="49"/>
    <w:qFormat/>
    <w:uiPriority w:val="99"/>
    <w:pPr>
      <w:ind w:firstLine="420" w:firstLineChars="200"/>
    </w:pPr>
  </w:style>
  <w:style w:type="paragraph" w:customStyle="1" w:styleId="48">
    <w:name w:val="列出段落1"/>
    <w:basedOn w:val="1"/>
    <w:qFormat/>
    <w:uiPriority w:val="0"/>
    <w:pPr>
      <w:ind w:firstLine="420" w:firstLineChars="200"/>
    </w:pPr>
  </w:style>
  <w:style w:type="character" w:customStyle="1" w:styleId="49">
    <w:name w:val="列表段落 字符"/>
    <w:link w:val="47"/>
    <w:qFormat/>
    <w:uiPriority w:val="99"/>
    <w:rPr>
      <w:kern w:val="2"/>
      <w:sz w:val="21"/>
      <w:szCs w:val="24"/>
    </w:rPr>
  </w:style>
  <w:style w:type="paragraph" w:customStyle="1" w:styleId="50">
    <w:name w:val="正文 New"/>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51">
    <w:name w:val="批注文字 Char"/>
    <w:link w:val="10"/>
    <w:qFormat/>
    <w:uiPriority w:val="0"/>
    <w:rPr>
      <w:kern w:val="2"/>
      <w:sz w:val="21"/>
      <w:szCs w:val="24"/>
    </w:rPr>
  </w:style>
  <w:style w:type="character" w:customStyle="1" w:styleId="52">
    <w:name w:val="批注主题 Char"/>
    <w:link w:val="34"/>
    <w:qFormat/>
    <w:uiPriority w:val="0"/>
    <w:rPr>
      <w:b/>
      <w:bCs/>
      <w:kern w:val="2"/>
      <w:sz w:val="21"/>
      <w:szCs w:val="24"/>
    </w:rPr>
  </w:style>
  <w:style w:type="character" w:customStyle="1" w:styleId="53">
    <w:name w:val="纯文本 Char2"/>
    <w:link w:val="16"/>
    <w:qFormat/>
    <w:uiPriority w:val="0"/>
    <w:rPr>
      <w:rFonts w:ascii="宋体" w:hAnsi="Courier New"/>
      <w:szCs w:val="21"/>
    </w:rPr>
  </w:style>
  <w:style w:type="character" w:customStyle="1" w:styleId="54">
    <w:name w:val="文档结构图 Char"/>
    <w:basedOn w:val="38"/>
    <w:link w:val="9"/>
    <w:qFormat/>
    <w:uiPriority w:val="0"/>
    <w:rPr>
      <w:rFonts w:ascii="宋体"/>
      <w:kern w:val="2"/>
      <w:sz w:val="18"/>
      <w:szCs w:val="18"/>
    </w:rPr>
  </w:style>
  <w:style w:type="character" w:customStyle="1" w:styleId="55">
    <w:name w:val="纯文本 Char"/>
    <w:basedOn w:val="38"/>
    <w:qFormat/>
    <w:uiPriority w:val="99"/>
    <w:rPr>
      <w:rFonts w:ascii="宋体" w:hAnsi="Courier New"/>
      <w:kern w:val="2"/>
      <w:sz w:val="21"/>
    </w:rPr>
  </w:style>
  <w:style w:type="character" w:customStyle="1" w:styleId="56">
    <w:name w:val="列出段落 Char"/>
    <w:qFormat/>
    <w:locked/>
    <w:uiPriority w:val="0"/>
  </w:style>
  <w:style w:type="character" w:customStyle="1" w:styleId="57">
    <w:name w:val="纯文本 Char1"/>
    <w:link w:val="58"/>
    <w:qFormat/>
    <w:locked/>
    <w:uiPriority w:val="0"/>
    <w:rPr>
      <w:rFonts w:ascii="宋体" w:hAnsi="Courier New"/>
    </w:rPr>
  </w:style>
  <w:style w:type="paragraph" w:customStyle="1" w:styleId="58">
    <w:name w:val="纯文本1"/>
    <w:basedOn w:val="1"/>
    <w:link w:val="57"/>
    <w:qFormat/>
    <w:uiPriority w:val="0"/>
    <w:rPr>
      <w:rFonts w:ascii="宋体" w:hAnsi="Courier New"/>
      <w:kern w:val="0"/>
      <w:sz w:val="20"/>
      <w:szCs w:val="20"/>
    </w:rPr>
  </w:style>
  <w:style w:type="paragraph" w:styleId="59">
    <w:name w:val="List Paragraph"/>
    <w:basedOn w:val="1"/>
    <w:qFormat/>
    <w:uiPriority w:val="34"/>
    <w:pPr>
      <w:ind w:firstLine="420" w:firstLineChars="200"/>
    </w:pPr>
  </w:style>
  <w:style w:type="paragraph" w:customStyle="1" w:styleId="60">
    <w:name w:val="表格文字"/>
    <w:basedOn w:val="1"/>
    <w:qFormat/>
    <w:uiPriority w:val="0"/>
    <w:pPr>
      <w:jc w:val="left"/>
    </w:pPr>
    <w:rPr>
      <w:rFonts w:ascii="Calibri" w:hAnsi="Calibri"/>
      <w:bCs/>
      <w:spacing w:val="10"/>
      <w:kern w:val="0"/>
      <w:sz w:val="24"/>
      <w:szCs w:val="20"/>
    </w:rPr>
  </w:style>
  <w:style w:type="character" w:customStyle="1" w:styleId="61">
    <w:name w:val="标题 1 Char"/>
    <w:basedOn w:val="38"/>
    <w:link w:val="2"/>
    <w:qFormat/>
    <w:uiPriority w:val="0"/>
    <w:rPr>
      <w:rFonts w:ascii="宋体" w:hAnsi="宋体"/>
      <w:b/>
      <w:kern w:val="44"/>
      <w:sz w:val="48"/>
      <w:szCs w:val="48"/>
    </w:rPr>
  </w:style>
  <w:style w:type="character" w:customStyle="1" w:styleId="62">
    <w:name w:val="标题 2 Char1"/>
    <w:basedOn w:val="38"/>
    <w:link w:val="3"/>
    <w:qFormat/>
    <w:uiPriority w:val="0"/>
    <w:rPr>
      <w:rFonts w:ascii="Arial" w:hAnsi="Arial" w:eastAsia="黑体"/>
      <w:b/>
      <w:kern w:val="2"/>
      <w:sz w:val="32"/>
      <w:szCs w:val="24"/>
    </w:rPr>
  </w:style>
  <w:style w:type="character" w:customStyle="1" w:styleId="63">
    <w:name w:val="标题 3 Char"/>
    <w:basedOn w:val="38"/>
    <w:link w:val="4"/>
    <w:qFormat/>
    <w:uiPriority w:val="0"/>
    <w:rPr>
      <w:rFonts w:ascii="宋体" w:hAnsi="宋体"/>
      <w:b/>
      <w:sz w:val="27"/>
      <w:szCs w:val="27"/>
    </w:rPr>
  </w:style>
  <w:style w:type="character" w:customStyle="1" w:styleId="64">
    <w:name w:val="标题 4 Char"/>
    <w:basedOn w:val="38"/>
    <w:link w:val="5"/>
    <w:qFormat/>
    <w:uiPriority w:val="0"/>
    <w:rPr>
      <w:rFonts w:ascii="Arial" w:hAnsi="Arial" w:eastAsia="黑体"/>
      <w:b/>
      <w:kern w:val="2"/>
      <w:sz w:val="28"/>
      <w:szCs w:val="24"/>
    </w:rPr>
  </w:style>
  <w:style w:type="character" w:customStyle="1" w:styleId="65">
    <w:name w:val="日期 Char"/>
    <w:basedOn w:val="38"/>
    <w:link w:val="18"/>
    <w:qFormat/>
    <w:uiPriority w:val="0"/>
    <w:rPr>
      <w:rFonts w:ascii="Calibri" w:hAnsi="Calibri"/>
      <w:kern w:val="2"/>
      <w:sz w:val="21"/>
    </w:rPr>
  </w:style>
  <w:style w:type="paragraph" w:customStyle="1" w:styleId="66">
    <w:name w:val="正文1"/>
    <w:qFormat/>
    <w:uiPriority w:val="0"/>
    <w:pPr>
      <w:widowControl w:val="0"/>
      <w:jc w:val="both"/>
    </w:pPr>
    <w:rPr>
      <w:rFonts w:hint="eastAsia" w:ascii="Calibri" w:hAnsi="Calibri" w:eastAsia="宋体" w:cs="Times New Roman"/>
      <w:kern w:val="2"/>
      <w:sz w:val="21"/>
      <w:lang w:val="en-US" w:eastAsia="zh-CN" w:bidi="ar-SA"/>
    </w:rPr>
  </w:style>
  <w:style w:type="paragraph" w:customStyle="1" w:styleId="67">
    <w:name w:val="Blockquote"/>
    <w:basedOn w:val="1"/>
    <w:qFormat/>
    <w:uiPriority w:val="0"/>
    <w:pPr>
      <w:autoSpaceDE w:val="0"/>
      <w:autoSpaceDN w:val="0"/>
      <w:adjustRightInd w:val="0"/>
      <w:spacing w:before="100" w:after="100"/>
      <w:ind w:left="360" w:right="360"/>
      <w:jc w:val="left"/>
    </w:pPr>
    <w:rPr>
      <w:rFonts w:ascii="Calibri" w:hAnsi="Calibri"/>
      <w:kern w:val="0"/>
      <w:sz w:val="24"/>
      <w:szCs w:val="20"/>
    </w:rPr>
  </w:style>
  <w:style w:type="table" w:customStyle="1" w:styleId="68">
    <w:name w:val="网格型1"/>
    <w:basedOn w:val="36"/>
    <w:qFormat/>
    <w:uiPriority w:val="0"/>
    <w:rPr>
      <w:rFonts w:ascii="Calibri" w:hAnsi="Calibri"/>
      <w:kern w:val="2"/>
      <w:sz w:val="21"/>
      <w:szCs w:val="22"/>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paragraph" w:customStyle="1" w:styleId="69">
    <w:name w:val="msonormal"/>
    <w:basedOn w:val="1"/>
    <w:qFormat/>
    <w:uiPriority w:val="0"/>
    <w:pPr>
      <w:widowControl/>
      <w:spacing w:before="100" w:beforeAutospacing="1" w:after="100" w:afterAutospacing="1"/>
      <w:jc w:val="left"/>
    </w:pPr>
    <w:rPr>
      <w:rFonts w:ascii="宋体" w:hAnsi="宋体" w:cs="宋体"/>
      <w:kern w:val="0"/>
      <w:sz w:val="24"/>
    </w:rPr>
  </w:style>
  <w:style w:type="paragraph" w:customStyle="1" w:styleId="70">
    <w:name w:val="font5"/>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71">
    <w:name w:val="xl69"/>
    <w:basedOn w:val="1"/>
    <w:qFormat/>
    <w:uiPriority w:val="0"/>
    <w:pPr>
      <w:widowControl/>
      <w:spacing w:before="100" w:beforeAutospacing="1" w:after="100" w:afterAutospacing="1"/>
      <w:jc w:val="center"/>
    </w:pPr>
    <w:rPr>
      <w:rFonts w:ascii="宋体" w:hAnsi="宋体" w:cs="宋体"/>
      <w:kern w:val="0"/>
      <w:sz w:val="20"/>
      <w:szCs w:val="20"/>
    </w:rPr>
  </w:style>
  <w:style w:type="paragraph" w:customStyle="1" w:styleId="72">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3">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top"/>
    </w:pPr>
    <w:rPr>
      <w:rFonts w:ascii="宋体" w:hAnsi="宋体" w:cs="宋体"/>
      <w:kern w:val="0"/>
      <w:sz w:val="20"/>
      <w:szCs w:val="20"/>
    </w:rPr>
  </w:style>
  <w:style w:type="character" w:customStyle="1" w:styleId="74">
    <w:name w:val="A4"/>
    <w:qFormat/>
    <w:uiPriority w:val="0"/>
    <w:rPr>
      <w:rFonts w:hint="eastAsia" w:ascii="新宋体" w:hAnsi="新宋体" w:eastAsia="新宋体" w:cs="新宋体"/>
      <w:color w:val="000000"/>
    </w:rPr>
  </w:style>
  <w:style w:type="character" w:customStyle="1" w:styleId="75">
    <w:name w:val="纯文本 Char Char1"/>
    <w:qFormat/>
    <w:uiPriority w:val="0"/>
    <w:rPr>
      <w:rFonts w:ascii="宋体" w:hAnsi="Courier New" w:eastAsia="宋体"/>
      <w:kern w:val="2"/>
      <w:sz w:val="21"/>
      <w:szCs w:val="24"/>
      <w:lang w:val="en-US" w:eastAsia="zh-CN" w:bidi="ar-SA"/>
    </w:rPr>
  </w:style>
  <w:style w:type="character" w:customStyle="1" w:styleId="76">
    <w:name w:val="文档结构图 字符1"/>
    <w:basedOn w:val="38"/>
    <w:semiHidden/>
    <w:qFormat/>
    <w:uiPriority w:val="0"/>
    <w:rPr>
      <w:rFonts w:ascii="Microsoft YaHei UI" w:hAnsi="Calibri" w:eastAsia="Microsoft YaHei UI"/>
      <w:kern w:val="2"/>
      <w:sz w:val="18"/>
      <w:szCs w:val="18"/>
    </w:rPr>
  </w:style>
  <w:style w:type="character" w:customStyle="1" w:styleId="77">
    <w:name w:val="HTML 预设格式 Char"/>
    <w:link w:val="31"/>
    <w:qFormat/>
    <w:uiPriority w:val="99"/>
    <w:rPr>
      <w:rFonts w:ascii="黑体" w:hAnsi="Courier New" w:eastAsia="黑体" w:cs="Courier New"/>
      <w:szCs w:val="21"/>
    </w:rPr>
  </w:style>
  <w:style w:type="character" w:customStyle="1" w:styleId="78">
    <w:name w:val="HTML 预设格式 字符1"/>
    <w:basedOn w:val="38"/>
    <w:qFormat/>
    <w:uiPriority w:val="0"/>
    <w:rPr>
      <w:rFonts w:ascii="Courier New" w:hAnsi="Courier New" w:cs="Courier New"/>
      <w:kern w:val="2"/>
    </w:rPr>
  </w:style>
  <w:style w:type="character" w:customStyle="1" w:styleId="79">
    <w:name w:val="font141"/>
    <w:basedOn w:val="38"/>
    <w:qFormat/>
    <w:uiPriority w:val="0"/>
  </w:style>
  <w:style w:type="character" w:customStyle="1" w:styleId="80">
    <w:name w:val="HTML 预设格式 Char1"/>
    <w:qFormat/>
    <w:uiPriority w:val="0"/>
    <w:rPr>
      <w:rFonts w:ascii="Courier New" w:hAnsi="Courier New" w:cs="Courier New"/>
      <w:kern w:val="2"/>
    </w:rPr>
  </w:style>
  <w:style w:type="character" w:customStyle="1" w:styleId="81">
    <w:name w:val="small"/>
    <w:basedOn w:val="38"/>
    <w:qFormat/>
    <w:uiPriority w:val="0"/>
  </w:style>
  <w:style w:type="character" w:customStyle="1" w:styleId="82">
    <w:name w:val="正文缩进 Char"/>
    <w:link w:val="7"/>
    <w:qFormat/>
    <w:uiPriority w:val="0"/>
    <w:rPr>
      <w:kern w:val="2"/>
      <w:sz w:val="21"/>
    </w:rPr>
  </w:style>
  <w:style w:type="character" w:customStyle="1" w:styleId="83">
    <w:name w:val="bold1"/>
    <w:qFormat/>
    <w:uiPriority w:val="0"/>
    <w:rPr>
      <w:b/>
      <w:bCs/>
      <w:shd w:val="clear" w:color="auto" w:fill="FFFFFF"/>
    </w:rPr>
  </w:style>
  <w:style w:type="character" w:customStyle="1" w:styleId="84">
    <w:name w:val="标题 2 Char"/>
    <w:qFormat/>
    <w:uiPriority w:val="0"/>
    <w:rPr>
      <w:rFonts w:ascii="Arial" w:hAnsi="Arial" w:eastAsia="黑体"/>
      <w:b/>
      <w:bCs/>
      <w:kern w:val="2"/>
      <w:sz w:val="32"/>
      <w:szCs w:val="32"/>
      <w:lang w:val="en-US" w:eastAsia="zh-CN" w:bidi="ar-SA"/>
    </w:rPr>
  </w:style>
  <w:style w:type="paragraph" w:customStyle="1" w:styleId="85">
    <w:name w:val="Char Char2 Char"/>
    <w:basedOn w:val="1"/>
    <w:qFormat/>
    <w:uiPriority w:val="0"/>
    <w:rPr>
      <w:rFonts w:ascii="宋体" w:hAnsi="宋体"/>
      <w:b/>
      <w:sz w:val="28"/>
      <w:szCs w:val="28"/>
    </w:rPr>
  </w:style>
  <w:style w:type="paragraph" w:customStyle="1" w:styleId="86">
    <w:name w:val="Char Char Char Char Char Char Char Char Char Char"/>
    <w:basedOn w:val="1"/>
    <w:qFormat/>
    <w:uiPriority w:val="0"/>
    <w:rPr>
      <w:rFonts w:ascii="Tahoma" w:hAnsi="Tahoma"/>
      <w:sz w:val="24"/>
      <w:szCs w:val="20"/>
    </w:rPr>
  </w:style>
  <w:style w:type="paragraph" w:customStyle="1" w:styleId="87">
    <w:name w:val="Char Char Char Char Char Char Char"/>
    <w:basedOn w:val="1"/>
    <w:qFormat/>
    <w:uiPriority w:val="0"/>
    <w:pPr>
      <w:tabs>
        <w:tab w:val="left" w:pos="425"/>
      </w:tabs>
      <w:ind w:left="425" w:hanging="425"/>
    </w:pPr>
    <w:rPr>
      <w:rFonts w:eastAsia="仿宋_GB2312"/>
      <w:kern w:val="24"/>
      <w:sz w:val="24"/>
    </w:rPr>
  </w:style>
  <w:style w:type="paragraph" w:customStyle="1" w:styleId="88">
    <w:name w:val="table"/>
    <w:basedOn w:val="1"/>
    <w:qFormat/>
    <w:uiPriority w:val="0"/>
    <w:pPr>
      <w:widowControl/>
      <w:overflowPunct w:val="0"/>
      <w:autoSpaceDE w:val="0"/>
      <w:autoSpaceDN w:val="0"/>
      <w:adjustRightInd w:val="0"/>
      <w:spacing w:before="60" w:after="60"/>
      <w:jc w:val="center"/>
      <w:textAlignment w:val="baseline"/>
    </w:pPr>
    <w:rPr>
      <w:rFonts w:ascii="仿宋体" w:eastAsia="仿宋体"/>
      <w:kern w:val="0"/>
      <w:sz w:val="24"/>
      <w:szCs w:val="20"/>
    </w:rPr>
  </w:style>
  <w:style w:type="paragraph" w:customStyle="1" w:styleId="89">
    <w:name w:val="正文标题"/>
    <w:basedOn w:val="1"/>
    <w:qFormat/>
    <w:uiPriority w:val="0"/>
    <w:pPr>
      <w:spacing w:beforeLines="50" w:afterLines="50" w:line="360" w:lineRule="auto"/>
      <w:ind w:left="105" w:leftChars="50" w:right="105" w:rightChars="50"/>
      <w:jc w:val="center"/>
    </w:pPr>
    <w:rPr>
      <w:b/>
      <w:snapToGrid w:val="0"/>
      <w:spacing w:val="40"/>
      <w:kern w:val="0"/>
      <w:sz w:val="30"/>
      <w:szCs w:val="32"/>
    </w:rPr>
  </w:style>
  <w:style w:type="paragraph" w:customStyle="1" w:styleId="90">
    <w:name w:val="大标题"/>
    <w:basedOn w:val="2"/>
    <w:qFormat/>
    <w:uiPriority w:val="0"/>
    <w:pPr>
      <w:keepNext/>
      <w:spacing w:before="0" w:beforeAutospacing="0" w:after="0" w:afterAutospacing="0" w:line="360" w:lineRule="auto"/>
      <w:jc w:val="center"/>
    </w:pPr>
    <w:rPr>
      <w:rFonts w:hint="default" w:hAnsi="Arial" w:cs="Arial"/>
      <w:bCs/>
      <w:snapToGrid w:val="0"/>
      <w:kern w:val="0"/>
      <w:sz w:val="52"/>
      <w:szCs w:val="72"/>
    </w:rPr>
  </w:style>
  <w:style w:type="paragraph" w:customStyle="1" w:styleId="91">
    <w:name w:val="Char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92">
    <w:name w:val="Char"/>
    <w:basedOn w:val="1"/>
    <w:qFormat/>
    <w:uiPriority w:val="0"/>
    <w:pPr>
      <w:widowControl/>
      <w:spacing w:after="160" w:line="240" w:lineRule="exact"/>
      <w:jc w:val="left"/>
    </w:pPr>
    <w:rPr>
      <w:rFonts w:ascii="Verdana" w:hAnsi="Verdana"/>
      <w:kern w:val="0"/>
      <w:szCs w:val="20"/>
      <w:lang w:eastAsia="en-US"/>
    </w:rPr>
  </w:style>
  <w:style w:type="paragraph" w:customStyle="1" w:styleId="93">
    <w:name w:val="_Style 2"/>
    <w:basedOn w:val="1"/>
    <w:qFormat/>
    <w:uiPriority w:val="34"/>
    <w:pPr>
      <w:ind w:firstLine="420" w:firstLineChars="200"/>
    </w:pPr>
  </w:style>
  <w:style w:type="paragraph" w:customStyle="1" w:styleId="94">
    <w:name w:val="Char Char1"/>
    <w:basedOn w:val="1"/>
    <w:qFormat/>
    <w:uiPriority w:val="0"/>
    <w:rPr>
      <w:rFonts w:ascii="宋体" w:hAnsi="宋体"/>
      <w:b/>
      <w:sz w:val="28"/>
      <w:szCs w:val="28"/>
    </w:rPr>
  </w:style>
  <w:style w:type="paragraph" w:customStyle="1" w:styleId="95">
    <w:name w:val="默认段落字体 Para Char"/>
    <w:basedOn w:val="1"/>
    <w:qFormat/>
    <w:uiPriority w:val="0"/>
    <w:rPr>
      <w:rFonts w:ascii="宋体" w:hAnsi="宋体"/>
      <w:b/>
      <w:sz w:val="28"/>
      <w:szCs w:val="28"/>
    </w:rPr>
  </w:style>
  <w:style w:type="character" w:customStyle="1" w:styleId="96">
    <w:name w:val="标题 Char"/>
    <w:basedOn w:val="38"/>
    <w:link w:val="33"/>
    <w:qFormat/>
    <w:uiPriority w:val="0"/>
    <w:rPr>
      <w:rFonts w:ascii="Arial" w:hAnsi="Arial" w:cs="Arial"/>
      <w:b/>
      <w:bCs/>
      <w:kern w:val="2"/>
      <w:sz w:val="32"/>
      <w:szCs w:val="32"/>
    </w:rPr>
  </w:style>
  <w:style w:type="paragraph" w:customStyle="1" w:styleId="97">
    <w:name w:val="办公自动化专用标题"/>
    <w:basedOn w:val="33"/>
    <w:qFormat/>
    <w:uiPriority w:val="0"/>
    <w:pPr>
      <w:spacing w:line="560" w:lineRule="atLeast"/>
    </w:pPr>
    <w:rPr>
      <w:rFonts w:ascii="宋体" w:cs="Times New Roman"/>
      <w:bCs w:val="0"/>
      <w:sz w:val="44"/>
      <w:szCs w:val="20"/>
    </w:rPr>
  </w:style>
  <w:style w:type="character" w:customStyle="1" w:styleId="98">
    <w:name w:val="正文文本 3 Char"/>
    <w:basedOn w:val="38"/>
    <w:link w:val="11"/>
    <w:qFormat/>
    <w:uiPriority w:val="0"/>
    <w:rPr>
      <w:kern w:val="2"/>
      <w:sz w:val="16"/>
      <w:szCs w:val="16"/>
    </w:rPr>
  </w:style>
  <w:style w:type="paragraph" w:customStyle="1" w:styleId="99">
    <w:name w:val="_Style 1"/>
    <w:basedOn w:val="1"/>
    <w:qFormat/>
    <w:uiPriority w:val="34"/>
    <w:pPr>
      <w:ind w:firstLine="420" w:firstLineChars="200"/>
    </w:pPr>
  </w:style>
  <w:style w:type="paragraph" w:customStyle="1" w:styleId="100">
    <w:name w:val="p0"/>
    <w:basedOn w:val="1"/>
    <w:qFormat/>
    <w:uiPriority w:val="0"/>
    <w:pPr>
      <w:widowControl/>
    </w:pPr>
    <w:rPr>
      <w:kern w:val="0"/>
      <w:szCs w:val="21"/>
    </w:rPr>
  </w:style>
  <w:style w:type="paragraph" w:customStyle="1" w:styleId="101">
    <w:name w:val="Char Char1 Char Char Char Char Char Char"/>
    <w:basedOn w:val="1"/>
    <w:qFormat/>
    <w:uiPriority w:val="0"/>
    <w:pPr>
      <w:widowControl/>
      <w:adjustRightInd w:val="0"/>
      <w:snapToGrid w:val="0"/>
      <w:spacing w:beforeLines="25" w:afterLines="25" w:line="240" w:lineRule="exact"/>
      <w:ind w:firstLine="560" w:firstLineChars="192"/>
      <w:jc w:val="left"/>
    </w:pPr>
    <w:rPr>
      <w:szCs w:val="20"/>
    </w:rPr>
  </w:style>
  <w:style w:type="paragraph" w:customStyle="1" w:styleId="102">
    <w:name w:val="HLegal 2"/>
    <w:basedOn w:val="1"/>
    <w:qFormat/>
    <w:uiPriority w:val="0"/>
    <w:pPr>
      <w:widowControl/>
      <w:spacing w:beforeLines="50" w:afterLines="50" w:line="300" w:lineRule="auto"/>
      <w:ind w:left="1" w:hanging="1"/>
      <w:jc w:val="left"/>
    </w:pPr>
    <w:rPr>
      <w:rFonts w:ascii="宋体" w:hAnsi="宋体" w:cs="宋体"/>
      <w:bCs/>
      <w:kern w:val="0"/>
      <w:sz w:val="24"/>
      <w:lang w:val="en-GB"/>
    </w:rPr>
  </w:style>
  <w:style w:type="character" w:customStyle="1" w:styleId="103">
    <w:name w:val="正文文本 Char"/>
    <w:basedOn w:val="38"/>
    <w:link w:val="12"/>
    <w:qFormat/>
    <w:uiPriority w:val="0"/>
    <w:rPr>
      <w:kern w:val="2"/>
      <w:sz w:val="21"/>
    </w:rPr>
  </w:style>
  <w:style w:type="paragraph" w:customStyle="1" w:styleId="104">
    <w:name w:val="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105">
    <w:name w:val="题注4"/>
    <w:basedOn w:val="1"/>
    <w:next w:val="8"/>
    <w:qFormat/>
    <w:uiPriority w:val="0"/>
    <w:pPr>
      <w:ind w:left="-132" w:leftChars="-64" w:right="-105" w:rightChars="-50" w:hanging="2"/>
      <w:jc w:val="center"/>
    </w:pPr>
    <w:rPr>
      <w:b/>
      <w:color w:val="FF0000"/>
      <w:szCs w:val="21"/>
      <w:lang w:val="en-GB"/>
    </w:rPr>
  </w:style>
  <w:style w:type="paragraph" w:customStyle="1" w:styleId="106">
    <w:name w:val="Char Char Char Char Char"/>
    <w:basedOn w:val="1"/>
    <w:qFormat/>
    <w:uiPriority w:val="0"/>
    <w:pPr>
      <w:widowControl/>
      <w:spacing w:after="160" w:line="240" w:lineRule="exact"/>
      <w:jc w:val="left"/>
    </w:pPr>
    <w:rPr>
      <w:rFonts w:ascii="Verdana" w:hAnsi="Verdana"/>
      <w:kern w:val="0"/>
      <w:szCs w:val="20"/>
      <w:lang w:eastAsia="en-US"/>
    </w:rPr>
  </w:style>
  <w:style w:type="paragraph" w:customStyle="1" w:styleId="107">
    <w:name w:val="默认段落字体 Para Char Char Char Char"/>
    <w:basedOn w:val="1"/>
    <w:qFormat/>
    <w:uiPriority w:val="0"/>
    <w:pPr>
      <w:spacing w:line="360" w:lineRule="auto"/>
      <w:ind w:firstLine="200" w:firstLineChars="200"/>
    </w:pPr>
    <w:rPr>
      <w:rFonts w:ascii="宋体" w:hAnsi="宋体" w:cs="宋体"/>
      <w:sz w:val="24"/>
    </w:rPr>
  </w:style>
  <w:style w:type="character" w:customStyle="1" w:styleId="108">
    <w:name w:val="正文文本缩进 Char"/>
    <w:basedOn w:val="38"/>
    <w:link w:val="13"/>
    <w:qFormat/>
    <w:uiPriority w:val="0"/>
    <w:rPr>
      <w:rFonts w:ascii="仿宋_GB2312" w:eastAsia="仿宋_GB2312"/>
      <w:kern w:val="2"/>
      <w:sz w:val="32"/>
    </w:rPr>
  </w:style>
  <w:style w:type="character" w:customStyle="1" w:styleId="109">
    <w:name w:val="正文文本缩进 3 Char"/>
    <w:basedOn w:val="38"/>
    <w:link w:val="27"/>
    <w:qFormat/>
    <w:uiPriority w:val="0"/>
    <w:rPr>
      <w:kern w:val="2"/>
      <w:sz w:val="21"/>
    </w:rPr>
  </w:style>
  <w:style w:type="paragraph" w:customStyle="1" w:styleId="110">
    <w:name w:val="xl25"/>
    <w:basedOn w:val="1"/>
    <w:qFormat/>
    <w:uiPriority w:val="0"/>
    <w:pPr>
      <w:widowControl/>
      <w:pBdr>
        <w:bottom w:val="single" w:color="auto" w:sz="4" w:space="0"/>
        <w:right w:val="single" w:color="auto" w:sz="4" w:space="0"/>
      </w:pBdr>
      <w:spacing w:before="100" w:beforeAutospacing="1" w:after="100" w:afterAutospacing="1"/>
      <w:jc w:val="center"/>
    </w:pPr>
    <w:rPr>
      <w:rFonts w:ascii="宋体" w:hAnsi="宋体"/>
      <w:kern w:val="0"/>
      <w:szCs w:val="21"/>
    </w:rPr>
  </w:style>
  <w:style w:type="paragraph" w:customStyle="1" w:styleId="111">
    <w:name w:val="xl29"/>
    <w:basedOn w:val="1"/>
    <w:qFormat/>
    <w:uiPriority w:val="0"/>
    <w:pPr>
      <w:widowControl/>
      <w:spacing w:before="100" w:beforeAutospacing="1" w:after="100" w:afterAutospacing="1"/>
      <w:jc w:val="center"/>
    </w:pPr>
    <w:rPr>
      <w:rFonts w:ascii="宋体" w:hAnsi="宋体"/>
      <w:kern w:val="0"/>
      <w:sz w:val="28"/>
      <w:szCs w:val="28"/>
    </w:rPr>
  </w:style>
  <w:style w:type="paragraph" w:customStyle="1" w:styleId="112">
    <w:name w:val="图"/>
    <w:basedOn w:val="1"/>
    <w:qFormat/>
    <w:uiPriority w:val="0"/>
    <w:pPr>
      <w:keepNext/>
      <w:adjustRightInd w:val="0"/>
      <w:spacing w:before="60" w:after="60" w:line="300" w:lineRule="auto"/>
      <w:jc w:val="center"/>
      <w:textAlignment w:val="center"/>
    </w:pPr>
    <w:rPr>
      <w:snapToGrid w:val="0"/>
      <w:spacing w:val="20"/>
      <w:kern w:val="0"/>
      <w:sz w:val="24"/>
      <w:szCs w:val="20"/>
    </w:rPr>
  </w:style>
  <w:style w:type="paragraph" w:customStyle="1" w:styleId="113">
    <w:name w:val="表头"/>
    <w:basedOn w:val="8"/>
    <w:qFormat/>
    <w:uiPriority w:val="0"/>
    <w:pPr>
      <w:keepNext/>
      <w:keepLines/>
      <w:widowControl/>
      <w:spacing w:before="120" w:after="120" w:line="300" w:lineRule="auto"/>
      <w:jc w:val="center"/>
      <w:textAlignment w:val="baseline"/>
    </w:pPr>
    <w:rPr>
      <w:rFonts w:cs="Times New Roman"/>
      <w:kern w:val="0"/>
      <w:sz w:val="21"/>
    </w:rPr>
  </w:style>
  <w:style w:type="character" w:customStyle="1" w:styleId="114">
    <w:name w:val="正文首行缩进 Char"/>
    <w:basedOn w:val="103"/>
    <w:link w:val="35"/>
    <w:qFormat/>
    <w:uiPriority w:val="0"/>
    <w:rPr>
      <w:kern w:val="2"/>
      <w:sz w:val="21"/>
      <w:szCs w:val="24"/>
    </w:rPr>
  </w:style>
  <w:style w:type="paragraph" w:customStyle="1" w:styleId="115">
    <w:name w:val="普通 (Web)"/>
    <w:basedOn w:val="1"/>
    <w:qFormat/>
    <w:uiPriority w:val="0"/>
    <w:pPr>
      <w:widowControl/>
      <w:spacing w:before="100" w:beforeAutospacing="1" w:after="100" w:afterAutospacing="1"/>
      <w:jc w:val="left"/>
    </w:pPr>
    <w:rPr>
      <w:rFonts w:ascii="宋体" w:hAnsi="宋体"/>
      <w:kern w:val="0"/>
      <w:sz w:val="24"/>
      <w:szCs w:val="20"/>
    </w:rPr>
  </w:style>
  <w:style w:type="paragraph" w:customStyle="1" w:styleId="116">
    <w:name w:val="题注5"/>
    <w:basedOn w:val="1"/>
    <w:next w:val="8"/>
    <w:qFormat/>
    <w:uiPriority w:val="0"/>
    <w:pPr>
      <w:jc w:val="center"/>
    </w:pPr>
    <w:rPr>
      <w:b/>
      <w:color w:val="000000"/>
      <w:sz w:val="24"/>
      <w:szCs w:val="21"/>
    </w:rPr>
  </w:style>
  <w:style w:type="paragraph" w:customStyle="1" w:styleId="117">
    <w:name w:val="修订1"/>
    <w:hidden/>
    <w:unhideWhenUsed/>
    <w:qFormat/>
    <w:uiPriority w:val="99"/>
    <w:rPr>
      <w:rFonts w:ascii="Calibri" w:hAnsi="Calibri" w:eastAsia="宋体" w:cs="Times New Roman"/>
      <w:kern w:val="2"/>
      <w:sz w:val="21"/>
      <w:szCs w:val="24"/>
      <w:lang w:val="en-US" w:eastAsia="zh-CN" w:bidi="ar-SA"/>
    </w:rPr>
  </w:style>
  <w:style w:type="character" w:customStyle="1" w:styleId="118">
    <w:name w:val="页眉 字符1"/>
    <w:basedOn w:val="38"/>
    <w:semiHidden/>
    <w:qFormat/>
    <w:uiPriority w:val="99"/>
    <w:rPr>
      <w:kern w:val="2"/>
      <w:sz w:val="18"/>
      <w:szCs w:val="18"/>
    </w:rPr>
  </w:style>
  <w:style w:type="character" w:customStyle="1" w:styleId="119">
    <w:name w:val="页脚 字符1"/>
    <w:basedOn w:val="38"/>
    <w:semiHidden/>
    <w:qFormat/>
    <w:uiPriority w:val="99"/>
    <w:rPr>
      <w:kern w:val="2"/>
      <w:sz w:val="18"/>
      <w:szCs w:val="18"/>
    </w:rPr>
  </w:style>
  <w:style w:type="character" w:customStyle="1" w:styleId="120">
    <w:name w:val="批注框文本 字符1"/>
    <w:basedOn w:val="38"/>
    <w:semiHidden/>
    <w:qFormat/>
    <w:uiPriority w:val="99"/>
    <w:rPr>
      <w:kern w:val="2"/>
      <w:sz w:val="18"/>
      <w:szCs w:val="18"/>
    </w:rPr>
  </w:style>
  <w:style w:type="table" w:customStyle="1" w:styleId="121">
    <w:name w:val="网格型2"/>
    <w:basedOn w:val="36"/>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122">
    <w:name w:val="普通文字1 Char"/>
    <w:qFormat/>
    <w:uiPriority w:val="0"/>
    <w:rPr>
      <w:rFonts w:ascii="宋体" w:hAnsi="Courier New" w:eastAsia="宋体" w:cs="Courier New"/>
      <w:kern w:val="2"/>
      <w:sz w:val="21"/>
      <w:szCs w:val="21"/>
      <w:lang w:val="en-US" w:eastAsia="zh-CN" w:bidi="ar-SA"/>
    </w:rPr>
  </w:style>
  <w:style w:type="table" w:customStyle="1" w:styleId="123">
    <w:name w:val="网格型3"/>
    <w:basedOn w:val="36"/>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24">
    <w:name w:val="网格型11"/>
    <w:basedOn w:val="36"/>
    <w:qFormat/>
    <w:uiPriority w:val="59"/>
    <w:rPr>
      <w:rFonts w:ascii="Calibri" w:hAnsi="Calibri"/>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125">
    <w:name w:val="_Style 95"/>
    <w:basedOn w:val="1"/>
    <w:next w:val="59"/>
    <w:qFormat/>
    <w:uiPriority w:val="0"/>
    <w:pPr>
      <w:ind w:firstLine="420" w:firstLineChars="200"/>
    </w:pPr>
    <w:rPr>
      <w:rFonts w:ascii="Calibri" w:hAnsi="Calibri"/>
      <w:szCs w:val="22"/>
    </w:rPr>
  </w:style>
  <w:style w:type="character" w:customStyle="1" w:styleId="126">
    <w:name w:val="正文文本 2 Char"/>
    <w:basedOn w:val="38"/>
    <w:link w:val="30"/>
    <w:qFormat/>
    <w:uiPriority w:val="0"/>
    <w:rPr>
      <w:kern w:val="2"/>
      <w:sz w:val="21"/>
      <w:szCs w:val="24"/>
    </w:rPr>
  </w:style>
  <w:style w:type="character" w:customStyle="1" w:styleId="127">
    <w:name w:val="NormalCharacter"/>
    <w:semiHidden/>
    <w:qFormat/>
    <w:uiPriority w:val="0"/>
    <w:rPr>
      <w:rFonts w:ascii="Calibri" w:hAnsi="Calibri"/>
      <w:kern w:val="2"/>
      <w:sz w:val="21"/>
      <w:szCs w:val="22"/>
      <w:lang w:val="en-US" w:eastAsia="zh-CN" w:bidi="ar-SA"/>
    </w:rPr>
  </w:style>
  <w:style w:type="paragraph" w:customStyle="1" w:styleId="128">
    <w:name w:val="UserStyle_0"/>
    <w:basedOn w:val="1"/>
    <w:qFormat/>
    <w:uiPriority w:val="0"/>
    <w:pPr>
      <w:jc w:val="left"/>
      <w:textAlignment w:val="baseline"/>
    </w:pPr>
    <w:rPr>
      <w:bCs/>
      <w:spacing w:val="10"/>
      <w:kern w:val="0"/>
      <w:sz w:val="24"/>
      <w:szCs w:val="20"/>
    </w:rPr>
  </w:style>
  <w:style w:type="paragraph" w:customStyle="1" w:styleId="129">
    <w:name w:val="正文_0"/>
    <w:qFormat/>
    <w:uiPriority w:val="0"/>
    <w:rPr>
      <w:rFonts w:ascii="Times New Roman" w:hAnsi="Times New Roman" w:eastAsia="宋体" w:cs="Times New Roman"/>
      <w:sz w:val="21"/>
      <w:szCs w:val="22"/>
      <w:lang w:val="en-US" w:eastAsia="zh-CN" w:bidi="ar-SA"/>
    </w:rPr>
  </w:style>
  <w:style w:type="paragraph" w:customStyle="1" w:styleId="130">
    <w:name w:val="修订2"/>
    <w:hidden/>
    <w:semiHidden/>
    <w:qFormat/>
    <w:uiPriority w:val="99"/>
    <w:rPr>
      <w:rFonts w:ascii="Times New Roman" w:hAnsi="Times New Roman" w:eastAsia="宋体" w:cs="Times New Roman"/>
      <w:kern w:val="2"/>
      <w:sz w:val="21"/>
      <w:szCs w:val="24"/>
      <w:lang w:val="en-US" w:eastAsia="zh-CN" w:bidi="ar-SA"/>
    </w:rPr>
  </w:style>
  <w:style w:type="paragraph" w:customStyle="1" w:styleId="131">
    <w:name w:val="正文2"/>
    <w:qFormat/>
    <w:uiPriority w:val="0"/>
    <w:pPr>
      <w:widowControl w:val="0"/>
      <w:jc w:val="both"/>
    </w:pPr>
    <w:rPr>
      <w:rFonts w:hint="eastAsia" w:ascii="Calibri" w:hAnsi="Calibri" w:eastAsia="宋体" w:cs="Times New Roman"/>
      <w:kern w:val="2"/>
      <w:sz w:val="21"/>
      <w:szCs w:val="22"/>
      <w:lang w:val="en-US" w:eastAsia="zh-CN" w:bidi="ar-SA"/>
    </w:rPr>
  </w:style>
  <w:style w:type="paragraph" w:customStyle="1" w:styleId="132">
    <w:name w:val="纯文本2"/>
    <w:basedOn w:val="1"/>
    <w:qFormat/>
    <w:uiPriority w:val="0"/>
    <w:rPr>
      <w:rFonts w:ascii="宋体" w:hAnsi="Courier New" w:cs="Courier New"/>
      <w:szCs w:val="21"/>
    </w:rPr>
  </w:style>
  <w:style w:type="paragraph" w:customStyle="1" w:styleId="133">
    <w:name w:val="正文_1"/>
    <w:next w:val="134"/>
    <w:qFormat/>
    <w:uiPriority w:val="0"/>
    <w:rPr>
      <w:rFonts w:ascii="Times New Roman" w:hAnsi="Times New Roman" w:eastAsia="宋体" w:cs="Times New Roman"/>
      <w:sz w:val="21"/>
      <w:lang w:val="en-US" w:eastAsia="zh-CN" w:bidi="ar-SA"/>
    </w:rPr>
  </w:style>
  <w:style w:type="paragraph" w:customStyle="1" w:styleId="134">
    <w:name w:val="正文文本_1"/>
    <w:qFormat/>
    <w:uiPriority w:val="0"/>
    <w:pPr>
      <w:widowControl w:val="0"/>
      <w:spacing w:after="120" w:line="276" w:lineRule="auto"/>
      <w:jc w:val="both"/>
    </w:pPr>
    <w:rPr>
      <w:rFonts w:ascii="Times New Roman" w:hAnsi="Times New Roman" w:eastAsia="宋体" w:cs="Times New Roman"/>
      <w:kern w:val="2"/>
      <w:sz w:val="21"/>
      <w:lang w:val="en-US" w:eastAsia="zh-CN" w:bidi="ar-SA"/>
    </w:rPr>
  </w:style>
  <w:style w:type="paragraph" w:customStyle="1" w:styleId="135">
    <w:name w:val="列表段落2"/>
    <w:basedOn w:val="1"/>
    <w:qFormat/>
    <w:uiPriority w:val="34"/>
    <w:pPr>
      <w:ind w:firstLine="420" w:firstLineChars="200"/>
    </w:pPr>
  </w:style>
  <w:style w:type="paragraph" w:customStyle="1" w:styleId="136">
    <w:name w:val="列出段落11"/>
    <w:basedOn w:val="1"/>
    <w:qFormat/>
    <w:uiPriority w:val="34"/>
    <w:pPr>
      <w:ind w:firstLine="420" w:firstLineChars="200"/>
    </w:pPr>
    <w:rPr>
      <w:rFonts w:ascii="Calibri" w:hAnsi="Calibri" w:cs="宋体"/>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numbering" Target="numbering.xml"/><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1B3E381-0064-4D27-AA72-B483A80A8B92}">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16</Pages>
  <Words>9171</Words>
  <Characters>9293</Characters>
  <Lines>69</Lines>
  <Paragraphs>19</Paragraphs>
  <TotalTime>4</TotalTime>
  <ScaleCrop>false</ScaleCrop>
  <LinksUpToDate>false</LinksUpToDate>
  <CharactersWithSpaces>9598</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2022-04-28T06:53:00Z</dcterms:created>
  <dc:creator>Administrator</dc:creator>
  <cp:lastModifiedBy>代理机构</cp:lastModifiedBy>
  <cp:lastPrinted>2024-07-16T02:23:00Z</cp:lastPrinted>
  <dcterms:modified xsi:type="dcterms:W3CDTF">2024-07-17T01:57:00Z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34602F8AAA01433A9DF84DBF4912AC73_13</vt:lpwstr>
  </property>
</Properties>
</file>