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0"/>
        <w:snapToGrid w:val="0"/>
        <w:spacing w:beforeLines="50"/>
        <w:jc w:val="center"/>
        <w:rPr>
          <w:rFonts w:ascii="宋体" w:hAnsi="宋体" w:cs="Calibri"/>
          <w:b/>
          <w:sz w:val="84"/>
          <w:szCs w:val="84"/>
        </w:rPr>
      </w:pPr>
    </w:p>
    <w:p>
      <w:pPr>
        <w:pStyle w:val="50"/>
        <w:snapToGrid w:val="0"/>
        <w:spacing w:beforeLines="50"/>
        <w:jc w:val="center"/>
        <w:rPr>
          <w:rFonts w:ascii="宋体" w:hAnsi="宋体" w:cs="Calibri"/>
          <w:b/>
          <w:sz w:val="84"/>
          <w:szCs w:val="84"/>
        </w:rPr>
      </w:pPr>
    </w:p>
    <w:p>
      <w:pPr>
        <w:pStyle w:val="50"/>
        <w:snapToGrid w:val="0"/>
        <w:spacing w:beforeLines="50"/>
        <w:jc w:val="center"/>
        <w:rPr>
          <w:rFonts w:ascii="仿宋_GB2312" w:hAnsi="仿宋_GB2312"/>
          <w:b/>
          <w:bCs/>
          <w:sz w:val="84"/>
          <w:szCs w:val="84"/>
        </w:rPr>
      </w:pPr>
      <w:r>
        <w:rPr>
          <w:rFonts w:hint="eastAsia" w:ascii="宋体" w:hAnsi="宋体" w:cs="Calibri"/>
          <w:b/>
          <w:sz w:val="84"/>
          <w:szCs w:val="84"/>
        </w:rPr>
        <w:t>竞价文件</w:t>
      </w:r>
    </w:p>
    <w:p>
      <w:pPr>
        <w:pStyle w:val="50"/>
        <w:spacing w:line="360" w:lineRule="auto"/>
        <w:jc w:val="center"/>
        <w:rPr>
          <w:rFonts w:ascii="宋体" w:hAnsi="宋体" w:cs="Calibri"/>
          <w:b/>
          <w:bCs/>
          <w:sz w:val="24"/>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jc w:val="left"/>
        <w:rPr>
          <w:rFonts w:ascii="宋体" w:hAnsi="宋体" w:cs="Calibri"/>
          <w:b/>
          <w:bCs/>
          <w:sz w:val="28"/>
          <w:szCs w:val="32"/>
        </w:rPr>
      </w:pPr>
      <w:r>
        <w:rPr>
          <w:rFonts w:hint="eastAsia" w:ascii="宋体" w:hAnsi="宋体" w:cs="Calibri"/>
          <w:b/>
          <w:bCs/>
          <w:sz w:val="28"/>
          <w:szCs w:val="32"/>
        </w:rPr>
        <w:t>采购方式：线上竞价</w:t>
      </w:r>
    </w:p>
    <w:p>
      <w:pPr>
        <w:widowControl/>
        <w:ind w:left="1405" w:hanging="1405" w:hangingChars="500"/>
        <w:jc w:val="left"/>
        <w:rPr>
          <w:rFonts w:hint="eastAsia" w:ascii="宋体" w:hAnsi="宋体" w:eastAsia="宋体" w:cs="Calibri"/>
          <w:b/>
          <w:bCs/>
          <w:sz w:val="28"/>
          <w:szCs w:val="32"/>
          <w:lang w:eastAsia="zh-CN"/>
        </w:rPr>
      </w:pPr>
      <w:r>
        <w:rPr>
          <w:rFonts w:hint="eastAsia" w:ascii="宋体" w:hAnsi="宋体" w:cs="Calibri"/>
          <w:b/>
          <w:bCs/>
          <w:sz w:val="28"/>
          <w:szCs w:val="32"/>
        </w:rPr>
        <w:t>项目名称：</w:t>
      </w:r>
      <w:bookmarkStart w:id="0" w:name="_Hlk48529998"/>
      <w:r>
        <w:rPr>
          <w:rFonts w:hint="eastAsia" w:ascii="宋体" w:hAnsi="宋体" w:cs="Calibri"/>
          <w:b/>
          <w:bCs/>
          <w:sz w:val="28"/>
          <w:szCs w:val="32"/>
          <w:lang w:eastAsia="zh-CN"/>
        </w:rPr>
        <w:t>禅城分公司2024-2025年分前端机房、营业厅及办公场所空调维保维修资格采购项目（第二次竞价）</w:t>
      </w:r>
    </w:p>
    <w:p>
      <w:pPr>
        <w:pStyle w:val="50"/>
        <w:tabs>
          <w:tab w:val="left" w:pos="2790"/>
        </w:tabs>
        <w:spacing w:line="360" w:lineRule="auto"/>
        <w:ind w:left="1405" w:hanging="1405" w:hangingChars="500"/>
        <w:jc w:val="left"/>
        <w:rPr>
          <w:rFonts w:hint="eastAsia" w:ascii="宋体" w:hAnsi="宋体" w:eastAsia="宋体" w:cs="Calibri"/>
          <w:b/>
          <w:bCs/>
          <w:sz w:val="28"/>
          <w:szCs w:val="32"/>
          <w:lang w:val="en-US" w:eastAsia="zh-CN"/>
        </w:rPr>
      </w:pPr>
      <w:r>
        <w:rPr>
          <w:rFonts w:hint="eastAsia" w:ascii="宋体" w:hAnsi="宋体" w:cs="Calibri"/>
          <w:b/>
          <w:bCs/>
          <w:sz w:val="28"/>
          <w:szCs w:val="32"/>
        </w:rPr>
        <w:t>项目编号：</w:t>
      </w:r>
      <w:bookmarkEnd w:id="0"/>
      <w:r>
        <w:rPr>
          <w:rFonts w:ascii="宋体" w:hAnsi="宋体"/>
          <w:b/>
          <w:bCs/>
          <w:color w:val="000000"/>
          <w:sz w:val="28"/>
          <w:szCs w:val="28"/>
        </w:rPr>
        <w:t>FSCC</w:t>
      </w:r>
      <w:r>
        <w:rPr>
          <w:rFonts w:hint="eastAsia" w:ascii="宋体" w:hAnsi="宋体"/>
          <w:b/>
          <w:bCs/>
          <w:color w:val="000000"/>
          <w:sz w:val="28"/>
          <w:szCs w:val="28"/>
        </w:rPr>
        <w:t>2024-0141</w:t>
      </w:r>
      <w:r>
        <w:rPr>
          <w:rFonts w:hint="eastAsia" w:ascii="宋体" w:hAnsi="宋体"/>
          <w:b/>
          <w:bCs/>
          <w:color w:val="000000"/>
          <w:sz w:val="28"/>
          <w:szCs w:val="28"/>
          <w:lang w:val="en-US" w:eastAsia="zh-CN"/>
        </w:rPr>
        <w:t>A</w:t>
      </w:r>
    </w:p>
    <w:p>
      <w:pPr>
        <w:pStyle w:val="50"/>
        <w:autoSpaceDE w:val="0"/>
        <w:autoSpaceDN w:val="0"/>
        <w:adjustRightInd w:val="0"/>
        <w:snapToGrid w:val="0"/>
        <w:spacing w:beforeLines="50" w:afterLines="50" w:line="360" w:lineRule="auto"/>
        <w:jc w:val="center"/>
        <w:rPr>
          <w:rFonts w:ascii="黑体" w:hAnsi="华文中宋" w:eastAsia="黑体" w:cs="华文中宋"/>
          <w:kern w:val="0"/>
          <w:sz w:val="30"/>
          <w:szCs w:val="30"/>
        </w:rPr>
      </w:pPr>
    </w:p>
    <w:p>
      <w:pPr>
        <w:pStyle w:val="50"/>
        <w:autoSpaceDE w:val="0"/>
        <w:autoSpaceDN w:val="0"/>
        <w:adjustRightInd w:val="0"/>
        <w:snapToGrid w:val="0"/>
        <w:spacing w:beforeLines="50" w:afterLines="50" w:line="360" w:lineRule="auto"/>
        <w:jc w:val="left"/>
        <w:rPr>
          <w:rFonts w:ascii="黑体" w:hAnsi="华文中宋" w:eastAsia="黑体" w:cs="华文中宋"/>
          <w:kern w:val="0"/>
          <w:sz w:val="30"/>
          <w:szCs w:val="30"/>
        </w:rPr>
      </w:pPr>
    </w:p>
    <w:p>
      <w:pPr>
        <w:pStyle w:val="50"/>
        <w:autoSpaceDE w:val="0"/>
        <w:autoSpaceDN w:val="0"/>
        <w:adjustRightInd w:val="0"/>
        <w:snapToGrid w:val="0"/>
        <w:spacing w:line="360" w:lineRule="auto"/>
        <w:ind w:left="420" w:firstLine="420"/>
        <w:jc w:val="center"/>
        <w:rPr>
          <w:rFonts w:ascii="仿宋_GB2312" w:hAnsi="仿宋_GB2312" w:cs="Calibri"/>
          <w:b/>
          <w:bCs/>
          <w:sz w:val="28"/>
          <w:szCs w:val="32"/>
        </w:rPr>
      </w:pPr>
      <w:r>
        <w:rPr>
          <w:rFonts w:hint="eastAsia" w:ascii="仿宋_GB2312" w:hAnsi="仿宋_GB2312" w:cs="Calibri"/>
          <w:b/>
          <w:bCs/>
          <w:sz w:val="28"/>
          <w:szCs w:val="32"/>
        </w:rPr>
        <w:t>广东省广播电视网络股份有限公司禅城分公司</w:t>
      </w:r>
    </w:p>
    <w:p>
      <w:pPr>
        <w:pStyle w:val="50"/>
        <w:autoSpaceDE w:val="0"/>
        <w:autoSpaceDN w:val="0"/>
        <w:adjustRightInd w:val="0"/>
        <w:snapToGrid w:val="0"/>
        <w:spacing w:line="360" w:lineRule="auto"/>
        <w:ind w:left="420" w:firstLine="420"/>
        <w:jc w:val="center"/>
        <w:rPr>
          <w:rFonts w:ascii="仿宋_GB2312" w:hAnsi="仿宋_GB2312" w:cs="Calibri"/>
          <w:b/>
          <w:bCs/>
          <w:sz w:val="28"/>
          <w:szCs w:val="32"/>
        </w:rPr>
      </w:pPr>
      <w:r>
        <w:rPr>
          <w:rFonts w:hint="eastAsia" w:ascii="仿宋_GB2312" w:hAnsi="仿宋_GB2312" w:cs="Calibri"/>
          <w:b/>
          <w:bCs/>
          <w:sz w:val="28"/>
          <w:szCs w:val="32"/>
        </w:rPr>
        <w:t>采联国际招标采购集团有限公司</w:t>
      </w:r>
    </w:p>
    <w:p>
      <w:pPr>
        <w:pStyle w:val="50"/>
        <w:autoSpaceDE w:val="0"/>
        <w:autoSpaceDN w:val="0"/>
        <w:adjustRightInd w:val="0"/>
        <w:snapToGrid w:val="0"/>
        <w:spacing w:line="360" w:lineRule="auto"/>
        <w:ind w:left="420" w:firstLine="420"/>
        <w:jc w:val="center"/>
        <w:rPr>
          <w:rFonts w:ascii="仿宋_GB2312" w:hAnsi="仿宋_GB2312" w:cs="Calibri"/>
          <w:b/>
          <w:sz w:val="28"/>
          <w:szCs w:val="22"/>
        </w:rPr>
      </w:pPr>
      <w:r>
        <w:rPr>
          <w:rFonts w:hint="eastAsia" w:ascii="仿宋_GB2312" w:hAnsi="仿宋_GB2312" w:cs="Calibri"/>
          <w:b/>
          <w:sz w:val="28"/>
          <w:szCs w:val="21"/>
        </w:rPr>
        <w:t>二零二四年</w:t>
      </w:r>
      <w:r>
        <w:rPr>
          <w:rFonts w:hint="eastAsia" w:ascii="仿宋_GB2312" w:hAnsi="仿宋_GB2312" w:cs="Calibri"/>
          <w:b/>
          <w:sz w:val="28"/>
          <w:szCs w:val="21"/>
          <w:lang w:val="en-US" w:eastAsia="zh-CN"/>
        </w:rPr>
        <w:t>七</w:t>
      </w:r>
      <w:r>
        <w:rPr>
          <w:rFonts w:hint="eastAsia" w:ascii="仿宋_GB2312" w:hAnsi="仿宋_GB2312" w:cs="Calibri"/>
          <w:b/>
          <w:sz w:val="28"/>
          <w:szCs w:val="21"/>
        </w:rPr>
        <w:t>月</w:t>
      </w:r>
    </w:p>
    <w:p>
      <w:pPr>
        <w:pStyle w:val="50"/>
        <w:autoSpaceDE w:val="0"/>
        <w:autoSpaceDN w:val="0"/>
        <w:adjustRightInd w:val="0"/>
        <w:snapToGrid w:val="0"/>
        <w:spacing w:line="360" w:lineRule="auto"/>
        <w:ind w:left="420" w:firstLine="420"/>
        <w:jc w:val="center"/>
        <w:rPr>
          <w:rFonts w:ascii="仿宋_GB2312" w:hAnsi="仿宋_GB2312" w:cs="Calibri"/>
          <w:sz w:val="28"/>
          <w:szCs w:val="21"/>
        </w:rPr>
      </w:pPr>
    </w:p>
    <w:p>
      <w:pPr>
        <w:jc w:val="center"/>
        <w:outlineLvl w:val="0"/>
        <w:rPr>
          <w:rFonts w:ascii="Cambria" w:hAnsi="Cambria" w:cs="宋体"/>
          <w:b/>
          <w:bCs/>
          <w:sz w:val="32"/>
          <w:szCs w:val="32"/>
        </w:rPr>
      </w:pPr>
      <w:r>
        <w:rPr>
          <w:rFonts w:ascii="Calibri" w:hAnsi="Calibri"/>
          <w:b/>
          <w:sz w:val="44"/>
          <w:szCs w:val="44"/>
        </w:rPr>
        <w:br w:type="page"/>
      </w:r>
      <w:r>
        <w:rPr>
          <w:rFonts w:hint="eastAsia" w:ascii="Cambria" w:hAnsi="Cambria" w:cs="宋体"/>
          <w:b/>
          <w:bCs/>
          <w:sz w:val="32"/>
          <w:szCs w:val="32"/>
        </w:rPr>
        <w:t>第一章</w:t>
      </w:r>
      <w:r>
        <w:rPr>
          <w:rFonts w:ascii="Cambria" w:hAnsi="Cambria" w:cs="宋体"/>
          <w:b/>
          <w:bCs/>
          <w:sz w:val="32"/>
          <w:szCs w:val="32"/>
        </w:rPr>
        <w:t xml:space="preserve"> </w:t>
      </w:r>
      <w:r>
        <w:rPr>
          <w:rFonts w:hint="eastAsia" w:ascii="Cambria" w:hAnsi="Cambria" w:cs="宋体"/>
          <w:b/>
          <w:bCs/>
          <w:sz w:val="32"/>
          <w:szCs w:val="32"/>
        </w:rPr>
        <w:t>竞价须知</w:t>
      </w:r>
    </w:p>
    <w:p>
      <w:pPr>
        <w:numPr>
          <w:ilvl w:val="0"/>
          <w:numId w:val="1"/>
        </w:numPr>
        <w:spacing w:line="360" w:lineRule="auto"/>
        <w:rPr>
          <w:rFonts w:ascii="宋体" w:hAnsi="宋体"/>
          <w:szCs w:val="21"/>
        </w:rPr>
      </w:pPr>
      <w:r>
        <w:rPr>
          <w:rFonts w:hint="eastAsia" w:ascii="宋体" w:hAnsi="宋体" w:cs="宋体"/>
          <w:szCs w:val="21"/>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szCs w:val="21"/>
        </w:rPr>
      </w:pPr>
      <w:r>
        <w:rPr>
          <w:rFonts w:hint="eastAsia" w:ascii="宋体" w:hAnsi="宋体"/>
          <w:szCs w:val="21"/>
        </w:rPr>
        <w:t>语言要求</w:t>
      </w:r>
    </w:p>
    <w:p>
      <w:pPr>
        <w:spacing w:line="360" w:lineRule="auto"/>
        <w:ind w:left="420"/>
        <w:rPr>
          <w:rFonts w:ascii="宋体" w:hAnsi="宋体"/>
          <w:szCs w:val="21"/>
        </w:rPr>
      </w:pPr>
      <w:r>
        <w:rPr>
          <w:rFonts w:hint="eastAsia" w:ascii="宋体" w:hAnsi="宋体"/>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szCs w:val="21"/>
        </w:rPr>
      </w:pPr>
      <w:r>
        <w:rPr>
          <w:rFonts w:hint="eastAsia" w:ascii="宋体" w:hAnsi="宋体"/>
          <w:szCs w:val="21"/>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szCs w:val="21"/>
        </w:rPr>
      </w:pPr>
      <w:r>
        <w:rPr>
          <w:rFonts w:hint="eastAsia" w:ascii="宋体" w:hAnsi="宋体" w:cs="宋体"/>
          <w:szCs w:val="21"/>
        </w:rPr>
        <w:t>竞价须知</w:t>
      </w:r>
    </w:p>
    <w:p>
      <w:pPr>
        <w:numPr>
          <w:ilvl w:val="0"/>
          <w:numId w:val="2"/>
        </w:numPr>
        <w:spacing w:line="360" w:lineRule="auto"/>
        <w:rPr>
          <w:rFonts w:ascii="宋体" w:hAnsi="宋体"/>
          <w:b/>
          <w:bCs/>
          <w:szCs w:val="21"/>
        </w:rPr>
      </w:pPr>
      <w:r>
        <w:rPr>
          <w:rFonts w:hint="eastAsia" w:ascii="宋体" w:hAnsi="宋体" w:cs="宋体"/>
          <w:b/>
          <w:bCs/>
          <w:szCs w:val="21"/>
        </w:rPr>
        <w:t>竞价说明</w:t>
      </w:r>
    </w:p>
    <w:p>
      <w:pPr>
        <w:numPr>
          <w:ilvl w:val="0"/>
          <w:numId w:val="3"/>
        </w:numPr>
        <w:spacing w:line="360" w:lineRule="auto"/>
        <w:rPr>
          <w:rFonts w:ascii="宋体" w:hAnsi="宋体"/>
          <w:szCs w:val="21"/>
        </w:rPr>
      </w:pPr>
      <w:r>
        <w:rPr>
          <w:rFonts w:hint="eastAsia" w:ascii="宋体" w:hAnsi="宋体" w:cs="宋体"/>
          <w:szCs w:val="21"/>
        </w:rPr>
        <w:t>参与竞价的供应商应承担所有与准备和参加竞价有关的费用，不</w:t>
      </w:r>
      <w:r>
        <w:rPr>
          <w:rFonts w:hint="eastAsia" w:ascii="宋体" w:hAnsi="宋体" w:cs="宋体"/>
          <w:szCs w:val="21"/>
          <w:lang w:eastAsia="zh-TW"/>
        </w:rPr>
        <w:t>论</w:t>
      </w:r>
      <w:r>
        <w:rPr>
          <w:rFonts w:hint="eastAsia" w:ascii="宋体" w:hAnsi="宋体" w:cs="宋体"/>
          <w:szCs w:val="21"/>
        </w:rPr>
        <w:t>竞价</w:t>
      </w:r>
      <w:r>
        <w:rPr>
          <w:rFonts w:hint="eastAsia" w:ascii="宋体" w:hAnsi="宋体" w:cs="宋体"/>
          <w:szCs w:val="21"/>
          <w:lang w:eastAsia="zh-TW"/>
        </w:rPr>
        <w:t>的结果如何</w:t>
      </w:r>
      <w:r>
        <w:rPr>
          <w:rFonts w:hint="eastAsia" w:ascii="宋体" w:hAnsi="宋体" w:cs="宋体"/>
          <w:szCs w:val="21"/>
        </w:rPr>
        <w:t>，采购</w:t>
      </w:r>
      <w:r>
        <w:rPr>
          <w:rFonts w:hint="eastAsia" w:ascii="宋体" w:hAnsi="宋体" w:cs="宋体"/>
          <w:szCs w:val="21"/>
          <w:lang w:eastAsia="zh-TW"/>
        </w:rPr>
        <w:t>人</w:t>
      </w:r>
      <w:r>
        <w:rPr>
          <w:rFonts w:hint="eastAsia" w:ascii="宋体" w:hAnsi="宋体" w:cs="宋体"/>
          <w:szCs w:val="21"/>
        </w:rPr>
        <w:t>和</w:t>
      </w:r>
      <w:r>
        <w:rPr>
          <w:rFonts w:hint="eastAsia" w:ascii="宋体" w:hAnsi="宋体" w:cs="宋体"/>
          <w:szCs w:val="21"/>
          <w:lang w:eastAsia="zh-TW"/>
        </w:rPr>
        <w:t>代理机构均无义务和责任承担这些费用</w:t>
      </w:r>
      <w:r>
        <w:rPr>
          <w:rFonts w:hint="eastAsia" w:ascii="宋体" w:hAnsi="宋体" w:cs="宋体"/>
          <w:szCs w:val="21"/>
        </w:rPr>
        <w:t>。</w:t>
      </w:r>
    </w:p>
    <w:p>
      <w:pPr>
        <w:numPr>
          <w:ilvl w:val="0"/>
          <w:numId w:val="3"/>
        </w:numPr>
        <w:spacing w:line="360" w:lineRule="auto"/>
        <w:rPr>
          <w:rFonts w:ascii="宋体" w:hAnsi="宋体"/>
          <w:szCs w:val="21"/>
        </w:rPr>
      </w:pPr>
      <w:r>
        <w:rPr>
          <w:rFonts w:hint="eastAsia" w:ascii="宋体" w:hAnsi="宋体" w:cs="宋体"/>
          <w:szCs w:val="21"/>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szCs w:val="21"/>
        </w:rPr>
      </w:pPr>
      <w:r>
        <w:rPr>
          <w:rFonts w:hint="eastAsia" w:ascii="宋体" w:hAnsi="宋体" w:cs="宋体"/>
          <w:szCs w:val="21"/>
        </w:rPr>
        <w:t>参与竞价的</w:t>
      </w:r>
      <w:r>
        <w:rPr>
          <w:rFonts w:hint="eastAsia" w:ascii="宋体" w:hAnsi="宋体" w:cs="宋体"/>
          <w:szCs w:val="21"/>
          <w:lang w:val="zh-CN"/>
        </w:rPr>
        <w:t>供应商需对用户需求书的所有条款进行整体响应，用户需求书条款若有一条负偏离或不响应，</w:t>
      </w:r>
      <w:r>
        <w:rPr>
          <w:rFonts w:hint="eastAsia" w:ascii="宋体" w:hAnsi="宋体" w:cs="宋体"/>
          <w:szCs w:val="21"/>
        </w:rPr>
        <w:t>不推荐为成交候选人</w:t>
      </w:r>
      <w:r>
        <w:rPr>
          <w:rFonts w:hint="eastAsia" w:ascii="宋体" w:hAnsi="宋体" w:cs="宋体"/>
          <w:szCs w:val="21"/>
          <w:lang w:val="zh-CN"/>
        </w:rPr>
        <w:t>。</w:t>
      </w:r>
    </w:p>
    <w:p>
      <w:pPr>
        <w:numPr>
          <w:ilvl w:val="0"/>
          <w:numId w:val="3"/>
        </w:numPr>
        <w:spacing w:line="360" w:lineRule="auto"/>
        <w:rPr>
          <w:rFonts w:ascii="宋体" w:hAnsi="宋体"/>
          <w:szCs w:val="21"/>
        </w:rPr>
      </w:pPr>
      <w:r>
        <w:rPr>
          <w:rFonts w:hint="eastAsia" w:ascii="宋体" w:hAnsi="宋体" w:cs="宋体"/>
          <w:szCs w:val="21"/>
        </w:rPr>
        <w:t>若成交供应商自身原因无法完成本项目，则采购人有权利保留追究责任。</w:t>
      </w:r>
    </w:p>
    <w:p>
      <w:pPr>
        <w:numPr>
          <w:ilvl w:val="0"/>
          <w:numId w:val="3"/>
        </w:numPr>
        <w:spacing w:line="360" w:lineRule="auto"/>
        <w:rPr>
          <w:rFonts w:ascii="宋体" w:hAnsi="宋体"/>
          <w:szCs w:val="21"/>
        </w:rPr>
      </w:pPr>
      <w:r>
        <w:rPr>
          <w:rFonts w:hint="eastAsia" w:ascii="宋体" w:hAnsi="宋体" w:cs="宋体"/>
          <w:szCs w:val="21"/>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szCs w:val="21"/>
        </w:rPr>
      </w:pPr>
      <w:r>
        <w:rPr>
          <w:rFonts w:hint="eastAsia" w:ascii="宋体" w:hAnsi="宋体" w:cs="宋体"/>
          <w:szCs w:val="21"/>
        </w:rPr>
        <w:t>若本项目竞价采购失败，采购人将重新采购，届时采购人有权根据项目具体情况，决定重新采购项目的采购方式。</w:t>
      </w:r>
    </w:p>
    <w:p>
      <w:pPr>
        <w:numPr>
          <w:ilvl w:val="0"/>
          <w:numId w:val="3"/>
        </w:numPr>
        <w:spacing w:line="360" w:lineRule="auto"/>
        <w:rPr>
          <w:rFonts w:ascii="宋体" w:hAnsi="宋体"/>
          <w:szCs w:val="21"/>
        </w:rPr>
      </w:pPr>
      <w:r>
        <w:rPr>
          <w:rFonts w:hint="eastAsia" w:ascii="宋体" w:hAnsi="宋体" w:cs="宋体"/>
          <w:szCs w:val="21"/>
        </w:rPr>
        <w:t>成交供应商若无正当理由恶意放弃成交资格，采购人有权将拒绝其参加本项目重新组织的竞价采购活动。</w:t>
      </w:r>
    </w:p>
    <w:p>
      <w:pPr>
        <w:pStyle w:val="59"/>
        <w:numPr>
          <w:ilvl w:val="0"/>
          <w:numId w:val="3"/>
        </w:numPr>
        <w:spacing w:line="360" w:lineRule="auto"/>
        <w:ind w:firstLineChars="0"/>
        <w:rPr>
          <w:rFonts w:ascii="宋体" w:hAnsi="宋体" w:cs="宋体"/>
          <w:szCs w:val="21"/>
        </w:rPr>
      </w:pPr>
      <w:r>
        <w:rPr>
          <w:rFonts w:hint="eastAsia" w:ascii="宋体" w:hAnsi="宋体" w:cs="宋体"/>
          <w:szCs w:val="21"/>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szCs w:val="21"/>
        </w:rPr>
      </w:pPr>
      <w:r>
        <w:rPr>
          <w:rFonts w:hint="eastAsia" w:ascii="宋体" w:hAnsi="宋体" w:cs="宋体"/>
          <w:szCs w:val="21"/>
        </w:rPr>
        <w:t>参与竞价的</w:t>
      </w:r>
      <w:r>
        <w:rPr>
          <w:rFonts w:hint="eastAsia" w:ascii="宋体" w:hAnsi="宋体" w:cs="宋体"/>
          <w:szCs w:val="21"/>
          <w:lang w:eastAsia="zh-TW"/>
        </w:rPr>
        <w:t>供应商向我司咨询的有关项目事项，一切以</w:t>
      </w:r>
      <w:r>
        <w:rPr>
          <w:rFonts w:hint="eastAsia" w:ascii="宋体" w:hAnsi="宋体" w:cs="宋体"/>
          <w:szCs w:val="21"/>
        </w:rPr>
        <w:t>竞价文件</w:t>
      </w:r>
      <w:r>
        <w:rPr>
          <w:rFonts w:hint="eastAsia" w:ascii="宋体" w:hAnsi="宋体" w:cs="宋体"/>
          <w:szCs w:val="21"/>
          <w:lang w:eastAsia="zh-TW"/>
        </w:rPr>
        <w:t>规定</w:t>
      </w:r>
      <w:r>
        <w:rPr>
          <w:rFonts w:hint="eastAsia" w:ascii="宋体" w:hAnsi="宋体" w:cs="宋体"/>
          <w:szCs w:val="21"/>
        </w:rPr>
        <w:t>和竞价公告规定以及</w:t>
      </w:r>
      <w:r>
        <w:rPr>
          <w:rFonts w:hint="eastAsia" w:ascii="宋体" w:hAnsi="宋体" w:cs="宋体"/>
          <w:szCs w:val="21"/>
          <w:lang w:eastAsia="zh-TW"/>
        </w:rPr>
        <w:t>本公司</w:t>
      </w:r>
      <w:r>
        <w:rPr>
          <w:rFonts w:hint="eastAsia" w:ascii="宋体" w:hAnsi="宋体" w:cs="宋体"/>
          <w:szCs w:val="21"/>
        </w:rPr>
        <w:t>的</w:t>
      </w:r>
      <w:r>
        <w:rPr>
          <w:rFonts w:hint="eastAsia" w:ascii="宋体" w:hAnsi="宋体" w:cs="宋体"/>
          <w:szCs w:val="21"/>
          <w:lang w:eastAsia="zh-TW"/>
        </w:rPr>
        <w:t>书面答复为准，其他一切形式均为个人意见，不代表本公司的意见</w:t>
      </w:r>
      <w:r>
        <w:rPr>
          <w:rFonts w:hint="eastAsia" w:ascii="宋体" w:hAnsi="宋体" w:cs="宋体"/>
          <w:szCs w:val="21"/>
        </w:rPr>
        <w:t>。</w:t>
      </w:r>
    </w:p>
    <w:p>
      <w:pPr>
        <w:numPr>
          <w:ilvl w:val="0"/>
          <w:numId w:val="3"/>
        </w:numPr>
        <w:spacing w:line="360" w:lineRule="auto"/>
        <w:rPr>
          <w:rFonts w:ascii="宋体" w:hAnsi="宋体"/>
          <w:szCs w:val="21"/>
        </w:rPr>
      </w:pPr>
      <w:r>
        <w:rPr>
          <w:rFonts w:hint="eastAsia" w:ascii="宋体" w:hAnsi="宋体" w:cs="宋体"/>
          <w:szCs w:val="21"/>
        </w:rPr>
        <w:t>参与竞价的供应商应认真阅读</w:t>
      </w:r>
      <w:r>
        <w:rPr>
          <w:rFonts w:hint="eastAsia" w:ascii="宋体" w:hAnsi="宋体" w:cs="宋体"/>
          <w:szCs w:val="21"/>
          <w:lang w:eastAsia="zh-TW"/>
        </w:rPr>
        <w:t>、并充分理解</w:t>
      </w:r>
      <w:r>
        <w:rPr>
          <w:rFonts w:hint="eastAsia" w:ascii="宋体" w:hAnsi="宋体" w:cs="宋体"/>
          <w:szCs w:val="21"/>
        </w:rPr>
        <w:t>竞价</w:t>
      </w:r>
      <w:r>
        <w:rPr>
          <w:rFonts w:hint="eastAsia" w:ascii="宋体" w:hAnsi="宋体" w:cs="宋体"/>
          <w:szCs w:val="21"/>
          <w:lang w:eastAsia="zh-TW"/>
        </w:rPr>
        <w:t>文件的全部内容（包括所有的补充、修改内容重要事项、格式、条款</w:t>
      </w:r>
      <w:r>
        <w:rPr>
          <w:rFonts w:hint="eastAsia" w:ascii="宋体" w:hAnsi="宋体" w:cs="宋体"/>
          <w:szCs w:val="21"/>
        </w:rPr>
        <w:t>、服务要求</w:t>
      </w:r>
      <w:r>
        <w:rPr>
          <w:rFonts w:hint="eastAsia" w:ascii="宋体" w:hAnsi="宋体" w:cs="宋体"/>
          <w:szCs w:val="21"/>
          <w:lang w:eastAsia="zh-TW"/>
        </w:rPr>
        <w:t>和技术规范、参数及要求等）。</w:t>
      </w:r>
      <w:r>
        <w:rPr>
          <w:rFonts w:hint="eastAsia" w:ascii="宋体" w:hAnsi="宋体" w:cs="宋体"/>
          <w:szCs w:val="21"/>
        </w:rPr>
        <w:t>供应商</w:t>
      </w:r>
      <w:r>
        <w:rPr>
          <w:rFonts w:hint="eastAsia" w:ascii="宋体" w:hAnsi="宋体" w:cs="宋体"/>
          <w:szCs w:val="21"/>
          <w:lang w:eastAsia="zh-TW"/>
        </w:rPr>
        <w:t>没有按照</w:t>
      </w:r>
      <w:r>
        <w:rPr>
          <w:rFonts w:hint="eastAsia" w:ascii="宋体" w:hAnsi="宋体" w:cs="宋体"/>
          <w:szCs w:val="21"/>
        </w:rPr>
        <w:t>竞价</w:t>
      </w:r>
      <w:r>
        <w:rPr>
          <w:rFonts w:hint="eastAsia" w:ascii="宋体" w:hAnsi="宋体" w:cs="宋体"/>
          <w:szCs w:val="21"/>
          <w:lang w:eastAsia="zh-TW"/>
        </w:rPr>
        <w:t>文件要求提交全部资料，或者</w:t>
      </w:r>
      <w:r>
        <w:rPr>
          <w:rFonts w:hint="eastAsia" w:ascii="宋体" w:hAnsi="宋体" w:cs="宋体"/>
          <w:szCs w:val="21"/>
        </w:rPr>
        <w:t>参与竞价所上传的</w:t>
      </w:r>
      <w:r>
        <w:rPr>
          <w:rFonts w:hint="eastAsia" w:ascii="宋体" w:hAnsi="宋体" w:cs="宋体"/>
          <w:szCs w:val="21"/>
          <w:lang w:eastAsia="zh-TW"/>
        </w:rPr>
        <w:t>文件没有对</w:t>
      </w:r>
      <w:r>
        <w:rPr>
          <w:rFonts w:hint="eastAsia" w:ascii="宋体" w:hAnsi="宋体" w:cs="宋体"/>
          <w:szCs w:val="21"/>
        </w:rPr>
        <w:t>竞价</w:t>
      </w:r>
      <w:r>
        <w:rPr>
          <w:rFonts w:hint="eastAsia" w:ascii="宋体" w:hAnsi="宋体" w:cs="宋体"/>
          <w:szCs w:val="21"/>
          <w:lang w:eastAsia="zh-TW"/>
        </w:rPr>
        <w:t>文件在各方面都作出实质性响应是</w:t>
      </w:r>
      <w:r>
        <w:rPr>
          <w:rFonts w:hint="eastAsia" w:ascii="宋体" w:hAnsi="宋体" w:cs="宋体"/>
          <w:szCs w:val="21"/>
        </w:rPr>
        <w:t>供应商</w:t>
      </w:r>
      <w:r>
        <w:rPr>
          <w:rFonts w:hint="eastAsia" w:ascii="宋体" w:hAnsi="宋体" w:cs="宋体"/>
          <w:szCs w:val="21"/>
          <w:lang w:eastAsia="zh-TW"/>
        </w:rPr>
        <w:t>的风险，有可能导致其</w:t>
      </w:r>
      <w:r>
        <w:rPr>
          <w:rFonts w:hint="eastAsia" w:ascii="宋体" w:hAnsi="宋体" w:cs="宋体"/>
          <w:szCs w:val="21"/>
        </w:rPr>
        <w:t>竞价</w:t>
      </w:r>
      <w:r>
        <w:rPr>
          <w:rFonts w:hint="eastAsia" w:ascii="宋体" w:hAnsi="宋体" w:cs="宋体"/>
          <w:szCs w:val="21"/>
          <w:lang w:eastAsia="zh-TW"/>
        </w:rPr>
        <w:t>被拒绝，</w:t>
      </w:r>
      <w:r>
        <w:rPr>
          <w:rFonts w:hint="eastAsia" w:ascii="宋体" w:hAnsi="宋体" w:cs="宋体"/>
          <w:szCs w:val="21"/>
        </w:rPr>
        <w:t>或被认定为无效竞价。</w:t>
      </w:r>
    </w:p>
    <w:p>
      <w:pPr>
        <w:numPr>
          <w:ilvl w:val="0"/>
          <w:numId w:val="3"/>
        </w:numPr>
        <w:spacing w:line="360" w:lineRule="auto"/>
        <w:rPr>
          <w:rFonts w:ascii="宋体" w:hAnsi="宋体"/>
          <w:szCs w:val="21"/>
        </w:rPr>
      </w:pPr>
      <w:r>
        <w:rPr>
          <w:rFonts w:hint="eastAsia" w:ascii="宋体" w:hAnsi="宋体" w:cs="宋体"/>
          <w:szCs w:val="21"/>
        </w:rPr>
        <w:t>采购人有权拒绝接受任何不合格的货物或服务，由此产生的费用及相关后果均由成交供应商自行承担；</w:t>
      </w:r>
    </w:p>
    <w:p>
      <w:pPr>
        <w:pStyle w:val="48"/>
        <w:numPr>
          <w:ilvl w:val="0"/>
          <w:numId w:val="3"/>
        </w:numPr>
        <w:spacing w:line="360" w:lineRule="auto"/>
        <w:ind w:firstLineChars="0"/>
        <w:rPr>
          <w:rFonts w:ascii="宋体" w:hAnsi="宋体"/>
        </w:rPr>
      </w:pPr>
      <w:r>
        <w:rPr>
          <w:rFonts w:hint="eastAsia" w:ascii="宋体" w:hAnsi="宋体"/>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szCs w:val="21"/>
        </w:rPr>
      </w:pPr>
      <w:r>
        <w:rPr>
          <w:rFonts w:hint="eastAsia" w:ascii="宋体" w:hAnsi="宋体" w:cs="宋体"/>
          <w:szCs w:val="21"/>
        </w:rPr>
        <w:t>本竞价公告和竞价文件的解释权归</w:t>
      </w:r>
      <w:r>
        <w:rPr>
          <w:rFonts w:hint="eastAsia" w:ascii="宋体" w:hAnsi="宋体" w:cs="宋体"/>
          <w:szCs w:val="21"/>
          <w:lang w:eastAsia="zh-TW"/>
        </w:rPr>
        <w:t>“</w:t>
      </w:r>
      <w:r>
        <w:rPr>
          <w:rFonts w:hint="eastAsia" w:ascii="宋体" w:hAnsi="宋体" w:cs="宋体"/>
          <w:szCs w:val="21"/>
        </w:rPr>
        <w:t>云采链线上采购一体化平台</w:t>
      </w:r>
      <w:r>
        <w:rPr>
          <w:rFonts w:hint="eastAsia" w:ascii="宋体" w:hAnsi="宋体" w:cs="宋体"/>
          <w:szCs w:val="21"/>
          <w:lang w:eastAsia="zh-TW"/>
        </w:rPr>
        <w:t>”所有。</w:t>
      </w:r>
    </w:p>
    <w:p>
      <w:pPr>
        <w:numPr>
          <w:ilvl w:val="0"/>
          <w:numId w:val="2"/>
        </w:numPr>
        <w:spacing w:line="360" w:lineRule="auto"/>
        <w:rPr>
          <w:rFonts w:ascii="宋体" w:hAnsi="宋体"/>
        </w:rPr>
      </w:pPr>
      <w:r>
        <w:rPr>
          <w:rFonts w:hint="eastAsia" w:ascii="宋体" w:hAnsi="宋体"/>
          <w:b/>
        </w:rPr>
        <w:t>竞价文件的澄清或修改</w:t>
      </w:r>
    </w:p>
    <w:p>
      <w:pPr>
        <w:numPr>
          <w:ilvl w:val="1"/>
          <w:numId w:val="4"/>
        </w:numPr>
        <w:spacing w:line="360" w:lineRule="auto"/>
        <w:rPr>
          <w:rFonts w:ascii="宋体" w:hAnsi="宋体"/>
        </w:rPr>
      </w:pPr>
      <w:r>
        <w:rPr>
          <w:rFonts w:hint="eastAsia" w:ascii="宋体" w:hAnsi="宋体"/>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rPr>
      </w:pPr>
      <w:r>
        <w:rPr>
          <w:rFonts w:hint="eastAsia" w:ascii="宋体" w:hAnsi="宋体"/>
        </w:rPr>
        <w:t>无论澄清或者修改的内容是否影响竞价，平台将以短信形式通知所有的报名供应商；报名供应商应按要求履行相应的义务；</w:t>
      </w:r>
      <w:r>
        <w:rPr>
          <w:rFonts w:hint="eastAsia" w:ascii="宋体" w:hAnsi="宋体" w:cs="宋体"/>
          <w:szCs w:val="21"/>
        </w:rPr>
        <w:t>如报名</w:t>
      </w:r>
      <w:r>
        <w:rPr>
          <w:rFonts w:hint="eastAsia" w:ascii="宋体" w:hAnsi="宋体" w:cs="宋体"/>
          <w:szCs w:val="21"/>
          <w:lang w:eastAsia="zh-TW"/>
        </w:rPr>
        <w:t>截止时间</w:t>
      </w:r>
      <w:r>
        <w:rPr>
          <w:rFonts w:hint="eastAsia" w:ascii="宋体" w:hAnsi="宋体" w:cs="宋体"/>
          <w:szCs w:val="21"/>
        </w:rPr>
        <w:t>少于一个工作日的，</w:t>
      </w:r>
      <w:r>
        <w:rPr>
          <w:rFonts w:hint="eastAsia" w:ascii="宋体" w:hAnsi="宋体"/>
        </w:rPr>
        <w:t>采购人或者采购代理机构应当相应顺延报名的截止时间。</w:t>
      </w:r>
    </w:p>
    <w:p>
      <w:pPr>
        <w:numPr>
          <w:ilvl w:val="1"/>
          <w:numId w:val="4"/>
        </w:numPr>
        <w:spacing w:line="360" w:lineRule="auto"/>
        <w:rPr>
          <w:rFonts w:ascii="宋体" w:hAnsi="宋体"/>
        </w:rPr>
      </w:pPr>
      <w:r>
        <w:rPr>
          <w:rFonts w:hint="eastAsia" w:ascii="宋体" w:hAnsi="宋体"/>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szCs w:val="21"/>
        </w:rPr>
      </w:pPr>
      <w:r>
        <w:rPr>
          <w:rFonts w:hint="eastAsia" w:ascii="宋体" w:hAnsi="宋体" w:cs="宋体"/>
          <w:b/>
          <w:bCs/>
          <w:szCs w:val="21"/>
        </w:rPr>
        <w:t>报名要求（</w:t>
      </w:r>
      <w:r>
        <w:rPr>
          <w:rFonts w:hint="eastAsia" w:ascii="宋体" w:hAnsi="宋体" w:cs="宋体"/>
          <w:szCs w:val="21"/>
        </w:rPr>
        <w:t>参与竞价的</w:t>
      </w:r>
      <w:r>
        <w:rPr>
          <w:rFonts w:hint="eastAsia" w:ascii="宋体" w:hAnsi="宋体" w:cs="宋体"/>
          <w:b/>
          <w:bCs/>
          <w:szCs w:val="21"/>
        </w:rPr>
        <w:t>供应商资质要求</w:t>
      </w:r>
      <w:r>
        <w:rPr>
          <w:rFonts w:ascii="宋体" w:hAnsi="宋体" w:cs="宋体"/>
          <w:b/>
          <w:bCs/>
          <w:szCs w:val="21"/>
        </w:rPr>
        <w:t>:</w:t>
      </w:r>
      <w:r>
        <w:rPr>
          <w:rFonts w:ascii="宋体" w:hAnsi="宋体" w:cs="宋体"/>
          <w:szCs w:val="21"/>
        </w:rPr>
        <w:t xml:space="preserve"> </w:t>
      </w:r>
      <w:r>
        <w:rPr>
          <w:rFonts w:hint="eastAsia" w:ascii="宋体" w:hAnsi="宋体" w:cs="宋体"/>
          <w:szCs w:val="21"/>
        </w:rPr>
        <w:t>报名时需要提供以下盖章资料，并对上传的报名文件资料承担责任</w:t>
      </w:r>
      <w:r>
        <w:rPr>
          <w:rFonts w:hint="eastAsia" w:ascii="宋体" w:hAnsi="宋体" w:cs="宋体"/>
          <w:b/>
          <w:bCs/>
          <w:szCs w:val="21"/>
        </w:rPr>
        <w:t>）</w:t>
      </w:r>
    </w:p>
    <w:p>
      <w:pPr>
        <w:pStyle w:val="59"/>
        <w:numPr>
          <w:ilvl w:val="0"/>
          <w:numId w:val="5"/>
        </w:numPr>
        <w:spacing w:line="360" w:lineRule="auto"/>
        <w:ind w:left="420" w:leftChars="200"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报名供应商具有独立承担民事责任能力的在中华人民共和国境内注册的法人或其他组织（提供法人或其他组织的营业执照等证明材料）；如为独立法人设立的分支机构参加，响应人需提供独立法人出具的唯一响应授权书，授权书需明确响应人的权限范围，并提交独立法人有效的营业执照或法人登记证书复印件；</w:t>
      </w:r>
      <w:r>
        <w:rPr>
          <w:rFonts w:ascii="宋体" w:hAnsi="宋体"/>
          <w:color w:val="000000" w:themeColor="text1"/>
          <w14:textFill>
            <w14:solidFill>
              <w14:schemeClr w14:val="tx1"/>
            </w14:solidFill>
          </w14:textFill>
        </w:rPr>
        <w:t xml:space="preserve"> </w:t>
      </w:r>
    </w:p>
    <w:p>
      <w:pPr>
        <w:pStyle w:val="59"/>
        <w:numPr>
          <w:ilvl w:val="0"/>
          <w:numId w:val="5"/>
        </w:numPr>
        <w:spacing w:line="360" w:lineRule="auto"/>
        <w:ind w:left="420" w:leftChars="200"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本项目不允许非法分包或违法转包，不接受联合体参加，供应商须提供供应商资格声明函，格式详见附件；</w:t>
      </w:r>
    </w:p>
    <w:p>
      <w:pPr>
        <w:pStyle w:val="59"/>
        <w:numPr>
          <w:ilvl w:val="0"/>
          <w:numId w:val="5"/>
        </w:numPr>
        <w:spacing w:line="360" w:lineRule="auto"/>
        <w:ind w:left="420" w:leftChars="200" w:firstLineChars="0"/>
        <w:rPr>
          <w:rFonts w:ascii="宋体" w:hAnsi="宋体" w:cs="宋体"/>
          <w:szCs w:val="21"/>
        </w:rPr>
      </w:pPr>
      <w:r>
        <w:rPr>
          <w:rFonts w:hint="eastAsia" w:ascii="宋体" w:hAnsi="宋体" w:cs="宋体"/>
          <w:kern w:val="0"/>
          <w:szCs w:val="21"/>
        </w:rPr>
        <w:t>供应商完全响应本项目用户需求的条款、内容及要求的，提供用户需求书响应声明函，格式详见附件。</w:t>
      </w:r>
    </w:p>
    <w:p>
      <w:pPr>
        <w:pStyle w:val="59"/>
        <w:numPr>
          <w:ilvl w:val="0"/>
          <w:numId w:val="5"/>
        </w:numPr>
        <w:spacing w:line="360" w:lineRule="auto"/>
        <w:ind w:left="420" w:leftChars="200" w:firstLineChars="0"/>
        <w:rPr>
          <w:rFonts w:ascii="宋体" w:hAnsi="宋体" w:cs="宋体"/>
          <w:szCs w:val="21"/>
        </w:rPr>
      </w:pPr>
      <w:r>
        <w:rPr>
          <w:rFonts w:hint="eastAsia" w:ascii="宋体" w:hAnsi="宋体" w:cs="宋体"/>
          <w:kern w:val="0"/>
          <w:szCs w:val="21"/>
        </w:rPr>
        <w:t>供应商须提供不少于2人的服务和维护的技术人员，技术员均是熟练掌握该系统相关技术并有相关资格证明的人员（持上岗证：电工证及</w:t>
      </w:r>
      <w:r>
        <w:rPr>
          <w:rFonts w:hint="eastAsia" w:ascii="宋体" w:hAnsi="宋体" w:cs="宋体"/>
          <w:kern w:val="0"/>
          <w:szCs w:val="21"/>
          <w:highlight w:val="yellow"/>
        </w:rPr>
        <w:t>空调维修从业人员资格证）</w:t>
      </w:r>
      <w:r>
        <w:rPr>
          <w:rFonts w:hint="eastAsia" w:ascii="宋体" w:hAnsi="宋体" w:cs="宋体"/>
          <w:kern w:val="0"/>
          <w:szCs w:val="21"/>
        </w:rPr>
        <w:t>。</w:t>
      </w:r>
    </w:p>
    <w:p>
      <w:pPr>
        <w:numPr>
          <w:ilvl w:val="0"/>
          <w:numId w:val="2"/>
        </w:numPr>
        <w:spacing w:line="360" w:lineRule="auto"/>
        <w:rPr>
          <w:rFonts w:ascii="宋体" w:hAnsi="宋体"/>
          <w:b/>
          <w:bCs/>
          <w:szCs w:val="21"/>
        </w:rPr>
      </w:pPr>
      <w:r>
        <w:rPr>
          <w:rFonts w:hint="eastAsia" w:ascii="宋体" w:hAnsi="宋体" w:cs="宋体"/>
          <w:b/>
          <w:bCs/>
          <w:szCs w:val="21"/>
        </w:rPr>
        <w:t>报价要求（</w:t>
      </w:r>
      <w:r>
        <w:rPr>
          <w:rFonts w:hint="eastAsia" w:ascii="宋体" w:hAnsi="宋体" w:cs="宋体"/>
          <w:szCs w:val="21"/>
        </w:rPr>
        <w:t>报价时需要提供以下盖章资料，并对上传的竞价文件资料承担责任</w:t>
      </w:r>
      <w:r>
        <w:rPr>
          <w:rFonts w:hint="eastAsia" w:ascii="宋体" w:hAnsi="宋体" w:cs="宋体"/>
          <w:b/>
          <w:bCs/>
          <w:szCs w:val="21"/>
        </w:rPr>
        <w:t>）</w:t>
      </w:r>
    </w:p>
    <w:p>
      <w:pPr>
        <w:numPr>
          <w:ilvl w:val="0"/>
          <w:numId w:val="6"/>
        </w:numPr>
        <w:spacing w:line="360" w:lineRule="auto"/>
        <w:rPr>
          <w:rFonts w:ascii="宋体" w:hAnsi="宋体"/>
          <w:szCs w:val="21"/>
        </w:rPr>
      </w:pPr>
      <w:r>
        <w:rPr>
          <w:rFonts w:hint="eastAsia" w:ascii="宋体" w:hAnsi="宋体" w:cs="宋体"/>
          <w:szCs w:val="21"/>
        </w:rPr>
        <w:t>通过报名供应商应根据本公告要求，在规定的竞价时间内对采购项目进行报价，同时按本公告要求完整</w:t>
      </w:r>
      <w:r>
        <w:rPr>
          <w:rFonts w:hint="eastAsia" w:ascii="宋体" w:hAnsi="宋体" w:cs="宋体"/>
          <w:szCs w:val="21"/>
          <w:lang w:eastAsia="zh-TW"/>
        </w:rPr>
        <w:t>、真实、准确地</w:t>
      </w:r>
      <w:r>
        <w:rPr>
          <w:rFonts w:hint="eastAsia" w:ascii="宋体" w:hAnsi="宋体" w:cs="宋体"/>
          <w:szCs w:val="21"/>
        </w:rPr>
        <w:t>填写并上传相应报价附件（</w:t>
      </w:r>
      <w:r>
        <w:rPr>
          <w:rFonts w:hint="eastAsia" w:ascii="宋体" w:hAnsi="宋体" w:cs="宋体"/>
          <w:b/>
          <w:bCs/>
          <w:szCs w:val="21"/>
        </w:rPr>
        <w:t>报价表</w:t>
      </w:r>
      <w:r>
        <w:rPr>
          <w:rFonts w:hint="eastAsia" w:ascii="宋体" w:hAnsi="宋体" w:cs="宋体"/>
          <w:szCs w:val="21"/>
        </w:rPr>
        <w:t>）。</w:t>
      </w:r>
    </w:p>
    <w:p>
      <w:pPr>
        <w:pStyle w:val="59"/>
        <w:numPr>
          <w:ilvl w:val="0"/>
          <w:numId w:val="6"/>
        </w:numPr>
        <w:spacing w:line="360" w:lineRule="auto"/>
        <w:ind w:firstLineChars="0"/>
        <w:rPr>
          <w:rFonts w:ascii="宋体" w:hAnsi="宋体" w:cs="宋体"/>
          <w:szCs w:val="21"/>
        </w:rPr>
      </w:pPr>
      <w:r>
        <w:rPr>
          <w:rFonts w:hint="eastAsia" w:ascii="宋体" w:hAnsi="宋体" w:cs="宋体"/>
          <w:szCs w:val="21"/>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2"/>
        </w:numPr>
        <w:spacing w:line="360" w:lineRule="auto"/>
        <w:rPr>
          <w:rFonts w:ascii="宋体" w:hAnsi="宋体"/>
          <w:b/>
          <w:bCs/>
          <w:szCs w:val="21"/>
        </w:rPr>
      </w:pPr>
      <w:r>
        <w:rPr>
          <w:rFonts w:hint="eastAsia" w:ascii="宋体" w:hAnsi="宋体" w:cs="宋体"/>
          <w:b/>
          <w:bCs/>
          <w:szCs w:val="21"/>
        </w:rPr>
        <w:t>确定成交候选人</w:t>
      </w:r>
    </w:p>
    <w:p>
      <w:pPr>
        <w:pStyle w:val="59"/>
        <w:numPr>
          <w:ilvl w:val="0"/>
          <w:numId w:val="7"/>
        </w:numPr>
        <w:spacing w:line="360" w:lineRule="auto"/>
        <w:ind w:left="839" w:firstLineChars="0"/>
        <w:rPr>
          <w:rFonts w:ascii="宋体" w:hAnsi="宋体" w:cs="宋体"/>
          <w:szCs w:val="21"/>
        </w:rPr>
      </w:pPr>
      <w:r>
        <w:rPr>
          <w:rFonts w:hint="eastAsia" w:ascii="宋体" w:hAnsi="宋体" w:cs="宋体"/>
          <w:szCs w:val="21"/>
        </w:rPr>
        <w:t>本项目以最低价中标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ind w:left="839"/>
        <w:rPr>
          <w:rFonts w:ascii="宋体" w:hAnsi="宋体"/>
          <w:szCs w:val="21"/>
        </w:rPr>
      </w:pPr>
      <w:r>
        <w:rPr>
          <w:rFonts w:hint="eastAsia" w:ascii="宋体" w:hAnsi="宋体" w:cs="宋体"/>
          <w:szCs w:val="21"/>
        </w:rPr>
        <w:t>如各报价供应商提供的税率不一致时，则分别按下述规定计算各价格，如全部报价供应商税率都一致则无需转换价格。</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244" w:type="dxa"/>
          </w:tcPr>
          <w:p>
            <w:pPr>
              <w:numPr>
                <w:ilvl w:val="255"/>
                <w:numId w:val="0"/>
              </w:numPr>
              <w:spacing w:line="360" w:lineRule="auto"/>
              <w:rPr>
                <w:rFonts w:ascii="宋体" w:hAnsi="宋体"/>
                <w:szCs w:val="21"/>
              </w:rPr>
            </w:pPr>
            <w:r>
              <w:rPr>
                <w:rFonts w:hint="eastAsia" w:ascii="宋体" w:hAnsi="宋体"/>
                <w:szCs w:val="21"/>
              </w:rPr>
              <w:t>报价供应商提供的发票类型</w:t>
            </w:r>
          </w:p>
        </w:tc>
        <w:tc>
          <w:tcPr>
            <w:tcW w:w="3264" w:type="dxa"/>
          </w:tcPr>
          <w:p>
            <w:pPr>
              <w:numPr>
                <w:ilvl w:val="255"/>
                <w:numId w:val="0"/>
              </w:numPr>
              <w:spacing w:line="360" w:lineRule="auto"/>
              <w:rPr>
                <w:rFonts w:ascii="宋体" w:hAnsi="宋体"/>
                <w:szCs w:val="21"/>
              </w:rPr>
            </w:pPr>
            <w:r>
              <w:rPr>
                <w:rFonts w:hint="eastAsia" w:ascii="宋体" w:hAnsi="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tcPr>
          <w:p>
            <w:pPr>
              <w:numPr>
                <w:ilvl w:val="255"/>
                <w:numId w:val="0"/>
              </w:numPr>
              <w:spacing w:line="360" w:lineRule="auto"/>
              <w:rPr>
                <w:rFonts w:ascii="宋体" w:hAnsi="宋体"/>
                <w:szCs w:val="21"/>
              </w:rPr>
            </w:pPr>
            <w:r>
              <w:rPr>
                <w:rFonts w:hint="eastAsia" w:ascii="宋体" w:hAnsi="宋体"/>
                <w:szCs w:val="21"/>
              </w:rPr>
              <w:t>增值税专用发票</w:t>
            </w:r>
          </w:p>
        </w:tc>
        <w:tc>
          <w:tcPr>
            <w:tcW w:w="3264" w:type="dxa"/>
          </w:tcPr>
          <w:p>
            <w:pPr>
              <w:numPr>
                <w:ilvl w:val="255"/>
                <w:numId w:val="0"/>
              </w:numPr>
              <w:spacing w:line="360" w:lineRule="auto"/>
              <w:rPr>
                <w:rFonts w:ascii="宋体" w:hAnsi="宋体"/>
                <w:szCs w:val="21"/>
              </w:rPr>
            </w:pPr>
            <w:r>
              <w:rPr>
                <w:rFonts w:hint="eastAsia" w:ascii="宋体" w:hAnsi="宋体"/>
                <w:szCs w:val="21"/>
              </w:rPr>
              <w:t>报价/（1+增值税率）</w:t>
            </w:r>
          </w:p>
        </w:tc>
      </w:tr>
    </w:tbl>
    <w:p>
      <w:pPr>
        <w:numPr>
          <w:ilvl w:val="0"/>
          <w:numId w:val="2"/>
        </w:numPr>
        <w:spacing w:line="360" w:lineRule="auto"/>
        <w:rPr>
          <w:rFonts w:ascii="宋体" w:hAnsi="宋体"/>
          <w:b/>
          <w:bCs/>
          <w:szCs w:val="21"/>
        </w:rPr>
      </w:pPr>
      <w:r>
        <w:rPr>
          <w:rFonts w:hint="eastAsia" w:ascii="宋体" w:hAnsi="宋体" w:cs="宋体"/>
          <w:b/>
          <w:bCs/>
          <w:szCs w:val="21"/>
        </w:rPr>
        <w:t>无效报价</w:t>
      </w:r>
    </w:p>
    <w:p>
      <w:pPr>
        <w:pStyle w:val="59"/>
        <w:numPr>
          <w:ilvl w:val="0"/>
          <w:numId w:val="8"/>
        </w:numPr>
        <w:ind w:firstLineChars="0"/>
        <w:rPr>
          <w:rFonts w:ascii="宋体" w:hAnsi="宋体" w:cs="宋体"/>
          <w:szCs w:val="21"/>
        </w:rPr>
      </w:pPr>
      <w:r>
        <w:rPr>
          <w:rFonts w:hint="eastAsia" w:ascii="宋体" w:hAnsi="宋体" w:cs="宋体"/>
          <w:szCs w:val="21"/>
        </w:rPr>
        <w:t>参与竞价的供应商报价超过最高限价或低于最低限价或超过项目对应产品单项最高限价的视为无效报价。</w:t>
      </w:r>
    </w:p>
    <w:p>
      <w:pPr>
        <w:numPr>
          <w:ilvl w:val="0"/>
          <w:numId w:val="8"/>
        </w:numPr>
        <w:spacing w:line="360" w:lineRule="auto"/>
        <w:rPr>
          <w:rFonts w:ascii="宋体" w:hAnsi="宋体"/>
          <w:szCs w:val="21"/>
        </w:rPr>
      </w:pPr>
      <w:r>
        <w:rPr>
          <w:rFonts w:hint="eastAsia" w:ascii="宋体" w:hAnsi="宋体" w:cs="宋体"/>
          <w:szCs w:val="21"/>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szCs w:val="21"/>
        </w:rPr>
      </w:pPr>
      <w:r>
        <w:rPr>
          <w:rFonts w:hint="eastAsia" w:ascii="宋体" w:hAnsi="宋体" w:cs="宋体"/>
          <w:szCs w:val="21"/>
        </w:rPr>
        <w:t>参与竞价的供应商须对本项目采购内容进行整体报价，任何只对其中一部分内容进行的报价都被视为无效报价。</w:t>
      </w:r>
    </w:p>
    <w:p>
      <w:pPr>
        <w:numPr>
          <w:ilvl w:val="0"/>
          <w:numId w:val="8"/>
        </w:numPr>
        <w:spacing w:line="360" w:lineRule="auto"/>
        <w:rPr>
          <w:rFonts w:ascii="宋体" w:hAnsi="宋体"/>
          <w:szCs w:val="21"/>
        </w:rPr>
      </w:pPr>
      <w:r>
        <w:rPr>
          <w:u w:val="double"/>
        </w:rPr>
        <w:t>报价表</w:t>
      </w:r>
      <w:r>
        <w:rPr>
          <w:rFonts w:hint="eastAsia"/>
          <w:u w:val="double"/>
        </w:rPr>
        <w:t>以及有报价供应商落款的报价文件</w:t>
      </w:r>
      <w:r>
        <w:rPr>
          <w:u w:val="double"/>
        </w:rPr>
        <w:t>必须加盖</w:t>
      </w:r>
      <w:r>
        <w:rPr>
          <w:rFonts w:hint="eastAsia"/>
          <w:u w:val="double"/>
        </w:rPr>
        <w:t>报价供应商</w:t>
      </w:r>
      <w:r>
        <w:rPr>
          <w:u w:val="double"/>
        </w:rPr>
        <w:t>公章，否则视为无效报价</w:t>
      </w:r>
    </w:p>
    <w:p>
      <w:pPr>
        <w:pStyle w:val="59"/>
        <w:numPr>
          <w:ilvl w:val="0"/>
          <w:numId w:val="8"/>
        </w:numPr>
        <w:spacing w:line="360" w:lineRule="auto"/>
        <w:ind w:firstLineChars="0"/>
        <w:rPr>
          <w:rFonts w:ascii="宋体" w:hAnsi="宋体" w:cs="宋体"/>
          <w:szCs w:val="21"/>
        </w:rPr>
      </w:pPr>
      <w:r>
        <w:rPr>
          <w:rFonts w:hint="eastAsia" w:ascii="宋体" w:hAnsi="宋体" w:cs="宋体"/>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59"/>
        <w:ind w:left="420" w:firstLine="0" w:firstLineChars="0"/>
        <w:rPr>
          <w:rFonts w:ascii="宋体" w:hAnsi="宋体" w:cs="宋体"/>
          <w:b/>
          <w:bCs/>
          <w:szCs w:val="21"/>
        </w:rPr>
      </w:pPr>
      <w:r>
        <w:rPr>
          <w:rFonts w:hint="eastAsia" w:ascii="宋体" w:hAnsi="宋体" w:cs="宋体"/>
          <w:szCs w:val="21"/>
        </w:rPr>
        <w:t>6)</w:t>
      </w:r>
      <w:r>
        <w:rPr>
          <w:rFonts w:hint="eastAsia" w:ascii="宋体" w:hAnsi="宋体" w:cs="宋体"/>
          <w:b/>
          <w:bCs/>
          <w:szCs w:val="21"/>
        </w:rPr>
        <w:t>按有关法律、法规、规章属于报价无效的。</w:t>
      </w:r>
    </w:p>
    <w:p>
      <w:pPr>
        <w:shd w:val="clear" w:color="auto" w:fill="FFFFFF"/>
        <w:spacing w:line="360" w:lineRule="auto"/>
        <w:ind w:left="420"/>
        <w:rPr>
          <w:rFonts w:ascii="宋体" w:hAnsi="宋体"/>
          <w:szCs w:val="21"/>
        </w:rPr>
      </w:pPr>
      <w:r>
        <w:rPr>
          <w:rFonts w:hint="eastAsia" w:ascii="宋体" w:hAnsi="宋体" w:cs="宋体"/>
          <w:szCs w:val="21"/>
        </w:rPr>
        <w:t>7)</w:t>
      </w:r>
      <w:r>
        <w:rPr>
          <w:rFonts w:hint="eastAsia" w:ascii="宋体" w:hAnsi="宋体" w:cs="宋体"/>
          <w:b/>
          <w:bCs/>
          <w:szCs w:val="21"/>
        </w:rPr>
        <w:t>有下列情形之一的，视为串通竞价，其报价无效：</w:t>
      </w:r>
    </w:p>
    <w:p>
      <w:pPr>
        <w:numPr>
          <w:ilvl w:val="2"/>
          <w:numId w:val="9"/>
        </w:numPr>
        <w:tabs>
          <w:tab w:val="left" w:pos="1260"/>
        </w:tabs>
        <w:spacing w:line="360" w:lineRule="auto"/>
        <w:rPr>
          <w:rFonts w:ascii="宋体" w:hAnsi="宋体"/>
          <w:szCs w:val="21"/>
        </w:rPr>
      </w:pPr>
      <w:r>
        <w:rPr>
          <w:rFonts w:hint="eastAsia" w:ascii="宋体"/>
        </w:rPr>
        <w:t>存在单位负责人为同一人或存在控股、管理关系的不同单位参与同一竞价项目；</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不同供应商的响应文件由同一单位或者个人编制；</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不同供应商委托同一单位或者个人办理竞价事宜；</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不同供应商使用同一</w:t>
      </w:r>
      <w:r>
        <w:rPr>
          <w:rFonts w:ascii="宋体" w:hAnsi="宋体" w:cs="宋体"/>
          <w:szCs w:val="21"/>
        </w:rPr>
        <w:t>IP</w:t>
      </w:r>
      <w:r>
        <w:rPr>
          <w:rFonts w:hint="eastAsia" w:ascii="宋体" w:hAnsi="宋体" w:cs="宋体"/>
          <w:szCs w:val="21"/>
        </w:rPr>
        <w:t>地址参与竞价；</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不同供应商的响应文件载明的项目管理成员或者联系人员为同一人；</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不同供应商的响应文件异常一致或者报价呈规律性差异；</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不同供应商的响应文件相互混淆；</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不同供应商的平台使用费从同一单位或者个人的账户转出；</w:t>
      </w:r>
    </w:p>
    <w:p>
      <w:pPr>
        <w:spacing w:line="360" w:lineRule="auto"/>
        <w:rPr>
          <w:rFonts w:ascii="宋体" w:hAnsi="宋体"/>
          <w:szCs w:val="21"/>
        </w:rPr>
      </w:pPr>
      <w:r>
        <w:rPr>
          <w:rFonts w:hint="eastAsia" w:ascii="宋体" w:hAnsi="宋体" w:cs="宋体"/>
          <w:b/>
          <w:bCs/>
          <w:szCs w:val="21"/>
        </w:rPr>
        <w:t>7.竞价活动失败</w:t>
      </w:r>
    </w:p>
    <w:p>
      <w:pPr>
        <w:numPr>
          <w:ilvl w:val="0"/>
          <w:numId w:val="10"/>
        </w:numPr>
        <w:spacing w:line="360" w:lineRule="auto"/>
        <w:rPr>
          <w:rFonts w:ascii="宋体" w:hAnsi="宋体"/>
          <w:szCs w:val="21"/>
        </w:rPr>
      </w:pPr>
      <w:r>
        <w:rPr>
          <w:rFonts w:hint="eastAsia" w:ascii="宋体" w:hAnsi="宋体" w:cs="宋体"/>
          <w:szCs w:val="21"/>
        </w:rPr>
        <w:t>报价供应商不足</w:t>
      </w:r>
      <w:r>
        <w:rPr>
          <w:rFonts w:ascii="宋体" w:hAnsi="宋体" w:cs="宋体"/>
          <w:szCs w:val="21"/>
        </w:rPr>
        <w:t>3</w:t>
      </w:r>
      <w:r>
        <w:rPr>
          <w:rFonts w:hint="eastAsia" w:ascii="宋体" w:hAnsi="宋体" w:cs="宋体"/>
          <w:szCs w:val="21"/>
        </w:rPr>
        <w:t>家，本次竞价活动失败；</w:t>
      </w:r>
    </w:p>
    <w:p>
      <w:pPr>
        <w:numPr>
          <w:ilvl w:val="0"/>
          <w:numId w:val="10"/>
        </w:numPr>
        <w:spacing w:line="360" w:lineRule="auto"/>
        <w:rPr>
          <w:rFonts w:ascii="宋体" w:hAnsi="宋体"/>
          <w:szCs w:val="21"/>
        </w:rPr>
      </w:pPr>
      <w:r>
        <w:rPr>
          <w:rFonts w:hint="eastAsia" w:ascii="宋体" w:hAnsi="宋体" w:cs="宋体"/>
          <w:szCs w:val="21"/>
        </w:rPr>
        <w:t>出现影响采购公正的违法、违规行为的；</w:t>
      </w:r>
    </w:p>
    <w:p>
      <w:pPr>
        <w:numPr>
          <w:ilvl w:val="0"/>
          <w:numId w:val="10"/>
        </w:numPr>
        <w:spacing w:line="360" w:lineRule="auto"/>
        <w:rPr>
          <w:rFonts w:ascii="宋体" w:hAnsi="宋体"/>
          <w:szCs w:val="21"/>
        </w:rPr>
      </w:pPr>
      <w:r>
        <w:rPr>
          <w:rFonts w:hint="eastAsia" w:ascii="宋体" w:hAnsi="宋体" w:cs="宋体"/>
          <w:szCs w:val="21"/>
        </w:rPr>
        <w:t>因重大变故，采购任务取消的；</w:t>
      </w:r>
    </w:p>
    <w:p>
      <w:pPr>
        <w:spacing w:line="360" w:lineRule="auto"/>
        <w:rPr>
          <w:rFonts w:ascii="宋体" w:hAnsi="宋体"/>
          <w:b/>
          <w:bCs/>
          <w:szCs w:val="21"/>
        </w:rPr>
      </w:pPr>
      <w:r>
        <w:rPr>
          <w:rFonts w:hint="eastAsia" w:ascii="宋体" w:hAnsi="宋体" w:cs="宋体"/>
          <w:b/>
          <w:bCs/>
          <w:szCs w:val="21"/>
        </w:rPr>
        <w:t>8.使用费</w:t>
      </w:r>
    </w:p>
    <w:p>
      <w:pPr>
        <w:numPr>
          <w:ilvl w:val="0"/>
          <w:numId w:val="11"/>
        </w:numPr>
        <w:tabs>
          <w:tab w:val="left" w:pos="425"/>
        </w:tabs>
        <w:spacing w:line="360" w:lineRule="auto"/>
        <w:rPr>
          <w:rFonts w:ascii="宋体" w:hAnsi="宋体"/>
          <w:szCs w:val="21"/>
        </w:rPr>
      </w:pPr>
      <w:r>
        <w:rPr>
          <w:rFonts w:hint="eastAsia" w:ascii="宋体" w:hAnsi="宋体" w:cs="宋体"/>
          <w:szCs w:val="21"/>
        </w:rPr>
        <w:t>成交供应商须向平台服务商云采链线上采购一体化平台缴纳平台使用费，金额为成交金额的</w:t>
      </w:r>
      <w:r>
        <w:rPr>
          <w:rFonts w:ascii="宋体" w:hAnsi="宋体" w:cs="宋体"/>
          <w:szCs w:val="21"/>
        </w:rPr>
        <w:t>1.5%</w:t>
      </w:r>
      <w:r>
        <w:rPr>
          <w:rFonts w:hint="eastAsia" w:ascii="宋体" w:hAnsi="宋体" w:cs="宋体"/>
          <w:szCs w:val="21"/>
        </w:rPr>
        <w:t>（四舍五入取整数）。</w:t>
      </w:r>
    </w:p>
    <w:p>
      <w:pPr>
        <w:numPr>
          <w:ilvl w:val="0"/>
          <w:numId w:val="11"/>
        </w:numPr>
        <w:tabs>
          <w:tab w:val="left" w:pos="425"/>
        </w:tabs>
        <w:spacing w:line="360" w:lineRule="auto"/>
        <w:rPr>
          <w:rFonts w:ascii="宋体" w:hAnsi="宋体"/>
          <w:szCs w:val="21"/>
        </w:rPr>
      </w:pPr>
      <w:r>
        <w:rPr>
          <w:rFonts w:hint="eastAsia" w:ascii="宋体" w:hAnsi="宋体" w:cs="宋体"/>
          <w:szCs w:val="21"/>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szCs w:val="21"/>
        </w:rPr>
      </w:pPr>
      <w:r>
        <w:rPr>
          <w:rFonts w:hint="eastAsia" w:ascii="宋体" w:hAnsi="宋体" w:cs="宋体"/>
          <w:szCs w:val="21"/>
        </w:rPr>
        <w:t>如确实因不可抗力放弃成交资格的，应在不可抗力发生后三个工作日内予以通知采购代理机构并提供相关的证明；如逾期，采购代理机构不予退还平台使用费；</w:t>
      </w:r>
    </w:p>
    <w:p>
      <w:pPr>
        <w:spacing w:line="360" w:lineRule="auto"/>
        <w:rPr>
          <w:rFonts w:ascii="宋体" w:hAnsi="宋体"/>
          <w:b/>
          <w:bCs/>
          <w:szCs w:val="21"/>
        </w:rPr>
      </w:pPr>
      <w:r>
        <w:rPr>
          <w:rFonts w:hint="eastAsia" w:ascii="宋体" w:hAnsi="宋体" w:cs="宋体"/>
          <w:b/>
          <w:bCs/>
          <w:szCs w:val="21"/>
        </w:rPr>
        <w:t>9.联系方式</w:t>
      </w:r>
    </w:p>
    <w:p>
      <w:pPr>
        <w:spacing w:line="360" w:lineRule="auto"/>
        <w:ind w:left="420"/>
        <w:rPr>
          <w:rFonts w:ascii="宋体" w:hAnsi="宋体"/>
          <w:szCs w:val="21"/>
        </w:rPr>
      </w:pPr>
      <w:r>
        <w:rPr>
          <w:rFonts w:hint="eastAsia" w:ascii="宋体" w:hAnsi="宋体" w:cs="宋体"/>
          <w:szCs w:val="21"/>
        </w:rPr>
        <w:t>扫码关注微信公众号</w:t>
      </w:r>
      <w:r>
        <w:rPr>
          <w:rFonts w:ascii="宋体" w:hAnsi="宋体" w:cs="Calibri"/>
          <w:szCs w:val="21"/>
        </w:rPr>
        <w:t>“</w:t>
      </w:r>
      <w:r>
        <w:rPr>
          <w:rFonts w:hint="eastAsia" w:ascii="宋体" w:hAnsi="宋体" w:cs="宋体"/>
          <w:szCs w:val="21"/>
        </w:rPr>
        <w:t>云采链互联服务平台</w:t>
      </w:r>
      <w:r>
        <w:rPr>
          <w:rFonts w:ascii="宋体" w:hAnsi="宋体" w:cs="Calibri"/>
          <w:szCs w:val="21"/>
        </w:rPr>
        <w:t>”</w:t>
      </w:r>
      <w:r>
        <w:rPr>
          <w:rFonts w:hint="eastAsia" w:ascii="宋体" w:hAnsi="宋体" w:cs="宋体"/>
          <w:szCs w:val="21"/>
        </w:rPr>
        <w:t>，即可在线咨询相关事项；</w:t>
      </w:r>
    </w:p>
    <w:p>
      <w:pPr>
        <w:widowControl/>
        <w:jc w:val="center"/>
      </w:pPr>
      <w: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19050" t="0" r="0" b="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4" cstate="print"/>
                    <a:srcRect/>
                    <a:stretch>
                      <a:fillRect/>
                    </a:stretch>
                  </pic:blipFill>
                  <pic:spPr>
                    <a:xfrm>
                      <a:off x="0" y="0"/>
                      <a:ext cx="1371600" cy="1371600"/>
                    </a:xfrm>
                    <a:prstGeom prst="rect">
                      <a:avLst/>
                    </a:prstGeom>
                    <a:noFill/>
                    <a:ln w="9525">
                      <a:noFill/>
                      <a:miter lim="800000"/>
                      <a:headEnd/>
                      <a:tailEnd/>
                    </a:ln>
                  </pic:spPr>
                </pic:pic>
              </a:graphicData>
            </a:graphic>
          </wp:anchor>
        </w:drawing>
      </w:r>
      <w:r>
        <w:br w:type="page"/>
      </w:r>
    </w:p>
    <w:p>
      <w:pPr>
        <w:jc w:val="center"/>
        <w:outlineLvl w:val="0"/>
        <w:rPr>
          <w:rFonts w:ascii="Cambria" w:hAnsi="Cambria" w:cs="宋体"/>
          <w:b/>
          <w:bCs/>
          <w:sz w:val="32"/>
          <w:szCs w:val="32"/>
        </w:rPr>
      </w:pPr>
      <w:bookmarkStart w:id="1" w:name="_Hlk54791406"/>
      <w:bookmarkStart w:id="35" w:name="_GoBack"/>
      <w:bookmarkEnd w:id="35"/>
      <w:r>
        <w:rPr>
          <w:rFonts w:hint="eastAsia" w:ascii="Cambria" w:hAnsi="Cambria" w:cs="宋体"/>
          <w:b/>
          <w:bCs/>
          <w:sz w:val="32"/>
          <w:szCs w:val="32"/>
        </w:rPr>
        <w:t>第二章 采购需求书</w:t>
      </w:r>
    </w:p>
    <w:p>
      <w:pPr>
        <w:snapToGrid w:val="0"/>
        <w:spacing w:line="360" w:lineRule="auto"/>
        <w:rPr>
          <w:rFonts w:ascii="宋体" w:hAnsi="宋体"/>
          <w:b/>
          <w:bCs/>
          <w:szCs w:val="21"/>
        </w:rPr>
      </w:pPr>
      <w:r>
        <w:rPr>
          <w:rFonts w:hint="eastAsia" w:ascii="宋体" w:hAnsi="宋体"/>
          <w:b/>
          <w:bCs/>
          <w:szCs w:val="21"/>
        </w:rPr>
        <w:t>说明：</w:t>
      </w:r>
    </w:p>
    <w:p>
      <w:pPr>
        <w:tabs>
          <w:tab w:val="left" w:pos="420"/>
        </w:tabs>
        <w:snapToGrid w:val="0"/>
        <w:spacing w:line="360" w:lineRule="auto"/>
        <w:rPr>
          <w:rFonts w:ascii="宋体" w:hAnsi="宋体"/>
          <w:b/>
          <w:bCs/>
          <w:szCs w:val="21"/>
        </w:rPr>
      </w:pPr>
      <w:r>
        <w:rPr>
          <w:rFonts w:hint="eastAsia" w:ascii="宋体" w:hAnsi="宋体"/>
          <w:b/>
          <w:bCs/>
          <w:szCs w:val="21"/>
        </w:rPr>
        <w:t>供应商须对本项目采购内容进行整体响应，任何只对采购内容其中一部分内容进行的响应都被视为无效报价。</w:t>
      </w:r>
    </w:p>
    <w:p>
      <w:pPr>
        <w:pStyle w:val="59"/>
        <w:numPr>
          <w:ilvl w:val="0"/>
          <w:numId w:val="12"/>
        </w:numPr>
        <w:spacing w:line="360" w:lineRule="auto"/>
        <w:ind w:left="0" w:firstLine="0" w:firstLineChars="0"/>
        <w:rPr>
          <w:rFonts w:ascii="宋体" w:hAnsi="宋体" w:cs="宋体"/>
          <w:b/>
          <w:bCs/>
          <w:szCs w:val="21"/>
        </w:rPr>
      </w:pPr>
      <w:r>
        <w:rPr>
          <w:rFonts w:hint="eastAsia" w:ascii="宋体" w:hAnsi="宋体" w:cs="宋体"/>
          <w:b/>
          <w:bCs/>
          <w:szCs w:val="21"/>
        </w:rPr>
        <w:t>项目一览表</w:t>
      </w:r>
    </w:p>
    <w:tbl>
      <w:tblPr>
        <w:tblStyle w:val="36"/>
        <w:tblW w:w="891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887"/>
        <w:gridCol w:w="3478"/>
        <w:gridCol w:w="18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708"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bookmarkStart w:id="2" w:name="_Hlk536436587"/>
            <w:r>
              <w:rPr>
                <w:rFonts w:hint="eastAsia" w:ascii="宋体" w:hAnsi="宋体"/>
                <w:b/>
                <w:szCs w:val="21"/>
              </w:rPr>
              <w:t>采购内容</w:t>
            </w:r>
          </w:p>
        </w:tc>
        <w:tc>
          <w:tcPr>
            <w:tcW w:w="887"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数量</w:t>
            </w:r>
          </w:p>
        </w:tc>
        <w:tc>
          <w:tcPr>
            <w:tcW w:w="3478"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服务期</w:t>
            </w:r>
          </w:p>
        </w:tc>
        <w:tc>
          <w:tcPr>
            <w:tcW w:w="1843" w:type="dxa"/>
            <w:tcBorders>
              <w:top w:val="single" w:color="auto" w:sz="12" w:space="0"/>
              <w:bottom w:val="single" w:color="auto" w:sz="2" w:space="0"/>
            </w:tcBorders>
            <w:shd w:val="clear" w:color="auto" w:fill="EEECE1"/>
            <w:vAlign w:val="center"/>
          </w:tcPr>
          <w:p>
            <w:pPr>
              <w:spacing w:line="360" w:lineRule="auto"/>
              <w:jc w:val="center"/>
              <w:rPr>
                <w:rFonts w:ascii="宋体" w:hAnsi="宋体"/>
                <w:szCs w:val="21"/>
              </w:rPr>
            </w:pPr>
            <w:r>
              <w:rPr>
                <w:rFonts w:hint="eastAsia" w:ascii="宋体" w:hAnsi="宋体"/>
                <w:b/>
                <w:szCs w:val="21"/>
              </w:rPr>
              <w:t>项目预算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708" w:type="dxa"/>
            <w:tcBorders>
              <w:top w:val="single" w:color="auto" w:sz="2" w:space="0"/>
            </w:tcBorders>
            <w:vAlign w:val="center"/>
          </w:tcPr>
          <w:p>
            <w:pPr>
              <w:spacing w:line="360" w:lineRule="auto"/>
              <w:jc w:val="center"/>
              <w:rPr>
                <w:rFonts w:hint="eastAsia" w:ascii="宋体" w:hAnsi="宋体" w:eastAsia="宋体"/>
                <w:kern w:val="0"/>
                <w:szCs w:val="21"/>
                <w:lang w:eastAsia="zh-CN"/>
              </w:rPr>
            </w:pPr>
            <w:r>
              <w:rPr>
                <w:rFonts w:hint="eastAsia" w:ascii="宋体" w:hAnsi="宋体"/>
                <w:szCs w:val="21"/>
                <w:lang w:eastAsia="zh-CN"/>
              </w:rPr>
              <w:t>禅城分公司2024-2025年分前端机房、营业厅及办公场所空调维保维修资格采购项目（第二次竞价）</w:t>
            </w:r>
          </w:p>
        </w:tc>
        <w:tc>
          <w:tcPr>
            <w:tcW w:w="887" w:type="dxa"/>
            <w:tcBorders>
              <w:top w:val="single" w:color="auto" w:sz="2" w:space="0"/>
            </w:tcBorders>
            <w:vAlign w:val="center"/>
          </w:tcPr>
          <w:p>
            <w:pPr>
              <w:spacing w:line="360" w:lineRule="auto"/>
              <w:jc w:val="center"/>
              <w:rPr>
                <w:rFonts w:ascii="宋体" w:hAnsi="宋体"/>
                <w:kern w:val="0"/>
                <w:szCs w:val="21"/>
              </w:rPr>
            </w:pPr>
            <w:r>
              <w:rPr>
                <w:rFonts w:ascii="宋体" w:hAnsi="宋体"/>
                <w:kern w:val="0"/>
                <w:szCs w:val="21"/>
              </w:rPr>
              <w:t>1</w:t>
            </w:r>
            <w:r>
              <w:rPr>
                <w:rFonts w:hint="eastAsia" w:ascii="宋体" w:hAnsi="宋体"/>
                <w:kern w:val="0"/>
                <w:szCs w:val="21"/>
              </w:rPr>
              <w:t>项</w:t>
            </w:r>
            <w:r>
              <w:rPr>
                <w:rFonts w:ascii="宋体" w:hAnsi="宋体"/>
                <w:kern w:val="0"/>
                <w:szCs w:val="21"/>
              </w:rPr>
              <w:t xml:space="preserve"> </w:t>
            </w:r>
          </w:p>
        </w:tc>
        <w:tc>
          <w:tcPr>
            <w:tcW w:w="3478" w:type="dxa"/>
            <w:tcBorders>
              <w:top w:val="single" w:color="auto" w:sz="2" w:space="0"/>
            </w:tcBorders>
            <w:vAlign w:val="center"/>
          </w:tcPr>
          <w:p>
            <w:pPr>
              <w:pStyle w:val="112"/>
              <w:spacing w:before="0" w:after="0" w:line="360" w:lineRule="auto"/>
              <w:rPr>
                <w:rFonts w:ascii="宋体" w:hAnsi="宋体"/>
                <w:snapToGrid/>
                <w:spacing w:val="0"/>
                <w:kern w:val="2"/>
                <w:sz w:val="21"/>
                <w:szCs w:val="21"/>
              </w:rPr>
            </w:pPr>
            <w:r>
              <w:rPr>
                <w:rFonts w:hint="eastAsia" w:ascii="宋体" w:hAnsi="宋体" w:cs="宋体"/>
                <w:sz w:val="21"/>
                <w:szCs w:val="21"/>
              </w:rPr>
              <w:t>2024年10月10日起至2025年12月31日或实际发生金额已到达项目预算金额，两者以先到者合同自动终止。合同具体起止时间以合同签订为准</w:t>
            </w:r>
          </w:p>
        </w:tc>
        <w:tc>
          <w:tcPr>
            <w:tcW w:w="1843" w:type="dxa"/>
            <w:tcBorders>
              <w:top w:val="single" w:color="auto" w:sz="2" w:space="0"/>
            </w:tcBorders>
            <w:vAlign w:val="center"/>
          </w:tcPr>
          <w:p>
            <w:pPr>
              <w:spacing w:line="360" w:lineRule="auto"/>
              <w:jc w:val="center"/>
              <w:rPr>
                <w:rFonts w:ascii="宋体" w:hAnsi="宋体"/>
                <w:kern w:val="0"/>
                <w:szCs w:val="21"/>
              </w:rPr>
            </w:pPr>
            <w:r>
              <w:rPr>
                <w:rFonts w:hint="eastAsia" w:ascii="宋体" w:hAnsi="宋体"/>
                <w:kern w:val="0"/>
                <w:szCs w:val="21"/>
              </w:rPr>
              <w:t>人民</w:t>
            </w:r>
            <w:r>
              <w:rPr>
                <w:rFonts w:hint="eastAsia" w:ascii="宋体" w:hAnsi="宋体" w:cs="宋体"/>
                <w:kern w:val="0"/>
                <w:szCs w:val="21"/>
              </w:rPr>
              <w:t>币988</w:t>
            </w:r>
            <w:r>
              <w:rPr>
                <w:rFonts w:hint="eastAsia" w:ascii="宋体" w:hAnsi="宋体" w:cs="宋体"/>
                <w:color w:val="000000" w:themeColor="text1"/>
                <w:szCs w:val="21"/>
                <w:shd w:val="clear" w:color="auto" w:fill="FFFFFF"/>
                <w14:textFill>
                  <w14:solidFill>
                    <w14:schemeClr w14:val="tx1"/>
                  </w14:solidFill>
                </w14:textFill>
              </w:rPr>
              <w:t>00元</w:t>
            </w:r>
          </w:p>
        </w:tc>
      </w:tr>
      <w:bookmarkEnd w:id="1"/>
      <w:bookmarkEnd w:id="2"/>
    </w:tbl>
    <w:p>
      <w:pPr>
        <w:pStyle w:val="16"/>
        <w:numPr>
          <w:ilvl w:val="0"/>
          <w:numId w:val="12"/>
        </w:numPr>
        <w:adjustRightInd w:val="0"/>
        <w:snapToGrid w:val="0"/>
        <w:spacing w:line="360" w:lineRule="auto"/>
        <w:rPr>
          <w:rFonts w:hAnsi="宋体" w:cs="宋体"/>
          <w:b/>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项目概况</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 xml:space="preserve">项目名称： </w:t>
      </w:r>
      <w:r>
        <w:rPr>
          <w:rFonts w:hint="eastAsia" w:ascii="宋体" w:hAnsi="宋体" w:cs="宋体"/>
          <w:kern w:val="0"/>
          <w:szCs w:val="21"/>
          <w:lang w:eastAsia="zh-CN"/>
        </w:rPr>
        <w:t>禅城分公司2024-2025年分前端机房、营业厅及办公场所空调维保维修资格采购项目（第二次竞价）</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项目金额：人民币9.88万元(含税），其中维保服务预算金额3万元(含税），维修服务预算金额6.88万元(含税）。</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采购方式：竞价。</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成交人数：一家。</w:t>
      </w:r>
    </w:p>
    <w:p>
      <w:pPr>
        <w:numPr>
          <w:ilvl w:val="0"/>
          <w:numId w:val="13"/>
        </w:numPr>
        <w:spacing w:line="360" w:lineRule="auto"/>
        <w:jc w:val="left"/>
        <w:rPr>
          <w:rFonts w:ascii="宋体" w:hAnsi="宋体" w:cs="宋体"/>
          <w:kern w:val="0"/>
          <w:szCs w:val="21"/>
        </w:rPr>
      </w:pPr>
      <w:r>
        <w:rPr>
          <w:rFonts w:hint="eastAsia" w:ascii="宋体" w:hAnsi="宋体" w:cs="宋体"/>
          <w:szCs w:val="21"/>
        </w:rPr>
        <w:t>服务期限：2024年10月10日起至2025年12月31日或实际发生金额已到达项目预算金额，两者以先到者合同自动终止。合同具体起止时间以合同签定为准。</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项目内容：禅城分公司</w:t>
      </w:r>
      <w:r>
        <w:rPr>
          <w:rFonts w:hint="eastAsia" w:ascii="宋体" w:hAnsi="宋体" w:cs="宋体"/>
          <w:szCs w:val="21"/>
        </w:rPr>
        <w:t>办公大院、分前端机房及营业厅网点、南庄区域中心等的分体柜机、挂式分体空调机（详见空调设备明细表）维保及维修服务。</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响应人资格要求</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响应人必须是具有独立承担民事责任能力的在中华人民共和国境内注册的法人或其他组织，提供有效的营业执照或法人登记证书复印件。如为独立法人设立的分支机构参加，响应人需提供独立法人出具的唯一授权书，授权书需明确响应人的权限范围，并提交独立法人有效的营业执照或法人登记证书复印件。</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响应人不得存在下列情形之一：被责令停业的；被暂停或取消投标资格的；财产被接管或冻结的；在最近三年内有骗取中标或严重违约的；在投标过程中因重大违规被招标人处罚的；在“信用中国”（www.creditchina.gov.cn）、中国政府采购网www.ccgp.gov.cn）被列入失信被执行人、重大税收违法案件当事人名单、政府采购严重违法失信行为记录名单。按照竞价文件格式作出承诺。</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3）本项目不接受联合体报价，不得转包，不得分包。</w:t>
      </w:r>
    </w:p>
    <w:p>
      <w:pPr>
        <w:numPr>
          <w:ilvl w:val="0"/>
          <w:numId w:val="13"/>
        </w:numPr>
        <w:spacing w:line="360" w:lineRule="auto"/>
        <w:jc w:val="left"/>
        <w:rPr>
          <w:rFonts w:ascii="宋体" w:hAnsi="宋体" w:cs="宋体"/>
          <w:kern w:val="0"/>
          <w:szCs w:val="21"/>
        </w:rPr>
      </w:pPr>
      <w:r>
        <w:rPr>
          <w:rFonts w:hint="eastAsia" w:ascii="宋体" w:hAnsi="宋体" w:cs="宋体"/>
          <w:kern w:val="0"/>
          <w:szCs w:val="21"/>
        </w:rPr>
        <w:t>结算方式</w:t>
      </w:r>
    </w:p>
    <w:p>
      <w:pPr>
        <w:pStyle w:val="131"/>
        <w:spacing w:line="360" w:lineRule="auto"/>
        <w:ind w:left="510"/>
        <w:rPr>
          <w:rFonts w:hint="default" w:ascii="宋体" w:hAnsi="宋体" w:cs="宋体"/>
          <w:b/>
          <w:szCs w:val="21"/>
        </w:rPr>
      </w:pPr>
      <w:r>
        <w:rPr>
          <w:rFonts w:ascii="宋体" w:hAnsi="宋体" w:cs="宋体"/>
          <w:szCs w:val="21"/>
        </w:rPr>
        <w:t>采用银行汇付（含电汇）形式。</w:t>
      </w:r>
    </w:p>
    <w:p>
      <w:pPr>
        <w:spacing w:line="360" w:lineRule="auto"/>
        <w:rPr>
          <w:rFonts w:ascii="宋体" w:hAnsi="宋体" w:cs="宋体"/>
          <w:kern w:val="0"/>
          <w:szCs w:val="21"/>
        </w:rPr>
      </w:pPr>
      <w:r>
        <w:rPr>
          <w:rFonts w:hint="eastAsia" w:ascii="宋体" w:hAnsi="宋体" w:cs="宋体"/>
          <w:kern w:val="0"/>
          <w:szCs w:val="21"/>
        </w:rPr>
        <w:t>1）维保服务费用支付方式</w:t>
      </w:r>
    </w:p>
    <w:p>
      <w:pPr>
        <w:spacing w:line="360" w:lineRule="auto"/>
        <w:ind w:firstLine="420" w:firstLineChars="200"/>
        <w:rPr>
          <w:rFonts w:ascii="宋体" w:hAnsi="宋体" w:cs="宋体"/>
          <w:szCs w:val="21"/>
        </w:rPr>
      </w:pPr>
      <w:r>
        <w:rPr>
          <w:rFonts w:hint="eastAsia" w:ascii="宋体" w:hAnsi="宋体" w:cs="宋体"/>
          <w:szCs w:val="21"/>
        </w:rPr>
        <w:t>服务费半年支付一次。</w:t>
      </w:r>
    </w:p>
    <w:p>
      <w:pPr>
        <w:pStyle w:val="132"/>
        <w:spacing w:line="360" w:lineRule="auto"/>
        <w:ind w:firstLine="420" w:firstLineChars="200"/>
        <w:rPr>
          <w:rFonts w:hAnsi="宋体" w:cs="宋体"/>
        </w:rPr>
      </w:pPr>
      <w:r>
        <w:rPr>
          <w:rFonts w:hint="eastAsia" w:hAnsi="宋体" w:cs="宋体"/>
        </w:rPr>
        <w:t>采购人每6个月对成交人的服务质量进行考核，根据采购人、成交人双方确认的《禅城分公司空调维保、维修服务质量考核表》的评分结果支付。总评分100-90分（包括90分），不扣除该半年度维保费用；90-80分（包括80分），则扣除该半年度维保费用1000元；考核分低于80分，则扣除该半年度维保费用2000元，且采购人有权终止维保资格合同。</w:t>
      </w:r>
    </w:p>
    <w:p>
      <w:pPr>
        <w:spacing w:line="360" w:lineRule="auto"/>
        <w:ind w:firstLine="420" w:firstLineChars="200"/>
        <w:rPr>
          <w:rFonts w:ascii="宋体" w:hAnsi="宋体" w:cs="宋体"/>
          <w:szCs w:val="21"/>
        </w:rPr>
      </w:pPr>
      <w:r>
        <w:rPr>
          <w:rFonts w:hint="eastAsia" w:ascii="宋体" w:hAnsi="宋体" w:cs="宋体"/>
          <w:szCs w:val="21"/>
        </w:rPr>
        <w:t>当成交人完成各办公场所第一次和分前端机房第一、二次清洗保养服务和定期保养点检作业后，经双方确认考核评分结果后，采购人收到成交人开具的等额的增值税专用发票后90日内支付合同中维保服务总额的50%。</w:t>
      </w:r>
    </w:p>
    <w:p>
      <w:pPr>
        <w:spacing w:line="360" w:lineRule="auto"/>
        <w:ind w:firstLine="420" w:firstLineChars="200"/>
        <w:rPr>
          <w:rFonts w:ascii="宋体" w:hAnsi="宋体" w:cs="宋体"/>
          <w:szCs w:val="21"/>
        </w:rPr>
      </w:pPr>
      <w:r>
        <w:rPr>
          <w:rFonts w:hint="eastAsia" w:ascii="宋体" w:hAnsi="宋体" w:cs="宋体"/>
          <w:szCs w:val="21"/>
        </w:rPr>
        <w:t>当成交人完成各办公场所第二次和分前端机房第三、四次保养服务和定期保养点检作业后，经双方确认考核评分结果后，采购人收到成交人开具的等额的增值税专用发票后90日内支付合同中维保服务总额的50%。</w:t>
      </w:r>
    </w:p>
    <w:p>
      <w:pPr>
        <w:spacing w:line="360" w:lineRule="auto"/>
        <w:rPr>
          <w:rFonts w:ascii="宋体" w:hAnsi="宋体" w:cs="宋体"/>
          <w:szCs w:val="21"/>
        </w:rPr>
      </w:pPr>
      <w:r>
        <w:rPr>
          <w:rFonts w:hint="eastAsia" w:ascii="宋体" w:hAnsi="宋体" w:cs="宋体"/>
          <w:szCs w:val="21"/>
        </w:rPr>
        <w:t>2）维修（含零配件）费用支付方式</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合同签订后每6个月结算一次。采购人和成交人双方对前6个月的维修单据进行核对，经双方确认后，成交人出具等额的增值税专用发票给采购人，采购人90日内支付完毕。</w:t>
      </w:r>
    </w:p>
    <w:p>
      <w:pPr>
        <w:pStyle w:val="16"/>
        <w:numPr>
          <w:ilvl w:val="0"/>
          <w:numId w:val="12"/>
        </w:numPr>
        <w:adjustRightInd w:val="0"/>
        <w:snapToGrid w:val="0"/>
        <w:spacing w:line="360" w:lineRule="auto"/>
        <w:rPr>
          <w:rFonts w:hAnsi="宋体" w:cs="宋体"/>
          <w:b/>
          <w:bCs/>
        </w:rPr>
      </w:pPr>
      <w:r>
        <w:rPr>
          <w:rFonts w:hint="eastAsia" w:hAnsi="宋体" w:cs="宋体"/>
          <w:b/>
          <w:bCs/>
        </w:rPr>
        <w:t>项目技术要求明细</w:t>
      </w:r>
    </w:p>
    <w:p>
      <w:pPr>
        <w:spacing w:line="360" w:lineRule="auto"/>
        <w:ind w:firstLine="420" w:firstLineChars="200"/>
        <w:jc w:val="left"/>
        <w:rPr>
          <w:rFonts w:ascii="宋体" w:hAnsi="宋体" w:cs="宋体"/>
          <w:kern w:val="0"/>
          <w:szCs w:val="21"/>
        </w:rPr>
      </w:pPr>
      <w:r>
        <w:rPr>
          <w:rFonts w:hint="eastAsia" w:ascii="宋体" w:hAnsi="宋体" w:cs="宋体"/>
          <w:szCs w:val="21"/>
          <w:lang w:val="zh-CN"/>
        </w:rPr>
        <w:t>一）商务、技术要求</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1）在合同期内对空调进行以下项目的维护保养，并且应达到以下各项技术要求，以保证设备正常运行；</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2）应保证维修保养的工作现场整洁无杂物，工作结束后及时清理现场；</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3）响应人负责本项目服务和维护的技术人员不能少于2人。技术员均是熟练掌握该系统相关技术并有相关资格证明的人员（持上岗证：电工证及空调维修从业人员资格证）；</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4）每次维保、维修后以工作表格方式进行双方签名确认，内容含：本次各空调设备总体运行情况，修复故障情况，清洁情况，更换哪些零件，现场工作人员或负责人签名等。并存档一式三份，一份响应人，二份采购人。</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5）因不可抗力等原因导致响应人未能履行维护义务，则有关维护义务顺延至不可抗力情况消除后即时履行，但应当书面盖章通知采购人相关情况；下列情况下导致的响应人对其发生和后果不能避免、不能克服而不能履行协议承诺，响应人不承担违约责任：</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 由于供电电压不稳定造成的空调设备损坏；</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 自然灾害和不可抗力造成空调设备损坏。</w:t>
      </w:r>
    </w:p>
    <w:p>
      <w:pPr>
        <w:spacing w:line="360" w:lineRule="auto"/>
        <w:ind w:firstLine="420" w:firstLineChars="200"/>
        <w:jc w:val="left"/>
        <w:rPr>
          <w:rFonts w:ascii="宋体" w:hAnsi="宋体" w:cs="宋体"/>
          <w:szCs w:val="21"/>
          <w:lang w:val="zh-CN"/>
        </w:rPr>
      </w:pPr>
      <w:r>
        <w:rPr>
          <w:rFonts w:hint="eastAsia" w:ascii="宋体" w:hAnsi="宋体" w:cs="宋体"/>
          <w:szCs w:val="21"/>
          <w:lang w:val="zh-CN"/>
        </w:rPr>
        <w:t>二）维保服务要求</w:t>
      </w:r>
    </w:p>
    <w:p>
      <w:pPr>
        <w:spacing w:line="360" w:lineRule="auto"/>
        <w:ind w:firstLine="420" w:firstLineChars="200"/>
        <w:jc w:val="left"/>
        <w:rPr>
          <w:rFonts w:ascii="宋体" w:hAnsi="宋体" w:cs="宋体"/>
          <w:szCs w:val="21"/>
        </w:rPr>
      </w:pPr>
      <w:r>
        <w:rPr>
          <w:rFonts w:hint="eastAsia" w:ascii="宋体" w:hAnsi="宋体" w:cs="宋体"/>
          <w:kern w:val="0"/>
          <w:szCs w:val="21"/>
        </w:rPr>
        <w:t>1、</w:t>
      </w:r>
      <w:r>
        <w:rPr>
          <w:rFonts w:hint="eastAsia" w:ascii="宋体" w:hAnsi="宋体" w:cs="宋体"/>
          <w:szCs w:val="21"/>
        </w:rPr>
        <w:t>建立维保档案，针对不同设备的安装时间、使用用途、使用情况、技术性能进行归类整理，为维保提供依据。</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w:t>
      </w:r>
      <w:r>
        <w:rPr>
          <w:rFonts w:hint="eastAsia" w:ascii="宋体" w:hAnsi="宋体" w:cs="宋体"/>
          <w:szCs w:val="21"/>
        </w:rPr>
        <w:t>空调维护清洗周期：办公大院</w:t>
      </w:r>
      <w:r>
        <w:rPr>
          <w:rFonts w:hint="eastAsia" w:ascii="宋体" w:hAnsi="宋体" w:cs="宋体"/>
          <w:kern w:val="0"/>
          <w:szCs w:val="21"/>
        </w:rPr>
        <w:t>、各营业厅网点</w:t>
      </w:r>
      <w:r>
        <w:rPr>
          <w:rFonts w:hint="eastAsia" w:ascii="宋体" w:hAnsi="宋体" w:cs="宋体"/>
          <w:szCs w:val="21"/>
        </w:rPr>
        <w:t>和南庄区域</w:t>
      </w:r>
      <w:r>
        <w:rPr>
          <w:rFonts w:hint="eastAsia" w:ascii="宋体" w:hAnsi="宋体" w:cs="宋体"/>
          <w:kern w:val="0"/>
          <w:szCs w:val="21"/>
        </w:rPr>
        <w:t>中心</w:t>
      </w:r>
      <w:r>
        <w:rPr>
          <w:rFonts w:hint="eastAsia" w:ascii="宋体" w:hAnsi="宋体" w:cs="宋体"/>
          <w:szCs w:val="21"/>
        </w:rPr>
        <w:t>的空调在每年</w:t>
      </w:r>
      <w:r>
        <w:rPr>
          <w:rFonts w:hint="eastAsia" w:ascii="宋体" w:hAnsi="宋体" w:cs="宋体"/>
          <w:kern w:val="0"/>
          <w:szCs w:val="21"/>
        </w:rPr>
        <w:t>4-5月</w:t>
      </w:r>
      <w:r>
        <w:rPr>
          <w:rFonts w:hint="eastAsia" w:ascii="宋体" w:hAnsi="宋体" w:cs="宋体"/>
          <w:szCs w:val="21"/>
        </w:rPr>
        <w:t>清洗一次（每年1次）；分前端机房</w:t>
      </w:r>
      <w:r>
        <w:rPr>
          <w:rFonts w:hint="eastAsia" w:ascii="宋体" w:hAnsi="宋体" w:cs="宋体"/>
          <w:kern w:val="0"/>
          <w:szCs w:val="21"/>
        </w:rPr>
        <w:t>、南庄机房</w:t>
      </w:r>
      <w:r>
        <w:rPr>
          <w:rFonts w:hint="eastAsia" w:ascii="宋体" w:hAnsi="宋体" w:cs="宋体"/>
          <w:szCs w:val="21"/>
        </w:rPr>
        <w:t>空调每个季度清洗一次（每年4次）。</w:t>
      </w:r>
      <w:r>
        <w:rPr>
          <w:rFonts w:hint="eastAsia" w:ascii="宋体" w:hAnsi="宋体" w:cs="宋体"/>
          <w:kern w:val="0"/>
          <w:szCs w:val="21"/>
        </w:rPr>
        <w:t>（每次含内机滤网清洗，并做好相应的清洗记录）。</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3、定期保养作业：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每次空调清洗需包含保养维护，作业内容如下：</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1）各部件压力测定（高压/低压）；</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2）各部件温度测定（室内机出风/回风温度，吐出管/吸入管温度等）；</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3）确认压缩机电动机的运转周波数；</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4）主电源及压缩机的电流、电压与电气相关的绝缘测定；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5）冷媒泄漏、漏油、漏水的检查；运转音、振动等的检查；</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6）对空调运转情况优劣的判定；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7）外壳诱蚀及热交换器的腐蚀及污垢程度等的外观检查；</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8）包含改善提案在内的点检报告书。</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9）检查供电线路系统的电压及相序。</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10）检查空调机压缩机、送风机、电机的绝缘电阻是否正常。</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11）检查空调机内、外机运转时的震动是否正常,并进行调整。</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12）用杀菌药水对空调机的热交换器(蒸发器、冷凝器)等全面清洗干净, 并检查冷凝水排水管是否正常(杀菌药水材料由成交方负责)。</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13）检查清洗空调机滤尘网,并保持空调机表面清洁度。</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14）检测空调机运转时的制冷情况,发现故障马上处理。</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15）用雪种压力表检测空调机运转时的平衡压力,发现有泄漏制冷剂现象立即进行补漏并按额定的标准添加制冷剂。（制冷剂材料费由成交方提供)</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16）检查空调机连接铜管保温、冷凝水排水管、保温包扎带是否有老化现象。(扎带等材料费由成交方提供)</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17)在维护保养期内,如空调制冷系统发生故障,成交方负责免费维修。</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18)对故障空调机更换故障零部件,恢复空调机正常运行。</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4、一般整备作业：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定期作业以外的对保养机器的点检、补修、整备等，其主要内容如下：</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1）消耗性零部件的筹集以及更换、调整修复作业；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2）交换用空气过滤网电池等；</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3）由于消耗、疲劳而产生的故障，预测后进行的调整修复作业；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4）确保空调正常运行的冷媒、润滑油添加；</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5）其它本要领没有明确记述的事项。</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5、特别作业：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1)由于天灾地变、火灾、劳动纠纷等引起的事故后的修复作业；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2)由保养机器以外的设备引起的2次事故的修复作业；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3)对不当操作引起的故障的修复作业；</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4)提出改善建议后仍无法改善，由此引起的故障的修正修复作业。</w:t>
      </w:r>
    </w:p>
    <w:p>
      <w:pPr>
        <w:spacing w:line="360" w:lineRule="auto"/>
        <w:ind w:firstLine="420" w:firstLineChars="200"/>
        <w:jc w:val="left"/>
        <w:rPr>
          <w:rFonts w:ascii="宋体" w:hAnsi="宋体" w:cs="宋体"/>
          <w:szCs w:val="21"/>
        </w:rPr>
      </w:pPr>
      <w:r>
        <w:rPr>
          <w:rFonts w:hint="eastAsia" w:ascii="宋体" w:hAnsi="宋体" w:cs="宋体"/>
          <w:kern w:val="0"/>
          <w:szCs w:val="21"/>
        </w:rPr>
        <w:t>6、</w:t>
      </w:r>
      <w:r>
        <w:rPr>
          <w:rFonts w:hint="eastAsia" w:ascii="宋体" w:hAnsi="宋体" w:cs="宋体"/>
          <w:szCs w:val="21"/>
        </w:rPr>
        <w:t>应急服务方式：当空调发生突发故障时，接到采购人故障通知后2小时内到现场进行抢修，6小时内解决故障。如超出6小时不能解决故障，应在48小时内提出书面解决方案给采购人，由采购人决定是否确定维修事宜。</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7、其它要求： 每次定期巡检过后须出具巡检报告，故障处理之后须出具故障报告。对在维护保养过程中发现的问题或者可能存在的隐患提出专业意见并以书面形式报给采购人。成交人需提供7*24小时电话支持，以及邮件咨询服务支持。根据采购人要求，在采购人进行重大供配电改造时到现场支持保障。</w:t>
      </w:r>
    </w:p>
    <w:p>
      <w:pPr>
        <w:spacing w:line="360" w:lineRule="auto"/>
        <w:ind w:firstLine="420" w:firstLineChars="200"/>
        <w:jc w:val="left"/>
        <w:rPr>
          <w:rFonts w:ascii="宋体" w:hAnsi="宋体" w:cs="宋体"/>
          <w:szCs w:val="21"/>
          <w:lang w:val="zh-CN"/>
        </w:rPr>
      </w:pPr>
      <w:r>
        <w:rPr>
          <w:rFonts w:hint="eastAsia" w:ascii="宋体" w:hAnsi="宋体" w:cs="宋体"/>
          <w:szCs w:val="21"/>
          <w:lang w:val="zh-CN"/>
        </w:rPr>
        <w:t>三）维修服务要求</w:t>
      </w:r>
    </w:p>
    <w:p>
      <w:pPr>
        <w:spacing w:line="360" w:lineRule="auto"/>
        <w:ind w:firstLine="420" w:firstLineChars="200"/>
        <w:jc w:val="left"/>
        <w:rPr>
          <w:rFonts w:ascii="宋体" w:hAnsi="宋体" w:cs="宋体"/>
          <w:kern w:val="0"/>
          <w:szCs w:val="21"/>
        </w:rPr>
      </w:pPr>
      <w:r>
        <w:rPr>
          <w:rFonts w:hint="eastAsia" w:ascii="宋体" w:hAnsi="宋体" w:cs="宋体"/>
          <w:kern w:val="0"/>
          <w:szCs w:val="21"/>
        </w:rPr>
        <w:t>1、如需更换零配件，成交人必须以优惠价格向采购人提供优质的零配件，新更换零配件的质保期详见《维修零件参考模拟数量明细表》（时间自安装调试完毕交付甲方使用之日起），质保期内如非人为因素出现质量问题成交人应免费更换对故障空调机更换故障零部件,恢复空调机正常运行。</w:t>
      </w:r>
    </w:p>
    <w:p>
      <w:pPr>
        <w:spacing w:line="360" w:lineRule="auto"/>
        <w:ind w:firstLine="420"/>
        <w:rPr>
          <w:rFonts w:ascii="宋体" w:hAnsi="宋体" w:cs="宋体"/>
          <w:kern w:val="0"/>
          <w:szCs w:val="21"/>
        </w:rPr>
      </w:pPr>
      <w:r>
        <w:rPr>
          <w:rFonts w:hint="eastAsia" w:ascii="宋体" w:hAnsi="宋体" w:cs="宋体"/>
          <w:kern w:val="0"/>
          <w:szCs w:val="21"/>
        </w:rPr>
        <w:t>四）交付验收及双方责任</w:t>
      </w:r>
    </w:p>
    <w:p>
      <w:pPr>
        <w:tabs>
          <w:tab w:val="left" w:pos="540"/>
        </w:tabs>
        <w:spacing w:line="360" w:lineRule="auto"/>
        <w:ind w:firstLine="420" w:firstLineChars="200"/>
        <w:jc w:val="left"/>
        <w:rPr>
          <w:rFonts w:ascii="宋体" w:hAnsi="宋体" w:cs="宋体"/>
          <w:szCs w:val="21"/>
        </w:rPr>
      </w:pPr>
      <w:r>
        <w:rPr>
          <w:rFonts w:hint="eastAsia" w:ascii="宋体" w:hAnsi="宋体" w:cs="宋体"/>
          <w:szCs w:val="21"/>
        </w:rPr>
        <w:t>1成交人每次维保、维修完成后需填写《禅城分公司空调维保、维修记录表》，经采购人、成交人双方签名确认，并存档一式三份，一份成交人，二份采购人。</w:t>
      </w:r>
    </w:p>
    <w:p>
      <w:pPr>
        <w:tabs>
          <w:tab w:val="left" w:pos="540"/>
        </w:tabs>
        <w:spacing w:line="360" w:lineRule="auto"/>
        <w:ind w:firstLine="420" w:firstLineChars="200"/>
        <w:jc w:val="left"/>
        <w:rPr>
          <w:rFonts w:ascii="宋体" w:hAnsi="宋体" w:cs="宋体"/>
          <w:szCs w:val="21"/>
        </w:rPr>
      </w:pPr>
      <w:r>
        <w:rPr>
          <w:rFonts w:hint="eastAsia" w:ascii="宋体" w:hAnsi="宋体" w:cs="宋体"/>
          <w:szCs w:val="21"/>
        </w:rPr>
        <w:t>2在维保期间，未经成交人同意，采购人不得擅自或委托他人对设备进行维修整改。否则，由此引起一切后果，成交人无须承担责任。</w:t>
      </w:r>
    </w:p>
    <w:p>
      <w:pPr>
        <w:tabs>
          <w:tab w:val="left" w:pos="540"/>
        </w:tabs>
        <w:spacing w:line="360" w:lineRule="auto"/>
        <w:ind w:firstLine="420" w:firstLineChars="200"/>
        <w:jc w:val="left"/>
        <w:rPr>
          <w:rFonts w:ascii="宋体" w:hAnsi="宋体" w:cs="宋体"/>
          <w:kern w:val="0"/>
          <w:szCs w:val="21"/>
        </w:rPr>
      </w:pPr>
      <w:r>
        <w:rPr>
          <w:rFonts w:hint="eastAsia" w:ascii="宋体" w:hAnsi="宋体" w:cs="宋体"/>
          <w:szCs w:val="21"/>
        </w:rPr>
        <w:t>3成交人应对维修安装等工作的适当性、可靠性及安全性负全部责任。对于成交人所雇用的工人和其他人员等第三人受到的任何人身损害或任何经济损失，由成交人自行负责处理并承担损害赔偿等法律责任，与采购人无关。对于这类损害和赔偿，成交人应保障并持续保障采购人不因此负任何责任，且保障采购人不负担涉及这类损害与赔偿或与此有关的索赔、诉讼、损害赔偿、诉讼费、赔偿费及其它费用。若发生以上情况，采购人有权在应支付给成交人的款项中暂扣相应的款项，直至成交人向第三人付清应支付的款项为止。</w:t>
      </w:r>
    </w:p>
    <w:p>
      <w:pPr>
        <w:pStyle w:val="16"/>
        <w:numPr>
          <w:ilvl w:val="0"/>
          <w:numId w:val="12"/>
        </w:numPr>
        <w:adjustRightInd w:val="0"/>
        <w:snapToGrid w:val="0"/>
        <w:spacing w:line="360" w:lineRule="auto"/>
        <w:rPr>
          <w:rFonts w:hAnsi="宋体" w:cs="宋体"/>
          <w:b/>
        </w:rPr>
      </w:pPr>
      <w:r>
        <w:rPr>
          <w:rFonts w:hint="eastAsia" w:hAnsi="宋体" w:cs="宋体"/>
          <w:b/>
        </w:rPr>
        <w:t>维保空调设备明细表</w:t>
      </w:r>
    </w:p>
    <w:p>
      <w:pPr>
        <w:spacing w:line="480" w:lineRule="exact"/>
        <w:ind w:firstLine="420"/>
        <w:jc w:val="left"/>
        <w:rPr>
          <w:rFonts w:ascii="宋体" w:hAnsi="宋体" w:cs="宋体"/>
          <w:b/>
          <w:szCs w:val="21"/>
        </w:rPr>
      </w:pPr>
      <w:r>
        <w:rPr>
          <w:rFonts w:hint="eastAsia" w:ascii="宋体" w:hAnsi="宋体" w:cs="宋体"/>
          <w:b/>
          <w:szCs w:val="21"/>
        </w:rPr>
        <w:t>1、办公楼：</w:t>
      </w:r>
    </w:p>
    <w:tbl>
      <w:tblPr>
        <w:tblStyle w:val="36"/>
        <w:tblW w:w="4998" w:type="pct"/>
        <w:tblInd w:w="0" w:type="dxa"/>
        <w:tblLayout w:type="autofit"/>
        <w:tblCellMar>
          <w:top w:w="0" w:type="dxa"/>
          <w:left w:w="108" w:type="dxa"/>
          <w:bottom w:w="0" w:type="dxa"/>
          <w:right w:w="108" w:type="dxa"/>
        </w:tblCellMar>
      </w:tblPr>
      <w:tblGrid>
        <w:gridCol w:w="1041"/>
        <w:gridCol w:w="2321"/>
        <w:gridCol w:w="2967"/>
        <w:gridCol w:w="2190"/>
      </w:tblGrid>
      <w:tr>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序号</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名称</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型号</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备注</w:t>
            </w: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２匹空调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２匹空调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２匹空调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２匹空调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２匹空调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1.5匹挂机空调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1.5匹挂机空调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5匹天花机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5匹天花机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34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2匹挂机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大金空调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1匹分体机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1.5匹分体机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10匹一拖二</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10匹一拖二</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10匹一拖二</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海信空调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2匹柜机</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科龙空调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102</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103</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104</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105</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106</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107</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108</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三菱空调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27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109</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110</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108" w:type="dxa"/>
            <w:bottom w:w="0" w:type="dxa"/>
            <w:right w:w="108" w:type="dxa"/>
          </w:tblCellMar>
        </w:tblPrEx>
        <w:trPr>
          <w:trHeight w:val="510" w:hRule="atLeast"/>
        </w:trPr>
        <w:tc>
          <w:tcPr>
            <w:tcW w:w="61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111</w:t>
            </w:r>
          </w:p>
        </w:tc>
        <w:tc>
          <w:tcPr>
            <w:tcW w:w="136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41"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5"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bl>
    <w:p>
      <w:pPr>
        <w:numPr>
          <w:ilvl w:val="0"/>
          <w:numId w:val="14"/>
        </w:numPr>
        <w:spacing w:line="480" w:lineRule="exact"/>
        <w:ind w:firstLine="420"/>
        <w:jc w:val="left"/>
        <w:rPr>
          <w:rFonts w:ascii="宋体" w:hAnsi="宋体" w:cs="宋体"/>
          <w:b/>
          <w:szCs w:val="21"/>
        </w:rPr>
      </w:pPr>
      <w:r>
        <w:rPr>
          <w:rFonts w:hint="eastAsia" w:ascii="宋体" w:hAnsi="宋体" w:cs="宋体"/>
          <w:b/>
          <w:szCs w:val="21"/>
        </w:rPr>
        <w:t>分前端及各个网点：</w:t>
      </w:r>
    </w:p>
    <w:tbl>
      <w:tblPr>
        <w:tblStyle w:val="36"/>
        <w:tblW w:w="4999" w:type="pct"/>
        <w:tblInd w:w="0" w:type="dxa"/>
        <w:tblLayout w:type="autofit"/>
        <w:tblCellMar>
          <w:top w:w="0" w:type="dxa"/>
          <w:left w:w="108" w:type="dxa"/>
          <w:bottom w:w="0" w:type="dxa"/>
          <w:right w:w="108" w:type="dxa"/>
        </w:tblCellMar>
      </w:tblPr>
      <w:tblGrid>
        <w:gridCol w:w="1118"/>
        <w:gridCol w:w="2226"/>
        <w:gridCol w:w="2988"/>
        <w:gridCol w:w="2188"/>
      </w:tblGrid>
      <w:tr>
        <w:tblPrEx>
          <w:tblCellMar>
            <w:top w:w="0" w:type="dxa"/>
            <w:left w:w="108" w:type="dxa"/>
            <w:bottom w:w="0" w:type="dxa"/>
            <w:right w:w="108" w:type="dxa"/>
          </w:tblCellMar>
        </w:tblPrEx>
        <w:trPr>
          <w:trHeight w:val="44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序号</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名称</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型号</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存放地点</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东鄱营业厅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东鄱营业厅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东鄱营业厅</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季华机房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季华机房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季华机房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季华机房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港宏机房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港宏机房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普君华府机房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普君华府机房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建设机房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建设机房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红棉机房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红棉机房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燎原机房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燎原机房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玫瑰机房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玫瑰机房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榴苑机房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榴苑机房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明心机房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明心机房</w:t>
            </w:r>
          </w:p>
        </w:tc>
      </w:tr>
      <w:tr>
        <w:tblPrEx>
          <w:tblCellMar>
            <w:top w:w="0" w:type="dxa"/>
            <w:left w:w="108" w:type="dxa"/>
            <w:bottom w:w="0" w:type="dxa"/>
            <w:right w:w="108" w:type="dxa"/>
          </w:tblCellMar>
        </w:tblPrEx>
        <w:trPr>
          <w:trHeight w:val="9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泷景机房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维谛空调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泷景机房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卫国营业厅</w:t>
            </w:r>
          </w:p>
        </w:tc>
      </w:tr>
      <w:tr>
        <w:tblPrEx>
          <w:tblCellMar>
            <w:top w:w="0" w:type="dxa"/>
            <w:left w:w="108" w:type="dxa"/>
            <w:bottom w:w="0" w:type="dxa"/>
            <w:right w:w="108" w:type="dxa"/>
          </w:tblCellMar>
        </w:tblPrEx>
        <w:trPr>
          <w:trHeight w:val="402"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张槎网点</w:t>
            </w:r>
          </w:p>
        </w:tc>
      </w:tr>
      <w:tr>
        <w:tblPrEx>
          <w:tblCellMar>
            <w:top w:w="0" w:type="dxa"/>
            <w:left w:w="108" w:type="dxa"/>
            <w:bottom w:w="0" w:type="dxa"/>
            <w:right w:w="108" w:type="dxa"/>
          </w:tblCellMar>
        </w:tblPrEx>
        <w:trPr>
          <w:trHeight w:val="414"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张槎网点</w:t>
            </w:r>
          </w:p>
        </w:tc>
      </w:tr>
      <w:tr>
        <w:tblPrEx>
          <w:tblCellMar>
            <w:top w:w="0" w:type="dxa"/>
            <w:left w:w="108" w:type="dxa"/>
            <w:bottom w:w="0" w:type="dxa"/>
            <w:right w:w="108" w:type="dxa"/>
          </w:tblCellMar>
        </w:tblPrEx>
        <w:trPr>
          <w:trHeight w:val="39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大金空调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张槎网点</w:t>
            </w:r>
          </w:p>
        </w:tc>
      </w:tr>
      <w:tr>
        <w:tblPrEx>
          <w:tblCellMar>
            <w:top w:w="0" w:type="dxa"/>
            <w:left w:w="108" w:type="dxa"/>
            <w:bottom w:w="0" w:type="dxa"/>
            <w:right w:w="108" w:type="dxa"/>
          </w:tblCellMar>
        </w:tblPrEx>
        <w:trPr>
          <w:trHeight w:val="387"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3匹空调（天花式）</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张槎网点</w:t>
            </w:r>
          </w:p>
        </w:tc>
      </w:tr>
      <w:tr>
        <w:tblPrEx>
          <w:tblCellMar>
            <w:top w:w="0" w:type="dxa"/>
            <w:left w:w="108" w:type="dxa"/>
            <w:bottom w:w="0" w:type="dxa"/>
            <w:right w:w="108" w:type="dxa"/>
          </w:tblCellMar>
        </w:tblPrEx>
        <w:trPr>
          <w:trHeight w:val="505"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大金空调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帝景机房</w:t>
            </w:r>
          </w:p>
        </w:tc>
      </w:tr>
      <w:tr>
        <w:tblPrEx>
          <w:tblCellMar>
            <w:top w:w="0" w:type="dxa"/>
            <w:left w:w="108" w:type="dxa"/>
            <w:bottom w:w="0" w:type="dxa"/>
            <w:right w:w="108" w:type="dxa"/>
          </w:tblCellMar>
        </w:tblPrEx>
        <w:trPr>
          <w:trHeight w:val="454"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大金空调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帝景机房</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1匹空调（挂机）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1匹空调（挂机）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49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1匹空调（挂机）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1匹空调（挂机）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51</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52</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3匹一拖二</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53</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5匹空调天花机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54</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5匹空调天花机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55</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5匹空调天花机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56</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5匹空调天花机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57</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5匹空调天花机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汾江南路营业厅</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58</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绿岛湖网点</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59</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康隹空调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2匹空调（挂机）</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绿岛湖网点</w:t>
            </w:r>
          </w:p>
        </w:tc>
      </w:tr>
      <w:tr>
        <w:tblPrEx>
          <w:tblCellMar>
            <w:top w:w="0" w:type="dxa"/>
            <w:left w:w="108" w:type="dxa"/>
            <w:bottom w:w="0" w:type="dxa"/>
            <w:right w:w="108" w:type="dxa"/>
          </w:tblCellMar>
        </w:tblPrEx>
        <w:trPr>
          <w:trHeight w:val="765" w:hRule="atLeast"/>
        </w:trPr>
        <w:tc>
          <w:tcPr>
            <w:tcW w:w="65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60</w:t>
            </w:r>
          </w:p>
        </w:tc>
        <w:tc>
          <w:tcPr>
            <w:tcW w:w="130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5匹空调</w:t>
            </w:r>
          </w:p>
        </w:tc>
        <w:tc>
          <w:tcPr>
            <w:tcW w:w="1283"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季华机房地下办公室</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61</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季华机房UPS室</w:t>
            </w:r>
          </w:p>
        </w:tc>
      </w:tr>
      <w:tr>
        <w:tblPrEx>
          <w:tblCellMar>
            <w:top w:w="0" w:type="dxa"/>
            <w:left w:w="108" w:type="dxa"/>
            <w:bottom w:w="0" w:type="dxa"/>
            <w:right w:w="108" w:type="dxa"/>
          </w:tblCellMar>
        </w:tblPrEx>
        <w:trPr>
          <w:trHeight w:val="51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62</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2匹挂机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季华机房UPS室</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63</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美的空调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建设机房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64</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文庆机房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65</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文庆机房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66</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格力空调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文庆机房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67</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燎原机房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68</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湖景机房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69</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红棉机房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70</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明心机房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71</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3匹挂机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玫瑰机房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72</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榴苑机房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73</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海尔空调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港宏机房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74</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绿岛湖机房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75</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绿岛湖机房</w:t>
            </w:r>
          </w:p>
        </w:tc>
      </w:tr>
      <w:tr>
        <w:tblPrEx>
          <w:tblCellMar>
            <w:top w:w="0" w:type="dxa"/>
            <w:left w:w="108" w:type="dxa"/>
            <w:bottom w:w="0" w:type="dxa"/>
            <w:right w:w="108" w:type="dxa"/>
          </w:tblCellMar>
        </w:tblPrEx>
        <w:trPr>
          <w:trHeight w:val="9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76</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智慧新城机房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77</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智慧新城机房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78</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智慧新城机房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79</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桂语兰庭机房</w:t>
            </w:r>
          </w:p>
        </w:tc>
      </w:tr>
      <w:tr>
        <w:tblPrEx>
          <w:tblCellMar>
            <w:top w:w="0" w:type="dxa"/>
            <w:left w:w="108" w:type="dxa"/>
            <w:bottom w:w="0" w:type="dxa"/>
            <w:right w:w="108" w:type="dxa"/>
          </w:tblCellMar>
        </w:tblPrEx>
        <w:trPr>
          <w:trHeight w:val="270" w:hRule="atLeast"/>
        </w:trPr>
        <w:tc>
          <w:tcPr>
            <w:tcW w:w="65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80</w:t>
            </w:r>
          </w:p>
        </w:tc>
        <w:tc>
          <w:tcPr>
            <w:tcW w:w="130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英维克空调</w:t>
            </w:r>
          </w:p>
        </w:tc>
        <w:tc>
          <w:tcPr>
            <w:tcW w:w="175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5匹柜机</w:t>
            </w:r>
          </w:p>
        </w:tc>
        <w:tc>
          <w:tcPr>
            <w:tcW w:w="12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spacing w:line="360" w:lineRule="auto"/>
              <w:jc w:val="center"/>
              <w:textAlignment w:val="center"/>
              <w:rPr>
                <w:rFonts w:ascii="宋体" w:hAnsi="宋体" w:cs="宋体"/>
                <w:color w:val="000000"/>
                <w:kern w:val="0"/>
                <w:szCs w:val="21"/>
                <w:u w:val="single"/>
              </w:rPr>
            </w:pPr>
            <w:r>
              <w:rPr>
                <w:rFonts w:hint="eastAsia" w:ascii="宋体" w:hAnsi="宋体" w:cs="宋体"/>
                <w:color w:val="000000"/>
                <w:kern w:val="0"/>
                <w:szCs w:val="21"/>
                <w:u w:val="single"/>
              </w:rPr>
              <w:t>桂语兰庭机房</w:t>
            </w:r>
          </w:p>
        </w:tc>
      </w:tr>
    </w:tbl>
    <w:p>
      <w:pPr>
        <w:pStyle w:val="59"/>
        <w:numPr>
          <w:ilvl w:val="0"/>
          <w:numId w:val="14"/>
        </w:numPr>
        <w:ind w:firstLineChars="0"/>
        <w:rPr>
          <w:rFonts w:ascii="宋体" w:hAnsi="宋体" w:cs="宋体"/>
          <w:b/>
          <w:szCs w:val="21"/>
        </w:rPr>
      </w:pPr>
      <w:r>
        <w:rPr>
          <w:rFonts w:hint="eastAsia" w:ascii="宋体" w:hAnsi="宋体" w:cs="宋体"/>
          <w:b/>
          <w:szCs w:val="21"/>
        </w:rPr>
        <w:t>南庄区域中心：</w:t>
      </w:r>
    </w:p>
    <w:tbl>
      <w:tblPr>
        <w:tblStyle w:val="36"/>
        <w:tblpPr w:leftFromText="180" w:rightFromText="180" w:vertAnchor="text" w:horzAnchor="margin" w:tblpY="71"/>
        <w:tblOverlap w:val="never"/>
        <w:tblW w:w="5000" w:type="pct"/>
        <w:tblInd w:w="0" w:type="dxa"/>
        <w:tblLayout w:type="autofit"/>
        <w:tblCellMar>
          <w:top w:w="0" w:type="dxa"/>
          <w:left w:w="108" w:type="dxa"/>
          <w:bottom w:w="0" w:type="dxa"/>
          <w:right w:w="108" w:type="dxa"/>
        </w:tblCellMar>
      </w:tblPr>
      <w:tblGrid>
        <w:gridCol w:w="1432"/>
        <w:gridCol w:w="1827"/>
        <w:gridCol w:w="1798"/>
        <w:gridCol w:w="2038"/>
        <w:gridCol w:w="1427"/>
      </w:tblGrid>
      <w:tr>
        <w:tblPrEx>
          <w:tblCellMar>
            <w:top w:w="0" w:type="dxa"/>
            <w:left w:w="108" w:type="dxa"/>
            <w:bottom w:w="0" w:type="dxa"/>
            <w:right w:w="108" w:type="dxa"/>
          </w:tblCellMar>
        </w:tblPrEx>
        <w:trPr>
          <w:trHeight w:val="375" w:hRule="atLeast"/>
        </w:trPr>
        <w:tc>
          <w:tcPr>
            <w:tcW w:w="840" w:type="pct"/>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20"/>
              <w:jc w:val="left"/>
              <w:rPr>
                <w:rFonts w:ascii="宋体" w:hAnsi="宋体" w:cs="宋体"/>
                <w:kern w:val="0"/>
                <w:szCs w:val="21"/>
              </w:rPr>
            </w:pPr>
            <w:r>
              <w:rPr>
                <w:rFonts w:hint="eastAsia" w:ascii="宋体" w:hAnsi="宋体" w:cs="宋体"/>
                <w:kern w:val="0"/>
                <w:szCs w:val="21"/>
              </w:rPr>
              <w:t>序号</w:t>
            </w:r>
          </w:p>
        </w:tc>
        <w:tc>
          <w:tcPr>
            <w:tcW w:w="1072" w:type="pct"/>
            <w:tcBorders>
              <w:top w:val="single" w:color="auto" w:sz="4" w:space="0"/>
              <w:left w:val="nil"/>
              <w:bottom w:val="single" w:color="auto" w:sz="4" w:space="0"/>
              <w:right w:val="single" w:color="auto" w:sz="4" w:space="0"/>
            </w:tcBorders>
            <w:vAlign w:val="center"/>
          </w:tcPr>
          <w:p>
            <w:pPr>
              <w:widowControl/>
              <w:spacing w:line="360" w:lineRule="auto"/>
              <w:ind w:firstLine="420"/>
              <w:jc w:val="left"/>
              <w:rPr>
                <w:rFonts w:ascii="宋体" w:hAnsi="宋体" w:cs="宋体"/>
                <w:kern w:val="0"/>
                <w:szCs w:val="21"/>
              </w:rPr>
            </w:pPr>
            <w:r>
              <w:rPr>
                <w:rFonts w:hint="eastAsia" w:ascii="宋体" w:hAnsi="宋体" w:cs="宋体"/>
                <w:kern w:val="0"/>
                <w:szCs w:val="21"/>
              </w:rPr>
              <w:t>名称</w:t>
            </w:r>
          </w:p>
        </w:tc>
        <w:tc>
          <w:tcPr>
            <w:tcW w:w="1055" w:type="pct"/>
            <w:tcBorders>
              <w:top w:val="single" w:color="auto" w:sz="4" w:space="0"/>
              <w:left w:val="nil"/>
              <w:bottom w:val="single" w:color="auto" w:sz="4" w:space="0"/>
              <w:right w:val="single" w:color="auto" w:sz="4" w:space="0"/>
            </w:tcBorders>
            <w:vAlign w:val="center"/>
          </w:tcPr>
          <w:p>
            <w:pPr>
              <w:widowControl/>
              <w:spacing w:line="360" w:lineRule="auto"/>
              <w:ind w:firstLine="420"/>
              <w:jc w:val="left"/>
              <w:rPr>
                <w:rFonts w:ascii="宋体" w:hAnsi="宋体" w:cs="宋体"/>
                <w:kern w:val="0"/>
                <w:szCs w:val="21"/>
              </w:rPr>
            </w:pPr>
            <w:r>
              <w:rPr>
                <w:rFonts w:hint="eastAsia" w:ascii="宋体" w:hAnsi="宋体" w:cs="宋体"/>
                <w:kern w:val="0"/>
                <w:szCs w:val="21"/>
              </w:rPr>
              <w:t>资产型号</w:t>
            </w:r>
          </w:p>
        </w:tc>
        <w:tc>
          <w:tcPr>
            <w:tcW w:w="1196" w:type="pct"/>
            <w:tcBorders>
              <w:top w:val="single" w:color="auto" w:sz="4" w:space="0"/>
              <w:left w:val="nil"/>
              <w:bottom w:val="single" w:color="auto" w:sz="4" w:space="0"/>
              <w:right w:val="single" w:color="auto" w:sz="4" w:space="0"/>
            </w:tcBorders>
            <w:vAlign w:val="center"/>
          </w:tcPr>
          <w:p>
            <w:pPr>
              <w:widowControl/>
              <w:spacing w:line="360" w:lineRule="auto"/>
              <w:ind w:firstLine="420"/>
              <w:jc w:val="left"/>
              <w:rPr>
                <w:rFonts w:ascii="宋体" w:hAnsi="宋体" w:cs="宋体"/>
                <w:kern w:val="0"/>
                <w:szCs w:val="21"/>
              </w:rPr>
            </w:pPr>
            <w:r>
              <w:rPr>
                <w:rFonts w:hint="eastAsia" w:ascii="宋体" w:hAnsi="宋体" w:cs="宋体"/>
                <w:kern w:val="0"/>
                <w:szCs w:val="21"/>
              </w:rPr>
              <w:t>存放地点</w:t>
            </w:r>
          </w:p>
        </w:tc>
        <w:tc>
          <w:tcPr>
            <w:tcW w:w="838" w:type="pct"/>
            <w:tcBorders>
              <w:top w:val="single" w:color="auto" w:sz="4" w:space="0"/>
              <w:left w:val="nil"/>
              <w:bottom w:val="single" w:color="auto" w:sz="4" w:space="0"/>
              <w:right w:val="single" w:color="auto" w:sz="4" w:space="0"/>
            </w:tcBorders>
            <w:vAlign w:val="center"/>
          </w:tcPr>
          <w:p>
            <w:pPr>
              <w:widowControl/>
              <w:spacing w:line="360" w:lineRule="auto"/>
              <w:ind w:firstLine="420"/>
              <w:jc w:val="left"/>
              <w:rPr>
                <w:rFonts w:ascii="宋体" w:hAnsi="宋体" w:cs="宋体"/>
                <w:kern w:val="0"/>
                <w:szCs w:val="21"/>
              </w:rPr>
            </w:pPr>
            <w:r>
              <w:rPr>
                <w:rFonts w:hint="eastAsia" w:ascii="宋体" w:hAnsi="宋体" w:cs="宋体"/>
                <w:kern w:val="0"/>
                <w:szCs w:val="21"/>
              </w:rPr>
              <w:t>备注</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1072" w:type="pct"/>
            <w:tcBorders>
              <w:top w:val="single" w:color="auto" w:sz="4" w:space="0"/>
              <w:left w:val="nil"/>
              <w:bottom w:val="single" w:color="auto" w:sz="4" w:space="0"/>
              <w:right w:val="single" w:color="auto" w:sz="4" w:space="0"/>
            </w:tcBorders>
            <w:shd w:val="clear" w:color="000000" w:fill="auto"/>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single" w:color="auto" w:sz="4" w:space="0"/>
              <w:left w:val="nil"/>
              <w:bottom w:val="single" w:color="auto" w:sz="4" w:space="0"/>
              <w:right w:val="single" w:color="auto" w:sz="4" w:space="0"/>
            </w:tcBorders>
            <w:shd w:val="clear" w:color="000000" w:fill="auto"/>
            <w:vAlign w:val="center"/>
          </w:tcPr>
          <w:p>
            <w:pPr>
              <w:widowControl/>
              <w:spacing w:line="360" w:lineRule="auto"/>
              <w:jc w:val="center"/>
              <w:rPr>
                <w:rFonts w:ascii="宋体" w:hAnsi="宋体" w:cs="宋体"/>
                <w:kern w:val="0"/>
                <w:szCs w:val="21"/>
              </w:rPr>
            </w:pPr>
            <w:r>
              <w:rPr>
                <w:rFonts w:hint="eastAsia" w:ascii="宋体" w:hAnsi="宋体" w:cs="宋体"/>
                <w:kern w:val="0"/>
                <w:szCs w:val="21"/>
              </w:rPr>
              <w:t>二匹柜机</w:t>
            </w:r>
          </w:p>
        </w:tc>
        <w:tc>
          <w:tcPr>
            <w:tcW w:w="1196" w:type="pct"/>
            <w:tcBorders>
              <w:top w:val="single" w:color="auto" w:sz="4" w:space="0"/>
              <w:left w:val="nil"/>
              <w:bottom w:val="single" w:color="auto" w:sz="4" w:space="0"/>
              <w:right w:val="single" w:color="auto" w:sz="4" w:space="0"/>
            </w:tcBorders>
            <w:shd w:val="clear" w:color="000000" w:fill="auto"/>
            <w:vAlign w:val="center"/>
          </w:tcPr>
          <w:p>
            <w:pPr>
              <w:widowControl/>
              <w:spacing w:line="360" w:lineRule="auto"/>
              <w:jc w:val="center"/>
              <w:rPr>
                <w:rFonts w:ascii="宋体" w:hAnsi="宋体" w:cs="宋体"/>
                <w:kern w:val="0"/>
                <w:szCs w:val="21"/>
              </w:rPr>
            </w:pPr>
            <w:r>
              <w:rPr>
                <w:rFonts w:hint="eastAsia" w:ascii="宋体" w:hAnsi="宋体" w:cs="宋体"/>
                <w:kern w:val="0"/>
                <w:szCs w:val="21"/>
              </w:rPr>
              <w:t>值班室</w:t>
            </w:r>
          </w:p>
        </w:tc>
        <w:tc>
          <w:tcPr>
            <w:tcW w:w="838" w:type="pct"/>
            <w:tcBorders>
              <w:top w:val="single" w:color="auto" w:sz="4" w:space="0"/>
              <w:left w:val="nil"/>
              <w:bottom w:val="single" w:color="auto" w:sz="4" w:space="0"/>
              <w:right w:val="single" w:color="auto" w:sz="4" w:space="0"/>
            </w:tcBorders>
            <w:shd w:val="clear" w:color="000000" w:fill="auto"/>
            <w:vAlign w:val="center"/>
          </w:tcPr>
          <w:p>
            <w:pPr>
              <w:widowControl/>
              <w:spacing w:line="360" w:lineRule="auto"/>
              <w:jc w:val="center"/>
              <w:rPr>
                <w:rFonts w:ascii="宋体" w:hAnsi="宋体" w:cs="宋体"/>
                <w:color w:val="FF0000"/>
                <w:kern w:val="0"/>
                <w:szCs w:val="21"/>
              </w:rPr>
            </w:pPr>
            <w:r>
              <w:rPr>
                <w:rFonts w:hint="eastAsia" w:ascii="宋体" w:hAnsi="宋体" w:cs="宋体"/>
                <w:kern w:val="0"/>
                <w:szCs w:val="21"/>
              </w:rPr>
              <w:t>一楼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2</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三匹柜机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市场部</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一楼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3</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五匹柜机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营业厅</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一楼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4</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五匹柜机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营业厅</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一楼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5</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三匹柜机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行政部</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二楼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kern w:val="0"/>
                <w:szCs w:val="21"/>
              </w:rPr>
            </w:pPr>
            <w:r>
              <w:rPr>
                <w:rFonts w:hint="eastAsia" w:ascii="宋体" w:hAnsi="宋体" w:cs="宋体"/>
                <w:kern w:val="0"/>
                <w:szCs w:val="21"/>
              </w:rPr>
              <w:t>6</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二匹柜机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经理室</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二楼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7</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二匹柜机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副经理室</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二楼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8</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会议室</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二楼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9</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三匹柜机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资料室</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10</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机房</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11</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机房</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五楼</w:t>
            </w:r>
          </w:p>
        </w:tc>
      </w:tr>
      <w:tr>
        <w:tblPrEx>
          <w:tblCellMar>
            <w:top w:w="0" w:type="dxa"/>
            <w:left w:w="108" w:type="dxa"/>
            <w:bottom w:w="0" w:type="dxa"/>
            <w:right w:w="108" w:type="dxa"/>
          </w:tblCellMar>
        </w:tblPrEx>
        <w:trPr>
          <w:trHeight w:val="375" w:hRule="atLeast"/>
        </w:trPr>
        <w:tc>
          <w:tcPr>
            <w:tcW w:w="840" w:type="pct"/>
            <w:tcBorders>
              <w:top w:val="nil"/>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ascii="宋体" w:hAnsi="宋体" w:cs="宋体"/>
                <w:szCs w:val="21"/>
              </w:rPr>
            </w:pPr>
            <w:r>
              <w:rPr>
                <w:rFonts w:hint="eastAsia" w:ascii="宋体" w:hAnsi="宋体" w:cs="宋体"/>
                <w:szCs w:val="21"/>
              </w:rPr>
              <w:t>12</w:t>
            </w:r>
          </w:p>
        </w:tc>
        <w:tc>
          <w:tcPr>
            <w:tcW w:w="1072"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格力空调</w:t>
            </w:r>
          </w:p>
        </w:tc>
        <w:tc>
          <w:tcPr>
            <w:tcW w:w="1055"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三匹柜机</w:t>
            </w:r>
          </w:p>
        </w:tc>
        <w:tc>
          <w:tcPr>
            <w:tcW w:w="1196"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机房</w:t>
            </w:r>
          </w:p>
        </w:tc>
        <w:tc>
          <w:tcPr>
            <w:tcW w:w="838" w:type="pct"/>
            <w:tcBorders>
              <w:top w:val="nil"/>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五楼</w:t>
            </w:r>
          </w:p>
        </w:tc>
      </w:tr>
    </w:tbl>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b/>
          <w:bCs/>
          <w:kern w:val="0"/>
          <w:szCs w:val="21"/>
        </w:rPr>
      </w:pPr>
    </w:p>
    <w:p>
      <w:pPr>
        <w:rPr>
          <w:rFonts w:ascii="宋体" w:hAnsi="宋体" w:cs="宋体"/>
          <w:b/>
          <w:bCs/>
          <w:kern w:val="0"/>
          <w:szCs w:val="21"/>
        </w:rPr>
      </w:pPr>
    </w:p>
    <w:p>
      <w:pPr>
        <w:rPr>
          <w:rFonts w:ascii="宋体" w:hAnsi="宋体" w:cs="宋体"/>
          <w:b/>
          <w:bCs/>
          <w:kern w:val="0"/>
          <w:szCs w:val="21"/>
        </w:rPr>
      </w:pPr>
    </w:p>
    <w:p>
      <w:pPr>
        <w:rPr>
          <w:rFonts w:ascii="宋体" w:hAnsi="宋体" w:cs="宋体"/>
        </w:rPr>
      </w:pPr>
    </w:p>
    <w:p>
      <w:pPr>
        <w:pStyle w:val="16"/>
        <w:adjustRightInd w:val="0"/>
        <w:snapToGrid w:val="0"/>
        <w:spacing w:line="360" w:lineRule="auto"/>
        <w:rPr>
          <w:rFonts w:hAnsi="宋体" w:cs="宋体"/>
          <w:b/>
          <w:bCs/>
          <w:sz w:val="21"/>
        </w:rPr>
      </w:pPr>
      <w:r>
        <w:rPr>
          <w:rFonts w:hint="eastAsia" w:hAnsi="宋体" w:cs="宋体"/>
          <w:b/>
          <w:bCs/>
          <w:sz w:val="21"/>
        </w:rPr>
        <w:t>五、维修零件参考模拟维修零件参考模拟数量明细表</w:t>
      </w:r>
    </w:p>
    <w:tbl>
      <w:tblPr>
        <w:tblStyle w:val="36"/>
        <w:tblW w:w="4998" w:type="pct"/>
        <w:jc w:val="center"/>
        <w:tblLayout w:type="autofit"/>
        <w:tblCellMar>
          <w:top w:w="15" w:type="dxa"/>
          <w:left w:w="15" w:type="dxa"/>
          <w:bottom w:w="15" w:type="dxa"/>
          <w:right w:w="15" w:type="dxa"/>
        </w:tblCellMar>
      </w:tblPr>
      <w:tblGrid>
        <w:gridCol w:w="565"/>
        <w:gridCol w:w="1926"/>
        <w:gridCol w:w="2223"/>
        <w:gridCol w:w="1126"/>
        <w:gridCol w:w="1092"/>
        <w:gridCol w:w="1401"/>
      </w:tblGrid>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序号</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项目名称</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规格型号</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单位</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模拟数量</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备注</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 w:val="18"/>
                <w:szCs w:val="21"/>
              </w:rPr>
            </w:pPr>
            <w:r>
              <w:rPr>
                <w:rFonts w:hint="eastAsia" w:ascii="宋体" w:hAnsi="宋体" w:cs="宋体"/>
                <w:szCs w:val="21"/>
              </w:rPr>
              <w:t>拆卸空调</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安装空调</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增加/更换铜管</w:t>
            </w: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1匹机型</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60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1.5-2匹机型</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60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60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60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13</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增加/更换电源线、</w:t>
            </w:r>
          </w:p>
          <w:p>
            <w:pPr>
              <w:spacing w:line="360" w:lineRule="auto"/>
              <w:jc w:val="center"/>
              <w:rPr>
                <w:rFonts w:ascii="宋体" w:hAnsi="宋体" w:cs="宋体"/>
                <w:szCs w:val="21"/>
              </w:rPr>
            </w:pPr>
            <w:r>
              <w:rPr>
                <w:rFonts w:hint="eastAsia" w:ascii="宋体" w:hAnsi="宋体" w:cs="宋体"/>
                <w:szCs w:val="21"/>
              </w:rPr>
              <w:t>控制线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3×1.5mm2联机电源线</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3×2.5mm2联机电源线</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5×2.5mm2联机电源线</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3×1.5mm2护套线</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5×1.5mm2护套线</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54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18</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增加/更换橡塑保温管（含扎带）</w:t>
            </w: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∮6×13mm/B1级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∮10×13mm/B1级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∮13×13mm/B1级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∮16×15mm/B1级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∮20×15mm/B1级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∮22×15mm/B1级</w:t>
            </w:r>
          </w:p>
        </w:tc>
        <w:tc>
          <w:tcPr>
            <w:tcW w:w="67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30</w:t>
            </w:r>
          </w:p>
        </w:tc>
        <w:tc>
          <w:tcPr>
            <w:tcW w:w="840" w:type="pct"/>
            <w:tcBorders>
              <w:top w:val="single" w:color="000000" w:sz="4" w:space="0"/>
              <w:left w:val="nil"/>
              <w:bottom w:val="single" w:color="000000" w:sz="4" w:space="0"/>
              <w:right w:val="single" w:color="000000" w:sz="4" w:space="0"/>
            </w:tcBorders>
            <w:shd w:val="clear" w:color="auto" w:fill="FFFFFF"/>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555"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24</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增加/更换PVC排水管（含直通、弯头、三通连接附件）</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4分PVC塑料管</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6分PVC塑料管</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26</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增加/更换塑料波纹排水管</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4分塑料软管</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米</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27</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增加/更换遥控器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1000合1多功能遥控</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原装牌子空调遥控</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18</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29</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更换压缩机</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1匹涡旋式压缩机</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1.5匹涡旋式压缩机</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2匹涡旋式压缩机</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3匹涡旋式压缩机</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5匹涡旋式压缩机</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34</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更换室内机电路板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原厂牌子1匹机型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39</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更换室外机电路板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41</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更换空调接收板、显示板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原厂牌子1匹机型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原厂牌子5匹机型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46</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更换室内机风机电机</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50</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更换室内机导叶摇摆</w:t>
            </w:r>
          </w:p>
          <w:p>
            <w:pPr>
              <w:spacing w:line="360" w:lineRule="auto"/>
              <w:jc w:val="center"/>
              <w:rPr>
                <w:rFonts w:ascii="宋体" w:hAnsi="宋体" w:cs="宋体"/>
                <w:szCs w:val="21"/>
              </w:rPr>
            </w:pPr>
            <w:r>
              <w:rPr>
                <w:rFonts w:hint="eastAsia" w:ascii="宋体" w:hAnsi="宋体" w:cs="宋体"/>
                <w:szCs w:val="21"/>
              </w:rPr>
              <w:t>电机</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54</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更换室外机风机电机</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58</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更换室内机送风轮</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1匹室内贯流翼式</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1.5匹室内贯流翼式</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2匹室内贯流翼式</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3匹室内离心式</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5匹室内离心式</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63</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更换室外机散热风扇叶</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67</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更换温度传感器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5KΩ</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10KΩ</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15KΩ</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20KΩ</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50KΩ</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72</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更换压力保护监测装置</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低压保护压力传感器</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高压保护压力传感器</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排气温度保护传感器</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48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75</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更换压缩机控制交流接触器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380V/25A</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rPr>
          <w:trHeight w:val="45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76</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更换压缩机控热继电器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77</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更换变压器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220V-12V转换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220V-12V-9V转换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4</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79</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更换室外机过流保护器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件</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81</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更换空调四通换向阀</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84</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85</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更换铜角阀</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∮6×25</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∮10×25</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∮12×25</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∮16×30</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89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∮19×30</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90</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更换压缩机启动电容</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93</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更换室外风机电容</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94</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更换压缩机插脚线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条</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95</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增加/更换空调外机支架</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1-2匹普通型不锈钢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3匹普通型不锈钢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5匹普通型不锈钢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98</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3匹加厚型豪华型不锈钢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99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5匹加厚型豪华型不锈钢</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100</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更换室内机接水盆</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9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102</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104</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更换室内机导风摆叶</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108</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更换节流装置</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109</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110</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111</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套</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112</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更换室外机贮液器</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113</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114</w:t>
            </w:r>
          </w:p>
        </w:tc>
        <w:tc>
          <w:tcPr>
            <w:tcW w:w="1155" w:type="pct"/>
            <w:vMerge w:val="restart"/>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更换散热风机电机轴承</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115</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2匹机型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116</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3匹机型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117</w:t>
            </w:r>
          </w:p>
        </w:tc>
        <w:tc>
          <w:tcPr>
            <w:tcW w:w="1155" w:type="pct"/>
            <w:vMerge w:val="continue"/>
            <w:tcBorders>
              <w:top w:val="nil"/>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118</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钎焊银焊条</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支</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5</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119</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空调机拆机高空施工作业费</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120</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空调机安装高空施工作业费</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台</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6</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121</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开钻空调孔（砖墙）</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r>
        <w:tblPrEx>
          <w:tblCellMar>
            <w:top w:w="15" w:type="dxa"/>
            <w:left w:w="15" w:type="dxa"/>
            <w:bottom w:w="15" w:type="dxa"/>
            <w:right w:w="15" w:type="dxa"/>
          </w:tblCellMar>
        </w:tblPrEx>
        <w:trPr>
          <w:trHeight w:val="360" w:hRule="atLeast"/>
          <w:jc w:val="center"/>
        </w:trPr>
        <w:tc>
          <w:tcPr>
            <w:tcW w:w="339"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122</w:t>
            </w:r>
          </w:p>
        </w:tc>
        <w:tc>
          <w:tcPr>
            <w:tcW w:w="11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开钻空调孔（混凝土）</w:t>
            </w:r>
          </w:p>
        </w:tc>
        <w:tc>
          <w:tcPr>
            <w:tcW w:w="1333"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1-5匹机型</w:t>
            </w:r>
          </w:p>
        </w:tc>
        <w:tc>
          <w:tcPr>
            <w:tcW w:w="67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个</w:t>
            </w:r>
          </w:p>
        </w:tc>
        <w:tc>
          <w:tcPr>
            <w:tcW w:w="655"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r>
              <w:rPr>
                <w:rFonts w:hint="eastAsia" w:ascii="宋体" w:hAnsi="宋体" w:cs="宋体"/>
                <w:szCs w:val="21"/>
              </w:rPr>
              <w:t>10</w:t>
            </w:r>
          </w:p>
        </w:tc>
        <w:tc>
          <w:tcPr>
            <w:tcW w:w="840"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szCs w:val="21"/>
              </w:rPr>
            </w:pPr>
          </w:p>
        </w:tc>
      </w:tr>
    </w:tbl>
    <w:p>
      <w:pPr>
        <w:jc w:val="center"/>
        <w:rPr>
          <w:rFonts w:ascii="宋体" w:hAnsi="宋体" w:cs="宋体"/>
        </w:rPr>
      </w:pPr>
      <w:r>
        <w:rPr>
          <w:rFonts w:hint="eastAsia" w:ascii="宋体" w:hAnsi="宋体" w:cs="仿宋_GB2312"/>
          <w:color w:val="000000"/>
          <w:sz w:val="20"/>
        </w:rPr>
        <w:t>（注：以上项目数量以实际工作量结算，单价不变，响应报价为项目全包价,对零件更换部分说明，报价人在报价时一同提交不高于市场平均价格的维修服务报价清单及零配件清单）</w:t>
      </w:r>
    </w:p>
    <w:p>
      <w:pPr>
        <w:jc w:val="center"/>
        <w:rPr>
          <w:rFonts w:ascii="宋体" w:hAnsi="宋体" w:cs="宋体"/>
        </w:rPr>
      </w:pPr>
    </w:p>
    <w:p>
      <w:pPr>
        <w:jc w:val="both"/>
        <w:rPr>
          <w:rFonts w:ascii="宋体" w:hAnsi="宋体" w:cs="宋体"/>
          <w:b/>
          <w:bCs/>
          <w:sz w:val="32"/>
          <w:szCs w:val="32"/>
        </w:rPr>
      </w:pPr>
    </w:p>
    <w:p>
      <w:pPr>
        <w:jc w:val="center"/>
        <w:rPr>
          <w:rFonts w:ascii="宋体" w:hAnsi="宋体" w:cs="宋体"/>
          <w:sz w:val="32"/>
          <w:szCs w:val="32"/>
        </w:rPr>
      </w:pPr>
      <w:r>
        <w:rPr>
          <w:rFonts w:hint="eastAsia" w:ascii="宋体" w:hAnsi="宋体" w:cs="宋体"/>
          <w:b/>
          <w:bCs/>
          <w:sz w:val="32"/>
          <w:szCs w:val="32"/>
        </w:rPr>
        <w:t>禅城分公司空调机维保、维修记录表</w:t>
      </w:r>
    </w:p>
    <w:p>
      <w:pPr>
        <w:jc w:val="center"/>
        <w:rPr>
          <w:rFonts w:ascii="宋体" w:hAnsi="宋体" w:cs="宋体"/>
          <w:sz w:val="24"/>
        </w:rPr>
      </w:pPr>
      <w:r>
        <w:rPr>
          <w:rFonts w:hint="eastAsia" w:ascii="宋体" w:hAnsi="宋体" w:cs="宋体"/>
          <w:sz w:val="24"/>
        </w:rPr>
        <w:t>年  月  日</w:t>
      </w:r>
    </w:p>
    <w:tbl>
      <w:tblPr>
        <w:tblStyle w:val="36"/>
        <w:tblpPr w:leftFromText="180" w:rightFromText="180" w:vertAnchor="text" w:horzAnchor="page" w:tblpX="1101" w:tblpY="292"/>
        <w:tblOverlap w:val="never"/>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7"/>
        <w:gridCol w:w="1426"/>
        <w:gridCol w:w="1426"/>
        <w:gridCol w:w="1426"/>
        <w:gridCol w:w="1426"/>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申请部门</w:t>
            </w:r>
          </w:p>
        </w:tc>
        <w:tc>
          <w:tcPr>
            <w:tcW w:w="837" w:type="pct"/>
            <w:vAlign w:val="center"/>
          </w:tcPr>
          <w:p>
            <w:pPr>
              <w:ind w:right="-70"/>
              <w:jc w:val="center"/>
              <w:rPr>
                <w:rFonts w:ascii="宋体" w:hAnsi="宋体" w:cs="宋体"/>
                <w:sz w:val="20"/>
                <w:szCs w:val="20"/>
              </w:rPr>
            </w:pPr>
          </w:p>
        </w:tc>
        <w:tc>
          <w:tcPr>
            <w:tcW w:w="837" w:type="pct"/>
            <w:vAlign w:val="center"/>
          </w:tcPr>
          <w:p>
            <w:pPr>
              <w:ind w:right="-67"/>
              <w:jc w:val="center"/>
              <w:rPr>
                <w:rFonts w:ascii="宋体" w:hAnsi="宋体" w:cs="宋体"/>
                <w:sz w:val="20"/>
                <w:szCs w:val="20"/>
              </w:rPr>
            </w:pPr>
            <w:r>
              <w:rPr>
                <w:rFonts w:hint="eastAsia" w:ascii="宋体" w:hAnsi="宋体" w:cs="宋体"/>
                <w:sz w:val="20"/>
                <w:szCs w:val="20"/>
              </w:rPr>
              <w:t>申请人</w:t>
            </w:r>
          </w:p>
        </w:tc>
        <w:tc>
          <w:tcPr>
            <w:tcW w:w="837" w:type="pct"/>
            <w:vAlign w:val="center"/>
          </w:tcPr>
          <w:p>
            <w:pPr>
              <w:ind w:right="-65"/>
              <w:jc w:val="center"/>
              <w:rPr>
                <w:rFonts w:ascii="宋体" w:hAnsi="宋体" w:cs="宋体"/>
                <w:sz w:val="20"/>
                <w:szCs w:val="20"/>
              </w:rPr>
            </w:pPr>
          </w:p>
        </w:tc>
        <w:tc>
          <w:tcPr>
            <w:tcW w:w="837" w:type="pct"/>
            <w:vAlign w:val="center"/>
          </w:tcPr>
          <w:p>
            <w:pPr>
              <w:ind w:right="-67"/>
              <w:jc w:val="center"/>
              <w:rPr>
                <w:rFonts w:ascii="宋体" w:hAnsi="宋体" w:cs="宋体"/>
                <w:sz w:val="20"/>
                <w:szCs w:val="20"/>
              </w:rPr>
            </w:pPr>
            <w:r>
              <w:rPr>
                <w:rFonts w:hint="eastAsia" w:ascii="宋体" w:hAnsi="宋体" w:cs="宋体"/>
                <w:sz w:val="20"/>
                <w:szCs w:val="20"/>
              </w:rPr>
              <w:t>电 话</w:t>
            </w:r>
          </w:p>
        </w:tc>
        <w:tc>
          <w:tcPr>
            <w:tcW w:w="936" w:type="pct"/>
            <w:vAlign w:val="center"/>
          </w:tcPr>
          <w:p>
            <w:pPr>
              <w:ind w:right="-58"/>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故障空调机存放地点</w:t>
            </w:r>
          </w:p>
        </w:tc>
        <w:tc>
          <w:tcPr>
            <w:tcW w:w="4285" w:type="pct"/>
            <w:gridSpan w:val="5"/>
          </w:tcPr>
          <w:p>
            <w:pPr>
              <w:ind w:right="-58"/>
              <w:jc w:val="center"/>
              <w:rPr>
                <w:rFonts w:ascii="宋体" w:hAnsi="宋体" w:cs="宋体"/>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故障现象</w:t>
            </w:r>
          </w:p>
        </w:tc>
        <w:tc>
          <w:tcPr>
            <w:tcW w:w="4285" w:type="pct"/>
            <w:gridSpan w:val="5"/>
          </w:tcPr>
          <w:p>
            <w:pPr>
              <w:ind w:right="-58"/>
              <w:jc w:val="center"/>
              <w:rPr>
                <w:rFonts w:ascii="宋体" w:hAnsi="宋体" w:cs="宋体"/>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申请部门负责人意见</w:t>
            </w:r>
          </w:p>
        </w:tc>
        <w:tc>
          <w:tcPr>
            <w:tcW w:w="4285" w:type="pct"/>
            <w:gridSpan w:val="5"/>
          </w:tcPr>
          <w:p>
            <w:pPr>
              <w:ind w:right="-58"/>
              <w:jc w:val="center"/>
              <w:rPr>
                <w:rFonts w:ascii="宋体" w:hAnsi="宋体" w:cs="宋体"/>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714" w:type="pct"/>
            <w:vAlign w:val="center"/>
          </w:tcPr>
          <w:p>
            <w:pPr>
              <w:ind w:right="-72"/>
              <w:jc w:val="center"/>
              <w:rPr>
                <w:rFonts w:ascii="宋体" w:hAnsi="宋体" w:cs="宋体"/>
                <w:sz w:val="22"/>
                <w:szCs w:val="22"/>
              </w:rPr>
            </w:pPr>
            <w:r>
              <w:rPr>
                <w:rFonts w:hint="eastAsia" w:ascii="宋体" w:hAnsi="宋体" w:cs="宋体"/>
                <w:sz w:val="20"/>
                <w:szCs w:val="20"/>
              </w:rPr>
              <w:t>综合部负责人意见</w:t>
            </w:r>
          </w:p>
        </w:tc>
        <w:tc>
          <w:tcPr>
            <w:tcW w:w="4285" w:type="pct"/>
            <w:gridSpan w:val="5"/>
          </w:tcPr>
          <w:p>
            <w:pPr>
              <w:ind w:right="-58"/>
              <w:jc w:val="center"/>
              <w:rPr>
                <w:rFonts w:ascii="宋体" w:hAnsi="宋体" w:cs="宋体"/>
                <w:sz w:val="22"/>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维护、维修通知时间（双方现场负责人签名确认）</w:t>
            </w:r>
          </w:p>
        </w:tc>
        <w:tc>
          <w:tcPr>
            <w:tcW w:w="4285" w:type="pct"/>
            <w:gridSpan w:val="5"/>
          </w:tcPr>
          <w:p>
            <w:pPr>
              <w:ind w:right="-58"/>
              <w:jc w:val="center"/>
              <w:rPr>
                <w:rFonts w:ascii="宋体" w:hAnsi="宋体" w:cs="宋体"/>
                <w:sz w:val="22"/>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维护、维修完成时间（双方现场负责人签名确认）</w:t>
            </w:r>
          </w:p>
        </w:tc>
        <w:tc>
          <w:tcPr>
            <w:tcW w:w="4285" w:type="pct"/>
            <w:gridSpan w:val="5"/>
          </w:tcPr>
          <w:p>
            <w:pPr>
              <w:ind w:right="-58"/>
              <w:jc w:val="center"/>
              <w:rPr>
                <w:rFonts w:ascii="宋体" w:hAnsi="宋体" w:cs="宋体"/>
                <w:sz w:val="22"/>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714" w:type="pct"/>
            <w:vAlign w:val="center"/>
          </w:tcPr>
          <w:p>
            <w:pPr>
              <w:ind w:right="-72"/>
              <w:jc w:val="center"/>
              <w:rPr>
                <w:rFonts w:ascii="宋体" w:hAnsi="宋体" w:cs="宋体"/>
                <w:sz w:val="20"/>
                <w:szCs w:val="20"/>
              </w:rPr>
            </w:pPr>
            <w:r>
              <w:rPr>
                <w:rFonts w:hint="eastAsia" w:ascii="宋体" w:hAnsi="宋体" w:cs="宋体"/>
                <w:sz w:val="20"/>
                <w:szCs w:val="20"/>
              </w:rPr>
              <w:t>维护、维修结果（项目负责人签名确认）</w:t>
            </w:r>
          </w:p>
        </w:tc>
        <w:tc>
          <w:tcPr>
            <w:tcW w:w="4285" w:type="pct"/>
            <w:gridSpan w:val="5"/>
          </w:tcPr>
          <w:p>
            <w:pPr>
              <w:ind w:right="-58"/>
              <w:jc w:val="center"/>
              <w:rPr>
                <w:rFonts w:ascii="宋体" w:hAnsi="宋体" w:cs="宋体"/>
                <w:sz w:val="22"/>
                <w:szCs w:val="20"/>
              </w:rPr>
            </w:pPr>
          </w:p>
        </w:tc>
      </w:tr>
    </w:tbl>
    <w:p>
      <w:pPr>
        <w:ind w:right="840"/>
        <w:jc w:val="center"/>
        <w:rPr>
          <w:rFonts w:ascii="宋体" w:hAnsi="宋体" w:cs="宋体"/>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rPr>
          <w:rFonts w:ascii="宋体" w:hAnsi="宋体" w:cs="宋体"/>
          <w:szCs w:val="16"/>
        </w:rPr>
      </w:pPr>
    </w:p>
    <w:p>
      <w:pPr>
        <w:ind w:right="420"/>
        <w:jc w:val="left"/>
        <w:rPr>
          <w:rFonts w:ascii="宋体" w:hAnsi="宋体" w:cs="宋体"/>
          <w:szCs w:val="16"/>
        </w:rPr>
      </w:pPr>
      <w:r>
        <w:rPr>
          <w:rFonts w:hint="eastAsia" w:ascii="宋体" w:hAnsi="宋体" w:cs="宋体"/>
          <w:szCs w:val="16"/>
        </w:rPr>
        <w:t>（说明：本表作为甲方对乙方进行服务考核依据）</w:t>
      </w:r>
    </w:p>
    <w:p>
      <w:pPr>
        <w:rPr>
          <w:rFonts w:ascii="宋体" w:hAnsi="宋体" w:cs="宋体"/>
          <w:b/>
          <w:kern w:val="0"/>
          <w:sz w:val="44"/>
          <w:szCs w:val="44"/>
        </w:rPr>
      </w:pPr>
      <w:r>
        <w:rPr>
          <w:rFonts w:hint="eastAsia" w:ascii="宋体" w:hAnsi="宋体" w:cs="宋体"/>
          <w:szCs w:val="16"/>
        </w:rPr>
        <w:br w:type="page"/>
      </w:r>
    </w:p>
    <w:p>
      <w:pPr>
        <w:jc w:val="center"/>
        <w:rPr>
          <w:rFonts w:ascii="宋体" w:hAnsi="宋体" w:cs="宋体"/>
          <w:b/>
          <w:kern w:val="0"/>
          <w:sz w:val="32"/>
          <w:szCs w:val="32"/>
        </w:rPr>
      </w:pPr>
      <w:r>
        <w:rPr>
          <w:rFonts w:hint="eastAsia" w:ascii="宋体" w:hAnsi="宋体" w:cs="宋体"/>
          <w:b/>
          <w:kern w:val="0"/>
          <w:sz w:val="32"/>
          <w:szCs w:val="32"/>
        </w:rPr>
        <w:t>禅城分公司空调维保、维修服务质量考核表</w:t>
      </w:r>
    </w:p>
    <w:tbl>
      <w:tblPr>
        <w:tblStyle w:val="36"/>
        <w:tblW w:w="5195" w:type="pct"/>
        <w:tblInd w:w="-3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6"/>
        <w:gridCol w:w="1103"/>
        <w:gridCol w:w="1194"/>
        <w:gridCol w:w="698"/>
        <w:gridCol w:w="482"/>
        <w:gridCol w:w="2892"/>
        <w:gridCol w:w="1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维保单位</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合同名称</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合同编号</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维保、维修内容</w:t>
            </w:r>
          </w:p>
        </w:tc>
        <w:tc>
          <w:tcPr>
            <w:tcW w:w="4368" w:type="pct"/>
            <w:gridSpan w:val="6"/>
            <w:vAlign w:val="center"/>
          </w:tcPr>
          <w:p>
            <w:pPr>
              <w:jc w:val="left"/>
              <w:rPr>
                <w:rFonts w:ascii="宋体" w:hAnsi="宋体" w:cs="宋体"/>
                <w:szCs w:val="22"/>
              </w:rPr>
            </w:pPr>
            <w:r>
              <w:rPr>
                <w:rFonts w:hint="eastAsia" w:ascii="宋体" w:hAnsi="宋体" w:cs="宋体"/>
                <w:szCs w:val="22"/>
              </w:rPr>
              <w:t>对广东省广播电视网络股份有限公司佛山禅城分公司张槎办公大院、分前端机房及营业厅网点、南庄区域等的空调设备进行维修、维护保养。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考核期间</w:t>
            </w:r>
          </w:p>
        </w:tc>
        <w:tc>
          <w:tcPr>
            <w:tcW w:w="4368" w:type="pct"/>
            <w:gridSpan w:val="6"/>
            <w:vAlign w:val="center"/>
          </w:tcPr>
          <w:p>
            <w:pPr>
              <w:jc w:val="center"/>
              <w:rPr>
                <w:rFonts w:ascii="宋体" w:hAnsi="宋体" w:cs="宋体"/>
                <w:szCs w:val="22"/>
              </w:rPr>
            </w:pPr>
            <w:r>
              <w:rPr>
                <w:rFonts w:hint="eastAsia" w:ascii="宋体" w:hAnsi="宋体" w:cs="宋体"/>
                <w:szCs w:val="22"/>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序号</w:t>
            </w:r>
          </w:p>
        </w:tc>
        <w:tc>
          <w:tcPr>
            <w:tcW w:w="623" w:type="pct"/>
            <w:vAlign w:val="center"/>
          </w:tcPr>
          <w:p>
            <w:pPr>
              <w:jc w:val="center"/>
              <w:rPr>
                <w:rFonts w:ascii="宋体" w:hAnsi="宋体" w:cs="宋体"/>
                <w:szCs w:val="22"/>
              </w:rPr>
            </w:pPr>
            <w:r>
              <w:rPr>
                <w:rFonts w:hint="eastAsia" w:ascii="宋体" w:hAnsi="宋体" w:cs="宋体"/>
                <w:szCs w:val="22"/>
              </w:rPr>
              <w:t>考核内容</w:t>
            </w:r>
          </w:p>
        </w:tc>
        <w:tc>
          <w:tcPr>
            <w:tcW w:w="2972" w:type="pct"/>
            <w:gridSpan w:val="4"/>
            <w:vAlign w:val="center"/>
          </w:tcPr>
          <w:p>
            <w:pPr>
              <w:jc w:val="center"/>
              <w:rPr>
                <w:rFonts w:ascii="宋体" w:hAnsi="宋体" w:cs="宋体"/>
                <w:szCs w:val="22"/>
              </w:rPr>
            </w:pPr>
            <w:r>
              <w:rPr>
                <w:rFonts w:hint="eastAsia" w:ascii="宋体" w:hAnsi="宋体" w:cs="宋体"/>
                <w:szCs w:val="22"/>
              </w:rPr>
              <w:t>评分标准</w:t>
            </w:r>
          </w:p>
        </w:tc>
        <w:tc>
          <w:tcPr>
            <w:tcW w:w="772" w:type="pct"/>
            <w:vAlign w:val="center"/>
          </w:tcPr>
          <w:p>
            <w:pPr>
              <w:jc w:val="center"/>
              <w:rPr>
                <w:rFonts w:ascii="宋体" w:hAnsi="宋体" w:cs="宋体"/>
                <w:szCs w:val="22"/>
              </w:rPr>
            </w:pPr>
            <w:r>
              <w:rPr>
                <w:rFonts w:hint="eastAsia" w:ascii="宋体" w:hAnsi="宋体" w:cs="宋体"/>
                <w:szCs w:val="22"/>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Merge w:val="restart"/>
            <w:vAlign w:val="center"/>
          </w:tcPr>
          <w:p>
            <w:pPr>
              <w:jc w:val="center"/>
              <w:rPr>
                <w:rFonts w:ascii="宋体" w:hAnsi="宋体" w:cs="宋体"/>
                <w:szCs w:val="22"/>
              </w:rPr>
            </w:pPr>
            <w:r>
              <w:rPr>
                <w:rFonts w:hint="eastAsia" w:ascii="宋体" w:hAnsi="宋体" w:cs="宋体"/>
                <w:szCs w:val="22"/>
              </w:rPr>
              <w:t>1</w:t>
            </w:r>
          </w:p>
          <w:p>
            <w:pPr>
              <w:jc w:val="center"/>
              <w:rPr>
                <w:rFonts w:ascii="宋体" w:hAnsi="宋体" w:cs="宋体"/>
                <w:szCs w:val="22"/>
              </w:rPr>
            </w:pPr>
          </w:p>
        </w:tc>
        <w:tc>
          <w:tcPr>
            <w:tcW w:w="623" w:type="pct"/>
            <w:vMerge w:val="restart"/>
            <w:vAlign w:val="center"/>
          </w:tcPr>
          <w:p>
            <w:pPr>
              <w:jc w:val="center"/>
              <w:rPr>
                <w:rFonts w:ascii="宋体" w:hAnsi="宋体" w:cs="宋体"/>
                <w:szCs w:val="22"/>
              </w:rPr>
            </w:pPr>
            <w:r>
              <w:rPr>
                <w:rFonts w:hint="eastAsia" w:ascii="宋体" w:hAnsi="宋体" w:cs="宋体"/>
                <w:szCs w:val="22"/>
              </w:rPr>
              <w:t>清洗服务次数</w:t>
            </w:r>
          </w:p>
        </w:tc>
        <w:tc>
          <w:tcPr>
            <w:tcW w:w="674" w:type="pct"/>
            <w:vAlign w:val="center"/>
          </w:tcPr>
          <w:p>
            <w:pPr>
              <w:jc w:val="center"/>
              <w:rPr>
                <w:rFonts w:ascii="宋体" w:hAnsi="宋体" w:cs="宋体"/>
                <w:szCs w:val="22"/>
              </w:rPr>
            </w:pPr>
            <w:r>
              <w:rPr>
                <w:rFonts w:hint="eastAsia" w:ascii="宋体" w:hAnsi="宋体" w:cs="宋体"/>
                <w:szCs w:val="22"/>
              </w:rPr>
              <w:t>本部办楼、南庄区域、各营业点（10分）</w:t>
            </w:r>
          </w:p>
        </w:tc>
        <w:tc>
          <w:tcPr>
            <w:tcW w:w="394" w:type="pct"/>
            <w:vAlign w:val="center"/>
          </w:tcPr>
          <w:p>
            <w:pPr>
              <w:jc w:val="center"/>
              <w:rPr>
                <w:rFonts w:ascii="宋体" w:hAnsi="宋体" w:cs="宋体"/>
                <w:szCs w:val="22"/>
              </w:rPr>
            </w:pPr>
            <w:r>
              <w:rPr>
                <w:rFonts w:hint="eastAsia" w:ascii="宋体" w:hAnsi="宋体" w:cs="宋体"/>
                <w:szCs w:val="22"/>
              </w:rPr>
              <w:t>1次</w:t>
            </w:r>
          </w:p>
        </w:tc>
        <w:tc>
          <w:tcPr>
            <w:tcW w:w="1903" w:type="pct"/>
            <w:gridSpan w:val="2"/>
            <w:vAlign w:val="center"/>
          </w:tcPr>
          <w:p>
            <w:pPr>
              <w:jc w:val="left"/>
              <w:rPr>
                <w:rFonts w:ascii="宋体" w:hAnsi="宋体" w:cs="宋体"/>
                <w:szCs w:val="22"/>
              </w:rPr>
            </w:pPr>
            <w:r>
              <w:rPr>
                <w:rFonts w:hint="eastAsia" w:ascii="宋体" w:hAnsi="宋体" w:cs="宋体"/>
                <w:szCs w:val="22"/>
              </w:rPr>
              <w:t>□不足  □达标  □超标</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31" w:type="pct"/>
            <w:vMerge w:val="continue"/>
            <w:vAlign w:val="center"/>
          </w:tcPr>
          <w:p>
            <w:pPr>
              <w:jc w:val="center"/>
              <w:rPr>
                <w:rFonts w:ascii="宋体" w:hAnsi="宋体" w:cs="宋体"/>
                <w:szCs w:val="22"/>
              </w:rPr>
            </w:pPr>
          </w:p>
        </w:tc>
        <w:tc>
          <w:tcPr>
            <w:tcW w:w="623" w:type="pct"/>
            <w:vMerge w:val="continue"/>
            <w:vAlign w:val="center"/>
          </w:tcPr>
          <w:p>
            <w:pPr>
              <w:jc w:val="center"/>
              <w:rPr>
                <w:rFonts w:ascii="宋体" w:hAnsi="宋体" w:cs="宋体"/>
                <w:szCs w:val="22"/>
              </w:rPr>
            </w:pPr>
          </w:p>
        </w:tc>
        <w:tc>
          <w:tcPr>
            <w:tcW w:w="674" w:type="pct"/>
            <w:vAlign w:val="center"/>
          </w:tcPr>
          <w:p>
            <w:pPr>
              <w:jc w:val="center"/>
              <w:rPr>
                <w:rFonts w:ascii="宋体" w:hAnsi="宋体" w:cs="宋体"/>
                <w:szCs w:val="22"/>
              </w:rPr>
            </w:pPr>
            <w:r>
              <w:rPr>
                <w:rFonts w:hint="eastAsia" w:ascii="宋体" w:hAnsi="宋体" w:cs="宋体"/>
                <w:szCs w:val="22"/>
              </w:rPr>
              <w:t>分前端机房（10分）</w:t>
            </w:r>
          </w:p>
        </w:tc>
        <w:tc>
          <w:tcPr>
            <w:tcW w:w="394" w:type="pct"/>
            <w:vAlign w:val="center"/>
          </w:tcPr>
          <w:p>
            <w:pPr>
              <w:jc w:val="center"/>
              <w:rPr>
                <w:rFonts w:ascii="宋体" w:hAnsi="宋体" w:cs="宋体"/>
                <w:szCs w:val="22"/>
              </w:rPr>
            </w:pPr>
            <w:r>
              <w:rPr>
                <w:rFonts w:hint="eastAsia" w:ascii="宋体" w:hAnsi="宋体" w:cs="宋体"/>
                <w:szCs w:val="22"/>
              </w:rPr>
              <w:t>4次</w:t>
            </w:r>
          </w:p>
        </w:tc>
        <w:tc>
          <w:tcPr>
            <w:tcW w:w="1903" w:type="pct"/>
            <w:gridSpan w:val="2"/>
            <w:vAlign w:val="center"/>
          </w:tcPr>
          <w:p>
            <w:pPr>
              <w:jc w:val="left"/>
              <w:rPr>
                <w:rFonts w:ascii="宋体" w:hAnsi="宋体" w:cs="宋体"/>
                <w:szCs w:val="22"/>
              </w:rPr>
            </w:pPr>
            <w:r>
              <w:rPr>
                <w:rFonts w:hint="eastAsia" w:ascii="宋体" w:hAnsi="宋体" w:cs="宋体"/>
                <w:szCs w:val="22"/>
              </w:rPr>
              <w:t>□不足  □达标  □超标</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2</w:t>
            </w:r>
          </w:p>
        </w:tc>
        <w:tc>
          <w:tcPr>
            <w:tcW w:w="623" w:type="pct"/>
            <w:vAlign w:val="center"/>
          </w:tcPr>
          <w:p>
            <w:pPr>
              <w:jc w:val="center"/>
              <w:rPr>
                <w:rFonts w:ascii="宋体" w:hAnsi="宋体" w:cs="宋体"/>
                <w:szCs w:val="22"/>
              </w:rPr>
            </w:pPr>
            <w:r>
              <w:rPr>
                <w:rFonts w:hint="eastAsia" w:ascii="宋体" w:hAnsi="宋体" w:cs="宋体"/>
                <w:szCs w:val="22"/>
              </w:rPr>
              <w:t>应急维修服务（35分）</w:t>
            </w:r>
          </w:p>
        </w:tc>
        <w:tc>
          <w:tcPr>
            <w:tcW w:w="2972" w:type="pct"/>
            <w:gridSpan w:val="4"/>
            <w:vAlign w:val="center"/>
          </w:tcPr>
          <w:p>
            <w:pPr>
              <w:jc w:val="left"/>
              <w:rPr>
                <w:rFonts w:ascii="宋体" w:hAnsi="宋体" w:cs="宋体"/>
                <w:szCs w:val="22"/>
              </w:rPr>
            </w:pPr>
            <w:r>
              <w:rPr>
                <w:rFonts w:hint="eastAsia" w:ascii="宋体" w:hAnsi="宋体" w:cs="宋体"/>
                <w:szCs w:val="22"/>
              </w:rPr>
              <w:t>□优良  □合格  □不合格</w:t>
            </w:r>
          </w:p>
          <w:p>
            <w:pPr>
              <w:jc w:val="left"/>
              <w:rPr>
                <w:rFonts w:ascii="宋体" w:hAnsi="宋体" w:cs="宋体"/>
                <w:szCs w:val="22"/>
              </w:rPr>
            </w:pP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3</w:t>
            </w:r>
          </w:p>
        </w:tc>
        <w:tc>
          <w:tcPr>
            <w:tcW w:w="623" w:type="pct"/>
            <w:vAlign w:val="center"/>
          </w:tcPr>
          <w:p>
            <w:pPr>
              <w:jc w:val="center"/>
              <w:rPr>
                <w:rFonts w:ascii="宋体" w:hAnsi="宋体" w:cs="宋体"/>
                <w:szCs w:val="22"/>
              </w:rPr>
            </w:pPr>
            <w:r>
              <w:rPr>
                <w:rFonts w:hint="eastAsia" w:ascii="宋体" w:hAnsi="宋体" w:cs="宋体"/>
                <w:szCs w:val="22"/>
              </w:rPr>
              <w:t>建立档案（5分）</w:t>
            </w:r>
          </w:p>
        </w:tc>
        <w:tc>
          <w:tcPr>
            <w:tcW w:w="2972" w:type="pct"/>
            <w:gridSpan w:val="4"/>
            <w:vAlign w:val="center"/>
          </w:tcPr>
          <w:p>
            <w:pPr>
              <w:jc w:val="left"/>
              <w:rPr>
                <w:rFonts w:ascii="宋体" w:hAnsi="宋体" w:cs="宋体"/>
                <w:szCs w:val="22"/>
              </w:rPr>
            </w:pPr>
            <w:r>
              <w:rPr>
                <w:rFonts w:hint="eastAsia" w:ascii="宋体" w:hAnsi="宋体" w:cs="宋体"/>
                <w:szCs w:val="22"/>
              </w:rPr>
              <w:t>□优良  □合格  □不合格</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4</w:t>
            </w:r>
          </w:p>
        </w:tc>
        <w:tc>
          <w:tcPr>
            <w:tcW w:w="623" w:type="pct"/>
            <w:vAlign w:val="center"/>
          </w:tcPr>
          <w:p>
            <w:pPr>
              <w:jc w:val="center"/>
              <w:rPr>
                <w:rFonts w:ascii="宋体" w:hAnsi="宋体" w:cs="宋体"/>
                <w:szCs w:val="22"/>
              </w:rPr>
            </w:pPr>
            <w:r>
              <w:rPr>
                <w:rFonts w:hint="eastAsia" w:ascii="宋体" w:hAnsi="宋体" w:cs="宋体"/>
                <w:szCs w:val="22"/>
              </w:rPr>
              <w:t>服务质量（20分）</w:t>
            </w:r>
          </w:p>
        </w:tc>
        <w:tc>
          <w:tcPr>
            <w:tcW w:w="2972" w:type="pct"/>
            <w:gridSpan w:val="4"/>
            <w:vAlign w:val="center"/>
          </w:tcPr>
          <w:p>
            <w:pPr>
              <w:jc w:val="left"/>
              <w:rPr>
                <w:rFonts w:ascii="宋体" w:hAnsi="宋体" w:cs="宋体"/>
                <w:szCs w:val="22"/>
              </w:rPr>
            </w:pPr>
            <w:r>
              <w:rPr>
                <w:rFonts w:hint="eastAsia" w:ascii="宋体" w:hAnsi="宋体" w:cs="宋体"/>
                <w:szCs w:val="22"/>
              </w:rPr>
              <w:t>□优良  □合格  □不合格</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5</w:t>
            </w:r>
          </w:p>
        </w:tc>
        <w:tc>
          <w:tcPr>
            <w:tcW w:w="623" w:type="pct"/>
            <w:vAlign w:val="center"/>
          </w:tcPr>
          <w:p>
            <w:pPr>
              <w:jc w:val="center"/>
              <w:rPr>
                <w:rFonts w:ascii="宋体" w:hAnsi="宋体" w:cs="宋体"/>
                <w:szCs w:val="22"/>
              </w:rPr>
            </w:pPr>
            <w:r>
              <w:rPr>
                <w:rFonts w:hint="eastAsia" w:ascii="宋体" w:hAnsi="宋体" w:cs="宋体"/>
                <w:szCs w:val="22"/>
              </w:rPr>
              <w:t>设备运行状态（10分）</w:t>
            </w:r>
          </w:p>
        </w:tc>
        <w:tc>
          <w:tcPr>
            <w:tcW w:w="2972" w:type="pct"/>
            <w:gridSpan w:val="4"/>
            <w:vAlign w:val="center"/>
          </w:tcPr>
          <w:p>
            <w:pPr>
              <w:jc w:val="left"/>
              <w:rPr>
                <w:rFonts w:ascii="宋体" w:hAnsi="宋体" w:cs="宋体"/>
                <w:szCs w:val="22"/>
              </w:rPr>
            </w:pPr>
            <w:r>
              <w:rPr>
                <w:rFonts w:hint="eastAsia" w:ascii="宋体" w:hAnsi="宋体" w:cs="宋体"/>
                <w:szCs w:val="22"/>
              </w:rPr>
              <w:t>□满意  □基本满意  □不满意</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6</w:t>
            </w:r>
          </w:p>
        </w:tc>
        <w:tc>
          <w:tcPr>
            <w:tcW w:w="623" w:type="pct"/>
            <w:vAlign w:val="center"/>
          </w:tcPr>
          <w:p>
            <w:pPr>
              <w:jc w:val="center"/>
              <w:rPr>
                <w:rFonts w:ascii="宋体" w:hAnsi="宋体" w:cs="宋体"/>
                <w:szCs w:val="22"/>
              </w:rPr>
            </w:pPr>
            <w:r>
              <w:rPr>
                <w:rFonts w:hint="eastAsia" w:ascii="宋体" w:hAnsi="宋体" w:cs="宋体"/>
                <w:szCs w:val="22"/>
              </w:rPr>
              <w:t>服务态度（10分）</w:t>
            </w:r>
          </w:p>
        </w:tc>
        <w:tc>
          <w:tcPr>
            <w:tcW w:w="2972" w:type="pct"/>
            <w:gridSpan w:val="4"/>
            <w:vAlign w:val="center"/>
          </w:tcPr>
          <w:p>
            <w:pPr>
              <w:jc w:val="left"/>
              <w:rPr>
                <w:rFonts w:ascii="宋体" w:hAnsi="宋体" w:cs="宋体"/>
                <w:szCs w:val="22"/>
              </w:rPr>
            </w:pPr>
            <w:r>
              <w:rPr>
                <w:rFonts w:hint="eastAsia" w:ascii="宋体" w:hAnsi="宋体" w:cs="宋体"/>
                <w:szCs w:val="22"/>
              </w:rPr>
              <w:t>□满意  □基本满意  □不满意</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27" w:type="pct"/>
            <w:gridSpan w:val="6"/>
            <w:vAlign w:val="center"/>
          </w:tcPr>
          <w:p>
            <w:pPr>
              <w:jc w:val="center"/>
              <w:rPr>
                <w:rFonts w:ascii="宋体" w:hAnsi="宋体" w:cs="宋体"/>
                <w:szCs w:val="22"/>
              </w:rPr>
            </w:pPr>
            <w:r>
              <w:rPr>
                <w:rFonts w:hint="eastAsia" w:ascii="宋体" w:hAnsi="宋体" w:cs="宋体"/>
                <w:szCs w:val="22"/>
              </w:rPr>
              <w:t>考核评定总分</w:t>
            </w:r>
          </w:p>
        </w:tc>
        <w:tc>
          <w:tcPr>
            <w:tcW w:w="772" w:type="pct"/>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总得分</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考核人员</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pct"/>
            <w:vAlign w:val="center"/>
          </w:tcPr>
          <w:p>
            <w:pPr>
              <w:jc w:val="center"/>
              <w:rPr>
                <w:rFonts w:ascii="宋体" w:hAnsi="宋体" w:cs="宋体"/>
                <w:szCs w:val="22"/>
              </w:rPr>
            </w:pPr>
            <w:r>
              <w:rPr>
                <w:rFonts w:hint="eastAsia" w:ascii="宋体" w:hAnsi="宋体" w:cs="宋体"/>
                <w:szCs w:val="22"/>
              </w:rPr>
              <w:t>综合部审核</w:t>
            </w:r>
          </w:p>
        </w:tc>
        <w:tc>
          <w:tcPr>
            <w:tcW w:w="4368" w:type="pct"/>
            <w:gridSpan w:val="6"/>
            <w:vAlign w:val="center"/>
          </w:tcPr>
          <w:p>
            <w:pPr>
              <w:jc w:val="center"/>
              <w:rPr>
                <w:rFonts w:ascii="宋体" w:hAnsi="宋体" w:cs="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vAlign w:val="center"/>
          </w:tcPr>
          <w:p>
            <w:pPr>
              <w:pStyle w:val="132"/>
              <w:spacing w:line="360" w:lineRule="auto"/>
              <w:ind w:firstLine="420" w:firstLineChars="200"/>
              <w:jc w:val="center"/>
              <w:rPr>
                <w:rFonts w:hAnsi="宋体" w:cs="宋体"/>
                <w:szCs w:val="22"/>
              </w:rPr>
            </w:pPr>
            <w:r>
              <w:rPr>
                <w:rFonts w:hint="eastAsia" w:hAnsi="宋体" w:cs="宋体"/>
              </w:rPr>
              <w:t>说明：每6个月考核1次，100分为满分，90分及以上为合格，全额支付该期间维保服务；90-80分（包括80分），则扣除该半年度维保费用1000元；考核分低于80分，则扣除该半年度维保费用2000元，且甲方有权终止合同，不负任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trPr>
        <w:tc>
          <w:tcPr>
            <w:tcW w:w="2594" w:type="pct"/>
            <w:gridSpan w:val="5"/>
            <w:vAlign w:val="center"/>
          </w:tcPr>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r>
              <w:rPr>
                <w:rFonts w:hint="eastAsia" w:ascii="宋体" w:hAnsi="宋体" w:cs="宋体"/>
                <w:szCs w:val="21"/>
              </w:rPr>
              <w:t>被考核单位（盖单位公章）：</w:t>
            </w: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r>
              <w:rPr>
                <w:rFonts w:hint="eastAsia" w:ascii="宋体" w:hAnsi="宋体" w:cs="宋体"/>
                <w:szCs w:val="21"/>
              </w:rPr>
              <w:t>项目负责人确认：</w:t>
            </w:r>
          </w:p>
          <w:p>
            <w:pPr>
              <w:jc w:val="left"/>
              <w:rPr>
                <w:rFonts w:ascii="宋体" w:hAnsi="宋体" w:cs="宋体"/>
                <w:szCs w:val="22"/>
              </w:rPr>
            </w:pPr>
          </w:p>
        </w:tc>
        <w:tc>
          <w:tcPr>
            <w:tcW w:w="2405" w:type="pct"/>
            <w:gridSpan w:val="2"/>
            <w:vAlign w:val="center"/>
          </w:tcPr>
          <w:p>
            <w:pPr>
              <w:widowControl/>
              <w:spacing w:line="300" w:lineRule="exact"/>
              <w:jc w:val="left"/>
              <w:rPr>
                <w:rFonts w:ascii="宋体" w:hAnsi="宋体" w:cs="宋体"/>
                <w:szCs w:val="21"/>
              </w:rPr>
            </w:pPr>
          </w:p>
          <w:p>
            <w:pPr>
              <w:widowControl/>
              <w:spacing w:line="300" w:lineRule="exact"/>
              <w:ind w:left="1050" w:hanging="1050" w:hangingChars="500"/>
              <w:jc w:val="left"/>
              <w:rPr>
                <w:rFonts w:ascii="宋体" w:hAnsi="宋体" w:cs="宋体"/>
                <w:szCs w:val="21"/>
              </w:rPr>
            </w:pPr>
            <w:r>
              <w:rPr>
                <w:rFonts w:hint="eastAsia" w:ascii="宋体" w:hAnsi="宋体" w:cs="宋体"/>
                <w:szCs w:val="21"/>
              </w:rPr>
              <w:t>考核单位：广东省广播电视网络股份有限公司佛山禅城分公司</w:t>
            </w: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r>
              <w:rPr>
                <w:rFonts w:hint="eastAsia" w:ascii="宋体" w:hAnsi="宋体" w:cs="宋体"/>
                <w:szCs w:val="21"/>
              </w:rPr>
              <w:t>空调项目管理小组确认：</w:t>
            </w: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1"/>
              </w:rPr>
            </w:pPr>
          </w:p>
          <w:p>
            <w:pPr>
              <w:widowControl/>
              <w:spacing w:line="300" w:lineRule="exact"/>
              <w:jc w:val="left"/>
              <w:rPr>
                <w:rFonts w:ascii="宋体" w:hAnsi="宋体" w:cs="宋体"/>
                <w:szCs w:val="22"/>
              </w:rPr>
            </w:pPr>
            <w:r>
              <w:rPr>
                <w:rFonts w:hint="eastAsia" w:ascii="宋体" w:hAnsi="宋体" w:cs="宋体"/>
                <w:szCs w:val="21"/>
              </w:rPr>
              <w:t>综合部审核：</w:t>
            </w:r>
          </w:p>
        </w:tc>
      </w:tr>
    </w:tbl>
    <w:p>
      <w:pPr>
        <w:jc w:val="center"/>
        <w:rPr>
          <w:rFonts w:ascii="宋体" w:hAnsi="宋体" w:cs="宋体"/>
        </w:rPr>
      </w:pPr>
    </w:p>
    <w:p>
      <w:pPr>
        <w:spacing w:line="360" w:lineRule="auto"/>
        <w:rPr>
          <w:rFonts w:ascii="宋体" w:hAnsi="宋体" w:cs="宋体"/>
          <w:szCs w:val="21"/>
        </w:rPr>
      </w:pPr>
      <w:r>
        <w:rPr>
          <w:rFonts w:hint="eastAsia" w:ascii="宋体" w:hAnsi="宋体" w:cs="宋体"/>
          <w:szCs w:val="21"/>
        </w:rPr>
        <w:t>说明：</w:t>
      </w:r>
    </w:p>
    <w:p>
      <w:pPr>
        <w:spacing w:line="360" w:lineRule="auto"/>
        <w:rPr>
          <w:rFonts w:ascii="宋体" w:hAnsi="宋体" w:cs="宋体"/>
          <w:szCs w:val="21"/>
        </w:rPr>
      </w:pPr>
      <w:r>
        <w:rPr>
          <w:rFonts w:hint="eastAsia" w:ascii="宋体" w:hAnsi="宋体" w:cs="宋体"/>
          <w:szCs w:val="21"/>
        </w:rPr>
        <w:t>1）甲方根据乙方提供的服务质量按100分制给与考评，甲方每6个月对乙方的服务质量进行考核，考核结果经双方确认后，按以下考核办法进行结算。</w:t>
      </w:r>
    </w:p>
    <w:p>
      <w:pPr>
        <w:pStyle w:val="132"/>
        <w:spacing w:line="360" w:lineRule="auto"/>
        <w:ind w:firstLine="420" w:firstLineChars="200"/>
        <w:rPr>
          <w:rFonts w:hAnsi="宋体" w:cs="宋体"/>
        </w:rPr>
      </w:pPr>
      <w:r>
        <w:rPr>
          <w:rFonts w:hint="eastAsia" w:hAnsi="宋体" w:cs="宋体"/>
        </w:rPr>
        <w:t>2）采购人每6个月对成交人的服务质量进行考核，根据采购人、成交人双方确认的《禅城分公司空调维保、维修服务质量考核表》的评分结果支付。总评分100-90分（包括90分），不扣除该半年度维保费用；90-80分（包括80分），则扣除该半年度维保费用1000元；考核分低于80分，则扣除该半年度维保费用2000元，且采购人有权终止维保资格合同。</w:t>
      </w:r>
    </w:p>
    <w:p>
      <w:pPr>
        <w:pStyle w:val="132"/>
        <w:spacing w:line="360" w:lineRule="auto"/>
        <w:rPr>
          <w:rFonts w:hAnsi="宋体"/>
          <w:b/>
          <w:sz w:val="30"/>
          <w:szCs w:val="30"/>
        </w:rPr>
      </w:pPr>
      <w:r>
        <w:rPr>
          <w:rFonts w:hint="eastAsia" w:hAnsi="宋体"/>
          <w:b/>
          <w:sz w:val="30"/>
          <w:szCs w:val="30"/>
        </w:rPr>
        <w:br w:type="page"/>
      </w:r>
    </w:p>
    <w:p>
      <w:pPr>
        <w:jc w:val="center"/>
        <w:outlineLvl w:val="0"/>
        <w:rPr>
          <w:rFonts w:ascii="Cambria" w:hAnsi="Cambria" w:cs="宋体"/>
          <w:b/>
          <w:bCs/>
          <w:sz w:val="32"/>
          <w:szCs w:val="32"/>
        </w:rPr>
      </w:pPr>
      <w:r>
        <w:rPr>
          <w:rFonts w:hint="eastAsia" w:ascii="Cambria" w:hAnsi="Cambria" w:cs="宋体"/>
          <w:b/>
          <w:bCs/>
          <w:sz w:val="32"/>
          <w:szCs w:val="32"/>
        </w:rPr>
        <w:t>第三章 竞价附件</w:t>
      </w:r>
    </w:p>
    <w:p>
      <w:pPr>
        <w:jc w:val="center"/>
        <w:outlineLvl w:val="1"/>
        <w:rPr>
          <w:rFonts w:ascii="Cambria" w:hAnsi="Cambria" w:cs="宋体"/>
          <w:b/>
          <w:bCs/>
          <w:sz w:val="32"/>
          <w:szCs w:val="32"/>
        </w:rPr>
      </w:pPr>
      <w:r>
        <w:rPr>
          <w:rFonts w:hint="eastAsia" w:ascii="Cambria" w:hAnsi="Cambria" w:cs="宋体"/>
          <w:b/>
          <w:bCs/>
          <w:sz w:val="32"/>
          <w:szCs w:val="32"/>
        </w:rPr>
        <w:t>报价表</w:t>
      </w:r>
    </w:p>
    <w:tbl>
      <w:tblPr>
        <w:tblStyle w:val="36"/>
        <w:tblW w:w="510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094"/>
        <w:gridCol w:w="1072"/>
        <w:gridCol w:w="2467"/>
        <w:gridCol w:w="30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60" w:hRule="atLeast"/>
          <w:jc w:val="center"/>
        </w:trPr>
        <w:tc>
          <w:tcPr>
            <w:tcW w:w="1204" w:type="pct"/>
            <w:tcBorders>
              <w:top w:val="single" w:color="auto" w:sz="12" w:space="0"/>
              <w:left w:val="single" w:color="auto" w:sz="12" w:space="0"/>
              <w:bottom w:val="double" w:color="auto" w:sz="4" w:space="0"/>
              <w:right w:val="single" w:color="auto" w:sz="4" w:space="0"/>
            </w:tcBorders>
            <w:shd w:val="clear" w:color="auto" w:fill="EEECE1"/>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b/>
                <w:szCs w:val="21"/>
              </w:rPr>
            </w:pPr>
            <w:r>
              <w:rPr>
                <w:rFonts w:hint="eastAsia" w:ascii="宋体"/>
                <w:b/>
                <w:szCs w:val="21"/>
              </w:rPr>
              <w:t>采购内容</w:t>
            </w:r>
          </w:p>
        </w:tc>
        <w:tc>
          <w:tcPr>
            <w:tcW w:w="616" w:type="pct"/>
            <w:tcBorders>
              <w:top w:val="single" w:color="auto" w:sz="12" w:space="0"/>
              <w:left w:val="single" w:color="auto" w:sz="4" w:space="0"/>
              <w:bottom w:val="double" w:color="auto" w:sz="4" w:space="0"/>
              <w:right w:val="single" w:color="auto" w:sz="4" w:space="0"/>
            </w:tcBorders>
            <w:shd w:val="clear" w:color="auto" w:fill="EEECE1"/>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b/>
                <w:szCs w:val="21"/>
              </w:rPr>
            </w:pPr>
            <w:r>
              <w:rPr>
                <w:rFonts w:hint="eastAsia" w:ascii="宋体"/>
                <w:b/>
                <w:szCs w:val="21"/>
              </w:rPr>
              <w:t>数量</w:t>
            </w:r>
          </w:p>
        </w:tc>
        <w:tc>
          <w:tcPr>
            <w:tcW w:w="1417" w:type="pct"/>
            <w:tcBorders>
              <w:top w:val="single" w:color="auto" w:sz="12" w:space="0"/>
              <w:left w:val="single" w:color="auto" w:sz="4" w:space="0"/>
              <w:bottom w:val="double" w:color="auto" w:sz="4" w:space="0"/>
              <w:right w:val="single" w:color="auto" w:sz="12" w:space="0"/>
            </w:tcBorders>
            <w:shd w:val="clear" w:color="auto" w:fill="EEECE1"/>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eastAsiaTheme="minorEastAsia"/>
                <w:b/>
                <w:szCs w:val="21"/>
              </w:rPr>
            </w:pPr>
            <w:r>
              <w:rPr>
                <w:rFonts w:hint="eastAsia" w:ascii="宋体"/>
                <w:b/>
                <w:szCs w:val="21"/>
              </w:rPr>
              <w:t>含 税 报 价</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b/>
                <w:szCs w:val="21"/>
              </w:rPr>
            </w:pPr>
            <w:r>
              <w:rPr>
                <w:rFonts w:hint="eastAsia" w:ascii="宋体"/>
                <w:b/>
                <w:szCs w:val="21"/>
              </w:rPr>
              <w:t>（人民币 元）</w:t>
            </w:r>
          </w:p>
        </w:tc>
        <w:tc>
          <w:tcPr>
            <w:tcW w:w="1761" w:type="pct"/>
            <w:tcBorders>
              <w:top w:val="single" w:color="auto" w:sz="12" w:space="0"/>
              <w:left w:val="single" w:color="auto" w:sz="4" w:space="0"/>
              <w:bottom w:val="double" w:color="auto" w:sz="4" w:space="0"/>
              <w:right w:val="single" w:color="auto" w:sz="12" w:space="0"/>
            </w:tcBorders>
            <w:shd w:val="clear" w:color="auto" w:fill="EEECE1"/>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eastAsiaTheme="minorEastAsia"/>
                <w:b/>
                <w:szCs w:val="21"/>
              </w:rPr>
            </w:pPr>
            <w:r>
              <w:rPr>
                <w:rFonts w:hint="eastAsia" w:ascii="宋体"/>
                <w:b/>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92" w:hRule="atLeast"/>
          <w:jc w:val="center"/>
        </w:trPr>
        <w:tc>
          <w:tcPr>
            <w:tcW w:w="1204" w:type="pct"/>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bCs/>
                <w:szCs w:val="21"/>
              </w:rPr>
            </w:pPr>
            <w:r>
              <w:rPr>
                <w:rFonts w:hint="eastAsia" w:ascii="宋体" w:hAnsi="宋体"/>
                <w:szCs w:val="21"/>
              </w:rPr>
              <w:t>维保服务</w:t>
            </w:r>
          </w:p>
        </w:tc>
        <w:tc>
          <w:tcPr>
            <w:tcW w:w="61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bCs/>
                <w:szCs w:val="21"/>
              </w:rPr>
            </w:pPr>
            <w:r>
              <w:rPr>
                <w:rFonts w:hint="eastAsia" w:ascii="宋体"/>
                <w:bCs/>
                <w:szCs w:val="21"/>
              </w:rPr>
              <w:t>一项</w:t>
            </w:r>
          </w:p>
        </w:tc>
        <w:tc>
          <w:tcPr>
            <w:tcW w:w="1417" w:type="pct"/>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bCs/>
                <w:szCs w:val="21"/>
                <w:u w:val="single"/>
              </w:rPr>
            </w:pPr>
            <w:r>
              <w:rPr>
                <w:rFonts w:hint="eastAsia" w:ascii="宋体"/>
                <w:bCs/>
                <w:szCs w:val="21"/>
              </w:rPr>
              <w:t>小写：RMB</w:t>
            </w:r>
            <w:r>
              <w:rPr>
                <w:rFonts w:hint="eastAsia" w:ascii="宋体"/>
                <w:bCs/>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bCs/>
                <w:szCs w:val="21"/>
              </w:rPr>
            </w:pPr>
            <w:r>
              <w:rPr>
                <w:rFonts w:hint="eastAsia" w:ascii="宋体"/>
                <w:bCs/>
                <w:szCs w:val="21"/>
              </w:rPr>
              <w:t>大写：</w:t>
            </w:r>
            <w:r>
              <w:rPr>
                <w:rFonts w:hint="eastAsia" w:ascii="宋体"/>
                <w:bCs/>
                <w:szCs w:val="21"/>
                <w:u w:val="single"/>
              </w:rPr>
              <w:t xml:space="preserve">                        </w:t>
            </w:r>
          </w:p>
        </w:tc>
        <w:tc>
          <w:tcPr>
            <w:tcW w:w="1761" w:type="pct"/>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szCs w:val="21"/>
              </w:rPr>
            </w:pPr>
            <w:r>
              <w:rPr>
                <w:rFonts w:hint="eastAsia" w:ascii="宋体" w:hAnsi="宋体"/>
                <w:szCs w:val="21"/>
              </w:rPr>
              <w:t>□一般纳税人，6%</w:t>
            </w:r>
          </w:p>
          <w:p>
            <w:pPr>
              <w:keepNext w:val="0"/>
              <w:keepLines w:val="0"/>
              <w:pageBreakBefore w:val="0"/>
              <w:widowControl w:val="0"/>
              <w:kinsoku/>
              <w:wordWrap/>
              <w:overflowPunct/>
              <w:topLinePunct w:val="0"/>
              <w:autoSpaceDE/>
              <w:autoSpaceDN/>
              <w:bidi w:val="0"/>
              <w:adjustRightInd/>
              <w:snapToGrid/>
              <w:spacing w:line="360" w:lineRule="auto"/>
              <w:textAlignment w:val="auto"/>
              <w:rPr>
                <w:rStyle w:val="43"/>
              </w:rPr>
            </w:pPr>
            <w:r>
              <w:rPr>
                <w:rFonts w:hint="eastAsia" w:ascii="宋体" w:hAnsi="宋体"/>
                <w:szCs w:val="21"/>
              </w:rPr>
              <w:t>□小规模纳税人，3%</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Theme="minorEastAsia"/>
                <w:szCs w:val="21"/>
              </w:rPr>
            </w:pPr>
            <w:r>
              <w:rPr>
                <w:rFonts w:hint="eastAsia" w:ascii="宋体" w:hAnsi="宋体"/>
                <w:szCs w:val="21"/>
              </w:rPr>
              <w:t>□小规模纳税人，1%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1" w:hRule="atLeast"/>
          <w:jc w:val="center"/>
        </w:trPr>
        <w:tc>
          <w:tcPr>
            <w:tcW w:w="1204" w:type="pct"/>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color w:val="000000"/>
                <w:szCs w:val="21"/>
              </w:rPr>
            </w:pPr>
            <w:r>
              <w:rPr>
                <w:rFonts w:hint="eastAsia" w:ascii="宋体" w:hAnsi="宋体"/>
                <w:szCs w:val="21"/>
              </w:rPr>
              <w:t>维</w:t>
            </w:r>
            <w:r>
              <w:rPr>
                <w:rFonts w:hint="eastAsia" w:ascii="宋体" w:hAnsi="宋体"/>
                <w:szCs w:val="21"/>
                <w:lang w:val="en-US" w:eastAsia="zh-CN"/>
              </w:rPr>
              <w:t>修</w:t>
            </w:r>
            <w:r>
              <w:rPr>
                <w:rFonts w:hint="eastAsia" w:ascii="宋体" w:hAnsi="宋体"/>
                <w:szCs w:val="21"/>
              </w:rPr>
              <w:t>服务</w:t>
            </w:r>
          </w:p>
        </w:tc>
        <w:tc>
          <w:tcPr>
            <w:tcW w:w="61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bCs/>
                <w:szCs w:val="21"/>
              </w:rPr>
            </w:pPr>
            <w:r>
              <w:rPr>
                <w:rFonts w:hint="eastAsia" w:ascii="宋体"/>
                <w:bCs/>
                <w:szCs w:val="21"/>
              </w:rPr>
              <w:t>一项</w:t>
            </w:r>
          </w:p>
        </w:tc>
        <w:tc>
          <w:tcPr>
            <w:tcW w:w="1417" w:type="pct"/>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bCs/>
                <w:szCs w:val="21"/>
                <w:u w:val="single"/>
              </w:rPr>
            </w:pPr>
            <w:r>
              <w:rPr>
                <w:rFonts w:hint="eastAsia" w:ascii="宋体"/>
                <w:bCs/>
                <w:szCs w:val="21"/>
              </w:rPr>
              <w:t>小写：RMB</w:t>
            </w:r>
            <w:r>
              <w:rPr>
                <w:rFonts w:hint="eastAsia" w:ascii="宋体"/>
                <w:bCs/>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bCs/>
                <w:szCs w:val="21"/>
              </w:rPr>
            </w:pPr>
            <w:r>
              <w:rPr>
                <w:rFonts w:hint="eastAsia" w:ascii="宋体"/>
                <w:bCs/>
                <w:szCs w:val="21"/>
              </w:rPr>
              <w:t>大写：</w:t>
            </w:r>
            <w:r>
              <w:rPr>
                <w:rFonts w:hint="eastAsia" w:ascii="宋体"/>
                <w:bCs/>
                <w:szCs w:val="21"/>
                <w:u w:val="single"/>
              </w:rPr>
              <w:t xml:space="preserve">                     </w:t>
            </w:r>
          </w:p>
        </w:tc>
        <w:tc>
          <w:tcPr>
            <w:tcW w:w="1761" w:type="pct"/>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szCs w:val="21"/>
              </w:rPr>
            </w:pPr>
            <w:r>
              <w:rPr>
                <w:rFonts w:hint="eastAsia" w:ascii="宋体" w:hAnsi="宋体"/>
                <w:szCs w:val="21"/>
              </w:rPr>
              <w:t>□一般纳税人，13%</w:t>
            </w:r>
          </w:p>
          <w:p>
            <w:pPr>
              <w:keepNext w:val="0"/>
              <w:keepLines w:val="0"/>
              <w:pageBreakBefore w:val="0"/>
              <w:widowControl w:val="0"/>
              <w:kinsoku/>
              <w:wordWrap/>
              <w:overflowPunct/>
              <w:topLinePunct w:val="0"/>
              <w:autoSpaceDE/>
              <w:autoSpaceDN/>
              <w:bidi w:val="0"/>
              <w:adjustRightInd/>
              <w:snapToGrid/>
              <w:spacing w:line="360" w:lineRule="auto"/>
              <w:textAlignment w:val="auto"/>
              <w:rPr>
                <w:rStyle w:val="43"/>
              </w:rPr>
            </w:pPr>
            <w:r>
              <w:rPr>
                <w:rFonts w:hint="eastAsia" w:ascii="宋体" w:hAnsi="宋体"/>
                <w:szCs w:val="21"/>
              </w:rPr>
              <w:t>□小规模纳税人，3%</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szCs w:val="21"/>
              </w:rPr>
            </w:pPr>
            <w:r>
              <w:rPr>
                <w:rFonts w:hint="eastAsia" w:ascii="宋体" w:hAnsi="宋体"/>
                <w:szCs w:val="21"/>
              </w:rPr>
              <w:t>□小规模纳税人，1%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3238" w:type="pct"/>
            <w:gridSpan w:val="3"/>
            <w:tcBorders>
              <w:top w:val="single" w:color="auto" w:sz="4" w:space="0"/>
              <w:left w:val="single" w:color="auto" w:sz="12"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bCs/>
                <w:szCs w:val="21"/>
                <w:lang w:val="en-US" w:eastAsia="zh-CN"/>
              </w:rPr>
            </w:pPr>
            <w:r>
              <w:rPr>
                <w:rFonts w:hint="eastAsia" w:ascii="宋体"/>
                <w:bCs/>
                <w:szCs w:val="21"/>
                <w:lang w:val="en-US" w:eastAsia="zh-CN"/>
              </w:rPr>
              <w:t>合计（两项小计之和）：</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bCs/>
                <w:szCs w:val="21"/>
                <w:u w:val="single"/>
              </w:rPr>
            </w:pPr>
            <w:r>
              <w:rPr>
                <w:rFonts w:hint="eastAsia" w:ascii="宋体"/>
                <w:bCs/>
                <w:szCs w:val="21"/>
              </w:rPr>
              <w:t>小写：RMB</w:t>
            </w:r>
            <w:r>
              <w:rPr>
                <w:rFonts w:hint="eastAsia" w:ascii="宋体"/>
                <w:bCs/>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eastAsia="宋体"/>
                <w:bCs/>
                <w:szCs w:val="21"/>
                <w:lang w:val="en-US" w:eastAsia="zh-CN"/>
              </w:rPr>
            </w:pPr>
            <w:r>
              <w:rPr>
                <w:rFonts w:hint="eastAsia" w:ascii="宋体"/>
                <w:bCs/>
                <w:szCs w:val="21"/>
              </w:rPr>
              <w:t>大写：</w:t>
            </w:r>
            <w:r>
              <w:rPr>
                <w:rFonts w:hint="eastAsia" w:ascii="宋体"/>
                <w:bCs/>
                <w:szCs w:val="21"/>
                <w:u w:val="single"/>
              </w:rPr>
              <w:t xml:space="preserve">                     </w:t>
            </w:r>
          </w:p>
        </w:tc>
        <w:tc>
          <w:tcPr>
            <w:tcW w:w="1761" w:type="pct"/>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szCs w:val="21"/>
              </w:rPr>
            </w:pPr>
            <w:r>
              <w:rPr>
                <w:rFonts w:hint="eastAsia" w:ascii="宋体" w:hAnsi="宋体"/>
                <w:szCs w:val="21"/>
              </w:rPr>
              <w:t xml:space="preserve">提供发票类型：增值税专用发票    </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szCs w:val="21"/>
              </w:rPr>
            </w:pPr>
            <w:r>
              <w:rPr>
                <w:rFonts w:hint="eastAsia" w:ascii="宋体" w:hAnsi="宋体"/>
                <w:szCs w:val="21"/>
              </w:rPr>
              <w:t>税率（请在相应选项处打勾）：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5000" w:type="pct"/>
            <w:gridSpan w:val="4"/>
            <w:tcBorders>
              <w:top w:val="single" w:color="auto" w:sz="4" w:space="0"/>
              <w:left w:val="single" w:color="auto" w:sz="12" w:space="0"/>
              <w:bottom w:val="single" w:color="auto" w:sz="12" w:space="0"/>
              <w:right w:val="single" w:color="auto" w:sz="12" w:space="0"/>
            </w:tcBorders>
            <w:vAlign w:val="center"/>
          </w:tcPr>
          <w:p>
            <w:pPr>
              <w:spacing w:line="360" w:lineRule="auto"/>
              <w:rPr>
                <w:rFonts w:ascii="宋体" w:hAnsi="宋体"/>
                <w:szCs w:val="21"/>
              </w:rPr>
            </w:pPr>
            <w:r>
              <w:rPr>
                <w:rFonts w:hint="eastAsia" w:ascii="宋体" w:hAnsi="宋体" w:cs="宋体"/>
                <w:kern w:val="0"/>
                <w:sz w:val="21"/>
                <w:szCs w:val="21"/>
                <w:lang w:eastAsia="zh-CN"/>
              </w:rPr>
              <w:t>报价</w:t>
            </w:r>
            <w:r>
              <w:rPr>
                <w:rFonts w:hint="eastAsia" w:ascii="宋体" w:hAnsi="宋体" w:cs="宋体"/>
                <w:kern w:val="0"/>
                <w:sz w:val="21"/>
                <w:szCs w:val="21"/>
              </w:rPr>
              <w:t>税率不同，应折算税率（不含税价=</w:t>
            </w:r>
            <w:r>
              <w:rPr>
                <w:rFonts w:hint="eastAsia" w:ascii="宋体" w:hAnsi="宋体" w:cs="宋体"/>
                <w:kern w:val="0"/>
                <w:sz w:val="21"/>
                <w:szCs w:val="21"/>
                <w:lang w:val="en-US" w:eastAsia="zh-CN"/>
              </w:rPr>
              <w:t>含税成交</w:t>
            </w:r>
            <w:r>
              <w:rPr>
                <w:rFonts w:hint="eastAsia" w:ascii="宋体" w:hAnsi="宋体" w:cs="宋体"/>
                <w:kern w:val="0"/>
                <w:sz w:val="21"/>
                <w:szCs w:val="21"/>
              </w:rPr>
              <w:t>价/（1+税率））</w:t>
            </w:r>
          </w:p>
        </w:tc>
      </w:tr>
    </w:tbl>
    <w:p>
      <w:pPr>
        <w:pStyle w:val="59"/>
        <w:numPr>
          <w:ilvl w:val="3"/>
          <w:numId w:val="15"/>
        </w:numPr>
        <w:spacing w:line="360" w:lineRule="auto"/>
        <w:ind w:left="0" w:firstLine="0" w:firstLineChars="0"/>
        <w:rPr>
          <w:rFonts w:ascii="宋体" w:hAnsi="宋体" w:cs="宋体"/>
          <w:szCs w:val="21"/>
        </w:rPr>
      </w:pPr>
      <w:r>
        <w:rPr>
          <w:rFonts w:hint="eastAsia" w:ascii="宋体" w:hAnsi="宋体" w:cs="宋体"/>
          <w:szCs w:val="21"/>
        </w:rPr>
        <w:t>开具增值税专用发票，发票的开票单位必须与签订合同的单位相一致。</w:t>
      </w:r>
    </w:p>
    <w:p>
      <w:pPr>
        <w:pStyle w:val="59"/>
        <w:numPr>
          <w:ilvl w:val="3"/>
          <w:numId w:val="15"/>
        </w:numPr>
        <w:spacing w:line="360" w:lineRule="auto"/>
        <w:ind w:left="0" w:firstLine="0" w:firstLineChars="0"/>
        <w:rPr>
          <w:rFonts w:ascii="宋体" w:hAnsi="宋体" w:cs="宋体"/>
          <w:szCs w:val="21"/>
        </w:rPr>
      </w:pPr>
      <w:r>
        <w:rPr>
          <w:rFonts w:hint="eastAsia" w:ascii="宋体" w:hAnsi="宋体" w:cs="宋体"/>
          <w:bCs/>
          <w:szCs w:val="21"/>
        </w:rPr>
        <w:t>所有报价最多保留至小数点后两位，采用四舍五入，否则将对其进行修正。</w:t>
      </w:r>
    </w:p>
    <w:p>
      <w:pPr>
        <w:pStyle w:val="59"/>
        <w:numPr>
          <w:ilvl w:val="3"/>
          <w:numId w:val="15"/>
        </w:numPr>
        <w:spacing w:line="360" w:lineRule="auto"/>
        <w:ind w:left="0" w:firstLine="0" w:firstLineChars="0"/>
        <w:rPr>
          <w:rFonts w:ascii="宋体" w:hAnsi="宋体" w:cs="宋体"/>
          <w:szCs w:val="21"/>
        </w:rPr>
      </w:pPr>
      <w:r>
        <w:rPr>
          <w:rFonts w:hint="eastAsia" w:ascii="宋体" w:hAnsi="宋体" w:cs="宋体"/>
          <w:szCs w:val="21"/>
        </w:rPr>
        <w:t xml:space="preserve">价格说明：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03"/>
        <w:gridCol w:w="3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报价人提供的发票类型</w:t>
            </w:r>
          </w:p>
        </w:tc>
        <w:tc>
          <w:tcPr>
            <w:tcW w:w="3483" w:type="dxa"/>
            <w:vAlign w:val="center"/>
          </w:tcPr>
          <w:p>
            <w:pPr>
              <w:spacing w:line="360" w:lineRule="auto"/>
              <w:rPr>
                <w:rFonts w:ascii="宋体" w:hAnsi="宋体" w:cs="宋体"/>
                <w:szCs w:val="21"/>
              </w:rPr>
            </w:pPr>
            <w:r>
              <w:rPr>
                <w:rFonts w:hint="eastAsia" w:ascii="宋体" w:hAnsi="宋体" w:cs="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增值税专用发票</w:t>
            </w:r>
          </w:p>
        </w:tc>
        <w:tc>
          <w:tcPr>
            <w:tcW w:w="3483" w:type="dxa"/>
            <w:vAlign w:val="center"/>
          </w:tcPr>
          <w:p>
            <w:pPr>
              <w:spacing w:line="360" w:lineRule="auto"/>
              <w:rPr>
                <w:rFonts w:ascii="宋体" w:hAnsi="宋体" w:cs="宋体"/>
                <w:szCs w:val="21"/>
              </w:rPr>
            </w:pPr>
            <w:r>
              <w:rPr>
                <w:rFonts w:hint="eastAsia" w:ascii="宋体" w:hAnsi="宋体" w:cs="宋体"/>
                <w:szCs w:val="21"/>
              </w:rPr>
              <w:t>价格/（1+增值税率）</w:t>
            </w:r>
          </w:p>
        </w:tc>
      </w:tr>
    </w:tbl>
    <w:p>
      <w:pPr>
        <w:spacing w:line="360" w:lineRule="auto"/>
        <w:rPr>
          <w:rFonts w:ascii="宋体" w:hAnsi="宋体" w:cs="宋体"/>
          <w:szCs w:val="21"/>
        </w:rPr>
      </w:pPr>
      <w:r>
        <w:rPr>
          <w:rFonts w:hint="eastAsia" w:ascii="宋体" w:hAnsi="宋体" w:cs="宋体"/>
          <w:szCs w:val="21"/>
        </w:rPr>
        <w:t>备注：如各报价人提供的税率不一致时，则分别按上述规定计算各价格，如全部报价人税率都一致则无需转换价格。</w:t>
      </w:r>
    </w:p>
    <w:p>
      <w:pPr>
        <w:pStyle w:val="59"/>
        <w:numPr>
          <w:ilvl w:val="3"/>
          <w:numId w:val="15"/>
        </w:numPr>
        <w:spacing w:line="360" w:lineRule="auto"/>
        <w:ind w:left="0" w:firstLine="0" w:firstLineChars="0"/>
        <w:rPr>
          <w:rFonts w:ascii="宋体" w:hAnsi="宋体" w:cs="宋体"/>
          <w:szCs w:val="21"/>
        </w:rPr>
      </w:pPr>
      <w:r>
        <w:rPr>
          <w:rFonts w:hint="eastAsia" w:ascii="宋体" w:hAnsi="宋体" w:cs="宋体"/>
          <w:szCs w:val="21"/>
        </w:rPr>
        <w:t>供应商应如实填报上表的“税率”，如供应商实际开票税率低于报价中的税率，则</w:t>
      </w:r>
      <w:r>
        <w:rPr>
          <w:rFonts w:hint="eastAsia" w:ascii="宋体" w:hAnsi="宋体" w:cs="宋体"/>
          <w:szCs w:val="21"/>
          <w:lang w:val="en-US" w:eastAsia="zh-CN"/>
        </w:rPr>
        <w:t>成交</w:t>
      </w:r>
      <w:r>
        <w:rPr>
          <w:rFonts w:hint="eastAsia" w:ascii="宋体" w:hAnsi="宋体" w:cs="宋体"/>
          <w:szCs w:val="21"/>
        </w:rPr>
        <w:t>合同金额减少相应的增值税税金金额。如供应商实际开票税率高于报价中的税率，合同金额保持不变。</w:t>
      </w:r>
    </w:p>
    <w:p>
      <w:pPr>
        <w:spacing w:line="360" w:lineRule="auto"/>
        <w:rPr>
          <w:rFonts w:ascii="宋体" w:hAnsi="宋体" w:cs="Tahoma"/>
          <w:szCs w:val="21"/>
        </w:rPr>
      </w:pPr>
    </w:p>
    <w:p>
      <w:pPr>
        <w:spacing w:line="360" w:lineRule="auto"/>
        <w:rPr>
          <w:rFonts w:ascii="宋体" w:hAnsi="宋体" w:cs="Tahoma"/>
          <w:szCs w:val="21"/>
        </w:rPr>
      </w:pPr>
      <w:r>
        <w:rPr>
          <w:rFonts w:hint="eastAsia" w:ascii="宋体" w:hAnsi="宋体" w:cs="Tahoma"/>
          <w:szCs w:val="21"/>
        </w:rPr>
        <w:t xml:space="preserve">报价人法定代表人（或法定代表人授权代表）签字：                   </w:t>
      </w:r>
    </w:p>
    <w:p>
      <w:pPr>
        <w:spacing w:line="360" w:lineRule="auto"/>
        <w:rPr>
          <w:rFonts w:ascii="宋体" w:hAnsi="宋体" w:cs="Tahoma"/>
          <w:szCs w:val="21"/>
        </w:rPr>
      </w:pPr>
      <w:r>
        <w:rPr>
          <w:rFonts w:hint="eastAsia" w:ascii="宋体" w:hAnsi="宋体" w:cs="Tahoma"/>
          <w:szCs w:val="21"/>
        </w:rPr>
        <w:t xml:space="preserve">报价人名称（签章）：                        </w:t>
      </w:r>
    </w:p>
    <w:p>
      <w:pPr>
        <w:spacing w:line="360" w:lineRule="auto"/>
        <w:rPr>
          <w:rFonts w:ascii="宋体" w:hAnsi="宋体" w:cs="Tahoma"/>
          <w:szCs w:val="21"/>
        </w:rPr>
      </w:pPr>
      <w:r>
        <w:rPr>
          <w:rFonts w:hint="eastAsia" w:ascii="宋体" w:hAnsi="宋体" w:cs="Tahoma"/>
          <w:szCs w:val="21"/>
        </w:rPr>
        <w:t>日期：          年      月     日</w:t>
      </w:r>
    </w:p>
    <w:p>
      <w:pPr>
        <w:rPr>
          <w:rFonts w:hint="eastAsia" w:ascii="宋体" w:hAnsi="宋体"/>
          <w:b/>
          <w:sz w:val="30"/>
          <w:szCs w:val="30"/>
        </w:rPr>
      </w:pPr>
      <w:r>
        <w:rPr>
          <w:rFonts w:hint="eastAsia" w:ascii="宋体" w:hAnsi="宋体"/>
          <w:b/>
          <w:sz w:val="30"/>
          <w:szCs w:val="30"/>
        </w:rPr>
        <w:br w:type="page"/>
      </w:r>
    </w:p>
    <w:p>
      <w:pPr>
        <w:jc w:val="center"/>
        <w:rPr>
          <w:rFonts w:ascii="宋体" w:hAnsi="宋体"/>
          <w:b/>
          <w:sz w:val="30"/>
          <w:szCs w:val="30"/>
        </w:rPr>
      </w:pPr>
      <w:r>
        <w:rPr>
          <w:rFonts w:hint="eastAsia" w:ascii="宋体" w:hAnsi="宋体"/>
          <w:b/>
          <w:sz w:val="30"/>
          <w:szCs w:val="30"/>
        </w:rPr>
        <w:t>报价一览表</w:t>
      </w:r>
    </w:p>
    <w:p>
      <w:pPr>
        <w:tabs>
          <w:tab w:val="left" w:pos="3240"/>
          <w:tab w:val="left" w:pos="7070"/>
        </w:tabs>
        <w:spacing w:line="360" w:lineRule="auto"/>
        <w:ind w:left="1687" w:hanging="1687" w:hangingChars="700"/>
        <w:rPr>
          <w:rFonts w:hint="eastAsia" w:ascii="宋体" w:hAnsi="宋体" w:eastAsia="宋体"/>
          <w:sz w:val="24"/>
          <w:lang w:eastAsia="zh-CN"/>
        </w:rPr>
      </w:pPr>
      <w:r>
        <w:rPr>
          <w:rFonts w:hint="eastAsia" w:ascii="宋体" w:hAnsi="宋体"/>
          <w:b/>
          <w:sz w:val="24"/>
        </w:rPr>
        <w:t>采购项目名称</w:t>
      </w:r>
      <w:r>
        <w:rPr>
          <w:rFonts w:ascii="宋体" w:hAnsi="宋体"/>
          <w:b/>
          <w:sz w:val="24"/>
        </w:rPr>
        <w:t>:</w:t>
      </w:r>
      <w:r>
        <w:rPr>
          <w:rFonts w:hint="eastAsia" w:ascii="宋体" w:hAnsi="宋体"/>
          <w:b/>
          <w:sz w:val="24"/>
        </w:rPr>
        <w:t xml:space="preserve"> </w:t>
      </w:r>
      <w:r>
        <w:rPr>
          <w:rFonts w:hint="eastAsia" w:ascii="宋体" w:hAnsi="宋体"/>
          <w:color w:val="000000"/>
          <w:sz w:val="24"/>
          <w:lang w:eastAsia="zh-CN"/>
        </w:rPr>
        <w:t>禅城分公司2024-2025年分前端机房、营业厅及办公场所空调维保维修资格采购项目（第二次竞价）</w:t>
      </w:r>
    </w:p>
    <w:p>
      <w:pPr>
        <w:autoSpaceDE w:val="0"/>
        <w:autoSpaceDN w:val="0"/>
        <w:spacing w:line="360" w:lineRule="auto"/>
        <w:rPr>
          <w:b/>
        </w:rPr>
      </w:pPr>
      <w:r>
        <w:rPr>
          <w:rFonts w:hint="eastAsia" w:ascii="宋体" w:hAnsi="宋体"/>
          <w:b/>
          <w:sz w:val="24"/>
        </w:rPr>
        <w:t>采购项目编号：</w:t>
      </w:r>
      <w:r>
        <w:rPr>
          <w:rFonts w:ascii="宋体" w:hAnsi="宋体"/>
          <w:color w:val="000000"/>
          <w:sz w:val="24"/>
        </w:rPr>
        <w:t xml:space="preserve"> FSCC</w:t>
      </w:r>
      <w:r>
        <w:rPr>
          <w:rFonts w:hint="eastAsia" w:ascii="宋体" w:hAnsi="宋体"/>
          <w:color w:val="000000"/>
          <w:sz w:val="24"/>
        </w:rPr>
        <w:t>2024-0141</w:t>
      </w:r>
    </w:p>
    <w:p>
      <w:pPr>
        <w:tabs>
          <w:tab w:val="left" w:pos="1260"/>
          <w:tab w:val="left" w:pos="2160"/>
          <w:tab w:val="left" w:pos="7920"/>
        </w:tabs>
        <w:spacing w:line="360" w:lineRule="auto"/>
        <w:rPr>
          <w:b/>
          <w:bCs/>
          <w:szCs w:val="21"/>
        </w:rPr>
      </w:pPr>
      <w:r>
        <w:rPr>
          <w:rFonts w:hint="eastAsia"/>
          <w:b/>
          <w:bCs/>
          <w:szCs w:val="21"/>
        </w:rPr>
        <w:t>1、维保</w:t>
      </w:r>
      <w:r>
        <w:rPr>
          <w:b/>
          <w:bCs/>
          <w:szCs w:val="21"/>
        </w:rPr>
        <w:t>服务</w:t>
      </w:r>
      <w:r>
        <w:rPr>
          <w:rFonts w:hint="eastAsia"/>
          <w:b/>
          <w:bCs/>
          <w:szCs w:val="21"/>
        </w:rPr>
        <w:t>报价</w:t>
      </w:r>
    </w:p>
    <w:p>
      <w:pPr>
        <w:tabs>
          <w:tab w:val="left" w:pos="1260"/>
          <w:tab w:val="left" w:pos="2160"/>
          <w:tab w:val="left" w:pos="7920"/>
        </w:tabs>
        <w:spacing w:line="360" w:lineRule="auto"/>
        <w:rPr>
          <w:rFonts w:ascii="宋体" w:hAnsi="宋体" w:cs="Tahoma"/>
          <w:color w:val="000000"/>
        </w:rPr>
      </w:pPr>
      <w:r>
        <w:rPr>
          <w:rFonts w:hint="eastAsia"/>
          <w:b/>
          <w:bCs/>
          <w:szCs w:val="21"/>
        </w:rPr>
        <w:t>备注</w:t>
      </w:r>
      <w:r>
        <w:rPr>
          <w:b/>
          <w:bCs/>
          <w:szCs w:val="21"/>
        </w:rPr>
        <w:t>：</w:t>
      </w:r>
      <w:r>
        <w:rPr>
          <w:rFonts w:hint="eastAsia"/>
          <w:b/>
          <w:bCs/>
          <w:szCs w:val="21"/>
        </w:rPr>
        <w:t>空调</w:t>
      </w:r>
      <w:r>
        <w:rPr>
          <w:b/>
          <w:bCs/>
          <w:szCs w:val="21"/>
        </w:rPr>
        <w:t>维保包含</w:t>
      </w:r>
      <w:r>
        <w:rPr>
          <w:rFonts w:hint="eastAsia"/>
          <w:b/>
          <w:bCs/>
          <w:szCs w:val="21"/>
        </w:rPr>
        <w:t>检测</w:t>
      </w:r>
      <w:r>
        <w:rPr>
          <w:b/>
          <w:bCs/>
          <w:szCs w:val="21"/>
        </w:rPr>
        <w:t>及添加雪种</w:t>
      </w:r>
      <w:r>
        <w:rPr>
          <w:rFonts w:hint="eastAsia"/>
          <w:b/>
          <w:bCs/>
          <w:szCs w:val="21"/>
        </w:rPr>
        <w:t>，</w:t>
      </w:r>
      <w:r>
        <w:rPr>
          <w:rFonts w:hint="eastAsia" w:ascii="宋体" w:hAnsi="宋体" w:cs="Tahoma"/>
          <w:color w:val="000000"/>
        </w:rPr>
        <w:t>维修时更换的零部件按实际结算为准。</w:t>
      </w:r>
    </w:p>
    <w:tbl>
      <w:tblPr>
        <w:tblStyle w:val="36"/>
        <w:tblW w:w="5532" w:type="pct"/>
        <w:tblInd w:w="-7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327"/>
        <w:gridCol w:w="1758"/>
        <w:gridCol w:w="803"/>
        <w:gridCol w:w="1511"/>
        <w:gridCol w:w="1147"/>
        <w:gridCol w:w="1147"/>
        <w:gridCol w:w="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序号</w:t>
            </w:r>
          </w:p>
        </w:tc>
        <w:tc>
          <w:tcPr>
            <w:tcW w:w="704"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项目名称</w:t>
            </w:r>
          </w:p>
        </w:tc>
        <w:tc>
          <w:tcPr>
            <w:tcW w:w="93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维保范围</w:t>
            </w:r>
          </w:p>
        </w:tc>
        <w:tc>
          <w:tcPr>
            <w:tcW w:w="426"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数量（台）</w:t>
            </w:r>
          </w:p>
        </w:tc>
        <w:tc>
          <w:tcPr>
            <w:tcW w:w="801"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维保期限</w:t>
            </w:r>
          </w:p>
        </w:tc>
        <w:tc>
          <w:tcPr>
            <w:tcW w:w="608"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维保费用最高限价（元）</w:t>
            </w:r>
          </w:p>
        </w:tc>
        <w:tc>
          <w:tcPr>
            <w:tcW w:w="608"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维保费用（万元）</w:t>
            </w:r>
          </w:p>
        </w:tc>
        <w:tc>
          <w:tcPr>
            <w:tcW w:w="477"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1</w:t>
            </w:r>
          </w:p>
        </w:tc>
        <w:tc>
          <w:tcPr>
            <w:tcW w:w="704"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hint="eastAsia" w:eastAsia="宋体" w:cs="Courier New"/>
                <w:kern w:val="2"/>
                <w:sz w:val="21"/>
                <w:szCs w:val="21"/>
                <w:lang w:eastAsia="zh-CN"/>
              </w:rPr>
            </w:pPr>
            <w:r>
              <w:rPr>
                <w:rFonts w:hint="eastAsia" w:cs="宋体"/>
                <w:kern w:val="2"/>
                <w:sz w:val="21"/>
                <w:szCs w:val="21"/>
                <w:lang w:eastAsia="zh-CN"/>
              </w:rPr>
              <w:t>禅城分公司2024-2025年分前端机房、营业厅及办公场所空调维保维修资格采购项目（第二次竞价）</w:t>
            </w:r>
          </w:p>
        </w:tc>
        <w:tc>
          <w:tcPr>
            <w:tcW w:w="932"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sz w:val="21"/>
                <w:szCs w:val="21"/>
              </w:rPr>
              <w:t>禅城分公司</w:t>
            </w:r>
            <w:r>
              <w:rPr>
                <w:rFonts w:hint="eastAsia" w:cs="宋体"/>
                <w:kern w:val="2"/>
                <w:sz w:val="21"/>
                <w:szCs w:val="21"/>
              </w:rPr>
              <w:t>办公大院、分前端机房及营业厅网点、南庄区域中心等的分体柜机、挂式分体空调机（详见空调设备明细表）维保</w:t>
            </w:r>
          </w:p>
        </w:tc>
        <w:tc>
          <w:tcPr>
            <w:tcW w:w="426"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ind w:firstLine="105" w:firstLineChars="50"/>
              <w:jc w:val="center"/>
              <w:rPr>
                <w:rFonts w:cs="Courier New"/>
                <w:kern w:val="2"/>
                <w:sz w:val="21"/>
                <w:szCs w:val="21"/>
              </w:rPr>
            </w:pPr>
            <w:r>
              <w:rPr>
                <w:rFonts w:hint="eastAsia" w:cs="宋体"/>
                <w:kern w:val="2"/>
                <w:sz w:val="21"/>
                <w:szCs w:val="21"/>
              </w:rPr>
              <w:t>203</w:t>
            </w:r>
          </w:p>
        </w:tc>
        <w:tc>
          <w:tcPr>
            <w:tcW w:w="801"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ind w:firstLine="210" w:firstLineChars="100"/>
              <w:jc w:val="center"/>
              <w:rPr>
                <w:rFonts w:cs="Courier New"/>
                <w:kern w:val="2"/>
                <w:sz w:val="21"/>
                <w:szCs w:val="21"/>
              </w:rPr>
            </w:pPr>
            <w:r>
              <w:rPr>
                <w:rFonts w:hint="eastAsia" w:cs="宋体"/>
                <w:kern w:val="2"/>
                <w:sz w:val="21"/>
                <w:szCs w:val="21"/>
              </w:rPr>
              <w:t>2024年10月10日起至2025年12月31日或实际发生金额已到达项目预算金额，两者以先到者合同自动终止</w:t>
            </w:r>
          </w:p>
        </w:tc>
        <w:tc>
          <w:tcPr>
            <w:tcW w:w="608"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r>
              <w:rPr>
                <w:rFonts w:hint="eastAsia" w:cs="宋体"/>
                <w:kern w:val="2"/>
                <w:sz w:val="21"/>
                <w:szCs w:val="21"/>
              </w:rPr>
              <w:t>30000.00</w:t>
            </w:r>
          </w:p>
        </w:tc>
        <w:tc>
          <w:tcPr>
            <w:tcW w:w="608"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p>
        </w:tc>
        <w:tc>
          <w:tcPr>
            <w:tcW w:w="477" w:type="pct"/>
            <w:tcBorders>
              <w:top w:val="single" w:color="auto" w:sz="4" w:space="0"/>
              <w:left w:val="single" w:color="auto" w:sz="4" w:space="0"/>
              <w:bottom w:val="single" w:color="auto" w:sz="4" w:space="0"/>
              <w:right w:val="single" w:color="auto" w:sz="4" w:space="0"/>
            </w:tcBorders>
            <w:shd w:val="clear" w:color="auto" w:fill="auto"/>
            <w:vAlign w:val="center"/>
          </w:tcPr>
          <w:p>
            <w:pPr>
              <w:pStyle w:val="32"/>
              <w:widowControl w:val="0"/>
              <w:spacing w:beforeAutospacing="0" w:afterAutospacing="0" w:line="360" w:lineRule="auto"/>
              <w:jc w:val="center"/>
              <w:rPr>
                <w:rFonts w:cs="Courier New"/>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8"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rPr>
                <w:rFonts w:ascii="宋体" w:hAnsi="宋体" w:cs="宋体"/>
                <w:color w:val="000000"/>
                <w:kern w:val="0"/>
                <w:sz w:val="24"/>
                <w:u w:val="single"/>
              </w:rPr>
            </w:pPr>
            <w:r>
              <w:rPr>
                <w:rFonts w:hint="eastAsia" w:ascii="宋体" w:hAnsi="宋体" w:cs="宋体"/>
                <w:color w:val="000000"/>
                <w:kern w:val="0"/>
                <w:sz w:val="24"/>
              </w:rPr>
              <w:t>人民币：（小写）¥</w:t>
            </w:r>
            <w:r>
              <w:rPr>
                <w:rFonts w:hint="eastAsia" w:ascii="宋体" w:hAnsi="宋体" w:cs="宋体"/>
                <w:color w:val="000000"/>
                <w:kern w:val="0"/>
                <w:sz w:val="24"/>
                <w:u w:val="single"/>
              </w:rPr>
              <w:t xml:space="preserve">            </w:t>
            </w:r>
            <w:r>
              <w:rPr>
                <w:rFonts w:hint="eastAsia" w:ascii="宋体" w:hAnsi="宋体" w:cs="宋体"/>
                <w:color w:val="000000"/>
                <w:kern w:val="0"/>
                <w:sz w:val="24"/>
              </w:rPr>
              <w:t xml:space="preserve">     （大写）</w:t>
            </w:r>
            <w:r>
              <w:rPr>
                <w:rFonts w:hint="eastAsia" w:ascii="宋体" w:hAnsi="宋体" w:cs="宋体"/>
                <w:color w:val="000000"/>
                <w:kern w:val="0"/>
                <w:sz w:val="24"/>
                <w:u w:val="single"/>
              </w:rPr>
              <w:t xml:space="preserve">            元整</w:t>
            </w:r>
          </w:p>
          <w:p>
            <w:pPr>
              <w:widowControl/>
              <w:spacing w:line="360" w:lineRule="auto"/>
              <w:jc w:val="center"/>
              <w:rPr>
                <w:rFonts w:ascii="宋体" w:hAnsi="宋体" w:cs="宋体"/>
                <w:color w:val="000000"/>
                <w:kern w:val="0"/>
                <w:sz w:val="24"/>
              </w:rPr>
            </w:pPr>
            <w:r>
              <w:rPr>
                <w:rFonts w:hint="eastAsia" w:ascii="宋体" w:hAnsi="宋体" w:cs="宋体"/>
                <w:color w:val="000000"/>
                <w:kern w:val="0"/>
                <w:sz w:val="24"/>
              </w:rPr>
              <w:t>发票类型：增值税专用发票</w:t>
            </w:r>
          </w:p>
          <w:p>
            <w:pPr>
              <w:pStyle w:val="32"/>
              <w:widowControl w:val="0"/>
              <w:spacing w:beforeAutospacing="0" w:afterAutospacing="0" w:line="360" w:lineRule="auto"/>
              <w:rPr>
                <w:rFonts w:cs="Courier New"/>
                <w:kern w:val="2"/>
              </w:rPr>
            </w:pPr>
            <w:r>
              <w:rPr>
                <w:rFonts w:hint="eastAsia" w:cs="宋体"/>
              </w:rPr>
              <w:t>税率：□一般纳税人6%     □小规模纳税人3%     □小规模纳税人1%</w:t>
            </w:r>
          </w:p>
        </w:tc>
      </w:tr>
    </w:tbl>
    <w:p>
      <w:pPr>
        <w:tabs>
          <w:tab w:val="left" w:pos="1260"/>
          <w:tab w:val="left" w:pos="2160"/>
          <w:tab w:val="left" w:pos="7920"/>
        </w:tabs>
        <w:spacing w:line="360" w:lineRule="auto"/>
        <w:rPr>
          <w:b/>
          <w:bCs/>
          <w:szCs w:val="21"/>
        </w:rPr>
      </w:pPr>
      <w:r>
        <w:rPr>
          <w:rFonts w:hint="eastAsia"/>
          <w:b/>
          <w:bCs/>
          <w:szCs w:val="21"/>
        </w:rPr>
        <w:t>2、维修零件报价</w:t>
      </w:r>
    </w:p>
    <w:tbl>
      <w:tblPr>
        <w:tblStyle w:val="36"/>
        <w:tblpPr w:leftFromText="180" w:rightFromText="180" w:vertAnchor="text" w:horzAnchor="page" w:tblpX="1758" w:tblpY="308"/>
        <w:tblOverlap w:val="never"/>
        <w:tblW w:w="4998" w:type="pct"/>
        <w:tblInd w:w="0" w:type="dxa"/>
        <w:tblLayout w:type="autofit"/>
        <w:tblCellMar>
          <w:top w:w="15" w:type="dxa"/>
          <w:left w:w="15" w:type="dxa"/>
          <w:bottom w:w="15" w:type="dxa"/>
          <w:right w:w="15" w:type="dxa"/>
        </w:tblCellMar>
      </w:tblPr>
      <w:tblGrid>
        <w:gridCol w:w="601"/>
        <w:gridCol w:w="1202"/>
        <w:gridCol w:w="1920"/>
        <w:gridCol w:w="640"/>
        <w:gridCol w:w="895"/>
        <w:gridCol w:w="767"/>
        <w:gridCol w:w="1023"/>
        <w:gridCol w:w="1285"/>
      </w:tblGrid>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序号</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维修</w:t>
            </w:r>
            <w:r>
              <w:rPr>
                <w:rFonts w:ascii="宋体" w:hAnsi="宋体" w:cs="宋体"/>
              </w:rPr>
              <w:t>明细</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规格型号</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单位</w:t>
            </w:r>
          </w:p>
        </w:tc>
        <w:tc>
          <w:tcPr>
            <w:tcW w:w="537"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r>
              <w:rPr>
                <w:rFonts w:hint="eastAsia" w:ascii="宋体" w:hAnsi="宋体" w:cs="宋体"/>
              </w:rPr>
              <w:t>模拟量</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r>
              <w:rPr>
                <w:rFonts w:hint="eastAsia" w:ascii="宋体" w:hAnsi="宋体" w:cs="宋体"/>
              </w:rPr>
              <w:t>单价</w:t>
            </w: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hint="eastAsia" w:ascii="宋体" w:hAnsi="宋体" w:eastAsia="宋体" w:cs="宋体"/>
                <w:lang w:eastAsia="zh-CN"/>
              </w:rPr>
            </w:pPr>
            <w:r>
              <w:rPr>
                <w:rFonts w:hint="eastAsia" w:ascii="宋体" w:hAnsi="宋体" w:cs="宋体"/>
                <w:lang w:val="en-US" w:eastAsia="zh-CN"/>
              </w:rPr>
              <w:t>小计</w:t>
            </w: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备注</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拆卸空调</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安装空调</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9</w:t>
            </w:r>
          </w:p>
        </w:tc>
        <w:tc>
          <w:tcPr>
            <w:tcW w:w="72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增加/更换铜管</w:t>
            </w: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1匹机型</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60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10</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1.5-2匹机型</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60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11</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60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12</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60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13</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增加/更换电源线、</w:t>
            </w:r>
          </w:p>
          <w:p>
            <w:pPr>
              <w:widowControl/>
              <w:jc w:val="center"/>
              <w:rPr>
                <w:rFonts w:ascii="宋体" w:hAnsi="宋体" w:cs="宋体"/>
              </w:rPr>
            </w:pPr>
            <w:r>
              <w:rPr>
                <w:rFonts w:hint="eastAsia" w:ascii="宋体" w:hAnsi="宋体" w:cs="宋体"/>
              </w:rPr>
              <w:t>控制线</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3×1.5mm2联机电源线</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3×2.5mm2联机电源线</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5×2.5mm2联机电源线</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3×1.5mm2护套线</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5×1.5mm2护套线</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54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18</w:t>
            </w:r>
          </w:p>
        </w:tc>
        <w:tc>
          <w:tcPr>
            <w:tcW w:w="72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增加/更换橡塑保温管（含扎带）</w:t>
            </w: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∮6×13mm/B1级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19</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∮10×13mm/B1级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20</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∮13×13mm/B1级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21</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∮16×15mm/B1级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22</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∮20×15mm/B1级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cs="宋体"/>
              </w:rPr>
            </w:pPr>
            <w:r>
              <w:rPr>
                <w:rFonts w:hint="eastAsia" w:ascii="宋体" w:hAnsi="宋体" w:cs="宋体"/>
              </w:rPr>
              <w:t>23</w:t>
            </w:r>
          </w:p>
        </w:tc>
        <w:tc>
          <w:tcPr>
            <w:tcW w:w="7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∮22×15mm/B1级</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30</w:t>
            </w:r>
          </w:p>
        </w:tc>
        <w:tc>
          <w:tcPr>
            <w:tcW w:w="460"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555"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24</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增加/更换PVC排水管（含直通、弯头、三通</w:t>
            </w:r>
          </w:p>
          <w:p>
            <w:pPr>
              <w:widowControl/>
              <w:jc w:val="center"/>
              <w:rPr>
                <w:rFonts w:ascii="宋体" w:hAnsi="宋体" w:cs="宋体"/>
              </w:rPr>
            </w:pPr>
            <w:r>
              <w:rPr>
                <w:rFonts w:hint="eastAsia" w:ascii="宋体" w:hAnsi="宋体" w:cs="宋体"/>
              </w:rPr>
              <w:t>连接附件）</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4分PVC塑料管</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6分PVC塑料管</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26</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增加/更换塑料波纹排</w:t>
            </w:r>
          </w:p>
          <w:p>
            <w:pPr>
              <w:widowControl/>
              <w:jc w:val="center"/>
              <w:rPr>
                <w:rFonts w:ascii="宋体" w:hAnsi="宋体" w:cs="宋体"/>
              </w:rPr>
            </w:pPr>
            <w:r>
              <w:rPr>
                <w:rFonts w:hint="eastAsia" w:ascii="宋体" w:hAnsi="宋体" w:cs="宋体"/>
              </w:rPr>
              <w:t>水管</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4分塑料软管</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米</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27</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增加/更换遥控器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1000合1多功能遥控</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原装牌子空调遥控</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18</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29</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更换压缩机</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1匹涡旋式压缩机</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1.5匹涡旋式压缩机</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2匹涡旋式压缩机</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3匹涡旋式压缩机</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5匹涡旋式压缩机</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34</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更换室内机电路板</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原厂牌子1匹机型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39</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更换室外机电路板</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41</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更换空调接收板、显示板</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原厂牌子1匹机型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原厂牌子5匹机型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46</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更换室内机风机电机</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50</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更换室内机导叶摇摆</w:t>
            </w:r>
          </w:p>
          <w:p>
            <w:pPr>
              <w:widowControl/>
              <w:jc w:val="center"/>
              <w:rPr>
                <w:rFonts w:ascii="宋体" w:hAnsi="宋体" w:cs="宋体"/>
              </w:rPr>
            </w:pPr>
            <w:r>
              <w:rPr>
                <w:rFonts w:hint="eastAsia" w:ascii="宋体" w:hAnsi="宋体" w:cs="宋体"/>
              </w:rPr>
              <w:t>电机</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54</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更换室外机风机电机</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58</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更换室内机送风轮</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1匹室内贯流翼式</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1.5匹室内贯流翼式</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2匹室内贯流翼式</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3匹室内离心式</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5匹室内离心式</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63</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更换室外机散热风扇叶</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67</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更换温度传感器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5KΩ</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10KΩ</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15KΩ</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20KΩ</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50KΩ</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72</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更换压力保护监测装置</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低压保护压力传感器</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高压保护压力传感器</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排气温度保护传感器</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48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75</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更换压缩机控制交流接触器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380V/25A</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45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76</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更换压缩机控热继电器</w:t>
            </w:r>
          </w:p>
        </w:tc>
        <w:tc>
          <w:tcPr>
            <w:tcW w:w="1152"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77</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更换变压器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220V-12V转换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220V-12V-9V转换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4</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79</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更换室外机过流保护器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件</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81</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更换空调四通换向阀</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84</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85</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更换铜角阀</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∮6×25</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∮10×25</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∮12×25</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∮16×30</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89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∮19×30</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90</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更换压缩机启动电容</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93</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更换室外风机电容</w:t>
            </w:r>
          </w:p>
        </w:tc>
        <w:tc>
          <w:tcPr>
            <w:tcW w:w="1152"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94</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更换压缩机插脚线</w:t>
            </w:r>
          </w:p>
        </w:tc>
        <w:tc>
          <w:tcPr>
            <w:tcW w:w="1152"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条</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95</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增加/更换空调外机支架</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1-2匹普通型不锈钢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3匹普通型不锈钢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5匹普通型不锈钢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98</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3匹加厚型豪华型不锈钢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99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5匹加厚型豪华型不锈钢</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100</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更换室内机接水盆</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9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102</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104</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更换室内机导风摆叶</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108</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更换节流装置</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109</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110</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111</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套</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112</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更换室外机贮液器</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113</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质保期3个月</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114</w:t>
            </w:r>
          </w:p>
        </w:tc>
        <w:tc>
          <w:tcPr>
            <w:tcW w:w="72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更换散热风机电机轴承</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115</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2匹机型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116</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3匹机型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117</w:t>
            </w:r>
          </w:p>
        </w:tc>
        <w:tc>
          <w:tcPr>
            <w:tcW w:w="72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rPr>
            </w:pP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118</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钎焊银焊条</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支</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5</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质保期1年</w:t>
            </w: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119</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空调机拆机高空施工作业费</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120</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空调机安装高空施工作业费</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台</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6</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121</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开钻空调孔（砖墙）</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360" w:hRule="atLeast"/>
        </w:trPr>
        <w:tc>
          <w:tcPr>
            <w:tcW w:w="3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122</w:t>
            </w:r>
          </w:p>
        </w:tc>
        <w:tc>
          <w:tcPr>
            <w:tcW w:w="72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开钻空调孔（混凝土）</w:t>
            </w:r>
          </w:p>
        </w:tc>
        <w:tc>
          <w:tcPr>
            <w:tcW w:w="115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1-5匹机型</w:t>
            </w:r>
          </w:p>
        </w:tc>
        <w:tc>
          <w:tcPr>
            <w:tcW w:w="384"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个</w:t>
            </w:r>
          </w:p>
        </w:tc>
        <w:tc>
          <w:tcPr>
            <w:tcW w:w="53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r>
              <w:rPr>
                <w:rFonts w:hint="eastAsia" w:ascii="宋体" w:hAnsi="宋体" w:cs="宋体"/>
              </w:rPr>
              <w:t>10</w:t>
            </w:r>
          </w:p>
        </w:tc>
        <w:tc>
          <w:tcPr>
            <w:tcW w:w="46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614"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rPr>
            </w:pPr>
          </w:p>
        </w:tc>
        <w:tc>
          <w:tcPr>
            <w:tcW w:w="76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rPr>
            </w:pPr>
          </w:p>
        </w:tc>
      </w:tr>
      <w:tr>
        <w:tblPrEx>
          <w:tblCellMar>
            <w:top w:w="15" w:type="dxa"/>
            <w:left w:w="15" w:type="dxa"/>
            <w:bottom w:w="15" w:type="dxa"/>
            <w:right w:w="15" w:type="dxa"/>
          </w:tblCellMar>
        </w:tblPrEx>
        <w:trPr>
          <w:trHeight w:val="1347" w:hRule="atLeast"/>
        </w:trPr>
        <w:tc>
          <w:tcPr>
            <w:tcW w:w="5000" w:type="pct"/>
            <w:gridSpan w:val="8"/>
            <w:tcBorders>
              <w:top w:val="single" w:color="000000" w:sz="4" w:space="0"/>
              <w:left w:val="single" w:color="000000" w:sz="4" w:space="0"/>
              <w:bottom w:val="single" w:color="000000" w:sz="4" w:space="0"/>
              <w:right w:val="single" w:color="000000" w:sz="4" w:space="0"/>
            </w:tcBorders>
          </w:tcPr>
          <w:p>
            <w:pPr>
              <w:widowControl/>
              <w:spacing w:line="360" w:lineRule="auto"/>
              <w:jc w:val="left"/>
              <w:rPr>
                <w:rFonts w:ascii="宋体" w:hAnsi="宋体" w:cs="宋体"/>
                <w:color w:val="000000"/>
                <w:kern w:val="0"/>
                <w:sz w:val="24"/>
                <w:u w:val="single"/>
              </w:rPr>
            </w:pPr>
            <w:r>
              <w:rPr>
                <w:rFonts w:hint="eastAsia" w:ascii="宋体" w:hAnsi="宋体" w:cs="宋体"/>
                <w:color w:val="000000"/>
                <w:kern w:val="0"/>
                <w:sz w:val="24"/>
              </w:rPr>
              <w:t>合计人民</w:t>
            </w:r>
            <w:r>
              <w:rPr>
                <w:rFonts w:ascii="宋体" w:hAnsi="宋体" w:cs="宋体"/>
                <w:color w:val="000000"/>
                <w:kern w:val="0"/>
                <w:sz w:val="24"/>
              </w:rPr>
              <w:t>币：</w:t>
            </w:r>
            <w:r>
              <w:rPr>
                <w:rFonts w:hint="eastAsia" w:ascii="宋体" w:hAnsi="宋体" w:cs="宋体"/>
                <w:color w:val="000000"/>
                <w:kern w:val="0"/>
                <w:sz w:val="24"/>
              </w:rPr>
              <w:t>（小写）¥</w:t>
            </w:r>
            <w:r>
              <w:rPr>
                <w:rFonts w:hint="eastAsia" w:ascii="宋体" w:hAnsi="宋体" w:cs="宋体"/>
                <w:color w:val="000000"/>
                <w:kern w:val="0"/>
                <w:sz w:val="24"/>
                <w:u w:val="single"/>
              </w:rPr>
              <w:t xml:space="preserve">            </w:t>
            </w:r>
            <w:r>
              <w:rPr>
                <w:rFonts w:hint="eastAsia" w:ascii="宋体" w:hAnsi="宋体" w:cs="宋体"/>
                <w:color w:val="000000"/>
                <w:kern w:val="0"/>
                <w:sz w:val="24"/>
              </w:rPr>
              <w:t xml:space="preserve">   </w:t>
            </w:r>
            <w:r>
              <w:rPr>
                <w:rFonts w:ascii="宋体" w:hAnsi="宋体" w:cs="宋体"/>
                <w:color w:val="000000"/>
                <w:kern w:val="0"/>
                <w:sz w:val="24"/>
              </w:rPr>
              <w:t xml:space="preserve">  </w:t>
            </w:r>
            <w:r>
              <w:rPr>
                <w:rFonts w:hint="eastAsia" w:ascii="宋体" w:hAnsi="宋体" w:cs="宋体"/>
                <w:color w:val="000000"/>
                <w:kern w:val="0"/>
                <w:sz w:val="24"/>
              </w:rPr>
              <w:t>（大写）</w:t>
            </w:r>
            <w:r>
              <w:rPr>
                <w:rFonts w:hint="eastAsia" w:ascii="宋体" w:hAnsi="宋体" w:cs="宋体"/>
                <w:color w:val="000000"/>
                <w:kern w:val="0"/>
                <w:sz w:val="24"/>
                <w:u w:val="single"/>
              </w:rPr>
              <w:t xml:space="preserve">            元</w:t>
            </w:r>
            <w:r>
              <w:rPr>
                <w:rFonts w:ascii="宋体" w:hAnsi="宋体" w:cs="宋体"/>
                <w:color w:val="000000"/>
                <w:kern w:val="0"/>
                <w:sz w:val="24"/>
                <w:u w:val="single"/>
              </w:rPr>
              <w:t>整</w:t>
            </w:r>
            <w:r>
              <w:rPr>
                <w:rFonts w:hint="eastAsia" w:ascii="宋体" w:hAnsi="宋体" w:cs="宋体"/>
                <w:color w:val="000000"/>
                <w:kern w:val="0"/>
                <w:sz w:val="24"/>
              </w:rPr>
              <w:t xml:space="preserve">   </w:t>
            </w:r>
          </w:p>
          <w:p>
            <w:pPr>
              <w:widowControl/>
              <w:spacing w:line="360" w:lineRule="auto"/>
              <w:jc w:val="left"/>
              <w:rPr>
                <w:rFonts w:ascii="宋体" w:hAnsi="宋体" w:cs="宋体"/>
                <w:color w:val="000000"/>
                <w:kern w:val="0"/>
                <w:sz w:val="24"/>
              </w:rPr>
            </w:pPr>
            <w:r>
              <w:rPr>
                <w:rFonts w:hint="eastAsia" w:ascii="宋体" w:hAnsi="宋体" w:cs="宋体"/>
                <w:color w:val="000000"/>
                <w:kern w:val="0"/>
                <w:sz w:val="24"/>
              </w:rPr>
              <w:t>发票类型：增值税专用发票</w:t>
            </w:r>
          </w:p>
          <w:p>
            <w:pPr>
              <w:widowControl/>
              <w:spacing w:line="360" w:lineRule="auto"/>
              <w:jc w:val="left"/>
              <w:rPr>
                <w:rFonts w:ascii="宋体" w:hAnsi="宋体" w:cs="宋体"/>
                <w:color w:val="000000"/>
                <w:kern w:val="0"/>
                <w:szCs w:val="21"/>
              </w:rPr>
            </w:pPr>
            <w:r>
              <w:rPr>
                <w:rFonts w:hint="eastAsia" w:ascii="宋体" w:hAnsi="宋体" w:cs="宋体"/>
                <w:color w:val="000000"/>
                <w:kern w:val="0"/>
                <w:sz w:val="24"/>
              </w:rPr>
              <w:t>税率：□一般纳税人13%     □小规模纳税人3%    □小规模纳税人1%</w:t>
            </w:r>
          </w:p>
        </w:tc>
      </w:tr>
    </w:tbl>
    <w:p>
      <w:pPr>
        <w:pStyle w:val="59"/>
        <w:numPr>
          <w:ilvl w:val="3"/>
          <w:numId w:val="16"/>
        </w:numPr>
        <w:spacing w:line="360" w:lineRule="auto"/>
        <w:ind w:left="0" w:firstLine="0" w:firstLineChars="0"/>
        <w:rPr>
          <w:rFonts w:ascii="宋体" w:hAnsi="宋体" w:cs="宋体"/>
          <w:szCs w:val="21"/>
        </w:rPr>
      </w:pPr>
      <w:r>
        <w:rPr>
          <w:rFonts w:hint="eastAsia" w:ascii="宋体" w:hAnsi="宋体" w:cs="宋体"/>
          <w:szCs w:val="21"/>
        </w:rPr>
        <w:t>开具增值税专用发票，发票的开票单位必须与签订合同的单位相一致。</w:t>
      </w:r>
    </w:p>
    <w:p>
      <w:pPr>
        <w:pStyle w:val="59"/>
        <w:numPr>
          <w:ilvl w:val="3"/>
          <w:numId w:val="16"/>
        </w:numPr>
        <w:spacing w:line="360" w:lineRule="auto"/>
        <w:ind w:left="0" w:firstLine="0" w:firstLineChars="0"/>
        <w:rPr>
          <w:rFonts w:ascii="宋体" w:hAnsi="宋体" w:cs="宋体"/>
          <w:szCs w:val="21"/>
        </w:rPr>
      </w:pPr>
      <w:r>
        <w:rPr>
          <w:rFonts w:hint="eastAsia" w:ascii="宋体" w:hAnsi="宋体" w:cs="宋体"/>
          <w:bCs/>
          <w:szCs w:val="21"/>
        </w:rPr>
        <w:t>所有报价最多保留至小数点后两位，采用四舍五入，否则将对其进行修正。</w:t>
      </w:r>
    </w:p>
    <w:p>
      <w:pPr>
        <w:pStyle w:val="59"/>
        <w:numPr>
          <w:ilvl w:val="3"/>
          <w:numId w:val="16"/>
        </w:numPr>
        <w:spacing w:line="360" w:lineRule="auto"/>
        <w:ind w:left="0" w:firstLine="0" w:firstLineChars="0"/>
        <w:rPr>
          <w:rFonts w:ascii="宋体" w:hAnsi="宋体" w:cs="宋体"/>
          <w:szCs w:val="21"/>
        </w:rPr>
      </w:pPr>
      <w:r>
        <w:rPr>
          <w:rFonts w:hint="eastAsia" w:ascii="宋体" w:hAnsi="宋体" w:cs="宋体"/>
          <w:szCs w:val="21"/>
        </w:rPr>
        <w:t xml:space="preserve">价格说明：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03"/>
        <w:gridCol w:w="3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报价人提供的发票类型</w:t>
            </w:r>
          </w:p>
        </w:tc>
        <w:tc>
          <w:tcPr>
            <w:tcW w:w="3483" w:type="dxa"/>
            <w:vAlign w:val="center"/>
          </w:tcPr>
          <w:p>
            <w:pPr>
              <w:spacing w:line="360" w:lineRule="auto"/>
              <w:rPr>
                <w:rFonts w:ascii="宋体" w:hAnsi="宋体" w:cs="宋体"/>
                <w:szCs w:val="21"/>
              </w:rPr>
            </w:pPr>
            <w:r>
              <w:rPr>
                <w:rFonts w:hint="eastAsia" w:ascii="宋体" w:hAnsi="宋体" w:cs="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增值税专用发票</w:t>
            </w:r>
          </w:p>
        </w:tc>
        <w:tc>
          <w:tcPr>
            <w:tcW w:w="3483" w:type="dxa"/>
            <w:vAlign w:val="center"/>
          </w:tcPr>
          <w:p>
            <w:pPr>
              <w:spacing w:line="360" w:lineRule="auto"/>
              <w:rPr>
                <w:rFonts w:ascii="宋体" w:hAnsi="宋体" w:cs="宋体"/>
                <w:szCs w:val="21"/>
              </w:rPr>
            </w:pPr>
            <w:r>
              <w:rPr>
                <w:rFonts w:hint="eastAsia" w:ascii="宋体" w:hAnsi="宋体" w:cs="宋体"/>
                <w:szCs w:val="21"/>
              </w:rPr>
              <w:t>价格/（1+增值税率）</w:t>
            </w:r>
          </w:p>
        </w:tc>
      </w:tr>
    </w:tbl>
    <w:p>
      <w:pPr>
        <w:spacing w:line="360" w:lineRule="auto"/>
        <w:rPr>
          <w:rFonts w:ascii="宋体" w:hAnsi="宋体" w:cs="宋体"/>
          <w:szCs w:val="21"/>
        </w:rPr>
      </w:pPr>
      <w:r>
        <w:rPr>
          <w:rFonts w:hint="eastAsia" w:ascii="宋体" w:hAnsi="宋体" w:cs="宋体"/>
          <w:szCs w:val="21"/>
        </w:rPr>
        <w:t>备注：如各报价人提供的税率不一致时，则分别按上述规定计算各价格，如全部报价人税率都一致则无需转换价格。</w:t>
      </w:r>
    </w:p>
    <w:p>
      <w:pPr>
        <w:pStyle w:val="59"/>
        <w:numPr>
          <w:ilvl w:val="3"/>
          <w:numId w:val="16"/>
        </w:numPr>
        <w:spacing w:line="360" w:lineRule="auto"/>
        <w:ind w:left="0" w:firstLine="0" w:firstLineChars="0"/>
        <w:rPr>
          <w:rFonts w:ascii="宋体" w:hAnsi="宋体" w:cs="宋体"/>
          <w:szCs w:val="21"/>
        </w:rPr>
      </w:pPr>
      <w:r>
        <w:rPr>
          <w:rFonts w:hint="eastAsia" w:ascii="宋体" w:hAnsi="宋体" w:cs="宋体"/>
          <w:szCs w:val="21"/>
        </w:rPr>
        <w:t>供应商应如实填报上表的“税率”，如供应商实际开票税率低于报价中的税率，则中标合同金额减少相应的增值税税金金额。如供应商实际开票税率高于报价中的税率，合同金额保持不变。</w:t>
      </w:r>
    </w:p>
    <w:p>
      <w:pPr>
        <w:spacing w:line="360" w:lineRule="auto"/>
        <w:rPr>
          <w:rFonts w:ascii="宋体" w:hAnsi="宋体"/>
          <w:sz w:val="24"/>
        </w:rPr>
      </w:pPr>
    </w:p>
    <w:p>
      <w:pPr>
        <w:spacing w:line="500" w:lineRule="exact"/>
        <w:rPr>
          <w:rFonts w:ascii="宋体" w:hAnsi="宋体"/>
          <w:color w:val="000000"/>
          <w:szCs w:val="21"/>
          <w:u w:val="single"/>
        </w:rPr>
      </w:pPr>
      <w:r>
        <w:rPr>
          <w:rFonts w:hint="eastAsia"/>
          <w:spacing w:val="4"/>
          <w:szCs w:val="21"/>
        </w:rPr>
        <w:t>报价人名称（盖公章）：</w:t>
      </w:r>
    </w:p>
    <w:p>
      <w:pPr>
        <w:ind w:firstLine="436" w:firstLineChars="200"/>
        <w:rPr>
          <w:spacing w:val="4"/>
          <w:szCs w:val="21"/>
        </w:rPr>
      </w:pPr>
    </w:p>
    <w:p>
      <w:pPr>
        <w:spacing w:line="440" w:lineRule="exact"/>
        <w:rPr>
          <w:spacing w:val="4"/>
          <w:szCs w:val="21"/>
        </w:rPr>
      </w:pPr>
      <w:r>
        <w:rPr>
          <w:rFonts w:hint="eastAsia" w:ascii="宋体"/>
          <w:szCs w:val="21"/>
        </w:rPr>
        <w:t>法定代表人或</w:t>
      </w:r>
      <w:r>
        <w:rPr>
          <w:rFonts w:hint="eastAsia"/>
          <w:spacing w:val="4"/>
          <w:szCs w:val="21"/>
        </w:rPr>
        <w:t>报价人</w:t>
      </w:r>
      <w:r>
        <w:rPr>
          <w:rFonts w:hint="eastAsia" w:ascii="宋体" w:hAnsi="宋体"/>
          <w:szCs w:val="21"/>
        </w:rPr>
        <w:t>授权代表（</w:t>
      </w:r>
      <w:r>
        <w:rPr>
          <w:rFonts w:hint="eastAsia" w:ascii="宋体" w:hAnsi="宋体" w:cs="宋体"/>
          <w:szCs w:val="21"/>
          <w:lang w:eastAsia="zh-TW"/>
        </w:rPr>
        <w:t>签署本人姓名（或印盖本人姓名章）</w:t>
      </w:r>
      <w:r>
        <w:rPr>
          <w:rFonts w:hint="eastAsia" w:ascii="宋体" w:hAnsi="宋体"/>
          <w:szCs w:val="21"/>
        </w:rPr>
        <w:t>）</w:t>
      </w:r>
      <w:r>
        <w:rPr>
          <w:rFonts w:hint="eastAsia"/>
          <w:spacing w:val="4"/>
          <w:szCs w:val="21"/>
        </w:rPr>
        <w:t>：</w:t>
      </w:r>
    </w:p>
    <w:p>
      <w:pPr>
        <w:spacing w:line="440" w:lineRule="exact"/>
        <w:rPr>
          <w:spacing w:val="4"/>
          <w:szCs w:val="21"/>
        </w:rPr>
      </w:pPr>
    </w:p>
    <w:p>
      <w:pPr>
        <w:spacing w:line="440" w:lineRule="exact"/>
        <w:rPr>
          <w:spacing w:val="4"/>
          <w:szCs w:val="21"/>
          <w:u w:val="single"/>
        </w:rPr>
      </w:pPr>
      <w:r>
        <w:rPr>
          <w:rFonts w:hint="eastAsia"/>
          <w:spacing w:val="4"/>
          <w:szCs w:val="21"/>
        </w:rPr>
        <w:t>日期：</w:t>
      </w:r>
      <w:bookmarkStart w:id="3" w:name="_Toc202819882"/>
      <w:bookmarkEnd w:id="3"/>
      <w:bookmarkStart w:id="4" w:name="_Toc202252037"/>
      <w:bookmarkEnd w:id="4"/>
      <w:bookmarkStart w:id="5" w:name="_Toc202817000"/>
      <w:bookmarkEnd w:id="5"/>
      <w:bookmarkStart w:id="6" w:name="_Toc202251703"/>
      <w:bookmarkEnd w:id="6"/>
      <w:bookmarkStart w:id="7" w:name="_Toc351386973"/>
      <w:bookmarkEnd w:id="7"/>
      <w:bookmarkStart w:id="8" w:name="_Toc202254108"/>
      <w:bookmarkEnd w:id="8"/>
      <w:bookmarkStart w:id="9" w:name="_Toc202820355"/>
      <w:bookmarkEnd w:id="9"/>
      <w:bookmarkStart w:id="10" w:name="_Toc202251078"/>
      <w:bookmarkEnd w:id="10"/>
    </w:p>
    <w:p>
      <w:pPr>
        <w:pStyle w:val="3"/>
        <w:spacing w:before="0" w:after="0"/>
        <w:jc w:val="center"/>
        <w:rPr>
          <w:rFonts w:ascii="宋体" w:hAnsi="宋体" w:cs="宋体"/>
          <w:b w:val="0"/>
          <w:bCs/>
          <w:szCs w:val="21"/>
        </w:rPr>
      </w:pPr>
      <w:r>
        <w:rPr>
          <w:rFonts w:hint="eastAsia" w:ascii="宋体" w:hAnsi="宋体" w:eastAsia="宋体" w:cs="宋体"/>
          <w:bCs/>
          <w:sz w:val="21"/>
          <w:szCs w:val="21"/>
        </w:rPr>
        <w:br w:type="page"/>
      </w:r>
    </w:p>
    <w:p>
      <w:pPr>
        <w:spacing w:line="480" w:lineRule="auto"/>
        <w:jc w:val="center"/>
        <w:outlineLvl w:val="1"/>
      </w:pPr>
      <w:r>
        <w:rPr>
          <w:rFonts w:ascii="宋体" w:hAnsi="宋体" w:cs="Tahoma"/>
          <w:b/>
          <w:bCs/>
          <w:color w:val="000000"/>
          <w:sz w:val="28"/>
          <w:szCs w:val="28"/>
        </w:rPr>
        <w:t xml:space="preserve"> </w:t>
      </w:r>
      <w:r>
        <w:rPr>
          <w:rFonts w:hint="eastAsia"/>
          <w:b/>
          <w:bCs/>
          <w:sz w:val="28"/>
          <w:szCs w:val="28"/>
        </w:rPr>
        <w:t>供应商资格声明函</w:t>
      </w:r>
    </w:p>
    <w:p>
      <w:pPr>
        <w:autoSpaceDE w:val="0"/>
        <w:autoSpaceDN w:val="0"/>
        <w:adjustRightInd w:val="0"/>
        <w:snapToGrid w:val="0"/>
        <w:spacing w:line="480" w:lineRule="auto"/>
        <w:rPr>
          <w:rFonts w:ascii="宋体" w:hAnsi="宋体"/>
          <w:b/>
          <w:szCs w:val="21"/>
        </w:rPr>
      </w:pPr>
      <w:r>
        <w:rPr>
          <w:rFonts w:hint="eastAsia" w:ascii="宋体" w:hAnsi="宋体"/>
          <w:b/>
          <w:szCs w:val="21"/>
        </w:rPr>
        <w:t>致：</w:t>
      </w:r>
      <w:r>
        <w:rPr>
          <w:rFonts w:hint="eastAsia" w:ascii="宋体" w:hAnsi="宋体" w:cs="宋体"/>
          <w:b/>
          <w:bCs/>
          <w:szCs w:val="21"/>
        </w:rPr>
        <w:t>广东省广播电视网络股份有限公司禅城分公司</w:t>
      </w:r>
      <w:r>
        <w:rPr>
          <w:rFonts w:hint="eastAsia" w:ascii="宋体" w:hAnsi="宋体"/>
          <w:b/>
          <w:szCs w:val="21"/>
        </w:rPr>
        <w:t>、采联国际招标采购集团有限公司</w:t>
      </w:r>
    </w:p>
    <w:p>
      <w:pPr>
        <w:snapToGrid w:val="0"/>
        <w:spacing w:line="360" w:lineRule="auto"/>
        <w:ind w:firstLine="424" w:firstLineChars="202"/>
        <w:rPr>
          <w:rFonts w:ascii="宋体" w:hAnsi="宋体"/>
        </w:rPr>
      </w:pPr>
      <w:r>
        <w:rPr>
          <w:rFonts w:hint="eastAsia" w:ascii="宋体" w:hAnsi="宋体"/>
          <w:szCs w:val="21"/>
        </w:rPr>
        <w:t>关于贵单位、贵司发布</w:t>
      </w:r>
      <w:r>
        <w:rPr>
          <w:rFonts w:hint="eastAsia" w:ascii="宋体" w:hAnsi="宋体" w:cs="宋体"/>
          <w:b/>
          <w:bCs/>
          <w:szCs w:val="21"/>
          <w:u w:val="single"/>
          <w:lang w:eastAsia="zh-CN"/>
        </w:rPr>
        <w:t>禅城分公司2024-2025年分前端机房、营业厅及办公场所空调维保维修资格采购项目（第二次竞价）</w:t>
      </w:r>
      <w:r>
        <w:rPr>
          <w:rFonts w:hint="eastAsia" w:ascii="宋体" w:hAnsi="宋体"/>
          <w:szCs w:val="21"/>
        </w:rPr>
        <w:t>的竞价公告</w:t>
      </w:r>
      <w:r>
        <w:rPr>
          <w:rFonts w:hint="eastAsia" w:ascii="宋体" w:hAnsi="宋体"/>
        </w:rPr>
        <w:t>，并声明：</w:t>
      </w:r>
    </w:p>
    <w:p>
      <w:pPr>
        <w:spacing w:line="360" w:lineRule="auto"/>
        <w:ind w:firstLine="420" w:firstLineChars="200"/>
        <w:rPr>
          <w:rFonts w:ascii="宋体" w:hAnsi="宋体" w:cs="宋体"/>
        </w:rPr>
      </w:pPr>
      <w:r>
        <w:rPr>
          <w:rFonts w:hint="eastAsia" w:ascii="宋体" w:hAnsi="宋体" w:cs="宋体"/>
        </w:rPr>
        <w:t>本公司（企业）不存在下列情形之一：</w:t>
      </w:r>
    </w:p>
    <w:p>
      <w:pPr>
        <w:numPr>
          <w:ilvl w:val="0"/>
          <w:numId w:val="17"/>
        </w:numPr>
        <w:spacing w:line="360" w:lineRule="auto"/>
        <w:rPr>
          <w:rFonts w:ascii="宋体" w:hAnsi="宋体" w:cs="宋体"/>
        </w:rPr>
      </w:pPr>
      <w:r>
        <w:rPr>
          <w:rFonts w:hint="eastAsia" w:ascii="宋体" w:hAnsi="宋体" w:cs="宋体"/>
        </w:rPr>
        <w:t>与采购人存在利害关系且可能影响招标公正性；</w:t>
      </w:r>
    </w:p>
    <w:p>
      <w:pPr>
        <w:numPr>
          <w:ilvl w:val="0"/>
          <w:numId w:val="17"/>
        </w:numPr>
        <w:spacing w:line="360" w:lineRule="auto"/>
        <w:rPr>
          <w:rFonts w:ascii="宋体" w:hAnsi="宋体" w:cs="宋体"/>
        </w:rPr>
      </w:pPr>
      <w:r>
        <w:rPr>
          <w:rFonts w:hint="eastAsia" w:ascii="宋体" w:hAnsi="宋体" w:cs="宋体"/>
        </w:rPr>
        <w:t>与本项目同一标包或未划分标包的同一竞价项目的其他供应商为同一个单位负责人；</w:t>
      </w:r>
    </w:p>
    <w:p>
      <w:pPr>
        <w:numPr>
          <w:ilvl w:val="0"/>
          <w:numId w:val="17"/>
        </w:numPr>
        <w:spacing w:line="360" w:lineRule="auto"/>
        <w:rPr>
          <w:rFonts w:ascii="宋体" w:hAnsi="宋体" w:cs="宋体"/>
        </w:rPr>
      </w:pPr>
      <w:r>
        <w:rPr>
          <w:rFonts w:hint="eastAsia" w:ascii="宋体" w:hAnsi="宋体" w:cs="宋体"/>
        </w:rPr>
        <w:t>与本项目同一标包或未划分标包的同一竞价项目的其他供应商存在控股、管理关系；</w:t>
      </w:r>
    </w:p>
    <w:p>
      <w:pPr>
        <w:numPr>
          <w:ilvl w:val="0"/>
          <w:numId w:val="17"/>
        </w:numPr>
        <w:spacing w:line="360" w:lineRule="auto"/>
        <w:rPr>
          <w:rFonts w:ascii="宋体" w:hAnsi="宋体" w:cs="宋体"/>
        </w:rPr>
      </w:pPr>
      <w:r>
        <w:rPr>
          <w:rFonts w:hint="eastAsia" w:ascii="宋体" w:hAnsi="宋体" w:cs="宋体"/>
        </w:rPr>
        <w:t>为本项目提供过设计、编制技术规范和其他文件的咨询服务；</w:t>
      </w:r>
    </w:p>
    <w:p>
      <w:pPr>
        <w:numPr>
          <w:ilvl w:val="0"/>
          <w:numId w:val="17"/>
        </w:numPr>
        <w:spacing w:line="360" w:lineRule="auto"/>
        <w:rPr>
          <w:rFonts w:ascii="宋体" w:hAnsi="宋体" w:cs="宋体"/>
        </w:rPr>
      </w:pPr>
      <w:r>
        <w:rPr>
          <w:rFonts w:hint="eastAsia" w:ascii="宋体" w:hAnsi="宋体" w:cs="宋体"/>
        </w:rPr>
        <w:t>为本项目的招标代理机构；</w:t>
      </w:r>
    </w:p>
    <w:p>
      <w:pPr>
        <w:numPr>
          <w:ilvl w:val="0"/>
          <w:numId w:val="17"/>
        </w:numPr>
        <w:spacing w:line="360" w:lineRule="auto"/>
        <w:rPr>
          <w:rFonts w:ascii="宋体" w:hAnsi="宋体" w:cs="宋体"/>
        </w:rPr>
      </w:pPr>
      <w:r>
        <w:rPr>
          <w:rFonts w:hint="eastAsia" w:ascii="宋体" w:hAnsi="宋体" w:cs="宋体"/>
        </w:rPr>
        <w:t>与本项目的招标代理机构同为一个法定代表人；</w:t>
      </w:r>
    </w:p>
    <w:p>
      <w:pPr>
        <w:numPr>
          <w:ilvl w:val="0"/>
          <w:numId w:val="17"/>
        </w:numPr>
        <w:spacing w:line="360" w:lineRule="auto"/>
        <w:rPr>
          <w:rFonts w:ascii="宋体" w:hAnsi="宋体" w:cs="宋体"/>
        </w:rPr>
      </w:pPr>
      <w:r>
        <w:rPr>
          <w:rFonts w:hint="eastAsia" w:ascii="宋体" w:hAnsi="宋体" w:cs="宋体"/>
        </w:rPr>
        <w:t>与本项目的招标代理机构存在控股或参股关系；</w:t>
      </w:r>
    </w:p>
    <w:p>
      <w:pPr>
        <w:numPr>
          <w:ilvl w:val="0"/>
          <w:numId w:val="17"/>
        </w:numPr>
        <w:spacing w:line="360" w:lineRule="auto"/>
        <w:rPr>
          <w:rFonts w:ascii="宋体" w:hAnsi="宋体" w:cs="宋体"/>
        </w:rPr>
      </w:pPr>
      <w:r>
        <w:rPr>
          <w:rFonts w:hint="eastAsia" w:ascii="宋体" w:hAnsi="宋体" w:cs="宋体"/>
        </w:rPr>
        <w:t>被依法暂停或者取消投标资格；</w:t>
      </w:r>
    </w:p>
    <w:p>
      <w:pPr>
        <w:numPr>
          <w:ilvl w:val="0"/>
          <w:numId w:val="17"/>
        </w:numPr>
        <w:spacing w:line="360" w:lineRule="auto"/>
        <w:rPr>
          <w:rFonts w:ascii="宋体" w:hAnsi="宋体" w:cs="宋体"/>
        </w:rPr>
      </w:pPr>
      <w:r>
        <w:rPr>
          <w:rFonts w:hint="eastAsia" w:ascii="宋体" w:hAnsi="宋体" w:cs="宋体"/>
        </w:rPr>
        <w:t>在招标公告发布之日至投标截止之日任意一日，存在因违反采购人（或广东省广播电视网络股份有限公司）供应商管理规定而受到禁止参与采购活动的处罚的情形；</w:t>
      </w:r>
    </w:p>
    <w:p>
      <w:pPr>
        <w:numPr>
          <w:ilvl w:val="0"/>
          <w:numId w:val="17"/>
        </w:numPr>
        <w:spacing w:line="360" w:lineRule="auto"/>
        <w:rPr>
          <w:rFonts w:ascii="宋体" w:hAnsi="宋体" w:cs="宋体"/>
        </w:rPr>
      </w:pPr>
      <w:r>
        <w:rPr>
          <w:rFonts w:hint="eastAsia" w:ascii="宋体" w:hAnsi="宋体" w:cs="宋体"/>
        </w:rPr>
        <w:t>被责令停产停业、暂扣或者吊销许可证、暂扣或者吊销执照；</w:t>
      </w:r>
    </w:p>
    <w:p>
      <w:pPr>
        <w:numPr>
          <w:ilvl w:val="0"/>
          <w:numId w:val="17"/>
        </w:numPr>
        <w:spacing w:line="360" w:lineRule="auto"/>
        <w:rPr>
          <w:rFonts w:ascii="宋体" w:hAnsi="宋体" w:cs="宋体"/>
        </w:rPr>
      </w:pPr>
      <w:r>
        <w:rPr>
          <w:rFonts w:hint="eastAsia" w:ascii="宋体" w:hAnsi="宋体" w:cs="宋体"/>
        </w:rPr>
        <w:t>进入清算程序，或被宣告破产，或其他丧失履约能力的情形；</w:t>
      </w:r>
    </w:p>
    <w:p>
      <w:pPr>
        <w:numPr>
          <w:ilvl w:val="0"/>
          <w:numId w:val="17"/>
        </w:numPr>
        <w:spacing w:line="360" w:lineRule="auto"/>
        <w:rPr>
          <w:rFonts w:ascii="宋体" w:hAnsi="宋体" w:cs="宋体"/>
        </w:rPr>
      </w:pPr>
      <w:r>
        <w:rPr>
          <w:rFonts w:hint="eastAsia" w:ascii="宋体" w:hAnsi="宋体" w:cs="宋体"/>
        </w:rPr>
        <w:t>在最近三年内发生重大产品质量问题（以相关行业主管部门的行政处罚决定或司法机关出具的有关法律文书为准）；</w:t>
      </w:r>
    </w:p>
    <w:p>
      <w:pPr>
        <w:numPr>
          <w:ilvl w:val="0"/>
          <w:numId w:val="17"/>
        </w:numPr>
        <w:spacing w:line="360" w:lineRule="auto"/>
        <w:rPr>
          <w:rFonts w:ascii="宋体" w:hAnsi="宋体" w:cs="宋体"/>
        </w:rPr>
      </w:pPr>
      <w:r>
        <w:rPr>
          <w:rFonts w:hint="eastAsia" w:ascii="宋体" w:hAnsi="宋体" w:cs="宋体"/>
        </w:rPr>
        <w:t>被工商行政管理机关在全国企业信用信息公示系统中列入严重违法失信企业名单；</w:t>
      </w:r>
    </w:p>
    <w:p>
      <w:pPr>
        <w:numPr>
          <w:ilvl w:val="0"/>
          <w:numId w:val="17"/>
        </w:numPr>
        <w:rPr>
          <w:rFonts w:ascii="宋体" w:hAnsi="宋体" w:cs="宋体"/>
        </w:rPr>
      </w:pPr>
      <w:r>
        <w:rPr>
          <w:rFonts w:hint="eastAsia" w:ascii="宋体" w:hAnsi="宋体" w:cs="宋体"/>
        </w:rPr>
        <w:t>被最高人民法院在“信用中国”网站或各级信用信息共享平台中列入失信被执行人名单；</w:t>
      </w:r>
    </w:p>
    <w:p>
      <w:pPr>
        <w:numPr>
          <w:ilvl w:val="0"/>
          <w:numId w:val="17"/>
        </w:numPr>
        <w:rPr>
          <w:rFonts w:ascii="宋体" w:hAnsi="宋体" w:cs="宋体"/>
        </w:rPr>
      </w:pPr>
      <w:r>
        <w:rPr>
          <w:rFonts w:hint="eastAsia" w:ascii="宋体" w:hAnsi="宋体" w:cs="宋体"/>
        </w:rPr>
        <w:t>在近三年内供应商或其法定代表人、拟委任的项目负责人或供应商授权代表有行贿犯罪行为的；</w:t>
      </w:r>
    </w:p>
    <w:p>
      <w:pPr>
        <w:numPr>
          <w:ilvl w:val="0"/>
          <w:numId w:val="17"/>
        </w:numPr>
        <w:rPr>
          <w:rFonts w:ascii="宋体" w:hAnsi="宋体" w:cs="宋体"/>
        </w:rPr>
      </w:pPr>
      <w:r>
        <w:rPr>
          <w:rFonts w:hint="eastAsia" w:ascii="宋体" w:hAnsi="宋体" w:cs="宋体"/>
        </w:rPr>
        <w:t>法律法规或本竞价文件规定的其他禁止情形。</w:t>
      </w:r>
    </w:p>
    <w:p>
      <w:pPr>
        <w:numPr>
          <w:ilvl w:val="0"/>
          <w:numId w:val="17"/>
        </w:numPr>
        <w:rPr>
          <w:rFonts w:ascii="宋体" w:hAnsi="宋体" w:cs="宋体"/>
        </w:rPr>
      </w:pPr>
      <w:r>
        <w:rPr>
          <w:rFonts w:ascii="宋体" w:hAnsi="宋体" w:cs="宋体"/>
          <w:szCs w:val="21"/>
        </w:rPr>
        <w:t>本项目不允许非法分包或违法转包，不接受联合体参加</w:t>
      </w:r>
      <w:r>
        <w:rPr>
          <w:rFonts w:hint="eastAsia" w:ascii="宋体" w:hAnsi="宋体" w:cs="宋体"/>
          <w:szCs w:val="21"/>
        </w:rPr>
        <w:t>。</w:t>
      </w:r>
      <w:r>
        <w:rPr>
          <w:rFonts w:hint="eastAsia" w:ascii="宋体" w:hAnsi="宋体" w:cs="宋体"/>
        </w:rPr>
        <w:t>特此声明！</w:t>
      </w:r>
    </w:p>
    <w:p>
      <w:pPr>
        <w:rPr>
          <w:rFonts w:ascii="宋体" w:hAnsi="宋体" w:cs="宋体"/>
        </w:rPr>
      </w:pPr>
      <w:r>
        <w:rPr>
          <w:rFonts w:hint="eastAsia" w:ascii="宋体" w:hAnsi="宋体" w:cs="宋体"/>
        </w:rPr>
        <w:t>备注：</w:t>
      </w:r>
    </w:p>
    <w:p>
      <w:pPr>
        <w:pStyle w:val="59"/>
        <w:numPr>
          <w:ilvl w:val="0"/>
          <w:numId w:val="18"/>
        </w:numPr>
        <w:autoSpaceDE w:val="0"/>
        <w:autoSpaceDN w:val="0"/>
        <w:adjustRightInd w:val="0"/>
        <w:ind w:firstLineChars="0"/>
        <w:rPr>
          <w:rFonts w:ascii="宋体" w:hAnsi="宋体"/>
        </w:rPr>
      </w:pPr>
      <w:r>
        <w:rPr>
          <w:rFonts w:hint="eastAsia" w:ascii="宋体" w:hAnsi="宋体"/>
        </w:rPr>
        <w:t>本声明函必须提供且内容不得擅自删改，否则视为响应无效。</w:t>
      </w:r>
    </w:p>
    <w:p>
      <w:pPr>
        <w:pStyle w:val="59"/>
        <w:numPr>
          <w:ilvl w:val="0"/>
          <w:numId w:val="18"/>
        </w:numPr>
        <w:snapToGrid w:val="0"/>
        <w:ind w:firstLineChars="0"/>
        <w:rPr>
          <w:rFonts w:ascii="宋体" w:hAnsi="宋体"/>
          <w:szCs w:val="21"/>
        </w:rPr>
      </w:pPr>
      <w:r>
        <w:rPr>
          <w:rFonts w:hint="eastAsia" w:ascii="宋体" w:hAnsi="宋体"/>
          <w:szCs w:val="21"/>
        </w:rPr>
        <w:t>本声明函如有虚假或与事实不符的，作无效报价处理。</w:t>
      </w:r>
    </w:p>
    <w:p>
      <w:pPr>
        <w:pStyle w:val="59"/>
        <w:wordWrap w:val="0"/>
        <w:ind w:left="1200" w:right="218" w:firstLine="0" w:firstLineChars="0"/>
        <w:jc w:val="right"/>
        <w:rPr>
          <w:rFonts w:ascii="宋体" w:hAnsi="宋体"/>
          <w:szCs w:val="21"/>
          <w:u w:val="single"/>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r>
        <w:rPr>
          <w:rFonts w:hint="eastAsia" w:ascii="宋体" w:hAnsi="宋体"/>
          <w:spacing w:val="4"/>
          <w:szCs w:val="21"/>
          <w:u w:val="single"/>
        </w:rPr>
        <w:t xml:space="preserve">          </w:t>
      </w:r>
    </w:p>
    <w:p>
      <w:pPr>
        <w:wordWrap w:val="0"/>
        <w:spacing w:line="360" w:lineRule="auto"/>
        <w:ind w:left="840"/>
        <w:jc w:val="right"/>
        <w:rPr>
          <w:rFonts w:ascii="宋体" w:hAnsi="宋体"/>
          <w:szCs w:val="21"/>
          <w:u w:val="single"/>
        </w:rPr>
      </w:pPr>
      <w:r>
        <w:rPr>
          <w:rFonts w:hint="eastAsia" w:ascii="宋体" w:hAnsi="宋体"/>
          <w:spacing w:val="4"/>
          <w:szCs w:val="21"/>
        </w:rPr>
        <w:t>日期：</w:t>
      </w:r>
      <w:r>
        <w:rPr>
          <w:rFonts w:hint="eastAsia" w:ascii="宋体" w:hAnsi="宋体"/>
          <w:spacing w:val="4"/>
          <w:szCs w:val="21"/>
          <w:u w:val="single"/>
        </w:rPr>
        <w:t xml:space="preserve">          </w:t>
      </w:r>
    </w:p>
    <w:p>
      <w:pPr>
        <w:rPr>
          <w:rFonts w:ascii="宋体" w:hAnsi="宋体"/>
          <w:b/>
          <w:bCs/>
          <w:kern w:val="28"/>
          <w:sz w:val="32"/>
          <w:szCs w:val="32"/>
        </w:rPr>
      </w:pPr>
      <w:r>
        <w:rPr>
          <w:rFonts w:hint="eastAsia" w:ascii="宋体" w:hAnsi="宋体"/>
          <w:b/>
          <w:bCs/>
          <w:kern w:val="28"/>
          <w:sz w:val="32"/>
          <w:szCs w:val="32"/>
        </w:rPr>
        <w:br w:type="page"/>
      </w:r>
    </w:p>
    <w:p>
      <w:pPr>
        <w:autoSpaceDE w:val="0"/>
        <w:autoSpaceDN w:val="0"/>
        <w:adjustRightInd w:val="0"/>
        <w:spacing w:before="240" w:after="60" w:line="312" w:lineRule="auto"/>
        <w:jc w:val="center"/>
        <w:outlineLvl w:val="1"/>
        <w:rPr>
          <w:rFonts w:ascii="宋体" w:hAnsi="宋体"/>
          <w:b/>
          <w:bCs/>
          <w:kern w:val="28"/>
          <w:sz w:val="32"/>
          <w:szCs w:val="32"/>
        </w:rPr>
      </w:pPr>
      <w:r>
        <w:rPr>
          <w:rFonts w:hint="eastAsia" w:ascii="宋体" w:hAnsi="宋体"/>
          <w:b/>
          <w:bCs/>
          <w:kern w:val="28"/>
          <w:sz w:val="32"/>
          <w:szCs w:val="32"/>
        </w:rPr>
        <w:t>用户需求书响应声明函</w:t>
      </w:r>
    </w:p>
    <w:p>
      <w:pPr>
        <w:autoSpaceDE w:val="0"/>
        <w:autoSpaceDN w:val="0"/>
        <w:adjustRightInd w:val="0"/>
        <w:snapToGrid w:val="0"/>
        <w:spacing w:line="360" w:lineRule="auto"/>
        <w:rPr>
          <w:rFonts w:ascii="宋体" w:hAnsi="宋体"/>
          <w:b/>
          <w:szCs w:val="21"/>
        </w:rPr>
      </w:pPr>
      <w:bookmarkStart w:id="11" w:name="_Hlk74835188"/>
      <w:bookmarkStart w:id="12" w:name="_Hlk70414952"/>
      <w:r>
        <w:rPr>
          <w:rFonts w:hint="eastAsia" w:ascii="宋体" w:hAnsi="宋体"/>
          <w:b/>
          <w:szCs w:val="21"/>
        </w:rPr>
        <w:t>致：</w:t>
      </w:r>
      <w:r>
        <w:rPr>
          <w:rFonts w:hint="eastAsia" w:ascii="宋体" w:hAnsi="宋体" w:cs="宋体"/>
          <w:b/>
          <w:bCs/>
          <w:szCs w:val="21"/>
        </w:rPr>
        <w:t>广东省广播电视网络股份有限公司禅城分公司</w:t>
      </w:r>
      <w:r>
        <w:rPr>
          <w:rFonts w:hint="eastAsia" w:ascii="宋体" w:hAnsi="宋体"/>
          <w:b/>
          <w:szCs w:val="21"/>
        </w:rPr>
        <w:t>、采联国际招标采购集团有限公司</w:t>
      </w:r>
    </w:p>
    <w:p>
      <w:pPr>
        <w:autoSpaceDE w:val="0"/>
        <w:autoSpaceDN w:val="0"/>
        <w:adjustRightInd w:val="0"/>
        <w:snapToGrid w:val="0"/>
        <w:spacing w:line="360" w:lineRule="auto"/>
        <w:rPr>
          <w:rFonts w:ascii="宋体" w:hAnsi="宋体"/>
          <w:b/>
          <w:szCs w:val="21"/>
        </w:rPr>
      </w:pPr>
    </w:p>
    <w:p>
      <w:pPr>
        <w:autoSpaceDE w:val="0"/>
        <w:autoSpaceDN w:val="0"/>
        <w:adjustRightInd w:val="0"/>
        <w:snapToGrid w:val="0"/>
        <w:spacing w:line="360" w:lineRule="auto"/>
        <w:ind w:firstLine="424" w:firstLineChars="202"/>
        <w:rPr>
          <w:rFonts w:ascii="宋体" w:hAnsi="宋体"/>
          <w:szCs w:val="21"/>
        </w:rPr>
      </w:pPr>
      <w:r>
        <w:rPr>
          <w:rFonts w:hint="eastAsia" w:ascii="宋体" w:hAnsi="宋体"/>
          <w:szCs w:val="21"/>
        </w:rPr>
        <w:t>关于贵单位、贵司发布</w:t>
      </w:r>
      <w:r>
        <w:rPr>
          <w:rFonts w:hint="eastAsia" w:ascii="宋体" w:hAnsi="宋体" w:cs="宋体"/>
          <w:b/>
          <w:bCs/>
          <w:szCs w:val="21"/>
          <w:u w:val="single"/>
          <w:lang w:eastAsia="zh-CN"/>
        </w:rPr>
        <w:t>禅城分公司2024-2025年分前端机房、营业厅及办公场所空调维保维修资格采购项目（第二次竞价）</w:t>
      </w:r>
      <w:r>
        <w:rPr>
          <w:rFonts w:hint="eastAsia" w:ascii="宋体" w:hAnsi="宋体"/>
          <w:szCs w:val="21"/>
        </w:rPr>
        <w:t>的竞价公告</w:t>
      </w:r>
      <w:bookmarkEnd w:id="11"/>
      <w:r>
        <w:rPr>
          <w:rFonts w:hint="eastAsia" w:ascii="宋体" w:hAnsi="宋体"/>
          <w:szCs w:val="21"/>
        </w:rPr>
        <w:t>，本公司（企业）愿意参加采购活动，并作出如下声明：</w:t>
      </w:r>
    </w:p>
    <w:bookmarkEnd w:id="12"/>
    <w:p>
      <w:pPr>
        <w:autoSpaceDE w:val="0"/>
        <w:autoSpaceDN w:val="0"/>
        <w:adjustRightInd w:val="0"/>
        <w:snapToGrid w:val="0"/>
        <w:spacing w:line="360" w:lineRule="auto"/>
        <w:ind w:firstLine="424" w:firstLineChars="202"/>
        <w:rPr>
          <w:rFonts w:ascii="宋体" w:hAnsi="宋体"/>
          <w:szCs w:val="21"/>
        </w:rPr>
      </w:pPr>
      <w:r>
        <w:rPr>
          <w:rFonts w:hint="eastAsia" w:ascii="宋体" w:hAnsi="宋体"/>
          <w:szCs w:val="21"/>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szCs w:val="21"/>
        </w:rPr>
      </w:pPr>
      <w:r>
        <w:rPr>
          <w:rFonts w:hint="eastAsia" w:ascii="宋体" w:hAnsi="宋体" w:cs="宋体"/>
          <w:szCs w:val="21"/>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szCs w:val="21"/>
        </w:rPr>
      </w:pPr>
    </w:p>
    <w:p>
      <w:pPr>
        <w:autoSpaceDE w:val="0"/>
        <w:autoSpaceDN w:val="0"/>
        <w:adjustRightInd w:val="0"/>
        <w:snapToGrid w:val="0"/>
        <w:spacing w:line="360" w:lineRule="auto"/>
        <w:ind w:right="436"/>
        <w:jc w:val="right"/>
        <w:rPr>
          <w:rFonts w:ascii="宋体" w:hAnsi="宋体"/>
          <w:szCs w:val="21"/>
          <w:u w:val="single"/>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p>
    <w:p>
      <w:pPr>
        <w:autoSpaceDE w:val="0"/>
        <w:autoSpaceDN w:val="0"/>
        <w:adjustRightInd w:val="0"/>
        <w:snapToGrid w:val="0"/>
        <w:spacing w:line="360" w:lineRule="auto"/>
        <w:ind w:firstLine="105" w:firstLineChars="50"/>
        <w:jc w:val="right"/>
        <w:rPr>
          <w:rFonts w:ascii="宋体" w:hAnsi="宋体"/>
          <w:szCs w:val="21"/>
          <w:u w:val="single"/>
        </w:rPr>
      </w:pPr>
    </w:p>
    <w:p>
      <w:pPr>
        <w:autoSpaceDE w:val="0"/>
        <w:autoSpaceDN w:val="0"/>
        <w:adjustRightInd w:val="0"/>
        <w:snapToGrid w:val="0"/>
        <w:spacing w:line="360" w:lineRule="auto"/>
        <w:ind w:right="436" w:firstLine="2625" w:firstLineChars="1250"/>
        <w:jc w:val="right"/>
        <w:rPr>
          <w:rFonts w:ascii="宋体" w:hAnsi="宋体" w:cs="宋体"/>
          <w:szCs w:val="21"/>
        </w:rPr>
      </w:pPr>
      <w:r>
        <w:rPr>
          <w:rFonts w:hint="eastAsia" w:ascii="宋体" w:hAnsi="宋体" w:cs="宋体"/>
          <w:szCs w:val="21"/>
        </w:rPr>
        <w:t>日期：</w:t>
      </w:r>
      <w:bookmarkStart w:id="13" w:name="_Toc435515303"/>
      <w:bookmarkStart w:id="14" w:name="_Toc435514863"/>
    </w:p>
    <w:bookmarkEnd w:id="13"/>
    <w:bookmarkEnd w:id="14"/>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pStyle w:val="59"/>
        <w:ind w:firstLine="663" w:firstLineChars="221"/>
        <w:rPr>
          <w:rFonts w:ascii="仿宋" w:hAnsi="仿宋" w:eastAsia="仿宋" w:cs="仿宋"/>
          <w:kern w:val="0"/>
          <w:sz w:val="30"/>
          <w:szCs w:val="30"/>
        </w:rPr>
      </w:pPr>
    </w:p>
    <w:p>
      <w:pPr>
        <w:spacing w:line="360" w:lineRule="auto"/>
        <w:rPr>
          <w:rFonts w:ascii="宋体" w:hAnsi="宋体"/>
          <w:szCs w:val="21"/>
        </w:rPr>
      </w:pPr>
      <w:r>
        <w:rPr>
          <w:rFonts w:hint="eastAsia" w:ascii="宋体" w:hAnsi="宋体"/>
          <w:b/>
          <w:sz w:val="36"/>
          <w:szCs w:val="36"/>
        </w:rPr>
        <w:t>合同书格式</w:t>
      </w:r>
    </w:p>
    <w:p>
      <w:pPr>
        <w:spacing w:line="360" w:lineRule="auto"/>
        <w:ind w:left="420" w:hanging="420"/>
        <w:jc w:val="right"/>
        <w:rPr>
          <w:rFonts w:ascii="宋体" w:hAnsi="宋体"/>
          <w:b/>
          <w:sz w:val="24"/>
        </w:rPr>
      </w:pPr>
    </w:p>
    <w:p>
      <w:pPr>
        <w:spacing w:line="360" w:lineRule="auto"/>
        <w:ind w:left="420" w:hanging="420"/>
        <w:jc w:val="right"/>
        <w:rPr>
          <w:rFonts w:ascii="宋体" w:hAnsi="宋体"/>
          <w:b/>
          <w:sz w:val="24"/>
        </w:rPr>
      </w:pPr>
    </w:p>
    <w:p>
      <w:pPr>
        <w:spacing w:line="360" w:lineRule="auto"/>
        <w:ind w:left="420" w:hanging="420"/>
        <w:jc w:val="right"/>
        <w:rPr>
          <w:rFonts w:ascii="宋体" w:hAnsi="宋体"/>
          <w:b/>
          <w:sz w:val="24"/>
        </w:rPr>
      </w:pPr>
      <w:r>
        <w:rPr>
          <w:rFonts w:hint="eastAsia" w:ascii="宋体" w:hAnsi="宋体"/>
          <w:b/>
          <w:sz w:val="24"/>
        </w:rPr>
        <w:t>合同</w:t>
      </w:r>
      <w:r>
        <w:rPr>
          <w:rFonts w:ascii="宋体" w:hAnsi="宋体"/>
          <w:b/>
          <w:sz w:val="24"/>
        </w:rPr>
        <w:t>编号：</w:t>
      </w:r>
      <w:r>
        <w:rPr>
          <w:rFonts w:hint="eastAsia" w:ascii="宋体" w:hAnsi="宋体"/>
          <w:b/>
          <w:sz w:val="24"/>
        </w:rPr>
        <w:t>【         】</w:t>
      </w:r>
    </w:p>
    <w:p>
      <w:pPr>
        <w:spacing w:line="360" w:lineRule="auto"/>
        <w:rPr>
          <w:rFonts w:ascii="宋体" w:hAnsi="宋体"/>
          <w:b/>
          <w:sz w:val="24"/>
        </w:rPr>
      </w:pPr>
    </w:p>
    <w:p>
      <w:pPr>
        <w:spacing w:line="360" w:lineRule="auto"/>
        <w:rPr>
          <w:rFonts w:ascii="宋体" w:hAnsi="宋体"/>
          <w:b/>
          <w:sz w:val="24"/>
        </w:rPr>
      </w:pPr>
    </w:p>
    <w:p>
      <w:pPr>
        <w:spacing w:line="360" w:lineRule="auto"/>
        <w:ind w:left="420" w:hanging="420"/>
        <w:jc w:val="center"/>
        <w:rPr>
          <w:rFonts w:ascii="宋体" w:hAnsi="宋体"/>
          <w:b/>
          <w:sz w:val="36"/>
          <w:szCs w:val="36"/>
        </w:rPr>
      </w:pPr>
      <w:r>
        <w:rPr>
          <w:rFonts w:hint="eastAsia" w:ascii="宋体" w:hAnsi="宋体"/>
          <w:b/>
          <w:sz w:val="36"/>
          <w:szCs w:val="36"/>
        </w:rPr>
        <w:t>广东省</w:t>
      </w:r>
      <w:r>
        <w:rPr>
          <w:rFonts w:ascii="宋体" w:hAnsi="宋体"/>
          <w:b/>
          <w:sz w:val="36"/>
          <w:szCs w:val="36"/>
        </w:rPr>
        <w:t>广播电视网络股份</w:t>
      </w:r>
      <w:r>
        <w:rPr>
          <w:rFonts w:hint="eastAsia" w:ascii="宋体" w:hAnsi="宋体"/>
          <w:b/>
          <w:sz w:val="36"/>
          <w:szCs w:val="36"/>
        </w:rPr>
        <w:t>有限</w:t>
      </w:r>
      <w:r>
        <w:rPr>
          <w:rFonts w:ascii="宋体" w:hAnsi="宋体"/>
          <w:b/>
          <w:sz w:val="36"/>
          <w:szCs w:val="36"/>
        </w:rPr>
        <w:t>公司佛山禅城分公司</w:t>
      </w:r>
    </w:p>
    <w:p>
      <w:pPr>
        <w:keepNext/>
        <w:keepLines/>
        <w:spacing w:beforeLines="50" w:afterLines="50" w:line="360" w:lineRule="auto"/>
        <w:ind w:firstLine="221" w:firstLineChars="50"/>
        <w:jc w:val="center"/>
        <w:outlineLvl w:val="0"/>
        <w:rPr>
          <w:rFonts w:ascii="宋体" w:hAnsi="宋体"/>
          <w:b/>
          <w:bCs/>
          <w:sz w:val="44"/>
          <w:szCs w:val="44"/>
        </w:rPr>
      </w:pPr>
      <w:r>
        <w:rPr>
          <w:rFonts w:hint="eastAsia" w:ascii="宋体" w:hAnsi="宋体"/>
          <w:b/>
          <w:bCs/>
          <w:sz w:val="44"/>
          <w:szCs w:val="44"/>
        </w:rPr>
        <w:t>采购合同</w:t>
      </w:r>
    </w:p>
    <w:p>
      <w:pPr>
        <w:spacing w:line="360" w:lineRule="auto"/>
        <w:ind w:left="420" w:hanging="420"/>
        <w:jc w:val="center"/>
        <w:rPr>
          <w:rFonts w:ascii="宋体" w:hAnsi="宋体"/>
          <w:b/>
          <w:sz w:val="24"/>
        </w:rPr>
      </w:pPr>
      <w:r>
        <w:rPr>
          <w:rFonts w:hint="eastAsia" w:ascii="宋体" w:hAnsi="宋体"/>
          <w:b/>
          <w:sz w:val="24"/>
        </w:rPr>
        <w:t>（仅供</w:t>
      </w:r>
      <w:r>
        <w:rPr>
          <w:rFonts w:ascii="宋体" w:hAnsi="宋体"/>
          <w:b/>
          <w:sz w:val="24"/>
        </w:rPr>
        <w:t>参考</w:t>
      </w:r>
      <w:r>
        <w:rPr>
          <w:rFonts w:hint="eastAsia" w:ascii="宋体" w:hAnsi="宋体"/>
          <w:b/>
          <w:sz w:val="24"/>
        </w:rPr>
        <w:t>）</w:t>
      </w: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rPr>
          <w:rFonts w:ascii="宋体" w:hAnsi="宋体"/>
          <w:b/>
          <w:sz w:val="24"/>
        </w:rPr>
      </w:pPr>
    </w:p>
    <w:p>
      <w:pPr>
        <w:spacing w:line="360" w:lineRule="auto"/>
        <w:ind w:left="420" w:hanging="420"/>
        <w:jc w:val="center"/>
        <w:rPr>
          <w:rFonts w:ascii="宋体" w:hAnsi="宋体"/>
          <w:b/>
          <w:sz w:val="24"/>
        </w:rPr>
      </w:pPr>
    </w:p>
    <w:p>
      <w:pPr>
        <w:tabs>
          <w:tab w:val="left" w:pos="3240"/>
          <w:tab w:val="left" w:pos="7070"/>
        </w:tabs>
        <w:spacing w:line="360" w:lineRule="auto"/>
        <w:ind w:left="1687" w:hanging="1687" w:hangingChars="700"/>
        <w:rPr>
          <w:rFonts w:hint="eastAsia" w:ascii="宋体" w:hAnsi="宋体" w:eastAsia="宋体"/>
          <w:color w:val="000000"/>
          <w:sz w:val="24"/>
          <w:lang w:eastAsia="zh-CN"/>
        </w:rPr>
      </w:pPr>
      <w:r>
        <w:rPr>
          <w:rFonts w:hint="eastAsia" w:ascii="宋体" w:hAnsi="宋体"/>
          <w:b/>
          <w:sz w:val="24"/>
        </w:rPr>
        <w:t>采购项目名称：</w:t>
      </w:r>
      <w:r>
        <w:rPr>
          <w:rFonts w:hint="eastAsia" w:ascii="宋体" w:hAnsi="宋体"/>
          <w:color w:val="000000"/>
          <w:sz w:val="24"/>
          <w:lang w:eastAsia="zh-CN"/>
        </w:rPr>
        <w:t>禅城分公司2024-2025年分前端机房、营业厅及办公场所空调维保维修资格采购项目（第二次竞价）</w:t>
      </w:r>
    </w:p>
    <w:p>
      <w:pPr>
        <w:spacing w:line="360" w:lineRule="auto"/>
        <w:jc w:val="center"/>
        <w:rPr>
          <w:rFonts w:ascii="宋体" w:hAnsi="宋体"/>
          <w:b/>
          <w:sz w:val="24"/>
          <w:u w:val="single"/>
        </w:rPr>
      </w:pPr>
    </w:p>
    <w:p>
      <w:pPr>
        <w:spacing w:line="360" w:lineRule="auto"/>
        <w:rPr>
          <w:rFonts w:ascii="宋体" w:hAnsi="宋体"/>
          <w:sz w:val="24"/>
        </w:rPr>
      </w:pPr>
      <w:r>
        <w:rPr>
          <w:rFonts w:hint="eastAsia" w:ascii="宋体" w:hAnsi="宋体"/>
          <w:b/>
          <w:sz w:val="24"/>
          <w:u w:val="single"/>
        </w:rPr>
        <w:t>采购</w:t>
      </w:r>
      <w:r>
        <w:rPr>
          <w:rFonts w:hint="eastAsia" w:ascii="宋体" w:hAnsi="宋体"/>
          <w:b/>
          <w:sz w:val="24"/>
        </w:rPr>
        <w:t>项目编号：</w:t>
      </w:r>
      <w:r>
        <w:rPr>
          <w:rFonts w:ascii="宋体" w:hAnsi="宋体"/>
          <w:sz w:val="24"/>
        </w:rPr>
        <w:t>FSCC</w:t>
      </w:r>
      <w:r>
        <w:rPr>
          <w:rFonts w:hint="eastAsia" w:ascii="宋体" w:hAnsi="宋体"/>
          <w:sz w:val="24"/>
        </w:rPr>
        <w:t>2024-0141</w:t>
      </w:r>
    </w:p>
    <w:p>
      <w:pPr>
        <w:spacing w:line="360" w:lineRule="auto"/>
        <w:rPr>
          <w:rFonts w:ascii="宋体" w:hAnsi="宋体"/>
          <w:b/>
          <w:sz w:val="24"/>
        </w:rPr>
      </w:pPr>
    </w:p>
    <w:p>
      <w:pPr>
        <w:spacing w:line="360" w:lineRule="auto"/>
        <w:ind w:left="420" w:hanging="420"/>
        <w:jc w:val="left"/>
        <w:rPr>
          <w:rFonts w:ascii="宋体" w:hAnsi="宋体"/>
          <w:b/>
          <w:sz w:val="24"/>
        </w:rPr>
      </w:pPr>
    </w:p>
    <w:p>
      <w:pPr>
        <w:spacing w:line="360" w:lineRule="auto"/>
        <w:ind w:left="420" w:hanging="420"/>
        <w:jc w:val="left"/>
        <w:rPr>
          <w:rFonts w:ascii="宋体" w:hAnsi="宋体"/>
          <w:b/>
          <w:sz w:val="24"/>
        </w:rPr>
      </w:pPr>
    </w:p>
    <w:p>
      <w:pPr>
        <w:spacing w:line="360" w:lineRule="auto"/>
        <w:ind w:left="420" w:hanging="420"/>
        <w:jc w:val="left"/>
        <w:rPr>
          <w:rFonts w:ascii="宋体" w:hAnsi="宋体"/>
          <w:b/>
          <w:sz w:val="24"/>
        </w:rPr>
      </w:pPr>
      <w:r>
        <w:rPr>
          <w:rFonts w:hint="eastAsia" w:ascii="宋体" w:hAnsi="宋体"/>
          <w:b/>
          <w:sz w:val="24"/>
        </w:rPr>
        <w:t>甲方：</w:t>
      </w:r>
      <w:r>
        <w:rPr>
          <w:rFonts w:ascii="宋体" w:hAnsi="宋体"/>
          <w:b/>
          <w:sz w:val="24"/>
        </w:rPr>
        <w:t>广东省广播</w:t>
      </w:r>
      <w:r>
        <w:rPr>
          <w:rFonts w:hint="eastAsia" w:ascii="宋体" w:hAnsi="宋体"/>
          <w:b/>
          <w:sz w:val="24"/>
        </w:rPr>
        <w:t>电视</w:t>
      </w:r>
      <w:r>
        <w:rPr>
          <w:rFonts w:ascii="宋体" w:hAnsi="宋体"/>
          <w:b/>
          <w:sz w:val="24"/>
        </w:rPr>
        <w:t>网络股份有限公司佛山禅城分公司</w:t>
      </w:r>
    </w:p>
    <w:p>
      <w:pPr>
        <w:spacing w:line="360" w:lineRule="auto"/>
        <w:ind w:left="420" w:hanging="420"/>
        <w:jc w:val="left"/>
        <w:rPr>
          <w:rFonts w:ascii="宋体" w:hAnsi="宋体"/>
          <w:b/>
          <w:sz w:val="24"/>
          <w:u w:val="single"/>
        </w:rPr>
      </w:pPr>
    </w:p>
    <w:p>
      <w:pPr>
        <w:spacing w:line="360" w:lineRule="auto"/>
        <w:jc w:val="left"/>
        <w:rPr>
          <w:rFonts w:ascii="宋体" w:hAnsi="宋体"/>
          <w:b/>
          <w:sz w:val="24"/>
        </w:rPr>
      </w:pPr>
      <w:r>
        <w:rPr>
          <w:rFonts w:hint="eastAsia" w:ascii="宋体" w:hAnsi="宋体"/>
          <w:b/>
          <w:sz w:val="24"/>
        </w:rPr>
        <w:t>乙方：</w:t>
      </w:r>
    </w:p>
    <w:p>
      <w:pPr>
        <w:spacing w:line="360" w:lineRule="auto"/>
        <w:jc w:val="left"/>
        <w:rPr>
          <w:rFonts w:ascii="宋体" w:hAnsi="宋体"/>
          <w:b/>
          <w:sz w:val="24"/>
        </w:rPr>
      </w:pPr>
      <w:r>
        <w:rPr>
          <w:rFonts w:hint="eastAsia" w:ascii="宋体" w:hAnsi="宋体"/>
          <w:b/>
          <w:sz w:val="24"/>
        </w:rPr>
        <w:t>(统一</w:t>
      </w:r>
      <w:r>
        <w:rPr>
          <w:rFonts w:ascii="宋体" w:hAnsi="宋体"/>
          <w:b/>
          <w:sz w:val="24"/>
        </w:rPr>
        <w:t>社会信用代码</w:t>
      </w:r>
      <w:r>
        <w:rPr>
          <w:rFonts w:hint="eastAsia" w:ascii="宋体" w:hAnsi="宋体"/>
          <w:b/>
          <w:sz w:val="24"/>
        </w:rPr>
        <w:t>)</w:t>
      </w:r>
      <w:r>
        <w:rPr>
          <w:rFonts w:ascii="宋体" w:hAnsi="宋体"/>
          <w:b/>
          <w:sz w:val="24"/>
        </w:rPr>
        <w:t>：</w:t>
      </w:r>
    </w:p>
    <w:p>
      <w:pPr>
        <w:widowControl/>
        <w:spacing w:line="360" w:lineRule="auto"/>
        <w:rPr>
          <w:rFonts w:ascii="宋体" w:hAnsi="宋体" w:cs="宋体"/>
          <w:szCs w:val="21"/>
        </w:rPr>
      </w:pPr>
      <w:r>
        <w:rPr>
          <w:rFonts w:hint="eastAsia" w:ascii="宋体" w:hAnsi="宋体"/>
          <w:sz w:val="24"/>
        </w:rPr>
        <w:br w:type="page"/>
      </w:r>
      <w:r>
        <w:rPr>
          <w:rFonts w:hint="eastAsia" w:ascii="宋体" w:hAnsi="宋体" w:cs="宋体"/>
          <w:szCs w:val="21"/>
        </w:rPr>
        <w:t>甲方：</w:t>
      </w:r>
      <w:bookmarkStart w:id="15" w:name="_Hlk12867808"/>
      <w:r>
        <w:rPr>
          <w:rFonts w:hint="eastAsia" w:ascii="宋体" w:hAnsi="宋体" w:cs="宋体"/>
          <w:szCs w:val="21"/>
        </w:rPr>
        <w:t>广东省广播电视网络股份有限公司佛山</w:t>
      </w:r>
      <w:r>
        <w:rPr>
          <w:rFonts w:hint="eastAsia" w:ascii="宋体" w:hAnsi="宋体" w:cs="宋体"/>
          <w:bCs/>
          <w:szCs w:val="21"/>
        </w:rPr>
        <w:t>禅城分公司</w:t>
      </w:r>
      <w:bookmarkEnd w:id="15"/>
    </w:p>
    <w:p>
      <w:pPr>
        <w:snapToGrid w:val="0"/>
        <w:spacing w:line="360" w:lineRule="auto"/>
        <w:rPr>
          <w:rFonts w:ascii="宋体" w:hAnsi="宋体" w:cs="宋体"/>
          <w:szCs w:val="21"/>
        </w:rPr>
      </w:pPr>
      <w:bookmarkStart w:id="16" w:name="_Hlk519765214"/>
      <w:r>
        <w:rPr>
          <w:rFonts w:hint="eastAsia" w:ascii="宋体" w:hAnsi="宋体" w:cs="宋体"/>
          <w:szCs w:val="21"/>
        </w:rPr>
        <w:t>住所地：</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负责人：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联系电话：</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传真：</w:t>
      </w:r>
      <w:bookmarkEnd w:id="16"/>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邮箱：</w:t>
      </w:r>
      <w:r>
        <w:rPr>
          <w:rFonts w:hint="eastAsia" w:ascii="宋体" w:hAnsi="宋体" w:cs="宋体"/>
          <w:b/>
          <w:bCs/>
          <w:szCs w:val="21"/>
        </w:rPr>
        <w:t xml:space="preserve"> </w:t>
      </w:r>
    </w:p>
    <w:p>
      <w:pPr>
        <w:snapToGrid w:val="0"/>
        <w:spacing w:line="360" w:lineRule="auto"/>
        <w:rPr>
          <w:rFonts w:ascii="宋体" w:hAnsi="宋体" w:cs="宋体"/>
          <w:szCs w:val="21"/>
          <w:u w:val="single"/>
        </w:rPr>
      </w:pPr>
      <w:r>
        <w:rPr>
          <w:rFonts w:hint="eastAsia" w:ascii="宋体" w:hAnsi="宋体" w:cs="宋体"/>
          <w:szCs w:val="21"/>
        </w:rPr>
        <w:t>通讯地址：</w:t>
      </w:r>
    </w:p>
    <w:p>
      <w:pPr>
        <w:snapToGrid w:val="0"/>
        <w:spacing w:line="360" w:lineRule="auto"/>
        <w:rPr>
          <w:rFonts w:ascii="宋体" w:hAnsi="宋体" w:cs="宋体"/>
          <w:bCs/>
          <w:szCs w:val="21"/>
          <w:u w:val="single"/>
        </w:rPr>
      </w:pPr>
    </w:p>
    <w:p>
      <w:pPr>
        <w:snapToGrid w:val="0"/>
        <w:spacing w:line="360" w:lineRule="auto"/>
        <w:rPr>
          <w:rFonts w:ascii="宋体" w:hAnsi="宋体" w:cs="宋体"/>
          <w:szCs w:val="21"/>
        </w:rPr>
      </w:pPr>
      <w:r>
        <w:rPr>
          <w:rFonts w:hint="eastAsia" w:ascii="宋体" w:hAnsi="宋体" w:cs="宋体"/>
          <w:szCs w:val="21"/>
        </w:rPr>
        <w:t>乙方：</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 xml:space="preserve">住所地： </w:t>
      </w:r>
    </w:p>
    <w:p>
      <w:pPr>
        <w:snapToGrid w:val="0"/>
        <w:spacing w:line="360" w:lineRule="auto"/>
        <w:rPr>
          <w:rFonts w:ascii="宋体" w:hAnsi="宋体" w:cs="宋体"/>
          <w:szCs w:val="21"/>
        </w:rPr>
      </w:pPr>
      <w:r>
        <w:rPr>
          <w:rFonts w:hint="eastAsia" w:ascii="宋体" w:hAnsi="宋体" w:cs="宋体"/>
          <w:szCs w:val="21"/>
        </w:rPr>
        <w:t>法定代表人：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联系电话：</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传真：</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 xml:space="preserve">邮箱： </w:t>
      </w:r>
    </w:p>
    <w:p>
      <w:pPr>
        <w:snapToGrid w:val="0"/>
        <w:spacing w:line="360" w:lineRule="auto"/>
        <w:rPr>
          <w:rFonts w:ascii="宋体" w:hAnsi="宋体" w:cs="宋体"/>
          <w:szCs w:val="21"/>
        </w:rPr>
      </w:pPr>
      <w:r>
        <w:rPr>
          <w:rFonts w:hint="eastAsia" w:ascii="宋体" w:hAnsi="宋体" w:cs="宋体"/>
          <w:szCs w:val="21"/>
        </w:rPr>
        <w:t xml:space="preserve">通讯地址： </w:t>
      </w:r>
    </w:p>
    <w:p>
      <w:pPr>
        <w:tabs>
          <w:tab w:val="left" w:pos="3240"/>
        </w:tabs>
        <w:spacing w:line="360" w:lineRule="auto"/>
        <w:jc w:val="center"/>
        <w:rPr>
          <w:rFonts w:ascii="宋体" w:hAnsi="宋体" w:cs="宋体"/>
          <w:b/>
          <w:bCs/>
          <w:szCs w:val="21"/>
        </w:rPr>
      </w:pPr>
      <w:r>
        <w:rPr>
          <w:rFonts w:hint="eastAsia" w:ascii="宋体" w:hAnsi="宋体" w:cs="宋体"/>
          <w:b/>
          <w:bCs/>
          <w:szCs w:val="21"/>
        </w:rPr>
        <w:t xml:space="preserve"> </w:t>
      </w:r>
    </w:p>
    <w:p>
      <w:pPr>
        <w:widowControl/>
        <w:autoSpaceDE w:val="0"/>
        <w:autoSpaceDN w:val="0"/>
        <w:spacing w:line="360" w:lineRule="auto"/>
        <w:ind w:firstLine="420" w:firstLineChars="200"/>
        <w:textAlignment w:val="bottom"/>
        <w:rPr>
          <w:rFonts w:ascii="宋体" w:hAnsi="宋体" w:cs="宋体"/>
          <w:szCs w:val="21"/>
        </w:rPr>
      </w:pPr>
      <w:r>
        <w:rPr>
          <w:rFonts w:hint="eastAsia" w:ascii="宋体" w:hAnsi="宋体" w:cs="宋体"/>
          <w:szCs w:val="21"/>
        </w:rPr>
        <w:t>按照                   （采购编号：          ）采购文件、报价文件的要求以及《中华人民共和国民法典》等相关法律法规的规定，经甲、乙双方协商，本着平等互利和诚实信用的原则，一致同意签订本合同如下：</w:t>
      </w:r>
    </w:p>
    <w:p>
      <w:pPr>
        <w:pStyle w:val="59"/>
        <w:numPr>
          <w:ilvl w:val="0"/>
          <w:numId w:val="19"/>
        </w:numPr>
        <w:spacing w:before="240" w:line="480" w:lineRule="auto"/>
        <w:ind w:left="982" w:hanging="420" w:firstLineChars="0"/>
        <w:rPr>
          <w:rFonts w:ascii="宋体" w:hAnsi="宋体" w:cs="宋体"/>
          <w:b/>
          <w:szCs w:val="21"/>
        </w:rPr>
      </w:pPr>
      <w:bookmarkStart w:id="17" w:name="_Hlk12965013"/>
      <w:r>
        <w:rPr>
          <w:rFonts w:hint="eastAsia" w:ascii="宋体" w:hAnsi="宋体" w:cs="宋体"/>
          <w:b/>
          <w:szCs w:val="21"/>
        </w:rPr>
        <w:t xml:space="preserve">   合同内容</w:t>
      </w:r>
    </w:p>
    <w:bookmarkEnd w:id="17"/>
    <w:p>
      <w:pPr>
        <w:pStyle w:val="132"/>
        <w:numPr>
          <w:ilvl w:val="1"/>
          <w:numId w:val="20"/>
        </w:numPr>
        <w:spacing w:line="360" w:lineRule="auto"/>
        <w:ind w:left="0" w:firstLine="567"/>
        <w:rPr>
          <w:rFonts w:hAnsi="宋体" w:cs="宋体"/>
        </w:rPr>
      </w:pPr>
      <w:r>
        <w:rPr>
          <w:rFonts w:hint="eastAsia" w:hAnsi="宋体" w:cs="宋体"/>
        </w:rPr>
        <w:t>服务内容</w:t>
      </w:r>
    </w:p>
    <w:p>
      <w:pPr>
        <w:pStyle w:val="132"/>
        <w:numPr>
          <w:ilvl w:val="255"/>
          <w:numId w:val="0"/>
        </w:numPr>
        <w:spacing w:line="360" w:lineRule="auto"/>
        <w:ind w:left="567"/>
        <w:rPr>
          <w:rFonts w:hAnsi="宋体" w:cs="宋体"/>
        </w:rPr>
      </w:pPr>
      <w:r>
        <w:rPr>
          <w:rFonts w:hint="eastAsia" w:hAnsi="宋体" w:cs="宋体"/>
        </w:rPr>
        <w:t>1.1.1维保服务内容</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0"/>
        <w:gridCol w:w="1374"/>
        <w:gridCol w:w="1456"/>
        <w:gridCol w:w="854"/>
        <w:gridCol w:w="1381"/>
        <w:gridCol w:w="1067"/>
        <w:gridCol w:w="1067"/>
        <w:gridCol w:w="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346" w:type="pct"/>
            <w:vAlign w:val="center"/>
          </w:tcPr>
          <w:p>
            <w:pPr>
              <w:pStyle w:val="132"/>
              <w:spacing w:line="360" w:lineRule="auto"/>
              <w:jc w:val="center"/>
              <w:rPr>
                <w:rFonts w:hAnsi="宋体" w:cs="宋体"/>
              </w:rPr>
            </w:pPr>
            <w:r>
              <w:rPr>
                <w:rFonts w:hint="eastAsia" w:hAnsi="宋体" w:cs="宋体"/>
              </w:rPr>
              <w:t>序号</w:t>
            </w:r>
          </w:p>
        </w:tc>
        <w:tc>
          <w:tcPr>
            <w:tcW w:w="806" w:type="pct"/>
            <w:vAlign w:val="center"/>
          </w:tcPr>
          <w:p>
            <w:pPr>
              <w:pStyle w:val="132"/>
              <w:spacing w:line="360" w:lineRule="auto"/>
              <w:jc w:val="center"/>
              <w:rPr>
                <w:rFonts w:hAnsi="宋体" w:cs="宋体"/>
              </w:rPr>
            </w:pPr>
            <w:r>
              <w:rPr>
                <w:rFonts w:hint="eastAsia" w:hAnsi="宋体" w:cs="宋体"/>
              </w:rPr>
              <w:t>维保内容</w:t>
            </w:r>
          </w:p>
        </w:tc>
        <w:tc>
          <w:tcPr>
            <w:tcW w:w="854" w:type="pct"/>
            <w:vAlign w:val="center"/>
          </w:tcPr>
          <w:p>
            <w:pPr>
              <w:pStyle w:val="132"/>
              <w:spacing w:line="360" w:lineRule="auto"/>
              <w:jc w:val="center"/>
              <w:rPr>
                <w:rFonts w:hAnsi="宋体" w:cs="宋体"/>
              </w:rPr>
            </w:pPr>
            <w:r>
              <w:rPr>
                <w:rFonts w:hint="eastAsia" w:hAnsi="宋体" w:cs="宋体"/>
              </w:rPr>
              <w:t>维保范围</w:t>
            </w:r>
          </w:p>
        </w:tc>
        <w:tc>
          <w:tcPr>
            <w:tcW w:w="501" w:type="pct"/>
            <w:vAlign w:val="center"/>
          </w:tcPr>
          <w:p>
            <w:r>
              <w:rPr>
                <w:rFonts w:hint="eastAsia"/>
              </w:rPr>
              <w:t>维保数量（台）</w:t>
            </w:r>
          </w:p>
        </w:tc>
        <w:tc>
          <w:tcPr>
            <w:tcW w:w="810" w:type="pct"/>
            <w:vAlign w:val="center"/>
          </w:tcPr>
          <w:p>
            <w:pPr>
              <w:pStyle w:val="132"/>
              <w:spacing w:line="360" w:lineRule="auto"/>
              <w:jc w:val="center"/>
              <w:rPr>
                <w:rFonts w:hAnsi="宋体" w:cs="宋体"/>
              </w:rPr>
            </w:pPr>
            <w:r>
              <w:rPr>
                <w:rFonts w:hint="eastAsia" w:hAnsi="宋体" w:cs="宋体"/>
              </w:rPr>
              <w:t>维保期限</w:t>
            </w:r>
          </w:p>
        </w:tc>
        <w:tc>
          <w:tcPr>
            <w:tcW w:w="626" w:type="pct"/>
            <w:vAlign w:val="center"/>
          </w:tcPr>
          <w:p>
            <w:pPr>
              <w:pStyle w:val="132"/>
              <w:spacing w:line="360" w:lineRule="auto"/>
              <w:jc w:val="center"/>
              <w:rPr>
                <w:rFonts w:hAnsi="宋体" w:cs="宋体"/>
              </w:rPr>
            </w:pPr>
            <w:r>
              <w:rPr>
                <w:rFonts w:hint="eastAsia" w:hAnsi="宋体" w:cs="宋体"/>
              </w:rPr>
              <w:t>维保服务费金额（不含税，单位：元）</w:t>
            </w:r>
          </w:p>
        </w:tc>
        <w:tc>
          <w:tcPr>
            <w:tcW w:w="626" w:type="pct"/>
            <w:vAlign w:val="center"/>
          </w:tcPr>
          <w:p>
            <w:pPr>
              <w:pStyle w:val="132"/>
              <w:spacing w:line="360" w:lineRule="auto"/>
              <w:jc w:val="center"/>
              <w:rPr>
                <w:rFonts w:hAnsi="宋体" w:cs="宋体"/>
              </w:rPr>
            </w:pPr>
            <w:r>
              <w:rPr>
                <w:rFonts w:hint="eastAsia" w:hAnsi="宋体" w:cs="宋体"/>
              </w:rPr>
              <w:t>维保服务费（含税金额，单位：元）</w:t>
            </w:r>
          </w:p>
        </w:tc>
        <w:tc>
          <w:tcPr>
            <w:tcW w:w="428" w:type="pct"/>
            <w:vAlign w:val="center"/>
          </w:tcPr>
          <w:p>
            <w:pPr>
              <w:pStyle w:val="132"/>
              <w:spacing w:line="360" w:lineRule="auto"/>
              <w:jc w:val="center"/>
              <w:rPr>
                <w:rFonts w:hAnsi="宋体" w:cs="宋体"/>
              </w:rPr>
            </w:pPr>
            <w:r>
              <w:rPr>
                <w:rFonts w:hint="eastAsia" w:hAnsi="宋体" w:cs="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346" w:type="pct"/>
            <w:vAlign w:val="center"/>
          </w:tcPr>
          <w:p>
            <w:pPr>
              <w:pStyle w:val="132"/>
              <w:spacing w:line="360" w:lineRule="auto"/>
              <w:jc w:val="center"/>
              <w:rPr>
                <w:rFonts w:hAnsi="宋体" w:cs="宋体"/>
              </w:rPr>
            </w:pPr>
            <w:r>
              <w:rPr>
                <w:rFonts w:hint="eastAsia" w:hAnsi="宋体" w:cs="宋体"/>
              </w:rPr>
              <w:t>1</w:t>
            </w:r>
          </w:p>
        </w:tc>
        <w:tc>
          <w:tcPr>
            <w:tcW w:w="806" w:type="pct"/>
            <w:vAlign w:val="center"/>
          </w:tcPr>
          <w:p>
            <w:pPr>
              <w:pStyle w:val="132"/>
              <w:spacing w:line="360" w:lineRule="auto"/>
              <w:jc w:val="center"/>
              <w:rPr>
                <w:rFonts w:hAnsi="宋体" w:cs="宋体"/>
              </w:rPr>
            </w:pPr>
            <w:r>
              <w:rPr>
                <w:rFonts w:hint="eastAsia" w:hAnsi="宋体" w:cs="宋体"/>
                <w:color w:val="000000"/>
              </w:rPr>
              <w:t>禅城分公司2024-2025年分前端机房、营业厅及办公场所空调维保</w:t>
            </w:r>
          </w:p>
        </w:tc>
        <w:tc>
          <w:tcPr>
            <w:tcW w:w="854" w:type="pct"/>
            <w:vAlign w:val="center"/>
          </w:tcPr>
          <w:p>
            <w:pPr>
              <w:pStyle w:val="132"/>
              <w:spacing w:line="360" w:lineRule="auto"/>
              <w:jc w:val="center"/>
              <w:rPr>
                <w:rFonts w:hAnsi="宋体" w:cs="宋体"/>
              </w:rPr>
            </w:pPr>
            <w:r>
              <w:rPr>
                <w:rFonts w:hint="eastAsia" w:hAnsi="宋体" w:cs="宋体"/>
                <w:kern w:val="0"/>
              </w:rPr>
              <w:t>禅城分公司</w:t>
            </w:r>
            <w:r>
              <w:rPr>
                <w:rFonts w:hint="eastAsia" w:hAnsi="宋体" w:cs="宋体"/>
              </w:rPr>
              <w:t>办公大院、分前端机房及营业厅网点、南庄区域中心等的分体柜机、挂式分体空调机（详见空调设备明细表）设备维保</w:t>
            </w:r>
          </w:p>
        </w:tc>
        <w:tc>
          <w:tcPr>
            <w:tcW w:w="501" w:type="pct"/>
            <w:vAlign w:val="center"/>
          </w:tcPr>
          <w:p>
            <w:pPr>
              <w:pStyle w:val="132"/>
              <w:spacing w:line="360" w:lineRule="auto"/>
              <w:ind w:firstLine="315" w:firstLineChars="150"/>
              <w:rPr>
                <w:rFonts w:hAnsi="宋体" w:cs="宋体"/>
              </w:rPr>
            </w:pPr>
            <w:r>
              <w:rPr>
                <w:rFonts w:hint="eastAsia"/>
              </w:rPr>
              <w:t>203</w:t>
            </w:r>
          </w:p>
        </w:tc>
        <w:tc>
          <w:tcPr>
            <w:tcW w:w="810" w:type="pct"/>
            <w:vAlign w:val="center"/>
          </w:tcPr>
          <w:p>
            <w:pPr>
              <w:pStyle w:val="132"/>
              <w:spacing w:line="360" w:lineRule="auto"/>
              <w:ind w:firstLine="210" w:firstLineChars="100"/>
              <w:jc w:val="center"/>
              <w:rPr>
                <w:rFonts w:hAnsi="宋体" w:cs="宋体"/>
              </w:rPr>
            </w:pPr>
            <w:r>
              <w:rPr>
                <w:rFonts w:hint="eastAsia" w:hAnsi="宋体" w:cs="宋体"/>
              </w:rPr>
              <w:t>2024年10月10日起至2025年12月31日或实际发生金额已到达项目预算金额，两者以先到者合同自动终止</w:t>
            </w:r>
          </w:p>
        </w:tc>
        <w:tc>
          <w:tcPr>
            <w:tcW w:w="626" w:type="pct"/>
            <w:vAlign w:val="center"/>
          </w:tcPr>
          <w:p>
            <w:pPr>
              <w:pStyle w:val="132"/>
              <w:spacing w:line="360" w:lineRule="auto"/>
              <w:jc w:val="center"/>
              <w:rPr>
                <w:rFonts w:hAnsi="宋体" w:cs="宋体"/>
              </w:rPr>
            </w:pPr>
          </w:p>
        </w:tc>
        <w:tc>
          <w:tcPr>
            <w:tcW w:w="626" w:type="pct"/>
            <w:vAlign w:val="center"/>
          </w:tcPr>
          <w:p>
            <w:pPr>
              <w:pStyle w:val="132"/>
              <w:spacing w:line="360" w:lineRule="auto"/>
              <w:jc w:val="center"/>
              <w:rPr>
                <w:rFonts w:hAnsi="宋体" w:cs="宋体"/>
              </w:rPr>
            </w:pPr>
          </w:p>
        </w:tc>
        <w:tc>
          <w:tcPr>
            <w:tcW w:w="428" w:type="pct"/>
            <w:vAlign w:val="center"/>
          </w:tcPr>
          <w:p>
            <w:pPr>
              <w:pStyle w:val="132"/>
              <w:spacing w:line="360" w:lineRule="auto"/>
              <w:jc w:val="center"/>
              <w:rPr>
                <w:rFonts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346" w:type="pct"/>
            <w:vAlign w:val="center"/>
          </w:tcPr>
          <w:p>
            <w:pPr>
              <w:pStyle w:val="132"/>
              <w:spacing w:line="360" w:lineRule="auto"/>
              <w:jc w:val="center"/>
              <w:rPr>
                <w:rFonts w:hAnsi="宋体" w:cs="宋体"/>
              </w:rPr>
            </w:pPr>
          </w:p>
          <w:p>
            <w:pPr>
              <w:pStyle w:val="132"/>
              <w:spacing w:line="360" w:lineRule="auto"/>
              <w:jc w:val="center"/>
              <w:rPr>
                <w:rFonts w:hAnsi="宋体" w:cs="宋体"/>
              </w:rPr>
            </w:pPr>
            <w:r>
              <w:rPr>
                <w:rFonts w:hint="eastAsia" w:hAnsi="宋体" w:cs="宋体"/>
              </w:rPr>
              <w:t>备注</w:t>
            </w:r>
          </w:p>
        </w:tc>
        <w:tc>
          <w:tcPr>
            <w:tcW w:w="4653" w:type="pct"/>
            <w:gridSpan w:val="7"/>
            <w:vAlign w:val="center"/>
          </w:tcPr>
          <w:p>
            <w:pPr>
              <w:widowControl/>
              <w:spacing w:line="360" w:lineRule="auto"/>
              <w:jc w:val="left"/>
              <w:rPr>
                <w:rFonts w:ascii="宋体" w:hAnsi="宋体" w:cs="宋体"/>
                <w:color w:val="000000"/>
                <w:kern w:val="0"/>
                <w:szCs w:val="21"/>
                <w:u w:val="single"/>
              </w:rPr>
            </w:pPr>
            <w:r>
              <w:rPr>
                <w:rFonts w:hint="eastAsia" w:ascii="宋体" w:hAnsi="宋体" w:cs="宋体"/>
                <w:color w:val="000000"/>
                <w:kern w:val="0"/>
                <w:szCs w:val="21"/>
              </w:rPr>
              <w:t>小写：</w:t>
            </w:r>
          </w:p>
          <w:p>
            <w:pPr>
              <w:widowControl/>
              <w:spacing w:line="360" w:lineRule="auto"/>
              <w:jc w:val="left"/>
              <w:rPr>
                <w:rFonts w:ascii="宋体" w:hAnsi="宋体" w:cs="宋体"/>
                <w:color w:val="000000"/>
                <w:kern w:val="0"/>
                <w:szCs w:val="21"/>
                <w:u w:val="single"/>
              </w:rPr>
            </w:pPr>
            <w:r>
              <w:rPr>
                <w:rFonts w:hint="eastAsia" w:ascii="宋体" w:hAnsi="宋体" w:cs="宋体"/>
                <w:color w:val="000000"/>
                <w:kern w:val="0"/>
                <w:szCs w:val="21"/>
              </w:rPr>
              <w:t>大写：</w:t>
            </w:r>
          </w:p>
          <w:p>
            <w:pPr>
              <w:widowControl/>
              <w:spacing w:line="360" w:lineRule="auto"/>
              <w:jc w:val="left"/>
              <w:rPr>
                <w:rFonts w:ascii="宋体" w:hAnsi="宋体" w:cs="宋体"/>
                <w:color w:val="000000"/>
                <w:kern w:val="0"/>
                <w:szCs w:val="21"/>
              </w:rPr>
            </w:pPr>
            <w:r>
              <w:rPr>
                <w:rFonts w:hint="eastAsia" w:ascii="宋体" w:hAnsi="宋体" w:cs="宋体"/>
                <w:color w:val="000000"/>
                <w:kern w:val="0"/>
                <w:szCs w:val="21"/>
              </w:rPr>
              <w:t>发票：增值税专用发票</w:t>
            </w:r>
          </w:p>
          <w:p>
            <w:pPr>
              <w:pStyle w:val="132"/>
              <w:spacing w:line="360" w:lineRule="auto"/>
              <w:jc w:val="left"/>
              <w:rPr>
                <w:rFonts w:hAnsi="宋体" w:cs="宋体"/>
              </w:rPr>
            </w:pPr>
            <w:r>
              <w:rPr>
                <w:rFonts w:hint="eastAsia" w:hAnsi="宋体" w:cs="宋体"/>
                <w:color w:val="000000"/>
                <w:kern w:val="0"/>
              </w:rPr>
              <w:t>税率：    %</w:t>
            </w:r>
          </w:p>
        </w:tc>
      </w:tr>
    </w:tbl>
    <w:p>
      <w:pPr>
        <w:tabs>
          <w:tab w:val="left" w:pos="1260"/>
          <w:tab w:val="left" w:pos="2160"/>
          <w:tab w:val="left" w:pos="7920"/>
        </w:tabs>
        <w:spacing w:line="360" w:lineRule="auto"/>
        <w:ind w:firstLine="525" w:firstLineChars="250"/>
        <w:rPr>
          <w:rFonts w:ascii="宋体" w:hAnsi="宋体" w:cs="宋体"/>
          <w:bCs/>
          <w:szCs w:val="21"/>
        </w:rPr>
      </w:pPr>
      <w:r>
        <w:rPr>
          <w:rFonts w:hint="eastAsia" w:ascii="宋体" w:hAnsi="宋体" w:cs="宋体"/>
          <w:bCs/>
          <w:szCs w:val="21"/>
        </w:rPr>
        <w:t>1.1.2维修服务内容（零配件明细）</w:t>
      </w:r>
    </w:p>
    <w:tbl>
      <w:tblPr>
        <w:tblStyle w:val="36"/>
        <w:tblpPr w:leftFromText="180" w:rightFromText="180" w:vertAnchor="text" w:horzAnchor="page" w:tblpX="1758" w:tblpY="308"/>
        <w:tblOverlap w:val="never"/>
        <w:tblW w:w="5000" w:type="pct"/>
        <w:tblInd w:w="0" w:type="dxa"/>
        <w:tblLayout w:type="autofit"/>
        <w:tblCellMar>
          <w:top w:w="15" w:type="dxa"/>
          <w:left w:w="15" w:type="dxa"/>
          <w:bottom w:w="15" w:type="dxa"/>
          <w:right w:w="15" w:type="dxa"/>
        </w:tblCellMar>
      </w:tblPr>
      <w:tblGrid>
        <w:gridCol w:w="503"/>
        <w:gridCol w:w="1002"/>
        <w:gridCol w:w="2027"/>
        <w:gridCol w:w="747"/>
        <w:gridCol w:w="1067"/>
        <w:gridCol w:w="1494"/>
        <w:gridCol w:w="1496"/>
      </w:tblGrid>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序号</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维修明细</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规格型号</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单位</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r>
              <w:rPr>
                <w:rFonts w:hint="eastAsia" w:ascii="宋体" w:hAnsi="宋体" w:cs="宋体"/>
                <w:szCs w:val="21"/>
              </w:rPr>
              <w:t>不含税单价（元）</w:t>
            </w: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r>
              <w:rPr>
                <w:rFonts w:hint="eastAsia" w:ascii="宋体" w:hAnsi="宋体" w:cs="宋体"/>
                <w:szCs w:val="21"/>
              </w:rPr>
              <w:t>含税单价（元）</w:t>
            </w: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备注</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拆卸空调</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安装空调</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增加/更换铜管</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13</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增加/更换电源线、</w:t>
            </w:r>
          </w:p>
          <w:p>
            <w:pPr>
              <w:widowControl/>
              <w:jc w:val="center"/>
              <w:rPr>
                <w:rFonts w:ascii="宋体" w:hAnsi="宋体" w:cs="宋体"/>
                <w:szCs w:val="21"/>
              </w:rPr>
            </w:pPr>
            <w:r>
              <w:rPr>
                <w:rFonts w:hint="eastAsia" w:ascii="宋体" w:hAnsi="宋体" w:cs="宋体"/>
                <w:szCs w:val="21"/>
              </w:rPr>
              <w:t>控制线</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3×1.5mm2联机电源线</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3×2.5mm2联机电源线</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5×2.5mm2联机电源线</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3×1.5mm2护套线</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5×1.5mm2护套线</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54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18</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增加/更换橡塑保温管（含扎带）</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∮6×13mm/B1级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∮10×13mm/B1级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∮13×13mm/B1级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∮16×15mm/B1级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∮20×15mm/B1级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∮22×15mm/B1级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555"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24</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增加/更换PVC排水管（含直通、弯头、三通</w:t>
            </w:r>
          </w:p>
          <w:p>
            <w:pPr>
              <w:widowControl/>
              <w:jc w:val="center"/>
              <w:rPr>
                <w:rFonts w:ascii="宋体" w:hAnsi="宋体" w:cs="宋体"/>
                <w:szCs w:val="21"/>
              </w:rPr>
            </w:pPr>
            <w:r>
              <w:rPr>
                <w:rFonts w:hint="eastAsia" w:ascii="宋体" w:hAnsi="宋体" w:cs="宋体"/>
                <w:szCs w:val="21"/>
              </w:rPr>
              <w:t>连接附件）</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4分PVC塑料管</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6分PVC塑料管</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26</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增加/更换塑料波纹排</w:t>
            </w:r>
          </w:p>
          <w:p>
            <w:pPr>
              <w:widowControl/>
              <w:jc w:val="center"/>
              <w:rPr>
                <w:rFonts w:ascii="宋体" w:hAnsi="宋体" w:cs="宋体"/>
                <w:szCs w:val="21"/>
              </w:rPr>
            </w:pPr>
            <w:r>
              <w:rPr>
                <w:rFonts w:hint="eastAsia" w:ascii="宋体" w:hAnsi="宋体" w:cs="宋体"/>
                <w:szCs w:val="21"/>
              </w:rPr>
              <w:t>水管</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4分塑料软管</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米</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27</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增加/更换遥控器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1000合1多功能遥控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原装牌子空调遥控</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29</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更换压缩机</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1匹涡旋式压缩机</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1.5匹涡旋式压缩机</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2匹涡旋式压缩机</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3匹涡旋式压缩机</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5匹涡旋式压缩机</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34</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更换室内机电路板</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原厂牌子1匹机型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39</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更换室外机电路板</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41</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更换空调接收板、显示板</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原厂牌子1匹机型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原厂牌子5匹机型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46</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更换室内机风机电机</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50</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更换室内机导叶摇摆</w:t>
            </w:r>
          </w:p>
          <w:p>
            <w:pPr>
              <w:widowControl/>
              <w:jc w:val="center"/>
              <w:rPr>
                <w:rFonts w:ascii="宋体" w:hAnsi="宋体" w:cs="宋体"/>
                <w:szCs w:val="21"/>
              </w:rPr>
            </w:pPr>
            <w:r>
              <w:rPr>
                <w:rFonts w:hint="eastAsia" w:ascii="宋体" w:hAnsi="宋体" w:cs="宋体"/>
                <w:szCs w:val="21"/>
              </w:rPr>
              <w:t>电机</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54</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更换室外机风机电机</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58</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更换室内机送风轮</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1匹室内贯流翼式</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1.5匹室内贯流翼式</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2匹室内贯流翼式</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3匹室内离心式</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5匹室内离心式</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63</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更换室外机散热风扇叶</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67</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更换温度传感器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5KΩ</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10KΩ</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15KΩ</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20KΩ</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50KΩ</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72</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更换压力保护监测装置</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低压保护压力传感器</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高压保护压力传感器</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排气温度保护传感器</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48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75</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更换压缩机控制交流接触器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380V/25A</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45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76</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更换压缩机控热继电器</w:t>
            </w:r>
          </w:p>
        </w:tc>
        <w:tc>
          <w:tcPr>
            <w:tcW w:w="1216"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77</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更换变压器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220V-12V转换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220V-12V-9V转换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79</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更换室外机过流保护器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件</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81</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更换空调四通换向阀</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84</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85</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更换铜角阀</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∮6×25</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∮10×25</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∮12×25</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∮16×30</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∮19×30</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90</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更换压缩机启动电容</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93</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更换室外风机电容</w:t>
            </w:r>
          </w:p>
        </w:tc>
        <w:tc>
          <w:tcPr>
            <w:tcW w:w="1216"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94</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更换压缩机插脚线</w:t>
            </w:r>
          </w:p>
        </w:tc>
        <w:tc>
          <w:tcPr>
            <w:tcW w:w="1216" w:type="pc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条</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95</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增加/更换空调外机支架</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1-2匹普通型不锈钢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3匹普通型不锈钢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5匹普通型不锈钢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98</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3匹加厚型豪华型不锈钢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5匹加厚型豪华型不锈钢</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100</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更换室内机接水盆</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9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102</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104</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更换室内机导风摆叶</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108</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更换节流装置</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109</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110</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111</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套</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112</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更换室外机贮液器</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113</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质保期3个月</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114</w:t>
            </w:r>
          </w:p>
        </w:tc>
        <w:tc>
          <w:tcPr>
            <w:tcW w:w="601" w:type="pct"/>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更换散热风机电机轴承</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115</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116</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117</w:t>
            </w:r>
          </w:p>
        </w:tc>
        <w:tc>
          <w:tcPr>
            <w:tcW w:w="601" w:type="pct"/>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Cs w:val="21"/>
              </w:rPr>
            </w:pP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118</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钎焊银焊条</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支</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质保期1年</w:t>
            </w: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119</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空调机拆机高空施工作业费</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120</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空调机安装高空施工作业费</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台</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121</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开钻空调孔（砖墙）</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360" w:hRule="atLeast"/>
        </w:trPr>
        <w:tc>
          <w:tcPr>
            <w:tcW w:w="30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122</w:t>
            </w:r>
          </w:p>
        </w:tc>
        <w:tc>
          <w:tcPr>
            <w:tcW w:w="60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开钻空调孔（混凝土）</w:t>
            </w:r>
          </w:p>
        </w:tc>
        <w:tc>
          <w:tcPr>
            <w:tcW w:w="121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1-5匹机型</w:t>
            </w:r>
          </w:p>
        </w:tc>
        <w:tc>
          <w:tcPr>
            <w:tcW w:w="448"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个</w:t>
            </w:r>
          </w:p>
        </w:tc>
        <w:tc>
          <w:tcPr>
            <w:tcW w:w="640"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6" w:type="pct"/>
            <w:tcBorders>
              <w:top w:val="single" w:color="000000" w:sz="4" w:space="0"/>
              <w:left w:val="single" w:color="000000" w:sz="4" w:space="0"/>
              <w:bottom w:val="single" w:color="000000" w:sz="4" w:space="0"/>
              <w:right w:val="single" w:color="000000" w:sz="4" w:space="0"/>
            </w:tcBorders>
          </w:tcPr>
          <w:p>
            <w:pPr>
              <w:widowControl/>
              <w:jc w:val="center"/>
              <w:rPr>
                <w:rFonts w:ascii="宋体" w:hAnsi="宋体" w:cs="宋体"/>
                <w:szCs w:val="21"/>
              </w:rPr>
            </w:pPr>
          </w:p>
        </w:tc>
        <w:tc>
          <w:tcPr>
            <w:tcW w:w="89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p>
        </w:tc>
      </w:tr>
      <w:tr>
        <w:tblPrEx>
          <w:tblCellMar>
            <w:top w:w="15" w:type="dxa"/>
            <w:left w:w="15" w:type="dxa"/>
            <w:bottom w:w="15" w:type="dxa"/>
            <w:right w:w="15" w:type="dxa"/>
          </w:tblCellMar>
        </w:tblPrEx>
        <w:trPr>
          <w:trHeight w:val="1058" w:hRule="atLeast"/>
        </w:trPr>
        <w:tc>
          <w:tcPr>
            <w:tcW w:w="903" w:type="pct"/>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备注</w:t>
            </w:r>
          </w:p>
        </w:tc>
        <w:tc>
          <w:tcPr>
            <w:tcW w:w="4097" w:type="pct"/>
            <w:gridSpan w:val="5"/>
            <w:tcBorders>
              <w:top w:val="single" w:color="000000" w:sz="4" w:space="0"/>
              <w:left w:val="single" w:color="000000" w:sz="4" w:space="0"/>
              <w:bottom w:val="single" w:color="000000" w:sz="4" w:space="0"/>
              <w:right w:val="single" w:color="000000" w:sz="4" w:space="0"/>
            </w:tcBorders>
          </w:tcPr>
          <w:p>
            <w:pPr>
              <w:widowControl/>
              <w:spacing w:line="360" w:lineRule="auto"/>
              <w:jc w:val="left"/>
              <w:rPr>
                <w:rFonts w:ascii="宋体" w:hAnsi="宋体" w:cs="宋体"/>
                <w:color w:val="000000"/>
                <w:kern w:val="0"/>
                <w:szCs w:val="21"/>
              </w:rPr>
            </w:pPr>
            <w:r>
              <w:rPr>
                <w:rFonts w:hint="eastAsia" w:ascii="宋体" w:hAnsi="宋体" w:cs="宋体"/>
                <w:color w:val="000000"/>
                <w:kern w:val="0"/>
                <w:szCs w:val="21"/>
              </w:rPr>
              <w:t>发票：增值税专用发票</w:t>
            </w:r>
          </w:p>
          <w:p>
            <w:pPr>
              <w:widowControl/>
              <w:rPr>
                <w:rFonts w:ascii="宋体" w:hAnsi="宋体" w:cs="宋体"/>
                <w:szCs w:val="21"/>
              </w:rPr>
            </w:pPr>
            <w:r>
              <w:rPr>
                <w:rFonts w:hint="eastAsia" w:ascii="宋体" w:hAnsi="宋体" w:cs="宋体"/>
                <w:color w:val="000000"/>
                <w:kern w:val="0"/>
                <w:szCs w:val="21"/>
              </w:rPr>
              <w:t>税率：    %</w:t>
            </w:r>
          </w:p>
        </w:tc>
      </w:tr>
    </w:tbl>
    <w:p>
      <w:pPr>
        <w:pStyle w:val="59"/>
        <w:tabs>
          <w:tab w:val="left" w:pos="1418"/>
        </w:tabs>
        <w:autoSpaceDE w:val="0"/>
        <w:autoSpaceDN w:val="0"/>
        <w:spacing w:line="360" w:lineRule="auto"/>
        <w:jc w:val="left"/>
        <w:rPr>
          <w:rFonts w:ascii="宋体" w:hAnsi="宋体" w:cs="宋体"/>
          <w:szCs w:val="21"/>
        </w:rPr>
      </w:pPr>
      <w:r>
        <w:rPr>
          <w:rFonts w:hint="eastAsia" w:ascii="宋体" w:hAnsi="宋体" w:cs="宋体"/>
          <w:szCs w:val="21"/>
        </w:rPr>
        <w:t xml:space="preserve">1.2  合同维保服务费总额（含税）人民币小写：¥ 【 </w:t>
      </w:r>
      <w:r>
        <w:rPr>
          <w:rFonts w:hint="eastAsia" w:ascii="宋体" w:hAnsi="宋体" w:cs="宋体"/>
          <w:color w:val="FF0000"/>
          <w:szCs w:val="21"/>
        </w:rPr>
        <w:t xml:space="preserve">    </w:t>
      </w:r>
      <w:r>
        <w:rPr>
          <w:rFonts w:hint="eastAsia" w:ascii="宋体" w:hAnsi="宋体" w:cs="宋体"/>
          <w:szCs w:val="21"/>
        </w:rPr>
        <w:t>】（大写：</w:t>
      </w:r>
      <w:r>
        <w:rPr>
          <w:rFonts w:hint="eastAsia" w:ascii="宋体" w:hAnsi="宋体" w:cs="宋体"/>
          <w:color w:val="FF0000"/>
          <w:szCs w:val="21"/>
        </w:rPr>
        <w:t xml:space="preserve">    </w:t>
      </w:r>
      <w:r>
        <w:rPr>
          <w:rFonts w:hint="eastAsia" w:ascii="宋体" w:hAnsi="宋体" w:cs="宋体"/>
          <w:szCs w:val="21"/>
        </w:rPr>
        <w:t xml:space="preserve">元整）。维修费按实际发生额进行结算，但维修结算总金额不得高于本项目维修预算金额¥ 【 </w:t>
      </w:r>
      <w:r>
        <w:rPr>
          <w:rFonts w:hint="eastAsia" w:ascii="宋体" w:hAnsi="宋体" w:cs="宋体"/>
          <w:color w:val="FF0000"/>
          <w:szCs w:val="21"/>
        </w:rPr>
        <w:t xml:space="preserve">    </w:t>
      </w:r>
      <w:r>
        <w:rPr>
          <w:rFonts w:hint="eastAsia" w:ascii="宋体" w:hAnsi="宋体" w:cs="宋体"/>
          <w:szCs w:val="21"/>
        </w:rPr>
        <w:t>】（大写：</w:t>
      </w:r>
      <w:r>
        <w:rPr>
          <w:rFonts w:hint="eastAsia" w:ascii="宋体" w:hAnsi="宋体" w:cs="宋体"/>
          <w:color w:val="FF0000"/>
          <w:szCs w:val="21"/>
        </w:rPr>
        <w:t xml:space="preserve">    </w:t>
      </w:r>
      <w:r>
        <w:rPr>
          <w:rFonts w:hint="eastAsia" w:ascii="宋体" w:hAnsi="宋体" w:cs="宋体"/>
          <w:szCs w:val="21"/>
        </w:rPr>
        <w:t>元整）。</w:t>
      </w:r>
    </w:p>
    <w:p>
      <w:pPr>
        <w:pStyle w:val="59"/>
        <w:tabs>
          <w:tab w:val="left" w:pos="1134"/>
          <w:tab w:val="left" w:pos="1418"/>
        </w:tabs>
        <w:autoSpaceDE w:val="0"/>
        <w:autoSpaceDN w:val="0"/>
        <w:spacing w:line="360" w:lineRule="auto"/>
        <w:jc w:val="left"/>
        <w:rPr>
          <w:rFonts w:ascii="宋体" w:hAnsi="宋体" w:cs="宋体"/>
          <w:szCs w:val="21"/>
        </w:rPr>
      </w:pPr>
      <w:r>
        <w:rPr>
          <w:rFonts w:hint="eastAsia" w:ascii="宋体" w:hAnsi="宋体" w:cs="宋体"/>
          <w:szCs w:val="21"/>
        </w:rPr>
        <w:t>1.3  合同维保费总额包括维护费、全额含税发票等以及甲方在乙方完全履行本合同约定义务后应向乙方支付的所有相关款项和费用。</w:t>
      </w:r>
    </w:p>
    <w:p>
      <w:pPr>
        <w:tabs>
          <w:tab w:val="left" w:pos="3240"/>
          <w:tab w:val="left" w:pos="7070"/>
        </w:tabs>
        <w:spacing w:line="360" w:lineRule="auto"/>
        <w:ind w:firstLine="420" w:firstLineChars="200"/>
        <w:rPr>
          <w:rFonts w:ascii="宋体" w:hAnsi="宋体" w:cs="宋体"/>
          <w:szCs w:val="21"/>
        </w:rPr>
      </w:pPr>
      <w:r>
        <w:rPr>
          <w:rFonts w:hint="eastAsia" w:ascii="宋体" w:hAnsi="宋体" w:cs="宋体"/>
          <w:szCs w:val="21"/>
        </w:rPr>
        <w:t>1.4  合同期限：2024年10月10日起至2025年12月31日或实际发生金额已到达项目预算金额，两者以先到者合同自动终止</w:t>
      </w:r>
    </w:p>
    <w:p>
      <w:pPr>
        <w:tabs>
          <w:tab w:val="left" w:pos="3240"/>
          <w:tab w:val="left" w:pos="7070"/>
        </w:tabs>
        <w:spacing w:line="360" w:lineRule="auto"/>
        <w:ind w:firstLine="420" w:firstLineChars="200"/>
        <w:rPr>
          <w:rFonts w:ascii="宋体" w:hAnsi="宋体" w:cs="宋体"/>
          <w:szCs w:val="21"/>
        </w:rPr>
      </w:pPr>
      <w:r>
        <w:rPr>
          <w:rFonts w:hint="eastAsia" w:ascii="宋体" w:hAnsi="宋体" w:cs="宋体"/>
          <w:szCs w:val="21"/>
        </w:rPr>
        <w:t>1.5  甲方除了支付合同规定的款项外，一切合同规定外的费用将拒绝支付。</w:t>
      </w:r>
    </w:p>
    <w:p>
      <w:pPr>
        <w:spacing w:line="360" w:lineRule="auto"/>
        <w:ind w:firstLine="420" w:firstLineChars="200"/>
        <w:rPr>
          <w:rFonts w:ascii="宋体" w:hAnsi="宋体" w:cs="宋体"/>
          <w:szCs w:val="21"/>
        </w:rPr>
      </w:pPr>
      <w:r>
        <w:rPr>
          <w:rFonts w:hint="eastAsia" w:ascii="宋体" w:hAnsi="宋体" w:cs="宋体"/>
          <w:szCs w:val="21"/>
        </w:rPr>
        <w:t>1.6  当国家税收政策调整导致增值税税率发生变化时，保持不含税单价不变，根据政策规定的适用税率调整情况，调整增值税税率、税额、含税价格以及合同结算金额。</w:t>
      </w:r>
    </w:p>
    <w:p>
      <w:pPr>
        <w:pStyle w:val="59"/>
        <w:numPr>
          <w:ilvl w:val="0"/>
          <w:numId w:val="19"/>
        </w:numPr>
        <w:spacing w:line="360" w:lineRule="auto"/>
        <w:ind w:left="982" w:hanging="420" w:firstLineChars="0"/>
        <w:rPr>
          <w:rFonts w:ascii="宋体" w:hAnsi="宋体" w:cs="宋体"/>
          <w:b/>
          <w:szCs w:val="21"/>
        </w:rPr>
      </w:pPr>
      <w:bookmarkStart w:id="18" w:name="_Toc518311988"/>
      <w:r>
        <w:rPr>
          <w:rFonts w:hint="eastAsia" w:ascii="宋体" w:hAnsi="宋体" w:cs="宋体"/>
          <w:b/>
          <w:szCs w:val="21"/>
        </w:rPr>
        <w:t>支付方式</w:t>
      </w:r>
      <w:bookmarkEnd w:id="18"/>
    </w:p>
    <w:p>
      <w:pPr>
        <w:pStyle w:val="59"/>
        <w:numPr>
          <w:ilvl w:val="0"/>
          <w:numId w:val="21"/>
        </w:numPr>
        <w:spacing w:line="360" w:lineRule="auto"/>
        <w:ind w:firstLineChars="0"/>
        <w:rPr>
          <w:rFonts w:ascii="宋体" w:hAnsi="宋体" w:cs="宋体"/>
          <w:vanish/>
          <w:szCs w:val="21"/>
        </w:rPr>
      </w:pPr>
    </w:p>
    <w:p>
      <w:pPr>
        <w:pStyle w:val="59"/>
        <w:numPr>
          <w:ilvl w:val="0"/>
          <w:numId w:val="21"/>
        </w:numPr>
        <w:spacing w:line="360" w:lineRule="auto"/>
        <w:ind w:firstLineChars="0"/>
        <w:rPr>
          <w:rFonts w:ascii="宋体" w:hAnsi="宋体" w:cs="宋体"/>
          <w:vanish/>
          <w:szCs w:val="21"/>
        </w:rPr>
      </w:pPr>
    </w:p>
    <w:p>
      <w:pPr>
        <w:pStyle w:val="132"/>
        <w:numPr>
          <w:ilvl w:val="1"/>
          <w:numId w:val="21"/>
        </w:numPr>
        <w:spacing w:line="360" w:lineRule="auto"/>
        <w:ind w:left="0" w:firstLine="493" w:firstLineChars="235"/>
        <w:rPr>
          <w:rFonts w:hAnsi="宋体" w:cs="宋体"/>
        </w:rPr>
      </w:pPr>
      <w:r>
        <w:rPr>
          <w:rFonts w:hint="eastAsia" w:hAnsi="宋体" w:cs="宋体"/>
        </w:rPr>
        <w:t>结算方式：采用银行汇付（含电汇）形式。</w:t>
      </w:r>
    </w:p>
    <w:p>
      <w:pPr>
        <w:pStyle w:val="132"/>
        <w:spacing w:line="360" w:lineRule="auto"/>
        <w:ind w:firstLine="420" w:firstLineChars="200"/>
        <w:rPr>
          <w:rFonts w:hAnsi="宋体" w:cs="宋体"/>
        </w:rPr>
      </w:pPr>
      <w:r>
        <w:rPr>
          <w:rFonts w:hint="eastAsia" w:hAnsi="宋体" w:cs="宋体"/>
        </w:rPr>
        <w:t>甲方每6个月对乙方的服务质量进行考核，根据甲、乙双方确认的《禅城分公司空调维保、维修服务质量考核表》的评分结果支付，总评分100-90分（包括90分），不扣除该半年度维保费用；90-80分（包括80分），则扣除该半年度维保费用1000元；考核分低于80分，则扣除该半年年度维保费用2000元，且甲方有权终止维保资格合同。</w:t>
      </w:r>
    </w:p>
    <w:p>
      <w:pPr>
        <w:pStyle w:val="132"/>
        <w:numPr>
          <w:ilvl w:val="1"/>
          <w:numId w:val="21"/>
        </w:numPr>
        <w:spacing w:line="360" w:lineRule="auto"/>
        <w:ind w:left="0" w:firstLine="493" w:firstLineChars="235"/>
        <w:rPr>
          <w:rFonts w:hAnsi="宋体" w:cs="宋体"/>
        </w:rPr>
      </w:pPr>
      <w:r>
        <w:rPr>
          <w:rFonts w:hint="eastAsia" w:hAnsi="宋体" w:cs="宋体"/>
        </w:rPr>
        <w:t>维保服务费分两期（半年一期）支付，分别为本合同上述维保服务费总额50%。</w:t>
      </w:r>
    </w:p>
    <w:p>
      <w:pPr>
        <w:pStyle w:val="132"/>
        <w:spacing w:line="360" w:lineRule="auto"/>
        <w:ind w:firstLine="420" w:firstLineChars="200"/>
        <w:rPr>
          <w:rFonts w:hAnsi="宋体" w:cs="宋体"/>
        </w:rPr>
      </w:pPr>
      <w:r>
        <w:rPr>
          <w:rFonts w:hint="eastAsia" w:hAnsi="宋体" w:cs="宋体"/>
        </w:rPr>
        <w:t>当乙方完成各办公场所第一次和分前端机房第一、二次清洗保养服务和定期保养点检作业后，经双方确认考核评分结果后，甲方收到乙方开具的等额的增值税专用发票后90天内支付合同中维保服务总额的50%。</w:t>
      </w:r>
    </w:p>
    <w:p>
      <w:pPr>
        <w:pStyle w:val="132"/>
        <w:spacing w:line="360" w:lineRule="auto"/>
        <w:ind w:firstLine="420" w:firstLineChars="200"/>
        <w:rPr>
          <w:rFonts w:hAnsi="宋体" w:cs="宋体"/>
        </w:rPr>
      </w:pPr>
      <w:r>
        <w:rPr>
          <w:rFonts w:hint="eastAsia" w:hAnsi="宋体" w:cs="宋体"/>
        </w:rPr>
        <w:t>当乙方完成各办公场所第二次和分前端机房第三、四次保养服务和定期保养点检作业后，经双方确认考核评分结果后，甲方收到乙方开具的等额的增值税专用发票后90天内支付合同中维保服务总额的50%。</w:t>
      </w:r>
    </w:p>
    <w:p>
      <w:pPr>
        <w:pStyle w:val="132"/>
        <w:numPr>
          <w:ilvl w:val="1"/>
          <w:numId w:val="21"/>
        </w:numPr>
        <w:spacing w:line="360" w:lineRule="auto"/>
        <w:ind w:left="0" w:firstLine="493" w:firstLineChars="235"/>
        <w:rPr>
          <w:rFonts w:hAnsi="宋体" w:cs="宋体"/>
        </w:rPr>
      </w:pPr>
      <w:r>
        <w:rPr>
          <w:rFonts w:hint="eastAsia" w:hAnsi="宋体" w:cs="宋体"/>
        </w:rPr>
        <w:t>维修（含零配件）费用每6个月结算一次。</w:t>
      </w:r>
    </w:p>
    <w:p>
      <w:pPr>
        <w:pStyle w:val="132"/>
        <w:spacing w:line="360" w:lineRule="auto"/>
        <w:rPr>
          <w:rFonts w:hAnsi="宋体" w:cs="宋体"/>
        </w:rPr>
      </w:pPr>
      <w:r>
        <w:rPr>
          <w:rFonts w:hint="eastAsia" w:hAnsi="宋体" w:cs="宋体"/>
        </w:rPr>
        <w:t xml:space="preserve">     维保、维修资格合同签订后6个月结算一次。甲、乙双方对前6个月的维修单据进行核对，经甲、乙双方确认无误后，乙方开具等额的增值税专用发票（税率：  %）给甲方，甲方90天内支付完毕。</w:t>
      </w:r>
    </w:p>
    <w:p>
      <w:pPr>
        <w:pStyle w:val="136"/>
        <w:spacing w:line="360" w:lineRule="auto"/>
        <w:ind w:firstLine="420" w:firstLineChars="200"/>
        <w:rPr>
          <w:rFonts w:hAnsi="宋体" w:cs="宋体"/>
          <w:lang w:val="zh-CN"/>
        </w:rPr>
      </w:pPr>
      <w:bookmarkStart w:id="19" w:name="_Hlk520054790"/>
      <w:r>
        <w:rPr>
          <w:rFonts w:hint="eastAsia" w:hAnsi="宋体" w:cs="宋体"/>
        </w:rPr>
        <w:t>2.4乙方承诺其开具增值税专用发票的形式与内容均合法、有效、完整、准确。不开具或开具不合格的增值税专用发票，甲方有权顺延支付应付款项且不承担任何违约责任，且乙方的各项合同义务仍应按合同约定履行。</w:t>
      </w:r>
    </w:p>
    <w:p>
      <w:pPr>
        <w:pStyle w:val="136"/>
        <w:spacing w:line="360" w:lineRule="auto"/>
        <w:ind w:firstLine="420" w:firstLineChars="200"/>
        <w:rPr>
          <w:rFonts w:hAnsi="宋体" w:cs="宋体"/>
          <w:lang w:val="zh-CN"/>
        </w:rPr>
      </w:pPr>
      <w:r>
        <w:rPr>
          <w:rFonts w:hint="eastAsia" w:hAnsi="宋体" w:cs="宋体"/>
        </w:rPr>
        <w:t>2.5如出现国家税收政策调整时，双方应根据实际税收调整情况，以本合同中的不含税单价为依据相应调整受影响的合同含税金额，乙方需按照税收调整政策规定开具合法合规发票。</w:t>
      </w:r>
    </w:p>
    <w:bookmarkEnd w:id="19"/>
    <w:p>
      <w:pPr>
        <w:pStyle w:val="132"/>
        <w:numPr>
          <w:ilvl w:val="255"/>
          <w:numId w:val="0"/>
        </w:numPr>
        <w:spacing w:line="360" w:lineRule="auto"/>
        <w:ind w:left="567"/>
        <w:rPr>
          <w:rFonts w:hAnsi="宋体" w:cs="宋体"/>
        </w:rPr>
      </w:pPr>
      <w:bookmarkStart w:id="20" w:name="_Hlk519866191"/>
      <w:bookmarkStart w:id="21" w:name="_Hlk519866172"/>
      <w:r>
        <w:rPr>
          <w:rFonts w:hint="eastAsia" w:hAnsi="宋体" w:cs="宋体"/>
        </w:rPr>
        <w:t>2.6乙方指定收款账户如下</w:t>
      </w:r>
      <w:bookmarkEnd w:id="20"/>
      <w:r>
        <w:rPr>
          <w:rFonts w:hint="eastAsia" w:hAnsi="宋体" w:cs="宋体"/>
        </w:rPr>
        <w:t>：</w:t>
      </w:r>
    </w:p>
    <w:bookmarkEnd w:id="21"/>
    <w:p>
      <w:pPr>
        <w:pStyle w:val="131"/>
        <w:spacing w:line="360" w:lineRule="auto"/>
        <w:ind w:firstLine="422" w:firstLineChars="200"/>
        <w:rPr>
          <w:rFonts w:hint="default" w:ascii="宋体" w:hAnsi="宋体" w:cs="宋体"/>
          <w:szCs w:val="21"/>
        </w:rPr>
      </w:pPr>
      <w:r>
        <w:rPr>
          <w:rFonts w:ascii="宋体" w:hAnsi="宋体" w:cs="宋体"/>
          <w:b/>
          <w:szCs w:val="21"/>
        </w:rPr>
        <w:t>账号：</w:t>
      </w:r>
    </w:p>
    <w:p>
      <w:pPr>
        <w:pStyle w:val="131"/>
        <w:spacing w:line="360" w:lineRule="auto"/>
        <w:ind w:firstLine="422" w:firstLineChars="200"/>
        <w:rPr>
          <w:rFonts w:hint="default" w:ascii="宋体" w:hAnsi="宋体" w:cs="宋体"/>
          <w:b/>
          <w:szCs w:val="21"/>
        </w:rPr>
      </w:pPr>
      <w:r>
        <w:rPr>
          <w:rFonts w:ascii="宋体" w:hAnsi="宋体" w:cs="宋体"/>
          <w:b/>
          <w:szCs w:val="21"/>
        </w:rPr>
        <w:t>账户名称：</w:t>
      </w:r>
      <w:r>
        <w:rPr>
          <w:rFonts w:ascii="宋体" w:hAnsi="宋体" w:cs="宋体"/>
          <w:szCs w:val="21"/>
        </w:rPr>
        <w:t xml:space="preserve"> </w:t>
      </w:r>
    </w:p>
    <w:p>
      <w:pPr>
        <w:pStyle w:val="131"/>
        <w:spacing w:line="360" w:lineRule="auto"/>
        <w:ind w:firstLine="422" w:firstLineChars="200"/>
        <w:rPr>
          <w:rFonts w:hint="default" w:ascii="宋体" w:hAnsi="宋体" w:cs="宋体"/>
          <w:b/>
          <w:szCs w:val="21"/>
        </w:rPr>
      </w:pPr>
      <w:r>
        <w:rPr>
          <w:rFonts w:ascii="宋体" w:hAnsi="宋体" w:cs="宋体"/>
          <w:b/>
          <w:szCs w:val="21"/>
        </w:rPr>
        <w:t xml:space="preserve">开户行： </w:t>
      </w:r>
    </w:p>
    <w:p>
      <w:pPr>
        <w:pStyle w:val="132"/>
        <w:numPr>
          <w:ilvl w:val="255"/>
          <w:numId w:val="0"/>
        </w:numPr>
        <w:spacing w:line="360" w:lineRule="auto"/>
        <w:ind w:left="567"/>
        <w:rPr>
          <w:rFonts w:hAnsi="宋体" w:cs="宋体"/>
        </w:rPr>
      </w:pPr>
      <w:bookmarkStart w:id="22" w:name="_Hlk519866249"/>
      <w:r>
        <w:rPr>
          <w:rFonts w:hint="eastAsia" w:hAnsi="宋体" w:cs="宋体"/>
        </w:rPr>
        <w:t>2.7若乙方需要改变上述账户，应提前【10】个工作日以书面形式通知甲方，否则，因此造成的损失由乙方自行承担。</w:t>
      </w:r>
    </w:p>
    <w:bookmarkEnd w:id="22"/>
    <w:p>
      <w:pPr>
        <w:pStyle w:val="59"/>
        <w:numPr>
          <w:ilvl w:val="0"/>
          <w:numId w:val="19"/>
        </w:numPr>
        <w:spacing w:line="360" w:lineRule="auto"/>
        <w:ind w:left="982" w:hanging="420" w:firstLineChars="0"/>
        <w:rPr>
          <w:rFonts w:ascii="宋体" w:hAnsi="宋体" w:cs="宋体"/>
          <w:b/>
          <w:szCs w:val="21"/>
        </w:rPr>
      </w:pPr>
      <w:r>
        <w:rPr>
          <w:rFonts w:hint="eastAsia" w:ascii="宋体" w:hAnsi="宋体" w:cs="宋体"/>
          <w:b/>
          <w:szCs w:val="21"/>
        </w:rPr>
        <w:t>维保内容</w:t>
      </w:r>
    </w:p>
    <w:p>
      <w:pPr>
        <w:pStyle w:val="59"/>
        <w:numPr>
          <w:ilvl w:val="0"/>
          <w:numId w:val="21"/>
        </w:numPr>
        <w:spacing w:line="360" w:lineRule="auto"/>
        <w:ind w:firstLineChars="0"/>
        <w:rPr>
          <w:rFonts w:ascii="宋体" w:hAnsi="宋体" w:cs="宋体"/>
          <w:vanish/>
          <w:szCs w:val="21"/>
        </w:rPr>
      </w:pPr>
    </w:p>
    <w:p>
      <w:pPr>
        <w:pStyle w:val="132"/>
        <w:numPr>
          <w:ilvl w:val="1"/>
          <w:numId w:val="21"/>
        </w:numPr>
        <w:spacing w:line="360" w:lineRule="auto"/>
        <w:rPr>
          <w:rFonts w:hAnsi="宋体" w:cs="宋体"/>
        </w:rPr>
      </w:pPr>
      <w:r>
        <w:rPr>
          <w:rFonts w:hint="eastAsia" w:hAnsi="宋体" w:cs="宋体"/>
        </w:rPr>
        <w:t xml:space="preserve">  维保服务要求</w:t>
      </w:r>
    </w:p>
    <w:p>
      <w:pPr>
        <w:pStyle w:val="132"/>
        <w:spacing w:line="360" w:lineRule="auto"/>
        <w:ind w:left="105" w:leftChars="50" w:firstLine="315" w:firstLineChars="150"/>
        <w:rPr>
          <w:rFonts w:hAnsi="宋体" w:cs="宋体"/>
        </w:rPr>
      </w:pPr>
      <w:r>
        <w:rPr>
          <w:rFonts w:hint="eastAsia" w:hAnsi="宋体" w:cs="宋体"/>
        </w:rPr>
        <w:t>3.1.1建立维保档案，针对不同设备的安装时间、使用情况、技术性能进行归类整理，为维保提供依据。</w:t>
      </w:r>
    </w:p>
    <w:p>
      <w:pPr>
        <w:pStyle w:val="132"/>
        <w:spacing w:line="360" w:lineRule="auto"/>
        <w:rPr>
          <w:rFonts w:hAnsi="宋体" w:cs="宋体"/>
        </w:rPr>
      </w:pPr>
      <w:r>
        <w:rPr>
          <w:rFonts w:hint="eastAsia" w:hAnsi="宋体" w:cs="宋体"/>
        </w:rPr>
        <w:t xml:space="preserve">    3.1.2空调维护清洗周期：张槎办公大院、各营业厅网点和南庄区域中心的空调4月或5月、12月各清洗一次；分前端机房、南庄区域中心机房空调每个季度清洗一次（每年4次）。（每次含内机滤网清洗，并做好相应的清洗记录）。</w:t>
      </w:r>
    </w:p>
    <w:p>
      <w:pPr>
        <w:pStyle w:val="132"/>
        <w:spacing w:line="360" w:lineRule="auto"/>
        <w:rPr>
          <w:rFonts w:hAnsi="宋体" w:cs="宋体"/>
          <w:b/>
        </w:rPr>
      </w:pPr>
      <w:r>
        <w:rPr>
          <w:rFonts w:hint="eastAsia" w:hAnsi="宋体" w:cs="宋体"/>
        </w:rPr>
        <w:t xml:space="preserve">    3.1.3 定期保养作业。每次空调清洗需包含保养维护，作业内容如下：</w:t>
      </w:r>
    </w:p>
    <w:p>
      <w:pPr>
        <w:spacing w:line="360" w:lineRule="auto"/>
        <w:ind w:firstLine="420" w:firstLineChars="200"/>
        <w:rPr>
          <w:rFonts w:ascii="宋体" w:hAnsi="宋体" w:cs="宋体"/>
          <w:kern w:val="0"/>
          <w:szCs w:val="21"/>
        </w:rPr>
      </w:pPr>
      <w:r>
        <w:rPr>
          <w:rFonts w:hint="eastAsia" w:ascii="宋体" w:hAnsi="宋体" w:cs="宋体"/>
          <w:kern w:val="0"/>
          <w:szCs w:val="21"/>
        </w:rPr>
        <w:t>①各部件压力测定（高压/底压）；</w:t>
      </w:r>
    </w:p>
    <w:p>
      <w:pPr>
        <w:spacing w:line="360" w:lineRule="auto"/>
        <w:ind w:firstLine="420" w:firstLineChars="200"/>
        <w:rPr>
          <w:rFonts w:ascii="宋体" w:hAnsi="宋体" w:cs="宋体"/>
          <w:kern w:val="0"/>
          <w:szCs w:val="21"/>
        </w:rPr>
      </w:pPr>
      <w:r>
        <w:rPr>
          <w:rFonts w:hint="eastAsia" w:ascii="宋体" w:hAnsi="宋体" w:cs="宋体"/>
          <w:kern w:val="0"/>
          <w:szCs w:val="21"/>
        </w:rPr>
        <w:t>②各部件温度测定（室内机出风/回风温度，吐出管/吸入管温度等）；</w:t>
      </w:r>
    </w:p>
    <w:p>
      <w:pPr>
        <w:spacing w:line="360" w:lineRule="auto"/>
        <w:ind w:firstLine="420" w:firstLineChars="200"/>
        <w:rPr>
          <w:rFonts w:ascii="宋体" w:hAnsi="宋体" w:cs="宋体"/>
          <w:kern w:val="0"/>
          <w:szCs w:val="21"/>
        </w:rPr>
      </w:pPr>
      <w:r>
        <w:rPr>
          <w:rFonts w:hint="eastAsia" w:ascii="宋体" w:hAnsi="宋体" w:cs="宋体"/>
          <w:kern w:val="0"/>
          <w:szCs w:val="21"/>
        </w:rPr>
        <w:t>③确认压缩机电动机的运转周波数；</w:t>
      </w:r>
    </w:p>
    <w:p>
      <w:pPr>
        <w:spacing w:line="360" w:lineRule="auto"/>
        <w:ind w:firstLine="420" w:firstLineChars="200"/>
        <w:rPr>
          <w:rFonts w:ascii="宋体" w:hAnsi="宋体" w:cs="宋体"/>
          <w:kern w:val="0"/>
          <w:szCs w:val="21"/>
        </w:rPr>
      </w:pPr>
      <w:r>
        <w:rPr>
          <w:rFonts w:hint="eastAsia" w:ascii="宋体" w:hAnsi="宋体" w:cs="宋体"/>
          <w:kern w:val="0"/>
          <w:szCs w:val="21"/>
        </w:rPr>
        <w:t>④主电源及压缩机的电流、电压与电气相关的绝缘测定；</w:t>
      </w:r>
    </w:p>
    <w:p>
      <w:pPr>
        <w:spacing w:line="360" w:lineRule="auto"/>
        <w:ind w:firstLine="420" w:firstLineChars="200"/>
        <w:rPr>
          <w:rFonts w:ascii="宋体" w:hAnsi="宋体" w:cs="宋体"/>
          <w:kern w:val="0"/>
          <w:szCs w:val="21"/>
        </w:rPr>
      </w:pPr>
      <w:r>
        <w:rPr>
          <w:rFonts w:hint="eastAsia" w:ascii="宋体" w:hAnsi="宋体" w:cs="宋体"/>
          <w:kern w:val="0"/>
          <w:szCs w:val="21"/>
        </w:rPr>
        <w:t>⑤冷媒泄漏、漏油、漏水的检查；运转音、振动等的检查；</w:t>
      </w:r>
    </w:p>
    <w:p>
      <w:pPr>
        <w:spacing w:line="360" w:lineRule="auto"/>
        <w:ind w:firstLine="420" w:firstLineChars="200"/>
        <w:rPr>
          <w:rFonts w:ascii="宋体" w:hAnsi="宋体" w:cs="宋体"/>
          <w:kern w:val="0"/>
          <w:szCs w:val="21"/>
        </w:rPr>
      </w:pPr>
      <w:r>
        <w:rPr>
          <w:rFonts w:hint="eastAsia" w:ascii="宋体" w:hAnsi="宋体" w:cs="宋体"/>
          <w:kern w:val="0"/>
          <w:szCs w:val="21"/>
        </w:rPr>
        <w:t>⑥对空调运转情况优劣的判定；</w:t>
      </w:r>
    </w:p>
    <w:p>
      <w:pPr>
        <w:spacing w:line="360" w:lineRule="auto"/>
        <w:ind w:firstLine="420" w:firstLineChars="200"/>
        <w:rPr>
          <w:rFonts w:ascii="宋体" w:hAnsi="宋体" w:cs="宋体"/>
          <w:kern w:val="0"/>
          <w:szCs w:val="21"/>
        </w:rPr>
      </w:pPr>
      <w:r>
        <w:rPr>
          <w:rFonts w:hint="eastAsia" w:ascii="宋体" w:hAnsi="宋体" w:cs="宋体"/>
          <w:kern w:val="0"/>
          <w:szCs w:val="21"/>
        </w:rPr>
        <w:t>⑦外壳诱蚀及热交换器的腐蚀及污垢程度等的外观检查；</w:t>
      </w:r>
    </w:p>
    <w:p>
      <w:pPr>
        <w:spacing w:line="360" w:lineRule="auto"/>
        <w:ind w:firstLine="420" w:firstLineChars="200"/>
        <w:rPr>
          <w:rFonts w:ascii="宋体" w:hAnsi="宋体" w:cs="宋体"/>
          <w:kern w:val="0"/>
          <w:szCs w:val="21"/>
        </w:rPr>
      </w:pPr>
      <w:r>
        <w:rPr>
          <w:rFonts w:hint="eastAsia" w:ascii="宋体" w:hAnsi="宋体" w:cs="宋体"/>
          <w:kern w:val="0"/>
          <w:szCs w:val="21"/>
        </w:rPr>
        <w:t>⑧包含改善提案在内的点检报告书。</w:t>
      </w:r>
    </w:p>
    <w:p>
      <w:pPr>
        <w:spacing w:line="360" w:lineRule="auto"/>
        <w:ind w:firstLine="420" w:firstLineChars="200"/>
        <w:rPr>
          <w:rFonts w:ascii="宋体" w:hAnsi="宋体" w:cs="宋体"/>
          <w:kern w:val="0"/>
          <w:szCs w:val="21"/>
        </w:rPr>
      </w:pPr>
      <w:r>
        <w:rPr>
          <w:rFonts w:hint="eastAsia" w:ascii="宋体" w:hAnsi="宋体" w:cs="宋体"/>
          <w:kern w:val="0"/>
          <w:szCs w:val="21"/>
        </w:rPr>
        <w:t>⑨检查供电线路系统的电压及相序。</w:t>
      </w:r>
    </w:p>
    <w:p>
      <w:pPr>
        <w:spacing w:line="360" w:lineRule="auto"/>
        <w:ind w:firstLine="420" w:firstLineChars="200"/>
        <w:rPr>
          <w:rFonts w:ascii="宋体" w:hAnsi="宋体" w:cs="宋体"/>
          <w:kern w:val="0"/>
          <w:szCs w:val="21"/>
        </w:rPr>
      </w:pPr>
      <w:r>
        <w:rPr>
          <w:rFonts w:hint="eastAsia" w:ascii="宋体" w:hAnsi="宋体" w:cs="宋体"/>
          <w:kern w:val="0"/>
          <w:szCs w:val="21"/>
        </w:rPr>
        <w:t>⑩检查空调机压缩机、送风机、电机的绝缘电阻是否正常。</w:t>
      </w:r>
    </w:p>
    <w:p>
      <w:pPr>
        <w:spacing w:line="360" w:lineRule="auto"/>
        <w:ind w:firstLine="420" w:firstLineChars="200"/>
        <w:rPr>
          <w:rFonts w:ascii="宋体" w:hAnsi="宋体" w:cs="宋体"/>
          <w:kern w:val="0"/>
          <w:szCs w:val="21"/>
        </w:rPr>
      </w:pPr>
      <w:r>
        <w:rPr>
          <w:rFonts w:hint="eastAsia" w:ascii="宋体" w:hAnsi="宋体" w:cs="宋体"/>
          <w:kern w:val="0"/>
          <w:szCs w:val="21"/>
        </w:rPr>
        <w:t>⑪检查空调机内、外机运转时的震动是否正常,并进行调整。</w:t>
      </w:r>
    </w:p>
    <w:p>
      <w:pPr>
        <w:spacing w:line="360" w:lineRule="auto"/>
        <w:ind w:firstLine="420" w:firstLineChars="200"/>
        <w:rPr>
          <w:rFonts w:ascii="宋体" w:hAnsi="宋体" w:cs="宋体"/>
          <w:kern w:val="0"/>
          <w:szCs w:val="21"/>
        </w:rPr>
      </w:pPr>
      <w:r>
        <w:rPr>
          <w:rFonts w:hint="eastAsia" w:ascii="宋体" w:hAnsi="宋体" w:cs="宋体"/>
          <w:kern w:val="0"/>
          <w:szCs w:val="21"/>
        </w:rPr>
        <w:t>⑫用杀菌药水对空调机的热交换器(蒸发器、冷凝器)等全面清洗干净, 并检查冷凝水排水管是否正常(杀菌药水材料由乙方负责)。</w:t>
      </w:r>
    </w:p>
    <w:p>
      <w:pPr>
        <w:spacing w:line="360" w:lineRule="auto"/>
        <w:ind w:firstLine="420" w:firstLineChars="200"/>
        <w:rPr>
          <w:rFonts w:ascii="宋体" w:hAnsi="宋体" w:cs="宋体"/>
          <w:kern w:val="0"/>
          <w:szCs w:val="21"/>
        </w:rPr>
      </w:pPr>
      <w:r>
        <w:rPr>
          <w:rFonts w:hint="eastAsia" w:ascii="宋体" w:hAnsi="宋体" w:cs="宋体"/>
          <w:kern w:val="0"/>
          <w:szCs w:val="21"/>
        </w:rPr>
        <w:t>⑬检查清洗空调机滤尘网,并保持空调机表面清洁度。</w:t>
      </w:r>
    </w:p>
    <w:p>
      <w:pPr>
        <w:spacing w:line="360" w:lineRule="auto"/>
        <w:ind w:firstLine="420" w:firstLineChars="200"/>
        <w:rPr>
          <w:rFonts w:ascii="宋体" w:hAnsi="宋体" w:cs="宋体"/>
          <w:kern w:val="0"/>
          <w:szCs w:val="21"/>
        </w:rPr>
      </w:pPr>
      <w:r>
        <w:rPr>
          <w:rFonts w:hint="eastAsia" w:ascii="宋体" w:hAnsi="宋体" w:cs="宋体"/>
          <w:kern w:val="0"/>
          <w:szCs w:val="21"/>
        </w:rPr>
        <w:t>⑭检测空调机运转时的制冷情况,发现故障马上处理。</w:t>
      </w:r>
    </w:p>
    <w:p>
      <w:pPr>
        <w:spacing w:line="360" w:lineRule="auto"/>
        <w:ind w:firstLine="420" w:firstLineChars="200"/>
        <w:rPr>
          <w:rFonts w:ascii="宋体" w:hAnsi="宋体" w:cs="宋体"/>
          <w:kern w:val="0"/>
          <w:szCs w:val="21"/>
        </w:rPr>
      </w:pPr>
      <w:r>
        <w:rPr>
          <w:rFonts w:hint="eastAsia" w:ascii="宋体" w:hAnsi="宋体" w:cs="宋体"/>
          <w:kern w:val="0"/>
          <w:szCs w:val="21"/>
        </w:rPr>
        <w:t>⑮用雪种压力表检测空调机运转时的平衡压力,发现有泄漏制冷剂现象立即进行补漏并按额定的标准添加制冷剂。（制冷剂材料费由乙方提供)</w:t>
      </w:r>
    </w:p>
    <w:p>
      <w:pPr>
        <w:spacing w:line="360" w:lineRule="auto"/>
        <w:ind w:firstLine="420" w:firstLineChars="200"/>
        <w:rPr>
          <w:rFonts w:ascii="宋体" w:hAnsi="宋体" w:cs="宋体"/>
          <w:kern w:val="0"/>
          <w:szCs w:val="21"/>
        </w:rPr>
      </w:pPr>
      <w:r>
        <w:rPr>
          <w:rFonts w:hint="eastAsia" w:ascii="宋体" w:hAnsi="宋体" w:cs="宋体"/>
          <w:kern w:val="0"/>
          <w:szCs w:val="21"/>
        </w:rPr>
        <w:t>⑯检查空调机连接铜管保温、冷凝水排水管、保温包扎带是否有老化现象。(扎带等材料费由乙方提供)</w:t>
      </w:r>
    </w:p>
    <w:p>
      <w:pPr>
        <w:spacing w:line="360" w:lineRule="auto"/>
        <w:ind w:firstLine="420" w:firstLineChars="200"/>
        <w:rPr>
          <w:rFonts w:ascii="宋体" w:hAnsi="宋体" w:cs="宋体"/>
          <w:kern w:val="0"/>
          <w:szCs w:val="21"/>
        </w:rPr>
      </w:pPr>
      <w:r>
        <w:rPr>
          <w:rFonts w:hint="eastAsia" w:ascii="宋体" w:hAnsi="宋体" w:cs="宋体"/>
          <w:kern w:val="0"/>
          <w:szCs w:val="21"/>
        </w:rPr>
        <w:t>⑰在维护保养期内,如空调制冷系统发生故障,乙方负责免费维修。</w:t>
      </w:r>
    </w:p>
    <w:p>
      <w:pPr>
        <w:spacing w:line="360" w:lineRule="auto"/>
        <w:ind w:firstLine="420" w:firstLineChars="200"/>
        <w:rPr>
          <w:rFonts w:ascii="宋体" w:hAnsi="宋体" w:cs="宋体"/>
          <w:kern w:val="0"/>
          <w:szCs w:val="21"/>
        </w:rPr>
      </w:pPr>
      <w:r>
        <w:rPr>
          <w:rFonts w:hint="eastAsia" w:ascii="宋体" w:hAnsi="宋体" w:cs="宋体"/>
          <w:szCs w:val="21"/>
        </w:rPr>
        <w:t xml:space="preserve"> </w:t>
      </w:r>
      <w:r>
        <w:rPr>
          <w:rFonts w:hint="eastAsia" w:ascii="宋体" w:hAnsi="宋体" w:cs="宋体"/>
          <w:kern w:val="0"/>
          <w:szCs w:val="21"/>
        </w:rPr>
        <w:t>⑱对故障空调机更换故障零部件,恢复空调机正常运行。</w:t>
      </w:r>
    </w:p>
    <w:p>
      <w:pPr>
        <w:tabs>
          <w:tab w:val="left" w:pos="540"/>
        </w:tabs>
        <w:spacing w:line="360" w:lineRule="auto"/>
        <w:ind w:left="425"/>
        <w:jc w:val="left"/>
        <w:rPr>
          <w:rFonts w:ascii="宋体" w:hAnsi="宋体" w:cs="宋体"/>
          <w:szCs w:val="21"/>
        </w:rPr>
      </w:pPr>
      <w:r>
        <w:rPr>
          <w:rFonts w:hint="eastAsia" w:ascii="宋体" w:hAnsi="宋体" w:cs="宋体"/>
          <w:szCs w:val="21"/>
        </w:rPr>
        <w:t>3.1.4 一般整备作业。定期作业以外的对保养机器的点检、补修、整备等，其主要内容如下：</w:t>
      </w:r>
    </w:p>
    <w:p>
      <w:pPr>
        <w:spacing w:line="360" w:lineRule="auto"/>
        <w:ind w:firstLine="420"/>
        <w:rPr>
          <w:rFonts w:ascii="宋体" w:hAnsi="宋体" w:cs="宋体"/>
          <w:kern w:val="0"/>
          <w:szCs w:val="21"/>
        </w:rPr>
      </w:pPr>
      <w:r>
        <w:rPr>
          <w:rFonts w:hint="eastAsia" w:ascii="宋体" w:hAnsi="宋体" w:cs="宋体"/>
          <w:kern w:val="0"/>
          <w:szCs w:val="21"/>
        </w:rPr>
        <w:t>①消耗性零部件的筹集以及更换、调整修复作业；</w:t>
      </w:r>
    </w:p>
    <w:p>
      <w:pPr>
        <w:spacing w:line="360" w:lineRule="auto"/>
        <w:ind w:firstLine="420"/>
        <w:rPr>
          <w:rFonts w:ascii="宋体" w:hAnsi="宋体" w:cs="宋体"/>
          <w:kern w:val="0"/>
          <w:szCs w:val="21"/>
        </w:rPr>
      </w:pPr>
      <w:r>
        <w:rPr>
          <w:rFonts w:hint="eastAsia" w:ascii="宋体" w:hAnsi="宋体" w:cs="宋体"/>
          <w:kern w:val="0"/>
          <w:szCs w:val="21"/>
        </w:rPr>
        <w:t>②交换用空气过滤网电池等；</w:t>
      </w:r>
    </w:p>
    <w:p>
      <w:pPr>
        <w:spacing w:line="360" w:lineRule="auto"/>
        <w:ind w:firstLine="420"/>
        <w:rPr>
          <w:rFonts w:ascii="宋体" w:hAnsi="宋体" w:cs="宋体"/>
          <w:kern w:val="0"/>
          <w:szCs w:val="21"/>
        </w:rPr>
      </w:pPr>
      <w:r>
        <w:rPr>
          <w:rFonts w:hint="eastAsia" w:ascii="宋体" w:hAnsi="宋体" w:cs="宋体"/>
          <w:kern w:val="0"/>
          <w:szCs w:val="21"/>
        </w:rPr>
        <w:t>③由于消耗、疲劳而产生的故障，预测后进行的调整修复作业；</w:t>
      </w:r>
    </w:p>
    <w:p>
      <w:pPr>
        <w:spacing w:line="360" w:lineRule="auto"/>
        <w:ind w:firstLine="420"/>
        <w:rPr>
          <w:rFonts w:ascii="宋体" w:hAnsi="宋体" w:cs="宋体"/>
          <w:kern w:val="0"/>
          <w:szCs w:val="21"/>
        </w:rPr>
      </w:pPr>
      <w:r>
        <w:rPr>
          <w:rFonts w:hint="eastAsia" w:ascii="宋体" w:hAnsi="宋体" w:cs="宋体"/>
          <w:kern w:val="0"/>
          <w:szCs w:val="21"/>
        </w:rPr>
        <w:t>④确保空调正常运行的冷媒、润滑油添加；</w:t>
      </w:r>
    </w:p>
    <w:p>
      <w:pPr>
        <w:spacing w:line="360" w:lineRule="auto"/>
        <w:ind w:firstLine="420"/>
        <w:rPr>
          <w:rFonts w:ascii="宋体" w:hAnsi="宋体" w:cs="宋体"/>
          <w:kern w:val="0"/>
          <w:szCs w:val="21"/>
        </w:rPr>
      </w:pPr>
      <w:r>
        <w:rPr>
          <w:rFonts w:hint="eastAsia" w:ascii="宋体" w:hAnsi="宋体" w:cs="宋体"/>
          <w:kern w:val="0"/>
          <w:szCs w:val="21"/>
        </w:rPr>
        <w:t>⑤其它本要领没有明确记述的事项。</w:t>
      </w:r>
    </w:p>
    <w:p>
      <w:pPr>
        <w:tabs>
          <w:tab w:val="left" w:pos="540"/>
        </w:tabs>
        <w:spacing w:line="360" w:lineRule="auto"/>
        <w:ind w:left="420" w:hanging="420" w:hangingChars="200"/>
        <w:jc w:val="left"/>
        <w:rPr>
          <w:rFonts w:ascii="宋体" w:hAnsi="宋体" w:cs="宋体"/>
          <w:szCs w:val="21"/>
        </w:rPr>
      </w:pPr>
      <w:r>
        <w:rPr>
          <w:rFonts w:hint="eastAsia" w:ascii="宋体" w:hAnsi="宋体" w:cs="宋体"/>
          <w:szCs w:val="21"/>
        </w:rPr>
        <w:t xml:space="preserve">    3.1.5特别作业</w:t>
      </w:r>
    </w:p>
    <w:p>
      <w:pPr>
        <w:spacing w:line="360" w:lineRule="auto"/>
        <w:ind w:firstLine="420"/>
        <w:rPr>
          <w:rFonts w:ascii="宋体" w:hAnsi="宋体" w:cs="宋体"/>
          <w:kern w:val="0"/>
          <w:szCs w:val="21"/>
        </w:rPr>
      </w:pPr>
      <w:r>
        <w:rPr>
          <w:rFonts w:hint="eastAsia" w:ascii="宋体" w:hAnsi="宋体" w:cs="宋体"/>
          <w:kern w:val="0"/>
          <w:szCs w:val="21"/>
        </w:rPr>
        <w:t>①由于天灾地变、火灾、劳动纠纷等引起的事故后的修复作业；</w:t>
      </w:r>
    </w:p>
    <w:p>
      <w:pPr>
        <w:spacing w:line="360" w:lineRule="auto"/>
        <w:ind w:firstLine="420"/>
        <w:rPr>
          <w:rFonts w:ascii="宋体" w:hAnsi="宋体" w:cs="宋体"/>
          <w:kern w:val="0"/>
          <w:szCs w:val="21"/>
        </w:rPr>
      </w:pPr>
      <w:r>
        <w:rPr>
          <w:rFonts w:hint="eastAsia" w:ascii="宋体" w:hAnsi="宋体" w:cs="宋体"/>
          <w:kern w:val="0"/>
          <w:szCs w:val="21"/>
        </w:rPr>
        <w:t>②由保养机器以外的设备引起的2次事故的修复作业；</w:t>
      </w:r>
    </w:p>
    <w:p>
      <w:pPr>
        <w:spacing w:line="360" w:lineRule="auto"/>
        <w:ind w:firstLine="420"/>
        <w:rPr>
          <w:rFonts w:ascii="宋体" w:hAnsi="宋体" w:cs="宋体"/>
          <w:kern w:val="0"/>
          <w:szCs w:val="21"/>
        </w:rPr>
      </w:pPr>
      <w:r>
        <w:rPr>
          <w:rFonts w:hint="eastAsia" w:ascii="宋体" w:hAnsi="宋体" w:cs="宋体"/>
          <w:kern w:val="0"/>
          <w:szCs w:val="21"/>
        </w:rPr>
        <w:t>③对不当操作引起的故障的修复作业；</w:t>
      </w:r>
    </w:p>
    <w:p>
      <w:pPr>
        <w:spacing w:line="360" w:lineRule="auto"/>
        <w:ind w:firstLine="420" w:firstLineChars="200"/>
        <w:rPr>
          <w:rFonts w:ascii="宋体" w:hAnsi="宋体" w:cs="宋体"/>
          <w:kern w:val="0"/>
          <w:szCs w:val="21"/>
        </w:rPr>
      </w:pPr>
      <w:r>
        <w:rPr>
          <w:rFonts w:hint="eastAsia" w:ascii="宋体" w:hAnsi="宋体" w:cs="宋体"/>
          <w:kern w:val="0"/>
          <w:szCs w:val="21"/>
        </w:rPr>
        <w:t>④提出改善建议后仍无法改善，由此引起的故障的修正修复作业。</w:t>
      </w:r>
    </w:p>
    <w:p>
      <w:pPr>
        <w:spacing w:line="360" w:lineRule="auto"/>
        <w:ind w:firstLine="420" w:firstLineChars="200"/>
        <w:rPr>
          <w:rFonts w:ascii="宋体" w:hAnsi="宋体" w:cs="宋体"/>
          <w:kern w:val="0"/>
          <w:szCs w:val="21"/>
        </w:rPr>
      </w:pPr>
      <w:r>
        <w:rPr>
          <w:rFonts w:hint="eastAsia" w:ascii="宋体" w:hAnsi="宋体" w:cs="宋体"/>
          <w:kern w:val="0"/>
          <w:szCs w:val="21"/>
        </w:rPr>
        <w:t>3.1.6应急服务方式。当空调发生突发故障时，接到甲方故障通知后1小时内到现场进行抢修，6小时内解决故障。如超出6小时不能解决故障，应在48小时内提出书面解决方案给甲方，由甲方决定是否确定维修事宜。</w:t>
      </w:r>
    </w:p>
    <w:p>
      <w:pPr>
        <w:spacing w:line="360" w:lineRule="auto"/>
        <w:ind w:firstLine="420" w:firstLineChars="200"/>
        <w:rPr>
          <w:rFonts w:ascii="宋体" w:hAnsi="宋体" w:cs="宋体"/>
          <w:kern w:val="0"/>
          <w:szCs w:val="21"/>
        </w:rPr>
      </w:pPr>
      <w:r>
        <w:rPr>
          <w:rFonts w:hint="eastAsia" w:ascii="宋体" w:hAnsi="宋体" w:cs="宋体"/>
          <w:kern w:val="0"/>
          <w:szCs w:val="21"/>
        </w:rPr>
        <w:t>3.1.7其他要求。每次定期巡检过后须出具巡检报告，故障处理之后须出具故障报告。对在维护保养过程中发现的问题或者可能存在的隐患提出专业意见并以书面形式报给甲方。乙方需提供7*24小时电话支持以及邮件咨询服务支持。根据甲方要求，在甲方进行重大供配电改造时到现场支持保障。</w:t>
      </w:r>
    </w:p>
    <w:p>
      <w:pPr>
        <w:tabs>
          <w:tab w:val="left" w:pos="540"/>
        </w:tabs>
        <w:spacing w:line="360" w:lineRule="auto"/>
        <w:ind w:left="420" w:hanging="420" w:hangingChars="200"/>
        <w:jc w:val="left"/>
        <w:rPr>
          <w:rFonts w:ascii="宋体" w:hAnsi="宋体" w:cs="宋体"/>
          <w:szCs w:val="21"/>
        </w:rPr>
      </w:pPr>
      <w:r>
        <w:rPr>
          <w:rFonts w:hint="eastAsia" w:ascii="宋体" w:hAnsi="宋体" w:cs="宋体"/>
          <w:szCs w:val="21"/>
        </w:rPr>
        <w:t xml:space="preserve">     3.2维修服务要求</w:t>
      </w:r>
    </w:p>
    <w:p>
      <w:pPr>
        <w:tabs>
          <w:tab w:val="left" w:pos="540"/>
        </w:tabs>
        <w:spacing w:line="360" w:lineRule="auto"/>
        <w:ind w:firstLine="420" w:firstLineChars="200"/>
        <w:jc w:val="left"/>
        <w:rPr>
          <w:rFonts w:ascii="宋体" w:hAnsi="宋体" w:cs="宋体"/>
          <w:szCs w:val="21"/>
        </w:rPr>
      </w:pPr>
      <w:r>
        <w:rPr>
          <w:rFonts w:hint="eastAsia" w:ascii="宋体" w:hAnsi="宋体" w:cs="宋体"/>
          <w:szCs w:val="21"/>
        </w:rPr>
        <w:t>如需更换零配件，乙方需向甲方提供优质的零配件，新更换零配件的质保期不少于三个月（自安装调试完毕交付甲方使用之日起），质保期内如非人为因素出现质量问题，乙方应免费更换对故障空调机更换故障零配件，恢复空调机正常运行。</w:t>
      </w:r>
    </w:p>
    <w:p>
      <w:pPr>
        <w:tabs>
          <w:tab w:val="left" w:pos="540"/>
        </w:tabs>
        <w:spacing w:line="360" w:lineRule="auto"/>
        <w:ind w:firstLine="527" w:firstLineChars="250"/>
        <w:jc w:val="left"/>
        <w:rPr>
          <w:rFonts w:ascii="宋体" w:hAnsi="宋体" w:cs="宋体"/>
          <w:b/>
          <w:szCs w:val="21"/>
        </w:rPr>
      </w:pPr>
      <w:r>
        <w:rPr>
          <w:rFonts w:hint="eastAsia" w:ascii="宋体" w:hAnsi="宋体" w:cs="宋体"/>
          <w:b/>
          <w:szCs w:val="21"/>
        </w:rPr>
        <w:t>第四条 交付验收及双方责任</w:t>
      </w:r>
    </w:p>
    <w:p>
      <w:pPr>
        <w:tabs>
          <w:tab w:val="left" w:pos="540"/>
        </w:tabs>
        <w:spacing w:line="360" w:lineRule="auto"/>
        <w:ind w:firstLine="525" w:firstLineChars="250"/>
        <w:jc w:val="left"/>
        <w:rPr>
          <w:rFonts w:ascii="宋体" w:hAnsi="宋体" w:cs="宋体"/>
          <w:szCs w:val="21"/>
        </w:rPr>
      </w:pPr>
      <w:r>
        <w:rPr>
          <w:rFonts w:hint="eastAsia" w:ascii="宋体" w:hAnsi="宋体" w:cs="宋体"/>
          <w:szCs w:val="21"/>
        </w:rPr>
        <w:t>4.1乙方每次维保、维修完成后需填写《禅城分公司空调维保、维修记录表》，经甲、乙双方签名确认，并存档一式三份，一份乙方，二份甲方。</w:t>
      </w:r>
    </w:p>
    <w:p>
      <w:pPr>
        <w:tabs>
          <w:tab w:val="left" w:pos="540"/>
        </w:tabs>
        <w:spacing w:line="360" w:lineRule="auto"/>
        <w:ind w:firstLine="525" w:firstLineChars="250"/>
        <w:jc w:val="left"/>
        <w:rPr>
          <w:rFonts w:ascii="宋体" w:hAnsi="宋体" w:cs="宋体"/>
          <w:szCs w:val="21"/>
        </w:rPr>
      </w:pPr>
      <w:r>
        <w:rPr>
          <w:rFonts w:hint="eastAsia" w:ascii="宋体" w:hAnsi="宋体" w:cs="宋体"/>
          <w:szCs w:val="21"/>
        </w:rPr>
        <w:t>4.2在维保期间，未经乙方同意，甲方不得擅自或委托他人对设备进行维修整改。否则，由此引起一切后果，乙方无须承担责任。</w:t>
      </w:r>
    </w:p>
    <w:p>
      <w:pPr>
        <w:tabs>
          <w:tab w:val="left" w:pos="540"/>
        </w:tabs>
        <w:spacing w:line="360" w:lineRule="auto"/>
        <w:ind w:firstLine="525" w:firstLineChars="250"/>
        <w:jc w:val="left"/>
        <w:rPr>
          <w:rFonts w:ascii="宋体" w:hAnsi="宋体" w:cs="宋体"/>
          <w:szCs w:val="21"/>
        </w:rPr>
      </w:pPr>
      <w:r>
        <w:rPr>
          <w:rFonts w:hint="eastAsia" w:ascii="宋体" w:hAnsi="宋体" w:cs="宋体"/>
          <w:szCs w:val="21"/>
        </w:rPr>
        <w:t>4.3乙方应对维修安装等工作的适当性、可靠性及安全性负全部责任。对于乙方所雇用的工人和其他人员等第三人受到的任何人身损害或任何经济损失，由乙方自行负责处理并承担损害赔偿等法律责任，与甲方无关。对于这类损害和赔偿，乙方应保障并持续保障甲方不因此负任何责任，且保障甲方不负担涉及这类损害与赔偿或与此有关的索赔、诉讼、损害赔偿、诉讼费、赔偿费及其它费用。若发生以上情况，甲方有权在应支付给乙方的款项中暂扣相应的款项，直至乙方向第三人付清应支付的款项为止。</w:t>
      </w:r>
    </w:p>
    <w:p>
      <w:pPr>
        <w:tabs>
          <w:tab w:val="left" w:pos="540"/>
        </w:tabs>
        <w:spacing w:line="360" w:lineRule="auto"/>
        <w:ind w:firstLine="527" w:firstLineChars="250"/>
        <w:jc w:val="left"/>
        <w:rPr>
          <w:rFonts w:ascii="宋体" w:hAnsi="宋体" w:cs="宋体"/>
          <w:szCs w:val="21"/>
        </w:rPr>
      </w:pPr>
      <w:r>
        <w:rPr>
          <w:rFonts w:hint="eastAsia" w:ascii="宋体" w:hAnsi="宋体" w:cs="宋体"/>
          <w:b/>
          <w:szCs w:val="21"/>
        </w:rPr>
        <w:t>第五条 通知条款 </w:t>
      </w:r>
    </w:p>
    <w:p>
      <w:pPr>
        <w:pStyle w:val="59"/>
        <w:numPr>
          <w:ilvl w:val="0"/>
          <w:numId w:val="21"/>
        </w:numPr>
        <w:spacing w:line="360" w:lineRule="auto"/>
        <w:ind w:firstLineChars="0"/>
        <w:rPr>
          <w:rFonts w:ascii="宋体" w:hAnsi="宋体" w:cs="宋体"/>
          <w:vanish/>
          <w:szCs w:val="21"/>
        </w:rPr>
      </w:pPr>
    </w:p>
    <w:p>
      <w:pPr>
        <w:pStyle w:val="132"/>
        <w:spacing w:line="360" w:lineRule="auto"/>
        <w:ind w:firstLine="525" w:firstLineChars="250"/>
        <w:jc w:val="left"/>
        <w:rPr>
          <w:rFonts w:hAnsi="宋体" w:cs="宋体"/>
        </w:rPr>
      </w:pPr>
      <w:r>
        <w:rPr>
          <w:rFonts w:hint="eastAsia" w:hAnsi="宋体" w:cs="宋体"/>
        </w:rPr>
        <w:t>5.1双方确认本合同所载明的通讯地址、住所地、联系人、联系电话、邮箱等信息（以下统称“送达地址”）为对方、人民法院（或仲裁机构）发送各类纸质或电子数据通知、信函、法律文书（以下统称“文书”）的送达地址。</w:t>
      </w:r>
    </w:p>
    <w:p>
      <w:pPr>
        <w:pStyle w:val="132"/>
        <w:spacing w:line="360" w:lineRule="auto"/>
        <w:ind w:firstLine="525" w:firstLineChars="250"/>
        <w:jc w:val="left"/>
        <w:rPr>
          <w:rFonts w:hAnsi="宋体" w:cs="宋体"/>
        </w:rPr>
      </w:pPr>
      <w:r>
        <w:rPr>
          <w:rFonts w:hint="eastAsia" w:hAnsi="宋体" w:cs="宋体"/>
        </w:rPr>
        <w:t xml:space="preserve">5.2一方对其送达地址作出变更的，应将变更后的送达地址书面告知另一方，否则送达地址仍以本合同载明为准。 </w:t>
      </w:r>
    </w:p>
    <w:p>
      <w:pPr>
        <w:pStyle w:val="132"/>
        <w:spacing w:line="360" w:lineRule="auto"/>
        <w:ind w:firstLine="525" w:firstLineChars="250"/>
        <w:jc w:val="left"/>
        <w:rPr>
          <w:rFonts w:hAnsi="宋体" w:cs="宋体"/>
        </w:rPr>
      </w:pPr>
      <w:r>
        <w:rPr>
          <w:rFonts w:hint="eastAsia" w:hAnsi="宋体" w:cs="宋体"/>
        </w:rPr>
        <w:t>5.3因一方确认的送达地址不准确、送达地址变更后未及时告知对方或发生接收人、收件人拒绝签收等情形，导致文书未能被实际接收的，拒绝接收方应自行承担有效送达的法律后果。邮寄送达的，以付邮后第7日视为送达之日；直接送达的，送达人当场在送达回证上记明情况之日为送达之日。</w:t>
      </w:r>
    </w:p>
    <w:p>
      <w:pPr>
        <w:pStyle w:val="59"/>
        <w:spacing w:line="360" w:lineRule="auto"/>
        <w:ind w:firstLine="632" w:firstLineChars="300"/>
        <w:rPr>
          <w:rFonts w:ascii="宋体" w:hAnsi="宋体" w:cs="宋体"/>
          <w:b/>
          <w:szCs w:val="21"/>
        </w:rPr>
      </w:pPr>
      <w:r>
        <w:rPr>
          <w:rFonts w:hint="eastAsia" w:ascii="宋体" w:hAnsi="宋体" w:cs="宋体"/>
          <w:b/>
          <w:szCs w:val="21"/>
        </w:rPr>
        <w:t>第六条 不可抗力</w:t>
      </w:r>
    </w:p>
    <w:p>
      <w:pPr>
        <w:pStyle w:val="59"/>
        <w:numPr>
          <w:ilvl w:val="0"/>
          <w:numId w:val="22"/>
        </w:numPr>
        <w:spacing w:line="360" w:lineRule="auto"/>
        <w:ind w:firstLineChars="0"/>
        <w:rPr>
          <w:rFonts w:ascii="宋体" w:hAnsi="宋体" w:cs="宋体"/>
          <w:vanish/>
          <w:szCs w:val="21"/>
        </w:rPr>
      </w:pPr>
    </w:p>
    <w:p>
      <w:pPr>
        <w:pStyle w:val="132"/>
        <w:spacing w:line="360" w:lineRule="auto"/>
        <w:ind w:firstLine="420" w:firstLineChars="200"/>
        <w:rPr>
          <w:rFonts w:hAnsi="宋体" w:cs="宋体"/>
        </w:rPr>
      </w:pPr>
      <w:r>
        <w:rPr>
          <w:rFonts w:hint="eastAsia" w:hAnsi="宋体" w:cs="宋体"/>
        </w:rPr>
        <w:t>6.1“不可抗力事件”指不能预见、不能避免且不能克服的客观情况。包括但不限于：</w:t>
      </w:r>
      <w:bookmarkStart w:id="23" w:name="_Hlk5978400"/>
      <w:r>
        <w:rPr>
          <w:rFonts w:hint="eastAsia" w:hAnsi="宋体" w:cs="宋体"/>
        </w:rPr>
        <w:t>政府或政府机构的禁令或行为（包括甲方上级主管部门下达的政策性文件）、暴乱、战争、水灾、地震、海啸或其他自然现象</w:t>
      </w:r>
      <w:bookmarkEnd w:id="23"/>
      <w:r>
        <w:rPr>
          <w:rFonts w:hint="eastAsia" w:hAnsi="宋体" w:cs="宋体"/>
        </w:rPr>
        <w:t>。若一方因不可抗力事件而不能履行本合同所约定的义务，该方应在不可抗力事件发生后及时书面通知另一方，并在不可抗力时间结束后1日内向对方提供相关证明材料，双方应尽其最大可能地减少损失。若发生不可抗力事件，一方无需对因不能履行或迟延履行义务而导致另一方遭受的任何损害承担责任。</w:t>
      </w:r>
    </w:p>
    <w:p>
      <w:pPr>
        <w:pStyle w:val="132"/>
        <w:spacing w:line="360" w:lineRule="auto"/>
        <w:ind w:firstLine="525" w:firstLineChars="250"/>
        <w:rPr>
          <w:rFonts w:hAnsi="宋体" w:cs="宋体"/>
        </w:rPr>
      </w:pPr>
      <w:r>
        <w:rPr>
          <w:rFonts w:hint="eastAsia" w:hAnsi="宋体" w:cs="宋体"/>
        </w:rPr>
        <w:t>6.2一方迟延履行义务后发生不可抗力的，不能免除该方的法律责任。</w:t>
      </w:r>
    </w:p>
    <w:p>
      <w:pPr>
        <w:pStyle w:val="59"/>
        <w:spacing w:line="360" w:lineRule="auto"/>
        <w:ind w:firstLine="632" w:firstLineChars="300"/>
        <w:rPr>
          <w:rFonts w:ascii="宋体" w:hAnsi="宋体" w:cs="宋体"/>
          <w:b/>
          <w:szCs w:val="21"/>
        </w:rPr>
      </w:pPr>
      <w:bookmarkStart w:id="24" w:name="_Toc518311999"/>
      <w:r>
        <w:rPr>
          <w:rFonts w:hint="eastAsia" w:ascii="宋体" w:hAnsi="宋体" w:cs="宋体"/>
          <w:b/>
          <w:szCs w:val="21"/>
        </w:rPr>
        <w:t>第七条 违约责任与合同解除</w:t>
      </w:r>
      <w:bookmarkEnd w:id="24"/>
    </w:p>
    <w:p>
      <w:pPr>
        <w:pStyle w:val="59"/>
        <w:numPr>
          <w:ilvl w:val="0"/>
          <w:numId w:val="22"/>
        </w:numPr>
        <w:spacing w:line="360" w:lineRule="auto"/>
        <w:ind w:firstLineChars="0"/>
        <w:rPr>
          <w:rFonts w:ascii="宋体" w:hAnsi="宋体" w:cs="宋体"/>
          <w:vanish/>
          <w:szCs w:val="21"/>
        </w:rPr>
      </w:pPr>
    </w:p>
    <w:p>
      <w:pPr>
        <w:pStyle w:val="132"/>
        <w:spacing w:line="360" w:lineRule="auto"/>
        <w:ind w:firstLine="525" w:firstLineChars="250"/>
        <w:rPr>
          <w:rFonts w:hAnsi="宋体" w:cs="宋体"/>
        </w:rPr>
      </w:pPr>
      <w:r>
        <w:rPr>
          <w:rFonts w:hint="eastAsia" w:hAnsi="宋体" w:cs="宋体"/>
        </w:rPr>
        <w:t>7.1乙方违反本合同规定逾期提供服务的，每逾期1日，须按合同总金额的【0.5%】支付违约金给甲方。</w:t>
      </w:r>
    </w:p>
    <w:p>
      <w:pPr>
        <w:pStyle w:val="132"/>
        <w:spacing w:line="360" w:lineRule="auto"/>
        <w:ind w:firstLine="525" w:firstLineChars="250"/>
        <w:rPr>
          <w:rFonts w:hAnsi="宋体" w:cs="宋体"/>
        </w:rPr>
      </w:pPr>
      <w:r>
        <w:rPr>
          <w:rFonts w:hint="eastAsia" w:hAnsi="宋体" w:cs="宋体"/>
        </w:rPr>
        <w:t>7.2如乙方维保存在质量问题，或存在其他严重违约行为的，甲方有权单方解除合同或要求乙方整改、退换，乙方须向甲方支付合同总金额【20%】违约金，由此给甲方或其他第三方造成的损失由乙方另行赔偿。</w:t>
      </w:r>
    </w:p>
    <w:p>
      <w:pPr>
        <w:pStyle w:val="132"/>
        <w:spacing w:line="360" w:lineRule="auto"/>
        <w:ind w:firstLine="525" w:firstLineChars="250"/>
        <w:rPr>
          <w:rFonts w:hAnsi="宋体" w:cs="宋体"/>
        </w:rPr>
      </w:pPr>
      <w:bookmarkStart w:id="25" w:name="_Hlk519870520"/>
      <w:r>
        <w:rPr>
          <w:rFonts w:hint="eastAsia" w:hAnsi="宋体" w:cs="宋体"/>
        </w:rPr>
        <w:t>7.3在乙方履行合同规定的各项义务的前提下，甲方无正当理由逾期支付价款的，每逾期1日，则甲方应按应付未付金额的0.1%向乙方支付违约金。</w:t>
      </w:r>
      <w:bookmarkEnd w:id="25"/>
    </w:p>
    <w:p>
      <w:pPr>
        <w:pStyle w:val="59"/>
        <w:spacing w:line="360" w:lineRule="auto"/>
        <w:ind w:firstLine="527" w:firstLineChars="250"/>
        <w:rPr>
          <w:rFonts w:ascii="宋体" w:hAnsi="宋体" w:cs="宋体"/>
          <w:b/>
          <w:szCs w:val="21"/>
        </w:rPr>
      </w:pPr>
      <w:bookmarkStart w:id="26" w:name="_Toc518312001"/>
      <w:r>
        <w:rPr>
          <w:rFonts w:hint="eastAsia" w:ascii="宋体" w:hAnsi="宋体" w:cs="宋体"/>
          <w:b/>
          <w:szCs w:val="21"/>
        </w:rPr>
        <w:t>第八条 争议解决</w:t>
      </w:r>
      <w:bookmarkEnd w:id="26"/>
    </w:p>
    <w:p>
      <w:pPr>
        <w:pStyle w:val="131"/>
        <w:widowControl/>
        <w:spacing w:line="360" w:lineRule="auto"/>
        <w:ind w:firstLine="420" w:firstLineChars="200"/>
        <w:textAlignment w:val="bottom"/>
        <w:rPr>
          <w:rFonts w:hint="default" w:ascii="宋体" w:hAnsi="宋体" w:cs="宋体"/>
          <w:szCs w:val="21"/>
        </w:rPr>
      </w:pPr>
      <w:bookmarkStart w:id="27" w:name="_Hlk520710740"/>
      <w:bookmarkStart w:id="28" w:name="_Hlk520710721"/>
      <w:r>
        <w:rPr>
          <w:rFonts w:ascii="宋体" w:hAnsi="宋体" w:cs="宋体"/>
          <w:szCs w:val="21"/>
        </w:rPr>
        <w:t>本合同履行过程中如发生争议，双方应友好协商解决。协商不成的，任何一方有权向甲方住所地有管辖权的佛山市禅城区人民法院提起诉讼</w:t>
      </w:r>
      <w:bookmarkStart w:id="29" w:name="_Hlk520059954"/>
      <w:bookmarkStart w:id="30" w:name="_Hlk520059941"/>
      <w:r>
        <w:rPr>
          <w:rFonts w:ascii="宋体" w:hAnsi="宋体" w:cs="宋体"/>
          <w:szCs w:val="21"/>
        </w:rPr>
        <w:t>。</w:t>
      </w:r>
      <w:bookmarkEnd w:id="27"/>
      <w:bookmarkEnd w:id="29"/>
    </w:p>
    <w:bookmarkEnd w:id="28"/>
    <w:bookmarkEnd w:id="30"/>
    <w:p>
      <w:pPr>
        <w:pStyle w:val="59"/>
        <w:spacing w:line="360" w:lineRule="auto"/>
        <w:ind w:firstLine="527" w:firstLineChars="250"/>
        <w:rPr>
          <w:rFonts w:ascii="宋体" w:hAnsi="宋体" w:cs="宋体"/>
          <w:b/>
          <w:szCs w:val="21"/>
        </w:rPr>
      </w:pPr>
      <w:bookmarkStart w:id="31" w:name="_Toc518312003"/>
      <w:r>
        <w:rPr>
          <w:rFonts w:hint="eastAsia" w:ascii="宋体" w:hAnsi="宋体" w:cs="宋体"/>
          <w:b/>
          <w:szCs w:val="21"/>
        </w:rPr>
        <w:t>第九条 其他</w:t>
      </w:r>
      <w:bookmarkEnd w:id="31"/>
    </w:p>
    <w:p>
      <w:pPr>
        <w:pStyle w:val="59"/>
        <w:numPr>
          <w:ilvl w:val="0"/>
          <w:numId w:val="22"/>
        </w:numPr>
        <w:spacing w:line="360" w:lineRule="auto"/>
        <w:ind w:firstLineChars="0"/>
        <w:rPr>
          <w:rFonts w:ascii="宋体" w:hAnsi="宋体" w:cs="宋体"/>
          <w:vanish/>
          <w:szCs w:val="21"/>
        </w:rPr>
      </w:pPr>
    </w:p>
    <w:p>
      <w:pPr>
        <w:pStyle w:val="59"/>
        <w:numPr>
          <w:ilvl w:val="0"/>
          <w:numId w:val="22"/>
        </w:numPr>
        <w:spacing w:line="360" w:lineRule="auto"/>
        <w:ind w:firstLineChars="0"/>
        <w:rPr>
          <w:rFonts w:ascii="宋体" w:hAnsi="宋体" w:cs="宋体"/>
          <w:vanish/>
          <w:szCs w:val="21"/>
        </w:rPr>
      </w:pPr>
    </w:p>
    <w:p>
      <w:pPr>
        <w:pStyle w:val="132"/>
        <w:spacing w:line="360" w:lineRule="auto"/>
        <w:ind w:firstLine="420" w:firstLineChars="200"/>
        <w:rPr>
          <w:rFonts w:hAnsi="宋体" w:cs="宋体"/>
        </w:rPr>
      </w:pPr>
      <w:r>
        <w:rPr>
          <w:rFonts w:hint="eastAsia" w:hAnsi="宋体" w:cs="宋体"/>
        </w:rPr>
        <w:t>9.1合同修改和补充。合同未尽事宜，应由双方友好协商解决。如需对合同及其附件作任何修改或补充，须由双方以书面做出方为有效。修改或补充文件与本合同有不一致的，以修改或补充文件为准。</w:t>
      </w:r>
    </w:p>
    <w:p>
      <w:pPr>
        <w:pStyle w:val="132"/>
        <w:spacing w:line="360" w:lineRule="auto"/>
        <w:ind w:firstLine="420" w:firstLineChars="200"/>
        <w:rPr>
          <w:rFonts w:hAnsi="宋体" w:cs="宋体"/>
        </w:rPr>
      </w:pPr>
      <w:r>
        <w:rPr>
          <w:rFonts w:hint="eastAsia" w:hAnsi="宋体" w:cs="宋体"/>
        </w:rPr>
        <w:t>9.2本合同自双方签署（单位加盖公章、法定代表人或授权代表签名）之日起生效。本合同壹式【肆】份，甲、乙双方各执【贰】份，具有同等法律效力。</w:t>
      </w:r>
    </w:p>
    <w:p>
      <w:pPr>
        <w:pStyle w:val="131"/>
        <w:widowControl/>
        <w:spacing w:line="360" w:lineRule="auto"/>
        <w:ind w:firstLine="371" w:firstLineChars="177"/>
        <w:textAlignment w:val="bottom"/>
        <w:rPr>
          <w:rFonts w:hint="default" w:ascii="宋体" w:hAnsi="宋体" w:cs="宋体"/>
          <w:szCs w:val="21"/>
        </w:rPr>
      </w:pPr>
      <w:r>
        <w:rPr>
          <w:rFonts w:ascii="宋体" w:hAnsi="宋体" w:cs="宋体"/>
          <w:szCs w:val="21"/>
        </w:rPr>
        <w:t>（以下无正文）</w:t>
      </w:r>
    </w:p>
    <w:p>
      <w:pPr>
        <w:spacing w:line="360" w:lineRule="auto"/>
        <w:ind w:left="420" w:hanging="420"/>
        <w:jc w:val="center"/>
        <w:rPr>
          <w:rFonts w:ascii="宋体" w:hAnsi="宋体" w:cs="宋体"/>
          <w:b/>
          <w:szCs w:val="21"/>
        </w:rPr>
      </w:pPr>
    </w:p>
    <w:p>
      <w:pPr>
        <w:spacing w:line="360" w:lineRule="auto"/>
        <w:rPr>
          <w:rFonts w:ascii="宋体" w:hAnsi="宋体" w:cs="宋体"/>
          <w:szCs w:val="21"/>
        </w:rPr>
      </w:pPr>
      <w:bookmarkStart w:id="32" w:name="_Hlk12866345"/>
      <w:bookmarkStart w:id="33" w:name="_Hlk12873992"/>
    </w:p>
    <w:p>
      <w:pPr>
        <w:spacing w:line="360" w:lineRule="auto"/>
        <w:jc w:val="center"/>
        <w:rPr>
          <w:rFonts w:ascii="宋体" w:hAnsi="宋体" w:cs="宋体"/>
          <w:bCs/>
          <w:szCs w:val="21"/>
        </w:rPr>
      </w:pPr>
      <w:r>
        <w:rPr>
          <w:rFonts w:hint="eastAsia" w:ascii="宋体" w:hAnsi="宋体" w:cs="宋体"/>
          <w:szCs w:val="21"/>
        </w:rPr>
        <w:br w:type="page"/>
      </w:r>
      <w:r>
        <w:rPr>
          <w:rFonts w:hint="eastAsia" w:ascii="宋体" w:hAnsi="宋体" w:cs="宋体"/>
          <w:szCs w:val="21"/>
        </w:rPr>
        <w:t>（此页无正文，为《                    》签署页【合同编号：                  】）</w:t>
      </w:r>
    </w:p>
    <w:bookmarkEnd w:id="32"/>
    <w:p>
      <w:pPr>
        <w:spacing w:line="360" w:lineRule="auto"/>
        <w:rPr>
          <w:rFonts w:ascii="宋体" w:hAnsi="宋体" w:cs="宋体"/>
          <w:szCs w:val="21"/>
        </w:rPr>
      </w:pPr>
      <w:bookmarkStart w:id="34" w:name="_Hlk12866387"/>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甲方（盖章）：广东省广播电视网络股份有限公司佛山禅城分公司</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负责人或授权代表（签名）：</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经办人（签名）：</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签署日期：     年     月     日</w:t>
      </w:r>
    </w:p>
    <w:p>
      <w:pPr>
        <w:spacing w:line="360" w:lineRule="auto"/>
        <w:rPr>
          <w:rFonts w:ascii="宋体" w:hAnsi="宋体" w:cs="宋体"/>
          <w:szCs w:val="21"/>
        </w:rPr>
      </w:pPr>
    </w:p>
    <w:p>
      <w:pPr>
        <w:spacing w:line="360" w:lineRule="auto"/>
        <w:rPr>
          <w:rFonts w:ascii="宋体" w:hAnsi="宋体" w:cs="宋体"/>
          <w:szCs w:val="21"/>
        </w:rPr>
      </w:pP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 xml:space="preserve">乙方（盖章）：  </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法定代表人或授权代表人（签名）：</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经办人（签名）：</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签署日期：      年     月      日</w:t>
      </w:r>
    </w:p>
    <w:bookmarkEnd w:id="34"/>
    <w:p>
      <w:pPr>
        <w:spacing w:line="360" w:lineRule="auto"/>
        <w:rPr>
          <w:rFonts w:ascii="宋体" w:hAnsi="宋体" w:cs="宋体"/>
          <w:szCs w:val="21"/>
        </w:rPr>
      </w:pP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合同签订地：</w:t>
      </w:r>
      <w:bookmarkEnd w:id="33"/>
    </w:p>
    <w:p>
      <w:pPr>
        <w:pStyle w:val="59"/>
        <w:ind w:firstLine="0" w:firstLineChars="0"/>
        <w:rPr>
          <w:rFonts w:ascii="仿宋" w:hAnsi="仿宋" w:eastAsia="仿宋" w:cs="仿宋"/>
          <w:kern w:val="0"/>
          <w:sz w:val="30"/>
          <w:szCs w:val="30"/>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185E6"/>
    <w:multiLevelType w:val="singleLevel"/>
    <w:tmpl w:val="987185E6"/>
    <w:lvl w:ilvl="0" w:tentative="0">
      <w:start w:val="1"/>
      <w:numFmt w:val="decimal"/>
      <w:lvlText w:val="(%1)"/>
      <w:lvlJc w:val="left"/>
      <w:pPr>
        <w:ind w:left="425" w:hanging="425"/>
      </w:pPr>
      <w:rPr>
        <w:rFonts w:hint="default"/>
      </w:rPr>
    </w:lvl>
  </w:abstractNum>
  <w:abstractNum w:abstractNumId="1">
    <w:nsid w:val="E20DB9A9"/>
    <w:multiLevelType w:val="singleLevel"/>
    <w:tmpl w:val="E20DB9A9"/>
    <w:lvl w:ilvl="0" w:tentative="0">
      <w:start w:val="1"/>
      <w:numFmt w:val="chineseCounting"/>
      <w:suff w:val="nothing"/>
      <w:lvlText w:val="（%1）"/>
      <w:lvlJc w:val="left"/>
      <w:pPr>
        <w:ind w:left="0" w:firstLine="420"/>
      </w:pPr>
      <w:rPr>
        <w:rFonts w:hint="eastAsia"/>
      </w:rPr>
    </w:lvl>
  </w:abstractNum>
  <w:abstractNum w:abstractNumId="2">
    <w:nsid w:val="F114477C"/>
    <w:multiLevelType w:val="singleLevel"/>
    <w:tmpl w:val="F114477C"/>
    <w:lvl w:ilvl="0" w:tentative="0">
      <w:start w:val="2"/>
      <w:numFmt w:val="decimal"/>
      <w:suff w:val="nothing"/>
      <w:lvlText w:val="%1、"/>
      <w:lvlJc w:val="left"/>
    </w:lvl>
  </w:abstractNum>
  <w:abstractNum w:abstractNumId="3">
    <w:nsid w:val="00000001"/>
    <w:multiLevelType w:val="multilevel"/>
    <w:tmpl w:val="00000001"/>
    <w:lvl w:ilvl="0" w:tentative="0">
      <w:start w:val="1"/>
      <w:numFmt w:val="decimal"/>
      <w:lvlText w:val="%1"/>
      <w:lvlJc w:val="left"/>
      <w:pPr>
        <w:ind w:left="425" w:hanging="425"/>
      </w:pPr>
      <w:rPr>
        <w:rFonts w:hint="default" w:ascii="Times New Roman"/>
        <w:u w:val="none"/>
      </w:rPr>
    </w:lvl>
    <w:lvl w:ilvl="1" w:tentative="0">
      <w:start w:val="1"/>
      <w:numFmt w:val="decimal"/>
      <w:lvlText w:val="%1.%2"/>
      <w:lvlJc w:val="left"/>
      <w:pPr>
        <w:ind w:left="992" w:hanging="567"/>
      </w:pPr>
      <w:rPr>
        <w:rFonts w:hint="default" w:ascii="Times New Roman"/>
        <w:u w:val="none"/>
      </w:rPr>
    </w:lvl>
    <w:lvl w:ilvl="2" w:tentative="0">
      <w:start w:val="1"/>
      <w:numFmt w:val="decimal"/>
      <w:lvlText w:val="%1.%2.%3"/>
      <w:lvlJc w:val="left"/>
      <w:pPr>
        <w:ind w:left="1418" w:hanging="567"/>
      </w:pPr>
      <w:rPr>
        <w:rFonts w:hint="default" w:ascii="Times New Roman"/>
        <w:u w:val="none"/>
      </w:rPr>
    </w:lvl>
    <w:lvl w:ilvl="3" w:tentative="0">
      <w:start w:val="1"/>
      <w:numFmt w:val="decimal"/>
      <w:lvlText w:val="%1.%2.%3.%4"/>
      <w:lvlJc w:val="left"/>
      <w:pPr>
        <w:ind w:left="1984" w:hanging="708"/>
      </w:pPr>
      <w:rPr>
        <w:rFonts w:hint="default" w:ascii="Times New Roman"/>
        <w:u w:val="none"/>
      </w:rPr>
    </w:lvl>
    <w:lvl w:ilvl="4" w:tentative="0">
      <w:start w:val="1"/>
      <w:numFmt w:val="decimal"/>
      <w:lvlText w:val="%1.%2.%3.%4.%5"/>
      <w:lvlJc w:val="left"/>
      <w:pPr>
        <w:ind w:left="2551" w:hanging="850"/>
      </w:pPr>
      <w:rPr>
        <w:rFonts w:hint="default" w:ascii="Times New Roman"/>
        <w:u w:val="none"/>
      </w:rPr>
    </w:lvl>
    <w:lvl w:ilvl="5" w:tentative="0">
      <w:start w:val="1"/>
      <w:numFmt w:val="decimal"/>
      <w:lvlText w:val="%1.%2.%3.%4.%5.%6"/>
      <w:lvlJc w:val="left"/>
      <w:pPr>
        <w:ind w:left="3260" w:hanging="1134"/>
      </w:pPr>
      <w:rPr>
        <w:rFonts w:hint="default" w:ascii="Times New Roman"/>
        <w:u w:val="none"/>
      </w:rPr>
    </w:lvl>
    <w:lvl w:ilvl="6" w:tentative="0">
      <w:start w:val="1"/>
      <w:numFmt w:val="decimal"/>
      <w:lvlText w:val="%1.%2.%3.%4.%5.%6.%7"/>
      <w:lvlJc w:val="left"/>
      <w:pPr>
        <w:ind w:left="3827" w:hanging="1276"/>
      </w:pPr>
      <w:rPr>
        <w:rFonts w:hint="default" w:ascii="Times New Roman"/>
        <w:u w:val="none"/>
      </w:rPr>
    </w:lvl>
    <w:lvl w:ilvl="7" w:tentative="0">
      <w:start w:val="1"/>
      <w:numFmt w:val="decimal"/>
      <w:lvlText w:val="%1.%2.%3.%4.%5.%6.%7.%8"/>
      <w:lvlJc w:val="left"/>
      <w:pPr>
        <w:ind w:left="4394" w:hanging="1418"/>
      </w:pPr>
      <w:rPr>
        <w:rFonts w:hint="default" w:ascii="Times New Roman"/>
        <w:u w:val="none"/>
      </w:rPr>
    </w:lvl>
    <w:lvl w:ilvl="8" w:tentative="0">
      <w:start w:val="1"/>
      <w:numFmt w:val="decimal"/>
      <w:lvlText w:val="%1.%2.%3.%4.%5.%6.%7.%8.%9"/>
      <w:lvlJc w:val="left"/>
      <w:pPr>
        <w:ind w:left="5102" w:hanging="1700"/>
      </w:pPr>
      <w:rPr>
        <w:rFonts w:hint="default" w:ascii="Times New Roman"/>
        <w:u w:val="none"/>
      </w:rPr>
    </w:lvl>
  </w:abstractNum>
  <w:abstractNum w:abstractNumId="4">
    <w:nsid w:val="00000004"/>
    <w:multiLevelType w:val="multilevel"/>
    <w:tmpl w:val="00000004"/>
    <w:lvl w:ilvl="0" w:tentative="0">
      <w:start w:val="1"/>
      <w:numFmt w:val="chineseCountingThousand"/>
      <w:lvlText w:val="第%1条"/>
      <w:lvlJc w:val="left"/>
      <w:pPr>
        <w:tabs>
          <w:tab w:val="left" w:pos="1102"/>
        </w:tabs>
        <w:ind w:left="1102" w:hanging="960"/>
      </w:pPr>
      <w:rPr>
        <w:rFonts w:hint="default" w:ascii="Times New Roman"/>
        <w:b/>
        <w:u w:val="none"/>
        <w:lang w:val="en-US"/>
      </w:rPr>
    </w:lvl>
    <w:lvl w:ilvl="1" w:tentative="0">
      <w:start w:val="1"/>
      <w:numFmt w:val="decimal"/>
      <w:lvlText w:val="（%2）"/>
      <w:lvlJc w:val="left"/>
      <w:pPr>
        <w:tabs>
          <w:tab w:val="left" w:pos="720"/>
        </w:tabs>
        <w:ind w:left="720" w:hanging="720"/>
      </w:pPr>
      <w:rPr>
        <w:rFonts w:hint="default" w:ascii="Times New Roman"/>
        <w:u w:val="none"/>
        <w:lang w:val="en-US"/>
      </w:rPr>
    </w:lvl>
    <w:lvl w:ilvl="2" w:tentative="0">
      <w:start w:val="1"/>
      <w:numFmt w:val="decimal"/>
      <w:lvlText w:val="%3."/>
      <w:lvlJc w:val="left"/>
      <w:pPr>
        <w:ind w:left="502" w:hanging="360"/>
      </w:pPr>
      <w:rPr>
        <w:rFonts w:hint="default" w:ascii="Times New Roman"/>
        <w:u w:val="none"/>
      </w:rPr>
    </w:lvl>
    <w:lvl w:ilvl="3" w:tentative="0">
      <w:start w:val="1"/>
      <w:numFmt w:val="decimal"/>
      <w:lvlText w:val="%4、"/>
      <w:lvlJc w:val="left"/>
      <w:pPr>
        <w:ind w:left="1620" w:hanging="360"/>
      </w:pPr>
      <w:rPr>
        <w:rFonts w:ascii="Times New Roman" w:hAnsi="Times New Roman" w:eastAsia="宋体" w:cs="Times New Roman"/>
        <w:u w:val="none"/>
      </w:rPr>
    </w:lvl>
    <w:lvl w:ilvl="4" w:tentative="0">
      <w:start w:val="1"/>
      <w:numFmt w:val="lowerLetter"/>
      <w:lvlText w:val="%5)"/>
      <w:lvlJc w:val="left"/>
      <w:pPr>
        <w:tabs>
          <w:tab w:val="left" w:pos="2100"/>
        </w:tabs>
        <w:ind w:left="2100" w:hanging="420"/>
      </w:pPr>
      <w:rPr>
        <w:rFonts w:hint="default" w:ascii="Times New Roman"/>
        <w:u w:val="none"/>
      </w:rPr>
    </w:lvl>
    <w:lvl w:ilvl="5" w:tentative="0">
      <w:start w:val="1"/>
      <w:numFmt w:val="lowerRoman"/>
      <w:lvlText w:val="%6."/>
      <w:lvlJc w:val="right"/>
      <w:pPr>
        <w:tabs>
          <w:tab w:val="left" w:pos="2520"/>
        </w:tabs>
        <w:ind w:left="2520" w:hanging="420"/>
      </w:pPr>
      <w:rPr>
        <w:rFonts w:hint="default" w:ascii="Times New Roman"/>
        <w:u w:val="none"/>
      </w:rPr>
    </w:lvl>
    <w:lvl w:ilvl="6" w:tentative="0">
      <w:start w:val="1"/>
      <w:numFmt w:val="decimal"/>
      <w:lvlText w:val="%7."/>
      <w:lvlJc w:val="left"/>
      <w:pPr>
        <w:tabs>
          <w:tab w:val="left" w:pos="2940"/>
        </w:tabs>
        <w:ind w:left="2940" w:hanging="420"/>
      </w:pPr>
      <w:rPr>
        <w:rFonts w:hint="default" w:ascii="Times New Roman"/>
        <w:u w:val="none"/>
      </w:rPr>
    </w:lvl>
    <w:lvl w:ilvl="7" w:tentative="0">
      <w:start w:val="1"/>
      <w:numFmt w:val="lowerLetter"/>
      <w:lvlText w:val="%8)"/>
      <w:lvlJc w:val="left"/>
      <w:pPr>
        <w:tabs>
          <w:tab w:val="left" w:pos="3360"/>
        </w:tabs>
        <w:ind w:left="3360" w:hanging="420"/>
      </w:pPr>
      <w:rPr>
        <w:rFonts w:hint="default" w:ascii="Times New Roman"/>
        <w:u w:val="none"/>
      </w:rPr>
    </w:lvl>
    <w:lvl w:ilvl="8" w:tentative="0">
      <w:start w:val="1"/>
      <w:numFmt w:val="lowerRoman"/>
      <w:lvlText w:val="%9."/>
      <w:lvlJc w:val="right"/>
      <w:pPr>
        <w:tabs>
          <w:tab w:val="left" w:pos="3780"/>
        </w:tabs>
        <w:ind w:left="3780" w:hanging="420"/>
      </w:pPr>
      <w:rPr>
        <w:rFonts w:hint="default" w:ascii="Times New Roman"/>
        <w:u w:val="none"/>
      </w:rPr>
    </w:lvl>
  </w:abstractNum>
  <w:abstractNum w:abstractNumId="5">
    <w:nsid w:val="00000007"/>
    <w:multiLevelType w:val="multilevel"/>
    <w:tmpl w:val="00000007"/>
    <w:lvl w:ilvl="0" w:tentative="0">
      <w:start w:val="1"/>
      <w:numFmt w:val="decimal"/>
      <w:lvlText w:val="%1"/>
      <w:lvlJc w:val="left"/>
      <w:pPr>
        <w:ind w:left="425" w:hanging="425"/>
      </w:pPr>
      <w:rPr>
        <w:rFonts w:hint="default" w:ascii="Times New Roman"/>
        <w:u w:val="none"/>
      </w:rPr>
    </w:lvl>
    <w:lvl w:ilvl="1" w:tentative="0">
      <w:start w:val="1"/>
      <w:numFmt w:val="decimal"/>
      <w:lvlText w:val="%1.%2"/>
      <w:lvlJc w:val="left"/>
      <w:pPr>
        <w:ind w:left="992" w:hanging="567"/>
      </w:pPr>
      <w:rPr>
        <w:rFonts w:hint="default" w:ascii="Times New Roman"/>
        <w:u w:val="none"/>
      </w:rPr>
    </w:lvl>
    <w:lvl w:ilvl="2" w:tentative="0">
      <w:start w:val="1"/>
      <w:numFmt w:val="decimal"/>
      <w:lvlText w:val="%1.%2.%3"/>
      <w:lvlJc w:val="left"/>
      <w:pPr>
        <w:ind w:left="1418" w:hanging="567"/>
      </w:pPr>
      <w:rPr>
        <w:rFonts w:hint="default" w:ascii="Times New Roman"/>
        <w:u w:val="none"/>
      </w:rPr>
    </w:lvl>
    <w:lvl w:ilvl="3" w:tentative="0">
      <w:start w:val="1"/>
      <w:numFmt w:val="decimal"/>
      <w:lvlText w:val="%1.%2.%3.%4"/>
      <w:lvlJc w:val="left"/>
      <w:pPr>
        <w:ind w:left="1984" w:hanging="708"/>
      </w:pPr>
      <w:rPr>
        <w:rFonts w:hint="default" w:ascii="Times New Roman"/>
        <w:u w:val="none"/>
      </w:rPr>
    </w:lvl>
    <w:lvl w:ilvl="4" w:tentative="0">
      <w:start w:val="1"/>
      <w:numFmt w:val="decimal"/>
      <w:lvlText w:val="%1.%2.%3.%4.%5"/>
      <w:lvlJc w:val="left"/>
      <w:pPr>
        <w:ind w:left="2551" w:hanging="850"/>
      </w:pPr>
      <w:rPr>
        <w:rFonts w:hint="default" w:ascii="Times New Roman"/>
        <w:u w:val="none"/>
      </w:rPr>
    </w:lvl>
    <w:lvl w:ilvl="5" w:tentative="0">
      <w:start w:val="1"/>
      <w:numFmt w:val="decimal"/>
      <w:lvlText w:val="%1.%2.%3.%4.%5.%6"/>
      <w:lvlJc w:val="left"/>
      <w:pPr>
        <w:ind w:left="3260" w:hanging="1134"/>
      </w:pPr>
      <w:rPr>
        <w:rFonts w:hint="default" w:ascii="Times New Roman"/>
        <w:u w:val="none"/>
      </w:rPr>
    </w:lvl>
    <w:lvl w:ilvl="6" w:tentative="0">
      <w:start w:val="1"/>
      <w:numFmt w:val="decimal"/>
      <w:lvlText w:val="%1.%2.%3.%4.%5.%6.%7"/>
      <w:lvlJc w:val="left"/>
      <w:pPr>
        <w:ind w:left="3827" w:hanging="1276"/>
      </w:pPr>
      <w:rPr>
        <w:rFonts w:hint="default" w:ascii="Times New Roman"/>
        <w:u w:val="none"/>
      </w:rPr>
    </w:lvl>
    <w:lvl w:ilvl="7" w:tentative="0">
      <w:start w:val="1"/>
      <w:numFmt w:val="decimal"/>
      <w:lvlText w:val="%1.%2.%3.%4.%5.%6.%7.%8"/>
      <w:lvlJc w:val="left"/>
      <w:pPr>
        <w:ind w:left="4394" w:hanging="1418"/>
      </w:pPr>
      <w:rPr>
        <w:rFonts w:hint="default" w:ascii="Times New Roman"/>
        <w:u w:val="none"/>
      </w:rPr>
    </w:lvl>
    <w:lvl w:ilvl="8" w:tentative="0">
      <w:start w:val="1"/>
      <w:numFmt w:val="decimal"/>
      <w:lvlText w:val="%1.%2.%3.%4.%5.%6.%7.%8.%9"/>
      <w:lvlJc w:val="left"/>
      <w:pPr>
        <w:ind w:left="5102" w:hanging="1700"/>
      </w:pPr>
      <w:rPr>
        <w:rFonts w:hint="default" w:ascii="Times New Roman"/>
        <w:u w:val="none"/>
      </w:rPr>
    </w:lvl>
  </w:abstractNum>
  <w:abstractNum w:abstractNumId="6">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042D685C"/>
    <w:multiLevelType w:val="multilevel"/>
    <w:tmpl w:val="042D685C"/>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5C32D49"/>
    <w:multiLevelType w:val="multilevel"/>
    <w:tmpl w:val="05C32D49"/>
    <w:lvl w:ilvl="0" w:tentative="0">
      <w:start w:val="1"/>
      <w:numFmt w:val="chineseCountingThousand"/>
      <w:suff w:val="nothing"/>
      <w:lvlText w:val="%1、"/>
      <w:lvlJc w:val="left"/>
      <w:pPr>
        <w:ind w:left="450" w:hanging="45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125214F2"/>
    <w:multiLevelType w:val="multilevel"/>
    <w:tmpl w:val="125214F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0">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1">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2">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3">
    <w:nsid w:val="30F853D4"/>
    <w:multiLevelType w:val="multilevel"/>
    <w:tmpl w:val="30F853D4"/>
    <w:lvl w:ilvl="0" w:tentative="0">
      <w:start w:val="5"/>
      <w:numFmt w:val="decimal"/>
      <w:lvlText w:val="%1"/>
      <w:lvlJc w:val="left"/>
      <w:pPr>
        <w:ind w:left="360" w:hanging="360"/>
      </w:pPr>
      <w:rPr>
        <w:rFonts w:hint="default" w:eastAsia="宋体"/>
      </w:rPr>
    </w:lvl>
    <w:lvl w:ilvl="1" w:tentative="0">
      <w:start w:val="1"/>
      <w:numFmt w:val="decimal"/>
      <w:lvlText w:val="%1.%2"/>
      <w:lvlJc w:val="left"/>
      <w:pPr>
        <w:ind w:left="927" w:hanging="360"/>
      </w:pPr>
      <w:rPr>
        <w:rFonts w:hint="default" w:eastAsia="宋体"/>
      </w:rPr>
    </w:lvl>
    <w:lvl w:ilvl="2" w:tentative="0">
      <w:start w:val="1"/>
      <w:numFmt w:val="decimal"/>
      <w:lvlText w:val="%1.%2.%3"/>
      <w:lvlJc w:val="left"/>
      <w:pPr>
        <w:ind w:left="1854" w:hanging="720"/>
      </w:pPr>
      <w:rPr>
        <w:rFonts w:hint="default" w:eastAsia="宋体"/>
      </w:rPr>
    </w:lvl>
    <w:lvl w:ilvl="3" w:tentative="0">
      <w:start w:val="1"/>
      <w:numFmt w:val="decimal"/>
      <w:lvlText w:val="%1.%2.%3.%4"/>
      <w:lvlJc w:val="left"/>
      <w:pPr>
        <w:ind w:left="2781" w:hanging="1080"/>
      </w:pPr>
      <w:rPr>
        <w:rFonts w:hint="default" w:eastAsia="宋体"/>
      </w:rPr>
    </w:lvl>
    <w:lvl w:ilvl="4" w:tentative="0">
      <w:start w:val="1"/>
      <w:numFmt w:val="decimal"/>
      <w:lvlText w:val="%1.%2.%3.%4.%5"/>
      <w:lvlJc w:val="left"/>
      <w:pPr>
        <w:ind w:left="3348" w:hanging="1080"/>
      </w:pPr>
      <w:rPr>
        <w:rFonts w:hint="default" w:eastAsia="宋体"/>
      </w:rPr>
    </w:lvl>
    <w:lvl w:ilvl="5" w:tentative="0">
      <w:start w:val="1"/>
      <w:numFmt w:val="decimal"/>
      <w:lvlText w:val="%1.%2.%3.%4.%5.%6"/>
      <w:lvlJc w:val="left"/>
      <w:pPr>
        <w:ind w:left="4275" w:hanging="1440"/>
      </w:pPr>
      <w:rPr>
        <w:rFonts w:hint="default" w:eastAsia="宋体"/>
      </w:rPr>
    </w:lvl>
    <w:lvl w:ilvl="6" w:tentative="0">
      <w:start w:val="1"/>
      <w:numFmt w:val="decimal"/>
      <w:lvlText w:val="%1.%2.%3.%4.%5.%6.%7"/>
      <w:lvlJc w:val="left"/>
      <w:pPr>
        <w:ind w:left="5202" w:hanging="1800"/>
      </w:pPr>
      <w:rPr>
        <w:rFonts w:hint="default" w:eastAsia="宋体"/>
      </w:rPr>
    </w:lvl>
    <w:lvl w:ilvl="7" w:tentative="0">
      <w:start w:val="1"/>
      <w:numFmt w:val="decimal"/>
      <w:lvlText w:val="%1.%2.%3.%4.%5.%6.%7.%8"/>
      <w:lvlJc w:val="left"/>
      <w:pPr>
        <w:ind w:left="5769" w:hanging="1800"/>
      </w:pPr>
      <w:rPr>
        <w:rFonts w:hint="default" w:eastAsia="宋体"/>
      </w:rPr>
    </w:lvl>
    <w:lvl w:ilvl="8" w:tentative="0">
      <w:start w:val="1"/>
      <w:numFmt w:val="decimal"/>
      <w:lvlText w:val="%1.%2.%3.%4.%5.%6.%7.%8.%9"/>
      <w:lvlJc w:val="left"/>
      <w:pPr>
        <w:ind w:left="6696" w:hanging="2160"/>
      </w:pPr>
      <w:rPr>
        <w:rFonts w:hint="default" w:eastAsia="宋体"/>
      </w:rPr>
    </w:lvl>
  </w:abstractNum>
  <w:abstractNum w:abstractNumId="14">
    <w:nsid w:val="34433F59"/>
    <w:multiLevelType w:val="multilevel"/>
    <w:tmpl w:val="34433F59"/>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6">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7">
    <w:nsid w:val="48B500FA"/>
    <w:multiLevelType w:val="multilevel"/>
    <w:tmpl w:val="48B500FA"/>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suff w:val="space"/>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8">
    <w:nsid w:val="4B375756"/>
    <w:multiLevelType w:val="multilevel"/>
    <w:tmpl w:val="4B375756"/>
    <w:lvl w:ilvl="0" w:tentative="0">
      <w:start w:val="1"/>
      <w:numFmt w:val="japaneseCounting"/>
      <w:suff w:val="space"/>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9">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0">
    <w:nsid w:val="620153AE"/>
    <w:multiLevelType w:val="multilevel"/>
    <w:tmpl w:val="620153AE"/>
    <w:lvl w:ilvl="0" w:tentative="0">
      <w:start w:val="1"/>
      <w:numFmt w:val="decimal"/>
      <w:lvlText w:val="(%1)"/>
      <w:lvlJc w:val="left"/>
      <w:pPr>
        <w:tabs>
          <w:tab w:val="left" w:pos="1200"/>
        </w:tabs>
        <w:ind w:left="1200" w:hanging="360"/>
      </w:pPr>
      <w:rPr>
        <w:rFonts w:hint="default"/>
        <w:b w:val="0"/>
        <w:bCs w:val="0"/>
        <w:sz w:val="21"/>
        <w:szCs w:val="21"/>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21">
    <w:nsid w:val="6E297D47"/>
    <w:multiLevelType w:val="multilevel"/>
    <w:tmpl w:val="6E297D47"/>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suff w:val="space"/>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8"/>
  </w:num>
  <w:num w:numId="2">
    <w:abstractNumId w:val="14"/>
  </w:num>
  <w:num w:numId="3">
    <w:abstractNumId w:val="15"/>
  </w:num>
  <w:num w:numId="4">
    <w:abstractNumId w:val="11"/>
  </w:num>
  <w:num w:numId="5">
    <w:abstractNumId w:val="7"/>
  </w:num>
  <w:num w:numId="6">
    <w:abstractNumId w:val="19"/>
  </w:num>
  <w:num w:numId="7">
    <w:abstractNumId w:val="6"/>
  </w:num>
  <w:num w:numId="8">
    <w:abstractNumId w:val="9"/>
  </w:num>
  <w:num w:numId="9">
    <w:abstractNumId w:val="16"/>
  </w:num>
  <w:num w:numId="10">
    <w:abstractNumId w:val="10"/>
  </w:num>
  <w:num w:numId="11">
    <w:abstractNumId w:val="12"/>
  </w:num>
  <w:num w:numId="12">
    <w:abstractNumId w:val="8"/>
  </w:num>
  <w:num w:numId="13">
    <w:abstractNumId w:val="1"/>
  </w:num>
  <w:num w:numId="14">
    <w:abstractNumId w:val="2"/>
  </w:num>
  <w:num w:numId="15">
    <w:abstractNumId w:val="21"/>
  </w:num>
  <w:num w:numId="16">
    <w:abstractNumId w:val="17"/>
  </w:num>
  <w:num w:numId="17">
    <w:abstractNumId w:val="0"/>
  </w:num>
  <w:num w:numId="18">
    <w:abstractNumId w:val="20"/>
  </w:num>
  <w:num w:numId="19">
    <w:abstractNumId w:val="4"/>
  </w:num>
  <w:num w:numId="20">
    <w:abstractNumId w:val="5"/>
  </w:num>
  <w:num w:numId="21">
    <w:abstractNumId w:val="3"/>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FF5"/>
    <w:rsid w:val="00003929"/>
    <w:rsid w:val="0000601A"/>
    <w:rsid w:val="0000694E"/>
    <w:rsid w:val="000072B1"/>
    <w:rsid w:val="000076D5"/>
    <w:rsid w:val="00007FAE"/>
    <w:rsid w:val="00012357"/>
    <w:rsid w:val="00013778"/>
    <w:rsid w:val="00013B79"/>
    <w:rsid w:val="00013CBD"/>
    <w:rsid w:val="00015F62"/>
    <w:rsid w:val="00017E85"/>
    <w:rsid w:val="00020817"/>
    <w:rsid w:val="00022BA8"/>
    <w:rsid w:val="00022E1E"/>
    <w:rsid w:val="000243AE"/>
    <w:rsid w:val="00024FEE"/>
    <w:rsid w:val="00025123"/>
    <w:rsid w:val="000259F8"/>
    <w:rsid w:val="00026161"/>
    <w:rsid w:val="0002789D"/>
    <w:rsid w:val="00027B41"/>
    <w:rsid w:val="00027D53"/>
    <w:rsid w:val="00030AA4"/>
    <w:rsid w:val="0003162D"/>
    <w:rsid w:val="0003243C"/>
    <w:rsid w:val="0003262C"/>
    <w:rsid w:val="00033C58"/>
    <w:rsid w:val="00033DF8"/>
    <w:rsid w:val="000348F7"/>
    <w:rsid w:val="000353FF"/>
    <w:rsid w:val="000356AB"/>
    <w:rsid w:val="00040958"/>
    <w:rsid w:val="0004362F"/>
    <w:rsid w:val="00043EDC"/>
    <w:rsid w:val="00047817"/>
    <w:rsid w:val="000525A8"/>
    <w:rsid w:val="00054850"/>
    <w:rsid w:val="00054D90"/>
    <w:rsid w:val="0005685F"/>
    <w:rsid w:val="000578DB"/>
    <w:rsid w:val="00057A4C"/>
    <w:rsid w:val="0006011A"/>
    <w:rsid w:val="00060CC7"/>
    <w:rsid w:val="00060F78"/>
    <w:rsid w:val="00062631"/>
    <w:rsid w:val="00062CB7"/>
    <w:rsid w:val="00065C20"/>
    <w:rsid w:val="00065F20"/>
    <w:rsid w:val="00066C1E"/>
    <w:rsid w:val="00070575"/>
    <w:rsid w:val="00071751"/>
    <w:rsid w:val="000718D3"/>
    <w:rsid w:val="00074C93"/>
    <w:rsid w:val="00075128"/>
    <w:rsid w:val="000762D2"/>
    <w:rsid w:val="000768DE"/>
    <w:rsid w:val="000771D7"/>
    <w:rsid w:val="000775BA"/>
    <w:rsid w:val="0007767B"/>
    <w:rsid w:val="00082175"/>
    <w:rsid w:val="00082903"/>
    <w:rsid w:val="00083903"/>
    <w:rsid w:val="00084EA8"/>
    <w:rsid w:val="00086EF0"/>
    <w:rsid w:val="00087E87"/>
    <w:rsid w:val="000902E3"/>
    <w:rsid w:val="00092B0A"/>
    <w:rsid w:val="00092E24"/>
    <w:rsid w:val="00094059"/>
    <w:rsid w:val="0009405C"/>
    <w:rsid w:val="00094256"/>
    <w:rsid w:val="00094BC5"/>
    <w:rsid w:val="000950AD"/>
    <w:rsid w:val="000A11F6"/>
    <w:rsid w:val="000A1F19"/>
    <w:rsid w:val="000A237A"/>
    <w:rsid w:val="000A2E67"/>
    <w:rsid w:val="000A4C0F"/>
    <w:rsid w:val="000A7338"/>
    <w:rsid w:val="000B0865"/>
    <w:rsid w:val="000B1E95"/>
    <w:rsid w:val="000B3769"/>
    <w:rsid w:val="000B4261"/>
    <w:rsid w:val="000B4E75"/>
    <w:rsid w:val="000B5DB8"/>
    <w:rsid w:val="000B6CE6"/>
    <w:rsid w:val="000B6D58"/>
    <w:rsid w:val="000B6D8E"/>
    <w:rsid w:val="000C01BD"/>
    <w:rsid w:val="000C11C9"/>
    <w:rsid w:val="000C33B6"/>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6196"/>
    <w:rsid w:val="000D6C2A"/>
    <w:rsid w:val="000E6013"/>
    <w:rsid w:val="000E6636"/>
    <w:rsid w:val="000F0AF2"/>
    <w:rsid w:val="000F191C"/>
    <w:rsid w:val="000F3D41"/>
    <w:rsid w:val="000F4BC7"/>
    <w:rsid w:val="000F4ED1"/>
    <w:rsid w:val="000F550C"/>
    <w:rsid w:val="000F60C3"/>
    <w:rsid w:val="000F6735"/>
    <w:rsid w:val="001007FC"/>
    <w:rsid w:val="00100FA9"/>
    <w:rsid w:val="001011C9"/>
    <w:rsid w:val="001016EE"/>
    <w:rsid w:val="00101E33"/>
    <w:rsid w:val="001029DF"/>
    <w:rsid w:val="00102E3B"/>
    <w:rsid w:val="00103F7C"/>
    <w:rsid w:val="0010492F"/>
    <w:rsid w:val="00105761"/>
    <w:rsid w:val="00105E54"/>
    <w:rsid w:val="0010650C"/>
    <w:rsid w:val="0011014B"/>
    <w:rsid w:val="0011085A"/>
    <w:rsid w:val="001141AB"/>
    <w:rsid w:val="0011445E"/>
    <w:rsid w:val="00114817"/>
    <w:rsid w:val="001156A8"/>
    <w:rsid w:val="00121369"/>
    <w:rsid w:val="00121653"/>
    <w:rsid w:val="00122334"/>
    <w:rsid w:val="001227D9"/>
    <w:rsid w:val="00122E20"/>
    <w:rsid w:val="00124673"/>
    <w:rsid w:val="0012499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121D"/>
    <w:rsid w:val="00141A88"/>
    <w:rsid w:val="00142609"/>
    <w:rsid w:val="00142BA2"/>
    <w:rsid w:val="00144CC0"/>
    <w:rsid w:val="00150DC2"/>
    <w:rsid w:val="00151C38"/>
    <w:rsid w:val="00155252"/>
    <w:rsid w:val="00155A56"/>
    <w:rsid w:val="00157D2F"/>
    <w:rsid w:val="001601A5"/>
    <w:rsid w:val="001627EF"/>
    <w:rsid w:val="001628FE"/>
    <w:rsid w:val="0016331B"/>
    <w:rsid w:val="00163E2D"/>
    <w:rsid w:val="001661BD"/>
    <w:rsid w:val="00166511"/>
    <w:rsid w:val="00170DD5"/>
    <w:rsid w:val="001713DD"/>
    <w:rsid w:val="00171E6F"/>
    <w:rsid w:val="001720B6"/>
    <w:rsid w:val="00173E34"/>
    <w:rsid w:val="00174598"/>
    <w:rsid w:val="00174634"/>
    <w:rsid w:val="00175C47"/>
    <w:rsid w:val="00175D51"/>
    <w:rsid w:val="00177762"/>
    <w:rsid w:val="0018057B"/>
    <w:rsid w:val="00180FFA"/>
    <w:rsid w:val="0018132E"/>
    <w:rsid w:val="00181679"/>
    <w:rsid w:val="00182016"/>
    <w:rsid w:val="00183884"/>
    <w:rsid w:val="001849C1"/>
    <w:rsid w:val="00185212"/>
    <w:rsid w:val="001857F8"/>
    <w:rsid w:val="001874FD"/>
    <w:rsid w:val="00192899"/>
    <w:rsid w:val="00193AA2"/>
    <w:rsid w:val="001948DD"/>
    <w:rsid w:val="00195AA8"/>
    <w:rsid w:val="001968FF"/>
    <w:rsid w:val="00196BA3"/>
    <w:rsid w:val="00197395"/>
    <w:rsid w:val="00197A38"/>
    <w:rsid w:val="001A0039"/>
    <w:rsid w:val="001A077A"/>
    <w:rsid w:val="001A1E3A"/>
    <w:rsid w:val="001A4BFC"/>
    <w:rsid w:val="001A4EAD"/>
    <w:rsid w:val="001A552D"/>
    <w:rsid w:val="001A5ED0"/>
    <w:rsid w:val="001A7BA3"/>
    <w:rsid w:val="001B0868"/>
    <w:rsid w:val="001B114A"/>
    <w:rsid w:val="001B1D4E"/>
    <w:rsid w:val="001B3F7F"/>
    <w:rsid w:val="001B42FB"/>
    <w:rsid w:val="001B49EA"/>
    <w:rsid w:val="001B6168"/>
    <w:rsid w:val="001B632A"/>
    <w:rsid w:val="001C137D"/>
    <w:rsid w:val="001C1A03"/>
    <w:rsid w:val="001C384F"/>
    <w:rsid w:val="001C628B"/>
    <w:rsid w:val="001C6404"/>
    <w:rsid w:val="001C68A3"/>
    <w:rsid w:val="001C7C20"/>
    <w:rsid w:val="001D068F"/>
    <w:rsid w:val="001D1318"/>
    <w:rsid w:val="001D3363"/>
    <w:rsid w:val="001D387E"/>
    <w:rsid w:val="001D5CE8"/>
    <w:rsid w:val="001D641C"/>
    <w:rsid w:val="001E01E5"/>
    <w:rsid w:val="001E1784"/>
    <w:rsid w:val="001E214D"/>
    <w:rsid w:val="001E338A"/>
    <w:rsid w:val="001E3487"/>
    <w:rsid w:val="001E5303"/>
    <w:rsid w:val="001E6A32"/>
    <w:rsid w:val="001E7EA8"/>
    <w:rsid w:val="001F035C"/>
    <w:rsid w:val="001F2D11"/>
    <w:rsid w:val="001F6B91"/>
    <w:rsid w:val="002010B9"/>
    <w:rsid w:val="00203015"/>
    <w:rsid w:val="00203A7B"/>
    <w:rsid w:val="00203AAC"/>
    <w:rsid w:val="002040B5"/>
    <w:rsid w:val="00204254"/>
    <w:rsid w:val="00204A3E"/>
    <w:rsid w:val="00204B05"/>
    <w:rsid w:val="00204CCE"/>
    <w:rsid w:val="00205EB3"/>
    <w:rsid w:val="0020699F"/>
    <w:rsid w:val="0021731B"/>
    <w:rsid w:val="0022004C"/>
    <w:rsid w:val="0022017F"/>
    <w:rsid w:val="002201F5"/>
    <w:rsid w:val="00221187"/>
    <w:rsid w:val="00222803"/>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3A1"/>
    <w:rsid w:val="00245769"/>
    <w:rsid w:val="00246F4C"/>
    <w:rsid w:val="00247265"/>
    <w:rsid w:val="00247847"/>
    <w:rsid w:val="00247C52"/>
    <w:rsid w:val="00251245"/>
    <w:rsid w:val="00251851"/>
    <w:rsid w:val="00253392"/>
    <w:rsid w:val="0025746D"/>
    <w:rsid w:val="00257CD4"/>
    <w:rsid w:val="00260A5B"/>
    <w:rsid w:val="00261419"/>
    <w:rsid w:val="00261DEB"/>
    <w:rsid w:val="002630C1"/>
    <w:rsid w:val="00266FDC"/>
    <w:rsid w:val="00270713"/>
    <w:rsid w:val="00272D6D"/>
    <w:rsid w:val="00276AC7"/>
    <w:rsid w:val="002772C8"/>
    <w:rsid w:val="00281992"/>
    <w:rsid w:val="0028218B"/>
    <w:rsid w:val="00282627"/>
    <w:rsid w:val="00282EF3"/>
    <w:rsid w:val="00283200"/>
    <w:rsid w:val="00284C06"/>
    <w:rsid w:val="002857A2"/>
    <w:rsid w:val="00286419"/>
    <w:rsid w:val="00287A48"/>
    <w:rsid w:val="00291B25"/>
    <w:rsid w:val="002937E9"/>
    <w:rsid w:val="002955EF"/>
    <w:rsid w:val="00295D41"/>
    <w:rsid w:val="0029640B"/>
    <w:rsid w:val="0029640E"/>
    <w:rsid w:val="002967C9"/>
    <w:rsid w:val="00297745"/>
    <w:rsid w:val="00297C61"/>
    <w:rsid w:val="002A23EA"/>
    <w:rsid w:val="002A4E98"/>
    <w:rsid w:val="002A4FAE"/>
    <w:rsid w:val="002A626B"/>
    <w:rsid w:val="002A6D9B"/>
    <w:rsid w:val="002B2317"/>
    <w:rsid w:val="002B2F9B"/>
    <w:rsid w:val="002B3C66"/>
    <w:rsid w:val="002B3DB5"/>
    <w:rsid w:val="002B3F80"/>
    <w:rsid w:val="002B6395"/>
    <w:rsid w:val="002B66D9"/>
    <w:rsid w:val="002B6B9B"/>
    <w:rsid w:val="002B773B"/>
    <w:rsid w:val="002C01ED"/>
    <w:rsid w:val="002C2D03"/>
    <w:rsid w:val="002C4618"/>
    <w:rsid w:val="002D12CC"/>
    <w:rsid w:val="002D3D93"/>
    <w:rsid w:val="002D4683"/>
    <w:rsid w:val="002E01F5"/>
    <w:rsid w:val="002E2682"/>
    <w:rsid w:val="002E3921"/>
    <w:rsid w:val="002E46CD"/>
    <w:rsid w:val="002E56C2"/>
    <w:rsid w:val="002E5AE4"/>
    <w:rsid w:val="002E764A"/>
    <w:rsid w:val="002F1117"/>
    <w:rsid w:val="002F1533"/>
    <w:rsid w:val="002F27D3"/>
    <w:rsid w:val="002F28C6"/>
    <w:rsid w:val="002F37E6"/>
    <w:rsid w:val="002F3B36"/>
    <w:rsid w:val="002F5270"/>
    <w:rsid w:val="002F5A2E"/>
    <w:rsid w:val="002F5BE4"/>
    <w:rsid w:val="002F62B9"/>
    <w:rsid w:val="00302C72"/>
    <w:rsid w:val="00302EE6"/>
    <w:rsid w:val="00303408"/>
    <w:rsid w:val="00304646"/>
    <w:rsid w:val="00305689"/>
    <w:rsid w:val="00306707"/>
    <w:rsid w:val="00307274"/>
    <w:rsid w:val="003078D8"/>
    <w:rsid w:val="0031155C"/>
    <w:rsid w:val="00313DA9"/>
    <w:rsid w:val="00313DE3"/>
    <w:rsid w:val="00314B2E"/>
    <w:rsid w:val="00314E41"/>
    <w:rsid w:val="00314EC8"/>
    <w:rsid w:val="00315D72"/>
    <w:rsid w:val="00317D71"/>
    <w:rsid w:val="003217A8"/>
    <w:rsid w:val="0032637C"/>
    <w:rsid w:val="00330512"/>
    <w:rsid w:val="00330DCB"/>
    <w:rsid w:val="003337CB"/>
    <w:rsid w:val="00335FB5"/>
    <w:rsid w:val="003369E9"/>
    <w:rsid w:val="00337911"/>
    <w:rsid w:val="00341508"/>
    <w:rsid w:val="003424F1"/>
    <w:rsid w:val="003433F4"/>
    <w:rsid w:val="00344C42"/>
    <w:rsid w:val="003458B6"/>
    <w:rsid w:val="00346281"/>
    <w:rsid w:val="00346FE2"/>
    <w:rsid w:val="00347C73"/>
    <w:rsid w:val="0035266C"/>
    <w:rsid w:val="00354681"/>
    <w:rsid w:val="00354ED0"/>
    <w:rsid w:val="003561C6"/>
    <w:rsid w:val="0035776D"/>
    <w:rsid w:val="00360039"/>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8242E"/>
    <w:rsid w:val="0038349B"/>
    <w:rsid w:val="00385101"/>
    <w:rsid w:val="003865FC"/>
    <w:rsid w:val="0038670A"/>
    <w:rsid w:val="0038690B"/>
    <w:rsid w:val="00386E64"/>
    <w:rsid w:val="0039250E"/>
    <w:rsid w:val="003930CE"/>
    <w:rsid w:val="003967F6"/>
    <w:rsid w:val="00397270"/>
    <w:rsid w:val="003A1526"/>
    <w:rsid w:val="003A34A8"/>
    <w:rsid w:val="003A3FE6"/>
    <w:rsid w:val="003A58EE"/>
    <w:rsid w:val="003A67C0"/>
    <w:rsid w:val="003B05EF"/>
    <w:rsid w:val="003B0B39"/>
    <w:rsid w:val="003B0EFA"/>
    <w:rsid w:val="003B20E8"/>
    <w:rsid w:val="003B2C89"/>
    <w:rsid w:val="003B2E1D"/>
    <w:rsid w:val="003B4829"/>
    <w:rsid w:val="003C0343"/>
    <w:rsid w:val="003C2E45"/>
    <w:rsid w:val="003C4094"/>
    <w:rsid w:val="003C5149"/>
    <w:rsid w:val="003C5F99"/>
    <w:rsid w:val="003C6075"/>
    <w:rsid w:val="003D04A8"/>
    <w:rsid w:val="003D0B3C"/>
    <w:rsid w:val="003D3925"/>
    <w:rsid w:val="003D4D12"/>
    <w:rsid w:val="003D5F1A"/>
    <w:rsid w:val="003E183F"/>
    <w:rsid w:val="003E23EC"/>
    <w:rsid w:val="003E605F"/>
    <w:rsid w:val="003E681C"/>
    <w:rsid w:val="003F0199"/>
    <w:rsid w:val="003F03FC"/>
    <w:rsid w:val="003F0C19"/>
    <w:rsid w:val="003F1469"/>
    <w:rsid w:val="003F1E37"/>
    <w:rsid w:val="003F2252"/>
    <w:rsid w:val="003F248F"/>
    <w:rsid w:val="003F28D5"/>
    <w:rsid w:val="003F30D7"/>
    <w:rsid w:val="003F3D8E"/>
    <w:rsid w:val="003F45D2"/>
    <w:rsid w:val="003F5332"/>
    <w:rsid w:val="003F5879"/>
    <w:rsid w:val="003F6AB0"/>
    <w:rsid w:val="003F6AC4"/>
    <w:rsid w:val="003F6D82"/>
    <w:rsid w:val="00400369"/>
    <w:rsid w:val="00400814"/>
    <w:rsid w:val="00400A3A"/>
    <w:rsid w:val="00401798"/>
    <w:rsid w:val="004039EB"/>
    <w:rsid w:val="00403B2E"/>
    <w:rsid w:val="00404F70"/>
    <w:rsid w:val="00405B31"/>
    <w:rsid w:val="0040744D"/>
    <w:rsid w:val="004078E1"/>
    <w:rsid w:val="00412370"/>
    <w:rsid w:val="0041295E"/>
    <w:rsid w:val="004147D5"/>
    <w:rsid w:val="00415B0C"/>
    <w:rsid w:val="0041647C"/>
    <w:rsid w:val="004202F0"/>
    <w:rsid w:val="00420E2E"/>
    <w:rsid w:val="004216F6"/>
    <w:rsid w:val="00423A23"/>
    <w:rsid w:val="0042407C"/>
    <w:rsid w:val="0042608F"/>
    <w:rsid w:val="00426188"/>
    <w:rsid w:val="00426932"/>
    <w:rsid w:val="004308BE"/>
    <w:rsid w:val="00431640"/>
    <w:rsid w:val="0043178F"/>
    <w:rsid w:val="004326AC"/>
    <w:rsid w:val="00434AB3"/>
    <w:rsid w:val="004353BE"/>
    <w:rsid w:val="00436349"/>
    <w:rsid w:val="00437C51"/>
    <w:rsid w:val="00441B65"/>
    <w:rsid w:val="00441D67"/>
    <w:rsid w:val="00441FBD"/>
    <w:rsid w:val="00444443"/>
    <w:rsid w:val="00445E0D"/>
    <w:rsid w:val="004461EA"/>
    <w:rsid w:val="00446604"/>
    <w:rsid w:val="004468C0"/>
    <w:rsid w:val="00451115"/>
    <w:rsid w:val="00451149"/>
    <w:rsid w:val="00452322"/>
    <w:rsid w:val="00452614"/>
    <w:rsid w:val="00453929"/>
    <w:rsid w:val="00453B3E"/>
    <w:rsid w:val="00453B49"/>
    <w:rsid w:val="0045524B"/>
    <w:rsid w:val="00456206"/>
    <w:rsid w:val="00460087"/>
    <w:rsid w:val="00461908"/>
    <w:rsid w:val="0046204A"/>
    <w:rsid w:val="0046239A"/>
    <w:rsid w:val="004623A4"/>
    <w:rsid w:val="00462ACB"/>
    <w:rsid w:val="0046311B"/>
    <w:rsid w:val="0046333B"/>
    <w:rsid w:val="004638AD"/>
    <w:rsid w:val="00464C9E"/>
    <w:rsid w:val="00465F69"/>
    <w:rsid w:val="004679EE"/>
    <w:rsid w:val="00467C40"/>
    <w:rsid w:val="0047063B"/>
    <w:rsid w:val="00470845"/>
    <w:rsid w:val="00470FA9"/>
    <w:rsid w:val="00475E48"/>
    <w:rsid w:val="004761CB"/>
    <w:rsid w:val="0048061F"/>
    <w:rsid w:val="00483CB1"/>
    <w:rsid w:val="004877BE"/>
    <w:rsid w:val="00487856"/>
    <w:rsid w:val="00487A68"/>
    <w:rsid w:val="004933C4"/>
    <w:rsid w:val="004948FC"/>
    <w:rsid w:val="0049650F"/>
    <w:rsid w:val="004A1C28"/>
    <w:rsid w:val="004A37D0"/>
    <w:rsid w:val="004A3911"/>
    <w:rsid w:val="004A475D"/>
    <w:rsid w:val="004A559B"/>
    <w:rsid w:val="004A5726"/>
    <w:rsid w:val="004A7466"/>
    <w:rsid w:val="004B05AC"/>
    <w:rsid w:val="004B1E4D"/>
    <w:rsid w:val="004B2621"/>
    <w:rsid w:val="004B2E70"/>
    <w:rsid w:val="004B4996"/>
    <w:rsid w:val="004B5361"/>
    <w:rsid w:val="004B5B40"/>
    <w:rsid w:val="004B5C83"/>
    <w:rsid w:val="004B7402"/>
    <w:rsid w:val="004B7FE8"/>
    <w:rsid w:val="004C0358"/>
    <w:rsid w:val="004C31A2"/>
    <w:rsid w:val="004C4D70"/>
    <w:rsid w:val="004C75E1"/>
    <w:rsid w:val="004C7C2C"/>
    <w:rsid w:val="004D0051"/>
    <w:rsid w:val="004D0EDD"/>
    <w:rsid w:val="004D1256"/>
    <w:rsid w:val="004D2104"/>
    <w:rsid w:val="004D31C3"/>
    <w:rsid w:val="004D31DB"/>
    <w:rsid w:val="004D49DC"/>
    <w:rsid w:val="004D7AC9"/>
    <w:rsid w:val="004D7B73"/>
    <w:rsid w:val="004E0C4E"/>
    <w:rsid w:val="004E1080"/>
    <w:rsid w:val="004E21A5"/>
    <w:rsid w:val="004E2ECA"/>
    <w:rsid w:val="004E2FAA"/>
    <w:rsid w:val="004E33C4"/>
    <w:rsid w:val="004E3A74"/>
    <w:rsid w:val="004E4511"/>
    <w:rsid w:val="004E4579"/>
    <w:rsid w:val="004E59D5"/>
    <w:rsid w:val="004E61CB"/>
    <w:rsid w:val="004E6AAA"/>
    <w:rsid w:val="004F0482"/>
    <w:rsid w:val="004F160C"/>
    <w:rsid w:val="004F17C0"/>
    <w:rsid w:val="004F2189"/>
    <w:rsid w:val="004F38D7"/>
    <w:rsid w:val="004F3E15"/>
    <w:rsid w:val="004F400F"/>
    <w:rsid w:val="004F4A64"/>
    <w:rsid w:val="004F4AC9"/>
    <w:rsid w:val="004F4B15"/>
    <w:rsid w:val="004F5BCA"/>
    <w:rsid w:val="004F6600"/>
    <w:rsid w:val="004F661C"/>
    <w:rsid w:val="004F6D58"/>
    <w:rsid w:val="004F7528"/>
    <w:rsid w:val="005003E6"/>
    <w:rsid w:val="005007D7"/>
    <w:rsid w:val="005037A6"/>
    <w:rsid w:val="00503C93"/>
    <w:rsid w:val="00504C45"/>
    <w:rsid w:val="00506149"/>
    <w:rsid w:val="00507172"/>
    <w:rsid w:val="00507DE0"/>
    <w:rsid w:val="005114E0"/>
    <w:rsid w:val="00513E34"/>
    <w:rsid w:val="0051589E"/>
    <w:rsid w:val="005158BA"/>
    <w:rsid w:val="005205EB"/>
    <w:rsid w:val="0052061C"/>
    <w:rsid w:val="00520919"/>
    <w:rsid w:val="00522454"/>
    <w:rsid w:val="00522DD5"/>
    <w:rsid w:val="00524791"/>
    <w:rsid w:val="005257FB"/>
    <w:rsid w:val="00527E64"/>
    <w:rsid w:val="00533537"/>
    <w:rsid w:val="00535420"/>
    <w:rsid w:val="005366A5"/>
    <w:rsid w:val="00540B5C"/>
    <w:rsid w:val="00544EBF"/>
    <w:rsid w:val="00546D26"/>
    <w:rsid w:val="00553D8A"/>
    <w:rsid w:val="00554CD7"/>
    <w:rsid w:val="00555465"/>
    <w:rsid w:val="00555B5B"/>
    <w:rsid w:val="005602B6"/>
    <w:rsid w:val="0056110B"/>
    <w:rsid w:val="00561E85"/>
    <w:rsid w:val="00563AB0"/>
    <w:rsid w:val="005653F0"/>
    <w:rsid w:val="00570E49"/>
    <w:rsid w:val="00576BF2"/>
    <w:rsid w:val="00577B76"/>
    <w:rsid w:val="00583A46"/>
    <w:rsid w:val="00583A8F"/>
    <w:rsid w:val="005846E4"/>
    <w:rsid w:val="005858EF"/>
    <w:rsid w:val="00587087"/>
    <w:rsid w:val="005876F8"/>
    <w:rsid w:val="00591603"/>
    <w:rsid w:val="00592D8F"/>
    <w:rsid w:val="00593E9F"/>
    <w:rsid w:val="00595E99"/>
    <w:rsid w:val="005975E2"/>
    <w:rsid w:val="005978D3"/>
    <w:rsid w:val="005A0EE2"/>
    <w:rsid w:val="005A134F"/>
    <w:rsid w:val="005A1864"/>
    <w:rsid w:val="005A1B29"/>
    <w:rsid w:val="005A4EE2"/>
    <w:rsid w:val="005A60BB"/>
    <w:rsid w:val="005A6AF8"/>
    <w:rsid w:val="005B0414"/>
    <w:rsid w:val="005B103A"/>
    <w:rsid w:val="005B21A8"/>
    <w:rsid w:val="005B2485"/>
    <w:rsid w:val="005B261B"/>
    <w:rsid w:val="005B26D7"/>
    <w:rsid w:val="005B5B34"/>
    <w:rsid w:val="005B6BFC"/>
    <w:rsid w:val="005C0A35"/>
    <w:rsid w:val="005C118A"/>
    <w:rsid w:val="005C147F"/>
    <w:rsid w:val="005C2276"/>
    <w:rsid w:val="005C2442"/>
    <w:rsid w:val="005C2C7B"/>
    <w:rsid w:val="005C43EA"/>
    <w:rsid w:val="005C5C76"/>
    <w:rsid w:val="005C5FCE"/>
    <w:rsid w:val="005C6C99"/>
    <w:rsid w:val="005C7733"/>
    <w:rsid w:val="005D0399"/>
    <w:rsid w:val="005D14A8"/>
    <w:rsid w:val="005D31FC"/>
    <w:rsid w:val="005D49B8"/>
    <w:rsid w:val="005D4FED"/>
    <w:rsid w:val="005D5B5A"/>
    <w:rsid w:val="005D7DC9"/>
    <w:rsid w:val="005E0C5B"/>
    <w:rsid w:val="005E2ACB"/>
    <w:rsid w:val="005E40A6"/>
    <w:rsid w:val="005E4434"/>
    <w:rsid w:val="005E4EA8"/>
    <w:rsid w:val="005E5136"/>
    <w:rsid w:val="005E5CFD"/>
    <w:rsid w:val="005E65C3"/>
    <w:rsid w:val="005F015E"/>
    <w:rsid w:val="005F2095"/>
    <w:rsid w:val="005F3572"/>
    <w:rsid w:val="005F3614"/>
    <w:rsid w:val="005F3BD0"/>
    <w:rsid w:val="005F4C64"/>
    <w:rsid w:val="005F4E5B"/>
    <w:rsid w:val="005F5C7F"/>
    <w:rsid w:val="005F7160"/>
    <w:rsid w:val="005F7665"/>
    <w:rsid w:val="0060127F"/>
    <w:rsid w:val="0060530F"/>
    <w:rsid w:val="006054CB"/>
    <w:rsid w:val="00605FB8"/>
    <w:rsid w:val="006064E3"/>
    <w:rsid w:val="0060707F"/>
    <w:rsid w:val="00610B9C"/>
    <w:rsid w:val="00610C57"/>
    <w:rsid w:val="00611693"/>
    <w:rsid w:val="00612085"/>
    <w:rsid w:val="006128A7"/>
    <w:rsid w:val="00613694"/>
    <w:rsid w:val="00613F1B"/>
    <w:rsid w:val="0061499F"/>
    <w:rsid w:val="0061748A"/>
    <w:rsid w:val="00617D33"/>
    <w:rsid w:val="00620924"/>
    <w:rsid w:val="00621C91"/>
    <w:rsid w:val="0062435D"/>
    <w:rsid w:val="00624618"/>
    <w:rsid w:val="006262AF"/>
    <w:rsid w:val="006271E4"/>
    <w:rsid w:val="006274EA"/>
    <w:rsid w:val="0062761A"/>
    <w:rsid w:val="00627CD2"/>
    <w:rsid w:val="0063005A"/>
    <w:rsid w:val="00632A27"/>
    <w:rsid w:val="00632F9F"/>
    <w:rsid w:val="00634678"/>
    <w:rsid w:val="00634B4B"/>
    <w:rsid w:val="00636ED9"/>
    <w:rsid w:val="006371C6"/>
    <w:rsid w:val="0063788E"/>
    <w:rsid w:val="006421F6"/>
    <w:rsid w:val="00646440"/>
    <w:rsid w:val="00650CE9"/>
    <w:rsid w:val="0065165A"/>
    <w:rsid w:val="00654384"/>
    <w:rsid w:val="006557F3"/>
    <w:rsid w:val="0065640A"/>
    <w:rsid w:val="006601E8"/>
    <w:rsid w:val="006619AA"/>
    <w:rsid w:val="00662B2D"/>
    <w:rsid w:val="00662E3E"/>
    <w:rsid w:val="006642F2"/>
    <w:rsid w:val="006645A1"/>
    <w:rsid w:val="00666151"/>
    <w:rsid w:val="006666F2"/>
    <w:rsid w:val="00667575"/>
    <w:rsid w:val="00667593"/>
    <w:rsid w:val="00670112"/>
    <w:rsid w:val="00670A51"/>
    <w:rsid w:val="006724EC"/>
    <w:rsid w:val="006731DC"/>
    <w:rsid w:val="006755A9"/>
    <w:rsid w:val="0067576C"/>
    <w:rsid w:val="006759BD"/>
    <w:rsid w:val="00680BCE"/>
    <w:rsid w:val="00680FE7"/>
    <w:rsid w:val="006817FC"/>
    <w:rsid w:val="006820E7"/>
    <w:rsid w:val="00683D0F"/>
    <w:rsid w:val="00684447"/>
    <w:rsid w:val="00685383"/>
    <w:rsid w:val="0068539F"/>
    <w:rsid w:val="00685F85"/>
    <w:rsid w:val="006871EF"/>
    <w:rsid w:val="0069016D"/>
    <w:rsid w:val="00690862"/>
    <w:rsid w:val="00690BD4"/>
    <w:rsid w:val="006933B4"/>
    <w:rsid w:val="0069525B"/>
    <w:rsid w:val="00696728"/>
    <w:rsid w:val="00696843"/>
    <w:rsid w:val="00696E0F"/>
    <w:rsid w:val="00697C1D"/>
    <w:rsid w:val="006A11D8"/>
    <w:rsid w:val="006A6C8E"/>
    <w:rsid w:val="006A7A3F"/>
    <w:rsid w:val="006B121A"/>
    <w:rsid w:val="006B1B49"/>
    <w:rsid w:val="006B1EA0"/>
    <w:rsid w:val="006B4041"/>
    <w:rsid w:val="006B4434"/>
    <w:rsid w:val="006B5731"/>
    <w:rsid w:val="006B5A1F"/>
    <w:rsid w:val="006B68B9"/>
    <w:rsid w:val="006B7B2A"/>
    <w:rsid w:val="006B7D7E"/>
    <w:rsid w:val="006C0AC7"/>
    <w:rsid w:val="006C172D"/>
    <w:rsid w:val="006C21FE"/>
    <w:rsid w:val="006C2214"/>
    <w:rsid w:val="006C25E2"/>
    <w:rsid w:val="006C70D5"/>
    <w:rsid w:val="006C746D"/>
    <w:rsid w:val="006C7C99"/>
    <w:rsid w:val="006D08A5"/>
    <w:rsid w:val="006D0D8B"/>
    <w:rsid w:val="006D140D"/>
    <w:rsid w:val="006D25D1"/>
    <w:rsid w:val="006D3232"/>
    <w:rsid w:val="006D378B"/>
    <w:rsid w:val="006D3EDA"/>
    <w:rsid w:val="006D5266"/>
    <w:rsid w:val="006D784A"/>
    <w:rsid w:val="006D7B74"/>
    <w:rsid w:val="006E05AB"/>
    <w:rsid w:val="006E2B74"/>
    <w:rsid w:val="006E2BE3"/>
    <w:rsid w:val="006E30E0"/>
    <w:rsid w:val="006E37C1"/>
    <w:rsid w:val="006E5A42"/>
    <w:rsid w:val="006E69CA"/>
    <w:rsid w:val="006E7DD5"/>
    <w:rsid w:val="006F0393"/>
    <w:rsid w:val="006F4BC7"/>
    <w:rsid w:val="006F4D75"/>
    <w:rsid w:val="006F5892"/>
    <w:rsid w:val="006F59DF"/>
    <w:rsid w:val="006F5C81"/>
    <w:rsid w:val="006F7440"/>
    <w:rsid w:val="00700F73"/>
    <w:rsid w:val="0070208E"/>
    <w:rsid w:val="007036E1"/>
    <w:rsid w:val="00704E2B"/>
    <w:rsid w:val="00704E41"/>
    <w:rsid w:val="0070589B"/>
    <w:rsid w:val="00705B8F"/>
    <w:rsid w:val="0070682E"/>
    <w:rsid w:val="00706C2F"/>
    <w:rsid w:val="0070737E"/>
    <w:rsid w:val="00710605"/>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3A33"/>
    <w:rsid w:val="00724348"/>
    <w:rsid w:val="00724FBA"/>
    <w:rsid w:val="007251B0"/>
    <w:rsid w:val="00725449"/>
    <w:rsid w:val="007265A7"/>
    <w:rsid w:val="00731180"/>
    <w:rsid w:val="007312F6"/>
    <w:rsid w:val="0073229A"/>
    <w:rsid w:val="00732FD7"/>
    <w:rsid w:val="007345D2"/>
    <w:rsid w:val="00735FBB"/>
    <w:rsid w:val="00736D9C"/>
    <w:rsid w:val="00737412"/>
    <w:rsid w:val="007374E9"/>
    <w:rsid w:val="00737959"/>
    <w:rsid w:val="00737C92"/>
    <w:rsid w:val="0074058D"/>
    <w:rsid w:val="00741D12"/>
    <w:rsid w:val="00742487"/>
    <w:rsid w:val="0074297E"/>
    <w:rsid w:val="007444BD"/>
    <w:rsid w:val="00746270"/>
    <w:rsid w:val="00747509"/>
    <w:rsid w:val="00747E83"/>
    <w:rsid w:val="00752396"/>
    <w:rsid w:val="00752B15"/>
    <w:rsid w:val="00752E44"/>
    <w:rsid w:val="00753D59"/>
    <w:rsid w:val="00754E35"/>
    <w:rsid w:val="0075705D"/>
    <w:rsid w:val="00762E03"/>
    <w:rsid w:val="00762EAA"/>
    <w:rsid w:val="00764349"/>
    <w:rsid w:val="007649A8"/>
    <w:rsid w:val="007649E6"/>
    <w:rsid w:val="00764FF1"/>
    <w:rsid w:val="007663A1"/>
    <w:rsid w:val="00767133"/>
    <w:rsid w:val="00767FDE"/>
    <w:rsid w:val="007700A7"/>
    <w:rsid w:val="00772F09"/>
    <w:rsid w:val="00776458"/>
    <w:rsid w:val="007778A7"/>
    <w:rsid w:val="007817E8"/>
    <w:rsid w:val="00782164"/>
    <w:rsid w:val="007852EC"/>
    <w:rsid w:val="00790A49"/>
    <w:rsid w:val="00791C36"/>
    <w:rsid w:val="00792D4C"/>
    <w:rsid w:val="00792F73"/>
    <w:rsid w:val="00793900"/>
    <w:rsid w:val="0079421E"/>
    <w:rsid w:val="00796C18"/>
    <w:rsid w:val="00797285"/>
    <w:rsid w:val="007A50A8"/>
    <w:rsid w:val="007A5165"/>
    <w:rsid w:val="007A6F65"/>
    <w:rsid w:val="007B0734"/>
    <w:rsid w:val="007B09B5"/>
    <w:rsid w:val="007B31EF"/>
    <w:rsid w:val="007B403B"/>
    <w:rsid w:val="007B5158"/>
    <w:rsid w:val="007B63DA"/>
    <w:rsid w:val="007B643C"/>
    <w:rsid w:val="007B6604"/>
    <w:rsid w:val="007B666F"/>
    <w:rsid w:val="007B7908"/>
    <w:rsid w:val="007B7F6F"/>
    <w:rsid w:val="007C25A7"/>
    <w:rsid w:val="007C2968"/>
    <w:rsid w:val="007C3058"/>
    <w:rsid w:val="007C4BFD"/>
    <w:rsid w:val="007C75CE"/>
    <w:rsid w:val="007D128F"/>
    <w:rsid w:val="007D2B99"/>
    <w:rsid w:val="007D3479"/>
    <w:rsid w:val="007D390B"/>
    <w:rsid w:val="007D48D1"/>
    <w:rsid w:val="007D6126"/>
    <w:rsid w:val="007E0155"/>
    <w:rsid w:val="007E1B16"/>
    <w:rsid w:val="007E310D"/>
    <w:rsid w:val="007E4628"/>
    <w:rsid w:val="007E5070"/>
    <w:rsid w:val="007E5685"/>
    <w:rsid w:val="007E660D"/>
    <w:rsid w:val="007F2580"/>
    <w:rsid w:val="007F3082"/>
    <w:rsid w:val="007F6FD1"/>
    <w:rsid w:val="007F7367"/>
    <w:rsid w:val="007F73BE"/>
    <w:rsid w:val="00801ADF"/>
    <w:rsid w:val="00801C1B"/>
    <w:rsid w:val="00804BF9"/>
    <w:rsid w:val="008059B7"/>
    <w:rsid w:val="00805D56"/>
    <w:rsid w:val="0080766F"/>
    <w:rsid w:val="00811499"/>
    <w:rsid w:val="008115D2"/>
    <w:rsid w:val="008128A5"/>
    <w:rsid w:val="00813DCE"/>
    <w:rsid w:val="008147AE"/>
    <w:rsid w:val="00814CDB"/>
    <w:rsid w:val="0081543C"/>
    <w:rsid w:val="00815E73"/>
    <w:rsid w:val="00816C29"/>
    <w:rsid w:val="00816F71"/>
    <w:rsid w:val="00821913"/>
    <w:rsid w:val="0082330E"/>
    <w:rsid w:val="00827D3E"/>
    <w:rsid w:val="00827D86"/>
    <w:rsid w:val="00827FB6"/>
    <w:rsid w:val="00827FF9"/>
    <w:rsid w:val="00830C34"/>
    <w:rsid w:val="00831669"/>
    <w:rsid w:val="00832FC5"/>
    <w:rsid w:val="0083301D"/>
    <w:rsid w:val="00833803"/>
    <w:rsid w:val="00833E19"/>
    <w:rsid w:val="00833EA3"/>
    <w:rsid w:val="00833EB7"/>
    <w:rsid w:val="00834588"/>
    <w:rsid w:val="0083484D"/>
    <w:rsid w:val="008352F8"/>
    <w:rsid w:val="00837090"/>
    <w:rsid w:val="00837F79"/>
    <w:rsid w:val="008404D1"/>
    <w:rsid w:val="0084220A"/>
    <w:rsid w:val="008444CD"/>
    <w:rsid w:val="00844811"/>
    <w:rsid w:val="00846482"/>
    <w:rsid w:val="0084657E"/>
    <w:rsid w:val="00847071"/>
    <w:rsid w:val="00850400"/>
    <w:rsid w:val="00851B83"/>
    <w:rsid w:val="0085232E"/>
    <w:rsid w:val="00852535"/>
    <w:rsid w:val="00852E0B"/>
    <w:rsid w:val="00852EFB"/>
    <w:rsid w:val="00853AB1"/>
    <w:rsid w:val="00855BE5"/>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3837"/>
    <w:rsid w:val="008838E3"/>
    <w:rsid w:val="00884E3A"/>
    <w:rsid w:val="0088512F"/>
    <w:rsid w:val="00890245"/>
    <w:rsid w:val="0089150A"/>
    <w:rsid w:val="008946B2"/>
    <w:rsid w:val="00896691"/>
    <w:rsid w:val="00896988"/>
    <w:rsid w:val="008969CA"/>
    <w:rsid w:val="0089706B"/>
    <w:rsid w:val="008A1223"/>
    <w:rsid w:val="008A1920"/>
    <w:rsid w:val="008A208C"/>
    <w:rsid w:val="008A20D0"/>
    <w:rsid w:val="008A5CBB"/>
    <w:rsid w:val="008B2574"/>
    <w:rsid w:val="008B3C0A"/>
    <w:rsid w:val="008B60C1"/>
    <w:rsid w:val="008B6157"/>
    <w:rsid w:val="008B61C1"/>
    <w:rsid w:val="008B6450"/>
    <w:rsid w:val="008B7C82"/>
    <w:rsid w:val="008C0A6D"/>
    <w:rsid w:val="008C1B18"/>
    <w:rsid w:val="008C259C"/>
    <w:rsid w:val="008C6A2F"/>
    <w:rsid w:val="008C73CC"/>
    <w:rsid w:val="008C7991"/>
    <w:rsid w:val="008D052B"/>
    <w:rsid w:val="008D14FF"/>
    <w:rsid w:val="008D3041"/>
    <w:rsid w:val="008D620A"/>
    <w:rsid w:val="008D6A1B"/>
    <w:rsid w:val="008D7602"/>
    <w:rsid w:val="008E032C"/>
    <w:rsid w:val="008E19F4"/>
    <w:rsid w:val="008E1BA5"/>
    <w:rsid w:val="008E3F89"/>
    <w:rsid w:val="008E59F2"/>
    <w:rsid w:val="008E5CCF"/>
    <w:rsid w:val="008E700E"/>
    <w:rsid w:val="008F0D90"/>
    <w:rsid w:val="008F392E"/>
    <w:rsid w:val="008F3C85"/>
    <w:rsid w:val="008F4237"/>
    <w:rsid w:val="008F5CD5"/>
    <w:rsid w:val="009008D8"/>
    <w:rsid w:val="009009EB"/>
    <w:rsid w:val="009028CD"/>
    <w:rsid w:val="009046C1"/>
    <w:rsid w:val="00904886"/>
    <w:rsid w:val="00904DA9"/>
    <w:rsid w:val="00904E98"/>
    <w:rsid w:val="00905733"/>
    <w:rsid w:val="00905850"/>
    <w:rsid w:val="0090639A"/>
    <w:rsid w:val="00906C0D"/>
    <w:rsid w:val="00910D6E"/>
    <w:rsid w:val="0091145D"/>
    <w:rsid w:val="00911F06"/>
    <w:rsid w:val="0091395D"/>
    <w:rsid w:val="00913F64"/>
    <w:rsid w:val="00916F69"/>
    <w:rsid w:val="009170E2"/>
    <w:rsid w:val="0092116C"/>
    <w:rsid w:val="00924C87"/>
    <w:rsid w:val="00925ADB"/>
    <w:rsid w:val="00925D09"/>
    <w:rsid w:val="00927463"/>
    <w:rsid w:val="00927F31"/>
    <w:rsid w:val="009308BF"/>
    <w:rsid w:val="0093156F"/>
    <w:rsid w:val="00931A98"/>
    <w:rsid w:val="00931EDC"/>
    <w:rsid w:val="009344ED"/>
    <w:rsid w:val="00935E67"/>
    <w:rsid w:val="009365B2"/>
    <w:rsid w:val="00937770"/>
    <w:rsid w:val="00940C09"/>
    <w:rsid w:val="00941BDC"/>
    <w:rsid w:val="009424F6"/>
    <w:rsid w:val="0095021E"/>
    <w:rsid w:val="00951362"/>
    <w:rsid w:val="00951880"/>
    <w:rsid w:val="00953EB4"/>
    <w:rsid w:val="00953EFB"/>
    <w:rsid w:val="009546E9"/>
    <w:rsid w:val="00955076"/>
    <w:rsid w:val="00956EF0"/>
    <w:rsid w:val="0095713D"/>
    <w:rsid w:val="00960126"/>
    <w:rsid w:val="00960A89"/>
    <w:rsid w:val="00962257"/>
    <w:rsid w:val="009622BD"/>
    <w:rsid w:val="0096573D"/>
    <w:rsid w:val="00966D02"/>
    <w:rsid w:val="00966E19"/>
    <w:rsid w:val="00967F7A"/>
    <w:rsid w:val="00970DE0"/>
    <w:rsid w:val="00970DED"/>
    <w:rsid w:val="009728B3"/>
    <w:rsid w:val="009745C8"/>
    <w:rsid w:val="00974A83"/>
    <w:rsid w:val="00974AAC"/>
    <w:rsid w:val="009762B8"/>
    <w:rsid w:val="00976A14"/>
    <w:rsid w:val="00976BB2"/>
    <w:rsid w:val="0097776F"/>
    <w:rsid w:val="009777AE"/>
    <w:rsid w:val="00982A85"/>
    <w:rsid w:val="00982BC2"/>
    <w:rsid w:val="00983584"/>
    <w:rsid w:val="00983B66"/>
    <w:rsid w:val="0098492F"/>
    <w:rsid w:val="0098500E"/>
    <w:rsid w:val="00986D2C"/>
    <w:rsid w:val="009916B7"/>
    <w:rsid w:val="009927C8"/>
    <w:rsid w:val="009929F6"/>
    <w:rsid w:val="00992A29"/>
    <w:rsid w:val="00992B23"/>
    <w:rsid w:val="00992F66"/>
    <w:rsid w:val="009932AC"/>
    <w:rsid w:val="00994D67"/>
    <w:rsid w:val="009A0381"/>
    <w:rsid w:val="009A0F60"/>
    <w:rsid w:val="009A184E"/>
    <w:rsid w:val="009A404A"/>
    <w:rsid w:val="009A4132"/>
    <w:rsid w:val="009A5359"/>
    <w:rsid w:val="009A7384"/>
    <w:rsid w:val="009B298A"/>
    <w:rsid w:val="009C0071"/>
    <w:rsid w:val="009C01DB"/>
    <w:rsid w:val="009C0C57"/>
    <w:rsid w:val="009C145D"/>
    <w:rsid w:val="009C2555"/>
    <w:rsid w:val="009C2A16"/>
    <w:rsid w:val="009C33E0"/>
    <w:rsid w:val="009C589D"/>
    <w:rsid w:val="009C58D3"/>
    <w:rsid w:val="009C5E3B"/>
    <w:rsid w:val="009D0508"/>
    <w:rsid w:val="009D09EE"/>
    <w:rsid w:val="009D1904"/>
    <w:rsid w:val="009D20F7"/>
    <w:rsid w:val="009D2FD7"/>
    <w:rsid w:val="009D34D5"/>
    <w:rsid w:val="009D4720"/>
    <w:rsid w:val="009D4FF5"/>
    <w:rsid w:val="009E02DF"/>
    <w:rsid w:val="009E1D05"/>
    <w:rsid w:val="009E2BFE"/>
    <w:rsid w:val="009E2C79"/>
    <w:rsid w:val="009E38A7"/>
    <w:rsid w:val="009E4459"/>
    <w:rsid w:val="009E50BF"/>
    <w:rsid w:val="009E5AB4"/>
    <w:rsid w:val="009E5BE5"/>
    <w:rsid w:val="009E64D3"/>
    <w:rsid w:val="009E78CD"/>
    <w:rsid w:val="009F19FC"/>
    <w:rsid w:val="009F1EF9"/>
    <w:rsid w:val="009F3C14"/>
    <w:rsid w:val="009F54B1"/>
    <w:rsid w:val="009F56E8"/>
    <w:rsid w:val="009F5D49"/>
    <w:rsid w:val="009F6699"/>
    <w:rsid w:val="009F6DF8"/>
    <w:rsid w:val="009F768A"/>
    <w:rsid w:val="009F7DA8"/>
    <w:rsid w:val="009F7FE2"/>
    <w:rsid w:val="00A00445"/>
    <w:rsid w:val="00A01BB5"/>
    <w:rsid w:val="00A02F29"/>
    <w:rsid w:val="00A02F36"/>
    <w:rsid w:val="00A03765"/>
    <w:rsid w:val="00A038CA"/>
    <w:rsid w:val="00A04153"/>
    <w:rsid w:val="00A13801"/>
    <w:rsid w:val="00A14734"/>
    <w:rsid w:val="00A157E8"/>
    <w:rsid w:val="00A22D8B"/>
    <w:rsid w:val="00A23E67"/>
    <w:rsid w:val="00A2445F"/>
    <w:rsid w:val="00A25277"/>
    <w:rsid w:val="00A26585"/>
    <w:rsid w:val="00A30DA2"/>
    <w:rsid w:val="00A31978"/>
    <w:rsid w:val="00A31F67"/>
    <w:rsid w:val="00A341A1"/>
    <w:rsid w:val="00A341E9"/>
    <w:rsid w:val="00A363EB"/>
    <w:rsid w:val="00A44919"/>
    <w:rsid w:val="00A51818"/>
    <w:rsid w:val="00A51D0D"/>
    <w:rsid w:val="00A52474"/>
    <w:rsid w:val="00A52762"/>
    <w:rsid w:val="00A529FE"/>
    <w:rsid w:val="00A53B74"/>
    <w:rsid w:val="00A53F1C"/>
    <w:rsid w:val="00A56A19"/>
    <w:rsid w:val="00A605B8"/>
    <w:rsid w:val="00A645AD"/>
    <w:rsid w:val="00A66E63"/>
    <w:rsid w:val="00A66FD0"/>
    <w:rsid w:val="00A7000B"/>
    <w:rsid w:val="00A70CA6"/>
    <w:rsid w:val="00A73730"/>
    <w:rsid w:val="00A738C1"/>
    <w:rsid w:val="00A75130"/>
    <w:rsid w:val="00A75B61"/>
    <w:rsid w:val="00A76359"/>
    <w:rsid w:val="00A800A5"/>
    <w:rsid w:val="00A803B7"/>
    <w:rsid w:val="00A80A61"/>
    <w:rsid w:val="00A81014"/>
    <w:rsid w:val="00A84E12"/>
    <w:rsid w:val="00A84EF0"/>
    <w:rsid w:val="00A85872"/>
    <w:rsid w:val="00A872BC"/>
    <w:rsid w:val="00A9285F"/>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469F"/>
    <w:rsid w:val="00AD4DA0"/>
    <w:rsid w:val="00AD66D6"/>
    <w:rsid w:val="00AD6A9E"/>
    <w:rsid w:val="00AE0C44"/>
    <w:rsid w:val="00AE1D5A"/>
    <w:rsid w:val="00AE2B00"/>
    <w:rsid w:val="00AE4B30"/>
    <w:rsid w:val="00AE4F0E"/>
    <w:rsid w:val="00AE5135"/>
    <w:rsid w:val="00AE6B34"/>
    <w:rsid w:val="00AE6BA0"/>
    <w:rsid w:val="00AF1876"/>
    <w:rsid w:val="00AF79F8"/>
    <w:rsid w:val="00B02E0B"/>
    <w:rsid w:val="00B045B0"/>
    <w:rsid w:val="00B064BB"/>
    <w:rsid w:val="00B068D0"/>
    <w:rsid w:val="00B06C11"/>
    <w:rsid w:val="00B074F9"/>
    <w:rsid w:val="00B07C40"/>
    <w:rsid w:val="00B10257"/>
    <w:rsid w:val="00B1304C"/>
    <w:rsid w:val="00B133D1"/>
    <w:rsid w:val="00B159B0"/>
    <w:rsid w:val="00B15D00"/>
    <w:rsid w:val="00B16688"/>
    <w:rsid w:val="00B177FC"/>
    <w:rsid w:val="00B20466"/>
    <w:rsid w:val="00B20A02"/>
    <w:rsid w:val="00B24633"/>
    <w:rsid w:val="00B25347"/>
    <w:rsid w:val="00B25BFA"/>
    <w:rsid w:val="00B2666F"/>
    <w:rsid w:val="00B27874"/>
    <w:rsid w:val="00B307E4"/>
    <w:rsid w:val="00B31212"/>
    <w:rsid w:val="00B32BB6"/>
    <w:rsid w:val="00B33122"/>
    <w:rsid w:val="00B33C5A"/>
    <w:rsid w:val="00B3633A"/>
    <w:rsid w:val="00B404F7"/>
    <w:rsid w:val="00B41860"/>
    <w:rsid w:val="00B43844"/>
    <w:rsid w:val="00B523FB"/>
    <w:rsid w:val="00B55D52"/>
    <w:rsid w:val="00B56BEF"/>
    <w:rsid w:val="00B600F9"/>
    <w:rsid w:val="00B60E77"/>
    <w:rsid w:val="00B62AC9"/>
    <w:rsid w:val="00B63764"/>
    <w:rsid w:val="00B64A97"/>
    <w:rsid w:val="00B65C12"/>
    <w:rsid w:val="00B67F2B"/>
    <w:rsid w:val="00B70C83"/>
    <w:rsid w:val="00B717FC"/>
    <w:rsid w:val="00B71A82"/>
    <w:rsid w:val="00B72A7C"/>
    <w:rsid w:val="00B73EFA"/>
    <w:rsid w:val="00B7482C"/>
    <w:rsid w:val="00B74AD1"/>
    <w:rsid w:val="00B75338"/>
    <w:rsid w:val="00B75E9D"/>
    <w:rsid w:val="00B834D3"/>
    <w:rsid w:val="00B83773"/>
    <w:rsid w:val="00B83A91"/>
    <w:rsid w:val="00B84EAE"/>
    <w:rsid w:val="00B85E2B"/>
    <w:rsid w:val="00B86E6F"/>
    <w:rsid w:val="00B901AA"/>
    <w:rsid w:val="00B90A6E"/>
    <w:rsid w:val="00B90DA6"/>
    <w:rsid w:val="00B93F3C"/>
    <w:rsid w:val="00B94A45"/>
    <w:rsid w:val="00B94EDA"/>
    <w:rsid w:val="00B96967"/>
    <w:rsid w:val="00BA0A61"/>
    <w:rsid w:val="00BA0D58"/>
    <w:rsid w:val="00BA180E"/>
    <w:rsid w:val="00BA188A"/>
    <w:rsid w:val="00BA2753"/>
    <w:rsid w:val="00BA4912"/>
    <w:rsid w:val="00BA53D8"/>
    <w:rsid w:val="00BA56BC"/>
    <w:rsid w:val="00BA59CB"/>
    <w:rsid w:val="00BA69C1"/>
    <w:rsid w:val="00BA6A96"/>
    <w:rsid w:val="00BA7EE6"/>
    <w:rsid w:val="00BB30CC"/>
    <w:rsid w:val="00BB395B"/>
    <w:rsid w:val="00BB3DE8"/>
    <w:rsid w:val="00BB4025"/>
    <w:rsid w:val="00BB606D"/>
    <w:rsid w:val="00BB72BA"/>
    <w:rsid w:val="00BB79B0"/>
    <w:rsid w:val="00BB7BF9"/>
    <w:rsid w:val="00BC056D"/>
    <w:rsid w:val="00BC0DC9"/>
    <w:rsid w:val="00BC3EC1"/>
    <w:rsid w:val="00BC66B4"/>
    <w:rsid w:val="00BD146B"/>
    <w:rsid w:val="00BD1A78"/>
    <w:rsid w:val="00BD2489"/>
    <w:rsid w:val="00BD28ED"/>
    <w:rsid w:val="00BD2B90"/>
    <w:rsid w:val="00BD3763"/>
    <w:rsid w:val="00BD5A40"/>
    <w:rsid w:val="00BE2D7C"/>
    <w:rsid w:val="00BE3138"/>
    <w:rsid w:val="00BE3437"/>
    <w:rsid w:val="00BE397D"/>
    <w:rsid w:val="00BE3A8F"/>
    <w:rsid w:val="00BE3AB8"/>
    <w:rsid w:val="00BE704C"/>
    <w:rsid w:val="00BE7F02"/>
    <w:rsid w:val="00BF1FD8"/>
    <w:rsid w:val="00BF3349"/>
    <w:rsid w:val="00BF36E7"/>
    <w:rsid w:val="00BF3AE8"/>
    <w:rsid w:val="00BF7090"/>
    <w:rsid w:val="00BF74B0"/>
    <w:rsid w:val="00BF7D96"/>
    <w:rsid w:val="00C02361"/>
    <w:rsid w:val="00C03ACC"/>
    <w:rsid w:val="00C05BBD"/>
    <w:rsid w:val="00C104AE"/>
    <w:rsid w:val="00C10DAA"/>
    <w:rsid w:val="00C12BF0"/>
    <w:rsid w:val="00C13214"/>
    <w:rsid w:val="00C144CB"/>
    <w:rsid w:val="00C210D0"/>
    <w:rsid w:val="00C219F8"/>
    <w:rsid w:val="00C21EA4"/>
    <w:rsid w:val="00C22662"/>
    <w:rsid w:val="00C26DE6"/>
    <w:rsid w:val="00C2705A"/>
    <w:rsid w:val="00C27BA8"/>
    <w:rsid w:val="00C30B9C"/>
    <w:rsid w:val="00C31BCD"/>
    <w:rsid w:val="00C32165"/>
    <w:rsid w:val="00C3273D"/>
    <w:rsid w:val="00C328E3"/>
    <w:rsid w:val="00C32CDD"/>
    <w:rsid w:val="00C34846"/>
    <w:rsid w:val="00C34973"/>
    <w:rsid w:val="00C34A02"/>
    <w:rsid w:val="00C34DEC"/>
    <w:rsid w:val="00C35004"/>
    <w:rsid w:val="00C35EA0"/>
    <w:rsid w:val="00C379E1"/>
    <w:rsid w:val="00C37D12"/>
    <w:rsid w:val="00C37D56"/>
    <w:rsid w:val="00C37EF5"/>
    <w:rsid w:val="00C410A8"/>
    <w:rsid w:val="00C425DC"/>
    <w:rsid w:val="00C444C2"/>
    <w:rsid w:val="00C44CC4"/>
    <w:rsid w:val="00C4551C"/>
    <w:rsid w:val="00C45AC6"/>
    <w:rsid w:val="00C47D85"/>
    <w:rsid w:val="00C52A27"/>
    <w:rsid w:val="00C53C26"/>
    <w:rsid w:val="00C55B2B"/>
    <w:rsid w:val="00C56112"/>
    <w:rsid w:val="00C56697"/>
    <w:rsid w:val="00C56D44"/>
    <w:rsid w:val="00C5796F"/>
    <w:rsid w:val="00C57AA9"/>
    <w:rsid w:val="00C62370"/>
    <w:rsid w:val="00C653FB"/>
    <w:rsid w:val="00C6581F"/>
    <w:rsid w:val="00C6787E"/>
    <w:rsid w:val="00C67A1C"/>
    <w:rsid w:val="00C709D6"/>
    <w:rsid w:val="00C70C2C"/>
    <w:rsid w:val="00C7148E"/>
    <w:rsid w:val="00C7258C"/>
    <w:rsid w:val="00C7696A"/>
    <w:rsid w:val="00C77568"/>
    <w:rsid w:val="00C81181"/>
    <w:rsid w:val="00C8137B"/>
    <w:rsid w:val="00C81B4B"/>
    <w:rsid w:val="00C81F8E"/>
    <w:rsid w:val="00C82CBF"/>
    <w:rsid w:val="00C860A1"/>
    <w:rsid w:val="00C86A4E"/>
    <w:rsid w:val="00C86E7A"/>
    <w:rsid w:val="00C87EB5"/>
    <w:rsid w:val="00C9041C"/>
    <w:rsid w:val="00C91F84"/>
    <w:rsid w:val="00C925C1"/>
    <w:rsid w:val="00C92605"/>
    <w:rsid w:val="00C93822"/>
    <w:rsid w:val="00C9483A"/>
    <w:rsid w:val="00C95419"/>
    <w:rsid w:val="00C95F56"/>
    <w:rsid w:val="00C976EC"/>
    <w:rsid w:val="00C97C87"/>
    <w:rsid w:val="00C97D5B"/>
    <w:rsid w:val="00CA4151"/>
    <w:rsid w:val="00CA44AE"/>
    <w:rsid w:val="00CA45A1"/>
    <w:rsid w:val="00CA5D72"/>
    <w:rsid w:val="00CA6E90"/>
    <w:rsid w:val="00CB1F1B"/>
    <w:rsid w:val="00CB3674"/>
    <w:rsid w:val="00CB4DA2"/>
    <w:rsid w:val="00CB6A88"/>
    <w:rsid w:val="00CB6BCD"/>
    <w:rsid w:val="00CC0843"/>
    <w:rsid w:val="00CC2960"/>
    <w:rsid w:val="00CC3104"/>
    <w:rsid w:val="00CC412D"/>
    <w:rsid w:val="00CD093B"/>
    <w:rsid w:val="00CD4D63"/>
    <w:rsid w:val="00CD52CD"/>
    <w:rsid w:val="00CD5D0B"/>
    <w:rsid w:val="00CD6523"/>
    <w:rsid w:val="00CD6C37"/>
    <w:rsid w:val="00CD7266"/>
    <w:rsid w:val="00CE26EE"/>
    <w:rsid w:val="00CE3BE1"/>
    <w:rsid w:val="00CE45C3"/>
    <w:rsid w:val="00CE50BC"/>
    <w:rsid w:val="00CE650E"/>
    <w:rsid w:val="00CE70DC"/>
    <w:rsid w:val="00CE7EC0"/>
    <w:rsid w:val="00CF0DC3"/>
    <w:rsid w:val="00CF128E"/>
    <w:rsid w:val="00CF3248"/>
    <w:rsid w:val="00CF46A7"/>
    <w:rsid w:val="00CF4746"/>
    <w:rsid w:val="00CF4A7C"/>
    <w:rsid w:val="00CF54FB"/>
    <w:rsid w:val="00CF68A4"/>
    <w:rsid w:val="00D0053C"/>
    <w:rsid w:val="00D015D5"/>
    <w:rsid w:val="00D03639"/>
    <w:rsid w:val="00D047E0"/>
    <w:rsid w:val="00D062E1"/>
    <w:rsid w:val="00D07714"/>
    <w:rsid w:val="00D12626"/>
    <w:rsid w:val="00D148DD"/>
    <w:rsid w:val="00D16706"/>
    <w:rsid w:val="00D17164"/>
    <w:rsid w:val="00D20DA2"/>
    <w:rsid w:val="00D215F4"/>
    <w:rsid w:val="00D23FA7"/>
    <w:rsid w:val="00D259AA"/>
    <w:rsid w:val="00D27B98"/>
    <w:rsid w:val="00D30849"/>
    <w:rsid w:val="00D31633"/>
    <w:rsid w:val="00D33868"/>
    <w:rsid w:val="00D342B4"/>
    <w:rsid w:val="00D34E5D"/>
    <w:rsid w:val="00D371DE"/>
    <w:rsid w:val="00D40BC9"/>
    <w:rsid w:val="00D4372D"/>
    <w:rsid w:val="00D46F9D"/>
    <w:rsid w:val="00D4720C"/>
    <w:rsid w:val="00D47376"/>
    <w:rsid w:val="00D518FA"/>
    <w:rsid w:val="00D52236"/>
    <w:rsid w:val="00D52BC7"/>
    <w:rsid w:val="00D52F30"/>
    <w:rsid w:val="00D55504"/>
    <w:rsid w:val="00D56A2E"/>
    <w:rsid w:val="00D56DF8"/>
    <w:rsid w:val="00D574A2"/>
    <w:rsid w:val="00D617D5"/>
    <w:rsid w:val="00D61A80"/>
    <w:rsid w:val="00D61D57"/>
    <w:rsid w:val="00D63DB7"/>
    <w:rsid w:val="00D655C6"/>
    <w:rsid w:val="00D763E1"/>
    <w:rsid w:val="00D76671"/>
    <w:rsid w:val="00D771E9"/>
    <w:rsid w:val="00D773D8"/>
    <w:rsid w:val="00D80829"/>
    <w:rsid w:val="00D81551"/>
    <w:rsid w:val="00D8156D"/>
    <w:rsid w:val="00D81F33"/>
    <w:rsid w:val="00D82072"/>
    <w:rsid w:val="00D82450"/>
    <w:rsid w:val="00D825E3"/>
    <w:rsid w:val="00D83688"/>
    <w:rsid w:val="00D862DA"/>
    <w:rsid w:val="00D91265"/>
    <w:rsid w:val="00D923D0"/>
    <w:rsid w:val="00D924AB"/>
    <w:rsid w:val="00D92EFD"/>
    <w:rsid w:val="00D94804"/>
    <w:rsid w:val="00D94D8F"/>
    <w:rsid w:val="00D95293"/>
    <w:rsid w:val="00D95E77"/>
    <w:rsid w:val="00D967EA"/>
    <w:rsid w:val="00D970BE"/>
    <w:rsid w:val="00DA11E0"/>
    <w:rsid w:val="00DA1328"/>
    <w:rsid w:val="00DA155B"/>
    <w:rsid w:val="00DA2A89"/>
    <w:rsid w:val="00DB162E"/>
    <w:rsid w:val="00DB1F65"/>
    <w:rsid w:val="00DB4587"/>
    <w:rsid w:val="00DB4889"/>
    <w:rsid w:val="00DB4BAE"/>
    <w:rsid w:val="00DB53F3"/>
    <w:rsid w:val="00DB65B9"/>
    <w:rsid w:val="00DB662E"/>
    <w:rsid w:val="00DB72EC"/>
    <w:rsid w:val="00DB7C91"/>
    <w:rsid w:val="00DB7FF8"/>
    <w:rsid w:val="00DC0734"/>
    <w:rsid w:val="00DC08B1"/>
    <w:rsid w:val="00DC5D60"/>
    <w:rsid w:val="00DC7236"/>
    <w:rsid w:val="00DD05E9"/>
    <w:rsid w:val="00DD0781"/>
    <w:rsid w:val="00DD0E1D"/>
    <w:rsid w:val="00DD2134"/>
    <w:rsid w:val="00DD2F96"/>
    <w:rsid w:val="00DD3BE8"/>
    <w:rsid w:val="00DD4058"/>
    <w:rsid w:val="00DD45C9"/>
    <w:rsid w:val="00DD4D6A"/>
    <w:rsid w:val="00DD6E24"/>
    <w:rsid w:val="00DE0266"/>
    <w:rsid w:val="00DE0CFA"/>
    <w:rsid w:val="00DE230B"/>
    <w:rsid w:val="00DE3F89"/>
    <w:rsid w:val="00DE4166"/>
    <w:rsid w:val="00DE4168"/>
    <w:rsid w:val="00DE42BB"/>
    <w:rsid w:val="00DE5003"/>
    <w:rsid w:val="00DE67F5"/>
    <w:rsid w:val="00DE6A16"/>
    <w:rsid w:val="00DE76DB"/>
    <w:rsid w:val="00DF11B3"/>
    <w:rsid w:val="00DF16B0"/>
    <w:rsid w:val="00DF2830"/>
    <w:rsid w:val="00DF4315"/>
    <w:rsid w:val="00DF6488"/>
    <w:rsid w:val="00DF7595"/>
    <w:rsid w:val="00E00E04"/>
    <w:rsid w:val="00E028C1"/>
    <w:rsid w:val="00E02ED5"/>
    <w:rsid w:val="00E03944"/>
    <w:rsid w:val="00E05A13"/>
    <w:rsid w:val="00E118DB"/>
    <w:rsid w:val="00E140B7"/>
    <w:rsid w:val="00E143A9"/>
    <w:rsid w:val="00E14976"/>
    <w:rsid w:val="00E16708"/>
    <w:rsid w:val="00E16C3E"/>
    <w:rsid w:val="00E202D8"/>
    <w:rsid w:val="00E22215"/>
    <w:rsid w:val="00E23765"/>
    <w:rsid w:val="00E24CFF"/>
    <w:rsid w:val="00E256BF"/>
    <w:rsid w:val="00E30397"/>
    <w:rsid w:val="00E31E67"/>
    <w:rsid w:val="00E34D37"/>
    <w:rsid w:val="00E3545F"/>
    <w:rsid w:val="00E35807"/>
    <w:rsid w:val="00E42863"/>
    <w:rsid w:val="00E44969"/>
    <w:rsid w:val="00E44A97"/>
    <w:rsid w:val="00E4537A"/>
    <w:rsid w:val="00E45E6A"/>
    <w:rsid w:val="00E466B6"/>
    <w:rsid w:val="00E50EAC"/>
    <w:rsid w:val="00E512FE"/>
    <w:rsid w:val="00E52BC1"/>
    <w:rsid w:val="00E53C09"/>
    <w:rsid w:val="00E53F5C"/>
    <w:rsid w:val="00E54262"/>
    <w:rsid w:val="00E54544"/>
    <w:rsid w:val="00E54972"/>
    <w:rsid w:val="00E56865"/>
    <w:rsid w:val="00E57996"/>
    <w:rsid w:val="00E60AF9"/>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5044"/>
    <w:rsid w:val="00E7667C"/>
    <w:rsid w:val="00E77047"/>
    <w:rsid w:val="00E774FD"/>
    <w:rsid w:val="00E80235"/>
    <w:rsid w:val="00E812D0"/>
    <w:rsid w:val="00E8171F"/>
    <w:rsid w:val="00E818AC"/>
    <w:rsid w:val="00E81D34"/>
    <w:rsid w:val="00E83380"/>
    <w:rsid w:val="00E83633"/>
    <w:rsid w:val="00E8366C"/>
    <w:rsid w:val="00E84ECD"/>
    <w:rsid w:val="00E853EE"/>
    <w:rsid w:val="00E866B7"/>
    <w:rsid w:val="00E866DA"/>
    <w:rsid w:val="00E87220"/>
    <w:rsid w:val="00E93039"/>
    <w:rsid w:val="00E94CD4"/>
    <w:rsid w:val="00E97F6D"/>
    <w:rsid w:val="00EA11C1"/>
    <w:rsid w:val="00EA180C"/>
    <w:rsid w:val="00EA1D3C"/>
    <w:rsid w:val="00EA6340"/>
    <w:rsid w:val="00EB0B36"/>
    <w:rsid w:val="00EB103B"/>
    <w:rsid w:val="00EB20AD"/>
    <w:rsid w:val="00EB2AEA"/>
    <w:rsid w:val="00EB2D53"/>
    <w:rsid w:val="00EB3438"/>
    <w:rsid w:val="00EB3913"/>
    <w:rsid w:val="00EB4267"/>
    <w:rsid w:val="00EB48F9"/>
    <w:rsid w:val="00EB4DD9"/>
    <w:rsid w:val="00EC059C"/>
    <w:rsid w:val="00EC0A70"/>
    <w:rsid w:val="00EC3284"/>
    <w:rsid w:val="00EC5BA6"/>
    <w:rsid w:val="00EC78A3"/>
    <w:rsid w:val="00ED798A"/>
    <w:rsid w:val="00EE016F"/>
    <w:rsid w:val="00EE0251"/>
    <w:rsid w:val="00EE2A58"/>
    <w:rsid w:val="00EE35A5"/>
    <w:rsid w:val="00EE6D9C"/>
    <w:rsid w:val="00EE72E9"/>
    <w:rsid w:val="00EE7F76"/>
    <w:rsid w:val="00EF01CA"/>
    <w:rsid w:val="00EF1102"/>
    <w:rsid w:val="00EF1378"/>
    <w:rsid w:val="00EF2AD8"/>
    <w:rsid w:val="00EF3291"/>
    <w:rsid w:val="00EF44DC"/>
    <w:rsid w:val="00EF68BF"/>
    <w:rsid w:val="00F01E13"/>
    <w:rsid w:val="00F0376B"/>
    <w:rsid w:val="00F04394"/>
    <w:rsid w:val="00F05559"/>
    <w:rsid w:val="00F0596C"/>
    <w:rsid w:val="00F06091"/>
    <w:rsid w:val="00F0697E"/>
    <w:rsid w:val="00F07867"/>
    <w:rsid w:val="00F07F8B"/>
    <w:rsid w:val="00F1011F"/>
    <w:rsid w:val="00F11DE9"/>
    <w:rsid w:val="00F143AE"/>
    <w:rsid w:val="00F152DF"/>
    <w:rsid w:val="00F1701C"/>
    <w:rsid w:val="00F17EF1"/>
    <w:rsid w:val="00F21C52"/>
    <w:rsid w:val="00F223FA"/>
    <w:rsid w:val="00F23B36"/>
    <w:rsid w:val="00F2437D"/>
    <w:rsid w:val="00F256A9"/>
    <w:rsid w:val="00F26C42"/>
    <w:rsid w:val="00F30A8B"/>
    <w:rsid w:val="00F310E1"/>
    <w:rsid w:val="00F32D3C"/>
    <w:rsid w:val="00F3493F"/>
    <w:rsid w:val="00F34E5E"/>
    <w:rsid w:val="00F351DF"/>
    <w:rsid w:val="00F3526D"/>
    <w:rsid w:val="00F35F8D"/>
    <w:rsid w:val="00F374C3"/>
    <w:rsid w:val="00F378A0"/>
    <w:rsid w:val="00F448A8"/>
    <w:rsid w:val="00F45096"/>
    <w:rsid w:val="00F45D54"/>
    <w:rsid w:val="00F46B1D"/>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713C5"/>
    <w:rsid w:val="00F7255E"/>
    <w:rsid w:val="00F72BD8"/>
    <w:rsid w:val="00F734C3"/>
    <w:rsid w:val="00F74A1E"/>
    <w:rsid w:val="00F7517E"/>
    <w:rsid w:val="00F76A02"/>
    <w:rsid w:val="00F76DFD"/>
    <w:rsid w:val="00F81532"/>
    <w:rsid w:val="00F816E6"/>
    <w:rsid w:val="00F841AD"/>
    <w:rsid w:val="00F843D6"/>
    <w:rsid w:val="00F862B0"/>
    <w:rsid w:val="00F91EBC"/>
    <w:rsid w:val="00F92074"/>
    <w:rsid w:val="00F920C2"/>
    <w:rsid w:val="00F93A5D"/>
    <w:rsid w:val="00F954B5"/>
    <w:rsid w:val="00F959D1"/>
    <w:rsid w:val="00FA0D7A"/>
    <w:rsid w:val="00FA2445"/>
    <w:rsid w:val="00FA38C8"/>
    <w:rsid w:val="00FA407B"/>
    <w:rsid w:val="00FA41F6"/>
    <w:rsid w:val="00FA5780"/>
    <w:rsid w:val="00FA58FC"/>
    <w:rsid w:val="00FA676E"/>
    <w:rsid w:val="00FA6B51"/>
    <w:rsid w:val="00FA7CA6"/>
    <w:rsid w:val="00FA7E3F"/>
    <w:rsid w:val="00FB088F"/>
    <w:rsid w:val="00FB1D27"/>
    <w:rsid w:val="00FB403C"/>
    <w:rsid w:val="00FB69BB"/>
    <w:rsid w:val="00FB6F51"/>
    <w:rsid w:val="00FB79F3"/>
    <w:rsid w:val="00FC0F8E"/>
    <w:rsid w:val="00FC4DE7"/>
    <w:rsid w:val="00FC500A"/>
    <w:rsid w:val="00FC5F5C"/>
    <w:rsid w:val="00FC6A81"/>
    <w:rsid w:val="00FC6C11"/>
    <w:rsid w:val="00FC6E9D"/>
    <w:rsid w:val="00FC7589"/>
    <w:rsid w:val="00FC778E"/>
    <w:rsid w:val="00FC7B39"/>
    <w:rsid w:val="00FC7D3A"/>
    <w:rsid w:val="00FD0134"/>
    <w:rsid w:val="00FD11A3"/>
    <w:rsid w:val="00FD22AF"/>
    <w:rsid w:val="00FD2413"/>
    <w:rsid w:val="00FD2B39"/>
    <w:rsid w:val="00FD2C3B"/>
    <w:rsid w:val="00FD3BCD"/>
    <w:rsid w:val="00FE13B0"/>
    <w:rsid w:val="00FE13F6"/>
    <w:rsid w:val="00FE308B"/>
    <w:rsid w:val="00FE35C6"/>
    <w:rsid w:val="00FE458D"/>
    <w:rsid w:val="00FE75D1"/>
    <w:rsid w:val="00FF1A45"/>
    <w:rsid w:val="00FF1FF7"/>
    <w:rsid w:val="00FF2DC3"/>
    <w:rsid w:val="00FF4173"/>
    <w:rsid w:val="00FF5262"/>
    <w:rsid w:val="00FF5943"/>
    <w:rsid w:val="00FF5A73"/>
    <w:rsid w:val="00FF6AB7"/>
    <w:rsid w:val="00FF7E17"/>
    <w:rsid w:val="023A2E2C"/>
    <w:rsid w:val="0339199B"/>
    <w:rsid w:val="04CF481B"/>
    <w:rsid w:val="055238A3"/>
    <w:rsid w:val="06164F56"/>
    <w:rsid w:val="08026668"/>
    <w:rsid w:val="09694018"/>
    <w:rsid w:val="0A7F09E6"/>
    <w:rsid w:val="0BF16E09"/>
    <w:rsid w:val="0D6358AB"/>
    <w:rsid w:val="0D77267A"/>
    <w:rsid w:val="0EE053D2"/>
    <w:rsid w:val="12B00485"/>
    <w:rsid w:val="12D96AE3"/>
    <w:rsid w:val="13B1655E"/>
    <w:rsid w:val="13B91233"/>
    <w:rsid w:val="14E8498B"/>
    <w:rsid w:val="152C2CD2"/>
    <w:rsid w:val="153D1B8E"/>
    <w:rsid w:val="16D84D00"/>
    <w:rsid w:val="16EE2793"/>
    <w:rsid w:val="18830246"/>
    <w:rsid w:val="195C5947"/>
    <w:rsid w:val="19C705AD"/>
    <w:rsid w:val="1B0E5A7A"/>
    <w:rsid w:val="1B285AE1"/>
    <w:rsid w:val="1CEF1518"/>
    <w:rsid w:val="1D2E512B"/>
    <w:rsid w:val="1E854FF8"/>
    <w:rsid w:val="1F1C1A28"/>
    <w:rsid w:val="1F5A0134"/>
    <w:rsid w:val="1F6348E4"/>
    <w:rsid w:val="20224CC1"/>
    <w:rsid w:val="217253F2"/>
    <w:rsid w:val="222C5B99"/>
    <w:rsid w:val="22331AEF"/>
    <w:rsid w:val="22AC7E3E"/>
    <w:rsid w:val="243B796B"/>
    <w:rsid w:val="24E97293"/>
    <w:rsid w:val="258252AA"/>
    <w:rsid w:val="25BF5294"/>
    <w:rsid w:val="27583DCB"/>
    <w:rsid w:val="288A7E1F"/>
    <w:rsid w:val="2917568E"/>
    <w:rsid w:val="29D356AD"/>
    <w:rsid w:val="2A541155"/>
    <w:rsid w:val="2B5167B5"/>
    <w:rsid w:val="2B8A6143"/>
    <w:rsid w:val="2C233D76"/>
    <w:rsid w:val="2C2E754B"/>
    <w:rsid w:val="2CCD136F"/>
    <w:rsid w:val="2D2A7C52"/>
    <w:rsid w:val="2D7B5F44"/>
    <w:rsid w:val="2DE86D87"/>
    <w:rsid w:val="2E1D27AF"/>
    <w:rsid w:val="2E362BA9"/>
    <w:rsid w:val="2EA73716"/>
    <w:rsid w:val="30E6493A"/>
    <w:rsid w:val="311F205E"/>
    <w:rsid w:val="331B6501"/>
    <w:rsid w:val="336B1473"/>
    <w:rsid w:val="34C12764"/>
    <w:rsid w:val="34EA7A1E"/>
    <w:rsid w:val="354A59C6"/>
    <w:rsid w:val="36A77C00"/>
    <w:rsid w:val="376E0A72"/>
    <w:rsid w:val="37983D42"/>
    <w:rsid w:val="37DD1DEF"/>
    <w:rsid w:val="37FA4319"/>
    <w:rsid w:val="381F3470"/>
    <w:rsid w:val="38E45431"/>
    <w:rsid w:val="3902751A"/>
    <w:rsid w:val="391A7946"/>
    <w:rsid w:val="39E27207"/>
    <w:rsid w:val="3A0E3D7F"/>
    <w:rsid w:val="3ACA7BAC"/>
    <w:rsid w:val="3B00415A"/>
    <w:rsid w:val="3B0C58DD"/>
    <w:rsid w:val="3B975572"/>
    <w:rsid w:val="3C791504"/>
    <w:rsid w:val="3D452D98"/>
    <w:rsid w:val="3ED80E13"/>
    <w:rsid w:val="3FA12AE7"/>
    <w:rsid w:val="41391F47"/>
    <w:rsid w:val="4186502C"/>
    <w:rsid w:val="448D16D6"/>
    <w:rsid w:val="44B51A44"/>
    <w:rsid w:val="450C5A74"/>
    <w:rsid w:val="45D34A34"/>
    <w:rsid w:val="46830090"/>
    <w:rsid w:val="47435185"/>
    <w:rsid w:val="47A36E74"/>
    <w:rsid w:val="47E96303"/>
    <w:rsid w:val="48D06FFE"/>
    <w:rsid w:val="495F0E1B"/>
    <w:rsid w:val="4B0B4954"/>
    <w:rsid w:val="4BE506E1"/>
    <w:rsid w:val="4C2B1AAF"/>
    <w:rsid w:val="4C9A38A4"/>
    <w:rsid w:val="4CB2108E"/>
    <w:rsid w:val="4CD64AED"/>
    <w:rsid w:val="4D2964E3"/>
    <w:rsid w:val="4DC8561F"/>
    <w:rsid w:val="4DE3275E"/>
    <w:rsid w:val="4EFF388D"/>
    <w:rsid w:val="51F95026"/>
    <w:rsid w:val="52B93069"/>
    <w:rsid w:val="52DD06F1"/>
    <w:rsid w:val="534E5FDD"/>
    <w:rsid w:val="539411E0"/>
    <w:rsid w:val="53CA72F5"/>
    <w:rsid w:val="54122549"/>
    <w:rsid w:val="541330D5"/>
    <w:rsid w:val="54A91265"/>
    <w:rsid w:val="55C55442"/>
    <w:rsid w:val="569C630A"/>
    <w:rsid w:val="56D471B9"/>
    <w:rsid w:val="5741113E"/>
    <w:rsid w:val="57B819BF"/>
    <w:rsid w:val="58817EFF"/>
    <w:rsid w:val="59653481"/>
    <w:rsid w:val="5A037552"/>
    <w:rsid w:val="5AA00579"/>
    <w:rsid w:val="5ABC4DE1"/>
    <w:rsid w:val="5ACE46A6"/>
    <w:rsid w:val="5C982E14"/>
    <w:rsid w:val="5CA60A2B"/>
    <w:rsid w:val="5CDB0592"/>
    <w:rsid w:val="5CFE3C9D"/>
    <w:rsid w:val="5DD4783F"/>
    <w:rsid w:val="5E423CC7"/>
    <w:rsid w:val="5EF22C19"/>
    <w:rsid w:val="5F0720C0"/>
    <w:rsid w:val="5F0C1449"/>
    <w:rsid w:val="5F477198"/>
    <w:rsid w:val="5F994D4B"/>
    <w:rsid w:val="60206B9C"/>
    <w:rsid w:val="617050B9"/>
    <w:rsid w:val="61B91604"/>
    <w:rsid w:val="62A81F07"/>
    <w:rsid w:val="62FC61E6"/>
    <w:rsid w:val="631338FF"/>
    <w:rsid w:val="63AB23D8"/>
    <w:rsid w:val="63AD43A2"/>
    <w:rsid w:val="6470105F"/>
    <w:rsid w:val="656D47A5"/>
    <w:rsid w:val="67174B7D"/>
    <w:rsid w:val="671C723A"/>
    <w:rsid w:val="69061E11"/>
    <w:rsid w:val="6A0B5B1A"/>
    <w:rsid w:val="6A5D1F52"/>
    <w:rsid w:val="6AD07D8E"/>
    <w:rsid w:val="6AFE2D65"/>
    <w:rsid w:val="6B0E00E5"/>
    <w:rsid w:val="6B251DCB"/>
    <w:rsid w:val="6BCD4ADA"/>
    <w:rsid w:val="6BD448E4"/>
    <w:rsid w:val="6C382C77"/>
    <w:rsid w:val="6C534CD6"/>
    <w:rsid w:val="6CDE742D"/>
    <w:rsid w:val="6D431148"/>
    <w:rsid w:val="6D532F72"/>
    <w:rsid w:val="6DB85CAB"/>
    <w:rsid w:val="6FAC6BCC"/>
    <w:rsid w:val="6FCE356B"/>
    <w:rsid w:val="717413BA"/>
    <w:rsid w:val="72D2080E"/>
    <w:rsid w:val="740B754B"/>
    <w:rsid w:val="74135BE1"/>
    <w:rsid w:val="75E46B48"/>
    <w:rsid w:val="766133B3"/>
    <w:rsid w:val="770C4F72"/>
    <w:rsid w:val="77575B8F"/>
    <w:rsid w:val="791D0378"/>
    <w:rsid w:val="798126C5"/>
    <w:rsid w:val="79A228E7"/>
    <w:rsid w:val="7A7C01D3"/>
    <w:rsid w:val="7AF04A5C"/>
    <w:rsid w:val="7B614FBB"/>
    <w:rsid w:val="7CB91D79"/>
    <w:rsid w:val="7DA23B0D"/>
    <w:rsid w:val="7E0331EF"/>
    <w:rsid w:val="7EC27E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62"/>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63"/>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64"/>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39"/>
    <w:pPr>
      <w:ind w:left="1260"/>
      <w:jc w:val="left"/>
    </w:pPr>
    <w:rPr>
      <w:sz w:val="18"/>
      <w:szCs w:val="18"/>
    </w:rPr>
  </w:style>
  <w:style w:type="paragraph" w:styleId="7">
    <w:name w:val="Normal Indent"/>
    <w:basedOn w:val="1"/>
    <w:link w:val="82"/>
    <w:qFormat/>
    <w:uiPriority w:val="99"/>
    <w:pPr>
      <w:ind w:firstLine="420"/>
    </w:pPr>
    <w:rPr>
      <w:szCs w:val="20"/>
    </w:rPr>
  </w:style>
  <w:style w:type="paragraph" w:styleId="8">
    <w:name w:val="caption"/>
    <w:basedOn w:val="1"/>
    <w:next w:val="1"/>
    <w:autoRedefine/>
    <w:qFormat/>
    <w:uiPriority w:val="0"/>
    <w:rPr>
      <w:rFonts w:ascii="Arial" w:hAnsi="Arial" w:eastAsia="黑体" w:cs="Arial"/>
      <w:sz w:val="20"/>
      <w:szCs w:val="20"/>
    </w:rPr>
  </w:style>
  <w:style w:type="paragraph" w:styleId="9">
    <w:name w:val="Document Map"/>
    <w:basedOn w:val="1"/>
    <w:link w:val="54"/>
    <w:unhideWhenUsed/>
    <w:qFormat/>
    <w:uiPriority w:val="0"/>
    <w:rPr>
      <w:rFonts w:ascii="宋体"/>
      <w:sz w:val="18"/>
      <w:szCs w:val="18"/>
    </w:rPr>
  </w:style>
  <w:style w:type="paragraph" w:styleId="10">
    <w:name w:val="annotation text"/>
    <w:basedOn w:val="1"/>
    <w:link w:val="51"/>
    <w:unhideWhenUsed/>
    <w:qFormat/>
    <w:uiPriority w:val="0"/>
    <w:pPr>
      <w:jc w:val="left"/>
    </w:pPr>
  </w:style>
  <w:style w:type="paragraph" w:styleId="11">
    <w:name w:val="Body Text 3"/>
    <w:basedOn w:val="1"/>
    <w:link w:val="98"/>
    <w:qFormat/>
    <w:uiPriority w:val="0"/>
    <w:pPr>
      <w:spacing w:after="120"/>
    </w:pPr>
    <w:rPr>
      <w:sz w:val="16"/>
      <w:szCs w:val="16"/>
    </w:rPr>
  </w:style>
  <w:style w:type="paragraph" w:styleId="12">
    <w:name w:val="Body Text"/>
    <w:basedOn w:val="1"/>
    <w:link w:val="103"/>
    <w:autoRedefine/>
    <w:qFormat/>
    <w:uiPriority w:val="0"/>
    <w:pPr>
      <w:spacing w:line="360" w:lineRule="auto"/>
    </w:pPr>
    <w:rPr>
      <w:szCs w:val="20"/>
    </w:rPr>
  </w:style>
  <w:style w:type="paragraph" w:styleId="13">
    <w:name w:val="Body Text Indent"/>
    <w:basedOn w:val="1"/>
    <w:link w:val="108"/>
    <w:autoRedefine/>
    <w:qFormat/>
    <w:uiPriority w:val="0"/>
    <w:pPr>
      <w:ind w:firstLine="830" w:firstLineChars="352"/>
    </w:pPr>
    <w:rPr>
      <w:rFonts w:ascii="仿宋_GB2312" w:eastAsia="仿宋_GB2312"/>
      <w:sz w:val="32"/>
      <w:szCs w:val="20"/>
    </w:rPr>
  </w:style>
  <w:style w:type="paragraph" w:styleId="14">
    <w:name w:val="toc 5"/>
    <w:basedOn w:val="1"/>
    <w:next w:val="1"/>
    <w:autoRedefine/>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53"/>
    <w:autoRedefine/>
    <w:qFormat/>
    <w:uiPriority w:val="99"/>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65"/>
    <w:autoRedefine/>
    <w:qFormat/>
    <w:uiPriority w:val="0"/>
    <w:rPr>
      <w:rFonts w:ascii="Calibri" w:hAnsi="Calibri"/>
      <w:szCs w:val="20"/>
    </w:rPr>
  </w:style>
  <w:style w:type="paragraph" w:styleId="19">
    <w:name w:val="Balloon Text"/>
    <w:basedOn w:val="1"/>
    <w:link w:val="46"/>
    <w:autoRedefine/>
    <w:unhideWhenUsed/>
    <w:qFormat/>
    <w:uiPriority w:val="0"/>
    <w:rPr>
      <w:kern w:val="0"/>
      <w:sz w:val="18"/>
      <w:szCs w:val="18"/>
    </w:rPr>
  </w:style>
  <w:style w:type="paragraph" w:styleId="20">
    <w:name w:val="footer"/>
    <w:basedOn w:val="1"/>
    <w:link w:val="45"/>
    <w:autoRedefine/>
    <w:unhideWhenUsed/>
    <w:qFormat/>
    <w:uiPriority w:val="99"/>
    <w:pPr>
      <w:tabs>
        <w:tab w:val="center" w:pos="4153"/>
        <w:tab w:val="right" w:pos="8306"/>
      </w:tabs>
      <w:snapToGrid w:val="0"/>
      <w:jc w:val="left"/>
    </w:pPr>
    <w:rPr>
      <w:sz w:val="18"/>
      <w:szCs w:val="18"/>
    </w:rPr>
  </w:style>
  <w:style w:type="paragraph" w:styleId="21">
    <w:name w:val="header"/>
    <w:basedOn w:val="1"/>
    <w:link w:val="44"/>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spacing w:before="120" w:after="120" w:line="360" w:lineRule="auto"/>
      <w:jc w:val="left"/>
    </w:pPr>
    <w:rPr>
      <w:b/>
      <w:bCs/>
      <w:caps/>
      <w:szCs w:val="20"/>
    </w:rPr>
  </w:style>
  <w:style w:type="paragraph" w:styleId="23">
    <w:name w:val="toc 4"/>
    <w:basedOn w:val="1"/>
    <w:next w:val="1"/>
    <w:autoRedefine/>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autoRedefine/>
    <w:unhideWhenUsed/>
    <w:qFormat/>
    <w:uiPriority w:val="0"/>
    <w:rPr>
      <w:rFonts w:ascii="Calibri" w:hAnsi="Calibri"/>
    </w:rPr>
  </w:style>
  <w:style w:type="paragraph" w:styleId="26">
    <w:name w:val="toc 6"/>
    <w:basedOn w:val="1"/>
    <w:next w:val="1"/>
    <w:autoRedefine/>
    <w:qFormat/>
    <w:uiPriority w:val="39"/>
    <w:pPr>
      <w:ind w:left="1050"/>
      <w:jc w:val="left"/>
    </w:pPr>
    <w:rPr>
      <w:sz w:val="18"/>
      <w:szCs w:val="18"/>
    </w:rPr>
  </w:style>
  <w:style w:type="paragraph" w:styleId="27">
    <w:name w:val="Body Text Indent 3"/>
    <w:basedOn w:val="1"/>
    <w:link w:val="109"/>
    <w:autoRedefine/>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26"/>
    <w:autoRedefine/>
    <w:qFormat/>
    <w:uiPriority w:val="0"/>
    <w:pPr>
      <w:spacing w:after="120" w:line="480" w:lineRule="auto"/>
    </w:pPr>
  </w:style>
  <w:style w:type="paragraph" w:styleId="31">
    <w:name w:val="HTML Preformatted"/>
    <w:basedOn w:val="1"/>
    <w:link w:val="77"/>
    <w:autoRedefine/>
    <w:qFormat/>
    <w:uiPriority w:val="0"/>
    <w:pPr>
      <w:widowControl/>
      <w:jc w:val="left"/>
    </w:pPr>
    <w:rPr>
      <w:rFonts w:ascii="黑体" w:hAnsi="Courier New" w:eastAsia="黑体" w:cs="Courier New"/>
      <w:kern w:val="0"/>
      <w:sz w:val="20"/>
      <w:szCs w:val="21"/>
    </w:rPr>
  </w:style>
  <w:style w:type="paragraph" w:styleId="32">
    <w:name w:val="Normal (Web)"/>
    <w:basedOn w:val="1"/>
    <w:autoRedefine/>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96"/>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52"/>
    <w:autoRedefine/>
    <w:unhideWhenUsed/>
    <w:qFormat/>
    <w:uiPriority w:val="0"/>
    <w:rPr>
      <w:b/>
      <w:bCs/>
    </w:rPr>
  </w:style>
  <w:style w:type="paragraph" w:styleId="35">
    <w:name w:val="Body Text First Indent"/>
    <w:basedOn w:val="12"/>
    <w:link w:val="114"/>
    <w:autoRedefine/>
    <w:qFormat/>
    <w:uiPriority w:val="0"/>
    <w:pPr>
      <w:spacing w:after="120" w:line="240" w:lineRule="auto"/>
      <w:ind w:firstLine="420" w:firstLineChars="100"/>
    </w:pPr>
    <w:rPr>
      <w:szCs w:val="24"/>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0"/>
    <w:rPr>
      <w:sz w:val="21"/>
      <w:szCs w:val="21"/>
    </w:rPr>
  </w:style>
  <w:style w:type="character" w:customStyle="1" w:styleId="44">
    <w:name w:val="页眉 Char"/>
    <w:link w:val="21"/>
    <w:autoRedefine/>
    <w:qFormat/>
    <w:uiPriority w:val="99"/>
    <w:rPr>
      <w:rFonts w:ascii="Times New Roman" w:hAnsi="Times New Roman"/>
      <w:kern w:val="2"/>
      <w:sz w:val="18"/>
      <w:szCs w:val="18"/>
    </w:rPr>
  </w:style>
  <w:style w:type="character" w:customStyle="1" w:styleId="45">
    <w:name w:val="页脚 Char"/>
    <w:link w:val="20"/>
    <w:autoRedefine/>
    <w:qFormat/>
    <w:uiPriority w:val="99"/>
    <w:rPr>
      <w:rFonts w:ascii="Times New Roman" w:hAnsi="Times New Roman"/>
      <w:kern w:val="2"/>
      <w:sz w:val="18"/>
      <w:szCs w:val="18"/>
    </w:rPr>
  </w:style>
  <w:style w:type="character" w:customStyle="1" w:styleId="46">
    <w:name w:val="批注框文本 Char"/>
    <w:link w:val="19"/>
    <w:autoRedefine/>
    <w:qFormat/>
    <w:uiPriority w:val="0"/>
    <w:rPr>
      <w:rFonts w:ascii="Times New Roman" w:hAnsi="Times New Roman" w:eastAsia="宋体" w:cs="Times New Roman"/>
      <w:sz w:val="18"/>
      <w:szCs w:val="18"/>
    </w:rPr>
  </w:style>
  <w:style w:type="paragraph" w:customStyle="1" w:styleId="47">
    <w:name w:val="列表段落1"/>
    <w:basedOn w:val="1"/>
    <w:link w:val="49"/>
    <w:autoRedefine/>
    <w:qFormat/>
    <w:uiPriority w:val="99"/>
    <w:pPr>
      <w:ind w:firstLine="420" w:firstLineChars="200"/>
    </w:pPr>
  </w:style>
  <w:style w:type="paragraph" w:customStyle="1" w:styleId="48">
    <w:name w:val="列出段落1"/>
    <w:basedOn w:val="1"/>
    <w:autoRedefine/>
    <w:qFormat/>
    <w:uiPriority w:val="0"/>
    <w:pPr>
      <w:ind w:firstLine="420" w:firstLineChars="200"/>
    </w:pPr>
  </w:style>
  <w:style w:type="character" w:customStyle="1" w:styleId="49">
    <w:name w:val="列表段落 字符"/>
    <w:link w:val="47"/>
    <w:autoRedefine/>
    <w:qFormat/>
    <w:uiPriority w:val="99"/>
    <w:rPr>
      <w:kern w:val="2"/>
      <w:sz w:val="21"/>
      <w:szCs w:val="24"/>
    </w:rPr>
  </w:style>
  <w:style w:type="paragraph" w:customStyle="1" w:styleId="50">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1">
    <w:name w:val="批注文字 Char"/>
    <w:link w:val="10"/>
    <w:autoRedefine/>
    <w:qFormat/>
    <w:uiPriority w:val="0"/>
    <w:rPr>
      <w:kern w:val="2"/>
      <w:sz w:val="21"/>
      <w:szCs w:val="24"/>
    </w:rPr>
  </w:style>
  <w:style w:type="character" w:customStyle="1" w:styleId="52">
    <w:name w:val="批注主题 Char"/>
    <w:link w:val="34"/>
    <w:autoRedefine/>
    <w:qFormat/>
    <w:uiPriority w:val="0"/>
    <w:rPr>
      <w:b/>
      <w:bCs/>
      <w:kern w:val="2"/>
      <w:sz w:val="21"/>
      <w:szCs w:val="24"/>
    </w:rPr>
  </w:style>
  <w:style w:type="character" w:customStyle="1" w:styleId="53">
    <w:name w:val="纯文本 Char2"/>
    <w:link w:val="16"/>
    <w:autoRedefine/>
    <w:qFormat/>
    <w:uiPriority w:val="0"/>
    <w:rPr>
      <w:rFonts w:ascii="宋体" w:hAnsi="Courier New"/>
      <w:szCs w:val="21"/>
    </w:rPr>
  </w:style>
  <w:style w:type="character" w:customStyle="1" w:styleId="54">
    <w:name w:val="文档结构图 Char"/>
    <w:basedOn w:val="38"/>
    <w:link w:val="9"/>
    <w:autoRedefine/>
    <w:qFormat/>
    <w:uiPriority w:val="0"/>
    <w:rPr>
      <w:rFonts w:ascii="宋体"/>
      <w:kern w:val="2"/>
      <w:sz w:val="18"/>
      <w:szCs w:val="18"/>
    </w:rPr>
  </w:style>
  <w:style w:type="character" w:customStyle="1" w:styleId="55">
    <w:name w:val="纯文本 Char"/>
    <w:basedOn w:val="38"/>
    <w:autoRedefine/>
    <w:qFormat/>
    <w:uiPriority w:val="99"/>
    <w:rPr>
      <w:rFonts w:ascii="宋体" w:hAnsi="Courier New"/>
      <w:kern w:val="2"/>
      <w:sz w:val="21"/>
    </w:rPr>
  </w:style>
  <w:style w:type="character" w:customStyle="1" w:styleId="56">
    <w:name w:val="列出段落 Char"/>
    <w:autoRedefine/>
    <w:qFormat/>
    <w:locked/>
    <w:uiPriority w:val="0"/>
  </w:style>
  <w:style w:type="character" w:customStyle="1" w:styleId="57">
    <w:name w:val="纯文本 Char1"/>
    <w:link w:val="58"/>
    <w:autoRedefine/>
    <w:qFormat/>
    <w:locked/>
    <w:uiPriority w:val="0"/>
    <w:rPr>
      <w:rFonts w:ascii="宋体" w:hAnsi="Courier New"/>
    </w:rPr>
  </w:style>
  <w:style w:type="paragraph" w:customStyle="1" w:styleId="58">
    <w:name w:val="纯文本1"/>
    <w:basedOn w:val="1"/>
    <w:link w:val="57"/>
    <w:autoRedefine/>
    <w:qFormat/>
    <w:uiPriority w:val="0"/>
    <w:rPr>
      <w:rFonts w:ascii="宋体" w:hAnsi="Courier New"/>
      <w:kern w:val="0"/>
      <w:sz w:val="20"/>
      <w:szCs w:val="20"/>
    </w:rPr>
  </w:style>
  <w:style w:type="paragraph" w:styleId="59">
    <w:name w:val="List Paragraph"/>
    <w:basedOn w:val="1"/>
    <w:autoRedefine/>
    <w:qFormat/>
    <w:uiPriority w:val="34"/>
    <w:pPr>
      <w:ind w:firstLine="420" w:firstLineChars="200"/>
    </w:pPr>
  </w:style>
  <w:style w:type="paragraph" w:customStyle="1" w:styleId="60">
    <w:name w:val="表格文字"/>
    <w:basedOn w:val="1"/>
    <w:autoRedefine/>
    <w:qFormat/>
    <w:uiPriority w:val="0"/>
    <w:pPr>
      <w:jc w:val="left"/>
    </w:pPr>
    <w:rPr>
      <w:rFonts w:ascii="Calibri" w:hAnsi="Calibri"/>
      <w:bCs/>
      <w:spacing w:val="10"/>
      <w:kern w:val="0"/>
      <w:sz w:val="24"/>
      <w:szCs w:val="20"/>
    </w:rPr>
  </w:style>
  <w:style w:type="character" w:customStyle="1" w:styleId="61">
    <w:name w:val="标题 1 Char"/>
    <w:basedOn w:val="38"/>
    <w:link w:val="2"/>
    <w:autoRedefine/>
    <w:qFormat/>
    <w:uiPriority w:val="0"/>
    <w:rPr>
      <w:rFonts w:ascii="宋体" w:hAnsi="宋体"/>
      <w:b/>
      <w:kern w:val="44"/>
      <w:sz w:val="48"/>
      <w:szCs w:val="48"/>
    </w:rPr>
  </w:style>
  <w:style w:type="character" w:customStyle="1" w:styleId="62">
    <w:name w:val="标题 2 Char1"/>
    <w:basedOn w:val="38"/>
    <w:link w:val="3"/>
    <w:autoRedefine/>
    <w:qFormat/>
    <w:uiPriority w:val="0"/>
    <w:rPr>
      <w:rFonts w:ascii="Arial" w:hAnsi="Arial" w:eastAsia="黑体"/>
      <w:b/>
      <w:kern w:val="2"/>
      <w:sz w:val="32"/>
      <w:szCs w:val="24"/>
    </w:rPr>
  </w:style>
  <w:style w:type="character" w:customStyle="1" w:styleId="63">
    <w:name w:val="标题 3 Char"/>
    <w:basedOn w:val="38"/>
    <w:link w:val="4"/>
    <w:autoRedefine/>
    <w:qFormat/>
    <w:uiPriority w:val="0"/>
    <w:rPr>
      <w:rFonts w:ascii="宋体" w:hAnsi="宋体"/>
      <w:b/>
      <w:sz w:val="27"/>
      <w:szCs w:val="27"/>
    </w:rPr>
  </w:style>
  <w:style w:type="character" w:customStyle="1" w:styleId="64">
    <w:name w:val="标题 4 Char"/>
    <w:basedOn w:val="38"/>
    <w:link w:val="5"/>
    <w:autoRedefine/>
    <w:qFormat/>
    <w:uiPriority w:val="0"/>
    <w:rPr>
      <w:rFonts w:ascii="Arial" w:hAnsi="Arial" w:eastAsia="黑体"/>
      <w:b/>
      <w:kern w:val="2"/>
      <w:sz w:val="28"/>
      <w:szCs w:val="24"/>
    </w:rPr>
  </w:style>
  <w:style w:type="character" w:customStyle="1" w:styleId="65">
    <w:name w:val="日期 Char"/>
    <w:basedOn w:val="38"/>
    <w:link w:val="18"/>
    <w:autoRedefine/>
    <w:qFormat/>
    <w:uiPriority w:val="0"/>
    <w:rPr>
      <w:rFonts w:ascii="Calibri" w:hAnsi="Calibri"/>
      <w:kern w:val="2"/>
      <w:sz w:val="21"/>
    </w:rPr>
  </w:style>
  <w:style w:type="paragraph" w:customStyle="1" w:styleId="66">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67">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table" w:customStyle="1" w:styleId="68">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69">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70">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71">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72">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character" w:customStyle="1" w:styleId="74">
    <w:name w:val="A4"/>
    <w:autoRedefine/>
    <w:qFormat/>
    <w:uiPriority w:val="0"/>
    <w:rPr>
      <w:rFonts w:hint="eastAsia" w:ascii="新宋体" w:hAnsi="新宋体" w:eastAsia="新宋体" w:cs="新宋体"/>
      <w:color w:val="000000"/>
    </w:rPr>
  </w:style>
  <w:style w:type="character" w:customStyle="1" w:styleId="75">
    <w:name w:val="纯文本 Char Char1"/>
    <w:autoRedefine/>
    <w:qFormat/>
    <w:uiPriority w:val="0"/>
    <w:rPr>
      <w:rFonts w:ascii="宋体" w:hAnsi="Courier New" w:eastAsia="宋体"/>
      <w:kern w:val="2"/>
      <w:sz w:val="21"/>
      <w:szCs w:val="24"/>
      <w:lang w:val="en-US" w:eastAsia="zh-CN" w:bidi="ar-SA"/>
    </w:rPr>
  </w:style>
  <w:style w:type="character" w:customStyle="1" w:styleId="76">
    <w:name w:val="文档结构图 字符1"/>
    <w:basedOn w:val="38"/>
    <w:autoRedefine/>
    <w:semiHidden/>
    <w:qFormat/>
    <w:uiPriority w:val="0"/>
    <w:rPr>
      <w:rFonts w:ascii="Microsoft YaHei UI" w:hAnsi="Calibri" w:eastAsia="Microsoft YaHei UI"/>
      <w:kern w:val="2"/>
      <w:sz w:val="18"/>
      <w:szCs w:val="18"/>
    </w:rPr>
  </w:style>
  <w:style w:type="character" w:customStyle="1" w:styleId="77">
    <w:name w:val="HTML 预设格式 Char"/>
    <w:link w:val="31"/>
    <w:autoRedefine/>
    <w:qFormat/>
    <w:uiPriority w:val="99"/>
    <w:rPr>
      <w:rFonts w:ascii="黑体" w:hAnsi="Courier New" w:eastAsia="黑体" w:cs="Courier New"/>
      <w:szCs w:val="21"/>
    </w:rPr>
  </w:style>
  <w:style w:type="character" w:customStyle="1" w:styleId="78">
    <w:name w:val="HTML 预设格式 字符1"/>
    <w:basedOn w:val="38"/>
    <w:autoRedefine/>
    <w:qFormat/>
    <w:uiPriority w:val="0"/>
    <w:rPr>
      <w:rFonts w:ascii="Courier New" w:hAnsi="Courier New" w:cs="Courier New"/>
      <w:kern w:val="2"/>
    </w:rPr>
  </w:style>
  <w:style w:type="character" w:customStyle="1" w:styleId="79">
    <w:name w:val="font141"/>
    <w:basedOn w:val="38"/>
    <w:autoRedefine/>
    <w:qFormat/>
    <w:uiPriority w:val="0"/>
  </w:style>
  <w:style w:type="character" w:customStyle="1" w:styleId="80">
    <w:name w:val="HTML 预设格式 Char1"/>
    <w:autoRedefine/>
    <w:qFormat/>
    <w:uiPriority w:val="0"/>
    <w:rPr>
      <w:rFonts w:ascii="Courier New" w:hAnsi="Courier New" w:cs="Courier New"/>
      <w:kern w:val="2"/>
    </w:rPr>
  </w:style>
  <w:style w:type="character" w:customStyle="1" w:styleId="81">
    <w:name w:val="small"/>
    <w:basedOn w:val="38"/>
    <w:autoRedefine/>
    <w:qFormat/>
    <w:uiPriority w:val="0"/>
  </w:style>
  <w:style w:type="character" w:customStyle="1" w:styleId="82">
    <w:name w:val="正文缩进 Char"/>
    <w:link w:val="7"/>
    <w:autoRedefine/>
    <w:qFormat/>
    <w:uiPriority w:val="0"/>
    <w:rPr>
      <w:kern w:val="2"/>
      <w:sz w:val="21"/>
    </w:rPr>
  </w:style>
  <w:style w:type="character" w:customStyle="1" w:styleId="83">
    <w:name w:val="bold1"/>
    <w:autoRedefine/>
    <w:qFormat/>
    <w:uiPriority w:val="0"/>
    <w:rPr>
      <w:b/>
      <w:bCs/>
      <w:shd w:val="clear" w:color="auto" w:fill="FFFFFF"/>
    </w:rPr>
  </w:style>
  <w:style w:type="character" w:customStyle="1" w:styleId="84">
    <w:name w:val="标题 2 Char"/>
    <w:autoRedefine/>
    <w:qFormat/>
    <w:uiPriority w:val="0"/>
    <w:rPr>
      <w:rFonts w:ascii="Arial" w:hAnsi="Arial" w:eastAsia="黑体"/>
      <w:b/>
      <w:bCs/>
      <w:kern w:val="2"/>
      <w:sz w:val="32"/>
      <w:szCs w:val="32"/>
      <w:lang w:val="en-US" w:eastAsia="zh-CN" w:bidi="ar-SA"/>
    </w:rPr>
  </w:style>
  <w:style w:type="paragraph" w:customStyle="1" w:styleId="85">
    <w:name w:val="Char Char2 Char"/>
    <w:basedOn w:val="1"/>
    <w:autoRedefine/>
    <w:qFormat/>
    <w:uiPriority w:val="0"/>
    <w:rPr>
      <w:rFonts w:ascii="宋体" w:hAnsi="宋体"/>
      <w:b/>
      <w:sz w:val="28"/>
      <w:szCs w:val="28"/>
    </w:rPr>
  </w:style>
  <w:style w:type="paragraph" w:customStyle="1" w:styleId="86">
    <w:name w:val="Char Char Char Char Char Char Char Char Char Char"/>
    <w:basedOn w:val="1"/>
    <w:autoRedefine/>
    <w:qFormat/>
    <w:uiPriority w:val="0"/>
    <w:rPr>
      <w:rFonts w:ascii="Tahoma" w:hAnsi="Tahoma"/>
      <w:sz w:val="24"/>
      <w:szCs w:val="20"/>
    </w:rPr>
  </w:style>
  <w:style w:type="paragraph" w:customStyle="1" w:styleId="87">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88">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89">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90">
    <w:name w:val="大标题"/>
    <w:basedOn w:val="2"/>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91">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2">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93">
    <w:name w:val="_Style 2"/>
    <w:basedOn w:val="1"/>
    <w:autoRedefine/>
    <w:qFormat/>
    <w:uiPriority w:val="34"/>
    <w:pPr>
      <w:ind w:firstLine="420" w:firstLineChars="200"/>
    </w:pPr>
  </w:style>
  <w:style w:type="paragraph" w:customStyle="1" w:styleId="94">
    <w:name w:val="Char Char1"/>
    <w:basedOn w:val="1"/>
    <w:autoRedefine/>
    <w:qFormat/>
    <w:uiPriority w:val="0"/>
    <w:rPr>
      <w:rFonts w:ascii="宋体" w:hAnsi="宋体"/>
      <w:b/>
      <w:sz w:val="28"/>
      <w:szCs w:val="28"/>
    </w:rPr>
  </w:style>
  <w:style w:type="paragraph" w:customStyle="1" w:styleId="95">
    <w:name w:val="默认段落字体 Para Char"/>
    <w:basedOn w:val="1"/>
    <w:autoRedefine/>
    <w:qFormat/>
    <w:uiPriority w:val="0"/>
    <w:rPr>
      <w:rFonts w:ascii="宋体" w:hAnsi="宋体"/>
      <w:b/>
      <w:sz w:val="28"/>
      <w:szCs w:val="28"/>
    </w:rPr>
  </w:style>
  <w:style w:type="character" w:customStyle="1" w:styleId="96">
    <w:name w:val="标题 Char"/>
    <w:basedOn w:val="38"/>
    <w:link w:val="33"/>
    <w:autoRedefine/>
    <w:qFormat/>
    <w:uiPriority w:val="0"/>
    <w:rPr>
      <w:rFonts w:ascii="Arial" w:hAnsi="Arial" w:cs="Arial"/>
      <w:b/>
      <w:bCs/>
      <w:kern w:val="2"/>
      <w:sz w:val="32"/>
      <w:szCs w:val="32"/>
    </w:rPr>
  </w:style>
  <w:style w:type="paragraph" w:customStyle="1" w:styleId="97">
    <w:name w:val="办公自动化专用标题"/>
    <w:basedOn w:val="33"/>
    <w:autoRedefine/>
    <w:qFormat/>
    <w:uiPriority w:val="0"/>
    <w:pPr>
      <w:spacing w:line="560" w:lineRule="atLeast"/>
    </w:pPr>
    <w:rPr>
      <w:rFonts w:ascii="宋体" w:cs="Times New Roman"/>
      <w:bCs w:val="0"/>
      <w:sz w:val="44"/>
      <w:szCs w:val="20"/>
    </w:rPr>
  </w:style>
  <w:style w:type="character" w:customStyle="1" w:styleId="98">
    <w:name w:val="正文文本 3 Char"/>
    <w:basedOn w:val="38"/>
    <w:link w:val="11"/>
    <w:autoRedefine/>
    <w:qFormat/>
    <w:uiPriority w:val="0"/>
    <w:rPr>
      <w:kern w:val="2"/>
      <w:sz w:val="16"/>
      <w:szCs w:val="16"/>
    </w:rPr>
  </w:style>
  <w:style w:type="paragraph" w:customStyle="1" w:styleId="99">
    <w:name w:val="_Style 1"/>
    <w:basedOn w:val="1"/>
    <w:autoRedefine/>
    <w:qFormat/>
    <w:uiPriority w:val="34"/>
    <w:pPr>
      <w:ind w:firstLine="420" w:firstLineChars="200"/>
    </w:pPr>
  </w:style>
  <w:style w:type="paragraph" w:customStyle="1" w:styleId="100">
    <w:name w:val="p0"/>
    <w:basedOn w:val="1"/>
    <w:autoRedefine/>
    <w:qFormat/>
    <w:uiPriority w:val="0"/>
    <w:pPr>
      <w:widowControl/>
    </w:pPr>
    <w:rPr>
      <w:kern w:val="0"/>
      <w:szCs w:val="21"/>
    </w:rPr>
  </w:style>
  <w:style w:type="paragraph" w:customStyle="1" w:styleId="10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102">
    <w:name w:val="HLegal 2"/>
    <w:basedOn w:val="1"/>
    <w:autoRedefine/>
    <w:qFormat/>
    <w:uiPriority w:val="0"/>
    <w:pPr>
      <w:widowControl/>
      <w:spacing w:beforeLines="50" w:afterLines="50" w:line="300" w:lineRule="auto"/>
      <w:ind w:left="1" w:hanging="1"/>
      <w:jc w:val="left"/>
    </w:pPr>
    <w:rPr>
      <w:rFonts w:ascii="宋体" w:hAnsi="宋体" w:cs="宋体"/>
      <w:bCs/>
      <w:kern w:val="0"/>
      <w:sz w:val="24"/>
      <w:lang w:val="en-GB"/>
    </w:rPr>
  </w:style>
  <w:style w:type="character" w:customStyle="1" w:styleId="103">
    <w:name w:val="正文文本 Char"/>
    <w:basedOn w:val="38"/>
    <w:link w:val="12"/>
    <w:autoRedefine/>
    <w:qFormat/>
    <w:uiPriority w:val="0"/>
    <w:rPr>
      <w:kern w:val="2"/>
      <w:sz w:val="21"/>
    </w:rPr>
  </w:style>
  <w:style w:type="paragraph" w:customStyle="1" w:styleId="104">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5">
    <w:name w:val="题注4"/>
    <w:basedOn w:val="1"/>
    <w:next w:val="8"/>
    <w:autoRedefine/>
    <w:qFormat/>
    <w:uiPriority w:val="0"/>
    <w:pPr>
      <w:ind w:left="-132" w:leftChars="-64" w:right="-105" w:rightChars="-50" w:hanging="2"/>
      <w:jc w:val="center"/>
    </w:pPr>
    <w:rPr>
      <w:b/>
      <w:color w:val="FF0000"/>
      <w:szCs w:val="21"/>
      <w:lang w:val="en-GB"/>
    </w:rPr>
  </w:style>
  <w:style w:type="paragraph" w:customStyle="1" w:styleId="106">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07">
    <w:name w:val="默认段落字体 Para Char Char Char Char"/>
    <w:basedOn w:val="1"/>
    <w:autoRedefine/>
    <w:qFormat/>
    <w:uiPriority w:val="0"/>
    <w:pPr>
      <w:spacing w:line="360" w:lineRule="auto"/>
      <w:ind w:firstLine="200" w:firstLineChars="200"/>
    </w:pPr>
    <w:rPr>
      <w:rFonts w:ascii="宋体" w:hAnsi="宋体" w:cs="宋体"/>
      <w:sz w:val="24"/>
    </w:rPr>
  </w:style>
  <w:style w:type="character" w:customStyle="1" w:styleId="108">
    <w:name w:val="正文文本缩进 Char"/>
    <w:basedOn w:val="38"/>
    <w:link w:val="13"/>
    <w:autoRedefine/>
    <w:qFormat/>
    <w:uiPriority w:val="0"/>
    <w:rPr>
      <w:rFonts w:ascii="仿宋_GB2312" w:eastAsia="仿宋_GB2312"/>
      <w:kern w:val="2"/>
      <w:sz w:val="32"/>
    </w:rPr>
  </w:style>
  <w:style w:type="character" w:customStyle="1" w:styleId="109">
    <w:name w:val="正文文本缩进 3 Char"/>
    <w:basedOn w:val="38"/>
    <w:link w:val="27"/>
    <w:autoRedefine/>
    <w:qFormat/>
    <w:uiPriority w:val="0"/>
    <w:rPr>
      <w:kern w:val="2"/>
      <w:sz w:val="21"/>
    </w:rPr>
  </w:style>
  <w:style w:type="paragraph" w:customStyle="1" w:styleId="110">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11">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112">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13">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character" w:customStyle="1" w:styleId="114">
    <w:name w:val="正文首行缩进 Char"/>
    <w:basedOn w:val="103"/>
    <w:link w:val="35"/>
    <w:autoRedefine/>
    <w:qFormat/>
    <w:uiPriority w:val="0"/>
    <w:rPr>
      <w:kern w:val="2"/>
      <w:sz w:val="21"/>
      <w:szCs w:val="24"/>
    </w:rPr>
  </w:style>
  <w:style w:type="paragraph" w:customStyle="1" w:styleId="115">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116">
    <w:name w:val="题注5"/>
    <w:basedOn w:val="1"/>
    <w:next w:val="8"/>
    <w:autoRedefine/>
    <w:qFormat/>
    <w:uiPriority w:val="0"/>
    <w:pPr>
      <w:jc w:val="center"/>
    </w:pPr>
    <w:rPr>
      <w:b/>
      <w:color w:val="000000"/>
      <w:sz w:val="24"/>
      <w:szCs w:val="21"/>
    </w:rPr>
  </w:style>
  <w:style w:type="paragraph" w:customStyle="1" w:styleId="117">
    <w:name w:val="修订1"/>
    <w:autoRedefine/>
    <w:hidden/>
    <w:unhideWhenUsed/>
    <w:qFormat/>
    <w:uiPriority w:val="99"/>
    <w:rPr>
      <w:rFonts w:ascii="Calibri" w:hAnsi="Calibri" w:eastAsia="宋体" w:cs="Times New Roman"/>
      <w:kern w:val="2"/>
      <w:sz w:val="21"/>
      <w:szCs w:val="24"/>
      <w:lang w:val="en-US" w:eastAsia="zh-CN" w:bidi="ar-SA"/>
    </w:rPr>
  </w:style>
  <w:style w:type="character" w:customStyle="1" w:styleId="118">
    <w:name w:val="页眉 字符1"/>
    <w:basedOn w:val="38"/>
    <w:autoRedefine/>
    <w:semiHidden/>
    <w:qFormat/>
    <w:uiPriority w:val="99"/>
    <w:rPr>
      <w:kern w:val="2"/>
      <w:sz w:val="18"/>
      <w:szCs w:val="18"/>
    </w:rPr>
  </w:style>
  <w:style w:type="character" w:customStyle="1" w:styleId="119">
    <w:name w:val="页脚 字符1"/>
    <w:basedOn w:val="38"/>
    <w:autoRedefine/>
    <w:semiHidden/>
    <w:qFormat/>
    <w:uiPriority w:val="99"/>
    <w:rPr>
      <w:kern w:val="2"/>
      <w:sz w:val="18"/>
      <w:szCs w:val="18"/>
    </w:rPr>
  </w:style>
  <w:style w:type="character" w:customStyle="1" w:styleId="120">
    <w:name w:val="批注框文本 字符1"/>
    <w:basedOn w:val="38"/>
    <w:autoRedefine/>
    <w:semiHidden/>
    <w:qFormat/>
    <w:uiPriority w:val="99"/>
    <w:rPr>
      <w:kern w:val="2"/>
      <w:sz w:val="18"/>
      <w:szCs w:val="18"/>
    </w:rPr>
  </w:style>
  <w:style w:type="table" w:customStyle="1" w:styleId="121">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22">
    <w:name w:val="普通文字1 Char"/>
    <w:autoRedefine/>
    <w:qFormat/>
    <w:uiPriority w:val="0"/>
    <w:rPr>
      <w:rFonts w:ascii="宋体" w:hAnsi="Courier New" w:eastAsia="宋体" w:cs="Courier New"/>
      <w:kern w:val="2"/>
      <w:sz w:val="21"/>
      <w:szCs w:val="21"/>
      <w:lang w:val="en-US" w:eastAsia="zh-CN" w:bidi="ar-SA"/>
    </w:rPr>
  </w:style>
  <w:style w:type="table" w:customStyle="1" w:styleId="123">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24">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5">
    <w:name w:val="_Style 95"/>
    <w:basedOn w:val="1"/>
    <w:next w:val="59"/>
    <w:autoRedefine/>
    <w:qFormat/>
    <w:uiPriority w:val="0"/>
    <w:pPr>
      <w:ind w:firstLine="420" w:firstLineChars="200"/>
    </w:pPr>
    <w:rPr>
      <w:rFonts w:ascii="Calibri" w:hAnsi="Calibri"/>
      <w:szCs w:val="22"/>
    </w:rPr>
  </w:style>
  <w:style w:type="character" w:customStyle="1" w:styleId="126">
    <w:name w:val="正文文本 2 Char"/>
    <w:basedOn w:val="38"/>
    <w:link w:val="30"/>
    <w:autoRedefine/>
    <w:qFormat/>
    <w:uiPriority w:val="0"/>
    <w:rPr>
      <w:kern w:val="2"/>
      <w:sz w:val="21"/>
      <w:szCs w:val="24"/>
    </w:rPr>
  </w:style>
  <w:style w:type="character" w:customStyle="1" w:styleId="127">
    <w:name w:val="NormalCharacter"/>
    <w:autoRedefine/>
    <w:semiHidden/>
    <w:qFormat/>
    <w:uiPriority w:val="0"/>
    <w:rPr>
      <w:rFonts w:ascii="Calibri" w:hAnsi="Calibri"/>
      <w:kern w:val="2"/>
      <w:sz w:val="21"/>
      <w:szCs w:val="22"/>
      <w:lang w:val="en-US" w:eastAsia="zh-CN" w:bidi="ar-SA"/>
    </w:rPr>
  </w:style>
  <w:style w:type="paragraph" w:customStyle="1" w:styleId="128">
    <w:name w:val="UserStyle_0"/>
    <w:basedOn w:val="1"/>
    <w:autoRedefine/>
    <w:qFormat/>
    <w:uiPriority w:val="0"/>
    <w:pPr>
      <w:jc w:val="left"/>
      <w:textAlignment w:val="baseline"/>
    </w:pPr>
    <w:rPr>
      <w:bCs/>
      <w:spacing w:val="10"/>
      <w:kern w:val="0"/>
      <w:sz w:val="24"/>
      <w:szCs w:val="20"/>
    </w:rPr>
  </w:style>
  <w:style w:type="paragraph" w:customStyle="1" w:styleId="129">
    <w:name w:val="正文_0"/>
    <w:autoRedefine/>
    <w:qFormat/>
    <w:uiPriority w:val="0"/>
    <w:rPr>
      <w:rFonts w:ascii="Times New Roman" w:hAnsi="Times New Roman" w:eastAsia="宋体" w:cs="Times New Roman"/>
      <w:sz w:val="21"/>
      <w:szCs w:val="22"/>
      <w:lang w:val="en-US" w:eastAsia="zh-CN" w:bidi="ar-SA"/>
    </w:rPr>
  </w:style>
  <w:style w:type="paragraph" w:customStyle="1" w:styleId="130">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31">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32">
    <w:name w:val="纯文本2"/>
    <w:basedOn w:val="1"/>
    <w:qFormat/>
    <w:uiPriority w:val="0"/>
    <w:rPr>
      <w:rFonts w:ascii="宋体" w:hAnsi="Courier New" w:cs="Courier New"/>
      <w:szCs w:val="21"/>
    </w:rPr>
  </w:style>
  <w:style w:type="paragraph" w:customStyle="1" w:styleId="133">
    <w:name w:val="正文_1"/>
    <w:next w:val="134"/>
    <w:qFormat/>
    <w:uiPriority w:val="0"/>
    <w:rPr>
      <w:rFonts w:ascii="Times New Roman" w:hAnsi="Times New Roman" w:eastAsia="宋体" w:cs="Times New Roman"/>
      <w:sz w:val="21"/>
      <w:lang w:val="en-US" w:eastAsia="zh-CN" w:bidi="ar-SA"/>
    </w:rPr>
  </w:style>
  <w:style w:type="paragraph" w:customStyle="1" w:styleId="134">
    <w:name w:val="正文文本_1"/>
    <w:qFormat/>
    <w:uiPriority w:val="0"/>
    <w:pPr>
      <w:widowControl w:val="0"/>
      <w:spacing w:after="120" w:line="276" w:lineRule="auto"/>
      <w:jc w:val="both"/>
    </w:pPr>
    <w:rPr>
      <w:rFonts w:ascii="Times New Roman" w:hAnsi="Times New Roman" w:eastAsia="宋体" w:cs="Times New Roman"/>
      <w:kern w:val="2"/>
      <w:sz w:val="21"/>
      <w:lang w:val="en-US" w:eastAsia="zh-CN" w:bidi="ar-SA"/>
    </w:rPr>
  </w:style>
  <w:style w:type="paragraph" w:customStyle="1" w:styleId="135">
    <w:name w:val="列表段落2"/>
    <w:basedOn w:val="1"/>
    <w:autoRedefine/>
    <w:qFormat/>
    <w:uiPriority w:val="34"/>
    <w:pPr>
      <w:ind w:firstLine="420" w:firstLineChars="200"/>
    </w:pPr>
  </w:style>
  <w:style w:type="paragraph" w:customStyle="1" w:styleId="136">
    <w:name w:val="纯文本3"/>
    <w:basedOn w:val="1"/>
    <w:qFormat/>
    <w:uiPriority w:val="0"/>
    <w:rPr>
      <w:rFonts w:ascii="宋体" w:hAnsi="Courier New"/>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4699D6-0D64-4E11-828A-1296A88A1176}">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47</Pages>
  <Words>21952</Words>
  <Characters>23676</Characters>
  <Lines>204</Lines>
  <Paragraphs>57</Paragraphs>
  <TotalTime>12</TotalTime>
  <ScaleCrop>false</ScaleCrop>
  <LinksUpToDate>false</LinksUpToDate>
  <CharactersWithSpaces>24253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2022-04-28T06:53:00Z</dcterms:created>
  <dc:creator>Administrator</dc:creator>
  <cp:lastModifiedBy>代理机构</cp:lastModifiedBy>
  <dcterms:modified xsi:type="dcterms:W3CDTF">2024-07-19T02:12:27Z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96A317DCECC64E918DBC8AD40304576B_13</vt:lpwstr>
  </property>
</Properties>
</file>