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156" w:beforeLines="50"/>
        <w:jc w:val="center"/>
        <w:rPr>
          <w:rFonts w:asciiTheme="minorEastAsia" w:hAnsiTheme="minorEastAsia" w:cstheme="minorEastAsia"/>
          <w:b/>
          <w:color w:val="000000" w:themeColor="text1"/>
          <w:sz w:val="84"/>
          <w:szCs w:val="84"/>
          <w14:textFill>
            <w14:solidFill>
              <w14:schemeClr w14:val="tx1"/>
            </w14:solidFill>
          </w14:textFill>
        </w:rPr>
      </w:pPr>
      <w:r>
        <w:rPr>
          <w:rFonts w:hint="eastAsia" w:asciiTheme="minorEastAsia" w:hAnsiTheme="minorEastAsia" w:cstheme="minorEastAsia"/>
          <w:b/>
          <w:color w:val="000000" w:themeColor="text1"/>
          <w:sz w:val="84"/>
          <w:szCs w:val="84"/>
          <w14:textFill>
            <w14:solidFill>
              <w14:schemeClr w14:val="tx1"/>
            </w14:solidFill>
          </w14:textFill>
        </w:rPr>
        <w:t xml:space="preserve"> </w:t>
      </w:r>
    </w:p>
    <w:p>
      <w:pPr>
        <w:snapToGrid w:val="0"/>
        <w:spacing w:before="156" w:beforeLines="50"/>
        <w:jc w:val="center"/>
        <w:rPr>
          <w:rFonts w:asciiTheme="minorEastAsia" w:hAnsiTheme="minorEastAsia" w:cstheme="minorEastAsia"/>
          <w:b/>
          <w:color w:val="000000" w:themeColor="text1"/>
          <w:sz w:val="84"/>
          <w:szCs w:val="84"/>
          <w14:textFill>
            <w14:solidFill>
              <w14:schemeClr w14:val="tx1"/>
            </w14:solidFill>
          </w14:textFill>
        </w:rPr>
      </w:pPr>
    </w:p>
    <w:p>
      <w:pPr>
        <w:snapToGrid w:val="0"/>
        <w:spacing w:before="156" w:beforeLines="50"/>
        <w:jc w:val="center"/>
        <w:rPr>
          <w:rFonts w:asciiTheme="minorEastAsia" w:hAnsiTheme="minorEastAsia" w:cstheme="minorEastAsia"/>
          <w:b/>
          <w:bCs/>
          <w:color w:val="000000" w:themeColor="text1"/>
          <w:sz w:val="84"/>
          <w:szCs w:val="84"/>
          <w14:textFill>
            <w14:solidFill>
              <w14:schemeClr w14:val="tx1"/>
            </w14:solidFill>
          </w14:textFill>
        </w:rPr>
      </w:pPr>
      <w:r>
        <w:rPr>
          <w:rFonts w:hint="eastAsia" w:asciiTheme="minorEastAsia" w:hAnsiTheme="minorEastAsia" w:cstheme="minorEastAsia"/>
          <w:b/>
          <w:color w:val="000000" w:themeColor="text1"/>
          <w:sz w:val="84"/>
          <w:szCs w:val="84"/>
          <w14:textFill>
            <w14:solidFill>
              <w14:schemeClr w14:val="tx1"/>
            </w14:solidFill>
          </w14:textFill>
        </w:rPr>
        <w:t>竞价文件</w:t>
      </w:r>
    </w:p>
    <w:p>
      <w:pPr>
        <w:spacing w:line="360" w:lineRule="auto"/>
        <w:jc w:val="center"/>
        <w:rPr>
          <w:rFonts w:asciiTheme="minorEastAsia" w:hAnsiTheme="minorEastAsia" w:cstheme="minorEastAsia"/>
          <w:b/>
          <w:bCs/>
          <w:color w:val="000000" w:themeColor="text1"/>
          <w:sz w:val="24"/>
          <w:szCs w:val="24"/>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jc w:val="left"/>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采购方式：线上竞价</w:t>
      </w:r>
    </w:p>
    <w:p>
      <w:pPr>
        <w:spacing w:line="360" w:lineRule="auto"/>
        <w:jc w:val="left"/>
        <w:rPr>
          <w:rFonts w:hint="eastAsia" w:asciiTheme="minorEastAsia" w:hAnsiTheme="minorEastAsia" w:eastAsiaTheme="minorEastAsia" w:cstheme="minorEastAsia"/>
          <w:b/>
          <w:bCs/>
          <w:color w:val="000000" w:themeColor="text1"/>
          <w:sz w:val="28"/>
          <w:szCs w:val="32"/>
          <w:lang w:eastAsia="zh-CN"/>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项目名称：</w:t>
      </w:r>
      <w:r>
        <w:rPr>
          <w:rFonts w:hint="eastAsia" w:asciiTheme="minorEastAsia" w:hAnsiTheme="minorEastAsia" w:cstheme="minorEastAsia"/>
          <w:b/>
          <w:bCs/>
          <w:color w:val="000000" w:themeColor="text1"/>
          <w:sz w:val="28"/>
          <w:szCs w:val="32"/>
          <w:u w:val="single"/>
          <w:lang w:eastAsia="zh-CN"/>
          <w14:textFill>
            <w14:solidFill>
              <w14:schemeClr w14:val="tx1"/>
            </w14:solidFill>
          </w14:textFill>
        </w:rPr>
        <w:t>2024年汕尾广电营业厅业务系统升级改造</w:t>
      </w:r>
    </w:p>
    <w:p>
      <w:pPr>
        <w:snapToGrid w:val="0"/>
        <w:spacing w:before="156" w:beforeLines="50" w:after="156" w:afterLines="50" w:line="360" w:lineRule="auto"/>
        <w:jc w:val="center"/>
        <w:rPr>
          <w:rFonts w:asciiTheme="minorEastAsia" w:hAnsiTheme="minorEastAsia" w:cstheme="minorEastAsia"/>
          <w:color w:val="000000" w:themeColor="text1"/>
          <w:sz w:val="30"/>
          <w:szCs w:val="30"/>
          <w14:textFill>
            <w14:solidFill>
              <w14:schemeClr w14:val="tx1"/>
            </w14:solidFill>
          </w14:textFill>
        </w:rPr>
      </w:pPr>
    </w:p>
    <w:p>
      <w:pPr>
        <w:autoSpaceDE w:val="0"/>
        <w:autoSpaceDN w:val="0"/>
        <w:adjustRightInd w:val="0"/>
        <w:snapToGrid w:val="0"/>
        <w:spacing w:before="156" w:beforeLines="50" w:after="156" w:afterLines="50" w:line="360" w:lineRule="auto"/>
        <w:jc w:val="center"/>
        <w:rPr>
          <w:rFonts w:asciiTheme="minorEastAsia" w:hAnsiTheme="minorEastAsia" w:cstheme="minorEastAsia"/>
          <w:color w:val="000000" w:themeColor="text1"/>
          <w:kern w:val="0"/>
          <w:sz w:val="30"/>
          <w:szCs w:val="30"/>
          <w14:textFill>
            <w14:solidFill>
              <w14:schemeClr w14:val="tx1"/>
            </w14:solidFill>
          </w14:textFill>
        </w:rPr>
      </w:pPr>
    </w:p>
    <w:p>
      <w:pPr>
        <w:autoSpaceDE w:val="0"/>
        <w:autoSpaceDN w:val="0"/>
        <w:adjustRightInd w:val="0"/>
        <w:snapToGrid w:val="0"/>
        <w:spacing w:before="156" w:beforeLines="50" w:after="156" w:afterLines="50" w:line="360" w:lineRule="auto"/>
        <w:jc w:val="left"/>
        <w:rPr>
          <w:rFonts w:asciiTheme="minorEastAsia" w:hAnsiTheme="minorEastAsia" w:cstheme="minorEastAsia"/>
          <w:color w:val="000000" w:themeColor="text1"/>
          <w:kern w:val="0"/>
          <w:sz w:val="30"/>
          <w:szCs w:val="30"/>
          <w14:textFill>
            <w14:solidFill>
              <w14:schemeClr w14:val="tx1"/>
            </w14:solidFill>
          </w14:textFill>
        </w:rPr>
      </w:pPr>
    </w:p>
    <w:p>
      <w:pPr>
        <w:autoSpaceDE w:val="0"/>
        <w:autoSpaceDN w:val="0"/>
        <w:adjustRightInd w:val="0"/>
        <w:snapToGrid w:val="0"/>
        <w:spacing w:line="360" w:lineRule="auto"/>
        <w:ind w:left="420" w:firstLine="420"/>
        <w:jc w:val="center"/>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广东省广播电视网络股份有限公司汕尾分公司</w:t>
      </w:r>
    </w:p>
    <w:p>
      <w:pPr>
        <w:autoSpaceDE w:val="0"/>
        <w:autoSpaceDN w:val="0"/>
        <w:adjustRightInd w:val="0"/>
        <w:snapToGrid w:val="0"/>
        <w:spacing w:line="360" w:lineRule="auto"/>
        <w:ind w:left="420" w:firstLine="420"/>
        <w:jc w:val="center"/>
        <w:rPr>
          <w:rFonts w:asciiTheme="minorEastAsia" w:hAnsiTheme="minorEastAsia" w:cstheme="minorEastAsia"/>
          <w:b/>
          <w:color w:val="000000" w:themeColor="text1"/>
          <w:sz w:val="28"/>
          <w14:textFill>
            <w14:solidFill>
              <w14:schemeClr w14:val="tx1"/>
            </w14:solidFill>
          </w14:textFill>
        </w:rPr>
      </w:pPr>
      <w:r>
        <w:rPr>
          <w:rFonts w:hint="eastAsia" w:asciiTheme="minorEastAsia" w:hAnsiTheme="minorEastAsia" w:cstheme="minorEastAsia"/>
          <w:b/>
          <w:color w:val="000000" w:themeColor="text1"/>
          <w:sz w:val="28"/>
          <w14:textFill>
            <w14:solidFill>
              <w14:schemeClr w14:val="tx1"/>
            </w14:solidFill>
          </w14:textFill>
        </w:rPr>
        <w:t>采联国际招标采购集团有限公司</w:t>
      </w:r>
    </w:p>
    <w:p>
      <w:pPr>
        <w:autoSpaceDE w:val="0"/>
        <w:autoSpaceDN w:val="0"/>
        <w:adjustRightInd w:val="0"/>
        <w:snapToGrid w:val="0"/>
        <w:spacing w:line="360" w:lineRule="auto"/>
        <w:ind w:left="420" w:firstLine="420"/>
        <w:jc w:val="center"/>
        <w:rPr>
          <w:rFonts w:asciiTheme="minorEastAsia" w:hAnsiTheme="minorEastAsia" w:cstheme="minorEastAsia"/>
          <w:b/>
          <w:color w:val="000000" w:themeColor="text1"/>
          <w:sz w:val="28"/>
          <w14:textFill>
            <w14:solidFill>
              <w14:schemeClr w14:val="tx1"/>
            </w14:solidFill>
          </w14:textFill>
        </w:rPr>
      </w:pPr>
      <w:r>
        <w:rPr>
          <w:rFonts w:hint="eastAsia" w:asciiTheme="minorEastAsia" w:hAnsiTheme="minorEastAsia" w:cstheme="minorEastAsia"/>
          <w:b/>
          <w:color w:val="000000" w:themeColor="text1"/>
          <w:sz w:val="28"/>
          <w14:textFill>
            <w14:solidFill>
              <w14:schemeClr w14:val="tx1"/>
            </w14:solidFill>
          </w14:textFill>
        </w:rPr>
        <w:t>二〇二四年六月</w:t>
      </w:r>
    </w:p>
    <w:p>
      <w:pPr>
        <w:autoSpaceDE w:val="0"/>
        <w:autoSpaceDN w:val="0"/>
        <w:adjustRightInd w:val="0"/>
        <w:snapToGrid w:val="0"/>
        <w:spacing w:line="360" w:lineRule="auto"/>
        <w:ind w:left="420" w:firstLine="420"/>
        <w:jc w:val="center"/>
        <w:rPr>
          <w:rFonts w:asciiTheme="minorEastAsia" w:hAnsiTheme="minorEastAsia" w:cstheme="minorEastAsia"/>
          <w:color w:val="000000" w:themeColor="text1"/>
          <w:sz w:val="28"/>
          <w14:textFill>
            <w14:solidFill>
              <w14:schemeClr w14:val="tx1"/>
            </w14:solidFill>
          </w14:textFill>
        </w:rPr>
      </w:pPr>
    </w:p>
    <w:p>
      <w:pPr>
        <w:autoSpaceDE w:val="0"/>
        <w:autoSpaceDN w:val="0"/>
        <w:adjustRightInd w:val="0"/>
        <w:snapToGrid w:val="0"/>
        <w:spacing w:line="360" w:lineRule="auto"/>
        <w:ind w:left="420" w:firstLine="420"/>
        <w:jc w:val="center"/>
        <w:rPr>
          <w:rFonts w:asciiTheme="minorEastAsia" w:hAnsiTheme="minorEastAsia" w:cstheme="minorEastAsia"/>
          <w:b/>
          <w:bCs/>
          <w:color w:val="000000" w:themeColor="text1"/>
          <w:sz w:val="28"/>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p>
    <w:p>
      <w:pPr>
        <w:pStyle w:val="16"/>
        <w:spacing w:before="0" w:after="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第一章 竞价须知</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本项目通过云采链线上采购一体化平台（www.choicelink.cn）进行竞价，参与竞价的供应商必须登录平台进行注册，注册成功后方可参与项目竞价。</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语言要求</w:t>
      </w:r>
    </w:p>
    <w:p>
      <w:pPr>
        <w:spacing w:line="360" w:lineRule="auto"/>
        <w:ind w:left="420" w:leftChars="20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pStyle w:val="27"/>
        <w:numPr>
          <w:ilvl w:val="0"/>
          <w:numId w:val="2"/>
        </w:numPr>
        <w:spacing w:line="360" w:lineRule="auto"/>
        <w:ind w:firstLineChars="0"/>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szCs w:val="21"/>
          <w14:textFill>
            <w14:solidFill>
              <w14:schemeClr w14:val="tx1"/>
            </w14:solidFill>
          </w14:textFill>
        </w:rPr>
        <w:t>在云采链平台参与项目竞价后放弃成交资格超过三次（含三次）的供应商连同该供应商同一法人名下所有公司将被列入平台黑名单，永久不得参与平台的项目竞价。</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竞价须知</w:t>
      </w:r>
    </w:p>
    <w:p>
      <w:pPr>
        <w:pStyle w:val="27"/>
        <w:numPr>
          <w:ilvl w:val="0"/>
          <w:numId w:val="3"/>
        </w:numPr>
        <w:spacing w:line="360" w:lineRule="auto"/>
        <w:ind w:left="420" w:hanging="420" w:firstLineChars="0"/>
        <w:rPr>
          <w:rFonts w:asciiTheme="minorEastAsia" w:hAnsiTheme="minorEastAsia" w:cstheme="minorEastAsia"/>
          <w:b/>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竞价说明</w:t>
      </w:r>
    </w:p>
    <w:p>
      <w:pPr>
        <w:pStyle w:val="27"/>
        <w:numPr>
          <w:ilvl w:val="0"/>
          <w:numId w:val="4"/>
        </w:numPr>
        <w:tabs>
          <w:tab w:val="left" w:pos="851"/>
        </w:tabs>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参与竞价的供应商应承担所有与准备和参加竞价有关的费用，不</w:t>
      </w:r>
      <w:r>
        <w:rPr>
          <w:rFonts w:hint="eastAsia" w:asciiTheme="minorEastAsia" w:hAnsiTheme="minorEastAsia" w:cstheme="minorEastAsia"/>
          <w:color w:val="000000" w:themeColor="text1"/>
          <w:szCs w:val="21"/>
          <w:lang w:eastAsia="zh-TW"/>
          <w14:textFill>
            <w14:solidFill>
              <w14:schemeClr w14:val="tx1"/>
            </w14:solidFill>
          </w14:textFill>
        </w:rPr>
        <w:t>论</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的结果如何</w:t>
      </w:r>
      <w:r>
        <w:rPr>
          <w:rFonts w:hint="eastAsia" w:asciiTheme="minorEastAsia" w:hAnsiTheme="minorEastAsia" w:cstheme="minorEastAsia"/>
          <w:color w:val="000000" w:themeColor="text1"/>
          <w:szCs w:val="21"/>
          <w14:textFill>
            <w14:solidFill>
              <w14:schemeClr w14:val="tx1"/>
            </w14:solidFill>
          </w14:textFill>
        </w:rPr>
        <w:t>，采购</w:t>
      </w:r>
      <w:r>
        <w:rPr>
          <w:rFonts w:hint="eastAsia" w:asciiTheme="minorEastAsia" w:hAnsiTheme="minorEastAsia" w:cstheme="minorEastAsia"/>
          <w:color w:val="000000" w:themeColor="text1"/>
          <w:szCs w:val="21"/>
          <w:lang w:eastAsia="zh-TW"/>
          <w14:textFill>
            <w14:solidFill>
              <w14:schemeClr w14:val="tx1"/>
            </w14:solidFill>
          </w14:textFill>
        </w:rPr>
        <w:t>人</w:t>
      </w:r>
      <w:r>
        <w:rPr>
          <w:rFonts w:hint="eastAsia" w:asciiTheme="minorEastAsia" w:hAnsiTheme="minorEastAsia" w:cstheme="minorEastAsia"/>
          <w:color w:val="000000" w:themeColor="text1"/>
          <w:szCs w:val="21"/>
          <w14:textFill>
            <w14:solidFill>
              <w14:schemeClr w14:val="tx1"/>
            </w14:solidFill>
          </w14:textFill>
        </w:rPr>
        <w:t>和</w:t>
      </w:r>
      <w:r>
        <w:rPr>
          <w:rFonts w:hint="eastAsia" w:asciiTheme="minorEastAsia" w:hAnsiTheme="minorEastAsia" w:cstheme="minorEastAsia"/>
          <w:color w:val="000000" w:themeColor="text1"/>
          <w:szCs w:val="21"/>
          <w:lang w:eastAsia="zh-TW"/>
          <w14:textFill>
            <w14:solidFill>
              <w14:schemeClr w14:val="tx1"/>
            </w14:solidFill>
          </w14:textFill>
        </w:rPr>
        <w:t>代理机构均无义务和责任承担这些费用</w:t>
      </w:r>
      <w:r>
        <w:rPr>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供应商必须按竞价附件的格式填写，不得随意增加或删除表格内容。除单价、金额或项目要求填写的内容外，不得擅自改动竞价附件内容，否则将有可能影响成交结果，不推荐为成交候选人。</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Theme="minorEastAsia" w:hAnsiTheme="minorEastAsia" w:cstheme="minorEastAsia"/>
          <w:bCs/>
          <w:color w:val="000000" w:themeColor="text1"/>
          <w:szCs w:val="21"/>
          <w14:textFill>
            <w14:solidFill>
              <w14:schemeClr w14:val="tx1"/>
            </w14:solidFill>
          </w14:textFill>
        </w:rPr>
        <w:t>不推荐为成交候选人</w:t>
      </w:r>
      <w:r>
        <w:rPr>
          <w:rFonts w:hint="eastAsia" w:asciiTheme="minorEastAsia" w:hAnsiTheme="minorEastAsia" w:cstheme="minorEastAsia"/>
          <w:color w:val="000000" w:themeColor="text1"/>
          <w:szCs w:val="21"/>
          <w:lang w:val="zh-CN"/>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若成交供应商自身原因无法完成本项目，则采购人有权利保留追究责任。</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成交供应商因自身原因被取消成交资格，采购人可重新启动采购或按竞价公告规定顺延推选符合要求的供应商作为成交人。</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若本项目竞价采购失败，采购人将重新采购，届时采购人有权根据项目具体情况，决定重新采购项目的采购方式。</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成交供应商若无正当理由恶意放弃成交资格，采购人有权将拒绝其参加本项目重新组织的竞价采购活动。</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如采购人或代理机构在审核或复核</w:t>
      </w: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14:textFill>
            <w14:solidFill>
              <w14:schemeClr w14:val="tx1"/>
            </w14:solidFill>
          </w14:textFill>
        </w:rPr>
        <w:t>供应商所提交的竞价资料时，供应商须无条件配合；期间若发现存在弄虚作假或相关的失信记录或违反国家法律法规等相关的不良情形，采购人可取消其成交资格并保留追究责任的权力。</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szCs w:val="21"/>
          <w:lang w:eastAsia="zh-TW"/>
          <w14:textFill>
            <w14:solidFill>
              <w14:schemeClr w14:val="tx1"/>
            </w14:solidFill>
          </w14:textFill>
        </w:rPr>
        <w:t>供应商向我司咨询的有关项目事项，一切以</w:t>
      </w:r>
      <w:r>
        <w:rPr>
          <w:rFonts w:hint="eastAsia" w:asciiTheme="minorEastAsia" w:hAnsiTheme="minorEastAsia" w:cstheme="minorEastAsia"/>
          <w:color w:val="000000" w:themeColor="text1"/>
          <w:szCs w:val="21"/>
          <w14:textFill>
            <w14:solidFill>
              <w14:schemeClr w14:val="tx1"/>
            </w14:solidFill>
          </w14:textFill>
        </w:rPr>
        <w:t>竞价文件</w:t>
      </w:r>
      <w:r>
        <w:rPr>
          <w:rFonts w:hint="eastAsia" w:asciiTheme="minorEastAsia" w:hAnsiTheme="minorEastAsia" w:cstheme="minorEastAsia"/>
          <w:color w:val="000000" w:themeColor="text1"/>
          <w:szCs w:val="21"/>
          <w:lang w:eastAsia="zh-TW"/>
          <w14:textFill>
            <w14:solidFill>
              <w14:schemeClr w14:val="tx1"/>
            </w14:solidFill>
          </w14:textFill>
        </w:rPr>
        <w:t>规定</w:t>
      </w:r>
      <w:r>
        <w:rPr>
          <w:rFonts w:hint="eastAsia" w:asciiTheme="minorEastAsia" w:hAnsiTheme="minorEastAsia" w:cstheme="minorEastAsia"/>
          <w:color w:val="000000" w:themeColor="text1"/>
          <w:szCs w:val="21"/>
          <w14:textFill>
            <w14:solidFill>
              <w14:schemeClr w14:val="tx1"/>
            </w14:solidFill>
          </w14:textFill>
        </w:rPr>
        <w:t>和竞价公告规定以及</w:t>
      </w:r>
      <w:r>
        <w:rPr>
          <w:rFonts w:hint="eastAsia" w:asciiTheme="minorEastAsia" w:hAnsiTheme="minorEastAsia" w:cstheme="minorEastAsia"/>
          <w:color w:val="000000" w:themeColor="text1"/>
          <w:szCs w:val="21"/>
          <w:lang w:eastAsia="zh-TW"/>
          <w14:textFill>
            <w14:solidFill>
              <w14:schemeClr w14:val="tx1"/>
            </w14:solidFill>
          </w14:textFill>
        </w:rPr>
        <w:t>本公司</w:t>
      </w:r>
      <w:r>
        <w:rPr>
          <w:rFonts w:hint="eastAsia" w:asciiTheme="minorEastAsia" w:hAnsiTheme="minorEastAsia" w:cstheme="minorEastAsia"/>
          <w:color w:val="000000" w:themeColor="text1"/>
          <w:szCs w:val="21"/>
          <w14:textFill>
            <w14:solidFill>
              <w14:schemeClr w14:val="tx1"/>
            </w14:solidFill>
          </w14:textFill>
        </w:rPr>
        <w:t>的</w:t>
      </w:r>
      <w:r>
        <w:rPr>
          <w:rFonts w:hint="eastAsia" w:asciiTheme="minorEastAsia" w:hAnsiTheme="minorEastAsia" w:cstheme="minorEastAsia"/>
          <w:color w:val="000000" w:themeColor="text1"/>
          <w:szCs w:val="21"/>
          <w:lang w:eastAsia="zh-TW"/>
          <w14:textFill>
            <w14:solidFill>
              <w14:schemeClr w14:val="tx1"/>
            </w14:solidFill>
          </w14:textFill>
        </w:rPr>
        <w:t>书面答复为准，其他一切形式均为个人意见，不代表本公司的意见</w:t>
      </w:r>
      <w:r>
        <w:rPr>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参与竞价的供应商应认真阅读</w:t>
      </w:r>
      <w:r>
        <w:rPr>
          <w:rFonts w:hint="eastAsia" w:asciiTheme="minorEastAsia" w:hAnsiTheme="minorEastAsia" w:cstheme="minorEastAsia"/>
          <w:color w:val="000000" w:themeColor="text1"/>
          <w:szCs w:val="21"/>
          <w:lang w:eastAsia="zh-TW"/>
          <w14:textFill>
            <w14:solidFill>
              <w14:schemeClr w14:val="tx1"/>
            </w14:solidFill>
          </w14:textFill>
        </w:rPr>
        <w:t>、并充分理解</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文件的全部内容（包括所有的补充、修改内容重要事项、格式、条款</w:t>
      </w:r>
      <w:r>
        <w:rPr>
          <w:rFonts w:hint="eastAsia" w:asciiTheme="minorEastAsia" w:hAnsiTheme="minorEastAsia" w:cstheme="minorEastAsia"/>
          <w:color w:val="000000" w:themeColor="text1"/>
          <w:szCs w:val="21"/>
          <w14:textFill>
            <w14:solidFill>
              <w14:schemeClr w14:val="tx1"/>
            </w14:solidFill>
          </w14:textFill>
        </w:rPr>
        <w:t>、服务要求</w:t>
      </w:r>
      <w:r>
        <w:rPr>
          <w:rFonts w:hint="eastAsia" w:asciiTheme="minorEastAsia" w:hAnsiTheme="minorEastAsia" w:cstheme="minorEastAsia"/>
          <w:color w:val="000000" w:themeColor="text1"/>
          <w:szCs w:val="21"/>
          <w:lang w:eastAsia="zh-TW"/>
          <w14:textFill>
            <w14:solidFill>
              <w14:schemeClr w14:val="tx1"/>
            </w14:solidFill>
          </w14:textFill>
        </w:rPr>
        <w:t>和技术规范、参数及要求等）。</w:t>
      </w:r>
      <w:r>
        <w:rPr>
          <w:rFonts w:hint="eastAsia" w:asciiTheme="minorEastAsia" w:hAnsiTheme="minorEastAsia" w:cstheme="minorEastAsia"/>
          <w:color w:val="000000" w:themeColor="text1"/>
          <w:szCs w:val="21"/>
          <w14:textFill>
            <w14:solidFill>
              <w14:schemeClr w14:val="tx1"/>
            </w14:solidFill>
          </w14:textFill>
        </w:rPr>
        <w:t>供应商</w:t>
      </w:r>
      <w:r>
        <w:rPr>
          <w:rFonts w:hint="eastAsia" w:asciiTheme="minorEastAsia" w:hAnsiTheme="minorEastAsia" w:cstheme="minorEastAsia"/>
          <w:color w:val="000000" w:themeColor="text1"/>
          <w:szCs w:val="21"/>
          <w:lang w:eastAsia="zh-TW"/>
          <w14:textFill>
            <w14:solidFill>
              <w14:schemeClr w14:val="tx1"/>
            </w14:solidFill>
          </w14:textFill>
        </w:rPr>
        <w:t>没有按照</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文件要求提交全部资料，或者</w:t>
      </w:r>
      <w:r>
        <w:rPr>
          <w:rFonts w:hint="eastAsia" w:asciiTheme="minorEastAsia" w:hAnsiTheme="minorEastAsia" w:cstheme="minorEastAsia"/>
          <w:color w:val="000000" w:themeColor="text1"/>
          <w:szCs w:val="21"/>
          <w14:textFill>
            <w14:solidFill>
              <w14:schemeClr w14:val="tx1"/>
            </w14:solidFill>
          </w14:textFill>
        </w:rPr>
        <w:t>参与竞价所上传的</w:t>
      </w:r>
      <w:r>
        <w:rPr>
          <w:rFonts w:hint="eastAsia" w:asciiTheme="minorEastAsia" w:hAnsiTheme="minorEastAsia" w:cstheme="minorEastAsia"/>
          <w:color w:val="000000" w:themeColor="text1"/>
          <w:szCs w:val="21"/>
          <w:lang w:eastAsia="zh-TW"/>
          <w14:textFill>
            <w14:solidFill>
              <w14:schemeClr w14:val="tx1"/>
            </w14:solidFill>
          </w14:textFill>
        </w:rPr>
        <w:t>文件没有对</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文件在各方面都作出实质性响应是</w:t>
      </w:r>
      <w:r>
        <w:rPr>
          <w:rFonts w:hint="eastAsia" w:asciiTheme="minorEastAsia" w:hAnsiTheme="minorEastAsia" w:cstheme="minorEastAsia"/>
          <w:color w:val="000000" w:themeColor="text1"/>
          <w:szCs w:val="21"/>
          <w14:textFill>
            <w14:solidFill>
              <w14:schemeClr w14:val="tx1"/>
            </w14:solidFill>
          </w14:textFill>
        </w:rPr>
        <w:t>供应商</w:t>
      </w:r>
      <w:r>
        <w:rPr>
          <w:rFonts w:hint="eastAsia" w:asciiTheme="minorEastAsia" w:hAnsiTheme="minorEastAsia" w:cstheme="minorEastAsia"/>
          <w:color w:val="000000" w:themeColor="text1"/>
          <w:szCs w:val="21"/>
          <w:lang w:eastAsia="zh-TW"/>
          <w14:textFill>
            <w14:solidFill>
              <w14:schemeClr w14:val="tx1"/>
            </w14:solidFill>
          </w14:textFill>
        </w:rPr>
        <w:t>的风险，有可能导致其</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被拒绝，</w:t>
      </w:r>
      <w:r>
        <w:rPr>
          <w:rFonts w:hint="eastAsia" w:asciiTheme="minorEastAsia" w:hAnsiTheme="minorEastAsia" w:cstheme="minorEastAsia"/>
          <w:color w:val="000000" w:themeColor="text1"/>
          <w:szCs w:val="21"/>
          <w14:textFill>
            <w14:solidFill>
              <w14:schemeClr w14:val="tx1"/>
            </w14:solidFill>
          </w14:textFill>
        </w:rPr>
        <w:t>或被认定为无效竞价。</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采购人有权拒绝接受任何不合格的货物或服务，由此产生的费用及相关后果均由成交供应商自行承担。</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本竞价公告和竞价文件的解释权归</w:t>
      </w:r>
      <w:r>
        <w:rPr>
          <w:rFonts w:hint="eastAsia" w:asciiTheme="minorEastAsia" w:hAnsiTheme="minorEastAsia" w:cstheme="minorEastAsia"/>
          <w:color w:val="000000" w:themeColor="text1"/>
          <w:szCs w:val="21"/>
          <w:lang w:eastAsia="zh-TW"/>
          <w14:textFill>
            <w14:solidFill>
              <w14:schemeClr w14:val="tx1"/>
            </w14:solidFill>
          </w14:textFill>
        </w:rPr>
        <w:t>“云采链</w:t>
      </w:r>
      <w:r>
        <w:rPr>
          <w:rFonts w:hint="eastAsia" w:asciiTheme="minorEastAsia" w:hAnsiTheme="minorEastAsia" w:cstheme="minorEastAsia"/>
          <w:color w:val="000000" w:themeColor="text1"/>
          <w14:textFill>
            <w14:solidFill>
              <w14:schemeClr w14:val="tx1"/>
            </w14:solidFill>
          </w14:textFill>
        </w:rPr>
        <w:t>线上采购一体化平台</w:t>
      </w:r>
      <w:r>
        <w:rPr>
          <w:rFonts w:hint="eastAsia" w:asciiTheme="minorEastAsia" w:hAnsiTheme="minorEastAsia" w:cstheme="minorEastAsia"/>
          <w:color w:val="000000" w:themeColor="text1"/>
          <w:szCs w:val="21"/>
          <w:lang w:eastAsia="zh-TW"/>
          <w14:textFill>
            <w14:solidFill>
              <w14:schemeClr w14:val="tx1"/>
            </w14:solidFill>
          </w14:textFill>
        </w:rPr>
        <w:t>”所有。</w:t>
      </w:r>
    </w:p>
    <w:p>
      <w:pPr>
        <w:pStyle w:val="27"/>
        <w:numPr>
          <w:ilvl w:val="0"/>
          <w:numId w:val="3"/>
        </w:numPr>
        <w:spacing w:line="360" w:lineRule="auto"/>
        <w:ind w:left="42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竞价文件的澄清或修改</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Theme="minorEastAsia" w:hAnsiTheme="minorEastAsia" w:cstheme="minorEastAsia"/>
          <w:color w:val="000000" w:themeColor="text1"/>
          <w:szCs w:val="21"/>
          <w14:textFill>
            <w14:solidFill>
              <w14:schemeClr w14:val="tx1"/>
            </w14:solidFill>
          </w14:textFill>
        </w:rPr>
        <w:t>如报名</w:t>
      </w:r>
      <w:r>
        <w:rPr>
          <w:rFonts w:hint="eastAsia" w:asciiTheme="minorEastAsia" w:hAnsiTheme="minorEastAsia" w:cstheme="minorEastAsia"/>
          <w:color w:val="000000" w:themeColor="text1"/>
          <w:szCs w:val="21"/>
          <w:lang w:eastAsia="zh-TW"/>
          <w14:textFill>
            <w14:solidFill>
              <w14:schemeClr w14:val="tx1"/>
            </w14:solidFill>
          </w14:textFill>
        </w:rPr>
        <w:t>截止时间</w:t>
      </w:r>
      <w:r>
        <w:rPr>
          <w:rFonts w:hint="eastAsia" w:asciiTheme="minorEastAsia" w:hAnsiTheme="minorEastAsia" w:cstheme="minorEastAsia"/>
          <w:color w:val="000000" w:themeColor="text1"/>
          <w:szCs w:val="21"/>
          <w14:textFill>
            <w14:solidFill>
              <w14:schemeClr w14:val="tx1"/>
            </w14:solidFill>
          </w14:textFill>
        </w:rPr>
        <w:t>少于一个工作日的，</w:t>
      </w:r>
      <w:r>
        <w:rPr>
          <w:rFonts w:hint="eastAsia" w:asciiTheme="minorEastAsia" w:hAnsiTheme="minorEastAsia" w:cstheme="minorEastAsia"/>
          <w:color w:val="000000" w:themeColor="text1"/>
          <w14:textFill>
            <w14:solidFill>
              <w14:schemeClr w14:val="tx1"/>
            </w14:solidFill>
          </w14:textFill>
        </w:rPr>
        <w:t>采购人或者采购代理机构应当相应顺延报名的截止时间。</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采购人或者采购代理机构发出的澄清或修改（更正/变更）的内容为竞价文件的组成部分，并对供应商具有约束力。</w:t>
      </w:r>
    </w:p>
    <w:p>
      <w:pPr>
        <w:pStyle w:val="27"/>
        <w:numPr>
          <w:ilvl w:val="0"/>
          <w:numId w:val="3"/>
        </w:numPr>
        <w:spacing w:line="360" w:lineRule="auto"/>
        <w:ind w:left="420" w:hanging="420" w:firstLineChars="0"/>
        <w:rPr>
          <w:rStyle w:val="23"/>
          <w:rFonts w:asciiTheme="minorEastAsia" w:hAnsiTheme="minorEastAsia" w:cstheme="minorEastAsia"/>
          <w:bCs w:val="0"/>
        </w:rPr>
      </w:pPr>
      <w:r>
        <w:rPr>
          <w:rStyle w:val="23"/>
          <w:rFonts w:hint="eastAsia" w:asciiTheme="minorEastAsia" w:hAnsiTheme="minorEastAsia" w:cstheme="minorEastAsia"/>
          <w:bCs w:val="0"/>
        </w:rPr>
        <w:t>报名要求</w:t>
      </w:r>
      <w:r>
        <w:rPr>
          <w:rStyle w:val="23"/>
          <w:rFonts w:hint="eastAsia" w:asciiTheme="minorEastAsia" w:hAnsiTheme="minorEastAsia" w:cstheme="minorEastAsia"/>
          <w:b w:val="0"/>
        </w:rPr>
        <w:t>（参与竞价的供应商资质要求: 报名时需要提供以下盖章资料，并对上传的报名文件资料承担责任）</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提供在中华人民共和国境内注册的法人或其他组织的营业执照或事业单位法人证书或社会团体法人登记证书复印件；如国家另有规定的，则从其规定；（如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满足《中华人民共和国政府采购法》第二十二条规定；本项目不允许联合竞价；不允许分包转包；为采购项目提供整体设计、规范编制或者项目管理、监理、检测等服务的供应商，不得再参加该采购项目同一合同项下的其他采购活动；法定代表人或单位负责人与所参投的本项目其他供应商的法定代表人或单位负责人不为同一人且与其他供应商之间不存在直接控股、管理关系；（提供《供应商资格声明函》，格式见附件）；</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供应商完全响应本项目用户需求的条款、内容及要求的，提供用户需求书响应声明函即可</w:t>
      </w:r>
      <w:r>
        <w:rPr>
          <w:rFonts w:hint="eastAsia" w:asciiTheme="minorEastAsia" w:hAnsiTheme="minorEastAsia" w:cstheme="minorEastAsia"/>
          <w:b/>
          <w:color w:val="000000" w:themeColor="text1"/>
          <w:kern w:val="0"/>
          <w:szCs w:val="21"/>
          <w14:textFill>
            <w14:solidFill>
              <w14:schemeClr w14:val="tx1"/>
            </w14:solidFill>
          </w14:textFill>
        </w:rPr>
        <w:t>，格式详见附件；</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供应商交付的无纸化系统须满足广东省广播电视网络股份有限公司下发的《广东省广播电视网络股份有限公司无纸化系统技术实现方案》中提及到的所有功能要求及接口协议，并承诺通过广东省广播电视网络股份有限公司全省BOSS系统接口规范对接测试作为验收要求并提供测试报告。</w:t>
      </w:r>
      <w:r>
        <w:rPr>
          <w:rFonts w:hint="eastAsia" w:asciiTheme="minorEastAsia" w:hAnsiTheme="minorEastAsia" w:cstheme="minorEastAsia"/>
          <w:b/>
          <w:bCs/>
          <w:color w:val="000000" w:themeColor="text1"/>
          <w:kern w:val="0"/>
          <w:szCs w:val="20"/>
          <w14:textFill>
            <w14:solidFill>
              <w14:schemeClr w14:val="tx1"/>
            </w14:solidFill>
          </w14:textFill>
        </w:rPr>
        <w:t>（提供全省BOSS系统出具无纸化系统测试报告或者提供承诺函格式自拟）</w:t>
      </w:r>
    </w:p>
    <w:p>
      <w:pPr>
        <w:pStyle w:val="27"/>
        <w:numPr>
          <w:ilvl w:val="0"/>
          <w:numId w:val="3"/>
        </w:numPr>
        <w:spacing w:line="360" w:lineRule="auto"/>
        <w:ind w:left="420" w:hanging="420" w:firstLineChars="0"/>
        <w:rPr>
          <w:rStyle w:val="23"/>
          <w:rFonts w:asciiTheme="minorEastAsia" w:hAnsiTheme="minorEastAsia" w:cstheme="minorEastAsia"/>
          <w:bCs w:val="0"/>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报价要求</w:t>
      </w:r>
      <w:r>
        <w:rPr>
          <w:rStyle w:val="23"/>
          <w:rFonts w:hint="eastAsia" w:asciiTheme="minorEastAsia" w:hAnsiTheme="minorEastAsia" w:cstheme="minorEastAsia"/>
          <w:color w:val="000000" w:themeColor="text1"/>
          <w:szCs w:val="21"/>
          <w14:textFill>
            <w14:solidFill>
              <w14:schemeClr w14:val="tx1"/>
            </w14:solidFill>
          </w14:textFill>
        </w:rPr>
        <w:t>（</w:t>
      </w:r>
      <w:r>
        <w:rPr>
          <w:rStyle w:val="23"/>
          <w:rFonts w:hint="eastAsia" w:asciiTheme="minorEastAsia" w:hAnsiTheme="minorEastAsia" w:cstheme="minorEastAsia"/>
          <w:b w:val="0"/>
          <w:color w:val="000000" w:themeColor="text1"/>
          <w:szCs w:val="21"/>
          <w14:textFill>
            <w14:solidFill>
              <w14:schemeClr w14:val="tx1"/>
            </w14:solidFill>
          </w14:textFill>
        </w:rPr>
        <w:t>报价时需要提供以下</w:t>
      </w:r>
      <w:r>
        <w:rPr>
          <w:rStyle w:val="23"/>
          <w:rFonts w:hint="eastAsia" w:asciiTheme="minorEastAsia" w:hAnsiTheme="minorEastAsia" w:cstheme="minorEastAsia"/>
          <w:color w:val="000000" w:themeColor="text1"/>
          <w:szCs w:val="21"/>
          <w:u w:val="double"/>
          <w14:textFill>
            <w14:solidFill>
              <w14:schemeClr w14:val="tx1"/>
            </w14:solidFill>
          </w14:textFill>
        </w:rPr>
        <w:t>盖章</w:t>
      </w:r>
      <w:r>
        <w:rPr>
          <w:rStyle w:val="23"/>
          <w:rFonts w:hint="eastAsia" w:asciiTheme="minorEastAsia" w:hAnsiTheme="minorEastAsia" w:cstheme="minorEastAsia"/>
          <w:b w:val="0"/>
          <w:color w:val="000000" w:themeColor="text1"/>
          <w:szCs w:val="21"/>
          <w14:textFill>
            <w14:solidFill>
              <w14:schemeClr w14:val="tx1"/>
            </w14:solidFill>
          </w14:textFill>
        </w:rPr>
        <w:t>资料，</w:t>
      </w:r>
      <w:r>
        <w:rPr>
          <w:rFonts w:hint="eastAsia" w:asciiTheme="minorEastAsia" w:hAnsiTheme="minorEastAsia" w:cstheme="minorEastAsia"/>
          <w:color w:val="000000" w:themeColor="text1"/>
          <w:szCs w:val="21"/>
          <w14:textFill>
            <w14:solidFill>
              <w14:schemeClr w14:val="tx1"/>
            </w14:solidFill>
          </w14:textFill>
        </w:rPr>
        <w:t>并对上传的竞价文件资料承担责任</w:t>
      </w:r>
      <w:r>
        <w:rPr>
          <w:rStyle w:val="23"/>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7"/>
        </w:numPr>
        <w:spacing w:line="360" w:lineRule="auto"/>
        <w:ind w:left="840" w:hanging="420" w:firstLineChars="0"/>
        <w:rPr>
          <w:rFonts w:asciiTheme="minorEastAsia" w:hAnsiTheme="minorEastAsia" w:cstheme="minorEastAsia"/>
          <w:szCs w:val="21"/>
        </w:rPr>
      </w:pPr>
      <w:r>
        <w:rPr>
          <w:rFonts w:hint="eastAsia" w:asciiTheme="minorEastAsia" w:hAnsiTheme="minorEastAsia" w:cstheme="minorEastAsia"/>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Theme="minorEastAsia" w:hAnsiTheme="minorEastAsia" w:cstheme="minorEastAsia"/>
          <w:color w:val="000000" w:themeColor="text1"/>
          <w:szCs w:val="21"/>
          <w:lang w:eastAsia="zh-TW"/>
          <w14:textFill>
            <w14:solidFill>
              <w14:schemeClr w14:val="tx1"/>
            </w14:solidFill>
          </w14:textFill>
        </w:rPr>
        <w:t>、真实、准确地</w:t>
      </w:r>
      <w:r>
        <w:rPr>
          <w:rFonts w:hint="eastAsia" w:asciiTheme="minorEastAsia" w:hAnsiTheme="minorEastAsia" w:cstheme="minorEastAsia"/>
          <w:color w:val="000000" w:themeColor="text1"/>
          <w:szCs w:val="21"/>
          <w14:textFill>
            <w14:solidFill>
              <w14:schemeClr w14:val="tx1"/>
            </w14:solidFill>
          </w14:textFill>
        </w:rPr>
        <w:t>填写并上传相应报价附件</w:t>
      </w:r>
      <w:r>
        <w:rPr>
          <w:rFonts w:hint="eastAsia" w:asciiTheme="minorEastAsia" w:hAnsiTheme="minorEastAsia" w:cstheme="minorEastAsia"/>
          <w:b/>
          <w:bCs/>
          <w:color w:val="000000" w:themeColor="text1"/>
          <w:szCs w:val="21"/>
          <w14:textFill>
            <w14:solidFill>
              <w14:schemeClr w14:val="tx1"/>
            </w14:solidFill>
          </w14:textFill>
        </w:rPr>
        <w:t>（</w:t>
      </w:r>
      <w:r>
        <w:rPr>
          <w:rFonts w:hint="eastAsia" w:asciiTheme="minorEastAsia" w:hAnsiTheme="minorEastAsia" w:cstheme="minorEastAsia"/>
          <w:b/>
          <w:szCs w:val="21"/>
          <w:lang w:bidi="ar"/>
        </w:rPr>
        <w:t>上传</w:t>
      </w:r>
      <w:r>
        <w:rPr>
          <w:rFonts w:hint="eastAsia" w:asciiTheme="minorEastAsia" w:hAnsiTheme="minorEastAsia" w:cstheme="minorEastAsia"/>
          <w:b/>
          <w:bCs/>
          <w:szCs w:val="21"/>
          <w:shd w:val="clear" w:color="auto" w:fill="FFFFFF"/>
          <w:lang w:bidi="ar"/>
        </w:rPr>
        <w:t>报价表）。</w:t>
      </w:r>
    </w:p>
    <w:p>
      <w:pPr>
        <w:pStyle w:val="27"/>
        <w:numPr>
          <w:ilvl w:val="0"/>
          <w:numId w:val="7"/>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b/>
          <w:color w:val="000000" w:themeColor="text1"/>
          <w:szCs w:val="21"/>
          <w:u w:val="double"/>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pStyle w:val="27"/>
        <w:numPr>
          <w:ilvl w:val="0"/>
          <w:numId w:val="3"/>
        </w:numPr>
        <w:spacing w:line="360" w:lineRule="auto"/>
        <w:ind w:left="420" w:hanging="420" w:firstLineChars="0"/>
        <w:rPr>
          <w:rStyle w:val="23"/>
          <w:rFonts w:asciiTheme="minorEastAsia" w:hAnsiTheme="minorEastAsia" w:cstheme="minorEastAsia"/>
          <w:bCs w:val="0"/>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确定成交候选人</w:t>
      </w:r>
    </w:p>
    <w:p>
      <w:pPr>
        <w:pStyle w:val="27"/>
        <w:numPr>
          <w:ilvl w:val="0"/>
          <w:numId w:val="8"/>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本项目以最低价成交的方式确定成交供应商。报价时间截止后，系统按报价（经价格核准后的价格）由低到高顺序排列，</w:t>
      </w:r>
      <w:r>
        <w:rPr>
          <w:rFonts w:hint="eastAsia" w:asciiTheme="minorEastAsia" w:hAnsiTheme="minorEastAsia" w:cstheme="minorEastAsia"/>
          <w:color w:val="000000" w:themeColor="text1"/>
          <w14:textFill>
            <w14:solidFill>
              <w14:schemeClr w14:val="tx1"/>
            </w14:solidFill>
          </w14:textFill>
        </w:rPr>
        <w:t>报价最低的为第一成交候选人，报价相同的，按报价时间在前的为第一成交候选人；</w:t>
      </w:r>
      <w:r>
        <w:rPr>
          <w:rFonts w:hint="eastAsia" w:asciiTheme="minorEastAsia" w:hAnsiTheme="minorEastAsia" w:cstheme="minorEastAsia"/>
          <w:color w:val="000000" w:themeColor="text1"/>
          <w:szCs w:val="21"/>
          <w14:textFill>
            <w14:solidFill>
              <w14:schemeClr w14:val="tx1"/>
            </w14:solidFill>
          </w14:textFill>
        </w:rPr>
        <w:t>报价次低的为第二成交候选人，以此类推</w:t>
      </w:r>
      <w:r>
        <w:rPr>
          <w:rFonts w:hint="eastAsia" w:asciiTheme="minorEastAsia" w:hAnsiTheme="minorEastAsia" w:cstheme="minorEastAsia"/>
          <w:color w:val="000000" w:themeColor="text1"/>
          <w14:textFill>
            <w14:solidFill>
              <w14:schemeClr w14:val="tx1"/>
            </w14:solidFill>
          </w14:textFill>
        </w:rPr>
        <w:t>。</w:t>
      </w:r>
    </w:p>
    <w:p>
      <w:pPr>
        <w:pStyle w:val="27"/>
        <w:numPr>
          <w:ilvl w:val="0"/>
          <w:numId w:val="3"/>
        </w:numPr>
        <w:spacing w:line="360" w:lineRule="auto"/>
        <w:ind w:left="420" w:hanging="420" w:firstLineChars="0"/>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14:textFill>
            <w14:solidFill>
              <w14:schemeClr w14:val="tx1"/>
            </w14:solidFill>
          </w14:textFill>
        </w:rPr>
        <w:t>供应商报价超过最高限价或低于最低限价或超过项目对应产品单项最高限价的视为无效报价。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供应商须提供本项目要求的资质文件，如果不按公告规定或竞价文件要求等相关规定提供符合要求的资质文件，将被视为无效报价。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供应商须对本项目采购内容进行整体报价，任何只对其中一部分内容进行的报价都被视为无效报价。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u w:val="double"/>
          <w14:textFill>
            <w14:solidFill>
              <w14:schemeClr w14:val="tx1"/>
            </w14:solidFill>
          </w14:textFill>
        </w:rPr>
        <w:t>报价表以及有报价供应商落款的报价文件必须加盖报价供应商公章，否则视为无效报价。</w:t>
      </w:r>
    </w:p>
    <w:p>
      <w:pPr>
        <w:pStyle w:val="15"/>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15"/>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b/>
          <w:bCs/>
          <w:color w:val="000000" w:themeColor="text1"/>
          <w:sz w:val="21"/>
          <w:szCs w:val="21"/>
          <w:u w:val="double"/>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u w:val="double"/>
          <w14:textFill>
            <w14:solidFill>
              <w14:schemeClr w14:val="tx1"/>
            </w14:solidFill>
          </w14:textFill>
        </w:rPr>
        <w:t>按有关法律、法规、规章属于报价无效的。</w:t>
      </w:r>
    </w:p>
    <w:p>
      <w:pPr>
        <w:pStyle w:val="15"/>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有下列情形之一的，视为串通竞价，其报价无效：</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存在单位负责人为同一人或存在控股、管理关系的不同单位参与同一竞价项目；</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不同供应商的响应文件由同一单位或者个人编制；</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不同供应商委托同一单位或者个人办理竞价事宜；</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不同供应商使用同一IP地址参与竞价；</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不同供应商的响应文件载明的项目管理成员或者联系人员为同一人；</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不同供应商的响应文件异常一致或者报价呈规律性差异；</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不同供应商的响应文件相互混淆；</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不同供应商的平台使用费从同一单位或者个人的账户转出。</w:t>
      </w:r>
    </w:p>
    <w:p>
      <w:pPr>
        <w:pStyle w:val="27"/>
        <w:numPr>
          <w:ilvl w:val="0"/>
          <w:numId w:val="3"/>
        </w:numPr>
        <w:spacing w:line="360" w:lineRule="auto"/>
        <w:ind w:left="42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竞价活动失败</w:t>
      </w:r>
    </w:p>
    <w:p>
      <w:pPr>
        <w:spacing w:line="375" w:lineRule="auto"/>
        <w:ind w:left="840" w:hanging="420"/>
      </w:pPr>
      <w:r>
        <w:rPr>
          <w:rFonts w:ascii="宋体" w:hAnsi="宋体" w:eastAsia="宋体" w:cs="宋体"/>
          <w:color w:val="000000"/>
          <w:szCs w:val="21"/>
        </w:rPr>
        <w:t>1．出现下列情况的，本项目竞价活动失败：</w:t>
      </w:r>
    </w:p>
    <w:p>
      <w:pPr>
        <w:spacing w:line="375" w:lineRule="auto"/>
        <w:ind w:left="1260" w:hanging="420"/>
      </w:pPr>
      <w:r>
        <w:rPr>
          <w:rFonts w:ascii="宋体" w:hAnsi="宋体" w:eastAsia="宋体" w:cs="宋体"/>
          <w:color w:val="000000"/>
          <w:szCs w:val="21"/>
        </w:rPr>
        <w:t>（1）报名供应商不足3家；</w:t>
      </w:r>
    </w:p>
    <w:p>
      <w:pPr>
        <w:spacing w:line="375" w:lineRule="auto"/>
        <w:ind w:left="1260" w:hanging="420"/>
      </w:pPr>
      <w:r>
        <w:rPr>
          <w:rFonts w:ascii="宋体" w:hAnsi="宋体" w:eastAsia="宋体" w:cs="宋体"/>
          <w:color w:val="000000"/>
          <w:szCs w:val="21"/>
        </w:rPr>
        <w:t>（2）报价供应商不足3家。</w:t>
      </w:r>
    </w:p>
    <w:p>
      <w:pPr>
        <w:pStyle w:val="27"/>
        <w:spacing w:line="360" w:lineRule="auto"/>
        <w:ind w:left="420" w:leftChars="200" w:firstLine="0" w:firstLineChars="0"/>
        <w:rPr>
          <w:rFonts w:asciiTheme="minorEastAsia" w:hAnsiTheme="minorEastAsia" w:cstheme="minorEastAsia"/>
          <w:szCs w:val="21"/>
        </w:rPr>
      </w:pPr>
      <w:r>
        <w:rPr>
          <w:rFonts w:hint="eastAsia" w:asciiTheme="minorEastAsia" w:hAnsiTheme="minorEastAsia" w:cstheme="minorEastAsia"/>
          <w:szCs w:val="21"/>
        </w:rPr>
        <w:t>2.出现影响采购公正的违法、违规行为的。</w:t>
      </w:r>
    </w:p>
    <w:p>
      <w:pPr>
        <w:pStyle w:val="27"/>
        <w:spacing w:line="360" w:lineRule="auto"/>
        <w:ind w:left="420" w:leftChars="200" w:firstLine="0" w:firstLineChars="0"/>
        <w:rPr>
          <w:rFonts w:asciiTheme="minorEastAsia" w:hAnsiTheme="minorEastAsia" w:cstheme="minorEastAsia"/>
          <w:szCs w:val="21"/>
        </w:rPr>
      </w:pPr>
      <w:r>
        <w:rPr>
          <w:rFonts w:hint="eastAsia" w:asciiTheme="minorEastAsia" w:hAnsiTheme="minorEastAsia" w:cstheme="minorEastAsia"/>
          <w:szCs w:val="21"/>
        </w:rPr>
        <w:t>3.因重大变故，采购任务取消的。</w:t>
      </w:r>
    </w:p>
    <w:p>
      <w:pPr>
        <w:pStyle w:val="27"/>
        <w:numPr>
          <w:ilvl w:val="0"/>
          <w:numId w:val="3"/>
        </w:numPr>
        <w:spacing w:line="360" w:lineRule="auto"/>
        <w:ind w:left="420" w:hanging="420" w:firstLineChars="0"/>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使用费</w:t>
      </w:r>
    </w:p>
    <w:p>
      <w:pPr>
        <w:spacing w:line="375" w:lineRule="auto"/>
        <w:ind w:left="840" w:hanging="420"/>
      </w:pPr>
      <w:r>
        <w:rPr>
          <w:rFonts w:ascii="宋体" w:hAnsi="宋体" w:eastAsia="宋体" w:cs="宋体"/>
          <w:color w:val="000000"/>
          <w:szCs w:val="21"/>
        </w:rPr>
        <w:t>1．成交供应商须向平台服务商云采链线上采购一体化平台缴纳平台使用费，金额为成交金额的1.5%（四舍五入取整数）。</w:t>
      </w:r>
    </w:p>
    <w:p>
      <w:pPr>
        <w:pStyle w:val="27"/>
        <w:spacing w:line="360" w:lineRule="auto"/>
        <w:ind w:left="839" w:hanging="420" w:firstLineChars="0"/>
        <w:rPr>
          <w:rFonts w:ascii="宋体" w:hAnsi="宋体" w:eastAsia="宋体" w:cs="Times New Roman"/>
          <w:szCs w:val="21"/>
        </w:rPr>
      </w:pPr>
      <w:r>
        <w:rPr>
          <w:rFonts w:hint="eastAsia" w:ascii="宋体" w:hAnsi="宋体" w:eastAsia="宋体" w:cs="Times New Roman"/>
          <w:szCs w:val="21"/>
        </w:rPr>
        <w:t>2.成交供应商无正当理由放弃成交资格的必须按竞价公告等相关规定缴纳相应的平台使用费。</w:t>
      </w:r>
    </w:p>
    <w:p>
      <w:pPr>
        <w:pStyle w:val="27"/>
        <w:spacing w:line="360" w:lineRule="auto"/>
        <w:ind w:left="839" w:hanging="420" w:firstLineChars="0"/>
        <w:rPr>
          <w:rFonts w:ascii="宋体" w:hAnsi="宋体" w:eastAsia="宋体" w:cs="Times New Roman"/>
          <w:szCs w:val="21"/>
        </w:rPr>
      </w:pPr>
      <w:r>
        <w:rPr>
          <w:rFonts w:hint="eastAsia" w:ascii="宋体" w:hAnsi="宋体" w:eastAsia="宋体" w:cs="Times New Roman"/>
          <w:szCs w:val="21"/>
        </w:rPr>
        <w:t>3.如确实因不可抗力放弃成交资格的，应在不可抗力发生后三个工作日内予以通知采购代理机构并提供相关的证明；如逾期，采购代理机构不予退还平台使用费。</w:t>
      </w:r>
    </w:p>
    <w:p>
      <w:pPr>
        <w:pStyle w:val="27"/>
        <w:numPr>
          <w:ilvl w:val="0"/>
          <w:numId w:val="2"/>
        </w:numPr>
        <w:spacing w:line="360" w:lineRule="auto"/>
        <w:ind w:firstLineChars="0"/>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联系方式</w:t>
      </w:r>
    </w:p>
    <w:p>
      <w:pPr>
        <w:pStyle w:val="27"/>
        <w:widowControl/>
        <w:spacing w:line="360" w:lineRule="auto"/>
        <w:ind w:left="420" w:firstLine="0" w:firstLineChars="0"/>
        <w:jc w:val="left"/>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扫码关注微信公众号“云采链互联服务平台”，即可在线咨询相关事项。</w:t>
      </w:r>
    </w:p>
    <w:p>
      <w:pPr>
        <w:pStyle w:val="27"/>
        <w:widowControl/>
        <w:spacing w:line="360" w:lineRule="auto"/>
        <w:ind w:left="420" w:firstLine="0" w:firstLineChars="0"/>
        <w:jc w:val="center"/>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drawing>
          <wp:inline distT="0" distB="0" distL="0" distR="0">
            <wp:extent cx="1390650" cy="1390650"/>
            <wp:effectExtent l="0" t="0" r="0" b="0"/>
            <wp:docPr id="7" name="图片 7" descr="C:\Users\ADMINI~1\AppData\Local\Temp\360zip$Temp\360$2\智采公众号8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1\AppData\Local\Temp\360zip$Temp\360$2\智采公众号8cm.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390650" cy="1390650"/>
                    </a:xfrm>
                    <a:prstGeom prst="rect">
                      <a:avLst/>
                    </a:prstGeom>
                    <a:noFill/>
                    <a:ln>
                      <a:noFill/>
                    </a:ln>
                  </pic:spPr>
                </pic:pic>
              </a:graphicData>
            </a:graphic>
          </wp:inline>
        </w:drawing>
      </w:r>
    </w:p>
    <w:p>
      <w:pPr>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br w:type="page"/>
      </w:r>
    </w:p>
    <w:p>
      <w:pPr>
        <w:snapToGrid w:val="0"/>
        <w:spacing w:line="360" w:lineRule="auto"/>
        <w:jc w:val="center"/>
        <w:outlineLvl w:val="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b/>
          <w:bCs/>
          <w:color w:val="000000" w:themeColor="text1"/>
          <w:sz w:val="28"/>
          <w:szCs w:val="28"/>
          <w14:textFill>
            <w14:solidFill>
              <w14:schemeClr w14:val="tx1"/>
            </w14:solidFill>
          </w14:textFill>
        </w:rPr>
        <w:t>第二章 用户需求书</w:t>
      </w:r>
    </w:p>
    <w:p>
      <w:pPr>
        <w:snapToGrid w:val="0"/>
        <w:spacing w:line="360" w:lineRule="auto"/>
        <w:ind w:left="517" w:hanging="517" w:hangingChars="245"/>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14:textFill>
            <w14:solidFill>
              <w14:schemeClr w14:val="tx1"/>
            </w14:solidFill>
          </w14:textFill>
        </w:rPr>
        <w:t>说明：</w:t>
      </w:r>
    </w:p>
    <w:p>
      <w:pPr>
        <w:numPr>
          <w:ilvl w:val="0"/>
          <w:numId w:val="11"/>
        </w:numPr>
        <w:snapToGrid w:val="0"/>
        <w:spacing w:line="360" w:lineRule="auto"/>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14:textFill>
            <w14:solidFill>
              <w14:schemeClr w14:val="tx1"/>
            </w14:solidFill>
          </w14:textFill>
        </w:rPr>
        <w:t xml:space="preserve">响应供应商须对本项目进行整体响应，任何只对其中一部分进行的响应都被视为无效响应。 </w:t>
      </w:r>
    </w:p>
    <w:p>
      <w:pPr>
        <w:pStyle w:val="9"/>
        <w:numPr>
          <w:ilvl w:val="0"/>
          <w:numId w:val="12"/>
        </w:numPr>
        <w:tabs>
          <w:tab w:val="left" w:pos="540"/>
        </w:tabs>
        <w:adjustRightInd w:val="0"/>
        <w:snapToGrid w:val="0"/>
        <w:spacing w:line="360" w:lineRule="auto"/>
        <w:rPr>
          <w:rFonts w:hAnsi="宋体" w:cstheme="minorEastAsia"/>
          <w:b/>
          <w:bCs/>
          <w:color w:val="000000" w:themeColor="text1"/>
          <w:sz w:val="21"/>
          <w14:textFill>
            <w14:solidFill>
              <w14:schemeClr w14:val="tx1"/>
            </w14:solidFill>
          </w14:textFill>
        </w:rPr>
      </w:pPr>
      <w:r>
        <w:rPr>
          <w:rFonts w:hint="eastAsia" w:hAnsi="宋体" w:cstheme="minorEastAsia"/>
          <w:b/>
          <w:bCs/>
          <w:color w:val="000000" w:themeColor="text1"/>
          <w:sz w:val="21"/>
          <w14:textFill>
            <w14:solidFill>
              <w14:schemeClr w14:val="tx1"/>
            </w14:solidFill>
          </w14:textFill>
        </w:rPr>
        <w:t>项目一览表</w:t>
      </w:r>
    </w:p>
    <w:tbl>
      <w:tblPr>
        <w:tblStyle w:val="20"/>
        <w:tblW w:w="487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716"/>
        <w:gridCol w:w="1324"/>
        <w:gridCol w:w="2459"/>
        <w:gridCol w:w="21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571"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项目内容</w:t>
            </w:r>
          </w:p>
        </w:tc>
        <w:tc>
          <w:tcPr>
            <w:tcW w:w="766"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数量</w:t>
            </w:r>
          </w:p>
        </w:tc>
        <w:tc>
          <w:tcPr>
            <w:tcW w:w="1422"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完成期</w:t>
            </w:r>
          </w:p>
        </w:tc>
        <w:tc>
          <w:tcPr>
            <w:tcW w:w="1239"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项目预算（含税）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71" w:type="pct"/>
            <w:tcBorders>
              <w:top w:val="single" w:color="auto" w:sz="2" w:space="0"/>
              <w:bottom w:val="single" w:color="auto" w:sz="2" w:space="0"/>
            </w:tcBorders>
            <w:vAlign w:val="center"/>
          </w:tcPr>
          <w:p>
            <w:pPr>
              <w:spacing w:line="360" w:lineRule="auto"/>
              <w:jc w:val="center"/>
              <w:rPr>
                <w:rFonts w:hint="eastAsia" w:ascii="宋体" w:hAnsi="宋体" w:eastAsia="宋体" w:cs="宋体"/>
                <w:szCs w:val="21"/>
                <w:lang w:eastAsia="zh-CN"/>
              </w:rPr>
            </w:pPr>
            <w:r>
              <w:rPr>
                <w:rFonts w:hint="eastAsia" w:eastAsia="宋体" w:asciiTheme="minorEastAsia" w:hAnsiTheme="minorEastAsia" w:cstheme="minorEastAsia"/>
                <w:color w:val="000000" w:themeColor="text1"/>
                <w:szCs w:val="21"/>
                <w:lang w:eastAsia="zh-CN"/>
                <w14:textFill>
                  <w14:solidFill>
                    <w14:schemeClr w14:val="tx1"/>
                  </w14:solidFill>
                </w14:textFill>
              </w:rPr>
              <w:t>2024年汕尾广电营业厅业务系统升级改造</w:t>
            </w:r>
          </w:p>
        </w:tc>
        <w:tc>
          <w:tcPr>
            <w:tcW w:w="766" w:type="pct"/>
            <w:tcBorders>
              <w:top w:val="single" w:color="auto" w:sz="2" w:space="0"/>
              <w:bottom w:val="single" w:color="auto" w:sz="2" w:space="0"/>
            </w:tcBorders>
            <w:vAlign w:val="center"/>
          </w:tcPr>
          <w:p>
            <w:pPr>
              <w:spacing w:line="360" w:lineRule="auto"/>
              <w:jc w:val="center"/>
              <w:rPr>
                <w:rFonts w:ascii="宋体" w:hAnsi="宋体" w:eastAsia="宋体" w:cs="宋体"/>
                <w:szCs w:val="21"/>
              </w:rPr>
            </w:pPr>
            <w:r>
              <w:rPr>
                <w:rFonts w:hint="eastAsia" w:ascii="宋体" w:hAnsi="宋体" w:eastAsia="宋体" w:cs="宋体"/>
                <w:szCs w:val="21"/>
              </w:rPr>
              <w:t>1项</w:t>
            </w:r>
          </w:p>
        </w:tc>
        <w:tc>
          <w:tcPr>
            <w:tcW w:w="1422" w:type="pct"/>
            <w:tcBorders>
              <w:top w:val="single" w:color="auto" w:sz="2" w:space="0"/>
              <w:bottom w:val="single" w:color="auto" w:sz="2" w:space="0"/>
            </w:tcBorders>
            <w:vAlign w:val="center"/>
          </w:tcPr>
          <w:p>
            <w:pPr>
              <w:spacing w:line="360" w:lineRule="auto"/>
              <w:jc w:val="center"/>
              <w:rPr>
                <w:rFonts w:ascii="宋体" w:hAnsi="宋体" w:eastAsia="宋体" w:cs="宋体"/>
                <w:bCs/>
                <w:szCs w:val="21"/>
              </w:rPr>
            </w:pPr>
            <w:r>
              <w:rPr>
                <w:rFonts w:ascii="宋体" w:hAnsi="宋体" w:eastAsia="宋体" w:cs="宋体"/>
                <w:bCs/>
                <w:szCs w:val="21"/>
              </w:rPr>
              <w:t>合同签订一年内</w:t>
            </w:r>
          </w:p>
        </w:tc>
        <w:tc>
          <w:tcPr>
            <w:tcW w:w="1239" w:type="pct"/>
            <w:tcBorders>
              <w:top w:val="single" w:color="auto" w:sz="2" w:space="0"/>
              <w:bottom w:val="single" w:color="auto" w:sz="2" w:space="0"/>
            </w:tcBorders>
            <w:vAlign w:val="center"/>
          </w:tcPr>
          <w:p>
            <w:pPr>
              <w:spacing w:line="360" w:lineRule="auto"/>
              <w:jc w:val="center"/>
              <w:rPr>
                <w:rFonts w:ascii="宋体" w:hAnsi="宋体" w:eastAsia="宋体" w:cs="宋体"/>
                <w:szCs w:val="21"/>
              </w:rPr>
            </w:pPr>
            <w:r>
              <w:rPr>
                <w:rFonts w:hint="eastAsia" w:ascii="宋体" w:hAnsi="宋体" w:eastAsia="宋体" w:cs="Times New Roman"/>
                <w:kern w:val="0"/>
                <w:szCs w:val="21"/>
              </w:rPr>
              <w:t>人民币23.15万元</w:t>
            </w:r>
          </w:p>
        </w:tc>
      </w:tr>
    </w:tbl>
    <w:p>
      <w:pPr>
        <w:pStyle w:val="9"/>
        <w:numPr>
          <w:ilvl w:val="0"/>
          <w:numId w:val="12"/>
        </w:numPr>
        <w:tabs>
          <w:tab w:val="left" w:pos="540"/>
        </w:tabs>
        <w:adjustRightInd w:val="0"/>
        <w:snapToGrid w:val="0"/>
        <w:spacing w:line="360" w:lineRule="auto"/>
        <w:rPr>
          <w:rFonts w:hAnsi="宋体" w:cs="宋体"/>
          <w:b/>
          <w:bCs/>
          <w:color w:val="000000" w:themeColor="text1"/>
          <w:sz w:val="21"/>
          <w14:textFill>
            <w14:solidFill>
              <w14:schemeClr w14:val="tx1"/>
            </w14:solidFill>
          </w14:textFill>
        </w:rPr>
      </w:pPr>
      <w:bookmarkStart w:id="0" w:name="_Toc12962502"/>
      <w:r>
        <w:rPr>
          <w:rFonts w:hint="eastAsia" w:hAnsi="宋体" w:cs="宋体"/>
          <w:b/>
          <w:bCs/>
          <w:color w:val="000000" w:themeColor="text1"/>
          <w:sz w:val="21"/>
          <w14:textFill>
            <w14:solidFill>
              <w14:schemeClr w14:val="tx1"/>
            </w14:solidFill>
          </w14:textFill>
        </w:rPr>
        <w:t>项目背景与建设必要性</w:t>
      </w:r>
      <w:bookmarkEnd w:id="0"/>
    </w:p>
    <w:p>
      <w:pPr>
        <w:pStyle w:val="3"/>
        <w:numPr>
          <w:ilvl w:val="0"/>
          <w:numId w:val="13"/>
        </w:numPr>
        <w:spacing w:before="0" w:after="0" w:line="360" w:lineRule="auto"/>
        <w:rPr>
          <w:rFonts w:ascii="宋体" w:hAnsi="宋体" w:eastAsia="宋体" w:cs="宋体"/>
          <w:sz w:val="21"/>
          <w:szCs w:val="21"/>
        </w:rPr>
      </w:pPr>
      <w:bookmarkStart w:id="5" w:name="_GoBack"/>
      <w:bookmarkEnd w:id="5"/>
      <w:bookmarkStart w:id="1" w:name="_Toc12962503"/>
      <w:r>
        <w:rPr>
          <w:rFonts w:hint="eastAsia" w:ascii="宋体" w:hAnsi="宋体" w:eastAsia="宋体" w:cs="宋体"/>
          <w:sz w:val="21"/>
          <w:szCs w:val="21"/>
        </w:rPr>
        <w:t>项目背景</w:t>
      </w:r>
      <w:bookmarkEnd w:id="1"/>
    </w:p>
    <w:p>
      <w:pPr>
        <w:spacing w:line="360" w:lineRule="auto"/>
        <w:ind w:firstLine="472" w:firstLineChars="225"/>
        <w:rPr>
          <w:rFonts w:ascii="宋体" w:hAnsi="宋体" w:eastAsia="宋体" w:cs="宋体"/>
          <w:szCs w:val="21"/>
        </w:rPr>
      </w:pPr>
      <w:bookmarkStart w:id="2" w:name="_Toc12962504"/>
      <w:r>
        <w:rPr>
          <w:rFonts w:hint="eastAsia" w:ascii="宋体" w:hAnsi="宋体" w:eastAsia="宋体" w:cs="宋体"/>
          <w:szCs w:val="21"/>
        </w:rPr>
        <w:t>按照国家有关要求，移动电话用户入网时必须完成的用户真实身份登记和认证。为满足汕尾分公司5C业务发展的需求，根据国网5G项目推进办公室《关于省网实体渠道营业受理终端外设配置指导意见的通知》的要求，对办理移动电话入网所需受理终端外设的配置提出了要求。根据国网通知，结合公司实际情况，省公司发布了《关于公司5G业务实名认证设备配置指导意见的通知》就有关事项提出指导意见:</w:t>
      </w:r>
    </w:p>
    <w:p>
      <w:pPr>
        <w:spacing w:line="360" w:lineRule="auto"/>
        <w:ind w:firstLine="472" w:firstLineChars="225"/>
        <w:rPr>
          <w:rFonts w:ascii="宋体" w:hAnsi="宋体" w:eastAsia="宋体" w:cs="宋体"/>
          <w:szCs w:val="21"/>
        </w:rPr>
      </w:pPr>
      <w:r>
        <w:rPr>
          <w:rFonts w:hint="eastAsia" w:ascii="宋体" w:hAnsi="宋体" w:eastAsia="宋体" w:cs="宋体"/>
          <w:szCs w:val="21"/>
        </w:rPr>
        <w:t>对于未上线无纸化应用的分(子)公司，采购建设一套无纸化办公系统，一方面满足新的移动5G实名认证及电子签名需求，另一方面，实现广电全业务无纸化办公，解决业务部门多年以来一直存在业务受理单据耗材成本高、业务单据查询难、存储难等实际问题。无纸化办公系统将实现全业务单据的可管可查，减少营业员工作量，减少全纸质受理单所产生的纸张耗材等日常开销成本和仓储成本；进一步改善广电业务的营业厅服务质量，提升客户感知，塑造广电固网+移动的卓越品牌，展现企业绿色经营理念。</w:t>
      </w:r>
    </w:p>
    <w:bookmarkEnd w:id="2"/>
    <w:p>
      <w:pPr>
        <w:pStyle w:val="9"/>
        <w:numPr>
          <w:ilvl w:val="0"/>
          <w:numId w:val="12"/>
        </w:numPr>
        <w:tabs>
          <w:tab w:val="left" w:pos="540"/>
        </w:tabs>
        <w:adjustRightInd w:val="0"/>
        <w:snapToGrid w:val="0"/>
        <w:spacing w:line="360" w:lineRule="auto"/>
        <w:rPr>
          <w:rFonts w:hAnsi="宋体" w:cs="宋体"/>
          <w:b/>
          <w:bCs/>
          <w:sz w:val="21"/>
        </w:rPr>
      </w:pPr>
      <w:bookmarkStart w:id="3" w:name="_Toc12962506"/>
      <w:r>
        <w:rPr>
          <w:rFonts w:hint="eastAsia" w:hAnsi="宋体" w:cs="宋体"/>
          <w:b/>
          <w:bCs/>
          <w:color w:val="000000" w:themeColor="text1"/>
          <w:sz w:val="21"/>
          <w14:textFill>
            <w14:solidFill>
              <w14:schemeClr w14:val="tx1"/>
            </w14:solidFill>
          </w14:textFill>
        </w:rPr>
        <w:t>项目</w:t>
      </w:r>
      <w:r>
        <w:rPr>
          <w:rFonts w:hint="eastAsia" w:hAnsi="宋体" w:cs="宋体"/>
          <w:b/>
          <w:bCs/>
          <w:sz w:val="21"/>
        </w:rPr>
        <w:t>建设方案</w:t>
      </w:r>
      <w:bookmarkEnd w:id="3"/>
    </w:p>
    <w:p>
      <w:pPr>
        <w:spacing w:line="360" w:lineRule="auto"/>
        <w:ind w:firstLine="472" w:firstLineChars="225"/>
        <w:rPr>
          <w:rFonts w:ascii="宋体" w:hAnsi="宋体" w:eastAsia="宋体" w:cs="宋体"/>
          <w:color w:val="000000"/>
          <w:szCs w:val="21"/>
        </w:rPr>
      </w:pPr>
      <w:bookmarkStart w:id="4" w:name="_Toc12962507"/>
      <w:r>
        <w:rPr>
          <w:rFonts w:hint="eastAsia" w:ascii="宋体" w:hAnsi="宋体" w:eastAsia="宋体" w:cs="宋体"/>
          <w:color w:val="000000"/>
          <w:szCs w:val="21"/>
        </w:rPr>
        <w:t>本项目建设无纸化应用系统为软件系统，对接BOSS系统，满足全市营业厅无纸化业务办理需要。根据《广东省广播电视网络股份有限公司无纸化系统建设方案》，本项目无纸化软件系统包括以下功能：</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7101"/>
        <w:gridCol w:w="521"/>
        <w:gridCol w:w="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0" w:type="auto"/>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项目</w:t>
            </w:r>
          </w:p>
        </w:tc>
        <w:tc>
          <w:tcPr>
            <w:tcW w:w="0" w:type="auto"/>
            <w:shd w:val="clear" w:color="000000" w:fill="FFFFFF"/>
            <w:vAlign w:val="center"/>
          </w:tcPr>
          <w:p>
            <w:pPr>
              <w:widowControl/>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功能需求</w:t>
            </w:r>
          </w:p>
        </w:tc>
        <w:tc>
          <w:tcPr>
            <w:tcW w:w="0" w:type="auto"/>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单位</w:t>
            </w:r>
          </w:p>
        </w:tc>
        <w:tc>
          <w:tcPr>
            <w:tcW w:w="0" w:type="auto"/>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0" w:type="auto"/>
            <w:vMerge w:val="restart"/>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软件产品</w:t>
            </w:r>
          </w:p>
        </w:tc>
        <w:tc>
          <w:tcPr>
            <w:tcW w:w="0" w:type="auto"/>
            <w:shd w:val="clear" w:color="000000" w:fill="FFFFFF"/>
            <w:vAlign w:val="center"/>
          </w:tcPr>
          <w:p>
            <w:pPr>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系统功能模块：包含但不限于模板管理、电子单底版管理、印模管理、硬件设备管理、系统管理</w:t>
            </w:r>
          </w:p>
        </w:tc>
        <w:tc>
          <w:tcPr>
            <w:tcW w:w="0" w:type="auto"/>
            <w:vMerge w:val="restart"/>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套</w:t>
            </w:r>
          </w:p>
        </w:tc>
        <w:tc>
          <w:tcPr>
            <w:tcW w:w="0" w:type="auto"/>
            <w:vMerge w:val="restart"/>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shd w:val="clear" w:color="000000" w:fill="FFFFFF"/>
            <w:vAlign w:val="center"/>
          </w:tcPr>
          <w:p>
            <w:pPr>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电子单生成管理模块：包含但不限于实现虚拟打印、内容解析、模板套打、电子单预览、电子签名、PDF合成、加密存储，电子单信息管理，纸质单扫描管理等</w:t>
            </w: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shd w:val="clear" w:color="000000" w:fill="FFFFFF"/>
            <w:vAlign w:val="center"/>
          </w:tcPr>
          <w:p>
            <w:pPr>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电子单存储模块：包含但不限于电子单查询、电子单寄送及获取，数字签名及证书管理</w:t>
            </w: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shd w:val="clear" w:color="000000" w:fill="FFFFFF"/>
            <w:vAlign w:val="center"/>
          </w:tcPr>
          <w:p>
            <w:pPr>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展示管理：包含但不限于电子单展示、营销推送、播放控制、工牌展示、客户评价、多媒体信息管理</w:t>
            </w: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trPr>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shd w:val="clear" w:color="000000" w:fill="FFFFFF"/>
            <w:vAlign w:val="center"/>
          </w:tcPr>
          <w:p>
            <w:pPr>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电子单稽核模块：包含但不限于业务信息稽核、数量稽核、稽核查询统计</w:t>
            </w: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shd w:val="clear" w:color="000000" w:fill="FFFFFF"/>
            <w:vAlign w:val="center"/>
          </w:tcPr>
          <w:p>
            <w:pPr>
              <w:spacing w:line="360" w:lineRule="auto"/>
              <w:jc w:val="left"/>
              <w:rPr>
                <w:rFonts w:ascii="宋体" w:hAnsi="宋体" w:eastAsia="宋体" w:cs="宋体"/>
                <w:color w:val="000000"/>
                <w:kern w:val="0"/>
                <w:szCs w:val="21"/>
              </w:rPr>
            </w:pPr>
            <w:r>
              <w:rPr>
                <w:rFonts w:hint="eastAsia" w:ascii="宋体" w:hAnsi="宋体" w:eastAsia="宋体" w:cs="宋体"/>
                <w:color w:val="000000"/>
                <w:kern w:val="0"/>
                <w:szCs w:val="21"/>
              </w:rPr>
              <w:t>APP端无纸化</w:t>
            </w:r>
          </w:p>
        </w:tc>
        <w:tc>
          <w:tcPr>
            <w:tcW w:w="0" w:type="auto"/>
            <w:vMerge w:val="continue"/>
            <w:shd w:val="clear" w:color="000000" w:fill="FFFFFF"/>
            <w:vAlign w:val="center"/>
          </w:tcPr>
          <w:p>
            <w:pPr>
              <w:spacing w:line="360" w:lineRule="auto"/>
              <w:jc w:val="center"/>
              <w:rPr>
                <w:rFonts w:ascii="宋体" w:hAnsi="宋体" w:eastAsia="宋体" w:cs="宋体"/>
                <w:color w:val="000000"/>
                <w:kern w:val="0"/>
                <w:szCs w:val="21"/>
              </w:rPr>
            </w:pPr>
          </w:p>
        </w:tc>
        <w:tc>
          <w:tcPr>
            <w:tcW w:w="0" w:type="auto"/>
            <w:vMerge w:val="continue"/>
            <w:shd w:val="clear" w:color="000000" w:fill="FFFFFF"/>
            <w:vAlign w:val="center"/>
          </w:tcPr>
          <w:p>
            <w:pPr>
              <w:spacing w:line="360" w:lineRule="auto"/>
              <w:jc w:val="center"/>
              <w:rPr>
                <w:rFonts w:ascii="宋体" w:hAnsi="宋体" w:eastAsia="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0" w:type="auto"/>
            <w:vMerge w:val="restart"/>
            <w:shd w:val="clear" w:color="000000" w:fill="FFFFFF"/>
            <w:vAlign w:val="center"/>
          </w:tcPr>
          <w:p>
            <w:pPr>
              <w:widowControl/>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其他</w:t>
            </w:r>
          </w:p>
        </w:tc>
        <w:tc>
          <w:tcPr>
            <w:tcW w:w="0" w:type="auto"/>
            <w:shd w:val="clear" w:color="000000" w:fill="FFFFFF"/>
            <w:vAlign w:val="center"/>
          </w:tcPr>
          <w:p>
            <w:pPr>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培训</w:t>
            </w:r>
          </w:p>
        </w:tc>
        <w:tc>
          <w:tcPr>
            <w:tcW w:w="0" w:type="auto"/>
            <w:shd w:val="clear" w:color="000000" w:fill="FFFFFF"/>
            <w:vAlign w:val="center"/>
          </w:tcPr>
          <w:p>
            <w:pPr>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项</w:t>
            </w:r>
          </w:p>
        </w:tc>
        <w:tc>
          <w:tcPr>
            <w:tcW w:w="0" w:type="auto"/>
            <w:shd w:val="clear" w:color="000000" w:fill="FFFFFF"/>
            <w:vAlign w:val="center"/>
          </w:tcPr>
          <w:p>
            <w:pPr>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0" w:type="auto"/>
            <w:vMerge w:val="continue"/>
            <w:shd w:val="clear" w:color="000000" w:fill="FFFFFF"/>
            <w:vAlign w:val="center"/>
          </w:tcPr>
          <w:p>
            <w:pPr>
              <w:widowControl/>
              <w:spacing w:line="360" w:lineRule="auto"/>
              <w:jc w:val="center"/>
              <w:rPr>
                <w:rFonts w:ascii="宋体" w:hAnsi="宋体" w:eastAsia="宋体" w:cs="宋体"/>
                <w:color w:val="000000"/>
                <w:kern w:val="0"/>
                <w:szCs w:val="21"/>
              </w:rPr>
            </w:pPr>
          </w:p>
        </w:tc>
        <w:tc>
          <w:tcPr>
            <w:tcW w:w="0" w:type="auto"/>
            <w:shd w:val="clear" w:color="000000" w:fill="FFFFFF"/>
            <w:vAlign w:val="center"/>
          </w:tcPr>
          <w:p>
            <w:pPr>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维保</w:t>
            </w:r>
          </w:p>
        </w:tc>
        <w:tc>
          <w:tcPr>
            <w:tcW w:w="0" w:type="auto"/>
            <w:shd w:val="clear" w:color="000000" w:fill="FFFFFF"/>
            <w:vAlign w:val="center"/>
          </w:tcPr>
          <w:p>
            <w:pPr>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年</w:t>
            </w:r>
          </w:p>
        </w:tc>
        <w:tc>
          <w:tcPr>
            <w:tcW w:w="0" w:type="auto"/>
            <w:shd w:val="clear" w:color="000000" w:fill="FFFFFF"/>
            <w:vAlign w:val="center"/>
          </w:tcPr>
          <w:p>
            <w:pPr>
              <w:spacing w:line="360" w:lineRule="auto"/>
              <w:jc w:val="center"/>
              <w:rPr>
                <w:rFonts w:ascii="宋体" w:hAnsi="宋体" w:eastAsia="宋体" w:cs="宋体"/>
                <w:color w:val="000000"/>
                <w:kern w:val="0"/>
                <w:szCs w:val="21"/>
              </w:rPr>
            </w:pPr>
            <w:r>
              <w:rPr>
                <w:rFonts w:hint="eastAsia" w:ascii="宋体" w:hAnsi="宋体" w:eastAsia="宋体" w:cs="宋体"/>
                <w:color w:val="000000"/>
                <w:kern w:val="0"/>
                <w:szCs w:val="21"/>
              </w:rPr>
              <w:t>2</w:t>
            </w:r>
          </w:p>
        </w:tc>
      </w:tr>
    </w:tbl>
    <w:p>
      <w:pPr>
        <w:spacing w:line="360" w:lineRule="auto"/>
        <w:ind w:firstLine="472" w:firstLineChars="225"/>
        <w:rPr>
          <w:rFonts w:ascii="宋体" w:hAnsi="宋体" w:eastAsia="宋体" w:cs="宋体"/>
          <w:color w:val="000000"/>
          <w:szCs w:val="21"/>
        </w:rPr>
      </w:pPr>
      <w:r>
        <w:rPr>
          <w:rFonts w:hint="eastAsia" w:ascii="宋体" w:hAnsi="宋体" w:eastAsia="宋体" w:cs="宋体"/>
          <w:color w:val="000000"/>
          <w:szCs w:val="21"/>
        </w:rPr>
        <w:t>项目建设安排如下：</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559"/>
        <w:gridCol w:w="1843"/>
        <w:gridCol w:w="43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spacing w:line="360" w:lineRule="auto"/>
              <w:jc w:val="center"/>
              <w:rPr>
                <w:rFonts w:ascii="宋体" w:hAnsi="宋体" w:eastAsia="宋体" w:cs="宋体"/>
                <w:szCs w:val="21"/>
              </w:rPr>
            </w:pPr>
            <w:r>
              <w:rPr>
                <w:rFonts w:hint="eastAsia" w:ascii="宋体" w:hAnsi="宋体" w:eastAsia="宋体" w:cs="宋体"/>
                <w:szCs w:val="21"/>
              </w:rPr>
              <w:t>序号</w:t>
            </w:r>
          </w:p>
        </w:tc>
        <w:tc>
          <w:tcPr>
            <w:tcW w:w="1559" w:type="dxa"/>
          </w:tcPr>
          <w:p>
            <w:pPr>
              <w:spacing w:line="360" w:lineRule="auto"/>
              <w:jc w:val="center"/>
              <w:rPr>
                <w:rFonts w:ascii="宋体" w:hAnsi="宋体" w:eastAsia="宋体" w:cs="宋体"/>
                <w:szCs w:val="21"/>
              </w:rPr>
            </w:pPr>
            <w:r>
              <w:rPr>
                <w:rFonts w:hint="eastAsia" w:ascii="宋体" w:hAnsi="宋体" w:eastAsia="宋体" w:cs="宋体"/>
                <w:szCs w:val="21"/>
              </w:rPr>
              <w:t>系统名称</w:t>
            </w:r>
          </w:p>
        </w:tc>
        <w:tc>
          <w:tcPr>
            <w:tcW w:w="1843" w:type="dxa"/>
          </w:tcPr>
          <w:p>
            <w:pPr>
              <w:spacing w:line="360" w:lineRule="auto"/>
              <w:jc w:val="center"/>
              <w:rPr>
                <w:rFonts w:ascii="宋体" w:hAnsi="宋体" w:eastAsia="宋体" w:cs="宋体"/>
                <w:szCs w:val="21"/>
              </w:rPr>
            </w:pPr>
            <w:r>
              <w:rPr>
                <w:rFonts w:hint="eastAsia" w:ascii="宋体" w:hAnsi="宋体" w:eastAsia="宋体" w:cs="宋体"/>
                <w:szCs w:val="21"/>
              </w:rPr>
              <w:t>安装位置</w:t>
            </w:r>
          </w:p>
        </w:tc>
        <w:tc>
          <w:tcPr>
            <w:tcW w:w="4303" w:type="dxa"/>
          </w:tcPr>
          <w:p>
            <w:pPr>
              <w:spacing w:line="360" w:lineRule="auto"/>
              <w:ind w:firstLine="945" w:firstLineChars="450"/>
              <w:jc w:val="left"/>
              <w:rPr>
                <w:rFonts w:ascii="宋体" w:hAnsi="宋体" w:eastAsia="宋体" w:cs="宋体"/>
                <w:szCs w:val="21"/>
              </w:rPr>
            </w:pPr>
            <w:r>
              <w:rPr>
                <w:rFonts w:hint="eastAsia" w:ascii="宋体" w:hAnsi="宋体" w:eastAsia="宋体" w:cs="宋体"/>
                <w:szCs w:val="21"/>
              </w:rPr>
              <w:t>主要安装部署流程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spacing w:line="360" w:lineRule="auto"/>
              <w:jc w:val="center"/>
              <w:rPr>
                <w:rFonts w:ascii="宋体" w:hAnsi="宋体" w:eastAsia="宋体" w:cs="宋体"/>
                <w:szCs w:val="21"/>
              </w:rPr>
            </w:pPr>
            <w:r>
              <w:rPr>
                <w:rFonts w:hint="eastAsia" w:ascii="宋体" w:hAnsi="宋体" w:eastAsia="宋体" w:cs="宋体"/>
                <w:szCs w:val="21"/>
              </w:rPr>
              <w:t>1</w:t>
            </w:r>
          </w:p>
        </w:tc>
        <w:tc>
          <w:tcPr>
            <w:tcW w:w="1559" w:type="dxa"/>
            <w:shd w:val="clear" w:color="auto" w:fill="auto"/>
            <w:vAlign w:val="center"/>
          </w:tcPr>
          <w:p>
            <w:pPr>
              <w:spacing w:line="360" w:lineRule="auto"/>
              <w:jc w:val="center"/>
              <w:rPr>
                <w:rFonts w:ascii="宋体" w:hAnsi="宋体" w:eastAsia="宋体" w:cs="宋体"/>
                <w:szCs w:val="21"/>
              </w:rPr>
            </w:pPr>
            <w:r>
              <w:rPr>
                <w:rFonts w:hint="eastAsia" w:ascii="宋体" w:hAnsi="宋体" w:eastAsia="宋体" w:cs="宋体"/>
                <w:szCs w:val="21"/>
              </w:rPr>
              <w:t>2024年汕尾分公司广电业务无纸化系统项目（广电5G专项）</w:t>
            </w:r>
          </w:p>
        </w:tc>
        <w:tc>
          <w:tcPr>
            <w:tcW w:w="1843" w:type="dxa"/>
            <w:shd w:val="clear" w:color="auto" w:fill="FFFFFF"/>
            <w:vAlign w:val="center"/>
          </w:tcPr>
          <w:p>
            <w:pPr>
              <w:spacing w:line="360" w:lineRule="auto"/>
              <w:jc w:val="center"/>
              <w:rPr>
                <w:rFonts w:ascii="宋体" w:hAnsi="宋体" w:eastAsia="宋体" w:cs="宋体"/>
                <w:szCs w:val="21"/>
              </w:rPr>
            </w:pPr>
            <w:r>
              <w:rPr>
                <w:rFonts w:hint="eastAsia" w:ascii="宋体" w:hAnsi="宋体" w:eastAsia="宋体" w:cs="宋体"/>
                <w:szCs w:val="21"/>
              </w:rPr>
              <w:t>集中部署平台</w:t>
            </w:r>
          </w:p>
        </w:tc>
        <w:tc>
          <w:tcPr>
            <w:tcW w:w="4303" w:type="dxa"/>
            <w:shd w:val="clear" w:color="auto" w:fill="FFFFFF"/>
            <w:vAlign w:val="center"/>
          </w:tcPr>
          <w:p>
            <w:pPr>
              <w:pStyle w:val="27"/>
              <w:spacing w:line="360" w:lineRule="auto"/>
              <w:ind w:firstLine="0" w:firstLineChars="0"/>
              <w:jc w:val="left"/>
              <w:rPr>
                <w:rFonts w:ascii="宋体" w:hAnsi="宋体" w:eastAsia="宋体" w:cs="宋体"/>
                <w:color w:val="000000"/>
                <w:szCs w:val="21"/>
              </w:rPr>
            </w:pPr>
            <w:r>
              <w:rPr>
                <w:rFonts w:hint="eastAsia" w:ascii="宋体" w:hAnsi="宋体" w:eastAsia="宋体" w:cs="宋体"/>
                <w:color w:val="000000"/>
                <w:szCs w:val="21"/>
              </w:rPr>
              <w:t>1、根据需求确定系统基本功能，软件供应商进行开发，进一步完善需求；</w:t>
            </w:r>
          </w:p>
          <w:p>
            <w:pPr>
              <w:pStyle w:val="27"/>
              <w:spacing w:line="360" w:lineRule="auto"/>
              <w:ind w:firstLine="0" w:firstLineChars="0"/>
              <w:jc w:val="left"/>
              <w:rPr>
                <w:rFonts w:ascii="宋体" w:hAnsi="宋体" w:eastAsia="宋体" w:cs="宋体"/>
                <w:color w:val="000000"/>
                <w:szCs w:val="21"/>
              </w:rPr>
            </w:pPr>
            <w:r>
              <w:rPr>
                <w:rFonts w:hint="eastAsia" w:ascii="宋体" w:hAnsi="宋体" w:eastAsia="宋体" w:cs="宋体"/>
                <w:color w:val="000000"/>
                <w:szCs w:val="21"/>
              </w:rPr>
              <w:t>2、系统功能开发，软件供应商完成系统的代码编写；</w:t>
            </w:r>
          </w:p>
          <w:p>
            <w:pPr>
              <w:pStyle w:val="27"/>
              <w:spacing w:line="360" w:lineRule="auto"/>
              <w:ind w:firstLine="0" w:firstLineChars="0"/>
              <w:jc w:val="left"/>
              <w:rPr>
                <w:rFonts w:ascii="宋体" w:hAnsi="宋体" w:eastAsia="宋体" w:cs="宋体"/>
                <w:color w:val="000000"/>
                <w:szCs w:val="21"/>
              </w:rPr>
            </w:pPr>
            <w:r>
              <w:rPr>
                <w:rFonts w:hint="eastAsia" w:ascii="宋体" w:hAnsi="宋体" w:eastAsia="宋体" w:cs="宋体"/>
                <w:color w:val="000000"/>
                <w:szCs w:val="21"/>
              </w:rPr>
              <w:t>3、开发完成后，在公司虚拟化集中部署平台上部署系统运行环境和网络环境；</w:t>
            </w:r>
          </w:p>
          <w:p>
            <w:pPr>
              <w:pStyle w:val="27"/>
              <w:spacing w:line="360" w:lineRule="auto"/>
              <w:ind w:firstLine="0" w:firstLineChars="0"/>
              <w:jc w:val="left"/>
              <w:rPr>
                <w:rFonts w:ascii="宋体" w:hAnsi="宋体" w:eastAsia="宋体" w:cs="宋体"/>
                <w:color w:val="000000"/>
                <w:szCs w:val="21"/>
              </w:rPr>
            </w:pPr>
            <w:r>
              <w:rPr>
                <w:rFonts w:hint="eastAsia" w:ascii="宋体" w:hAnsi="宋体" w:eastAsia="宋体" w:cs="宋体"/>
                <w:color w:val="000000"/>
                <w:szCs w:val="21"/>
              </w:rPr>
              <w:t>4、系统上线后组织市场营销部、财务资产部、规划建设部及区县分公司相关部门相关人员对系统进行试用，并根据试用情况进行必要的修改。</w:t>
            </w:r>
          </w:p>
          <w:p>
            <w:pPr>
              <w:pStyle w:val="27"/>
              <w:spacing w:line="360" w:lineRule="auto"/>
              <w:ind w:firstLine="0" w:firstLineChars="0"/>
              <w:jc w:val="left"/>
              <w:rPr>
                <w:rFonts w:ascii="宋体" w:hAnsi="宋体" w:eastAsia="宋体" w:cs="宋体"/>
                <w:szCs w:val="21"/>
              </w:rPr>
            </w:pPr>
            <w:r>
              <w:rPr>
                <w:rFonts w:hint="eastAsia" w:ascii="宋体" w:hAnsi="宋体" w:eastAsia="宋体" w:cs="宋体"/>
                <w:color w:val="000000"/>
                <w:szCs w:val="21"/>
              </w:rPr>
              <w:t>5、功能验收后对相关使用人员进行培训，至少提供一次完整的培训。软件供应商需要提供完整的操作员使用手册及管理员管理手册。</w:t>
            </w:r>
          </w:p>
        </w:tc>
      </w:tr>
    </w:tbl>
    <w:p>
      <w:pPr>
        <w:spacing w:line="360" w:lineRule="auto"/>
        <w:ind w:firstLine="472" w:firstLineChars="225"/>
        <w:rPr>
          <w:rFonts w:ascii="宋体" w:hAnsi="宋体" w:eastAsia="宋体" w:cs="宋体"/>
          <w:color w:val="000000"/>
          <w:szCs w:val="21"/>
        </w:rPr>
      </w:pPr>
      <w:r>
        <w:rPr>
          <w:rFonts w:hint="eastAsia" w:ascii="宋体" w:hAnsi="宋体" w:eastAsia="宋体" w:cs="宋体"/>
          <w:color w:val="000000"/>
          <w:szCs w:val="21"/>
        </w:rPr>
        <w:t>系统成功上线、测试使用3个月后组织验收，并在验收合格后进行系统转固。</w:t>
      </w:r>
    </w:p>
    <w:p>
      <w:pPr>
        <w:spacing w:line="360" w:lineRule="auto"/>
        <w:ind w:firstLine="472" w:firstLineChars="225"/>
        <w:rPr>
          <w:rFonts w:ascii="宋体" w:hAnsi="宋体" w:eastAsia="宋体" w:cs="宋体"/>
          <w:color w:val="000000"/>
          <w:szCs w:val="21"/>
        </w:rPr>
      </w:pPr>
      <w:r>
        <w:rPr>
          <w:rFonts w:hint="eastAsia" w:ascii="宋体" w:hAnsi="宋体" w:eastAsia="宋体" w:cs="宋体"/>
          <w:color w:val="000000"/>
          <w:szCs w:val="21"/>
        </w:rPr>
        <w:t>项目在完成后将取得增值税专用发票，对于购入的无纸化办公系统软件，安装验收合格后，将根据分公司相关要求列入无形资产类别进行转固。</w:t>
      </w:r>
    </w:p>
    <w:p>
      <w:pPr>
        <w:spacing w:line="360" w:lineRule="auto"/>
        <w:ind w:firstLine="472" w:firstLineChars="225"/>
        <w:rPr>
          <w:rFonts w:ascii="宋体" w:hAnsi="宋体" w:eastAsia="宋体" w:cs="宋体"/>
          <w:b/>
          <w:bCs/>
          <w:color w:val="000000" w:themeColor="text1"/>
          <w:szCs w:val="21"/>
          <w14:textFill>
            <w14:solidFill>
              <w14:schemeClr w14:val="tx1"/>
            </w14:solidFill>
          </w14:textFill>
        </w:rPr>
      </w:pPr>
      <w:r>
        <w:rPr>
          <w:rFonts w:hint="eastAsia" w:ascii="宋体" w:hAnsi="宋体" w:eastAsia="宋体" w:cs="宋体"/>
          <w:color w:val="000000"/>
          <w:szCs w:val="21"/>
        </w:rPr>
        <w:t>项目建设完成后，由规划建设部进行后续的系统维护。项目软件部分应包含两年维保，本项目维保到期后另外签署维保协议,合同签订时需要对后续维保的费率等做出约定。</w:t>
      </w:r>
    </w:p>
    <w:bookmarkEnd w:id="4"/>
    <w:p>
      <w:pPr>
        <w:pStyle w:val="9"/>
        <w:numPr>
          <w:ilvl w:val="0"/>
          <w:numId w:val="12"/>
        </w:numPr>
        <w:tabs>
          <w:tab w:val="left" w:pos="540"/>
        </w:tabs>
        <w:adjustRightInd w:val="0"/>
        <w:snapToGrid w:val="0"/>
        <w:spacing w:line="360" w:lineRule="auto"/>
        <w:rPr>
          <w:rFonts w:hAnsi="宋体" w:cs="宋体"/>
          <w:b/>
          <w:bCs/>
          <w:sz w:val="21"/>
        </w:rPr>
      </w:pPr>
      <w:r>
        <w:rPr>
          <w:rFonts w:hint="eastAsia" w:hAnsi="宋体" w:cs="宋体"/>
          <w:b/>
          <w:bCs/>
          <w:color w:val="000000" w:themeColor="text1"/>
          <w:sz w:val="21"/>
          <w14:textFill>
            <w14:solidFill>
              <w14:schemeClr w14:val="tx1"/>
            </w14:solidFill>
          </w14:textFill>
        </w:rPr>
        <w:t>项目</w:t>
      </w:r>
      <w:r>
        <w:rPr>
          <w:rFonts w:hint="eastAsia" w:hAnsi="宋体" w:cs="宋体"/>
          <w:b/>
          <w:bCs/>
          <w:sz w:val="21"/>
        </w:rPr>
        <w:t>配置清单价格预算表：</w:t>
      </w:r>
    </w:p>
    <w:tbl>
      <w:tblPr>
        <w:tblStyle w:val="21"/>
        <w:tblW w:w="9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2"/>
        <w:gridCol w:w="5119"/>
        <w:gridCol w:w="900"/>
        <w:gridCol w:w="1203"/>
        <w:gridCol w:w="11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2" w:type="dxa"/>
          </w:tcPr>
          <w:p>
            <w:pPr>
              <w:spacing w:line="360" w:lineRule="auto"/>
              <w:jc w:val="center"/>
              <w:rPr>
                <w:rFonts w:ascii="宋体" w:hAnsi="宋体" w:eastAsia="宋体" w:cs="宋体"/>
                <w:szCs w:val="21"/>
              </w:rPr>
            </w:pPr>
            <w:r>
              <w:rPr>
                <w:rFonts w:hint="eastAsia" w:ascii="宋体" w:hAnsi="宋体" w:eastAsia="宋体" w:cs="宋体"/>
                <w:szCs w:val="21"/>
              </w:rPr>
              <w:t>设备名称</w:t>
            </w:r>
          </w:p>
        </w:tc>
        <w:tc>
          <w:tcPr>
            <w:tcW w:w="5119" w:type="dxa"/>
          </w:tcPr>
          <w:p>
            <w:pPr>
              <w:spacing w:line="360" w:lineRule="auto"/>
              <w:jc w:val="center"/>
              <w:rPr>
                <w:rFonts w:ascii="宋体" w:hAnsi="宋体" w:eastAsia="宋体" w:cs="宋体"/>
                <w:szCs w:val="21"/>
              </w:rPr>
            </w:pPr>
            <w:r>
              <w:rPr>
                <w:rFonts w:hint="eastAsia" w:ascii="宋体" w:hAnsi="宋体" w:eastAsia="宋体" w:cs="宋体"/>
                <w:szCs w:val="21"/>
              </w:rPr>
              <w:t>内容</w:t>
            </w:r>
          </w:p>
        </w:tc>
        <w:tc>
          <w:tcPr>
            <w:tcW w:w="900" w:type="dxa"/>
          </w:tcPr>
          <w:p>
            <w:pPr>
              <w:spacing w:line="360" w:lineRule="auto"/>
              <w:jc w:val="center"/>
              <w:rPr>
                <w:rFonts w:ascii="宋体" w:hAnsi="宋体" w:eastAsia="宋体" w:cs="宋体"/>
                <w:szCs w:val="21"/>
              </w:rPr>
            </w:pPr>
            <w:r>
              <w:rPr>
                <w:rFonts w:hint="eastAsia" w:ascii="宋体" w:hAnsi="宋体" w:eastAsia="宋体" w:cs="宋体"/>
                <w:szCs w:val="21"/>
              </w:rPr>
              <w:t>数量</w:t>
            </w:r>
          </w:p>
        </w:tc>
        <w:tc>
          <w:tcPr>
            <w:tcW w:w="1203" w:type="dxa"/>
          </w:tcPr>
          <w:p>
            <w:pPr>
              <w:spacing w:line="360" w:lineRule="auto"/>
              <w:jc w:val="center"/>
              <w:rPr>
                <w:rFonts w:ascii="宋体" w:hAnsi="宋体" w:eastAsia="宋体" w:cs="宋体"/>
                <w:szCs w:val="21"/>
              </w:rPr>
            </w:pPr>
            <w:r>
              <w:rPr>
                <w:rFonts w:hint="eastAsia" w:ascii="宋体" w:hAnsi="宋体" w:eastAsia="宋体" w:cs="宋体"/>
                <w:szCs w:val="21"/>
              </w:rPr>
              <w:t>预算单价</w:t>
            </w:r>
          </w:p>
        </w:tc>
        <w:tc>
          <w:tcPr>
            <w:tcW w:w="1161" w:type="dxa"/>
          </w:tcPr>
          <w:p>
            <w:pPr>
              <w:spacing w:line="360" w:lineRule="auto"/>
              <w:jc w:val="center"/>
              <w:rPr>
                <w:rFonts w:ascii="宋体" w:hAnsi="宋体" w:eastAsia="宋体" w:cs="宋体"/>
                <w:szCs w:val="21"/>
              </w:rPr>
            </w:pPr>
            <w:r>
              <w:rPr>
                <w:rFonts w:hint="eastAsia" w:ascii="宋体" w:hAnsi="宋体" w:eastAsia="宋体" w:cs="宋体"/>
                <w:szCs w:val="21"/>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72"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无纸化系统</w:t>
            </w:r>
          </w:p>
        </w:tc>
        <w:tc>
          <w:tcPr>
            <w:tcW w:w="5119" w:type="dxa"/>
            <w:vAlign w:val="center"/>
          </w:tcPr>
          <w:p>
            <w:pPr>
              <w:spacing w:line="360" w:lineRule="auto"/>
              <w:rPr>
                <w:rFonts w:ascii="宋体" w:hAnsi="宋体" w:eastAsia="宋体" w:cs="宋体"/>
                <w:szCs w:val="21"/>
              </w:rPr>
            </w:pPr>
            <w:r>
              <w:rPr>
                <w:rFonts w:hint="eastAsia" w:ascii="宋体" w:hAnsi="宋体" w:eastAsia="宋体" w:cs="宋体"/>
                <w:szCs w:val="21"/>
              </w:rPr>
              <w:t>具体功能模块包括：系统功能模块：包含但不限于模板管理、电子单底版管理、印模管理、硬件设备管理、系统管理。电子单生成管理模块：包含但不限于实现虚拟打印、内容解析、模板套打、电子单预览、电子签名、PDF合成、加密存储，电子单信息管理，纸质单扫描管理。电子单存储模块：包含但不限于电子单查询、电子单寄送及获取，数字签名及证书管理。展示管理：包含但不限于电子单展示、营销推送、播放控制、工牌展示、客户评价、多媒体信息管理。电子单稽核模块：包含但不限于业务信息稽核、数量稽核、稽核查询统计。</w:t>
            </w:r>
          </w:p>
        </w:tc>
        <w:tc>
          <w:tcPr>
            <w:tcW w:w="900"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1套</w:t>
            </w:r>
          </w:p>
        </w:tc>
        <w:tc>
          <w:tcPr>
            <w:tcW w:w="1203"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231500</w:t>
            </w:r>
          </w:p>
        </w:tc>
        <w:tc>
          <w:tcPr>
            <w:tcW w:w="116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231500.00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91" w:type="dxa"/>
            <w:gridSpan w:val="2"/>
          </w:tcPr>
          <w:p>
            <w:pPr>
              <w:spacing w:line="360" w:lineRule="auto"/>
              <w:jc w:val="center"/>
              <w:rPr>
                <w:rFonts w:ascii="宋体" w:hAnsi="宋体" w:eastAsia="宋体" w:cs="宋体"/>
                <w:szCs w:val="21"/>
              </w:rPr>
            </w:pPr>
            <w:r>
              <w:rPr>
                <w:rFonts w:hint="eastAsia" w:ascii="宋体" w:hAnsi="宋体" w:eastAsia="宋体" w:cs="宋体"/>
                <w:szCs w:val="21"/>
              </w:rPr>
              <w:t>软件需求预算合计</w:t>
            </w:r>
          </w:p>
        </w:tc>
        <w:tc>
          <w:tcPr>
            <w:tcW w:w="3264" w:type="dxa"/>
            <w:gridSpan w:val="3"/>
            <w:vAlign w:val="center"/>
          </w:tcPr>
          <w:p>
            <w:pPr>
              <w:spacing w:line="360" w:lineRule="auto"/>
              <w:jc w:val="center"/>
              <w:rPr>
                <w:rFonts w:ascii="宋体" w:hAnsi="宋体" w:eastAsia="宋体" w:cs="宋体"/>
                <w:szCs w:val="21"/>
              </w:rPr>
            </w:pPr>
            <w:r>
              <w:rPr>
                <w:rFonts w:hint="eastAsia" w:ascii="宋体" w:hAnsi="宋体" w:eastAsia="宋体" w:cs="宋体"/>
                <w:szCs w:val="21"/>
              </w:rPr>
              <w:t>231500元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91" w:type="dxa"/>
            <w:gridSpan w:val="2"/>
          </w:tcPr>
          <w:p>
            <w:pPr>
              <w:spacing w:line="360" w:lineRule="auto"/>
              <w:jc w:val="center"/>
              <w:rPr>
                <w:rFonts w:ascii="宋体" w:hAnsi="宋体" w:eastAsia="宋体" w:cs="宋体"/>
                <w:szCs w:val="21"/>
              </w:rPr>
            </w:pPr>
            <w:r>
              <w:rPr>
                <w:rFonts w:hint="eastAsia" w:ascii="宋体" w:hAnsi="宋体" w:eastAsia="宋体" w:cs="宋体"/>
                <w:szCs w:val="21"/>
              </w:rPr>
              <w:t>总合计</w:t>
            </w:r>
          </w:p>
        </w:tc>
        <w:tc>
          <w:tcPr>
            <w:tcW w:w="3264" w:type="dxa"/>
            <w:gridSpan w:val="3"/>
            <w:vAlign w:val="center"/>
          </w:tcPr>
          <w:p>
            <w:pPr>
              <w:spacing w:line="360" w:lineRule="auto"/>
              <w:jc w:val="center"/>
              <w:rPr>
                <w:rFonts w:ascii="宋体" w:hAnsi="宋体" w:eastAsia="宋体" w:cs="宋体"/>
                <w:szCs w:val="21"/>
              </w:rPr>
            </w:pPr>
            <w:r>
              <w:rPr>
                <w:rFonts w:hint="eastAsia" w:ascii="宋体" w:hAnsi="宋体" w:eastAsia="宋体" w:cs="宋体"/>
                <w:szCs w:val="21"/>
              </w:rPr>
              <w:t>231500元</w:t>
            </w:r>
          </w:p>
        </w:tc>
      </w:tr>
    </w:tbl>
    <w:p>
      <w:pPr>
        <w:pStyle w:val="9"/>
        <w:numPr>
          <w:ilvl w:val="0"/>
          <w:numId w:val="12"/>
        </w:numPr>
        <w:tabs>
          <w:tab w:val="left" w:pos="540"/>
        </w:tabs>
        <w:adjustRightInd w:val="0"/>
        <w:snapToGrid w:val="0"/>
        <w:spacing w:line="360" w:lineRule="auto"/>
        <w:rPr>
          <w:rFonts w:eastAsiaTheme="minorEastAsia"/>
          <w:b/>
          <w:bCs/>
        </w:rPr>
      </w:pPr>
      <w:r>
        <w:rPr>
          <w:rFonts w:hint="eastAsia"/>
          <w:b/>
          <w:bCs/>
        </w:rPr>
        <w:t>付款方式</w:t>
      </w:r>
    </w:p>
    <w:p>
      <w:pPr>
        <w:snapToGrid w:val="0"/>
        <w:spacing w:line="360" w:lineRule="auto"/>
        <w:ind w:firstLine="420" w:firstLineChars="200"/>
        <w:rPr>
          <w:rFonts w:ascii="宋体" w:hAnsi="宋体" w:eastAsia="宋体" w:cs="宋体"/>
          <w:szCs w:val="21"/>
        </w:rPr>
      </w:pPr>
      <w:r>
        <w:rPr>
          <w:rFonts w:hint="eastAsia" w:ascii="宋体" w:hAnsi="宋体" w:eastAsia="宋体" w:cs="宋体"/>
          <w:szCs w:val="21"/>
        </w:rPr>
        <w:t xml:space="preserve">由采购人按下列程序付款： </w:t>
      </w:r>
    </w:p>
    <w:p>
      <w:pPr>
        <w:numPr>
          <w:ilvl w:val="0"/>
          <w:numId w:val="14"/>
        </w:numPr>
        <w:autoSpaceDE w:val="0"/>
        <w:autoSpaceDN w:val="0"/>
        <w:adjustRightInd w:val="0"/>
        <w:snapToGrid w:val="0"/>
        <w:spacing w:line="360" w:lineRule="auto"/>
        <w:rPr>
          <w:rFonts w:ascii="宋体" w:hAnsi="宋体" w:eastAsia="宋体" w:cs="宋体"/>
          <w:szCs w:val="21"/>
        </w:rPr>
      </w:pPr>
      <w:r>
        <w:rPr>
          <w:rFonts w:hint="eastAsia" w:ascii="宋体" w:hAnsi="宋体" w:eastAsia="宋体" w:cs="宋体"/>
          <w:szCs w:val="21"/>
        </w:rPr>
        <w:t>合同签订15日内付支付合同总价的</w:t>
      </w:r>
      <w:r>
        <w:rPr>
          <w:rFonts w:hint="eastAsia" w:ascii="宋体" w:hAnsi="宋体" w:eastAsia="宋体" w:cs="宋体"/>
          <w:szCs w:val="21"/>
          <w:u w:val="single"/>
        </w:rPr>
        <w:t>30</w:t>
      </w:r>
      <w:r>
        <w:rPr>
          <w:rFonts w:hint="eastAsia" w:ascii="宋体" w:hAnsi="宋体" w:eastAsia="宋体" w:cs="宋体"/>
          <w:szCs w:val="21"/>
        </w:rPr>
        <w:t>%.</w:t>
      </w:r>
    </w:p>
    <w:p>
      <w:pPr>
        <w:numPr>
          <w:ilvl w:val="0"/>
          <w:numId w:val="14"/>
        </w:numPr>
        <w:autoSpaceDE w:val="0"/>
        <w:autoSpaceDN w:val="0"/>
        <w:adjustRightInd w:val="0"/>
        <w:snapToGrid w:val="0"/>
        <w:spacing w:line="360" w:lineRule="auto"/>
        <w:rPr>
          <w:rFonts w:ascii="宋体" w:hAnsi="宋体" w:eastAsia="宋体" w:cs="宋体"/>
          <w:szCs w:val="21"/>
        </w:rPr>
      </w:pPr>
      <w:r>
        <w:rPr>
          <w:rFonts w:hint="eastAsia" w:ascii="宋体" w:hAnsi="宋体" w:eastAsia="宋体" w:cs="宋体"/>
          <w:szCs w:val="21"/>
        </w:rPr>
        <w:t>从验收合格之日起，正常使用1个月后，支付合同总价的</w:t>
      </w:r>
      <w:r>
        <w:rPr>
          <w:rFonts w:hint="eastAsia" w:ascii="宋体" w:hAnsi="宋体" w:eastAsia="宋体" w:cs="宋体"/>
          <w:szCs w:val="21"/>
          <w:u w:val="single"/>
        </w:rPr>
        <w:t xml:space="preserve"> 70</w:t>
      </w:r>
      <w:r>
        <w:rPr>
          <w:rFonts w:hint="eastAsia" w:ascii="宋体" w:hAnsi="宋体" w:eastAsia="宋体" w:cs="宋体"/>
          <w:szCs w:val="21"/>
        </w:rPr>
        <w:t>%。</w:t>
      </w:r>
    </w:p>
    <w:p>
      <w:pPr>
        <w:numPr>
          <w:ilvl w:val="0"/>
          <w:numId w:val="14"/>
        </w:numPr>
        <w:autoSpaceDE w:val="0"/>
        <w:autoSpaceDN w:val="0"/>
        <w:adjustRightInd w:val="0"/>
        <w:snapToGrid w:val="0"/>
        <w:spacing w:line="360" w:lineRule="auto"/>
        <w:jc w:val="left"/>
        <w:rPr>
          <w:rFonts w:ascii="宋体" w:hAnsi="宋体" w:eastAsia="宋体" w:cs="Times New Roman"/>
          <w:kern w:val="21"/>
          <w:szCs w:val="24"/>
        </w:rPr>
      </w:pPr>
      <w:r>
        <w:rPr>
          <w:rFonts w:hint="eastAsia" w:ascii="宋体" w:hAnsi="宋体" w:eastAsia="宋体" w:cs="Times New Roman"/>
          <w:kern w:val="21"/>
          <w:szCs w:val="24"/>
        </w:rPr>
        <w:t>成交人凭以下有效文件与采购人结算：</w:t>
      </w:r>
    </w:p>
    <w:p>
      <w:pPr>
        <w:tabs>
          <w:tab w:val="left" w:pos="426"/>
        </w:tabs>
        <w:snapToGrid w:val="0"/>
        <w:spacing w:line="360" w:lineRule="auto"/>
        <w:ind w:firstLine="105" w:firstLineChars="50"/>
        <w:rPr>
          <w:rFonts w:ascii="宋体" w:hAnsi="宋体" w:eastAsia="宋体" w:cs="Times New Roman"/>
          <w:szCs w:val="24"/>
        </w:rPr>
      </w:pPr>
      <w:r>
        <w:rPr>
          <w:rFonts w:hint="eastAsia" w:ascii="宋体" w:hAnsi="宋体" w:eastAsia="宋体" w:cs="Times New Roman"/>
          <w:szCs w:val="24"/>
        </w:rPr>
        <w:t>a.合同；</w:t>
      </w:r>
    </w:p>
    <w:p>
      <w:pPr>
        <w:snapToGrid w:val="0"/>
        <w:spacing w:line="360" w:lineRule="auto"/>
        <w:ind w:firstLine="105" w:firstLineChars="50"/>
        <w:rPr>
          <w:rFonts w:ascii="宋体" w:hAnsi="宋体" w:eastAsia="宋体" w:cs="Times New Roman"/>
          <w:szCs w:val="24"/>
        </w:rPr>
      </w:pPr>
      <w:r>
        <w:rPr>
          <w:rFonts w:hint="eastAsia" w:ascii="宋体" w:hAnsi="宋体" w:eastAsia="宋体" w:cs="Times New Roman"/>
          <w:szCs w:val="24"/>
        </w:rPr>
        <w:t>b 成交人开具的正式发票；</w:t>
      </w:r>
    </w:p>
    <w:p>
      <w:pPr>
        <w:snapToGrid w:val="0"/>
        <w:spacing w:line="360" w:lineRule="auto"/>
        <w:ind w:firstLine="105" w:firstLineChars="50"/>
        <w:rPr>
          <w:rFonts w:ascii="宋体" w:hAnsi="宋体" w:eastAsia="宋体" w:cs="Times New Roman"/>
          <w:szCs w:val="24"/>
        </w:rPr>
      </w:pPr>
      <w:r>
        <w:rPr>
          <w:rFonts w:hint="eastAsia" w:ascii="宋体" w:hAnsi="宋体" w:eastAsia="宋体" w:cs="Times New Roman"/>
          <w:szCs w:val="24"/>
        </w:rPr>
        <w:t>c.验收报告（加盖采购人公章）；</w:t>
      </w:r>
    </w:p>
    <w:p>
      <w:pPr>
        <w:snapToGrid w:val="0"/>
        <w:spacing w:line="360" w:lineRule="auto"/>
        <w:ind w:firstLine="105" w:firstLineChars="50"/>
        <w:rPr>
          <w:rFonts w:ascii="宋体" w:hAnsi="宋体" w:eastAsia="宋体" w:cs="Times New Roman"/>
          <w:szCs w:val="24"/>
        </w:rPr>
      </w:pPr>
      <w:r>
        <w:rPr>
          <w:rFonts w:hint="eastAsia" w:ascii="宋体" w:hAnsi="宋体" w:eastAsia="宋体" w:cs="Times New Roman"/>
          <w:szCs w:val="24"/>
        </w:rPr>
        <w:t>d.成交通知书</w:t>
      </w:r>
    </w:p>
    <w:p>
      <w:pPr>
        <w:rPr>
          <w:rFonts w:asciiTheme="minorEastAsia" w:hAnsiTheme="minorEastAsia" w:cstheme="minorEastAsia"/>
          <w:color w:val="000000" w:themeColor="text1"/>
          <w:lang w:val="zh-CN"/>
          <w14:textFill>
            <w14:solidFill>
              <w14:schemeClr w14:val="tx1"/>
            </w14:solidFill>
          </w14:textFill>
        </w:rPr>
      </w:pPr>
      <w:r>
        <w:rPr>
          <w:rFonts w:hint="eastAsia" w:asciiTheme="minorEastAsia" w:hAnsiTheme="minorEastAsia" w:cstheme="minorEastAsia"/>
          <w:color w:val="000000" w:themeColor="text1"/>
          <w:lang w:val="zh-CN"/>
          <w14:textFill>
            <w14:solidFill>
              <w14:schemeClr w14:val="tx1"/>
            </w14:solidFill>
          </w14:textFill>
        </w:rPr>
        <w:br w:type="page"/>
      </w:r>
    </w:p>
    <w:p>
      <w:pPr>
        <w:pStyle w:val="16"/>
        <w:spacing w:before="0" w:after="0"/>
        <w:rPr>
          <w:rFonts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t>第三章 报价附件</w:t>
      </w:r>
    </w:p>
    <w:p>
      <w:pPr>
        <w:pStyle w:val="3"/>
        <w:spacing w:before="0" w:after="0"/>
        <w:jc w:val="center"/>
        <w:rPr>
          <w:rFonts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t>报 价 表</w:t>
      </w:r>
    </w:p>
    <w:tbl>
      <w:tblPr>
        <w:tblStyle w:val="20"/>
        <w:tblW w:w="9299"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2158"/>
        <w:gridCol w:w="807"/>
        <w:gridCol w:w="1550"/>
        <w:gridCol w:w="1908"/>
        <w:gridCol w:w="1729"/>
        <w:gridCol w:w="1147"/>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62" w:hRule="atLeast"/>
          <w:jc w:val="center"/>
        </w:trPr>
        <w:tc>
          <w:tcPr>
            <w:tcW w:w="2158"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rPr>
              <w:t>采购内容</w:t>
            </w:r>
          </w:p>
        </w:tc>
        <w:tc>
          <w:tcPr>
            <w:tcW w:w="807"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lang w:bidi="ar"/>
              </w:rPr>
            </w:pPr>
            <w:r>
              <w:rPr>
                <w:rFonts w:hint="eastAsia" w:asciiTheme="minorEastAsia" w:hAnsiTheme="minorEastAsia" w:cstheme="minorEastAsia"/>
                <w:b/>
                <w:szCs w:val="24"/>
                <w:shd w:val="clear" w:color="auto" w:fill="FFFFFF"/>
                <w:lang w:bidi="ar"/>
              </w:rPr>
              <w:t>数量</w:t>
            </w:r>
          </w:p>
        </w:tc>
        <w:tc>
          <w:tcPr>
            <w:tcW w:w="1550"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rPr>
              <w:t>完工期</w:t>
            </w:r>
          </w:p>
        </w:tc>
        <w:tc>
          <w:tcPr>
            <w:tcW w:w="1908"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lang w:bidi="ar"/>
              </w:rPr>
              <w:t>报价（人民币 元）</w:t>
            </w:r>
          </w:p>
        </w:tc>
        <w:tc>
          <w:tcPr>
            <w:tcW w:w="1729"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lang w:bidi="ar"/>
              </w:rPr>
              <w:t>报价（元）</w:t>
            </w:r>
          </w:p>
        </w:tc>
        <w:tc>
          <w:tcPr>
            <w:tcW w:w="1147"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lang w:bidi="ar"/>
              </w:rPr>
            </w:pPr>
            <w:r>
              <w:rPr>
                <w:rFonts w:hint="eastAsia" w:asciiTheme="minorEastAsia" w:hAnsiTheme="minorEastAsia" w:cstheme="minorEastAsia"/>
                <w:b/>
                <w:szCs w:val="24"/>
                <w:shd w:val="clear" w:color="auto" w:fill="FFFFFF"/>
                <w:lang w:bidi="ar"/>
              </w:rPr>
              <w:t>备注</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928" w:hRule="atLeast"/>
          <w:jc w:val="center"/>
        </w:trPr>
        <w:tc>
          <w:tcPr>
            <w:tcW w:w="2158" w:type="dxa"/>
            <w:tcBorders>
              <w:tl2br w:val="nil"/>
              <w:tr2bl w:val="nil"/>
            </w:tcBorders>
            <w:shd w:val="clear" w:color="auto" w:fill="auto"/>
            <w:vAlign w:val="center"/>
          </w:tcPr>
          <w:p>
            <w:pPr>
              <w:spacing w:line="360" w:lineRule="auto"/>
              <w:jc w:val="center"/>
              <w:rPr>
                <w:rFonts w:hint="eastAsia" w:asciiTheme="minorEastAsia" w:hAnsiTheme="minorEastAsia" w:eastAsiaTheme="minorEastAsia" w:cstheme="minorEastAsia"/>
                <w:szCs w:val="24"/>
                <w:shd w:val="clear" w:color="auto" w:fill="FFFFFF"/>
                <w:lang w:eastAsia="zh-CN"/>
              </w:rPr>
            </w:pPr>
            <w:r>
              <w:rPr>
                <w:rFonts w:hint="eastAsia" w:asciiTheme="minorEastAsia" w:hAnsiTheme="minorEastAsia" w:cstheme="minorEastAsia"/>
                <w:color w:val="000000" w:themeColor="text1"/>
                <w:szCs w:val="21"/>
                <w:lang w:eastAsia="zh-CN"/>
                <w14:textFill>
                  <w14:solidFill>
                    <w14:schemeClr w14:val="tx1"/>
                  </w14:solidFill>
                </w14:textFill>
              </w:rPr>
              <w:t>2024年汕尾广电营业厅业务系统升级改造</w:t>
            </w:r>
          </w:p>
        </w:tc>
        <w:tc>
          <w:tcPr>
            <w:tcW w:w="807"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r>
              <w:rPr>
                <w:rFonts w:hint="eastAsia" w:ascii="宋体" w:hAnsi="宋体" w:eastAsia="宋体" w:cs="宋体"/>
                <w:szCs w:val="21"/>
              </w:rPr>
              <w:t>1台</w:t>
            </w:r>
          </w:p>
        </w:tc>
        <w:tc>
          <w:tcPr>
            <w:tcW w:w="1550"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r>
              <w:rPr>
                <w:rFonts w:ascii="宋体" w:hAnsi="宋体" w:eastAsia="宋体" w:cs="宋体"/>
                <w:bCs/>
                <w:szCs w:val="21"/>
              </w:rPr>
              <w:t>合同签订一年内</w:t>
            </w:r>
          </w:p>
        </w:tc>
        <w:tc>
          <w:tcPr>
            <w:tcW w:w="1908"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r>
              <w:rPr>
                <w:rFonts w:hint="eastAsia" w:ascii="宋体" w:hAnsi="宋体" w:eastAsia="宋体" w:cs="Times New Roman"/>
                <w:kern w:val="0"/>
                <w:szCs w:val="21"/>
              </w:rPr>
              <w:t>人民币23.15万元</w:t>
            </w:r>
          </w:p>
        </w:tc>
        <w:tc>
          <w:tcPr>
            <w:tcW w:w="1729"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p>
          <w:p>
            <w:pPr>
              <w:spacing w:line="360" w:lineRule="auto"/>
              <w:jc w:val="center"/>
              <w:rPr>
                <w:rFonts w:asciiTheme="minorEastAsia" w:hAnsiTheme="minorEastAsia" w:cstheme="minorEastAsia"/>
                <w:szCs w:val="24"/>
                <w:shd w:val="clear" w:color="auto" w:fill="FFFFFF"/>
              </w:rPr>
            </w:pPr>
          </w:p>
        </w:tc>
        <w:tc>
          <w:tcPr>
            <w:tcW w:w="1147"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p>
        </w:tc>
      </w:tr>
    </w:tbl>
    <w:p>
      <w:pPr>
        <w:spacing w:line="500" w:lineRule="exact"/>
        <w:rPr>
          <w:rFonts w:asciiTheme="minorEastAsia" w:hAnsiTheme="minorEastAsia" w:cstheme="minorEastAsia"/>
          <w:b/>
          <w:color w:val="000000" w:themeColor="text1"/>
          <w:spacing w:val="4"/>
          <w:szCs w:val="21"/>
          <w14:textFill>
            <w14:solidFill>
              <w14:schemeClr w14:val="tx1"/>
            </w14:solidFill>
          </w14:textFill>
        </w:rPr>
      </w:pPr>
      <w:r>
        <w:rPr>
          <w:rFonts w:hint="eastAsia" w:asciiTheme="minorEastAsia" w:hAnsiTheme="minorEastAsia" w:cstheme="minorEastAsia"/>
          <w:b/>
          <w:color w:val="000000" w:themeColor="text1"/>
          <w:spacing w:val="4"/>
          <w:szCs w:val="21"/>
          <w14:textFill>
            <w14:solidFill>
              <w14:schemeClr w14:val="tx1"/>
            </w14:solidFill>
          </w14:textFill>
        </w:rPr>
        <w:t>注：</w:t>
      </w:r>
    </w:p>
    <w:p>
      <w:pPr>
        <w:pStyle w:val="15"/>
        <w:numPr>
          <w:ilvl w:val="0"/>
          <w:numId w:val="15"/>
        </w:numPr>
        <w:shd w:val="clear" w:color="auto" w:fill="FFFFFF"/>
        <w:spacing w:before="0" w:beforeAutospacing="0" w:after="0" w:afterAutospacing="0" w:line="360" w:lineRule="auto"/>
        <w:rPr>
          <w:rFonts w:asciiTheme="minorEastAsia" w:hAnsiTheme="minorEastAsia" w:eastAsiaTheme="minorEastAsia" w:cstheme="minorEastAsia"/>
          <w:b/>
          <w:bCs/>
          <w:color w:val="000000" w:themeColor="text1"/>
          <w:sz w:val="21"/>
          <w:szCs w:val="21"/>
          <w:u w:val="single"/>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u w:val="single"/>
          <w14:textFill>
            <w14:solidFill>
              <w14:schemeClr w14:val="tx1"/>
            </w14:solidFill>
          </w14:textFill>
        </w:rPr>
        <w:t>供应商必须按报价表的格式填写，不得增加或删除表格内容。除单价、金额或项目要求填写的内容外，不得擅自改动报价表内容，</w:t>
      </w: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否则将有可能影响成交结果，不推荐为成交候选人</w:t>
      </w:r>
      <w:r>
        <w:rPr>
          <w:rFonts w:hint="eastAsia" w:asciiTheme="minorEastAsia" w:hAnsiTheme="minorEastAsia" w:eastAsiaTheme="minorEastAsia" w:cstheme="minorEastAsia"/>
          <w:b/>
          <w:bCs/>
          <w:color w:val="000000" w:themeColor="text1"/>
          <w:sz w:val="21"/>
          <w:szCs w:val="21"/>
          <w:u w:val="single"/>
          <w14:textFill>
            <w14:solidFill>
              <w14:schemeClr w14:val="tx1"/>
            </w14:solidFill>
          </w14:textFill>
        </w:rPr>
        <w:t>；</w:t>
      </w:r>
    </w:p>
    <w:p>
      <w:pPr>
        <w:pStyle w:val="15"/>
        <w:numPr>
          <w:ilvl w:val="0"/>
          <w:numId w:val="15"/>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所有价格均系用人民币表示，单位为元，</w:t>
      </w: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均为含税价</w:t>
      </w:r>
      <w:r>
        <w:rPr>
          <w:rFonts w:hint="eastAsia" w:asciiTheme="minorEastAsia" w:hAnsiTheme="minorEastAsia" w:eastAsiaTheme="minorEastAsia" w:cstheme="minorEastAsia"/>
          <w:b/>
          <w:color w:val="000000" w:themeColor="text1"/>
          <w:sz w:val="21"/>
          <w:szCs w:val="21"/>
          <w14:textFill>
            <w14:solidFill>
              <w14:schemeClr w14:val="tx1"/>
            </w14:solidFill>
          </w14:textFill>
        </w:rPr>
        <w:t>；</w:t>
      </w:r>
    </w:p>
    <w:p>
      <w:pPr>
        <w:pStyle w:val="15"/>
        <w:numPr>
          <w:ilvl w:val="0"/>
          <w:numId w:val="15"/>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sz w:val="21"/>
          <w:szCs w:val="21"/>
          <w:u w:val="single"/>
          <w:shd w:val="clear" w:color="auto" w:fill="FFFFFF"/>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15"/>
        <w:numPr>
          <w:ilvl w:val="0"/>
          <w:numId w:val="15"/>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平台上报价与报价表合计不一致的，以报价表合计（经价格核准后的价格）为准。</w:t>
      </w:r>
    </w:p>
    <w:p>
      <w:pPr>
        <w:pStyle w:val="15"/>
        <w:numPr>
          <w:ilvl w:val="0"/>
          <w:numId w:val="15"/>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sz w:val="21"/>
          <w:szCs w:val="21"/>
          <w:u w:val="single"/>
          <w:shd w:val="clear" w:color="auto" w:fill="FFFFFF"/>
        </w:rPr>
        <w:t>供应商报价表必须加盖公章，否则视作无效报价。</w:t>
      </w:r>
    </w:p>
    <w:p>
      <w:pPr>
        <w:wordWrap w:val="0"/>
        <w:spacing w:line="360" w:lineRule="auto"/>
        <w:ind w:right="218"/>
        <w:jc w:val="right"/>
        <w:rPr>
          <w:rFonts w:asciiTheme="minorEastAsia" w:hAnsiTheme="minorEastAsia" w:cstheme="minorEastAsia"/>
          <w:color w:val="000000" w:themeColor="text1"/>
          <w:spacing w:val="4"/>
          <w:szCs w:val="21"/>
          <w14:textFill>
            <w14:solidFill>
              <w14:schemeClr w14:val="tx1"/>
            </w14:solidFill>
          </w14:textFill>
        </w:rPr>
      </w:pPr>
    </w:p>
    <w:p>
      <w:pPr>
        <w:wordWrap w:val="0"/>
        <w:spacing w:line="360" w:lineRule="auto"/>
        <w:ind w:right="218"/>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jc w:val="left"/>
        <w:rPr>
          <w:rFonts w:asciiTheme="minorEastAsia" w:hAnsiTheme="minorEastAsia" w:cstheme="minorEastAsia"/>
          <w:color w:val="000000" w:themeColor="text1"/>
          <w:lang w:val="zh-CN"/>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 xml:space="preserve">                                         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ind w:right="210"/>
        <w:jc w:val="right"/>
        <w:rPr>
          <w:rFonts w:asciiTheme="minorEastAsia" w:hAnsiTheme="minorEastAsia" w:cstheme="minorEastAsia"/>
          <w:color w:val="000000" w:themeColor="text1"/>
          <w:szCs w:val="21"/>
          <w:u w:val="single"/>
          <w14:textFill>
            <w14:solidFill>
              <w14:schemeClr w14:val="tx1"/>
            </w14:solidFill>
          </w14:textFill>
        </w:rPr>
      </w:pPr>
    </w:p>
    <w:p>
      <w:r>
        <w:br w:type="page"/>
      </w:r>
    </w:p>
    <w:p>
      <w:pPr>
        <w:pStyle w:val="3"/>
        <w:spacing w:before="0" w:after="0"/>
        <w:jc w:val="center"/>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用户需求书响应声明函</w:t>
      </w:r>
    </w:p>
    <w:p>
      <w:pPr>
        <w:spacing w:line="360" w:lineRule="auto"/>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致：广东省广播电视网络股份有限公司汕尾分公司、</w:t>
      </w:r>
      <w:r>
        <w:rPr>
          <w:rFonts w:hint="eastAsia" w:asciiTheme="minorEastAsia" w:hAnsiTheme="minorEastAsia" w:cstheme="minorEastAsia"/>
          <w:b/>
          <w:color w:val="000000" w:themeColor="text1"/>
          <w14:textFill>
            <w14:solidFill>
              <w14:schemeClr w14:val="tx1"/>
            </w14:solidFill>
          </w14:textFill>
        </w:rPr>
        <w:t>采联国际招标采购集团有限公司</w:t>
      </w:r>
    </w:p>
    <w:p>
      <w:pPr>
        <w:spacing w:line="360" w:lineRule="auto"/>
        <w:rPr>
          <w:rFonts w:asciiTheme="minorEastAsia" w:hAnsiTheme="minorEastAsia" w:cstheme="minorEastAsia"/>
          <w:color w:val="000000" w:themeColor="text1"/>
          <w:lang w:val="zh-CN"/>
          <w14:textFill>
            <w14:solidFill>
              <w14:schemeClr w14:val="tx1"/>
            </w14:solidFill>
          </w14:textFill>
        </w:rPr>
      </w:pPr>
    </w:p>
    <w:p>
      <w:pPr>
        <w:snapToGrid w:val="0"/>
        <w:spacing w:line="360" w:lineRule="auto"/>
        <w:ind w:firstLine="420" w:firstLineChars="20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关于贵单位、贵司发布</w:t>
      </w:r>
      <w:r>
        <w:rPr>
          <w:rFonts w:hint="eastAsia" w:asciiTheme="minorEastAsia" w:hAnsiTheme="minorEastAsia" w:cstheme="minorEastAsia"/>
          <w:b/>
          <w:bCs/>
          <w:color w:val="000000" w:themeColor="text1"/>
          <w:szCs w:val="21"/>
          <w:u w:val="single"/>
          <w:lang w:eastAsia="zh-CN"/>
          <w14:textFill>
            <w14:solidFill>
              <w14:schemeClr w14:val="tx1"/>
            </w14:solidFill>
          </w14:textFill>
        </w:rPr>
        <w:t>2024年汕尾广电营业厅业务系统升级改造</w:t>
      </w:r>
      <w:r>
        <w:rPr>
          <w:rFonts w:hint="eastAsia" w:asciiTheme="minorEastAsia" w:hAnsiTheme="minorEastAsia" w:cstheme="minorEastAsia"/>
          <w:color w:val="000000" w:themeColor="text1"/>
          <w:szCs w:val="21"/>
          <w14:textFill>
            <w14:solidFill>
              <w14:schemeClr w14:val="tx1"/>
            </w14:solidFill>
          </w14:textFill>
        </w:rPr>
        <w:t>的竞价公告，本公司（企业）愿意参加竞价活动，并作出如下声明：</w:t>
      </w:r>
    </w:p>
    <w:p>
      <w:pPr>
        <w:pStyle w:val="37"/>
        <w:tabs>
          <w:tab w:val="left" w:pos="426"/>
        </w:tabs>
        <w:snapToGrid w:val="0"/>
        <w:spacing w:line="360" w:lineRule="auto"/>
        <w:ind w:firstLineChars="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pStyle w:val="37"/>
        <w:tabs>
          <w:tab w:val="left" w:pos="426"/>
        </w:tabs>
        <w:snapToGrid w:val="0"/>
        <w:spacing w:line="360" w:lineRule="auto"/>
        <w:ind w:firstLineChars="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pacing w:line="360" w:lineRule="auto"/>
        <w:ind w:firstLine="413" w:firstLineChars="196"/>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备注：</w:t>
      </w:r>
    </w:p>
    <w:p>
      <w:pPr>
        <w:pStyle w:val="27"/>
        <w:numPr>
          <w:ilvl w:val="0"/>
          <w:numId w:val="16"/>
        </w:numPr>
        <w:autoSpaceDE w:val="0"/>
        <w:autoSpaceDN w:val="0"/>
        <w:adjustRightInd w:val="0"/>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本声明函必须提供且内容不得擅自删改，否则视为响应无效。</w:t>
      </w:r>
    </w:p>
    <w:p>
      <w:pPr>
        <w:pStyle w:val="27"/>
        <w:numPr>
          <w:ilvl w:val="0"/>
          <w:numId w:val="16"/>
        </w:numPr>
        <w:snapToGrid w:val="0"/>
        <w:spacing w:line="360" w:lineRule="auto"/>
        <w:ind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本声明函如有虚假或与事实不符的，作无效报价处理。</w:t>
      </w:r>
    </w:p>
    <w:p>
      <w:pPr>
        <w:widowControl/>
        <w:spacing w:line="360" w:lineRule="auto"/>
        <w:jc w:val="left"/>
        <w:rPr>
          <w:rFonts w:asciiTheme="minorEastAsia" w:hAnsiTheme="minorEastAsia" w:cstheme="minorEastAsia"/>
          <w:b/>
          <w:bCs/>
          <w:color w:val="000000" w:themeColor="text1"/>
          <w:kern w:val="0"/>
          <w:sz w:val="32"/>
          <w:szCs w:val="32"/>
          <w14:textFill>
            <w14:solidFill>
              <w14:schemeClr w14:val="tx1"/>
            </w14:solidFill>
          </w14:textFill>
        </w:rPr>
      </w:pPr>
    </w:p>
    <w:p>
      <w:pPr>
        <w:wordWrap w:val="0"/>
        <w:spacing w:line="360" w:lineRule="auto"/>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ind w:firstLine="105" w:firstLineChars="50"/>
        <w:jc w:val="right"/>
        <w:rPr>
          <w:rFonts w:asciiTheme="minorEastAsia" w:hAnsiTheme="minorEastAsia" w:cstheme="minorEastAsia"/>
          <w:color w:val="000000" w:themeColor="text1"/>
          <w:szCs w:val="21"/>
          <w:u w:val="single"/>
          <w14:textFill>
            <w14:solidFill>
              <w14:schemeClr w14:val="tx1"/>
            </w14:solidFill>
          </w14:textFill>
        </w:rPr>
      </w:pPr>
    </w:p>
    <w:p>
      <w:pPr>
        <w:wordWrap w:val="0"/>
        <w:spacing w:line="360" w:lineRule="auto"/>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widowControl/>
        <w:spacing w:line="360" w:lineRule="auto"/>
        <w:jc w:val="right"/>
        <w:rPr>
          <w:rFonts w:asciiTheme="minorEastAsia" w:hAnsiTheme="minorEastAsia" w:cstheme="minorEastAsia"/>
          <w:b/>
          <w:bCs/>
          <w:color w:val="000000" w:themeColor="text1"/>
          <w:kern w:val="0"/>
          <w:sz w:val="32"/>
          <w:szCs w:val="32"/>
          <w:lang w:val="zh-CN"/>
          <w14:textFill>
            <w14:solidFill>
              <w14:schemeClr w14:val="tx1"/>
            </w14:solidFill>
          </w14:textFill>
        </w:rPr>
      </w:pPr>
    </w:p>
    <w:p>
      <w:pPr>
        <w:spacing w:line="360" w:lineRule="auto"/>
        <w:rPr>
          <w:rFonts w:asciiTheme="minorEastAsia" w:hAnsiTheme="minorEastAsia" w:cstheme="minorEastAsia"/>
          <w:color w:val="000000" w:themeColor="text1"/>
          <w14:textFill>
            <w14:solidFill>
              <w14:schemeClr w14:val="tx1"/>
            </w14:solidFill>
          </w14:textFill>
        </w:rPr>
      </w:pPr>
    </w:p>
    <w:p>
      <w:pPr>
        <w:widowControl/>
        <w:spacing w:line="360" w:lineRule="auto"/>
        <w:jc w:val="left"/>
        <w:rPr>
          <w:rFonts w:asciiTheme="minorEastAsia" w:hAnsiTheme="minorEastAsia" w:cstheme="minorEastAsia"/>
          <w:b/>
          <w:bCs/>
          <w:color w:val="000000" w:themeColor="text1"/>
          <w:kern w:val="0"/>
          <w:sz w:val="32"/>
          <w:szCs w:val="32"/>
          <w:lang w:val="zh-CN"/>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br w:type="page"/>
      </w:r>
    </w:p>
    <w:p>
      <w:pPr>
        <w:pStyle w:val="3"/>
        <w:spacing w:before="0" w:after="0"/>
        <w:jc w:val="center"/>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供应商资格声明函</w:t>
      </w:r>
    </w:p>
    <w:p>
      <w:pPr>
        <w:rPr>
          <w:rFonts w:asciiTheme="minorEastAsia" w:hAnsiTheme="minorEastAsia" w:cstheme="minorEastAsia"/>
          <w:b/>
          <w:color w:val="000000" w:themeColor="text1"/>
          <w:szCs w:val="24"/>
          <w14:textFill>
            <w14:solidFill>
              <w14:schemeClr w14:val="tx1"/>
            </w14:solidFill>
          </w14:textFill>
        </w:rPr>
      </w:pPr>
    </w:p>
    <w:p>
      <w:pPr>
        <w:rPr>
          <w:rFonts w:asciiTheme="minorEastAsia" w:hAnsiTheme="minorEastAsia" w:cstheme="minorEastAsia"/>
          <w:b/>
          <w:color w:val="000000" w:themeColor="text1"/>
          <w:szCs w:val="24"/>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致：</w:t>
      </w:r>
      <w:r>
        <w:rPr>
          <w:rFonts w:hint="eastAsia" w:asciiTheme="minorEastAsia" w:hAnsiTheme="minorEastAsia" w:cstheme="minorEastAsia"/>
          <w:b/>
          <w:color w:val="000000" w:themeColor="text1"/>
          <w:szCs w:val="24"/>
          <w14:textFill>
            <w14:solidFill>
              <w14:schemeClr w14:val="tx1"/>
            </w14:solidFill>
          </w14:textFill>
        </w:rPr>
        <w:t>广东省广播电视网络股份有限公司汕尾分公司、</w:t>
      </w:r>
      <w:r>
        <w:rPr>
          <w:rFonts w:hint="eastAsia" w:asciiTheme="minorEastAsia" w:hAnsiTheme="minorEastAsia" w:cstheme="minorEastAsia"/>
          <w:b/>
          <w:color w:val="000000" w:themeColor="text1"/>
          <w14:textFill>
            <w14:solidFill>
              <w14:schemeClr w14:val="tx1"/>
            </w14:solidFill>
          </w14:textFill>
        </w:rPr>
        <w:t>采联国际招标采购集团有限公司</w:t>
      </w:r>
      <w:r>
        <w:rPr>
          <w:rFonts w:hint="eastAsia" w:asciiTheme="minorEastAsia" w:hAnsiTheme="minorEastAsia" w:cstheme="minorEastAsia"/>
          <w:b/>
          <w:color w:val="000000" w:themeColor="text1"/>
          <w:szCs w:val="24"/>
          <w14:textFill>
            <w14:solidFill>
              <w14:schemeClr w14:val="tx1"/>
            </w14:solidFill>
          </w14:textFill>
        </w:rPr>
        <w:t>：</w:t>
      </w:r>
    </w:p>
    <w:p>
      <w:pPr>
        <w:rPr>
          <w:rFonts w:asciiTheme="minorEastAsia" w:hAnsiTheme="minorEastAsia" w:cstheme="minorEastAsia"/>
          <w:b/>
          <w:color w:val="000000" w:themeColor="text1"/>
          <w:szCs w:val="24"/>
          <w14:textFill>
            <w14:solidFill>
              <w14:schemeClr w14:val="tx1"/>
            </w14:solidFill>
          </w14:textFill>
        </w:rPr>
      </w:pPr>
    </w:p>
    <w:p>
      <w:pPr>
        <w:snapToGrid w:val="0"/>
        <w:spacing w:line="360" w:lineRule="auto"/>
        <w:ind w:firstLine="424" w:firstLineChars="202"/>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关于贵单位、贵司发布</w:t>
      </w:r>
      <w:r>
        <w:rPr>
          <w:rFonts w:hint="eastAsia" w:asciiTheme="minorEastAsia" w:hAnsiTheme="minorEastAsia" w:cstheme="minorEastAsia"/>
          <w:b/>
          <w:bCs/>
          <w:color w:val="000000" w:themeColor="text1"/>
          <w:szCs w:val="21"/>
          <w:u w:val="single"/>
          <w:lang w:eastAsia="zh-CN"/>
          <w14:textFill>
            <w14:solidFill>
              <w14:schemeClr w14:val="tx1"/>
            </w14:solidFill>
          </w14:textFill>
        </w:rPr>
        <w:t>2024年汕尾广电营业厅业务系统升级改造</w:t>
      </w:r>
      <w:r>
        <w:rPr>
          <w:rFonts w:hint="eastAsia" w:asciiTheme="minorEastAsia" w:hAnsiTheme="minorEastAsia" w:cstheme="minorEastAsia"/>
          <w:color w:val="000000" w:themeColor="text1"/>
          <w:szCs w:val="24"/>
          <w14:textFill>
            <w14:solidFill>
              <w14:schemeClr w14:val="tx1"/>
            </w14:solidFill>
          </w14:textFill>
        </w:rPr>
        <w:t>的竞价公告，本公司（企业）愿意参加竞价活动，并作出如下声明：</w:t>
      </w:r>
    </w:p>
    <w:p>
      <w:pPr>
        <w:numPr>
          <w:ilvl w:val="0"/>
          <w:numId w:val="17"/>
        </w:numPr>
        <w:snapToGrid w:val="0"/>
        <w:spacing w:line="360" w:lineRule="auto"/>
        <w:rPr>
          <w:rFonts w:asciiTheme="minorEastAsia" w:hAnsiTheme="minorEastAsia" w:cstheme="minorEastAsia"/>
          <w:bCs/>
          <w:color w:val="000000" w:themeColor="text1"/>
          <w:szCs w:val="20"/>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w:t>
      </w:r>
      <w:r>
        <w:rPr>
          <w:rFonts w:hint="eastAsia" w:asciiTheme="minorEastAsia" w:hAnsiTheme="minorEastAsia" w:cstheme="minorEastAsia"/>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 xml:space="preserve">（二）具有良好的商业信誉和健全的财务会计制度； </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（六）法律、行政法规规定的其他条件。</w:t>
      </w:r>
    </w:p>
    <w:p>
      <w:pPr>
        <w:numPr>
          <w:ilvl w:val="0"/>
          <w:numId w:val="17"/>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本公司（企业）具有本次采购项目供货及服务能力。</w:t>
      </w:r>
    </w:p>
    <w:p>
      <w:pPr>
        <w:numPr>
          <w:ilvl w:val="0"/>
          <w:numId w:val="17"/>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本公司（企业）有固定的经营场所，信誉良好、售后维护服务好，并且在经营活动中无严重违法记录。</w:t>
      </w:r>
    </w:p>
    <w:p>
      <w:pPr>
        <w:numPr>
          <w:ilvl w:val="0"/>
          <w:numId w:val="17"/>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本公司（企业）没有为采购项目同一合同项下提供整体设计、规范编制或者项目管理、监理、检测等服务。</w:t>
      </w:r>
    </w:p>
    <w:p>
      <w:pPr>
        <w:numPr>
          <w:ilvl w:val="0"/>
          <w:numId w:val="17"/>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本公司（企业）的法定代表人或单位负责人与所参投的本项目其他供应商的法定代表人或单位负责人不为同一人且与其他供应商之间不存在直接控股、管理关系。</w:t>
      </w:r>
    </w:p>
    <w:p>
      <w:pPr>
        <w:numPr>
          <w:ilvl w:val="0"/>
          <w:numId w:val="17"/>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本公司（企业）在本项目中不分包、转包且不联合参与竞价。</w:t>
      </w:r>
    </w:p>
    <w:p>
      <w:pPr>
        <w:snapToGrid w:val="0"/>
        <w:spacing w:line="360" w:lineRule="auto"/>
        <w:ind w:firstLine="424" w:firstLineChars="202"/>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本公司（企业）承诺在本次采购活动中，如有违法、违规</w:t>
      </w:r>
      <w:r>
        <w:rPr>
          <w:rFonts w:hint="eastAsia" w:asciiTheme="minorEastAsia" w:hAnsiTheme="minorEastAsia" w:cstheme="minorEastAsia"/>
          <w:color w:val="000000" w:themeColor="text1"/>
          <w:szCs w:val="21"/>
          <w14:textFill>
            <w14:solidFill>
              <w14:schemeClr w14:val="tx1"/>
            </w14:solidFill>
          </w14:textFill>
        </w:rPr>
        <w:t>、</w:t>
      </w:r>
      <w:r>
        <w:rPr>
          <w:rFonts w:hint="eastAsia" w:asciiTheme="minorEastAsia" w:hAnsiTheme="minorEastAsia" w:cstheme="minorEastAsia"/>
          <w:color w:val="000000" w:themeColor="text1"/>
          <w:szCs w:val="24"/>
          <w14:textFill>
            <w14:solidFill>
              <w14:schemeClr w14:val="tx1"/>
            </w14:solidFill>
          </w14:textFill>
        </w:rPr>
        <w:t>弄虚作假行为，所造成的损失、不良后果及法律责任，一律由我公司（企业）承担。</w:t>
      </w:r>
    </w:p>
    <w:p>
      <w:pPr>
        <w:spacing w:line="360" w:lineRule="auto"/>
        <w:ind w:firstLine="420"/>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特此声明！</w:t>
      </w:r>
    </w:p>
    <w:p>
      <w:pPr>
        <w:autoSpaceDE w:val="0"/>
        <w:autoSpaceDN w:val="0"/>
        <w:adjustRightInd w:val="0"/>
        <w:spacing w:line="360" w:lineRule="auto"/>
        <w:ind w:firstLine="413" w:firstLineChars="196"/>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备注：</w:t>
      </w:r>
    </w:p>
    <w:p>
      <w:pPr>
        <w:pStyle w:val="27"/>
        <w:numPr>
          <w:ilvl w:val="0"/>
          <w:numId w:val="18"/>
        </w:numPr>
        <w:autoSpaceDE w:val="0"/>
        <w:autoSpaceDN w:val="0"/>
        <w:adjustRightInd w:val="0"/>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本声明函必须提供且内容不得擅自删改，否则视为响应无效。</w:t>
      </w:r>
    </w:p>
    <w:p>
      <w:pPr>
        <w:pStyle w:val="27"/>
        <w:numPr>
          <w:ilvl w:val="0"/>
          <w:numId w:val="18"/>
        </w:numPr>
        <w:snapToGrid w:val="0"/>
        <w:spacing w:line="360" w:lineRule="auto"/>
        <w:ind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本声明函如有虚假或与事实不符的，作无效报价处理。</w:t>
      </w:r>
    </w:p>
    <w:p>
      <w:pPr>
        <w:pStyle w:val="27"/>
        <w:wordWrap w:val="0"/>
        <w:spacing w:line="360" w:lineRule="auto"/>
        <w:ind w:left="1200" w:right="218" w:firstLine="0" w:firstLineChars="0"/>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pStyle w:val="27"/>
        <w:spacing w:line="360" w:lineRule="auto"/>
        <w:ind w:left="1200" w:right="210" w:firstLine="0" w:firstLineChars="0"/>
        <w:jc w:val="right"/>
        <w:rPr>
          <w:rFonts w:asciiTheme="minorEastAsia" w:hAnsiTheme="minorEastAsia" w:cstheme="minorEastAsia"/>
          <w:color w:val="000000" w:themeColor="text1"/>
          <w:szCs w:val="21"/>
          <w:u w:val="single"/>
          <w14:textFill>
            <w14:solidFill>
              <w14:schemeClr w14:val="tx1"/>
            </w14:solidFill>
          </w14:textFill>
        </w:rPr>
      </w:pPr>
    </w:p>
    <w:p>
      <w:pPr>
        <w:wordWrap w:val="0"/>
        <w:spacing w:line="360" w:lineRule="auto"/>
        <w:ind w:left="840"/>
        <w:jc w:val="right"/>
        <w:rPr>
          <w:rFonts w:asciiTheme="minorEastAsia" w:hAnsiTheme="minorEastAsia" w:cstheme="minorEastAsia"/>
          <w:bCs/>
          <w:color w:val="000000" w:themeColor="text1"/>
          <w:szCs w:val="20"/>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sectPr>
      <w:pgSz w:w="12240" w:h="15840"/>
      <w:pgMar w:top="1440" w:right="1800" w:bottom="1440" w:left="1800" w:header="720" w:footer="72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6B6B92"/>
    <w:multiLevelType w:val="singleLevel"/>
    <w:tmpl w:val="AE6B6B92"/>
    <w:lvl w:ilvl="0" w:tentative="0">
      <w:start w:val="1"/>
      <w:numFmt w:val="chineseCounting"/>
      <w:suff w:val="nothing"/>
      <w:lvlText w:val="（%1）"/>
      <w:lvlJc w:val="left"/>
      <w:pPr>
        <w:ind w:left="253" w:firstLine="420"/>
      </w:pPr>
      <w:rPr>
        <w:rFonts w:hint="eastAsia"/>
      </w:rPr>
    </w:lvl>
  </w:abstractNum>
  <w:abstractNum w:abstractNumId="1">
    <w:nsid w:val="C21AE412"/>
    <w:multiLevelType w:val="singleLevel"/>
    <w:tmpl w:val="C21AE412"/>
    <w:lvl w:ilvl="0" w:tentative="0">
      <w:start w:val="1"/>
      <w:numFmt w:val="chineseCounting"/>
      <w:suff w:val="nothing"/>
      <w:lvlText w:val="%1、"/>
      <w:lvlJc w:val="left"/>
      <w:pPr>
        <w:ind w:left="0" w:firstLine="420"/>
      </w:pPr>
      <w:rPr>
        <w:rFonts w:hint="eastAsia"/>
      </w:rPr>
    </w:lvl>
  </w:abstractNum>
  <w:abstractNum w:abstractNumId="2">
    <w:nsid w:val="D7010DB7"/>
    <w:multiLevelType w:val="singleLevel"/>
    <w:tmpl w:val="D7010DB7"/>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3">
    <w:nsid w:val="F09CFC33"/>
    <w:multiLevelType w:val="singleLevel"/>
    <w:tmpl w:val="F09CFC33"/>
    <w:lvl w:ilvl="0" w:tentative="0">
      <w:start w:val="1"/>
      <w:numFmt w:val="decimal"/>
      <w:lvlText w:val="(%1)"/>
      <w:lvlJc w:val="left"/>
      <w:pPr>
        <w:ind w:left="425" w:hanging="425"/>
      </w:pPr>
      <w:rPr>
        <w:rFonts w:hint="default" w:ascii="宋体" w:hAnsi="宋体" w:eastAsia="宋体" w:cs="宋体"/>
        <w:sz w:val="21"/>
        <w:szCs w:val="21"/>
      </w:rPr>
    </w:lvl>
  </w:abstractNum>
  <w:abstractNum w:abstractNumId="4">
    <w:nsid w:val="F47A0796"/>
    <w:multiLevelType w:val="singleLevel"/>
    <w:tmpl w:val="F47A0796"/>
    <w:lvl w:ilvl="0" w:tentative="0">
      <w:start w:val="1"/>
      <w:numFmt w:val="chineseCounting"/>
      <w:suff w:val="nothing"/>
      <w:lvlText w:val="（%1）"/>
      <w:lvlJc w:val="left"/>
      <w:pPr>
        <w:ind w:left="0" w:firstLine="420"/>
      </w:pPr>
      <w:rPr>
        <w:rFonts w:hint="eastAsia"/>
        <w:b/>
        <w:bCs/>
      </w:rPr>
    </w:lvl>
  </w:abstractNum>
  <w:abstractNum w:abstractNumId="5">
    <w:nsid w:val="F4E25012"/>
    <w:multiLevelType w:val="multilevel"/>
    <w:tmpl w:val="F4E25012"/>
    <w:lvl w:ilvl="0" w:tentative="0">
      <w:start w:val="1"/>
      <w:numFmt w:val="chineseCountingThousand"/>
      <w:lvlText w:val="%1、"/>
      <w:lvlJc w:val="left"/>
      <w:pPr>
        <w:tabs>
          <w:tab w:val="left" w:pos="420"/>
        </w:tabs>
        <w:ind w:left="420" w:hanging="420"/>
      </w:pPr>
      <w:rPr>
        <w:rFonts w:hint="eastAsia" w:ascii="宋体" w:hAnsi="宋体" w:eastAsia="宋体" w:cs="宋体"/>
        <w:b/>
        <w:sz w:val="21"/>
        <w:szCs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10"/>
    <w:multiLevelType w:val="multilevel"/>
    <w:tmpl w:val="00000010"/>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宋体" w:hAnsi="宋体" w:eastAsia="宋体" w:cs="Times New Roman"/>
        <w:b w:val="0"/>
        <w:dstrike w:val="0"/>
      </w:rPr>
    </w:lvl>
    <w:lvl w:ilvl="2" w:tentative="0">
      <w:start w:val="1"/>
      <w:numFmt w:val="decimal"/>
      <w:lvlText w:val="%1.%2.%3"/>
      <w:lvlJc w:val="left"/>
      <w:pPr>
        <w:tabs>
          <w:tab w:val="left" w:pos="1703"/>
        </w:tabs>
        <w:ind w:left="1703" w:hanging="851"/>
      </w:pPr>
      <w:rPr>
        <w:rFonts w:hint="default" w:ascii="宋体" w:hAnsi="宋体" w:eastAsia="宋体" w:cs="Times New Roman"/>
        <w:b w:val="0"/>
        <w:color w:val="auto"/>
        <w:sz w:val="21"/>
        <w:szCs w:val="21"/>
      </w:rPr>
    </w:lvl>
    <w:lvl w:ilvl="3" w:tentative="0">
      <w:start w:val="1"/>
      <w:numFmt w:val="decimal"/>
      <w:pStyle w:val="36"/>
      <w:lvlText w:val="%1.%2.%3.%4"/>
      <w:lvlJc w:val="left"/>
      <w:pPr>
        <w:tabs>
          <w:tab w:val="left" w:pos="851"/>
        </w:tabs>
        <w:ind w:left="851" w:hanging="851"/>
      </w:pPr>
      <w:rPr>
        <w:rFonts w:hint="eastAsia"/>
        <w:dstrike w:val="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0304B097"/>
    <w:multiLevelType w:val="singleLevel"/>
    <w:tmpl w:val="0304B097"/>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8">
    <w:nsid w:val="1579B33C"/>
    <w:multiLevelType w:val="singleLevel"/>
    <w:tmpl w:val="1579B33C"/>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9">
    <w:nsid w:val="1C0F739A"/>
    <w:multiLevelType w:val="singleLevel"/>
    <w:tmpl w:val="1C0F739A"/>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10">
    <w:nsid w:val="288C32E4"/>
    <w:multiLevelType w:val="multilevel"/>
    <w:tmpl w:val="288C32E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2F0E7B2B"/>
    <w:multiLevelType w:val="multilevel"/>
    <w:tmpl w:val="2F0E7B2B"/>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2">
    <w:nsid w:val="4CCCCDC4"/>
    <w:multiLevelType w:val="singleLevel"/>
    <w:tmpl w:val="4CCCCDC4"/>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13">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4">
    <w:nsid w:val="503C550D"/>
    <w:multiLevelType w:val="multilevel"/>
    <w:tmpl w:val="503C550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5">
    <w:nsid w:val="590DFEAE"/>
    <w:multiLevelType w:val="singleLevel"/>
    <w:tmpl w:val="590DFEAE"/>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16">
    <w:nsid w:val="63784A10"/>
    <w:multiLevelType w:val="multilevel"/>
    <w:tmpl w:val="63784A10"/>
    <w:lvl w:ilvl="0" w:tentative="0">
      <w:start w:val="1"/>
      <w:numFmt w:val="chineseCountingThousand"/>
      <w:suff w:val="nothing"/>
      <w:lvlText w:val="%1、"/>
      <w:lvlJc w:val="left"/>
      <w:pPr>
        <w:ind w:left="420" w:hanging="420"/>
      </w:pPr>
      <w:rPr>
        <w:rFonts w:hint="eastAsia"/>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6E19083E"/>
    <w:multiLevelType w:val="multilevel"/>
    <w:tmpl w:val="6E19083E"/>
    <w:lvl w:ilvl="0" w:tentative="0">
      <w:start w:val="1"/>
      <w:numFmt w:val="decimal"/>
      <w:lvlText w:val="%1."/>
      <w:lvlJc w:val="left"/>
      <w:pPr>
        <w:ind w:left="420" w:hanging="420"/>
      </w:pPr>
      <w:rPr>
        <w:rFonts w:hint="default"/>
        <w:sz w:val="21"/>
        <w:szCs w:val="21"/>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16"/>
  </w:num>
  <w:num w:numId="3">
    <w:abstractNumId w:val="4"/>
  </w:num>
  <w:num w:numId="4">
    <w:abstractNumId w:val="12"/>
  </w:num>
  <w:num w:numId="5">
    <w:abstractNumId w:val="2"/>
  </w:num>
  <w:num w:numId="6">
    <w:abstractNumId w:val="7"/>
  </w:num>
  <w:num w:numId="7">
    <w:abstractNumId w:val="8"/>
  </w:num>
  <w:num w:numId="8">
    <w:abstractNumId w:val="15"/>
  </w:num>
  <w:num w:numId="9">
    <w:abstractNumId w:val="9"/>
  </w:num>
  <w:num w:numId="10">
    <w:abstractNumId w:val="3"/>
  </w:num>
  <w:num w:numId="11">
    <w:abstractNumId w:val="10"/>
  </w:num>
  <w:num w:numId="12">
    <w:abstractNumId w:val="5"/>
  </w:num>
  <w:num w:numId="13">
    <w:abstractNumId w:val="0"/>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11"/>
  </w:num>
  <w:num w:numId="17">
    <w:abstractNumId w:val="1"/>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ZiZGNiNTc0NmRiMmU3ZDcwMzg3YTM3ZDVkOGRjOGMifQ=="/>
  </w:docVars>
  <w:rsids>
    <w:rsidRoot w:val="00603670"/>
    <w:rsid w:val="0000298A"/>
    <w:rsid w:val="00011A82"/>
    <w:rsid w:val="000163AB"/>
    <w:rsid w:val="00027036"/>
    <w:rsid w:val="00042B6B"/>
    <w:rsid w:val="000431C9"/>
    <w:rsid w:val="00045E6F"/>
    <w:rsid w:val="00050534"/>
    <w:rsid w:val="00053978"/>
    <w:rsid w:val="000565F1"/>
    <w:rsid w:val="0006472A"/>
    <w:rsid w:val="00072D57"/>
    <w:rsid w:val="000749D9"/>
    <w:rsid w:val="00075391"/>
    <w:rsid w:val="00082CDE"/>
    <w:rsid w:val="00083BE6"/>
    <w:rsid w:val="00086BDC"/>
    <w:rsid w:val="00094FAA"/>
    <w:rsid w:val="000B040C"/>
    <w:rsid w:val="000B3F59"/>
    <w:rsid w:val="000C5ABD"/>
    <w:rsid w:val="000E1199"/>
    <w:rsid w:val="000E4C42"/>
    <w:rsid w:val="000F1249"/>
    <w:rsid w:val="000F423D"/>
    <w:rsid w:val="00107E2D"/>
    <w:rsid w:val="0011556A"/>
    <w:rsid w:val="00116EDF"/>
    <w:rsid w:val="00123BEA"/>
    <w:rsid w:val="001304CF"/>
    <w:rsid w:val="00140AD2"/>
    <w:rsid w:val="00145AE8"/>
    <w:rsid w:val="0016171E"/>
    <w:rsid w:val="00175ECB"/>
    <w:rsid w:val="001775AE"/>
    <w:rsid w:val="00182BE9"/>
    <w:rsid w:val="001863E0"/>
    <w:rsid w:val="001A0DDF"/>
    <w:rsid w:val="001A769F"/>
    <w:rsid w:val="001B0A70"/>
    <w:rsid w:val="001B74DB"/>
    <w:rsid w:val="001C071E"/>
    <w:rsid w:val="001C3D61"/>
    <w:rsid w:val="001C43C7"/>
    <w:rsid w:val="001C453B"/>
    <w:rsid w:val="001C6BE3"/>
    <w:rsid w:val="001D1026"/>
    <w:rsid w:val="001D33E6"/>
    <w:rsid w:val="001D3E3B"/>
    <w:rsid w:val="001E48AC"/>
    <w:rsid w:val="001E5C33"/>
    <w:rsid w:val="001F3F8C"/>
    <w:rsid w:val="002056C6"/>
    <w:rsid w:val="00220312"/>
    <w:rsid w:val="00237088"/>
    <w:rsid w:val="002379C7"/>
    <w:rsid w:val="0024390D"/>
    <w:rsid w:val="00251790"/>
    <w:rsid w:val="00253352"/>
    <w:rsid w:val="00262DAA"/>
    <w:rsid w:val="0026399A"/>
    <w:rsid w:val="002674A4"/>
    <w:rsid w:val="00270E13"/>
    <w:rsid w:val="00274FF8"/>
    <w:rsid w:val="00283853"/>
    <w:rsid w:val="00283A1B"/>
    <w:rsid w:val="002920CA"/>
    <w:rsid w:val="002A1D82"/>
    <w:rsid w:val="002A1FE5"/>
    <w:rsid w:val="002A50F6"/>
    <w:rsid w:val="002B2992"/>
    <w:rsid w:val="002B4DF8"/>
    <w:rsid w:val="002B6EEB"/>
    <w:rsid w:val="002C7CC8"/>
    <w:rsid w:val="002D4EBD"/>
    <w:rsid w:val="002D5B83"/>
    <w:rsid w:val="002E0263"/>
    <w:rsid w:val="002E61D3"/>
    <w:rsid w:val="002E66A9"/>
    <w:rsid w:val="002F352E"/>
    <w:rsid w:val="002F4A33"/>
    <w:rsid w:val="002F5E67"/>
    <w:rsid w:val="0031356B"/>
    <w:rsid w:val="00321D88"/>
    <w:rsid w:val="00327C22"/>
    <w:rsid w:val="00332AF3"/>
    <w:rsid w:val="003336BA"/>
    <w:rsid w:val="00336F07"/>
    <w:rsid w:val="00342E19"/>
    <w:rsid w:val="00355F34"/>
    <w:rsid w:val="00361074"/>
    <w:rsid w:val="00366797"/>
    <w:rsid w:val="003818F2"/>
    <w:rsid w:val="00383905"/>
    <w:rsid w:val="00384761"/>
    <w:rsid w:val="00392847"/>
    <w:rsid w:val="00393D24"/>
    <w:rsid w:val="00394537"/>
    <w:rsid w:val="00394CBD"/>
    <w:rsid w:val="00395A38"/>
    <w:rsid w:val="00395A64"/>
    <w:rsid w:val="00395C9C"/>
    <w:rsid w:val="00396F62"/>
    <w:rsid w:val="003B0A20"/>
    <w:rsid w:val="003B48C0"/>
    <w:rsid w:val="003B5D20"/>
    <w:rsid w:val="003C419C"/>
    <w:rsid w:val="003D2DE8"/>
    <w:rsid w:val="003D3C42"/>
    <w:rsid w:val="003E273C"/>
    <w:rsid w:val="003F38D5"/>
    <w:rsid w:val="00403AB2"/>
    <w:rsid w:val="00412749"/>
    <w:rsid w:val="004211A3"/>
    <w:rsid w:val="00425F66"/>
    <w:rsid w:val="00431BF0"/>
    <w:rsid w:val="00431DBE"/>
    <w:rsid w:val="00433B9F"/>
    <w:rsid w:val="00456ED5"/>
    <w:rsid w:val="0045760A"/>
    <w:rsid w:val="004610D7"/>
    <w:rsid w:val="004613B9"/>
    <w:rsid w:val="0047081D"/>
    <w:rsid w:val="004765F8"/>
    <w:rsid w:val="00476745"/>
    <w:rsid w:val="00476899"/>
    <w:rsid w:val="00491492"/>
    <w:rsid w:val="00492B35"/>
    <w:rsid w:val="00493336"/>
    <w:rsid w:val="00494623"/>
    <w:rsid w:val="00496883"/>
    <w:rsid w:val="004A36A8"/>
    <w:rsid w:val="004A6A68"/>
    <w:rsid w:val="004B4136"/>
    <w:rsid w:val="004B57DA"/>
    <w:rsid w:val="004B7182"/>
    <w:rsid w:val="004D2165"/>
    <w:rsid w:val="004D2A3E"/>
    <w:rsid w:val="004D491B"/>
    <w:rsid w:val="004D6D34"/>
    <w:rsid w:val="004E3790"/>
    <w:rsid w:val="004F1479"/>
    <w:rsid w:val="00501334"/>
    <w:rsid w:val="00501F2E"/>
    <w:rsid w:val="00521996"/>
    <w:rsid w:val="00522280"/>
    <w:rsid w:val="005316BD"/>
    <w:rsid w:val="00533B92"/>
    <w:rsid w:val="00534F6E"/>
    <w:rsid w:val="00535EEC"/>
    <w:rsid w:val="005456E9"/>
    <w:rsid w:val="005462F7"/>
    <w:rsid w:val="005521A5"/>
    <w:rsid w:val="00555B34"/>
    <w:rsid w:val="00565168"/>
    <w:rsid w:val="005656FE"/>
    <w:rsid w:val="005678E8"/>
    <w:rsid w:val="00585A83"/>
    <w:rsid w:val="00591BC0"/>
    <w:rsid w:val="00593C7A"/>
    <w:rsid w:val="005B1D70"/>
    <w:rsid w:val="005B3711"/>
    <w:rsid w:val="005C064C"/>
    <w:rsid w:val="005C3A40"/>
    <w:rsid w:val="005D0B0F"/>
    <w:rsid w:val="005D72B7"/>
    <w:rsid w:val="005D796C"/>
    <w:rsid w:val="005E4015"/>
    <w:rsid w:val="005E748F"/>
    <w:rsid w:val="005F00ED"/>
    <w:rsid w:val="005F4F7A"/>
    <w:rsid w:val="005F6D53"/>
    <w:rsid w:val="00603670"/>
    <w:rsid w:val="006037D5"/>
    <w:rsid w:val="00616532"/>
    <w:rsid w:val="00616AE3"/>
    <w:rsid w:val="00620F2C"/>
    <w:rsid w:val="00627DD4"/>
    <w:rsid w:val="00627F1C"/>
    <w:rsid w:val="0064715C"/>
    <w:rsid w:val="0066018A"/>
    <w:rsid w:val="006628FF"/>
    <w:rsid w:val="00671FF2"/>
    <w:rsid w:val="00673379"/>
    <w:rsid w:val="006779F7"/>
    <w:rsid w:val="00680244"/>
    <w:rsid w:val="006817FD"/>
    <w:rsid w:val="006923B3"/>
    <w:rsid w:val="006A61C8"/>
    <w:rsid w:val="006B07B5"/>
    <w:rsid w:val="006B1BFB"/>
    <w:rsid w:val="006B764E"/>
    <w:rsid w:val="006D213E"/>
    <w:rsid w:val="006D5FC6"/>
    <w:rsid w:val="006D7E04"/>
    <w:rsid w:val="00700C51"/>
    <w:rsid w:val="00704006"/>
    <w:rsid w:val="00704031"/>
    <w:rsid w:val="007056A1"/>
    <w:rsid w:val="007059E9"/>
    <w:rsid w:val="0071097B"/>
    <w:rsid w:val="007128C2"/>
    <w:rsid w:val="00713BF5"/>
    <w:rsid w:val="00715D44"/>
    <w:rsid w:val="00717FA5"/>
    <w:rsid w:val="007214B0"/>
    <w:rsid w:val="00721994"/>
    <w:rsid w:val="00724E13"/>
    <w:rsid w:val="00726EDF"/>
    <w:rsid w:val="007342B9"/>
    <w:rsid w:val="00741354"/>
    <w:rsid w:val="007440B0"/>
    <w:rsid w:val="007470DA"/>
    <w:rsid w:val="00761C9A"/>
    <w:rsid w:val="00762179"/>
    <w:rsid w:val="00766BD6"/>
    <w:rsid w:val="00772ED2"/>
    <w:rsid w:val="00781170"/>
    <w:rsid w:val="00781957"/>
    <w:rsid w:val="00783B9B"/>
    <w:rsid w:val="00786D28"/>
    <w:rsid w:val="00793437"/>
    <w:rsid w:val="0079465B"/>
    <w:rsid w:val="007B645B"/>
    <w:rsid w:val="007C5792"/>
    <w:rsid w:val="007E26FA"/>
    <w:rsid w:val="007E3EDE"/>
    <w:rsid w:val="007F26F4"/>
    <w:rsid w:val="007F6B25"/>
    <w:rsid w:val="0080065E"/>
    <w:rsid w:val="008034FC"/>
    <w:rsid w:val="00803518"/>
    <w:rsid w:val="00811E08"/>
    <w:rsid w:val="00812470"/>
    <w:rsid w:val="008124C1"/>
    <w:rsid w:val="0082229E"/>
    <w:rsid w:val="00825FF0"/>
    <w:rsid w:val="00830919"/>
    <w:rsid w:val="00847407"/>
    <w:rsid w:val="008537C7"/>
    <w:rsid w:val="008556E4"/>
    <w:rsid w:val="00856F2F"/>
    <w:rsid w:val="00873FC7"/>
    <w:rsid w:val="00875023"/>
    <w:rsid w:val="00881257"/>
    <w:rsid w:val="00882269"/>
    <w:rsid w:val="008A5110"/>
    <w:rsid w:val="008A7093"/>
    <w:rsid w:val="008A75A4"/>
    <w:rsid w:val="008B7BAC"/>
    <w:rsid w:val="008B7C71"/>
    <w:rsid w:val="008C2AB1"/>
    <w:rsid w:val="008C3917"/>
    <w:rsid w:val="008C7245"/>
    <w:rsid w:val="008D0A5A"/>
    <w:rsid w:val="008E3CD8"/>
    <w:rsid w:val="008E49E5"/>
    <w:rsid w:val="008E6EDC"/>
    <w:rsid w:val="008E7007"/>
    <w:rsid w:val="008F3BD8"/>
    <w:rsid w:val="008F3E0F"/>
    <w:rsid w:val="008F3F79"/>
    <w:rsid w:val="008F480D"/>
    <w:rsid w:val="00904D13"/>
    <w:rsid w:val="009227C3"/>
    <w:rsid w:val="00923354"/>
    <w:rsid w:val="0092421F"/>
    <w:rsid w:val="00932E40"/>
    <w:rsid w:val="009330F3"/>
    <w:rsid w:val="00937F4D"/>
    <w:rsid w:val="00940CEB"/>
    <w:rsid w:val="00945388"/>
    <w:rsid w:val="00945FC8"/>
    <w:rsid w:val="0094675A"/>
    <w:rsid w:val="009500CB"/>
    <w:rsid w:val="00950D89"/>
    <w:rsid w:val="00966193"/>
    <w:rsid w:val="009666D4"/>
    <w:rsid w:val="00966E16"/>
    <w:rsid w:val="00977403"/>
    <w:rsid w:val="00981FCF"/>
    <w:rsid w:val="009877F1"/>
    <w:rsid w:val="00990253"/>
    <w:rsid w:val="00991F41"/>
    <w:rsid w:val="009A21C0"/>
    <w:rsid w:val="009A4BF3"/>
    <w:rsid w:val="009B4D41"/>
    <w:rsid w:val="009C2904"/>
    <w:rsid w:val="009C2D78"/>
    <w:rsid w:val="009C51EA"/>
    <w:rsid w:val="009D0859"/>
    <w:rsid w:val="009D4FC9"/>
    <w:rsid w:val="009D50D8"/>
    <w:rsid w:val="009E5075"/>
    <w:rsid w:val="009E5F7B"/>
    <w:rsid w:val="009F22AA"/>
    <w:rsid w:val="00A042E3"/>
    <w:rsid w:val="00A0472A"/>
    <w:rsid w:val="00A13934"/>
    <w:rsid w:val="00A16824"/>
    <w:rsid w:val="00A16965"/>
    <w:rsid w:val="00A16C1A"/>
    <w:rsid w:val="00A202CE"/>
    <w:rsid w:val="00A258AD"/>
    <w:rsid w:val="00A30C64"/>
    <w:rsid w:val="00A35A63"/>
    <w:rsid w:val="00A444BF"/>
    <w:rsid w:val="00A446B1"/>
    <w:rsid w:val="00A45A6D"/>
    <w:rsid w:val="00A765D9"/>
    <w:rsid w:val="00A82740"/>
    <w:rsid w:val="00AA0A2B"/>
    <w:rsid w:val="00AA2719"/>
    <w:rsid w:val="00AA4A01"/>
    <w:rsid w:val="00AB6105"/>
    <w:rsid w:val="00AC2AF9"/>
    <w:rsid w:val="00AD08E8"/>
    <w:rsid w:val="00AD3C05"/>
    <w:rsid w:val="00AD6219"/>
    <w:rsid w:val="00AE270A"/>
    <w:rsid w:val="00AE2F48"/>
    <w:rsid w:val="00AE6B80"/>
    <w:rsid w:val="00AF1D6C"/>
    <w:rsid w:val="00AF4372"/>
    <w:rsid w:val="00B0099A"/>
    <w:rsid w:val="00B06AE0"/>
    <w:rsid w:val="00B155E3"/>
    <w:rsid w:val="00B16927"/>
    <w:rsid w:val="00B36CF5"/>
    <w:rsid w:val="00B4687C"/>
    <w:rsid w:val="00B5406D"/>
    <w:rsid w:val="00B54D59"/>
    <w:rsid w:val="00B617FE"/>
    <w:rsid w:val="00B80C5B"/>
    <w:rsid w:val="00B8359C"/>
    <w:rsid w:val="00B85FC9"/>
    <w:rsid w:val="00B9732A"/>
    <w:rsid w:val="00BA1245"/>
    <w:rsid w:val="00BA578C"/>
    <w:rsid w:val="00BB3D04"/>
    <w:rsid w:val="00BB45E3"/>
    <w:rsid w:val="00BB566D"/>
    <w:rsid w:val="00BB5881"/>
    <w:rsid w:val="00BB67EB"/>
    <w:rsid w:val="00BC4505"/>
    <w:rsid w:val="00BC697C"/>
    <w:rsid w:val="00BD3301"/>
    <w:rsid w:val="00BD4CD9"/>
    <w:rsid w:val="00BD6AB4"/>
    <w:rsid w:val="00BF04FE"/>
    <w:rsid w:val="00BF568B"/>
    <w:rsid w:val="00C00098"/>
    <w:rsid w:val="00C02598"/>
    <w:rsid w:val="00C2026A"/>
    <w:rsid w:val="00C21B82"/>
    <w:rsid w:val="00C31252"/>
    <w:rsid w:val="00C368FE"/>
    <w:rsid w:val="00C40805"/>
    <w:rsid w:val="00C455DD"/>
    <w:rsid w:val="00C476C2"/>
    <w:rsid w:val="00C541C5"/>
    <w:rsid w:val="00C56A1C"/>
    <w:rsid w:val="00C65789"/>
    <w:rsid w:val="00C668B0"/>
    <w:rsid w:val="00C776A4"/>
    <w:rsid w:val="00C83E6E"/>
    <w:rsid w:val="00C90DA1"/>
    <w:rsid w:val="00CA090A"/>
    <w:rsid w:val="00CA0CCB"/>
    <w:rsid w:val="00CA0FD7"/>
    <w:rsid w:val="00CC17D4"/>
    <w:rsid w:val="00CD143C"/>
    <w:rsid w:val="00CD57F2"/>
    <w:rsid w:val="00CE0497"/>
    <w:rsid w:val="00CE71FC"/>
    <w:rsid w:val="00CF2666"/>
    <w:rsid w:val="00CF59AA"/>
    <w:rsid w:val="00D002F2"/>
    <w:rsid w:val="00D015A2"/>
    <w:rsid w:val="00D10E67"/>
    <w:rsid w:val="00D2020D"/>
    <w:rsid w:val="00D221F4"/>
    <w:rsid w:val="00D24487"/>
    <w:rsid w:val="00D32910"/>
    <w:rsid w:val="00D4308A"/>
    <w:rsid w:val="00D467C0"/>
    <w:rsid w:val="00D533FC"/>
    <w:rsid w:val="00D61271"/>
    <w:rsid w:val="00D638E3"/>
    <w:rsid w:val="00D704B4"/>
    <w:rsid w:val="00D7179D"/>
    <w:rsid w:val="00D71805"/>
    <w:rsid w:val="00D756D0"/>
    <w:rsid w:val="00D8277B"/>
    <w:rsid w:val="00D82EF0"/>
    <w:rsid w:val="00D834B2"/>
    <w:rsid w:val="00D9501D"/>
    <w:rsid w:val="00D953AB"/>
    <w:rsid w:val="00D95437"/>
    <w:rsid w:val="00D95FC8"/>
    <w:rsid w:val="00D96CBE"/>
    <w:rsid w:val="00DA47E2"/>
    <w:rsid w:val="00DA5447"/>
    <w:rsid w:val="00DA677A"/>
    <w:rsid w:val="00DC2C1D"/>
    <w:rsid w:val="00DD1F0C"/>
    <w:rsid w:val="00DD2C2A"/>
    <w:rsid w:val="00DD3557"/>
    <w:rsid w:val="00DD4221"/>
    <w:rsid w:val="00E01F9F"/>
    <w:rsid w:val="00E06F98"/>
    <w:rsid w:val="00E07AB9"/>
    <w:rsid w:val="00E127FA"/>
    <w:rsid w:val="00E255DD"/>
    <w:rsid w:val="00E300EB"/>
    <w:rsid w:val="00E33E2A"/>
    <w:rsid w:val="00E3421A"/>
    <w:rsid w:val="00E34EB3"/>
    <w:rsid w:val="00E4552F"/>
    <w:rsid w:val="00E456ED"/>
    <w:rsid w:val="00E45C66"/>
    <w:rsid w:val="00E47E80"/>
    <w:rsid w:val="00E52B0C"/>
    <w:rsid w:val="00E63355"/>
    <w:rsid w:val="00E70313"/>
    <w:rsid w:val="00E81F84"/>
    <w:rsid w:val="00E84F37"/>
    <w:rsid w:val="00E94445"/>
    <w:rsid w:val="00E96562"/>
    <w:rsid w:val="00EA08B8"/>
    <w:rsid w:val="00EA1D68"/>
    <w:rsid w:val="00EA6C46"/>
    <w:rsid w:val="00EB3E5D"/>
    <w:rsid w:val="00EC1C56"/>
    <w:rsid w:val="00EC6A4D"/>
    <w:rsid w:val="00EC6B71"/>
    <w:rsid w:val="00ED5181"/>
    <w:rsid w:val="00EE203B"/>
    <w:rsid w:val="00EE22B8"/>
    <w:rsid w:val="00EE6332"/>
    <w:rsid w:val="00EE7439"/>
    <w:rsid w:val="00EF1B95"/>
    <w:rsid w:val="00EF3265"/>
    <w:rsid w:val="00EF5F21"/>
    <w:rsid w:val="00F124EF"/>
    <w:rsid w:val="00F149FC"/>
    <w:rsid w:val="00F14A8B"/>
    <w:rsid w:val="00F15985"/>
    <w:rsid w:val="00F1651A"/>
    <w:rsid w:val="00F16A55"/>
    <w:rsid w:val="00F20BBF"/>
    <w:rsid w:val="00F21AC8"/>
    <w:rsid w:val="00F21DD8"/>
    <w:rsid w:val="00F2484C"/>
    <w:rsid w:val="00F264F6"/>
    <w:rsid w:val="00F31DBA"/>
    <w:rsid w:val="00F31E19"/>
    <w:rsid w:val="00F4747C"/>
    <w:rsid w:val="00F5165D"/>
    <w:rsid w:val="00F523A2"/>
    <w:rsid w:val="00F61DA9"/>
    <w:rsid w:val="00F67ABD"/>
    <w:rsid w:val="00F705B7"/>
    <w:rsid w:val="00F71BEE"/>
    <w:rsid w:val="00F74919"/>
    <w:rsid w:val="00F965CD"/>
    <w:rsid w:val="00F96A5F"/>
    <w:rsid w:val="00FC353C"/>
    <w:rsid w:val="00FD12C6"/>
    <w:rsid w:val="00FD56B9"/>
    <w:rsid w:val="00FE1170"/>
    <w:rsid w:val="00FE3A2F"/>
    <w:rsid w:val="00FF04E2"/>
    <w:rsid w:val="00FF424F"/>
    <w:rsid w:val="015E0701"/>
    <w:rsid w:val="016A6C79"/>
    <w:rsid w:val="02181129"/>
    <w:rsid w:val="02CE4282"/>
    <w:rsid w:val="02E42FCA"/>
    <w:rsid w:val="04375C44"/>
    <w:rsid w:val="052B2EF5"/>
    <w:rsid w:val="05FB2573"/>
    <w:rsid w:val="067C1BC2"/>
    <w:rsid w:val="06BA455D"/>
    <w:rsid w:val="07560F7E"/>
    <w:rsid w:val="08380D9F"/>
    <w:rsid w:val="089E1BE4"/>
    <w:rsid w:val="08E32A0F"/>
    <w:rsid w:val="090D12BC"/>
    <w:rsid w:val="091E76F5"/>
    <w:rsid w:val="0936476E"/>
    <w:rsid w:val="09476ADF"/>
    <w:rsid w:val="098413F8"/>
    <w:rsid w:val="09ED2957"/>
    <w:rsid w:val="0A6F7AD4"/>
    <w:rsid w:val="0B430904"/>
    <w:rsid w:val="0B53226D"/>
    <w:rsid w:val="0B571438"/>
    <w:rsid w:val="0C72525B"/>
    <w:rsid w:val="0CBE46E5"/>
    <w:rsid w:val="0D040750"/>
    <w:rsid w:val="0EB2188B"/>
    <w:rsid w:val="0EBD1039"/>
    <w:rsid w:val="0ED75C3A"/>
    <w:rsid w:val="0EDD0C64"/>
    <w:rsid w:val="10864BAF"/>
    <w:rsid w:val="10CA7EC9"/>
    <w:rsid w:val="10ED1E00"/>
    <w:rsid w:val="10F548A0"/>
    <w:rsid w:val="11075A69"/>
    <w:rsid w:val="1110351D"/>
    <w:rsid w:val="112B19A0"/>
    <w:rsid w:val="114233DA"/>
    <w:rsid w:val="11493F48"/>
    <w:rsid w:val="115A3E79"/>
    <w:rsid w:val="11B60016"/>
    <w:rsid w:val="12AF2DD9"/>
    <w:rsid w:val="12B02B5B"/>
    <w:rsid w:val="12EA7C02"/>
    <w:rsid w:val="12FB03D7"/>
    <w:rsid w:val="13F34567"/>
    <w:rsid w:val="14347E1A"/>
    <w:rsid w:val="14EF039A"/>
    <w:rsid w:val="159C2AA3"/>
    <w:rsid w:val="15A13F9D"/>
    <w:rsid w:val="15AE0D8B"/>
    <w:rsid w:val="15CF03BA"/>
    <w:rsid w:val="15F32D11"/>
    <w:rsid w:val="16310E1E"/>
    <w:rsid w:val="169B6010"/>
    <w:rsid w:val="16AD27BB"/>
    <w:rsid w:val="16AE27DD"/>
    <w:rsid w:val="16C15797"/>
    <w:rsid w:val="17276DB1"/>
    <w:rsid w:val="17340AE3"/>
    <w:rsid w:val="18017181"/>
    <w:rsid w:val="181A5423"/>
    <w:rsid w:val="1834418E"/>
    <w:rsid w:val="183C1E47"/>
    <w:rsid w:val="188B647F"/>
    <w:rsid w:val="19925F08"/>
    <w:rsid w:val="19EC2827"/>
    <w:rsid w:val="1A0A1E61"/>
    <w:rsid w:val="1A396D97"/>
    <w:rsid w:val="1B1A5A9B"/>
    <w:rsid w:val="1B1F150E"/>
    <w:rsid w:val="1B2C3661"/>
    <w:rsid w:val="1BE16AA3"/>
    <w:rsid w:val="1BE2748B"/>
    <w:rsid w:val="1C13053F"/>
    <w:rsid w:val="1C3A66DC"/>
    <w:rsid w:val="1D1055B3"/>
    <w:rsid w:val="1D58705A"/>
    <w:rsid w:val="1E670328"/>
    <w:rsid w:val="1EA31075"/>
    <w:rsid w:val="1EB24774"/>
    <w:rsid w:val="1ED136BD"/>
    <w:rsid w:val="1F143A1A"/>
    <w:rsid w:val="1F790D8E"/>
    <w:rsid w:val="1F92627F"/>
    <w:rsid w:val="200902A2"/>
    <w:rsid w:val="2018233B"/>
    <w:rsid w:val="202C4BA0"/>
    <w:rsid w:val="2031368A"/>
    <w:rsid w:val="20F37AF2"/>
    <w:rsid w:val="21037791"/>
    <w:rsid w:val="21D175BF"/>
    <w:rsid w:val="22F000F4"/>
    <w:rsid w:val="23753379"/>
    <w:rsid w:val="23A12EF4"/>
    <w:rsid w:val="240C5608"/>
    <w:rsid w:val="242E5DB2"/>
    <w:rsid w:val="24DC02C5"/>
    <w:rsid w:val="259D1B90"/>
    <w:rsid w:val="25BF29AE"/>
    <w:rsid w:val="25C76443"/>
    <w:rsid w:val="26525F4D"/>
    <w:rsid w:val="26A91D83"/>
    <w:rsid w:val="27151420"/>
    <w:rsid w:val="28154713"/>
    <w:rsid w:val="28DF3FCB"/>
    <w:rsid w:val="29D04C89"/>
    <w:rsid w:val="2A7810F6"/>
    <w:rsid w:val="2A8F0D6E"/>
    <w:rsid w:val="2AF249C8"/>
    <w:rsid w:val="2B192609"/>
    <w:rsid w:val="2B434CEA"/>
    <w:rsid w:val="2BD85A0F"/>
    <w:rsid w:val="2CB953F3"/>
    <w:rsid w:val="2CDE5811"/>
    <w:rsid w:val="2D9A1762"/>
    <w:rsid w:val="2DE67895"/>
    <w:rsid w:val="2E4F7ABC"/>
    <w:rsid w:val="2F1368AB"/>
    <w:rsid w:val="2F8B41C5"/>
    <w:rsid w:val="2FD110DF"/>
    <w:rsid w:val="2FD95850"/>
    <w:rsid w:val="3009348A"/>
    <w:rsid w:val="336F2764"/>
    <w:rsid w:val="344C3B08"/>
    <w:rsid w:val="35B41300"/>
    <w:rsid w:val="3609309B"/>
    <w:rsid w:val="372E75BF"/>
    <w:rsid w:val="37EF7C5B"/>
    <w:rsid w:val="390458AE"/>
    <w:rsid w:val="392803B0"/>
    <w:rsid w:val="39425EA4"/>
    <w:rsid w:val="39A45FA5"/>
    <w:rsid w:val="39FA04A7"/>
    <w:rsid w:val="3A23021F"/>
    <w:rsid w:val="3B9260FC"/>
    <w:rsid w:val="3C4A1D69"/>
    <w:rsid w:val="3C964B49"/>
    <w:rsid w:val="3DB54D85"/>
    <w:rsid w:val="3E7616F0"/>
    <w:rsid w:val="3F025588"/>
    <w:rsid w:val="40552625"/>
    <w:rsid w:val="4067027D"/>
    <w:rsid w:val="413435BC"/>
    <w:rsid w:val="41701D64"/>
    <w:rsid w:val="41DA1B40"/>
    <w:rsid w:val="41FC16B9"/>
    <w:rsid w:val="439D3B2B"/>
    <w:rsid w:val="43A00300"/>
    <w:rsid w:val="44861074"/>
    <w:rsid w:val="44A2656B"/>
    <w:rsid w:val="44B32765"/>
    <w:rsid w:val="450D6168"/>
    <w:rsid w:val="452A026D"/>
    <w:rsid w:val="45E345BD"/>
    <w:rsid w:val="45FB2764"/>
    <w:rsid w:val="46A3378F"/>
    <w:rsid w:val="46BA6A35"/>
    <w:rsid w:val="46C3379F"/>
    <w:rsid w:val="46EB5A91"/>
    <w:rsid w:val="47562682"/>
    <w:rsid w:val="476E7816"/>
    <w:rsid w:val="47972728"/>
    <w:rsid w:val="47C6360E"/>
    <w:rsid w:val="483A21D4"/>
    <w:rsid w:val="486149D6"/>
    <w:rsid w:val="49163AAD"/>
    <w:rsid w:val="49466876"/>
    <w:rsid w:val="49ED12FF"/>
    <w:rsid w:val="4A6347DC"/>
    <w:rsid w:val="4A71531C"/>
    <w:rsid w:val="4AE52FFD"/>
    <w:rsid w:val="4AFD2237"/>
    <w:rsid w:val="4B1F447C"/>
    <w:rsid w:val="4BD04C50"/>
    <w:rsid w:val="4BF41FBC"/>
    <w:rsid w:val="4BFD59E8"/>
    <w:rsid w:val="4C052E47"/>
    <w:rsid w:val="4C7D3E20"/>
    <w:rsid w:val="4CB9011E"/>
    <w:rsid w:val="4CBC5A8D"/>
    <w:rsid w:val="4D925376"/>
    <w:rsid w:val="4DA17D7B"/>
    <w:rsid w:val="4E1A4C63"/>
    <w:rsid w:val="4E5C33D0"/>
    <w:rsid w:val="4E6D6B7D"/>
    <w:rsid w:val="4EAF015A"/>
    <w:rsid w:val="4F407689"/>
    <w:rsid w:val="4FA72089"/>
    <w:rsid w:val="4FD83BD6"/>
    <w:rsid w:val="5115591C"/>
    <w:rsid w:val="51705837"/>
    <w:rsid w:val="519F1952"/>
    <w:rsid w:val="537D3C2D"/>
    <w:rsid w:val="537F3BB6"/>
    <w:rsid w:val="53C42785"/>
    <w:rsid w:val="5430250C"/>
    <w:rsid w:val="54A82839"/>
    <w:rsid w:val="54F22F39"/>
    <w:rsid w:val="554E6FE3"/>
    <w:rsid w:val="556F72BE"/>
    <w:rsid w:val="558B26A7"/>
    <w:rsid w:val="55A84294"/>
    <w:rsid w:val="56AF61EA"/>
    <w:rsid w:val="5714693E"/>
    <w:rsid w:val="57290E23"/>
    <w:rsid w:val="57320A55"/>
    <w:rsid w:val="5789229C"/>
    <w:rsid w:val="57AF3F9F"/>
    <w:rsid w:val="58161CC5"/>
    <w:rsid w:val="581C5F45"/>
    <w:rsid w:val="58302FAC"/>
    <w:rsid w:val="583F0C9A"/>
    <w:rsid w:val="585C1D2F"/>
    <w:rsid w:val="5897303C"/>
    <w:rsid w:val="595819D9"/>
    <w:rsid w:val="598E2946"/>
    <w:rsid w:val="5A410F44"/>
    <w:rsid w:val="5A494331"/>
    <w:rsid w:val="5AED3F95"/>
    <w:rsid w:val="5B3577D0"/>
    <w:rsid w:val="5C386DDC"/>
    <w:rsid w:val="5C390560"/>
    <w:rsid w:val="5C866FB2"/>
    <w:rsid w:val="5CBE3743"/>
    <w:rsid w:val="5CD86660"/>
    <w:rsid w:val="5D160AEB"/>
    <w:rsid w:val="5D3A70EE"/>
    <w:rsid w:val="5D777C27"/>
    <w:rsid w:val="5DB645C1"/>
    <w:rsid w:val="5E7C233A"/>
    <w:rsid w:val="5EE3329A"/>
    <w:rsid w:val="5F1A2F16"/>
    <w:rsid w:val="5F9E1458"/>
    <w:rsid w:val="610374C0"/>
    <w:rsid w:val="618F1904"/>
    <w:rsid w:val="62045801"/>
    <w:rsid w:val="627A29E2"/>
    <w:rsid w:val="633C28F4"/>
    <w:rsid w:val="649164CF"/>
    <w:rsid w:val="659869BD"/>
    <w:rsid w:val="66872E2E"/>
    <w:rsid w:val="68290824"/>
    <w:rsid w:val="689F578C"/>
    <w:rsid w:val="69715434"/>
    <w:rsid w:val="69F00E5C"/>
    <w:rsid w:val="69F31A87"/>
    <w:rsid w:val="69F85C4B"/>
    <w:rsid w:val="6A1E3F06"/>
    <w:rsid w:val="6B206CF4"/>
    <w:rsid w:val="6BAF79B1"/>
    <w:rsid w:val="6BD82406"/>
    <w:rsid w:val="6BEB1554"/>
    <w:rsid w:val="6C0271C8"/>
    <w:rsid w:val="6C420E48"/>
    <w:rsid w:val="6CB63946"/>
    <w:rsid w:val="6D46194F"/>
    <w:rsid w:val="6DC607CE"/>
    <w:rsid w:val="6E6F3C8C"/>
    <w:rsid w:val="6EE467D5"/>
    <w:rsid w:val="6EF24EBF"/>
    <w:rsid w:val="710768CA"/>
    <w:rsid w:val="723D77BA"/>
    <w:rsid w:val="73C53042"/>
    <w:rsid w:val="75232317"/>
    <w:rsid w:val="75657B4A"/>
    <w:rsid w:val="758B0E6A"/>
    <w:rsid w:val="759C71EE"/>
    <w:rsid w:val="75B66909"/>
    <w:rsid w:val="75EB0D6F"/>
    <w:rsid w:val="762E3521"/>
    <w:rsid w:val="76916271"/>
    <w:rsid w:val="76E44B2B"/>
    <w:rsid w:val="7777006E"/>
    <w:rsid w:val="78724754"/>
    <w:rsid w:val="79AE2ADA"/>
    <w:rsid w:val="7A681384"/>
    <w:rsid w:val="7A6E74FD"/>
    <w:rsid w:val="7A7E5845"/>
    <w:rsid w:val="7B483FB5"/>
    <w:rsid w:val="7C491C89"/>
    <w:rsid w:val="7C9469C9"/>
    <w:rsid w:val="7C9A76D5"/>
    <w:rsid w:val="7CED21F4"/>
    <w:rsid w:val="7CEF62FD"/>
    <w:rsid w:val="7D31799A"/>
    <w:rsid w:val="7D78565E"/>
    <w:rsid w:val="7EAB113D"/>
    <w:rsid w:val="7EFA3987"/>
    <w:rsid w:val="7F6000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2"/>
    <w:qFormat/>
    <w:uiPriority w:val="9"/>
    <w:pPr>
      <w:keepNext/>
      <w:keepLines/>
      <w:spacing w:before="340" w:after="330" w:line="576" w:lineRule="auto"/>
      <w:outlineLvl w:val="0"/>
    </w:pPr>
    <w:rPr>
      <w:rFonts w:ascii="Times New Roman" w:hAnsi="Times New Roman" w:eastAsia="宋体" w:cs="Times New Roman"/>
      <w:b/>
      <w:bCs/>
      <w:kern w:val="44"/>
      <w:sz w:val="44"/>
      <w:szCs w:val="44"/>
    </w:rPr>
  </w:style>
  <w:style w:type="paragraph" w:styleId="3">
    <w:name w:val="heading 2"/>
    <w:basedOn w:val="2"/>
    <w:next w:val="1"/>
    <w:link w:val="55"/>
    <w:qFormat/>
    <w:uiPriority w:val="0"/>
    <w:pPr>
      <w:spacing w:before="260" w:after="260" w:line="416" w:lineRule="auto"/>
      <w:outlineLvl w:val="1"/>
    </w:pPr>
    <w:rPr>
      <w:rFonts w:ascii="Arial" w:hAnsi="Arial" w:eastAsia="黑体"/>
      <w:sz w:val="32"/>
      <w:szCs w:val="32"/>
    </w:rPr>
  </w:style>
  <w:style w:type="paragraph" w:styleId="4">
    <w:name w:val="heading 3"/>
    <w:basedOn w:val="1"/>
    <w:next w:val="1"/>
    <w:link w:val="58"/>
    <w:semiHidden/>
    <w:unhideWhenUsed/>
    <w:qFormat/>
    <w:uiPriority w:val="9"/>
    <w:pPr>
      <w:keepNext/>
      <w:keepLines/>
      <w:spacing w:before="260" w:after="260" w:line="413" w:lineRule="auto"/>
      <w:outlineLvl w:val="2"/>
    </w:pPr>
    <w:rPr>
      <w:b/>
      <w:sz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77"/>
    <w:autoRedefine/>
    <w:unhideWhenUsed/>
    <w:qFormat/>
    <w:uiPriority w:val="0"/>
    <w:pPr>
      <w:jc w:val="left"/>
    </w:pPr>
    <w:rPr>
      <w:rFonts w:ascii="Times New Roman" w:hAnsi="Times New Roman" w:eastAsia="宋体" w:cs="Times New Roman"/>
      <w:szCs w:val="24"/>
    </w:rPr>
  </w:style>
  <w:style w:type="paragraph" w:styleId="6">
    <w:name w:val="Body Text"/>
    <w:basedOn w:val="1"/>
    <w:link w:val="47"/>
    <w:autoRedefine/>
    <w:semiHidden/>
    <w:unhideWhenUsed/>
    <w:qFormat/>
    <w:uiPriority w:val="99"/>
    <w:pPr>
      <w:spacing w:after="120"/>
    </w:pPr>
  </w:style>
  <w:style w:type="paragraph" w:styleId="7">
    <w:name w:val="Body Text Indent"/>
    <w:basedOn w:val="1"/>
    <w:next w:val="8"/>
    <w:link w:val="43"/>
    <w:semiHidden/>
    <w:unhideWhenUsed/>
    <w:qFormat/>
    <w:uiPriority w:val="99"/>
    <w:pPr>
      <w:spacing w:after="120"/>
      <w:ind w:left="420" w:leftChars="200"/>
    </w:pPr>
  </w:style>
  <w:style w:type="paragraph" w:styleId="8">
    <w:name w:val="envelope return"/>
    <w:basedOn w:val="1"/>
    <w:autoRedefine/>
    <w:qFormat/>
    <w:uiPriority w:val="0"/>
    <w:pPr>
      <w:snapToGrid w:val="0"/>
    </w:pPr>
    <w:rPr>
      <w:rFonts w:ascii="Arial" w:hAnsi="Arial"/>
    </w:rPr>
  </w:style>
  <w:style w:type="paragraph" w:styleId="9">
    <w:name w:val="Plain Text"/>
    <w:basedOn w:val="1"/>
    <w:link w:val="57"/>
    <w:qFormat/>
    <w:uiPriority w:val="0"/>
    <w:rPr>
      <w:rFonts w:ascii="宋体" w:hAnsi="Courier New" w:eastAsia="宋体" w:cs="Times New Roman"/>
      <w:kern w:val="0"/>
      <w:sz w:val="20"/>
      <w:szCs w:val="21"/>
    </w:rPr>
  </w:style>
  <w:style w:type="paragraph" w:styleId="10">
    <w:name w:val="Balloon Text"/>
    <w:basedOn w:val="1"/>
    <w:link w:val="29"/>
    <w:semiHidden/>
    <w:unhideWhenUsed/>
    <w:qFormat/>
    <w:uiPriority w:val="99"/>
    <w:rPr>
      <w:sz w:val="18"/>
      <w:szCs w:val="18"/>
    </w:rPr>
  </w:style>
  <w:style w:type="paragraph" w:styleId="11">
    <w:name w:val="footer"/>
    <w:basedOn w:val="1"/>
    <w:link w:val="53"/>
    <w:autoRedefine/>
    <w:unhideWhenUsed/>
    <w:qFormat/>
    <w:uiPriority w:val="99"/>
    <w:pPr>
      <w:tabs>
        <w:tab w:val="center" w:pos="4153"/>
        <w:tab w:val="right" w:pos="8306"/>
      </w:tabs>
      <w:snapToGrid w:val="0"/>
      <w:jc w:val="left"/>
    </w:pPr>
    <w:rPr>
      <w:sz w:val="18"/>
      <w:szCs w:val="18"/>
    </w:rPr>
  </w:style>
  <w:style w:type="paragraph" w:styleId="12">
    <w:name w:val="header"/>
    <w:basedOn w:val="1"/>
    <w:link w:val="54"/>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autoRedefine/>
    <w:semiHidden/>
    <w:unhideWhenUsed/>
    <w:qFormat/>
    <w:uiPriority w:val="39"/>
    <w:pPr>
      <w:spacing w:line="400" w:lineRule="exact"/>
      <w:jc w:val="center"/>
    </w:pPr>
    <w:rPr>
      <w:rFonts w:hint="eastAsia" w:ascii="宋体" w:hAnsi="宋体" w:eastAsia="宋体" w:cs="Times New Roman"/>
      <w:b/>
      <w:bCs/>
    </w:rPr>
  </w:style>
  <w:style w:type="paragraph" w:styleId="14">
    <w:name w:val="footnote text"/>
    <w:basedOn w:val="1"/>
    <w:link w:val="70"/>
    <w:autoRedefine/>
    <w:semiHidden/>
    <w:unhideWhenUsed/>
    <w:qFormat/>
    <w:uiPriority w:val="99"/>
    <w:pPr>
      <w:snapToGrid w:val="0"/>
      <w:jc w:val="left"/>
    </w:pPr>
    <w:rPr>
      <w:sz w:val="18"/>
    </w:rPr>
  </w:style>
  <w:style w:type="paragraph" w:styleId="15">
    <w:name w:val="Normal (Web)"/>
    <w:basedOn w:val="1"/>
    <w:link w:val="50"/>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6">
    <w:name w:val="Title"/>
    <w:basedOn w:val="1"/>
    <w:next w:val="1"/>
    <w:link w:val="69"/>
    <w:autoRedefine/>
    <w:qFormat/>
    <w:uiPriority w:val="0"/>
    <w:pPr>
      <w:spacing w:before="240" w:after="60"/>
      <w:jc w:val="center"/>
      <w:outlineLvl w:val="0"/>
    </w:pPr>
    <w:rPr>
      <w:rFonts w:eastAsia="宋体" w:asciiTheme="majorHAnsi" w:hAnsiTheme="majorHAnsi" w:cstheme="majorBidi"/>
      <w:b/>
      <w:bCs/>
      <w:sz w:val="32"/>
      <w:szCs w:val="32"/>
    </w:rPr>
  </w:style>
  <w:style w:type="paragraph" w:styleId="17">
    <w:name w:val="annotation subject"/>
    <w:basedOn w:val="5"/>
    <w:next w:val="5"/>
    <w:link w:val="30"/>
    <w:autoRedefine/>
    <w:semiHidden/>
    <w:unhideWhenUsed/>
    <w:qFormat/>
    <w:uiPriority w:val="99"/>
    <w:rPr>
      <w:b/>
      <w:bCs/>
    </w:rPr>
  </w:style>
  <w:style w:type="paragraph" w:styleId="18">
    <w:name w:val="Body Text First Indent"/>
    <w:basedOn w:val="6"/>
    <w:link w:val="60"/>
    <w:autoRedefine/>
    <w:semiHidden/>
    <w:unhideWhenUsed/>
    <w:qFormat/>
    <w:uiPriority w:val="99"/>
    <w:pPr>
      <w:ind w:firstLine="420" w:firstLineChars="100"/>
    </w:pPr>
    <w:rPr>
      <w:rFonts w:ascii="Calibri" w:hAnsi="Calibri" w:eastAsia="宋体" w:cs="Times New Roman"/>
    </w:rPr>
  </w:style>
  <w:style w:type="paragraph" w:styleId="19">
    <w:name w:val="Body Text First Indent 2"/>
    <w:basedOn w:val="7"/>
    <w:next w:val="1"/>
    <w:link w:val="44"/>
    <w:autoRedefine/>
    <w:semiHidden/>
    <w:unhideWhenUsed/>
    <w:qFormat/>
    <w:uiPriority w:val="99"/>
    <w:pPr>
      <w:ind w:firstLine="420" w:firstLineChars="200"/>
    </w:pPr>
  </w:style>
  <w:style w:type="table" w:styleId="21">
    <w:name w:val="Table Grid"/>
    <w:basedOn w:val="20"/>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23">
    <w:name w:val="Strong"/>
    <w:basedOn w:val="22"/>
    <w:autoRedefine/>
    <w:qFormat/>
    <w:uiPriority w:val="22"/>
    <w:rPr>
      <w:b/>
      <w:bCs/>
    </w:rPr>
  </w:style>
  <w:style w:type="character" w:styleId="24">
    <w:name w:val="annotation reference"/>
    <w:basedOn w:val="22"/>
    <w:autoRedefine/>
    <w:unhideWhenUsed/>
    <w:qFormat/>
    <w:uiPriority w:val="99"/>
    <w:rPr>
      <w:sz w:val="21"/>
      <w:szCs w:val="21"/>
    </w:rPr>
  </w:style>
  <w:style w:type="character" w:customStyle="1" w:styleId="25">
    <w:name w:val="页眉 字符"/>
    <w:basedOn w:val="22"/>
    <w:autoRedefine/>
    <w:qFormat/>
    <w:uiPriority w:val="99"/>
    <w:rPr>
      <w:sz w:val="18"/>
      <w:szCs w:val="18"/>
    </w:rPr>
  </w:style>
  <w:style w:type="character" w:customStyle="1" w:styleId="26">
    <w:name w:val="页脚 字符"/>
    <w:basedOn w:val="22"/>
    <w:autoRedefine/>
    <w:qFormat/>
    <w:uiPriority w:val="99"/>
    <w:rPr>
      <w:sz w:val="18"/>
      <w:szCs w:val="18"/>
    </w:rPr>
  </w:style>
  <w:style w:type="paragraph" w:styleId="27">
    <w:name w:val="List Paragraph"/>
    <w:basedOn w:val="1"/>
    <w:link w:val="35"/>
    <w:autoRedefine/>
    <w:qFormat/>
    <w:uiPriority w:val="99"/>
    <w:pPr>
      <w:ind w:firstLine="420" w:firstLineChars="200"/>
    </w:pPr>
  </w:style>
  <w:style w:type="character" w:customStyle="1" w:styleId="28">
    <w:name w:val="批注文字 字符"/>
    <w:basedOn w:val="22"/>
    <w:autoRedefine/>
    <w:qFormat/>
    <w:uiPriority w:val="0"/>
  </w:style>
  <w:style w:type="character" w:customStyle="1" w:styleId="29">
    <w:name w:val="批注框文本 Char"/>
    <w:basedOn w:val="22"/>
    <w:link w:val="10"/>
    <w:autoRedefine/>
    <w:semiHidden/>
    <w:qFormat/>
    <w:uiPriority w:val="99"/>
    <w:rPr>
      <w:sz w:val="18"/>
      <w:szCs w:val="18"/>
    </w:rPr>
  </w:style>
  <w:style w:type="character" w:customStyle="1" w:styleId="30">
    <w:name w:val="批注主题 Char"/>
    <w:basedOn w:val="28"/>
    <w:link w:val="17"/>
    <w:autoRedefine/>
    <w:semiHidden/>
    <w:qFormat/>
    <w:uiPriority w:val="99"/>
    <w:rPr>
      <w:b/>
      <w:bCs/>
    </w:rPr>
  </w:style>
  <w:style w:type="character" w:customStyle="1" w:styleId="31">
    <w:name w:val="标题 Char"/>
    <w:basedOn w:val="22"/>
    <w:autoRedefine/>
    <w:qFormat/>
    <w:uiPriority w:val="0"/>
    <w:rPr>
      <w:rFonts w:eastAsia="宋体" w:asciiTheme="majorHAnsi" w:hAnsiTheme="majorHAnsi" w:cstheme="majorBidi"/>
      <w:b/>
      <w:bCs/>
      <w:sz w:val="32"/>
      <w:szCs w:val="32"/>
    </w:rPr>
  </w:style>
  <w:style w:type="character" w:customStyle="1" w:styleId="32">
    <w:name w:val="标题 2 字符"/>
    <w:basedOn w:val="22"/>
    <w:autoRedefine/>
    <w:qFormat/>
    <w:uiPriority w:val="0"/>
    <w:rPr>
      <w:rFonts w:ascii="Arial" w:hAnsi="Arial" w:eastAsia="黑体" w:cs="Times New Roman"/>
      <w:b/>
      <w:bCs/>
      <w:sz w:val="32"/>
      <w:szCs w:val="32"/>
    </w:rPr>
  </w:style>
  <w:style w:type="character" w:customStyle="1" w:styleId="33">
    <w:name w:val="纯文本 字符"/>
    <w:basedOn w:val="22"/>
    <w:autoRedefine/>
    <w:qFormat/>
    <w:uiPriority w:val="0"/>
    <w:rPr>
      <w:rFonts w:ascii="宋体" w:hAnsi="Courier New" w:eastAsia="宋体" w:cs="Times New Roman"/>
      <w:kern w:val="0"/>
      <w:sz w:val="20"/>
      <w:szCs w:val="21"/>
    </w:rPr>
  </w:style>
  <w:style w:type="paragraph" w:customStyle="1" w:styleId="34">
    <w:name w:val="图"/>
    <w:basedOn w:val="1"/>
    <w:autoRedefine/>
    <w:qFormat/>
    <w:uiPriority w:val="0"/>
    <w:pPr>
      <w:keepNext/>
      <w:adjustRightInd w:val="0"/>
      <w:spacing w:before="60" w:after="60" w:line="300" w:lineRule="auto"/>
      <w:jc w:val="center"/>
      <w:textAlignment w:val="center"/>
    </w:pPr>
    <w:rPr>
      <w:rFonts w:ascii="Times New Roman" w:hAnsi="Times New Roman" w:eastAsia="宋体" w:cs="Times New Roman"/>
      <w:snapToGrid w:val="0"/>
      <w:spacing w:val="20"/>
      <w:kern w:val="0"/>
      <w:sz w:val="24"/>
      <w:szCs w:val="20"/>
    </w:rPr>
  </w:style>
  <w:style w:type="character" w:customStyle="1" w:styleId="35">
    <w:name w:val="列出段落 Char2"/>
    <w:link w:val="27"/>
    <w:autoRedefine/>
    <w:qFormat/>
    <w:uiPriority w:val="99"/>
  </w:style>
  <w:style w:type="paragraph" w:customStyle="1" w:styleId="36">
    <w:name w:val="样式4"/>
    <w:basedOn w:val="1"/>
    <w:autoRedefine/>
    <w:qFormat/>
    <w:uiPriority w:val="0"/>
    <w:pPr>
      <w:numPr>
        <w:ilvl w:val="3"/>
        <w:numId w:val="1"/>
      </w:numPr>
      <w:tabs>
        <w:tab w:val="left" w:pos="425"/>
        <w:tab w:val="left" w:pos="1984"/>
        <w:tab w:val="clear" w:pos="851"/>
      </w:tabs>
    </w:pPr>
    <w:rPr>
      <w:rFonts w:ascii="Times New Roman" w:hAnsi="Times New Roman" w:eastAsia="宋体" w:cs="Times New Roman"/>
      <w:szCs w:val="24"/>
    </w:rPr>
  </w:style>
  <w:style w:type="paragraph" w:customStyle="1" w:styleId="37">
    <w:name w:val="列出段落1"/>
    <w:basedOn w:val="1"/>
    <w:link w:val="38"/>
    <w:autoRedefine/>
    <w:qFormat/>
    <w:uiPriority w:val="99"/>
    <w:pPr>
      <w:ind w:firstLine="420" w:firstLineChars="200"/>
    </w:pPr>
    <w:rPr>
      <w:rFonts w:ascii="Times New Roman" w:hAnsi="Times New Roman" w:eastAsia="宋体" w:cs="Times New Roman"/>
      <w:szCs w:val="21"/>
    </w:rPr>
  </w:style>
  <w:style w:type="character" w:customStyle="1" w:styleId="38">
    <w:name w:val="List Paragraph Char"/>
    <w:link w:val="37"/>
    <w:autoRedefine/>
    <w:qFormat/>
    <w:locked/>
    <w:uiPriority w:val="99"/>
    <w:rPr>
      <w:rFonts w:ascii="Times New Roman" w:hAnsi="Times New Roman" w:eastAsia="宋体" w:cs="Times New Roman"/>
      <w:szCs w:val="21"/>
    </w:rPr>
  </w:style>
  <w:style w:type="paragraph" w:customStyle="1" w:styleId="39">
    <w:name w:val="_Style 121"/>
    <w:basedOn w:val="1"/>
    <w:next w:val="27"/>
    <w:autoRedefine/>
    <w:qFormat/>
    <w:uiPriority w:val="34"/>
    <w:pPr>
      <w:ind w:firstLine="420" w:firstLineChars="200"/>
    </w:pPr>
    <w:rPr>
      <w:rFonts w:ascii="Calibri" w:hAnsi="Calibri" w:eastAsia="宋体" w:cs="Times New Roman"/>
    </w:rPr>
  </w:style>
  <w:style w:type="paragraph" w:customStyle="1" w:styleId="40">
    <w:name w:val="start-font-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1">
    <w:name w:val="start-font-3"/>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42">
    <w:name w:val="纯文本 Char1"/>
    <w:autoRedefine/>
    <w:qFormat/>
    <w:uiPriority w:val="0"/>
    <w:rPr>
      <w:rFonts w:ascii="宋体" w:hAnsi="Courier New" w:eastAsia="宋体" w:cs="Times New Roman"/>
      <w:kern w:val="0"/>
      <w:sz w:val="20"/>
      <w:szCs w:val="21"/>
    </w:rPr>
  </w:style>
  <w:style w:type="character" w:customStyle="1" w:styleId="43">
    <w:name w:val="正文文本缩进 Char"/>
    <w:basedOn w:val="22"/>
    <w:link w:val="7"/>
    <w:autoRedefine/>
    <w:qFormat/>
    <w:uiPriority w:val="0"/>
    <w:rPr>
      <w:kern w:val="2"/>
      <w:sz w:val="21"/>
      <w:szCs w:val="24"/>
    </w:rPr>
  </w:style>
  <w:style w:type="character" w:customStyle="1" w:styleId="44">
    <w:name w:val="正文首行缩进 2 Char"/>
    <w:basedOn w:val="43"/>
    <w:link w:val="19"/>
    <w:autoRedefine/>
    <w:qFormat/>
    <w:uiPriority w:val="0"/>
    <w:rPr>
      <w:kern w:val="2"/>
      <w:sz w:val="21"/>
      <w:szCs w:val="24"/>
    </w:rPr>
  </w:style>
  <w:style w:type="paragraph" w:customStyle="1" w:styleId="45">
    <w:name w:val="msolistparagraph"/>
    <w:basedOn w:val="1"/>
    <w:autoRedefine/>
    <w:qFormat/>
    <w:uiPriority w:val="0"/>
    <w:pPr>
      <w:ind w:firstLine="420" w:firstLineChars="200"/>
    </w:pPr>
    <w:rPr>
      <w:rFonts w:ascii="Times New Roman" w:hAnsi="Times New Roman" w:eastAsia="宋体" w:cs="Times New Roman"/>
    </w:rPr>
  </w:style>
  <w:style w:type="character" w:customStyle="1" w:styleId="46">
    <w:name w:val="列出段落 Char"/>
    <w:basedOn w:val="22"/>
    <w:autoRedefine/>
    <w:qFormat/>
    <w:uiPriority w:val="34"/>
    <w:rPr>
      <w:kern w:val="2"/>
      <w:sz w:val="21"/>
      <w:szCs w:val="22"/>
    </w:rPr>
  </w:style>
  <w:style w:type="character" w:customStyle="1" w:styleId="47">
    <w:name w:val="正文文本 Char"/>
    <w:basedOn w:val="22"/>
    <w:link w:val="6"/>
    <w:autoRedefine/>
    <w:qFormat/>
    <w:uiPriority w:val="0"/>
    <w:rPr>
      <w:rFonts w:hint="default" w:ascii="Calibri" w:hAnsi="Calibri" w:eastAsia="宋体" w:cs="Times New Roman"/>
      <w:kern w:val="2"/>
      <w:sz w:val="21"/>
      <w:szCs w:val="22"/>
    </w:rPr>
  </w:style>
  <w:style w:type="character" w:customStyle="1" w:styleId="48">
    <w:name w:val="纯文本 Char"/>
    <w:basedOn w:val="22"/>
    <w:autoRedefine/>
    <w:qFormat/>
    <w:uiPriority w:val="0"/>
    <w:rPr>
      <w:rFonts w:hint="eastAsia" w:ascii="宋体" w:hAnsi="Courier New" w:eastAsia="宋体" w:cs="宋体"/>
      <w:szCs w:val="21"/>
    </w:rPr>
  </w:style>
  <w:style w:type="paragraph" w:customStyle="1" w:styleId="49">
    <w:name w:val="_Style 116"/>
    <w:basedOn w:val="1"/>
    <w:next w:val="27"/>
    <w:autoRedefine/>
    <w:qFormat/>
    <w:uiPriority w:val="99"/>
    <w:pPr>
      <w:ind w:firstLine="420" w:firstLineChars="200"/>
    </w:pPr>
    <w:rPr>
      <w:kern w:val="0"/>
      <w:sz w:val="20"/>
      <w:szCs w:val="20"/>
    </w:rPr>
  </w:style>
  <w:style w:type="character" w:customStyle="1" w:styleId="50">
    <w:name w:val="普通(网站) Char"/>
    <w:basedOn w:val="22"/>
    <w:link w:val="15"/>
    <w:autoRedefine/>
    <w:qFormat/>
    <w:uiPriority w:val="0"/>
    <w:rPr>
      <w:rFonts w:hint="eastAsia" w:ascii="宋体" w:hAnsi="宋体" w:eastAsia="宋体" w:cs="宋体"/>
      <w:sz w:val="24"/>
      <w:szCs w:val="24"/>
    </w:rPr>
  </w:style>
  <w:style w:type="character" w:customStyle="1" w:styleId="51">
    <w:name w:val="批注文字 Char"/>
    <w:basedOn w:val="22"/>
    <w:autoRedefine/>
    <w:qFormat/>
    <w:uiPriority w:val="0"/>
    <w:rPr>
      <w:kern w:val="2"/>
      <w:sz w:val="21"/>
      <w:szCs w:val="24"/>
    </w:rPr>
  </w:style>
  <w:style w:type="character" w:customStyle="1" w:styleId="52">
    <w:name w:val="标题 1 Char"/>
    <w:basedOn w:val="22"/>
    <w:link w:val="2"/>
    <w:autoRedefine/>
    <w:qFormat/>
    <w:uiPriority w:val="0"/>
    <w:rPr>
      <w:b/>
      <w:bCs/>
      <w:kern w:val="44"/>
      <w:sz w:val="44"/>
      <w:szCs w:val="44"/>
    </w:rPr>
  </w:style>
  <w:style w:type="character" w:customStyle="1" w:styleId="53">
    <w:name w:val="页脚 Char"/>
    <w:basedOn w:val="22"/>
    <w:link w:val="11"/>
    <w:autoRedefine/>
    <w:qFormat/>
    <w:uiPriority w:val="0"/>
    <w:rPr>
      <w:kern w:val="2"/>
      <w:sz w:val="18"/>
      <w:szCs w:val="18"/>
    </w:rPr>
  </w:style>
  <w:style w:type="character" w:customStyle="1" w:styleId="54">
    <w:name w:val="页眉 Char"/>
    <w:basedOn w:val="22"/>
    <w:link w:val="12"/>
    <w:autoRedefine/>
    <w:qFormat/>
    <w:uiPriority w:val="0"/>
    <w:rPr>
      <w:kern w:val="2"/>
      <w:sz w:val="18"/>
      <w:szCs w:val="18"/>
    </w:rPr>
  </w:style>
  <w:style w:type="character" w:customStyle="1" w:styleId="55">
    <w:name w:val="标题 2 Char"/>
    <w:basedOn w:val="22"/>
    <w:link w:val="3"/>
    <w:autoRedefine/>
    <w:qFormat/>
    <w:uiPriority w:val="0"/>
    <w:rPr>
      <w:rFonts w:hint="default" w:ascii="Cambria" w:hAnsi="Cambria" w:eastAsia="Cambria" w:cs="Cambria"/>
      <w:b/>
      <w:bCs/>
      <w:kern w:val="2"/>
      <w:sz w:val="32"/>
      <w:szCs w:val="32"/>
    </w:rPr>
  </w:style>
  <w:style w:type="character" w:customStyle="1" w:styleId="56">
    <w:name w:val="列出段落 Char1"/>
    <w:basedOn w:val="22"/>
    <w:autoRedefine/>
    <w:qFormat/>
    <w:uiPriority w:val="0"/>
    <w:rPr>
      <w:rFonts w:hint="default" w:ascii="Calibri" w:hAnsi="Calibri" w:cs="Calibri"/>
      <w:kern w:val="2"/>
      <w:sz w:val="21"/>
      <w:szCs w:val="22"/>
    </w:rPr>
  </w:style>
  <w:style w:type="character" w:customStyle="1" w:styleId="57">
    <w:name w:val="纯文本 Char2"/>
    <w:basedOn w:val="22"/>
    <w:link w:val="9"/>
    <w:autoRedefine/>
    <w:qFormat/>
    <w:uiPriority w:val="0"/>
    <w:rPr>
      <w:rFonts w:hint="eastAsia" w:ascii="宋体" w:hAnsi="Courier New" w:eastAsia="宋体" w:cs="宋体"/>
      <w:szCs w:val="21"/>
      <w:lang w:val="zh-CN"/>
    </w:rPr>
  </w:style>
  <w:style w:type="character" w:customStyle="1" w:styleId="58">
    <w:name w:val="标题 3 Char"/>
    <w:basedOn w:val="22"/>
    <w:link w:val="4"/>
    <w:autoRedefine/>
    <w:qFormat/>
    <w:uiPriority w:val="0"/>
    <w:rPr>
      <w:b/>
      <w:bCs/>
      <w:kern w:val="2"/>
      <w:sz w:val="32"/>
      <w:szCs w:val="32"/>
    </w:rPr>
  </w:style>
  <w:style w:type="paragraph" w:customStyle="1" w:styleId="59">
    <w:name w:val="列表段落2"/>
    <w:basedOn w:val="1"/>
    <w:autoRedefine/>
    <w:qFormat/>
    <w:uiPriority w:val="99"/>
    <w:pPr>
      <w:ind w:firstLine="420" w:firstLineChars="200"/>
    </w:pPr>
    <w:rPr>
      <w:rFonts w:ascii="Times New Roman" w:hAnsi="Times New Roman" w:eastAsia="宋体" w:cs="Times New Roman"/>
      <w:szCs w:val="24"/>
    </w:rPr>
  </w:style>
  <w:style w:type="character" w:customStyle="1" w:styleId="60">
    <w:name w:val="正文首行缩进 Char"/>
    <w:link w:val="18"/>
    <w:autoRedefine/>
    <w:qFormat/>
    <w:uiPriority w:val="0"/>
    <w:rPr>
      <w:rFonts w:hint="default" w:ascii="Calibri" w:hAnsi="Calibri" w:eastAsia="宋体" w:cs="Times New Roman"/>
      <w:kern w:val="2"/>
      <w:sz w:val="21"/>
      <w:szCs w:val="22"/>
    </w:rPr>
  </w:style>
  <w:style w:type="paragraph" w:customStyle="1" w:styleId="61">
    <w:name w:val="p0"/>
    <w:basedOn w:val="1"/>
    <w:autoRedefine/>
    <w:qFormat/>
    <w:uiPriority w:val="0"/>
    <w:pPr>
      <w:widowControl/>
    </w:pPr>
    <w:rPr>
      <w:rFonts w:ascii="Calibri" w:hAnsi="Calibri" w:eastAsia="宋体" w:cs="Times New Roman"/>
      <w:kern w:val="0"/>
      <w:szCs w:val="21"/>
    </w:rPr>
  </w:style>
  <w:style w:type="character" w:customStyle="1" w:styleId="62">
    <w:name w:val="font51"/>
    <w:basedOn w:val="22"/>
    <w:autoRedefine/>
    <w:qFormat/>
    <w:uiPriority w:val="0"/>
    <w:rPr>
      <w:rFonts w:hint="eastAsia" w:ascii="宋体" w:hAnsi="宋体" w:eastAsia="宋体" w:cs="宋体"/>
      <w:color w:val="000000"/>
      <w:sz w:val="21"/>
      <w:szCs w:val="21"/>
      <w:u w:val="none"/>
    </w:rPr>
  </w:style>
  <w:style w:type="character" w:customStyle="1" w:styleId="63">
    <w:name w:val="列表段落 字符2"/>
    <w:basedOn w:val="22"/>
    <w:autoRedefine/>
    <w:qFormat/>
    <w:uiPriority w:val="0"/>
  </w:style>
  <w:style w:type="character" w:customStyle="1" w:styleId="64">
    <w:name w:val="NormalCharacter"/>
    <w:basedOn w:val="22"/>
    <w:autoRedefine/>
    <w:qFormat/>
    <w:uiPriority w:val="0"/>
  </w:style>
  <w:style w:type="character" w:customStyle="1" w:styleId="65">
    <w:name w:val="font31"/>
    <w:basedOn w:val="22"/>
    <w:autoRedefine/>
    <w:qFormat/>
    <w:uiPriority w:val="0"/>
    <w:rPr>
      <w:rFonts w:hint="default" w:ascii="Times New Roman" w:hAnsi="Times New Roman" w:cs="Times New Roman"/>
      <w:color w:val="000000"/>
      <w:sz w:val="21"/>
      <w:szCs w:val="21"/>
      <w:u w:val="none"/>
    </w:rPr>
  </w:style>
  <w:style w:type="character" w:customStyle="1" w:styleId="66">
    <w:name w:val="font21"/>
    <w:basedOn w:val="22"/>
    <w:autoRedefine/>
    <w:qFormat/>
    <w:uiPriority w:val="0"/>
    <w:rPr>
      <w:rFonts w:hint="eastAsia" w:ascii="宋体" w:hAnsi="宋体" w:eastAsia="宋体" w:cs="宋体"/>
      <w:color w:val="000000"/>
      <w:sz w:val="24"/>
      <w:szCs w:val="24"/>
      <w:u w:val="none"/>
    </w:rPr>
  </w:style>
  <w:style w:type="character" w:customStyle="1" w:styleId="67">
    <w:name w:val="font11"/>
    <w:basedOn w:val="22"/>
    <w:autoRedefine/>
    <w:qFormat/>
    <w:uiPriority w:val="0"/>
    <w:rPr>
      <w:rFonts w:hint="eastAsia" w:ascii="宋体" w:hAnsi="宋体" w:eastAsia="宋体" w:cs="宋体"/>
      <w:color w:val="000000"/>
      <w:sz w:val="21"/>
      <w:szCs w:val="21"/>
      <w:u w:val="none"/>
    </w:rPr>
  </w:style>
  <w:style w:type="character" w:customStyle="1" w:styleId="68">
    <w:name w:val="纯文本 字符1"/>
    <w:basedOn w:val="22"/>
    <w:autoRedefine/>
    <w:qFormat/>
    <w:uiPriority w:val="0"/>
    <w:rPr>
      <w:rFonts w:hint="eastAsia" w:ascii="宋体" w:hAnsi="Courier New" w:eastAsia="宋体" w:cs="宋体"/>
      <w:szCs w:val="21"/>
    </w:rPr>
  </w:style>
  <w:style w:type="character" w:customStyle="1" w:styleId="69">
    <w:name w:val="标题 Char1"/>
    <w:basedOn w:val="22"/>
    <w:link w:val="16"/>
    <w:autoRedefine/>
    <w:qFormat/>
    <w:uiPriority w:val="0"/>
    <w:rPr>
      <w:rFonts w:hint="default" w:ascii="Cambria" w:hAnsi="Cambria" w:eastAsia="Cambria" w:cs="Times New Roman"/>
      <w:b/>
      <w:bCs/>
      <w:kern w:val="2"/>
      <w:sz w:val="32"/>
      <w:szCs w:val="32"/>
    </w:rPr>
  </w:style>
  <w:style w:type="character" w:customStyle="1" w:styleId="70">
    <w:name w:val="脚注文本 Char"/>
    <w:basedOn w:val="22"/>
    <w:link w:val="14"/>
    <w:autoRedefine/>
    <w:qFormat/>
    <w:uiPriority w:val="0"/>
    <w:rPr>
      <w:rFonts w:hint="eastAsia" w:ascii="宋体" w:hAnsi="宋体" w:eastAsia="宋体" w:cs="Times New Roman"/>
      <w:kern w:val="2"/>
      <w:sz w:val="24"/>
      <w:szCs w:val="18"/>
    </w:rPr>
  </w:style>
  <w:style w:type="character" w:customStyle="1" w:styleId="71">
    <w:name w:val="脚注文本 Char1"/>
    <w:basedOn w:val="22"/>
    <w:autoRedefine/>
    <w:qFormat/>
    <w:uiPriority w:val="0"/>
    <w:rPr>
      <w:rFonts w:hint="default" w:ascii="Calibri" w:hAnsi="Calibri" w:eastAsia="宋体" w:cs="Times New Roman"/>
      <w:kern w:val="2"/>
      <w:sz w:val="18"/>
      <w:szCs w:val="18"/>
    </w:rPr>
  </w:style>
  <w:style w:type="character" w:customStyle="1" w:styleId="72">
    <w:name w:val="列表段落 字符1"/>
    <w:basedOn w:val="22"/>
    <w:autoRedefine/>
    <w:qFormat/>
    <w:uiPriority w:val="0"/>
  </w:style>
  <w:style w:type="paragraph" w:customStyle="1" w:styleId="73">
    <w:name w:val="Table Paragraph"/>
    <w:basedOn w:val="1"/>
    <w:autoRedefine/>
    <w:qFormat/>
    <w:uiPriority w:val="0"/>
    <w:rPr>
      <w:rFonts w:hint="eastAsia" w:ascii="宋体" w:hAnsi="宋体" w:eastAsia="宋体" w:cs="Times New Roman"/>
      <w:szCs w:val="24"/>
    </w:rPr>
  </w:style>
  <w:style w:type="character" w:customStyle="1" w:styleId="74">
    <w:name w:val="font41"/>
    <w:basedOn w:val="22"/>
    <w:autoRedefine/>
    <w:qFormat/>
    <w:uiPriority w:val="0"/>
    <w:rPr>
      <w:rFonts w:hint="eastAsia" w:ascii="宋体" w:hAnsi="宋体" w:eastAsia="宋体" w:cs="宋体"/>
      <w:color w:val="FF0000"/>
      <w:sz w:val="24"/>
      <w:szCs w:val="24"/>
      <w:u w:val="none"/>
    </w:rPr>
  </w:style>
  <w:style w:type="character" w:customStyle="1" w:styleId="75">
    <w:name w:val="font91"/>
    <w:basedOn w:val="22"/>
    <w:autoRedefine/>
    <w:qFormat/>
    <w:uiPriority w:val="0"/>
    <w:rPr>
      <w:rFonts w:hint="default" w:ascii="Times New Roman" w:hAnsi="Times New Roman" w:cs="Times New Roman"/>
      <w:color w:val="000000"/>
      <w:sz w:val="21"/>
      <w:szCs w:val="21"/>
      <w:u w:val="none"/>
    </w:rPr>
  </w:style>
  <w:style w:type="paragraph" w:customStyle="1" w:styleId="76">
    <w:name w:val="正文_0_0"/>
    <w:basedOn w:val="1"/>
    <w:autoRedefine/>
    <w:qFormat/>
    <w:uiPriority w:val="0"/>
    <w:rPr>
      <w:rFonts w:ascii="Calibri" w:hAnsi="Calibri" w:eastAsia="宋体" w:cs="Times New Roman"/>
    </w:rPr>
  </w:style>
  <w:style w:type="character" w:customStyle="1" w:styleId="77">
    <w:name w:val="批注文字 Char1"/>
    <w:basedOn w:val="22"/>
    <w:link w:val="5"/>
    <w:autoRedefine/>
    <w:qFormat/>
    <w:uiPriority w:val="0"/>
    <w:rPr>
      <w:szCs w:val="24"/>
    </w:rPr>
  </w:style>
  <w:style w:type="character" w:customStyle="1" w:styleId="78">
    <w:name w:val="列表段落 字符"/>
    <w:basedOn w:val="22"/>
    <w:link w:val="79"/>
    <w:autoRedefine/>
    <w:qFormat/>
    <w:uiPriority w:val="99"/>
    <w:rPr>
      <w:rFonts w:hint="default" w:ascii="Calibri" w:hAnsi="Calibri" w:cs="Calibri"/>
      <w:kern w:val="2"/>
      <w:sz w:val="21"/>
      <w:szCs w:val="22"/>
    </w:rPr>
  </w:style>
  <w:style w:type="paragraph" w:customStyle="1" w:styleId="79">
    <w:name w:val="_Style 81"/>
    <w:basedOn w:val="1"/>
    <w:next w:val="27"/>
    <w:link w:val="78"/>
    <w:autoRedefine/>
    <w:qFormat/>
    <w:uiPriority w:val="99"/>
    <w:pPr>
      <w:ind w:firstLine="420" w:firstLineChars="200"/>
    </w:pPr>
    <w:rPr>
      <w:rFonts w:ascii="Calibri" w:hAnsi="Calibri" w:eastAsia="宋体" w:cs="Calibri"/>
    </w:rPr>
  </w:style>
  <w:style w:type="paragraph" w:customStyle="1" w:styleId="80">
    <w:name w:val="_Style 24"/>
    <w:basedOn w:val="1"/>
    <w:qFormat/>
    <w:uiPriority w:val="0"/>
    <w:pPr>
      <w:ind w:firstLine="420" w:firstLineChars="200"/>
    </w:pPr>
    <w:rPr>
      <w:rFonts w:ascii="Calibri" w:hAnsi="Calibri" w:eastAsia="宋体" w:cs="Times New Roman"/>
    </w:rPr>
  </w:style>
  <w:style w:type="character" w:customStyle="1" w:styleId="81">
    <w:name w:val="列表段落 字符3"/>
    <w:basedOn w:val="22"/>
    <w:autoRedefine/>
    <w:qFormat/>
    <w:uiPriority w:val="0"/>
    <w:rPr>
      <w:rFonts w:hint="default" w:ascii="Calibri" w:hAnsi="Calibri" w:eastAsia="宋体" w:cs="Times New Roman"/>
      <w:kern w:val="2"/>
      <w:sz w:val="21"/>
      <w:szCs w:val="22"/>
    </w:rPr>
  </w:style>
  <w:style w:type="character" w:customStyle="1" w:styleId="82">
    <w:name w:val="批注文字 字符1"/>
    <w:autoRedefine/>
    <w:qFormat/>
    <w:uiPriority w:val="0"/>
    <w:rPr>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13</Pages>
  <Words>6372</Words>
  <Characters>6474</Characters>
  <Lines>57</Lines>
  <Paragraphs>16</Paragraphs>
  <TotalTime>1</TotalTime>
  <ScaleCrop>false</ScaleCrop>
  <LinksUpToDate>false</LinksUpToDate>
  <CharactersWithSpaces>6588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2023-09-27T08:05:00Z</dcterms:created>
  <dc:creator>dreamsummit</dc:creator>
  <cp:lastModifiedBy>YXQ</cp:lastModifiedBy>
  <cp:lastPrinted>2018-10-16T04:01:00Z</cp:lastPrinted>
  <dcterms:modified xsi:type="dcterms:W3CDTF">2024-06-18T03:46:52Z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28FEF147A3E645DD89E5918D152B1318_13</vt:lpwstr>
  </property>
</Properties>
</file>