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6"/>
        <w:snapToGrid w:val="0"/>
        <w:spacing w:before="156" w:beforeLines="50"/>
        <w:rPr>
          <w:rFonts w:ascii="宋体" w:hAnsi="宋体" w:cs="Calibri"/>
          <w:b/>
          <w:color w:val="000000" w:themeColor="text1"/>
          <w:sz w:val="84"/>
          <w:szCs w:val="84"/>
        </w:rPr>
      </w:pPr>
    </w:p>
    <w:p>
      <w:pPr>
        <w:pStyle w:val="46"/>
        <w:snapToGrid w:val="0"/>
        <w:spacing w:before="156" w:beforeLines="50"/>
        <w:jc w:val="center"/>
        <w:rPr>
          <w:rFonts w:ascii="宋体" w:hAnsi="宋体" w:cs="Calibri"/>
          <w:b/>
          <w:color w:val="000000" w:themeColor="text1"/>
          <w:sz w:val="84"/>
          <w:szCs w:val="84"/>
        </w:rPr>
      </w:pPr>
    </w:p>
    <w:p>
      <w:pPr>
        <w:pStyle w:val="46"/>
        <w:snapToGrid w:val="0"/>
        <w:spacing w:before="156" w:beforeLines="50"/>
        <w:jc w:val="center"/>
        <w:rPr>
          <w:rFonts w:ascii="宋体" w:hAnsi="宋体"/>
          <w:b/>
          <w:bCs/>
          <w:color w:val="000000" w:themeColor="text1"/>
          <w:sz w:val="84"/>
          <w:szCs w:val="84"/>
        </w:rPr>
      </w:pPr>
      <w:r>
        <w:rPr>
          <w:rFonts w:hint="eastAsia" w:ascii="宋体" w:hAnsi="宋体" w:cs="Calibri"/>
          <w:b/>
          <w:color w:val="000000" w:themeColor="text1"/>
          <w:sz w:val="84"/>
          <w:szCs w:val="84"/>
        </w:rPr>
        <w:t>竞价文件</w:t>
      </w:r>
    </w:p>
    <w:p>
      <w:pPr>
        <w:pStyle w:val="46"/>
        <w:spacing w:line="360" w:lineRule="auto"/>
        <w:jc w:val="center"/>
        <w:rPr>
          <w:rFonts w:ascii="宋体" w:hAnsi="宋体" w:cs="Calibri"/>
          <w:b/>
          <w:bCs/>
          <w:color w:val="000000" w:themeColor="text1"/>
          <w:sz w:val="24"/>
        </w:rPr>
      </w:pPr>
    </w:p>
    <w:p>
      <w:pPr>
        <w:pStyle w:val="46"/>
        <w:spacing w:line="360" w:lineRule="auto"/>
        <w:rPr>
          <w:rFonts w:ascii="宋体" w:hAnsi="宋体" w:cs="Calibri"/>
          <w:color w:val="000000" w:themeColor="text1"/>
          <w:sz w:val="30"/>
          <w:szCs w:val="30"/>
        </w:rPr>
      </w:pPr>
    </w:p>
    <w:p>
      <w:pPr>
        <w:pStyle w:val="46"/>
        <w:spacing w:line="360" w:lineRule="auto"/>
        <w:rPr>
          <w:rFonts w:ascii="宋体" w:hAnsi="宋体" w:cs="Calibri"/>
          <w:color w:val="000000" w:themeColor="text1"/>
          <w:sz w:val="30"/>
          <w:szCs w:val="30"/>
        </w:rPr>
      </w:pPr>
    </w:p>
    <w:p>
      <w:pPr>
        <w:pStyle w:val="46"/>
        <w:spacing w:line="360" w:lineRule="auto"/>
        <w:rPr>
          <w:rFonts w:ascii="宋体" w:hAnsi="宋体" w:cs="Calibri"/>
          <w:color w:val="000000" w:themeColor="text1"/>
          <w:sz w:val="30"/>
          <w:szCs w:val="30"/>
        </w:rPr>
      </w:pPr>
    </w:p>
    <w:p>
      <w:pPr>
        <w:pStyle w:val="46"/>
        <w:spacing w:line="360" w:lineRule="auto"/>
        <w:rPr>
          <w:rFonts w:ascii="宋体" w:hAnsi="宋体" w:cs="Calibri"/>
          <w:color w:val="000000" w:themeColor="text1"/>
          <w:sz w:val="30"/>
          <w:szCs w:val="30"/>
        </w:rPr>
      </w:pPr>
    </w:p>
    <w:p>
      <w:pPr>
        <w:pStyle w:val="46"/>
        <w:spacing w:line="360" w:lineRule="auto"/>
        <w:jc w:val="left"/>
        <w:rPr>
          <w:rFonts w:ascii="宋体" w:hAnsi="宋体" w:cs="Calibri"/>
          <w:b/>
          <w:bCs/>
          <w:color w:val="000000" w:themeColor="text1"/>
          <w:sz w:val="28"/>
          <w:szCs w:val="32"/>
        </w:rPr>
      </w:pPr>
      <w:r>
        <w:rPr>
          <w:rFonts w:hint="eastAsia" w:ascii="宋体" w:hAnsi="宋体" w:cs="Calibri"/>
          <w:b/>
          <w:bCs/>
          <w:color w:val="000000" w:themeColor="text1"/>
          <w:sz w:val="28"/>
          <w:szCs w:val="32"/>
        </w:rPr>
        <w:t>采购方式：线上竞价</w:t>
      </w:r>
    </w:p>
    <w:p>
      <w:pPr>
        <w:widowControl/>
        <w:jc w:val="left"/>
        <w:rPr>
          <w:rFonts w:ascii="宋体" w:hAnsi="宋体" w:cs="Calibri"/>
          <w:b/>
          <w:bCs/>
          <w:color w:val="000000" w:themeColor="text1"/>
          <w:sz w:val="28"/>
          <w:szCs w:val="32"/>
        </w:rPr>
      </w:pPr>
      <w:r>
        <w:rPr>
          <w:rFonts w:hint="eastAsia" w:ascii="宋体" w:hAnsi="宋体" w:cs="Calibri"/>
          <w:b/>
          <w:bCs/>
          <w:color w:val="000000" w:themeColor="text1"/>
          <w:sz w:val="28"/>
          <w:szCs w:val="32"/>
        </w:rPr>
        <w:t>项目名称：</w:t>
      </w:r>
      <w:bookmarkStart w:id="0" w:name="_Hlk48529998"/>
      <w:r>
        <w:rPr>
          <w:rFonts w:hint="eastAsia" w:ascii="宋体" w:hAnsi="宋体" w:cs="Calibri"/>
          <w:b/>
          <w:bCs/>
          <w:color w:val="000000" w:themeColor="text1"/>
          <w:sz w:val="28"/>
          <w:szCs w:val="32"/>
          <w:lang w:eastAsia="zh-CN"/>
        </w:rPr>
        <w:t>2024-2025年高压配电房电气设备维护服务项目（第二次竞价）</w:t>
      </w:r>
      <w:r>
        <w:rPr>
          <w:rFonts w:hint="eastAsia" w:ascii="宋体" w:hAnsi="宋体" w:cs="Calibri"/>
          <w:b/>
          <w:bCs/>
          <w:color w:val="000000" w:themeColor="text1"/>
          <w:sz w:val="28"/>
          <w:szCs w:val="32"/>
        </w:rPr>
        <w:t xml:space="preserve">  </w:t>
      </w:r>
    </w:p>
    <w:p>
      <w:pPr>
        <w:pStyle w:val="46"/>
        <w:tabs>
          <w:tab w:val="left" w:pos="2790"/>
        </w:tabs>
        <w:spacing w:line="360" w:lineRule="auto"/>
        <w:ind w:left="1405" w:hanging="1405" w:hangingChars="500"/>
        <w:jc w:val="left"/>
        <w:rPr>
          <w:rFonts w:hint="eastAsia" w:ascii="宋体" w:hAnsi="宋体" w:eastAsia="宋体" w:cs="Calibri"/>
          <w:b/>
          <w:bCs/>
          <w:color w:val="000000" w:themeColor="text1"/>
          <w:sz w:val="28"/>
          <w:szCs w:val="32"/>
          <w:lang w:val="en-US" w:eastAsia="zh-CN"/>
        </w:rPr>
      </w:pPr>
      <w:r>
        <w:rPr>
          <w:rFonts w:hint="eastAsia" w:ascii="宋体" w:hAnsi="宋体" w:cs="Calibri"/>
          <w:b/>
          <w:bCs/>
          <w:color w:val="000000" w:themeColor="text1"/>
          <w:sz w:val="28"/>
          <w:szCs w:val="32"/>
        </w:rPr>
        <w:t>项目编号：</w:t>
      </w:r>
      <w:bookmarkEnd w:id="0"/>
      <w:r>
        <w:rPr>
          <w:rFonts w:ascii="宋体" w:hAnsi="宋体" w:cs="Calibri"/>
          <w:b/>
          <w:bCs/>
          <w:color w:val="000000" w:themeColor="text1"/>
          <w:sz w:val="28"/>
          <w:szCs w:val="32"/>
        </w:rPr>
        <w:t>SDWW202403S079</w:t>
      </w:r>
      <w:r>
        <w:rPr>
          <w:rFonts w:hint="eastAsia" w:ascii="宋体" w:hAnsi="宋体" w:cs="Calibri"/>
          <w:b/>
          <w:bCs/>
          <w:color w:val="000000" w:themeColor="text1"/>
          <w:sz w:val="28"/>
          <w:szCs w:val="32"/>
          <w:lang w:val="en-US" w:eastAsia="zh-CN"/>
        </w:rPr>
        <w:t>A</w:t>
      </w:r>
    </w:p>
    <w:p>
      <w:pPr>
        <w:pStyle w:val="46"/>
        <w:tabs>
          <w:tab w:val="left" w:pos="2790"/>
        </w:tabs>
        <w:spacing w:line="360" w:lineRule="auto"/>
        <w:ind w:left="1500" w:hanging="1500" w:hangingChars="500"/>
        <w:jc w:val="left"/>
        <w:rPr>
          <w:rFonts w:ascii="宋体" w:hAnsi="宋体" w:cs="华文中宋"/>
          <w:color w:val="000000" w:themeColor="text1"/>
          <w:sz w:val="30"/>
          <w:szCs w:val="30"/>
        </w:rPr>
      </w:pPr>
    </w:p>
    <w:p>
      <w:pPr>
        <w:pStyle w:val="46"/>
        <w:autoSpaceDE w:val="0"/>
        <w:autoSpaceDN w:val="0"/>
        <w:adjustRightInd w:val="0"/>
        <w:snapToGrid w:val="0"/>
        <w:spacing w:before="156" w:beforeLines="50" w:after="156" w:afterLines="50" w:line="360" w:lineRule="auto"/>
        <w:jc w:val="left"/>
        <w:rPr>
          <w:rFonts w:ascii="宋体" w:hAnsi="宋体" w:cs="华文中宋"/>
          <w:color w:val="000000" w:themeColor="text1"/>
          <w:kern w:val="0"/>
          <w:sz w:val="30"/>
          <w:szCs w:val="30"/>
        </w:rPr>
      </w:pPr>
    </w:p>
    <w:p>
      <w:pPr>
        <w:pStyle w:val="46"/>
        <w:autoSpaceDE w:val="0"/>
        <w:autoSpaceDN w:val="0"/>
        <w:adjustRightInd w:val="0"/>
        <w:snapToGrid w:val="0"/>
        <w:spacing w:line="360" w:lineRule="auto"/>
        <w:ind w:left="420" w:firstLine="420"/>
        <w:jc w:val="center"/>
        <w:rPr>
          <w:rFonts w:ascii="宋体" w:hAnsi="宋体" w:cs="Calibri"/>
          <w:b/>
          <w:bCs/>
          <w:color w:val="000000" w:themeColor="text1"/>
          <w:sz w:val="28"/>
          <w:szCs w:val="32"/>
        </w:rPr>
      </w:pPr>
      <w:r>
        <w:rPr>
          <w:rFonts w:hint="eastAsia" w:ascii="宋体" w:hAnsi="宋体" w:cs="Calibri"/>
          <w:b/>
          <w:bCs/>
          <w:color w:val="000000" w:themeColor="text1"/>
          <w:sz w:val="28"/>
          <w:szCs w:val="32"/>
        </w:rPr>
        <w:t>广东省广播电视网络股份有限公司佛山顺德分公司</w:t>
      </w:r>
    </w:p>
    <w:p>
      <w:pPr>
        <w:pStyle w:val="46"/>
        <w:autoSpaceDE w:val="0"/>
        <w:autoSpaceDN w:val="0"/>
        <w:adjustRightInd w:val="0"/>
        <w:snapToGrid w:val="0"/>
        <w:spacing w:line="360" w:lineRule="auto"/>
        <w:ind w:left="420" w:firstLine="420"/>
        <w:jc w:val="center"/>
        <w:rPr>
          <w:rFonts w:ascii="宋体" w:hAnsi="宋体" w:cs="Calibri"/>
          <w:b/>
          <w:bCs/>
          <w:color w:val="000000" w:themeColor="text1"/>
          <w:sz w:val="28"/>
          <w:szCs w:val="32"/>
        </w:rPr>
      </w:pPr>
      <w:r>
        <w:rPr>
          <w:rFonts w:hint="eastAsia" w:ascii="宋体" w:hAnsi="宋体" w:cs="Calibri"/>
          <w:b/>
          <w:bCs/>
          <w:color w:val="000000" w:themeColor="text1"/>
          <w:sz w:val="28"/>
          <w:szCs w:val="32"/>
        </w:rPr>
        <w:t>采联国际招标采购集团有限公司</w:t>
      </w:r>
    </w:p>
    <w:p>
      <w:pPr>
        <w:pStyle w:val="46"/>
        <w:autoSpaceDE w:val="0"/>
        <w:autoSpaceDN w:val="0"/>
        <w:adjustRightInd w:val="0"/>
        <w:snapToGrid w:val="0"/>
        <w:spacing w:line="360" w:lineRule="auto"/>
        <w:ind w:left="420" w:firstLine="420"/>
        <w:jc w:val="center"/>
        <w:rPr>
          <w:rFonts w:ascii="宋体" w:hAnsi="宋体" w:cs="Calibri"/>
          <w:b/>
          <w:color w:val="000000" w:themeColor="text1"/>
          <w:sz w:val="28"/>
          <w:szCs w:val="22"/>
        </w:rPr>
      </w:pPr>
      <w:r>
        <w:rPr>
          <w:rFonts w:hint="eastAsia" w:ascii="宋体" w:hAnsi="宋体" w:cs="Calibri"/>
          <w:b/>
          <w:color w:val="000000" w:themeColor="text1"/>
          <w:sz w:val="28"/>
          <w:szCs w:val="21"/>
        </w:rPr>
        <w:t>二零二四年四月</w:t>
      </w:r>
    </w:p>
    <w:p>
      <w:pPr>
        <w:pStyle w:val="46"/>
        <w:autoSpaceDE w:val="0"/>
        <w:autoSpaceDN w:val="0"/>
        <w:adjustRightInd w:val="0"/>
        <w:snapToGrid w:val="0"/>
        <w:spacing w:line="360" w:lineRule="auto"/>
        <w:ind w:left="420" w:firstLine="420"/>
        <w:jc w:val="center"/>
        <w:rPr>
          <w:rFonts w:ascii="宋体" w:hAnsi="宋体" w:cs="Calibri"/>
          <w:color w:val="000000" w:themeColor="text1"/>
          <w:sz w:val="28"/>
          <w:szCs w:val="21"/>
        </w:rPr>
      </w:pPr>
    </w:p>
    <w:p>
      <w:pPr>
        <w:jc w:val="center"/>
        <w:outlineLvl w:val="0"/>
        <w:rPr>
          <w:rFonts w:ascii="宋体" w:hAnsi="宋体" w:cs="宋体"/>
          <w:b/>
          <w:bCs/>
          <w:color w:val="000000" w:themeColor="text1"/>
          <w:sz w:val="32"/>
          <w:szCs w:val="32"/>
        </w:rPr>
      </w:pPr>
      <w:r>
        <w:rPr>
          <w:rFonts w:ascii="宋体" w:hAnsi="宋体"/>
          <w:b/>
          <w:color w:val="000000" w:themeColor="text1"/>
          <w:sz w:val="44"/>
          <w:szCs w:val="44"/>
        </w:rPr>
        <w:br w:type="page"/>
      </w:r>
      <w:r>
        <w:rPr>
          <w:rFonts w:hint="eastAsia" w:ascii="宋体" w:hAnsi="宋体" w:cs="宋体"/>
          <w:b/>
          <w:bCs/>
          <w:color w:val="000000" w:themeColor="text1"/>
          <w:sz w:val="32"/>
          <w:szCs w:val="32"/>
        </w:rPr>
        <w:t>第一章</w:t>
      </w:r>
      <w:r>
        <w:rPr>
          <w:rFonts w:ascii="宋体" w:hAnsi="宋体" w:cs="宋体"/>
          <w:b/>
          <w:bCs/>
          <w:color w:val="000000" w:themeColor="text1"/>
          <w:sz w:val="32"/>
          <w:szCs w:val="32"/>
        </w:rPr>
        <w:t xml:space="preserve"> </w:t>
      </w:r>
      <w:r>
        <w:rPr>
          <w:rFonts w:hint="eastAsia" w:ascii="宋体" w:hAnsi="宋体" w:cs="宋体"/>
          <w:b/>
          <w:bCs/>
          <w:color w:val="000000" w:themeColor="text1"/>
          <w:sz w:val="32"/>
          <w:szCs w:val="32"/>
        </w:rPr>
        <w:t>竞价须知</w:t>
      </w:r>
    </w:p>
    <w:p>
      <w:pPr>
        <w:numPr>
          <w:ilvl w:val="0"/>
          <w:numId w:val="2"/>
        </w:numPr>
        <w:spacing w:line="360" w:lineRule="auto"/>
        <w:rPr>
          <w:rFonts w:ascii="宋体" w:hAnsi="宋体"/>
          <w:color w:val="000000" w:themeColor="text1"/>
          <w:szCs w:val="21"/>
        </w:rPr>
      </w:pPr>
      <w:r>
        <w:rPr>
          <w:rFonts w:hint="eastAsia" w:ascii="宋体" w:hAnsi="宋体" w:cs="宋体"/>
          <w:color w:val="000000" w:themeColor="text1"/>
          <w:szCs w:val="21"/>
        </w:rPr>
        <w:t>本项目通过云采链线上采购一体化平台进行竞价，参与竞价的供应商必须登录平台进行注册，注册成功后方可参与项目竞价。</w:t>
      </w:r>
    </w:p>
    <w:p>
      <w:pPr>
        <w:numPr>
          <w:ilvl w:val="0"/>
          <w:numId w:val="2"/>
        </w:numPr>
        <w:spacing w:line="360" w:lineRule="auto"/>
        <w:rPr>
          <w:rFonts w:ascii="宋体" w:hAnsi="宋体"/>
          <w:color w:val="000000" w:themeColor="text1"/>
          <w:szCs w:val="21"/>
        </w:rPr>
      </w:pPr>
      <w:r>
        <w:rPr>
          <w:rFonts w:hint="eastAsia" w:ascii="宋体" w:hAnsi="宋体"/>
          <w:color w:val="000000" w:themeColor="text1"/>
          <w:szCs w:val="21"/>
        </w:rPr>
        <w:t>语言要求</w:t>
      </w:r>
    </w:p>
    <w:p>
      <w:pPr>
        <w:spacing w:line="360" w:lineRule="auto"/>
        <w:ind w:left="420"/>
        <w:rPr>
          <w:rFonts w:ascii="宋体" w:hAnsi="宋体"/>
          <w:color w:val="000000" w:themeColor="text1"/>
          <w:szCs w:val="21"/>
        </w:rPr>
      </w:pPr>
      <w:r>
        <w:rPr>
          <w:rFonts w:hint="eastAsia" w:ascii="宋体" w:hAnsi="宋体"/>
          <w:color w:val="000000" w:themeColor="text1"/>
          <w:szCs w:val="21"/>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pPr>
        <w:numPr>
          <w:ilvl w:val="0"/>
          <w:numId w:val="2"/>
        </w:numPr>
        <w:spacing w:line="360" w:lineRule="auto"/>
        <w:rPr>
          <w:rFonts w:ascii="宋体" w:hAnsi="宋体"/>
          <w:color w:val="000000" w:themeColor="text1"/>
          <w:szCs w:val="21"/>
        </w:rPr>
      </w:pPr>
      <w:r>
        <w:rPr>
          <w:rFonts w:hint="eastAsia" w:ascii="宋体" w:hAnsi="宋体"/>
          <w:color w:val="000000" w:themeColor="text1"/>
          <w:szCs w:val="21"/>
        </w:rPr>
        <w:t xml:space="preserve">在云采链平台参与项目竞价后放弃成交资格超过三次（含三次）的供应商连同该供应商同一法人名下所有公司将被列入平台黑名单，永久不得参与平台的项目竞价。  </w:t>
      </w:r>
    </w:p>
    <w:p>
      <w:pPr>
        <w:numPr>
          <w:ilvl w:val="0"/>
          <w:numId w:val="2"/>
        </w:numPr>
        <w:spacing w:line="360" w:lineRule="auto"/>
        <w:rPr>
          <w:rFonts w:ascii="宋体" w:hAnsi="宋体"/>
          <w:color w:val="000000" w:themeColor="text1"/>
          <w:szCs w:val="21"/>
        </w:rPr>
      </w:pPr>
      <w:r>
        <w:rPr>
          <w:rFonts w:hint="eastAsia" w:ascii="宋体" w:hAnsi="宋体" w:cs="宋体"/>
          <w:color w:val="000000" w:themeColor="text1"/>
          <w:szCs w:val="21"/>
        </w:rPr>
        <w:t>竞价须知</w:t>
      </w:r>
    </w:p>
    <w:p>
      <w:pPr>
        <w:numPr>
          <w:ilvl w:val="0"/>
          <w:numId w:val="3"/>
        </w:numPr>
        <w:spacing w:line="360" w:lineRule="auto"/>
        <w:rPr>
          <w:rFonts w:ascii="宋体" w:hAnsi="宋体"/>
          <w:b/>
          <w:bCs/>
          <w:color w:val="000000" w:themeColor="text1"/>
          <w:szCs w:val="21"/>
        </w:rPr>
      </w:pPr>
      <w:r>
        <w:rPr>
          <w:rFonts w:hint="eastAsia" w:ascii="宋体" w:hAnsi="宋体" w:cs="宋体"/>
          <w:b/>
          <w:bCs/>
          <w:color w:val="000000" w:themeColor="text1"/>
          <w:szCs w:val="21"/>
        </w:rPr>
        <w:t>竞价说明</w:t>
      </w:r>
    </w:p>
    <w:p>
      <w:pPr>
        <w:numPr>
          <w:ilvl w:val="0"/>
          <w:numId w:val="4"/>
        </w:numPr>
        <w:spacing w:line="360" w:lineRule="auto"/>
        <w:rPr>
          <w:rFonts w:ascii="宋体" w:hAnsi="宋体"/>
          <w:color w:val="000000" w:themeColor="text1"/>
          <w:szCs w:val="21"/>
        </w:rPr>
      </w:pPr>
      <w:r>
        <w:rPr>
          <w:rFonts w:hint="eastAsia" w:ascii="宋体" w:hAnsi="宋体" w:cs="宋体"/>
          <w:color w:val="000000" w:themeColor="text1"/>
          <w:szCs w:val="21"/>
        </w:rPr>
        <w:t>参与竞价的供应商应承担所有与准备和参加竞价有关的费用，不</w:t>
      </w:r>
      <w:r>
        <w:rPr>
          <w:rFonts w:hint="eastAsia" w:ascii="宋体" w:hAnsi="宋体" w:cs="宋体"/>
          <w:color w:val="000000" w:themeColor="text1"/>
          <w:szCs w:val="21"/>
          <w:lang w:eastAsia="zh-TW"/>
        </w:rPr>
        <w:t>论</w:t>
      </w:r>
      <w:r>
        <w:rPr>
          <w:rFonts w:hint="eastAsia" w:ascii="宋体" w:hAnsi="宋体" w:cs="宋体"/>
          <w:color w:val="000000" w:themeColor="text1"/>
          <w:szCs w:val="21"/>
        </w:rPr>
        <w:t>竞价</w:t>
      </w:r>
      <w:r>
        <w:rPr>
          <w:rFonts w:hint="eastAsia" w:ascii="宋体" w:hAnsi="宋体" w:cs="宋体"/>
          <w:color w:val="000000" w:themeColor="text1"/>
          <w:szCs w:val="21"/>
          <w:lang w:eastAsia="zh-TW"/>
        </w:rPr>
        <w:t>的结果如何</w:t>
      </w:r>
      <w:r>
        <w:rPr>
          <w:rFonts w:hint="eastAsia" w:ascii="宋体" w:hAnsi="宋体" w:cs="宋体"/>
          <w:color w:val="000000" w:themeColor="text1"/>
          <w:szCs w:val="21"/>
        </w:rPr>
        <w:t>，采购</w:t>
      </w:r>
      <w:r>
        <w:rPr>
          <w:rFonts w:hint="eastAsia" w:ascii="宋体" w:hAnsi="宋体" w:cs="宋体"/>
          <w:color w:val="000000" w:themeColor="text1"/>
          <w:szCs w:val="21"/>
          <w:lang w:eastAsia="zh-TW"/>
        </w:rPr>
        <w:t>人</w:t>
      </w:r>
      <w:r>
        <w:rPr>
          <w:rFonts w:hint="eastAsia" w:ascii="宋体" w:hAnsi="宋体" w:cs="宋体"/>
          <w:color w:val="000000" w:themeColor="text1"/>
          <w:szCs w:val="21"/>
        </w:rPr>
        <w:t>和</w:t>
      </w:r>
      <w:r>
        <w:rPr>
          <w:rFonts w:hint="eastAsia" w:ascii="宋体" w:hAnsi="宋体" w:cs="宋体"/>
          <w:color w:val="000000" w:themeColor="text1"/>
          <w:szCs w:val="21"/>
          <w:lang w:eastAsia="zh-TW"/>
        </w:rPr>
        <w:t>代理机构均无义务和责任承担这些费用</w:t>
      </w:r>
      <w:r>
        <w:rPr>
          <w:rFonts w:hint="eastAsia" w:ascii="宋体" w:hAnsi="宋体" w:cs="宋体"/>
          <w:color w:val="000000" w:themeColor="text1"/>
          <w:szCs w:val="21"/>
        </w:rPr>
        <w:t>。</w:t>
      </w:r>
    </w:p>
    <w:p>
      <w:pPr>
        <w:numPr>
          <w:ilvl w:val="0"/>
          <w:numId w:val="4"/>
        </w:numPr>
        <w:spacing w:line="360" w:lineRule="auto"/>
        <w:rPr>
          <w:rFonts w:ascii="宋体" w:hAnsi="宋体"/>
          <w:color w:val="000000" w:themeColor="text1"/>
          <w:szCs w:val="21"/>
        </w:rPr>
      </w:pPr>
      <w:r>
        <w:rPr>
          <w:rFonts w:hint="eastAsia" w:ascii="宋体" w:hAnsi="宋体" w:cs="宋体"/>
          <w:color w:val="000000" w:themeColor="text1"/>
          <w:szCs w:val="21"/>
        </w:rPr>
        <w:t>参与竞价的供应商必须按竞价附件的格式填写，不得增加或删除表格内容。除单价、金额或项目要求填写的内容外，不得擅自改动竞价附件内容，否则将有可能影响成交结果，不推荐为成交候选人。</w:t>
      </w:r>
    </w:p>
    <w:p>
      <w:pPr>
        <w:numPr>
          <w:ilvl w:val="0"/>
          <w:numId w:val="4"/>
        </w:numPr>
        <w:spacing w:line="360" w:lineRule="auto"/>
        <w:rPr>
          <w:rFonts w:ascii="宋体" w:hAnsi="宋体"/>
          <w:color w:val="000000" w:themeColor="text1"/>
          <w:szCs w:val="21"/>
        </w:rPr>
      </w:pPr>
      <w:r>
        <w:rPr>
          <w:rFonts w:hint="eastAsia" w:ascii="宋体" w:hAnsi="宋体" w:cs="宋体"/>
          <w:color w:val="000000" w:themeColor="text1"/>
          <w:szCs w:val="21"/>
        </w:rPr>
        <w:t>参与竞价的</w:t>
      </w:r>
      <w:r>
        <w:rPr>
          <w:rFonts w:hint="eastAsia" w:ascii="宋体" w:hAnsi="宋体" w:cs="宋体"/>
          <w:color w:val="000000" w:themeColor="text1"/>
          <w:szCs w:val="21"/>
          <w:lang w:val="zh-CN"/>
        </w:rPr>
        <w:t>供应商需对用户需求书的所有条款进行整体响应，用户需求书条款若有一条负偏离或不响应，</w:t>
      </w:r>
      <w:r>
        <w:rPr>
          <w:rFonts w:hint="eastAsia" w:ascii="宋体" w:hAnsi="宋体" w:cs="宋体"/>
          <w:color w:val="000000" w:themeColor="text1"/>
          <w:szCs w:val="21"/>
        </w:rPr>
        <w:t>不推荐为成交候选人</w:t>
      </w:r>
      <w:r>
        <w:rPr>
          <w:rFonts w:hint="eastAsia" w:ascii="宋体" w:hAnsi="宋体" w:cs="宋体"/>
          <w:color w:val="000000" w:themeColor="text1"/>
          <w:szCs w:val="21"/>
          <w:lang w:val="zh-CN"/>
        </w:rPr>
        <w:t>。</w:t>
      </w:r>
    </w:p>
    <w:p>
      <w:pPr>
        <w:numPr>
          <w:ilvl w:val="0"/>
          <w:numId w:val="4"/>
        </w:numPr>
        <w:spacing w:line="360" w:lineRule="auto"/>
        <w:rPr>
          <w:rFonts w:ascii="宋体" w:hAnsi="宋体"/>
          <w:color w:val="000000" w:themeColor="text1"/>
          <w:szCs w:val="21"/>
        </w:rPr>
      </w:pPr>
      <w:r>
        <w:rPr>
          <w:rFonts w:hint="eastAsia" w:ascii="宋体" w:hAnsi="宋体" w:cs="宋体"/>
          <w:color w:val="000000" w:themeColor="text1"/>
          <w:szCs w:val="21"/>
        </w:rPr>
        <w:t>若成交供应商自身原因无法完成本项目，则采购人有权利保留追究责任。</w:t>
      </w:r>
    </w:p>
    <w:p>
      <w:pPr>
        <w:numPr>
          <w:ilvl w:val="0"/>
          <w:numId w:val="4"/>
        </w:numPr>
        <w:spacing w:line="360" w:lineRule="auto"/>
        <w:rPr>
          <w:rFonts w:ascii="宋体" w:hAnsi="宋体"/>
          <w:color w:val="000000" w:themeColor="text1"/>
          <w:szCs w:val="21"/>
        </w:rPr>
      </w:pPr>
      <w:r>
        <w:rPr>
          <w:rFonts w:hint="eastAsia" w:ascii="宋体" w:hAnsi="宋体" w:cs="宋体"/>
          <w:color w:val="000000" w:themeColor="text1"/>
          <w:szCs w:val="21"/>
        </w:rPr>
        <w:t>成交供应商因自身原因被取消成交资格，采购人可重新启动采购或按竞价公告规定顺延推选符合要求的供应商作为成交人。</w:t>
      </w:r>
    </w:p>
    <w:p>
      <w:pPr>
        <w:numPr>
          <w:ilvl w:val="0"/>
          <w:numId w:val="4"/>
        </w:numPr>
        <w:spacing w:line="360" w:lineRule="auto"/>
        <w:rPr>
          <w:rFonts w:ascii="宋体" w:hAnsi="宋体"/>
          <w:color w:val="000000" w:themeColor="text1"/>
          <w:szCs w:val="21"/>
        </w:rPr>
      </w:pPr>
      <w:r>
        <w:rPr>
          <w:rFonts w:hint="eastAsia" w:ascii="宋体" w:hAnsi="宋体" w:cs="宋体"/>
          <w:color w:val="000000" w:themeColor="text1"/>
          <w:szCs w:val="21"/>
        </w:rPr>
        <w:t>若本项目竞价采购失败，采购人将重新采购，届时采购人有权根据项目具体情况，决定重新采购项目的采购方式。</w:t>
      </w:r>
    </w:p>
    <w:p>
      <w:pPr>
        <w:numPr>
          <w:ilvl w:val="0"/>
          <w:numId w:val="4"/>
        </w:numPr>
        <w:spacing w:line="360" w:lineRule="auto"/>
        <w:rPr>
          <w:rFonts w:ascii="宋体" w:hAnsi="宋体"/>
          <w:color w:val="000000" w:themeColor="text1"/>
          <w:szCs w:val="21"/>
        </w:rPr>
      </w:pPr>
      <w:r>
        <w:rPr>
          <w:rFonts w:hint="eastAsia" w:ascii="宋体" w:hAnsi="宋体" w:cs="宋体"/>
          <w:color w:val="000000" w:themeColor="text1"/>
          <w:szCs w:val="21"/>
        </w:rPr>
        <w:t>成交供应商若无正当理由恶意放弃成交资格，采购人有权将拒绝其参加本项目重新组织的竞价采购活动。</w:t>
      </w:r>
    </w:p>
    <w:p>
      <w:pPr>
        <w:pStyle w:val="48"/>
        <w:numPr>
          <w:ilvl w:val="0"/>
          <w:numId w:val="4"/>
        </w:numPr>
      </w:pPr>
      <w:r>
        <w:rPr>
          <w:rFonts w:hint="eastAsia"/>
        </w:rPr>
        <w:t>如采购人或代理机构在审核或复核参与竞价的供应商所提交的竞价资料时，供应商须无条件配合；期间若发现存在弄虚作假或相关的失信记录或违反国家法律法规等相关的不良情形，采购人可取消其成交资格并保留追究责任的权力。</w:t>
      </w:r>
    </w:p>
    <w:p>
      <w:pPr>
        <w:numPr>
          <w:ilvl w:val="0"/>
          <w:numId w:val="4"/>
        </w:numPr>
        <w:spacing w:line="360" w:lineRule="auto"/>
        <w:rPr>
          <w:rFonts w:ascii="宋体" w:hAnsi="宋体"/>
          <w:color w:val="000000" w:themeColor="text1"/>
          <w:szCs w:val="21"/>
        </w:rPr>
      </w:pPr>
      <w:r>
        <w:rPr>
          <w:rFonts w:hint="eastAsia" w:ascii="宋体" w:hAnsi="宋体" w:cs="宋体"/>
          <w:color w:val="000000" w:themeColor="text1"/>
          <w:szCs w:val="21"/>
        </w:rPr>
        <w:t>参与竞价的</w:t>
      </w:r>
      <w:r>
        <w:rPr>
          <w:rFonts w:hint="eastAsia" w:ascii="宋体" w:hAnsi="宋体" w:cs="宋体"/>
          <w:color w:val="000000" w:themeColor="text1"/>
          <w:szCs w:val="21"/>
          <w:lang w:eastAsia="zh-TW"/>
        </w:rPr>
        <w:t>供应商向我司咨询的有关项目事项，一切以</w:t>
      </w:r>
      <w:r>
        <w:rPr>
          <w:rFonts w:hint="eastAsia" w:ascii="宋体" w:hAnsi="宋体" w:cs="宋体"/>
          <w:color w:val="000000" w:themeColor="text1"/>
          <w:szCs w:val="21"/>
        </w:rPr>
        <w:t>竞价文件</w:t>
      </w:r>
      <w:r>
        <w:rPr>
          <w:rFonts w:hint="eastAsia" w:ascii="宋体" w:hAnsi="宋体" w:cs="宋体"/>
          <w:color w:val="000000" w:themeColor="text1"/>
          <w:szCs w:val="21"/>
          <w:lang w:eastAsia="zh-TW"/>
        </w:rPr>
        <w:t>规定</w:t>
      </w:r>
      <w:r>
        <w:rPr>
          <w:rFonts w:hint="eastAsia" w:ascii="宋体" w:hAnsi="宋体" w:cs="宋体"/>
          <w:color w:val="000000" w:themeColor="text1"/>
          <w:szCs w:val="21"/>
        </w:rPr>
        <w:t>和竞价公告规定以及</w:t>
      </w:r>
      <w:r>
        <w:rPr>
          <w:rFonts w:hint="eastAsia" w:ascii="宋体" w:hAnsi="宋体" w:cs="宋体"/>
          <w:color w:val="000000" w:themeColor="text1"/>
          <w:szCs w:val="21"/>
          <w:lang w:eastAsia="zh-TW"/>
        </w:rPr>
        <w:t>本公司</w:t>
      </w:r>
      <w:r>
        <w:rPr>
          <w:rFonts w:hint="eastAsia" w:ascii="宋体" w:hAnsi="宋体" w:cs="宋体"/>
          <w:color w:val="000000" w:themeColor="text1"/>
          <w:szCs w:val="21"/>
        </w:rPr>
        <w:t>的</w:t>
      </w:r>
      <w:r>
        <w:rPr>
          <w:rFonts w:hint="eastAsia" w:ascii="宋体" w:hAnsi="宋体" w:cs="宋体"/>
          <w:color w:val="000000" w:themeColor="text1"/>
          <w:szCs w:val="21"/>
          <w:lang w:eastAsia="zh-TW"/>
        </w:rPr>
        <w:t>书面答复为准，其他一切形式均为个人意见，不代表本公司的意见</w:t>
      </w:r>
      <w:r>
        <w:rPr>
          <w:rFonts w:hint="eastAsia" w:ascii="宋体" w:hAnsi="宋体" w:cs="宋体"/>
          <w:color w:val="000000" w:themeColor="text1"/>
          <w:szCs w:val="21"/>
        </w:rPr>
        <w:t>。</w:t>
      </w:r>
    </w:p>
    <w:p>
      <w:pPr>
        <w:numPr>
          <w:ilvl w:val="0"/>
          <w:numId w:val="4"/>
        </w:numPr>
        <w:spacing w:line="360" w:lineRule="auto"/>
        <w:rPr>
          <w:rFonts w:ascii="宋体" w:hAnsi="宋体"/>
          <w:color w:val="000000" w:themeColor="text1"/>
          <w:szCs w:val="21"/>
        </w:rPr>
      </w:pPr>
      <w:r>
        <w:rPr>
          <w:rFonts w:hint="eastAsia" w:ascii="宋体" w:hAnsi="宋体" w:cs="宋体"/>
          <w:color w:val="000000" w:themeColor="text1"/>
          <w:szCs w:val="21"/>
        </w:rPr>
        <w:t>参与竞价的供应商应认真阅读</w:t>
      </w:r>
      <w:r>
        <w:rPr>
          <w:rFonts w:hint="eastAsia" w:ascii="宋体" w:hAnsi="宋体" w:cs="宋体"/>
          <w:color w:val="000000" w:themeColor="text1"/>
          <w:szCs w:val="21"/>
          <w:lang w:eastAsia="zh-TW"/>
        </w:rPr>
        <w:t>、并充分理解</w:t>
      </w:r>
      <w:r>
        <w:rPr>
          <w:rFonts w:hint="eastAsia" w:ascii="宋体" w:hAnsi="宋体" w:cs="宋体"/>
          <w:color w:val="000000" w:themeColor="text1"/>
          <w:szCs w:val="21"/>
        </w:rPr>
        <w:t>竞价</w:t>
      </w:r>
      <w:r>
        <w:rPr>
          <w:rFonts w:hint="eastAsia" w:ascii="宋体" w:hAnsi="宋体" w:cs="宋体"/>
          <w:color w:val="000000" w:themeColor="text1"/>
          <w:szCs w:val="21"/>
          <w:lang w:eastAsia="zh-TW"/>
        </w:rPr>
        <w:t>文件的全部内容（包括所有的补充、修改内容重要事项、格式、条款</w:t>
      </w:r>
      <w:r>
        <w:rPr>
          <w:rFonts w:hint="eastAsia" w:ascii="宋体" w:hAnsi="宋体" w:cs="宋体"/>
          <w:color w:val="000000" w:themeColor="text1"/>
          <w:szCs w:val="21"/>
        </w:rPr>
        <w:t>、服务要求</w:t>
      </w:r>
      <w:r>
        <w:rPr>
          <w:rFonts w:hint="eastAsia" w:ascii="宋体" w:hAnsi="宋体" w:cs="宋体"/>
          <w:color w:val="000000" w:themeColor="text1"/>
          <w:szCs w:val="21"/>
          <w:lang w:eastAsia="zh-TW"/>
        </w:rPr>
        <w:t>和技术规范、参数及要求等）。</w:t>
      </w:r>
      <w:r>
        <w:rPr>
          <w:rFonts w:hint="eastAsia" w:ascii="宋体" w:hAnsi="宋体" w:cs="宋体"/>
          <w:color w:val="000000" w:themeColor="text1"/>
          <w:szCs w:val="21"/>
        </w:rPr>
        <w:t>供应商</w:t>
      </w:r>
      <w:r>
        <w:rPr>
          <w:rFonts w:hint="eastAsia" w:ascii="宋体" w:hAnsi="宋体" w:cs="宋体"/>
          <w:color w:val="000000" w:themeColor="text1"/>
          <w:szCs w:val="21"/>
          <w:lang w:eastAsia="zh-TW"/>
        </w:rPr>
        <w:t>没有按照</w:t>
      </w:r>
      <w:r>
        <w:rPr>
          <w:rFonts w:hint="eastAsia" w:ascii="宋体" w:hAnsi="宋体" w:cs="宋体"/>
          <w:color w:val="000000" w:themeColor="text1"/>
          <w:szCs w:val="21"/>
        </w:rPr>
        <w:t>竞价</w:t>
      </w:r>
      <w:r>
        <w:rPr>
          <w:rFonts w:hint="eastAsia" w:ascii="宋体" w:hAnsi="宋体" w:cs="宋体"/>
          <w:color w:val="000000" w:themeColor="text1"/>
          <w:szCs w:val="21"/>
          <w:lang w:eastAsia="zh-TW"/>
        </w:rPr>
        <w:t>文件要求提交全部资料，或者</w:t>
      </w:r>
      <w:r>
        <w:rPr>
          <w:rFonts w:hint="eastAsia" w:ascii="宋体" w:hAnsi="宋体" w:cs="宋体"/>
          <w:color w:val="000000" w:themeColor="text1"/>
          <w:szCs w:val="21"/>
        </w:rPr>
        <w:t>参与竞价所上传的</w:t>
      </w:r>
      <w:r>
        <w:rPr>
          <w:rFonts w:hint="eastAsia" w:ascii="宋体" w:hAnsi="宋体" w:cs="宋体"/>
          <w:color w:val="000000" w:themeColor="text1"/>
          <w:szCs w:val="21"/>
          <w:lang w:eastAsia="zh-TW"/>
        </w:rPr>
        <w:t>文件没有对</w:t>
      </w:r>
      <w:r>
        <w:rPr>
          <w:rFonts w:hint="eastAsia" w:ascii="宋体" w:hAnsi="宋体" w:cs="宋体"/>
          <w:color w:val="000000" w:themeColor="text1"/>
          <w:szCs w:val="21"/>
        </w:rPr>
        <w:t>竞价</w:t>
      </w:r>
      <w:r>
        <w:rPr>
          <w:rFonts w:hint="eastAsia" w:ascii="宋体" w:hAnsi="宋体" w:cs="宋体"/>
          <w:color w:val="000000" w:themeColor="text1"/>
          <w:szCs w:val="21"/>
          <w:lang w:eastAsia="zh-TW"/>
        </w:rPr>
        <w:t>文件在各方面都作出实质性响应是</w:t>
      </w:r>
      <w:r>
        <w:rPr>
          <w:rFonts w:hint="eastAsia" w:ascii="宋体" w:hAnsi="宋体" w:cs="宋体"/>
          <w:color w:val="000000" w:themeColor="text1"/>
          <w:szCs w:val="21"/>
        </w:rPr>
        <w:t>供应商</w:t>
      </w:r>
      <w:r>
        <w:rPr>
          <w:rFonts w:hint="eastAsia" w:ascii="宋体" w:hAnsi="宋体" w:cs="宋体"/>
          <w:color w:val="000000" w:themeColor="text1"/>
          <w:szCs w:val="21"/>
          <w:lang w:eastAsia="zh-TW"/>
        </w:rPr>
        <w:t>的风险，有可能导致其</w:t>
      </w:r>
      <w:r>
        <w:rPr>
          <w:rFonts w:hint="eastAsia" w:ascii="宋体" w:hAnsi="宋体" w:cs="宋体"/>
          <w:color w:val="000000" w:themeColor="text1"/>
          <w:szCs w:val="21"/>
        </w:rPr>
        <w:t>竞价</w:t>
      </w:r>
      <w:r>
        <w:rPr>
          <w:rFonts w:hint="eastAsia" w:ascii="宋体" w:hAnsi="宋体" w:cs="宋体"/>
          <w:color w:val="000000" w:themeColor="text1"/>
          <w:szCs w:val="21"/>
          <w:lang w:eastAsia="zh-TW"/>
        </w:rPr>
        <w:t>被拒绝，</w:t>
      </w:r>
      <w:r>
        <w:rPr>
          <w:rFonts w:hint="eastAsia" w:ascii="宋体" w:hAnsi="宋体" w:cs="宋体"/>
          <w:color w:val="000000" w:themeColor="text1"/>
          <w:szCs w:val="21"/>
        </w:rPr>
        <w:t>或被认定为无效竞价。</w:t>
      </w:r>
    </w:p>
    <w:p>
      <w:pPr>
        <w:numPr>
          <w:ilvl w:val="0"/>
          <w:numId w:val="4"/>
        </w:numPr>
        <w:spacing w:line="360" w:lineRule="auto"/>
        <w:rPr>
          <w:rFonts w:ascii="宋体" w:hAnsi="宋体"/>
          <w:color w:val="000000" w:themeColor="text1"/>
          <w:szCs w:val="21"/>
        </w:rPr>
      </w:pPr>
      <w:r>
        <w:rPr>
          <w:rFonts w:hint="eastAsia" w:ascii="宋体" w:hAnsi="宋体" w:cs="宋体"/>
          <w:color w:val="000000" w:themeColor="text1"/>
          <w:szCs w:val="21"/>
        </w:rPr>
        <w:t>采购人有权拒绝接受任何不合格的货物或服务，由此产生的费用及相关后果均由成交供应商自行承担；</w:t>
      </w:r>
    </w:p>
    <w:p>
      <w:pPr>
        <w:pStyle w:val="45"/>
        <w:numPr>
          <w:ilvl w:val="0"/>
          <w:numId w:val="4"/>
        </w:numPr>
        <w:spacing w:line="360" w:lineRule="auto"/>
        <w:ind w:firstLineChars="0"/>
        <w:rPr>
          <w:rFonts w:ascii="宋体" w:hAnsi="宋体"/>
          <w:color w:val="000000" w:themeColor="text1"/>
        </w:rPr>
      </w:pPr>
      <w:r>
        <w:rPr>
          <w:rFonts w:hint="eastAsia" w:ascii="宋体" w:hAnsi="宋体"/>
          <w:color w:val="000000" w:themeColor="text1"/>
        </w:rPr>
        <w:t>供应商认为竞价结果损害其权益的，应按照云采链平台相关指引在规定的时间内向采购人或代理机构提交书面质疑，不提交的视为无异议，逾期提交将不予受理；</w:t>
      </w:r>
    </w:p>
    <w:p>
      <w:pPr>
        <w:numPr>
          <w:ilvl w:val="0"/>
          <w:numId w:val="4"/>
        </w:numPr>
        <w:spacing w:line="360" w:lineRule="auto"/>
        <w:rPr>
          <w:rFonts w:ascii="宋体" w:hAnsi="宋体"/>
          <w:color w:val="000000" w:themeColor="text1"/>
          <w:szCs w:val="21"/>
        </w:rPr>
      </w:pPr>
      <w:r>
        <w:rPr>
          <w:rFonts w:hint="eastAsia" w:ascii="宋体" w:hAnsi="宋体" w:cs="宋体"/>
          <w:color w:val="000000" w:themeColor="text1"/>
          <w:szCs w:val="21"/>
        </w:rPr>
        <w:t>本竞价公告和竞价文件的解释权归</w:t>
      </w:r>
      <w:r>
        <w:rPr>
          <w:rFonts w:hint="eastAsia" w:ascii="宋体" w:hAnsi="宋体" w:cs="宋体"/>
          <w:color w:val="000000" w:themeColor="text1"/>
          <w:szCs w:val="21"/>
          <w:lang w:eastAsia="zh-TW"/>
        </w:rPr>
        <w:t>“</w:t>
      </w:r>
      <w:r>
        <w:rPr>
          <w:rFonts w:hint="eastAsia" w:ascii="宋体" w:hAnsi="宋体" w:cs="宋体"/>
          <w:color w:val="000000" w:themeColor="text1"/>
          <w:szCs w:val="21"/>
        </w:rPr>
        <w:t>云采链线上采购一体化平台</w:t>
      </w:r>
      <w:r>
        <w:rPr>
          <w:rFonts w:hint="eastAsia" w:ascii="宋体" w:hAnsi="宋体" w:cs="宋体"/>
          <w:color w:val="000000" w:themeColor="text1"/>
          <w:szCs w:val="21"/>
          <w:lang w:eastAsia="zh-TW"/>
        </w:rPr>
        <w:t>”所有。</w:t>
      </w:r>
    </w:p>
    <w:p>
      <w:pPr>
        <w:numPr>
          <w:ilvl w:val="0"/>
          <w:numId w:val="3"/>
        </w:numPr>
        <w:spacing w:line="360" w:lineRule="auto"/>
        <w:rPr>
          <w:rFonts w:ascii="宋体" w:hAnsi="宋体"/>
          <w:color w:val="000000" w:themeColor="text1"/>
        </w:rPr>
      </w:pPr>
      <w:r>
        <w:rPr>
          <w:rFonts w:hint="eastAsia" w:ascii="宋体" w:hAnsi="宋体"/>
          <w:b/>
          <w:color w:val="000000" w:themeColor="text1"/>
        </w:rPr>
        <w:t>竞价文件的澄清或修改</w:t>
      </w:r>
    </w:p>
    <w:p>
      <w:pPr>
        <w:numPr>
          <w:ilvl w:val="1"/>
          <w:numId w:val="5"/>
        </w:numPr>
        <w:spacing w:line="360" w:lineRule="auto"/>
        <w:rPr>
          <w:rFonts w:ascii="宋体" w:hAnsi="宋体"/>
          <w:color w:val="000000" w:themeColor="text1"/>
        </w:rPr>
      </w:pPr>
      <w:r>
        <w:rPr>
          <w:rFonts w:hint="eastAsia" w:ascii="宋体" w:hAnsi="宋体"/>
          <w:color w:val="000000" w:themeColor="text1"/>
        </w:rPr>
        <w:t>采购人或者采购代理机构可以对已发出的竞价文件进行必要的澄清或者修改。澄清或者修改的内容将在云采链平台上发布澄清（更正/变更）公告。</w:t>
      </w:r>
    </w:p>
    <w:p>
      <w:pPr>
        <w:numPr>
          <w:ilvl w:val="1"/>
          <w:numId w:val="5"/>
        </w:numPr>
        <w:spacing w:line="360" w:lineRule="auto"/>
        <w:rPr>
          <w:rFonts w:ascii="宋体" w:hAnsi="宋体"/>
          <w:color w:val="000000" w:themeColor="text1"/>
        </w:rPr>
      </w:pPr>
      <w:r>
        <w:rPr>
          <w:rFonts w:hint="eastAsia" w:ascii="宋体" w:hAnsi="宋体"/>
          <w:color w:val="000000" w:themeColor="text1"/>
        </w:rPr>
        <w:t>无论澄清或者修改的内容是否影响竞价，平台将以短信形式通知所有的报名供应商；报名供应商应按要求履行相应的义务；</w:t>
      </w:r>
      <w:r>
        <w:rPr>
          <w:rFonts w:hint="eastAsia" w:ascii="宋体" w:hAnsi="宋体" w:cs="宋体"/>
          <w:color w:val="000000" w:themeColor="text1"/>
          <w:szCs w:val="21"/>
        </w:rPr>
        <w:t>如报名</w:t>
      </w:r>
      <w:r>
        <w:rPr>
          <w:rFonts w:hint="eastAsia" w:ascii="宋体" w:hAnsi="宋体" w:cs="宋体"/>
          <w:color w:val="000000" w:themeColor="text1"/>
          <w:szCs w:val="21"/>
          <w:lang w:eastAsia="zh-TW"/>
        </w:rPr>
        <w:t>截止时间</w:t>
      </w:r>
      <w:r>
        <w:rPr>
          <w:rFonts w:hint="eastAsia" w:ascii="宋体" w:hAnsi="宋体" w:cs="宋体"/>
          <w:color w:val="000000" w:themeColor="text1"/>
          <w:szCs w:val="21"/>
        </w:rPr>
        <w:t>少于一个工作日的，</w:t>
      </w:r>
      <w:r>
        <w:rPr>
          <w:rFonts w:hint="eastAsia" w:ascii="宋体" w:hAnsi="宋体"/>
          <w:color w:val="000000" w:themeColor="text1"/>
        </w:rPr>
        <w:t>采购人或者采购代理机构应当相应顺延报名的截止时间。</w:t>
      </w:r>
    </w:p>
    <w:p>
      <w:pPr>
        <w:numPr>
          <w:ilvl w:val="1"/>
          <w:numId w:val="5"/>
        </w:numPr>
        <w:spacing w:line="360" w:lineRule="auto"/>
        <w:rPr>
          <w:rFonts w:ascii="宋体" w:hAnsi="宋体"/>
          <w:color w:val="000000" w:themeColor="text1"/>
        </w:rPr>
      </w:pPr>
      <w:r>
        <w:rPr>
          <w:rFonts w:hint="eastAsia" w:ascii="宋体" w:hAnsi="宋体"/>
          <w:color w:val="000000" w:themeColor="text1"/>
        </w:rPr>
        <w:t>采购人或者采购代理机构发出的澄清或修改（更正/变更）的内容为竞价文件的组成部分，并对供应商具有约束力。</w:t>
      </w:r>
    </w:p>
    <w:p>
      <w:pPr>
        <w:numPr>
          <w:ilvl w:val="0"/>
          <w:numId w:val="3"/>
        </w:numPr>
        <w:spacing w:line="360" w:lineRule="auto"/>
        <w:rPr>
          <w:rFonts w:ascii="宋体" w:hAnsi="宋体"/>
          <w:b/>
          <w:bCs/>
          <w:color w:val="000000" w:themeColor="text1"/>
          <w:szCs w:val="21"/>
        </w:rPr>
      </w:pPr>
      <w:r>
        <w:rPr>
          <w:rFonts w:hint="eastAsia" w:ascii="宋体" w:hAnsi="宋体" w:cs="宋体"/>
          <w:b/>
          <w:bCs/>
          <w:color w:val="000000" w:themeColor="text1"/>
          <w:szCs w:val="21"/>
        </w:rPr>
        <w:t>报名要求（</w:t>
      </w:r>
      <w:r>
        <w:rPr>
          <w:rFonts w:hint="eastAsia" w:ascii="宋体" w:hAnsi="宋体" w:cs="宋体"/>
          <w:color w:val="000000" w:themeColor="text1"/>
          <w:szCs w:val="21"/>
        </w:rPr>
        <w:t>参与竞价的</w:t>
      </w:r>
      <w:r>
        <w:rPr>
          <w:rFonts w:hint="eastAsia" w:ascii="宋体" w:hAnsi="宋体" w:cs="宋体"/>
          <w:b/>
          <w:bCs/>
          <w:color w:val="000000" w:themeColor="text1"/>
          <w:szCs w:val="21"/>
        </w:rPr>
        <w:t>供应商资质要求</w:t>
      </w:r>
      <w:r>
        <w:rPr>
          <w:rFonts w:ascii="宋体" w:hAnsi="宋体" w:cs="宋体"/>
          <w:b/>
          <w:bCs/>
          <w:color w:val="000000" w:themeColor="text1"/>
          <w:szCs w:val="21"/>
        </w:rPr>
        <w:t>:</w:t>
      </w:r>
      <w:r>
        <w:rPr>
          <w:rFonts w:ascii="宋体" w:hAnsi="宋体" w:cs="宋体"/>
          <w:color w:val="000000" w:themeColor="text1"/>
          <w:szCs w:val="21"/>
        </w:rPr>
        <w:t xml:space="preserve"> </w:t>
      </w:r>
      <w:r>
        <w:rPr>
          <w:rFonts w:hint="eastAsia" w:ascii="宋体" w:hAnsi="宋体" w:cs="宋体"/>
          <w:b/>
          <w:bCs/>
          <w:color w:val="000000" w:themeColor="text1"/>
          <w:szCs w:val="21"/>
        </w:rPr>
        <w:t>报名时需要提供以下盖章资料</w:t>
      </w:r>
      <w:r>
        <w:rPr>
          <w:rFonts w:hint="eastAsia" w:ascii="宋体" w:hAnsi="宋体" w:cs="宋体"/>
          <w:color w:val="000000" w:themeColor="text1"/>
          <w:szCs w:val="21"/>
        </w:rPr>
        <w:t>，并对上传的报名文件资料承担责任</w:t>
      </w:r>
      <w:r>
        <w:rPr>
          <w:rFonts w:hint="eastAsia" w:ascii="宋体" w:hAnsi="宋体" w:cs="宋体"/>
          <w:b/>
          <w:bCs/>
          <w:color w:val="000000" w:themeColor="text1"/>
          <w:szCs w:val="21"/>
        </w:rPr>
        <w:t>）</w:t>
      </w:r>
    </w:p>
    <w:p>
      <w:pPr>
        <w:pStyle w:val="48"/>
      </w:pPr>
      <w:r>
        <w:rPr>
          <w:rFonts w:hint="eastAsia"/>
        </w:rPr>
        <w:t>报名供应商具有独立承担民事责任能力的在中华人民共和国境内注册的法人或其他组织（提供有效的营业执照或法人登记证书复印件）；如为独立法人设立的分支机构参加，响应人需提供独立法人出具的唯一响应授权书，授权书需明确响应人的权限范围，并提交独立法人有效的营业执照或法人登记证书复印件；</w:t>
      </w:r>
    </w:p>
    <w:p>
      <w:pPr>
        <w:pStyle w:val="48"/>
      </w:pPr>
      <w:r>
        <w:rPr>
          <w:rFonts w:hint="eastAsia"/>
        </w:rPr>
        <w:t>本项目供应商不得存在下列情形之一：被责令停业的；被暂停或取消投标资格的；财产被接管或冻结的；在最近三年内有骗取中标或严重违约的；在投标过程中因重大违规被采购人处罚的；在“信用中国”（www.creditchina.gov.cn）、中国政府采购网（www.ccgp.gov.cn）被列入失信被执行人、重大税收违法失信主体、政府采购严重违法失信行为记录名单。本项目不允许分包或转包，不接受联合体参加，供应商须提供供应商资格声明函，格式详见附件；</w:t>
      </w:r>
    </w:p>
    <w:p>
      <w:pPr>
        <w:pStyle w:val="48"/>
      </w:pPr>
      <w:r>
        <w:rPr>
          <w:rFonts w:hint="eastAsia"/>
        </w:rPr>
        <w:t>供应商完全响应本项目用户需求的条款、内容及要求的，提供用户需求书响应声明函，格式详见附件；</w:t>
      </w:r>
    </w:p>
    <w:p>
      <w:pPr>
        <w:pStyle w:val="48"/>
      </w:pPr>
      <w:r>
        <w:rPr>
          <w:rFonts w:hint="eastAsia"/>
        </w:rPr>
        <w:t>具有《承装（修、试）电力设施许可证》承装类五级或以上企业资质等级证书（注：一级最高）（提供复印件加盖单位公章）。</w:t>
      </w:r>
    </w:p>
    <w:p>
      <w:pPr>
        <w:pStyle w:val="48"/>
      </w:pPr>
      <w:r>
        <w:rPr>
          <w:rFonts w:hint="eastAsia"/>
        </w:rPr>
        <w:t>拟投入本项目的维护人员要求：维护人员要获得《高压电工进网作业许可证》资格证书。（提供拟投入本项目维护人员的相关证书复印件）。</w:t>
      </w:r>
    </w:p>
    <w:p>
      <w:pPr>
        <w:numPr>
          <w:ilvl w:val="0"/>
          <w:numId w:val="3"/>
        </w:numPr>
        <w:spacing w:line="360" w:lineRule="auto"/>
        <w:rPr>
          <w:rFonts w:ascii="宋体" w:hAnsi="宋体"/>
          <w:b/>
          <w:bCs/>
          <w:color w:val="000000" w:themeColor="text1"/>
          <w:szCs w:val="21"/>
        </w:rPr>
      </w:pPr>
      <w:r>
        <w:rPr>
          <w:rFonts w:hint="eastAsia" w:ascii="宋体" w:hAnsi="宋体" w:cs="宋体"/>
          <w:b/>
          <w:bCs/>
          <w:color w:val="000000" w:themeColor="text1"/>
          <w:szCs w:val="21"/>
        </w:rPr>
        <w:t>报价要求（报价时需要提供以下盖章资料</w:t>
      </w:r>
      <w:r>
        <w:rPr>
          <w:rFonts w:hint="eastAsia" w:ascii="宋体" w:hAnsi="宋体" w:cs="宋体"/>
          <w:color w:val="000000" w:themeColor="text1"/>
          <w:szCs w:val="21"/>
        </w:rPr>
        <w:t>，并对上传的竞价文件资料承担责任</w:t>
      </w:r>
      <w:r>
        <w:rPr>
          <w:rFonts w:hint="eastAsia" w:ascii="宋体" w:hAnsi="宋体" w:cs="宋体"/>
          <w:b/>
          <w:bCs/>
          <w:color w:val="000000" w:themeColor="text1"/>
          <w:szCs w:val="21"/>
        </w:rPr>
        <w:t>）</w:t>
      </w:r>
    </w:p>
    <w:p>
      <w:pPr>
        <w:numPr>
          <w:ilvl w:val="0"/>
          <w:numId w:val="6"/>
        </w:numPr>
        <w:spacing w:line="360" w:lineRule="auto"/>
        <w:rPr>
          <w:rFonts w:ascii="宋体" w:hAnsi="宋体"/>
          <w:color w:val="000000" w:themeColor="text1"/>
          <w:szCs w:val="21"/>
        </w:rPr>
      </w:pPr>
      <w:r>
        <w:rPr>
          <w:rFonts w:hint="eastAsia" w:ascii="宋体" w:hAnsi="宋体" w:cs="宋体"/>
          <w:color w:val="000000" w:themeColor="text1"/>
          <w:szCs w:val="21"/>
        </w:rPr>
        <w:t>通过报名供应商应根据本公告要求，在规定的竞价时间内对采购项目进行报价，同时按本公告要求完整</w:t>
      </w:r>
      <w:r>
        <w:rPr>
          <w:rFonts w:hint="eastAsia" w:ascii="宋体" w:hAnsi="宋体" w:cs="宋体"/>
          <w:color w:val="000000" w:themeColor="text1"/>
          <w:szCs w:val="21"/>
          <w:lang w:eastAsia="zh-TW"/>
        </w:rPr>
        <w:t>、真实、准确地</w:t>
      </w:r>
      <w:r>
        <w:rPr>
          <w:rFonts w:hint="eastAsia" w:ascii="宋体" w:hAnsi="宋体" w:cs="宋体"/>
          <w:color w:val="000000" w:themeColor="text1"/>
          <w:szCs w:val="21"/>
        </w:rPr>
        <w:t>填写并上传相应报价附件（</w:t>
      </w:r>
      <w:r>
        <w:rPr>
          <w:rFonts w:hint="eastAsia" w:ascii="宋体" w:hAnsi="宋体" w:cs="宋体"/>
          <w:b/>
          <w:bCs/>
          <w:color w:val="000000" w:themeColor="text1"/>
          <w:szCs w:val="21"/>
        </w:rPr>
        <w:t>报价表</w:t>
      </w:r>
      <w:r>
        <w:rPr>
          <w:rFonts w:hint="eastAsia" w:ascii="宋体" w:hAnsi="宋体" w:cs="宋体"/>
          <w:color w:val="000000" w:themeColor="text1"/>
          <w:szCs w:val="21"/>
        </w:rPr>
        <w:t>）。</w:t>
      </w:r>
    </w:p>
    <w:p>
      <w:pPr>
        <w:pStyle w:val="48"/>
        <w:numPr>
          <w:ilvl w:val="0"/>
          <w:numId w:val="6"/>
        </w:numPr>
      </w:pPr>
      <w:r>
        <w:rPr>
          <w:rFonts w:hint="eastAsia"/>
        </w:rPr>
        <w:t>公告中的报价次数指报价期间供应商可进行的最多报价次数。如报价次数为2次，指供应商最多可进行2次报价。如供应商只进行1次报价，则以此次报价为准；如供应商因报价有误或其他原因需重新进行第2次报价，则以第2次报价为准，以此类推。</w:t>
      </w:r>
    </w:p>
    <w:p>
      <w:pPr>
        <w:numPr>
          <w:ilvl w:val="0"/>
          <w:numId w:val="3"/>
        </w:numPr>
        <w:spacing w:line="360" w:lineRule="auto"/>
        <w:rPr>
          <w:rFonts w:ascii="宋体" w:hAnsi="宋体"/>
          <w:b/>
          <w:bCs/>
          <w:color w:val="000000" w:themeColor="text1"/>
          <w:szCs w:val="21"/>
        </w:rPr>
      </w:pPr>
      <w:r>
        <w:rPr>
          <w:rFonts w:hint="eastAsia" w:ascii="宋体" w:hAnsi="宋体" w:cs="宋体"/>
          <w:b/>
          <w:bCs/>
          <w:color w:val="000000" w:themeColor="text1"/>
          <w:szCs w:val="21"/>
        </w:rPr>
        <w:t>确定成交候选人</w:t>
      </w:r>
    </w:p>
    <w:p>
      <w:pPr>
        <w:numPr>
          <w:ilvl w:val="0"/>
          <w:numId w:val="7"/>
        </w:numPr>
        <w:spacing w:line="360" w:lineRule="auto"/>
        <w:rPr>
          <w:rFonts w:ascii="宋体" w:hAnsi="宋体"/>
          <w:color w:val="000000" w:themeColor="text1"/>
          <w:szCs w:val="21"/>
        </w:rPr>
      </w:pPr>
      <w:r>
        <w:rPr>
          <w:rFonts w:hint="eastAsia" w:ascii="宋体" w:hAnsi="宋体" w:cs="宋体"/>
          <w:color w:val="000000" w:themeColor="text1"/>
          <w:szCs w:val="21"/>
        </w:rPr>
        <w:t>本项目以最低价成交的方式确定成交供应商。报价时间截止后，系统按报价（经价格核准后的价格）由低到高顺序排列，报价最低的为第一成交候选人，报价相同的，按报价时间在前的为第一成交候选人；报价次低的为第二成交候选人，以此类推。</w:t>
      </w:r>
    </w:p>
    <w:p>
      <w:pPr>
        <w:numPr>
          <w:ilvl w:val="0"/>
          <w:numId w:val="7"/>
        </w:numPr>
        <w:spacing w:line="360" w:lineRule="auto"/>
        <w:rPr>
          <w:rFonts w:ascii="宋体" w:hAnsi="宋体"/>
          <w:color w:val="000000" w:themeColor="text1"/>
          <w:szCs w:val="21"/>
        </w:rPr>
      </w:pPr>
      <w:r>
        <w:rPr>
          <w:rFonts w:hint="eastAsia" w:ascii="宋体" w:hAnsi="宋体" w:cs="宋体"/>
          <w:color w:val="000000" w:themeColor="text1"/>
          <w:szCs w:val="21"/>
        </w:rPr>
        <w:t>如各报价供应商提供的税率不一致时，则分别按下述规定计算各价格，如全部报价供应商税率都一致则无需转换价格。</w:t>
      </w:r>
    </w:p>
    <w:tbl>
      <w:tblPr>
        <w:tblStyle w:val="36"/>
        <w:tblW w:w="75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44"/>
        <w:gridCol w:w="32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pPr>
              <w:spacing w:line="360" w:lineRule="auto"/>
              <w:rPr>
                <w:rFonts w:ascii="宋体" w:hAnsi="宋体"/>
                <w:color w:val="000000" w:themeColor="text1"/>
                <w:szCs w:val="21"/>
              </w:rPr>
            </w:pPr>
            <w:r>
              <w:rPr>
                <w:rFonts w:hint="eastAsia" w:ascii="宋体" w:hAnsi="宋体"/>
                <w:color w:val="000000" w:themeColor="text1"/>
                <w:szCs w:val="21"/>
              </w:rPr>
              <w:t>报价供应商提供的发票类型</w:t>
            </w:r>
          </w:p>
        </w:tc>
        <w:tc>
          <w:tcPr>
            <w:tcW w:w="3264" w:type="dxa"/>
            <w:shd w:val="clear" w:color="auto" w:fill="auto"/>
          </w:tcPr>
          <w:p>
            <w:pPr>
              <w:spacing w:line="360" w:lineRule="auto"/>
              <w:rPr>
                <w:rFonts w:ascii="宋体" w:hAnsi="宋体"/>
                <w:color w:val="000000" w:themeColor="text1"/>
                <w:szCs w:val="21"/>
              </w:rPr>
            </w:pPr>
            <w:r>
              <w:rPr>
                <w:rFonts w:hint="eastAsia" w:ascii="宋体" w:hAnsi="宋体"/>
                <w:color w:val="000000" w:themeColor="text1"/>
                <w:szCs w:val="21"/>
              </w:rPr>
              <w:t>价格计算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pPr>
              <w:spacing w:line="360" w:lineRule="auto"/>
              <w:rPr>
                <w:rFonts w:ascii="宋体" w:hAnsi="宋体"/>
                <w:color w:val="000000" w:themeColor="text1"/>
                <w:szCs w:val="21"/>
              </w:rPr>
            </w:pPr>
            <w:r>
              <w:rPr>
                <w:rFonts w:hint="eastAsia" w:ascii="宋体" w:hAnsi="宋体"/>
                <w:color w:val="000000" w:themeColor="text1"/>
                <w:szCs w:val="21"/>
              </w:rPr>
              <w:t>增值税专用发票</w:t>
            </w:r>
          </w:p>
        </w:tc>
        <w:tc>
          <w:tcPr>
            <w:tcW w:w="3264" w:type="dxa"/>
            <w:shd w:val="clear" w:color="auto" w:fill="auto"/>
          </w:tcPr>
          <w:p>
            <w:pPr>
              <w:spacing w:line="360" w:lineRule="auto"/>
              <w:rPr>
                <w:rFonts w:ascii="宋体" w:hAnsi="宋体"/>
                <w:color w:val="000000" w:themeColor="text1"/>
                <w:szCs w:val="21"/>
              </w:rPr>
            </w:pPr>
            <w:r>
              <w:rPr>
                <w:rFonts w:hint="eastAsia" w:ascii="宋体" w:hAnsi="宋体"/>
                <w:color w:val="000000" w:themeColor="text1"/>
                <w:szCs w:val="21"/>
              </w:rPr>
              <w:t>报价/（1+增值税率）</w:t>
            </w:r>
          </w:p>
        </w:tc>
      </w:tr>
    </w:tbl>
    <w:p>
      <w:pPr>
        <w:numPr>
          <w:ilvl w:val="0"/>
          <w:numId w:val="3"/>
        </w:numPr>
        <w:spacing w:line="360" w:lineRule="auto"/>
        <w:rPr>
          <w:rFonts w:ascii="宋体" w:hAnsi="宋体"/>
          <w:b/>
          <w:bCs/>
          <w:color w:val="000000" w:themeColor="text1"/>
          <w:szCs w:val="21"/>
        </w:rPr>
      </w:pPr>
      <w:bookmarkStart w:id="1" w:name="_Hlk54791406"/>
      <w:r>
        <w:rPr>
          <w:rFonts w:hint="eastAsia" w:ascii="宋体" w:hAnsi="宋体" w:cs="宋体"/>
          <w:b/>
          <w:bCs/>
          <w:color w:val="000000" w:themeColor="text1"/>
          <w:szCs w:val="21"/>
        </w:rPr>
        <w:t>无效报价</w:t>
      </w:r>
    </w:p>
    <w:p>
      <w:pPr>
        <w:pStyle w:val="48"/>
        <w:numPr>
          <w:ilvl w:val="0"/>
          <w:numId w:val="8"/>
        </w:numPr>
      </w:pPr>
      <w:r>
        <w:rPr>
          <w:rFonts w:hint="eastAsia"/>
        </w:rPr>
        <w:t>参与竞价的供应商报价超过最高限价或低于最低限价或超过项目对应产品单项最高限价的视为无效报价。</w:t>
      </w:r>
    </w:p>
    <w:p>
      <w:pPr>
        <w:numPr>
          <w:ilvl w:val="0"/>
          <w:numId w:val="8"/>
        </w:numPr>
        <w:spacing w:line="360" w:lineRule="auto"/>
        <w:rPr>
          <w:rFonts w:ascii="宋体" w:hAnsi="宋体"/>
          <w:color w:val="000000" w:themeColor="text1"/>
          <w:szCs w:val="21"/>
        </w:rPr>
      </w:pPr>
      <w:r>
        <w:rPr>
          <w:rFonts w:hint="eastAsia" w:ascii="宋体" w:hAnsi="宋体" w:cs="宋体"/>
          <w:color w:val="000000" w:themeColor="text1"/>
          <w:szCs w:val="21"/>
        </w:rPr>
        <w:t>参与竞价的供应商须提供本项目要求的资质文件，如果不按公告规定或竞价文件要求等相关规定提供符合要求的资质文件，将被视为无效报价；</w:t>
      </w:r>
    </w:p>
    <w:p>
      <w:pPr>
        <w:numPr>
          <w:ilvl w:val="0"/>
          <w:numId w:val="8"/>
        </w:numPr>
        <w:spacing w:line="360" w:lineRule="auto"/>
        <w:rPr>
          <w:rFonts w:ascii="宋体" w:hAnsi="宋体"/>
          <w:color w:val="000000" w:themeColor="text1"/>
          <w:szCs w:val="21"/>
        </w:rPr>
      </w:pPr>
      <w:r>
        <w:rPr>
          <w:rFonts w:hint="eastAsia" w:ascii="宋体" w:hAnsi="宋体" w:cs="宋体"/>
          <w:color w:val="000000" w:themeColor="text1"/>
          <w:szCs w:val="21"/>
        </w:rPr>
        <w:t>参与竞价的供应商须对本项目采购内容进行整体报价，任何只对其中一部分内容进行的报价都被视为无效报价。</w:t>
      </w:r>
    </w:p>
    <w:p>
      <w:pPr>
        <w:numPr>
          <w:ilvl w:val="0"/>
          <w:numId w:val="8"/>
        </w:numPr>
        <w:spacing w:line="360" w:lineRule="auto"/>
        <w:rPr>
          <w:rFonts w:ascii="宋体" w:hAnsi="宋体"/>
          <w:color w:val="000000" w:themeColor="text1"/>
          <w:szCs w:val="21"/>
        </w:rPr>
      </w:pPr>
      <w:r>
        <w:rPr>
          <w:rFonts w:ascii="宋体" w:hAnsi="宋体"/>
          <w:color w:val="000000" w:themeColor="text1"/>
          <w:u w:val="double"/>
        </w:rPr>
        <w:t>报价表</w:t>
      </w:r>
      <w:r>
        <w:rPr>
          <w:rFonts w:hint="eastAsia" w:ascii="宋体" w:hAnsi="宋体"/>
          <w:color w:val="000000" w:themeColor="text1"/>
          <w:u w:val="double"/>
        </w:rPr>
        <w:t>以及有报价供应商落款的报价文件</w:t>
      </w:r>
      <w:r>
        <w:rPr>
          <w:rFonts w:ascii="宋体" w:hAnsi="宋体"/>
          <w:color w:val="000000" w:themeColor="text1"/>
          <w:u w:val="double"/>
        </w:rPr>
        <w:t>必须加盖</w:t>
      </w:r>
      <w:r>
        <w:rPr>
          <w:rFonts w:hint="eastAsia" w:ascii="宋体" w:hAnsi="宋体"/>
          <w:color w:val="000000" w:themeColor="text1"/>
          <w:u w:val="double"/>
        </w:rPr>
        <w:t>报价供应商</w:t>
      </w:r>
      <w:r>
        <w:rPr>
          <w:rFonts w:ascii="宋体" w:hAnsi="宋体"/>
          <w:color w:val="000000" w:themeColor="text1"/>
          <w:u w:val="double"/>
        </w:rPr>
        <w:t>公章，否则视为无效报价</w:t>
      </w:r>
    </w:p>
    <w:p>
      <w:pPr>
        <w:pStyle w:val="48"/>
        <w:numPr>
          <w:ilvl w:val="0"/>
          <w:numId w:val="8"/>
        </w:numPr>
      </w:pPr>
      <w:r>
        <w:rPr>
          <w:rFonts w:hint="eastAsia"/>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pPr>
        <w:pStyle w:val="48"/>
        <w:numPr>
          <w:ilvl w:val="0"/>
          <w:numId w:val="8"/>
        </w:numPr>
      </w:pPr>
      <w:r>
        <w:rPr>
          <w:rFonts w:hint="eastAsia"/>
        </w:rPr>
        <w:t>按有关法律、法规、规章属于报价无效的。</w:t>
      </w:r>
    </w:p>
    <w:p>
      <w:pPr>
        <w:numPr>
          <w:ilvl w:val="0"/>
          <w:numId w:val="8"/>
        </w:numPr>
        <w:shd w:val="clear" w:color="auto" w:fill="FFFFFF"/>
        <w:spacing w:line="360" w:lineRule="auto"/>
        <w:rPr>
          <w:rFonts w:ascii="宋体" w:hAnsi="宋体"/>
          <w:color w:val="000000" w:themeColor="text1"/>
          <w:szCs w:val="21"/>
        </w:rPr>
      </w:pPr>
      <w:r>
        <w:rPr>
          <w:rFonts w:hint="eastAsia" w:ascii="宋体" w:hAnsi="宋体" w:cs="宋体"/>
          <w:b/>
          <w:bCs/>
          <w:color w:val="000000" w:themeColor="text1"/>
          <w:szCs w:val="21"/>
        </w:rPr>
        <w:t>有下列情形之一的，视为串通竞价，其报价无效：</w:t>
      </w:r>
    </w:p>
    <w:p>
      <w:pPr>
        <w:numPr>
          <w:ilvl w:val="2"/>
          <w:numId w:val="9"/>
        </w:numPr>
        <w:tabs>
          <w:tab w:val="left" w:pos="1260"/>
        </w:tabs>
        <w:spacing w:line="360" w:lineRule="auto"/>
        <w:rPr>
          <w:rFonts w:ascii="宋体" w:hAnsi="宋体"/>
          <w:color w:val="000000" w:themeColor="text1"/>
          <w:szCs w:val="21"/>
        </w:rPr>
      </w:pPr>
      <w:r>
        <w:rPr>
          <w:rFonts w:hint="eastAsia" w:ascii="宋体" w:hAnsi="宋体"/>
          <w:color w:val="000000" w:themeColor="text1"/>
        </w:rPr>
        <w:t>存在单位负责人为同一人或存在控股、管理关系的不同单位参与同一竞价项目；</w:t>
      </w:r>
    </w:p>
    <w:p>
      <w:pPr>
        <w:numPr>
          <w:ilvl w:val="2"/>
          <w:numId w:val="9"/>
        </w:numPr>
        <w:tabs>
          <w:tab w:val="left" w:pos="1260"/>
        </w:tabs>
        <w:spacing w:line="360" w:lineRule="auto"/>
        <w:rPr>
          <w:rFonts w:ascii="宋体" w:hAnsi="宋体"/>
          <w:color w:val="000000" w:themeColor="text1"/>
          <w:szCs w:val="21"/>
        </w:rPr>
      </w:pPr>
      <w:r>
        <w:rPr>
          <w:rFonts w:hint="eastAsia" w:ascii="宋体" w:hAnsi="宋体" w:cs="宋体"/>
          <w:color w:val="000000" w:themeColor="text1"/>
          <w:szCs w:val="21"/>
        </w:rPr>
        <w:t>不同供应商的响应文件由同一单位或者个人编制；</w:t>
      </w:r>
    </w:p>
    <w:p>
      <w:pPr>
        <w:numPr>
          <w:ilvl w:val="2"/>
          <w:numId w:val="9"/>
        </w:numPr>
        <w:tabs>
          <w:tab w:val="left" w:pos="1260"/>
        </w:tabs>
        <w:spacing w:line="360" w:lineRule="auto"/>
        <w:rPr>
          <w:rFonts w:ascii="宋体" w:hAnsi="宋体"/>
          <w:color w:val="000000" w:themeColor="text1"/>
          <w:szCs w:val="21"/>
        </w:rPr>
      </w:pPr>
      <w:r>
        <w:rPr>
          <w:rFonts w:hint="eastAsia" w:ascii="宋体" w:hAnsi="宋体" w:cs="宋体"/>
          <w:color w:val="000000" w:themeColor="text1"/>
          <w:szCs w:val="21"/>
        </w:rPr>
        <w:t>不同供应商委托同一单位或者个人办理竞价事宜；</w:t>
      </w:r>
    </w:p>
    <w:p>
      <w:pPr>
        <w:numPr>
          <w:ilvl w:val="2"/>
          <w:numId w:val="9"/>
        </w:numPr>
        <w:tabs>
          <w:tab w:val="left" w:pos="1260"/>
        </w:tabs>
        <w:spacing w:line="360" w:lineRule="auto"/>
        <w:rPr>
          <w:rFonts w:ascii="宋体" w:hAnsi="宋体"/>
          <w:color w:val="000000" w:themeColor="text1"/>
          <w:szCs w:val="21"/>
        </w:rPr>
      </w:pPr>
      <w:r>
        <w:rPr>
          <w:rFonts w:hint="eastAsia" w:ascii="宋体" w:hAnsi="宋体" w:cs="宋体"/>
          <w:color w:val="000000" w:themeColor="text1"/>
          <w:szCs w:val="21"/>
        </w:rPr>
        <w:t>不同供应商使用同一</w:t>
      </w:r>
      <w:r>
        <w:rPr>
          <w:rFonts w:ascii="宋体" w:hAnsi="宋体" w:cs="宋体"/>
          <w:color w:val="000000" w:themeColor="text1"/>
          <w:szCs w:val="21"/>
        </w:rPr>
        <w:t>IP</w:t>
      </w:r>
      <w:r>
        <w:rPr>
          <w:rFonts w:hint="eastAsia" w:ascii="宋体" w:hAnsi="宋体" w:cs="宋体"/>
          <w:color w:val="000000" w:themeColor="text1"/>
          <w:szCs w:val="21"/>
        </w:rPr>
        <w:t>地址参与竞价；</w:t>
      </w:r>
    </w:p>
    <w:p>
      <w:pPr>
        <w:numPr>
          <w:ilvl w:val="2"/>
          <w:numId w:val="9"/>
        </w:numPr>
        <w:tabs>
          <w:tab w:val="left" w:pos="1260"/>
        </w:tabs>
        <w:spacing w:line="360" w:lineRule="auto"/>
        <w:rPr>
          <w:rFonts w:ascii="宋体" w:hAnsi="宋体"/>
          <w:color w:val="000000" w:themeColor="text1"/>
          <w:szCs w:val="21"/>
        </w:rPr>
      </w:pPr>
      <w:r>
        <w:rPr>
          <w:rFonts w:hint="eastAsia" w:ascii="宋体" w:hAnsi="宋体" w:cs="宋体"/>
          <w:color w:val="000000" w:themeColor="text1"/>
          <w:szCs w:val="21"/>
        </w:rPr>
        <w:t>不同供应商的响应文件载明的项目管理成员或者联系人员为同一人；</w:t>
      </w:r>
    </w:p>
    <w:p>
      <w:pPr>
        <w:numPr>
          <w:ilvl w:val="2"/>
          <w:numId w:val="9"/>
        </w:numPr>
        <w:tabs>
          <w:tab w:val="left" w:pos="1260"/>
        </w:tabs>
        <w:spacing w:line="360" w:lineRule="auto"/>
        <w:rPr>
          <w:rFonts w:ascii="宋体" w:hAnsi="宋体"/>
          <w:color w:val="000000" w:themeColor="text1"/>
          <w:szCs w:val="21"/>
        </w:rPr>
      </w:pPr>
      <w:r>
        <w:rPr>
          <w:rFonts w:hint="eastAsia" w:ascii="宋体" w:hAnsi="宋体" w:cs="宋体"/>
          <w:color w:val="000000" w:themeColor="text1"/>
          <w:szCs w:val="21"/>
        </w:rPr>
        <w:t>不同供应商的响应文件异常一致或者报价呈规律性差异；</w:t>
      </w:r>
    </w:p>
    <w:p>
      <w:pPr>
        <w:numPr>
          <w:ilvl w:val="2"/>
          <w:numId w:val="9"/>
        </w:numPr>
        <w:tabs>
          <w:tab w:val="left" w:pos="1260"/>
        </w:tabs>
        <w:spacing w:line="360" w:lineRule="auto"/>
        <w:rPr>
          <w:rFonts w:ascii="宋体" w:hAnsi="宋体"/>
          <w:color w:val="000000" w:themeColor="text1"/>
          <w:szCs w:val="21"/>
        </w:rPr>
      </w:pPr>
      <w:r>
        <w:rPr>
          <w:rFonts w:hint="eastAsia" w:ascii="宋体" w:hAnsi="宋体" w:cs="宋体"/>
          <w:color w:val="000000" w:themeColor="text1"/>
          <w:szCs w:val="21"/>
        </w:rPr>
        <w:t>不同供应商的响应文件相互混淆；</w:t>
      </w:r>
    </w:p>
    <w:p>
      <w:pPr>
        <w:numPr>
          <w:ilvl w:val="2"/>
          <w:numId w:val="9"/>
        </w:numPr>
        <w:tabs>
          <w:tab w:val="left" w:pos="1260"/>
        </w:tabs>
        <w:spacing w:line="360" w:lineRule="auto"/>
        <w:rPr>
          <w:rFonts w:ascii="宋体" w:hAnsi="宋体"/>
          <w:color w:val="000000" w:themeColor="text1"/>
          <w:szCs w:val="21"/>
        </w:rPr>
      </w:pPr>
      <w:r>
        <w:rPr>
          <w:rFonts w:hint="eastAsia" w:ascii="宋体" w:hAnsi="宋体" w:cs="宋体"/>
          <w:color w:val="000000" w:themeColor="text1"/>
          <w:szCs w:val="21"/>
        </w:rPr>
        <w:t>不同供应商的平台使用费从同一单位或者个人的账户转出；</w:t>
      </w:r>
    </w:p>
    <w:p>
      <w:pPr>
        <w:numPr>
          <w:ilvl w:val="0"/>
          <w:numId w:val="3"/>
        </w:numPr>
        <w:spacing w:line="360" w:lineRule="auto"/>
        <w:rPr>
          <w:rFonts w:ascii="宋体" w:hAnsi="宋体"/>
          <w:color w:val="000000" w:themeColor="text1"/>
          <w:szCs w:val="21"/>
        </w:rPr>
      </w:pPr>
      <w:r>
        <w:rPr>
          <w:rFonts w:hint="eastAsia" w:ascii="宋体" w:hAnsi="宋体" w:cs="宋体"/>
          <w:b/>
          <w:bCs/>
          <w:color w:val="000000" w:themeColor="text1"/>
          <w:szCs w:val="21"/>
        </w:rPr>
        <w:t>竞价活动失败</w:t>
      </w:r>
    </w:p>
    <w:p>
      <w:pPr>
        <w:numPr>
          <w:ilvl w:val="0"/>
          <w:numId w:val="10"/>
        </w:numPr>
        <w:spacing w:line="360" w:lineRule="auto"/>
        <w:rPr>
          <w:rFonts w:ascii="宋体" w:hAnsi="宋体"/>
          <w:color w:val="000000" w:themeColor="text1"/>
          <w:szCs w:val="21"/>
        </w:rPr>
      </w:pPr>
      <w:r>
        <w:rPr>
          <w:rFonts w:hint="eastAsia" w:ascii="宋体" w:hAnsi="宋体" w:cs="宋体"/>
          <w:color w:val="000000" w:themeColor="text1"/>
          <w:szCs w:val="21"/>
        </w:rPr>
        <w:t>报价供应商不足</w:t>
      </w:r>
      <w:r>
        <w:rPr>
          <w:rFonts w:ascii="宋体" w:hAnsi="宋体" w:cs="宋体"/>
          <w:color w:val="000000" w:themeColor="text1"/>
          <w:szCs w:val="21"/>
        </w:rPr>
        <w:t>3</w:t>
      </w:r>
      <w:r>
        <w:rPr>
          <w:rFonts w:hint="eastAsia" w:ascii="宋体" w:hAnsi="宋体" w:cs="宋体"/>
          <w:color w:val="000000" w:themeColor="text1"/>
          <w:szCs w:val="21"/>
        </w:rPr>
        <w:t>家，本次竞价活动失败；</w:t>
      </w:r>
    </w:p>
    <w:p>
      <w:pPr>
        <w:numPr>
          <w:ilvl w:val="0"/>
          <w:numId w:val="10"/>
        </w:numPr>
        <w:spacing w:line="360" w:lineRule="auto"/>
        <w:rPr>
          <w:rFonts w:ascii="宋体" w:hAnsi="宋体"/>
          <w:color w:val="000000" w:themeColor="text1"/>
          <w:szCs w:val="21"/>
        </w:rPr>
      </w:pPr>
      <w:r>
        <w:rPr>
          <w:rFonts w:hint="eastAsia" w:ascii="宋体" w:hAnsi="宋体" w:cs="宋体"/>
          <w:color w:val="000000" w:themeColor="text1"/>
          <w:szCs w:val="21"/>
        </w:rPr>
        <w:t>出现影响采购公正的违法、违规行为的；</w:t>
      </w:r>
    </w:p>
    <w:p>
      <w:pPr>
        <w:numPr>
          <w:ilvl w:val="0"/>
          <w:numId w:val="10"/>
        </w:numPr>
        <w:spacing w:line="360" w:lineRule="auto"/>
        <w:rPr>
          <w:rFonts w:ascii="宋体" w:hAnsi="宋体"/>
          <w:color w:val="000000" w:themeColor="text1"/>
          <w:szCs w:val="21"/>
        </w:rPr>
      </w:pPr>
      <w:r>
        <w:rPr>
          <w:rFonts w:hint="eastAsia" w:ascii="宋体" w:hAnsi="宋体" w:cs="宋体"/>
          <w:color w:val="000000" w:themeColor="text1"/>
          <w:szCs w:val="21"/>
        </w:rPr>
        <w:t>因重大变故，采购任务取消的；</w:t>
      </w:r>
    </w:p>
    <w:p>
      <w:pPr>
        <w:numPr>
          <w:ilvl w:val="0"/>
          <w:numId w:val="3"/>
        </w:numPr>
        <w:spacing w:line="360" w:lineRule="auto"/>
        <w:rPr>
          <w:rFonts w:ascii="宋体" w:hAnsi="宋体"/>
          <w:b/>
          <w:bCs/>
          <w:color w:val="000000" w:themeColor="text1"/>
          <w:szCs w:val="21"/>
        </w:rPr>
      </w:pPr>
      <w:r>
        <w:rPr>
          <w:rFonts w:hint="eastAsia" w:ascii="宋体" w:hAnsi="宋体" w:cs="宋体"/>
          <w:b/>
          <w:bCs/>
          <w:color w:val="000000" w:themeColor="text1"/>
          <w:szCs w:val="21"/>
        </w:rPr>
        <w:t>使用费</w:t>
      </w:r>
    </w:p>
    <w:p>
      <w:pPr>
        <w:numPr>
          <w:ilvl w:val="0"/>
          <w:numId w:val="11"/>
        </w:numPr>
        <w:tabs>
          <w:tab w:val="left" w:pos="425"/>
        </w:tabs>
        <w:spacing w:line="360" w:lineRule="auto"/>
        <w:rPr>
          <w:rFonts w:ascii="宋体" w:hAnsi="宋体"/>
          <w:color w:val="000000" w:themeColor="text1"/>
          <w:szCs w:val="21"/>
        </w:rPr>
      </w:pPr>
      <w:r>
        <w:rPr>
          <w:rFonts w:hint="eastAsia" w:ascii="宋体" w:hAnsi="宋体" w:cs="宋体"/>
          <w:color w:val="000000" w:themeColor="text1"/>
          <w:szCs w:val="21"/>
        </w:rPr>
        <w:t>成交供应商须向平台服务商云采链线上采购一体化平台缴纳平台使用费，金额为成交金额的1.5%（四舍五入取整数）。</w:t>
      </w:r>
    </w:p>
    <w:p>
      <w:pPr>
        <w:numPr>
          <w:ilvl w:val="0"/>
          <w:numId w:val="11"/>
        </w:numPr>
        <w:tabs>
          <w:tab w:val="left" w:pos="425"/>
        </w:tabs>
        <w:spacing w:line="360" w:lineRule="auto"/>
        <w:rPr>
          <w:rFonts w:ascii="宋体" w:hAnsi="宋体"/>
          <w:color w:val="000000" w:themeColor="text1"/>
          <w:szCs w:val="21"/>
        </w:rPr>
      </w:pPr>
      <w:r>
        <w:rPr>
          <w:rFonts w:hint="eastAsia" w:ascii="宋体" w:hAnsi="宋体" w:cs="宋体"/>
          <w:color w:val="000000" w:themeColor="text1"/>
          <w:szCs w:val="21"/>
        </w:rPr>
        <w:t>成交供应商无正当理由放弃成交资格的必须按竞价公告等相关规定缴纳相应的平台使用费；</w:t>
      </w:r>
    </w:p>
    <w:p>
      <w:pPr>
        <w:numPr>
          <w:ilvl w:val="0"/>
          <w:numId w:val="11"/>
        </w:numPr>
        <w:tabs>
          <w:tab w:val="left" w:pos="425"/>
        </w:tabs>
        <w:spacing w:line="360" w:lineRule="auto"/>
        <w:rPr>
          <w:rFonts w:ascii="宋体" w:hAnsi="宋体"/>
          <w:color w:val="000000" w:themeColor="text1"/>
          <w:szCs w:val="21"/>
        </w:rPr>
      </w:pPr>
      <w:r>
        <w:rPr>
          <w:rFonts w:hint="eastAsia" w:ascii="宋体" w:hAnsi="宋体" w:cs="宋体"/>
          <w:color w:val="000000" w:themeColor="text1"/>
          <w:szCs w:val="21"/>
        </w:rPr>
        <w:t>如确实因不可抗力放弃成交资格的，应在不可抗力发生后三个工作日内予以通知采购代理机构并提供相关的证明；如逾期，采购代理机构不予退还平台使用费；</w:t>
      </w:r>
    </w:p>
    <w:p>
      <w:pPr>
        <w:numPr>
          <w:ilvl w:val="0"/>
          <w:numId w:val="3"/>
        </w:numPr>
        <w:spacing w:line="360" w:lineRule="auto"/>
        <w:rPr>
          <w:rFonts w:ascii="宋体" w:hAnsi="宋体"/>
          <w:b/>
          <w:bCs/>
          <w:color w:val="000000" w:themeColor="text1"/>
          <w:szCs w:val="21"/>
        </w:rPr>
      </w:pPr>
      <w:r>
        <w:rPr>
          <w:rFonts w:hint="eastAsia" w:ascii="宋体" w:hAnsi="宋体" w:cs="宋体"/>
          <w:b/>
          <w:bCs/>
          <w:color w:val="000000" w:themeColor="text1"/>
          <w:szCs w:val="21"/>
        </w:rPr>
        <w:t>联系方式</w:t>
      </w:r>
    </w:p>
    <w:p>
      <w:pPr>
        <w:spacing w:line="360" w:lineRule="auto"/>
        <w:ind w:left="420"/>
        <w:rPr>
          <w:rFonts w:ascii="宋体" w:hAnsi="宋体"/>
          <w:color w:val="000000" w:themeColor="text1"/>
          <w:szCs w:val="21"/>
        </w:rPr>
      </w:pPr>
      <w:r>
        <w:rPr>
          <w:rFonts w:hint="eastAsia" w:ascii="宋体" w:hAnsi="宋体" w:cs="宋体"/>
          <w:color w:val="000000" w:themeColor="text1"/>
          <w:szCs w:val="21"/>
        </w:rPr>
        <w:t>扫码关注微信公众号</w:t>
      </w:r>
      <w:r>
        <w:rPr>
          <w:rFonts w:ascii="宋体" w:hAnsi="宋体" w:cs="Calibri"/>
          <w:color w:val="000000" w:themeColor="text1"/>
          <w:szCs w:val="21"/>
        </w:rPr>
        <w:t>“</w:t>
      </w:r>
      <w:r>
        <w:rPr>
          <w:rFonts w:hint="eastAsia" w:ascii="宋体" w:hAnsi="宋体" w:cs="宋体"/>
          <w:color w:val="000000" w:themeColor="text1"/>
          <w:szCs w:val="21"/>
        </w:rPr>
        <w:t>云采链互联服务平台</w:t>
      </w:r>
      <w:r>
        <w:rPr>
          <w:rFonts w:ascii="宋体" w:hAnsi="宋体" w:cs="Calibri"/>
          <w:color w:val="000000" w:themeColor="text1"/>
          <w:szCs w:val="21"/>
        </w:rPr>
        <w:t>”</w:t>
      </w:r>
      <w:r>
        <w:rPr>
          <w:rFonts w:hint="eastAsia" w:ascii="宋体" w:hAnsi="宋体" w:cs="宋体"/>
          <w:color w:val="000000" w:themeColor="text1"/>
          <w:szCs w:val="21"/>
        </w:rPr>
        <w:t>，即可在线咨询相关事项；</w:t>
      </w:r>
    </w:p>
    <w:p>
      <w:pPr>
        <w:widowControl/>
        <w:jc w:val="center"/>
        <w:rPr>
          <w:rFonts w:ascii="宋体" w:hAnsi="宋体"/>
          <w:color w:val="000000" w:themeColor="text1"/>
        </w:rPr>
      </w:pPr>
      <w:r>
        <w:rPr>
          <w:rFonts w:ascii="宋体" w:hAnsi="宋体"/>
          <w:color w:val="000000" w:themeColor="text1"/>
        </w:rPr>
        <w:drawing>
          <wp:anchor distT="0" distB="0" distL="114300" distR="114300" simplePos="0" relativeHeight="251659264" behindDoc="0" locked="0" layoutInCell="1" allowOverlap="1">
            <wp:simplePos x="0" y="0"/>
            <wp:positionH relativeFrom="column">
              <wp:posOffset>1882140</wp:posOffset>
            </wp:positionH>
            <wp:positionV relativeFrom="paragraph">
              <wp:posOffset>99060</wp:posOffset>
            </wp:positionV>
            <wp:extent cx="1371600" cy="1371600"/>
            <wp:effectExtent l="0" t="0" r="0" b="0"/>
            <wp:wrapSquare wrapText="bothSides"/>
            <wp:docPr id="3" name="图片 1" descr="QR 代码&#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QR 代码&#10;&#10;描述已自动生成"/>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371600" cy="1371600"/>
                    </a:xfrm>
                    <a:prstGeom prst="rect">
                      <a:avLst/>
                    </a:prstGeom>
                    <a:noFill/>
                  </pic:spPr>
                </pic:pic>
              </a:graphicData>
            </a:graphic>
          </wp:anchor>
        </w:drawing>
      </w:r>
      <w:r>
        <w:rPr>
          <w:rFonts w:ascii="宋体" w:hAnsi="宋体"/>
          <w:color w:val="000000" w:themeColor="text1"/>
        </w:rPr>
        <w:br w:type="page"/>
      </w:r>
    </w:p>
    <w:p>
      <w:pPr>
        <w:outlineLvl w:val="0"/>
        <w:rPr>
          <w:rFonts w:ascii="宋体" w:hAnsi="宋体" w:cs="宋体"/>
          <w:b/>
          <w:bCs/>
          <w:color w:val="000000" w:themeColor="text1"/>
          <w:sz w:val="32"/>
          <w:szCs w:val="32"/>
        </w:rPr>
        <w:sectPr>
          <w:pgSz w:w="11906" w:h="16838"/>
          <w:pgMar w:top="1440" w:right="1800" w:bottom="1440" w:left="1800" w:header="851" w:footer="992" w:gutter="0"/>
          <w:cols w:space="720" w:num="1"/>
          <w:docGrid w:type="lines" w:linePitch="312" w:charSpace="0"/>
        </w:sectPr>
      </w:pPr>
    </w:p>
    <w:p>
      <w:pPr>
        <w:jc w:val="center"/>
        <w:outlineLvl w:val="0"/>
        <w:rPr>
          <w:rFonts w:ascii="宋体" w:hAnsi="宋体" w:cs="宋体"/>
          <w:b/>
          <w:bCs/>
          <w:color w:val="000000" w:themeColor="text1"/>
          <w:sz w:val="32"/>
          <w:szCs w:val="32"/>
        </w:rPr>
      </w:pPr>
      <w:r>
        <w:rPr>
          <w:rFonts w:hint="eastAsia" w:ascii="宋体" w:hAnsi="宋体" w:cs="宋体"/>
          <w:b/>
          <w:bCs/>
          <w:color w:val="000000" w:themeColor="text1"/>
          <w:sz w:val="32"/>
          <w:szCs w:val="32"/>
        </w:rPr>
        <w:t>第二章 采购需求书</w:t>
      </w:r>
    </w:p>
    <w:p>
      <w:pPr>
        <w:snapToGrid w:val="0"/>
        <w:spacing w:line="360" w:lineRule="auto"/>
        <w:rPr>
          <w:rFonts w:ascii="宋体" w:hAnsi="宋体"/>
          <w:b/>
          <w:bCs/>
          <w:color w:val="000000" w:themeColor="text1"/>
          <w:szCs w:val="21"/>
        </w:rPr>
      </w:pPr>
      <w:r>
        <w:rPr>
          <w:rFonts w:hint="eastAsia" w:ascii="宋体" w:hAnsi="宋体"/>
          <w:b/>
          <w:bCs/>
          <w:color w:val="000000" w:themeColor="text1"/>
          <w:szCs w:val="21"/>
        </w:rPr>
        <w:t>说明：</w:t>
      </w:r>
    </w:p>
    <w:p>
      <w:pPr>
        <w:tabs>
          <w:tab w:val="left" w:pos="420"/>
        </w:tabs>
        <w:snapToGrid w:val="0"/>
        <w:spacing w:line="360" w:lineRule="auto"/>
        <w:rPr>
          <w:rFonts w:ascii="宋体" w:hAnsi="宋体"/>
          <w:b/>
          <w:bCs/>
          <w:color w:val="000000" w:themeColor="text1"/>
          <w:szCs w:val="21"/>
        </w:rPr>
      </w:pPr>
      <w:r>
        <w:rPr>
          <w:rFonts w:hint="eastAsia" w:ascii="宋体" w:hAnsi="宋体"/>
          <w:b/>
          <w:bCs/>
          <w:color w:val="000000" w:themeColor="text1"/>
          <w:szCs w:val="21"/>
        </w:rPr>
        <w:t>供应商须对本项目采购内容进行整体响应，任何只对采购内容其中一部分内容进行的响应都被视为无效报价。</w:t>
      </w:r>
    </w:p>
    <w:p>
      <w:pPr>
        <w:pStyle w:val="48"/>
        <w:numPr>
          <w:ilvl w:val="0"/>
          <w:numId w:val="12"/>
        </w:numPr>
        <w:rPr>
          <w:b/>
          <w:bCs/>
        </w:rPr>
      </w:pPr>
      <w:r>
        <w:rPr>
          <w:rFonts w:hint="eastAsia"/>
          <w:b/>
          <w:bCs/>
        </w:rPr>
        <w:t>项目一览表</w:t>
      </w:r>
    </w:p>
    <w:tbl>
      <w:tblPr>
        <w:tblStyle w:val="36"/>
        <w:tblW w:w="82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2"/>
        <w:gridCol w:w="992"/>
        <w:gridCol w:w="2693"/>
        <w:gridCol w:w="24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2112" w:type="dxa"/>
            <w:shd w:val="clear" w:color="auto" w:fill="EEECE1"/>
            <w:vAlign w:val="center"/>
          </w:tcPr>
          <w:p>
            <w:pPr>
              <w:jc w:val="center"/>
              <w:rPr>
                <w:rFonts w:ascii="宋体" w:hAnsi="宋体"/>
                <w:b/>
                <w:color w:val="000000" w:themeColor="text1"/>
                <w:szCs w:val="21"/>
              </w:rPr>
            </w:pPr>
            <w:bookmarkStart w:id="2" w:name="_Hlk536436587"/>
            <w:r>
              <w:rPr>
                <w:rFonts w:hint="eastAsia" w:ascii="宋体" w:hAnsi="宋体"/>
                <w:b/>
                <w:color w:val="000000" w:themeColor="text1"/>
                <w:szCs w:val="21"/>
              </w:rPr>
              <w:t>项目内容</w:t>
            </w:r>
          </w:p>
        </w:tc>
        <w:tc>
          <w:tcPr>
            <w:tcW w:w="992" w:type="dxa"/>
            <w:shd w:val="clear" w:color="auto" w:fill="EEECE1"/>
            <w:vAlign w:val="center"/>
          </w:tcPr>
          <w:p>
            <w:pPr>
              <w:jc w:val="center"/>
              <w:rPr>
                <w:rFonts w:ascii="宋体" w:hAnsi="宋体"/>
                <w:b/>
                <w:color w:val="000000" w:themeColor="text1"/>
                <w:szCs w:val="21"/>
              </w:rPr>
            </w:pPr>
            <w:r>
              <w:rPr>
                <w:rFonts w:hint="eastAsia" w:ascii="宋体" w:hAnsi="宋体"/>
                <w:b/>
                <w:color w:val="000000" w:themeColor="text1"/>
                <w:szCs w:val="21"/>
              </w:rPr>
              <w:t>数量</w:t>
            </w:r>
          </w:p>
        </w:tc>
        <w:tc>
          <w:tcPr>
            <w:tcW w:w="2693" w:type="dxa"/>
            <w:shd w:val="clear" w:color="auto" w:fill="EEECE1"/>
            <w:vAlign w:val="center"/>
          </w:tcPr>
          <w:p>
            <w:pPr>
              <w:jc w:val="center"/>
              <w:rPr>
                <w:rFonts w:ascii="宋体" w:hAnsi="宋体"/>
                <w:b/>
                <w:color w:val="000000" w:themeColor="text1"/>
                <w:szCs w:val="21"/>
              </w:rPr>
            </w:pPr>
            <w:r>
              <w:rPr>
                <w:rFonts w:hint="eastAsia" w:ascii="宋体" w:hAnsi="宋体"/>
                <w:b/>
                <w:color w:val="000000" w:themeColor="text1"/>
                <w:szCs w:val="21"/>
              </w:rPr>
              <w:t>要求</w:t>
            </w:r>
          </w:p>
        </w:tc>
        <w:tc>
          <w:tcPr>
            <w:tcW w:w="2425" w:type="dxa"/>
            <w:shd w:val="clear" w:color="auto" w:fill="EEECE1"/>
            <w:vAlign w:val="center"/>
          </w:tcPr>
          <w:p>
            <w:pPr>
              <w:jc w:val="center"/>
              <w:rPr>
                <w:rFonts w:ascii="宋体" w:hAnsi="宋体"/>
                <w:color w:val="000000" w:themeColor="text1"/>
                <w:szCs w:val="21"/>
              </w:rPr>
            </w:pPr>
            <w:r>
              <w:rPr>
                <w:rFonts w:hint="eastAsia" w:ascii="宋体" w:hAnsi="宋体"/>
                <w:b/>
                <w:color w:val="000000" w:themeColor="text1"/>
                <w:szCs w:val="21"/>
              </w:rPr>
              <w:t>预算金额（含税）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2112" w:type="dxa"/>
            <w:vAlign w:val="center"/>
          </w:tcPr>
          <w:p>
            <w:pPr>
              <w:jc w:val="center"/>
              <w:rPr>
                <w:rFonts w:hint="eastAsia" w:ascii="宋体" w:hAnsi="宋体" w:eastAsia="宋体"/>
                <w:color w:val="000000" w:themeColor="text1"/>
                <w:kern w:val="0"/>
                <w:szCs w:val="21"/>
                <w:lang w:eastAsia="zh-CN"/>
              </w:rPr>
            </w:pPr>
            <w:r>
              <w:rPr>
                <w:rFonts w:hint="eastAsia" w:ascii="宋体" w:hAnsi="宋体" w:cs="Calibri"/>
                <w:color w:val="000000" w:themeColor="text1"/>
                <w:szCs w:val="21"/>
                <w:lang w:eastAsia="zh-CN"/>
              </w:rPr>
              <w:t>2024-2025年高压配电房电气设备维护服务项目（第二次竞价）</w:t>
            </w:r>
          </w:p>
        </w:tc>
        <w:tc>
          <w:tcPr>
            <w:tcW w:w="992" w:type="dxa"/>
            <w:vAlign w:val="center"/>
          </w:tcPr>
          <w:p>
            <w:pPr>
              <w:jc w:val="center"/>
              <w:rPr>
                <w:rFonts w:ascii="宋体" w:hAnsi="宋体"/>
                <w:color w:val="000000" w:themeColor="text1"/>
                <w:kern w:val="0"/>
                <w:szCs w:val="21"/>
              </w:rPr>
            </w:pPr>
            <w:r>
              <w:rPr>
                <w:rFonts w:ascii="宋体" w:hAnsi="宋体"/>
                <w:color w:val="000000" w:themeColor="text1"/>
                <w:kern w:val="0"/>
                <w:szCs w:val="21"/>
              </w:rPr>
              <w:t>1</w:t>
            </w:r>
            <w:r>
              <w:rPr>
                <w:rFonts w:hint="eastAsia" w:ascii="宋体" w:hAnsi="宋体"/>
                <w:color w:val="000000" w:themeColor="text1"/>
                <w:kern w:val="0"/>
                <w:szCs w:val="21"/>
              </w:rPr>
              <w:t>项</w:t>
            </w:r>
          </w:p>
        </w:tc>
        <w:tc>
          <w:tcPr>
            <w:tcW w:w="2693" w:type="dxa"/>
            <w:vAlign w:val="center"/>
          </w:tcPr>
          <w:p>
            <w:pPr>
              <w:pStyle w:val="79"/>
              <w:rPr>
                <w:bCs/>
                <w:color w:val="000000" w:themeColor="text1"/>
                <w:spacing w:val="0"/>
              </w:rPr>
            </w:pPr>
            <w:r>
              <w:rPr>
                <w:rFonts w:hint="eastAsia"/>
              </w:rPr>
              <w:t>成交供应商按采购人要求在合同生效后【2】年内提供维护服务。</w:t>
            </w:r>
          </w:p>
        </w:tc>
        <w:tc>
          <w:tcPr>
            <w:tcW w:w="2425" w:type="dxa"/>
            <w:vAlign w:val="center"/>
          </w:tcPr>
          <w:p>
            <w:pPr>
              <w:jc w:val="center"/>
              <w:rPr>
                <w:rFonts w:ascii="宋体" w:hAnsi="宋体"/>
                <w:color w:val="000000" w:themeColor="text1"/>
                <w:kern w:val="0"/>
                <w:szCs w:val="21"/>
              </w:rPr>
            </w:pPr>
            <w:r>
              <w:rPr>
                <w:rFonts w:hint="eastAsia" w:ascii="宋体" w:hAnsi="宋体"/>
                <w:color w:val="000000" w:themeColor="text1"/>
                <w:kern w:val="0"/>
                <w:szCs w:val="21"/>
              </w:rPr>
              <w:t>人民币60000元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2112" w:type="dxa"/>
            <w:vAlign w:val="center"/>
          </w:tcPr>
          <w:p>
            <w:pPr>
              <w:jc w:val="center"/>
              <w:rPr>
                <w:rFonts w:ascii="宋体" w:hAnsi="宋体" w:cs="Calibri"/>
                <w:color w:val="000000" w:themeColor="text1"/>
                <w:szCs w:val="21"/>
              </w:rPr>
            </w:pPr>
            <w:r>
              <w:rPr>
                <w:rFonts w:hint="eastAsia" w:ascii="宋体" w:hAnsi="宋体" w:cs="Calibri"/>
                <w:color w:val="000000" w:themeColor="text1"/>
                <w:szCs w:val="21"/>
              </w:rPr>
              <w:t>配件</w:t>
            </w:r>
          </w:p>
        </w:tc>
        <w:tc>
          <w:tcPr>
            <w:tcW w:w="992" w:type="dxa"/>
            <w:vAlign w:val="center"/>
          </w:tcPr>
          <w:p>
            <w:pPr>
              <w:jc w:val="center"/>
              <w:rPr>
                <w:rFonts w:ascii="宋体" w:hAnsi="宋体"/>
                <w:color w:val="000000" w:themeColor="text1"/>
                <w:kern w:val="0"/>
                <w:szCs w:val="21"/>
              </w:rPr>
            </w:pPr>
            <w:r>
              <w:rPr>
                <w:rFonts w:hint="eastAsia" w:ascii="宋体" w:hAnsi="宋体"/>
                <w:color w:val="000000" w:themeColor="text1"/>
                <w:kern w:val="0"/>
                <w:szCs w:val="21"/>
              </w:rPr>
              <w:t>1批</w:t>
            </w:r>
          </w:p>
        </w:tc>
        <w:tc>
          <w:tcPr>
            <w:tcW w:w="2693" w:type="dxa"/>
            <w:vAlign w:val="center"/>
          </w:tcPr>
          <w:p>
            <w:pPr>
              <w:pStyle w:val="79"/>
            </w:pPr>
            <w:r>
              <w:rPr>
                <w:rFonts w:hint="eastAsia"/>
              </w:rPr>
              <w:t>成交供应商按采购人要求在合同生效后【30】日内完成供货安装。</w:t>
            </w:r>
          </w:p>
        </w:tc>
        <w:tc>
          <w:tcPr>
            <w:tcW w:w="2425" w:type="dxa"/>
            <w:vAlign w:val="center"/>
          </w:tcPr>
          <w:p>
            <w:pPr>
              <w:jc w:val="center"/>
              <w:rPr>
                <w:rFonts w:ascii="宋体" w:hAnsi="宋体"/>
                <w:color w:val="000000" w:themeColor="text1"/>
                <w:kern w:val="0"/>
                <w:szCs w:val="21"/>
              </w:rPr>
            </w:pPr>
            <w:r>
              <w:rPr>
                <w:rFonts w:hint="eastAsia" w:ascii="宋体" w:hAnsi="宋体"/>
                <w:color w:val="000000" w:themeColor="text1"/>
                <w:kern w:val="0"/>
                <w:szCs w:val="21"/>
              </w:rPr>
              <w:t>人民币32800元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5797" w:type="dxa"/>
            <w:gridSpan w:val="3"/>
            <w:vAlign w:val="center"/>
          </w:tcPr>
          <w:p>
            <w:pPr>
              <w:pStyle w:val="79"/>
            </w:pPr>
            <w:r>
              <w:rPr>
                <w:rFonts w:hint="eastAsia"/>
                <w:color w:val="000000" w:themeColor="text1"/>
              </w:rPr>
              <w:t>合计：</w:t>
            </w:r>
          </w:p>
        </w:tc>
        <w:tc>
          <w:tcPr>
            <w:tcW w:w="2425" w:type="dxa"/>
            <w:vAlign w:val="center"/>
          </w:tcPr>
          <w:p>
            <w:pPr>
              <w:jc w:val="center"/>
              <w:rPr>
                <w:rFonts w:ascii="宋体" w:hAnsi="宋体"/>
                <w:color w:val="000000" w:themeColor="text1"/>
                <w:kern w:val="0"/>
                <w:szCs w:val="21"/>
              </w:rPr>
            </w:pPr>
            <w:r>
              <w:rPr>
                <w:rFonts w:hint="eastAsia" w:ascii="宋体" w:hAnsi="宋体"/>
                <w:color w:val="000000" w:themeColor="text1"/>
                <w:kern w:val="0"/>
                <w:szCs w:val="21"/>
              </w:rPr>
              <w:t>人民币92800元</w:t>
            </w:r>
          </w:p>
        </w:tc>
      </w:tr>
      <w:bookmarkEnd w:id="1"/>
      <w:bookmarkEnd w:id="2"/>
    </w:tbl>
    <w:p>
      <w:pPr>
        <w:spacing w:line="400" w:lineRule="exact"/>
        <w:ind w:right="480"/>
        <w:rPr>
          <w:rFonts w:ascii="宋体" w:hAnsi="宋体" w:cs="宋体"/>
          <w:b/>
          <w:kern w:val="0"/>
          <w:szCs w:val="21"/>
        </w:rPr>
      </w:pPr>
    </w:p>
    <w:p>
      <w:pPr>
        <w:pStyle w:val="134"/>
        <w:numPr>
          <w:ilvl w:val="0"/>
          <w:numId w:val="12"/>
        </w:numPr>
        <w:autoSpaceDE w:val="0"/>
        <w:autoSpaceDN w:val="0"/>
        <w:snapToGrid w:val="0"/>
        <w:spacing w:line="360" w:lineRule="auto"/>
        <w:ind w:firstLineChars="0"/>
        <w:rPr>
          <w:rFonts w:ascii="宋体" w:hAnsi="宋体" w:cs="宋体"/>
          <w:b/>
          <w:bCs/>
          <w:szCs w:val="21"/>
        </w:rPr>
      </w:pPr>
      <w:r>
        <w:rPr>
          <w:rFonts w:hint="eastAsia" w:ascii="宋体" w:hAnsi="宋体" w:cs="宋体"/>
          <w:b/>
          <w:bCs/>
          <w:szCs w:val="21"/>
        </w:rPr>
        <w:t>采购项目内容：</w:t>
      </w:r>
      <w:r>
        <w:rPr>
          <w:rFonts w:hint="eastAsia" w:ascii="宋体" w:hAnsi="宋体" w:cs="宋体"/>
          <w:b/>
          <w:bCs/>
          <w:szCs w:val="21"/>
          <w:u w:val="single"/>
        </w:rPr>
        <w:t>采购两年期的高压配电房电气设备维护服务和维修配件。</w:t>
      </w:r>
    </w:p>
    <w:p>
      <w:pPr>
        <w:pStyle w:val="134"/>
        <w:numPr>
          <w:ilvl w:val="0"/>
          <w:numId w:val="12"/>
        </w:numPr>
        <w:autoSpaceDE w:val="0"/>
        <w:autoSpaceDN w:val="0"/>
        <w:snapToGrid w:val="0"/>
        <w:spacing w:line="360" w:lineRule="auto"/>
        <w:ind w:firstLineChars="0"/>
        <w:rPr>
          <w:rFonts w:ascii="宋体" w:hAnsi="宋体" w:cs="宋体"/>
          <w:b/>
          <w:bCs/>
          <w:szCs w:val="21"/>
        </w:rPr>
      </w:pPr>
      <w:r>
        <w:rPr>
          <w:rFonts w:hint="eastAsia" w:ascii="宋体" w:hAnsi="宋体" w:cs="宋体"/>
          <w:b/>
          <w:bCs/>
          <w:szCs w:val="21"/>
        </w:rPr>
        <w:t>电房座落位置：</w:t>
      </w:r>
    </w:p>
    <w:p>
      <w:pPr>
        <w:autoSpaceDE w:val="0"/>
        <w:autoSpaceDN w:val="0"/>
        <w:snapToGrid w:val="0"/>
        <w:spacing w:line="360" w:lineRule="auto"/>
        <w:ind w:left="420"/>
        <w:rPr>
          <w:rFonts w:ascii="宋体" w:hAnsi="宋体" w:cs="宋体"/>
          <w:szCs w:val="21"/>
        </w:rPr>
      </w:pPr>
      <w:r>
        <w:rPr>
          <w:rFonts w:hint="eastAsia" w:ascii="宋体" w:hAnsi="宋体" w:cs="宋体"/>
          <w:szCs w:val="21"/>
        </w:rPr>
        <w:t>佛山市顺德区大良延年路11-2；</w:t>
      </w:r>
    </w:p>
    <w:p>
      <w:pPr>
        <w:autoSpaceDE w:val="0"/>
        <w:autoSpaceDN w:val="0"/>
        <w:snapToGrid w:val="0"/>
        <w:spacing w:line="360" w:lineRule="auto"/>
        <w:ind w:left="420"/>
        <w:rPr>
          <w:rFonts w:ascii="宋体" w:hAnsi="宋体" w:cs="宋体"/>
          <w:szCs w:val="21"/>
        </w:rPr>
      </w:pPr>
      <w:r>
        <w:rPr>
          <w:rFonts w:hint="eastAsia" w:ascii="宋体" w:hAnsi="宋体" w:cs="宋体"/>
          <w:szCs w:val="21"/>
        </w:rPr>
        <w:t>佛山市顺德区均安百安北路11号；</w:t>
      </w:r>
    </w:p>
    <w:p>
      <w:pPr>
        <w:autoSpaceDE w:val="0"/>
        <w:autoSpaceDN w:val="0"/>
        <w:snapToGrid w:val="0"/>
        <w:spacing w:line="360" w:lineRule="auto"/>
        <w:ind w:left="420"/>
        <w:rPr>
          <w:rFonts w:ascii="宋体" w:hAnsi="宋体" w:cs="宋体"/>
          <w:szCs w:val="21"/>
        </w:rPr>
      </w:pPr>
      <w:r>
        <w:rPr>
          <w:rFonts w:hint="eastAsia" w:ascii="宋体" w:hAnsi="宋体" w:cs="宋体"/>
          <w:szCs w:val="21"/>
        </w:rPr>
        <w:t>佛山市顺德区龙江文华路广播电视大楼。</w:t>
      </w:r>
    </w:p>
    <w:p>
      <w:pPr>
        <w:pStyle w:val="134"/>
        <w:numPr>
          <w:ilvl w:val="0"/>
          <w:numId w:val="12"/>
        </w:numPr>
        <w:autoSpaceDE w:val="0"/>
        <w:autoSpaceDN w:val="0"/>
        <w:snapToGrid w:val="0"/>
        <w:spacing w:line="360" w:lineRule="auto"/>
        <w:ind w:firstLineChars="0"/>
        <w:rPr>
          <w:rFonts w:ascii="宋体" w:hAnsi="宋体" w:cs="宋体"/>
          <w:b/>
          <w:bCs/>
          <w:szCs w:val="21"/>
        </w:rPr>
      </w:pPr>
      <w:r>
        <w:rPr>
          <w:rFonts w:hint="eastAsia" w:ascii="宋体" w:hAnsi="宋体" w:cs="宋体"/>
          <w:b/>
          <w:bCs/>
          <w:szCs w:val="21"/>
        </w:rPr>
        <w:t>维护电气设备设施内容</w:t>
      </w:r>
    </w:p>
    <w:p>
      <w:pPr>
        <w:spacing w:line="360" w:lineRule="auto"/>
        <w:ind w:firstLine="420" w:firstLineChars="200"/>
        <w:rPr>
          <w:rFonts w:ascii="宋体" w:hAnsi="宋体" w:cs="宋体"/>
          <w:szCs w:val="21"/>
        </w:rPr>
      </w:pPr>
      <w:r>
        <w:rPr>
          <w:rFonts w:hint="eastAsia" w:ascii="宋体" w:hAnsi="宋体" w:cs="宋体"/>
          <w:color w:val="000000"/>
          <w:kern w:val="0"/>
          <w:szCs w:val="21"/>
          <w:shd w:val="clear" w:color="auto" w:fill="FFFFFF"/>
        </w:rPr>
        <w:t>顺德分公司（分公司本部、龙江支公司、均安支公司）三个高压配电房供电设备维护属于特种专业的电力操作，维护操作复杂、技术性强，维保人员需要经特种专业技能培训持证上岗。为更好地做好高压配电房的日常维护工作，降低供电系统的故障率，及时发现和消除隐患，从而减少供电故障发生，保障安全播出和安全生产工作顺利进行。顺德分公司计划通过引入专业的高压配电房代维单位，提高源头供电设备的维护水平。现计划采购两年期的高压配电房电气设备维护服务。</w:t>
      </w:r>
    </w:p>
    <w:p>
      <w:pPr>
        <w:pStyle w:val="32"/>
        <w:widowControl w:val="0"/>
        <w:numPr>
          <w:ilvl w:val="0"/>
          <w:numId w:val="13"/>
        </w:numPr>
        <w:spacing w:beforeAutospacing="0" w:afterAutospacing="0" w:line="360" w:lineRule="auto"/>
        <w:jc w:val="both"/>
        <w:rPr>
          <w:rFonts w:cs="宋体"/>
          <w:kern w:val="2"/>
          <w:sz w:val="21"/>
          <w:szCs w:val="21"/>
        </w:rPr>
      </w:pPr>
      <w:r>
        <w:rPr>
          <w:rFonts w:hint="eastAsia" w:cs="宋体"/>
          <w:sz w:val="21"/>
          <w:szCs w:val="21"/>
        </w:rPr>
        <w:t>设备：专变客户与供电部门的产权分界点到配电房低压出线柜出线开关之间连接的电气设备，包括变压器及台架设备、高低压配电柜、高低压电缆及附件。</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6"/>
        <w:gridCol w:w="698"/>
        <w:gridCol w:w="1311"/>
        <w:gridCol w:w="44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b/>
                <w:kern w:val="0"/>
                <w:szCs w:val="21"/>
              </w:rPr>
            </w:pPr>
            <w:r>
              <w:rPr>
                <w:rFonts w:hint="eastAsia" w:ascii="宋体" w:hAnsi="宋体" w:cs="宋体"/>
                <w:b/>
                <w:kern w:val="0"/>
                <w:szCs w:val="21"/>
              </w:rPr>
              <w:t>设备名称</w:t>
            </w:r>
          </w:p>
        </w:tc>
        <w:tc>
          <w:tcPr>
            <w:tcW w:w="698"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b/>
                <w:kern w:val="0"/>
                <w:szCs w:val="21"/>
              </w:rPr>
            </w:pPr>
            <w:r>
              <w:rPr>
                <w:rFonts w:hint="eastAsia" w:ascii="宋体" w:hAnsi="宋体" w:cs="宋体"/>
                <w:b/>
                <w:kern w:val="0"/>
                <w:szCs w:val="21"/>
              </w:rPr>
              <w:t>单位</w:t>
            </w:r>
          </w:p>
        </w:tc>
        <w:tc>
          <w:tcPr>
            <w:tcW w:w="131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b/>
                <w:kern w:val="0"/>
                <w:szCs w:val="21"/>
              </w:rPr>
            </w:pPr>
            <w:r>
              <w:rPr>
                <w:rFonts w:hint="eastAsia" w:ascii="宋体" w:hAnsi="宋体" w:cs="宋体"/>
                <w:b/>
                <w:kern w:val="0"/>
                <w:szCs w:val="21"/>
              </w:rPr>
              <w:t>数量</w:t>
            </w:r>
          </w:p>
        </w:tc>
        <w:tc>
          <w:tcPr>
            <w:tcW w:w="441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b/>
                <w:kern w:val="0"/>
                <w:szCs w:val="21"/>
              </w:rPr>
            </w:pPr>
            <w:r>
              <w:rPr>
                <w:rFonts w:hint="eastAsia" w:ascii="宋体" w:hAnsi="宋体" w:cs="宋体"/>
                <w:b/>
                <w:szCs w:val="21"/>
              </w:rPr>
              <w:t>变压器类型、容量/备注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5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变压器</w:t>
            </w:r>
          </w:p>
        </w:tc>
        <w:tc>
          <w:tcPr>
            <w:tcW w:w="698"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台</w:t>
            </w:r>
          </w:p>
        </w:tc>
        <w:tc>
          <w:tcPr>
            <w:tcW w:w="131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4</w:t>
            </w:r>
          </w:p>
        </w:tc>
        <w:tc>
          <w:tcPr>
            <w:tcW w:w="441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szCs w:val="21"/>
              </w:rPr>
            </w:pPr>
            <w:r>
              <w:rPr>
                <w:rFonts w:hint="eastAsia" w:ascii="宋体" w:hAnsi="宋体" w:cs="宋体"/>
                <w:szCs w:val="21"/>
              </w:rPr>
              <w:t>干式800KVA、630KVA</w:t>
            </w:r>
          </w:p>
          <w:p>
            <w:pPr>
              <w:widowControl/>
              <w:spacing w:line="360" w:lineRule="auto"/>
              <w:jc w:val="center"/>
              <w:rPr>
                <w:rFonts w:ascii="宋体" w:hAnsi="宋体" w:cs="宋体"/>
                <w:kern w:val="0"/>
                <w:szCs w:val="21"/>
              </w:rPr>
            </w:pPr>
            <w:r>
              <w:rPr>
                <w:rFonts w:hint="eastAsia" w:ascii="宋体" w:hAnsi="宋体" w:cs="宋体"/>
                <w:szCs w:val="21"/>
              </w:rPr>
              <w:t>油浸式315KVA、80KVA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5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高压柜</w:t>
            </w:r>
          </w:p>
        </w:tc>
        <w:tc>
          <w:tcPr>
            <w:tcW w:w="698"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面</w:t>
            </w:r>
          </w:p>
        </w:tc>
        <w:tc>
          <w:tcPr>
            <w:tcW w:w="131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6</w:t>
            </w:r>
          </w:p>
        </w:tc>
        <w:tc>
          <w:tcPr>
            <w:tcW w:w="441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电源进线柜、电压互感器柜、配变柜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5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低压柜</w:t>
            </w:r>
          </w:p>
        </w:tc>
        <w:tc>
          <w:tcPr>
            <w:tcW w:w="698"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面</w:t>
            </w:r>
          </w:p>
        </w:tc>
        <w:tc>
          <w:tcPr>
            <w:tcW w:w="131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12</w:t>
            </w:r>
          </w:p>
        </w:tc>
        <w:tc>
          <w:tcPr>
            <w:tcW w:w="441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0.4KV-进线总柜（计量）、出线柜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5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电容柜</w:t>
            </w:r>
          </w:p>
        </w:tc>
        <w:tc>
          <w:tcPr>
            <w:tcW w:w="698"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面</w:t>
            </w:r>
          </w:p>
        </w:tc>
        <w:tc>
          <w:tcPr>
            <w:tcW w:w="131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5</w:t>
            </w:r>
          </w:p>
        </w:tc>
        <w:tc>
          <w:tcPr>
            <w:tcW w:w="441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0.4KV-电容柜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5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高压进线电缆</w:t>
            </w:r>
          </w:p>
        </w:tc>
        <w:tc>
          <w:tcPr>
            <w:tcW w:w="698"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米</w:t>
            </w:r>
          </w:p>
        </w:tc>
        <w:tc>
          <w:tcPr>
            <w:tcW w:w="131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150</w:t>
            </w:r>
          </w:p>
        </w:tc>
        <w:tc>
          <w:tcPr>
            <w:tcW w:w="441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宋体"/>
                <w:kern w:val="0"/>
                <w:szCs w:val="21"/>
              </w:rPr>
            </w:pPr>
            <w:r>
              <w:rPr>
                <w:rFonts w:hint="eastAsia" w:ascii="宋体" w:hAnsi="宋体" w:cs="宋体"/>
                <w:kern w:val="0"/>
                <w:szCs w:val="21"/>
              </w:rPr>
              <w:t>--</w:t>
            </w:r>
          </w:p>
        </w:tc>
      </w:tr>
    </w:tbl>
    <w:p>
      <w:pPr>
        <w:pStyle w:val="32"/>
        <w:widowControl w:val="0"/>
        <w:spacing w:beforeAutospacing="0" w:afterAutospacing="0" w:line="360" w:lineRule="auto"/>
        <w:jc w:val="both"/>
        <w:rPr>
          <w:rFonts w:cs="宋体"/>
          <w:sz w:val="21"/>
          <w:szCs w:val="21"/>
        </w:rPr>
      </w:pPr>
    </w:p>
    <w:p>
      <w:pPr>
        <w:pStyle w:val="32"/>
        <w:widowControl w:val="0"/>
        <w:numPr>
          <w:ilvl w:val="0"/>
          <w:numId w:val="13"/>
        </w:numPr>
        <w:spacing w:beforeAutospacing="0" w:afterAutospacing="0" w:line="360" w:lineRule="auto"/>
        <w:jc w:val="both"/>
        <w:rPr>
          <w:rFonts w:cs="宋体"/>
          <w:sz w:val="21"/>
          <w:szCs w:val="21"/>
        </w:rPr>
      </w:pPr>
      <w:r>
        <w:rPr>
          <w:rFonts w:hint="eastAsia" w:cs="宋体"/>
          <w:sz w:val="21"/>
          <w:szCs w:val="21"/>
        </w:rPr>
        <w:t>设施：高低压配电房、变压器室的防小动物安全设施。（高压配电房2间，低压配电房3间，变压器室1间）</w:t>
      </w:r>
    </w:p>
    <w:p>
      <w:pPr>
        <w:pStyle w:val="32"/>
        <w:widowControl w:val="0"/>
        <w:numPr>
          <w:ilvl w:val="0"/>
          <w:numId w:val="13"/>
        </w:numPr>
        <w:spacing w:beforeAutospacing="0" w:afterAutospacing="0" w:line="360" w:lineRule="auto"/>
        <w:jc w:val="both"/>
        <w:rPr>
          <w:rFonts w:cs="宋体"/>
          <w:kern w:val="2"/>
          <w:sz w:val="21"/>
          <w:szCs w:val="21"/>
        </w:rPr>
      </w:pPr>
      <w:r>
        <w:rPr>
          <w:rFonts w:hint="eastAsia" w:cs="宋体"/>
          <w:kern w:val="2"/>
          <w:sz w:val="21"/>
          <w:szCs w:val="21"/>
        </w:rPr>
        <w:t>定期保养作业及应急维修服务次数</w:t>
      </w:r>
    </w:p>
    <w:p>
      <w:pPr>
        <w:pStyle w:val="32"/>
        <w:widowControl w:val="0"/>
        <w:numPr>
          <w:ilvl w:val="0"/>
          <w:numId w:val="14"/>
        </w:numPr>
        <w:spacing w:beforeAutospacing="0" w:afterAutospacing="0" w:line="360" w:lineRule="auto"/>
        <w:jc w:val="both"/>
        <w:rPr>
          <w:rFonts w:cs="宋体"/>
          <w:sz w:val="21"/>
          <w:szCs w:val="21"/>
        </w:rPr>
      </w:pPr>
      <w:r>
        <w:rPr>
          <w:rFonts w:hint="eastAsia" w:cs="宋体"/>
          <w:sz w:val="21"/>
          <w:szCs w:val="21"/>
        </w:rPr>
        <w:t>每周2次日常巡检并填写巡检报告，每次巡检必须是2人或2人以上进行。</w:t>
      </w:r>
    </w:p>
    <w:p>
      <w:pPr>
        <w:pStyle w:val="32"/>
        <w:widowControl w:val="0"/>
        <w:numPr>
          <w:ilvl w:val="0"/>
          <w:numId w:val="14"/>
        </w:numPr>
        <w:spacing w:beforeAutospacing="0" w:afterAutospacing="0" w:line="360" w:lineRule="auto"/>
        <w:jc w:val="both"/>
        <w:rPr>
          <w:rFonts w:cs="宋体"/>
          <w:sz w:val="21"/>
          <w:szCs w:val="21"/>
        </w:rPr>
      </w:pPr>
      <w:r>
        <w:rPr>
          <w:rFonts w:hint="eastAsia" w:cs="宋体"/>
          <w:sz w:val="21"/>
          <w:szCs w:val="21"/>
        </w:rPr>
        <w:t>每月1次地面清洁；</w:t>
      </w:r>
    </w:p>
    <w:p>
      <w:pPr>
        <w:pStyle w:val="32"/>
        <w:widowControl w:val="0"/>
        <w:numPr>
          <w:ilvl w:val="0"/>
          <w:numId w:val="14"/>
        </w:numPr>
        <w:spacing w:beforeAutospacing="0" w:afterAutospacing="0" w:line="360" w:lineRule="auto"/>
        <w:jc w:val="both"/>
        <w:rPr>
          <w:rFonts w:cs="宋体"/>
          <w:sz w:val="21"/>
          <w:szCs w:val="21"/>
        </w:rPr>
      </w:pPr>
      <w:r>
        <w:rPr>
          <w:rFonts w:hint="eastAsia" w:cs="宋体"/>
          <w:kern w:val="2"/>
          <w:sz w:val="21"/>
          <w:szCs w:val="21"/>
        </w:rPr>
        <w:t>每6个月1次</w:t>
      </w:r>
      <w:r>
        <w:rPr>
          <w:rFonts w:hint="eastAsia" w:cs="宋体"/>
          <w:sz w:val="21"/>
          <w:szCs w:val="21"/>
        </w:rPr>
        <w:t>电气设备设施停机清洁、维护保养；</w:t>
      </w:r>
    </w:p>
    <w:p>
      <w:pPr>
        <w:pStyle w:val="32"/>
        <w:widowControl w:val="0"/>
        <w:numPr>
          <w:ilvl w:val="0"/>
          <w:numId w:val="14"/>
        </w:numPr>
        <w:spacing w:beforeAutospacing="0" w:afterAutospacing="0" w:line="360" w:lineRule="auto"/>
        <w:jc w:val="both"/>
        <w:rPr>
          <w:rFonts w:cs="宋体"/>
          <w:sz w:val="21"/>
          <w:szCs w:val="21"/>
        </w:rPr>
      </w:pPr>
      <w:r>
        <w:rPr>
          <w:rFonts w:hint="eastAsia" w:cs="宋体"/>
          <w:sz w:val="21"/>
          <w:szCs w:val="21"/>
        </w:rPr>
        <w:t>全年技术支持和建立设备技术档案，每月提交《电气设备月度运行情况报告》；</w:t>
      </w:r>
    </w:p>
    <w:p>
      <w:pPr>
        <w:widowControl/>
        <w:numPr>
          <w:ilvl w:val="0"/>
          <w:numId w:val="14"/>
        </w:numPr>
        <w:spacing w:line="360" w:lineRule="auto"/>
        <w:jc w:val="left"/>
        <w:rPr>
          <w:rFonts w:ascii="宋体" w:hAnsi="宋体" w:cs="宋体"/>
          <w:kern w:val="0"/>
          <w:szCs w:val="21"/>
        </w:rPr>
      </w:pPr>
      <w:r>
        <w:rPr>
          <w:rFonts w:hint="eastAsia" w:ascii="宋体" w:hAnsi="宋体" w:cs="宋体"/>
          <w:kern w:val="0"/>
          <w:szCs w:val="21"/>
        </w:rPr>
        <w:t>提供7*24小时故障检修和抢修工作，并提供电话响应时间5分钟；接报后30分内到达现场，到达现场4小时内恢复设备的正常供电。</w:t>
      </w:r>
    </w:p>
    <w:p>
      <w:pPr>
        <w:pStyle w:val="32"/>
        <w:widowControl w:val="0"/>
        <w:numPr>
          <w:ilvl w:val="0"/>
          <w:numId w:val="13"/>
        </w:numPr>
        <w:spacing w:beforeAutospacing="0" w:afterAutospacing="0" w:line="360" w:lineRule="auto"/>
        <w:jc w:val="both"/>
        <w:rPr>
          <w:rFonts w:cs="宋体"/>
          <w:kern w:val="2"/>
          <w:sz w:val="21"/>
          <w:szCs w:val="21"/>
        </w:rPr>
      </w:pPr>
      <w:r>
        <w:rPr>
          <w:rFonts w:hint="eastAsia" w:cs="宋体"/>
          <w:kern w:val="2"/>
          <w:sz w:val="21"/>
          <w:szCs w:val="21"/>
        </w:rPr>
        <w:t>巡视维护的主要内容</w:t>
      </w:r>
    </w:p>
    <w:p>
      <w:pPr>
        <w:pStyle w:val="32"/>
        <w:widowControl w:val="0"/>
        <w:numPr>
          <w:ilvl w:val="0"/>
          <w:numId w:val="15"/>
        </w:numPr>
        <w:spacing w:beforeAutospacing="0" w:afterAutospacing="0" w:line="360" w:lineRule="auto"/>
        <w:jc w:val="both"/>
        <w:rPr>
          <w:rFonts w:cs="宋体"/>
          <w:kern w:val="2"/>
          <w:sz w:val="21"/>
          <w:szCs w:val="21"/>
        </w:rPr>
      </w:pPr>
      <w:r>
        <w:rPr>
          <w:rFonts w:hint="eastAsia" w:cs="宋体"/>
          <w:kern w:val="2"/>
          <w:sz w:val="21"/>
          <w:szCs w:val="21"/>
        </w:rPr>
        <w:t>配电房整体服务内容</w:t>
      </w:r>
    </w:p>
    <w:p>
      <w:pPr>
        <w:pStyle w:val="32"/>
        <w:widowControl w:val="0"/>
        <w:numPr>
          <w:ilvl w:val="0"/>
          <w:numId w:val="16"/>
        </w:numPr>
        <w:spacing w:beforeAutospacing="0" w:afterAutospacing="0" w:line="360" w:lineRule="auto"/>
        <w:jc w:val="both"/>
        <w:rPr>
          <w:rFonts w:cs="宋体"/>
          <w:kern w:val="2"/>
          <w:sz w:val="21"/>
          <w:szCs w:val="21"/>
        </w:rPr>
      </w:pPr>
      <w:r>
        <w:rPr>
          <w:rFonts w:hint="eastAsia" w:cs="宋体"/>
          <w:kern w:val="2"/>
          <w:sz w:val="21"/>
          <w:szCs w:val="21"/>
        </w:rPr>
        <w:t>每周两次对服务范围内电气设备进行巡视检查，抄录运行数据。</w:t>
      </w:r>
    </w:p>
    <w:p>
      <w:pPr>
        <w:pStyle w:val="32"/>
        <w:widowControl w:val="0"/>
        <w:numPr>
          <w:ilvl w:val="0"/>
          <w:numId w:val="16"/>
        </w:numPr>
        <w:spacing w:beforeAutospacing="0" w:afterAutospacing="0" w:line="360" w:lineRule="auto"/>
        <w:jc w:val="both"/>
        <w:rPr>
          <w:rFonts w:cs="宋体"/>
          <w:kern w:val="2"/>
          <w:sz w:val="21"/>
          <w:szCs w:val="21"/>
        </w:rPr>
      </w:pPr>
      <w:r>
        <w:rPr>
          <w:rFonts w:hint="eastAsia" w:cs="宋体"/>
          <w:kern w:val="2"/>
          <w:sz w:val="21"/>
          <w:szCs w:val="21"/>
        </w:rPr>
        <w:t>每周抄录一次有功电度、无功电度，计算功率因数，及时跟踪力率考核情况，对不合格的提出建议。</w:t>
      </w:r>
    </w:p>
    <w:p>
      <w:pPr>
        <w:pStyle w:val="32"/>
        <w:widowControl w:val="0"/>
        <w:numPr>
          <w:ilvl w:val="0"/>
          <w:numId w:val="16"/>
        </w:numPr>
        <w:spacing w:beforeAutospacing="0" w:afterAutospacing="0" w:line="360" w:lineRule="auto"/>
        <w:jc w:val="both"/>
        <w:rPr>
          <w:rFonts w:cs="宋体"/>
          <w:kern w:val="2"/>
          <w:sz w:val="21"/>
          <w:szCs w:val="21"/>
        </w:rPr>
      </w:pPr>
      <w:r>
        <w:rPr>
          <w:rFonts w:hint="eastAsia" w:cs="宋体"/>
          <w:kern w:val="2"/>
          <w:sz w:val="21"/>
          <w:szCs w:val="21"/>
        </w:rPr>
        <w:t>巡视检查中发现的故障或隐患，及时通知客户，按其紧急级别有计划检修。</w:t>
      </w:r>
    </w:p>
    <w:p>
      <w:pPr>
        <w:pStyle w:val="32"/>
        <w:widowControl w:val="0"/>
        <w:numPr>
          <w:ilvl w:val="0"/>
          <w:numId w:val="16"/>
        </w:numPr>
        <w:spacing w:beforeAutospacing="0" w:afterAutospacing="0" w:line="360" w:lineRule="auto"/>
        <w:jc w:val="both"/>
        <w:rPr>
          <w:rFonts w:cs="宋体"/>
          <w:kern w:val="2"/>
          <w:sz w:val="21"/>
          <w:szCs w:val="21"/>
        </w:rPr>
      </w:pPr>
      <w:r>
        <w:rPr>
          <w:rFonts w:hint="eastAsia" w:cs="宋体"/>
          <w:kern w:val="2"/>
          <w:sz w:val="21"/>
          <w:szCs w:val="21"/>
        </w:rPr>
        <w:t>每月向采购人提交《电气设备月度运行情况报告》，分析用电情况，提出用电建议。</w:t>
      </w:r>
    </w:p>
    <w:p>
      <w:pPr>
        <w:pStyle w:val="32"/>
        <w:widowControl w:val="0"/>
        <w:numPr>
          <w:ilvl w:val="0"/>
          <w:numId w:val="16"/>
        </w:numPr>
        <w:spacing w:beforeAutospacing="0" w:afterAutospacing="0" w:line="360" w:lineRule="auto"/>
        <w:jc w:val="both"/>
        <w:rPr>
          <w:rFonts w:cs="宋体"/>
          <w:kern w:val="2"/>
          <w:sz w:val="21"/>
          <w:szCs w:val="21"/>
        </w:rPr>
      </w:pPr>
      <w:r>
        <w:rPr>
          <w:rFonts w:hint="eastAsia" w:cs="宋体"/>
          <w:kern w:val="2"/>
          <w:sz w:val="21"/>
          <w:szCs w:val="21"/>
        </w:rPr>
        <w:t>每月检查配电房防小动物措施情况、通风情况、照明情况以及绝缘工器具试验情况</w:t>
      </w:r>
    </w:p>
    <w:p>
      <w:pPr>
        <w:pStyle w:val="32"/>
        <w:widowControl w:val="0"/>
        <w:numPr>
          <w:ilvl w:val="0"/>
          <w:numId w:val="15"/>
        </w:numPr>
        <w:spacing w:beforeAutospacing="0" w:afterAutospacing="0" w:line="360" w:lineRule="auto"/>
        <w:jc w:val="both"/>
        <w:rPr>
          <w:rFonts w:cs="宋体"/>
          <w:kern w:val="2"/>
          <w:sz w:val="21"/>
          <w:szCs w:val="21"/>
        </w:rPr>
      </w:pPr>
      <w:r>
        <w:rPr>
          <w:rFonts w:hint="eastAsia" w:cs="宋体"/>
          <w:kern w:val="2"/>
          <w:sz w:val="21"/>
          <w:szCs w:val="21"/>
        </w:rPr>
        <w:t>每周两次对服务范围内电气设备进行日常巡检的主要内容</w:t>
      </w:r>
    </w:p>
    <w:p>
      <w:pPr>
        <w:pStyle w:val="32"/>
        <w:widowControl w:val="0"/>
        <w:numPr>
          <w:ilvl w:val="0"/>
          <w:numId w:val="17"/>
        </w:numPr>
        <w:spacing w:beforeAutospacing="0" w:afterAutospacing="0" w:line="360" w:lineRule="auto"/>
        <w:jc w:val="both"/>
        <w:rPr>
          <w:rFonts w:cs="宋体"/>
          <w:kern w:val="2"/>
          <w:sz w:val="21"/>
          <w:szCs w:val="21"/>
        </w:rPr>
      </w:pPr>
      <w:r>
        <w:rPr>
          <w:rFonts w:hint="eastAsia" w:cs="宋体"/>
          <w:kern w:val="2"/>
          <w:sz w:val="21"/>
          <w:szCs w:val="21"/>
        </w:rPr>
        <w:t>变压器日常巡检的主要内容：</w:t>
      </w:r>
    </w:p>
    <w:p>
      <w:pPr>
        <w:numPr>
          <w:ilvl w:val="0"/>
          <w:numId w:val="18"/>
        </w:numPr>
        <w:spacing w:line="360" w:lineRule="auto"/>
        <w:rPr>
          <w:rFonts w:ascii="宋体" w:hAnsi="宋体" w:cs="宋体"/>
          <w:szCs w:val="21"/>
        </w:rPr>
      </w:pPr>
      <w:r>
        <w:rPr>
          <w:rFonts w:hint="eastAsia" w:ascii="宋体" w:hAnsi="宋体" w:cs="宋体"/>
          <w:szCs w:val="21"/>
        </w:rPr>
        <w:t>检查变压器发出的声响是否正常；</w:t>
      </w:r>
    </w:p>
    <w:p>
      <w:pPr>
        <w:numPr>
          <w:ilvl w:val="0"/>
          <w:numId w:val="18"/>
        </w:numPr>
        <w:spacing w:line="360" w:lineRule="auto"/>
        <w:rPr>
          <w:rFonts w:ascii="宋体" w:hAnsi="宋体" w:cs="宋体"/>
          <w:szCs w:val="21"/>
        </w:rPr>
      </w:pPr>
      <w:r>
        <w:rPr>
          <w:rFonts w:hint="eastAsia" w:ascii="宋体" w:hAnsi="宋体" w:cs="宋体"/>
          <w:szCs w:val="21"/>
        </w:rPr>
        <w:t>检查变压器是否渗油；</w:t>
      </w:r>
    </w:p>
    <w:p>
      <w:pPr>
        <w:numPr>
          <w:ilvl w:val="0"/>
          <w:numId w:val="18"/>
        </w:numPr>
        <w:spacing w:line="360" w:lineRule="auto"/>
        <w:rPr>
          <w:rFonts w:ascii="宋体" w:hAnsi="宋体" w:cs="宋体"/>
          <w:szCs w:val="21"/>
        </w:rPr>
      </w:pPr>
      <w:r>
        <w:rPr>
          <w:rFonts w:hint="eastAsia" w:ascii="宋体" w:hAnsi="宋体" w:cs="宋体"/>
          <w:szCs w:val="21"/>
        </w:rPr>
        <w:t>检查变压器吸湿器是否破裂，干燥剂是否正常；</w:t>
      </w:r>
    </w:p>
    <w:p>
      <w:pPr>
        <w:numPr>
          <w:ilvl w:val="0"/>
          <w:numId w:val="18"/>
        </w:numPr>
        <w:spacing w:line="360" w:lineRule="auto"/>
        <w:rPr>
          <w:rFonts w:ascii="宋体" w:hAnsi="宋体" w:cs="宋体"/>
          <w:szCs w:val="21"/>
        </w:rPr>
      </w:pPr>
      <w:r>
        <w:rPr>
          <w:rFonts w:hint="eastAsia" w:ascii="宋体" w:hAnsi="宋体" w:cs="宋体"/>
          <w:szCs w:val="21"/>
        </w:rPr>
        <w:t>测量并记录变压器的最高温度及位置。</w:t>
      </w:r>
    </w:p>
    <w:p>
      <w:pPr>
        <w:pStyle w:val="32"/>
        <w:widowControl w:val="0"/>
        <w:numPr>
          <w:ilvl w:val="0"/>
          <w:numId w:val="17"/>
        </w:numPr>
        <w:spacing w:beforeAutospacing="0" w:afterAutospacing="0" w:line="360" w:lineRule="auto"/>
        <w:jc w:val="both"/>
        <w:rPr>
          <w:rFonts w:cs="宋体"/>
          <w:kern w:val="2"/>
          <w:sz w:val="21"/>
          <w:szCs w:val="21"/>
        </w:rPr>
      </w:pPr>
      <w:r>
        <w:rPr>
          <w:rFonts w:hint="eastAsia" w:cs="宋体"/>
          <w:kern w:val="2"/>
          <w:sz w:val="21"/>
          <w:szCs w:val="21"/>
        </w:rPr>
        <w:t>高压配电设备日常巡检的主要内容：</w:t>
      </w:r>
    </w:p>
    <w:p>
      <w:pPr>
        <w:numPr>
          <w:ilvl w:val="0"/>
          <w:numId w:val="19"/>
        </w:numPr>
        <w:spacing w:line="360" w:lineRule="auto"/>
        <w:rPr>
          <w:rFonts w:ascii="宋体" w:hAnsi="宋体" w:cs="宋体"/>
          <w:szCs w:val="21"/>
        </w:rPr>
      </w:pPr>
      <w:r>
        <w:rPr>
          <w:rFonts w:hint="eastAsia" w:ascii="宋体" w:hAnsi="宋体" w:cs="宋体"/>
          <w:szCs w:val="21"/>
        </w:rPr>
        <w:t>检查高压柜信号灯是否正常；</w:t>
      </w:r>
    </w:p>
    <w:p>
      <w:pPr>
        <w:numPr>
          <w:ilvl w:val="0"/>
          <w:numId w:val="19"/>
        </w:numPr>
        <w:spacing w:line="360" w:lineRule="auto"/>
        <w:rPr>
          <w:rFonts w:ascii="宋体" w:hAnsi="宋体" w:cs="宋体"/>
          <w:szCs w:val="21"/>
        </w:rPr>
      </w:pPr>
      <w:r>
        <w:rPr>
          <w:rFonts w:hint="eastAsia" w:ascii="宋体" w:hAnsi="宋体" w:cs="宋体"/>
          <w:szCs w:val="21"/>
        </w:rPr>
        <w:t>检查高压柜柜内照明是否正常；</w:t>
      </w:r>
    </w:p>
    <w:p>
      <w:pPr>
        <w:numPr>
          <w:ilvl w:val="0"/>
          <w:numId w:val="19"/>
        </w:numPr>
        <w:spacing w:line="360" w:lineRule="auto"/>
        <w:rPr>
          <w:rFonts w:ascii="宋体" w:hAnsi="宋体" w:cs="宋体"/>
          <w:szCs w:val="21"/>
        </w:rPr>
      </w:pPr>
      <w:r>
        <w:rPr>
          <w:rFonts w:hint="eastAsia" w:ascii="宋体" w:hAnsi="宋体" w:cs="宋体"/>
          <w:szCs w:val="21"/>
        </w:rPr>
        <w:t>检查高压开关是否正常工作，少油开关油位是否正常；</w:t>
      </w:r>
    </w:p>
    <w:p>
      <w:pPr>
        <w:numPr>
          <w:ilvl w:val="0"/>
          <w:numId w:val="19"/>
        </w:numPr>
        <w:spacing w:line="360" w:lineRule="auto"/>
        <w:rPr>
          <w:rFonts w:ascii="宋体" w:hAnsi="宋体" w:cs="宋体"/>
          <w:szCs w:val="21"/>
        </w:rPr>
      </w:pPr>
      <w:r>
        <w:rPr>
          <w:rFonts w:hint="eastAsia" w:ascii="宋体" w:hAnsi="宋体" w:cs="宋体"/>
          <w:szCs w:val="21"/>
        </w:rPr>
        <w:t>检查高压PT柜的电压表指示是否正常；</w:t>
      </w:r>
    </w:p>
    <w:p>
      <w:pPr>
        <w:numPr>
          <w:ilvl w:val="0"/>
          <w:numId w:val="19"/>
        </w:numPr>
        <w:spacing w:line="360" w:lineRule="auto"/>
        <w:rPr>
          <w:rFonts w:ascii="宋体" w:hAnsi="宋体" w:cs="宋体"/>
          <w:szCs w:val="21"/>
        </w:rPr>
      </w:pPr>
      <w:r>
        <w:rPr>
          <w:rFonts w:hint="eastAsia" w:ascii="宋体" w:hAnsi="宋体" w:cs="宋体"/>
          <w:szCs w:val="21"/>
        </w:rPr>
        <w:t>检查高压PT柜计量监测装置是否显示故障；</w:t>
      </w:r>
    </w:p>
    <w:p>
      <w:pPr>
        <w:numPr>
          <w:ilvl w:val="0"/>
          <w:numId w:val="19"/>
        </w:numPr>
        <w:spacing w:line="360" w:lineRule="auto"/>
        <w:rPr>
          <w:rFonts w:ascii="宋体" w:hAnsi="宋体" w:cs="宋体"/>
          <w:szCs w:val="21"/>
        </w:rPr>
      </w:pPr>
      <w:r>
        <w:rPr>
          <w:rFonts w:hint="eastAsia" w:ascii="宋体" w:hAnsi="宋体" w:cs="宋体"/>
          <w:szCs w:val="21"/>
        </w:rPr>
        <w:t>对可视的高压电缆头进行外观检查。</w:t>
      </w:r>
    </w:p>
    <w:p>
      <w:pPr>
        <w:pStyle w:val="32"/>
        <w:widowControl w:val="0"/>
        <w:numPr>
          <w:ilvl w:val="0"/>
          <w:numId w:val="17"/>
        </w:numPr>
        <w:spacing w:beforeAutospacing="0" w:afterAutospacing="0" w:line="360" w:lineRule="auto"/>
        <w:jc w:val="both"/>
        <w:rPr>
          <w:rFonts w:cs="宋体"/>
          <w:kern w:val="2"/>
          <w:sz w:val="21"/>
          <w:szCs w:val="21"/>
        </w:rPr>
      </w:pPr>
      <w:r>
        <w:rPr>
          <w:rFonts w:hint="eastAsia" w:cs="宋体"/>
          <w:kern w:val="2"/>
          <w:sz w:val="21"/>
          <w:szCs w:val="21"/>
        </w:rPr>
        <w:t>低压配电设备日常巡检的主要内容：</w:t>
      </w:r>
    </w:p>
    <w:p>
      <w:pPr>
        <w:numPr>
          <w:ilvl w:val="0"/>
          <w:numId w:val="20"/>
        </w:numPr>
        <w:spacing w:line="360" w:lineRule="auto"/>
        <w:rPr>
          <w:rFonts w:ascii="宋体" w:hAnsi="宋体" w:cs="宋体"/>
          <w:szCs w:val="21"/>
        </w:rPr>
      </w:pPr>
      <w:r>
        <w:rPr>
          <w:rFonts w:hint="eastAsia" w:ascii="宋体" w:hAnsi="宋体" w:cs="宋体"/>
          <w:szCs w:val="21"/>
        </w:rPr>
        <w:t>根据采购人电容柜电容投切转换开关情况，检查电容投切转换开关是否设定在“自投”位置；</w:t>
      </w:r>
    </w:p>
    <w:p>
      <w:pPr>
        <w:numPr>
          <w:ilvl w:val="0"/>
          <w:numId w:val="20"/>
        </w:numPr>
        <w:spacing w:line="360" w:lineRule="auto"/>
        <w:rPr>
          <w:rFonts w:ascii="宋体" w:hAnsi="宋体" w:cs="宋体"/>
          <w:szCs w:val="21"/>
        </w:rPr>
      </w:pPr>
      <w:r>
        <w:rPr>
          <w:rFonts w:hint="eastAsia" w:ascii="宋体" w:hAnsi="宋体" w:cs="宋体"/>
          <w:szCs w:val="21"/>
        </w:rPr>
        <w:t>检查电容柜无功补偿控制器是否正常工作；</w:t>
      </w:r>
    </w:p>
    <w:p>
      <w:pPr>
        <w:numPr>
          <w:ilvl w:val="0"/>
          <w:numId w:val="20"/>
        </w:numPr>
        <w:spacing w:line="360" w:lineRule="auto"/>
        <w:rPr>
          <w:rFonts w:ascii="宋体" w:hAnsi="宋体" w:cs="宋体"/>
          <w:szCs w:val="21"/>
        </w:rPr>
      </w:pPr>
      <w:r>
        <w:rPr>
          <w:rFonts w:hint="eastAsia" w:ascii="宋体" w:hAnsi="宋体" w:cs="宋体"/>
          <w:szCs w:val="21"/>
        </w:rPr>
        <w:t>检查电容柜电容器的外壳是否有鼓胀、漏油等异常现象；</w:t>
      </w:r>
    </w:p>
    <w:p>
      <w:pPr>
        <w:numPr>
          <w:ilvl w:val="0"/>
          <w:numId w:val="20"/>
        </w:numPr>
        <w:spacing w:line="360" w:lineRule="auto"/>
        <w:rPr>
          <w:rFonts w:ascii="宋体" w:hAnsi="宋体" w:cs="宋体"/>
          <w:szCs w:val="21"/>
        </w:rPr>
      </w:pPr>
      <w:r>
        <w:rPr>
          <w:rFonts w:hint="eastAsia" w:ascii="宋体" w:hAnsi="宋体" w:cs="宋体"/>
          <w:szCs w:val="21"/>
        </w:rPr>
        <w:t>检查电容柜刀开关动、静触头接触是否良好；</w:t>
      </w:r>
    </w:p>
    <w:p>
      <w:pPr>
        <w:numPr>
          <w:ilvl w:val="0"/>
          <w:numId w:val="20"/>
        </w:numPr>
        <w:spacing w:line="360" w:lineRule="auto"/>
        <w:rPr>
          <w:rFonts w:ascii="宋体" w:hAnsi="宋体" w:cs="宋体"/>
          <w:szCs w:val="21"/>
        </w:rPr>
      </w:pPr>
      <w:r>
        <w:rPr>
          <w:rFonts w:hint="eastAsia" w:ascii="宋体" w:hAnsi="宋体" w:cs="宋体"/>
          <w:szCs w:val="21"/>
        </w:rPr>
        <w:t>检查交流接触器、热继电器是否工作正常；</w:t>
      </w:r>
    </w:p>
    <w:p>
      <w:pPr>
        <w:numPr>
          <w:ilvl w:val="0"/>
          <w:numId w:val="20"/>
        </w:numPr>
        <w:spacing w:line="360" w:lineRule="auto"/>
        <w:rPr>
          <w:rFonts w:ascii="宋体" w:hAnsi="宋体" w:cs="宋体"/>
          <w:szCs w:val="21"/>
        </w:rPr>
      </w:pPr>
      <w:r>
        <w:rPr>
          <w:rFonts w:hint="eastAsia" w:ascii="宋体" w:hAnsi="宋体" w:cs="宋体"/>
          <w:szCs w:val="21"/>
        </w:rPr>
        <w:t>检查电容柜熔刀的熔断器芯是否熔断；</w:t>
      </w:r>
    </w:p>
    <w:p>
      <w:pPr>
        <w:numPr>
          <w:ilvl w:val="0"/>
          <w:numId w:val="20"/>
        </w:numPr>
        <w:spacing w:line="360" w:lineRule="auto"/>
        <w:rPr>
          <w:rFonts w:ascii="宋体" w:hAnsi="宋体" w:cs="宋体"/>
          <w:szCs w:val="21"/>
        </w:rPr>
      </w:pPr>
      <w:r>
        <w:rPr>
          <w:rFonts w:hint="eastAsia" w:ascii="宋体" w:hAnsi="宋体" w:cs="宋体"/>
          <w:szCs w:val="21"/>
        </w:rPr>
        <w:t>检查低压计量柜计量装置是否铅封，电表转向是否正确；</w:t>
      </w:r>
    </w:p>
    <w:p>
      <w:pPr>
        <w:numPr>
          <w:ilvl w:val="0"/>
          <w:numId w:val="20"/>
        </w:numPr>
        <w:spacing w:line="360" w:lineRule="auto"/>
        <w:rPr>
          <w:rFonts w:ascii="宋体" w:hAnsi="宋体" w:cs="宋体"/>
          <w:szCs w:val="21"/>
        </w:rPr>
      </w:pPr>
      <w:r>
        <w:rPr>
          <w:rFonts w:hint="eastAsia" w:ascii="宋体" w:hAnsi="宋体" w:cs="宋体"/>
          <w:szCs w:val="21"/>
        </w:rPr>
        <w:t>检查各柜的开关是否有异响、异味；</w:t>
      </w:r>
    </w:p>
    <w:p>
      <w:pPr>
        <w:numPr>
          <w:ilvl w:val="0"/>
          <w:numId w:val="20"/>
        </w:numPr>
        <w:spacing w:line="360" w:lineRule="auto"/>
        <w:rPr>
          <w:rFonts w:ascii="宋体" w:hAnsi="宋体" w:cs="宋体"/>
          <w:szCs w:val="21"/>
        </w:rPr>
      </w:pPr>
      <w:r>
        <w:rPr>
          <w:rFonts w:hint="eastAsia" w:ascii="宋体" w:hAnsi="宋体" w:cs="宋体"/>
          <w:szCs w:val="21"/>
        </w:rPr>
        <w:t>检查各柜电流表、电压表指示是否正常，并记录电流值和电压值；</w:t>
      </w:r>
    </w:p>
    <w:p>
      <w:pPr>
        <w:numPr>
          <w:ilvl w:val="0"/>
          <w:numId w:val="20"/>
        </w:numPr>
        <w:spacing w:line="360" w:lineRule="auto"/>
        <w:rPr>
          <w:rFonts w:ascii="宋体" w:hAnsi="宋体" w:cs="宋体"/>
          <w:szCs w:val="21"/>
        </w:rPr>
      </w:pPr>
      <w:r>
        <w:rPr>
          <w:rFonts w:hint="eastAsia" w:ascii="宋体" w:hAnsi="宋体" w:cs="宋体"/>
          <w:szCs w:val="21"/>
        </w:rPr>
        <w:t>测量并记录各柜内各元件的温度；检查各柜的信号灯是否正常。</w:t>
      </w:r>
    </w:p>
    <w:p>
      <w:pPr>
        <w:pStyle w:val="32"/>
        <w:widowControl w:val="0"/>
        <w:numPr>
          <w:ilvl w:val="0"/>
          <w:numId w:val="15"/>
        </w:numPr>
        <w:spacing w:beforeAutospacing="0" w:afterAutospacing="0" w:line="360" w:lineRule="auto"/>
        <w:jc w:val="both"/>
        <w:rPr>
          <w:rFonts w:cs="宋体"/>
          <w:kern w:val="2"/>
          <w:sz w:val="21"/>
          <w:szCs w:val="21"/>
        </w:rPr>
      </w:pPr>
      <w:r>
        <w:rPr>
          <w:rFonts w:hint="eastAsia" w:cs="宋体"/>
          <w:kern w:val="2"/>
          <w:sz w:val="21"/>
          <w:szCs w:val="21"/>
        </w:rPr>
        <w:t>每月对服务范围内电气设备进行一次巡检和维护的主要内容:</w:t>
      </w:r>
    </w:p>
    <w:p>
      <w:pPr>
        <w:pStyle w:val="32"/>
        <w:widowControl w:val="0"/>
        <w:numPr>
          <w:ilvl w:val="0"/>
          <w:numId w:val="21"/>
        </w:numPr>
        <w:spacing w:beforeAutospacing="0" w:afterAutospacing="0" w:line="360" w:lineRule="auto"/>
        <w:jc w:val="both"/>
        <w:rPr>
          <w:rFonts w:cs="宋体"/>
          <w:kern w:val="2"/>
          <w:sz w:val="21"/>
          <w:szCs w:val="21"/>
        </w:rPr>
      </w:pPr>
      <w:r>
        <w:rPr>
          <w:rFonts w:hint="eastAsia" w:cs="宋体"/>
          <w:kern w:val="2"/>
          <w:sz w:val="21"/>
          <w:szCs w:val="21"/>
        </w:rPr>
        <w:t>检查带电夹、跌落式熔断器的上下卡位是否有发热或电弧现象；</w:t>
      </w:r>
    </w:p>
    <w:p>
      <w:pPr>
        <w:pStyle w:val="32"/>
        <w:widowControl w:val="0"/>
        <w:numPr>
          <w:ilvl w:val="0"/>
          <w:numId w:val="21"/>
        </w:numPr>
        <w:spacing w:beforeAutospacing="0" w:afterAutospacing="0" w:line="360" w:lineRule="auto"/>
        <w:jc w:val="both"/>
        <w:rPr>
          <w:rFonts w:cs="宋体"/>
          <w:kern w:val="2"/>
          <w:sz w:val="21"/>
          <w:szCs w:val="21"/>
        </w:rPr>
      </w:pPr>
      <w:r>
        <w:rPr>
          <w:rFonts w:hint="eastAsia" w:cs="宋体"/>
          <w:kern w:val="2"/>
          <w:sz w:val="21"/>
          <w:szCs w:val="21"/>
        </w:rPr>
        <w:t>检查接地线是否齐全并符合要求；</w:t>
      </w:r>
    </w:p>
    <w:p>
      <w:pPr>
        <w:pStyle w:val="32"/>
        <w:widowControl w:val="0"/>
        <w:numPr>
          <w:ilvl w:val="0"/>
          <w:numId w:val="21"/>
        </w:numPr>
        <w:spacing w:beforeAutospacing="0" w:afterAutospacing="0" w:line="360" w:lineRule="auto"/>
        <w:jc w:val="both"/>
        <w:rPr>
          <w:rFonts w:cs="宋体"/>
          <w:kern w:val="2"/>
          <w:sz w:val="21"/>
          <w:szCs w:val="21"/>
        </w:rPr>
      </w:pPr>
      <w:r>
        <w:rPr>
          <w:rFonts w:hint="eastAsia" w:cs="宋体"/>
          <w:kern w:val="2"/>
          <w:sz w:val="21"/>
          <w:szCs w:val="21"/>
        </w:rPr>
        <w:t>检查变压器的油色、油位是否正常；</w:t>
      </w:r>
    </w:p>
    <w:p>
      <w:pPr>
        <w:pStyle w:val="32"/>
        <w:widowControl w:val="0"/>
        <w:numPr>
          <w:ilvl w:val="0"/>
          <w:numId w:val="21"/>
        </w:numPr>
        <w:spacing w:beforeAutospacing="0" w:afterAutospacing="0" w:line="360" w:lineRule="auto"/>
        <w:jc w:val="both"/>
        <w:rPr>
          <w:rFonts w:cs="宋体"/>
          <w:kern w:val="2"/>
          <w:sz w:val="21"/>
          <w:szCs w:val="21"/>
        </w:rPr>
      </w:pPr>
      <w:r>
        <w:rPr>
          <w:rFonts w:hint="eastAsia" w:cs="宋体"/>
          <w:kern w:val="2"/>
          <w:sz w:val="21"/>
          <w:szCs w:val="21"/>
        </w:rPr>
        <w:t>检查刀开关的灭弧罩是否松脱；</w:t>
      </w:r>
    </w:p>
    <w:p>
      <w:pPr>
        <w:pStyle w:val="32"/>
        <w:widowControl w:val="0"/>
        <w:numPr>
          <w:ilvl w:val="0"/>
          <w:numId w:val="21"/>
        </w:numPr>
        <w:spacing w:beforeAutospacing="0" w:afterAutospacing="0" w:line="360" w:lineRule="auto"/>
        <w:jc w:val="both"/>
        <w:rPr>
          <w:rFonts w:cs="宋体"/>
          <w:kern w:val="2"/>
          <w:sz w:val="21"/>
          <w:szCs w:val="21"/>
        </w:rPr>
      </w:pPr>
      <w:r>
        <w:rPr>
          <w:rFonts w:hint="eastAsia" w:cs="宋体"/>
          <w:kern w:val="2"/>
          <w:sz w:val="21"/>
          <w:szCs w:val="21"/>
        </w:rPr>
        <w:t>检查电容器投切转换开关是否正常工作；</w:t>
      </w:r>
    </w:p>
    <w:p>
      <w:pPr>
        <w:pStyle w:val="32"/>
        <w:widowControl w:val="0"/>
        <w:numPr>
          <w:ilvl w:val="0"/>
          <w:numId w:val="21"/>
        </w:numPr>
        <w:spacing w:beforeAutospacing="0" w:afterAutospacing="0" w:line="360" w:lineRule="auto"/>
        <w:jc w:val="both"/>
        <w:rPr>
          <w:rFonts w:cs="宋体"/>
          <w:kern w:val="2"/>
          <w:sz w:val="21"/>
          <w:szCs w:val="21"/>
        </w:rPr>
      </w:pPr>
      <w:r>
        <w:rPr>
          <w:rFonts w:hint="eastAsia" w:cs="宋体"/>
          <w:kern w:val="2"/>
          <w:sz w:val="21"/>
          <w:szCs w:val="21"/>
        </w:rPr>
        <w:t>检查无功补偿自动控制器的参数设置是否在正常范围内检查电压转换开关是否能正常工作；</w:t>
      </w:r>
    </w:p>
    <w:p>
      <w:pPr>
        <w:pStyle w:val="32"/>
        <w:widowControl w:val="0"/>
        <w:numPr>
          <w:ilvl w:val="0"/>
          <w:numId w:val="21"/>
        </w:numPr>
        <w:spacing w:beforeAutospacing="0" w:afterAutospacing="0" w:line="360" w:lineRule="auto"/>
        <w:jc w:val="both"/>
        <w:rPr>
          <w:rFonts w:cs="宋体"/>
          <w:kern w:val="2"/>
          <w:sz w:val="21"/>
          <w:szCs w:val="21"/>
        </w:rPr>
      </w:pPr>
      <w:r>
        <w:rPr>
          <w:rFonts w:hint="eastAsia" w:cs="宋体"/>
          <w:kern w:val="2"/>
          <w:sz w:val="21"/>
          <w:szCs w:val="21"/>
        </w:rPr>
        <w:t>测量每组电容器的容量。</w:t>
      </w:r>
    </w:p>
    <w:p>
      <w:pPr>
        <w:pStyle w:val="32"/>
        <w:widowControl w:val="0"/>
        <w:numPr>
          <w:ilvl w:val="0"/>
          <w:numId w:val="21"/>
        </w:numPr>
        <w:spacing w:beforeAutospacing="0" w:afterAutospacing="0" w:line="360" w:lineRule="auto"/>
        <w:jc w:val="both"/>
        <w:rPr>
          <w:rFonts w:cs="宋体"/>
          <w:kern w:val="2"/>
          <w:sz w:val="21"/>
          <w:szCs w:val="21"/>
        </w:rPr>
      </w:pPr>
      <w:r>
        <w:rPr>
          <w:rFonts w:hint="eastAsia" w:cs="宋体"/>
          <w:kern w:val="2"/>
          <w:sz w:val="21"/>
          <w:szCs w:val="21"/>
        </w:rPr>
        <w:t>地面清洁。</w:t>
      </w:r>
    </w:p>
    <w:p>
      <w:pPr>
        <w:pStyle w:val="32"/>
        <w:widowControl w:val="0"/>
        <w:numPr>
          <w:ilvl w:val="0"/>
          <w:numId w:val="15"/>
        </w:numPr>
        <w:spacing w:beforeAutospacing="0" w:afterAutospacing="0" w:line="360" w:lineRule="auto"/>
        <w:jc w:val="both"/>
        <w:rPr>
          <w:rFonts w:cs="宋体"/>
          <w:kern w:val="2"/>
          <w:sz w:val="21"/>
          <w:szCs w:val="21"/>
        </w:rPr>
      </w:pPr>
      <w:r>
        <w:rPr>
          <w:rFonts w:hint="eastAsia" w:cs="宋体"/>
          <w:kern w:val="2"/>
          <w:sz w:val="21"/>
          <w:szCs w:val="21"/>
        </w:rPr>
        <w:t>半年度/停电对服务范围内电气设备进行一次维护和检修的主要内容：</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检查变压器高、低压套管是否有裂痕；</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检查变压器高、低压套管是否有渗油；</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紧固变压器10KV、0.4KV侧接线柱螺栓；</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检查变压器台架、高低压柜金属架是否接地；</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对刀开关进行分合闸操作，检查分合闸情况，对损坏的刀开关进行维修或更换；</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检查一次、二次线路的搭接处的螺栓是否紧固；</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对设备带电时不能粘贴时示温片的部位补贴示温片；</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对设备带电时不能检查的高压电缆头进行外观检查；</w:t>
      </w:r>
    </w:p>
    <w:p>
      <w:pPr>
        <w:pStyle w:val="32"/>
        <w:widowControl w:val="0"/>
        <w:numPr>
          <w:ilvl w:val="0"/>
          <w:numId w:val="22"/>
        </w:numPr>
        <w:spacing w:beforeAutospacing="0" w:afterAutospacing="0" w:line="360" w:lineRule="auto"/>
        <w:jc w:val="both"/>
        <w:rPr>
          <w:rFonts w:cs="宋体"/>
          <w:kern w:val="2"/>
          <w:sz w:val="21"/>
          <w:szCs w:val="21"/>
        </w:rPr>
      </w:pPr>
      <w:r>
        <w:rPr>
          <w:rFonts w:hint="eastAsia" w:cs="宋体"/>
          <w:kern w:val="2"/>
          <w:sz w:val="21"/>
          <w:szCs w:val="21"/>
        </w:rPr>
        <w:t>完成高、低压柜内外及电房的清洁。</w:t>
      </w:r>
    </w:p>
    <w:p>
      <w:pPr>
        <w:pStyle w:val="32"/>
        <w:widowControl w:val="0"/>
        <w:numPr>
          <w:ilvl w:val="0"/>
          <w:numId w:val="13"/>
        </w:numPr>
        <w:spacing w:beforeAutospacing="0" w:afterAutospacing="0" w:line="360" w:lineRule="auto"/>
        <w:jc w:val="both"/>
        <w:rPr>
          <w:rFonts w:cs="宋体"/>
          <w:kern w:val="2"/>
          <w:sz w:val="21"/>
          <w:szCs w:val="21"/>
        </w:rPr>
      </w:pPr>
      <w:r>
        <w:rPr>
          <w:rFonts w:hint="eastAsia" w:cs="宋体"/>
          <w:kern w:val="2"/>
          <w:sz w:val="21"/>
          <w:szCs w:val="21"/>
        </w:rPr>
        <w:t>检查、维护高低压配电房、变压器室的防小动物安全设施。</w:t>
      </w:r>
    </w:p>
    <w:p>
      <w:pPr>
        <w:numPr>
          <w:ilvl w:val="0"/>
          <w:numId w:val="12"/>
        </w:numPr>
        <w:autoSpaceDE w:val="0"/>
        <w:autoSpaceDN w:val="0"/>
        <w:snapToGrid w:val="0"/>
        <w:spacing w:line="360" w:lineRule="auto"/>
        <w:rPr>
          <w:rFonts w:ascii="宋体" w:hAnsi="宋体" w:cs="宋体"/>
          <w:b/>
          <w:bCs/>
          <w:szCs w:val="21"/>
        </w:rPr>
      </w:pPr>
      <w:r>
        <w:rPr>
          <w:rFonts w:hint="eastAsia" w:ascii="宋体" w:hAnsi="宋体" w:cs="宋体"/>
          <w:b/>
          <w:bCs/>
          <w:szCs w:val="21"/>
        </w:rPr>
        <w:t>配件清单</w:t>
      </w:r>
    </w:p>
    <w:tbl>
      <w:tblPr>
        <w:tblStyle w:val="36"/>
        <w:tblW w:w="8359" w:type="dxa"/>
        <w:jc w:val="center"/>
        <w:tblLayout w:type="fixed"/>
        <w:tblCellMar>
          <w:top w:w="0" w:type="dxa"/>
          <w:left w:w="108" w:type="dxa"/>
          <w:bottom w:w="0" w:type="dxa"/>
          <w:right w:w="108" w:type="dxa"/>
        </w:tblCellMar>
      </w:tblPr>
      <w:tblGrid>
        <w:gridCol w:w="1696"/>
        <w:gridCol w:w="2268"/>
        <w:gridCol w:w="2694"/>
        <w:gridCol w:w="850"/>
        <w:gridCol w:w="851"/>
      </w:tblGrid>
      <w:tr>
        <w:tblPrEx>
          <w:tblCellMar>
            <w:top w:w="0" w:type="dxa"/>
            <w:left w:w="108" w:type="dxa"/>
            <w:bottom w:w="0" w:type="dxa"/>
            <w:right w:w="108" w:type="dxa"/>
          </w:tblCellMar>
        </w:tblPrEx>
        <w:trPr>
          <w:trHeight w:val="567" w:hRule="atLeast"/>
          <w:jc w:val="center"/>
        </w:trPr>
        <w:tc>
          <w:tcPr>
            <w:tcW w:w="1696"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ascii="宋体" w:hAnsi="宋体" w:cs="仿宋"/>
                <w:b/>
                <w:bCs/>
                <w:color w:val="000000"/>
                <w:kern w:val="0"/>
                <w:szCs w:val="21"/>
              </w:rPr>
            </w:pPr>
            <w:r>
              <w:rPr>
                <w:rFonts w:hint="eastAsia" w:ascii="宋体" w:hAnsi="宋体" w:cs="仿宋"/>
                <w:b/>
                <w:bCs/>
                <w:color w:val="000000"/>
                <w:kern w:val="0"/>
                <w:szCs w:val="21"/>
              </w:rPr>
              <w:t>配件名称</w:t>
            </w:r>
          </w:p>
        </w:tc>
        <w:tc>
          <w:tcPr>
            <w:tcW w:w="2268" w:type="dxa"/>
            <w:tcBorders>
              <w:top w:val="single" w:color="auto" w:sz="4" w:space="0"/>
              <w:left w:val="nil"/>
              <w:bottom w:val="single" w:color="auto" w:sz="4" w:space="0"/>
              <w:right w:val="single" w:color="auto" w:sz="4" w:space="0"/>
            </w:tcBorders>
            <w:noWrap/>
            <w:vAlign w:val="center"/>
          </w:tcPr>
          <w:p>
            <w:pPr>
              <w:widowControl/>
              <w:spacing w:line="360" w:lineRule="auto"/>
              <w:jc w:val="center"/>
              <w:rPr>
                <w:rFonts w:ascii="宋体" w:hAnsi="宋体" w:cs="仿宋"/>
                <w:b/>
                <w:bCs/>
                <w:color w:val="000000"/>
                <w:kern w:val="0"/>
                <w:szCs w:val="21"/>
              </w:rPr>
            </w:pPr>
            <w:r>
              <w:rPr>
                <w:rFonts w:hint="eastAsia" w:ascii="宋体" w:hAnsi="宋体" w:cs="仿宋"/>
                <w:b/>
                <w:bCs/>
                <w:color w:val="000000"/>
                <w:kern w:val="0"/>
                <w:szCs w:val="21"/>
              </w:rPr>
              <w:t>原配件型号参数</w:t>
            </w:r>
          </w:p>
        </w:tc>
        <w:tc>
          <w:tcPr>
            <w:tcW w:w="2694"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hAnsi="宋体" w:cs="仿宋"/>
                <w:b/>
                <w:bCs/>
                <w:color w:val="000000"/>
                <w:kern w:val="0"/>
                <w:szCs w:val="21"/>
              </w:rPr>
            </w:pPr>
            <w:r>
              <w:rPr>
                <w:rFonts w:hint="eastAsia" w:ascii="宋体" w:hAnsi="宋体" w:cs="仿宋"/>
                <w:b/>
                <w:bCs/>
                <w:color w:val="000000"/>
                <w:kern w:val="0"/>
                <w:szCs w:val="21"/>
              </w:rPr>
              <w:t>要求</w:t>
            </w:r>
          </w:p>
        </w:tc>
        <w:tc>
          <w:tcPr>
            <w:tcW w:w="850" w:type="dxa"/>
            <w:tcBorders>
              <w:top w:val="single" w:color="auto" w:sz="4" w:space="0"/>
              <w:left w:val="nil"/>
              <w:bottom w:val="single" w:color="auto" w:sz="4" w:space="0"/>
              <w:right w:val="single" w:color="auto" w:sz="4" w:space="0"/>
            </w:tcBorders>
            <w:noWrap/>
            <w:vAlign w:val="center"/>
          </w:tcPr>
          <w:p>
            <w:pPr>
              <w:widowControl/>
              <w:spacing w:line="360" w:lineRule="auto"/>
              <w:jc w:val="center"/>
              <w:rPr>
                <w:rFonts w:ascii="宋体" w:hAnsi="宋体" w:cs="仿宋"/>
                <w:b/>
                <w:bCs/>
                <w:color w:val="000000"/>
                <w:kern w:val="0"/>
                <w:szCs w:val="21"/>
              </w:rPr>
            </w:pPr>
            <w:r>
              <w:rPr>
                <w:rFonts w:hint="eastAsia" w:ascii="宋体" w:hAnsi="宋体" w:cs="仿宋"/>
                <w:b/>
                <w:bCs/>
                <w:color w:val="000000"/>
                <w:kern w:val="0"/>
                <w:szCs w:val="21"/>
              </w:rPr>
              <w:t>单位</w:t>
            </w:r>
          </w:p>
        </w:tc>
        <w:tc>
          <w:tcPr>
            <w:tcW w:w="851" w:type="dxa"/>
            <w:tcBorders>
              <w:top w:val="single" w:color="auto" w:sz="4" w:space="0"/>
              <w:left w:val="nil"/>
              <w:bottom w:val="single" w:color="auto" w:sz="4" w:space="0"/>
              <w:right w:val="single" w:color="auto" w:sz="4" w:space="0"/>
            </w:tcBorders>
            <w:noWrap/>
            <w:vAlign w:val="center"/>
          </w:tcPr>
          <w:p>
            <w:pPr>
              <w:widowControl/>
              <w:spacing w:line="360" w:lineRule="auto"/>
              <w:jc w:val="center"/>
              <w:rPr>
                <w:rFonts w:ascii="宋体" w:hAnsi="宋体" w:cs="仿宋"/>
                <w:b/>
                <w:bCs/>
                <w:color w:val="000000"/>
                <w:kern w:val="0"/>
                <w:szCs w:val="21"/>
              </w:rPr>
            </w:pPr>
            <w:r>
              <w:rPr>
                <w:rFonts w:hint="eastAsia" w:ascii="宋体" w:hAnsi="宋体" w:cs="仿宋"/>
                <w:b/>
                <w:bCs/>
                <w:color w:val="000000"/>
                <w:kern w:val="0"/>
                <w:szCs w:val="21"/>
              </w:rPr>
              <w:t>数量</w:t>
            </w:r>
          </w:p>
        </w:tc>
      </w:tr>
      <w:tr>
        <w:tblPrEx>
          <w:tblCellMar>
            <w:top w:w="0" w:type="dxa"/>
            <w:left w:w="108" w:type="dxa"/>
            <w:bottom w:w="0" w:type="dxa"/>
            <w:right w:w="108" w:type="dxa"/>
          </w:tblCellMar>
        </w:tblPrEx>
        <w:trPr>
          <w:trHeight w:val="567" w:hRule="atLeast"/>
          <w:jc w:val="center"/>
        </w:trPr>
        <w:tc>
          <w:tcPr>
            <w:tcW w:w="1696" w:type="dxa"/>
            <w:tcBorders>
              <w:top w:val="nil"/>
              <w:left w:val="single" w:color="auto" w:sz="4" w:space="0"/>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框架断路器（抽屉式）</w:t>
            </w:r>
          </w:p>
        </w:tc>
        <w:tc>
          <w:tcPr>
            <w:tcW w:w="2268" w:type="dxa"/>
            <w:tcBorders>
              <w:top w:val="nil"/>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hint="eastAsia" w:ascii="宋体" w:hAnsi="宋体" w:cs="仿宋"/>
                <w:szCs w:val="21"/>
              </w:rPr>
              <w:t>CW1-2000M/4</w:t>
            </w:r>
          </w:p>
          <w:p>
            <w:pPr>
              <w:spacing w:line="360" w:lineRule="auto"/>
              <w:jc w:val="center"/>
              <w:rPr>
                <w:rFonts w:ascii="宋体" w:hAnsi="宋体" w:cs="仿宋"/>
                <w:szCs w:val="21"/>
              </w:rPr>
            </w:pPr>
            <w:r>
              <w:rPr>
                <w:rFonts w:hint="eastAsia" w:ascii="宋体" w:hAnsi="宋体" w:cs="仿宋"/>
                <w:szCs w:val="21"/>
              </w:rPr>
              <w:t>1600A</w:t>
            </w:r>
          </w:p>
        </w:tc>
        <w:tc>
          <w:tcPr>
            <w:tcW w:w="2694" w:type="dxa"/>
            <w:tcBorders>
              <w:top w:val="nil"/>
              <w:left w:val="nil"/>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与原配电柜框架断路器（抽屉式）大小一致；一、二次控制线路一致，能与原断路器直接替换</w:t>
            </w:r>
          </w:p>
        </w:tc>
        <w:tc>
          <w:tcPr>
            <w:tcW w:w="850" w:type="dxa"/>
            <w:tcBorders>
              <w:top w:val="nil"/>
              <w:left w:val="nil"/>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台</w:t>
            </w:r>
          </w:p>
        </w:tc>
        <w:tc>
          <w:tcPr>
            <w:tcW w:w="851" w:type="dxa"/>
            <w:tcBorders>
              <w:top w:val="nil"/>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hint="eastAsia" w:ascii="宋体" w:hAnsi="宋体" w:cs="仿宋"/>
                <w:szCs w:val="21"/>
              </w:rPr>
              <w:t>1</w:t>
            </w:r>
          </w:p>
        </w:tc>
      </w:tr>
      <w:tr>
        <w:tblPrEx>
          <w:tblCellMar>
            <w:top w:w="0" w:type="dxa"/>
            <w:left w:w="108" w:type="dxa"/>
            <w:bottom w:w="0" w:type="dxa"/>
            <w:right w:w="108" w:type="dxa"/>
          </w:tblCellMar>
        </w:tblPrEx>
        <w:trPr>
          <w:trHeight w:val="567" w:hRule="atLeast"/>
          <w:jc w:val="center"/>
        </w:trPr>
        <w:tc>
          <w:tcPr>
            <w:tcW w:w="1696" w:type="dxa"/>
            <w:tcBorders>
              <w:top w:val="nil"/>
              <w:left w:val="single" w:color="auto" w:sz="4" w:space="0"/>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断路器合闸电磁铁</w:t>
            </w:r>
          </w:p>
        </w:tc>
        <w:tc>
          <w:tcPr>
            <w:tcW w:w="2268" w:type="dxa"/>
            <w:tcBorders>
              <w:top w:val="nil"/>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hint="eastAsia" w:ascii="宋体" w:hAnsi="宋体" w:cs="仿宋"/>
                <w:szCs w:val="21"/>
              </w:rPr>
              <w:t>CW1-2000M/4</w:t>
            </w:r>
          </w:p>
          <w:p>
            <w:pPr>
              <w:spacing w:line="360" w:lineRule="auto"/>
              <w:jc w:val="center"/>
              <w:rPr>
                <w:rFonts w:ascii="宋体" w:hAnsi="宋体" w:cs="仿宋"/>
                <w:szCs w:val="21"/>
              </w:rPr>
            </w:pPr>
            <w:r>
              <w:rPr>
                <w:rFonts w:hint="eastAsia" w:ascii="宋体" w:hAnsi="宋体" w:cs="仿宋"/>
                <w:szCs w:val="21"/>
              </w:rPr>
              <w:t>1600A断路器合闸电磁铁，额定电压230V</w:t>
            </w:r>
          </w:p>
        </w:tc>
        <w:tc>
          <w:tcPr>
            <w:tcW w:w="2694" w:type="dxa"/>
            <w:tcBorders>
              <w:top w:val="nil"/>
              <w:left w:val="nil"/>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与原配电柜框架断路器（抽屉式）中的合闸电磁铁大小一致；能与原合闸电磁铁直接替换</w:t>
            </w:r>
          </w:p>
        </w:tc>
        <w:tc>
          <w:tcPr>
            <w:tcW w:w="850" w:type="dxa"/>
            <w:tcBorders>
              <w:top w:val="nil"/>
              <w:left w:val="nil"/>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个</w:t>
            </w:r>
          </w:p>
        </w:tc>
        <w:tc>
          <w:tcPr>
            <w:tcW w:w="851" w:type="dxa"/>
            <w:tcBorders>
              <w:top w:val="nil"/>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hint="eastAsia" w:ascii="宋体" w:hAnsi="宋体" w:cs="仿宋"/>
                <w:szCs w:val="21"/>
              </w:rPr>
              <w:t>4</w:t>
            </w:r>
          </w:p>
        </w:tc>
      </w:tr>
      <w:tr>
        <w:tblPrEx>
          <w:tblCellMar>
            <w:top w:w="0" w:type="dxa"/>
            <w:left w:w="108" w:type="dxa"/>
            <w:bottom w:w="0" w:type="dxa"/>
            <w:right w:w="108" w:type="dxa"/>
          </w:tblCellMar>
        </w:tblPrEx>
        <w:trPr>
          <w:trHeight w:val="567" w:hRule="atLeast"/>
          <w:jc w:val="center"/>
        </w:trPr>
        <w:tc>
          <w:tcPr>
            <w:tcW w:w="169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高压绝缘手套</w:t>
            </w:r>
          </w:p>
        </w:tc>
        <w:tc>
          <w:tcPr>
            <w:tcW w:w="2268" w:type="dxa"/>
            <w:tcBorders>
              <w:top w:val="single" w:color="auto" w:sz="4" w:space="0"/>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hint="eastAsia" w:ascii="宋体" w:hAnsi="宋体" w:cs="Tahoma"/>
                <w:b/>
                <w:bCs/>
                <w:color w:val="000000"/>
                <w:szCs w:val="21"/>
                <w:shd w:val="clear" w:color="auto" w:fill="FFFFFF"/>
              </w:rPr>
              <w:t>12kv</w:t>
            </w:r>
            <w:r>
              <w:rPr>
                <w:rFonts w:hint="eastAsia" w:ascii="宋体" w:hAnsi="宋体" w:cs="宋体"/>
                <w:b/>
                <w:bCs/>
                <w:color w:val="000000"/>
                <w:szCs w:val="21"/>
                <w:shd w:val="clear" w:color="auto" w:fill="FFFFFF"/>
              </w:rPr>
              <w:t>绝缘手套</w:t>
            </w:r>
            <w:r>
              <w:rPr>
                <w:rFonts w:hint="eastAsia" w:ascii="宋体" w:hAnsi="宋体" w:cs="Tahoma"/>
                <w:b/>
                <w:bCs/>
                <w:color w:val="000000"/>
                <w:szCs w:val="21"/>
                <w:shd w:val="clear" w:color="auto" w:fill="FFFFFF"/>
              </w:rPr>
              <w:t>、</w:t>
            </w:r>
            <w:r>
              <w:rPr>
                <w:rFonts w:hint="eastAsia" w:ascii="宋体" w:hAnsi="宋体" w:cs="仿宋"/>
                <w:szCs w:val="21"/>
              </w:rPr>
              <w:t>均码</w:t>
            </w:r>
          </w:p>
        </w:tc>
        <w:tc>
          <w:tcPr>
            <w:tcW w:w="2694"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仿宋"/>
                <w:szCs w:val="21"/>
              </w:rPr>
            </w:pPr>
          </w:p>
        </w:tc>
        <w:tc>
          <w:tcPr>
            <w:tcW w:w="85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双</w:t>
            </w:r>
          </w:p>
        </w:tc>
        <w:tc>
          <w:tcPr>
            <w:tcW w:w="851" w:type="dxa"/>
            <w:tcBorders>
              <w:top w:val="single" w:color="auto" w:sz="4" w:space="0"/>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hint="eastAsia" w:ascii="宋体" w:hAnsi="宋体" w:cs="仿宋"/>
                <w:szCs w:val="21"/>
              </w:rPr>
              <w:t>1</w:t>
            </w:r>
          </w:p>
        </w:tc>
      </w:tr>
      <w:tr>
        <w:tblPrEx>
          <w:tblCellMar>
            <w:top w:w="0" w:type="dxa"/>
            <w:left w:w="108" w:type="dxa"/>
            <w:bottom w:w="0" w:type="dxa"/>
            <w:right w:w="108" w:type="dxa"/>
          </w:tblCellMar>
        </w:tblPrEx>
        <w:trPr>
          <w:trHeight w:val="567" w:hRule="atLeast"/>
          <w:jc w:val="center"/>
        </w:trPr>
        <w:tc>
          <w:tcPr>
            <w:tcW w:w="169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高压电笔</w:t>
            </w:r>
          </w:p>
        </w:tc>
        <w:tc>
          <w:tcPr>
            <w:tcW w:w="2268" w:type="dxa"/>
            <w:tcBorders>
              <w:top w:val="single" w:color="auto" w:sz="4" w:space="0"/>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ascii="宋体" w:hAnsi="宋体" w:cs="Arial"/>
                <w:color w:val="333333"/>
                <w:szCs w:val="21"/>
                <w:shd w:val="clear" w:color="auto" w:fill="FFFFFF"/>
              </w:rPr>
              <w:t>10KV 棒式高压验电器 声光报警高压验电笔</w:t>
            </w:r>
          </w:p>
        </w:tc>
        <w:tc>
          <w:tcPr>
            <w:tcW w:w="2694"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仿宋"/>
                <w:szCs w:val="21"/>
              </w:rPr>
            </w:pPr>
          </w:p>
        </w:tc>
        <w:tc>
          <w:tcPr>
            <w:tcW w:w="85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套</w:t>
            </w:r>
          </w:p>
        </w:tc>
        <w:tc>
          <w:tcPr>
            <w:tcW w:w="851" w:type="dxa"/>
            <w:tcBorders>
              <w:top w:val="single" w:color="auto" w:sz="4" w:space="0"/>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ascii="宋体" w:hAnsi="宋体" w:cs="仿宋"/>
                <w:szCs w:val="21"/>
              </w:rPr>
              <w:t>1</w:t>
            </w:r>
          </w:p>
        </w:tc>
      </w:tr>
      <w:tr>
        <w:tblPrEx>
          <w:tblCellMar>
            <w:top w:w="0" w:type="dxa"/>
            <w:left w:w="108" w:type="dxa"/>
            <w:bottom w:w="0" w:type="dxa"/>
            <w:right w:w="108" w:type="dxa"/>
          </w:tblCellMar>
        </w:tblPrEx>
        <w:trPr>
          <w:trHeight w:val="567" w:hRule="atLeast"/>
          <w:jc w:val="center"/>
        </w:trPr>
        <w:tc>
          <w:tcPr>
            <w:tcW w:w="169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高压绝缘鞋</w:t>
            </w:r>
          </w:p>
        </w:tc>
        <w:tc>
          <w:tcPr>
            <w:tcW w:w="2268" w:type="dxa"/>
            <w:tcBorders>
              <w:top w:val="single" w:color="auto" w:sz="4" w:space="0"/>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hint="eastAsia" w:ascii="宋体" w:hAnsi="宋体" w:cs="Tahoma"/>
                <w:b/>
                <w:bCs/>
                <w:color w:val="000000"/>
                <w:szCs w:val="21"/>
                <w:shd w:val="clear" w:color="auto" w:fill="FFFFFF"/>
              </w:rPr>
              <w:t>10kv</w:t>
            </w:r>
            <w:r>
              <w:rPr>
                <w:rFonts w:hint="eastAsia" w:ascii="宋体" w:hAnsi="宋体" w:cs="宋体"/>
                <w:b/>
                <w:bCs/>
                <w:color w:val="000000"/>
                <w:szCs w:val="21"/>
                <w:shd w:val="clear" w:color="auto" w:fill="FFFFFF"/>
              </w:rPr>
              <w:t>绝缘</w:t>
            </w:r>
            <w:r>
              <w:rPr>
                <w:rFonts w:hint="eastAsia" w:ascii="宋体" w:hAnsi="宋体" w:cs="Tahoma"/>
                <w:b/>
                <w:bCs/>
                <w:color w:val="000000"/>
                <w:szCs w:val="21"/>
                <w:shd w:val="clear" w:color="auto" w:fill="FFFFFF"/>
              </w:rPr>
              <w:t>、</w:t>
            </w:r>
            <w:r>
              <w:rPr>
                <w:rFonts w:hint="eastAsia" w:ascii="宋体" w:hAnsi="宋体" w:cs="仿宋"/>
                <w:szCs w:val="21"/>
              </w:rPr>
              <w:t>均码</w:t>
            </w:r>
          </w:p>
        </w:tc>
        <w:tc>
          <w:tcPr>
            <w:tcW w:w="2694"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仿宋"/>
                <w:szCs w:val="21"/>
              </w:rPr>
            </w:pPr>
          </w:p>
        </w:tc>
        <w:tc>
          <w:tcPr>
            <w:tcW w:w="85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仿宋"/>
                <w:szCs w:val="21"/>
              </w:rPr>
            </w:pPr>
            <w:r>
              <w:rPr>
                <w:rFonts w:hint="eastAsia" w:ascii="宋体" w:hAnsi="宋体" w:cs="仿宋"/>
                <w:szCs w:val="21"/>
              </w:rPr>
              <w:t>双</w:t>
            </w:r>
          </w:p>
        </w:tc>
        <w:tc>
          <w:tcPr>
            <w:tcW w:w="851" w:type="dxa"/>
            <w:tcBorders>
              <w:top w:val="single" w:color="auto" w:sz="4" w:space="0"/>
              <w:left w:val="nil"/>
              <w:bottom w:val="single" w:color="auto" w:sz="4" w:space="0"/>
              <w:right w:val="single" w:color="auto" w:sz="4" w:space="0"/>
            </w:tcBorders>
            <w:noWrap/>
            <w:vAlign w:val="center"/>
          </w:tcPr>
          <w:p>
            <w:pPr>
              <w:spacing w:line="360" w:lineRule="auto"/>
              <w:jc w:val="center"/>
              <w:rPr>
                <w:rFonts w:ascii="宋体" w:hAnsi="宋体" w:cs="仿宋"/>
                <w:szCs w:val="21"/>
              </w:rPr>
            </w:pPr>
            <w:r>
              <w:rPr>
                <w:rFonts w:hint="eastAsia" w:ascii="宋体" w:hAnsi="宋体" w:cs="仿宋"/>
                <w:szCs w:val="21"/>
              </w:rPr>
              <w:t>1</w:t>
            </w:r>
          </w:p>
        </w:tc>
      </w:tr>
    </w:tbl>
    <w:p>
      <w:pPr>
        <w:pStyle w:val="32"/>
        <w:widowControl w:val="0"/>
        <w:spacing w:beforeAutospacing="0" w:afterAutospacing="0" w:line="360" w:lineRule="auto"/>
        <w:ind w:left="400"/>
        <w:jc w:val="both"/>
        <w:rPr>
          <w:rFonts w:cs="宋体"/>
          <w:kern w:val="2"/>
          <w:sz w:val="21"/>
          <w:szCs w:val="21"/>
        </w:rPr>
      </w:pPr>
    </w:p>
    <w:p>
      <w:pPr>
        <w:widowControl/>
        <w:numPr>
          <w:ilvl w:val="0"/>
          <w:numId w:val="12"/>
        </w:numPr>
        <w:autoSpaceDE w:val="0"/>
        <w:autoSpaceDN w:val="0"/>
        <w:snapToGrid w:val="0"/>
        <w:spacing w:line="360" w:lineRule="auto"/>
        <w:jc w:val="left"/>
        <w:rPr>
          <w:rFonts w:ascii="宋体" w:hAnsi="宋体" w:cs="宋体"/>
          <w:b/>
          <w:bCs/>
          <w:szCs w:val="21"/>
        </w:rPr>
      </w:pPr>
      <w:r>
        <w:rPr>
          <w:rFonts w:hint="eastAsia" w:ascii="宋体" w:hAnsi="宋体" w:cs="宋体"/>
          <w:b/>
          <w:bCs/>
          <w:szCs w:val="21"/>
        </w:rPr>
        <w:t>维修配件交付验收：</w:t>
      </w:r>
    </w:p>
    <w:p>
      <w:pPr>
        <w:numPr>
          <w:ilvl w:val="0"/>
          <w:numId w:val="23"/>
        </w:numPr>
        <w:spacing w:line="360" w:lineRule="auto"/>
        <w:rPr>
          <w:rFonts w:ascii="宋体" w:hAnsi="宋体" w:cs="宋体"/>
          <w:bCs/>
          <w:szCs w:val="21"/>
        </w:rPr>
      </w:pPr>
      <w:r>
        <w:rPr>
          <w:rFonts w:hint="eastAsia" w:ascii="宋体" w:hAnsi="宋体" w:cs="宋体"/>
          <w:bCs/>
          <w:szCs w:val="21"/>
        </w:rPr>
        <w:t>交货时间：成交供应商按采购人要求在合同生效后【30】日内完成供货安装。</w:t>
      </w:r>
    </w:p>
    <w:p>
      <w:pPr>
        <w:numPr>
          <w:ilvl w:val="0"/>
          <w:numId w:val="23"/>
        </w:numPr>
        <w:spacing w:line="360" w:lineRule="auto"/>
        <w:rPr>
          <w:rFonts w:ascii="宋体" w:hAnsi="宋体" w:cs="宋体"/>
          <w:bCs/>
          <w:szCs w:val="21"/>
        </w:rPr>
      </w:pPr>
      <w:r>
        <w:rPr>
          <w:rFonts w:hint="eastAsia" w:ascii="宋体" w:hAnsi="宋体" w:cs="宋体"/>
          <w:bCs/>
          <w:szCs w:val="21"/>
        </w:rPr>
        <w:t>交货地点：按采购人要求将货物送到佛山市顺德区大良街道广珠路（105国道）南一路2号广东德冠灯饰一厂6号仓库（105国道往容桂方向祥和律师事务所旁）或采购人指定收货地点。成交供应商须出具送货单，由采购人收货人员签收。如果发现货物短缺、毁损等与合同约定不符的情况，采购人有权拒收。</w:t>
      </w:r>
    </w:p>
    <w:p>
      <w:pPr>
        <w:numPr>
          <w:ilvl w:val="0"/>
          <w:numId w:val="23"/>
        </w:numPr>
        <w:spacing w:line="360" w:lineRule="auto"/>
        <w:rPr>
          <w:rFonts w:ascii="宋体" w:hAnsi="宋体" w:cs="宋体"/>
          <w:bCs/>
          <w:szCs w:val="21"/>
        </w:rPr>
      </w:pPr>
      <w:r>
        <w:rPr>
          <w:rFonts w:hint="eastAsia" w:ascii="宋体" w:hAnsi="宋体" w:cs="宋体"/>
          <w:bCs/>
          <w:szCs w:val="21"/>
        </w:rPr>
        <w:t>送货单/收货单签收仅视为采购人确认货物的数量、外观等外在情况符合要求，非采购人对货物质量的确认，货物质量的确认以采购人另行出具的书面验收结论报告为准。送货单/收货单的签署不使采购人丧失因质量问题而向成交供应商索赔和求偿的权利，同时不免除成交供应商对于货物质量缺陷或瑕疵负有的相应担保责任。</w:t>
      </w:r>
    </w:p>
    <w:p>
      <w:pPr>
        <w:numPr>
          <w:ilvl w:val="0"/>
          <w:numId w:val="23"/>
        </w:numPr>
        <w:spacing w:line="360" w:lineRule="auto"/>
        <w:rPr>
          <w:rFonts w:ascii="宋体" w:hAnsi="宋体" w:cs="宋体"/>
          <w:bCs/>
          <w:szCs w:val="21"/>
        </w:rPr>
      </w:pPr>
      <w:r>
        <w:rPr>
          <w:rFonts w:hint="eastAsia" w:ascii="宋体" w:hAnsi="宋体" w:cs="宋体"/>
          <w:bCs/>
          <w:szCs w:val="21"/>
        </w:rPr>
        <w:t>采购人签收货物后（如需安装调试的货物在安装调试完成后）采购人根据货物检验结果出具书面到货验收结论，货物质量最终以采购人出具的书面验收结论为准。</w:t>
      </w:r>
    </w:p>
    <w:p>
      <w:pPr>
        <w:numPr>
          <w:ilvl w:val="0"/>
          <w:numId w:val="23"/>
        </w:numPr>
        <w:spacing w:line="360" w:lineRule="auto"/>
        <w:rPr>
          <w:rFonts w:ascii="宋体" w:hAnsi="宋体" w:cs="宋体"/>
          <w:bCs/>
          <w:szCs w:val="21"/>
        </w:rPr>
      </w:pPr>
      <w:r>
        <w:rPr>
          <w:rFonts w:hint="eastAsia" w:ascii="宋体" w:hAnsi="宋体" w:cs="宋体"/>
          <w:bCs/>
          <w:szCs w:val="21"/>
        </w:rPr>
        <w:t xml:space="preserve">如采购人因成交供应商交货不符合合同要求或双方约定的质量、规格等原因而拒收或者解除合同的，货物毁损、灭失的风险、迟交货责任由成交供应商自行承担。  </w:t>
      </w:r>
    </w:p>
    <w:p>
      <w:pPr>
        <w:widowControl/>
        <w:numPr>
          <w:ilvl w:val="0"/>
          <w:numId w:val="12"/>
        </w:numPr>
        <w:autoSpaceDE w:val="0"/>
        <w:autoSpaceDN w:val="0"/>
        <w:snapToGrid w:val="0"/>
        <w:spacing w:line="360" w:lineRule="auto"/>
        <w:jc w:val="left"/>
        <w:rPr>
          <w:rFonts w:ascii="宋体" w:hAnsi="宋体" w:cs="宋体"/>
          <w:b/>
          <w:bCs/>
          <w:szCs w:val="21"/>
        </w:rPr>
      </w:pPr>
      <w:r>
        <w:rPr>
          <w:rFonts w:hint="eastAsia" w:ascii="宋体" w:hAnsi="宋体" w:cs="宋体"/>
          <w:b/>
          <w:bCs/>
          <w:szCs w:val="21"/>
        </w:rPr>
        <w:t>货物（维修配件）质量要求</w:t>
      </w:r>
    </w:p>
    <w:p>
      <w:pPr>
        <w:numPr>
          <w:ilvl w:val="0"/>
          <w:numId w:val="24"/>
        </w:numPr>
        <w:spacing w:line="360" w:lineRule="auto"/>
        <w:rPr>
          <w:rFonts w:ascii="宋体" w:hAnsi="宋体" w:cs="宋体"/>
          <w:bCs/>
          <w:szCs w:val="21"/>
        </w:rPr>
      </w:pPr>
      <w:r>
        <w:rPr>
          <w:rFonts w:hint="eastAsia" w:ascii="宋体" w:hAnsi="宋体" w:cs="宋体"/>
          <w:bCs/>
          <w:szCs w:val="21"/>
        </w:rPr>
        <w:t>货物适用下列技术和质量标准(以其中标准最高者为准)：①符合中华人民共和国国家和履约地相关安全质量标准、行业技术规范标准、环保节能标准；②符合采购人采购文件和响应承诺中合同约定的合理最佳配置、参数规格及各项要求；③符合产品来源国官方颁布的最新标准；④双方约定的质量标准。</w:t>
      </w:r>
    </w:p>
    <w:p>
      <w:pPr>
        <w:numPr>
          <w:ilvl w:val="0"/>
          <w:numId w:val="24"/>
        </w:numPr>
        <w:spacing w:line="360" w:lineRule="auto"/>
        <w:rPr>
          <w:rFonts w:ascii="宋体" w:hAnsi="宋体" w:cs="宋体"/>
          <w:bCs/>
          <w:szCs w:val="21"/>
        </w:rPr>
      </w:pPr>
      <w:r>
        <w:rPr>
          <w:rFonts w:hint="eastAsia" w:ascii="宋体" w:hAnsi="宋体" w:cs="宋体"/>
          <w:bCs/>
          <w:szCs w:val="21"/>
        </w:rPr>
        <w:t>中国境内制造的产品必须提供出厂合格证。关键产品/主机设备的用户手册、保修手册、有关单证资料及配备件、随机工具等，使用操作及安全须知等重要资料应附有中文说明。</w:t>
      </w:r>
    </w:p>
    <w:p>
      <w:pPr>
        <w:numPr>
          <w:ilvl w:val="0"/>
          <w:numId w:val="24"/>
        </w:numPr>
        <w:spacing w:line="360" w:lineRule="auto"/>
        <w:rPr>
          <w:rFonts w:ascii="宋体" w:hAnsi="宋体" w:cs="宋体"/>
          <w:bCs/>
          <w:szCs w:val="21"/>
        </w:rPr>
      </w:pPr>
      <w:r>
        <w:rPr>
          <w:rFonts w:hint="eastAsia" w:ascii="宋体" w:hAnsi="宋体" w:cs="宋体"/>
          <w:bCs/>
          <w:szCs w:val="21"/>
        </w:rPr>
        <w:t>当货物来源于中华人民共和国境外时，货物必须附有原产地证明、中华人民共和国商检机构的检验证明、合法进货渠道证明及海关完税证明，此外，有关技术资料中须附有全文翻译的、完整的中文文本。</w:t>
      </w:r>
    </w:p>
    <w:p>
      <w:pPr>
        <w:numPr>
          <w:ilvl w:val="0"/>
          <w:numId w:val="24"/>
        </w:numPr>
        <w:spacing w:line="360" w:lineRule="auto"/>
        <w:rPr>
          <w:rFonts w:ascii="宋体" w:hAnsi="宋体" w:cs="宋体"/>
          <w:bCs/>
          <w:szCs w:val="21"/>
        </w:rPr>
      </w:pPr>
      <w:r>
        <w:rPr>
          <w:rFonts w:hint="eastAsia" w:ascii="宋体" w:hAnsi="宋体" w:cs="宋体"/>
          <w:bCs/>
          <w:szCs w:val="21"/>
        </w:rPr>
        <w:t>产品均为近12个月内原厂制造的全新合格产品，且有合法透明的来源渠道，如为整机须无污染、无侵权行为、表面无划损、无任何缺陷隐患，可依常规合法安全使用。</w:t>
      </w:r>
    </w:p>
    <w:p>
      <w:pPr>
        <w:numPr>
          <w:ilvl w:val="0"/>
          <w:numId w:val="24"/>
        </w:numPr>
        <w:spacing w:line="360" w:lineRule="auto"/>
        <w:rPr>
          <w:rFonts w:ascii="宋体" w:hAnsi="宋体" w:cs="宋体"/>
          <w:bCs/>
          <w:szCs w:val="21"/>
        </w:rPr>
      </w:pPr>
      <w:r>
        <w:rPr>
          <w:rFonts w:hint="eastAsia" w:ascii="宋体" w:hAnsi="宋体" w:cs="宋体"/>
          <w:bCs/>
          <w:szCs w:val="21"/>
        </w:rPr>
        <w:t>成交供应商必须确保货物及所有配套件的完整性，对于竞价文件没有列出，而对货物的正常运行和维护必不可少的且应属于货物配带的部件、配件等，成交供应商有责任给予补充。</w:t>
      </w:r>
    </w:p>
    <w:p>
      <w:pPr>
        <w:widowControl/>
        <w:numPr>
          <w:ilvl w:val="0"/>
          <w:numId w:val="12"/>
        </w:numPr>
        <w:autoSpaceDE w:val="0"/>
        <w:autoSpaceDN w:val="0"/>
        <w:snapToGrid w:val="0"/>
        <w:spacing w:line="360" w:lineRule="auto"/>
        <w:jc w:val="left"/>
        <w:rPr>
          <w:rFonts w:ascii="宋体" w:hAnsi="宋体" w:cs="宋体"/>
          <w:b/>
          <w:bCs/>
          <w:szCs w:val="21"/>
        </w:rPr>
      </w:pPr>
      <w:r>
        <w:rPr>
          <w:rFonts w:hint="eastAsia" w:ascii="宋体" w:hAnsi="宋体" w:cs="宋体"/>
          <w:b/>
          <w:bCs/>
          <w:szCs w:val="21"/>
        </w:rPr>
        <w:t>维修配件质量检测</w:t>
      </w:r>
    </w:p>
    <w:p>
      <w:pPr>
        <w:numPr>
          <w:ilvl w:val="0"/>
          <w:numId w:val="25"/>
        </w:numPr>
        <w:spacing w:line="360" w:lineRule="auto"/>
        <w:rPr>
          <w:rFonts w:ascii="宋体" w:hAnsi="宋体" w:cs="宋体"/>
          <w:bCs/>
          <w:szCs w:val="21"/>
        </w:rPr>
      </w:pPr>
      <w:r>
        <w:rPr>
          <w:rFonts w:hint="eastAsia" w:ascii="宋体" w:hAnsi="宋体" w:cs="宋体"/>
          <w:bCs/>
          <w:szCs w:val="21"/>
        </w:rPr>
        <w:t>采购人有权在合同期内委托第三方检测机构对成交供应商所供货物进行质量专项检测，检测结果对双方有约束力。</w:t>
      </w:r>
    </w:p>
    <w:p>
      <w:pPr>
        <w:numPr>
          <w:ilvl w:val="0"/>
          <w:numId w:val="25"/>
        </w:numPr>
        <w:spacing w:line="360" w:lineRule="auto"/>
        <w:rPr>
          <w:rFonts w:ascii="宋体" w:hAnsi="宋体" w:cs="宋体"/>
          <w:bCs/>
          <w:szCs w:val="21"/>
        </w:rPr>
      </w:pPr>
      <w:r>
        <w:rPr>
          <w:rFonts w:hint="eastAsia" w:ascii="宋体" w:hAnsi="宋体" w:cs="宋体"/>
          <w:bCs/>
          <w:szCs w:val="21"/>
        </w:rPr>
        <w:t>检测结果不符合合同约定的，采购人有权单方解除合同，退回成交供应商已供货物。成交供应商必须在接到采购人检测结果通知的【5】个工作日内返还采购人已付货款，并承担违约责任，赔偿由此给采购人造成的全部损失。检测结果不符合合同约定的，检测费用由成交供应商承担。</w:t>
      </w:r>
    </w:p>
    <w:p>
      <w:pPr>
        <w:widowControl/>
        <w:numPr>
          <w:ilvl w:val="0"/>
          <w:numId w:val="12"/>
        </w:numPr>
        <w:autoSpaceDE w:val="0"/>
        <w:autoSpaceDN w:val="0"/>
        <w:snapToGrid w:val="0"/>
        <w:spacing w:line="360" w:lineRule="auto"/>
        <w:jc w:val="left"/>
        <w:rPr>
          <w:rFonts w:ascii="宋体" w:hAnsi="宋体" w:cs="宋体"/>
          <w:b/>
          <w:bCs/>
          <w:szCs w:val="21"/>
        </w:rPr>
      </w:pPr>
      <w:r>
        <w:rPr>
          <w:rFonts w:hint="eastAsia" w:ascii="宋体" w:hAnsi="宋体" w:cs="宋体"/>
          <w:b/>
          <w:bCs/>
          <w:szCs w:val="21"/>
        </w:rPr>
        <w:t>维修配件质保期和售后服务</w:t>
      </w:r>
    </w:p>
    <w:p>
      <w:pPr>
        <w:numPr>
          <w:ilvl w:val="0"/>
          <w:numId w:val="26"/>
        </w:numPr>
        <w:spacing w:line="360" w:lineRule="auto"/>
        <w:rPr>
          <w:rFonts w:ascii="宋体" w:hAnsi="宋体" w:cs="宋体"/>
          <w:bCs/>
          <w:szCs w:val="21"/>
        </w:rPr>
      </w:pPr>
      <w:r>
        <w:rPr>
          <w:rFonts w:hint="eastAsia" w:ascii="宋体" w:hAnsi="宋体" w:cs="宋体"/>
          <w:bCs/>
          <w:szCs w:val="21"/>
        </w:rPr>
        <w:t>质量保证期（简称“质保期”）：货物验收合格之日起【1】年。配件与主产品的质保期一致。</w:t>
      </w:r>
    </w:p>
    <w:p>
      <w:pPr>
        <w:numPr>
          <w:ilvl w:val="0"/>
          <w:numId w:val="26"/>
        </w:numPr>
        <w:spacing w:line="360" w:lineRule="auto"/>
        <w:rPr>
          <w:rFonts w:ascii="宋体" w:hAnsi="宋体" w:cs="宋体"/>
          <w:bCs/>
          <w:szCs w:val="21"/>
        </w:rPr>
      </w:pPr>
      <w:r>
        <w:rPr>
          <w:rFonts w:hint="eastAsia" w:ascii="宋体" w:hAnsi="宋体" w:cs="宋体"/>
          <w:bCs/>
          <w:szCs w:val="21"/>
        </w:rPr>
        <w:t>质保期内，采购人在使用货物过程中出现问题的，成交供应商应在接到采购人通知后2小时内响应，4小时内到达现场，24小时内处理完毕。成交供应商须提供常设每周7天×24小时热线服务和长期的免费技术支持。</w:t>
      </w:r>
    </w:p>
    <w:p>
      <w:pPr>
        <w:numPr>
          <w:ilvl w:val="0"/>
          <w:numId w:val="26"/>
        </w:numPr>
        <w:spacing w:line="360" w:lineRule="auto"/>
        <w:rPr>
          <w:rFonts w:ascii="宋体" w:hAnsi="宋体" w:cs="宋体"/>
          <w:bCs/>
          <w:szCs w:val="21"/>
        </w:rPr>
      </w:pPr>
      <w:r>
        <w:rPr>
          <w:rFonts w:hint="eastAsia" w:ascii="宋体" w:hAnsi="宋体" w:cs="宋体"/>
          <w:bCs/>
          <w:szCs w:val="21"/>
        </w:rPr>
        <w:t>质保期内，对保修范围内的保修服务所发生的全部物质损耗和人员费用，均由成交供应商予以承担。成交供应商未及时承担保修责任的，采购人有权采用其他渠道和方式对成交供应商货物进行维修、补正，由此产生的费用由成交供应商承担。</w:t>
      </w:r>
    </w:p>
    <w:p>
      <w:pPr>
        <w:numPr>
          <w:ilvl w:val="0"/>
          <w:numId w:val="26"/>
        </w:numPr>
        <w:spacing w:line="360" w:lineRule="auto"/>
        <w:rPr>
          <w:rFonts w:ascii="宋体" w:hAnsi="宋体" w:cs="宋体"/>
          <w:bCs/>
          <w:szCs w:val="21"/>
        </w:rPr>
      </w:pPr>
      <w:r>
        <w:rPr>
          <w:rFonts w:hint="eastAsia" w:ascii="宋体" w:hAnsi="宋体" w:cs="宋体"/>
          <w:bCs/>
          <w:szCs w:val="21"/>
        </w:rPr>
        <w:t>质保期内, 如设备或零部件非人为因素出现故障而造成短期停用时，则质保期相应顺延。如设备因自身故障致停用时间累计超过30天则质保期在状态恢复正常时重新起计。</w:t>
      </w:r>
    </w:p>
    <w:p>
      <w:pPr>
        <w:widowControl/>
        <w:numPr>
          <w:ilvl w:val="0"/>
          <w:numId w:val="12"/>
        </w:numPr>
        <w:autoSpaceDE w:val="0"/>
        <w:autoSpaceDN w:val="0"/>
        <w:snapToGrid w:val="0"/>
        <w:spacing w:line="360" w:lineRule="auto"/>
        <w:jc w:val="left"/>
        <w:rPr>
          <w:rFonts w:ascii="宋体" w:hAnsi="宋体" w:cs="宋体"/>
          <w:b/>
          <w:bCs/>
          <w:szCs w:val="21"/>
        </w:rPr>
      </w:pPr>
      <w:r>
        <w:rPr>
          <w:rFonts w:hint="eastAsia" w:ascii="宋体" w:hAnsi="宋体" w:cs="宋体"/>
          <w:b/>
          <w:bCs/>
          <w:szCs w:val="21"/>
        </w:rPr>
        <w:t>服务考核方式及标准：</w:t>
      </w:r>
    </w:p>
    <w:p>
      <w:pPr>
        <w:spacing w:line="360" w:lineRule="auto"/>
        <w:ind w:firstLine="420" w:firstLineChars="200"/>
        <w:jc w:val="center"/>
        <w:rPr>
          <w:rFonts w:ascii="宋体" w:hAnsi="宋体" w:cs="宋体"/>
          <w:szCs w:val="21"/>
        </w:rPr>
      </w:pPr>
      <w:r>
        <w:rPr>
          <w:rFonts w:hint="eastAsia" w:ascii="宋体" w:hAnsi="宋体" w:cs="宋体"/>
          <w:szCs w:val="21"/>
        </w:rPr>
        <w:t>高压配电房电气设备维护服务考核表</w:t>
      </w:r>
    </w:p>
    <w:tbl>
      <w:tblPr>
        <w:tblStyle w:val="36"/>
        <w:tblW w:w="10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80"/>
        <w:gridCol w:w="1080"/>
        <w:gridCol w:w="5478"/>
        <w:gridCol w:w="750"/>
        <w:gridCol w:w="900"/>
        <w:gridCol w:w="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8" w:hRule="atLeast"/>
          <w:jc w:val="center"/>
        </w:trPr>
        <w:tc>
          <w:tcPr>
            <w:tcW w:w="2160" w:type="dxa"/>
            <w:gridSpan w:val="2"/>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维护服务项目</w:t>
            </w:r>
          </w:p>
        </w:tc>
        <w:tc>
          <w:tcPr>
            <w:tcW w:w="5478" w:type="dxa"/>
            <w:tcMar>
              <w:top w:w="19" w:type="dxa"/>
              <w:left w:w="19" w:type="dxa"/>
              <w:bottom w:w="0" w:type="dxa"/>
              <w:right w:w="19" w:type="dxa"/>
            </w:tcMar>
            <w:vAlign w:val="center"/>
          </w:tcPr>
          <w:p>
            <w:pPr>
              <w:spacing w:line="360" w:lineRule="auto"/>
              <w:jc w:val="center"/>
              <w:rPr>
                <w:rFonts w:ascii="宋体" w:hAnsi="宋体" w:cs="宋体"/>
                <w:color w:val="000000"/>
                <w:kern w:val="0"/>
                <w:szCs w:val="21"/>
                <w:shd w:val="clear" w:color="auto" w:fill="FFFFFF"/>
              </w:rPr>
            </w:pPr>
            <w:r>
              <w:rPr>
                <w:rFonts w:hint="eastAsia" w:ascii="宋体" w:hAnsi="宋体" w:cs="宋体"/>
                <w:color w:val="000000"/>
                <w:kern w:val="0"/>
                <w:szCs w:val="21"/>
                <w:shd w:val="clear" w:color="auto" w:fill="FFFFFF"/>
              </w:rPr>
              <w:t>2024-2025年高压配电房电气设备</w:t>
            </w:r>
          </w:p>
          <w:p>
            <w:pPr>
              <w:spacing w:line="360" w:lineRule="auto"/>
              <w:jc w:val="center"/>
              <w:rPr>
                <w:rFonts w:ascii="宋体" w:hAnsi="宋体" w:cs="宋体"/>
                <w:szCs w:val="21"/>
              </w:rPr>
            </w:pPr>
            <w:r>
              <w:rPr>
                <w:rFonts w:hint="eastAsia" w:ascii="宋体" w:hAnsi="宋体" w:cs="宋体"/>
                <w:color w:val="000000"/>
                <w:kern w:val="0"/>
                <w:szCs w:val="21"/>
                <w:shd w:val="clear" w:color="auto" w:fill="FFFFFF"/>
              </w:rPr>
              <w:t>维护服务项目</w:t>
            </w:r>
          </w:p>
        </w:tc>
        <w:tc>
          <w:tcPr>
            <w:tcW w:w="1650" w:type="dxa"/>
            <w:gridSpan w:val="2"/>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维护单位</w:t>
            </w:r>
          </w:p>
        </w:tc>
        <w:tc>
          <w:tcPr>
            <w:tcW w:w="792" w:type="dxa"/>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8" w:hRule="atLeast"/>
          <w:jc w:val="center"/>
        </w:trPr>
        <w:tc>
          <w:tcPr>
            <w:tcW w:w="2160" w:type="dxa"/>
            <w:gridSpan w:val="2"/>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维护地点</w:t>
            </w:r>
          </w:p>
        </w:tc>
        <w:tc>
          <w:tcPr>
            <w:tcW w:w="5478" w:type="dxa"/>
            <w:tcMar>
              <w:top w:w="19" w:type="dxa"/>
              <w:left w:w="19" w:type="dxa"/>
              <w:bottom w:w="0" w:type="dxa"/>
              <w:right w:w="19" w:type="dxa"/>
            </w:tcMar>
            <w:vAlign w:val="center"/>
          </w:tcPr>
          <w:p>
            <w:pPr>
              <w:widowControl/>
              <w:snapToGrid w:val="0"/>
              <w:spacing w:line="360" w:lineRule="auto"/>
              <w:jc w:val="left"/>
              <w:rPr>
                <w:rFonts w:ascii="宋体" w:hAnsi="宋体" w:cs="宋体"/>
                <w:szCs w:val="21"/>
              </w:rPr>
            </w:pPr>
            <w:r>
              <w:rPr>
                <w:rFonts w:hint="eastAsia" w:ascii="宋体" w:hAnsi="宋体" w:cs="宋体"/>
                <w:szCs w:val="21"/>
              </w:rPr>
              <w:t>佛山市顺德区大良延年路11-2；</w:t>
            </w:r>
          </w:p>
          <w:p>
            <w:pPr>
              <w:widowControl/>
              <w:snapToGrid w:val="0"/>
              <w:spacing w:line="360" w:lineRule="auto"/>
              <w:jc w:val="left"/>
              <w:rPr>
                <w:rFonts w:ascii="宋体" w:hAnsi="宋体" w:cs="宋体"/>
                <w:szCs w:val="21"/>
              </w:rPr>
            </w:pPr>
            <w:r>
              <w:rPr>
                <w:rFonts w:hint="eastAsia" w:ascii="宋体" w:hAnsi="宋体" w:cs="宋体"/>
                <w:szCs w:val="21"/>
              </w:rPr>
              <w:t>佛山市顺德区均安百安北路11号；</w:t>
            </w:r>
          </w:p>
          <w:p>
            <w:pPr>
              <w:widowControl/>
              <w:snapToGrid w:val="0"/>
              <w:spacing w:line="360" w:lineRule="auto"/>
              <w:jc w:val="left"/>
              <w:rPr>
                <w:rFonts w:ascii="宋体" w:hAnsi="宋体" w:cs="宋体"/>
                <w:szCs w:val="21"/>
              </w:rPr>
            </w:pPr>
            <w:r>
              <w:rPr>
                <w:rFonts w:hint="eastAsia" w:ascii="宋体" w:hAnsi="宋体" w:cs="宋体"/>
                <w:szCs w:val="21"/>
              </w:rPr>
              <w:t>佛山市顺德区龙江文华路广播电视大楼。</w:t>
            </w:r>
          </w:p>
        </w:tc>
        <w:tc>
          <w:tcPr>
            <w:tcW w:w="1650" w:type="dxa"/>
            <w:gridSpan w:val="2"/>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维护时间</w:t>
            </w:r>
          </w:p>
        </w:tc>
        <w:tc>
          <w:tcPr>
            <w:tcW w:w="792" w:type="dxa"/>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8" w:hRule="atLeast"/>
          <w:jc w:val="center"/>
        </w:trPr>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考核项目</w:t>
            </w:r>
          </w:p>
        </w:tc>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考核指标</w:t>
            </w:r>
          </w:p>
        </w:tc>
        <w:tc>
          <w:tcPr>
            <w:tcW w:w="5478"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评分标准</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分值</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得分</w:t>
            </w:r>
          </w:p>
        </w:tc>
        <w:tc>
          <w:tcPr>
            <w:tcW w:w="792"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kern w:val="0"/>
                <w:szCs w:val="21"/>
              </w:rPr>
              <w:t>日常巡视并填写巡检报告</w:t>
            </w:r>
          </w:p>
        </w:tc>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kern w:val="0"/>
                <w:szCs w:val="21"/>
              </w:rPr>
              <w:t>2次/周</w:t>
            </w:r>
          </w:p>
        </w:tc>
        <w:tc>
          <w:tcPr>
            <w:tcW w:w="5478" w:type="dxa"/>
            <w:tcMar>
              <w:top w:w="19" w:type="dxa"/>
              <w:left w:w="19" w:type="dxa"/>
              <w:bottom w:w="0" w:type="dxa"/>
              <w:right w:w="19" w:type="dxa"/>
            </w:tcMar>
            <w:vAlign w:val="center"/>
          </w:tcPr>
          <w:p>
            <w:pPr>
              <w:spacing w:line="360" w:lineRule="auto"/>
              <w:jc w:val="left"/>
              <w:rPr>
                <w:rFonts w:ascii="宋体" w:hAnsi="宋体" w:cs="宋体"/>
                <w:szCs w:val="21"/>
              </w:rPr>
            </w:pPr>
            <w:r>
              <w:rPr>
                <w:rFonts w:hint="eastAsia" w:ascii="宋体" w:hAnsi="宋体" w:cs="宋体"/>
                <w:szCs w:val="21"/>
              </w:rPr>
              <w:t>漏一次扣0.5分；在每次巡检中，因成交供应商原因工作不到位的视情况每次扣0.25分，直至扣完26分为止</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26</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p>
        </w:tc>
        <w:tc>
          <w:tcPr>
            <w:tcW w:w="792" w:type="dxa"/>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04" w:hRule="atLeast"/>
          <w:jc w:val="center"/>
        </w:trPr>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kern w:val="0"/>
                <w:szCs w:val="21"/>
              </w:rPr>
              <w:t>电气设备设施进行清洁、维护保养</w:t>
            </w:r>
          </w:p>
        </w:tc>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kern w:val="0"/>
                <w:szCs w:val="21"/>
              </w:rPr>
              <w:t>1次/6个月</w:t>
            </w:r>
          </w:p>
        </w:tc>
        <w:tc>
          <w:tcPr>
            <w:tcW w:w="5478" w:type="dxa"/>
            <w:tcMar>
              <w:top w:w="19" w:type="dxa"/>
              <w:left w:w="19" w:type="dxa"/>
              <w:bottom w:w="0" w:type="dxa"/>
              <w:right w:w="19" w:type="dxa"/>
            </w:tcMar>
            <w:vAlign w:val="center"/>
          </w:tcPr>
          <w:p>
            <w:pPr>
              <w:spacing w:line="360" w:lineRule="auto"/>
              <w:jc w:val="left"/>
              <w:rPr>
                <w:rFonts w:ascii="宋体" w:hAnsi="宋体" w:cs="宋体"/>
                <w:szCs w:val="21"/>
              </w:rPr>
            </w:pPr>
            <w:r>
              <w:rPr>
                <w:rFonts w:hint="eastAsia" w:ascii="宋体" w:hAnsi="宋体" w:cs="宋体"/>
                <w:szCs w:val="21"/>
              </w:rPr>
              <w:t>漏一次扣10分；在每次清洁保养中，采购人指定负责人到现场协调及验收，因成交供应商原因工作不到位的视情况对每项扣1-2分，直至扣完10分为止</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10</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jc w:val="center"/>
        </w:trPr>
        <w:tc>
          <w:tcPr>
            <w:tcW w:w="1080" w:type="dxa"/>
            <w:vAlign w:val="center"/>
          </w:tcPr>
          <w:p>
            <w:pPr>
              <w:spacing w:line="360" w:lineRule="auto"/>
              <w:jc w:val="center"/>
              <w:rPr>
                <w:rFonts w:ascii="宋体" w:hAnsi="宋体" w:cs="宋体"/>
                <w:szCs w:val="21"/>
              </w:rPr>
            </w:pPr>
            <w:r>
              <w:rPr>
                <w:rFonts w:hint="eastAsia" w:ascii="宋体" w:hAnsi="宋体" w:cs="宋体"/>
                <w:szCs w:val="21"/>
              </w:rPr>
              <w:t>电房地面清洁</w:t>
            </w:r>
          </w:p>
        </w:tc>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kern w:val="0"/>
                <w:szCs w:val="21"/>
              </w:rPr>
              <w:t>1次/月</w:t>
            </w:r>
          </w:p>
        </w:tc>
        <w:tc>
          <w:tcPr>
            <w:tcW w:w="5478" w:type="dxa"/>
            <w:tcMar>
              <w:top w:w="19" w:type="dxa"/>
              <w:left w:w="19" w:type="dxa"/>
              <w:bottom w:w="0" w:type="dxa"/>
              <w:right w:w="19" w:type="dxa"/>
            </w:tcMar>
            <w:vAlign w:val="center"/>
          </w:tcPr>
          <w:p>
            <w:pPr>
              <w:spacing w:line="360" w:lineRule="auto"/>
              <w:jc w:val="left"/>
              <w:rPr>
                <w:rFonts w:ascii="宋体" w:hAnsi="宋体" w:cs="宋体"/>
                <w:szCs w:val="21"/>
              </w:rPr>
            </w:pPr>
            <w:r>
              <w:rPr>
                <w:rFonts w:hint="eastAsia" w:ascii="宋体" w:hAnsi="宋体" w:cs="宋体"/>
                <w:szCs w:val="21"/>
              </w:rPr>
              <w:t>漏一次扣1分，在每次清洁保养中，因成交供应商原因工作不到位的视情况对每次扣0.5分，自至扣完6分为止。</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6</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jc w:val="center"/>
        </w:trPr>
        <w:tc>
          <w:tcPr>
            <w:tcW w:w="1080" w:type="dxa"/>
            <w:vAlign w:val="center"/>
          </w:tcPr>
          <w:p>
            <w:pPr>
              <w:spacing w:line="360" w:lineRule="auto"/>
              <w:jc w:val="center"/>
              <w:rPr>
                <w:rFonts w:ascii="宋体" w:hAnsi="宋体" w:cs="宋体"/>
                <w:szCs w:val="21"/>
              </w:rPr>
            </w:pPr>
            <w:r>
              <w:rPr>
                <w:rFonts w:hint="eastAsia" w:ascii="宋体" w:hAnsi="宋体" w:cs="宋体"/>
                <w:szCs w:val="21"/>
              </w:rPr>
              <w:t>电话响应</w:t>
            </w:r>
          </w:p>
        </w:tc>
        <w:tc>
          <w:tcPr>
            <w:tcW w:w="1080" w:type="dxa"/>
            <w:tcMar>
              <w:top w:w="19" w:type="dxa"/>
              <w:left w:w="19" w:type="dxa"/>
              <w:bottom w:w="0" w:type="dxa"/>
              <w:right w:w="19" w:type="dxa"/>
            </w:tcMar>
            <w:vAlign w:val="center"/>
          </w:tcPr>
          <w:p>
            <w:pPr>
              <w:spacing w:line="360" w:lineRule="auto"/>
              <w:jc w:val="center"/>
              <w:rPr>
                <w:rFonts w:ascii="宋体" w:hAnsi="宋体" w:cs="宋体"/>
                <w:kern w:val="0"/>
                <w:szCs w:val="21"/>
              </w:rPr>
            </w:pPr>
            <w:r>
              <w:rPr>
                <w:rFonts w:hint="eastAsia" w:ascii="宋体" w:hAnsi="宋体" w:cs="宋体"/>
                <w:kern w:val="0"/>
                <w:szCs w:val="21"/>
              </w:rPr>
              <w:t>7*24小时</w:t>
            </w:r>
          </w:p>
        </w:tc>
        <w:tc>
          <w:tcPr>
            <w:tcW w:w="5478" w:type="dxa"/>
            <w:tcMar>
              <w:top w:w="19" w:type="dxa"/>
              <w:left w:w="19" w:type="dxa"/>
              <w:bottom w:w="0" w:type="dxa"/>
              <w:right w:w="19" w:type="dxa"/>
            </w:tcMar>
            <w:vAlign w:val="center"/>
          </w:tcPr>
          <w:p>
            <w:pPr>
              <w:spacing w:line="360" w:lineRule="auto"/>
              <w:jc w:val="left"/>
              <w:rPr>
                <w:rFonts w:ascii="宋体" w:hAnsi="宋体" w:cs="宋体"/>
                <w:szCs w:val="21"/>
              </w:rPr>
            </w:pPr>
            <w:r>
              <w:rPr>
                <w:rFonts w:hint="eastAsia" w:ascii="宋体" w:hAnsi="宋体" w:cs="宋体"/>
                <w:szCs w:val="21"/>
              </w:rPr>
              <w:t>电话响应时间5分钟，电话没有响应的每次扣1分；该项占5分，扣完为止。</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5</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61" w:hRule="atLeast"/>
          <w:jc w:val="center"/>
        </w:trPr>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kern w:val="0"/>
                <w:szCs w:val="21"/>
              </w:rPr>
              <w:t>故障检修和抢修工作</w:t>
            </w:r>
          </w:p>
        </w:tc>
        <w:tc>
          <w:tcPr>
            <w:tcW w:w="1080" w:type="dxa"/>
            <w:tcMar>
              <w:top w:w="19" w:type="dxa"/>
              <w:left w:w="19" w:type="dxa"/>
              <w:bottom w:w="0" w:type="dxa"/>
              <w:right w:w="19" w:type="dxa"/>
            </w:tcMar>
            <w:vAlign w:val="center"/>
          </w:tcPr>
          <w:p>
            <w:pPr>
              <w:spacing w:line="360" w:lineRule="auto"/>
              <w:jc w:val="center"/>
              <w:rPr>
                <w:rFonts w:ascii="宋体" w:hAnsi="宋体" w:cs="宋体"/>
                <w:kern w:val="0"/>
                <w:szCs w:val="21"/>
              </w:rPr>
            </w:pPr>
            <w:r>
              <w:rPr>
                <w:rFonts w:hint="eastAsia" w:ascii="宋体" w:hAnsi="宋体" w:cs="宋体"/>
                <w:kern w:val="0"/>
                <w:szCs w:val="21"/>
              </w:rPr>
              <w:t>7*24小时</w:t>
            </w:r>
          </w:p>
        </w:tc>
        <w:tc>
          <w:tcPr>
            <w:tcW w:w="5478" w:type="dxa"/>
            <w:tcMar>
              <w:top w:w="19" w:type="dxa"/>
              <w:left w:w="19" w:type="dxa"/>
              <w:bottom w:w="0" w:type="dxa"/>
              <w:right w:w="19" w:type="dxa"/>
            </w:tcMar>
          </w:tcPr>
          <w:p>
            <w:pPr>
              <w:numPr>
                <w:ilvl w:val="0"/>
                <w:numId w:val="27"/>
              </w:numPr>
              <w:spacing w:line="360" w:lineRule="auto"/>
              <w:rPr>
                <w:rFonts w:ascii="宋体" w:hAnsi="宋体" w:cs="宋体"/>
                <w:szCs w:val="21"/>
              </w:rPr>
            </w:pPr>
            <w:r>
              <w:rPr>
                <w:rFonts w:hint="eastAsia" w:ascii="宋体" w:hAnsi="宋体" w:cs="宋体"/>
                <w:szCs w:val="21"/>
              </w:rPr>
              <w:t>接报后30分钟内到达现场（如遇雷暴雨天气、道路封堵等特殊性情况可延迟到达现场），每迟到半小时扣2分；扣完为止。</w:t>
            </w:r>
          </w:p>
          <w:p>
            <w:pPr>
              <w:numPr>
                <w:ilvl w:val="0"/>
                <w:numId w:val="27"/>
              </w:numPr>
              <w:spacing w:line="360" w:lineRule="auto"/>
              <w:rPr>
                <w:rFonts w:ascii="宋体" w:hAnsi="宋体" w:cs="宋体"/>
                <w:szCs w:val="21"/>
              </w:rPr>
            </w:pPr>
            <w:r>
              <w:rPr>
                <w:rFonts w:hint="eastAsia" w:ascii="宋体" w:hAnsi="宋体" w:cs="宋体"/>
                <w:szCs w:val="21"/>
              </w:rPr>
              <w:t>到达现场4小时内恢复设备的正常供电，4小时内设备不能恢复正常运行，每超1小时扣5分，扣完为止。</w:t>
            </w:r>
            <w:r>
              <w:rPr>
                <w:rFonts w:hint="eastAsia" w:ascii="宋体" w:hAnsi="宋体" w:cs="宋体"/>
                <w:color w:val="000000"/>
                <w:szCs w:val="21"/>
              </w:rPr>
              <w:t>（特殊设备故障除外，当遇特殊设备故障</w:t>
            </w:r>
            <w:r>
              <w:rPr>
                <w:rFonts w:hint="eastAsia" w:ascii="宋体" w:hAnsi="宋体" w:cs="宋体"/>
                <w:szCs w:val="21"/>
              </w:rPr>
              <w:t>情况下成交供应商维修人员到达现场后经检查后发现问题，4小时内出具维修方案和时间表，如不能出具维修方案和时间表，直接扣除5分。）</w:t>
            </w:r>
          </w:p>
          <w:p>
            <w:pPr>
              <w:numPr>
                <w:ilvl w:val="0"/>
                <w:numId w:val="27"/>
              </w:numPr>
              <w:spacing w:line="360" w:lineRule="auto"/>
              <w:rPr>
                <w:rFonts w:ascii="宋体" w:hAnsi="宋体" w:cs="宋体"/>
                <w:szCs w:val="21"/>
              </w:rPr>
            </w:pPr>
            <w:r>
              <w:rPr>
                <w:rFonts w:hint="eastAsia" w:ascii="宋体" w:hAnsi="宋体" w:cs="宋体"/>
                <w:szCs w:val="21"/>
              </w:rPr>
              <w:t>如不进行故障响应直接扣除本项得分。</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41</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21" w:hRule="atLeast"/>
          <w:jc w:val="center"/>
        </w:trPr>
        <w:tc>
          <w:tcPr>
            <w:tcW w:w="1080" w:type="dxa"/>
            <w:tcMar>
              <w:top w:w="19" w:type="dxa"/>
              <w:left w:w="19" w:type="dxa"/>
              <w:bottom w:w="0" w:type="dxa"/>
              <w:right w:w="19" w:type="dxa"/>
            </w:tcMar>
            <w:vAlign w:val="center"/>
          </w:tcPr>
          <w:p>
            <w:pPr>
              <w:spacing w:line="360" w:lineRule="auto"/>
              <w:jc w:val="center"/>
              <w:rPr>
                <w:rFonts w:ascii="宋体" w:hAnsi="宋体" w:cs="宋体"/>
                <w:kern w:val="0"/>
                <w:szCs w:val="21"/>
              </w:rPr>
            </w:pPr>
            <w:r>
              <w:rPr>
                <w:rFonts w:hint="eastAsia" w:ascii="宋体" w:hAnsi="宋体" w:cs="宋体"/>
                <w:kern w:val="0"/>
                <w:szCs w:val="21"/>
              </w:rPr>
              <w:t>技术支持</w:t>
            </w:r>
          </w:p>
        </w:tc>
        <w:tc>
          <w:tcPr>
            <w:tcW w:w="1080" w:type="dxa"/>
            <w:tcMar>
              <w:top w:w="19" w:type="dxa"/>
              <w:left w:w="19" w:type="dxa"/>
              <w:bottom w:w="0" w:type="dxa"/>
              <w:right w:w="19" w:type="dxa"/>
            </w:tcMar>
            <w:vAlign w:val="center"/>
          </w:tcPr>
          <w:p>
            <w:pPr>
              <w:spacing w:line="360" w:lineRule="auto"/>
              <w:jc w:val="center"/>
              <w:rPr>
                <w:rFonts w:ascii="宋体" w:hAnsi="宋体" w:cs="宋体"/>
                <w:kern w:val="0"/>
                <w:szCs w:val="21"/>
              </w:rPr>
            </w:pPr>
            <w:r>
              <w:rPr>
                <w:rFonts w:hint="eastAsia" w:ascii="宋体" w:hAnsi="宋体" w:cs="宋体"/>
                <w:kern w:val="0"/>
                <w:szCs w:val="21"/>
              </w:rPr>
              <w:t>7*24小时</w:t>
            </w:r>
          </w:p>
        </w:tc>
        <w:tc>
          <w:tcPr>
            <w:tcW w:w="5478" w:type="dxa"/>
            <w:tcMar>
              <w:top w:w="19" w:type="dxa"/>
              <w:left w:w="19" w:type="dxa"/>
              <w:bottom w:w="0" w:type="dxa"/>
              <w:right w:w="19" w:type="dxa"/>
            </w:tcMar>
            <w:vAlign w:val="center"/>
          </w:tcPr>
          <w:p>
            <w:pPr>
              <w:numPr>
                <w:ilvl w:val="0"/>
                <w:numId w:val="28"/>
              </w:numPr>
              <w:spacing w:line="360" w:lineRule="auto"/>
              <w:jc w:val="left"/>
              <w:rPr>
                <w:rFonts w:ascii="宋体" w:hAnsi="宋体" w:cs="宋体"/>
                <w:szCs w:val="21"/>
              </w:rPr>
            </w:pPr>
            <w:r>
              <w:rPr>
                <w:rFonts w:hint="eastAsia" w:ascii="宋体" w:hAnsi="宋体" w:cs="宋体"/>
                <w:kern w:val="0"/>
                <w:szCs w:val="21"/>
              </w:rPr>
              <w:t>在巡视中如发现用电问题和安全隐患问题，应及时反馈并提供用电建议和处理方案</w:t>
            </w:r>
            <w:r>
              <w:rPr>
                <w:rFonts w:hint="eastAsia" w:ascii="宋体" w:hAnsi="宋体" w:cs="宋体"/>
                <w:szCs w:val="21"/>
              </w:rPr>
              <w:t>。</w:t>
            </w:r>
          </w:p>
          <w:p>
            <w:pPr>
              <w:numPr>
                <w:ilvl w:val="0"/>
                <w:numId w:val="28"/>
              </w:numPr>
              <w:spacing w:line="360" w:lineRule="auto"/>
              <w:jc w:val="left"/>
              <w:rPr>
                <w:rFonts w:ascii="宋体" w:hAnsi="宋体" w:cs="宋体"/>
                <w:szCs w:val="21"/>
              </w:rPr>
            </w:pPr>
            <w:r>
              <w:rPr>
                <w:rFonts w:hint="eastAsia" w:ascii="宋体" w:hAnsi="宋体" w:cs="宋体"/>
                <w:kern w:val="0"/>
                <w:szCs w:val="21"/>
              </w:rPr>
              <w:t>对在安全检查中提出的关于维护设备的缺陷协助进行整改。</w:t>
            </w:r>
          </w:p>
          <w:p>
            <w:pPr>
              <w:numPr>
                <w:ilvl w:val="0"/>
                <w:numId w:val="28"/>
              </w:numPr>
              <w:spacing w:line="360" w:lineRule="auto"/>
              <w:jc w:val="left"/>
              <w:rPr>
                <w:rFonts w:ascii="宋体" w:hAnsi="宋体" w:cs="宋体"/>
                <w:szCs w:val="21"/>
              </w:rPr>
            </w:pPr>
            <w:r>
              <w:rPr>
                <w:rFonts w:hint="eastAsia" w:ascii="宋体" w:hAnsi="宋体" w:cs="宋体"/>
                <w:szCs w:val="21"/>
              </w:rPr>
              <w:t>提供电话或邮件咨询服务。</w:t>
            </w:r>
          </w:p>
          <w:p>
            <w:pPr>
              <w:spacing w:line="360" w:lineRule="auto"/>
              <w:jc w:val="left"/>
              <w:rPr>
                <w:rFonts w:ascii="宋体" w:hAnsi="宋体" w:cs="宋体"/>
                <w:szCs w:val="21"/>
              </w:rPr>
            </w:pPr>
            <w:r>
              <w:rPr>
                <w:rFonts w:hint="eastAsia" w:ascii="宋体" w:hAnsi="宋体" w:cs="宋体"/>
                <w:szCs w:val="21"/>
              </w:rPr>
              <w:t>如不响应的，每次扣1分，直至扣完为止。</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6</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3" w:hRule="atLeast"/>
          <w:jc w:val="center"/>
        </w:trPr>
        <w:tc>
          <w:tcPr>
            <w:tcW w:w="1080" w:type="dxa"/>
            <w:tcMar>
              <w:top w:w="19" w:type="dxa"/>
              <w:left w:w="19" w:type="dxa"/>
              <w:bottom w:w="0" w:type="dxa"/>
              <w:right w:w="19" w:type="dxa"/>
            </w:tcMar>
            <w:vAlign w:val="center"/>
          </w:tcPr>
          <w:p>
            <w:pPr>
              <w:spacing w:line="360" w:lineRule="auto"/>
              <w:jc w:val="center"/>
              <w:rPr>
                <w:rFonts w:ascii="宋体" w:hAnsi="宋体" w:cs="宋体"/>
                <w:kern w:val="0"/>
                <w:szCs w:val="21"/>
              </w:rPr>
            </w:pPr>
            <w:r>
              <w:rPr>
                <w:rFonts w:hint="eastAsia" w:ascii="宋体" w:hAnsi="宋体" w:cs="宋体"/>
                <w:kern w:val="0"/>
                <w:szCs w:val="21"/>
              </w:rPr>
              <w:t>服务支持</w:t>
            </w:r>
          </w:p>
        </w:tc>
        <w:tc>
          <w:tcPr>
            <w:tcW w:w="1080" w:type="dxa"/>
            <w:tcMar>
              <w:top w:w="19" w:type="dxa"/>
              <w:left w:w="19" w:type="dxa"/>
              <w:bottom w:w="0" w:type="dxa"/>
              <w:right w:w="19" w:type="dxa"/>
            </w:tcMar>
            <w:vAlign w:val="center"/>
          </w:tcPr>
          <w:p>
            <w:pPr>
              <w:spacing w:line="360" w:lineRule="auto"/>
              <w:jc w:val="center"/>
              <w:rPr>
                <w:rFonts w:ascii="宋体" w:hAnsi="宋体" w:cs="宋体"/>
                <w:kern w:val="0"/>
                <w:szCs w:val="21"/>
              </w:rPr>
            </w:pPr>
            <w:r>
              <w:rPr>
                <w:rFonts w:hint="eastAsia" w:ascii="宋体" w:hAnsi="宋体" w:cs="宋体"/>
                <w:kern w:val="0"/>
                <w:szCs w:val="21"/>
              </w:rPr>
              <w:t>1次/月</w:t>
            </w:r>
          </w:p>
        </w:tc>
        <w:tc>
          <w:tcPr>
            <w:tcW w:w="5478" w:type="dxa"/>
            <w:tcMar>
              <w:top w:w="19" w:type="dxa"/>
              <w:left w:w="19" w:type="dxa"/>
              <w:bottom w:w="0" w:type="dxa"/>
              <w:right w:w="19" w:type="dxa"/>
            </w:tcMar>
            <w:vAlign w:val="center"/>
          </w:tcPr>
          <w:p>
            <w:pPr>
              <w:spacing w:line="360" w:lineRule="auto"/>
              <w:jc w:val="left"/>
              <w:rPr>
                <w:rFonts w:ascii="宋体" w:hAnsi="宋体" w:cs="宋体"/>
                <w:kern w:val="0"/>
                <w:szCs w:val="21"/>
              </w:rPr>
            </w:pPr>
            <w:r>
              <w:rPr>
                <w:rFonts w:hint="eastAsia" w:ascii="宋体" w:hAnsi="宋体" w:cs="宋体"/>
                <w:kern w:val="0"/>
                <w:szCs w:val="21"/>
              </w:rPr>
              <w:t>建立设备技术档案，每月提交《电气设备月度运行情况报告》，每月完成得1分</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6</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pPr>
              <w:spacing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5" w:hRule="atLeast"/>
          <w:jc w:val="center"/>
        </w:trPr>
        <w:tc>
          <w:tcPr>
            <w:tcW w:w="1080" w:type="dxa"/>
            <w:tcMar>
              <w:top w:w="19" w:type="dxa"/>
              <w:left w:w="19" w:type="dxa"/>
              <w:bottom w:w="0" w:type="dxa"/>
              <w:right w:w="19" w:type="dxa"/>
            </w:tcMar>
            <w:vAlign w:val="center"/>
          </w:tcPr>
          <w:p>
            <w:pPr>
              <w:spacing w:line="360" w:lineRule="auto"/>
              <w:ind w:firstLine="210" w:firstLineChars="100"/>
              <w:rPr>
                <w:rFonts w:ascii="宋体" w:hAnsi="宋体" w:cs="宋体"/>
                <w:szCs w:val="21"/>
              </w:rPr>
            </w:pPr>
            <w:r>
              <w:rPr>
                <w:rFonts w:hint="eastAsia" w:ascii="宋体" w:hAnsi="宋体" w:cs="宋体"/>
                <w:szCs w:val="21"/>
              </w:rPr>
              <w:t>合计</w:t>
            </w:r>
          </w:p>
        </w:tc>
        <w:tc>
          <w:tcPr>
            <w:tcW w:w="108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softHyphen/>
            </w:r>
            <w:r>
              <w:rPr>
                <w:rFonts w:hint="eastAsia" w:ascii="宋体" w:hAnsi="宋体" w:cs="宋体"/>
                <w:szCs w:val="21"/>
              </w:rPr>
              <w:softHyphen/>
            </w:r>
            <w:r>
              <w:rPr>
                <w:rFonts w:hint="eastAsia" w:ascii="宋体" w:hAnsi="宋体" w:cs="宋体"/>
                <w:szCs w:val="21"/>
              </w:rPr>
              <w:t>——</w:t>
            </w:r>
          </w:p>
        </w:tc>
        <w:tc>
          <w:tcPr>
            <w:tcW w:w="5478"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w:t>
            </w:r>
          </w:p>
        </w:tc>
        <w:tc>
          <w:tcPr>
            <w:tcW w:w="750" w:type="dxa"/>
            <w:tcMar>
              <w:top w:w="19" w:type="dxa"/>
              <w:left w:w="19" w:type="dxa"/>
              <w:bottom w:w="0" w:type="dxa"/>
              <w:right w:w="19" w:type="dxa"/>
            </w:tcMar>
            <w:vAlign w:val="center"/>
          </w:tcPr>
          <w:p>
            <w:pPr>
              <w:spacing w:line="360" w:lineRule="auto"/>
              <w:jc w:val="center"/>
              <w:rPr>
                <w:rFonts w:ascii="宋体" w:hAnsi="宋体" w:cs="宋体"/>
                <w:szCs w:val="21"/>
              </w:rPr>
            </w:pPr>
            <w:r>
              <w:rPr>
                <w:rFonts w:hint="eastAsia" w:ascii="宋体" w:hAnsi="宋体" w:cs="宋体"/>
                <w:szCs w:val="21"/>
              </w:rPr>
              <w:t>100</w:t>
            </w:r>
          </w:p>
        </w:tc>
        <w:tc>
          <w:tcPr>
            <w:tcW w:w="900" w:type="dxa"/>
            <w:tcMar>
              <w:top w:w="19" w:type="dxa"/>
              <w:left w:w="19" w:type="dxa"/>
              <w:bottom w:w="0" w:type="dxa"/>
              <w:right w:w="19" w:type="dxa"/>
            </w:tcMar>
            <w:vAlign w:val="center"/>
          </w:tcPr>
          <w:p>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pPr>
              <w:spacing w:line="360" w:lineRule="auto"/>
              <w:jc w:val="center"/>
              <w:rPr>
                <w:rFonts w:ascii="宋体" w:hAnsi="宋体" w:cs="宋体"/>
                <w:szCs w:val="21"/>
              </w:rPr>
            </w:pPr>
          </w:p>
        </w:tc>
      </w:tr>
    </w:tbl>
    <w:p>
      <w:pPr>
        <w:spacing w:line="360" w:lineRule="auto"/>
        <w:rPr>
          <w:rFonts w:ascii="宋体" w:hAnsi="宋体" w:cs="宋体"/>
          <w:szCs w:val="21"/>
        </w:rPr>
      </w:pPr>
    </w:p>
    <w:p>
      <w:pPr>
        <w:spacing w:line="360" w:lineRule="auto"/>
        <w:rPr>
          <w:rFonts w:ascii="宋体" w:hAnsi="宋体" w:cs="宋体"/>
          <w:szCs w:val="21"/>
        </w:rPr>
      </w:pPr>
      <w:r>
        <w:rPr>
          <w:rFonts w:hint="eastAsia" w:ascii="宋体" w:hAnsi="宋体" w:cs="宋体"/>
          <w:szCs w:val="21"/>
        </w:rPr>
        <w:t>关键文字定意：</w:t>
      </w:r>
    </w:p>
    <w:p>
      <w:pPr>
        <w:numPr>
          <w:ilvl w:val="0"/>
          <w:numId w:val="29"/>
        </w:numPr>
        <w:spacing w:line="360" w:lineRule="auto"/>
        <w:rPr>
          <w:rFonts w:ascii="宋体" w:hAnsi="宋体" w:cs="宋体"/>
          <w:szCs w:val="21"/>
        </w:rPr>
      </w:pPr>
      <w:r>
        <w:rPr>
          <w:rFonts w:hint="eastAsia" w:ascii="宋体" w:hAnsi="宋体" w:cs="宋体"/>
          <w:szCs w:val="21"/>
        </w:rPr>
        <w:t>电话响应时间5分钟指：采购人在5分钟时间内拨打成交供应商第一辖区负责人，第二该区域内服务站长，第三服务热线，都没能接听下才定意为不能响应。</w:t>
      </w:r>
    </w:p>
    <w:p>
      <w:pPr>
        <w:numPr>
          <w:ilvl w:val="0"/>
          <w:numId w:val="29"/>
        </w:numPr>
        <w:spacing w:line="360" w:lineRule="auto"/>
        <w:rPr>
          <w:rFonts w:ascii="宋体" w:hAnsi="宋体" w:cs="宋体"/>
          <w:szCs w:val="21"/>
        </w:rPr>
      </w:pPr>
      <w:r>
        <w:rPr>
          <w:rFonts w:hint="eastAsia" w:ascii="宋体" w:hAnsi="宋体" w:cs="宋体"/>
          <w:szCs w:val="21"/>
        </w:rPr>
        <w:t>维修服务指：成交供应商到达现场后可现场进行维修不需要更换任何元件，并不需要通知当地供电所可进行复电。</w:t>
      </w:r>
    </w:p>
    <w:p>
      <w:pPr>
        <w:numPr>
          <w:ilvl w:val="0"/>
          <w:numId w:val="29"/>
        </w:numPr>
        <w:spacing w:line="360" w:lineRule="auto"/>
        <w:rPr>
          <w:rFonts w:ascii="宋体" w:hAnsi="宋体" w:cs="宋体"/>
          <w:szCs w:val="21"/>
        </w:rPr>
      </w:pPr>
      <w:r>
        <w:rPr>
          <w:rFonts w:hint="eastAsia" w:ascii="宋体" w:hAnsi="宋体" w:cs="宋体"/>
          <w:szCs w:val="21"/>
        </w:rPr>
        <w:t>特殊设备故障除外指：当设备出现故障后，现场不能维修需更换元件或需要通知当地供电所可进行复电。如:高、低压开关需更换维修，变压器烧坏等特殊情况。</w:t>
      </w:r>
    </w:p>
    <w:p>
      <w:pPr>
        <w:spacing w:line="360" w:lineRule="auto"/>
        <w:rPr>
          <w:rFonts w:ascii="宋体" w:hAnsi="宋体" w:cs="宋体"/>
          <w:szCs w:val="21"/>
        </w:rPr>
      </w:pPr>
      <w:r>
        <w:rPr>
          <w:rFonts w:hint="eastAsia" w:ascii="宋体" w:hAnsi="宋体" w:cs="宋体"/>
          <w:szCs w:val="21"/>
        </w:rPr>
        <w:t>考核结论：</w:t>
      </w:r>
    </w:p>
    <w:p>
      <w:pPr>
        <w:spacing w:line="360" w:lineRule="auto"/>
        <w:rPr>
          <w:rFonts w:ascii="宋体" w:hAnsi="宋体" w:cs="宋体"/>
          <w:szCs w:val="21"/>
        </w:rPr>
      </w:pPr>
      <w:r>
        <w:rPr>
          <w:rFonts w:hint="eastAsia" w:ascii="宋体" w:hAnsi="宋体" w:cs="宋体"/>
          <w:szCs w:val="21"/>
        </w:rPr>
        <w:t>采购人部门:                             成交供应商：</w:t>
      </w:r>
    </w:p>
    <w:p>
      <w:pPr>
        <w:spacing w:line="360" w:lineRule="auto"/>
        <w:rPr>
          <w:rFonts w:ascii="宋体" w:hAnsi="宋体" w:cs="宋体"/>
          <w:szCs w:val="21"/>
        </w:rPr>
      </w:pPr>
      <w:r>
        <w:rPr>
          <w:rFonts w:hint="eastAsia" w:ascii="宋体" w:hAnsi="宋体" w:cs="宋体"/>
          <w:szCs w:val="21"/>
        </w:rPr>
        <w:t>考核人员:                               经办人：</w:t>
      </w:r>
    </w:p>
    <w:p>
      <w:pPr>
        <w:spacing w:line="360" w:lineRule="auto"/>
        <w:rPr>
          <w:rFonts w:ascii="宋体" w:hAnsi="宋体" w:cs="宋体"/>
          <w:szCs w:val="21"/>
        </w:rPr>
      </w:pPr>
      <w:r>
        <w:rPr>
          <w:rFonts w:hint="eastAsia" w:ascii="宋体" w:hAnsi="宋体" w:cs="宋体"/>
          <w:szCs w:val="21"/>
        </w:rPr>
        <w:t>时间：时间：</w:t>
      </w:r>
    </w:p>
    <w:p>
      <w:pPr>
        <w:adjustRightInd w:val="0"/>
        <w:spacing w:line="360" w:lineRule="auto"/>
        <w:textAlignment w:val="baseline"/>
        <w:rPr>
          <w:rFonts w:ascii="宋体" w:hAnsi="宋体" w:cs="宋体"/>
          <w:szCs w:val="21"/>
        </w:rPr>
      </w:pPr>
      <w:r>
        <w:rPr>
          <w:rFonts w:hint="eastAsia" w:ascii="宋体" w:hAnsi="宋体" w:cs="宋体"/>
          <w:szCs w:val="21"/>
        </w:rPr>
        <w:t>说明：</w:t>
      </w:r>
    </w:p>
    <w:p>
      <w:pPr>
        <w:adjustRightInd w:val="0"/>
        <w:spacing w:line="360" w:lineRule="auto"/>
        <w:textAlignment w:val="baseline"/>
        <w:rPr>
          <w:rFonts w:ascii="宋体" w:hAnsi="宋体" w:cs="宋体"/>
          <w:szCs w:val="21"/>
        </w:rPr>
      </w:pPr>
      <w:r>
        <w:rPr>
          <w:rFonts w:hint="eastAsia" w:ascii="宋体" w:hAnsi="宋体" w:cs="宋体"/>
          <w:szCs w:val="21"/>
        </w:rPr>
        <w:t>1）采购人根据成交供应商提供的服务质量按100分制给予考评，采购人分别在每6个月维护工作完成后，对成交供应商的服务质量进行考核，考核结果经双方确认后，按以下考核办法进行结算。</w:t>
      </w:r>
    </w:p>
    <w:p>
      <w:pPr>
        <w:adjustRightInd w:val="0"/>
        <w:spacing w:line="360" w:lineRule="auto"/>
        <w:textAlignment w:val="baseline"/>
        <w:rPr>
          <w:rFonts w:ascii="宋体" w:hAnsi="宋体" w:cs="宋体"/>
          <w:szCs w:val="21"/>
        </w:rPr>
      </w:pPr>
      <w:r>
        <w:rPr>
          <w:rFonts w:hint="eastAsia" w:ascii="宋体" w:hAnsi="宋体" w:cs="宋体"/>
          <w:szCs w:val="21"/>
        </w:rPr>
        <w:t>2）维护考核办法：总评分100-90分（包括90分），不扣除本次维护保养费用；90分以下，每扣1分则扣除本次维护服务费的3%，本项按扣分累加制，如扣2分，则扣除本次维护服务费6%,如此类推，即支付合同总额*25%*（1-扣除比例）。</w:t>
      </w:r>
    </w:p>
    <w:p>
      <w:pPr>
        <w:adjustRightInd w:val="0"/>
        <w:spacing w:line="360" w:lineRule="auto"/>
        <w:textAlignment w:val="baseline"/>
        <w:rPr>
          <w:rFonts w:ascii="宋体" w:hAnsi="宋体" w:cs="宋体"/>
          <w:szCs w:val="21"/>
        </w:rPr>
      </w:pPr>
      <w:r>
        <w:rPr>
          <w:rFonts w:hint="eastAsia" w:ascii="宋体" w:hAnsi="宋体" w:cs="宋体"/>
          <w:szCs w:val="21"/>
        </w:rPr>
        <w:t>3）成交供应商不提供巡检或故障维修服务，采购人有权利拒绝支付维护保养费并取消成交供应商维护资格。</w:t>
      </w:r>
    </w:p>
    <w:p>
      <w:pPr>
        <w:widowControl/>
        <w:numPr>
          <w:ilvl w:val="0"/>
          <w:numId w:val="12"/>
        </w:numPr>
        <w:autoSpaceDE w:val="0"/>
        <w:autoSpaceDN w:val="0"/>
        <w:snapToGrid w:val="0"/>
        <w:spacing w:line="360" w:lineRule="auto"/>
        <w:jc w:val="left"/>
        <w:rPr>
          <w:rFonts w:ascii="宋体" w:hAnsi="宋体" w:cs="宋体"/>
          <w:b/>
          <w:bCs/>
          <w:szCs w:val="21"/>
        </w:rPr>
      </w:pPr>
      <w:r>
        <w:rPr>
          <w:rFonts w:hint="eastAsia" w:ascii="宋体" w:hAnsi="宋体" w:cs="宋体"/>
          <w:b/>
          <w:bCs/>
          <w:szCs w:val="21"/>
        </w:rPr>
        <w:t>信息保密要求：</w:t>
      </w:r>
    </w:p>
    <w:p>
      <w:pPr>
        <w:spacing w:line="360" w:lineRule="auto"/>
        <w:ind w:firstLine="420" w:firstLineChars="200"/>
        <w:rPr>
          <w:rFonts w:ascii="宋体" w:hAnsi="宋体" w:cs="宋体"/>
          <w:bCs/>
          <w:szCs w:val="21"/>
        </w:rPr>
      </w:pPr>
      <w:r>
        <w:rPr>
          <w:rFonts w:hint="eastAsia" w:ascii="宋体" w:hAnsi="宋体" w:cs="宋体"/>
          <w:bCs/>
          <w:szCs w:val="21"/>
        </w:rPr>
        <w:t>成交供应商在对高压配电房维护期间，如果因为实际工作要求需要接触到业务数据，需要对这些业务数据履行保密的职责，未经系统管理员或业务部门的授权，不能拷贝、传播此类数据或者将此类数据提供给第三方，并签订保密协议。</w:t>
      </w:r>
    </w:p>
    <w:p>
      <w:pPr>
        <w:widowControl/>
        <w:numPr>
          <w:ilvl w:val="0"/>
          <w:numId w:val="12"/>
        </w:numPr>
        <w:autoSpaceDE w:val="0"/>
        <w:autoSpaceDN w:val="0"/>
        <w:snapToGrid w:val="0"/>
        <w:spacing w:line="360" w:lineRule="auto"/>
        <w:jc w:val="left"/>
        <w:rPr>
          <w:rFonts w:ascii="宋体" w:hAnsi="宋体" w:cs="宋体"/>
          <w:b/>
          <w:bCs/>
          <w:szCs w:val="21"/>
        </w:rPr>
      </w:pPr>
      <w:r>
        <w:rPr>
          <w:rFonts w:hint="eastAsia" w:ascii="宋体" w:hAnsi="宋体" w:cs="宋体"/>
          <w:b/>
          <w:bCs/>
          <w:szCs w:val="21"/>
        </w:rPr>
        <w:t>付款方式：</w:t>
      </w:r>
    </w:p>
    <w:p>
      <w:pPr>
        <w:numPr>
          <w:ilvl w:val="0"/>
          <w:numId w:val="30"/>
        </w:numPr>
        <w:spacing w:line="360" w:lineRule="auto"/>
        <w:rPr>
          <w:rFonts w:ascii="宋体" w:hAnsi="宋体" w:cs="宋体"/>
          <w:bCs/>
          <w:szCs w:val="21"/>
        </w:rPr>
      </w:pPr>
      <w:r>
        <w:rPr>
          <w:rFonts w:hint="eastAsia" w:ascii="宋体" w:hAnsi="宋体" w:cs="宋体"/>
          <w:bCs/>
          <w:szCs w:val="21"/>
        </w:rPr>
        <w:t>维护费用结算：</w:t>
      </w:r>
    </w:p>
    <w:p>
      <w:pPr>
        <w:numPr>
          <w:ilvl w:val="0"/>
          <w:numId w:val="31"/>
        </w:numPr>
        <w:spacing w:line="360" w:lineRule="auto"/>
        <w:rPr>
          <w:rFonts w:ascii="宋体" w:hAnsi="宋体" w:cs="宋体"/>
          <w:bCs/>
          <w:szCs w:val="21"/>
        </w:rPr>
      </w:pPr>
      <w:r>
        <w:rPr>
          <w:rFonts w:hint="eastAsia" w:ascii="宋体" w:hAnsi="宋体" w:cs="宋体"/>
          <w:bCs/>
          <w:szCs w:val="21"/>
        </w:rPr>
        <w:t>维护服务费每6个月结算一次，根据考核结果支付实际维护服务费。</w:t>
      </w:r>
    </w:p>
    <w:p>
      <w:pPr>
        <w:numPr>
          <w:ilvl w:val="0"/>
          <w:numId w:val="31"/>
        </w:numPr>
        <w:spacing w:line="360" w:lineRule="auto"/>
        <w:rPr>
          <w:rFonts w:ascii="宋体" w:hAnsi="宋体" w:cs="宋体"/>
          <w:bCs/>
          <w:szCs w:val="21"/>
        </w:rPr>
      </w:pPr>
      <w:r>
        <w:rPr>
          <w:rFonts w:hint="eastAsia" w:ascii="宋体" w:hAnsi="宋体" w:cs="宋体"/>
          <w:bCs/>
          <w:szCs w:val="21"/>
        </w:rPr>
        <w:t>维护服务质量按100分制给予考评，在每6个月维护工作完成后，对成交供应商的服务质量进行考核，考核结果经双方确认后，按以下考核办法进行结算。</w:t>
      </w:r>
    </w:p>
    <w:p>
      <w:pPr>
        <w:numPr>
          <w:ilvl w:val="0"/>
          <w:numId w:val="31"/>
        </w:numPr>
        <w:spacing w:line="360" w:lineRule="auto"/>
        <w:rPr>
          <w:rFonts w:ascii="宋体" w:hAnsi="宋体" w:cs="宋体"/>
          <w:bCs/>
          <w:szCs w:val="21"/>
        </w:rPr>
      </w:pPr>
      <w:r>
        <w:rPr>
          <w:rFonts w:hint="eastAsia" w:ascii="宋体" w:hAnsi="宋体" w:cs="宋体"/>
          <w:bCs/>
          <w:szCs w:val="21"/>
        </w:rPr>
        <w:t>每6个月对供应商服务质量进行考核，结算以《高压配电房电气设备维护服务考核表》的评分结果进行支付，计算方法如下：总评分100-90分（包括90分），不扣除本次维护保养费用，即支付合同总额的25%款项；90分以下，每扣1分则扣除本次技术服务费的3%，本项按扣分累加制，如扣2分，则扣除本次技术服务务费6%,如此类推，即支付合同总额*25%*（1-扣除比例）。</w:t>
      </w:r>
    </w:p>
    <w:p>
      <w:pPr>
        <w:numPr>
          <w:ilvl w:val="0"/>
          <w:numId w:val="31"/>
        </w:numPr>
        <w:spacing w:line="360" w:lineRule="auto"/>
        <w:rPr>
          <w:rFonts w:ascii="宋体" w:hAnsi="宋体" w:cs="宋体"/>
          <w:bCs/>
          <w:szCs w:val="21"/>
        </w:rPr>
      </w:pPr>
      <w:r>
        <w:rPr>
          <w:rFonts w:hint="eastAsia" w:ascii="宋体" w:hAnsi="宋体" w:cs="宋体"/>
          <w:bCs/>
          <w:szCs w:val="21"/>
        </w:rPr>
        <w:t>如成交供应商不提供巡检服务，采购人有权利拒绝支付维护保养费并取消成交供应商维护资格。</w:t>
      </w:r>
    </w:p>
    <w:p>
      <w:pPr>
        <w:numPr>
          <w:ilvl w:val="0"/>
          <w:numId w:val="31"/>
        </w:numPr>
        <w:spacing w:line="360" w:lineRule="auto"/>
        <w:rPr>
          <w:rFonts w:ascii="宋体" w:hAnsi="宋体" w:cs="宋体"/>
          <w:bCs/>
          <w:szCs w:val="21"/>
        </w:rPr>
      </w:pPr>
      <w:r>
        <w:rPr>
          <w:rFonts w:hint="eastAsia" w:ascii="宋体" w:hAnsi="宋体" w:cs="宋体"/>
          <w:bCs/>
          <w:szCs w:val="21"/>
        </w:rPr>
        <w:t>每6个月考核完成后，成交供应商根据考核结果相应的结算金额开具增值税专用发票给采购人。采购人在收到增值税专用发票后三个月内支付该次服务费。</w:t>
      </w:r>
    </w:p>
    <w:p>
      <w:pPr>
        <w:numPr>
          <w:ilvl w:val="0"/>
          <w:numId w:val="30"/>
        </w:numPr>
        <w:spacing w:line="360" w:lineRule="auto"/>
        <w:rPr>
          <w:rFonts w:ascii="宋体" w:hAnsi="宋体" w:cs="宋体"/>
          <w:bCs/>
          <w:szCs w:val="21"/>
        </w:rPr>
      </w:pPr>
      <w:r>
        <w:rPr>
          <w:rFonts w:hint="eastAsia" w:ascii="宋体" w:hAnsi="宋体" w:cs="宋体"/>
          <w:bCs/>
          <w:szCs w:val="21"/>
        </w:rPr>
        <w:t>维修配件费用结算：合同签订生效后，所有维修配件运输到达采购人指定地点，经采购人验收合格之日起1个月内，提供货物款项的全额增值税专用发票给采购人。采购人收到合法有效发票之日起三个月内，一次性支付相应货款的【100%】。</w:t>
      </w:r>
    </w:p>
    <w:p>
      <w:pPr>
        <w:numPr>
          <w:ilvl w:val="0"/>
          <w:numId w:val="30"/>
        </w:numPr>
        <w:spacing w:line="360" w:lineRule="auto"/>
        <w:rPr>
          <w:rFonts w:ascii="宋体" w:hAnsi="宋体" w:cs="宋体"/>
          <w:bCs/>
          <w:szCs w:val="21"/>
        </w:rPr>
      </w:pPr>
      <w:r>
        <w:rPr>
          <w:rFonts w:hint="eastAsia" w:ascii="宋体" w:hAnsi="宋体" w:cs="宋体"/>
          <w:bCs/>
          <w:szCs w:val="21"/>
        </w:rPr>
        <w:t>税务</w:t>
      </w:r>
    </w:p>
    <w:p>
      <w:pPr>
        <w:numPr>
          <w:ilvl w:val="0"/>
          <w:numId w:val="32"/>
        </w:numPr>
        <w:spacing w:line="360" w:lineRule="auto"/>
        <w:rPr>
          <w:rFonts w:ascii="宋体" w:hAnsi="宋体" w:cs="宋体"/>
          <w:bCs/>
          <w:szCs w:val="21"/>
        </w:rPr>
      </w:pPr>
      <w:r>
        <w:rPr>
          <w:rFonts w:hint="eastAsia" w:ascii="宋体" w:hAnsi="宋体" w:cs="宋体"/>
          <w:bCs/>
          <w:szCs w:val="21"/>
        </w:rPr>
        <w:t xml:space="preserve">成交供应商承诺其开具增值税专用发票的形式与内容均合法、有效、完整、准确。不开具或开具不合格的增值税专用发票，采购人有权顺延支付应付款项且不承担任何违约责任，且成交供应商的各项合同义务仍应按合同约定履行。 </w:t>
      </w:r>
    </w:p>
    <w:p>
      <w:pPr>
        <w:numPr>
          <w:ilvl w:val="0"/>
          <w:numId w:val="32"/>
        </w:numPr>
        <w:spacing w:line="360" w:lineRule="auto"/>
        <w:rPr>
          <w:rFonts w:ascii="宋体" w:hAnsi="宋体" w:cs="宋体"/>
          <w:bCs/>
          <w:szCs w:val="21"/>
        </w:rPr>
      </w:pPr>
      <w:r>
        <w:rPr>
          <w:rFonts w:hint="eastAsia" w:ascii="宋体" w:hAnsi="宋体" w:cs="宋体"/>
          <w:bCs/>
          <w:szCs w:val="21"/>
        </w:rPr>
        <w:t>如出现国家税收政策调整时，双方应根据实际税收调整情况，以本合同中的不含税单价（不含税单价=含税单价/（1+税率）为依据相应调整受影响的合同含税金额，成交供应商需按照税收调整政策规定开具合法合规发票。</w:t>
      </w:r>
    </w:p>
    <w:p>
      <w:pPr>
        <w:numPr>
          <w:ilvl w:val="0"/>
          <w:numId w:val="30"/>
        </w:numPr>
        <w:spacing w:line="360" w:lineRule="auto"/>
        <w:rPr>
          <w:rFonts w:ascii="宋体" w:hAnsi="宋体" w:cs="宋体"/>
          <w:bCs/>
          <w:szCs w:val="21"/>
        </w:rPr>
      </w:pPr>
      <w:r>
        <w:rPr>
          <w:rFonts w:hint="eastAsia" w:ascii="宋体" w:hAnsi="宋体" w:cs="宋体"/>
          <w:bCs/>
          <w:szCs w:val="21"/>
        </w:rPr>
        <w:t>付款方式：电汇或银行转账。</w:t>
      </w:r>
    </w:p>
    <w:p>
      <w:pPr>
        <w:numPr>
          <w:ilvl w:val="0"/>
          <w:numId w:val="30"/>
        </w:numPr>
        <w:spacing w:line="360" w:lineRule="auto"/>
        <w:rPr>
          <w:rFonts w:ascii="宋体" w:hAnsi="宋体" w:cs="宋体"/>
          <w:bCs/>
          <w:szCs w:val="21"/>
        </w:rPr>
      </w:pPr>
      <w:r>
        <w:rPr>
          <w:rFonts w:hint="eastAsia" w:ascii="宋体" w:hAnsi="宋体" w:cs="宋体"/>
          <w:bCs/>
          <w:szCs w:val="21"/>
        </w:rPr>
        <w:t>收款方、出具发票方均必须与合同乙方名称一致。</w:t>
      </w:r>
    </w:p>
    <w:p>
      <w:pPr>
        <w:widowControl/>
        <w:numPr>
          <w:ilvl w:val="0"/>
          <w:numId w:val="12"/>
        </w:numPr>
        <w:autoSpaceDE w:val="0"/>
        <w:autoSpaceDN w:val="0"/>
        <w:snapToGrid w:val="0"/>
        <w:spacing w:line="360" w:lineRule="auto"/>
        <w:jc w:val="left"/>
        <w:rPr>
          <w:rFonts w:ascii="宋体" w:hAnsi="宋体" w:cs="宋体"/>
          <w:b/>
          <w:szCs w:val="21"/>
        </w:rPr>
      </w:pPr>
      <w:r>
        <w:rPr>
          <w:rFonts w:hint="eastAsia" w:ascii="宋体" w:hAnsi="宋体" w:cs="宋体"/>
          <w:b/>
          <w:szCs w:val="21"/>
        </w:rPr>
        <w:t>其他条款</w:t>
      </w:r>
    </w:p>
    <w:p>
      <w:pPr>
        <w:spacing w:line="360" w:lineRule="auto"/>
        <w:ind w:firstLine="420" w:firstLineChars="200"/>
        <w:rPr>
          <w:rFonts w:ascii="宋体" w:hAnsi="宋体"/>
          <w:szCs w:val="21"/>
        </w:rPr>
      </w:pPr>
      <w:r>
        <w:rPr>
          <w:rFonts w:hint="eastAsia" w:ascii="宋体" w:hAnsi="宋体" w:cs="宋体"/>
          <w:bCs/>
          <w:szCs w:val="21"/>
        </w:rPr>
        <w:t>如采购人使用的高压配电房因发生扩建（改建）等客观原因造成被维护的电气设备停止使用，采购人有权利按成交供应商已完成服务时间支付相应的服务费后终止合同。</w:t>
      </w:r>
    </w:p>
    <w:p>
      <w:pPr>
        <w:suppressAutoHyphens/>
        <w:spacing w:line="360" w:lineRule="auto"/>
        <w:rPr>
          <w:rFonts w:ascii="宋体" w:hAnsi="宋体"/>
          <w:szCs w:val="21"/>
        </w:rPr>
      </w:pPr>
    </w:p>
    <w:p>
      <w:pPr>
        <w:suppressAutoHyphens/>
        <w:spacing w:line="360" w:lineRule="auto"/>
        <w:rPr>
          <w:rFonts w:ascii="宋体" w:hAnsi="宋体"/>
          <w:szCs w:val="21"/>
        </w:rPr>
      </w:pPr>
    </w:p>
    <w:p>
      <w:pPr>
        <w:widowControl/>
        <w:jc w:val="center"/>
        <w:outlineLvl w:val="0"/>
        <w:rPr>
          <w:rFonts w:ascii="宋体" w:hAnsi="宋体" w:cs="宋体"/>
          <w:b/>
          <w:bCs/>
          <w:color w:val="000000" w:themeColor="text1"/>
          <w:sz w:val="32"/>
          <w:szCs w:val="32"/>
        </w:rPr>
        <w:sectPr>
          <w:footerReference r:id="rId4" w:type="first"/>
          <w:footerReference r:id="rId3" w:type="default"/>
          <w:pgSz w:w="11906" w:h="16838"/>
          <w:pgMar w:top="1440" w:right="1800" w:bottom="1440" w:left="1800" w:header="851" w:footer="992" w:gutter="0"/>
          <w:cols w:space="720" w:num="1"/>
          <w:docGrid w:type="lines" w:linePitch="312" w:charSpace="0"/>
        </w:sectPr>
      </w:pPr>
    </w:p>
    <w:p>
      <w:pPr>
        <w:widowControl/>
        <w:jc w:val="center"/>
        <w:outlineLvl w:val="0"/>
        <w:rPr>
          <w:rFonts w:ascii="宋体" w:hAnsi="宋体" w:cs="宋体"/>
          <w:b/>
          <w:bCs/>
          <w:color w:val="000000" w:themeColor="text1"/>
          <w:sz w:val="32"/>
          <w:szCs w:val="32"/>
        </w:rPr>
      </w:pPr>
      <w:r>
        <w:rPr>
          <w:rFonts w:hint="eastAsia" w:ascii="宋体" w:hAnsi="宋体" w:cs="宋体"/>
          <w:b/>
          <w:bCs/>
          <w:color w:val="000000" w:themeColor="text1"/>
          <w:sz w:val="32"/>
          <w:szCs w:val="32"/>
        </w:rPr>
        <w:t>第三章 竞价附件</w:t>
      </w:r>
    </w:p>
    <w:p>
      <w:pPr>
        <w:jc w:val="center"/>
        <w:outlineLvl w:val="1"/>
        <w:rPr>
          <w:rFonts w:ascii="宋体" w:hAnsi="宋体" w:cs="宋体"/>
          <w:b/>
          <w:bCs/>
          <w:color w:val="000000" w:themeColor="text1"/>
          <w:sz w:val="32"/>
          <w:szCs w:val="32"/>
        </w:rPr>
      </w:pPr>
      <w:r>
        <w:rPr>
          <w:rFonts w:hint="eastAsia" w:ascii="宋体" w:hAnsi="宋体" w:cs="宋体"/>
          <w:b/>
          <w:bCs/>
          <w:color w:val="000000" w:themeColor="text1"/>
          <w:sz w:val="32"/>
          <w:szCs w:val="32"/>
        </w:rPr>
        <w:t>报价表</w:t>
      </w:r>
    </w:p>
    <w:p>
      <w:pPr>
        <w:jc w:val="left"/>
        <w:rPr>
          <w:rFonts w:ascii="宋体" w:hAnsi="宋体" w:cs="宋体"/>
          <w:b/>
          <w:bCs/>
          <w:color w:val="000000" w:themeColor="text1"/>
          <w:szCs w:val="21"/>
        </w:rPr>
      </w:pPr>
      <w:r>
        <w:rPr>
          <w:rFonts w:hint="eastAsia" w:ascii="宋体" w:hAnsi="宋体" w:cs="宋体"/>
          <w:b/>
          <w:bCs/>
          <w:color w:val="000000" w:themeColor="text1"/>
          <w:szCs w:val="21"/>
        </w:rPr>
        <w:t>说明：请把报价附件扫描为一个PDF上传。</w:t>
      </w:r>
    </w:p>
    <w:p>
      <w:pPr>
        <w:spacing w:line="360" w:lineRule="auto"/>
        <w:ind w:firstLine="210" w:firstLineChars="100"/>
        <w:rPr>
          <w:rFonts w:ascii="宋体" w:hAnsi="宋体"/>
          <w:color w:val="000000" w:themeColor="text1"/>
          <w:szCs w:val="21"/>
        </w:rPr>
      </w:pPr>
      <w:r>
        <w:rPr>
          <w:rFonts w:hint="eastAsia" w:ascii="宋体" w:hAnsi="宋体"/>
          <w:color w:val="000000" w:themeColor="text1"/>
          <w:szCs w:val="21"/>
        </w:rPr>
        <w:t>项目名称:</w:t>
      </w:r>
      <w:r>
        <w:rPr>
          <w:rFonts w:hint="eastAsia" w:ascii="宋体" w:hAnsi="宋体"/>
          <w:color w:val="000000" w:themeColor="text1"/>
          <w:lang w:eastAsia="zh-CN"/>
        </w:rPr>
        <w:t>2024-2025年高压配电房电气设备维护服务项目（第二次竞价）</w:t>
      </w:r>
      <w:r>
        <w:rPr>
          <w:rFonts w:hint="eastAsia" w:ascii="宋体" w:hAnsi="宋体"/>
          <w:color w:val="000000" w:themeColor="text1"/>
        </w:rPr>
        <w:t xml:space="preserve"> </w:t>
      </w:r>
      <w:r>
        <w:rPr>
          <w:rFonts w:hint="eastAsia" w:ascii="宋体" w:hAnsi="宋体"/>
          <w:color w:val="000000" w:themeColor="text1"/>
          <w:szCs w:val="21"/>
        </w:rPr>
        <w:t xml:space="preserve">      </w:t>
      </w:r>
    </w:p>
    <w:p>
      <w:pPr>
        <w:spacing w:line="360" w:lineRule="auto"/>
        <w:ind w:firstLine="210" w:firstLineChars="100"/>
        <w:rPr>
          <w:rFonts w:ascii="宋体" w:hAnsi="宋体"/>
          <w:color w:val="000000" w:themeColor="text1"/>
          <w:szCs w:val="21"/>
          <w:u w:val="single"/>
          <w:lang w:val="zh-CN"/>
        </w:rPr>
      </w:pPr>
      <w:r>
        <w:rPr>
          <w:rFonts w:hint="eastAsia" w:ascii="宋体" w:hAnsi="宋体"/>
          <w:color w:val="000000" w:themeColor="text1"/>
          <w:szCs w:val="21"/>
        </w:rPr>
        <w:t>采购项目编号：</w:t>
      </w:r>
      <w:r>
        <w:rPr>
          <w:rFonts w:ascii="宋体" w:hAnsi="宋体"/>
          <w:color w:val="000000" w:themeColor="text1"/>
          <w:szCs w:val="21"/>
        </w:rPr>
        <w:t>SDWW202403S079</w:t>
      </w:r>
      <w:r>
        <w:rPr>
          <w:rFonts w:hint="eastAsia" w:ascii="宋体" w:hAnsi="宋体"/>
          <w:color w:val="000000" w:themeColor="text1"/>
          <w:szCs w:val="21"/>
        </w:rPr>
        <w:t xml:space="preserve">                        </w:t>
      </w:r>
      <w:r>
        <w:rPr>
          <w:rFonts w:hint="eastAsia" w:ascii="宋体" w:hAnsi="宋体"/>
          <w:color w:val="000000" w:themeColor="text1"/>
          <w:szCs w:val="21"/>
          <w:lang w:val="zh-CN"/>
        </w:rPr>
        <w:t xml:space="preserve"> </w:t>
      </w:r>
      <w:r>
        <w:rPr>
          <w:rFonts w:hint="eastAsia" w:ascii="宋体" w:hAnsi="宋体"/>
          <w:color w:val="000000" w:themeColor="text1"/>
          <w:szCs w:val="21"/>
          <w:u w:val="single"/>
          <w:lang w:val="zh-CN"/>
        </w:rPr>
        <w:t>货币单位：元（人民币）</w:t>
      </w:r>
    </w:p>
    <w:tbl>
      <w:tblPr>
        <w:tblStyle w:val="36"/>
        <w:tblW w:w="94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
        <w:gridCol w:w="524"/>
        <w:gridCol w:w="1846"/>
        <w:gridCol w:w="787"/>
        <w:gridCol w:w="709"/>
        <w:gridCol w:w="1275"/>
        <w:gridCol w:w="1276"/>
        <w:gridCol w:w="851"/>
        <w:gridCol w:w="850"/>
        <w:gridCol w:w="7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671" w:type="dxa"/>
            <w:vAlign w:val="center"/>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序号</w:t>
            </w:r>
          </w:p>
        </w:tc>
        <w:tc>
          <w:tcPr>
            <w:tcW w:w="2370" w:type="dxa"/>
            <w:gridSpan w:val="2"/>
            <w:vAlign w:val="center"/>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服务内容</w:t>
            </w:r>
          </w:p>
        </w:tc>
        <w:tc>
          <w:tcPr>
            <w:tcW w:w="787" w:type="dxa"/>
            <w:vAlign w:val="center"/>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单位</w:t>
            </w:r>
          </w:p>
        </w:tc>
        <w:tc>
          <w:tcPr>
            <w:tcW w:w="709" w:type="dxa"/>
            <w:vAlign w:val="center"/>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数量</w:t>
            </w:r>
          </w:p>
        </w:tc>
        <w:tc>
          <w:tcPr>
            <w:tcW w:w="1275" w:type="dxa"/>
            <w:vAlign w:val="center"/>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最高限价（单位元）</w:t>
            </w:r>
          </w:p>
        </w:tc>
        <w:tc>
          <w:tcPr>
            <w:tcW w:w="1276" w:type="dxa"/>
            <w:vAlign w:val="center"/>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品牌型号</w:t>
            </w:r>
          </w:p>
        </w:tc>
        <w:tc>
          <w:tcPr>
            <w:tcW w:w="851" w:type="dxa"/>
            <w:vAlign w:val="center"/>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单价（元）</w:t>
            </w:r>
          </w:p>
        </w:tc>
        <w:tc>
          <w:tcPr>
            <w:tcW w:w="850" w:type="dxa"/>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小计（元）</w:t>
            </w:r>
          </w:p>
        </w:tc>
        <w:tc>
          <w:tcPr>
            <w:tcW w:w="704" w:type="dxa"/>
          </w:tcPr>
          <w:p>
            <w:pPr>
              <w:widowControl/>
              <w:spacing w:line="360" w:lineRule="auto"/>
              <w:jc w:val="center"/>
              <w:rPr>
                <w:rFonts w:ascii="宋体" w:hAnsi="宋体" w:cs="仿宋_GB2312"/>
                <w:b/>
                <w:bCs/>
                <w:kern w:val="0"/>
                <w:szCs w:val="21"/>
              </w:rPr>
            </w:pPr>
            <w:r>
              <w:rPr>
                <w:rFonts w:hint="eastAsia" w:ascii="宋体" w:hAnsi="宋体" w:cs="仿宋_GB2312"/>
                <w:b/>
                <w:bCs/>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671" w:type="dxa"/>
            <w:vAlign w:val="center"/>
          </w:tcPr>
          <w:p>
            <w:pPr>
              <w:widowControl/>
              <w:spacing w:line="360" w:lineRule="auto"/>
              <w:jc w:val="center"/>
              <w:rPr>
                <w:rFonts w:ascii="宋体" w:hAnsi="宋体" w:cs="仿宋_GB2312"/>
                <w:kern w:val="0"/>
                <w:szCs w:val="21"/>
              </w:rPr>
            </w:pPr>
            <w:r>
              <w:rPr>
                <w:rFonts w:hint="eastAsia" w:ascii="宋体" w:hAnsi="宋体" w:cs="仿宋_GB2312"/>
                <w:kern w:val="0"/>
                <w:szCs w:val="21"/>
              </w:rPr>
              <w:t>1</w:t>
            </w:r>
          </w:p>
        </w:tc>
        <w:tc>
          <w:tcPr>
            <w:tcW w:w="2370" w:type="dxa"/>
            <w:gridSpan w:val="2"/>
            <w:vAlign w:val="center"/>
          </w:tcPr>
          <w:p>
            <w:pPr>
              <w:widowControl/>
              <w:spacing w:line="360" w:lineRule="auto"/>
              <w:jc w:val="center"/>
              <w:textAlignment w:val="center"/>
              <w:rPr>
                <w:rFonts w:ascii="宋体" w:hAnsi="宋体" w:cs="仿宋_GB2312"/>
                <w:kern w:val="0"/>
                <w:szCs w:val="21"/>
              </w:rPr>
            </w:pPr>
            <w:r>
              <w:rPr>
                <w:rFonts w:hint="eastAsia" w:ascii="宋体" w:hAnsi="宋体" w:cs="宋体"/>
                <w:color w:val="000000"/>
                <w:kern w:val="0"/>
                <w:szCs w:val="21"/>
              </w:rPr>
              <w:t>2024-2025年高压配电房电气设备维护服务（两年期）</w:t>
            </w:r>
          </w:p>
        </w:tc>
        <w:tc>
          <w:tcPr>
            <w:tcW w:w="787" w:type="dxa"/>
            <w:vAlign w:val="center"/>
          </w:tcPr>
          <w:p>
            <w:pPr>
              <w:widowControl/>
              <w:jc w:val="center"/>
              <w:rPr>
                <w:rFonts w:ascii="宋体" w:hAnsi="宋体" w:cs="仿宋"/>
                <w:color w:val="000000"/>
                <w:kern w:val="0"/>
                <w:szCs w:val="21"/>
              </w:rPr>
            </w:pPr>
            <w:r>
              <w:rPr>
                <w:rFonts w:hint="eastAsia" w:ascii="宋体" w:hAnsi="宋体" w:cs="仿宋_GB2312"/>
                <w:kern w:val="0"/>
                <w:szCs w:val="21"/>
              </w:rPr>
              <w:t>1</w:t>
            </w:r>
          </w:p>
        </w:tc>
        <w:tc>
          <w:tcPr>
            <w:tcW w:w="709" w:type="dxa"/>
            <w:vAlign w:val="center"/>
          </w:tcPr>
          <w:p>
            <w:pPr>
              <w:widowControl/>
              <w:spacing w:line="360" w:lineRule="auto"/>
              <w:jc w:val="center"/>
              <w:rPr>
                <w:rFonts w:ascii="宋体" w:hAnsi="宋体" w:cs="仿宋_GB2312"/>
                <w:kern w:val="0"/>
                <w:szCs w:val="21"/>
              </w:rPr>
            </w:pPr>
            <w:r>
              <w:rPr>
                <w:rFonts w:hint="eastAsia" w:ascii="宋体" w:hAnsi="宋体" w:cs="宋体"/>
                <w:color w:val="000000"/>
                <w:kern w:val="0"/>
                <w:szCs w:val="21"/>
              </w:rPr>
              <w:t>项</w:t>
            </w:r>
          </w:p>
        </w:tc>
        <w:tc>
          <w:tcPr>
            <w:tcW w:w="1275" w:type="dxa"/>
            <w:vAlign w:val="center"/>
          </w:tcPr>
          <w:p>
            <w:pPr>
              <w:widowControl/>
              <w:spacing w:line="360" w:lineRule="auto"/>
              <w:jc w:val="center"/>
              <w:textAlignment w:val="center"/>
              <w:rPr>
                <w:rFonts w:ascii="宋体" w:hAnsi="宋体" w:cs="仿宋_GB2312"/>
                <w:kern w:val="0"/>
                <w:szCs w:val="21"/>
              </w:rPr>
            </w:pPr>
            <w:r>
              <w:rPr>
                <w:rFonts w:hint="eastAsia" w:ascii="宋体" w:hAnsi="宋体" w:cs="宋体"/>
                <w:color w:val="000000"/>
                <w:kern w:val="0"/>
                <w:szCs w:val="21"/>
              </w:rPr>
              <w:t>60000</w:t>
            </w:r>
          </w:p>
        </w:tc>
        <w:tc>
          <w:tcPr>
            <w:tcW w:w="1276" w:type="dxa"/>
            <w:vAlign w:val="center"/>
          </w:tcPr>
          <w:p>
            <w:pPr>
              <w:widowControl/>
              <w:spacing w:line="360" w:lineRule="auto"/>
              <w:jc w:val="center"/>
              <w:textAlignment w:val="center"/>
              <w:rPr>
                <w:rFonts w:ascii="宋体" w:hAnsi="宋体" w:cs="宋体"/>
                <w:color w:val="000000"/>
                <w:kern w:val="0"/>
                <w:szCs w:val="21"/>
              </w:rPr>
            </w:pPr>
          </w:p>
        </w:tc>
        <w:tc>
          <w:tcPr>
            <w:tcW w:w="851" w:type="dxa"/>
            <w:vAlign w:val="center"/>
          </w:tcPr>
          <w:p>
            <w:pPr>
              <w:widowControl/>
              <w:spacing w:line="360" w:lineRule="auto"/>
              <w:jc w:val="center"/>
              <w:textAlignment w:val="center"/>
              <w:rPr>
                <w:rFonts w:ascii="宋体" w:hAnsi="宋体" w:cs="宋体"/>
                <w:color w:val="000000"/>
                <w:kern w:val="0"/>
                <w:szCs w:val="21"/>
              </w:rPr>
            </w:pPr>
          </w:p>
        </w:tc>
        <w:tc>
          <w:tcPr>
            <w:tcW w:w="850" w:type="dxa"/>
          </w:tcPr>
          <w:p>
            <w:pPr>
              <w:widowControl/>
              <w:spacing w:line="360" w:lineRule="auto"/>
              <w:jc w:val="center"/>
              <w:textAlignment w:val="center"/>
              <w:rPr>
                <w:rFonts w:ascii="宋体" w:hAnsi="宋体" w:cs="宋体"/>
                <w:color w:val="000000"/>
                <w:kern w:val="0"/>
                <w:szCs w:val="21"/>
              </w:rPr>
            </w:pPr>
          </w:p>
        </w:tc>
        <w:tc>
          <w:tcPr>
            <w:tcW w:w="704" w:type="dxa"/>
          </w:tcPr>
          <w:p>
            <w:pPr>
              <w:widowControl/>
              <w:spacing w:line="360" w:lineRule="auto"/>
              <w:jc w:val="center"/>
              <w:textAlignment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671" w:type="dxa"/>
            <w:vMerge w:val="restart"/>
            <w:vAlign w:val="center"/>
          </w:tcPr>
          <w:p>
            <w:pPr>
              <w:widowControl/>
              <w:spacing w:line="360" w:lineRule="auto"/>
              <w:jc w:val="center"/>
              <w:rPr>
                <w:rFonts w:ascii="宋体" w:hAnsi="宋体" w:cs="仿宋_GB2312"/>
                <w:kern w:val="0"/>
                <w:szCs w:val="21"/>
              </w:rPr>
            </w:pPr>
            <w:r>
              <w:rPr>
                <w:rFonts w:hint="eastAsia" w:ascii="宋体" w:hAnsi="宋体" w:cs="仿宋_GB2312"/>
                <w:kern w:val="0"/>
                <w:szCs w:val="21"/>
              </w:rPr>
              <w:t>2</w:t>
            </w:r>
          </w:p>
        </w:tc>
        <w:tc>
          <w:tcPr>
            <w:tcW w:w="2370" w:type="dxa"/>
            <w:gridSpan w:val="2"/>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框架断路器（抽屉式）</w:t>
            </w:r>
          </w:p>
        </w:tc>
        <w:tc>
          <w:tcPr>
            <w:tcW w:w="787" w:type="dxa"/>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仿宋_GB2312"/>
                <w:kern w:val="0"/>
                <w:szCs w:val="21"/>
              </w:rPr>
              <w:t>1</w:t>
            </w:r>
          </w:p>
        </w:tc>
        <w:tc>
          <w:tcPr>
            <w:tcW w:w="709" w:type="dxa"/>
            <w:vAlign w:val="center"/>
          </w:tcPr>
          <w:p>
            <w:pPr>
              <w:widowControl/>
              <w:spacing w:line="360" w:lineRule="auto"/>
              <w:jc w:val="center"/>
              <w:rPr>
                <w:rFonts w:ascii="宋体" w:hAnsi="宋体" w:cs="仿宋_GB2312"/>
                <w:kern w:val="0"/>
                <w:szCs w:val="21"/>
              </w:rPr>
            </w:pPr>
            <w:r>
              <w:rPr>
                <w:rFonts w:hint="eastAsia" w:ascii="宋体" w:hAnsi="宋体" w:cs="宋体"/>
                <w:color w:val="000000"/>
                <w:kern w:val="0"/>
                <w:szCs w:val="21"/>
              </w:rPr>
              <w:t>台</w:t>
            </w:r>
          </w:p>
        </w:tc>
        <w:tc>
          <w:tcPr>
            <w:tcW w:w="1275" w:type="dxa"/>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28000</w:t>
            </w:r>
          </w:p>
        </w:tc>
        <w:tc>
          <w:tcPr>
            <w:tcW w:w="1276" w:type="dxa"/>
            <w:vAlign w:val="center"/>
          </w:tcPr>
          <w:p>
            <w:pPr>
              <w:widowControl/>
              <w:spacing w:line="360" w:lineRule="auto"/>
              <w:jc w:val="center"/>
              <w:textAlignment w:val="center"/>
              <w:rPr>
                <w:rFonts w:ascii="宋体" w:hAnsi="宋体" w:cs="宋体"/>
                <w:color w:val="000000"/>
                <w:kern w:val="0"/>
                <w:szCs w:val="21"/>
              </w:rPr>
            </w:pPr>
          </w:p>
        </w:tc>
        <w:tc>
          <w:tcPr>
            <w:tcW w:w="851" w:type="dxa"/>
            <w:vAlign w:val="center"/>
          </w:tcPr>
          <w:p>
            <w:pPr>
              <w:widowControl/>
              <w:spacing w:line="360" w:lineRule="auto"/>
              <w:jc w:val="center"/>
              <w:textAlignment w:val="center"/>
              <w:rPr>
                <w:rFonts w:ascii="宋体" w:hAnsi="宋体" w:cs="宋体"/>
                <w:color w:val="000000"/>
                <w:kern w:val="0"/>
                <w:szCs w:val="21"/>
              </w:rPr>
            </w:pPr>
          </w:p>
        </w:tc>
        <w:tc>
          <w:tcPr>
            <w:tcW w:w="850" w:type="dxa"/>
          </w:tcPr>
          <w:p>
            <w:pPr>
              <w:widowControl/>
              <w:spacing w:line="360" w:lineRule="auto"/>
              <w:jc w:val="center"/>
              <w:textAlignment w:val="center"/>
              <w:rPr>
                <w:rFonts w:ascii="宋体" w:hAnsi="宋体" w:cs="宋体"/>
                <w:color w:val="000000"/>
                <w:kern w:val="0"/>
                <w:szCs w:val="21"/>
              </w:rPr>
            </w:pPr>
          </w:p>
        </w:tc>
        <w:tc>
          <w:tcPr>
            <w:tcW w:w="704" w:type="dxa"/>
          </w:tcPr>
          <w:p>
            <w:pPr>
              <w:widowControl/>
              <w:spacing w:line="360" w:lineRule="auto"/>
              <w:jc w:val="center"/>
              <w:textAlignment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671" w:type="dxa"/>
            <w:vMerge w:val="continue"/>
            <w:vAlign w:val="center"/>
          </w:tcPr>
          <w:p>
            <w:pPr>
              <w:widowControl/>
              <w:spacing w:line="360" w:lineRule="auto"/>
              <w:jc w:val="center"/>
              <w:rPr>
                <w:rFonts w:ascii="宋体" w:hAnsi="宋体" w:cs="仿宋_GB2312"/>
                <w:kern w:val="0"/>
                <w:szCs w:val="21"/>
              </w:rPr>
            </w:pPr>
          </w:p>
        </w:tc>
        <w:tc>
          <w:tcPr>
            <w:tcW w:w="2370" w:type="dxa"/>
            <w:gridSpan w:val="2"/>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断路器合闸电磁铁</w:t>
            </w:r>
          </w:p>
        </w:tc>
        <w:tc>
          <w:tcPr>
            <w:tcW w:w="787" w:type="dxa"/>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仿宋_GB2312"/>
                <w:kern w:val="0"/>
                <w:szCs w:val="21"/>
              </w:rPr>
              <w:t>4</w:t>
            </w:r>
          </w:p>
        </w:tc>
        <w:tc>
          <w:tcPr>
            <w:tcW w:w="709" w:type="dxa"/>
            <w:vAlign w:val="center"/>
          </w:tcPr>
          <w:p>
            <w:pPr>
              <w:widowControl/>
              <w:spacing w:line="360" w:lineRule="auto"/>
              <w:jc w:val="center"/>
              <w:rPr>
                <w:rFonts w:ascii="宋体" w:hAnsi="宋体" w:cs="仿宋_GB2312"/>
                <w:kern w:val="0"/>
                <w:szCs w:val="21"/>
              </w:rPr>
            </w:pPr>
            <w:r>
              <w:rPr>
                <w:rFonts w:hint="eastAsia" w:ascii="宋体" w:hAnsi="宋体" w:cs="宋体"/>
                <w:color w:val="000000"/>
                <w:kern w:val="0"/>
                <w:szCs w:val="21"/>
              </w:rPr>
              <w:t>个</w:t>
            </w:r>
          </w:p>
        </w:tc>
        <w:tc>
          <w:tcPr>
            <w:tcW w:w="1275" w:type="dxa"/>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3800</w:t>
            </w:r>
          </w:p>
        </w:tc>
        <w:tc>
          <w:tcPr>
            <w:tcW w:w="1276" w:type="dxa"/>
            <w:vAlign w:val="center"/>
          </w:tcPr>
          <w:p>
            <w:pPr>
              <w:widowControl/>
              <w:spacing w:line="360" w:lineRule="auto"/>
              <w:jc w:val="center"/>
              <w:textAlignment w:val="center"/>
              <w:rPr>
                <w:rFonts w:ascii="宋体" w:hAnsi="宋体" w:cs="宋体"/>
                <w:color w:val="000000"/>
                <w:kern w:val="0"/>
                <w:szCs w:val="21"/>
              </w:rPr>
            </w:pPr>
          </w:p>
        </w:tc>
        <w:tc>
          <w:tcPr>
            <w:tcW w:w="851" w:type="dxa"/>
            <w:vAlign w:val="center"/>
          </w:tcPr>
          <w:p>
            <w:pPr>
              <w:widowControl/>
              <w:spacing w:line="360" w:lineRule="auto"/>
              <w:jc w:val="center"/>
              <w:textAlignment w:val="center"/>
              <w:rPr>
                <w:rFonts w:ascii="宋体" w:hAnsi="宋体" w:cs="宋体"/>
                <w:color w:val="000000"/>
                <w:kern w:val="0"/>
                <w:szCs w:val="21"/>
              </w:rPr>
            </w:pPr>
          </w:p>
        </w:tc>
        <w:tc>
          <w:tcPr>
            <w:tcW w:w="850" w:type="dxa"/>
          </w:tcPr>
          <w:p>
            <w:pPr>
              <w:widowControl/>
              <w:spacing w:line="360" w:lineRule="auto"/>
              <w:jc w:val="center"/>
              <w:textAlignment w:val="center"/>
              <w:rPr>
                <w:rFonts w:ascii="宋体" w:hAnsi="宋体" w:cs="宋体"/>
                <w:color w:val="000000"/>
                <w:kern w:val="0"/>
                <w:szCs w:val="21"/>
              </w:rPr>
            </w:pPr>
          </w:p>
        </w:tc>
        <w:tc>
          <w:tcPr>
            <w:tcW w:w="704" w:type="dxa"/>
          </w:tcPr>
          <w:p>
            <w:pPr>
              <w:widowControl/>
              <w:spacing w:line="360" w:lineRule="auto"/>
              <w:jc w:val="center"/>
              <w:textAlignment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671" w:type="dxa"/>
            <w:vMerge w:val="continue"/>
            <w:vAlign w:val="center"/>
          </w:tcPr>
          <w:p>
            <w:pPr>
              <w:widowControl/>
              <w:spacing w:line="360" w:lineRule="auto"/>
              <w:jc w:val="center"/>
              <w:rPr>
                <w:rFonts w:ascii="宋体" w:hAnsi="宋体" w:cs="仿宋_GB2312"/>
                <w:kern w:val="0"/>
                <w:szCs w:val="21"/>
              </w:rPr>
            </w:pPr>
          </w:p>
        </w:tc>
        <w:tc>
          <w:tcPr>
            <w:tcW w:w="2370" w:type="dxa"/>
            <w:gridSpan w:val="2"/>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高压绝缘手套</w:t>
            </w:r>
          </w:p>
        </w:tc>
        <w:tc>
          <w:tcPr>
            <w:tcW w:w="787" w:type="dxa"/>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仿宋_GB2312"/>
                <w:kern w:val="0"/>
                <w:szCs w:val="21"/>
              </w:rPr>
              <w:t>1</w:t>
            </w:r>
          </w:p>
        </w:tc>
        <w:tc>
          <w:tcPr>
            <w:tcW w:w="709" w:type="dxa"/>
            <w:vAlign w:val="center"/>
          </w:tcPr>
          <w:p>
            <w:pPr>
              <w:widowControl/>
              <w:spacing w:line="360" w:lineRule="auto"/>
              <w:jc w:val="center"/>
              <w:rPr>
                <w:rFonts w:ascii="宋体" w:hAnsi="宋体" w:cs="仿宋_GB2312"/>
                <w:kern w:val="0"/>
                <w:szCs w:val="21"/>
              </w:rPr>
            </w:pPr>
            <w:r>
              <w:rPr>
                <w:rFonts w:hint="eastAsia" w:ascii="宋体" w:hAnsi="宋体" w:cs="宋体"/>
                <w:color w:val="000000"/>
                <w:kern w:val="0"/>
                <w:szCs w:val="21"/>
              </w:rPr>
              <w:t>双</w:t>
            </w:r>
          </w:p>
        </w:tc>
        <w:tc>
          <w:tcPr>
            <w:tcW w:w="1275" w:type="dxa"/>
            <w:vMerge w:val="restart"/>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1000</w:t>
            </w:r>
          </w:p>
        </w:tc>
        <w:tc>
          <w:tcPr>
            <w:tcW w:w="1276" w:type="dxa"/>
            <w:vAlign w:val="center"/>
          </w:tcPr>
          <w:p>
            <w:pPr>
              <w:widowControl/>
              <w:spacing w:line="360" w:lineRule="auto"/>
              <w:jc w:val="center"/>
              <w:textAlignment w:val="center"/>
              <w:rPr>
                <w:rFonts w:ascii="宋体" w:hAnsi="宋体" w:cs="宋体"/>
                <w:color w:val="000000"/>
                <w:kern w:val="0"/>
                <w:szCs w:val="21"/>
              </w:rPr>
            </w:pPr>
          </w:p>
        </w:tc>
        <w:tc>
          <w:tcPr>
            <w:tcW w:w="851" w:type="dxa"/>
            <w:vMerge w:val="restart"/>
            <w:vAlign w:val="center"/>
          </w:tcPr>
          <w:p>
            <w:pPr>
              <w:widowControl/>
              <w:spacing w:line="360" w:lineRule="auto"/>
              <w:jc w:val="center"/>
              <w:textAlignment w:val="center"/>
              <w:rPr>
                <w:rFonts w:ascii="宋体" w:hAnsi="宋体" w:cs="宋体"/>
                <w:color w:val="000000"/>
                <w:kern w:val="0"/>
                <w:szCs w:val="21"/>
              </w:rPr>
            </w:pPr>
          </w:p>
        </w:tc>
        <w:tc>
          <w:tcPr>
            <w:tcW w:w="850" w:type="dxa"/>
            <w:vMerge w:val="restart"/>
          </w:tcPr>
          <w:p>
            <w:pPr>
              <w:widowControl/>
              <w:spacing w:line="360" w:lineRule="auto"/>
              <w:jc w:val="center"/>
              <w:textAlignment w:val="center"/>
              <w:rPr>
                <w:rFonts w:ascii="宋体" w:hAnsi="宋体" w:cs="宋体"/>
                <w:color w:val="000000"/>
                <w:kern w:val="0"/>
                <w:szCs w:val="21"/>
              </w:rPr>
            </w:pPr>
          </w:p>
        </w:tc>
        <w:tc>
          <w:tcPr>
            <w:tcW w:w="704" w:type="dxa"/>
          </w:tcPr>
          <w:p>
            <w:pPr>
              <w:widowControl/>
              <w:spacing w:line="360" w:lineRule="auto"/>
              <w:jc w:val="center"/>
              <w:textAlignment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671" w:type="dxa"/>
            <w:vMerge w:val="continue"/>
            <w:vAlign w:val="center"/>
          </w:tcPr>
          <w:p>
            <w:pPr>
              <w:widowControl/>
              <w:spacing w:line="360" w:lineRule="auto"/>
              <w:jc w:val="center"/>
              <w:rPr>
                <w:rFonts w:ascii="宋体" w:hAnsi="宋体" w:cs="仿宋_GB2312"/>
                <w:kern w:val="0"/>
                <w:szCs w:val="21"/>
              </w:rPr>
            </w:pPr>
          </w:p>
        </w:tc>
        <w:tc>
          <w:tcPr>
            <w:tcW w:w="2370" w:type="dxa"/>
            <w:gridSpan w:val="2"/>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高压电笔</w:t>
            </w:r>
          </w:p>
        </w:tc>
        <w:tc>
          <w:tcPr>
            <w:tcW w:w="787" w:type="dxa"/>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仿宋_GB2312"/>
                <w:kern w:val="0"/>
                <w:szCs w:val="21"/>
              </w:rPr>
              <w:t>1</w:t>
            </w:r>
          </w:p>
        </w:tc>
        <w:tc>
          <w:tcPr>
            <w:tcW w:w="709" w:type="dxa"/>
            <w:vAlign w:val="center"/>
          </w:tcPr>
          <w:p>
            <w:pPr>
              <w:widowControl/>
              <w:spacing w:line="360" w:lineRule="auto"/>
              <w:jc w:val="center"/>
              <w:rPr>
                <w:rFonts w:ascii="宋体" w:hAnsi="宋体" w:cs="仿宋_GB2312"/>
                <w:kern w:val="0"/>
                <w:szCs w:val="21"/>
              </w:rPr>
            </w:pPr>
            <w:r>
              <w:rPr>
                <w:rFonts w:hint="eastAsia" w:ascii="宋体" w:hAnsi="宋体" w:cs="宋体"/>
                <w:color w:val="000000"/>
                <w:kern w:val="0"/>
                <w:szCs w:val="21"/>
              </w:rPr>
              <w:t>套</w:t>
            </w:r>
          </w:p>
        </w:tc>
        <w:tc>
          <w:tcPr>
            <w:tcW w:w="1275" w:type="dxa"/>
            <w:vMerge w:val="continue"/>
            <w:vAlign w:val="center"/>
          </w:tcPr>
          <w:p>
            <w:pPr>
              <w:widowControl/>
              <w:spacing w:line="360" w:lineRule="auto"/>
              <w:jc w:val="center"/>
              <w:textAlignment w:val="center"/>
              <w:rPr>
                <w:rFonts w:ascii="宋体" w:hAnsi="宋体" w:cs="宋体"/>
                <w:color w:val="000000"/>
                <w:kern w:val="0"/>
                <w:szCs w:val="21"/>
              </w:rPr>
            </w:pPr>
          </w:p>
        </w:tc>
        <w:tc>
          <w:tcPr>
            <w:tcW w:w="1276" w:type="dxa"/>
            <w:vAlign w:val="center"/>
          </w:tcPr>
          <w:p>
            <w:pPr>
              <w:widowControl/>
              <w:spacing w:line="360" w:lineRule="auto"/>
              <w:jc w:val="center"/>
              <w:textAlignment w:val="center"/>
              <w:rPr>
                <w:rFonts w:ascii="宋体" w:hAnsi="宋体" w:cs="宋体"/>
                <w:color w:val="000000"/>
                <w:kern w:val="0"/>
                <w:szCs w:val="21"/>
              </w:rPr>
            </w:pPr>
          </w:p>
        </w:tc>
        <w:tc>
          <w:tcPr>
            <w:tcW w:w="851" w:type="dxa"/>
            <w:vMerge w:val="continue"/>
            <w:vAlign w:val="center"/>
          </w:tcPr>
          <w:p>
            <w:pPr>
              <w:widowControl/>
              <w:spacing w:line="360" w:lineRule="auto"/>
              <w:jc w:val="center"/>
              <w:textAlignment w:val="center"/>
              <w:rPr>
                <w:rFonts w:ascii="宋体" w:hAnsi="宋体" w:cs="宋体"/>
                <w:color w:val="000000"/>
                <w:kern w:val="0"/>
                <w:szCs w:val="21"/>
              </w:rPr>
            </w:pPr>
          </w:p>
        </w:tc>
        <w:tc>
          <w:tcPr>
            <w:tcW w:w="850" w:type="dxa"/>
            <w:vMerge w:val="continue"/>
          </w:tcPr>
          <w:p>
            <w:pPr>
              <w:widowControl/>
              <w:spacing w:line="360" w:lineRule="auto"/>
              <w:jc w:val="center"/>
              <w:textAlignment w:val="center"/>
              <w:rPr>
                <w:rFonts w:ascii="宋体" w:hAnsi="宋体" w:cs="宋体"/>
                <w:color w:val="000000"/>
                <w:kern w:val="0"/>
                <w:szCs w:val="21"/>
              </w:rPr>
            </w:pPr>
          </w:p>
        </w:tc>
        <w:tc>
          <w:tcPr>
            <w:tcW w:w="704" w:type="dxa"/>
          </w:tcPr>
          <w:p>
            <w:pPr>
              <w:widowControl/>
              <w:spacing w:line="360" w:lineRule="auto"/>
              <w:jc w:val="center"/>
              <w:textAlignment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671" w:type="dxa"/>
            <w:vMerge w:val="continue"/>
            <w:vAlign w:val="center"/>
          </w:tcPr>
          <w:p>
            <w:pPr>
              <w:widowControl/>
              <w:spacing w:line="360" w:lineRule="auto"/>
              <w:jc w:val="center"/>
              <w:rPr>
                <w:rFonts w:ascii="宋体" w:hAnsi="宋体" w:cs="仿宋_GB2312"/>
                <w:kern w:val="0"/>
                <w:szCs w:val="21"/>
              </w:rPr>
            </w:pPr>
          </w:p>
        </w:tc>
        <w:tc>
          <w:tcPr>
            <w:tcW w:w="2370" w:type="dxa"/>
            <w:gridSpan w:val="2"/>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高压绝缘鞋</w:t>
            </w:r>
          </w:p>
        </w:tc>
        <w:tc>
          <w:tcPr>
            <w:tcW w:w="787" w:type="dxa"/>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仿宋_GB2312"/>
                <w:kern w:val="0"/>
                <w:szCs w:val="21"/>
              </w:rPr>
              <w:t>1</w:t>
            </w:r>
          </w:p>
        </w:tc>
        <w:tc>
          <w:tcPr>
            <w:tcW w:w="709" w:type="dxa"/>
            <w:vAlign w:val="center"/>
          </w:tcPr>
          <w:p>
            <w:pPr>
              <w:widowControl/>
              <w:spacing w:line="360" w:lineRule="auto"/>
              <w:jc w:val="center"/>
              <w:rPr>
                <w:rFonts w:ascii="宋体" w:hAnsi="宋体" w:cs="仿宋_GB2312"/>
                <w:kern w:val="0"/>
                <w:szCs w:val="21"/>
              </w:rPr>
            </w:pPr>
            <w:r>
              <w:rPr>
                <w:rFonts w:hint="eastAsia" w:ascii="宋体" w:hAnsi="宋体" w:cs="宋体"/>
                <w:color w:val="000000"/>
                <w:kern w:val="0"/>
                <w:szCs w:val="21"/>
              </w:rPr>
              <w:t>双</w:t>
            </w:r>
          </w:p>
        </w:tc>
        <w:tc>
          <w:tcPr>
            <w:tcW w:w="1275" w:type="dxa"/>
            <w:vMerge w:val="continue"/>
            <w:vAlign w:val="center"/>
          </w:tcPr>
          <w:p>
            <w:pPr>
              <w:widowControl/>
              <w:spacing w:line="360" w:lineRule="auto"/>
              <w:jc w:val="center"/>
              <w:textAlignment w:val="center"/>
              <w:rPr>
                <w:rFonts w:ascii="宋体" w:hAnsi="宋体" w:cs="宋体"/>
                <w:color w:val="000000"/>
                <w:kern w:val="0"/>
                <w:szCs w:val="21"/>
              </w:rPr>
            </w:pPr>
          </w:p>
        </w:tc>
        <w:tc>
          <w:tcPr>
            <w:tcW w:w="1276" w:type="dxa"/>
            <w:vAlign w:val="center"/>
          </w:tcPr>
          <w:p>
            <w:pPr>
              <w:widowControl/>
              <w:spacing w:line="360" w:lineRule="auto"/>
              <w:jc w:val="center"/>
              <w:textAlignment w:val="center"/>
              <w:rPr>
                <w:rFonts w:ascii="宋体" w:hAnsi="宋体" w:cs="宋体"/>
                <w:color w:val="000000"/>
                <w:kern w:val="0"/>
                <w:szCs w:val="21"/>
              </w:rPr>
            </w:pPr>
          </w:p>
        </w:tc>
        <w:tc>
          <w:tcPr>
            <w:tcW w:w="851" w:type="dxa"/>
            <w:vMerge w:val="continue"/>
            <w:vAlign w:val="center"/>
          </w:tcPr>
          <w:p>
            <w:pPr>
              <w:widowControl/>
              <w:spacing w:line="360" w:lineRule="auto"/>
              <w:jc w:val="center"/>
              <w:textAlignment w:val="center"/>
              <w:rPr>
                <w:rFonts w:ascii="宋体" w:hAnsi="宋体" w:cs="宋体"/>
                <w:color w:val="000000"/>
                <w:kern w:val="0"/>
                <w:szCs w:val="21"/>
              </w:rPr>
            </w:pPr>
          </w:p>
        </w:tc>
        <w:tc>
          <w:tcPr>
            <w:tcW w:w="850" w:type="dxa"/>
            <w:vMerge w:val="continue"/>
          </w:tcPr>
          <w:p>
            <w:pPr>
              <w:widowControl/>
              <w:spacing w:line="360" w:lineRule="auto"/>
              <w:jc w:val="center"/>
              <w:textAlignment w:val="center"/>
              <w:rPr>
                <w:rFonts w:ascii="宋体" w:hAnsi="宋体" w:cs="宋体"/>
                <w:color w:val="000000"/>
                <w:kern w:val="0"/>
                <w:szCs w:val="21"/>
              </w:rPr>
            </w:pPr>
          </w:p>
        </w:tc>
        <w:tc>
          <w:tcPr>
            <w:tcW w:w="704" w:type="dxa"/>
          </w:tcPr>
          <w:p>
            <w:pPr>
              <w:widowControl/>
              <w:spacing w:line="360" w:lineRule="auto"/>
              <w:jc w:val="center"/>
              <w:textAlignment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1195" w:type="dxa"/>
            <w:gridSpan w:val="2"/>
            <w:vAlign w:val="center"/>
          </w:tcPr>
          <w:p>
            <w:pPr>
              <w:widowControl/>
              <w:spacing w:before="156" w:beforeLines="50" w:after="156" w:afterLines="50"/>
              <w:jc w:val="center"/>
              <w:rPr>
                <w:rFonts w:ascii="宋体" w:hAnsi="宋体" w:cs="宋体"/>
                <w:b/>
                <w:bCs/>
                <w:kern w:val="0"/>
                <w:szCs w:val="21"/>
                <w:lang w:bidi="en-US"/>
              </w:rPr>
            </w:pPr>
            <w:r>
              <w:rPr>
                <w:rFonts w:hint="eastAsia" w:ascii="宋体" w:hAnsi="宋体" w:cs="宋体"/>
                <w:b/>
                <w:bCs/>
                <w:kern w:val="0"/>
                <w:szCs w:val="21"/>
                <w:lang w:bidi="en-US"/>
              </w:rPr>
              <w:t>合计：</w:t>
            </w:r>
          </w:p>
        </w:tc>
        <w:tc>
          <w:tcPr>
            <w:tcW w:w="8298" w:type="dxa"/>
            <w:gridSpan w:val="8"/>
            <w:vAlign w:val="center"/>
          </w:tcPr>
          <w:p>
            <w:pPr>
              <w:widowControl/>
              <w:spacing w:before="156" w:beforeLines="50" w:after="156" w:afterLines="50"/>
              <w:jc w:val="center"/>
              <w:rPr>
                <w:rFonts w:ascii="宋体" w:hAnsi="宋体" w:cs="宋体"/>
                <w:b/>
                <w:bCs/>
                <w:kern w:val="0"/>
                <w:szCs w:val="21"/>
                <w:lang w:bidi="en-US"/>
              </w:rPr>
            </w:pPr>
            <w:r>
              <w:rPr>
                <w:rFonts w:hint="eastAsia" w:ascii="宋体" w:hAnsi="宋体" w:cs="宋体"/>
                <w:b/>
                <w:bCs/>
                <w:kern w:val="0"/>
                <w:szCs w:val="21"/>
                <w:lang w:bidi="en-US"/>
              </w:rPr>
              <w:t>人民币</w:t>
            </w:r>
            <w:r>
              <w:rPr>
                <w:rFonts w:ascii="宋体" w:hAnsi="宋体" w:cs="宋体"/>
                <w:b/>
                <w:bCs/>
                <w:kern w:val="0"/>
                <w:szCs w:val="21"/>
                <w:u w:val="single"/>
                <w:lang w:bidi="en-US"/>
              </w:rPr>
              <w:t xml:space="preserve">          </w:t>
            </w:r>
            <w:r>
              <w:rPr>
                <w:rFonts w:hint="eastAsia" w:ascii="宋体" w:hAnsi="宋体" w:cs="宋体"/>
                <w:b/>
                <w:bCs/>
                <w:kern w:val="0"/>
                <w:szCs w:val="21"/>
                <w:lang w:bidi="en-US"/>
              </w:rPr>
              <w:t>元（小写）；</w:t>
            </w:r>
            <w:r>
              <w:rPr>
                <w:rFonts w:ascii="宋体" w:hAnsi="宋体" w:cs="宋体"/>
                <w:b/>
                <w:bCs/>
                <w:kern w:val="0"/>
                <w:szCs w:val="21"/>
                <w:u w:val="single"/>
                <w:lang w:bidi="en-US"/>
              </w:rPr>
              <w:t xml:space="preserve">          </w:t>
            </w:r>
            <w:r>
              <w:rPr>
                <w:rFonts w:hint="eastAsia" w:ascii="宋体" w:hAnsi="宋体" w:cs="宋体"/>
                <w:b/>
                <w:bCs/>
                <w:kern w:val="0"/>
                <w:szCs w:val="21"/>
                <w:lang w:bidi="en-US"/>
              </w:rPr>
              <w:t>元（大写）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1" w:hRule="atLeast"/>
          <w:jc w:val="center"/>
        </w:trPr>
        <w:tc>
          <w:tcPr>
            <w:tcW w:w="1195" w:type="dxa"/>
            <w:gridSpan w:val="2"/>
            <w:vAlign w:val="center"/>
          </w:tcPr>
          <w:p>
            <w:pPr>
              <w:widowControl/>
              <w:jc w:val="center"/>
              <w:rPr>
                <w:rFonts w:ascii="宋体" w:hAnsi="宋体"/>
                <w:b/>
                <w:bCs/>
                <w:kern w:val="0"/>
                <w:szCs w:val="21"/>
                <w:lang w:bidi="en-US"/>
              </w:rPr>
            </w:pPr>
            <w:r>
              <w:rPr>
                <w:rFonts w:hint="eastAsia" w:ascii="宋体" w:hAnsi="宋体"/>
                <w:b/>
                <w:bCs/>
                <w:kern w:val="0"/>
                <w:szCs w:val="21"/>
                <w:lang w:bidi="en-US"/>
              </w:rPr>
              <w:t>发票类型及税率</w:t>
            </w:r>
          </w:p>
        </w:tc>
        <w:tc>
          <w:tcPr>
            <w:tcW w:w="8298" w:type="dxa"/>
            <w:gridSpan w:val="8"/>
            <w:vAlign w:val="center"/>
          </w:tcPr>
          <w:p>
            <w:pPr>
              <w:widowControl/>
              <w:rPr>
                <w:rFonts w:ascii="宋体" w:hAnsi="宋体"/>
                <w:kern w:val="0"/>
                <w:szCs w:val="21"/>
                <w:lang w:bidi="en-US"/>
              </w:rPr>
            </w:pPr>
            <w:r>
              <w:rPr>
                <w:rFonts w:hint="eastAsia" w:ascii="宋体" w:hAnsi="宋体"/>
                <w:kern w:val="0"/>
                <w:szCs w:val="21"/>
                <w:lang w:bidi="en-US"/>
              </w:rPr>
              <w:t>发票类型：增值税专用发票</w:t>
            </w:r>
          </w:p>
          <w:p>
            <w:pPr>
              <w:widowControl/>
              <w:rPr>
                <w:rFonts w:ascii="宋体" w:hAnsi="宋体"/>
                <w:kern w:val="0"/>
                <w:szCs w:val="21"/>
                <w:lang w:bidi="en-US"/>
              </w:rPr>
            </w:pPr>
            <w:r>
              <w:rPr>
                <w:rFonts w:hint="eastAsia" w:ascii="宋体" w:hAnsi="宋体"/>
                <w:kern w:val="0"/>
                <w:szCs w:val="21"/>
                <w:lang w:bidi="en-US"/>
              </w:rPr>
              <w:t>服务类</w:t>
            </w:r>
          </w:p>
          <w:p>
            <w:pPr>
              <w:widowControl/>
              <w:rPr>
                <w:rFonts w:ascii="宋体" w:hAnsi="宋体" w:cs="宋体"/>
                <w:bCs/>
                <w:kern w:val="0"/>
                <w:szCs w:val="21"/>
              </w:rPr>
            </w:pPr>
            <w:r>
              <w:rPr>
                <w:rFonts w:hint="eastAsia" w:ascii="宋体" w:hAnsi="宋体" w:cs="宋体"/>
                <w:bCs/>
                <w:kern w:val="0"/>
                <w:szCs w:val="21"/>
              </w:rPr>
              <w:t>发票类型：增值税专用发票，税率：6%</w:t>
            </w:r>
          </w:p>
          <w:p>
            <w:pPr>
              <w:widowControl/>
              <w:rPr>
                <w:rFonts w:ascii="宋体" w:hAnsi="宋体"/>
                <w:kern w:val="0"/>
                <w:szCs w:val="21"/>
                <w:lang w:bidi="en-US"/>
              </w:rPr>
            </w:pPr>
            <w:r>
              <w:rPr>
                <w:rFonts w:hint="eastAsia" w:ascii="宋体" w:hAnsi="宋体"/>
                <w:kern w:val="0"/>
                <w:szCs w:val="21"/>
                <w:lang w:bidi="en-US"/>
              </w:rPr>
              <w:t>货物类</w:t>
            </w:r>
          </w:p>
          <w:p>
            <w:pPr>
              <w:widowControl/>
              <w:rPr>
                <w:rFonts w:ascii="宋体" w:hAnsi="宋体"/>
                <w:kern w:val="0"/>
                <w:szCs w:val="21"/>
                <w:lang w:bidi="en-US"/>
              </w:rPr>
            </w:pPr>
            <w:r>
              <w:rPr>
                <w:rFonts w:hint="eastAsia" w:ascii="宋体" w:hAnsi="宋体" w:cs="宋体"/>
                <w:bCs/>
                <w:kern w:val="0"/>
                <w:szCs w:val="21"/>
              </w:rPr>
              <w:t>发票类型：增值税专用发票，税率：13%</w:t>
            </w:r>
          </w:p>
        </w:tc>
      </w:tr>
    </w:tbl>
    <w:p>
      <w:pPr>
        <w:spacing w:line="360" w:lineRule="auto"/>
        <w:jc w:val="left"/>
        <w:rPr>
          <w:rFonts w:ascii="宋体" w:hAnsi="宋体" w:cs="宋体"/>
          <w:color w:val="000000" w:themeColor="text1"/>
          <w:kern w:val="0"/>
          <w:szCs w:val="21"/>
        </w:rPr>
      </w:pPr>
    </w:p>
    <w:p>
      <w:pPr>
        <w:spacing w:line="360" w:lineRule="auto"/>
        <w:jc w:val="left"/>
        <w:rPr>
          <w:rFonts w:ascii="宋体" w:hAnsi="宋体" w:cs="宋体"/>
          <w:color w:val="000000" w:themeColor="text1"/>
          <w:kern w:val="0"/>
          <w:szCs w:val="21"/>
        </w:rPr>
      </w:pPr>
      <w:r>
        <w:rPr>
          <w:rFonts w:hint="eastAsia" w:ascii="宋体" w:hAnsi="宋体" w:cs="宋体"/>
          <w:color w:val="000000" w:themeColor="text1"/>
          <w:kern w:val="0"/>
          <w:szCs w:val="21"/>
        </w:rPr>
        <w:t>备注：</w:t>
      </w:r>
    </w:p>
    <w:p>
      <w:pPr>
        <w:spacing w:line="360" w:lineRule="auto"/>
        <w:rPr>
          <w:rFonts w:ascii="宋体" w:hAnsi="宋体" w:cs="宋体"/>
          <w:color w:val="000000" w:themeColor="text1"/>
          <w:kern w:val="0"/>
          <w:szCs w:val="21"/>
        </w:rPr>
      </w:pPr>
      <w:r>
        <w:rPr>
          <w:rFonts w:hint="eastAsia" w:ascii="宋体" w:hAnsi="宋体" w:cs="宋体"/>
          <w:color w:val="000000" w:themeColor="text1"/>
          <w:kern w:val="0"/>
          <w:szCs w:val="21"/>
        </w:rPr>
        <w:t>1、当国家税收政策调整导致增值税税率发生变化时，保持不含税单价不变，根据政策规定的适用税率调整情况，调整增值税税率、税额、含税价格以及合同结算金额。</w:t>
      </w:r>
    </w:p>
    <w:p>
      <w:pPr>
        <w:spacing w:line="360" w:lineRule="auto"/>
        <w:rPr>
          <w:rFonts w:ascii="宋体" w:hAnsi="宋体" w:cs="宋体"/>
          <w:color w:val="000000" w:themeColor="text1"/>
          <w:kern w:val="0"/>
          <w:szCs w:val="21"/>
        </w:rPr>
      </w:pPr>
      <w:r>
        <w:rPr>
          <w:rFonts w:hint="eastAsia" w:ascii="宋体" w:hAnsi="宋体" w:cs="宋体"/>
          <w:color w:val="000000" w:themeColor="text1"/>
          <w:kern w:val="0"/>
          <w:szCs w:val="21"/>
        </w:rPr>
        <w:t>2、本报价单位为人民币，单位为元，精确到个位数。</w:t>
      </w:r>
    </w:p>
    <w:p>
      <w:pPr>
        <w:spacing w:line="360" w:lineRule="auto"/>
        <w:rPr>
          <w:rFonts w:ascii="宋体" w:hAnsi="宋体" w:cs="宋体"/>
          <w:color w:val="000000" w:themeColor="text1"/>
          <w:kern w:val="0"/>
          <w:szCs w:val="21"/>
        </w:rPr>
      </w:pPr>
      <w:r>
        <w:rPr>
          <w:rFonts w:hint="eastAsia" w:ascii="宋体" w:hAnsi="宋体" w:cs="宋体"/>
          <w:color w:val="000000" w:themeColor="text1"/>
          <w:kern w:val="0"/>
          <w:szCs w:val="21"/>
        </w:rPr>
        <w:t>3、</w:t>
      </w:r>
      <w:r>
        <w:rPr>
          <w:rFonts w:hint="eastAsia"/>
          <w:color w:val="000000" w:themeColor="text1"/>
          <w:szCs w:val="21"/>
        </w:rPr>
        <w:t>供应商必须按报价表的格式填写，不得增加或删除表格内容。除单价、金额或项目要求填写的内容外，不得擅自改动报价表内容，否则将有可能影响成交结果，不推荐为成交候选人。</w:t>
      </w:r>
    </w:p>
    <w:p>
      <w:pPr>
        <w:spacing w:line="360" w:lineRule="auto"/>
        <w:rPr>
          <w:rFonts w:ascii="宋体" w:hAnsi="宋体"/>
          <w:color w:val="000000" w:themeColor="text1"/>
          <w:szCs w:val="21"/>
          <w:u w:val="single"/>
        </w:rPr>
      </w:pPr>
      <w:r>
        <w:rPr>
          <w:rFonts w:hint="eastAsia" w:ascii="宋体" w:hAnsi="宋体"/>
          <w:color w:val="000000" w:themeColor="text1"/>
          <w:spacing w:val="4"/>
          <w:szCs w:val="21"/>
        </w:rPr>
        <w:t>报价人名称（盖公章）：</w:t>
      </w:r>
    </w:p>
    <w:p>
      <w:pPr>
        <w:spacing w:line="360" w:lineRule="auto"/>
        <w:rPr>
          <w:rFonts w:ascii="宋体" w:hAnsi="宋体" w:cs="宋体"/>
          <w:color w:val="000000" w:themeColor="text1"/>
          <w:kern w:val="0"/>
          <w:szCs w:val="21"/>
        </w:rPr>
      </w:pPr>
    </w:p>
    <w:p>
      <w:pPr>
        <w:spacing w:line="360" w:lineRule="auto"/>
        <w:rPr>
          <w:rFonts w:ascii="宋体" w:hAnsi="宋体"/>
          <w:color w:val="000000" w:themeColor="text1"/>
          <w:spacing w:val="4"/>
          <w:szCs w:val="21"/>
        </w:rPr>
      </w:pPr>
      <w:r>
        <w:rPr>
          <w:rFonts w:hint="eastAsia" w:ascii="宋体" w:hAnsi="宋体"/>
          <w:color w:val="000000" w:themeColor="text1"/>
          <w:szCs w:val="21"/>
        </w:rPr>
        <w:t>法定代表人或</w:t>
      </w:r>
      <w:r>
        <w:rPr>
          <w:rFonts w:hint="eastAsia" w:ascii="宋体" w:hAnsi="宋体"/>
          <w:color w:val="000000" w:themeColor="text1"/>
          <w:spacing w:val="4"/>
          <w:szCs w:val="21"/>
        </w:rPr>
        <w:t>报价人</w:t>
      </w:r>
      <w:r>
        <w:rPr>
          <w:rFonts w:hint="eastAsia" w:ascii="宋体" w:hAnsi="宋体"/>
          <w:color w:val="000000" w:themeColor="text1"/>
          <w:szCs w:val="21"/>
        </w:rPr>
        <w:t>授权代表（</w:t>
      </w:r>
      <w:r>
        <w:rPr>
          <w:rFonts w:hint="eastAsia" w:ascii="宋体" w:hAnsi="宋体" w:cs="宋体"/>
          <w:color w:val="000000" w:themeColor="text1"/>
          <w:szCs w:val="21"/>
          <w:lang w:eastAsia="zh-TW"/>
        </w:rPr>
        <w:t>签署本人姓名（或印盖本人姓名章）</w:t>
      </w:r>
      <w:r>
        <w:rPr>
          <w:rFonts w:hint="eastAsia" w:ascii="宋体" w:hAnsi="宋体"/>
          <w:color w:val="000000" w:themeColor="text1"/>
          <w:szCs w:val="21"/>
        </w:rPr>
        <w:t>）</w:t>
      </w:r>
      <w:r>
        <w:rPr>
          <w:rFonts w:hint="eastAsia" w:ascii="宋体" w:hAnsi="宋体"/>
          <w:color w:val="000000" w:themeColor="text1"/>
          <w:spacing w:val="4"/>
          <w:szCs w:val="21"/>
        </w:rPr>
        <w:t>：</w:t>
      </w:r>
    </w:p>
    <w:p>
      <w:pPr>
        <w:spacing w:line="360" w:lineRule="auto"/>
        <w:rPr>
          <w:rFonts w:ascii="宋体" w:hAnsi="宋体"/>
          <w:color w:val="000000" w:themeColor="text1"/>
          <w:spacing w:val="4"/>
          <w:szCs w:val="21"/>
        </w:rPr>
      </w:pPr>
    </w:p>
    <w:p>
      <w:pPr>
        <w:spacing w:line="360" w:lineRule="auto"/>
        <w:rPr>
          <w:rFonts w:ascii="宋体" w:hAnsi="宋体"/>
          <w:color w:val="000000" w:themeColor="text1"/>
          <w:szCs w:val="21"/>
        </w:rPr>
      </w:pPr>
      <w:r>
        <w:rPr>
          <w:rFonts w:hint="eastAsia" w:ascii="宋体" w:hAnsi="宋体"/>
          <w:color w:val="000000" w:themeColor="text1"/>
          <w:spacing w:val="4"/>
          <w:szCs w:val="21"/>
        </w:rPr>
        <w:t>日期：</w:t>
      </w:r>
      <w:r>
        <w:rPr>
          <w:rFonts w:ascii="宋体" w:hAnsi="宋体"/>
          <w:color w:val="000000" w:themeColor="text1"/>
        </w:rPr>
        <w:br w:type="page"/>
      </w:r>
    </w:p>
    <w:p>
      <w:pPr>
        <w:pStyle w:val="3"/>
        <w:spacing w:before="156" w:after="156"/>
        <w:jc w:val="center"/>
        <w:rPr>
          <w:rFonts w:ascii="宋体" w:hAnsi="宋体" w:eastAsia="宋体"/>
          <w:color w:val="000000" w:themeColor="text1"/>
        </w:rPr>
      </w:pPr>
      <w:r>
        <w:rPr>
          <w:rFonts w:hint="eastAsia" w:ascii="宋体" w:hAnsi="宋体" w:eastAsia="宋体"/>
          <w:color w:val="000000" w:themeColor="text1"/>
        </w:rPr>
        <w:t>供应商资格声明函</w:t>
      </w:r>
    </w:p>
    <w:p>
      <w:pPr>
        <w:rPr>
          <w:rFonts w:ascii="宋体" w:hAnsi="宋体"/>
          <w:b/>
          <w:color w:val="000000" w:themeColor="text1"/>
        </w:rPr>
      </w:pPr>
    </w:p>
    <w:p>
      <w:pPr>
        <w:autoSpaceDE w:val="0"/>
        <w:autoSpaceDN w:val="0"/>
        <w:adjustRightInd w:val="0"/>
        <w:snapToGrid w:val="0"/>
        <w:spacing w:line="360" w:lineRule="auto"/>
        <w:rPr>
          <w:rFonts w:ascii="宋体" w:hAnsi="宋体"/>
          <w:b/>
          <w:color w:val="000000" w:themeColor="text1"/>
          <w:szCs w:val="21"/>
        </w:rPr>
      </w:pPr>
      <w:r>
        <w:rPr>
          <w:rFonts w:hint="eastAsia" w:ascii="宋体" w:hAnsi="宋体"/>
          <w:b/>
          <w:color w:val="000000" w:themeColor="text1"/>
          <w:szCs w:val="21"/>
        </w:rPr>
        <w:t>致：</w:t>
      </w:r>
      <w:r>
        <w:rPr>
          <w:rFonts w:hint="eastAsia" w:ascii="宋体" w:hAnsi="宋体" w:cs="宋体"/>
          <w:b/>
          <w:bCs/>
          <w:color w:val="000000" w:themeColor="text1"/>
          <w:szCs w:val="21"/>
        </w:rPr>
        <w:t>广东省广播电视网络股份有限公司佛山顺德分公司</w:t>
      </w:r>
      <w:r>
        <w:rPr>
          <w:rFonts w:hint="eastAsia" w:ascii="宋体" w:hAnsi="宋体"/>
          <w:b/>
          <w:color w:val="000000" w:themeColor="text1"/>
          <w:szCs w:val="21"/>
        </w:rPr>
        <w:t>、采联国际招标采购集团有限公司</w:t>
      </w:r>
    </w:p>
    <w:p>
      <w:pPr>
        <w:autoSpaceDE w:val="0"/>
        <w:autoSpaceDN w:val="0"/>
        <w:adjustRightInd w:val="0"/>
        <w:snapToGrid w:val="0"/>
        <w:spacing w:line="360" w:lineRule="auto"/>
        <w:rPr>
          <w:rFonts w:ascii="宋体" w:hAnsi="宋体"/>
          <w:b/>
          <w:color w:val="000000" w:themeColor="text1"/>
          <w:szCs w:val="21"/>
        </w:rPr>
      </w:pPr>
    </w:p>
    <w:p>
      <w:pPr>
        <w:snapToGrid w:val="0"/>
        <w:spacing w:line="360" w:lineRule="auto"/>
        <w:ind w:firstLine="424" w:firstLineChars="202"/>
        <w:rPr>
          <w:rFonts w:ascii="宋体" w:hAnsi="宋体"/>
          <w:color w:val="000000" w:themeColor="text1"/>
        </w:rPr>
      </w:pPr>
      <w:r>
        <w:rPr>
          <w:rFonts w:hint="eastAsia" w:ascii="宋体" w:hAnsi="宋体"/>
          <w:color w:val="000000" w:themeColor="text1"/>
          <w:szCs w:val="21"/>
        </w:rPr>
        <w:t>关于贵单位、贵司发布</w:t>
      </w:r>
      <w:r>
        <w:rPr>
          <w:rFonts w:hint="eastAsia" w:ascii="宋体" w:hAnsi="宋体" w:cs="宋体"/>
          <w:b/>
          <w:bCs/>
          <w:color w:val="000000" w:themeColor="text1"/>
          <w:szCs w:val="21"/>
          <w:u w:val="single"/>
          <w:lang w:eastAsia="zh-CN"/>
        </w:rPr>
        <w:t>2024-2025年高压配电房电气设备维护服务项目（第二次竞价）</w:t>
      </w:r>
      <w:r>
        <w:rPr>
          <w:rFonts w:hint="eastAsia" w:ascii="宋体" w:hAnsi="宋体"/>
          <w:color w:val="000000" w:themeColor="text1"/>
          <w:szCs w:val="21"/>
        </w:rPr>
        <w:t>的竞价公告</w:t>
      </w:r>
      <w:r>
        <w:rPr>
          <w:rFonts w:hint="eastAsia" w:ascii="宋体" w:hAnsi="宋体"/>
          <w:color w:val="000000" w:themeColor="text1"/>
        </w:rPr>
        <w:t>，并声明：</w:t>
      </w:r>
    </w:p>
    <w:p>
      <w:pPr>
        <w:snapToGrid w:val="0"/>
        <w:spacing w:line="360" w:lineRule="auto"/>
        <w:ind w:firstLine="420" w:firstLineChars="200"/>
        <w:rPr>
          <w:rFonts w:ascii="宋体" w:hAnsi="宋体"/>
          <w:bCs/>
          <w:color w:val="000000" w:themeColor="text1"/>
          <w:szCs w:val="20"/>
        </w:rPr>
      </w:pPr>
      <w:r>
        <w:rPr>
          <w:rFonts w:hint="eastAsia" w:ascii="宋体" w:hAnsi="宋体"/>
          <w:color w:val="000000" w:themeColor="text1"/>
        </w:rPr>
        <w:t>一、本公司（企业）</w:t>
      </w:r>
      <w:r>
        <w:rPr>
          <w:rFonts w:hint="eastAsia" w:ascii="宋体" w:hAnsi="宋体"/>
          <w:bCs/>
          <w:color w:val="000000" w:themeColor="text1"/>
          <w:szCs w:val="20"/>
        </w:rPr>
        <w:t>具备《中华人民共和国政府采购法》第二十二条规定的条件：</w:t>
      </w:r>
    </w:p>
    <w:p>
      <w:pPr>
        <w:widowControl/>
        <w:spacing w:line="360" w:lineRule="auto"/>
        <w:ind w:firstLine="360"/>
        <w:rPr>
          <w:rFonts w:ascii="宋体" w:hAnsi="宋体" w:cs="宋体"/>
          <w:color w:val="000000" w:themeColor="text1"/>
          <w:kern w:val="0"/>
          <w:szCs w:val="21"/>
        </w:rPr>
      </w:pPr>
      <w:r>
        <w:rPr>
          <w:rFonts w:hint="eastAsia" w:ascii="宋体" w:hAnsi="宋体" w:cs="宋体"/>
          <w:color w:val="000000" w:themeColor="text1"/>
          <w:kern w:val="0"/>
          <w:szCs w:val="21"/>
        </w:rPr>
        <w:t>（一）具有独立承担民事责任的能力；</w:t>
      </w:r>
    </w:p>
    <w:p>
      <w:pPr>
        <w:widowControl/>
        <w:spacing w:line="360" w:lineRule="auto"/>
        <w:ind w:firstLine="360"/>
        <w:rPr>
          <w:rFonts w:ascii="宋体" w:hAnsi="宋体" w:cs="宋体"/>
          <w:color w:val="000000" w:themeColor="text1"/>
          <w:kern w:val="0"/>
          <w:szCs w:val="21"/>
        </w:rPr>
      </w:pPr>
      <w:r>
        <w:rPr>
          <w:rFonts w:hint="eastAsia" w:ascii="宋体" w:hAnsi="宋体" w:cs="宋体"/>
          <w:color w:val="000000" w:themeColor="text1"/>
          <w:kern w:val="0"/>
          <w:szCs w:val="21"/>
        </w:rPr>
        <w:t>（二）具有良好的商业信誉和健全的财务会计制度；</w:t>
      </w:r>
      <w:r>
        <w:rPr>
          <w:rFonts w:ascii="宋体" w:hAnsi="宋体" w:cs="宋体"/>
          <w:color w:val="000000" w:themeColor="text1"/>
          <w:kern w:val="0"/>
          <w:szCs w:val="21"/>
        </w:rPr>
        <w:t xml:space="preserve"> </w:t>
      </w:r>
    </w:p>
    <w:p>
      <w:pPr>
        <w:widowControl/>
        <w:spacing w:line="360" w:lineRule="auto"/>
        <w:ind w:firstLine="360"/>
        <w:rPr>
          <w:rFonts w:ascii="宋体" w:hAnsi="宋体" w:cs="宋体"/>
          <w:color w:val="000000" w:themeColor="text1"/>
          <w:kern w:val="0"/>
          <w:szCs w:val="21"/>
        </w:rPr>
      </w:pPr>
      <w:r>
        <w:rPr>
          <w:rFonts w:hint="eastAsia" w:ascii="宋体" w:hAnsi="宋体" w:cs="宋体"/>
          <w:color w:val="000000" w:themeColor="text1"/>
          <w:kern w:val="0"/>
          <w:szCs w:val="21"/>
        </w:rPr>
        <w:t>（三）具有履行合同所必需的设备和专业技术能力；</w:t>
      </w:r>
    </w:p>
    <w:p>
      <w:pPr>
        <w:widowControl/>
        <w:spacing w:line="360" w:lineRule="auto"/>
        <w:ind w:firstLine="360"/>
        <w:rPr>
          <w:rFonts w:ascii="宋体" w:hAnsi="宋体" w:cs="宋体"/>
          <w:color w:val="000000" w:themeColor="text1"/>
          <w:kern w:val="0"/>
          <w:szCs w:val="21"/>
        </w:rPr>
      </w:pPr>
      <w:r>
        <w:rPr>
          <w:rFonts w:hint="eastAsia" w:ascii="宋体" w:hAnsi="宋体" w:cs="宋体"/>
          <w:color w:val="000000" w:themeColor="text1"/>
          <w:kern w:val="0"/>
          <w:szCs w:val="21"/>
        </w:rPr>
        <w:t>（四）有依法缴纳税收和社会保障资金的良好记录；</w:t>
      </w:r>
    </w:p>
    <w:p>
      <w:pPr>
        <w:widowControl/>
        <w:spacing w:line="360" w:lineRule="auto"/>
        <w:ind w:firstLine="360"/>
        <w:rPr>
          <w:rFonts w:ascii="宋体" w:hAnsi="宋体" w:cs="宋体"/>
          <w:color w:val="000000" w:themeColor="text1"/>
          <w:kern w:val="0"/>
          <w:szCs w:val="21"/>
        </w:rPr>
      </w:pPr>
      <w:r>
        <w:rPr>
          <w:rFonts w:hint="eastAsia" w:ascii="宋体" w:hAnsi="宋体" w:cs="宋体"/>
          <w:color w:val="000000" w:themeColor="text1"/>
          <w:kern w:val="0"/>
          <w:szCs w:val="21"/>
        </w:rPr>
        <w:t>（五）参加政府采购活动前三年内，在经营活动中没有重大违法记录；</w:t>
      </w:r>
    </w:p>
    <w:p>
      <w:pPr>
        <w:widowControl/>
        <w:spacing w:line="360" w:lineRule="auto"/>
        <w:ind w:firstLine="360"/>
        <w:rPr>
          <w:rFonts w:ascii="宋体" w:hAnsi="宋体" w:cs="宋体"/>
          <w:color w:val="000000" w:themeColor="text1"/>
          <w:kern w:val="0"/>
          <w:szCs w:val="21"/>
        </w:rPr>
      </w:pPr>
      <w:r>
        <w:rPr>
          <w:rFonts w:hint="eastAsia" w:ascii="宋体" w:hAnsi="宋体" w:cs="宋体"/>
          <w:color w:val="000000" w:themeColor="text1"/>
          <w:kern w:val="0"/>
          <w:szCs w:val="21"/>
        </w:rPr>
        <w:t>（六）法律、行政法规规定的其他条件。</w:t>
      </w:r>
    </w:p>
    <w:p>
      <w:pPr>
        <w:snapToGrid w:val="0"/>
        <w:spacing w:line="360" w:lineRule="auto"/>
        <w:ind w:firstLine="424" w:firstLineChars="202"/>
        <w:rPr>
          <w:rFonts w:ascii="宋体" w:hAnsi="宋体"/>
          <w:color w:val="000000" w:themeColor="text1"/>
        </w:rPr>
      </w:pPr>
      <w:r>
        <w:rPr>
          <w:rFonts w:hint="eastAsia" w:ascii="宋体" w:hAnsi="宋体"/>
          <w:color w:val="000000" w:themeColor="text1"/>
        </w:rPr>
        <w:t>二、本公司具有本次采购项目服务能力。</w:t>
      </w:r>
    </w:p>
    <w:p>
      <w:pPr>
        <w:snapToGrid w:val="0"/>
        <w:spacing w:line="360" w:lineRule="auto"/>
        <w:ind w:firstLine="424" w:firstLineChars="202"/>
        <w:rPr>
          <w:rFonts w:ascii="宋体" w:hAnsi="宋体"/>
          <w:color w:val="000000" w:themeColor="text1"/>
        </w:rPr>
      </w:pPr>
      <w:r>
        <w:rPr>
          <w:rFonts w:hint="eastAsia" w:ascii="宋体" w:hAnsi="宋体"/>
          <w:color w:val="000000" w:themeColor="text1"/>
        </w:rPr>
        <w:t>三、本公司有固定的经营场所，信誉良好、售后维护服务好，并且在经营活动中无严重违法记录。</w:t>
      </w:r>
    </w:p>
    <w:p>
      <w:pPr>
        <w:snapToGrid w:val="0"/>
        <w:spacing w:line="360" w:lineRule="auto"/>
        <w:ind w:firstLine="424" w:firstLineChars="202"/>
        <w:rPr>
          <w:rFonts w:ascii="宋体" w:hAnsi="宋体"/>
          <w:color w:val="000000" w:themeColor="text1"/>
        </w:rPr>
      </w:pPr>
      <w:r>
        <w:rPr>
          <w:rFonts w:hint="eastAsia" w:ascii="宋体" w:hAnsi="宋体"/>
          <w:color w:val="000000" w:themeColor="text1"/>
        </w:rPr>
        <w:t xml:space="preserve">四、本公司不存在下列情形之一：被责令停业的；被暂停或取消投标资格的；财产被接管或冻结的；在最近三年内有骗取中标或严重违约的；在投标过程中因重大违规被采购人处罚的；在“信用中国”（www.creditchina.gov.cn）、中国政府采购网www.ccgp.gov.cn）被列入失信被执行人、重大税收违法失信主体、政府采购严重违法失信行为记录名单。本公司不分包或转包，不联合体参加本次采购项目。 </w:t>
      </w:r>
    </w:p>
    <w:p>
      <w:pPr>
        <w:snapToGrid w:val="0"/>
        <w:spacing w:line="360" w:lineRule="auto"/>
        <w:ind w:firstLine="424" w:firstLineChars="202"/>
        <w:rPr>
          <w:rFonts w:ascii="宋体" w:hAnsi="宋体"/>
          <w:color w:val="000000" w:themeColor="text1"/>
        </w:rPr>
      </w:pPr>
      <w:r>
        <w:rPr>
          <w:rFonts w:hint="eastAsia" w:ascii="宋体" w:hAnsi="宋体"/>
          <w:color w:val="000000" w:themeColor="text1"/>
        </w:rPr>
        <w:t>本公司（企业）承诺在本次采购活动中，如有违法、违规</w:t>
      </w:r>
      <w:r>
        <w:rPr>
          <w:rFonts w:hint="eastAsia" w:ascii="宋体" w:hAnsi="宋体"/>
          <w:color w:val="000000" w:themeColor="text1"/>
          <w:szCs w:val="21"/>
        </w:rPr>
        <w:t>、</w:t>
      </w:r>
      <w:r>
        <w:rPr>
          <w:rFonts w:hint="eastAsia" w:ascii="宋体" w:hAnsi="宋体"/>
          <w:color w:val="000000" w:themeColor="text1"/>
        </w:rPr>
        <w:t>弄虚作假行为，所造成的损失、不良后果及法律责任，一律由我公司（企业）承担。</w:t>
      </w:r>
    </w:p>
    <w:p>
      <w:pPr>
        <w:spacing w:line="360" w:lineRule="auto"/>
        <w:ind w:firstLine="420"/>
        <w:rPr>
          <w:rFonts w:ascii="宋体" w:hAnsi="宋体"/>
          <w:color w:val="000000" w:themeColor="text1"/>
        </w:rPr>
      </w:pPr>
      <w:r>
        <w:rPr>
          <w:rFonts w:hint="eastAsia" w:ascii="宋体" w:hAnsi="宋体"/>
          <w:color w:val="000000" w:themeColor="text1"/>
        </w:rPr>
        <w:t>特此声明！</w:t>
      </w:r>
    </w:p>
    <w:p>
      <w:pPr>
        <w:autoSpaceDE w:val="0"/>
        <w:autoSpaceDN w:val="0"/>
        <w:adjustRightInd w:val="0"/>
        <w:spacing w:line="360" w:lineRule="auto"/>
        <w:ind w:firstLine="413" w:firstLineChars="196"/>
        <w:rPr>
          <w:rFonts w:ascii="宋体" w:hAnsi="宋体"/>
          <w:b/>
          <w:color w:val="000000" w:themeColor="text1"/>
        </w:rPr>
      </w:pPr>
      <w:r>
        <w:rPr>
          <w:rFonts w:hint="eastAsia" w:ascii="宋体" w:hAnsi="宋体"/>
          <w:b/>
          <w:color w:val="000000" w:themeColor="text1"/>
        </w:rPr>
        <w:t>备注：</w:t>
      </w:r>
    </w:p>
    <w:p>
      <w:pPr>
        <w:pStyle w:val="48"/>
        <w:numPr>
          <w:ilvl w:val="0"/>
          <w:numId w:val="33"/>
        </w:numPr>
      </w:pPr>
      <w:r>
        <w:rPr>
          <w:rFonts w:hint="eastAsia"/>
        </w:rPr>
        <w:t>本声明函必须提供且内容不得擅自删改，否则视为响应无效。</w:t>
      </w:r>
    </w:p>
    <w:p>
      <w:pPr>
        <w:pStyle w:val="48"/>
        <w:numPr>
          <w:ilvl w:val="0"/>
          <w:numId w:val="33"/>
        </w:numPr>
      </w:pPr>
      <w:r>
        <w:rPr>
          <w:rFonts w:hint="eastAsia"/>
        </w:rPr>
        <w:t>本声明函如有虚假或与事实不符的，作无效报价处理。</w:t>
      </w:r>
    </w:p>
    <w:p>
      <w:pPr>
        <w:widowControl/>
        <w:spacing w:line="360" w:lineRule="auto"/>
        <w:ind w:left="840"/>
        <w:jc w:val="left"/>
        <w:rPr>
          <w:rFonts w:ascii="宋体" w:hAnsi="宋体"/>
          <w:b/>
          <w:bCs/>
          <w:color w:val="000000" w:themeColor="text1"/>
          <w:kern w:val="0"/>
          <w:sz w:val="32"/>
          <w:szCs w:val="32"/>
        </w:rPr>
      </w:pPr>
    </w:p>
    <w:p>
      <w:pPr>
        <w:pStyle w:val="48"/>
        <w:numPr>
          <w:ilvl w:val="0"/>
          <w:numId w:val="0"/>
        </w:numPr>
        <w:ind w:left="780"/>
        <w:jc w:val="right"/>
        <w:rPr>
          <w:u w:val="single"/>
        </w:rPr>
      </w:pPr>
      <w:r>
        <w:rPr>
          <w:rFonts w:hint="eastAsia"/>
        </w:rPr>
        <w:t>供应商名称（单位盖公章）：</w:t>
      </w:r>
      <w:r>
        <w:rPr>
          <w:rFonts w:hint="eastAsia"/>
          <w:u w:val="single"/>
        </w:rPr>
        <w:t xml:space="preserve">          </w:t>
      </w:r>
    </w:p>
    <w:p>
      <w:pPr>
        <w:pStyle w:val="48"/>
        <w:numPr>
          <w:ilvl w:val="0"/>
          <w:numId w:val="0"/>
        </w:numPr>
        <w:ind w:left="780"/>
        <w:jc w:val="right"/>
        <w:rPr>
          <w:rFonts w:hint="eastAsia"/>
        </w:rPr>
      </w:pPr>
    </w:p>
    <w:p>
      <w:pPr>
        <w:wordWrap w:val="0"/>
        <w:spacing w:line="360" w:lineRule="auto"/>
        <w:ind w:left="840"/>
        <w:jc w:val="right"/>
        <w:rPr>
          <w:rFonts w:ascii="宋体" w:hAnsi="宋体"/>
          <w:color w:val="000000" w:themeColor="text1"/>
          <w:szCs w:val="21"/>
          <w:u w:val="single"/>
        </w:rPr>
      </w:pPr>
      <w:r>
        <w:rPr>
          <w:rFonts w:hint="eastAsia" w:ascii="宋体" w:hAnsi="宋体"/>
          <w:color w:val="000000" w:themeColor="text1"/>
          <w:spacing w:val="4"/>
          <w:szCs w:val="21"/>
        </w:rPr>
        <w:t>日期：</w:t>
      </w:r>
      <w:r>
        <w:rPr>
          <w:rFonts w:hint="eastAsia" w:ascii="宋体" w:hAnsi="宋体"/>
          <w:color w:val="000000" w:themeColor="text1"/>
          <w:spacing w:val="4"/>
          <w:szCs w:val="21"/>
          <w:u w:val="single"/>
        </w:rPr>
        <w:t xml:space="preserve">          </w:t>
      </w:r>
    </w:p>
    <w:p>
      <w:pPr>
        <w:autoSpaceDE w:val="0"/>
        <w:autoSpaceDN w:val="0"/>
        <w:adjustRightInd w:val="0"/>
        <w:spacing w:before="156" w:after="156" w:line="312" w:lineRule="auto"/>
        <w:jc w:val="center"/>
        <w:outlineLvl w:val="1"/>
        <w:rPr>
          <w:rFonts w:ascii="宋体" w:hAnsi="宋体"/>
          <w:b/>
          <w:bCs/>
          <w:color w:val="000000" w:themeColor="text1"/>
          <w:kern w:val="28"/>
          <w:sz w:val="32"/>
          <w:szCs w:val="32"/>
        </w:rPr>
      </w:pPr>
      <w:r>
        <w:rPr>
          <w:rFonts w:hint="eastAsia" w:ascii="宋体" w:hAnsi="宋体"/>
          <w:b/>
          <w:bCs/>
          <w:color w:val="000000" w:themeColor="text1"/>
          <w:kern w:val="28"/>
          <w:sz w:val="32"/>
          <w:szCs w:val="32"/>
        </w:rPr>
        <w:t>用户需求书响应声明函</w:t>
      </w:r>
    </w:p>
    <w:p>
      <w:pPr>
        <w:autoSpaceDE w:val="0"/>
        <w:autoSpaceDN w:val="0"/>
        <w:adjustRightInd w:val="0"/>
        <w:snapToGrid w:val="0"/>
        <w:spacing w:line="360" w:lineRule="auto"/>
        <w:rPr>
          <w:rFonts w:ascii="宋体" w:hAnsi="宋体"/>
          <w:b/>
          <w:color w:val="000000" w:themeColor="text1"/>
          <w:szCs w:val="21"/>
        </w:rPr>
      </w:pPr>
      <w:bookmarkStart w:id="3" w:name="_Hlk74835188"/>
      <w:bookmarkStart w:id="4" w:name="_Hlk70414952"/>
      <w:r>
        <w:rPr>
          <w:rFonts w:hint="eastAsia" w:ascii="宋体" w:hAnsi="宋体"/>
          <w:b/>
          <w:color w:val="000000" w:themeColor="text1"/>
          <w:szCs w:val="21"/>
        </w:rPr>
        <w:t>致：</w:t>
      </w:r>
      <w:r>
        <w:rPr>
          <w:rFonts w:hint="eastAsia" w:ascii="宋体" w:hAnsi="宋体" w:cs="宋体"/>
          <w:b/>
          <w:bCs/>
          <w:color w:val="000000" w:themeColor="text1"/>
          <w:szCs w:val="21"/>
        </w:rPr>
        <w:t>广东省广播电视网络股份有限公司佛山顺德分公司</w:t>
      </w:r>
      <w:r>
        <w:rPr>
          <w:rFonts w:hint="eastAsia" w:ascii="宋体" w:hAnsi="宋体"/>
          <w:b/>
          <w:color w:val="000000" w:themeColor="text1"/>
          <w:szCs w:val="21"/>
        </w:rPr>
        <w:t>、采联国际招标采购集团有限公司</w:t>
      </w:r>
    </w:p>
    <w:p>
      <w:pPr>
        <w:autoSpaceDE w:val="0"/>
        <w:autoSpaceDN w:val="0"/>
        <w:adjustRightInd w:val="0"/>
        <w:snapToGrid w:val="0"/>
        <w:spacing w:line="360" w:lineRule="auto"/>
        <w:rPr>
          <w:rFonts w:ascii="宋体" w:hAnsi="宋体"/>
          <w:b/>
          <w:color w:val="000000" w:themeColor="text1"/>
          <w:szCs w:val="21"/>
        </w:rPr>
      </w:pPr>
    </w:p>
    <w:p>
      <w:pPr>
        <w:autoSpaceDE w:val="0"/>
        <w:autoSpaceDN w:val="0"/>
        <w:adjustRightInd w:val="0"/>
        <w:snapToGrid w:val="0"/>
        <w:spacing w:line="360" w:lineRule="auto"/>
        <w:ind w:firstLine="424" w:firstLineChars="202"/>
        <w:rPr>
          <w:rFonts w:ascii="宋体" w:hAnsi="宋体"/>
          <w:color w:val="000000" w:themeColor="text1"/>
          <w:szCs w:val="21"/>
        </w:rPr>
      </w:pPr>
      <w:r>
        <w:rPr>
          <w:rFonts w:hint="eastAsia" w:ascii="宋体" w:hAnsi="宋体"/>
          <w:color w:val="000000" w:themeColor="text1"/>
          <w:szCs w:val="21"/>
        </w:rPr>
        <w:t>关于贵单位、贵司发布</w:t>
      </w:r>
      <w:r>
        <w:rPr>
          <w:rFonts w:hint="eastAsia" w:ascii="宋体" w:hAnsi="宋体" w:cs="宋体"/>
          <w:b/>
          <w:bCs/>
          <w:color w:val="000000" w:themeColor="text1"/>
          <w:szCs w:val="21"/>
          <w:u w:val="single"/>
          <w:lang w:eastAsia="zh-CN"/>
        </w:rPr>
        <w:t>2024-2025年高压配电房电气设备维护服务项目（第二次竞价）</w:t>
      </w:r>
      <w:r>
        <w:rPr>
          <w:rFonts w:hint="eastAsia" w:ascii="宋体" w:hAnsi="宋体"/>
          <w:color w:val="000000" w:themeColor="text1"/>
          <w:szCs w:val="21"/>
        </w:rPr>
        <w:t>的竞价公告</w:t>
      </w:r>
      <w:bookmarkEnd w:id="3"/>
      <w:r>
        <w:rPr>
          <w:rFonts w:hint="eastAsia" w:ascii="宋体" w:hAnsi="宋体"/>
          <w:color w:val="000000" w:themeColor="text1"/>
          <w:szCs w:val="21"/>
        </w:rPr>
        <w:t>，本公司（企业）愿意参加采购活动，并作出如下声明：</w:t>
      </w:r>
    </w:p>
    <w:bookmarkEnd w:id="4"/>
    <w:p>
      <w:pPr>
        <w:autoSpaceDE w:val="0"/>
        <w:autoSpaceDN w:val="0"/>
        <w:adjustRightInd w:val="0"/>
        <w:snapToGrid w:val="0"/>
        <w:spacing w:line="360" w:lineRule="auto"/>
        <w:ind w:firstLine="424" w:firstLineChars="202"/>
        <w:rPr>
          <w:rFonts w:ascii="宋体" w:hAnsi="宋体"/>
          <w:color w:val="000000" w:themeColor="text1"/>
          <w:szCs w:val="21"/>
        </w:rPr>
      </w:pPr>
      <w:r>
        <w:rPr>
          <w:rFonts w:hint="eastAsia" w:ascii="宋体" w:hAnsi="宋体"/>
          <w:color w:val="000000" w:themeColor="text1"/>
          <w:szCs w:val="21"/>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pPr>
        <w:autoSpaceDE w:val="0"/>
        <w:autoSpaceDN w:val="0"/>
        <w:adjustRightInd w:val="0"/>
        <w:snapToGrid w:val="0"/>
        <w:spacing w:line="360" w:lineRule="auto"/>
        <w:ind w:firstLine="424" w:firstLineChars="202"/>
        <w:rPr>
          <w:rFonts w:ascii="宋体" w:hAnsi="宋体" w:cs="宋体"/>
          <w:color w:val="000000" w:themeColor="text1"/>
          <w:szCs w:val="21"/>
        </w:rPr>
      </w:pPr>
      <w:r>
        <w:rPr>
          <w:rFonts w:hint="eastAsia" w:ascii="宋体" w:hAnsi="宋体" w:cs="宋体"/>
          <w:color w:val="000000" w:themeColor="text1"/>
          <w:szCs w:val="21"/>
        </w:rPr>
        <w:t>本公司（企业）承诺在本次采购活动中，如有违法、违规、弄虚作假行为，所造成的损失、不良后果及法律责任，一律由我公司（企业）承担。</w:t>
      </w:r>
    </w:p>
    <w:p>
      <w:pPr>
        <w:autoSpaceDE w:val="0"/>
        <w:autoSpaceDN w:val="0"/>
        <w:adjustRightInd w:val="0"/>
        <w:snapToGrid w:val="0"/>
        <w:spacing w:line="360" w:lineRule="auto"/>
        <w:rPr>
          <w:rFonts w:ascii="宋体" w:hAnsi="宋体"/>
          <w:b/>
          <w:bCs/>
          <w:color w:val="000000" w:themeColor="text1"/>
          <w:szCs w:val="21"/>
        </w:rPr>
      </w:pPr>
    </w:p>
    <w:p>
      <w:pPr>
        <w:autoSpaceDE w:val="0"/>
        <w:autoSpaceDN w:val="0"/>
        <w:adjustRightInd w:val="0"/>
        <w:snapToGrid w:val="0"/>
        <w:spacing w:line="360" w:lineRule="auto"/>
        <w:ind w:right="436" w:firstLine="3488" w:firstLineChars="1600"/>
        <w:rPr>
          <w:rFonts w:ascii="宋体" w:hAnsi="宋体"/>
          <w:color w:val="000000" w:themeColor="text1"/>
          <w:szCs w:val="21"/>
          <w:u w:val="single"/>
        </w:rPr>
      </w:pPr>
      <w:r>
        <w:rPr>
          <w:rFonts w:hint="eastAsia" w:ascii="宋体" w:hAnsi="宋体"/>
          <w:color w:val="000000" w:themeColor="text1"/>
          <w:spacing w:val="4"/>
          <w:szCs w:val="21"/>
        </w:rPr>
        <w:t>供应商名称（</w:t>
      </w:r>
      <w:r>
        <w:rPr>
          <w:rFonts w:hint="eastAsia" w:ascii="宋体" w:hAnsi="宋体"/>
          <w:color w:val="000000" w:themeColor="text1"/>
          <w:szCs w:val="21"/>
        </w:rPr>
        <w:t>单位盖</w:t>
      </w:r>
      <w:r>
        <w:rPr>
          <w:rFonts w:hint="eastAsia" w:ascii="宋体" w:hAnsi="宋体"/>
          <w:color w:val="000000" w:themeColor="text1"/>
          <w:spacing w:val="4"/>
          <w:szCs w:val="21"/>
        </w:rPr>
        <w:t>公章）：</w:t>
      </w:r>
    </w:p>
    <w:p>
      <w:pPr>
        <w:autoSpaceDE w:val="0"/>
        <w:autoSpaceDN w:val="0"/>
        <w:adjustRightInd w:val="0"/>
        <w:snapToGrid w:val="0"/>
        <w:spacing w:line="360" w:lineRule="auto"/>
        <w:ind w:firstLine="105" w:firstLineChars="50"/>
        <w:jc w:val="right"/>
        <w:rPr>
          <w:rFonts w:ascii="宋体" w:hAnsi="宋体"/>
          <w:color w:val="000000" w:themeColor="text1"/>
          <w:szCs w:val="21"/>
          <w:u w:val="single"/>
        </w:rPr>
      </w:pPr>
    </w:p>
    <w:p>
      <w:pPr>
        <w:autoSpaceDE w:val="0"/>
        <w:autoSpaceDN w:val="0"/>
        <w:adjustRightInd w:val="0"/>
        <w:snapToGrid w:val="0"/>
        <w:spacing w:line="360" w:lineRule="auto"/>
        <w:ind w:right="436" w:firstLine="2625" w:firstLineChars="1250"/>
        <w:jc w:val="center"/>
        <w:rPr>
          <w:rFonts w:ascii="宋体" w:hAnsi="宋体" w:cs="宋体"/>
          <w:color w:val="000000" w:themeColor="text1"/>
          <w:szCs w:val="21"/>
        </w:rPr>
      </w:pPr>
      <w:r>
        <w:rPr>
          <w:rFonts w:hint="eastAsia" w:ascii="宋体" w:hAnsi="宋体" w:cs="宋体"/>
          <w:color w:val="000000" w:themeColor="text1"/>
          <w:szCs w:val="21"/>
        </w:rPr>
        <w:t xml:space="preserve">           日期：</w:t>
      </w:r>
      <w:bookmarkStart w:id="5" w:name="_Toc435514863"/>
      <w:bookmarkStart w:id="6" w:name="_Toc435515303"/>
    </w:p>
    <w:bookmarkEnd w:id="5"/>
    <w:bookmarkEnd w:id="6"/>
    <w:p>
      <w:pPr>
        <w:pStyle w:val="3"/>
        <w:spacing w:before="156" w:after="156"/>
        <w:rPr>
          <w:rFonts w:ascii="宋体" w:hAnsi="宋体" w:eastAsia="宋体"/>
          <w:color w:val="000000" w:themeColor="text1"/>
          <w:sz w:val="44"/>
          <w:szCs w:val="44"/>
        </w:rPr>
        <w:sectPr>
          <w:pgSz w:w="11906" w:h="16838"/>
          <w:pgMar w:top="1440" w:right="1800" w:bottom="1440" w:left="1800" w:header="851" w:footer="992" w:gutter="0"/>
          <w:cols w:space="720" w:num="1"/>
          <w:docGrid w:type="lines" w:linePitch="312" w:charSpace="0"/>
        </w:sectPr>
      </w:pPr>
    </w:p>
    <w:p>
      <w:pPr>
        <w:pStyle w:val="3"/>
        <w:spacing w:before="156" w:after="156"/>
        <w:jc w:val="center"/>
        <w:rPr>
          <w:rFonts w:ascii="宋体" w:hAnsi="宋体" w:eastAsia="宋体"/>
          <w:sz w:val="36"/>
          <w:szCs w:val="36"/>
        </w:rPr>
      </w:pPr>
      <w:bookmarkStart w:id="7" w:name="_Toc6851"/>
      <w:bookmarkStart w:id="8" w:name="_Toc369726594"/>
      <w:r>
        <w:rPr>
          <w:rFonts w:hint="eastAsia" w:ascii="宋体" w:hAnsi="宋体" w:eastAsia="宋体"/>
          <w:sz w:val="36"/>
          <w:szCs w:val="36"/>
        </w:rPr>
        <w:t>合同书格式</w:t>
      </w:r>
      <w:bookmarkEnd w:id="7"/>
      <w:bookmarkEnd w:id="8"/>
    </w:p>
    <w:p>
      <w:pPr>
        <w:tabs>
          <w:tab w:val="left" w:pos="720"/>
        </w:tabs>
        <w:spacing w:line="360" w:lineRule="auto"/>
        <w:jc w:val="left"/>
        <w:rPr>
          <w:rFonts w:ascii="宋体" w:hAnsi="宋体"/>
          <w:b/>
        </w:rPr>
      </w:pPr>
      <w:r>
        <w:rPr>
          <w:rFonts w:hint="eastAsia"/>
          <w:b/>
          <w:sz w:val="24"/>
        </w:rPr>
        <w:t>注：本合同仅为合同的参考文本，合同签订双方可根据询价文件及成交人报价文件具体内容进行修订。</w:t>
      </w:r>
    </w:p>
    <w:p/>
    <w:p>
      <w:pPr>
        <w:spacing w:line="360" w:lineRule="auto"/>
        <w:jc w:val="right"/>
        <w:rPr>
          <w:rFonts w:ascii="宋体" w:hAnsi="宋体"/>
          <w:b/>
          <w:sz w:val="24"/>
        </w:rPr>
      </w:pPr>
      <w:r>
        <w:rPr>
          <w:rFonts w:hint="eastAsia" w:ascii="宋体" w:hAnsi="宋体"/>
          <w:b/>
          <w:sz w:val="24"/>
        </w:rPr>
        <w:t>合同编号：【</w:t>
      </w:r>
      <w:r>
        <w:rPr>
          <w:rFonts w:hint="eastAsia" w:ascii="宋体" w:hAnsi="宋体"/>
          <w:b/>
          <w:sz w:val="24"/>
        </w:rPr>
        <w:fldChar w:fldCharType="begin">
          <w:ffData>
            <w:name w:val="文字1"/>
            <w:enabled/>
            <w:calcOnExit w:val="0"/>
            <w:textInput/>
          </w:ffData>
        </w:fldChar>
      </w:r>
      <w:r>
        <w:rPr>
          <w:rFonts w:hint="eastAsia" w:ascii="宋体" w:hAnsi="宋体"/>
          <w:b/>
          <w:sz w:val="24"/>
        </w:rPr>
        <w:instrText xml:space="preserve">FORMTEXT</w:instrText>
      </w:r>
      <w:r>
        <w:rPr>
          <w:rFonts w:hint="eastAsia" w:ascii="宋体" w:hAnsi="宋体"/>
          <w:b/>
          <w:sz w:val="24"/>
        </w:rPr>
        <w:fldChar w:fldCharType="separate"/>
      </w:r>
      <w:r>
        <w:rPr>
          <w:rFonts w:hint="eastAsia" w:ascii="宋体" w:hAnsi="宋体"/>
          <w:b/>
          <w:sz w:val="24"/>
        </w:rPr>
        <w:t>     </w:t>
      </w:r>
      <w:r>
        <w:rPr>
          <w:rFonts w:hint="eastAsia" w:ascii="宋体" w:hAnsi="宋体"/>
          <w:b/>
          <w:sz w:val="24"/>
        </w:rPr>
        <w:fldChar w:fldCharType="end"/>
      </w:r>
      <w:r>
        <w:rPr>
          <w:rFonts w:hint="eastAsia" w:ascii="宋体" w:hAnsi="宋体"/>
          <w:b/>
          <w:sz w:val="24"/>
        </w:rPr>
        <w:t>】</w:t>
      </w: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tabs>
          <w:tab w:val="left" w:pos="720"/>
        </w:tabs>
        <w:spacing w:line="360" w:lineRule="auto"/>
        <w:jc w:val="left"/>
        <w:rPr>
          <w:rFonts w:ascii="宋体" w:hAnsi="宋体"/>
          <w:b/>
          <w:szCs w:val="21"/>
        </w:rPr>
      </w:pPr>
      <w:r>
        <w:rPr>
          <w:b/>
          <w:sz w:val="24"/>
        </w:rPr>
        <w:t>注：本合同仅为合同的参考文本，合同签订双方可根据</w:t>
      </w:r>
      <w:r>
        <w:rPr>
          <w:rFonts w:hint="eastAsia"/>
          <w:b/>
          <w:sz w:val="24"/>
        </w:rPr>
        <w:t>竞价</w:t>
      </w:r>
      <w:r>
        <w:rPr>
          <w:b/>
          <w:sz w:val="24"/>
        </w:rPr>
        <w:t>文件及</w:t>
      </w:r>
      <w:r>
        <w:rPr>
          <w:rFonts w:hint="eastAsia"/>
          <w:b/>
          <w:sz w:val="24"/>
        </w:rPr>
        <w:t>成交供应商报价</w:t>
      </w:r>
      <w:r>
        <w:rPr>
          <w:b/>
          <w:sz w:val="24"/>
        </w:rPr>
        <w:t>文件具体内容进行修订。</w:t>
      </w:r>
    </w:p>
    <w:p>
      <w:pPr>
        <w:jc w:val="left"/>
        <w:rPr>
          <w:rFonts w:ascii="宋体" w:hAnsi="宋体" w:cs="宋体"/>
          <w:kern w:val="0"/>
          <w:szCs w:val="21"/>
        </w:rPr>
      </w:pPr>
    </w:p>
    <w:p>
      <w:pPr>
        <w:jc w:val="left"/>
        <w:rPr>
          <w:rFonts w:ascii="宋体" w:hAnsi="宋体" w:cs="宋体"/>
          <w:kern w:val="0"/>
          <w:szCs w:val="21"/>
        </w:rPr>
      </w:pPr>
    </w:p>
    <w:p>
      <w:pPr>
        <w:jc w:val="left"/>
        <w:rPr>
          <w:rFonts w:ascii="宋体" w:hAnsi="宋体" w:cs="宋体"/>
          <w:kern w:val="0"/>
          <w:szCs w:val="21"/>
        </w:rPr>
      </w:pPr>
    </w:p>
    <w:p>
      <w:pPr>
        <w:jc w:val="left"/>
        <w:rPr>
          <w:rFonts w:ascii="宋体" w:hAnsi="宋体" w:cs="宋体"/>
          <w:kern w:val="0"/>
          <w:szCs w:val="21"/>
        </w:rPr>
      </w:pPr>
    </w:p>
    <w:p/>
    <w:p>
      <w:pPr>
        <w:spacing w:line="360" w:lineRule="auto"/>
        <w:jc w:val="center"/>
        <w:rPr>
          <w:rFonts w:ascii="黑体" w:hAnsi="黑体" w:eastAsia="黑体"/>
          <w:sz w:val="44"/>
          <w:szCs w:val="44"/>
        </w:rPr>
      </w:pPr>
      <w:r>
        <w:rPr>
          <w:rFonts w:hint="eastAsia" w:ascii="黑体" w:hAnsi="黑体" w:eastAsia="黑体"/>
          <w:sz w:val="44"/>
          <w:szCs w:val="44"/>
        </w:rPr>
        <w:t>2024-2025年高压配电房电气设备</w:t>
      </w:r>
    </w:p>
    <w:p>
      <w:pPr>
        <w:spacing w:line="360" w:lineRule="auto"/>
        <w:jc w:val="center"/>
        <w:rPr>
          <w:rFonts w:ascii="黑体" w:hAnsi="黑体" w:eastAsia="黑体"/>
          <w:sz w:val="44"/>
          <w:szCs w:val="44"/>
        </w:rPr>
      </w:pPr>
      <w:r>
        <w:rPr>
          <w:rFonts w:hint="eastAsia" w:ascii="黑体" w:hAnsi="黑体" w:eastAsia="黑体"/>
          <w:sz w:val="44"/>
          <w:szCs w:val="44"/>
        </w:rPr>
        <w:t>维护服务</w:t>
      </w:r>
      <w:r>
        <w:rPr>
          <w:rFonts w:hint="eastAsia" w:ascii="黑体" w:eastAsia="黑体"/>
          <w:sz w:val="44"/>
          <w:szCs w:val="44"/>
        </w:rPr>
        <w:t>合同</w:t>
      </w:r>
    </w:p>
    <w:p>
      <w:pPr>
        <w:widowControl/>
        <w:tabs>
          <w:tab w:val="left" w:pos="1980"/>
          <w:tab w:val="left" w:pos="2160"/>
        </w:tabs>
        <w:spacing w:line="360" w:lineRule="auto"/>
        <w:jc w:val="left"/>
        <w:rPr>
          <w:b/>
          <w:bCs/>
          <w:szCs w:val="21"/>
        </w:rPr>
      </w:pPr>
    </w:p>
    <w:p>
      <w:pPr>
        <w:widowControl/>
        <w:tabs>
          <w:tab w:val="left" w:pos="1980"/>
          <w:tab w:val="left" w:pos="2160"/>
        </w:tabs>
        <w:spacing w:line="360" w:lineRule="auto"/>
        <w:jc w:val="left"/>
        <w:rPr>
          <w:b/>
          <w:bCs/>
          <w:szCs w:val="21"/>
        </w:rPr>
      </w:pPr>
    </w:p>
    <w:p>
      <w:pPr>
        <w:widowControl/>
        <w:tabs>
          <w:tab w:val="left" w:pos="1980"/>
          <w:tab w:val="left" w:pos="2160"/>
        </w:tabs>
        <w:spacing w:line="360" w:lineRule="auto"/>
        <w:jc w:val="left"/>
        <w:rPr>
          <w:b/>
          <w:bCs/>
          <w:szCs w:val="21"/>
        </w:rPr>
      </w:pPr>
    </w:p>
    <w:p>
      <w:pPr>
        <w:widowControl/>
        <w:tabs>
          <w:tab w:val="left" w:pos="1980"/>
          <w:tab w:val="left" w:pos="2160"/>
        </w:tabs>
        <w:spacing w:line="360" w:lineRule="auto"/>
        <w:jc w:val="left"/>
        <w:rPr>
          <w:b/>
          <w:bCs/>
          <w:szCs w:val="21"/>
        </w:rPr>
      </w:pPr>
    </w:p>
    <w:p>
      <w:pPr>
        <w:widowControl/>
        <w:tabs>
          <w:tab w:val="left" w:pos="1980"/>
          <w:tab w:val="left" w:pos="2160"/>
        </w:tabs>
        <w:spacing w:line="360" w:lineRule="auto"/>
        <w:jc w:val="left"/>
        <w:rPr>
          <w:b/>
          <w:bCs/>
          <w:szCs w:val="21"/>
        </w:rPr>
      </w:pPr>
    </w:p>
    <w:p>
      <w:pPr>
        <w:widowControl/>
        <w:tabs>
          <w:tab w:val="left" w:pos="1980"/>
          <w:tab w:val="left" w:pos="2160"/>
        </w:tabs>
        <w:spacing w:line="360" w:lineRule="auto"/>
        <w:jc w:val="left"/>
        <w:rPr>
          <w:b/>
          <w:bCs/>
          <w:szCs w:val="21"/>
        </w:rPr>
      </w:pPr>
    </w:p>
    <w:p>
      <w:pPr>
        <w:spacing w:line="360" w:lineRule="auto"/>
        <w:ind w:left="1701" w:leftChars="810"/>
        <w:rPr>
          <w:rFonts w:hint="eastAsia" w:ascii="宋体" w:hAnsi="宋体" w:eastAsia="宋体"/>
          <w:b/>
          <w:bCs/>
          <w:sz w:val="24"/>
          <w:lang w:eastAsia="zh-CN"/>
        </w:rPr>
      </w:pPr>
      <w:r>
        <w:rPr>
          <w:rFonts w:hint="eastAsia" w:ascii="宋体"/>
          <w:b/>
          <w:color w:val="000000"/>
          <w:sz w:val="24"/>
        </w:rPr>
        <w:t>项目名称：</w:t>
      </w:r>
      <w:r>
        <w:rPr>
          <w:rFonts w:hint="eastAsia" w:ascii="宋体" w:hAnsi="宋体"/>
          <w:b/>
          <w:bCs/>
          <w:sz w:val="24"/>
          <w:lang w:eastAsia="zh-CN"/>
        </w:rPr>
        <w:t>2024-2025年高压配电房电气设备维护服务项目（第二次竞价）</w:t>
      </w:r>
    </w:p>
    <w:p>
      <w:pPr>
        <w:widowControl/>
        <w:tabs>
          <w:tab w:val="left" w:pos="1980"/>
          <w:tab w:val="left" w:pos="2160"/>
        </w:tabs>
        <w:spacing w:line="360" w:lineRule="auto"/>
        <w:jc w:val="left"/>
        <w:rPr>
          <w:rFonts w:ascii="宋体"/>
          <w:b/>
          <w:color w:val="000000"/>
          <w:sz w:val="24"/>
        </w:rPr>
      </w:pPr>
    </w:p>
    <w:p>
      <w:pPr>
        <w:widowControl/>
        <w:tabs>
          <w:tab w:val="left" w:pos="1980"/>
          <w:tab w:val="left" w:pos="2160"/>
        </w:tabs>
        <w:spacing w:line="360" w:lineRule="auto"/>
        <w:ind w:firstLine="1687" w:firstLineChars="700"/>
        <w:jc w:val="left"/>
        <w:rPr>
          <w:rFonts w:hint="eastAsia" w:ascii="宋体" w:eastAsia="宋体"/>
          <w:b/>
          <w:color w:val="000000"/>
          <w:sz w:val="24"/>
          <w:lang w:val="en-US" w:eastAsia="zh-CN"/>
        </w:rPr>
      </w:pPr>
      <w:r>
        <w:rPr>
          <w:rFonts w:hint="eastAsia" w:ascii="宋体"/>
          <w:b/>
          <w:color w:val="000000"/>
          <w:sz w:val="24"/>
        </w:rPr>
        <w:t>项目编号：</w:t>
      </w:r>
      <w:r>
        <w:rPr>
          <w:rFonts w:ascii="宋体"/>
          <w:b/>
          <w:color w:val="000000"/>
          <w:sz w:val="24"/>
        </w:rPr>
        <w:t>SDWW202403S079</w:t>
      </w:r>
      <w:r>
        <w:rPr>
          <w:rFonts w:hint="eastAsia" w:ascii="宋体"/>
          <w:b/>
          <w:color w:val="000000"/>
          <w:sz w:val="24"/>
          <w:lang w:val="en-US" w:eastAsia="zh-CN"/>
        </w:rPr>
        <w:t>A</w:t>
      </w:r>
      <w:bookmarkStart w:id="14" w:name="_GoBack"/>
      <w:bookmarkEnd w:id="14"/>
    </w:p>
    <w:p>
      <w:pPr>
        <w:widowControl/>
        <w:tabs>
          <w:tab w:val="left" w:pos="1980"/>
          <w:tab w:val="left" w:pos="2160"/>
        </w:tabs>
        <w:spacing w:line="360" w:lineRule="auto"/>
        <w:ind w:firstLine="4096" w:firstLineChars="1700"/>
        <w:jc w:val="left"/>
        <w:rPr>
          <w:rFonts w:ascii="宋体"/>
          <w:b/>
          <w:color w:val="000000"/>
          <w:sz w:val="24"/>
        </w:rPr>
      </w:pPr>
    </w:p>
    <w:p>
      <w:pPr>
        <w:widowControl/>
        <w:tabs>
          <w:tab w:val="left" w:pos="1980"/>
          <w:tab w:val="left" w:pos="2160"/>
        </w:tabs>
        <w:spacing w:line="360" w:lineRule="auto"/>
        <w:jc w:val="left"/>
        <w:rPr>
          <w:rFonts w:ascii="宋体" w:hAnsi="宋体" w:cs="宋体"/>
          <w:b/>
          <w:color w:val="000000"/>
          <w:szCs w:val="21"/>
        </w:rPr>
      </w:pPr>
    </w:p>
    <w:p>
      <w:pPr>
        <w:widowControl/>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甲方：广东省广播电视网络股份有限公司佛山顺德分公司</w:t>
      </w:r>
    </w:p>
    <w:p>
      <w:pPr>
        <w:widowControl/>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乙方：</w:t>
      </w:r>
    </w:p>
    <w:p>
      <w:pPr>
        <w:widowControl/>
        <w:tabs>
          <w:tab w:val="left" w:pos="1980"/>
          <w:tab w:val="left" w:pos="2160"/>
        </w:tabs>
        <w:spacing w:line="360" w:lineRule="auto"/>
        <w:ind w:firstLine="420" w:firstLineChars="200"/>
        <w:jc w:val="left"/>
        <w:rPr>
          <w:rFonts w:ascii="宋体" w:hAnsi="宋体" w:cs="宋体"/>
          <w:color w:val="000000"/>
          <w:szCs w:val="21"/>
        </w:rPr>
      </w:pPr>
      <w:r>
        <w:rPr>
          <w:rFonts w:hint="eastAsia" w:ascii="宋体" w:hAnsi="宋体" w:cs="宋体"/>
          <w:color w:val="000000"/>
          <w:szCs w:val="21"/>
        </w:rPr>
        <w:t>为加强电气设备及其相关设施（以下简称电气设备设施）的运行管理，减少电气设备设施故障造成的损失，保证用电质量和提高电网运行的可靠性，</w:t>
      </w:r>
      <w:r>
        <w:rPr>
          <w:rFonts w:hint="eastAsia" w:ascii="宋体" w:hAnsi="宋体" w:cs="宋体"/>
          <w:szCs w:val="21"/>
        </w:rPr>
        <w:t>甲乙双方按照</w:t>
      </w:r>
      <w:r>
        <w:rPr>
          <w:rFonts w:hint="eastAsia" w:ascii="宋体" w:hAnsi="宋体" w:cs="宋体"/>
          <w:bCs/>
          <w:szCs w:val="21"/>
          <w:lang w:eastAsia="zh-CN"/>
        </w:rPr>
        <w:t>2024-2025年高压配电房电气设备维护服务项目（第二次竞价）</w:t>
      </w:r>
      <w:r>
        <w:rPr>
          <w:rFonts w:hint="eastAsia" w:ascii="宋体" w:hAnsi="宋体" w:cs="宋体"/>
          <w:szCs w:val="21"/>
        </w:rPr>
        <w:t>（采购编号： ）采购文件的要求以及</w:t>
      </w:r>
      <w:r>
        <w:rPr>
          <w:rFonts w:hint="eastAsia" w:ascii="宋体" w:hAnsi="宋体" w:cs="宋体"/>
          <w:color w:val="000000"/>
          <w:szCs w:val="21"/>
        </w:rPr>
        <w:t>和有关电力政策法规，在平等、自愿、协商一致的基础上，就甲方委托乙方对其电气设备设施实行专业化、一体化管理的有关事宜，订立本合同。</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电房座落位置：</w:t>
      </w:r>
    </w:p>
    <w:p>
      <w:pPr>
        <w:widowControl/>
        <w:tabs>
          <w:tab w:val="left" w:pos="1980"/>
          <w:tab w:val="left" w:pos="2160"/>
        </w:tabs>
        <w:spacing w:line="360" w:lineRule="auto"/>
        <w:jc w:val="left"/>
        <w:rPr>
          <w:rFonts w:ascii="宋体" w:hAnsi="宋体" w:cs="宋体"/>
          <w:szCs w:val="21"/>
        </w:rPr>
      </w:pPr>
      <w:r>
        <w:rPr>
          <w:rFonts w:hint="eastAsia" w:ascii="宋体" w:hAnsi="宋体" w:cs="宋体"/>
          <w:szCs w:val="21"/>
        </w:rPr>
        <w:t>佛山市顺德区大良延年路11-2；</w:t>
      </w:r>
    </w:p>
    <w:p>
      <w:pPr>
        <w:widowControl/>
        <w:tabs>
          <w:tab w:val="left" w:pos="1980"/>
          <w:tab w:val="left" w:pos="2160"/>
        </w:tabs>
        <w:spacing w:line="360" w:lineRule="auto"/>
        <w:jc w:val="left"/>
        <w:rPr>
          <w:rFonts w:ascii="宋体" w:hAnsi="宋体" w:cs="宋体"/>
          <w:szCs w:val="21"/>
        </w:rPr>
      </w:pPr>
      <w:r>
        <w:rPr>
          <w:rFonts w:hint="eastAsia" w:ascii="宋体" w:hAnsi="宋体" w:cs="宋体"/>
          <w:szCs w:val="21"/>
        </w:rPr>
        <w:t>佛山市顺德区均安百安北路11号；</w:t>
      </w:r>
    </w:p>
    <w:p>
      <w:pPr>
        <w:widowControl/>
        <w:tabs>
          <w:tab w:val="left" w:pos="1980"/>
          <w:tab w:val="left" w:pos="2160"/>
        </w:tabs>
        <w:spacing w:line="360" w:lineRule="auto"/>
        <w:jc w:val="left"/>
        <w:rPr>
          <w:rFonts w:ascii="宋体" w:hAnsi="宋体" w:cs="宋体"/>
          <w:szCs w:val="21"/>
        </w:rPr>
      </w:pPr>
      <w:r>
        <w:rPr>
          <w:rFonts w:hint="eastAsia" w:ascii="宋体" w:hAnsi="宋体" w:cs="宋体"/>
          <w:szCs w:val="21"/>
        </w:rPr>
        <w:t>佛山市顺德区龙江文华路广播电视大楼。</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合同期：合同期为二年，自双方签字盖章生效之日起计算。</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投入本项目的维护人员要求：维护人员要获得《高压电工进网作业许可证》资格证书。（提供投入本项目维护人员的相关证书复印件）。</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甲方委托乙方维护的范围是专用变压器客户与供电部门的产权分界点到配电房低压出线柜出线开关之间连接的电气设备，具体包括：</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高压柜（ 6）面的巡视、维护、检修；</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低压柜（ 12 ）面的巡视、维护、检修；</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电容柜（ 5 ）面的巡视、维护、检修；</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油浸式变压器（ 2 ）台的巡视、维护、检修，容量：315kVA、80kVA；</w:t>
      </w:r>
      <w:r>
        <w:rPr>
          <w:rFonts w:hint="eastAsia" w:ascii="宋体" w:hAnsi="宋体" w:cs="宋体"/>
          <w:szCs w:val="21"/>
        </w:rPr>
        <w:t>干式</w:t>
      </w:r>
      <w:r>
        <w:rPr>
          <w:rFonts w:hint="eastAsia" w:ascii="宋体" w:hAnsi="宋体" w:cs="宋体"/>
          <w:color w:val="000000"/>
          <w:szCs w:val="21"/>
        </w:rPr>
        <w:t>变压器（ 2 ）台的巡视、维护、检修，容量：800kVA、630kVA；</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高压进线电缆，共 150 米的巡视、维护、检修；</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高压设备的停、送电操作；</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高压电房（2）间的清洁、防小动物安全措施的落实；</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低压电房（3）间的清洁、防小动物安全措施的落实；</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变压器室（1）间的清洁、防小动物安全措施的落实；</w:t>
      </w:r>
    </w:p>
    <w:p>
      <w:pPr>
        <w:widowControl/>
        <w:numPr>
          <w:ilvl w:val="0"/>
          <w:numId w:val="35"/>
        </w:numPr>
        <w:tabs>
          <w:tab w:val="left" w:pos="1500"/>
          <w:tab w:val="left" w:pos="2160"/>
        </w:tabs>
        <w:spacing w:line="360" w:lineRule="auto"/>
        <w:jc w:val="left"/>
        <w:rPr>
          <w:rFonts w:ascii="宋体" w:hAnsi="宋体" w:cs="宋体"/>
          <w:color w:val="000000"/>
          <w:szCs w:val="21"/>
        </w:rPr>
      </w:pPr>
      <w:r>
        <w:rPr>
          <w:rFonts w:hint="eastAsia" w:ascii="宋体" w:hAnsi="宋体" w:cs="宋体"/>
          <w:color w:val="000000"/>
          <w:szCs w:val="21"/>
        </w:rPr>
        <w:t>服务内容：</w:t>
      </w:r>
    </w:p>
    <w:p>
      <w:pPr>
        <w:widowControl/>
        <w:spacing w:line="360" w:lineRule="auto"/>
        <w:ind w:firstLine="420" w:firstLineChars="200"/>
        <w:jc w:val="left"/>
        <w:rPr>
          <w:rFonts w:ascii="宋体" w:hAnsi="宋体" w:cs="宋体"/>
          <w:kern w:val="0"/>
          <w:szCs w:val="21"/>
        </w:rPr>
      </w:pPr>
      <w:r>
        <w:rPr>
          <w:rFonts w:hint="eastAsia" w:ascii="宋体" w:hAnsi="宋体" w:cs="宋体"/>
          <w:color w:val="000000"/>
          <w:szCs w:val="21"/>
        </w:rPr>
        <w:t>（1）每6个月1次</w:t>
      </w:r>
      <w:r>
        <w:rPr>
          <w:rFonts w:hint="eastAsia" w:ascii="宋体" w:hAnsi="宋体" w:cs="宋体"/>
          <w:kern w:val="0"/>
          <w:szCs w:val="21"/>
        </w:rPr>
        <w:t>电气设备设施停机清洁、维护保养；</w:t>
      </w:r>
    </w:p>
    <w:p>
      <w:pPr>
        <w:widowControl/>
        <w:tabs>
          <w:tab w:val="left" w:pos="1980"/>
          <w:tab w:val="left" w:pos="2160"/>
        </w:tabs>
        <w:spacing w:line="360" w:lineRule="auto"/>
        <w:ind w:firstLine="420" w:firstLineChars="200"/>
        <w:jc w:val="left"/>
        <w:rPr>
          <w:rFonts w:ascii="宋体" w:hAnsi="宋体" w:cs="宋体"/>
          <w:kern w:val="0"/>
          <w:szCs w:val="21"/>
        </w:rPr>
      </w:pPr>
      <w:r>
        <w:rPr>
          <w:rFonts w:hint="eastAsia" w:ascii="宋体" w:hAnsi="宋体" w:cs="宋体"/>
          <w:kern w:val="0"/>
          <w:szCs w:val="21"/>
        </w:rPr>
        <w:t>（2）每月1次地面清洁；</w:t>
      </w:r>
    </w:p>
    <w:p>
      <w:pPr>
        <w:widowControl/>
        <w:tabs>
          <w:tab w:val="left" w:pos="1980"/>
          <w:tab w:val="left" w:pos="2160"/>
        </w:tabs>
        <w:spacing w:line="360" w:lineRule="auto"/>
        <w:ind w:firstLine="420" w:firstLineChars="200"/>
        <w:jc w:val="left"/>
        <w:rPr>
          <w:rFonts w:ascii="宋体" w:hAnsi="宋体" w:cs="宋体"/>
          <w:kern w:val="0"/>
          <w:szCs w:val="21"/>
        </w:rPr>
      </w:pPr>
      <w:r>
        <w:rPr>
          <w:rFonts w:hint="eastAsia" w:ascii="宋体" w:hAnsi="宋体" w:cs="宋体"/>
          <w:kern w:val="0"/>
          <w:szCs w:val="21"/>
        </w:rPr>
        <w:t>（3）每周2次日常巡检并填写巡检报告，每次巡检必须是2人或2人以上进行；</w:t>
      </w:r>
    </w:p>
    <w:p>
      <w:pPr>
        <w:widowControl/>
        <w:tabs>
          <w:tab w:val="left" w:pos="1980"/>
          <w:tab w:val="left" w:pos="2160"/>
        </w:tabs>
        <w:spacing w:line="360" w:lineRule="auto"/>
        <w:ind w:firstLine="420" w:firstLineChars="200"/>
        <w:jc w:val="left"/>
        <w:rPr>
          <w:rFonts w:ascii="宋体" w:hAnsi="宋体" w:cs="宋体"/>
          <w:kern w:val="0"/>
          <w:szCs w:val="21"/>
        </w:rPr>
      </w:pPr>
      <w:r>
        <w:rPr>
          <w:rFonts w:hint="eastAsia" w:ascii="宋体" w:hAnsi="宋体" w:cs="宋体"/>
          <w:kern w:val="0"/>
          <w:szCs w:val="21"/>
        </w:rPr>
        <w:t>（4）提供7*24小时故障检修和抢修工作，并提供电话响应时间5分钟；接报后30分内到达现场；到达现场4小时内恢复设备的正常供电。</w:t>
      </w:r>
    </w:p>
    <w:p>
      <w:pPr>
        <w:widowControl/>
        <w:tabs>
          <w:tab w:val="left" w:pos="1980"/>
          <w:tab w:val="left" w:pos="2160"/>
        </w:tabs>
        <w:spacing w:line="360" w:lineRule="auto"/>
        <w:ind w:firstLine="420" w:firstLineChars="200"/>
        <w:jc w:val="left"/>
        <w:rPr>
          <w:rFonts w:ascii="宋体" w:hAnsi="宋体" w:cs="宋体"/>
          <w:kern w:val="0"/>
          <w:szCs w:val="21"/>
        </w:rPr>
      </w:pPr>
      <w:r>
        <w:rPr>
          <w:rFonts w:hint="eastAsia" w:ascii="宋体" w:hAnsi="宋体" w:cs="宋体"/>
          <w:kern w:val="0"/>
          <w:szCs w:val="21"/>
        </w:rPr>
        <w:t>（5）全年技术支持和建立维护设备技术档案，每月提交《客户电气设备月度运行报告》。</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详细维护内容</w:t>
      </w:r>
    </w:p>
    <w:p>
      <w:pPr>
        <w:pStyle w:val="32"/>
        <w:widowControl w:val="0"/>
        <w:numPr>
          <w:ilvl w:val="0"/>
          <w:numId w:val="36"/>
        </w:numPr>
        <w:spacing w:before="156" w:beforeAutospacing="0" w:after="156" w:afterAutospacing="0" w:line="360" w:lineRule="auto"/>
        <w:jc w:val="both"/>
        <w:rPr>
          <w:rFonts w:cs="宋体"/>
          <w:sz w:val="21"/>
          <w:szCs w:val="21"/>
        </w:rPr>
      </w:pPr>
      <w:r>
        <w:rPr>
          <w:rFonts w:hint="eastAsia" w:cs="宋体"/>
          <w:sz w:val="21"/>
          <w:szCs w:val="21"/>
        </w:rPr>
        <w:t>巡视维护的主要内容</w:t>
      </w:r>
    </w:p>
    <w:p>
      <w:pPr>
        <w:pStyle w:val="32"/>
        <w:widowControl w:val="0"/>
        <w:numPr>
          <w:ilvl w:val="0"/>
          <w:numId w:val="37"/>
        </w:numPr>
        <w:spacing w:before="156" w:beforeAutospacing="0" w:after="156" w:afterAutospacing="0" w:line="360" w:lineRule="auto"/>
        <w:jc w:val="both"/>
        <w:rPr>
          <w:rFonts w:cs="宋体"/>
          <w:kern w:val="2"/>
          <w:sz w:val="21"/>
          <w:szCs w:val="21"/>
        </w:rPr>
      </w:pPr>
      <w:r>
        <w:rPr>
          <w:rFonts w:hint="eastAsia" w:cs="宋体"/>
          <w:kern w:val="2"/>
          <w:sz w:val="21"/>
          <w:szCs w:val="21"/>
        </w:rPr>
        <w:t>配电房整体服务内容</w:t>
      </w:r>
    </w:p>
    <w:p>
      <w:pPr>
        <w:pStyle w:val="32"/>
        <w:widowControl w:val="0"/>
        <w:numPr>
          <w:ilvl w:val="0"/>
          <w:numId w:val="38"/>
        </w:numPr>
        <w:spacing w:before="156" w:beforeAutospacing="0" w:after="156" w:afterAutospacing="0" w:line="360" w:lineRule="auto"/>
        <w:jc w:val="both"/>
        <w:rPr>
          <w:rFonts w:cs="宋体"/>
          <w:kern w:val="2"/>
          <w:sz w:val="21"/>
          <w:szCs w:val="21"/>
        </w:rPr>
      </w:pPr>
      <w:r>
        <w:rPr>
          <w:rFonts w:hint="eastAsia" w:cs="宋体"/>
          <w:kern w:val="2"/>
          <w:sz w:val="21"/>
          <w:szCs w:val="21"/>
        </w:rPr>
        <w:t>每周两次对服务范围内电气设备进行巡视检查，抄录运行数据。</w:t>
      </w:r>
    </w:p>
    <w:p>
      <w:pPr>
        <w:pStyle w:val="32"/>
        <w:widowControl w:val="0"/>
        <w:numPr>
          <w:ilvl w:val="0"/>
          <w:numId w:val="38"/>
        </w:numPr>
        <w:spacing w:before="156" w:beforeAutospacing="0" w:after="156" w:afterAutospacing="0" w:line="360" w:lineRule="auto"/>
        <w:jc w:val="both"/>
        <w:rPr>
          <w:rFonts w:cs="宋体"/>
          <w:kern w:val="2"/>
          <w:sz w:val="21"/>
          <w:szCs w:val="21"/>
        </w:rPr>
      </w:pPr>
      <w:r>
        <w:rPr>
          <w:rFonts w:hint="eastAsia" w:cs="宋体"/>
          <w:kern w:val="2"/>
          <w:sz w:val="21"/>
          <w:szCs w:val="21"/>
        </w:rPr>
        <w:t>每周抄录一次有功电度、无功电度，计算功率因数，及时跟踪力率考核情况，对不合格的提出建议。</w:t>
      </w:r>
    </w:p>
    <w:p>
      <w:pPr>
        <w:pStyle w:val="32"/>
        <w:widowControl w:val="0"/>
        <w:numPr>
          <w:ilvl w:val="0"/>
          <w:numId w:val="38"/>
        </w:numPr>
        <w:spacing w:before="156" w:beforeAutospacing="0" w:after="156" w:afterAutospacing="0" w:line="360" w:lineRule="auto"/>
        <w:jc w:val="both"/>
        <w:rPr>
          <w:rFonts w:cs="宋体"/>
          <w:kern w:val="2"/>
          <w:sz w:val="21"/>
          <w:szCs w:val="21"/>
        </w:rPr>
      </w:pPr>
      <w:r>
        <w:rPr>
          <w:rFonts w:hint="eastAsia" w:cs="宋体"/>
          <w:kern w:val="2"/>
          <w:sz w:val="21"/>
          <w:szCs w:val="21"/>
        </w:rPr>
        <w:t>巡视检查中发现的故障或隐患，及时通知客户，按其紧急级别有计划检修。</w:t>
      </w:r>
    </w:p>
    <w:p>
      <w:pPr>
        <w:pStyle w:val="32"/>
        <w:widowControl w:val="0"/>
        <w:numPr>
          <w:ilvl w:val="0"/>
          <w:numId w:val="38"/>
        </w:numPr>
        <w:spacing w:before="156" w:beforeAutospacing="0" w:after="156" w:afterAutospacing="0" w:line="360" w:lineRule="auto"/>
        <w:jc w:val="both"/>
        <w:rPr>
          <w:rFonts w:cs="宋体"/>
          <w:kern w:val="2"/>
          <w:sz w:val="21"/>
          <w:szCs w:val="21"/>
        </w:rPr>
      </w:pPr>
      <w:r>
        <w:rPr>
          <w:rFonts w:hint="eastAsia" w:cs="宋体"/>
          <w:kern w:val="2"/>
          <w:sz w:val="21"/>
          <w:szCs w:val="21"/>
        </w:rPr>
        <w:t>每月向甲方提交《电气设备月度运行情况报告》，分析用电情况，提出用电建议。</w:t>
      </w:r>
    </w:p>
    <w:p>
      <w:pPr>
        <w:pStyle w:val="32"/>
        <w:widowControl w:val="0"/>
        <w:numPr>
          <w:ilvl w:val="0"/>
          <w:numId w:val="38"/>
        </w:numPr>
        <w:spacing w:before="156" w:beforeAutospacing="0" w:after="156" w:afterAutospacing="0" w:line="360" w:lineRule="auto"/>
        <w:jc w:val="both"/>
        <w:rPr>
          <w:rFonts w:cs="宋体"/>
          <w:kern w:val="2"/>
          <w:sz w:val="21"/>
          <w:szCs w:val="21"/>
        </w:rPr>
      </w:pPr>
      <w:r>
        <w:rPr>
          <w:rFonts w:hint="eastAsia" w:cs="宋体"/>
          <w:kern w:val="2"/>
          <w:sz w:val="21"/>
          <w:szCs w:val="21"/>
        </w:rPr>
        <w:t>每月检查配电房防小动物措施情况、通风情况、照明情况以及绝缘工器具试验情况</w:t>
      </w:r>
    </w:p>
    <w:p>
      <w:pPr>
        <w:pStyle w:val="32"/>
        <w:widowControl w:val="0"/>
        <w:numPr>
          <w:ilvl w:val="0"/>
          <w:numId w:val="37"/>
        </w:numPr>
        <w:spacing w:before="156" w:beforeAutospacing="0" w:after="156" w:afterAutospacing="0" w:line="360" w:lineRule="auto"/>
        <w:jc w:val="both"/>
        <w:rPr>
          <w:rFonts w:cs="宋体"/>
          <w:kern w:val="2"/>
          <w:sz w:val="21"/>
          <w:szCs w:val="21"/>
        </w:rPr>
      </w:pPr>
      <w:r>
        <w:rPr>
          <w:rFonts w:hint="eastAsia" w:cs="宋体"/>
          <w:kern w:val="2"/>
          <w:sz w:val="21"/>
          <w:szCs w:val="21"/>
        </w:rPr>
        <w:t>每周两次对服务范围内电气设备进行日常巡检的主要内容</w:t>
      </w:r>
    </w:p>
    <w:p>
      <w:pPr>
        <w:pStyle w:val="32"/>
        <w:widowControl w:val="0"/>
        <w:numPr>
          <w:ilvl w:val="0"/>
          <w:numId w:val="39"/>
        </w:numPr>
        <w:spacing w:before="156" w:beforeAutospacing="0" w:after="156" w:afterAutospacing="0" w:line="360" w:lineRule="auto"/>
        <w:jc w:val="both"/>
        <w:rPr>
          <w:rFonts w:cs="宋体"/>
          <w:kern w:val="2"/>
          <w:sz w:val="21"/>
          <w:szCs w:val="21"/>
        </w:rPr>
      </w:pPr>
      <w:r>
        <w:rPr>
          <w:rFonts w:hint="eastAsia" w:cs="宋体"/>
          <w:kern w:val="2"/>
          <w:sz w:val="21"/>
          <w:szCs w:val="21"/>
        </w:rPr>
        <w:t>变压器日常巡检的主要内容：</w:t>
      </w:r>
    </w:p>
    <w:p>
      <w:pPr>
        <w:numPr>
          <w:ilvl w:val="0"/>
          <w:numId w:val="18"/>
        </w:numPr>
        <w:spacing w:line="360" w:lineRule="auto"/>
        <w:rPr>
          <w:rFonts w:ascii="宋体" w:hAnsi="宋体" w:cs="宋体"/>
          <w:szCs w:val="21"/>
        </w:rPr>
      </w:pPr>
      <w:r>
        <w:rPr>
          <w:rFonts w:hint="eastAsia" w:ascii="宋体" w:hAnsi="宋体" w:cs="宋体"/>
          <w:szCs w:val="21"/>
        </w:rPr>
        <w:t>检查变压器发出的声响是否正常；</w:t>
      </w:r>
    </w:p>
    <w:p>
      <w:pPr>
        <w:numPr>
          <w:ilvl w:val="0"/>
          <w:numId w:val="18"/>
        </w:numPr>
        <w:spacing w:line="360" w:lineRule="auto"/>
        <w:rPr>
          <w:rFonts w:ascii="宋体" w:hAnsi="宋体" w:cs="宋体"/>
          <w:szCs w:val="21"/>
        </w:rPr>
      </w:pPr>
      <w:r>
        <w:rPr>
          <w:rFonts w:hint="eastAsia" w:ascii="宋体" w:hAnsi="宋体" w:cs="宋体"/>
          <w:szCs w:val="21"/>
        </w:rPr>
        <w:t>检查变压器是否渗油；</w:t>
      </w:r>
    </w:p>
    <w:p>
      <w:pPr>
        <w:numPr>
          <w:ilvl w:val="0"/>
          <w:numId w:val="18"/>
        </w:numPr>
        <w:spacing w:line="360" w:lineRule="auto"/>
        <w:rPr>
          <w:rFonts w:ascii="宋体" w:hAnsi="宋体" w:cs="宋体"/>
          <w:szCs w:val="21"/>
        </w:rPr>
      </w:pPr>
      <w:r>
        <w:rPr>
          <w:rFonts w:hint="eastAsia" w:ascii="宋体" w:hAnsi="宋体" w:cs="宋体"/>
          <w:szCs w:val="21"/>
        </w:rPr>
        <w:t>检查变压器吸湿器是否破裂，干燥剂是否正常；</w:t>
      </w:r>
    </w:p>
    <w:p>
      <w:pPr>
        <w:numPr>
          <w:ilvl w:val="0"/>
          <w:numId w:val="18"/>
        </w:numPr>
        <w:spacing w:line="360" w:lineRule="auto"/>
        <w:rPr>
          <w:rFonts w:ascii="宋体" w:hAnsi="宋体" w:cs="宋体"/>
          <w:szCs w:val="21"/>
        </w:rPr>
      </w:pPr>
      <w:r>
        <w:rPr>
          <w:rFonts w:hint="eastAsia" w:ascii="宋体" w:hAnsi="宋体" w:cs="宋体"/>
          <w:szCs w:val="21"/>
        </w:rPr>
        <w:t>测量并记录变压器的最高温度及位置。</w:t>
      </w:r>
    </w:p>
    <w:p>
      <w:pPr>
        <w:pStyle w:val="32"/>
        <w:widowControl w:val="0"/>
        <w:numPr>
          <w:ilvl w:val="0"/>
          <w:numId w:val="39"/>
        </w:numPr>
        <w:spacing w:before="156" w:beforeAutospacing="0" w:after="156" w:afterAutospacing="0" w:line="360" w:lineRule="auto"/>
        <w:jc w:val="both"/>
        <w:rPr>
          <w:rFonts w:cs="宋体"/>
          <w:kern w:val="2"/>
          <w:sz w:val="21"/>
          <w:szCs w:val="21"/>
        </w:rPr>
      </w:pPr>
      <w:r>
        <w:rPr>
          <w:rFonts w:hint="eastAsia" w:cs="宋体"/>
          <w:kern w:val="2"/>
          <w:sz w:val="21"/>
          <w:szCs w:val="21"/>
        </w:rPr>
        <w:t>高压配电设备日常巡检的主要内容：</w:t>
      </w:r>
    </w:p>
    <w:p>
      <w:pPr>
        <w:numPr>
          <w:ilvl w:val="0"/>
          <w:numId w:val="19"/>
        </w:numPr>
        <w:spacing w:line="360" w:lineRule="auto"/>
        <w:rPr>
          <w:rFonts w:ascii="宋体" w:hAnsi="宋体" w:cs="宋体"/>
          <w:szCs w:val="21"/>
        </w:rPr>
      </w:pPr>
      <w:r>
        <w:rPr>
          <w:rFonts w:hint="eastAsia" w:ascii="宋体" w:hAnsi="宋体" w:cs="宋体"/>
          <w:szCs w:val="21"/>
        </w:rPr>
        <w:t>检查高压柜信号灯是否正常；</w:t>
      </w:r>
    </w:p>
    <w:p>
      <w:pPr>
        <w:numPr>
          <w:ilvl w:val="0"/>
          <w:numId w:val="19"/>
        </w:numPr>
        <w:spacing w:line="360" w:lineRule="auto"/>
        <w:rPr>
          <w:rFonts w:ascii="宋体" w:hAnsi="宋体" w:cs="宋体"/>
          <w:szCs w:val="21"/>
        </w:rPr>
      </w:pPr>
      <w:r>
        <w:rPr>
          <w:rFonts w:hint="eastAsia" w:ascii="宋体" w:hAnsi="宋体" w:cs="宋体"/>
          <w:szCs w:val="21"/>
        </w:rPr>
        <w:t>检查高压柜柜内照明是否正常；</w:t>
      </w:r>
    </w:p>
    <w:p>
      <w:pPr>
        <w:numPr>
          <w:ilvl w:val="0"/>
          <w:numId w:val="19"/>
        </w:numPr>
        <w:spacing w:line="360" w:lineRule="auto"/>
        <w:rPr>
          <w:rFonts w:ascii="宋体" w:hAnsi="宋体" w:cs="宋体"/>
          <w:szCs w:val="21"/>
        </w:rPr>
      </w:pPr>
      <w:r>
        <w:rPr>
          <w:rFonts w:hint="eastAsia" w:ascii="宋体" w:hAnsi="宋体" w:cs="宋体"/>
          <w:szCs w:val="21"/>
        </w:rPr>
        <w:t>检查高压开关是否正常工作，少油开关油位是否正常；</w:t>
      </w:r>
    </w:p>
    <w:p>
      <w:pPr>
        <w:numPr>
          <w:ilvl w:val="0"/>
          <w:numId w:val="19"/>
        </w:numPr>
        <w:spacing w:line="360" w:lineRule="auto"/>
        <w:rPr>
          <w:rFonts w:ascii="宋体" w:hAnsi="宋体" w:cs="宋体"/>
          <w:szCs w:val="21"/>
        </w:rPr>
      </w:pPr>
      <w:r>
        <w:rPr>
          <w:rFonts w:hint="eastAsia" w:ascii="宋体" w:hAnsi="宋体" w:cs="宋体"/>
          <w:szCs w:val="21"/>
        </w:rPr>
        <w:t>检查高压PT柜的电压表指示是否正常；</w:t>
      </w:r>
    </w:p>
    <w:p>
      <w:pPr>
        <w:numPr>
          <w:ilvl w:val="0"/>
          <w:numId w:val="19"/>
        </w:numPr>
        <w:spacing w:line="360" w:lineRule="auto"/>
        <w:rPr>
          <w:rFonts w:ascii="宋体" w:hAnsi="宋体" w:cs="宋体"/>
          <w:szCs w:val="21"/>
        </w:rPr>
      </w:pPr>
      <w:r>
        <w:rPr>
          <w:rFonts w:hint="eastAsia" w:ascii="宋体" w:hAnsi="宋体" w:cs="宋体"/>
          <w:szCs w:val="21"/>
        </w:rPr>
        <w:t>检查高压PT柜计量监测装置是否显示故障；</w:t>
      </w:r>
    </w:p>
    <w:p>
      <w:pPr>
        <w:numPr>
          <w:ilvl w:val="0"/>
          <w:numId w:val="19"/>
        </w:numPr>
        <w:spacing w:line="360" w:lineRule="auto"/>
        <w:rPr>
          <w:rFonts w:ascii="宋体" w:hAnsi="宋体" w:cs="宋体"/>
          <w:szCs w:val="21"/>
        </w:rPr>
      </w:pPr>
      <w:r>
        <w:rPr>
          <w:rFonts w:hint="eastAsia" w:ascii="宋体" w:hAnsi="宋体" w:cs="宋体"/>
          <w:szCs w:val="21"/>
        </w:rPr>
        <w:t>对可视的高压电缆头进行外观检查。</w:t>
      </w:r>
    </w:p>
    <w:p>
      <w:pPr>
        <w:pStyle w:val="32"/>
        <w:widowControl w:val="0"/>
        <w:numPr>
          <w:ilvl w:val="0"/>
          <w:numId w:val="39"/>
        </w:numPr>
        <w:spacing w:before="156" w:beforeAutospacing="0" w:after="156" w:afterAutospacing="0" w:line="360" w:lineRule="auto"/>
        <w:jc w:val="both"/>
        <w:rPr>
          <w:rFonts w:cs="宋体"/>
          <w:kern w:val="2"/>
          <w:sz w:val="21"/>
          <w:szCs w:val="21"/>
        </w:rPr>
      </w:pPr>
      <w:r>
        <w:rPr>
          <w:rFonts w:hint="eastAsia" w:cs="宋体"/>
          <w:kern w:val="2"/>
          <w:sz w:val="21"/>
          <w:szCs w:val="21"/>
        </w:rPr>
        <w:t>低压配电设备日常巡检的主要内容：</w:t>
      </w:r>
    </w:p>
    <w:p>
      <w:pPr>
        <w:numPr>
          <w:ilvl w:val="0"/>
          <w:numId w:val="20"/>
        </w:numPr>
        <w:spacing w:line="360" w:lineRule="auto"/>
        <w:rPr>
          <w:rFonts w:ascii="宋体" w:hAnsi="宋体" w:cs="宋体"/>
          <w:szCs w:val="21"/>
        </w:rPr>
      </w:pPr>
      <w:r>
        <w:rPr>
          <w:rFonts w:hint="eastAsia" w:ascii="宋体" w:hAnsi="宋体" w:cs="宋体"/>
          <w:szCs w:val="21"/>
        </w:rPr>
        <w:t>根据客户电容柜电容投切转换开关情况，检查电容投切转换开关是否设定在“自投”位置；</w:t>
      </w:r>
    </w:p>
    <w:p>
      <w:pPr>
        <w:numPr>
          <w:ilvl w:val="0"/>
          <w:numId w:val="20"/>
        </w:numPr>
        <w:spacing w:line="360" w:lineRule="auto"/>
        <w:rPr>
          <w:rFonts w:ascii="宋体" w:hAnsi="宋体" w:cs="宋体"/>
          <w:szCs w:val="21"/>
        </w:rPr>
      </w:pPr>
      <w:r>
        <w:rPr>
          <w:rFonts w:hint="eastAsia" w:ascii="宋体" w:hAnsi="宋体" w:cs="宋体"/>
          <w:szCs w:val="21"/>
        </w:rPr>
        <w:t>检查电容柜无功补偿控制器是否正常工作；</w:t>
      </w:r>
    </w:p>
    <w:p>
      <w:pPr>
        <w:numPr>
          <w:ilvl w:val="0"/>
          <w:numId w:val="20"/>
        </w:numPr>
        <w:spacing w:line="360" w:lineRule="auto"/>
        <w:rPr>
          <w:rFonts w:ascii="宋体" w:hAnsi="宋体" w:cs="宋体"/>
          <w:szCs w:val="21"/>
        </w:rPr>
      </w:pPr>
      <w:r>
        <w:rPr>
          <w:rFonts w:hint="eastAsia" w:ascii="宋体" w:hAnsi="宋体" w:cs="宋体"/>
          <w:szCs w:val="21"/>
        </w:rPr>
        <w:t>检查电容柜电容器的外壳是否有鼓胀、漏油等异常现象；</w:t>
      </w:r>
    </w:p>
    <w:p>
      <w:pPr>
        <w:numPr>
          <w:ilvl w:val="0"/>
          <w:numId w:val="20"/>
        </w:numPr>
        <w:spacing w:line="360" w:lineRule="auto"/>
        <w:rPr>
          <w:rFonts w:ascii="宋体" w:hAnsi="宋体" w:cs="宋体"/>
          <w:szCs w:val="21"/>
        </w:rPr>
      </w:pPr>
      <w:r>
        <w:rPr>
          <w:rFonts w:hint="eastAsia" w:ascii="宋体" w:hAnsi="宋体" w:cs="宋体"/>
          <w:szCs w:val="21"/>
        </w:rPr>
        <w:t>检查电容柜刀开关动、静触头接触是否良好；</w:t>
      </w:r>
    </w:p>
    <w:p>
      <w:pPr>
        <w:numPr>
          <w:ilvl w:val="0"/>
          <w:numId w:val="20"/>
        </w:numPr>
        <w:spacing w:line="360" w:lineRule="auto"/>
        <w:rPr>
          <w:rFonts w:ascii="宋体" w:hAnsi="宋体" w:cs="宋体"/>
          <w:szCs w:val="21"/>
        </w:rPr>
      </w:pPr>
      <w:r>
        <w:rPr>
          <w:rFonts w:hint="eastAsia" w:ascii="宋体" w:hAnsi="宋体" w:cs="宋体"/>
          <w:szCs w:val="21"/>
        </w:rPr>
        <w:t>检查交流接触器、热继电器是否工作正常；</w:t>
      </w:r>
    </w:p>
    <w:p>
      <w:pPr>
        <w:numPr>
          <w:ilvl w:val="0"/>
          <w:numId w:val="20"/>
        </w:numPr>
        <w:spacing w:line="360" w:lineRule="auto"/>
        <w:rPr>
          <w:rFonts w:ascii="宋体" w:hAnsi="宋体" w:cs="宋体"/>
          <w:szCs w:val="21"/>
        </w:rPr>
      </w:pPr>
      <w:r>
        <w:rPr>
          <w:rFonts w:hint="eastAsia" w:ascii="宋体" w:hAnsi="宋体" w:cs="宋体"/>
          <w:szCs w:val="21"/>
        </w:rPr>
        <w:t>检查电容柜熔刀的熔断器芯是否熔断；</w:t>
      </w:r>
    </w:p>
    <w:p>
      <w:pPr>
        <w:numPr>
          <w:ilvl w:val="0"/>
          <w:numId w:val="20"/>
        </w:numPr>
        <w:spacing w:line="360" w:lineRule="auto"/>
        <w:rPr>
          <w:rFonts w:ascii="宋体" w:hAnsi="宋体" w:cs="宋体"/>
          <w:szCs w:val="21"/>
        </w:rPr>
      </w:pPr>
      <w:r>
        <w:rPr>
          <w:rFonts w:hint="eastAsia" w:ascii="宋体" w:hAnsi="宋体" w:cs="宋体"/>
          <w:szCs w:val="21"/>
        </w:rPr>
        <w:t>检查低压计量柜计量装置是否铅封，电表转向是否正确；</w:t>
      </w:r>
    </w:p>
    <w:p>
      <w:pPr>
        <w:numPr>
          <w:ilvl w:val="0"/>
          <w:numId w:val="20"/>
        </w:numPr>
        <w:spacing w:line="360" w:lineRule="auto"/>
        <w:rPr>
          <w:rFonts w:ascii="宋体" w:hAnsi="宋体" w:cs="宋体"/>
          <w:szCs w:val="21"/>
        </w:rPr>
      </w:pPr>
      <w:r>
        <w:rPr>
          <w:rFonts w:hint="eastAsia" w:ascii="宋体" w:hAnsi="宋体" w:cs="宋体"/>
          <w:szCs w:val="21"/>
        </w:rPr>
        <w:t>检查各柜的开关是否有异响、异味；</w:t>
      </w:r>
    </w:p>
    <w:p>
      <w:pPr>
        <w:numPr>
          <w:ilvl w:val="0"/>
          <w:numId w:val="20"/>
        </w:numPr>
        <w:spacing w:line="360" w:lineRule="auto"/>
        <w:rPr>
          <w:rFonts w:ascii="宋体" w:hAnsi="宋体" w:cs="宋体"/>
          <w:szCs w:val="21"/>
        </w:rPr>
      </w:pPr>
      <w:r>
        <w:rPr>
          <w:rFonts w:hint="eastAsia" w:ascii="宋体" w:hAnsi="宋体" w:cs="宋体"/>
          <w:szCs w:val="21"/>
        </w:rPr>
        <w:t>检查各柜电流表、电压表指示是否正常，并记录电流值和电压值；</w:t>
      </w:r>
    </w:p>
    <w:p>
      <w:pPr>
        <w:numPr>
          <w:ilvl w:val="0"/>
          <w:numId w:val="20"/>
        </w:numPr>
        <w:spacing w:line="360" w:lineRule="auto"/>
        <w:rPr>
          <w:rFonts w:ascii="宋体" w:hAnsi="宋体" w:cs="宋体"/>
          <w:szCs w:val="21"/>
        </w:rPr>
      </w:pPr>
      <w:r>
        <w:rPr>
          <w:rFonts w:hint="eastAsia" w:ascii="宋体" w:hAnsi="宋体" w:cs="宋体"/>
          <w:szCs w:val="21"/>
        </w:rPr>
        <w:t>测量并记录各柜内各元件的温度；检查各柜的信号灯是否正常。</w:t>
      </w:r>
    </w:p>
    <w:p>
      <w:pPr>
        <w:pStyle w:val="32"/>
        <w:widowControl w:val="0"/>
        <w:numPr>
          <w:ilvl w:val="0"/>
          <w:numId w:val="37"/>
        </w:numPr>
        <w:spacing w:before="156" w:beforeAutospacing="0" w:after="156" w:afterAutospacing="0" w:line="360" w:lineRule="auto"/>
        <w:jc w:val="both"/>
        <w:rPr>
          <w:rFonts w:cs="宋体"/>
          <w:kern w:val="2"/>
          <w:sz w:val="21"/>
          <w:szCs w:val="21"/>
        </w:rPr>
      </w:pPr>
      <w:r>
        <w:rPr>
          <w:rFonts w:hint="eastAsia" w:cs="宋体"/>
          <w:kern w:val="2"/>
          <w:sz w:val="21"/>
          <w:szCs w:val="21"/>
        </w:rPr>
        <w:t>每月对服务范围内电气设备进行一次巡检和维护的主要内容:</w:t>
      </w:r>
    </w:p>
    <w:p>
      <w:pPr>
        <w:pStyle w:val="32"/>
        <w:widowControl w:val="0"/>
        <w:numPr>
          <w:ilvl w:val="0"/>
          <w:numId w:val="40"/>
        </w:numPr>
        <w:spacing w:before="156" w:beforeAutospacing="0" w:after="156" w:afterAutospacing="0" w:line="360" w:lineRule="auto"/>
        <w:jc w:val="both"/>
        <w:rPr>
          <w:rFonts w:cs="宋体"/>
          <w:kern w:val="2"/>
          <w:sz w:val="21"/>
          <w:szCs w:val="21"/>
        </w:rPr>
      </w:pPr>
      <w:r>
        <w:rPr>
          <w:rFonts w:hint="eastAsia" w:cs="宋体"/>
          <w:kern w:val="2"/>
          <w:sz w:val="21"/>
          <w:szCs w:val="21"/>
        </w:rPr>
        <w:t>检查带电夹、跌落式熔断器的上下卡位是否有发热或电弧现象；</w:t>
      </w:r>
    </w:p>
    <w:p>
      <w:pPr>
        <w:pStyle w:val="32"/>
        <w:widowControl w:val="0"/>
        <w:numPr>
          <w:ilvl w:val="0"/>
          <w:numId w:val="40"/>
        </w:numPr>
        <w:spacing w:before="156" w:beforeAutospacing="0" w:after="156" w:afterAutospacing="0" w:line="360" w:lineRule="auto"/>
        <w:jc w:val="both"/>
        <w:rPr>
          <w:rFonts w:cs="宋体"/>
          <w:kern w:val="2"/>
          <w:sz w:val="21"/>
          <w:szCs w:val="21"/>
        </w:rPr>
      </w:pPr>
      <w:r>
        <w:rPr>
          <w:rFonts w:hint="eastAsia" w:cs="宋体"/>
          <w:kern w:val="2"/>
          <w:sz w:val="21"/>
          <w:szCs w:val="21"/>
        </w:rPr>
        <w:t>检查接地线是否齐全并符合要求；</w:t>
      </w:r>
    </w:p>
    <w:p>
      <w:pPr>
        <w:pStyle w:val="32"/>
        <w:widowControl w:val="0"/>
        <w:numPr>
          <w:ilvl w:val="0"/>
          <w:numId w:val="40"/>
        </w:numPr>
        <w:spacing w:before="156" w:beforeAutospacing="0" w:after="156" w:afterAutospacing="0" w:line="360" w:lineRule="auto"/>
        <w:jc w:val="both"/>
        <w:rPr>
          <w:rFonts w:cs="宋体"/>
          <w:kern w:val="2"/>
          <w:sz w:val="21"/>
          <w:szCs w:val="21"/>
        </w:rPr>
      </w:pPr>
      <w:r>
        <w:rPr>
          <w:rFonts w:hint="eastAsia" w:cs="宋体"/>
          <w:kern w:val="2"/>
          <w:sz w:val="21"/>
          <w:szCs w:val="21"/>
        </w:rPr>
        <w:t>检查变压器的油色、油位是否正常；</w:t>
      </w:r>
    </w:p>
    <w:p>
      <w:pPr>
        <w:pStyle w:val="32"/>
        <w:widowControl w:val="0"/>
        <w:numPr>
          <w:ilvl w:val="0"/>
          <w:numId w:val="40"/>
        </w:numPr>
        <w:spacing w:before="156" w:beforeAutospacing="0" w:after="156" w:afterAutospacing="0" w:line="360" w:lineRule="auto"/>
        <w:jc w:val="both"/>
        <w:rPr>
          <w:rFonts w:cs="宋体"/>
          <w:kern w:val="2"/>
          <w:sz w:val="21"/>
          <w:szCs w:val="21"/>
        </w:rPr>
      </w:pPr>
      <w:r>
        <w:rPr>
          <w:rFonts w:hint="eastAsia" w:cs="宋体"/>
          <w:kern w:val="2"/>
          <w:sz w:val="21"/>
          <w:szCs w:val="21"/>
        </w:rPr>
        <w:t>检查刀开关的灭弧罩是否松脱；</w:t>
      </w:r>
    </w:p>
    <w:p>
      <w:pPr>
        <w:pStyle w:val="32"/>
        <w:widowControl w:val="0"/>
        <w:numPr>
          <w:ilvl w:val="0"/>
          <w:numId w:val="40"/>
        </w:numPr>
        <w:spacing w:before="156" w:beforeAutospacing="0" w:after="156" w:afterAutospacing="0" w:line="360" w:lineRule="auto"/>
        <w:jc w:val="both"/>
        <w:rPr>
          <w:rFonts w:cs="宋体"/>
          <w:kern w:val="2"/>
          <w:sz w:val="21"/>
          <w:szCs w:val="21"/>
        </w:rPr>
      </w:pPr>
      <w:r>
        <w:rPr>
          <w:rFonts w:hint="eastAsia" w:cs="宋体"/>
          <w:kern w:val="2"/>
          <w:sz w:val="21"/>
          <w:szCs w:val="21"/>
        </w:rPr>
        <w:t>检查电容器投切转换开关是否正常工作；</w:t>
      </w:r>
    </w:p>
    <w:p>
      <w:pPr>
        <w:pStyle w:val="32"/>
        <w:widowControl w:val="0"/>
        <w:numPr>
          <w:ilvl w:val="0"/>
          <w:numId w:val="40"/>
        </w:numPr>
        <w:spacing w:before="156" w:beforeAutospacing="0" w:after="156" w:afterAutospacing="0" w:line="360" w:lineRule="auto"/>
        <w:jc w:val="both"/>
        <w:rPr>
          <w:rFonts w:cs="宋体"/>
          <w:kern w:val="2"/>
          <w:sz w:val="21"/>
          <w:szCs w:val="21"/>
        </w:rPr>
      </w:pPr>
      <w:r>
        <w:rPr>
          <w:rFonts w:hint="eastAsia" w:cs="宋体"/>
          <w:kern w:val="2"/>
          <w:sz w:val="21"/>
          <w:szCs w:val="21"/>
        </w:rPr>
        <w:t>检查无功补偿自动控制器的参数设置是否在正常范围内检查电压转换开关是否能正常工作；</w:t>
      </w:r>
    </w:p>
    <w:p>
      <w:pPr>
        <w:pStyle w:val="32"/>
        <w:widowControl w:val="0"/>
        <w:numPr>
          <w:ilvl w:val="0"/>
          <w:numId w:val="40"/>
        </w:numPr>
        <w:spacing w:before="156" w:beforeAutospacing="0" w:after="156" w:afterAutospacing="0" w:line="360" w:lineRule="auto"/>
        <w:jc w:val="both"/>
        <w:rPr>
          <w:rFonts w:cs="宋体"/>
          <w:kern w:val="2"/>
          <w:sz w:val="21"/>
          <w:szCs w:val="21"/>
        </w:rPr>
      </w:pPr>
      <w:r>
        <w:rPr>
          <w:rFonts w:hint="eastAsia" w:cs="宋体"/>
          <w:kern w:val="2"/>
          <w:sz w:val="21"/>
          <w:szCs w:val="21"/>
        </w:rPr>
        <w:t>测量每组电容器的容量。</w:t>
      </w:r>
    </w:p>
    <w:p>
      <w:pPr>
        <w:pStyle w:val="32"/>
        <w:widowControl w:val="0"/>
        <w:numPr>
          <w:ilvl w:val="0"/>
          <w:numId w:val="40"/>
        </w:numPr>
        <w:spacing w:before="156" w:beforeAutospacing="0" w:after="156" w:afterAutospacing="0" w:line="360" w:lineRule="auto"/>
        <w:jc w:val="both"/>
        <w:rPr>
          <w:rFonts w:cs="宋体"/>
          <w:kern w:val="2"/>
          <w:sz w:val="21"/>
          <w:szCs w:val="21"/>
        </w:rPr>
      </w:pPr>
      <w:r>
        <w:rPr>
          <w:rFonts w:hint="eastAsia" w:cs="宋体"/>
          <w:kern w:val="2"/>
          <w:sz w:val="21"/>
          <w:szCs w:val="21"/>
        </w:rPr>
        <w:t>地面清洁。</w:t>
      </w:r>
    </w:p>
    <w:p>
      <w:pPr>
        <w:pStyle w:val="32"/>
        <w:widowControl w:val="0"/>
        <w:numPr>
          <w:ilvl w:val="0"/>
          <w:numId w:val="37"/>
        </w:numPr>
        <w:spacing w:before="156" w:beforeAutospacing="0" w:after="156" w:afterAutospacing="0" w:line="360" w:lineRule="auto"/>
        <w:jc w:val="both"/>
        <w:rPr>
          <w:rFonts w:cs="宋体"/>
          <w:kern w:val="2"/>
          <w:sz w:val="21"/>
          <w:szCs w:val="21"/>
        </w:rPr>
      </w:pPr>
      <w:r>
        <w:rPr>
          <w:rFonts w:hint="eastAsia" w:cs="宋体"/>
          <w:kern w:val="2"/>
          <w:sz w:val="21"/>
          <w:szCs w:val="21"/>
        </w:rPr>
        <w:t>半年度/停电对服务范围内电气设备进行一次维护和检修的主要内容：</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检查变压器高、低压套管是否有裂痕；</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检查变压器高、低压套管是否有渗油；</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紧固变压器10KV、0.4KV侧接线柱螺栓；</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检查变压器台架、高低压柜金属架是否接地；</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对刀开关进行分合闸操作，检查分合闸情况，对损坏的刀开关进行维修或更换；</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检查一次、二次线路的搭接处的螺栓是否紧固；</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对设备带电时不能粘贴时示温片的部位补贴示温片；</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对设备带电时不能检查的高压电缆头进行外观检查；</w:t>
      </w:r>
    </w:p>
    <w:p>
      <w:pPr>
        <w:pStyle w:val="32"/>
        <w:widowControl w:val="0"/>
        <w:numPr>
          <w:ilvl w:val="0"/>
          <w:numId w:val="41"/>
        </w:numPr>
        <w:spacing w:before="156" w:beforeAutospacing="0" w:after="156" w:afterAutospacing="0" w:line="360" w:lineRule="auto"/>
        <w:jc w:val="both"/>
        <w:rPr>
          <w:rFonts w:cs="宋体"/>
          <w:kern w:val="2"/>
          <w:sz w:val="21"/>
          <w:szCs w:val="21"/>
        </w:rPr>
      </w:pPr>
      <w:r>
        <w:rPr>
          <w:rFonts w:hint="eastAsia" w:cs="宋体"/>
          <w:kern w:val="2"/>
          <w:sz w:val="21"/>
          <w:szCs w:val="21"/>
        </w:rPr>
        <w:t>完成高、低压柜内外及电房的清洁。</w:t>
      </w:r>
    </w:p>
    <w:p>
      <w:pPr>
        <w:pStyle w:val="32"/>
        <w:widowControl w:val="0"/>
        <w:numPr>
          <w:ilvl w:val="0"/>
          <w:numId w:val="36"/>
        </w:numPr>
        <w:spacing w:before="156" w:beforeAutospacing="0" w:after="156" w:afterAutospacing="0" w:line="360" w:lineRule="auto"/>
        <w:jc w:val="both"/>
        <w:rPr>
          <w:rFonts w:cs="宋体"/>
          <w:sz w:val="21"/>
          <w:szCs w:val="21"/>
        </w:rPr>
      </w:pPr>
      <w:r>
        <w:rPr>
          <w:rFonts w:hint="eastAsia" w:cs="宋体"/>
          <w:sz w:val="21"/>
          <w:szCs w:val="21"/>
        </w:rPr>
        <w:t>检查、维护高低压配电房、变压器室的防小动物安全设施。</w:t>
      </w:r>
    </w:p>
    <w:p>
      <w:pPr>
        <w:pStyle w:val="32"/>
        <w:widowControl w:val="0"/>
        <w:numPr>
          <w:ilvl w:val="0"/>
          <w:numId w:val="36"/>
        </w:numPr>
        <w:spacing w:before="156" w:beforeAutospacing="0" w:after="156" w:afterAutospacing="0" w:line="360" w:lineRule="auto"/>
        <w:jc w:val="both"/>
        <w:rPr>
          <w:rFonts w:cs="宋体"/>
          <w:sz w:val="21"/>
          <w:szCs w:val="21"/>
        </w:rPr>
      </w:pPr>
      <w:r>
        <w:rPr>
          <w:rFonts w:hint="eastAsia" w:cs="宋体"/>
          <w:sz w:val="21"/>
          <w:szCs w:val="21"/>
        </w:rPr>
        <w:t>配件清单</w:t>
      </w:r>
    </w:p>
    <w:tbl>
      <w:tblPr>
        <w:tblStyle w:val="36"/>
        <w:tblW w:w="9373" w:type="dxa"/>
        <w:jc w:val="center"/>
        <w:tblLayout w:type="fixed"/>
        <w:tblCellMar>
          <w:top w:w="0" w:type="dxa"/>
          <w:left w:w="108" w:type="dxa"/>
          <w:bottom w:w="0" w:type="dxa"/>
          <w:right w:w="108" w:type="dxa"/>
        </w:tblCellMar>
      </w:tblPr>
      <w:tblGrid>
        <w:gridCol w:w="2144"/>
        <w:gridCol w:w="1701"/>
        <w:gridCol w:w="2551"/>
        <w:gridCol w:w="851"/>
        <w:gridCol w:w="1559"/>
        <w:gridCol w:w="567"/>
      </w:tblGrid>
      <w:tr>
        <w:tblPrEx>
          <w:tblCellMar>
            <w:top w:w="0" w:type="dxa"/>
            <w:left w:w="108" w:type="dxa"/>
            <w:bottom w:w="0" w:type="dxa"/>
            <w:right w:w="108" w:type="dxa"/>
          </w:tblCellMar>
        </w:tblPrEx>
        <w:trPr>
          <w:trHeight w:val="270" w:hRule="atLeast"/>
          <w:jc w:val="center"/>
        </w:trPr>
        <w:tc>
          <w:tcPr>
            <w:tcW w:w="2144"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仿宋"/>
                <w:color w:val="000000"/>
                <w:kern w:val="0"/>
                <w:szCs w:val="21"/>
              </w:rPr>
            </w:pPr>
            <w:r>
              <w:rPr>
                <w:rFonts w:hint="eastAsia" w:ascii="宋体" w:hAnsi="宋体" w:cs="仿宋"/>
                <w:color w:val="000000"/>
                <w:kern w:val="0"/>
                <w:szCs w:val="21"/>
              </w:rPr>
              <w:t>配件名称</w:t>
            </w:r>
          </w:p>
        </w:tc>
        <w:tc>
          <w:tcPr>
            <w:tcW w:w="1701" w:type="dxa"/>
            <w:tcBorders>
              <w:top w:val="single" w:color="auto" w:sz="4" w:space="0"/>
              <w:left w:val="nil"/>
              <w:bottom w:val="single" w:color="auto" w:sz="4" w:space="0"/>
              <w:right w:val="single" w:color="auto" w:sz="4" w:space="0"/>
            </w:tcBorders>
            <w:noWrap/>
            <w:vAlign w:val="center"/>
          </w:tcPr>
          <w:p>
            <w:pPr>
              <w:widowControl/>
              <w:jc w:val="center"/>
              <w:rPr>
                <w:rFonts w:ascii="宋体" w:hAnsi="宋体" w:cs="仿宋"/>
                <w:color w:val="000000"/>
                <w:kern w:val="0"/>
                <w:szCs w:val="21"/>
              </w:rPr>
            </w:pPr>
            <w:r>
              <w:rPr>
                <w:rFonts w:hint="eastAsia" w:ascii="宋体" w:hAnsi="宋体" w:cs="仿宋"/>
                <w:color w:val="000000"/>
                <w:kern w:val="0"/>
                <w:szCs w:val="21"/>
              </w:rPr>
              <w:t>品牌型号</w:t>
            </w:r>
          </w:p>
        </w:tc>
        <w:tc>
          <w:tcPr>
            <w:tcW w:w="2551" w:type="dxa"/>
            <w:tcBorders>
              <w:top w:val="single" w:color="auto" w:sz="4" w:space="0"/>
              <w:left w:val="nil"/>
              <w:bottom w:val="single" w:color="auto" w:sz="4" w:space="0"/>
              <w:right w:val="single" w:color="auto" w:sz="4" w:space="0"/>
            </w:tcBorders>
            <w:vAlign w:val="center"/>
          </w:tcPr>
          <w:p>
            <w:pPr>
              <w:widowControl/>
              <w:jc w:val="center"/>
              <w:rPr>
                <w:rFonts w:ascii="宋体" w:hAnsi="宋体" w:cs="仿宋"/>
                <w:color w:val="000000"/>
                <w:kern w:val="0"/>
                <w:szCs w:val="21"/>
              </w:rPr>
            </w:pPr>
            <w:r>
              <w:rPr>
                <w:rFonts w:hint="eastAsia" w:ascii="宋体" w:hAnsi="宋体" w:cs="仿宋"/>
                <w:color w:val="000000"/>
                <w:kern w:val="0"/>
                <w:szCs w:val="21"/>
              </w:rPr>
              <w:t>单位</w:t>
            </w:r>
          </w:p>
        </w:tc>
        <w:tc>
          <w:tcPr>
            <w:tcW w:w="851" w:type="dxa"/>
            <w:tcBorders>
              <w:top w:val="single" w:color="auto" w:sz="4" w:space="0"/>
              <w:left w:val="nil"/>
              <w:bottom w:val="single" w:color="auto" w:sz="4" w:space="0"/>
              <w:right w:val="single" w:color="auto" w:sz="4" w:space="0"/>
            </w:tcBorders>
            <w:noWrap/>
            <w:vAlign w:val="center"/>
          </w:tcPr>
          <w:p>
            <w:pPr>
              <w:widowControl/>
              <w:jc w:val="center"/>
              <w:rPr>
                <w:rFonts w:ascii="宋体" w:hAnsi="宋体" w:cs="仿宋"/>
                <w:color w:val="000000"/>
                <w:kern w:val="0"/>
                <w:szCs w:val="21"/>
              </w:rPr>
            </w:pPr>
            <w:r>
              <w:rPr>
                <w:rFonts w:hint="eastAsia" w:ascii="宋体" w:hAnsi="宋体" w:cs="仿宋"/>
                <w:color w:val="000000"/>
                <w:kern w:val="0"/>
                <w:szCs w:val="21"/>
              </w:rPr>
              <w:t>数量</w:t>
            </w:r>
          </w:p>
        </w:tc>
        <w:tc>
          <w:tcPr>
            <w:tcW w:w="1559" w:type="dxa"/>
            <w:tcBorders>
              <w:top w:val="single" w:color="auto" w:sz="4" w:space="0"/>
              <w:left w:val="nil"/>
              <w:bottom w:val="single" w:color="auto" w:sz="4" w:space="0"/>
              <w:right w:val="single" w:color="auto" w:sz="4" w:space="0"/>
            </w:tcBorders>
            <w:noWrap/>
            <w:vAlign w:val="center"/>
          </w:tcPr>
          <w:p>
            <w:pPr>
              <w:widowControl/>
              <w:jc w:val="center"/>
              <w:rPr>
                <w:rFonts w:ascii="宋体" w:hAnsi="宋体" w:cs="仿宋"/>
                <w:color w:val="000000"/>
                <w:kern w:val="0"/>
                <w:szCs w:val="21"/>
              </w:rPr>
            </w:pPr>
            <w:r>
              <w:rPr>
                <w:rFonts w:hint="eastAsia" w:ascii="宋体" w:hAnsi="宋体" w:cs="仿宋"/>
                <w:color w:val="000000"/>
                <w:kern w:val="0"/>
                <w:szCs w:val="21"/>
              </w:rPr>
              <w:t>单价（元）</w:t>
            </w:r>
          </w:p>
        </w:tc>
        <w:tc>
          <w:tcPr>
            <w:tcW w:w="567" w:type="dxa"/>
            <w:tcBorders>
              <w:top w:val="single" w:color="auto" w:sz="4" w:space="0"/>
              <w:left w:val="nil"/>
              <w:bottom w:val="single" w:color="auto" w:sz="4" w:space="0"/>
              <w:right w:val="single" w:color="auto" w:sz="4" w:space="0"/>
            </w:tcBorders>
          </w:tcPr>
          <w:p>
            <w:pPr>
              <w:widowControl/>
              <w:jc w:val="center"/>
              <w:rPr>
                <w:rFonts w:ascii="宋体" w:hAnsi="宋体" w:cs="仿宋"/>
                <w:color w:val="000000"/>
                <w:kern w:val="0"/>
                <w:szCs w:val="21"/>
              </w:rPr>
            </w:pPr>
            <w:r>
              <w:rPr>
                <w:rFonts w:hint="eastAsia" w:ascii="宋体" w:hAnsi="宋体" w:cs="仿宋"/>
                <w:color w:val="000000"/>
                <w:kern w:val="0"/>
                <w:szCs w:val="21"/>
              </w:rPr>
              <w:t>小计（元）</w:t>
            </w:r>
          </w:p>
        </w:tc>
      </w:tr>
      <w:tr>
        <w:tblPrEx>
          <w:tblCellMar>
            <w:top w:w="0" w:type="dxa"/>
            <w:left w:w="108" w:type="dxa"/>
            <w:bottom w:w="0" w:type="dxa"/>
            <w:right w:w="108" w:type="dxa"/>
          </w:tblCellMar>
        </w:tblPrEx>
        <w:trPr>
          <w:trHeight w:val="270" w:hRule="atLeast"/>
          <w:jc w:val="center"/>
        </w:trPr>
        <w:tc>
          <w:tcPr>
            <w:tcW w:w="2144" w:type="dxa"/>
            <w:tcBorders>
              <w:top w:val="nil"/>
              <w:left w:val="single" w:color="auto" w:sz="4" w:space="0"/>
              <w:bottom w:val="single" w:color="auto" w:sz="4" w:space="0"/>
              <w:right w:val="single" w:color="auto" w:sz="4" w:space="0"/>
            </w:tcBorders>
            <w:vAlign w:val="center"/>
          </w:tcPr>
          <w:p>
            <w:pPr>
              <w:jc w:val="center"/>
              <w:rPr>
                <w:rFonts w:ascii="宋体" w:hAnsi="宋体" w:cs="仿宋"/>
                <w:szCs w:val="21"/>
              </w:rPr>
            </w:pPr>
            <w:r>
              <w:rPr>
                <w:rFonts w:hint="eastAsia" w:ascii="宋体" w:hAnsi="宋体" w:cs="宋体"/>
                <w:szCs w:val="21"/>
              </w:rPr>
              <w:t> </w:t>
            </w:r>
            <w:r>
              <w:rPr>
                <w:rFonts w:hint="eastAsia" w:ascii="宋体" w:hAnsi="宋体" w:cs="仿宋"/>
                <w:szCs w:val="21"/>
              </w:rPr>
              <w:t>框架断路器（抽屉式）</w:t>
            </w:r>
          </w:p>
        </w:tc>
        <w:tc>
          <w:tcPr>
            <w:tcW w:w="1701" w:type="dxa"/>
            <w:tcBorders>
              <w:top w:val="nil"/>
              <w:left w:val="nil"/>
              <w:bottom w:val="single" w:color="auto" w:sz="4" w:space="0"/>
              <w:right w:val="single" w:color="auto" w:sz="4" w:space="0"/>
            </w:tcBorders>
            <w:noWrap/>
            <w:vAlign w:val="center"/>
          </w:tcPr>
          <w:p>
            <w:pPr>
              <w:jc w:val="center"/>
              <w:rPr>
                <w:rFonts w:ascii="宋体" w:hAnsi="宋体" w:cs="仿宋"/>
                <w:szCs w:val="21"/>
              </w:rPr>
            </w:pPr>
          </w:p>
        </w:tc>
        <w:tc>
          <w:tcPr>
            <w:tcW w:w="2551" w:type="dxa"/>
            <w:tcBorders>
              <w:top w:val="nil"/>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台</w:t>
            </w:r>
          </w:p>
        </w:tc>
        <w:tc>
          <w:tcPr>
            <w:tcW w:w="851" w:type="dxa"/>
            <w:tcBorders>
              <w:top w:val="nil"/>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1</w:t>
            </w:r>
          </w:p>
        </w:tc>
        <w:tc>
          <w:tcPr>
            <w:tcW w:w="1559" w:type="dxa"/>
            <w:tcBorders>
              <w:top w:val="nil"/>
              <w:left w:val="nil"/>
              <w:bottom w:val="single" w:color="auto" w:sz="4" w:space="0"/>
              <w:right w:val="single" w:color="auto" w:sz="4" w:space="0"/>
            </w:tcBorders>
            <w:noWrap/>
            <w:vAlign w:val="center"/>
          </w:tcPr>
          <w:p>
            <w:pPr>
              <w:jc w:val="center"/>
              <w:rPr>
                <w:rFonts w:ascii="宋体" w:hAnsi="宋体" w:cs="仿宋"/>
                <w:szCs w:val="21"/>
              </w:rPr>
            </w:pPr>
          </w:p>
        </w:tc>
        <w:tc>
          <w:tcPr>
            <w:tcW w:w="567" w:type="dxa"/>
            <w:tcBorders>
              <w:top w:val="nil"/>
              <w:left w:val="nil"/>
              <w:bottom w:val="single" w:color="auto" w:sz="4" w:space="0"/>
              <w:right w:val="single" w:color="auto" w:sz="4" w:space="0"/>
            </w:tcBorders>
          </w:tcPr>
          <w:p>
            <w:pPr>
              <w:jc w:val="center"/>
              <w:rPr>
                <w:rFonts w:ascii="宋体" w:hAnsi="宋体" w:cs="仿宋"/>
                <w:szCs w:val="21"/>
              </w:rPr>
            </w:pPr>
          </w:p>
        </w:tc>
      </w:tr>
      <w:tr>
        <w:tblPrEx>
          <w:tblCellMar>
            <w:top w:w="0" w:type="dxa"/>
            <w:left w:w="108" w:type="dxa"/>
            <w:bottom w:w="0" w:type="dxa"/>
            <w:right w:w="108" w:type="dxa"/>
          </w:tblCellMar>
        </w:tblPrEx>
        <w:trPr>
          <w:trHeight w:val="732" w:hRule="atLeast"/>
          <w:jc w:val="center"/>
        </w:trPr>
        <w:tc>
          <w:tcPr>
            <w:tcW w:w="2144" w:type="dxa"/>
            <w:tcBorders>
              <w:top w:val="nil"/>
              <w:left w:val="single" w:color="auto" w:sz="4" w:space="0"/>
              <w:bottom w:val="single" w:color="auto" w:sz="4" w:space="0"/>
              <w:right w:val="single" w:color="auto" w:sz="4" w:space="0"/>
            </w:tcBorders>
            <w:vAlign w:val="center"/>
          </w:tcPr>
          <w:p>
            <w:pPr>
              <w:jc w:val="center"/>
              <w:rPr>
                <w:rFonts w:ascii="宋体" w:hAnsi="宋体" w:cs="仿宋"/>
                <w:szCs w:val="21"/>
              </w:rPr>
            </w:pPr>
          </w:p>
          <w:p>
            <w:pPr>
              <w:jc w:val="center"/>
              <w:rPr>
                <w:rFonts w:ascii="宋体" w:hAnsi="宋体" w:cs="仿宋"/>
                <w:szCs w:val="21"/>
              </w:rPr>
            </w:pPr>
            <w:r>
              <w:rPr>
                <w:rFonts w:hint="eastAsia" w:ascii="宋体" w:hAnsi="宋体" w:cs="仿宋"/>
                <w:szCs w:val="21"/>
              </w:rPr>
              <w:t>断路器合闸电磁铁</w:t>
            </w:r>
          </w:p>
        </w:tc>
        <w:tc>
          <w:tcPr>
            <w:tcW w:w="1701" w:type="dxa"/>
            <w:tcBorders>
              <w:top w:val="nil"/>
              <w:left w:val="nil"/>
              <w:bottom w:val="single" w:color="auto" w:sz="4" w:space="0"/>
              <w:right w:val="single" w:color="auto" w:sz="4" w:space="0"/>
            </w:tcBorders>
            <w:noWrap/>
            <w:vAlign w:val="center"/>
          </w:tcPr>
          <w:p>
            <w:pPr>
              <w:jc w:val="center"/>
              <w:rPr>
                <w:rFonts w:ascii="宋体" w:hAnsi="宋体" w:cs="仿宋"/>
                <w:szCs w:val="21"/>
              </w:rPr>
            </w:pPr>
          </w:p>
        </w:tc>
        <w:tc>
          <w:tcPr>
            <w:tcW w:w="2551" w:type="dxa"/>
            <w:tcBorders>
              <w:top w:val="nil"/>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个</w:t>
            </w:r>
          </w:p>
        </w:tc>
        <w:tc>
          <w:tcPr>
            <w:tcW w:w="851" w:type="dxa"/>
            <w:tcBorders>
              <w:top w:val="nil"/>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4</w:t>
            </w:r>
          </w:p>
        </w:tc>
        <w:tc>
          <w:tcPr>
            <w:tcW w:w="1559" w:type="dxa"/>
            <w:tcBorders>
              <w:top w:val="nil"/>
              <w:left w:val="nil"/>
              <w:bottom w:val="single" w:color="auto" w:sz="4" w:space="0"/>
              <w:right w:val="single" w:color="auto" w:sz="4" w:space="0"/>
            </w:tcBorders>
            <w:noWrap/>
            <w:vAlign w:val="center"/>
          </w:tcPr>
          <w:p>
            <w:pPr>
              <w:jc w:val="center"/>
              <w:rPr>
                <w:rFonts w:ascii="宋体" w:hAnsi="宋体" w:cs="仿宋"/>
                <w:szCs w:val="21"/>
              </w:rPr>
            </w:pPr>
          </w:p>
        </w:tc>
        <w:tc>
          <w:tcPr>
            <w:tcW w:w="567" w:type="dxa"/>
            <w:tcBorders>
              <w:top w:val="nil"/>
              <w:left w:val="nil"/>
              <w:bottom w:val="single" w:color="auto" w:sz="4" w:space="0"/>
              <w:right w:val="single" w:color="auto" w:sz="4" w:space="0"/>
            </w:tcBorders>
          </w:tcPr>
          <w:p>
            <w:pPr>
              <w:jc w:val="center"/>
              <w:rPr>
                <w:rFonts w:ascii="宋体" w:hAnsi="宋体" w:cs="仿宋"/>
                <w:szCs w:val="21"/>
              </w:rPr>
            </w:pPr>
          </w:p>
        </w:tc>
      </w:tr>
      <w:tr>
        <w:tblPrEx>
          <w:tblCellMar>
            <w:top w:w="0" w:type="dxa"/>
            <w:left w:w="108" w:type="dxa"/>
            <w:bottom w:w="0" w:type="dxa"/>
            <w:right w:w="108" w:type="dxa"/>
          </w:tblCellMar>
        </w:tblPrEx>
        <w:trPr>
          <w:trHeight w:val="334" w:hRule="atLeast"/>
          <w:jc w:val="center"/>
        </w:trPr>
        <w:tc>
          <w:tcPr>
            <w:tcW w:w="214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高压绝缘手套</w:t>
            </w:r>
          </w:p>
        </w:tc>
        <w:tc>
          <w:tcPr>
            <w:tcW w:w="1701" w:type="dxa"/>
            <w:tcBorders>
              <w:top w:val="single" w:color="auto" w:sz="4" w:space="0"/>
              <w:left w:val="nil"/>
              <w:bottom w:val="single" w:color="auto" w:sz="4" w:space="0"/>
              <w:right w:val="single" w:color="auto" w:sz="4" w:space="0"/>
            </w:tcBorders>
            <w:noWrap/>
            <w:vAlign w:val="center"/>
          </w:tcPr>
          <w:p>
            <w:pPr>
              <w:jc w:val="center"/>
              <w:rPr>
                <w:rFonts w:ascii="宋体" w:hAnsi="宋体" w:cs="仿宋"/>
                <w:szCs w:val="21"/>
              </w:rPr>
            </w:pPr>
          </w:p>
        </w:tc>
        <w:tc>
          <w:tcPr>
            <w:tcW w:w="2551" w:type="dxa"/>
            <w:tcBorders>
              <w:top w:val="single" w:color="auto" w:sz="4" w:space="0"/>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双</w:t>
            </w:r>
          </w:p>
        </w:tc>
        <w:tc>
          <w:tcPr>
            <w:tcW w:w="851" w:type="dxa"/>
            <w:tcBorders>
              <w:top w:val="single" w:color="auto" w:sz="4" w:space="0"/>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1</w:t>
            </w:r>
          </w:p>
        </w:tc>
        <w:tc>
          <w:tcPr>
            <w:tcW w:w="1559" w:type="dxa"/>
            <w:tcBorders>
              <w:top w:val="single" w:color="auto" w:sz="4" w:space="0"/>
              <w:left w:val="nil"/>
              <w:bottom w:val="single" w:color="auto" w:sz="4" w:space="0"/>
              <w:right w:val="single" w:color="auto" w:sz="4" w:space="0"/>
            </w:tcBorders>
            <w:noWrap/>
            <w:vAlign w:val="center"/>
          </w:tcPr>
          <w:p>
            <w:pPr>
              <w:jc w:val="center"/>
              <w:rPr>
                <w:rFonts w:ascii="宋体" w:hAnsi="宋体" w:cs="仿宋"/>
                <w:szCs w:val="21"/>
              </w:rPr>
            </w:pPr>
          </w:p>
        </w:tc>
        <w:tc>
          <w:tcPr>
            <w:tcW w:w="567" w:type="dxa"/>
            <w:tcBorders>
              <w:top w:val="single" w:color="auto" w:sz="4" w:space="0"/>
              <w:left w:val="nil"/>
              <w:bottom w:val="single" w:color="auto" w:sz="4" w:space="0"/>
              <w:right w:val="single" w:color="auto" w:sz="4" w:space="0"/>
            </w:tcBorders>
          </w:tcPr>
          <w:p>
            <w:pPr>
              <w:jc w:val="center"/>
              <w:rPr>
                <w:rFonts w:ascii="宋体" w:hAnsi="宋体" w:cs="仿宋"/>
                <w:szCs w:val="21"/>
              </w:rPr>
            </w:pPr>
          </w:p>
        </w:tc>
      </w:tr>
      <w:tr>
        <w:tblPrEx>
          <w:tblCellMar>
            <w:top w:w="0" w:type="dxa"/>
            <w:left w:w="108" w:type="dxa"/>
            <w:bottom w:w="0" w:type="dxa"/>
            <w:right w:w="108" w:type="dxa"/>
          </w:tblCellMar>
        </w:tblPrEx>
        <w:trPr>
          <w:trHeight w:val="300" w:hRule="atLeast"/>
          <w:jc w:val="center"/>
        </w:trPr>
        <w:tc>
          <w:tcPr>
            <w:tcW w:w="214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高压电笔</w:t>
            </w:r>
          </w:p>
        </w:tc>
        <w:tc>
          <w:tcPr>
            <w:tcW w:w="1701" w:type="dxa"/>
            <w:tcBorders>
              <w:top w:val="single" w:color="auto" w:sz="4" w:space="0"/>
              <w:left w:val="nil"/>
              <w:bottom w:val="single" w:color="auto" w:sz="4" w:space="0"/>
              <w:right w:val="single" w:color="auto" w:sz="4" w:space="0"/>
            </w:tcBorders>
            <w:noWrap/>
            <w:vAlign w:val="center"/>
          </w:tcPr>
          <w:p>
            <w:pPr>
              <w:jc w:val="center"/>
              <w:rPr>
                <w:rFonts w:ascii="宋体" w:hAnsi="宋体" w:cs="仿宋"/>
                <w:szCs w:val="21"/>
              </w:rPr>
            </w:pPr>
          </w:p>
        </w:tc>
        <w:tc>
          <w:tcPr>
            <w:tcW w:w="2551" w:type="dxa"/>
            <w:tcBorders>
              <w:top w:val="single" w:color="auto" w:sz="4" w:space="0"/>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套</w:t>
            </w:r>
          </w:p>
        </w:tc>
        <w:tc>
          <w:tcPr>
            <w:tcW w:w="851" w:type="dxa"/>
            <w:tcBorders>
              <w:top w:val="single" w:color="auto" w:sz="4" w:space="0"/>
              <w:left w:val="nil"/>
              <w:bottom w:val="single" w:color="auto" w:sz="4" w:space="0"/>
              <w:right w:val="single" w:color="auto" w:sz="4" w:space="0"/>
            </w:tcBorders>
            <w:vAlign w:val="center"/>
          </w:tcPr>
          <w:p>
            <w:pPr>
              <w:jc w:val="center"/>
              <w:rPr>
                <w:rFonts w:ascii="宋体" w:hAnsi="宋体" w:cs="仿宋"/>
                <w:szCs w:val="21"/>
              </w:rPr>
            </w:pPr>
            <w:r>
              <w:rPr>
                <w:rFonts w:ascii="宋体" w:hAnsi="宋体" w:cs="仿宋"/>
                <w:szCs w:val="21"/>
              </w:rPr>
              <w:t>1</w:t>
            </w:r>
          </w:p>
        </w:tc>
        <w:tc>
          <w:tcPr>
            <w:tcW w:w="1559" w:type="dxa"/>
            <w:tcBorders>
              <w:top w:val="single" w:color="auto" w:sz="4" w:space="0"/>
              <w:left w:val="nil"/>
              <w:bottom w:val="single" w:color="auto" w:sz="4" w:space="0"/>
              <w:right w:val="single" w:color="auto" w:sz="4" w:space="0"/>
            </w:tcBorders>
            <w:noWrap/>
            <w:vAlign w:val="center"/>
          </w:tcPr>
          <w:p>
            <w:pPr>
              <w:jc w:val="center"/>
              <w:rPr>
                <w:rFonts w:ascii="宋体" w:hAnsi="宋体" w:cs="仿宋"/>
                <w:szCs w:val="21"/>
              </w:rPr>
            </w:pPr>
          </w:p>
        </w:tc>
        <w:tc>
          <w:tcPr>
            <w:tcW w:w="567" w:type="dxa"/>
            <w:tcBorders>
              <w:top w:val="single" w:color="auto" w:sz="4" w:space="0"/>
              <w:left w:val="nil"/>
              <w:bottom w:val="single" w:color="auto" w:sz="4" w:space="0"/>
              <w:right w:val="single" w:color="auto" w:sz="4" w:space="0"/>
            </w:tcBorders>
          </w:tcPr>
          <w:p>
            <w:pPr>
              <w:jc w:val="center"/>
              <w:rPr>
                <w:rFonts w:ascii="宋体" w:hAnsi="宋体" w:cs="仿宋"/>
                <w:szCs w:val="21"/>
              </w:rPr>
            </w:pPr>
          </w:p>
        </w:tc>
      </w:tr>
      <w:tr>
        <w:tblPrEx>
          <w:tblCellMar>
            <w:top w:w="0" w:type="dxa"/>
            <w:left w:w="108" w:type="dxa"/>
            <w:bottom w:w="0" w:type="dxa"/>
            <w:right w:w="108" w:type="dxa"/>
          </w:tblCellMar>
        </w:tblPrEx>
        <w:trPr>
          <w:trHeight w:val="164" w:hRule="atLeast"/>
          <w:jc w:val="center"/>
        </w:trPr>
        <w:tc>
          <w:tcPr>
            <w:tcW w:w="214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高压绝缘鞋</w:t>
            </w:r>
          </w:p>
        </w:tc>
        <w:tc>
          <w:tcPr>
            <w:tcW w:w="1701" w:type="dxa"/>
            <w:tcBorders>
              <w:top w:val="single" w:color="auto" w:sz="4" w:space="0"/>
              <w:left w:val="nil"/>
              <w:bottom w:val="single" w:color="auto" w:sz="4" w:space="0"/>
              <w:right w:val="single" w:color="auto" w:sz="4" w:space="0"/>
            </w:tcBorders>
            <w:noWrap/>
            <w:vAlign w:val="center"/>
          </w:tcPr>
          <w:p>
            <w:pPr>
              <w:jc w:val="center"/>
              <w:rPr>
                <w:rFonts w:ascii="宋体" w:hAnsi="宋体" w:cs="仿宋"/>
                <w:szCs w:val="21"/>
              </w:rPr>
            </w:pPr>
          </w:p>
        </w:tc>
        <w:tc>
          <w:tcPr>
            <w:tcW w:w="2551" w:type="dxa"/>
            <w:tcBorders>
              <w:top w:val="single" w:color="auto" w:sz="4" w:space="0"/>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双</w:t>
            </w:r>
          </w:p>
        </w:tc>
        <w:tc>
          <w:tcPr>
            <w:tcW w:w="851" w:type="dxa"/>
            <w:tcBorders>
              <w:top w:val="single" w:color="auto" w:sz="4" w:space="0"/>
              <w:left w:val="nil"/>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1</w:t>
            </w:r>
          </w:p>
        </w:tc>
        <w:tc>
          <w:tcPr>
            <w:tcW w:w="1559" w:type="dxa"/>
            <w:tcBorders>
              <w:top w:val="single" w:color="auto" w:sz="4" w:space="0"/>
              <w:left w:val="nil"/>
              <w:bottom w:val="single" w:color="auto" w:sz="4" w:space="0"/>
              <w:right w:val="single" w:color="auto" w:sz="4" w:space="0"/>
            </w:tcBorders>
            <w:noWrap/>
            <w:vAlign w:val="center"/>
          </w:tcPr>
          <w:p>
            <w:pPr>
              <w:jc w:val="center"/>
              <w:rPr>
                <w:rFonts w:ascii="宋体" w:hAnsi="宋体" w:cs="仿宋"/>
                <w:szCs w:val="21"/>
              </w:rPr>
            </w:pPr>
          </w:p>
        </w:tc>
        <w:tc>
          <w:tcPr>
            <w:tcW w:w="567" w:type="dxa"/>
            <w:tcBorders>
              <w:top w:val="single" w:color="auto" w:sz="4" w:space="0"/>
              <w:left w:val="nil"/>
              <w:bottom w:val="single" w:color="auto" w:sz="4" w:space="0"/>
              <w:right w:val="single" w:color="auto" w:sz="4" w:space="0"/>
            </w:tcBorders>
          </w:tcPr>
          <w:p>
            <w:pPr>
              <w:jc w:val="center"/>
              <w:rPr>
                <w:rFonts w:ascii="宋体" w:hAnsi="宋体" w:cs="仿宋"/>
                <w:szCs w:val="21"/>
              </w:rPr>
            </w:pPr>
          </w:p>
        </w:tc>
      </w:tr>
      <w:tr>
        <w:tblPrEx>
          <w:tblCellMar>
            <w:top w:w="0" w:type="dxa"/>
            <w:left w:w="108" w:type="dxa"/>
            <w:bottom w:w="0" w:type="dxa"/>
            <w:right w:w="108" w:type="dxa"/>
          </w:tblCellMar>
        </w:tblPrEx>
        <w:trPr>
          <w:trHeight w:val="354" w:hRule="atLeast"/>
          <w:jc w:val="center"/>
        </w:trPr>
        <w:tc>
          <w:tcPr>
            <w:tcW w:w="214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仿宋"/>
                <w:szCs w:val="21"/>
              </w:rPr>
            </w:pPr>
            <w:r>
              <w:rPr>
                <w:rFonts w:hint="eastAsia" w:ascii="宋体" w:hAnsi="宋体" w:cs="仿宋"/>
                <w:szCs w:val="21"/>
              </w:rPr>
              <w:t>合计</w:t>
            </w:r>
          </w:p>
        </w:tc>
        <w:tc>
          <w:tcPr>
            <w:tcW w:w="4252" w:type="dxa"/>
            <w:gridSpan w:val="2"/>
            <w:tcBorders>
              <w:top w:val="single" w:color="auto" w:sz="4" w:space="0"/>
              <w:left w:val="nil"/>
              <w:bottom w:val="single" w:color="auto" w:sz="4" w:space="0"/>
              <w:right w:val="single" w:color="auto" w:sz="4" w:space="0"/>
            </w:tcBorders>
            <w:noWrap/>
            <w:vAlign w:val="center"/>
          </w:tcPr>
          <w:p>
            <w:pPr>
              <w:jc w:val="center"/>
              <w:rPr>
                <w:rFonts w:ascii="宋体" w:hAnsi="宋体" w:cs="仿宋"/>
                <w:szCs w:val="21"/>
              </w:rPr>
            </w:pPr>
          </w:p>
        </w:tc>
        <w:tc>
          <w:tcPr>
            <w:tcW w:w="851" w:type="dxa"/>
            <w:tcBorders>
              <w:top w:val="single" w:color="auto" w:sz="4" w:space="0"/>
              <w:left w:val="nil"/>
              <w:bottom w:val="single" w:color="auto" w:sz="4" w:space="0"/>
              <w:right w:val="single" w:color="auto" w:sz="4" w:space="0"/>
            </w:tcBorders>
            <w:vAlign w:val="center"/>
          </w:tcPr>
          <w:p>
            <w:pPr>
              <w:jc w:val="center"/>
              <w:rPr>
                <w:rFonts w:ascii="宋体" w:hAnsi="宋体" w:cs="仿宋"/>
                <w:szCs w:val="21"/>
              </w:rPr>
            </w:pPr>
          </w:p>
        </w:tc>
        <w:tc>
          <w:tcPr>
            <w:tcW w:w="1559" w:type="dxa"/>
            <w:tcBorders>
              <w:top w:val="single" w:color="auto" w:sz="4" w:space="0"/>
              <w:left w:val="nil"/>
              <w:bottom w:val="single" w:color="auto" w:sz="4" w:space="0"/>
              <w:right w:val="single" w:color="auto" w:sz="4" w:space="0"/>
            </w:tcBorders>
            <w:noWrap/>
            <w:vAlign w:val="center"/>
          </w:tcPr>
          <w:p>
            <w:pPr>
              <w:jc w:val="center"/>
              <w:rPr>
                <w:rFonts w:ascii="宋体" w:hAnsi="宋体" w:cs="仿宋"/>
                <w:szCs w:val="21"/>
              </w:rPr>
            </w:pPr>
          </w:p>
        </w:tc>
        <w:tc>
          <w:tcPr>
            <w:tcW w:w="567" w:type="dxa"/>
            <w:tcBorders>
              <w:top w:val="single" w:color="auto" w:sz="4" w:space="0"/>
              <w:left w:val="nil"/>
              <w:bottom w:val="single" w:color="auto" w:sz="4" w:space="0"/>
              <w:right w:val="single" w:color="auto" w:sz="4" w:space="0"/>
            </w:tcBorders>
          </w:tcPr>
          <w:p>
            <w:pPr>
              <w:jc w:val="center"/>
              <w:rPr>
                <w:rFonts w:ascii="宋体" w:hAnsi="宋体" w:cs="仿宋"/>
                <w:szCs w:val="21"/>
              </w:rPr>
            </w:pPr>
          </w:p>
        </w:tc>
      </w:tr>
    </w:tbl>
    <w:p>
      <w:pPr>
        <w:pStyle w:val="32"/>
        <w:widowControl w:val="0"/>
        <w:spacing w:before="156" w:beforeAutospacing="0" w:after="156" w:afterAutospacing="0" w:line="360" w:lineRule="auto"/>
        <w:ind w:left="400"/>
        <w:jc w:val="both"/>
        <w:rPr>
          <w:rFonts w:cs="宋体"/>
          <w:sz w:val="21"/>
          <w:szCs w:val="21"/>
        </w:rPr>
      </w:pPr>
    </w:p>
    <w:p>
      <w:pPr>
        <w:widowControl/>
        <w:tabs>
          <w:tab w:val="left" w:pos="1980"/>
          <w:tab w:val="left" w:pos="2160"/>
        </w:tabs>
        <w:spacing w:line="360" w:lineRule="auto"/>
        <w:jc w:val="left"/>
        <w:rPr>
          <w:rFonts w:ascii="宋体" w:hAnsi="宋体" w:cs="宋体"/>
          <w:b/>
          <w:color w:val="000000"/>
          <w:szCs w:val="21"/>
        </w:rPr>
      </w:pP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服务费用的支付时间和支付方式：</w:t>
      </w:r>
    </w:p>
    <w:p>
      <w:pPr>
        <w:widowControl/>
        <w:numPr>
          <w:ilvl w:val="0"/>
          <w:numId w:val="4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合同总金额包括维护服务、巡检服务、工具、配件的采购、人力成本、维护检测、增值税专用发票、保险、运输、调试、检测、服务和培训及合同实施过程中所有风险、责任等各项应有费用及不可预见费。乙方漏报或不报，甲方将视为该漏报或不报部分的费用已包括在已报的报价中而不予支付。</w:t>
      </w:r>
    </w:p>
    <w:p>
      <w:pPr>
        <w:widowControl/>
        <w:numPr>
          <w:ilvl w:val="0"/>
          <w:numId w:val="42"/>
        </w:numPr>
        <w:tabs>
          <w:tab w:val="left" w:pos="1980"/>
          <w:tab w:val="left" w:pos="2160"/>
        </w:tabs>
        <w:spacing w:line="360" w:lineRule="auto"/>
        <w:jc w:val="left"/>
        <w:rPr>
          <w:rFonts w:ascii="宋体" w:hAnsi="宋体" w:cs="宋体"/>
          <w:color w:val="000000"/>
          <w:szCs w:val="21"/>
        </w:rPr>
      </w:pPr>
      <w:r>
        <w:rPr>
          <w:rFonts w:hint="eastAsia" w:ascii="宋体" w:hAnsi="宋体" w:cs="宋体"/>
          <w:szCs w:val="21"/>
        </w:rPr>
        <w:t>本项目费用由维护服务费、配件费二项组成，</w:t>
      </w:r>
      <w:r>
        <w:rPr>
          <w:rFonts w:hint="eastAsia" w:ascii="宋体" w:hAnsi="宋体" w:cs="宋体"/>
          <w:color w:val="000000"/>
          <w:szCs w:val="21"/>
        </w:rPr>
        <w:t>合同总金额      元；大写：       元整；其中维护服务费       元，发票税率    %。</w:t>
      </w:r>
      <w:r>
        <w:rPr>
          <w:rFonts w:hint="eastAsia" w:ascii="宋体" w:hAnsi="宋体" w:cs="宋体"/>
          <w:szCs w:val="21"/>
        </w:rPr>
        <w:t>配件费</w:t>
      </w:r>
      <w:r>
        <w:rPr>
          <w:rFonts w:hint="eastAsia" w:ascii="宋体" w:hAnsi="宋体" w:cs="宋体"/>
          <w:color w:val="000000"/>
          <w:szCs w:val="21"/>
        </w:rPr>
        <w:t xml:space="preserve">      元，发票税率    %。</w:t>
      </w:r>
    </w:p>
    <w:p>
      <w:pPr>
        <w:widowControl/>
        <w:numPr>
          <w:ilvl w:val="0"/>
          <w:numId w:val="4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支付时间：</w:t>
      </w:r>
    </w:p>
    <w:p>
      <w:pPr>
        <w:numPr>
          <w:ilvl w:val="0"/>
          <w:numId w:val="43"/>
        </w:numPr>
        <w:spacing w:line="360" w:lineRule="auto"/>
        <w:rPr>
          <w:rFonts w:ascii="宋体" w:hAnsi="宋体" w:cs="宋体"/>
          <w:bCs/>
          <w:szCs w:val="21"/>
        </w:rPr>
      </w:pPr>
      <w:r>
        <w:rPr>
          <w:rFonts w:hint="eastAsia" w:ascii="宋体" w:hAnsi="宋体" w:cs="宋体"/>
          <w:bCs/>
          <w:szCs w:val="21"/>
        </w:rPr>
        <w:t>维护费用结算：</w:t>
      </w:r>
    </w:p>
    <w:p>
      <w:pPr>
        <w:numPr>
          <w:ilvl w:val="0"/>
          <w:numId w:val="44"/>
        </w:numPr>
        <w:spacing w:line="360" w:lineRule="auto"/>
        <w:rPr>
          <w:rFonts w:ascii="宋体" w:hAnsi="宋体" w:cs="宋体"/>
          <w:bCs/>
          <w:szCs w:val="21"/>
        </w:rPr>
      </w:pPr>
      <w:r>
        <w:rPr>
          <w:rFonts w:hint="eastAsia" w:ascii="宋体" w:hAnsi="宋体" w:cs="宋体"/>
          <w:bCs/>
          <w:szCs w:val="21"/>
        </w:rPr>
        <w:t>维护服务费每6个月结算一次，根据考核结果支付实际维护服务费。</w:t>
      </w:r>
    </w:p>
    <w:p>
      <w:pPr>
        <w:numPr>
          <w:ilvl w:val="0"/>
          <w:numId w:val="44"/>
        </w:numPr>
        <w:spacing w:line="360" w:lineRule="auto"/>
        <w:rPr>
          <w:rFonts w:ascii="宋体" w:hAnsi="宋体" w:cs="宋体"/>
          <w:bCs/>
          <w:szCs w:val="21"/>
        </w:rPr>
      </w:pPr>
      <w:r>
        <w:rPr>
          <w:rFonts w:hint="eastAsia" w:ascii="宋体" w:hAnsi="宋体" w:cs="宋体"/>
          <w:bCs/>
          <w:szCs w:val="21"/>
        </w:rPr>
        <w:t>维护服务质量按100分制给予考评，在每6个月维护工作完成后，对乙方的服务质量进行考核，考核结果经双方确认后，按以下考核办法进行结算。</w:t>
      </w:r>
    </w:p>
    <w:p>
      <w:pPr>
        <w:numPr>
          <w:ilvl w:val="0"/>
          <w:numId w:val="44"/>
        </w:numPr>
        <w:spacing w:line="360" w:lineRule="auto"/>
        <w:rPr>
          <w:rFonts w:ascii="宋体" w:hAnsi="宋体" w:cs="宋体"/>
          <w:bCs/>
          <w:szCs w:val="21"/>
        </w:rPr>
      </w:pPr>
      <w:r>
        <w:rPr>
          <w:rFonts w:hint="eastAsia" w:ascii="宋体" w:hAnsi="宋体" w:cs="宋体"/>
          <w:bCs/>
          <w:szCs w:val="21"/>
        </w:rPr>
        <w:t>每6个月对供应商服务质量进行考核，结算以《高压配电房电气设备维护服务考核表》的评分结果进行支付，计算方法如下：总评分100-90分（包括90分），不扣除本次维护保养费用，即支付合同总额的25%款项；90分以下，每扣1分则扣除本次技术服务费的3%，本项按扣分累加制，如扣2分，则扣除本次技术服务务费6%,如此类推，即支付合同总额*25%*（1-扣除比例）。</w:t>
      </w:r>
    </w:p>
    <w:p>
      <w:pPr>
        <w:numPr>
          <w:ilvl w:val="0"/>
          <w:numId w:val="44"/>
        </w:numPr>
        <w:spacing w:line="360" w:lineRule="auto"/>
        <w:rPr>
          <w:rFonts w:ascii="宋体" w:hAnsi="宋体" w:cs="宋体"/>
          <w:bCs/>
          <w:szCs w:val="21"/>
        </w:rPr>
      </w:pPr>
      <w:r>
        <w:rPr>
          <w:rFonts w:hint="eastAsia" w:ascii="宋体" w:hAnsi="宋体" w:cs="宋体"/>
          <w:bCs/>
          <w:szCs w:val="21"/>
        </w:rPr>
        <w:t>如乙方不提供巡检服务，甲方有权利拒绝支付维护保养费并取消乙方维护资格。</w:t>
      </w:r>
    </w:p>
    <w:p>
      <w:pPr>
        <w:numPr>
          <w:ilvl w:val="0"/>
          <w:numId w:val="44"/>
        </w:numPr>
        <w:spacing w:line="360" w:lineRule="auto"/>
        <w:rPr>
          <w:rFonts w:ascii="宋体" w:hAnsi="宋体" w:cs="宋体"/>
          <w:bCs/>
          <w:szCs w:val="21"/>
        </w:rPr>
      </w:pPr>
      <w:r>
        <w:rPr>
          <w:rFonts w:hint="eastAsia" w:ascii="宋体" w:hAnsi="宋体" w:cs="宋体"/>
          <w:bCs/>
          <w:szCs w:val="21"/>
        </w:rPr>
        <w:t>每6个月考核完成后，乙方根据考核结果相应的结算金额开具增值税专用发票给甲方。甲方在收到增值税专用发票后三个月内支付该次服务费。</w:t>
      </w:r>
    </w:p>
    <w:p>
      <w:pPr>
        <w:numPr>
          <w:ilvl w:val="0"/>
          <w:numId w:val="43"/>
        </w:numPr>
        <w:spacing w:line="360" w:lineRule="auto"/>
        <w:rPr>
          <w:rFonts w:ascii="宋体" w:hAnsi="宋体" w:cs="宋体"/>
          <w:bCs/>
          <w:szCs w:val="21"/>
        </w:rPr>
      </w:pPr>
      <w:r>
        <w:rPr>
          <w:rFonts w:hint="eastAsia" w:ascii="宋体" w:hAnsi="宋体" w:cs="宋体"/>
          <w:bCs/>
          <w:szCs w:val="21"/>
        </w:rPr>
        <w:t>维修配件费用结算：合同签订生效后，所有维修配件运输到达甲方指定地点，经甲方验收合格之日起1个月内，提供货物款项的全额增值税专用发票给甲方。甲方收到合法有效发票之日起三个月内，一次性支付相应货款的【100%】。</w:t>
      </w:r>
    </w:p>
    <w:p>
      <w:pPr>
        <w:numPr>
          <w:ilvl w:val="0"/>
          <w:numId w:val="43"/>
        </w:numPr>
        <w:spacing w:line="360" w:lineRule="auto"/>
        <w:rPr>
          <w:rFonts w:ascii="宋体" w:hAnsi="宋体" w:cs="宋体"/>
          <w:bCs/>
          <w:szCs w:val="21"/>
        </w:rPr>
      </w:pPr>
      <w:r>
        <w:rPr>
          <w:rFonts w:hint="eastAsia" w:ascii="宋体" w:hAnsi="宋体" w:cs="宋体"/>
          <w:bCs/>
          <w:szCs w:val="21"/>
        </w:rPr>
        <w:t>税务</w:t>
      </w:r>
    </w:p>
    <w:p>
      <w:pPr>
        <w:numPr>
          <w:ilvl w:val="0"/>
          <w:numId w:val="45"/>
        </w:numPr>
        <w:spacing w:line="360" w:lineRule="auto"/>
        <w:rPr>
          <w:rFonts w:ascii="宋体" w:hAnsi="宋体" w:cs="宋体"/>
          <w:bCs/>
          <w:szCs w:val="21"/>
        </w:rPr>
      </w:pPr>
      <w:r>
        <w:rPr>
          <w:rFonts w:hint="eastAsia" w:ascii="宋体" w:hAnsi="宋体" w:cs="宋体"/>
          <w:bCs/>
          <w:szCs w:val="21"/>
        </w:rPr>
        <w:t xml:space="preserve">乙方承诺其开具增值税专用发票的形式与内容均合法、有效、完整、准确。不开具或开具不合格的增值税专用发票，甲方有权顺延支付应付款项且不承担任何违约责任，且乙方的各项合同义务仍应按合同约定履行。 </w:t>
      </w:r>
    </w:p>
    <w:p>
      <w:pPr>
        <w:numPr>
          <w:ilvl w:val="0"/>
          <w:numId w:val="45"/>
        </w:numPr>
        <w:spacing w:line="360" w:lineRule="auto"/>
        <w:rPr>
          <w:rFonts w:ascii="宋体" w:hAnsi="宋体" w:cs="宋体"/>
          <w:bCs/>
          <w:szCs w:val="21"/>
        </w:rPr>
      </w:pPr>
      <w:r>
        <w:rPr>
          <w:rFonts w:hint="eastAsia" w:ascii="宋体" w:hAnsi="宋体" w:cs="宋体"/>
          <w:bCs/>
          <w:szCs w:val="21"/>
        </w:rPr>
        <w:t>如出现国家税收政策调整时，双方应根据实际税收调整情况，以本合同中的不含税单价（不含税单价=含税单价/（1+税率）为依据相应调整受影响的合同含税金额，乙方需按照税收调整政策规定开具合法合规发票。</w:t>
      </w:r>
    </w:p>
    <w:p>
      <w:pPr>
        <w:numPr>
          <w:ilvl w:val="0"/>
          <w:numId w:val="43"/>
        </w:numPr>
        <w:spacing w:line="360" w:lineRule="auto"/>
        <w:rPr>
          <w:rFonts w:ascii="宋体" w:hAnsi="宋体" w:cs="宋体"/>
          <w:bCs/>
          <w:szCs w:val="21"/>
        </w:rPr>
      </w:pPr>
      <w:r>
        <w:rPr>
          <w:rFonts w:hint="eastAsia" w:ascii="宋体" w:hAnsi="宋体" w:cs="宋体"/>
          <w:bCs/>
          <w:szCs w:val="21"/>
        </w:rPr>
        <w:t>付款方式：电汇或银行转账。</w:t>
      </w:r>
    </w:p>
    <w:p>
      <w:pPr>
        <w:numPr>
          <w:ilvl w:val="0"/>
          <w:numId w:val="43"/>
        </w:numPr>
        <w:spacing w:line="360" w:lineRule="auto"/>
        <w:rPr>
          <w:rFonts w:ascii="宋体" w:hAnsi="宋体" w:cs="宋体"/>
          <w:color w:val="000000"/>
          <w:szCs w:val="21"/>
        </w:rPr>
      </w:pPr>
      <w:r>
        <w:rPr>
          <w:rFonts w:hint="eastAsia" w:ascii="宋体" w:hAnsi="宋体" w:cs="宋体"/>
          <w:bCs/>
          <w:szCs w:val="21"/>
        </w:rPr>
        <w:t>收款方、出具发票方均必须与合同乙方名称一致。</w:t>
      </w:r>
    </w:p>
    <w:p>
      <w:pPr>
        <w:widowControl/>
        <w:numPr>
          <w:ilvl w:val="0"/>
          <w:numId w:val="34"/>
        </w:numPr>
        <w:tabs>
          <w:tab w:val="left" w:pos="1980"/>
          <w:tab w:val="left" w:pos="2160"/>
        </w:tabs>
        <w:spacing w:line="360" w:lineRule="auto"/>
        <w:jc w:val="left"/>
        <w:rPr>
          <w:rFonts w:ascii="宋体" w:hAnsi="宋体" w:cs="宋体"/>
          <w:b/>
          <w:color w:val="000000"/>
          <w:szCs w:val="21"/>
        </w:rPr>
      </w:pPr>
      <w:bookmarkStart w:id="9" w:name="_Toc518311990"/>
      <w:r>
        <w:rPr>
          <w:rFonts w:hint="eastAsia" w:ascii="宋体" w:hAnsi="宋体" w:cs="宋体"/>
          <w:b/>
          <w:color w:val="000000"/>
          <w:szCs w:val="21"/>
        </w:rPr>
        <w:t>维修配件交付验收</w:t>
      </w:r>
      <w:bookmarkEnd w:id="9"/>
    </w:p>
    <w:p>
      <w:pPr>
        <w:numPr>
          <w:ilvl w:val="0"/>
          <w:numId w:val="46"/>
        </w:numPr>
        <w:spacing w:line="360" w:lineRule="auto"/>
        <w:ind w:left="0"/>
        <w:rPr>
          <w:rFonts w:ascii="宋体" w:hAnsi="宋体" w:cs="宋体"/>
          <w:vanish/>
          <w:szCs w:val="21"/>
        </w:rPr>
      </w:pPr>
    </w:p>
    <w:p>
      <w:pPr>
        <w:numPr>
          <w:ilvl w:val="0"/>
          <w:numId w:val="47"/>
        </w:numPr>
        <w:spacing w:line="360" w:lineRule="auto"/>
        <w:rPr>
          <w:rFonts w:ascii="宋体" w:hAnsi="宋体" w:cs="宋体"/>
          <w:szCs w:val="21"/>
        </w:rPr>
      </w:pPr>
      <w:r>
        <w:rPr>
          <w:rFonts w:hint="eastAsia" w:ascii="宋体" w:hAnsi="宋体" w:cs="宋体"/>
          <w:szCs w:val="21"/>
        </w:rPr>
        <w:t>交货时间：乙方按甲方要求在合同生效后【30】日内完成供货安装。</w:t>
      </w:r>
    </w:p>
    <w:p>
      <w:pPr>
        <w:numPr>
          <w:ilvl w:val="0"/>
          <w:numId w:val="47"/>
        </w:numPr>
        <w:spacing w:line="360" w:lineRule="auto"/>
        <w:rPr>
          <w:rFonts w:ascii="宋体" w:hAnsi="宋体" w:cs="宋体"/>
          <w:szCs w:val="21"/>
        </w:rPr>
      </w:pPr>
      <w:r>
        <w:rPr>
          <w:rFonts w:hint="eastAsia" w:ascii="宋体" w:hAnsi="宋体" w:cs="宋体"/>
          <w:szCs w:val="21"/>
        </w:rPr>
        <w:t>交货地点：按甲方要求将货物送到佛山市顺德区大良街道广珠路（105国道）南一路2号广东德冠灯饰一厂6号仓库（105国道往容桂方向祥和律师事务所旁）或甲方指定收货地点。乙方须出具送货单，由甲方收货人员签收。如果发现货物短缺、毁损等与合同约定不符的情况，甲方有权拒收。</w:t>
      </w:r>
    </w:p>
    <w:p>
      <w:pPr>
        <w:numPr>
          <w:ilvl w:val="0"/>
          <w:numId w:val="47"/>
        </w:numPr>
        <w:spacing w:line="360" w:lineRule="auto"/>
        <w:rPr>
          <w:rFonts w:ascii="宋体" w:hAnsi="宋体" w:cs="宋体"/>
          <w:szCs w:val="21"/>
        </w:rPr>
      </w:pPr>
      <w:r>
        <w:rPr>
          <w:rFonts w:hint="eastAsia" w:ascii="宋体" w:hAnsi="宋体" w:cs="宋体"/>
          <w:szCs w:val="21"/>
        </w:rPr>
        <w:t>送货单/收货单签收仅视为甲方确认货物的数量、外观等外在情况符合要求，非甲方对货物质量的确认，货物质量的确认以甲方另行出具的书面验收结论报告为准。送货单/收货单的签署不使甲方丧失因质量问题而向乙方索赔和求偿的权利，同时不免除乙方对于货物质量缺陷或瑕疵负有的相应担保责任。</w:t>
      </w:r>
    </w:p>
    <w:p>
      <w:pPr>
        <w:numPr>
          <w:ilvl w:val="0"/>
          <w:numId w:val="47"/>
        </w:numPr>
        <w:spacing w:line="360" w:lineRule="auto"/>
        <w:rPr>
          <w:rFonts w:ascii="宋体" w:hAnsi="宋体" w:cs="宋体"/>
          <w:szCs w:val="21"/>
        </w:rPr>
      </w:pPr>
      <w:r>
        <w:rPr>
          <w:rFonts w:hint="eastAsia" w:ascii="宋体" w:hAnsi="宋体" w:cs="宋体"/>
          <w:szCs w:val="21"/>
        </w:rPr>
        <w:t>甲方签收货物后（如需安装调试的货物在安装调试完成后）甲方根据货物检验结果出具书面到货验收结论，货物质量的确认以甲方出具的书面验收结论为准。</w:t>
      </w:r>
    </w:p>
    <w:p>
      <w:pPr>
        <w:numPr>
          <w:ilvl w:val="0"/>
          <w:numId w:val="47"/>
        </w:numPr>
        <w:spacing w:line="360" w:lineRule="auto"/>
        <w:rPr>
          <w:rFonts w:ascii="宋体" w:hAnsi="宋体" w:cs="宋体"/>
          <w:szCs w:val="21"/>
        </w:rPr>
      </w:pPr>
      <w:r>
        <w:rPr>
          <w:rFonts w:hint="eastAsia" w:ascii="宋体" w:hAnsi="宋体" w:cs="宋体"/>
          <w:szCs w:val="21"/>
        </w:rPr>
        <w:t>如甲方因乙方交货不符合合同要求或双方约定的质量、规格等原因而拒收或者解除合同的，货物毁损、灭失的风险、迟交货责任由乙方自行承担。</w:t>
      </w:r>
    </w:p>
    <w:p>
      <w:pPr>
        <w:widowControl/>
        <w:numPr>
          <w:ilvl w:val="0"/>
          <w:numId w:val="34"/>
        </w:numPr>
        <w:tabs>
          <w:tab w:val="left" w:pos="1980"/>
          <w:tab w:val="left" w:pos="2160"/>
        </w:tabs>
        <w:spacing w:line="360" w:lineRule="auto"/>
        <w:jc w:val="left"/>
        <w:rPr>
          <w:rFonts w:ascii="宋体" w:hAnsi="宋体" w:cs="宋体"/>
          <w:b/>
          <w:color w:val="000000"/>
          <w:szCs w:val="21"/>
        </w:rPr>
      </w:pPr>
      <w:bookmarkStart w:id="10" w:name="_Toc518311991"/>
      <w:r>
        <w:rPr>
          <w:rFonts w:hint="eastAsia" w:ascii="宋体" w:hAnsi="宋体" w:cs="宋体"/>
          <w:b/>
          <w:color w:val="000000"/>
          <w:szCs w:val="21"/>
        </w:rPr>
        <w:t>货物质量要求</w:t>
      </w:r>
      <w:bookmarkEnd w:id="10"/>
    </w:p>
    <w:p>
      <w:pPr>
        <w:numPr>
          <w:ilvl w:val="0"/>
          <w:numId w:val="46"/>
        </w:numPr>
        <w:spacing w:line="360" w:lineRule="auto"/>
        <w:ind w:left="0"/>
        <w:rPr>
          <w:rFonts w:ascii="宋体" w:hAnsi="宋体" w:cs="宋体"/>
          <w:vanish/>
          <w:szCs w:val="21"/>
        </w:rPr>
      </w:pPr>
    </w:p>
    <w:p>
      <w:pPr>
        <w:numPr>
          <w:ilvl w:val="0"/>
          <w:numId w:val="48"/>
        </w:numPr>
        <w:spacing w:line="360" w:lineRule="auto"/>
        <w:rPr>
          <w:rFonts w:ascii="宋体" w:hAnsi="宋体" w:cs="宋体"/>
          <w:szCs w:val="21"/>
        </w:rPr>
      </w:pPr>
      <w:r>
        <w:rPr>
          <w:rFonts w:hint="eastAsia" w:ascii="宋体" w:hAnsi="宋体" w:cs="宋体"/>
          <w:szCs w:val="21"/>
        </w:rPr>
        <w:t>本合同项下的货物适用下列技术和质量标准</w:t>
      </w:r>
      <w:bookmarkStart w:id="11" w:name="_Hlk520055294"/>
      <w:r>
        <w:rPr>
          <w:rFonts w:hint="eastAsia" w:ascii="宋体" w:hAnsi="宋体" w:cs="宋体"/>
          <w:szCs w:val="21"/>
        </w:rPr>
        <w:t>(以其中标准最高者为准)：</w:t>
      </w:r>
      <w:bookmarkEnd w:id="11"/>
      <w:r>
        <w:rPr>
          <w:rFonts w:hint="eastAsia" w:ascii="宋体" w:hAnsi="宋体" w:cs="宋体"/>
          <w:szCs w:val="21"/>
        </w:rPr>
        <w:t>①符合中华人民共和国国家和履约地相关安全质量标准、行业技术规范标准、环保节能标准；②符合甲方采购文件和响应承诺中合同约定的合理最佳配置、参数规格及各项要求；③符合产品来源国官方颁布的最新标准；④双方约定的质量标准。</w:t>
      </w:r>
    </w:p>
    <w:p>
      <w:pPr>
        <w:numPr>
          <w:ilvl w:val="0"/>
          <w:numId w:val="48"/>
        </w:numPr>
        <w:spacing w:line="360" w:lineRule="auto"/>
        <w:rPr>
          <w:rFonts w:ascii="宋体" w:hAnsi="宋体" w:cs="宋体"/>
          <w:szCs w:val="21"/>
        </w:rPr>
      </w:pPr>
      <w:r>
        <w:rPr>
          <w:rFonts w:hint="eastAsia" w:ascii="宋体" w:hAnsi="宋体" w:cs="宋体"/>
          <w:szCs w:val="21"/>
        </w:rPr>
        <w:t>中国境内制造的产品必须提供出厂合格证。关键产品/主机设备的用户手册、保修手册、有关单证资料及配备件、随机工具等，使用操作及安全须知等重要资料应附有中文说明。</w:t>
      </w:r>
    </w:p>
    <w:p>
      <w:pPr>
        <w:numPr>
          <w:ilvl w:val="0"/>
          <w:numId w:val="48"/>
        </w:numPr>
        <w:spacing w:line="360" w:lineRule="auto"/>
        <w:rPr>
          <w:rFonts w:ascii="宋体" w:hAnsi="宋体" w:cs="宋体"/>
          <w:szCs w:val="21"/>
        </w:rPr>
      </w:pPr>
      <w:r>
        <w:rPr>
          <w:rFonts w:hint="eastAsia" w:ascii="宋体" w:hAnsi="宋体" w:cs="宋体"/>
          <w:szCs w:val="21"/>
        </w:rPr>
        <w:t>当货物来源于中华人民共和国境外时，货物必须附有原产地证明、中华人民共和国商检机构的检验证明、合法进货渠道证明及海关完税证明，此外，有关技术资料中须附有全文翻译的、完整的中文文本。</w:t>
      </w:r>
    </w:p>
    <w:p>
      <w:pPr>
        <w:numPr>
          <w:ilvl w:val="0"/>
          <w:numId w:val="48"/>
        </w:numPr>
        <w:spacing w:line="360" w:lineRule="auto"/>
        <w:rPr>
          <w:rFonts w:ascii="宋体" w:hAnsi="宋体" w:cs="宋体"/>
          <w:szCs w:val="21"/>
        </w:rPr>
      </w:pPr>
      <w:r>
        <w:rPr>
          <w:rFonts w:hint="eastAsia" w:ascii="宋体" w:hAnsi="宋体" w:cs="宋体"/>
          <w:szCs w:val="21"/>
        </w:rPr>
        <w:t>产品均为近12个月内原厂制造的全新合格产品，且有合法透明的来源渠道，如为整机须无污染、无侵权行为、表面无划损、无任何缺陷隐患，可依常规合法安全使用。</w:t>
      </w:r>
    </w:p>
    <w:p>
      <w:pPr>
        <w:numPr>
          <w:ilvl w:val="0"/>
          <w:numId w:val="48"/>
        </w:numPr>
        <w:spacing w:line="360" w:lineRule="auto"/>
        <w:rPr>
          <w:rFonts w:ascii="宋体" w:hAnsi="宋体" w:cs="宋体"/>
          <w:szCs w:val="21"/>
        </w:rPr>
      </w:pPr>
      <w:r>
        <w:rPr>
          <w:rFonts w:hint="eastAsia" w:ascii="宋体" w:hAnsi="宋体" w:cs="宋体"/>
          <w:szCs w:val="21"/>
        </w:rPr>
        <w:t>乙方必须确保货物及所有配套件的完整性，对于竞价文件没有列出，而对货物的正常运行和维护必不可少的且应属于货物配带的部件、配件等，乙方有责任给予补充。</w:t>
      </w:r>
    </w:p>
    <w:p>
      <w:pPr>
        <w:widowControl/>
        <w:numPr>
          <w:ilvl w:val="0"/>
          <w:numId w:val="34"/>
        </w:numPr>
        <w:tabs>
          <w:tab w:val="left" w:pos="1980"/>
          <w:tab w:val="left" w:pos="2160"/>
        </w:tabs>
        <w:spacing w:line="360" w:lineRule="auto"/>
        <w:jc w:val="left"/>
        <w:rPr>
          <w:rFonts w:ascii="宋体" w:hAnsi="宋体" w:cs="宋体"/>
          <w:b/>
          <w:color w:val="000000"/>
          <w:szCs w:val="21"/>
        </w:rPr>
      </w:pPr>
      <w:bookmarkStart w:id="12" w:name="_Toc518311995"/>
      <w:r>
        <w:rPr>
          <w:rFonts w:hint="eastAsia" w:ascii="宋体" w:hAnsi="宋体" w:cs="宋体"/>
          <w:b/>
          <w:color w:val="000000"/>
          <w:szCs w:val="21"/>
        </w:rPr>
        <w:t>质量检测</w:t>
      </w:r>
      <w:bookmarkEnd w:id="12"/>
    </w:p>
    <w:p>
      <w:pPr>
        <w:numPr>
          <w:ilvl w:val="0"/>
          <w:numId w:val="46"/>
        </w:numPr>
        <w:spacing w:line="360" w:lineRule="auto"/>
        <w:ind w:left="0"/>
        <w:rPr>
          <w:rFonts w:ascii="宋体" w:hAnsi="宋体" w:cs="宋体"/>
          <w:vanish/>
          <w:szCs w:val="21"/>
        </w:rPr>
      </w:pPr>
    </w:p>
    <w:p>
      <w:pPr>
        <w:numPr>
          <w:ilvl w:val="0"/>
          <w:numId w:val="49"/>
        </w:numPr>
        <w:spacing w:line="360" w:lineRule="auto"/>
        <w:rPr>
          <w:rFonts w:ascii="宋体" w:hAnsi="宋体" w:cs="宋体"/>
          <w:szCs w:val="21"/>
        </w:rPr>
      </w:pPr>
      <w:r>
        <w:rPr>
          <w:rFonts w:hint="eastAsia" w:ascii="宋体" w:hAnsi="宋体" w:cs="宋体"/>
          <w:szCs w:val="21"/>
        </w:rPr>
        <w:t>甲方有权在合同期内委托第三方检测机构对乙方所供货物进行质量专项检测，检测结果对双方有约束力。</w:t>
      </w:r>
    </w:p>
    <w:p>
      <w:pPr>
        <w:numPr>
          <w:ilvl w:val="0"/>
          <w:numId w:val="49"/>
        </w:numPr>
        <w:spacing w:line="360" w:lineRule="auto"/>
        <w:rPr>
          <w:rFonts w:ascii="宋体" w:hAnsi="宋体" w:cs="宋体"/>
          <w:szCs w:val="21"/>
        </w:rPr>
      </w:pPr>
      <w:r>
        <w:rPr>
          <w:rFonts w:hint="eastAsia" w:ascii="宋体" w:hAnsi="宋体" w:cs="宋体"/>
          <w:szCs w:val="21"/>
        </w:rPr>
        <w:t>检测结果不符合合同约定的，甲方有权单方解除合同，退回乙方已供货物。乙方必须在接到甲方检测结果通知的【5】个工作日内返还甲方已付货款，并承担违约责任，赔偿由此给甲方造成的全部损失。检测结果不符合合同约定的，检测费用由乙方承担。</w:t>
      </w:r>
    </w:p>
    <w:p>
      <w:pPr>
        <w:widowControl/>
        <w:numPr>
          <w:ilvl w:val="0"/>
          <w:numId w:val="34"/>
        </w:numPr>
        <w:tabs>
          <w:tab w:val="left" w:pos="1980"/>
          <w:tab w:val="left" w:pos="2160"/>
        </w:tabs>
        <w:spacing w:line="360" w:lineRule="auto"/>
        <w:jc w:val="left"/>
        <w:rPr>
          <w:rFonts w:ascii="宋体" w:hAnsi="宋体" w:cs="宋体"/>
          <w:b/>
          <w:color w:val="000000"/>
          <w:szCs w:val="21"/>
        </w:rPr>
      </w:pPr>
      <w:bookmarkStart w:id="13" w:name="_Toc518311996"/>
      <w:r>
        <w:rPr>
          <w:rFonts w:hint="eastAsia" w:ascii="宋体" w:hAnsi="宋体" w:cs="宋体"/>
          <w:b/>
          <w:color w:val="000000"/>
          <w:szCs w:val="21"/>
        </w:rPr>
        <w:t>质保期和售后服务</w:t>
      </w:r>
      <w:bookmarkEnd w:id="13"/>
    </w:p>
    <w:p>
      <w:pPr>
        <w:numPr>
          <w:ilvl w:val="0"/>
          <w:numId w:val="46"/>
        </w:numPr>
        <w:spacing w:line="360" w:lineRule="auto"/>
        <w:ind w:left="0"/>
        <w:rPr>
          <w:rFonts w:ascii="宋体" w:hAnsi="宋体" w:cs="宋体"/>
          <w:vanish/>
          <w:szCs w:val="21"/>
        </w:rPr>
      </w:pPr>
    </w:p>
    <w:p>
      <w:pPr>
        <w:numPr>
          <w:ilvl w:val="0"/>
          <w:numId w:val="50"/>
        </w:numPr>
        <w:spacing w:line="360" w:lineRule="auto"/>
        <w:rPr>
          <w:rFonts w:ascii="宋体" w:hAnsi="宋体" w:cs="宋体"/>
          <w:szCs w:val="21"/>
        </w:rPr>
      </w:pPr>
      <w:r>
        <w:rPr>
          <w:rFonts w:hint="eastAsia" w:ascii="宋体" w:hAnsi="宋体" w:cs="宋体"/>
          <w:szCs w:val="21"/>
        </w:rPr>
        <w:t>质量保证期（简称“质保期”）：货物验收合格之日起【1】年。配件与主产品的质保期一致。</w:t>
      </w:r>
    </w:p>
    <w:p>
      <w:pPr>
        <w:numPr>
          <w:ilvl w:val="0"/>
          <w:numId w:val="50"/>
        </w:numPr>
        <w:spacing w:line="360" w:lineRule="auto"/>
        <w:rPr>
          <w:rFonts w:ascii="宋体" w:hAnsi="宋体" w:cs="宋体"/>
          <w:szCs w:val="21"/>
        </w:rPr>
      </w:pPr>
      <w:r>
        <w:rPr>
          <w:rFonts w:hint="eastAsia" w:ascii="宋体" w:hAnsi="宋体" w:cs="宋体"/>
          <w:szCs w:val="21"/>
        </w:rPr>
        <w:t>质保期内，甲方在使用货物过程中出现问题的，乙方应在接到甲方通知后2小时内响应，4小时内到达现场，24小时内处理完毕。乙方须提供常设每周7天×24小时热线服务和长期的免费技术支持。</w:t>
      </w:r>
    </w:p>
    <w:p>
      <w:pPr>
        <w:numPr>
          <w:ilvl w:val="0"/>
          <w:numId w:val="50"/>
        </w:numPr>
        <w:spacing w:line="360" w:lineRule="auto"/>
        <w:rPr>
          <w:rFonts w:ascii="宋体" w:hAnsi="宋体" w:cs="宋体"/>
          <w:szCs w:val="21"/>
        </w:rPr>
      </w:pPr>
      <w:r>
        <w:rPr>
          <w:rFonts w:hint="eastAsia" w:ascii="宋体" w:hAnsi="宋体" w:cs="宋体"/>
          <w:szCs w:val="21"/>
        </w:rPr>
        <w:t>质保期内，对保修范围内的保修服务所发生的全部物质损耗和人员费用，均由乙方予以承担。乙方未及时承担保修责任的，甲方有权采用其他渠道和方式对乙方货物进行维修、补正，由此产生的费用由乙方承担。</w:t>
      </w:r>
    </w:p>
    <w:p>
      <w:pPr>
        <w:numPr>
          <w:ilvl w:val="0"/>
          <w:numId w:val="50"/>
        </w:numPr>
        <w:spacing w:line="360" w:lineRule="auto"/>
        <w:rPr>
          <w:rFonts w:ascii="宋体" w:hAnsi="宋体" w:cs="宋体"/>
          <w:b/>
          <w:color w:val="000000"/>
          <w:szCs w:val="21"/>
        </w:rPr>
      </w:pPr>
      <w:r>
        <w:rPr>
          <w:rFonts w:hint="eastAsia" w:ascii="宋体" w:hAnsi="宋体" w:cs="宋体"/>
          <w:szCs w:val="21"/>
        </w:rPr>
        <w:t>质保期内, 如设备或零部件非人为因素出现故障而造成短期停用时，则质保期相应顺延。如设备因自身故障致停用时间累计超过30天则质保期在状态恢复正常时重新起计。</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甲方的权利和义务：</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不得妨碍乙方依法或依本合同规定所开展的管理工作，对乙方的管理工作有监督权、检查权和建议权。</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甲方具有电气操作资质的电工，可以对维护电气设备中的低压柜出线开关进行停、送电操作，每次操作完毕后，必须由专人在半个工作日内向乙方通报，并会同乙方的设备管理人员检查相关设备的运行状况是否安全完好。</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对维护电气设备设施进行改建、扩建等可能损坏维护电气设备设施的行为前，必须提前告知乙方。</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负责处理非乙方原因而产生的各种纠纷。</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按照有关电力法规、政策和规程，正确、安全用电。</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协助乙方做好维护设备设施的管理工作和宣传教育活动。</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保证维护的电气设备设施必须符合相关法规、规程中的标准。</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按本合同规定的时间、金额、方式支付报酬给乙方。</w:t>
      </w:r>
    </w:p>
    <w:p>
      <w:pPr>
        <w:widowControl/>
        <w:numPr>
          <w:ilvl w:val="0"/>
          <w:numId w:val="51"/>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法规、政策规定由甲方承担的其他责任。</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乙方的权利和义务：</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对甲方执行有关的电力法规、政策、规程和正确、安全用电等具有建议权。</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根据服务项目和服务内容，依据本合同的规定收取维护服务报酬。</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根据有关法律、法规、政策和本合同的规定，自主开展各项管理活动。对各项服务管理工作做好书面记录，建立电气设备设施的管理档案，每月向甲方报送《电气设备月度运行情况报告》。</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不得擅自改变电气设备设施的使用功能，如需改建、扩建及完善配套项目，须经甲方同意后方可实施。</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免费为用户的高压绝缘杆、高压验电笔、高压绝缘靴及高压绝缘手套做预防性试验。</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免人工费为电气设备设施进行故障检修、规范的保养和维护。</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根据甲方的需要，为甲方制定最佳用电方案、特殊情况下的保供电方案和故障应急方案。</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接受地方电力主管部门的监督和管理，接受甲方的监督和检查。</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维护电气设备设施管理范围外的其他一切设备、人身安全责任和因维护设备故障造成生产经营的直接和间接的损失，按照各自的过错承担责任。</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乙方应为其工作人员购买工伤意外等保险并做好安全教育培训管理。</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非甲方工作生产区域内的治安管理原因，乙方承担乙方的工作人员在甲方工作生产区域内的人身安全责任。</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乙方在履行本维护服务合同期间，应为其工作人员配备必要的安全施工设备，如发生人身损害事故由乙方自行承担，与甲方无关。</w:t>
      </w:r>
    </w:p>
    <w:p>
      <w:pPr>
        <w:widowControl/>
        <w:numPr>
          <w:ilvl w:val="0"/>
          <w:numId w:val="52"/>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乙方在对高压配电房维护期间，如果因为实际工作要求需要接触到业务数据，需要对这些业务数据履行保密的职责，未经系统管理员或业务部门的授权，不能拷贝、传播此类数据或者将此类数据提供给第三方，并签订保密协议。</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管理服务目标：</w:t>
      </w:r>
    </w:p>
    <w:p>
      <w:pPr>
        <w:widowControl/>
        <w:numPr>
          <w:ilvl w:val="0"/>
          <w:numId w:val="53"/>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所有维护电气设备外观完好，各部件能正常工作。</w:t>
      </w:r>
    </w:p>
    <w:p>
      <w:pPr>
        <w:widowControl/>
        <w:numPr>
          <w:ilvl w:val="0"/>
          <w:numId w:val="53"/>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变压器室、高低压电房清洁，各类防小动物措施完善。</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违约责任及免责条款：</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甲方的电工对低压柜出线开关进行停、送电操作失误，或操作完毕后没有及时通知乙方进行检查的，由此发生电气设备设施故障等造成的损失，由甲方承担责任。</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甲方违反电力法规、政策和规程等用电，如电气设备超负荷、过电流或者产生谐波源运作等造成损失和事故的，由甲方承担责任。</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甲方对维护电气设备设施进行改建、扩建等可能损坏维护电气设备设施的行为前，未提前告知乙方，就擅自实施而造成电气设备设施故障或损坏的，由甲方承担责任。</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甲方未按合同规定支付乙方报酬的，每延误一天，需按未付金额的万分之五支付利息给乙方。</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乙方未按照合同约定完成服务工作的，甲方有权要求乙方限期整改，乙方超过限期仍不整改的或整改不符合要求的，视为实质违约，甲方有权单方面解除合同，乙方需赔偿甲方合同金额10%的违约金，乙方给甲方造成的实际损失超过前述违约金标准的，还应赔偿超出部分的损失。</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乙方未经甲方同意擅自改变维护电气设备设施使用功能的，甲方有权要求乙方恢复原状并要求乙方承担因此所产生的损失。</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对电力管理部门安全检查中发现的问题，如果由于乙方的原因，未能及时进行整改和检修，造成不能通过安全检查的，由乙方承担责任。</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因乙方设备管理人员操作不当等原因造成维护电气设备设施发生故障的，由乙方承担损坏电气设备设施的维修和更换费用，上述情况出现超过2次的，甲方有权解除本合同。</w:t>
      </w:r>
    </w:p>
    <w:p>
      <w:pPr>
        <w:widowControl/>
        <w:numPr>
          <w:ilvl w:val="0"/>
          <w:numId w:val="54"/>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本合同执行期间，如遇不可抗力，如战争、水灾、地震、雷击、火灾、政策法规改变等，致使维护电气设备设施损毁或本合同内容发生重大改变的，双方均有权要求解除本合同，且不需承担违约责任。声称因不可抗力事件丧失履行能力的一方应采取适当措施最大限度减少或消除不可抗力事件的影响，在不可抗力事件结束后14日内向另一方提供相关证明材料，并在尽可能短的时间内尝试恢复履行受不可抗力事件影响的义务。</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终止合同条件</w:t>
      </w:r>
    </w:p>
    <w:p>
      <w:pPr>
        <w:widowControl/>
        <w:numPr>
          <w:ilvl w:val="0"/>
          <w:numId w:val="55"/>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如乙方不提供维护保养，巡检或故障维修服务，甲方有权利拒绝支付相应费用并取消乙方的维护资格并终止合同。</w:t>
      </w:r>
    </w:p>
    <w:p>
      <w:pPr>
        <w:widowControl/>
        <w:numPr>
          <w:ilvl w:val="0"/>
          <w:numId w:val="55"/>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如甲方使用的高压配电房因发生扩建（改建）等客观原因造成被维护的电气设备停止使用，甲方有权利按乙方已完成服务时间支付相应的服务费后终止合同。</w:t>
      </w:r>
    </w:p>
    <w:p>
      <w:pPr>
        <w:widowControl/>
        <w:numPr>
          <w:ilvl w:val="0"/>
          <w:numId w:val="34"/>
        </w:numPr>
        <w:tabs>
          <w:tab w:val="left" w:pos="1980"/>
          <w:tab w:val="left" w:pos="2160"/>
        </w:tabs>
        <w:spacing w:line="360" w:lineRule="auto"/>
        <w:jc w:val="left"/>
        <w:rPr>
          <w:rFonts w:ascii="宋体" w:hAnsi="宋体" w:cs="宋体"/>
          <w:b/>
          <w:color w:val="000000"/>
          <w:szCs w:val="21"/>
        </w:rPr>
      </w:pPr>
      <w:r>
        <w:rPr>
          <w:rFonts w:hint="eastAsia" w:ascii="宋体" w:hAnsi="宋体" w:cs="宋体"/>
          <w:b/>
          <w:color w:val="000000"/>
          <w:szCs w:val="21"/>
        </w:rPr>
        <w:t>其它事项：</w:t>
      </w:r>
    </w:p>
    <w:p>
      <w:pPr>
        <w:widowControl/>
        <w:numPr>
          <w:ilvl w:val="0"/>
          <w:numId w:val="56"/>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本合同一式四份，双方各执两份。</w:t>
      </w:r>
    </w:p>
    <w:p>
      <w:pPr>
        <w:widowControl/>
        <w:numPr>
          <w:ilvl w:val="0"/>
          <w:numId w:val="56"/>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本合同自签订之日起生效。</w:t>
      </w:r>
    </w:p>
    <w:p>
      <w:pPr>
        <w:widowControl/>
        <w:numPr>
          <w:ilvl w:val="0"/>
          <w:numId w:val="56"/>
        </w:numPr>
        <w:tabs>
          <w:tab w:val="left" w:pos="1980"/>
          <w:tab w:val="left" w:pos="2160"/>
        </w:tabs>
        <w:spacing w:line="360" w:lineRule="auto"/>
        <w:jc w:val="left"/>
        <w:rPr>
          <w:rFonts w:ascii="宋体" w:hAnsi="宋体" w:cs="宋体"/>
          <w:color w:val="000000"/>
          <w:szCs w:val="21"/>
        </w:rPr>
      </w:pPr>
      <w:r>
        <w:rPr>
          <w:rFonts w:hint="eastAsia" w:ascii="宋体" w:hAnsi="宋体" w:cs="宋体"/>
          <w:color w:val="000000"/>
          <w:szCs w:val="21"/>
        </w:rPr>
        <w:t>本合同所述的法规、政策和规程均为合同签订之时国家颁布的有效的法规、政策和规程。</w:t>
      </w:r>
    </w:p>
    <w:p>
      <w:pPr>
        <w:numPr>
          <w:ilvl w:val="0"/>
          <w:numId w:val="56"/>
        </w:numPr>
        <w:spacing w:line="360" w:lineRule="auto"/>
        <w:rPr>
          <w:rFonts w:ascii="宋体" w:hAnsi="宋体" w:cs="宋体"/>
          <w:bCs/>
          <w:color w:val="000000"/>
          <w:szCs w:val="21"/>
        </w:rPr>
      </w:pPr>
      <w:r>
        <w:rPr>
          <w:rFonts w:hint="eastAsia" w:ascii="宋体" w:hAnsi="宋体" w:cs="宋体"/>
          <w:bCs/>
          <w:color w:val="000000"/>
          <w:szCs w:val="21"/>
        </w:rPr>
        <w:t>所有经双方签署确认的文件（包括会议纪要、补充协议、往来信函）、甲方采购文件、要约文件和响应承诺文件、合同附件等均为本合同不可分割的有效组成部分，与本合同具有同等的法律效力和履约义务，其缔约生效日期为有效签署或盖章确认之日期。各类文件的效力顺序为：合同文本及附件、采购文件。</w:t>
      </w:r>
    </w:p>
    <w:p>
      <w:pPr>
        <w:numPr>
          <w:ilvl w:val="0"/>
          <w:numId w:val="56"/>
        </w:numPr>
        <w:spacing w:line="360" w:lineRule="auto"/>
        <w:rPr>
          <w:rFonts w:ascii="宋体" w:hAnsi="宋体" w:cs="宋体"/>
          <w:color w:val="000000"/>
          <w:szCs w:val="21"/>
        </w:rPr>
      </w:pPr>
      <w:r>
        <w:rPr>
          <w:rFonts w:hint="eastAsia" w:ascii="宋体" w:hAnsi="宋体" w:cs="宋体"/>
          <w:color w:val="000000"/>
          <w:szCs w:val="21"/>
        </w:rPr>
        <w:t>本合同在履行中如发生争议，双方应协商解决，协商不成时，任何一方可向维护设备所在地的人民法院提请诉讼。</w:t>
      </w:r>
    </w:p>
    <w:p>
      <w:pPr>
        <w:numPr>
          <w:ilvl w:val="0"/>
          <w:numId w:val="56"/>
        </w:numPr>
        <w:spacing w:line="360" w:lineRule="auto"/>
        <w:rPr>
          <w:rFonts w:ascii="宋体" w:hAnsi="宋体" w:cs="宋体"/>
          <w:color w:val="000000"/>
          <w:szCs w:val="21"/>
        </w:rPr>
      </w:pPr>
      <w:r>
        <w:rPr>
          <w:rFonts w:hint="eastAsia" w:ascii="宋体" w:hAnsi="宋体" w:cs="宋体"/>
          <w:color w:val="000000"/>
          <w:szCs w:val="21"/>
        </w:rPr>
        <w:t>有关本合同条款的修改、补充和变更，均应以书面形式进行，经双方签名、加盖单位公章后生效，但所有补充合同的采购金额不得超过本合同采购金额的百分之十，超过的部分无效。</w:t>
      </w:r>
    </w:p>
    <w:p>
      <w:pPr>
        <w:numPr>
          <w:ilvl w:val="0"/>
          <w:numId w:val="56"/>
        </w:numPr>
        <w:jc w:val="left"/>
        <w:rPr>
          <w:rFonts w:ascii="宋体" w:hAnsi="宋体" w:cs="宋体"/>
          <w:color w:val="000000"/>
          <w:szCs w:val="21"/>
        </w:rPr>
      </w:pPr>
      <w:r>
        <w:rPr>
          <w:rFonts w:hint="eastAsia" w:ascii="宋体" w:hAnsi="宋体" w:cs="宋体"/>
          <w:color w:val="000000"/>
          <w:szCs w:val="21"/>
        </w:rPr>
        <w:t>附件：</w:t>
      </w:r>
    </w:p>
    <w:p>
      <w:pPr>
        <w:numPr>
          <w:ilvl w:val="0"/>
          <w:numId w:val="57"/>
        </w:numPr>
        <w:jc w:val="left"/>
        <w:rPr>
          <w:rFonts w:ascii="宋体" w:hAnsi="宋体" w:cs="宋体"/>
          <w:color w:val="000000"/>
          <w:szCs w:val="21"/>
        </w:rPr>
      </w:pPr>
      <w:r>
        <w:rPr>
          <w:rFonts w:hint="eastAsia" w:ascii="宋体" w:hAnsi="宋体" w:cs="宋体"/>
          <w:bCs/>
          <w:kern w:val="0"/>
          <w:szCs w:val="21"/>
        </w:rPr>
        <w:t>维护单位安全保密责任协议书</w:t>
      </w:r>
    </w:p>
    <w:p>
      <w:pPr>
        <w:numPr>
          <w:ilvl w:val="0"/>
          <w:numId w:val="57"/>
        </w:numPr>
        <w:jc w:val="left"/>
        <w:rPr>
          <w:rFonts w:ascii="宋体" w:hAnsi="宋体" w:cs="宋体"/>
          <w:bCs/>
          <w:kern w:val="0"/>
          <w:szCs w:val="21"/>
        </w:rPr>
      </w:pPr>
      <w:r>
        <w:rPr>
          <w:rFonts w:hint="eastAsia" w:ascii="宋体" w:hAnsi="宋体" w:cs="宋体"/>
          <w:bCs/>
          <w:kern w:val="0"/>
          <w:szCs w:val="21"/>
        </w:rPr>
        <w:t>高压配电房电气设备维护服务考核表</w:t>
      </w:r>
    </w:p>
    <w:p>
      <w:pPr>
        <w:spacing w:line="400" w:lineRule="exact"/>
        <w:jc w:val="left"/>
        <w:rPr>
          <w:rFonts w:ascii="宋体" w:hAnsi="宋体" w:cs="宋体"/>
          <w:szCs w:val="21"/>
        </w:rPr>
      </w:pPr>
    </w:p>
    <w:p>
      <w:pPr>
        <w:widowControl/>
        <w:spacing w:line="360" w:lineRule="auto"/>
        <w:ind w:firstLine="420" w:firstLineChars="200"/>
        <w:jc w:val="left"/>
        <w:rPr>
          <w:rFonts w:ascii="宋体" w:hAnsi="宋体" w:cs="宋体"/>
          <w:szCs w:val="21"/>
        </w:rPr>
      </w:pPr>
      <w:r>
        <w:rPr>
          <w:rFonts w:hint="eastAsia" w:ascii="宋体" w:hAnsi="宋体" w:cs="宋体"/>
          <w:szCs w:val="21"/>
        </w:rPr>
        <w:t>以下无正文。</w:t>
      </w:r>
    </w:p>
    <w:p>
      <w:pPr>
        <w:widowControl/>
        <w:spacing w:line="360" w:lineRule="auto"/>
        <w:ind w:firstLine="420" w:firstLineChars="200"/>
        <w:jc w:val="left"/>
        <w:rPr>
          <w:rFonts w:ascii="宋体" w:hAnsi="宋体" w:cs="宋体"/>
          <w:szCs w:val="21"/>
        </w:rPr>
      </w:pPr>
    </w:p>
    <w:p>
      <w:pPr>
        <w:widowControl/>
        <w:spacing w:line="360" w:lineRule="auto"/>
        <w:ind w:firstLine="420" w:firstLineChars="200"/>
        <w:jc w:val="left"/>
        <w:rPr>
          <w:rFonts w:ascii="宋体" w:hAnsi="宋体" w:cs="宋体"/>
          <w:szCs w:val="21"/>
        </w:rPr>
      </w:pPr>
    </w:p>
    <w:p>
      <w:pPr>
        <w:widowControl/>
        <w:spacing w:line="360" w:lineRule="auto"/>
        <w:ind w:firstLine="420" w:firstLineChars="200"/>
        <w:jc w:val="left"/>
        <w:rPr>
          <w:rFonts w:ascii="宋体" w:hAnsi="宋体" w:cs="宋体"/>
          <w:szCs w:val="21"/>
        </w:rPr>
      </w:pPr>
    </w:p>
    <w:p>
      <w:pPr>
        <w:widowControl/>
        <w:spacing w:line="360" w:lineRule="auto"/>
        <w:ind w:firstLine="420" w:firstLineChars="200"/>
        <w:jc w:val="left"/>
        <w:rPr>
          <w:rFonts w:ascii="宋体" w:hAnsi="宋体" w:cs="宋体"/>
          <w:szCs w:val="21"/>
        </w:rPr>
      </w:pPr>
    </w:p>
    <w:p>
      <w:pPr>
        <w:widowControl/>
        <w:spacing w:line="360" w:lineRule="auto"/>
        <w:ind w:firstLine="420" w:firstLineChars="200"/>
        <w:jc w:val="left"/>
        <w:rPr>
          <w:rFonts w:ascii="宋体" w:hAnsi="宋体" w:cs="宋体"/>
          <w:szCs w:val="21"/>
        </w:rPr>
      </w:pPr>
    </w:p>
    <w:p>
      <w:pPr>
        <w:widowControl/>
        <w:spacing w:line="360" w:lineRule="auto"/>
        <w:jc w:val="left"/>
        <w:rPr>
          <w:rFonts w:ascii="宋体" w:hAnsi="宋体" w:cs="宋体"/>
          <w:szCs w:val="21"/>
        </w:rPr>
      </w:pPr>
    </w:p>
    <w:p>
      <w:pPr>
        <w:spacing w:line="400" w:lineRule="exact"/>
        <w:rPr>
          <w:rFonts w:ascii="宋体" w:hAnsi="宋体" w:cs="宋体"/>
          <w:b/>
          <w:szCs w:val="21"/>
        </w:rPr>
      </w:pPr>
      <w:r>
        <w:rPr>
          <w:rFonts w:hint="eastAsia" w:ascii="宋体" w:hAnsi="宋体" w:cs="宋体"/>
          <w:szCs w:val="21"/>
        </w:rPr>
        <w:t>甲方：</w:t>
      </w:r>
      <w:r>
        <w:rPr>
          <w:rFonts w:hint="eastAsia" w:ascii="宋体" w:hAnsi="宋体" w:cs="宋体"/>
          <w:b/>
          <w:szCs w:val="21"/>
        </w:rPr>
        <w:t xml:space="preserve">广东省广播电视网络股份有限公司          </w:t>
      </w:r>
      <w:r>
        <w:rPr>
          <w:rFonts w:hint="eastAsia" w:ascii="宋体" w:hAnsi="宋体" w:cs="宋体"/>
          <w:szCs w:val="21"/>
        </w:rPr>
        <w:t>乙方：</w:t>
      </w:r>
    </w:p>
    <w:p>
      <w:pPr>
        <w:spacing w:line="400" w:lineRule="exact"/>
        <w:ind w:firstLine="620" w:firstLineChars="294"/>
        <w:rPr>
          <w:rFonts w:ascii="宋体" w:hAnsi="宋体" w:cs="宋体"/>
          <w:b/>
          <w:szCs w:val="21"/>
        </w:rPr>
      </w:pPr>
      <w:r>
        <w:rPr>
          <w:rFonts w:hint="eastAsia" w:ascii="宋体" w:hAnsi="宋体" w:cs="宋体"/>
          <w:b/>
          <w:szCs w:val="21"/>
        </w:rPr>
        <w:t>佛山顺德分公司</w:t>
      </w:r>
    </w:p>
    <w:p>
      <w:pPr>
        <w:spacing w:line="400" w:lineRule="exact"/>
        <w:ind w:firstLine="620" w:firstLineChars="294"/>
        <w:rPr>
          <w:rFonts w:ascii="宋体" w:hAnsi="宋体" w:cs="宋体"/>
          <w:b/>
          <w:szCs w:val="21"/>
        </w:rPr>
      </w:pPr>
    </w:p>
    <w:p>
      <w:pPr>
        <w:spacing w:line="400" w:lineRule="exact"/>
        <w:rPr>
          <w:rFonts w:ascii="宋体" w:hAnsi="宋体" w:cs="宋体"/>
          <w:szCs w:val="21"/>
        </w:rPr>
      </w:pPr>
      <w:r>
        <w:rPr>
          <w:rFonts w:hint="eastAsia" w:ascii="宋体" w:hAnsi="宋体" w:cs="宋体"/>
          <w:szCs w:val="21"/>
        </w:rPr>
        <w:t>负责人（或授权代表人）：                      法定代表人（或授权代表）：</w:t>
      </w:r>
    </w:p>
    <w:p>
      <w:pPr>
        <w:spacing w:line="400" w:lineRule="exact"/>
        <w:jc w:val="center"/>
        <w:rPr>
          <w:rFonts w:ascii="宋体" w:hAnsi="宋体" w:cs="宋体"/>
          <w:szCs w:val="21"/>
        </w:rPr>
      </w:pPr>
    </w:p>
    <w:p>
      <w:pPr>
        <w:spacing w:line="400" w:lineRule="exact"/>
        <w:rPr>
          <w:rFonts w:ascii="宋体" w:hAnsi="宋体" w:cs="宋体"/>
          <w:szCs w:val="21"/>
        </w:rPr>
      </w:pPr>
      <w:r>
        <w:rPr>
          <w:rFonts w:hint="eastAsia" w:ascii="宋体" w:hAnsi="宋体" w:cs="宋体"/>
          <w:szCs w:val="21"/>
        </w:rPr>
        <w:t>经办人：                                      经办人：</w:t>
      </w:r>
    </w:p>
    <w:p>
      <w:pPr>
        <w:spacing w:line="400" w:lineRule="exact"/>
        <w:jc w:val="center"/>
        <w:rPr>
          <w:rFonts w:ascii="宋体" w:hAnsi="宋体" w:cs="宋体"/>
          <w:szCs w:val="21"/>
        </w:rPr>
      </w:pPr>
    </w:p>
    <w:p>
      <w:pPr>
        <w:spacing w:line="400" w:lineRule="exact"/>
        <w:rPr>
          <w:rFonts w:ascii="宋体" w:hAnsi="宋体" w:cs="宋体"/>
          <w:szCs w:val="21"/>
        </w:rPr>
      </w:pPr>
      <w:r>
        <w:rPr>
          <w:rFonts w:hint="eastAsia" w:ascii="宋体" w:hAnsi="宋体" w:cs="宋体"/>
          <w:szCs w:val="21"/>
        </w:rPr>
        <w:t>日期：    年  月  日                          日期：    年  月  日</w:t>
      </w:r>
    </w:p>
    <w:p>
      <w:pPr>
        <w:spacing w:line="400" w:lineRule="exact"/>
        <w:rPr>
          <w:rFonts w:ascii="宋体" w:hAnsi="宋体" w:cs="宋体"/>
          <w:szCs w:val="21"/>
        </w:rPr>
      </w:pPr>
    </w:p>
    <w:p>
      <w:pPr>
        <w:spacing w:line="400" w:lineRule="exact"/>
        <w:ind w:firstLine="4830" w:firstLineChars="2300"/>
        <w:rPr>
          <w:rFonts w:ascii="宋体" w:hAnsi="宋体" w:cs="宋体"/>
          <w:szCs w:val="21"/>
        </w:rPr>
      </w:pPr>
      <w:r>
        <w:rPr>
          <w:rFonts w:hint="eastAsia" w:ascii="宋体" w:hAnsi="宋体" w:cs="宋体"/>
          <w:szCs w:val="21"/>
        </w:rPr>
        <w:t>帐户名称：</w:t>
      </w:r>
    </w:p>
    <w:p>
      <w:pPr>
        <w:spacing w:line="400" w:lineRule="exact"/>
        <w:ind w:firstLine="4830" w:firstLineChars="2300"/>
        <w:rPr>
          <w:rFonts w:ascii="宋体" w:hAnsi="宋体" w:cs="宋体"/>
          <w:szCs w:val="21"/>
        </w:rPr>
      </w:pPr>
      <w:r>
        <w:rPr>
          <w:rFonts w:hint="eastAsia" w:ascii="宋体" w:hAnsi="宋体" w:cs="宋体"/>
          <w:szCs w:val="21"/>
        </w:rPr>
        <w:t>帐号：</w:t>
      </w:r>
    </w:p>
    <w:p>
      <w:pPr>
        <w:spacing w:line="400" w:lineRule="exact"/>
        <w:ind w:firstLine="4830" w:firstLineChars="2300"/>
        <w:rPr>
          <w:rFonts w:ascii="宋体" w:hAnsi="宋体" w:cs="宋体"/>
          <w:szCs w:val="21"/>
        </w:rPr>
      </w:pPr>
      <w:r>
        <w:rPr>
          <w:rFonts w:hint="eastAsia" w:ascii="宋体" w:hAnsi="宋体" w:cs="宋体"/>
          <w:szCs w:val="21"/>
        </w:rPr>
        <w:t>开户行：</w:t>
      </w:r>
    </w:p>
    <w:p>
      <w:pPr>
        <w:pageBreakBefore/>
        <w:snapToGrid w:val="0"/>
        <w:spacing w:line="360" w:lineRule="auto"/>
        <w:jc w:val="left"/>
        <w:outlineLvl w:val="0"/>
        <w:rPr>
          <w:rFonts w:ascii="宋体" w:hAnsi="宋体" w:cs="宋体"/>
          <w:b/>
          <w:bCs/>
          <w:szCs w:val="21"/>
        </w:rPr>
      </w:pPr>
      <w:r>
        <w:rPr>
          <w:rFonts w:hint="eastAsia" w:ascii="宋体" w:hAnsi="宋体" w:cs="宋体"/>
          <w:b/>
          <w:bCs/>
          <w:szCs w:val="21"/>
        </w:rPr>
        <w:t>附件1：</w:t>
      </w:r>
    </w:p>
    <w:p>
      <w:pPr>
        <w:spacing w:line="580" w:lineRule="exact"/>
        <w:jc w:val="center"/>
        <w:rPr>
          <w:rFonts w:ascii="宋体" w:hAnsi="宋体" w:cs="宋体"/>
          <w:b/>
          <w:bCs/>
          <w:kern w:val="0"/>
          <w:szCs w:val="21"/>
        </w:rPr>
      </w:pPr>
      <w:r>
        <w:rPr>
          <w:rFonts w:hint="eastAsia" w:ascii="宋体" w:hAnsi="宋体" w:cs="宋体"/>
          <w:b/>
          <w:bCs/>
          <w:kern w:val="0"/>
          <w:szCs w:val="21"/>
        </w:rPr>
        <w:t>维护单位安全保密责任协议书</w:t>
      </w:r>
    </w:p>
    <w:p>
      <w:pPr>
        <w:spacing w:line="580" w:lineRule="exact"/>
        <w:rPr>
          <w:rFonts w:ascii="宋体" w:hAnsi="宋体" w:cs="宋体"/>
          <w:kern w:val="0"/>
          <w:szCs w:val="21"/>
        </w:rPr>
      </w:pPr>
      <w:r>
        <w:rPr>
          <w:rFonts w:hint="eastAsia" w:ascii="宋体" w:hAnsi="宋体" w:cs="宋体"/>
          <w:kern w:val="0"/>
          <w:szCs w:val="21"/>
        </w:rPr>
        <w:t>甲方：广东省广播电视网络股份有限公司佛山顺德分公司</w:t>
      </w:r>
    </w:p>
    <w:p>
      <w:pPr>
        <w:spacing w:line="580" w:lineRule="exact"/>
        <w:rPr>
          <w:rFonts w:ascii="宋体" w:hAnsi="宋体" w:cs="宋体"/>
          <w:kern w:val="0"/>
          <w:szCs w:val="21"/>
        </w:rPr>
      </w:pPr>
      <w:r>
        <w:rPr>
          <w:rFonts w:hint="eastAsia" w:ascii="宋体" w:hAnsi="宋体" w:cs="宋体"/>
          <w:kern w:val="0"/>
          <w:szCs w:val="21"/>
        </w:rPr>
        <w:t>乙方：</w:t>
      </w:r>
    </w:p>
    <w:p>
      <w:pPr>
        <w:spacing w:line="580" w:lineRule="exact"/>
        <w:rPr>
          <w:rFonts w:ascii="宋体" w:hAnsi="宋体" w:cs="宋体"/>
          <w:kern w:val="0"/>
          <w:szCs w:val="21"/>
        </w:rPr>
      </w:pPr>
      <w:r>
        <w:rPr>
          <w:rFonts w:hint="eastAsia" w:ascii="宋体" w:hAnsi="宋体" w:cs="宋体"/>
          <w:kern w:val="0"/>
          <w:szCs w:val="21"/>
        </w:rPr>
        <w:t>一、总则</w:t>
      </w:r>
    </w:p>
    <w:p>
      <w:pPr>
        <w:spacing w:line="580" w:lineRule="exact"/>
        <w:rPr>
          <w:rFonts w:ascii="宋体" w:hAnsi="宋体" w:cs="宋体"/>
          <w:kern w:val="0"/>
          <w:szCs w:val="21"/>
        </w:rPr>
      </w:pPr>
      <w:r>
        <w:rPr>
          <w:rFonts w:hint="eastAsia" w:ascii="宋体" w:hAnsi="宋体" w:cs="宋体"/>
          <w:kern w:val="0"/>
          <w:szCs w:val="21"/>
        </w:rPr>
        <w:t>为了贯彻落实“安全第一，预防为主”的安全生产方针，确保安全施工无事故。确保中心机房安全播出，安全生产，约束双方履行安全管理，及早规避相关风险。根据国家广电62号令相关政策法规，为维护甲乙双方合法权益，在协商一致的基础上，特签订本安全责任书。</w:t>
      </w:r>
    </w:p>
    <w:p>
      <w:pPr>
        <w:rPr>
          <w:rFonts w:ascii="宋体" w:hAnsi="宋体" w:cs="宋体"/>
          <w:szCs w:val="21"/>
        </w:rPr>
      </w:pPr>
      <w:r>
        <w:rPr>
          <w:rFonts w:hint="eastAsia" w:ascii="宋体" w:hAnsi="宋体" w:cs="宋体"/>
          <w:szCs w:val="21"/>
        </w:rPr>
        <w:t>二、甲乙双方责任</w:t>
      </w:r>
    </w:p>
    <w:p>
      <w:pPr>
        <w:spacing w:line="580" w:lineRule="exact"/>
        <w:rPr>
          <w:rFonts w:ascii="宋体" w:hAnsi="宋体" w:cs="宋体"/>
          <w:kern w:val="0"/>
          <w:szCs w:val="21"/>
        </w:rPr>
      </w:pPr>
      <w:r>
        <w:rPr>
          <w:rFonts w:hint="eastAsia" w:ascii="宋体" w:hAnsi="宋体" w:cs="宋体"/>
          <w:kern w:val="0"/>
          <w:szCs w:val="21"/>
        </w:rPr>
        <w:t>(一)、甲方的责任</w:t>
      </w:r>
    </w:p>
    <w:p>
      <w:pPr>
        <w:spacing w:line="580" w:lineRule="exact"/>
        <w:rPr>
          <w:rFonts w:ascii="宋体" w:hAnsi="宋体" w:cs="宋体"/>
          <w:color w:val="00B050"/>
          <w:kern w:val="0"/>
          <w:szCs w:val="21"/>
        </w:rPr>
      </w:pPr>
      <w:r>
        <w:rPr>
          <w:rFonts w:hint="eastAsia" w:ascii="宋体" w:hAnsi="宋体" w:cs="宋体"/>
          <w:kern w:val="0"/>
          <w:szCs w:val="21"/>
        </w:rPr>
        <w:t>1、施工期间，甲方应认真检查乙方安全生产管理制度、岗位责任制度、安全操作规程的落实情况，防止施工过程中安全事故的发生。</w:t>
      </w:r>
    </w:p>
    <w:p>
      <w:pPr>
        <w:spacing w:line="580" w:lineRule="exact"/>
        <w:rPr>
          <w:rFonts w:ascii="宋体" w:hAnsi="宋体" w:cs="宋体"/>
          <w:kern w:val="0"/>
          <w:szCs w:val="21"/>
        </w:rPr>
      </w:pPr>
      <w:r>
        <w:rPr>
          <w:rFonts w:hint="eastAsia" w:ascii="宋体" w:hAnsi="宋体" w:cs="宋体"/>
          <w:kern w:val="0"/>
          <w:szCs w:val="21"/>
        </w:rPr>
        <w:t>2、甲方管理代表，本着“实事求是”的工作原则，积极主动配合乙方有组织、有计划，合理有序地施工，施工前对乙方进行三级安全教育，施工过程全程监管，有权随时终止违规行为，有权扣罚乙方安全奖金。</w:t>
      </w:r>
    </w:p>
    <w:p>
      <w:pPr>
        <w:spacing w:line="580" w:lineRule="exact"/>
        <w:rPr>
          <w:rFonts w:ascii="宋体" w:hAnsi="宋体" w:cs="宋体"/>
          <w:kern w:val="0"/>
          <w:szCs w:val="21"/>
        </w:rPr>
      </w:pPr>
      <w:r>
        <w:rPr>
          <w:rFonts w:hint="eastAsia" w:ascii="宋体" w:hAnsi="宋体" w:cs="宋体"/>
          <w:kern w:val="0"/>
          <w:szCs w:val="21"/>
        </w:rPr>
        <w:t>3、甲方定期组织乙方对国家法律、法规学习，对未通过政治审查的维护人员，有权立即终止工作其权利，并及时清理出工作团队，乙方任何违背国家法律法规的行为，一经确认，立即交付公安部门处理，甲方有权追究经济责任，有权追究乙方安全事故、人身伤害、设备损坏等造成的损失。</w:t>
      </w:r>
    </w:p>
    <w:p>
      <w:pPr>
        <w:spacing w:line="580" w:lineRule="exact"/>
        <w:rPr>
          <w:rFonts w:ascii="宋体" w:hAnsi="宋体" w:cs="宋体"/>
          <w:kern w:val="0"/>
          <w:szCs w:val="21"/>
        </w:rPr>
      </w:pPr>
      <w:r>
        <w:rPr>
          <w:rFonts w:hint="eastAsia" w:ascii="宋体" w:hAnsi="宋体" w:cs="宋体"/>
          <w:kern w:val="0"/>
          <w:szCs w:val="21"/>
        </w:rPr>
        <w:t>(二)乙方的责任</w:t>
      </w:r>
    </w:p>
    <w:p>
      <w:pPr>
        <w:spacing w:line="580" w:lineRule="exact"/>
        <w:rPr>
          <w:rFonts w:ascii="宋体" w:hAnsi="宋体" w:cs="宋体"/>
          <w:kern w:val="0"/>
          <w:szCs w:val="21"/>
        </w:rPr>
      </w:pPr>
      <w:r>
        <w:rPr>
          <w:rFonts w:hint="eastAsia" w:ascii="宋体" w:hAnsi="宋体" w:cs="宋体"/>
          <w:kern w:val="0"/>
          <w:szCs w:val="21"/>
        </w:rPr>
        <w:t>1、乙方必须按上级安全管理部门及特殊行业客户的要求配备安全设施，并制订切实可行的安全施工措施，并将安全制度及责任落实每个员工，同时与每个员工签订安全责任书。乙方必须积极参加并接受甲方的安全教育和各种形式的安全检查活动，严格遵守甲乙双方签订的合同准则，严格执行安全操作规程及各项施工安全管理制度，服从甲方管理代表指挥，不得违章作业，冒险蛮干，不得出售甲方的技术文件和图纸等信息获得不当得利。</w:t>
      </w:r>
    </w:p>
    <w:p>
      <w:pPr>
        <w:spacing w:line="580" w:lineRule="exact"/>
        <w:rPr>
          <w:rFonts w:ascii="宋体" w:hAnsi="宋体" w:cs="宋体"/>
          <w:kern w:val="0"/>
          <w:szCs w:val="21"/>
        </w:rPr>
      </w:pPr>
      <w:r>
        <w:rPr>
          <w:rFonts w:hint="eastAsia" w:ascii="宋体" w:hAnsi="宋体" w:cs="宋体"/>
          <w:kern w:val="0"/>
          <w:szCs w:val="21"/>
        </w:rPr>
        <w:t>2、乙方私自泄密，或造成安全事故、人身伤害、设备损坏等，由乙方承担一切安全责任及安全事故处理费用。</w:t>
      </w:r>
    </w:p>
    <w:p>
      <w:pPr>
        <w:spacing w:line="580" w:lineRule="exact"/>
        <w:rPr>
          <w:rFonts w:ascii="宋体" w:hAnsi="宋体" w:cs="宋体"/>
          <w:color w:val="00B050"/>
          <w:kern w:val="0"/>
          <w:szCs w:val="21"/>
        </w:rPr>
      </w:pPr>
      <w:r>
        <w:rPr>
          <w:rFonts w:hint="eastAsia" w:ascii="宋体" w:hAnsi="宋体" w:cs="宋体"/>
          <w:kern w:val="0"/>
          <w:szCs w:val="21"/>
        </w:rPr>
        <w:t>3、若乙方不按有关规定的要求配备安全措施;未制订安全施工措施;不按施工组织设计规定的工序、电气安全设施规定施工;不服从甲方的正常管理，盲目抢工程进度、违章操作、乱搭电源、冒险蛮干、私自盗取数据中心机房现场任何物件，均属于违背安全协议规定</w:t>
      </w:r>
      <w:r>
        <w:rPr>
          <w:rFonts w:hint="eastAsia" w:ascii="宋体" w:hAnsi="宋体" w:cs="宋体"/>
          <w:color w:val="00B050"/>
          <w:kern w:val="0"/>
          <w:szCs w:val="21"/>
        </w:rPr>
        <w:t>；</w:t>
      </w:r>
    </w:p>
    <w:p>
      <w:pPr>
        <w:spacing w:line="580" w:lineRule="exact"/>
        <w:rPr>
          <w:rFonts w:ascii="宋体" w:hAnsi="宋体" w:cs="宋体"/>
          <w:kern w:val="0"/>
          <w:szCs w:val="21"/>
        </w:rPr>
      </w:pPr>
      <w:r>
        <w:rPr>
          <w:rFonts w:hint="eastAsia" w:ascii="宋体" w:hAnsi="宋体" w:cs="宋体"/>
          <w:kern w:val="0"/>
          <w:szCs w:val="21"/>
        </w:rPr>
        <w:t>4、未经甲方同意，擅自改变配电设施，未按照相关规程进行操作</w:t>
      </w:r>
      <w:r>
        <w:rPr>
          <w:rFonts w:hint="eastAsia" w:ascii="宋体" w:hAnsi="宋体" w:cs="宋体"/>
          <w:color w:val="00B050"/>
          <w:kern w:val="0"/>
          <w:szCs w:val="21"/>
        </w:rPr>
        <w:t>，</w:t>
      </w:r>
      <w:r>
        <w:rPr>
          <w:rFonts w:hint="eastAsia" w:ascii="宋体" w:hAnsi="宋体" w:cs="宋体"/>
          <w:kern w:val="0"/>
          <w:szCs w:val="21"/>
        </w:rPr>
        <w:t>一经甲方发现，立即终止工作，所造成的安全责任事故，乙方承担一切责任和经济损失。</w:t>
      </w:r>
    </w:p>
    <w:p>
      <w:pPr>
        <w:spacing w:line="580" w:lineRule="exact"/>
        <w:rPr>
          <w:rFonts w:ascii="宋体" w:hAnsi="宋体" w:cs="宋体"/>
          <w:kern w:val="0"/>
          <w:szCs w:val="21"/>
        </w:rPr>
      </w:pPr>
      <w:r>
        <w:rPr>
          <w:rFonts w:hint="eastAsia" w:ascii="宋体" w:hAnsi="宋体" w:cs="宋体"/>
          <w:kern w:val="0"/>
          <w:szCs w:val="21"/>
        </w:rPr>
        <w:t>5、乙方在施工期间应不断进行治安条例、劳动纪律、操作规程、作业制度的管理教育与培训。</w:t>
      </w:r>
    </w:p>
    <w:p>
      <w:pPr>
        <w:spacing w:line="580" w:lineRule="exact"/>
        <w:rPr>
          <w:rFonts w:ascii="宋体" w:hAnsi="宋体" w:cs="宋体"/>
          <w:kern w:val="0"/>
          <w:szCs w:val="21"/>
        </w:rPr>
      </w:pPr>
      <w:r>
        <w:rPr>
          <w:rFonts w:hint="eastAsia" w:ascii="宋体" w:hAnsi="宋体" w:cs="宋体"/>
          <w:kern w:val="0"/>
          <w:szCs w:val="21"/>
        </w:rPr>
        <w:t>6、未经允许不可拍照、拷贝、复制涉及甲方的</w:t>
      </w:r>
      <w:r>
        <w:rPr>
          <w:rFonts w:hint="eastAsia" w:ascii="宋体" w:hAnsi="宋体" w:cs="宋体"/>
          <w:color w:val="000000"/>
          <w:kern w:val="0"/>
          <w:szCs w:val="21"/>
        </w:rPr>
        <w:t>任何商业和技术秘密信</w:t>
      </w:r>
      <w:r>
        <w:rPr>
          <w:rFonts w:hint="eastAsia" w:ascii="宋体" w:hAnsi="宋体" w:cs="宋体"/>
          <w:kern w:val="0"/>
          <w:szCs w:val="21"/>
        </w:rPr>
        <w:t>息，由此造成的一切损失和后果，均由乙方承担责任。</w:t>
      </w:r>
    </w:p>
    <w:p>
      <w:pPr>
        <w:rPr>
          <w:rFonts w:ascii="宋体" w:hAnsi="宋体" w:cs="宋体"/>
          <w:szCs w:val="21"/>
        </w:rPr>
      </w:pPr>
      <w:r>
        <w:rPr>
          <w:rFonts w:hint="eastAsia" w:ascii="宋体" w:hAnsi="宋体" w:cs="宋体"/>
          <w:szCs w:val="21"/>
        </w:rPr>
        <w:t>三、甲乙双方有关事宜</w:t>
      </w:r>
    </w:p>
    <w:p>
      <w:pPr>
        <w:spacing w:line="580" w:lineRule="exact"/>
        <w:rPr>
          <w:rFonts w:ascii="宋体" w:hAnsi="宋体" w:cs="宋体"/>
          <w:kern w:val="0"/>
          <w:szCs w:val="21"/>
        </w:rPr>
      </w:pPr>
      <w:r>
        <w:rPr>
          <w:rFonts w:hint="eastAsia" w:ascii="宋体" w:hAnsi="宋体" w:cs="宋体"/>
          <w:kern w:val="0"/>
          <w:szCs w:val="21"/>
        </w:rPr>
        <w:t>本责任书自双方签订之日起生效，有效期为2年， 2年后自动失效。本责任合同书一式四份，甲乙双方各执原件两份。</w:t>
      </w:r>
    </w:p>
    <w:p>
      <w:pPr>
        <w:spacing w:line="580" w:lineRule="exact"/>
        <w:rPr>
          <w:rFonts w:ascii="宋体" w:hAnsi="宋体" w:cs="宋体"/>
          <w:kern w:val="0"/>
          <w:szCs w:val="21"/>
        </w:rPr>
      </w:pPr>
    </w:p>
    <w:p>
      <w:pPr>
        <w:spacing w:line="580" w:lineRule="exact"/>
        <w:rPr>
          <w:rFonts w:ascii="宋体" w:hAnsi="宋体" w:cs="宋体"/>
          <w:kern w:val="0"/>
          <w:szCs w:val="21"/>
        </w:rPr>
      </w:pPr>
      <w:r>
        <w:rPr>
          <w:rFonts w:hint="eastAsia" w:ascii="宋体" w:hAnsi="宋体" w:cs="宋体"/>
          <w:kern w:val="0"/>
          <w:szCs w:val="21"/>
        </w:rPr>
        <w:t>甲方(盖章)：广东省广播电视网络股份有限公司佛山顺德分公司</w:t>
      </w:r>
    </w:p>
    <w:p>
      <w:pPr>
        <w:spacing w:line="580" w:lineRule="exact"/>
        <w:rPr>
          <w:rFonts w:ascii="宋体" w:hAnsi="宋体" w:cs="宋体"/>
          <w:kern w:val="0"/>
          <w:szCs w:val="21"/>
        </w:rPr>
      </w:pPr>
      <w:r>
        <w:rPr>
          <w:rFonts w:hint="eastAsia" w:ascii="宋体" w:hAnsi="宋体" w:cs="宋体"/>
          <w:szCs w:val="21"/>
        </w:rPr>
        <w:t>经办人：</w:t>
      </w:r>
    </w:p>
    <w:p>
      <w:pPr>
        <w:spacing w:line="580" w:lineRule="exact"/>
        <w:rPr>
          <w:rFonts w:ascii="宋体" w:hAnsi="宋体" w:cs="宋体"/>
          <w:szCs w:val="21"/>
        </w:rPr>
      </w:pPr>
      <w:r>
        <w:rPr>
          <w:rFonts w:hint="eastAsia" w:ascii="宋体" w:hAnsi="宋体" w:cs="宋体"/>
          <w:kern w:val="0"/>
          <w:szCs w:val="21"/>
        </w:rPr>
        <w:t>日期：    年  月  日</w:t>
      </w:r>
    </w:p>
    <w:p>
      <w:pPr>
        <w:spacing w:line="580" w:lineRule="exact"/>
        <w:rPr>
          <w:rFonts w:ascii="宋体" w:hAnsi="宋体" w:cs="宋体"/>
          <w:kern w:val="0"/>
          <w:szCs w:val="21"/>
        </w:rPr>
      </w:pPr>
    </w:p>
    <w:p>
      <w:pPr>
        <w:spacing w:line="580" w:lineRule="exact"/>
        <w:rPr>
          <w:rFonts w:ascii="宋体" w:hAnsi="宋体" w:cs="宋体"/>
          <w:kern w:val="0"/>
          <w:szCs w:val="21"/>
        </w:rPr>
      </w:pPr>
      <w:r>
        <w:rPr>
          <w:rFonts w:hint="eastAsia" w:ascii="宋体" w:hAnsi="宋体" w:cs="宋体"/>
          <w:kern w:val="0"/>
          <w:szCs w:val="21"/>
        </w:rPr>
        <w:t>乙方(盖章)：</w:t>
      </w:r>
    </w:p>
    <w:p>
      <w:pPr>
        <w:rPr>
          <w:rFonts w:ascii="宋体" w:hAnsi="宋体" w:cs="宋体"/>
          <w:szCs w:val="21"/>
        </w:rPr>
      </w:pPr>
      <w:r>
        <w:rPr>
          <w:rFonts w:hint="eastAsia" w:ascii="宋体" w:hAnsi="宋体" w:cs="宋体"/>
          <w:szCs w:val="21"/>
        </w:rPr>
        <w:t>经办人：</w:t>
      </w:r>
    </w:p>
    <w:p>
      <w:pPr>
        <w:spacing w:line="580" w:lineRule="exact"/>
        <w:rPr>
          <w:rFonts w:ascii="宋体" w:hAnsi="宋体" w:cs="宋体"/>
          <w:kern w:val="0"/>
          <w:szCs w:val="21"/>
        </w:rPr>
      </w:pPr>
      <w:r>
        <w:rPr>
          <w:rFonts w:hint="eastAsia" w:ascii="宋体" w:hAnsi="宋体" w:cs="宋体"/>
          <w:kern w:val="0"/>
          <w:szCs w:val="21"/>
        </w:rPr>
        <w:t>日期：    年  月  日</w:t>
      </w:r>
    </w:p>
    <w:p/>
    <w:p/>
    <w:p/>
    <w:p>
      <w:pPr>
        <w:widowControl/>
        <w:jc w:val="left"/>
        <w:rPr>
          <w:rFonts w:ascii="宋体" w:hAnsi="宋体" w:cs="宋体"/>
          <w:szCs w:val="21"/>
        </w:rPr>
      </w:pPr>
      <w:r>
        <w:rPr>
          <w:rFonts w:hint="eastAsia"/>
        </w:rPr>
        <w:t>附件2：</w:t>
      </w:r>
      <w:r>
        <w:rPr>
          <w:rFonts w:hint="eastAsia" w:ascii="宋体" w:hAnsi="宋体" w:cs="宋体"/>
          <w:szCs w:val="21"/>
        </w:rPr>
        <w:t>服务考核方式及标准：</w:t>
      </w:r>
    </w:p>
    <w:p>
      <w:pPr>
        <w:spacing w:line="360" w:lineRule="exact"/>
        <w:ind w:firstLine="420" w:firstLineChars="200"/>
        <w:jc w:val="center"/>
        <w:rPr>
          <w:rFonts w:ascii="宋体" w:hAnsi="宋体" w:cs="宋体"/>
          <w:szCs w:val="21"/>
        </w:rPr>
      </w:pPr>
      <w:r>
        <w:rPr>
          <w:rFonts w:hint="eastAsia" w:ascii="宋体" w:hAnsi="宋体" w:cs="宋体"/>
          <w:szCs w:val="21"/>
        </w:rPr>
        <w:t>高压配电房电气设备维护服务考核表</w:t>
      </w:r>
    </w:p>
    <w:tbl>
      <w:tblPr>
        <w:tblStyle w:val="36"/>
        <w:tblW w:w="10080" w:type="dxa"/>
        <w:tblInd w:w="-8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80"/>
        <w:gridCol w:w="1080"/>
        <w:gridCol w:w="5478"/>
        <w:gridCol w:w="750"/>
        <w:gridCol w:w="900"/>
        <w:gridCol w:w="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8" w:hRule="atLeast"/>
        </w:trPr>
        <w:tc>
          <w:tcPr>
            <w:tcW w:w="2160" w:type="dxa"/>
            <w:gridSpan w:val="2"/>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维护服务项目</w:t>
            </w:r>
          </w:p>
        </w:tc>
        <w:tc>
          <w:tcPr>
            <w:tcW w:w="5478" w:type="dxa"/>
            <w:tcMar>
              <w:top w:w="19" w:type="dxa"/>
              <w:left w:w="19" w:type="dxa"/>
              <w:bottom w:w="0" w:type="dxa"/>
              <w:right w:w="19" w:type="dxa"/>
            </w:tcMar>
            <w:vAlign w:val="center"/>
          </w:tcPr>
          <w:p>
            <w:pPr>
              <w:jc w:val="center"/>
              <w:rPr>
                <w:rFonts w:ascii="宋体" w:hAnsi="宋体" w:cs="宋体"/>
                <w:color w:val="000000"/>
                <w:kern w:val="0"/>
                <w:szCs w:val="21"/>
                <w:shd w:val="clear" w:color="auto" w:fill="FFFFFF"/>
              </w:rPr>
            </w:pPr>
            <w:r>
              <w:rPr>
                <w:rFonts w:hint="eastAsia" w:ascii="宋体" w:hAnsi="宋体" w:cs="宋体"/>
                <w:color w:val="000000"/>
                <w:kern w:val="0"/>
                <w:szCs w:val="21"/>
                <w:shd w:val="clear" w:color="auto" w:fill="FFFFFF"/>
              </w:rPr>
              <w:t>2024-2025年高压配电房电气设备</w:t>
            </w:r>
          </w:p>
          <w:p>
            <w:pPr>
              <w:jc w:val="center"/>
              <w:rPr>
                <w:rFonts w:ascii="宋体" w:hAnsi="宋体" w:cs="宋体"/>
                <w:szCs w:val="21"/>
              </w:rPr>
            </w:pPr>
            <w:r>
              <w:rPr>
                <w:rFonts w:hint="eastAsia" w:ascii="宋体" w:hAnsi="宋体" w:cs="宋体"/>
                <w:color w:val="000000"/>
                <w:kern w:val="0"/>
                <w:szCs w:val="21"/>
                <w:shd w:val="clear" w:color="auto" w:fill="FFFFFF"/>
              </w:rPr>
              <w:t>维护服务项目</w:t>
            </w:r>
          </w:p>
        </w:tc>
        <w:tc>
          <w:tcPr>
            <w:tcW w:w="1650" w:type="dxa"/>
            <w:gridSpan w:val="2"/>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维护单位</w:t>
            </w:r>
          </w:p>
        </w:tc>
        <w:tc>
          <w:tcPr>
            <w:tcW w:w="792" w:type="dxa"/>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8" w:hRule="atLeast"/>
        </w:trPr>
        <w:tc>
          <w:tcPr>
            <w:tcW w:w="2160" w:type="dxa"/>
            <w:gridSpan w:val="2"/>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维护地点</w:t>
            </w:r>
          </w:p>
        </w:tc>
        <w:tc>
          <w:tcPr>
            <w:tcW w:w="5478" w:type="dxa"/>
            <w:tcMar>
              <w:top w:w="19" w:type="dxa"/>
              <w:left w:w="19" w:type="dxa"/>
              <w:bottom w:w="0" w:type="dxa"/>
              <w:right w:w="19" w:type="dxa"/>
            </w:tcMar>
            <w:vAlign w:val="center"/>
          </w:tcPr>
          <w:p>
            <w:pPr>
              <w:widowControl/>
              <w:snapToGrid w:val="0"/>
              <w:spacing w:line="360" w:lineRule="auto"/>
              <w:jc w:val="left"/>
              <w:rPr>
                <w:rFonts w:ascii="宋体" w:hAnsi="宋体" w:cs="宋体"/>
                <w:szCs w:val="21"/>
              </w:rPr>
            </w:pPr>
            <w:r>
              <w:rPr>
                <w:rFonts w:hint="eastAsia" w:ascii="宋体" w:hAnsi="宋体" w:cs="宋体"/>
                <w:szCs w:val="21"/>
              </w:rPr>
              <w:t>佛山市顺德区大良延年路11-2；</w:t>
            </w:r>
          </w:p>
          <w:p>
            <w:pPr>
              <w:widowControl/>
              <w:snapToGrid w:val="0"/>
              <w:spacing w:line="360" w:lineRule="auto"/>
              <w:jc w:val="left"/>
              <w:rPr>
                <w:rFonts w:ascii="宋体" w:hAnsi="宋体" w:cs="宋体"/>
                <w:szCs w:val="21"/>
              </w:rPr>
            </w:pPr>
            <w:r>
              <w:rPr>
                <w:rFonts w:hint="eastAsia" w:ascii="宋体" w:hAnsi="宋体" w:cs="宋体"/>
                <w:szCs w:val="21"/>
              </w:rPr>
              <w:t>佛山市顺德区均安百安北路11号；</w:t>
            </w:r>
          </w:p>
          <w:p>
            <w:pPr>
              <w:widowControl/>
              <w:snapToGrid w:val="0"/>
              <w:spacing w:line="360" w:lineRule="auto"/>
              <w:jc w:val="left"/>
              <w:rPr>
                <w:rFonts w:ascii="宋体" w:hAnsi="宋体" w:cs="宋体"/>
                <w:szCs w:val="21"/>
              </w:rPr>
            </w:pPr>
            <w:r>
              <w:rPr>
                <w:rFonts w:hint="eastAsia" w:ascii="宋体" w:hAnsi="宋体" w:cs="宋体"/>
                <w:szCs w:val="21"/>
              </w:rPr>
              <w:t>佛山市顺德区龙江文华路广播电视大楼。</w:t>
            </w:r>
          </w:p>
        </w:tc>
        <w:tc>
          <w:tcPr>
            <w:tcW w:w="1650" w:type="dxa"/>
            <w:gridSpan w:val="2"/>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维护时间</w:t>
            </w:r>
          </w:p>
        </w:tc>
        <w:tc>
          <w:tcPr>
            <w:tcW w:w="792" w:type="dxa"/>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8" w:hRule="atLeast"/>
        </w:trPr>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考核项目</w:t>
            </w:r>
          </w:p>
        </w:tc>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考核指标</w:t>
            </w:r>
          </w:p>
        </w:tc>
        <w:tc>
          <w:tcPr>
            <w:tcW w:w="5478"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评分标准</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分值</w:t>
            </w:r>
          </w:p>
        </w:tc>
        <w:tc>
          <w:tcPr>
            <w:tcW w:w="90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得分</w:t>
            </w:r>
          </w:p>
        </w:tc>
        <w:tc>
          <w:tcPr>
            <w:tcW w:w="792"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trPr>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kern w:val="0"/>
                <w:szCs w:val="21"/>
              </w:rPr>
              <w:t>日常巡视并填写巡检报告</w:t>
            </w:r>
          </w:p>
        </w:tc>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kern w:val="0"/>
                <w:szCs w:val="21"/>
              </w:rPr>
              <w:t>2次/周</w:t>
            </w:r>
          </w:p>
        </w:tc>
        <w:tc>
          <w:tcPr>
            <w:tcW w:w="5478" w:type="dxa"/>
            <w:tcMar>
              <w:top w:w="19" w:type="dxa"/>
              <w:left w:w="19" w:type="dxa"/>
              <w:bottom w:w="0" w:type="dxa"/>
              <w:right w:w="19" w:type="dxa"/>
            </w:tcMar>
            <w:vAlign w:val="center"/>
          </w:tcPr>
          <w:p>
            <w:pPr>
              <w:jc w:val="left"/>
              <w:rPr>
                <w:rFonts w:ascii="宋体" w:hAnsi="宋体" w:cs="宋体"/>
                <w:szCs w:val="21"/>
              </w:rPr>
            </w:pPr>
            <w:r>
              <w:rPr>
                <w:rFonts w:hint="eastAsia" w:ascii="宋体" w:hAnsi="宋体" w:cs="宋体"/>
                <w:szCs w:val="21"/>
              </w:rPr>
              <w:t>漏一次扣0.5分；在每次巡检中，因成交供应商原因工作不到位的视情况每次扣0.25分，直至扣完26分为止</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26</w:t>
            </w:r>
          </w:p>
        </w:tc>
        <w:tc>
          <w:tcPr>
            <w:tcW w:w="900" w:type="dxa"/>
            <w:tcMar>
              <w:top w:w="19" w:type="dxa"/>
              <w:left w:w="19" w:type="dxa"/>
              <w:bottom w:w="0" w:type="dxa"/>
              <w:right w:w="19" w:type="dxa"/>
            </w:tcMar>
            <w:vAlign w:val="center"/>
          </w:tcPr>
          <w:p>
            <w:pPr>
              <w:jc w:val="center"/>
              <w:rPr>
                <w:rFonts w:ascii="宋体" w:hAnsi="宋体" w:cs="宋体"/>
                <w:szCs w:val="21"/>
              </w:rPr>
            </w:pPr>
          </w:p>
        </w:tc>
        <w:tc>
          <w:tcPr>
            <w:tcW w:w="792" w:type="dxa"/>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204" w:hRule="atLeast"/>
        </w:trPr>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kern w:val="0"/>
                <w:szCs w:val="21"/>
              </w:rPr>
              <w:t>电气设备设施进行清洁、维护保养</w:t>
            </w:r>
          </w:p>
        </w:tc>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kern w:val="0"/>
                <w:szCs w:val="21"/>
              </w:rPr>
              <w:t>1次/6个月</w:t>
            </w:r>
          </w:p>
        </w:tc>
        <w:tc>
          <w:tcPr>
            <w:tcW w:w="5478" w:type="dxa"/>
            <w:tcMar>
              <w:top w:w="19" w:type="dxa"/>
              <w:left w:w="19" w:type="dxa"/>
              <w:bottom w:w="0" w:type="dxa"/>
              <w:right w:w="19" w:type="dxa"/>
            </w:tcMar>
            <w:vAlign w:val="center"/>
          </w:tcPr>
          <w:p>
            <w:pPr>
              <w:jc w:val="left"/>
              <w:rPr>
                <w:rFonts w:ascii="宋体" w:hAnsi="宋体" w:cs="宋体"/>
                <w:szCs w:val="21"/>
              </w:rPr>
            </w:pPr>
            <w:r>
              <w:rPr>
                <w:rFonts w:hint="eastAsia" w:ascii="宋体" w:hAnsi="宋体" w:cs="宋体"/>
                <w:szCs w:val="21"/>
              </w:rPr>
              <w:t>漏一次扣10分；在每次清洁保养中，采购人指定负责人到现场协调及验收，因成交供应商原因工作不到位的视情况对每项扣1-2分，直至扣完10分为止</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10</w:t>
            </w:r>
          </w:p>
        </w:tc>
        <w:tc>
          <w:tcPr>
            <w:tcW w:w="900" w:type="dxa"/>
            <w:tcMar>
              <w:top w:w="19" w:type="dxa"/>
              <w:left w:w="19" w:type="dxa"/>
              <w:bottom w:w="0" w:type="dxa"/>
              <w:right w:w="19" w:type="dxa"/>
            </w:tcMar>
            <w:vAlign w:val="center"/>
          </w:tcPr>
          <w:p>
            <w:pPr>
              <w:jc w:val="center"/>
              <w:rPr>
                <w:rFonts w:ascii="宋体" w:hAnsi="宋体" w:cs="宋体"/>
                <w:szCs w:val="21"/>
              </w:rPr>
            </w:pPr>
          </w:p>
        </w:tc>
        <w:tc>
          <w:tcPr>
            <w:tcW w:w="792" w:type="dxa"/>
            <w:noWrap/>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70" w:hRule="atLeast"/>
        </w:trPr>
        <w:tc>
          <w:tcPr>
            <w:tcW w:w="1080" w:type="dxa"/>
            <w:vAlign w:val="center"/>
          </w:tcPr>
          <w:p>
            <w:pPr>
              <w:jc w:val="center"/>
              <w:rPr>
                <w:rFonts w:ascii="宋体" w:hAnsi="宋体" w:cs="宋体"/>
                <w:szCs w:val="21"/>
              </w:rPr>
            </w:pPr>
            <w:r>
              <w:rPr>
                <w:rFonts w:hint="eastAsia" w:ascii="宋体" w:hAnsi="宋体" w:cs="宋体"/>
                <w:szCs w:val="21"/>
              </w:rPr>
              <w:t>电房地面清洁</w:t>
            </w:r>
          </w:p>
        </w:tc>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kern w:val="0"/>
                <w:szCs w:val="21"/>
              </w:rPr>
              <w:t>1次/月</w:t>
            </w:r>
          </w:p>
        </w:tc>
        <w:tc>
          <w:tcPr>
            <w:tcW w:w="5478" w:type="dxa"/>
            <w:tcMar>
              <w:top w:w="19" w:type="dxa"/>
              <w:left w:w="19" w:type="dxa"/>
              <w:bottom w:w="0" w:type="dxa"/>
              <w:right w:w="19" w:type="dxa"/>
            </w:tcMar>
            <w:vAlign w:val="center"/>
          </w:tcPr>
          <w:p>
            <w:pPr>
              <w:jc w:val="left"/>
              <w:rPr>
                <w:rFonts w:ascii="宋体" w:hAnsi="宋体" w:cs="宋体"/>
                <w:szCs w:val="21"/>
              </w:rPr>
            </w:pPr>
            <w:r>
              <w:rPr>
                <w:rFonts w:hint="eastAsia" w:ascii="宋体" w:hAnsi="宋体" w:cs="宋体"/>
                <w:szCs w:val="21"/>
              </w:rPr>
              <w:t>漏一次扣1分，在每次清洁保养中，因成交供应商原因工作不到位的视情况对每次扣0.5分，自至扣完6分为止。</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6</w:t>
            </w:r>
          </w:p>
        </w:tc>
        <w:tc>
          <w:tcPr>
            <w:tcW w:w="900" w:type="dxa"/>
            <w:tcMar>
              <w:top w:w="19" w:type="dxa"/>
              <w:left w:w="19" w:type="dxa"/>
              <w:bottom w:w="0" w:type="dxa"/>
              <w:right w:w="19" w:type="dxa"/>
            </w:tcMar>
            <w:vAlign w:val="center"/>
          </w:tcPr>
          <w:p>
            <w:pPr>
              <w:jc w:val="center"/>
              <w:rPr>
                <w:rFonts w:ascii="宋体" w:hAnsi="宋体" w:cs="宋体"/>
                <w:szCs w:val="21"/>
              </w:rPr>
            </w:pPr>
          </w:p>
        </w:tc>
        <w:tc>
          <w:tcPr>
            <w:tcW w:w="792" w:type="dxa"/>
            <w:noWrap/>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70" w:hRule="atLeast"/>
        </w:trPr>
        <w:tc>
          <w:tcPr>
            <w:tcW w:w="1080" w:type="dxa"/>
            <w:vAlign w:val="center"/>
          </w:tcPr>
          <w:p>
            <w:pPr>
              <w:jc w:val="center"/>
              <w:rPr>
                <w:rFonts w:ascii="宋体" w:hAnsi="宋体" w:cs="宋体"/>
                <w:szCs w:val="21"/>
              </w:rPr>
            </w:pPr>
            <w:r>
              <w:rPr>
                <w:rFonts w:hint="eastAsia" w:ascii="宋体" w:hAnsi="宋体" w:cs="宋体"/>
                <w:szCs w:val="21"/>
              </w:rPr>
              <w:t>电话响应</w:t>
            </w:r>
          </w:p>
        </w:tc>
        <w:tc>
          <w:tcPr>
            <w:tcW w:w="1080" w:type="dxa"/>
            <w:tcMar>
              <w:top w:w="19" w:type="dxa"/>
              <w:left w:w="19" w:type="dxa"/>
              <w:bottom w:w="0" w:type="dxa"/>
              <w:right w:w="19" w:type="dxa"/>
            </w:tcMar>
            <w:vAlign w:val="center"/>
          </w:tcPr>
          <w:p>
            <w:pPr>
              <w:jc w:val="center"/>
              <w:rPr>
                <w:rFonts w:ascii="宋体" w:hAnsi="宋体" w:cs="宋体"/>
                <w:kern w:val="0"/>
                <w:szCs w:val="21"/>
              </w:rPr>
            </w:pPr>
            <w:r>
              <w:rPr>
                <w:rFonts w:hint="eastAsia" w:ascii="宋体" w:hAnsi="宋体" w:cs="宋体"/>
                <w:kern w:val="0"/>
                <w:szCs w:val="21"/>
              </w:rPr>
              <w:t>7*24小时</w:t>
            </w:r>
          </w:p>
        </w:tc>
        <w:tc>
          <w:tcPr>
            <w:tcW w:w="5478" w:type="dxa"/>
            <w:tcMar>
              <w:top w:w="19" w:type="dxa"/>
              <w:left w:w="19" w:type="dxa"/>
              <w:bottom w:w="0" w:type="dxa"/>
              <w:right w:w="19" w:type="dxa"/>
            </w:tcMar>
            <w:vAlign w:val="center"/>
          </w:tcPr>
          <w:p>
            <w:pPr>
              <w:jc w:val="left"/>
              <w:rPr>
                <w:rFonts w:ascii="宋体" w:hAnsi="宋体" w:cs="宋体"/>
                <w:szCs w:val="21"/>
              </w:rPr>
            </w:pPr>
            <w:r>
              <w:rPr>
                <w:rFonts w:hint="eastAsia" w:ascii="宋体" w:hAnsi="宋体" w:cs="宋体"/>
                <w:szCs w:val="21"/>
              </w:rPr>
              <w:t>电话响应时间5分钟，电话没有响应的每次扣1分；该项占5分，扣完为止。</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5</w:t>
            </w:r>
          </w:p>
        </w:tc>
        <w:tc>
          <w:tcPr>
            <w:tcW w:w="900" w:type="dxa"/>
            <w:tcMar>
              <w:top w:w="19" w:type="dxa"/>
              <w:left w:w="19" w:type="dxa"/>
              <w:bottom w:w="0" w:type="dxa"/>
              <w:right w:w="19" w:type="dxa"/>
            </w:tcMar>
            <w:vAlign w:val="center"/>
          </w:tcPr>
          <w:p>
            <w:pPr>
              <w:jc w:val="center"/>
              <w:rPr>
                <w:rFonts w:ascii="宋体" w:hAnsi="宋体" w:cs="宋体"/>
                <w:szCs w:val="21"/>
              </w:rPr>
            </w:pPr>
          </w:p>
        </w:tc>
        <w:tc>
          <w:tcPr>
            <w:tcW w:w="792" w:type="dxa"/>
            <w:noWrap/>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361" w:hRule="atLeast"/>
        </w:trPr>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kern w:val="0"/>
                <w:szCs w:val="21"/>
              </w:rPr>
              <w:t>故障检修和抢修工作</w:t>
            </w:r>
          </w:p>
        </w:tc>
        <w:tc>
          <w:tcPr>
            <w:tcW w:w="1080" w:type="dxa"/>
            <w:tcMar>
              <w:top w:w="19" w:type="dxa"/>
              <w:left w:w="19" w:type="dxa"/>
              <w:bottom w:w="0" w:type="dxa"/>
              <w:right w:w="19" w:type="dxa"/>
            </w:tcMar>
            <w:vAlign w:val="center"/>
          </w:tcPr>
          <w:p>
            <w:pPr>
              <w:jc w:val="center"/>
              <w:rPr>
                <w:rFonts w:ascii="宋体" w:hAnsi="宋体" w:cs="宋体"/>
                <w:kern w:val="0"/>
                <w:szCs w:val="21"/>
              </w:rPr>
            </w:pPr>
            <w:r>
              <w:rPr>
                <w:rFonts w:hint="eastAsia" w:ascii="宋体" w:hAnsi="宋体" w:cs="宋体"/>
                <w:kern w:val="0"/>
                <w:szCs w:val="21"/>
              </w:rPr>
              <w:t>7*24小时</w:t>
            </w:r>
          </w:p>
        </w:tc>
        <w:tc>
          <w:tcPr>
            <w:tcW w:w="5478" w:type="dxa"/>
            <w:tcMar>
              <w:top w:w="19" w:type="dxa"/>
              <w:left w:w="19" w:type="dxa"/>
              <w:bottom w:w="0" w:type="dxa"/>
              <w:right w:w="19" w:type="dxa"/>
            </w:tcMar>
          </w:tcPr>
          <w:p>
            <w:pPr>
              <w:numPr>
                <w:ilvl w:val="0"/>
                <w:numId w:val="58"/>
              </w:numPr>
              <w:rPr>
                <w:rFonts w:ascii="宋体" w:hAnsi="宋体" w:cs="宋体"/>
                <w:szCs w:val="21"/>
              </w:rPr>
            </w:pPr>
            <w:r>
              <w:rPr>
                <w:rFonts w:hint="eastAsia" w:ascii="宋体" w:hAnsi="宋体" w:cs="宋体"/>
                <w:szCs w:val="21"/>
              </w:rPr>
              <w:t>接报后</w:t>
            </w:r>
            <w:r>
              <w:rPr>
                <w:rFonts w:ascii="宋体" w:hAnsi="宋体" w:cs="宋体"/>
                <w:szCs w:val="21"/>
              </w:rPr>
              <w:t>30</w:t>
            </w:r>
            <w:r>
              <w:rPr>
                <w:rFonts w:hint="eastAsia" w:ascii="宋体" w:hAnsi="宋体" w:cs="宋体"/>
                <w:szCs w:val="21"/>
              </w:rPr>
              <w:t>分钟内到达现场（如遇雷暴雨天气、道路封堵等特殊性情况可延迟到达现场），每迟到半小时扣</w:t>
            </w:r>
            <w:r>
              <w:rPr>
                <w:rFonts w:ascii="宋体" w:hAnsi="宋体" w:cs="宋体"/>
                <w:szCs w:val="21"/>
              </w:rPr>
              <w:t>2</w:t>
            </w:r>
            <w:r>
              <w:rPr>
                <w:rFonts w:hint="eastAsia" w:ascii="宋体" w:hAnsi="宋体" w:cs="宋体"/>
                <w:szCs w:val="21"/>
              </w:rPr>
              <w:t>分；扣完为止。</w:t>
            </w:r>
          </w:p>
          <w:p>
            <w:pPr>
              <w:numPr>
                <w:ilvl w:val="0"/>
                <w:numId w:val="58"/>
              </w:numPr>
              <w:rPr>
                <w:rFonts w:ascii="宋体" w:hAnsi="宋体" w:cs="宋体"/>
                <w:szCs w:val="21"/>
              </w:rPr>
            </w:pPr>
            <w:r>
              <w:rPr>
                <w:rFonts w:hint="eastAsia" w:ascii="宋体" w:hAnsi="宋体" w:cs="宋体"/>
                <w:szCs w:val="21"/>
              </w:rPr>
              <w:t>到达现场4小时内恢复设备的正常供电，4小时内设备不能恢复正常运行，每超1小时扣5分，扣完为止。</w:t>
            </w:r>
            <w:r>
              <w:rPr>
                <w:rFonts w:hint="eastAsia" w:ascii="宋体" w:hAnsi="宋体" w:cs="宋体"/>
                <w:color w:val="000000"/>
                <w:szCs w:val="21"/>
              </w:rPr>
              <w:t>（特殊设备故障除外，当遇特殊设备故障</w:t>
            </w:r>
            <w:r>
              <w:rPr>
                <w:rFonts w:hint="eastAsia" w:ascii="宋体" w:hAnsi="宋体" w:cs="宋体"/>
                <w:szCs w:val="21"/>
              </w:rPr>
              <w:t>情况下成交供应商维修人员到达现场后经检查后发现问题，4小时内出具维修方案和时间表，如不能出具维修方案和时间表，直接扣除5分。）</w:t>
            </w:r>
          </w:p>
          <w:p>
            <w:pPr>
              <w:numPr>
                <w:ilvl w:val="0"/>
                <w:numId w:val="58"/>
              </w:numPr>
              <w:rPr>
                <w:rFonts w:ascii="宋体" w:hAnsi="宋体" w:cs="宋体"/>
                <w:szCs w:val="21"/>
              </w:rPr>
            </w:pPr>
            <w:r>
              <w:rPr>
                <w:rFonts w:hint="eastAsia" w:ascii="宋体" w:hAnsi="宋体" w:cs="宋体"/>
                <w:szCs w:val="21"/>
              </w:rPr>
              <w:t>如不进行故障响应直接扣除本项得分。</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41</w:t>
            </w:r>
          </w:p>
        </w:tc>
        <w:tc>
          <w:tcPr>
            <w:tcW w:w="900" w:type="dxa"/>
            <w:tcMar>
              <w:top w:w="19" w:type="dxa"/>
              <w:left w:w="19" w:type="dxa"/>
              <w:bottom w:w="0" w:type="dxa"/>
              <w:right w:w="19" w:type="dxa"/>
            </w:tcMar>
            <w:vAlign w:val="center"/>
          </w:tcPr>
          <w:p>
            <w:pPr>
              <w:jc w:val="center"/>
              <w:rPr>
                <w:rFonts w:ascii="宋体" w:hAnsi="宋体" w:cs="宋体"/>
                <w:szCs w:val="21"/>
              </w:rPr>
            </w:pPr>
          </w:p>
        </w:tc>
        <w:tc>
          <w:tcPr>
            <w:tcW w:w="792" w:type="dxa"/>
            <w:noWrap/>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21" w:hRule="atLeast"/>
        </w:trPr>
        <w:tc>
          <w:tcPr>
            <w:tcW w:w="1080" w:type="dxa"/>
            <w:tcMar>
              <w:top w:w="19" w:type="dxa"/>
              <w:left w:w="19" w:type="dxa"/>
              <w:bottom w:w="0" w:type="dxa"/>
              <w:right w:w="19" w:type="dxa"/>
            </w:tcMar>
            <w:vAlign w:val="center"/>
          </w:tcPr>
          <w:p>
            <w:pPr>
              <w:jc w:val="center"/>
              <w:rPr>
                <w:rFonts w:ascii="宋体" w:hAnsi="宋体" w:cs="宋体"/>
                <w:kern w:val="0"/>
                <w:szCs w:val="21"/>
              </w:rPr>
            </w:pPr>
            <w:r>
              <w:rPr>
                <w:rFonts w:hint="eastAsia" w:ascii="宋体" w:hAnsi="宋体" w:cs="宋体"/>
                <w:kern w:val="0"/>
                <w:szCs w:val="21"/>
              </w:rPr>
              <w:t>技术支持</w:t>
            </w:r>
          </w:p>
        </w:tc>
        <w:tc>
          <w:tcPr>
            <w:tcW w:w="1080" w:type="dxa"/>
            <w:tcMar>
              <w:top w:w="19" w:type="dxa"/>
              <w:left w:w="19" w:type="dxa"/>
              <w:bottom w:w="0" w:type="dxa"/>
              <w:right w:w="19" w:type="dxa"/>
            </w:tcMar>
            <w:vAlign w:val="center"/>
          </w:tcPr>
          <w:p>
            <w:pPr>
              <w:jc w:val="center"/>
              <w:rPr>
                <w:rFonts w:ascii="宋体" w:hAnsi="宋体" w:cs="宋体"/>
                <w:kern w:val="0"/>
                <w:szCs w:val="21"/>
              </w:rPr>
            </w:pPr>
            <w:r>
              <w:rPr>
                <w:rFonts w:hint="eastAsia" w:ascii="宋体" w:hAnsi="宋体" w:cs="宋体"/>
                <w:kern w:val="0"/>
                <w:szCs w:val="21"/>
              </w:rPr>
              <w:t>7*24小时</w:t>
            </w:r>
          </w:p>
        </w:tc>
        <w:tc>
          <w:tcPr>
            <w:tcW w:w="5478" w:type="dxa"/>
            <w:tcMar>
              <w:top w:w="19" w:type="dxa"/>
              <w:left w:w="19" w:type="dxa"/>
              <w:bottom w:w="0" w:type="dxa"/>
              <w:right w:w="19" w:type="dxa"/>
            </w:tcMar>
            <w:vAlign w:val="center"/>
          </w:tcPr>
          <w:p>
            <w:pPr>
              <w:numPr>
                <w:ilvl w:val="0"/>
                <w:numId w:val="59"/>
              </w:numPr>
              <w:jc w:val="left"/>
              <w:rPr>
                <w:rFonts w:ascii="宋体" w:hAnsi="宋体" w:cs="宋体"/>
                <w:szCs w:val="21"/>
              </w:rPr>
            </w:pPr>
            <w:r>
              <w:rPr>
                <w:rFonts w:hint="eastAsia" w:ascii="宋体" w:hAnsi="宋体" w:cs="宋体"/>
                <w:kern w:val="0"/>
                <w:szCs w:val="21"/>
              </w:rPr>
              <w:t>在巡视中如发现用电问题和安全隐患问题，应及时反馈并提供用电建议和处理方案</w:t>
            </w:r>
            <w:r>
              <w:rPr>
                <w:rFonts w:hint="eastAsia" w:ascii="宋体" w:hAnsi="宋体" w:cs="宋体"/>
                <w:szCs w:val="21"/>
              </w:rPr>
              <w:t>。</w:t>
            </w:r>
          </w:p>
          <w:p>
            <w:pPr>
              <w:numPr>
                <w:ilvl w:val="0"/>
                <w:numId w:val="59"/>
              </w:numPr>
              <w:jc w:val="left"/>
              <w:rPr>
                <w:rFonts w:ascii="宋体" w:hAnsi="宋体" w:cs="宋体"/>
                <w:szCs w:val="21"/>
              </w:rPr>
            </w:pPr>
            <w:r>
              <w:rPr>
                <w:rFonts w:hint="eastAsia" w:ascii="宋体" w:hAnsi="宋体" w:cs="宋体"/>
                <w:kern w:val="0"/>
                <w:szCs w:val="21"/>
              </w:rPr>
              <w:t>对在安全检查中提出的关于维护设备的缺陷协助进行整改。</w:t>
            </w:r>
          </w:p>
          <w:p>
            <w:pPr>
              <w:numPr>
                <w:ilvl w:val="0"/>
                <w:numId w:val="59"/>
              </w:numPr>
              <w:jc w:val="left"/>
              <w:rPr>
                <w:rFonts w:ascii="宋体" w:hAnsi="宋体" w:cs="宋体"/>
                <w:szCs w:val="21"/>
              </w:rPr>
            </w:pPr>
            <w:r>
              <w:rPr>
                <w:rFonts w:hint="eastAsia" w:ascii="宋体" w:hAnsi="宋体" w:cs="宋体"/>
                <w:szCs w:val="21"/>
              </w:rPr>
              <w:t>提供电话或邮件咨询服务。</w:t>
            </w:r>
          </w:p>
          <w:p>
            <w:pPr>
              <w:jc w:val="left"/>
              <w:rPr>
                <w:rFonts w:ascii="宋体" w:hAnsi="宋体" w:cs="宋体"/>
                <w:szCs w:val="21"/>
              </w:rPr>
            </w:pPr>
            <w:r>
              <w:rPr>
                <w:rFonts w:hint="eastAsia" w:ascii="宋体" w:hAnsi="宋体" w:cs="宋体"/>
                <w:szCs w:val="21"/>
              </w:rPr>
              <w:t>如不响应的，每次扣1分，直至扣完为止。</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6</w:t>
            </w:r>
          </w:p>
        </w:tc>
        <w:tc>
          <w:tcPr>
            <w:tcW w:w="900" w:type="dxa"/>
            <w:tcMar>
              <w:top w:w="19" w:type="dxa"/>
              <w:left w:w="19" w:type="dxa"/>
              <w:bottom w:w="0" w:type="dxa"/>
              <w:right w:w="19" w:type="dxa"/>
            </w:tcMar>
            <w:vAlign w:val="center"/>
          </w:tcPr>
          <w:p>
            <w:pPr>
              <w:jc w:val="center"/>
              <w:rPr>
                <w:rFonts w:ascii="宋体" w:hAnsi="宋体" w:cs="宋体"/>
                <w:szCs w:val="21"/>
              </w:rPr>
            </w:pPr>
          </w:p>
        </w:tc>
        <w:tc>
          <w:tcPr>
            <w:tcW w:w="792" w:type="dxa"/>
            <w:noWrap/>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43" w:hRule="atLeast"/>
        </w:trPr>
        <w:tc>
          <w:tcPr>
            <w:tcW w:w="1080" w:type="dxa"/>
            <w:tcMar>
              <w:top w:w="19" w:type="dxa"/>
              <w:left w:w="19" w:type="dxa"/>
              <w:bottom w:w="0" w:type="dxa"/>
              <w:right w:w="19" w:type="dxa"/>
            </w:tcMar>
            <w:vAlign w:val="center"/>
          </w:tcPr>
          <w:p>
            <w:pPr>
              <w:jc w:val="center"/>
              <w:rPr>
                <w:rFonts w:ascii="宋体" w:hAnsi="宋体" w:cs="宋体"/>
                <w:kern w:val="0"/>
                <w:szCs w:val="21"/>
              </w:rPr>
            </w:pPr>
            <w:r>
              <w:rPr>
                <w:rFonts w:hint="eastAsia" w:ascii="宋体" w:hAnsi="宋体" w:cs="宋体"/>
                <w:kern w:val="0"/>
                <w:szCs w:val="21"/>
              </w:rPr>
              <w:t>服务支持</w:t>
            </w:r>
          </w:p>
        </w:tc>
        <w:tc>
          <w:tcPr>
            <w:tcW w:w="1080" w:type="dxa"/>
            <w:tcMar>
              <w:top w:w="19" w:type="dxa"/>
              <w:left w:w="19" w:type="dxa"/>
              <w:bottom w:w="0" w:type="dxa"/>
              <w:right w:w="19" w:type="dxa"/>
            </w:tcMar>
            <w:vAlign w:val="center"/>
          </w:tcPr>
          <w:p>
            <w:pPr>
              <w:jc w:val="center"/>
              <w:rPr>
                <w:rFonts w:ascii="宋体" w:hAnsi="宋体" w:cs="宋体"/>
                <w:kern w:val="0"/>
                <w:szCs w:val="21"/>
              </w:rPr>
            </w:pPr>
            <w:r>
              <w:rPr>
                <w:rFonts w:hint="eastAsia" w:ascii="宋体" w:hAnsi="宋体" w:cs="宋体"/>
                <w:kern w:val="0"/>
                <w:szCs w:val="21"/>
              </w:rPr>
              <w:t>1次/月</w:t>
            </w:r>
          </w:p>
        </w:tc>
        <w:tc>
          <w:tcPr>
            <w:tcW w:w="5478" w:type="dxa"/>
            <w:tcMar>
              <w:top w:w="19" w:type="dxa"/>
              <w:left w:w="19" w:type="dxa"/>
              <w:bottom w:w="0" w:type="dxa"/>
              <w:right w:w="19" w:type="dxa"/>
            </w:tcMar>
            <w:vAlign w:val="center"/>
          </w:tcPr>
          <w:p>
            <w:pPr>
              <w:jc w:val="left"/>
              <w:rPr>
                <w:rFonts w:ascii="宋体" w:hAnsi="宋体" w:cs="宋体"/>
                <w:kern w:val="0"/>
                <w:szCs w:val="21"/>
              </w:rPr>
            </w:pPr>
            <w:r>
              <w:rPr>
                <w:rFonts w:hint="eastAsia" w:ascii="宋体" w:hAnsi="宋体" w:cs="宋体"/>
                <w:kern w:val="0"/>
                <w:szCs w:val="21"/>
              </w:rPr>
              <w:t>建立设备技术档案，每月提交《电气设备月度运行情况报告》，每月完成得1分</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6</w:t>
            </w:r>
          </w:p>
        </w:tc>
        <w:tc>
          <w:tcPr>
            <w:tcW w:w="900" w:type="dxa"/>
            <w:tcMar>
              <w:top w:w="19" w:type="dxa"/>
              <w:left w:w="19" w:type="dxa"/>
              <w:bottom w:w="0" w:type="dxa"/>
              <w:right w:w="19" w:type="dxa"/>
            </w:tcMar>
            <w:vAlign w:val="center"/>
          </w:tcPr>
          <w:p>
            <w:pPr>
              <w:jc w:val="center"/>
              <w:rPr>
                <w:rFonts w:ascii="宋体" w:hAnsi="宋体" w:cs="宋体"/>
                <w:szCs w:val="21"/>
              </w:rPr>
            </w:pPr>
          </w:p>
        </w:tc>
        <w:tc>
          <w:tcPr>
            <w:tcW w:w="792" w:type="dxa"/>
            <w:noWrap/>
            <w:tcMar>
              <w:top w:w="19" w:type="dxa"/>
              <w:left w:w="19" w:type="dxa"/>
              <w:bottom w:w="0" w:type="dxa"/>
              <w:right w:w="19" w:type="dxa"/>
            </w:tcMar>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55" w:hRule="atLeast"/>
        </w:trPr>
        <w:tc>
          <w:tcPr>
            <w:tcW w:w="1080" w:type="dxa"/>
            <w:tcMar>
              <w:top w:w="19" w:type="dxa"/>
              <w:left w:w="19" w:type="dxa"/>
              <w:bottom w:w="0" w:type="dxa"/>
              <w:right w:w="19" w:type="dxa"/>
            </w:tcMar>
            <w:vAlign w:val="center"/>
          </w:tcPr>
          <w:p>
            <w:pPr>
              <w:ind w:firstLine="210" w:firstLineChars="100"/>
              <w:rPr>
                <w:rFonts w:ascii="宋体" w:hAnsi="宋体" w:cs="宋体"/>
                <w:szCs w:val="21"/>
              </w:rPr>
            </w:pPr>
            <w:r>
              <w:rPr>
                <w:rFonts w:hint="eastAsia" w:ascii="宋体" w:hAnsi="宋体" w:cs="宋体"/>
                <w:szCs w:val="21"/>
              </w:rPr>
              <w:t>合计</w:t>
            </w:r>
          </w:p>
        </w:tc>
        <w:tc>
          <w:tcPr>
            <w:tcW w:w="108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softHyphen/>
            </w:r>
            <w:r>
              <w:rPr>
                <w:rFonts w:hint="eastAsia" w:ascii="宋体" w:hAnsi="宋体" w:cs="宋体"/>
                <w:szCs w:val="21"/>
              </w:rPr>
              <w:softHyphen/>
            </w:r>
            <w:r>
              <w:rPr>
                <w:rFonts w:hint="eastAsia" w:ascii="宋体" w:hAnsi="宋体" w:cs="宋体"/>
                <w:szCs w:val="21"/>
              </w:rPr>
              <w:t>——</w:t>
            </w:r>
          </w:p>
        </w:tc>
        <w:tc>
          <w:tcPr>
            <w:tcW w:w="5478"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w:t>
            </w:r>
          </w:p>
        </w:tc>
        <w:tc>
          <w:tcPr>
            <w:tcW w:w="750" w:type="dxa"/>
            <w:tcMar>
              <w:top w:w="19" w:type="dxa"/>
              <w:left w:w="19" w:type="dxa"/>
              <w:bottom w:w="0" w:type="dxa"/>
              <w:right w:w="19" w:type="dxa"/>
            </w:tcMar>
            <w:vAlign w:val="center"/>
          </w:tcPr>
          <w:p>
            <w:pPr>
              <w:jc w:val="center"/>
              <w:rPr>
                <w:rFonts w:ascii="宋体" w:hAnsi="宋体" w:cs="宋体"/>
                <w:szCs w:val="21"/>
              </w:rPr>
            </w:pPr>
            <w:r>
              <w:rPr>
                <w:rFonts w:hint="eastAsia" w:ascii="宋体" w:hAnsi="宋体" w:cs="宋体"/>
                <w:szCs w:val="21"/>
              </w:rPr>
              <w:t>100</w:t>
            </w:r>
          </w:p>
        </w:tc>
        <w:tc>
          <w:tcPr>
            <w:tcW w:w="900" w:type="dxa"/>
            <w:tcMar>
              <w:top w:w="19" w:type="dxa"/>
              <w:left w:w="19" w:type="dxa"/>
              <w:bottom w:w="0" w:type="dxa"/>
              <w:right w:w="19" w:type="dxa"/>
            </w:tcMar>
            <w:vAlign w:val="center"/>
          </w:tcPr>
          <w:p>
            <w:pPr>
              <w:jc w:val="center"/>
              <w:rPr>
                <w:rFonts w:ascii="宋体" w:hAnsi="宋体" w:cs="宋体"/>
                <w:szCs w:val="21"/>
              </w:rPr>
            </w:pPr>
          </w:p>
        </w:tc>
        <w:tc>
          <w:tcPr>
            <w:tcW w:w="792" w:type="dxa"/>
            <w:noWrap/>
            <w:tcMar>
              <w:top w:w="19" w:type="dxa"/>
              <w:left w:w="19" w:type="dxa"/>
              <w:bottom w:w="0" w:type="dxa"/>
              <w:right w:w="19" w:type="dxa"/>
            </w:tcMar>
            <w:vAlign w:val="center"/>
          </w:tcPr>
          <w:p>
            <w:pPr>
              <w:jc w:val="center"/>
              <w:rPr>
                <w:rFonts w:ascii="宋体" w:hAnsi="宋体" w:cs="宋体"/>
                <w:szCs w:val="21"/>
              </w:rPr>
            </w:pPr>
          </w:p>
        </w:tc>
      </w:tr>
    </w:tbl>
    <w:p>
      <w:pPr>
        <w:rPr>
          <w:rFonts w:ascii="宋体" w:hAnsi="宋体" w:cs="宋体"/>
          <w:szCs w:val="21"/>
        </w:rPr>
      </w:pPr>
    </w:p>
    <w:p>
      <w:pPr>
        <w:spacing w:line="360" w:lineRule="auto"/>
        <w:rPr>
          <w:rFonts w:ascii="宋体" w:hAnsi="宋体" w:cs="宋体"/>
          <w:szCs w:val="21"/>
        </w:rPr>
      </w:pPr>
      <w:r>
        <w:rPr>
          <w:rFonts w:hint="eastAsia" w:ascii="宋体" w:hAnsi="宋体" w:cs="宋体"/>
          <w:szCs w:val="21"/>
        </w:rPr>
        <w:t>关键文字定意：</w:t>
      </w:r>
    </w:p>
    <w:p>
      <w:pPr>
        <w:numPr>
          <w:ilvl w:val="0"/>
          <w:numId w:val="60"/>
        </w:numPr>
        <w:spacing w:line="360" w:lineRule="auto"/>
        <w:rPr>
          <w:rFonts w:ascii="宋体" w:hAnsi="宋体" w:cs="宋体"/>
          <w:szCs w:val="21"/>
        </w:rPr>
      </w:pPr>
      <w:r>
        <w:rPr>
          <w:rFonts w:hint="eastAsia" w:ascii="宋体" w:hAnsi="宋体" w:cs="宋体"/>
          <w:szCs w:val="21"/>
        </w:rPr>
        <w:t>电话响应时间5分钟指：采购人在5分钟时间内拨打成交供应商第一辖区负责人，第二该区域内服务站长，第三服务热线，都没能接听下才定意为不能响应。</w:t>
      </w:r>
    </w:p>
    <w:p>
      <w:pPr>
        <w:numPr>
          <w:ilvl w:val="0"/>
          <w:numId w:val="60"/>
        </w:numPr>
        <w:spacing w:line="360" w:lineRule="auto"/>
        <w:rPr>
          <w:rFonts w:ascii="宋体" w:hAnsi="宋体" w:cs="宋体"/>
          <w:szCs w:val="21"/>
        </w:rPr>
      </w:pPr>
      <w:r>
        <w:rPr>
          <w:rFonts w:hint="eastAsia" w:ascii="宋体" w:hAnsi="宋体" w:cs="宋体"/>
          <w:szCs w:val="21"/>
        </w:rPr>
        <w:t>维修服务指：成交供应商到达现场后可现场进行维修不需要更换任何元件，并不需要通知当地供电所可进行复电。</w:t>
      </w:r>
    </w:p>
    <w:p>
      <w:pPr>
        <w:numPr>
          <w:ilvl w:val="0"/>
          <w:numId w:val="60"/>
        </w:numPr>
        <w:spacing w:line="360" w:lineRule="auto"/>
        <w:rPr>
          <w:rFonts w:ascii="宋体" w:hAnsi="宋体" w:cs="宋体"/>
          <w:szCs w:val="21"/>
        </w:rPr>
      </w:pPr>
      <w:r>
        <w:rPr>
          <w:rFonts w:hint="eastAsia" w:ascii="宋体" w:hAnsi="宋体" w:cs="宋体"/>
          <w:szCs w:val="21"/>
        </w:rPr>
        <w:t>特殊设备故障除外指：当设备出现故障后，现场不能维修需更换元件或需要通知当地供电所可进行复电。如:高、低压开关需更换维修，变压器烧坏等特殊情况。</w:t>
      </w:r>
    </w:p>
    <w:p>
      <w:pPr>
        <w:spacing w:line="360" w:lineRule="auto"/>
        <w:rPr>
          <w:rFonts w:ascii="宋体" w:hAnsi="宋体" w:cs="宋体"/>
          <w:szCs w:val="21"/>
        </w:rPr>
      </w:pPr>
      <w:r>
        <w:rPr>
          <w:rFonts w:hint="eastAsia" w:ascii="宋体" w:hAnsi="宋体" w:cs="宋体"/>
          <w:szCs w:val="21"/>
        </w:rPr>
        <w:t>考核结论：</w:t>
      </w:r>
    </w:p>
    <w:p>
      <w:pPr>
        <w:spacing w:line="360" w:lineRule="auto"/>
        <w:rPr>
          <w:rFonts w:ascii="宋体" w:hAnsi="宋体" w:cs="宋体"/>
          <w:szCs w:val="21"/>
        </w:rPr>
      </w:pPr>
      <w:r>
        <w:rPr>
          <w:rFonts w:hint="eastAsia" w:ascii="宋体" w:hAnsi="宋体" w:cs="宋体"/>
          <w:szCs w:val="21"/>
        </w:rPr>
        <w:t>采购人部门:                             成交供应商：</w:t>
      </w:r>
    </w:p>
    <w:p>
      <w:pPr>
        <w:spacing w:line="360" w:lineRule="auto"/>
        <w:rPr>
          <w:rFonts w:ascii="宋体" w:hAnsi="宋体" w:cs="宋体"/>
          <w:szCs w:val="21"/>
        </w:rPr>
      </w:pPr>
      <w:r>
        <w:rPr>
          <w:rFonts w:hint="eastAsia" w:ascii="宋体" w:hAnsi="宋体" w:cs="宋体"/>
          <w:szCs w:val="21"/>
        </w:rPr>
        <w:t>考核人员:                               经办人：</w:t>
      </w:r>
    </w:p>
    <w:p>
      <w:pPr>
        <w:spacing w:line="360" w:lineRule="auto"/>
        <w:rPr>
          <w:rFonts w:ascii="宋体" w:hAnsi="宋体" w:cs="宋体"/>
          <w:szCs w:val="21"/>
        </w:rPr>
      </w:pPr>
      <w:r>
        <w:rPr>
          <w:rFonts w:hint="eastAsia" w:ascii="宋体" w:hAnsi="宋体" w:cs="宋体"/>
          <w:szCs w:val="21"/>
        </w:rPr>
        <w:t>时间：时间：</w:t>
      </w:r>
    </w:p>
    <w:p>
      <w:pPr>
        <w:adjustRightInd w:val="0"/>
        <w:spacing w:line="360" w:lineRule="auto"/>
        <w:textAlignment w:val="baseline"/>
        <w:rPr>
          <w:rFonts w:ascii="宋体" w:hAnsi="宋体" w:cs="宋体"/>
          <w:szCs w:val="21"/>
        </w:rPr>
      </w:pPr>
      <w:r>
        <w:rPr>
          <w:rFonts w:hint="eastAsia" w:ascii="宋体" w:hAnsi="宋体" w:cs="宋体"/>
          <w:szCs w:val="21"/>
        </w:rPr>
        <w:t>说明：</w:t>
      </w:r>
    </w:p>
    <w:p>
      <w:pPr>
        <w:adjustRightInd w:val="0"/>
        <w:spacing w:line="360" w:lineRule="auto"/>
        <w:textAlignment w:val="baseline"/>
        <w:rPr>
          <w:rFonts w:ascii="宋体" w:hAnsi="宋体" w:cs="宋体"/>
          <w:szCs w:val="21"/>
        </w:rPr>
      </w:pPr>
      <w:r>
        <w:rPr>
          <w:rFonts w:hint="eastAsia" w:ascii="宋体" w:hAnsi="宋体" w:cs="宋体"/>
          <w:szCs w:val="21"/>
        </w:rPr>
        <w:t>1）采购人根据成交供应商提供的服务质量按100分制给予考评，采购人分别在每6个月维护工作完成后，对成交供应商的服务质量进行考核，考核结果经双方确认后，按以下考核办法进行结算。</w:t>
      </w:r>
    </w:p>
    <w:p>
      <w:pPr>
        <w:adjustRightInd w:val="0"/>
        <w:spacing w:line="360" w:lineRule="auto"/>
        <w:textAlignment w:val="baseline"/>
        <w:rPr>
          <w:rFonts w:ascii="宋体" w:hAnsi="宋体" w:cs="宋体"/>
          <w:szCs w:val="21"/>
        </w:rPr>
      </w:pPr>
      <w:r>
        <w:rPr>
          <w:rFonts w:hint="eastAsia" w:ascii="宋体" w:hAnsi="宋体" w:cs="宋体"/>
          <w:szCs w:val="21"/>
        </w:rPr>
        <w:t>2）维护考核办法：总评分100-90分（包括90分），不扣除本次维护保养费用；90分以下，每扣1分则扣除本次维护服务费的3%，本项按扣分累加制，如扣2分，则扣除本次维护服务费6%,如此类推，即支付合同总额*25%*（1-扣除比例）。</w:t>
      </w:r>
    </w:p>
    <w:p>
      <w:pPr>
        <w:adjustRightInd w:val="0"/>
        <w:spacing w:line="360" w:lineRule="auto"/>
        <w:textAlignment w:val="baseline"/>
        <w:rPr>
          <w:rFonts w:ascii="宋体" w:hAnsi="宋体" w:cs="宋体"/>
          <w:szCs w:val="21"/>
        </w:rPr>
      </w:pPr>
      <w:r>
        <w:rPr>
          <w:rFonts w:hint="eastAsia" w:ascii="宋体" w:hAnsi="宋体" w:cs="宋体"/>
          <w:szCs w:val="21"/>
        </w:rPr>
        <w:t>3）成交供应商不提供巡检或故障维修服务，采购人有权利拒绝支付维护保养费并取消成交供应商维护资格。</w:t>
      </w:r>
    </w:p>
    <w:p>
      <w:pPr>
        <w:widowControl/>
        <w:adjustRightInd w:val="0"/>
        <w:spacing w:line="360" w:lineRule="auto"/>
        <w:jc w:val="left"/>
        <w:textAlignment w:val="baseline"/>
        <w:rPr>
          <w:rFonts w:ascii="宋体" w:hAnsi="宋体" w:cs="宋体"/>
          <w:bCs/>
          <w:szCs w:val="21"/>
        </w:rPr>
      </w:pPr>
    </w:p>
    <w:p/>
    <w:p/>
    <w:p/>
    <w:p>
      <w:pPr>
        <w:jc w:val="center"/>
        <w:rPr>
          <w:rFonts w:ascii="仿宋_GB2312" w:hAnsi="宋体" w:eastAsia="仿宋_GB2312" w:cs="宋体"/>
          <w:b/>
          <w:bCs/>
          <w:kern w:val="0"/>
          <w:sz w:val="40"/>
          <w:szCs w:val="40"/>
        </w:rPr>
      </w:pPr>
    </w:p>
    <w:p>
      <w:pPr>
        <w:jc w:val="center"/>
        <w:rPr>
          <w:rFonts w:ascii="仿宋_GB2312" w:hAnsi="宋体" w:eastAsia="仿宋_GB2312" w:cs="宋体"/>
          <w:b/>
          <w:bCs/>
          <w:kern w:val="0"/>
          <w:sz w:val="40"/>
          <w:szCs w:val="40"/>
        </w:rPr>
      </w:pPr>
    </w:p>
    <w:p>
      <w:pPr>
        <w:jc w:val="center"/>
        <w:rPr>
          <w:rFonts w:ascii="仿宋_GB2312" w:hAnsi="宋体" w:eastAsia="仿宋_GB2312" w:cs="宋体"/>
          <w:b/>
          <w:bCs/>
          <w:kern w:val="0"/>
          <w:sz w:val="40"/>
          <w:szCs w:val="40"/>
        </w:rPr>
      </w:pPr>
    </w:p>
    <w:p>
      <w:pPr>
        <w:jc w:val="center"/>
        <w:rPr>
          <w:rFonts w:ascii="仿宋_GB2312" w:hAnsi="宋体" w:eastAsia="仿宋_GB2312" w:cs="宋体"/>
          <w:b/>
          <w:bCs/>
          <w:kern w:val="0"/>
          <w:sz w:val="40"/>
          <w:szCs w:val="40"/>
        </w:rPr>
      </w:pPr>
    </w:p>
    <w:p>
      <w:pPr>
        <w:jc w:val="left"/>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仿宋_GB2312">
    <w:altName w:val="仿宋"/>
    <w:panose1 w:val="00000000000000000000"/>
    <w:charset w:val="86"/>
    <w:family w:val="modern"/>
    <w:pitch w:val="default"/>
    <w:sig w:usb0="00000000" w:usb1="0000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 w:name="仿宋体">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83" w:usb1="288F0000" w:usb2="00000006" w:usb3="00000000" w:csb0="00040001" w:csb1="00000000"/>
  </w:font>
  <w:font w:name="Microsoft YaHei UI">
    <w:panose1 w:val="020B0503020204020204"/>
    <w:charset w:val="86"/>
    <w:family w:val="swiss"/>
    <w:pitch w:val="default"/>
    <w:sig w:usb0="80000287" w:usb1="2ACF3C50" w:usb2="00000016" w:usb3="00000000" w:csb0="0004001F" w:csb1="00000000"/>
  </w:font>
  <w:font w:name="汉仪中等线简">
    <w:altName w:val="宋体"/>
    <w:panose1 w:val="00000000000000000000"/>
    <w:charset w:val="86"/>
    <w:family w:val="swiss"/>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13</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35</w:t>
    </w:r>
    <w:r>
      <w:rPr>
        <w:b/>
        <w:bCs/>
        <w:sz w:val="24"/>
        <w:szCs w:val="24"/>
      </w:rPr>
      <w:fldChar w:fldCharType="end"/>
    </w:r>
  </w:p>
  <w:p>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9</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27</w:t>
    </w:r>
    <w:r>
      <w:rPr>
        <w:b/>
        <w:bCs/>
        <w:sz w:val="24"/>
        <w:szCs w:val="24"/>
      </w:rPr>
      <w:fldChar w:fldCharType="end"/>
    </w:r>
  </w:p>
  <w:p>
    <w:pPr>
      <w:pStyle w:val="2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653B3F"/>
    <w:multiLevelType w:val="singleLevel"/>
    <w:tmpl w:val="80653B3F"/>
    <w:lvl w:ilvl="0" w:tentative="0">
      <w:start w:val="1"/>
      <w:numFmt w:val="decimal"/>
      <w:suff w:val="nothing"/>
      <w:lvlText w:val="%1．"/>
      <w:lvlJc w:val="left"/>
      <w:pPr>
        <w:ind w:left="0" w:firstLine="400"/>
      </w:pPr>
      <w:rPr>
        <w:rFonts w:hint="default"/>
      </w:rPr>
    </w:lvl>
  </w:abstractNum>
  <w:abstractNum w:abstractNumId="1">
    <w:nsid w:val="80D70583"/>
    <w:multiLevelType w:val="multilevel"/>
    <w:tmpl w:val="80D70583"/>
    <w:lvl w:ilvl="0" w:tentative="0">
      <w:start w:val="1"/>
      <w:numFmt w:val="decimal"/>
      <w:lvlText w:val="%1)"/>
      <w:lvlJc w:val="left"/>
      <w:pPr>
        <w:tabs>
          <w:tab w:val="left" w:pos="0"/>
        </w:tabs>
        <w:ind w:left="1260" w:hanging="420"/>
      </w:pPr>
      <w:rPr>
        <w:rFonts w:hint="default" w:ascii="Times New Roman" w:hAnsi="Times New Roman" w:cs="Times New Roman"/>
      </w:rPr>
    </w:lvl>
    <w:lvl w:ilvl="1" w:tentative="0">
      <w:start w:val="1"/>
      <w:numFmt w:val="lowerLetter"/>
      <w:lvlText w:val="%2)"/>
      <w:lvlJc w:val="left"/>
      <w:pPr>
        <w:tabs>
          <w:tab w:val="left" w:pos="0"/>
        </w:tabs>
        <w:ind w:left="1680" w:hanging="420"/>
      </w:pPr>
      <w:rPr>
        <w:rFonts w:hint="default" w:ascii="Times New Roman" w:hAnsi="Times New Roman" w:cs="Times New Roman"/>
      </w:rPr>
    </w:lvl>
    <w:lvl w:ilvl="2" w:tentative="0">
      <w:start w:val="1"/>
      <w:numFmt w:val="lowerRoman"/>
      <w:lvlText w:val="%3."/>
      <w:lvlJc w:val="right"/>
      <w:pPr>
        <w:tabs>
          <w:tab w:val="left" w:pos="0"/>
        </w:tabs>
        <w:ind w:left="2100" w:hanging="420"/>
      </w:pPr>
      <w:rPr>
        <w:rFonts w:hint="default" w:ascii="Times New Roman" w:hAnsi="Times New Roman" w:cs="Times New Roman"/>
      </w:rPr>
    </w:lvl>
    <w:lvl w:ilvl="3" w:tentative="0">
      <w:start w:val="1"/>
      <w:numFmt w:val="decimal"/>
      <w:lvlText w:val="%4."/>
      <w:lvlJc w:val="left"/>
      <w:pPr>
        <w:tabs>
          <w:tab w:val="left" w:pos="0"/>
        </w:tabs>
        <w:ind w:left="2520" w:hanging="420"/>
      </w:pPr>
      <w:rPr>
        <w:rFonts w:hint="default" w:ascii="Times New Roman" w:hAnsi="Times New Roman" w:cs="Times New Roman"/>
      </w:rPr>
    </w:lvl>
    <w:lvl w:ilvl="4" w:tentative="0">
      <w:start w:val="1"/>
      <w:numFmt w:val="lowerLetter"/>
      <w:lvlText w:val="%5)"/>
      <w:lvlJc w:val="left"/>
      <w:pPr>
        <w:tabs>
          <w:tab w:val="left" w:pos="0"/>
        </w:tabs>
        <w:ind w:left="2940" w:hanging="420"/>
      </w:pPr>
      <w:rPr>
        <w:rFonts w:hint="default" w:ascii="Times New Roman" w:hAnsi="Times New Roman" w:cs="Times New Roman"/>
      </w:rPr>
    </w:lvl>
    <w:lvl w:ilvl="5" w:tentative="0">
      <w:start w:val="1"/>
      <w:numFmt w:val="lowerRoman"/>
      <w:lvlText w:val="%6."/>
      <w:lvlJc w:val="right"/>
      <w:pPr>
        <w:tabs>
          <w:tab w:val="left" w:pos="0"/>
        </w:tabs>
        <w:ind w:left="3360" w:hanging="420"/>
      </w:pPr>
      <w:rPr>
        <w:rFonts w:hint="default" w:ascii="Times New Roman" w:hAnsi="Times New Roman" w:cs="Times New Roman"/>
      </w:rPr>
    </w:lvl>
    <w:lvl w:ilvl="6" w:tentative="0">
      <w:start w:val="1"/>
      <w:numFmt w:val="decimal"/>
      <w:lvlText w:val="%7."/>
      <w:lvlJc w:val="left"/>
      <w:pPr>
        <w:tabs>
          <w:tab w:val="left" w:pos="0"/>
        </w:tabs>
        <w:ind w:left="3780" w:hanging="420"/>
      </w:pPr>
      <w:rPr>
        <w:rFonts w:hint="default" w:ascii="Times New Roman" w:hAnsi="Times New Roman" w:cs="Times New Roman"/>
      </w:rPr>
    </w:lvl>
    <w:lvl w:ilvl="7" w:tentative="0">
      <w:start w:val="1"/>
      <w:numFmt w:val="lowerLetter"/>
      <w:lvlText w:val="%8)"/>
      <w:lvlJc w:val="left"/>
      <w:pPr>
        <w:tabs>
          <w:tab w:val="left" w:pos="0"/>
        </w:tabs>
        <w:ind w:left="4200" w:hanging="420"/>
      </w:pPr>
      <w:rPr>
        <w:rFonts w:hint="default" w:ascii="Times New Roman" w:hAnsi="Times New Roman" w:cs="Times New Roman"/>
      </w:rPr>
    </w:lvl>
    <w:lvl w:ilvl="8" w:tentative="0">
      <w:start w:val="1"/>
      <w:numFmt w:val="lowerRoman"/>
      <w:lvlText w:val="%9."/>
      <w:lvlJc w:val="right"/>
      <w:pPr>
        <w:tabs>
          <w:tab w:val="left" w:pos="0"/>
        </w:tabs>
        <w:ind w:left="4620" w:hanging="420"/>
      </w:pPr>
      <w:rPr>
        <w:rFonts w:hint="default" w:ascii="Times New Roman" w:hAnsi="Times New Roman" w:cs="Times New Roman"/>
      </w:rPr>
    </w:lvl>
  </w:abstractNum>
  <w:abstractNum w:abstractNumId="2">
    <w:nsid w:val="8267F29E"/>
    <w:multiLevelType w:val="multilevel"/>
    <w:tmpl w:val="8267F29E"/>
    <w:lvl w:ilvl="0" w:tentative="0">
      <w:start w:val="1"/>
      <w:numFmt w:val="decimal"/>
      <w:lvlText w:val="%1)"/>
      <w:lvlJc w:val="left"/>
      <w:pPr>
        <w:tabs>
          <w:tab w:val="left" w:pos="0"/>
        </w:tabs>
        <w:ind w:left="1260" w:hanging="420"/>
      </w:pPr>
      <w:rPr>
        <w:rFonts w:hint="default" w:ascii="宋体" w:hAnsi="宋体" w:eastAsia="宋体" w:cs="Times New Roman"/>
      </w:rPr>
    </w:lvl>
    <w:lvl w:ilvl="1" w:tentative="0">
      <w:start w:val="1"/>
      <w:numFmt w:val="lowerLetter"/>
      <w:lvlText w:val="%2)"/>
      <w:lvlJc w:val="left"/>
      <w:pPr>
        <w:tabs>
          <w:tab w:val="left" w:pos="0"/>
        </w:tabs>
        <w:ind w:left="1680" w:hanging="420"/>
      </w:pPr>
      <w:rPr>
        <w:rFonts w:hint="default" w:ascii="Times New Roman" w:hAnsi="Times New Roman" w:cs="Times New Roman"/>
      </w:rPr>
    </w:lvl>
    <w:lvl w:ilvl="2" w:tentative="0">
      <w:start w:val="1"/>
      <w:numFmt w:val="lowerRoman"/>
      <w:lvlText w:val="%3."/>
      <w:lvlJc w:val="right"/>
      <w:pPr>
        <w:tabs>
          <w:tab w:val="left" w:pos="0"/>
        </w:tabs>
        <w:ind w:left="2100" w:hanging="420"/>
      </w:pPr>
      <w:rPr>
        <w:rFonts w:hint="default" w:ascii="Times New Roman" w:hAnsi="Times New Roman" w:cs="Times New Roman"/>
      </w:rPr>
    </w:lvl>
    <w:lvl w:ilvl="3" w:tentative="0">
      <w:start w:val="1"/>
      <w:numFmt w:val="decimal"/>
      <w:lvlText w:val="%4."/>
      <w:lvlJc w:val="left"/>
      <w:pPr>
        <w:tabs>
          <w:tab w:val="left" w:pos="0"/>
        </w:tabs>
        <w:ind w:left="2520" w:hanging="420"/>
      </w:pPr>
      <w:rPr>
        <w:rFonts w:hint="default" w:ascii="Times New Roman" w:hAnsi="Times New Roman" w:cs="Times New Roman"/>
      </w:rPr>
    </w:lvl>
    <w:lvl w:ilvl="4" w:tentative="0">
      <w:start w:val="1"/>
      <w:numFmt w:val="lowerLetter"/>
      <w:lvlText w:val="%5)"/>
      <w:lvlJc w:val="left"/>
      <w:pPr>
        <w:tabs>
          <w:tab w:val="left" w:pos="0"/>
        </w:tabs>
        <w:ind w:left="2940" w:hanging="420"/>
      </w:pPr>
      <w:rPr>
        <w:rFonts w:hint="default" w:ascii="Times New Roman" w:hAnsi="Times New Roman" w:cs="Times New Roman"/>
      </w:rPr>
    </w:lvl>
    <w:lvl w:ilvl="5" w:tentative="0">
      <w:start w:val="1"/>
      <w:numFmt w:val="lowerRoman"/>
      <w:lvlText w:val="%6."/>
      <w:lvlJc w:val="right"/>
      <w:pPr>
        <w:tabs>
          <w:tab w:val="left" w:pos="0"/>
        </w:tabs>
        <w:ind w:left="3360" w:hanging="420"/>
      </w:pPr>
      <w:rPr>
        <w:rFonts w:hint="default" w:ascii="Times New Roman" w:hAnsi="Times New Roman" w:cs="Times New Roman"/>
      </w:rPr>
    </w:lvl>
    <w:lvl w:ilvl="6" w:tentative="0">
      <w:start w:val="1"/>
      <w:numFmt w:val="decimal"/>
      <w:lvlText w:val="%7."/>
      <w:lvlJc w:val="left"/>
      <w:pPr>
        <w:tabs>
          <w:tab w:val="left" w:pos="0"/>
        </w:tabs>
        <w:ind w:left="3780" w:hanging="420"/>
      </w:pPr>
      <w:rPr>
        <w:rFonts w:hint="default" w:ascii="Times New Roman" w:hAnsi="Times New Roman" w:cs="Times New Roman"/>
      </w:rPr>
    </w:lvl>
    <w:lvl w:ilvl="7" w:tentative="0">
      <w:start w:val="1"/>
      <w:numFmt w:val="lowerLetter"/>
      <w:lvlText w:val="%8)"/>
      <w:lvlJc w:val="left"/>
      <w:pPr>
        <w:tabs>
          <w:tab w:val="left" w:pos="0"/>
        </w:tabs>
        <w:ind w:left="4200" w:hanging="420"/>
      </w:pPr>
      <w:rPr>
        <w:rFonts w:hint="default" w:ascii="Times New Roman" w:hAnsi="Times New Roman" w:cs="Times New Roman"/>
      </w:rPr>
    </w:lvl>
    <w:lvl w:ilvl="8" w:tentative="0">
      <w:start w:val="1"/>
      <w:numFmt w:val="lowerRoman"/>
      <w:lvlText w:val="%9."/>
      <w:lvlJc w:val="right"/>
      <w:pPr>
        <w:tabs>
          <w:tab w:val="left" w:pos="0"/>
        </w:tabs>
        <w:ind w:left="4620" w:hanging="420"/>
      </w:pPr>
      <w:rPr>
        <w:rFonts w:hint="default" w:ascii="Times New Roman" w:hAnsi="Times New Roman" w:cs="Times New Roman"/>
      </w:rPr>
    </w:lvl>
  </w:abstractNum>
  <w:abstractNum w:abstractNumId="3">
    <w:nsid w:val="83ED689F"/>
    <w:multiLevelType w:val="singleLevel"/>
    <w:tmpl w:val="83ED689F"/>
    <w:lvl w:ilvl="0" w:tentative="0">
      <w:start w:val="1"/>
      <w:numFmt w:val="decimal"/>
      <w:suff w:val="nothing"/>
      <w:lvlText w:val="%1．"/>
      <w:lvlJc w:val="left"/>
      <w:pPr>
        <w:ind w:left="0" w:firstLine="400"/>
      </w:pPr>
      <w:rPr>
        <w:rFonts w:hint="default"/>
      </w:rPr>
    </w:lvl>
  </w:abstractNum>
  <w:abstractNum w:abstractNumId="4">
    <w:nsid w:val="866AB21D"/>
    <w:multiLevelType w:val="multilevel"/>
    <w:tmpl w:val="866AB21D"/>
    <w:lvl w:ilvl="0" w:tentative="0">
      <w:start w:val="1"/>
      <w:numFmt w:val="decimal"/>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86DA630E"/>
    <w:multiLevelType w:val="multilevel"/>
    <w:tmpl w:val="86DA630E"/>
    <w:lvl w:ilvl="0" w:tentative="0">
      <w:start w:val="1"/>
      <w:numFmt w:val="lowerRoman"/>
      <w:lvlText w:val="%1."/>
      <w:lvlJc w:val="right"/>
      <w:pPr>
        <w:tabs>
          <w:tab w:val="left" w:pos="0"/>
        </w:tabs>
        <w:ind w:left="1680" w:hanging="420"/>
      </w:pPr>
      <w:rPr>
        <w:rFonts w:hint="default" w:ascii="宋体" w:hAnsi="宋体" w:eastAsia="宋体" w:cs="Times New Roman"/>
      </w:rPr>
    </w:lvl>
    <w:lvl w:ilvl="1" w:tentative="0">
      <w:start w:val="1"/>
      <w:numFmt w:val="lowerLetter"/>
      <w:lvlText w:val="%2)"/>
      <w:lvlJc w:val="left"/>
      <w:pPr>
        <w:tabs>
          <w:tab w:val="left" w:pos="0"/>
        </w:tabs>
        <w:ind w:left="2100" w:hanging="420"/>
      </w:pPr>
      <w:rPr>
        <w:rFonts w:hint="default" w:ascii="Times New Roman" w:hAnsi="Times New Roman" w:cs="Times New Roman"/>
      </w:rPr>
    </w:lvl>
    <w:lvl w:ilvl="2" w:tentative="0">
      <w:start w:val="1"/>
      <w:numFmt w:val="lowerRoman"/>
      <w:lvlText w:val="%3."/>
      <w:lvlJc w:val="right"/>
      <w:pPr>
        <w:tabs>
          <w:tab w:val="left" w:pos="0"/>
        </w:tabs>
        <w:ind w:left="2520" w:hanging="420"/>
      </w:pPr>
      <w:rPr>
        <w:rFonts w:hint="default" w:ascii="Times New Roman" w:hAnsi="Times New Roman" w:cs="Times New Roman"/>
      </w:rPr>
    </w:lvl>
    <w:lvl w:ilvl="3" w:tentative="0">
      <w:start w:val="1"/>
      <w:numFmt w:val="decimal"/>
      <w:lvlText w:val="%4."/>
      <w:lvlJc w:val="left"/>
      <w:pPr>
        <w:tabs>
          <w:tab w:val="left" w:pos="0"/>
        </w:tabs>
        <w:ind w:left="2940" w:hanging="420"/>
      </w:pPr>
      <w:rPr>
        <w:rFonts w:hint="default" w:ascii="Times New Roman" w:hAnsi="Times New Roman" w:cs="Times New Roman"/>
      </w:rPr>
    </w:lvl>
    <w:lvl w:ilvl="4" w:tentative="0">
      <w:start w:val="1"/>
      <w:numFmt w:val="lowerLetter"/>
      <w:lvlText w:val="%5)"/>
      <w:lvlJc w:val="left"/>
      <w:pPr>
        <w:tabs>
          <w:tab w:val="left" w:pos="0"/>
        </w:tabs>
        <w:ind w:left="3360" w:hanging="420"/>
      </w:pPr>
      <w:rPr>
        <w:rFonts w:hint="default" w:ascii="Times New Roman" w:hAnsi="Times New Roman" w:cs="Times New Roman"/>
      </w:rPr>
    </w:lvl>
    <w:lvl w:ilvl="5" w:tentative="0">
      <w:start w:val="1"/>
      <w:numFmt w:val="lowerRoman"/>
      <w:lvlText w:val="%6."/>
      <w:lvlJc w:val="right"/>
      <w:pPr>
        <w:tabs>
          <w:tab w:val="left" w:pos="0"/>
        </w:tabs>
        <w:ind w:left="3780" w:hanging="420"/>
      </w:pPr>
      <w:rPr>
        <w:rFonts w:hint="default" w:ascii="Times New Roman" w:hAnsi="Times New Roman" w:cs="Times New Roman"/>
      </w:rPr>
    </w:lvl>
    <w:lvl w:ilvl="6" w:tentative="0">
      <w:start w:val="1"/>
      <w:numFmt w:val="decimal"/>
      <w:lvlText w:val="%7."/>
      <w:lvlJc w:val="left"/>
      <w:pPr>
        <w:tabs>
          <w:tab w:val="left" w:pos="0"/>
        </w:tabs>
        <w:ind w:left="4200" w:hanging="420"/>
      </w:pPr>
      <w:rPr>
        <w:rFonts w:hint="default" w:ascii="Times New Roman" w:hAnsi="Times New Roman" w:cs="Times New Roman"/>
      </w:rPr>
    </w:lvl>
    <w:lvl w:ilvl="7" w:tentative="0">
      <w:start w:val="1"/>
      <w:numFmt w:val="lowerLetter"/>
      <w:lvlText w:val="%8)"/>
      <w:lvlJc w:val="left"/>
      <w:pPr>
        <w:tabs>
          <w:tab w:val="left" w:pos="0"/>
        </w:tabs>
        <w:ind w:left="4620" w:hanging="420"/>
      </w:pPr>
      <w:rPr>
        <w:rFonts w:hint="default" w:ascii="Times New Roman" w:hAnsi="Times New Roman" w:cs="Times New Roman"/>
      </w:rPr>
    </w:lvl>
    <w:lvl w:ilvl="8" w:tentative="0">
      <w:start w:val="1"/>
      <w:numFmt w:val="lowerRoman"/>
      <w:lvlText w:val="%9."/>
      <w:lvlJc w:val="right"/>
      <w:pPr>
        <w:tabs>
          <w:tab w:val="left" w:pos="0"/>
        </w:tabs>
        <w:ind w:left="5040" w:hanging="420"/>
      </w:pPr>
      <w:rPr>
        <w:rFonts w:hint="default" w:ascii="Times New Roman" w:hAnsi="Times New Roman" w:cs="Times New Roman"/>
      </w:rPr>
    </w:lvl>
  </w:abstractNum>
  <w:abstractNum w:abstractNumId="6">
    <w:nsid w:val="8BEB01DA"/>
    <w:multiLevelType w:val="singleLevel"/>
    <w:tmpl w:val="8BEB01DA"/>
    <w:lvl w:ilvl="0" w:tentative="0">
      <w:start w:val="1"/>
      <w:numFmt w:val="decimal"/>
      <w:suff w:val="nothing"/>
      <w:lvlText w:val="%1．"/>
      <w:lvlJc w:val="left"/>
      <w:pPr>
        <w:ind w:left="0" w:firstLine="400"/>
      </w:pPr>
      <w:rPr>
        <w:rFonts w:hint="default"/>
      </w:rPr>
    </w:lvl>
  </w:abstractNum>
  <w:abstractNum w:abstractNumId="7">
    <w:nsid w:val="940E5234"/>
    <w:multiLevelType w:val="singleLevel"/>
    <w:tmpl w:val="940E5234"/>
    <w:lvl w:ilvl="0" w:tentative="0">
      <w:start w:val="1"/>
      <w:numFmt w:val="decimal"/>
      <w:lvlText w:val="%1)"/>
      <w:lvlJc w:val="left"/>
      <w:pPr>
        <w:tabs>
          <w:tab w:val="left" w:pos="454"/>
        </w:tabs>
        <w:ind w:left="454" w:firstLine="0"/>
      </w:pPr>
      <w:rPr>
        <w:rFonts w:hint="default"/>
      </w:rPr>
    </w:lvl>
  </w:abstractNum>
  <w:abstractNum w:abstractNumId="8">
    <w:nsid w:val="94C950D4"/>
    <w:multiLevelType w:val="singleLevel"/>
    <w:tmpl w:val="94C950D4"/>
    <w:lvl w:ilvl="0" w:tentative="0">
      <w:start w:val="1"/>
      <w:numFmt w:val="decimal"/>
      <w:suff w:val="nothing"/>
      <w:lvlText w:val="%1．"/>
      <w:lvlJc w:val="left"/>
      <w:pPr>
        <w:ind w:left="0" w:firstLine="400"/>
      </w:pPr>
      <w:rPr>
        <w:rFonts w:hint="default"/>
      </w:rPr>
    </w:lvl>
  </w:abstractNum>
  <w:abstractNum w:abstractNumId="9">
    <w:nsid w:val="9B79EAA1"/>
    <w:multiLevelType w:val="singleLevel"/>
    <w:tmpl w:val="9B79EAA1"/>
    <w:lvl w:ilvl="0" w:tentative="0">
      <w:start w:val="1"/>
      <w:numFmt w:val="decimal"/>
      <w:lvlText w:val="(%1)"/>
      <w:lvlJc w:val="left"/>
      <w:pPr>
        <w:ind w:left="425" w:hanging="425"/>
      </w:pPr>
      <w:rPr>
        <w:rFonts w:hint="default"/>
      </w:rPr>
    </w:lvl>
  </w:abstractNum>
  <w:abstractNum w:abstractNumId="10">
    <w:nsid w:val="B457FF7B"/>
    <w:multiLevelType w:val="singleLevel"/>
    <w:tmpl w:val="B457FF7B"/>
    <w:lvl w:ilvl="0" w:tentative="0">
      <w:start w:val="1"/>
      <w:numFmt w:val="decimal"/>
      <w:lvlText w:val="(%1)"/>
      <w:lvlJc w:val="left"/>
      <w:pPr>
        <w:ind w:left="425" w:hanging="425"/>
      </w:pPr>
      <w:rPr>
        <w:rFonts w:hint="default"/>
      </w:rPr>
    </w:lvl>
  </w:abstractNum>
  <w:abstractNum w:abstractNumId="11">
    <w:nsid w:val="B7697BC6"/>
    <w:multiLevelType w:val="singleLevel"/>
    <w:tmpl w:val="B7697BC6"/>
    <w:lvl w:ilvl="0" w:tentative="0">
      <w:start w:val="1"/>
      <w:numFmt w:val="decimal"/>
      <w:lvlText w:val="%1)"/>
      <w:lvlJc w:val="left"/>
      <w:pPr>
        <w:tabs>
          <w:tab w:val="left" w:pos="454"/>
        </w:tabs>
        <w:ind w:left="454" w:firstLine="0"/>
      </w:pPr>
      <w:rPr>
        <w:rFonts w:hint="default"/>
      </w:rPr>
    </w:lvl>
  </w:abstractNum>
  <w:abstractNum w:abstractNumId="12">
    <w:nsid w:val="BF367153"/>
    <w:multiLevelType w:val="singleLevel"/>
    <w:tmpl w:val="BF367153"/>
    <w:lvl w:ilvl="0" w:tentative="0">
      <w:start w:val="1"/>
      <w:numFmt w:val="decimal"/>
      <w:suff w:val="nothing"/>
      <w:lvlText w:val="%1．"/>
      <w:lvlJc w:val="left"/>
      <w:pPr>
        <w:ind w:left="0" w:firstLine="400"/>
      </w:pPr>
      <w:rPr>
        <w:rFonts w:hint="default"/>
      </w:rPr>
    </w:lvl>
  </w:abstractNum>
  <w:abstractNum w:abstractNumId="13">
    <w:nsid w:val="C2262A4C"/>
    <w:multiLevelType w:val="multilevel"/>
    <w:tmpl w:val="C2262A4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C703485A"/>
    <w:multiLevelType w:val="singleLevel"/>
    <w:tmpl w:val="C703485A"/>
    <w:lvl w:ilvl="0" w:tentative="0">
      <w:start w:val="1"/>
      <w:numFmt w:val="decimal"/>
      <w:lvlText w:val="(%1)"/>
      <w:lvlJc w:val="left"/>
      <w:pPr>
        <w:ind w:left="425" w:hanging="425"/>
      </w:pPr>
      <w:rPr>
        <w:rFonts w:hint="default"/>
      </w:rPr>
    </w:lvl>
  </w:abstractNum>
  <w:abstractNum w:abstractNumId="15">
    <w:nsid w:val="CCE251DE"/>
    <w:multiLevelType w:val="multilevel"/>
    <w:tmpl w:val="CCE251DE"/>
    <w:lvl w:ilvl="0" w:tentative="0">
      <w:start w:val="1"/>
      <w:numFmt w:val="lowerRoman"/>
      <w:lvlText w:val="%1."/>
      <w:lvlJc w:val="right"/>
      <w:pPr>
        <w:tabs>
          <w:tab w:val="left" w:pos="0"/>
        </w:tabs>
        <w:ind w:left="1680" w:hanging="420"/>
      </w:pPr>
      <w:rPr>
        <w:rFonts w:hint="default" w:ascii="宋体" w:hAnsi="宋体" w:eastAsia="宋体" w:cs="Times New Roman"/>
      </w:rPr>
    </w:lvl>
    <w:lvl w:ilvl="1" w:tentative="0">
      <w:start w:val="1"/>
      <w:numFmt w:val="lowerLetter"/>
      <w:lvlText w:val="%2)"/>
      <w:lvlJc w:val="left"/>
      <w:pPr>
        <w:tabs>
          <w:tab w:val="left" w:pos="0"/>
        </w:tabs>
        <w:ind w:left="2100" w:hanging="420"/>
      </w:pPr>
      <w:rPr>
        <w:rFonts w:hint="default" w:ascii="Times New Roman" w:hAnsi="Times New Roman" w:cs="Times New Roman"/>
      </w:rPr>
    </w:lvl>
    <w:lvl w:ilvl="2" w:tentative="0">
      <w:start w:val="1"/>
      <w:numFmt w:val="lowerRoman"/>
      <w:lvlText w:val="%3."/>
      <w:lvlJc w:val="right"/>
      <w:pPr>
        <w:tabs>
          <w:tab w:val="left" w:pos="0"/>
        </w:tabs>
        <w:ind w:left="2520" w:hanging="420"/>
      </w:pPr>
      <w:rPr>
        <w:rFonts w:hint="default" w:ascii="Times New Roman" w:hAnsi="Times New Roman" w:cs="Times New Roman"/>
      </w:rPr>
    </w:lvl>
    <w:lvl w:ilvl="3" w:tentative="0">
      <w:start w:val="1"/>
      <w:numFmt w:val="decimal"/>
      <w:lvlText w:val="%4."/>
      <w:lvlJc w:val="left"/>
      <w:pPr>
        <w:tabs>
          <w:tab w:val="left" w:pos="0"/>
        </w:tabs>
        <w:ind w:left="2940" w:hanging="420"/>
      </w:pPr>
      <w:rPr>
        <w:rFonts w:hint="default" w:ascii="Times New Roman" w:hAnsi="Times New Roman" w:cs="Times New Roman"/>
      </w:rPr>
    </w:lvl>
    <w:lvl w:ilvl="4" w:tentative="0">
      <w:start w:val="1"/>
      <w:numFmt w:val="lowerLetter"/>
      <w:lvlText w:val="%5)"/>
      <w:lvlJc w:val="left"/>
      <w:pPr>
        <w:tabs>
          <w:tab w:val="left" w:pos="0"/>
        </w:tabs>
        <w:ind w:left="3360" w:hanging="420"/>
      </w:pPr>
      <w:rPr>
        <w:rFonts w:hint="default" w:ascii="Times New Roman" w:hAnsi="Times New Roman" w:cs="Times New Roman"/>
      </w:rPr>
    </w:lvl>
    <w:lvl w:ilvl="5" w:tentative="0">
      <w:start w:val="1"/>
      <w:numFmt w:val="lowerRoman"/>
      <w:lvlText w:val="%6."/>
      <w:lvlJc w:val="right"/>
      <w:pPr>
        <w:tabs>
          <w:tab w:val="left" w:pos="0"/>
        </w:tabs>
        <w:ind w:left="3780" w:hanging="420"/>
      </w:pPr>
      <w:rPr>
        <w:rFonts w:hint="default" w:ascii="Times New Roman" w:hAnsi="Times New Roman" w:cs="Times New Roman"/>
      </w:rPr>
    </w:lvl>
    <w:lvl w:ilvl="6" w:tentative="0">
      <w:start w:val="1"/>
      <w:numFmt w:val="decimal"/>
      <w:lvlText w:val="%7."/>
      <w:lvlJc w:val="left"/>
      <w:pPr>
        <w:tabs>
          <w:tab w:val="left" w:pos="0"/>
        </w:tabs>
        <w:ind w:left="4200" w:hanging="420"/>
      </w:pPr>
      <w:rPr>
        <w:rFonts w:hint="default" w:ascii="Times New Roman" w:hAnsi="Times New Roman" w:cs="Times New Roman"/>
      </w:rPr>
    </w:lvl>
    <w:lvl w:ilvl="7" w:tentative="0">
      <w:start w:val="1"/>
      <w:numFmt w:val="lowerLetter"/>
      <w:lvlText w:val="%8)"/>
      <w:lvlJc w:val="left"/>
      <w:pPr>
        <w:tabs>
          <w:tab w:val="left" w:pos="0"/>
        </w:tabs>
        <w:ind w:left="4620" w:hanging="420"/>
      </w:pPr>
      <w:rPr>
        <w:rFonts w:hint="default" w:ascii="Times New Roman" w:hAnsi="Times New Roman" w:cs="Times New Roman"/>
      </w:rPr>
    </w:lvl>
    <w:lvl w:ilvl="8" w:tentative="0">
      <w:start w:val="1"/>
      <w:numFmt w:val="lowerRoman"/>
      <w:lvlText w:val="%9."/>
      <w:lvlJc w:val="right"/>
      <w:pPr>
        <w:tabs>
          <w:tab w:val="left" w:pos="0"/>
        </w:tabs>
        <w:ind w:left="5040" w:hanging="420"/>
      </w:pPr>
      <w:rPr>
        <w:rFonts w:hint="default" w:ascii="Times New Roman" w:hAnsi="Times New Roman" w:cs="Times New Roman"/>
      </w:rPr>
    </w:lvl>
  </w:abstractNum>
  <w:abstractNum w:abstractNumId="16">
    <w:nsid w:val="D0632C62"/>
    <w:multiLevelType w:val="singleLevel"/>
    <w:tmpl w:val="D0632C62"/>
    <w:lvl w:ilvl="0" w:tentative="0">
      <w:start w:val="1"/>
      <w:numFmt w:val="decimal"/>
      <w:lvlText w:val="%1)"/>
      <w:lvlJc w:val="left"/>
      <w:pPr>
        <w:tabs>
          <w:tab w:val="left" w:pos="454"/>
        </w:tabs>
        <w:ind w:left="454" w:firstLine="0"/>
      </w:pPr>
      <w:rPr>
        <w:rFonts w:hint="default"/>
      </w:rPr>
    </w:lvl>
  </w:abstractNum>
  <w:abstractNum w:abstractNumId="17">
    <w:nsid w:val="D6AE8EB9"/>
    <w:multiLevelType w:val="singleLevel"/>
    <w:tmpl w:val="D6AE8EB9"/>
    <w:lvl w:ilvl="0" w:tentative="0">
      <w:start w:val="1"/>
      <w:numFmt w:val="decimal"/>
      <w:suff w:val="nothing"/>
      <w:lvlText w:val="%1．"/>
      <w:lvlJc w:val="left"/>
      <w:pPr>
        <w:ind w:left="0" w:firstLine="400"/>
      </w:pPr>
      <w:rPr>
        <w:rFonts w:hint="default"/>
      </w:rPr>
    </w:lvl>
  </w:abstractNum>
  <w:abstractNum w:abstractNumId="18">
    <w:nsid w:val="D77595ED"/>
    <w:multiLevelType w:val="singleLevel"/>
    <w:tmpl w:val="D77595ED"/>
    <w:lvl w:ilvl="0" w:tentative="0">
      <w:start w:val="1"/>
      <w:numFmt w:val="decimal"/>
      <w:suff w:val="nothing"/>
      <w:lvlText w:val="%1．"/>
      <w:lvlJc w:val="left"/>
      <w:pPr>
        <w:ind w:left="0" w:firstLine="400"/>
      </w:pPr>
      <w:rPr>
        <w:rFonts w:hint="default"/>
      </w:rPr>
    </w:lvl>
  </w:abstractNum>
  <w:abstractNum w:abstractNumId="19">
    <w:nsid w:val="E561730E"/>
    <w:multiLevelType w:val="multilevel"/>
    <w:tmpl w:val="E561730E"/>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0">
    <w:nsid w:val="F3D9422E"/>
    <w:multiLevelType w:val="singleLevel"/>
    <w:tmpl w:val="F3D9422E"/>
    <w:lvl w:ilvl="0" w:tentative="0">
      <w:start w:val="1"/>
      <w:numFmt w:val="decimal"/>
      <w:suff w:val="nothing"/>
      <w:lvlText w:val="%1．"/>
      <w:lvlJc w:val="left"/>
      <w:pPr>
        <w:ind w:left="0" w:firstLine="400"/>
      </w:pPr>
      <w:rPr>
        <w:rFonts w:hint="default"/>
      </w:rPr>
    </w:lvl>
  </w:abstractNum>
  <w:abstractNum w:abstractNumId="21">
    <w:nsid w:val="FA6A4A34"/>
    <w:multiLevelType w:val="singleLevel"/>
    <w:tmpl w:val="FA6A4A34"/>
    <w:lvl w:ilvl="0" w:tentative="0">
      <w:start w:val="1"/>
      <w:numFmt w:val="decimal"/>
      <w:suff w:val="nothing"/>
      <w:lvlText w:val="%1．"/>
      <w:lvlJc w:val="left"/>
      <w:pPr>
        <w:ind w:left="0" w:firstLine="400"/>
      </w:pPr>
      <w:rPr>
        <w:rFonts w:hint="default"/>
      </w:rPr>
    </w:lvl>
  </w:abstractNum>
  <w:abstractNum w:abstractNumId="22">
    <w:nsid w:val="FF511F05"/>
    <w:multiLevelType w:val="singleLevel"/>
    <w:tmpl w:val="FF511F05"/>
    <w:lvl w:ilvl="0" w:tentative="0">
      <w:start w:val="1"/>
      <w:numFmt w:val="decimal"/>
      <w:suff w:val="nothing"/>
      <w:lvlText w:val="%1．"/>
      <w:lvlJc w:val="left"/>
      <w:pPr>
        <w:ind w:left="0" w:firstLine="400"/>
      </w:pPr>
      <w:rPr>
        <w:rFonts w:hint="default"/>
      </w:rPr>
    </w:lvl>
  </w:abstractNum>
  <w:abstractNum w:abstractNumId="23">
    <w:nsid w:val="023D0F5B"/>
    <w:multiLevelType w:val="singleLevel"/>
    <w:tmpl w:val="023D0F5B"/>
    <w:lvl w:ilvl="0" w:tentative="0">
      <w:start w:val="1"/>
      <w:numFmt w:val="decimal"/>
      <w:lvlText w:val="(%1)"/>
      <w:lvlJc w:val="left"/>
      <w:pPr>
        <w:ind w:left="425" w:hanging="425"/>
      </w:pPr>
      <w:rPr>
        <w:rFonts w:hint="default"/>
      </w:rPr>
    </w:lvl>
  </w:abstractNum>
  <w:abstractNum w:abstractNumId="24">
    <w:nsid w:val="03DD5FD5"/>
    <w:multiLevelType w:val="multilevel"/>
    <w:tmpl w:val="03DD5FD5"/>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25">
    <w:nsid w:val="0C7044A2"/>
    <w:multiLevelType w:val="multilevel"/>
    <w:tmpl w:val="0C7044A2"/>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6">
    <w:nsid w:val="111A3326"/>
    <w:multiLevelType w:val="multilevel"/>
    <w:tmpl w:val="111A3326"/>
    <w:lvl w:ilvl="0" w:tentative="0">
      <w:start w:val="1"/>
      <w:numFmt w:val="chineseCountingThousand"/>
      <w:lvlText w:val="%1、"/>
      <w:lvlJc w:val="left"/>
      <w:pPr>
        <w:ind w:left="420" w:hanging="420"/>
      </w:pPr>
      <w:rPr>
        <w:rFonts w:hint="default" w:cs="仿宋_GB2312"/>
        <w:b w:val="0"/>
        <w:color w:val="auto"/>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7">
    <w:nsid w:val="125214F2"/>
    <w:multiLevelType w:val="multilevel"/>
    <w:tmpl w:val="125214F2"/>
    <w:lvl w:ilvl="0" w:tentative="0">
      <w:start w:val="1"/>
      <w:numFmt w:val="decimal"/>
      <w:suff w:val="nothing"/>
      <w:lvlText w:val="%1)"/>
      <w:lvlJc w:val="left"/>
      <w:pPr>
        <w:ind w:left="840" w:hanging="420"/>
      </w:pPr>
      <w:rPr>
        <w:rFonts w:hint="default" w:ascii="宋体" w:hAnsi="宋体" w:eastAsia="宋体"/>
        <w:b w:val="0"/>
        <w:bCs w:val="0"/>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28">
    <w:nsid w:val="140A6B21"/>
    <w:multiLevelType w:val="multilevel"/>
    <w:tmpl w:val="140A6B21"/>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29">
    <w:nsid w:val="15477A95"/>
    <w:multiLevelType w:val="multilevel"/>
    <w:tmpl w:val="15477A95"/>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0">
    <w:nsid w:val="155D7121"/>
    <w:multiLevelType w:val="singleLevel"/>
    <w:tmpl w:val="155D7121"/>
    <w:lvl w:ilvl="0" w:tentative="0">
      <w:start w:val="1"/>
      <w:numFmt w:val="decimal"/>
      <w:suff w:val="nothing"/>
      <w:lvlText w:val="%1．"/>
      <w:lvlJc w:val="left"/>
      <w:pPr>
        <w:ind w:left="0" w:firstLine="400"/>
      </w:pPr>
      <w:rPr>
        <w:rFonts w:hint="default"/>
      </w:rPr>
    </w:lvl>
  </w:abstractNum>
  <w:abstractNum w:abstractNumId="31">
    <w:nsid w:val="15DF6DF7"/>
    <w:multiLevelType w:val="singleLevel"/>
    <w:tmpl w:val="15DF6DF7"/>
    <w:lvl w:ilvl="0" w:tentative="0">
      <w:start w:val="1"/>
      <w:numFmt w:val="decimal"/>
      <w:suff w:val="nothing"/>
      <w:lvlText w:val="%1．"/>
      <w:lvlJc w:val="left"/>
      <w:pPr>
        <w:ind w:left="0" w:firstLine="400"/>
      </w:pPr>
      <w:rPr>
        <w:rFonts w:hint="default"/>
      </w:rPr>
    </w:lvl>
  </w:abstractNum>
  <w:abstractNum w:abstractNumId="32">
    <w:nsid w:val="215C76AC"/>
    <w:multiLevelType w:val="multilevel"/>
    <w:tmpl w:val="215C76AC"/>
    <w:lvl w:ilvl="0" w:tentative="0">
      <w:start w:val="1"/>
      <w:numFmt w:val="decimal"/>
      <w:lvlText w:val="%1."/>
      <w:lvlJc w:val="left"/>
      <w:pPr>
        <w:ind w:left="420" w:hanging="420"/>
      </w:pPr>
      <w:rPr>
        <w:rFonts w:hint="eastAsia"/>
      </w:rPr>
    </w:lvl>
    <w:lvl w:ilvl="1" w:tentative="0">
      <w:start w:val="1"/>
      <w:numFmt w:val="decimal"/>
      <w:suff w:val="nothing"/>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33">
    <w:nsid w:val="227D41A0"/>
    <w:multiLevelType w:val="multilevel"/>
    <w:tmpl w:val="227D41A0"/>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34">
    <w:nsid w:val="248A8099"/>
    <w:multiLevelType w:val="singleLevel"/>
    <w:tmpl w:val="248A8099"/>
    <w:lvl w:ilvl="0" w:tentative="0">
      <w:start w:val="1"/>
      <w:numFmt w:val="decimal"/>
      <w:suff w:val="nothing"/>
      <w:lvlText w:val="%1．"/>
      <w:lvlJc w:val="left"/>
      <w:pPr>
        <w:ind w:left="0" w:firstLine="400"/>
      </w:pPr>
      <w:rPr>
        <w:rFonts w:hint="default"/>
      </w:rPr>
    </w:lvl>
  </w:abstractNum>
  <w:abstractNum w:abstractNumId="35">
    <w:nsid w:val="259C1D66"/>
    <w:multiLevelType w:val="multilevel"/>
    <w:tmpl w:val="259C1D66"/>
    <w:lvl w:ilvl="0" w:tentative="0">
      <w:start w:val="1"/>
      <w:numFmt w:val="decimal"/>
      <w:pStyle w:val="48"/>
      <w:suff w:val="nothing"/>
      <w:lvlText w:val="%1)"/>
      <w:lvlJc w:val="left"/>
      <w:pPr>
        <w:ind w:left="780" w:hanging="360"/>
      </w:pPr>
      <w:rPr>
        <w:rFonts w:hint="default" w:ascii="宋体" w:hAnsi="宋体" w:eastAsia="宋体"/>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6">
    <w:nsid w:val="263DAADE"/>
    <w:multiLevelType w:val="multilevel"/>
    <w:tmpl w:val="263DAADE"/>
    <w:lvl w:ilvl="0" w:tentative="0">
      <w:start w:val="1"/>
      <w:numFmt w:val="decimal"/>
      <w:lvlText w:val="%1)"/>
      <w:lvlJc w:val="left"/>
      <w:pPr>
        <w:tabs>
          <w:tab w:val="left" w:pos="0"/>
        </w:tabs>
        <w:ind w:left="1260" w:hanging="420"/>
      </w:pPr>
      <w:rPr>
        <w:rFonts w:hint="default" w:ascii="宋体" w:hAnsi="宋体" w:eastAsia="宋体" w:cs="Times New Roman"/>
      </w:rPr>
    </w:lvl>
    <w:lvl w:ilvl="1" w:tentative="0">
      <w:start w:val="1"/>
      <w:numFmt w:val="lowerLetter"/>
      <w:lvlText w:val="%2)"/>
      <w:lvlJc w:val="left"/>
      <w:pPr>
        <w:tabs>
          <w:tab w:val="left" w:pos="0"/>
        </w:tabs>
        <w:ind w:left="1680" w:hanging="420"/>
      </w:pPr>
      <w:rPr>
        <w:rFonts w:hint="default" w:ascii="Times New Roman" w:hAnsi="Times New Roman" w:cs="Times New Roman"/>
      </w:rPr>
    </w:lvl>
    <w:lvl w:ilvl="2" w:tentative="0">
      <w:start w:val="1"/>
      <w:numFmt w:val="lowerRoman"/>
      <w:lvlText w:val="%3."/>
      <w:lvlJc w:val="right"/>
      <w:pPr>
        <w:tabs>
          <w:tab w:val="left" w:pos="0"/>
        </w:tabs>
        <w:ind w:left="2100" w:hanging="420"/>
      </w:pPr>
      <w:rPr>
        <w:rFonts w:hint="default" w:ascii="Times New Roman" w:hAnsi="Times New Roman" w:cs="Times New Roman"/>
      </w:rPr>
    </w:lvl>
    <w:lvl w:ilvl="3" w:tentative="0">
      <w:start w:val="1"/>
      <w:numFmt w:val="decimal"/>
      <w:lvlText w:val="%4."/>
      <w:lvlJc w:val="left"/>
      <w:pPr>
        <w:tabs>
          <w:tab w:val="left" w:pos="0"/>
        </w:tabs>
        <w:ind w:left="2520" w:hanging="420"/>
      </w:pPr>
      <w:rPr>
        <w:rFonts w:hint="default" w:ascii="Times New Roman" w:hAnsi="Times New Roman" w:cs="Times New Roman"/>
      </w:rPr>
    </w:lvl>
    <w:lvl w:ilvl="4" w:tentative="0">
      <w:start w:val="1"/>
      <w:numFmt w:val="lowerLetter"/>
      <w:lvlText w:val="%5)"/>
      <w:lvlJc w:val="left"/>
      <w:pPr>
        <w:tabs>
          <w:tab w:val="left" w:pos="0"/>
        </w:tabs>
        <w:ind w:left="2940" w:hanging="420"/>
      </w:pPr>
      <w:rPr>
        <w:rFonts w:hint="default" w:ascii="Times New Roman" w:hAnsi="Times New Roman" w:cs="Times New Roman"/>
      </w:rPr>
    </w:lvl>
    <w:lvl w:ilvl="5" w:tentative="0">
      <w:start w:val="1"/>
      <w:numFmt w:val="lowerRoman"/>
      <w:lvlText w:val="%6."/>
      <w:lvlJc w:val="right"/>
      <w:pPr>
        <w:tabs>
          <w:tab w:val="left" w:pos="0"/>
        </w:tabs>
        <w:ind w:left="3360" w:hanging="420"/>
      </w:pPr>
      <w:rPr>
        <w:rFonts w:hint="default" w:ascii="Times New Roman" w:hAnsi="Times New Roman" w:cs="Times New Roman"/>
      </w:rPr>
    </w:lvl>
    <w:lvl w:ilvl="6" w:tentative="0">
      <w:start w:val="1"/>
      <w:numFmt w:val="decimal"/>
      <w:lvlText w:val="%7."/>
      <w:lvlJc w:val="left"/>
      <w:pPr>
        <w:tabs>
          <w:tab w:val="left" w:pos="0"/>
        </w:tabs>
        <w:ind w:left="3780" w:hanging="420"/>
      </w:pPr>
      <w:rPr>
        <w:rFonts w:hint="default" w:ascii="Times New Roman" w:hAnsi="Times New Roman" w:cs="Times New Roman"/>
      </w:rPr>
    </w:lvl>
    <w:lvl w:ilvl="7" w:tentative="0">
      <w:start w:val="1"/>
      <w:numFmt w:val="lowerLetter"/>
      <w:lvlText w:val="%8)"/>
      <w:lvlJc w:val="left"/>
      <w:pPr>
        <w:tabs>
          <w:tab w:val="left" w:pos="0"/>
        </w:tabs>
        <w:ind w:left="4200" w:hanging="420"/>
      </w:pPr>
      <w:rPr>
        <w:rFonts w:hint="default" w:ascii="Times New Roman" w:hAnsi="Times New Roman" w:cs="Times New Roman"/>
      </w:rPr>
    </w:lvl>
    <w:lvl w:ilvl="8" w:tentative="0">
      <w:start w:val="1"/>
      <w:numFmt w:val="lowerRoman"/>
      <w:lvlText w:val="%9."/>
      <w:lvlJc w:val="right"/>
      <w:pPr>
        <w:tabs>
          <w:tab w:val="left" w:pos="0"/>
        </w:tabs>
        <w:ind w:left="4620" w:hanging="420"/>
      </w:pPr>
      <w:rPr>
        <w:rFonts w:hint="default" w:ascii="Times New Roman" w:hAnsi="Times New Roman" w:cs="Times New Roman"/>
      </w:rPr>
    </w:lvl>
  </w:abstractNum>
  <w:abstractNum w:abstractNumId="37">
    <w:nsid w:val="29DC8C3B"/>
    <w:multiLevelType w:val="singleLevel"/>
    <w:tmpl w:val="29DC8C3B"/>
    <w:lvl w:ilvl="0" w:tentative="0">
      <w:start w:val="1"/>
      <w:numFmt w:val="decimal"/>
      <w:suff w:val="nothing"/>
      <w:lvlText w:val="%1．"/>
      <w:lvlJc w:val="left"/>
      <w:pPr>
        <w:ind w:left="0" w:firstLine="400"/>
      </w:pPr>
      <w:rPr>
        <w:rFonts w:hint="default"/>
      </w:rPr>
    </w:lvl>
  </w:abstractNum>
  <w:abstractNum w:abstractNumId="38">
    <w:nsid w:val="318619D4"/>
    <w:multiLevelType w:val="singleLevel"/>
    <w:tmpl w:val="318619D4"/>
    <w:lvl w:ilvl="0" w:tentative="0">
      <w:start w:val="1"/>
      <w:numFmt w:val="decimal"/>
      <w:suff w:val="nothing"/>
      <w:lvlText w:val="%1．"/>
      <w:lvlJc w:val="left"/>
      <w:pPr>
        <w:ind w:left="0" w:firstLine="400"/>
      </w:pPr>
      <w:rPr>
        <w:rFonts w:hint="default"/>
      </w:rPr>
    </w:lvl>
  </w:abstractNum>
  <w:abstractNum w:abstractNumId="39">
    <w:nsid w:val="34433F59"/>
    <w:multiLevelType w:val="multilevel"/>
    <w:tmpl w:val="34433F59"/>
    <w:lvl w:ilvl="0" w:tentative="0">
      <w:start w:val="1"/>
      <w:numFmt w:val="decimal"/>
      <w:suff w:val="nothing"/>
      <w:lvlText w:val="%1."/>
      <w:lvlJc w:val="left"/>
      <w:pPr>
        <w:ind w:left="420" w:hanging="420"/>
      </w:pPr>
      <w:rPr>
        <w:rFonts w:hint="default"/>
        <w:b/>
        <w:bC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40">
    <w:nsid w:val="375862DE"/>
    <w:multiLevelType w:val="multilevel"/>
    <w:tmpl w:val="375862DE"/>
    <w:lvl w:ilvl="0" w:tentative="0">
      <w:start w:val="1"/>
      <w:numFmt w:val="japaneseCounting"/>
      <w:lvlText w:val="%1、"/>
      <w:lvlJc w:val="left"/>
      <w:pPr>
        <w:ind w:left="450" w:hanging="45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1">
    <w:nsid w:val="3A7E5683"/>
    <w:multiLevelType w:val="singleLevel"/>
    <w:tmpl w:val="3A7E5683"/>
    <w:lvl w:ilvl="0" w:tentative="0">
      <w:start w:val="1"/>
      <w:numFmt w:val="decimal"/>
      <w:lvlText w:val="%1)"/>
      <w:lvlJc w:val="left"/>
      <w:pPr>
        <w:tabs>
          <w:tab w:val="left" w:pos="454"/>
        </w:tabs>
        <w:ind w:left="454" w:firstLine="0"/>
      </w:pPr>
      <w:rPr>
        <w:rFonts w:hint="default"/>
      </w:rPr>
    </w:lvl>
  </w:abstractNum>
  <w:abstractNum w:abstractNumId="42">
    <w:nsid w:val="3A8129DC"/>
    <w:multiLevelType w:val="singleLevel"/>
    <w:tmpl w:val="3A8129DC"/>
    <w:lvl w:ilvl="0" w:tentative="0">
      <w:start w:val="1"/>
      <w:numFmt w:val="decimal"/>
      <w:lvlText w:val="%1)"/>
      <w:lvlJc w:val="left"/>
      <w:pPr>
        <w:tabs>
          <w:tab w:val="left" w:pos="454"/>
        </w:tabs>
        <w:ind w:left="454" w:firstLine="0"/>
      </w:pPr>
      <w:rPr>
        <w:rFonts w:hint="default"/>
      </w:rPr>
    </w:lvl>
  </w:abstractNum>
  <w:abstractNum w:abstractNumId="43">
    <w:nsid w:val="3CE44964"/>
    <w:multiLevelType w:val="multilevel"/>
    <w:tmpl w:val="3CE44964"/>
    <w:lvl w:ilvl="0" w:tentative="0">
      <w:start w:val="1"/>
      <w:numFmt w:val="decimal"/>
      <w:suff w:val="nothing"/>
      <w:lvlText w:val="%1)"/>
      <w:lvlJc w:val="left"/>
      <w:pPr>
        <w:ind w:left="840" w:hanging="420"/>
      </w:pPr>
      <w:rPr>
        <w:rFonts w:hint="eastAsia" w:ascii="宋体" w:hAnsi="宋体" w:eastAsia="宋体"/>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44">
    <w:nsid w:val="3E42A8CE"/>
    <w:multiLevelType w:val="singleLevel"/>
    <w:tmpl w:val="3E42A8CE"/>
    <w:lvl w:ilvl="0" w:tentative="0">
      <w:start w:val="1"/>
      <w:numFmt w:val="decimal"/>
      <w:lvlText w:val="(%1)"/>
      <w:lvlJc w:val="left"/>
      <w:pPr>
        <w:ind w:left="425" w:hanging="425"/>
      </w:pPr>
      <w:rPr>
        <w:rFonts w:hint="default"/>
      </w:rPr>
    </w:lvl>
  </w:abstractNum>
  <w:abstractNum w:abstractNumId="45">
    <w:nsid w:val="3E7E35BD"/>
    <w:multiLevelType w:val="multilevel"/>
    <w:tmpl w:val="3E7E35BD"/>
    <w:lvl w:ilvl="0" w:tentative="0">
      <w:start w:val="1"/>
      <w:numFmt w:val="decimal"/>
      <w:lvlText w:val="%1"/>
      <w:lvlJc w:val="left"/>
      <w:pPr>
        <w:ind w:left="425" w:hanging="425"/>
      </w:pPr>
      <w:rPr>
        <w:rFonts w:hint="eastAsia"/>
      </w:rPr>
    </w:lvl>
    <w:lvl w:ilvl="1" w:tentative="0">
      <w:start w:val="1"/>
      <w:numFmt w:val="decimal"/>
      <w:lvlText w:val="%1.%2"/>
      <w:lvlJc w:val="left"/>
      <w:pPr>
        <w:ind w:left="992" w:hanging="567"/>
      </w:pPr>
      <w:rPr>
        <w:rFonts w:hint="eastAsia"/>
      </w:rPr>
    </w:lvl>
    <w:lvl w:ilvl="2" w:tentative="0">
      <w:start w:val="1"/>
      <w:numFmt w:val="lowerLetter"/>
      <w:suff w:val="nothing"/>
      <w:lvlText w:val="%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6">
    <w:nsid w:val="4C65A9E9"/>
    <w:multiLevelType w:val="singleLevel"/>
    <w:tmpl w:val="4C65A9E9"/>
    <w:lvl w:ilvl="0" w:tentative="0">
      <w:start w:val="1"/>
      <w:numFmt w:val="decimal"/>
      <w:suff w:val="nothing"/>
      <w:lvlText w:val="%1．"/>
      <w:lvlJc w:val="left"/>
      <w:pPr>
        <w:ind w:left="0" w:firstLine="400"/>
      </w:pPr>
      <w:rPr>
        <w:rFonts w:hint="default"/>
      </w:rPr>
    </w:lvl>
  </w:abstractNum>
  <w:abstractNum w:abstractNumId="47">
    <w:nsid w:val="4CE23F7C"/>
    <w:multiLevelType w:val="multilevel"/>
    <w:tmpl w:val="4CE23F7C"/>
    <w:lvl w:ilvl="0" w:tentative="0">
      <w:start w:val="1"/>
      <w:numFmt w:val="decimal"/>
      <w:lvlText w:val="(%1)"/>
      <w:lvlJc w:val="left"/>
      <w:pPr>
        <w:tabs>
          <w:tab w:val="left" w:pos="1200"/>
        </w:tabs>
        <w:ind w:left="1200" w:hanging="360"/>
      </w:pPr>
      <w:rPr>
        <w:rFonts w:hint="default" w:ascii="宋体" w:hAnsi="宋体" w:eastAsia="宋体"/>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abstractNum w:abstractNumId="48">
    <w:nsid w:val="4D40B7DB"/>
    <w:multiLevelType w:val="singleLevel"/>
    <w:tmpl w:val="4D40B7DB"/>
    <w:lvl w:ilvl="0" w:tentative="0">
      <w:start w:val="1"/>
      <w:numFmt w:val="chineseCounting"/>
      <w:suff w:val="nothing"/>
      <w:lvlText w:val="%1、"/>
      <w:lvlJc w:val="left"/>
      <w:pPr>
        <w:ind w:left="0" w:firstLine="420"/>
      </w:pPr>
      <w:rPr>
        <w:rFonts w:hint="eastAsia"/>
      </w:rPr>
    </w:lvl>
  </w:abstractNum>
  <w:abstractNum w:abstractNumId="49">
    <w:nsid w:val="4F548BBA"/>
    <w:multiLevelType w:val="singleLevel"/>
    <w:tmpl w:val="4F548BBA"/>
    <w:lvl w:ilvl="0" w:tentative="0">
      <w:start w:val="1"/>
      <w:numFmt w:val="decimal"/>
      <w:lvlText w:val="(%1)"/>
      <w:lvlJc w:val="left"/>
      <w:pPr>
        <w:ind w:left="425" w:hanging="425"/>
      </w:pPr>
      <w:rPr>
        <w:rFonts w:hint="default"/>
      </w:rPr>
    </w:lvl>
  </w:abstractNum>
  <w:abstractNum w:abstractNumId="50">
    <w:nsid w:val="5266C75C"/>
    <w:multiLevelType w:val="singleLevel"/>
    <w:tmpl w:val="5266C75C"/>
    <w:lvl w:ilvl="0" w:tentative="0">
      <w:start w:val="1"/>
      <w:numFmt w:val="decimal"/>
      <w:suff w:val="nothing"/>
      <w:lvlText w:val="%1．"/>
      <w:lvlJc w:val="left"/>
      <w:pPr>
        <w:ind w:left="0" w:firstLine="400"/>
      </w:pPr>
      <w:rPr>
        <w:rFonts w:hint="default"/>
      </w:rPr>
    </w:lvl>
  </w:abstractNum>
  <w:abstractNum w:abstractNumId="51">
    <w:nsid w:val="55AD15C3"/>
    <w:multiLevelType w:val="singleLevel"/>
    <w:tmpl w:val="55AD15C3"/>
    <w:lvl w:ilvl="0" w:tentative="0">
      <w:start w:val="1"/>
      <w:numFmt w:val="decimal"/>
      <w:suff w:val="nothing"/>
      <w:lvlText w:val="%1．"/>
      <w:lvlJc w:val="left"/>
      <w:pPr>
        <w:ind w:left="0" w:firstLine="400"/>
      </w:pPr>
      <w:rPr>
        <w:rFonts w:hint="default"/>
      </w:rPr>
    </w:lvl>
  </w:abstractNum>
  <w:abstractNum w:abstractNumId="52">
    <w:nsid w:val="588834D9"/>
    <w:multiLevelType w:val="multilevel"/>
    <w:tmpl w:val="588834D9"/>
    <w:lvl w:ilvl="0" w:tentative="0">
      <w:start w:val="10"/>
      <w:numFmt w:val="decimal"/>
      <w:lvlText w:val="%1、"/>
      <w:lvlJc w:val="left"/>
      <w:pPr>
        <w:ind w:left="1688" w:hanging="430"/>
      </w:pPr>
      <w:rPr>
        <w:rFonts w:hint="default" w:cs="Times New Roman"/>
      </w:rPr>
    </w:lvl>
    <w:lvl w:ilvl="1" w:tentative="0">
      <w:start w:val="1"/>
      <w:numFmt w:val="lowerLetter"/>
      <w:lvlText w:val="%2)"/>
      <w:lvlJc w:val="left"/>
      <w:pPr>
        <w:ind w:left="420" w:hanging="420"/>
      </w:pPr>
      <w:rPr>
        <w:rFonts w:hint="eastAsia"/>
      </w:rPr>
    </w:lvl>
    <w:lvl w:ilvl="2" w:tentative="0">
      <w:start w:val="1"/>
      <w:numFmt w:val="lowerRoman"/>
      <w:lvlText w:val="%3."/>
      <w:lvlJc w:val="right"/>
      <w:pPr>
        <w:ind w:left="2518" w:hanging="420"/>
      </w:pPr>
    </w:lvl>
    <w:lvl w:ilvl="3" w:tentative="0">
      <w:start w:val="1"/>
      <w:numFmt w:val="decimal"/>
      <w:lvlText w:val="%4."/>
      <w:lvlJc w:val="left"/>
      <w:pPr>
        <w:ind w:left="2938" w:hanging="420"/>
      </w:pPr>
    </w:lvl>
    <w:lvl w:ilvl="4" w:tentative="0">
      <w:start w:val="1"/>
      <w:numFmt w:val="lowerLetter"/>
      <w:lvlText w:val="%5)"/>
      <w:lvlJc w:val="left"/>
      <w:pPr>
        <w:ind w:left="3358" w:hanging="420"/>
      </w:pPr>
    </w:lvl>
    <w:lvl w:ilvl="5" w:tentative="0">
      <w:start w:val="1"/>
      <w:numFmt w:val="lowerRoman"/>
      <w:lvlText w:val="%6."/>
      <w:lvlJc w:val="right"/>
      <w:pPr>
        <w:ind w:left="3778" w:hanging="420"/>
      </w:pPr>
    </w:lvl>
    <w:lvl w:ilvl="6" w:tentative="0">
      <w:start w:val="1"/>
      <w:numFmt w:val="decimal"/>
      <w:lvlText w:val="%7."/>
      <w:lvlJc w:val="left"/>
      <w:pPr>
        <w:ind w:left="4198" w:hanging="420"/>
      </w:pPr>
    </w:lvl>
    <w:lvl w:ilvl="7" w:tentative="0">
      <w:start w:val="1"/>
      <w:numFmt w:val="lowerLetter"/>
      <w:lvlText w:val="%8)"/>
      <w:lvlJc w:val="left"/>
      <w:pPr>
        <w:ind w:left="4618" w:hanging="420"/>
      </w:pPr>
    </w:lvl>
    <w:lvl w:ilvl="8" w:tentative="0">
      <w:start w:val="1"/>
      <w:numFmt w:val="lowerRoman"/>
      <w:lvlText w:val="%9."/>
      <w:lvlJc w:val="right"/>
      <w:pPr>
        <w:ind w:left="5038" w:hanging="420"/>
      </w:pPr>
    </w:lvl>
  </w:abstractNum>
  <w:abstractNum w:abstractNumId="53">
    <w:nsid w:val="59794862"/>
    <w:multiLevelType w:val="multilevel"/>
    <w:tmpl w:val="59794862"/>
    <w:lvl w:ilvl="0" w:tentative="0">
      <w:start w:val="1"/>
      <w:numFmt w:val="decimal"/>
      <w:suff w:val="nothing"/>
      <w:lvlText w:val="%1)"/>
      <w:lvlJc w:val="left"/>
      <w:pPr>
        <w:ind w:left="840" w:hanging="420"/>
      </w:pPr>
      <w:rPr>
        <w:rFonts w:hint="eastAsia" w:ascii="宋体" w:hAnsi="宋体" w:eastAsia="宋体"/>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54">
    <w:nsid w:val="5C25A9C6"/>
    <w:multiLevelType w:val="multilevel"/>
    <w:tmpl w:val="5C25A9C6"/>
    <w:lvl w:ilvl="0" w:tentative="0">
      <w:start w:val="1"/>
      <w:numFmt w:val="decimal"/>
      <w:lvlText w:val="%1)"/>
      <w:lvlJc w:val="left"/>
      <w:pPr>
        <w:tabs>
          <w:tab w:val="left" w:pos="0"/>
        </w:tabs>
        <w:ind w:left="1260" w:hanging="420"/>
      </w:pPr>
      <w:rPr>
        <w:rFonts w:hint="default" w:ascii="宋体" w:hAnsi="宋体" w:eastAsia="宋体" w:cs="Times New Roman"/>
      </w:rPr>
    </w:lvl>
    <w:lvl w:ilvl="1" w:tentative="0">
      <w:start w:val="1"/>
      <w:numFmt w:val="lowerLetter"/>
      <w:lvlText w:val="%2)"/>
      <w:lvlJc w:val="left"/>
      <w:pPr>
        <w:tabs>
          <w:tab w:val="left" w:pos="0"/>
        </w:tabs>
        <w:ind w:left="1680" w:hanging="420"/>
      </w:pPr>
      <w:rPr>
        <w:rFonts w:hint="default" w:ascii="Times New Roman" w:hAnsi="Times New Roman" w:cs="Times New Roman"/>
      </w:rPr>
    </w:lvl>
    <w:lvl w:ilvl="2" w:tentative="0">
      <w:start w:val="1"/>
      <w:numFmt w:val="lowerRoman"/>
      <w:lvlText w:val="%3."/>
      <w:lvlJc w:val="right"/>
      <w:pPr>
        <w:tabs>
          <w:tab w:val="left" w:pos="0"/>
        </w:tabs>
        <w:ind w:left="2100" w:hanging="420"/>
      </w:pPr>
      <w:rPr>
        <w:rFonts w:hint="default" w:ascii="Times New Roman" w:hAnsi="Times New Roman" w:cs="Times New Roman"/>
      </w:rPr>
    </w:lvl>
    <w:lvl w:ilvl="3" w:tentative="0">
      <w:start w:val="1"/>
      <w:numFmt w:val="decimal"/>
      <w:lvlText w:val="%4."/>
      <w:lvlJc w:val="left"/>
      <w:pPr>
        <w:tabs>
          <w:tab w:val="left" w:pos="0"/>
        </w:tabs>
        <w:ind w:left="2520" w:hanging="420"/>
      </w:pPr>
      <w:rPr>
        <w:rFonts w:hint="default" w:ascii="Times New Roman" w:hAnsi="Times New Roman" w:cs="Times New Roman"/>
      </w:rPr>
    </w:lvl>
    <w:lvl w:ilvl="4" w:tentative="0">
      <w:start w:val="1"/>
      <w:numFmt w:val="lowerLetter"/>
      <w:lvlText w:val="%5)"/>
      <w:lvlJc w:val="left"/>
      <w:pPr>
        <w:tabs>
          <w:tab w:val="left" w:pos="0"/>
        </w:tabs>
        <w:ind w:left="2940" w:hanging="420"/>
      </w:pPr>
      <w:rPr>
        <w:rFonts w:hint="default" w:ascii="Times New Roman" w:hAnsi="Times New Roman" w:cs="Times New Roman"/>
      </w:rPr>
    </w:lvl>
    <w:lvl w:ilvl="5" w:tentative="0">
      <w:start w:val="1"/>
      <w:numFmt w:val="lowerRoman"/>
      <w:lvlText w:val="%6."/>
      <w:lvlJc w:val="right"/>
      <w:pPr>
        <w:tabs>
          <w:tab w:val="left" w:pos="0"/>
        </w:tabs>
        <w:ind w:left="3360" w:hanging="420"/>
      </w:pPr>
      <w:rPr>
        <w:rFonts w:hint="default" w:ascii="Times New Roman" w:hAnsi="Times New Roman" w:cs="Times New Roman"/>
      </w:rPr>
    </w:lvl>
    <w:lvl w:ilvl="6" w:tentative="0">
      <w:start w:val="1"/>
      <w:numFmt w:val="decimal"/>
      <w:lvlText w:val="%7."/>
      <w:lvlJc w:val="left"/>
      <w:pPr>
        <w:tabs>
          <w:tab w:val="left" w:pos="0"/>
        </w:tabs>
        <w:ind w:left="3780" w:hanging="420"/>
      </w:pPr>
      <w:rPr>
        <w:rFonts w:hint="default" w:ascii="Times New Roman" w:hAnsi="Times New Roman" w:cs="Times New Roman"/>
      </w:rPr>
    </w:lvl>
    <w:lvl w:ilvl="7" w:tentative="0">
      <w:start w:val="1"/>
      <w:numFmt w:val="lowerLetter"/>
      <w:lvlText w:val="%8)"/>
      <w:lvlJc w:val="left"/>
      <w:pPr>
        <w:tabs>
          <w:tab w:val="left" w:pos="0"/>
        </w:tabs>
        <w:ind w:left="4200" w:hanging="420"/>
      </w:pPr>
      <w:rPr>
        <w:rFonts w:hint="default" w:ascii="Times New Roman" w:hAnsi="Times New Roman" w:cs="Times New Roman"/>
      </w:rPr>
    </w:lvl>
    <w:lvl w:ilvl="8" w:tentative="0">
      <w:start w:val="1"/>
      <w:numFmt w:val="lowerRoman"/>
      <w:lvlText w:val="%9."/>
      <w:lvlJc w:val="right"/>
      <w:pPr>
        <w:tabs>
          <w:tab w:val="left" w:pos="0"/>
        </w:tabs>
        <w:ind w:left="4620" w:hanging="420"/>
      </w:pPr>
      <w:rPr>
        <w:rFonts w:hint="default" w:ascii="Times New Roman" w:hAnsi="Times New Roman" w:cs="Times New Roman"/>
      </w:rPr>
    </w:lvl>
  </w:abstractNum>
  <w:abstractNum w:abstractNumId="55">
    <w:nsid w:val="6A5D335F"/>
    <w:multiLevelType w:val="singleLevel"/>
    <w:tmpl w:val="6A5D335F"/>
    <w:lvl w:ilvl="0" w:tentative="0">
      <w:start w:val="1"/>
      <w:numFmt w:val="decimal"/>
      <w:lvlText w:val="%1)"/>
      <w:lvlJc w:val="left"/>
      <w:pPr>
        <w:tabs>
          <w:tab w:val="left" w:pos="454"/>
        </w:tabs>
        <w:ind w:left="454" w:firstLine="0"/>
      </w:pPr>
      <w:rPr>
        <w:rFonts w:hint="default"/>
      </w:rPr>
    </w:lvl>
  </w:abstractNum>
  <w:abstractNum w:abstractNumId="56">
    <w:nsid w:val="6CB23686"/>
    <w:multiLevelType w:val="multilevel"/>
    <w:tmpl w:val="6CB23686"/>
    <w:lvl w:ilvl="0" w:tentative="0">
      <w:start w:val="1"/>
      <w:numFmt w:val="decimal"/>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7">
    <w:nsid w:val="6DD20A29"/>
    <w:multiLevelType w:val="singleLevel"/>
    <w:tmpl w:val="6DD20A29"/>
    <w:lvl w:ilvl="0" w:tentative="0">
      <w:start w:val="1"/>
      <w:numFmt w:val="decimal"/>
      <w:suff w:val="nothing"/>
      <w:lvlText w:val="%1．"/>
      <w:lvlJc w:val="left"/>
      <w:pPr>
        <w:ind w:left="0" w:firstLine="400"/>
      </w:pPr>
      <w:rPr>
        <w:rFonts w:hint="default"/>
      </w:rPr>
    </w:lvl>
  </w:abstractNum>
  <w:abstractNum w:abstractNumId="58">
    <w:nsid w:val="76F525D9"/>
    <w:multiLevelType w:val="multilevel"/>
    <w:tmpl w:val="76F525D9"/>
    <w:lvl w:ilvl="0" w:tentative="0">
      <w:start w:val="1"/>
      <w:numFmt w:val="lowerRoman"/>
      <w:lvlText w:val="%1."/>
      <w:lvlJc w:val="right"/>
      <w:pPr>
        <w:tabs>
          <w:tab w:val="left" w:pos="0"/>
        </w:tabs>
        <w:ind w:left="1680" w:hanging="420"/>
      </w:pPr>
      <w:rPr>
        <w:rFonts w:hint="default" w:ascii="宋体" w:hAnsi="宋体" w:eastAsia="宋体" w:cs="Times New Roman"/>
      </w:rPr>
    </w:lvl>
    <w:lvl w:ilvl="1" w:tentative="0">
      <w:start w:val="1"/>
      <w:numFmt w:val="lowerLetter"/>
      <w:lvlText w:val="%2)"/>
      <w:lvlJc w:val="left"/>
      <w:pPr>
        <w:tabs>
          <w:tab w:val="left" w:pos="0"/>
        </w:tabs>
        <w:ind w:left="2100" w:hanging="420"/>
      </w:pPr>
      <w:rPr>
        <w:rFonts w:hint="default" w:ascii="Times New Roman" w:hAnsi="Times New Roman" w:cs="Times New Roman"/>
      </w:rPr>
    </w:lvl>
    <w:lvl w:ilvl="2" w:tentative="0">
      <w:start w:val="1"/>
      <w:numFmt w:val="lowerRoman"/>
      <w:lvlText w:val="%3."/>
      <w:lvlJc w:val="right"/>
      <w:pPr>
        <w:tabs>
          <w:tab w:val="left" w:pos="0"/>
        </w:tabs>
        <w:ind w:left="2520" w:hanging="420"/>
      </w:pPr>
      <w:rPr>
        <w:rFonts w:hint="default" w:ascii="Times New Roman" w:hAnsi="Times New Roman" w:cs="Times New Roman"/>
      </w:rPr>
    </w:lvl>
    <w:lvl w:ilvl="3" w:tentative="0">
      <w:start w:val="1"/>
      <w:numFmt w:val="decimal"/>
      <w:lvlText w:val="%4."/>
      <w:lvlJc w:val="left"/>
      <w:pPr>
        <w:tabs>
          <w:tab w:val="left" w:pos="0"/>
        </w:tabs>
        <w:ind w:left="2940" w:hanging="420"/>
      </w:pPr>
      <w:rPr>
        <w:rFonts w:hint="default" w:ascii="Times New Roman" w:hAnsi="Times New Roman" w:cs="Times New Roman"/>
      </w:rPr>
    </w:lvl>
    <w:lvl w:ilvl="4" w:tentative="0">
      <w:start w:val="1"/>
      <w:numFmt w:val="lowerLetter"/>
      <w:lvlText w:val="%5)"/>
      <w:lvlJc w:val="left"/>
      <w:pPr>
        <w:tabs>
          <w:tab w:val="left" w:pos="0"/>
        </w:tabs>
        <w:ind w:left="3360" w:hanging="420"/>
      </w:pPr>
      <w:rPr>
        <w:rFonts w:hint="default" w:ascii="Times New Roman" w:hAnsi="Times New Roman" w:cs="Times New Roman"/>
      </w:rPr>
    </w:lvl>
    <w:lvl w:ilvl="5" w:tentative="0">
      <w:start w:val="1"/>
      <w:numFmt w:val="lowerRoman"/>
      <w:lvlText w:val="%6."/>
      <w:lvlJc w:val="right"/>
      <w:pPr>
        <w:tabs>
          <w:tab w:val="left" w:pos="0"/>
        </w:tabs>
        <w:ind w:left="3780" w:hanging="420"/>
      </w:pPr>
      <w:rPr>
        <w:rFonts w:hint="default" w:ascii="Times New Roman" w:hAnsi="Times New Roman" w:cs="Times New Roman"/>
      </w:rPr>
    </w:lvl>
    <w:lvl w:ilvl="6" w:tentative="0">
      <w:start w:val="1"/>
      <w:numFmt w:val="decimal"/>
      <w:lvlText w:val="%7."/>
      <w:lvlJc w:val="left"/>
      <w:pPr>
        <w:tabs>
          <w:tab w:val="left" w:pos="0"/>
        </w:tabs>
        <w:ind w:left="4200" w:hanging="420"/>
      </w:pPr>
      <w:rPr>
        <w:rFonts w:hint="default" w:ascii="Times New Roman" w:hAnsi="Times New Roman" w:cs="Times New Roman"/>
      </w:rPr>
    </w:lvl>
    <w:lvl w:ilvl="7" w:tentative="0">
      <w:start w:val="1"/>
      <w:numFmt w:val="lowerLetter"/>
      <w:lvlText w:val="%8)"/>
      <w:lvlJc w:val="left"/>
      <w:pPr>
        <w:tabs>
          <w:tab w:val="left" w:pos="0"/>
        </w:tabs>
        <w:ind w:left="4620" w:hanging="420"/>
      </w:pPr>
      <w:rPr>
        <w:rFonts w:hint="default" w:ascii="Times New Roman" w:hAnsi="Times New Roman" w:cs="Times New Roman"/>
      </w:rPr>
    </w:lvl>
    <w:lvl w:ilvl="8" w:tentative="0">
      <w:start w:val="1"/>
      <w:numFmt w:val="lowerRoman"/>
      <w:lvlText w:val="%9."/>
      <w:lvlJc w:val="right"/>
      <w:pPr>
        <w:tabs>
          <w:tab w:val="left" w:pos="0"/>
        </w:tabs>
        <w:ind w:left="5040" w:hanging="420"/>
      </w:pPr>
      <w:rPr>
        <w:rFonts w:hint="default" w:ascii="Times New Roman" w:hAnsi="Times New Roman" w:cs="Times New Roman"/>
      </w:rPr>
    </w:lvl>
  </w:abstractNum>
  <w:abstractNum w:abstractNumId="59">
    <w:nsid w:val="794B06C0"/>
    <w:multiLevelType w:val="singleLevel"/>
    <w:tmpl w:val="794B06C0"/>
    <w:lvl w:ilvl="0" w:tentative="0">
      <w:start w:val="1"/>
      <w:numFmt w:val="decimal"/>
      <w:lvlText w:val="(%1)"/>
      <w:lvlJc w:val="left"/>
      <w:pPr>
        <w:ind w:left="425" w:hanging="425"/>
      </w:pPr>
      <w:rPr>
        <w:rFonts w:hint="default"/>
      </w:rPr>
    </w:lvl>
  </w:abstractNum>
  <w:num w:numId="1">
    <w:abstractNumId w:val="35"/>
  </w:num>
  <w:num w:numId="2">
    <w:abstractNumId w:val="26"/>
  </w:num>
  <w:num w:numId="3">
    <w:abstractNumId w:val="39"/>
  </w:num>
  <w:num w:numId="4">
    <w:abstractNumId w:val="43"/>
  </w:num>
  <w:num w:numId="5">
    <w:abstractNumId w:val="32"/>
  </w:num>
  <w:num w:numId="6">
    <w:abstractNumId w:val="53"/>
  </w:num>
  <w:num w:numId="7">
    <w:abstractNumId w:val="24"/>
  </w:num>
  <w:num w:numId="8">
    <w:abstractNumId w:val="27"/>
  </w:num>
  <w:num w:numId="9">
    <w:abstractNumId w:val="45"/>
  </w:num>
  <w:num w:numId="10">
    <w:abstractNumId w:val="28"/>
  </w:num>
  <w:num w:numId="11">
    <w:abstractNumId w:val="33"/>
  </w:num>
  <w:num w:numId="12">
    <w:abstractNumId w:val="40"/>
  </w:num>
  <w:num w:numId="13">
    <w:abstractNumId w:val="34"/>
  </w:num>
  <w:num w:numId="14">
    <w:abstractNumId w:val="14"/>
  </w:num>
  <w:num w:numId="15">
    <w:abstractNumId w:val="44"/>
  </w:num>
  <w:num w:numId="16">
    <w:abstractNumId w:val="54"/>
  </w:num>
  <w:num w:numId="17">
    <w:abstractNumId w:val="1"/>
  </w:num>
  <w:num w:numId="18">
    <w:abstractNumId w:val="58"/>
  </w:num>
  <w:num w:numId="19">
    <w:abstractNumId w:val="5"/>
  </w:num>
  <w:num w:numId="20">
    <w:abstractNumId w:val="15"/>
  </w:num>
  <w:num w:numId="21">
    <w:abstractNumId w:val="36"/>
  </w:num>
  <w:num w:numId="22">
    <w:abstractNumId w:val="2"/>
  </w:num>
  <w:num w:numId="23">
    <w:abstractNumId w:val="31"/>
  </w:num>
  <w:num w:numId="24">
    <w:abstractNumId w:val="22"/>
  </w:num>
  <w:num w:numId="25">
    <w:abstractNumId w:val="57"/>
  </w:num>
  <w:num w:numId="26">
    <w:abstractNumId w:val="51"/>
  </w:num>
  <w:num w:numId="27">
    <w:abstractNumId w:val="29"/>
  </w:num>
  <w:num w:numId="28">
    <w:abstractNumId w:val="25"/>
  </w:num>
  <w:num w:numId="29">
    <w:abstractNumId w:val="56"/>
  </w:num>
  <w:num w:numId="30">
    <w:abstractNumId w:val="0"/>
  </w:num>
  <w:num w:numId="31">
    <w:abstractNumId w:val="23"/>
  </w:num>
  <w:num w:numId="32">
    <w:abstractNumId w:val="10"/>
  </w:num>
  <w:num w:numId="33">
    <w:abstractNumId w:val="47"/>
  </w:num>
  <w:num w:numId="34">
    <w:abstractNumId w:val="48"/>
  </w:num>
  <w:num w:numId="35">
    <w:abstractNumId w:val="46"/>
  </w:num>
  <w:num w:numId="36">
    <w:abstractNumId w:val="21"/>
  </w:num>
  <w:num w:numId="37">
    <w:abstractNumId w:val="9"/>
  </w:num>
  <w:num w:numId="38">
    <w:abstractNumId w:val="55"/>
  </w:num>
  <w:num w:numId="39">
    <w:abstractNumId w:val="41"/>
  </w:num>
  <w:num w:numId="40">
    <w:abstractNumId w:val="7"/>
  </w:num>
  <w:num w:numId="41">
    <w:abstractNumId w:val="11"/>
  </w:num>
  <w:num w:numId="42">
    <w:abstractNumId w:val="3"/>
  </w:num>
  <w:num w:numId="43">
    <w:abstractNumId w:val="49"/>
  </w:num>
  <w:num w:numId="44">
    <w:abstractNumId w:val="42"/>
  </w:num>
  <w:num w:numId="45">
    <w:abstractNumId w:val="16"/>
  </w:num>
  <w:num w:numId="46">
    <w:abstractNumId w:val="52"/>
  </w:num>
  <w:num w:numId="47">
    <w:abstractNumId w:val="20"/>
  </w:num>
  <w:num w:numId="48">
    <w:abstractNumId w:val="37"/>
  </w:num>
  <w:num w:numId="49">
    <w:abstractNumId w:val="18"/>
  </w:num>
  <w:num w:numId="50">
    <w:abstractNumId w:val="6"/>
  </w:num>
  <w:num w:numId="51">
    <w:abstractNumId w:val="12"/>
  </w:num>
  <w:num w:numId="52">
    <w:abstractNumId w:val="50"/>
  </w:num>
  <w:num w:numId="53">
    <w:abstractNumId w:val="38"/>
  </w:num>
  <w:num w:numId="54">
    <w:abstractNumId w:val="17"/>
  </w:num>
  <w:num w:numId="55">
    <w:abstractNumId w:val="30"/>
  </w:num>
  <w:num w:numId="56">
    <w:abstractNumId w:val="8"/>
  </w:num>
  <w:num w:numId="57">
    <w:abstractNumId w:val="59"/>
  </w:num>
  <w:num w:numId="58">
    <w:abstractNumId w:val="19"/>
  </w:num>
  <w:num w:numId="59">
    <w:abstractNumId w:val="13"/>
  </w:num>
  <w:num w:numId="6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ljYmRjYzJhOWExYzgyZjhkOTA0NjMzMjFhZDRlM2EifQ=="/>
  </w:docVars>
  <w:rsids>
    <w:rsidRoot w:val="00982A85"/>
    <w:rsid w:val="000004AD"/>
    <w:rsid w:val="0000166B"/>
    <w:rsid w:val="00002AEF"/>
    <w:rsid w:val="00002FF5"/>
    <w:rsid w:val="0000601A"/>
    <w:rsid w:val="0000694E"/>
    <w:rsid w:val="000072B1"/>
    <w:rsid w:val="00007FAE"/>
    <w:rsid w:val="00012357"/>
    <w:rsid w:val="00013778"/>
    <w:rsid w:val="00013B79"/>
    <w:rsid w:val="00013CBD"/>
    <w:rsid w:val="00015F62"/>
    <w:rsid w:val="00016800"/>
    <w:rsid w:val="00017E85"/>
    <w:rsid w:val="00020817"/>
    <w:rsid w:val="00022BA8"/>
    <w:rsid w:val="00022CFC"/>
    <w:rsid w:val="00022E1E"/>
    <w:rsid w:val="000243AE"/>
    <w:rsid w:val="00025123"/>
    <w:rsid w:val="00025C07"/>
    <w:rsid w:val="00026017"/>
    <w:rsid w:val="00026161"/>
    <w:rsid w:val="0002789D"/>
    <w:rsid w:val="00027B41"/>
    <w:rsid w:val="00027D53"/>
    <w:rsid w:val="000304A9"/>
    <w:rsid w:val="00030AA4"/>
    <w:rsid w:val="0003162D"/>
    <w:rsid w:val="00033C58"/>
    <w:rsid w:val="00033DF8"/>
    <w:rsid w:val="000353FF"/>
    <w:rsid w:val="000356AB"/>
    <w:rsid w:val="00040958"/>
    <w:rsid w:val="0004362F"/>
    <w:rsid w:val="00043816"/>
    <w:rsid w:val="00043EDC"/>
    <w:rsid w:val="00044CCF"/>
    <w:rsid w:val="00046821"/>
    <w:rsid w:val="00047817"/>
    <w:rsid w:val="000525A8"/>
    <w:rsid w:val="00052ED9"/>
    <w:rsid w:val="00054850"/>
    <w:rsid w:val="00054D90"/>
    <w:rsid w:val="000578DB"/>
    <w:rsid w:val="00057A4C"/>
    <w:rsid w:val="0006011A"/>
    <w:rsid w:val="00060CC7"/>
    <w:rsid w:val="00060F78"/>
    <w:rsid w:val="00062631"/>
    <w:rsid w:val="00062CB7"/>
    <w:rsid w:val="00064769"/>
    <w:rsid w:val="00065921"/>
    <w:rsid w:val="00065BC8"/>
    <w:rsid w:val="00065C20"/>
    <w:rsid w:val="00065DD8"/>
    <w:rsid w:val="00065F20"/>
    <w:rsid w:val="00066C1E"/>
    <w:rsid w:val="00070575"/>
    <w:rsid w:val="000718D3"/>
    <w:rsid w:val="00073029"/>
    <w:rsid w:val="00074C93"/>
    <w:rsid w:val="00075128"/>
    <w:rsid w:val="00075181"/>
    <w:rsid w:val="000762D2"/>
    <w:rsid w:val="000775BA"/>
    <w:rsid w:val="0007767B"/>
    <w:rsid w:val="00082175"/>
    <w:rsid w:val="00082903"/>
    <w:rsid w:val="00083903"/>
    <w:rsid w:val="00084EA8"/>
    <w:rsid w:val="00086EF0"/>
    <w:rsid w:val="00087E87"/>
    <w:rsid w:val="00087F63"/>
    <w:rsid w:val="000902E3"/>
    <w:rsid w:val="00092B0A"/>
    <w:rsid w:val="00092E24"/>
    <w:rsid w:val="00094059"/>
    <w:rsid w:val="0009405C"/>
    <w:rsid w:val="00094BC5"/>
    <w:rsid w:val="000950AD"/>
    <w:rsid w:val="000A11F6"/>
    <w:rsid w:val="000A1F19"/>
    <w:rsid w:val="000A237A"/>
    <w:rsid w:val="000A4C0F"/>
    <w:rsid w:val="000B0865"/>
    <w:rsid w:val="000B1E95"/>
    <w:rsid w:val="000B3769"/>
    <w:rsid w:val="000B425D"/>
    <w:rsid w:val="000B4261"/>
    <w:rsid w:val="000B4E75"/>
    <w:rsid w:val="000B5DB8"/>
    <w:rsid w:val="000B6D58"/>
    <w:rsid w:val="000B6D8E"/>
    <w:rsid w:val="000C01BD"/>
    <w:rsid w:val="000C11C9"/>
    <w:rsid w:val="000C3802"/>
    <w:rsid w:val="000C3C4C"/>
    <w:rsid w:val="000C4327"/>
    <w:rsid w:val="000C44B2"/>
    <w:rsid w:val="000C4DAA"/>
    <w:rsid w:val="000C7317"/>
    <w:rsid w:val="000C7893"/>
    <w:rsid w:val="000C79FE"/>
    <w:rsid w:val="000D08A8"/>
    <w:rsid w:val="000D09DE"/>
    <w:rsid w:val="000D0BF1"/>
    <w:rsid w:val="000D2E4B"/>
    <w:rsid w:val="000D2EFA"/>
    <w:rsid w:val="000D4BCE"/>
    <w:rsid w:val="000D5AA2"/>
    <w:rsid w:val="000D5B59"/>
    <w:rsid w:val="000D5C45"/>
    <w:rsid w:val="000D6196"/>
    <w:rsid w:val="000D6C2A"/>
    <w:rsid w:val="000E05BC"/>
    <w:rsid w:val="000E6013"/>
    <w:rsid w:val="000E6636"/>
    <w:rsid w:val="000E6CAC"/>
    <w:rsid w:val="000F0AF2"/>
    <w:rsid w:val="000F191C"/>
    <w:rsid w:val="000F3D41"/>
    <w:rsid w:val="000F4BC7"/>
    <w:rsid w:val="000F4ED1"/>
    <w:rsid w:val="000F550C"/>
    <w:rsid w:val="000F60BC"/>
    <w:rsid w:val="000F60C3"/>
    <w:rsid w:val="000F6735"/>
    <w:rsid w:val="001007FC"/>
    <w:rsid w:val="00100FA9"/>
    <w:rsid w:val="001016EE"/>
    <w:rsid w:val="00101E33"/>
    <w:rsid w:val="001029DF"/>
    <w:rsid w:val="00102E3B"/>
    <w:rsid w:val="00103BB6"/>
    <w:rsid w:val="00103F7C"/>
    <w:rsid w:val="0010492F"/>
    <w:rsid w:val="00105761"/>
    <w:rsid w:val="00105E54"/>
    <w:rsid w:val="0010650C"/>
    <w:rsid w:val="0011014B"/>
    <w:rsid w:val="0011085A"/>
    <w:rsid w:val="001123BF"/>
    <w:rsid w:val="001141AB"/>
    <w:rsid w:val="001156A8"/>
    <w:rsid w:val="00121369"/>
    <w:rsid w:val="00122334"/>
    <w:rsid w:val="001227D9"/>
    <w:rsid w:val="00122E20"/>
    <w:rsid w:val="0012332C"/>
    <w:rsid w:val="00124616"/>
    <w:rsid w:val="00124673"/>
    <w:rsid w:val="00124E48"/>
    <w:rsid w:val="0012566B"/>
    <w:rsid w:val="001273FD"/>
    <w:rsid w:val="00131EF8"/>
    <w:rsid w:val="00132949"/>
    <w:rsid w:val="00132BD5"/>
    <w:rsid w:val="00132EB7"/>
    <w:rsid w:val="00133482"/>
    <w:rsid w:val="00133B53"/>
    <w:rsid w:val="00133C28"/>
    <w:rsid w:val="001342C6"/>
    <w:rsid w:val="0013463B"/>
    <w:rsid w:val="00134FCD"/>
    <w:rsid w:val="001359F0"/>
    <w:rsid w:val="001369BE"/>
    <w:rsid w:val="00137AAB"/>
    <w:rsid w:val="0014025B"/>
    <w:rsid w:val="0014121D"/>
    <w:rsid w:val="00141A88"/>
    <w:rsid w:val="00142609"/>
    <w:rsid w:val="00142BA2"/>
    <w:rsid w:val="00144CC0"/>
    <w:rsid w:val="00146A63"/>
    <w:rsid w:val="00150DC2"/>
    <w:rsid w:val="00155252"/>
    <w:rsid w:val="00155297"/>
    <w:rsid w:val="00155A56"/>
    <w:rsid w:val="00157D2F"/>
    <w:rsid w:val="00157F37"/>
    <w:rsid w:val="001601A5"/>
    <w:rsid w:val="001627EF"/>
    <w:rsid w:val="0016331B"/>
    <w:rsid w:val="00163E2D"/>
    <w:rsid w:val="00165C71"/>
    <w:rsid w:val="001661BD"/>
    <w:rsid w:val="00166511"/>
    <w:rsid w:val="001713DD"/>
    <w:rsid w:val="00171E6F"/>
    <w:rsid w:val="001720B6"/>
    <w:rsid w:val="00173E34"/>
    <w:rsid w:val="00174598"/>
    <w:rsid w:val="00174634"/>
    <w:rsid w:val="00175C47"/>
    <w:rsid w:val="00175D51"/>
    <w:rsid w:val="00176CE4"/>
    <w:rsid w:val="0018057B"/>
    <w:rsid w:val="00180FFA"/>
    <w:rsid w:val="00181622"/>
    <w:rsid w:val="00181679"/>
    <w:rsid w:val="00182016"/>
    <w:rsid w:val="0018219B"/>
    <w:rsid w:val="001822F0"/>
    <w:rsid w:val="00183884"/>
    <w:rsid w:val="001849C1"/>
    <w:rsid w:val="00185212"/>
    <w:rsid w:val="001857F8"/>
    <w:rsid w:val="001874FD"/>
    <w:rsid w:val="00191F48"/>
    <w:rsid w:val="00192899"/>
    <w:rsid w:val="00193704"/>
    <w:rsid w:val="00193AA2"/>
    <w:rsid w:val="001948DD"/>
    <w:rsid w:val="001954D2"/>
    <w:rsid w:val="001968FF"/>
    <w:rsid w:val="00196BA3"/>
    <w:rsid w:val="00197395"/>
    <w:rsid w:val="00197894"/>
    <w:rsid w:val="00197A38"/>
    <w:rsid w:val="00197C0E"/>
    <w:rsid w:val="001A0039"/>
    <w:rsid w:val="001A077A"/>
    <w:rsid w:val="001A43D3"/>
    <w:rsid w:val="001A4BFC"/>
    <w:rsid w:val="001A4EAD"/>
    <w:rsid w:val="001A552D"/>
    <w:rsid w:val="001A7489"/>
    <w:rsid w:val="001A7BA3"/>
    <w:rsid w:val="001B0868"/>
    <w:rsid w:val="001B114A"/>
    <w:rsid w:val="001B1D4E"/>
    <w:rsid w:val="001B24E3"/>
    <w:rsid w:val="001B3F7F"/>
    <w:rsid w:val="001B42FB"/>
    <w:rsid w:val="001B49EA"/>
    <w:rsid w:val="001B5734"/>
    <w:rsid w:val="001B6168"/>
    <w:rsid w:val="001B632A"/>
    <w:rsid w:val="001B6AEC"/>
    <w:rsid w:val="001C137D"/>
    <w:rsid w:val="001C1A03"/>
    <w:rsid w:val="001C21D1"/>
    <w:rsid w:val="001C384F"/>
    <w:rsid w:val="001C628B"/>
    <w:rsid w:val="001C6404"/>
    <w:rsid w:val="001C68A3"/>
    <w:rsid w:val="001C6AEB"/>
    <w:rsid w:val="001C7C20"/>
    <w:rsid w:val="001D068F"/>
    <w:rsid w:val="001D1318"/>
    <w:rsid w:val="001D3363"/>
    <w:rsid w:val="001D387E"/>
    <w:rsid w:val="001D53A0"/>
    <w:rsid w:val="001D5CE8"/>
    <w:rsid w:val="001D641C"/>
    <w:rsid w:val="001E01E5"/>
    <w:rsid w:val="001E1784"/>
    <w:rsid w:val="001E1EB4"/>
    <w:rsid w:val="001E214D"/>
    <w:rsid w:val="001E338A"/>
    <w:rsid w:val="001E3487"/>
    <w:rsid w:val="001E4FAE"/>
    <w:rsid w:val="001E5303"/>
    <w:rsid w:val="001E5BC0"/>
    <w:rsid w:val="001E658A"/>
    <w:rsid w:val="001E6A32"/>
    <w:rsid w:val="001E7EA8"/>
    <w:rsid w:val="001F035C"/>
    <w:rsid w:val="001F51E2"/>
    <w:rsid w:val="001F6B91"/>
    <w:rsid w:val="002010B9"/>
    <w:rsid w:val="00203015"/>
    <w:rsid w:val="00203A7B"/>
    <w:rsid w:val="00203AAC"/>
    <w:rsid w:val="002040B5"/>
    <w:rsid w:val="00204B05"/>
    <w:rsid w:val="00204CCE"/>
    <w:rsid w:val="00205EB3"/>
    <w:rsid w:val="0020699F"/>
    <w:rsid w:val="00207530"/>
    <w:rsid w:val="0021731B"/>
    <w:rsid w:val="0022004C"/>
    <w:rsid w:val="0022017F"/>
    <w:rsid w:val="002201F5"/>
    <w:rsid w:val="00221187"/>
    <w:rsid w:val="0022162C"/>
    <w:rsid w:val="002218AA"/>
    <w:rsid w:val="00222803"/>
    <w:rsid w:val="002239EA"/>
    <w:rsid w:val="002241FC"/>
    <w:rsid w:val="00224B88"/>
    <w:rsid w:val="002250A6"/>
    <w:rsid w:val="00230171"/>
    <w:rsid w:val="0023050A"/>
    <w:rsid w:val="002307EF"/>
    <w:rsid w:val="002309D8"/>
    <w:rsid w:val="00232387"/>
    <w:rsid w:val="00233077"/>
    <w:rsid w:val="002333A8"/>
    <w:rsid w:val="00233D51"/>
    <w:rsid w:val="002352EE"/>
    <w:rsid w:val="00235CCE"/>
    <w:rsid w:val="002372AE"/>
    <w:rsid w:val="0023788F"/>
    <w:rsid w:val="00237BA5"/>
    <w:rsid w:val="0024089F"/>
    <w:rsid w:val="002416A2"/>
    <w:rsid w:val="00241906"/>
    <w:rsid w:val="00243A59"/>
    <w:rsid w:val="00244632"/>
    <w:rsid w:val="00244C39"/>
    <w:rsid w:val="002451F1"/>
    <w:rsid w:val="00245769"/>
    <w:rsid w:val="00246F4C"/>
    <w:rsid w:val="00247265"/>
    <w:rsid w:val="00247847"/>
    <w:rsid w:val="00247C52"/>
    <w:rsid w:val="00250475"/>
    <w:rsid w:val="00251245"/>
    <w:rsid w:val="00251851"/>
    <w:rsid w:val="00253392"/>
    <w:rsid w:val="0025542E"/>
    <w:rsid w:val="0025746D"/>
    <w:rsid w:val="00257CD4"/>
    <w:rsid w:val="00260A5B"/>
    <w:rsid w:val="00261419"/>
    <w:rsid w:val="00261DEB"/>
    <w:rsid w:val="002630C1"/>
    <w:rsid w:val="00266FDC"/>
    <w:rsid w:val="00270713"/>
    <w:rsid w:val="00270F81"/>
    <w:rsid w:val="00272D6D"/>
    <w:rsid w:val="00276AC7"/>
    <w:rsid w:val="002772C8"/>
    <w:rsid w:val="00281992"/>
    <w:rsid w:val="0028218B"/>
    <w:rsid w:val="00282627"/>
    <w:rsid w:val="00283200"/>
    <w:rsid w:val="00284C06"/>
    <w:rsid w:val="002856F0"/>
    <w:rsid w:val="002857A2"/>
    <w:rsid w:val="0028593E"/>
    <w:rsid w:val="00286DCD"/>
    <w:rsid w:val="00287A48"/>
    <w:rsid w:val="00291B25"/>
    <w:rsid w:val="002937E9"/>
    <w:rsid w:val="002955EF"/>
    <w:rsid w:val="0029584A"/>
    <w:rsid w:val="00295D41"/>
    <w:rsid w:val="0029640E"/>
    <w:rsid w:val="002967C9"/>
    <w:rsid w:val="0029732E"/>
    <w:rsid w:val="00297745"/>
    <w:rsid w:val="00297C61"/>
    <w:rsid w:val="002A23EA"/>
    <w:rsid w:val="002A4E98"/>
    <w:rsid w:val="002A4FAE"/>
    <w:rsid w:val="002A626B"/>
    <w:rsid w:val="002A67B4"/>
    <w:rsid w:val="002A6D9B"/>
    <w:rsid w:val="002B2317"/>
    <w:rsid w:val="002B2931"/>
    <w:rsid w:val="002B2F9B"/>
    <w:rsid w:val="002B318A"/>
    <w:rsid w:val="002B3C66"/>
    <w:rsid w:val="002B3DB5"/>
    <w:rsid w:val="002B574F"/>
    <w:rsid w:val="002B6395"/>
    <w:rsid w:val="002B66D9"/>
    <w:rsid w:val="002B6B9B"/>
    <w:rsid w:val="002B773B"/>
    <w:rsid w:val="002C01ED"/>
    <w:rsid w:val="002C2310"/>
    <w:rsid w:val="002C2D03"/>
    <w:rsid w:val="002C4618"/>
    <w:rsid w:val="002D12CC"/>
    <w:rsid w:val="002D281F"/>
    <w:rsid w:val="002D2DFB"/>
    <w:rsid w:val="002D3D93"/>
    <w:rsid w:val="002D4683"/>
    <w:rsid w:val="002D49DB"/>
    <w:rsid w:val="002D6CA7"/>
    <w:rsid w:val="002E01F5"/>
    <w:rsid w:val="002E2682"/>
    <w:rsid w:val="002E3921"/>
    <w:rsid w:val="002E3A21"/>
    <w:rsid w:val="002E46CD"/>
    <w:rsid w:val="002E56C2"/>
    <w:rsid w:val="002E5AE4"/>
    <w:rsid w:val="002E764A"/>
    <w:rsid w:val="002F0D67"/>
    <w:rsid w:val="002F1117"/>
    <w:rsid w:val="002F1533"/>
    <w:rsid w:val="002F27D3"/>
    <w:rsid w:val="002F28C6"/>
    <w:rsid w:val="002F37E6"/>
    <w:rsid w:val="002F3B36"/>
    <w:rsid w:val="002F5270"/>
    <w:rsid w:val="002F5A2E"/>
    <w:rsid w:val="002F5BE4"/>
    <w:rsid w:val="002F62B9"/>
    <w:rsid w:val="00302EE6"/>
    <w:rsid w:val="00303408"/>
    <w:rsid w:val="00304646"/>
    <w:rsid w:val="00305689"/>
    <w:rsid w:val="00306707"/>
    <w:rsid w:val="00307274"/>
    <w:rsid w:val="003078D8"/>
    <w:rsid w:val="0031155C"/>
    <w:rsid w:val="003125AD"/>
    <w:rsid w:val="00313DA9"/>
    <w:rsid w:val="00313DE3"/>
    <w:rsid w:val="00314B2E"/>
    <w:rsid w:val="00314E41"/>
    <w:rsid w:val="00314EC8"/>
    <w:rsid w:val="00315D72"/>
    <w:rsid w:val="00317B85"/>
    <w:rsid w:val="00317D71"/>
    <w:rsid w:val="003217A8"/>
    <w:rsid w:val="0032276D"/>
    <w:rsid w:val="0032637C"/>
    <w:rsid w:val="00326D5B"/>
    <w:rsid w:val="00330512"/>
    <w:rsid w:val="00330E5F"/>
    <w:rsid w:val="003337CB"/>
    <w:rsid w:val="00335FB5"/>
    <w:rsid w:val="003369E9"/>
    <w:rsid w:val="00337911"/>
    <w:rsid w:val="00337D27"/>
    <w:rsid w:val="00337DED"/>
    <w:rsid w:val="00341508"/>
    <w:rsid w:val="003424F1"/>
    <w:rsid w:val="00342897"/>
    <w:rsid w:val="00342DA7"/>
    <w:rsid w:val="003433F4"/>
    <w:rsid w:val="00344740"/>
    <w:rsid w:val="00344C42"/>
    <w:rsid w:val="003458B6"/>
    <w:rsid w:val="00346281"/>
    <w:rsid w:val="003468E8"/>
    <w:rsid w:val="00346FE2"/>
    <w:rsid w:val="00347C73"/>
    <w:rsid w:val="0035266C"/>
    <w:rsid w:val="00354ED0"/>
    <w:rsid w:val="003561C6"/>
    <w:rsid w:val="0035776D"/>
    <w:rsid w:val="003578B0"/>
    <w:rsid w:val="00357E4F"/>
    <w:rsid w:val="00360039"/>
    <w:rsid w:val="00360120"/>
    <w:rsid w:val="00360226"/>
    <w:rsid w:val="003608DA"/>
    <w:rsid w:val="00362CC3"/>
    <w:rsid w:val="00363B27"/>
    <w:rsid w:val="00366ACA"/>
    <w:rsid w:val="00367B8F"/>
    <w:rsid w:val="00370282"/>
    <w:rsid w:val="003712F2"/>
    <w:rsid w:val="0037174C"/>
    <w:rsid w:val="00372CF0"/>
    <w:rsid w:val="0037324E"/>
    <w:rsid w:val="00373990"/>
    <w:rsid w:val="00373E8C"/>
    <w:rsid w:val="003742E7"/>
    <w:rsid w:val="00374FF1"/>
    <w:rsid w:val="0037518C"/>
    <w:rsid w:val="0037529C"/>
    <w:rsid w:val="003753AC"/>
    <w:rsid w:val="00375817"/>
    <w:rsid w:val="00375F11"/>
    <w:rsid w:val="00376651"/>
    <w:rsid w:val="003774B8"/>
    <w:rsid w:val="003828AD"/>
    <w:rsid w:val="0038349B"/>
    <w:rsid w:val="00385101"/>
    <w:rsid w:val="003865FC"/>
    <w:rsid w:val="0038670A"/>
    <w:rsid w:val="0039250E"/>
    <w:rsid w:val="003930CE"/>
    <w:rsid w:val="003967F6"/>
    <w:rsid w:val="00396A5C"/>
    <w:rsid w:val="00397270"/>
    <w:rsid w:val="00397F7D"/>
    <w:rsid w:val="003A0562"/>
    <w:rsid w:val="003A1526"/>
    <w:rsid w:val="003A2E31"/>
    <w:rsid w:val="003A34A8"/>
    <w:rsid w:val="003A58EE"/>
    <w:rsid w:val="003A67C0"/>
    <w:rsid w:val="003B05EF"/>
    <w:rsid w:val="003B0B39"/>
    <w:rsid w:val="003B0EFA"/>
    <w:rsid w:val="003B20E8"/>
    <w:rsid w:val="003B2C89"/>
    <w:rsid w:val="003B2E1D"/>
    <w:rsid w:val="003B3EDA"/>
    <w:rsid w:val="003B4796"/>
    <w:rsid w:val="003B4829"/>
    <w:rsid w:val="003B4F9B"/>
    <w:rsid w:val="003B6EB4"/>
    <w:rsid w:val="003C0343"/>
    <w:rsid w:val="003C27A0"/>
    <w:rsid w:val="003C2E45"/>
    <w:rsid w:val="003C4094"/>
    <w:rsid w:val="003C5149"/>
    <w:rsid w:val="003C5F99"/>
    <w:rsid w:val="003C6075"/>
    <w:rsid w:val="003D04A8"/>
    <w:rsid w:val="003D0B3C"/>
    <w:rsid w:val="003D2BF8"/>
    <w:rsid w:val="003D3925"/>
    <w:rsid w:val="003D4D12"/>
    <w:rsid w:val="003D5F1A"/>
    <w:rsid w:val="003D7D37"/>
    <w:rsid w:val="003E183F"/>
    <w:rsid w:val="003E23EC"/>
    <w:rsid w:val="003E605F"/>
    <w:rsid w:val="003E681C"/>
    <w:rsid w:val="003F03FC"/>
    <w:rsid w:val="003F0FBC"/>
    <w:rsid w:val="003F1469"/>
    <w:rsid w:val="003F1E37"/>
    <w:rsid w:val="003F2252"/>
    <w:rsid w:val="003F248F"/>
    <w:rsid w:val="003F2589"/>
    <w:rsid w:val="003F28D5"/>
    <w:rsid w:val="003F30D7"/>
    <w:rsid w:val="003F3D8E"/>
    <w:rsid w:val="003F45D2"/>
    <w:rsid w:val="003F5332"/>
    <w:rsid w:val="003F54B7"/>
    <w:rsid w:val="003F5879"/>
    <w:rsid w:val="003F6AB0"/>
    <w:rsid w:val="003F6AC4"/>
    <w:rsid w:val="00400369"/>
    <w:rsid w:val="00400814"/>
    <w:rsid w:val="00401798"/>
    <w:rsid w:val="004039EB"/>
    <w:rsid w:val="00403B2E"/>
    <w:rsid w:val="00404F70"/>
    <w:rsid w:val="00405B31"/>
    <w:rsid w:val="0040744D"/>
    <w:rsid w:val="004078E1"/>
    <w:rsid w:val="00412370"/>
    <w:rsid w:val="004127C8"/>
    <w:rsid w:val="0041295E"/>
    <w:rsid w:val="00413E66"/>
    <w:rsid w:val="004147D5"/>
    <w:rsid w:val="0041647C"/>
    <w:rsid w:val="00420E2E"/>
    <w:rsid w:val="004215B6"/>
    <w:rsid w:val="004216F6"/>
    <w:rsid w:val="00421B40"/>
    <w:rsid w:val="00422D30"/>
    <w:rsid w:val="00423A23"/>
    <w:rsid w:val="0042407C"/>
    <w:rsid w:val="0042608F"/>
    <w:rsid w:val="00426188"/>
    <w:rsid w:val="00426932"/>
    <w:rsid w:val="0042763D"/>
    <w:rsid w:val="00427E43"/>
    <w:rsid w:val="004308BE"/>
    <w:rsid w:val="00431640"/>
    <w:rsid w:val="0043178F"/>
    <w:rsid w:val="00433AE9"/>
    <w:rsid w:val="00434AB3"/>
    <w:rsid w:val="004353BE"/>
    <w:rsid w:val="00436349"/>
    <w:rsid w:val="00437C51"/>
    <w:rsid w:val="00441B65"/>
    <w:rsid w:val="00441D67"/>
    <w:rsid w:val="00441FBD"/>
    <w:rsid w:val="00442569"/>
    <w:rsid w:val="00444443"/>
    <w:rsid w:val="004450E0"/>
    <w:rsid w:val="00445E0D"/>
    <w:rsid w:val="004461EA"/>
    <w:rsid w:val="00446604"/>
    <w:rsid w:val="004468C0"/>
    <w:rsid w:val="00447AE8"/>
    <w:rsid w:val="00451115"/>
    <w:rsid w:val="00451149"/>
    <w:rsid w:val="00452322"/>
    <w:rsid w:val="00452614"/>
    <w:rsid w:val="00453929"/>
    <w:rsid w:val="0045399C"/>
    <w:rsid w:val="00453B3E"/>
    <w:rsid w:val="00456206"/>
    <w:rsid w:val="004562DD"/>
    <w:rsid w:val="00460087"/>
    <w:rsid w:val="00461908"/>
    <w:rsid w:val="0046204A"/>
    <w:rsid w:val="0046239A"/>
    <w:rsid w:val="004623A4"/>
    <w:rsid w:val="0046276D"/>
    <w:rsid w:val="00462ACB"/>
    <w:rsid w:val="0046311B"/>
    <w:rsid w:val="0046333B"/>
    <w:rsid w:val="004638AD"/>
    <w:rsid w:val="00464C9E"/>
    <w:rsid w:val="00465F69"/>
    <w:rsid w:val="004679EE"/>
    <w:rsid w:val="00467C40"/>
    <w:rsid w:val="0047063B"/>
    <w:rsid w:val="00475E48"/>
    <w:rsid w:val="004761CB"/>
    <w:rsid w:val="0048061F"/>
    <w:rsid w:val="00483CB1"/>
    <w:rsid w:val="004862E1"/>
    <w:rsid w:val="004877BE"/>
    <w:rsid w:val="00487A68"/>
    <w:rsid w:val="00487CD4"/>
    <w:rsid w:val="004905C4"/>
    <w:rsid w:val="004933C4"/>
    <w:rsid w:val="004948FC"/>
    <w:rsid w:val="0049650F"/>
    <w:rsid w:val="004A1C28"/>
    <w:rsid w:val="004A36B8"/>
    <w:rsid w:val="004A37D0"/>
    <w:rsid w:val="004A3911"/>
    <w:rsid w:val="004A3F40"/>
    <w:rsid w:val="004A475D"/>
    <w:rsid w:val="004A4F41"/>
    <w:rsid w:val="004A559B"/>
    <w:rsid w:val="004A5726"/>
    <w:rsid w:val="004A5D34"/>
    <w:rsid w:val="004B05AC"/>
    <w:rsid w:val="004B1E4D"/>
    <w:rsid w:val="004B2621"/>
    <w:rsid w:val="004B2E70"/>
    <w:rsid w:val="004B4996"/>
    <w:rsid w:val="004B5361"/>
    <w:rsid w:val="004B5B40"/>
    <w:rsid w:val="004B5C83"/>
    <w:rsid w:val="004B7402"/>
    <w:rsid w:val="004B7FE8"/>
    <w:rsid w:val="004C0358"/>
    <w:rsid w:val="004C141D"/>
    <w:rsid w:val="004C31A2"/>
    <w:rsid w:val="004C4D70"/>
    <w:rsid w:val="004C716A"/>
    <w:rsid w:val="004C75E1"/>
    <w:rsid w:val="004C7C2C"/>
    <w:rsid w:val="004D0051"/>
    <w:rsid w:val="004D0EDD"/>
    <w:rsid w:val="004D1256"/>
    <w:rsid w:val="004D2104"/>
    <w:rsid w:val="004D31C3"/>
    <w:rsid w:val="004D31DB"/>
    <w:rsid w:val="004D49DC"/>
    <w:rsid w:val="004D7AC9"/>
    <w:rsid w:val="004D7B73"/>
    <w:rsid w:val="004E0BE8"/>
    <w:rsid w:val="004E0C4E"/>
    <w:rsid w:val="004E1080"/>
    <w:rsid w:val="004E21A5"/>
    <w:rsid w:val="004E2ECA"/>
    <w:rsid w:val="004E2FAA"/>
    <w:rsid w:val="004E33C4"/>
    <w:rsid w:val="004E3A74"/>
    <w:rsid w:val="004E4511"/>
    <w:rsid w:val="004E4579"/>
    <w:rsid w:val="004E59D5"/>
    <w:rsid w:val="004E61CB"/>
    <w:rsid w:val="004E6AAA"/>
    <w:rsid w:val="004F160C"/>
    <w:rsid w:val="004F17C0"/>
    <w:rsid w:val="004F2189"/>
    <w:rsid w:val="004F38D7"/>
    <w:rsid w:val="004F397B"/>
    <w:rsid w:val="004F3E15"/>
    <w:rsid w:val="004F400F"/>
    <w:rsid w:val="004F46B5"/>
    <w:rsid w:val="004F4A64"/>
    <w:rsid w:val="004F4B15"/>
    <w:rsid w:val="004F5BCA"/>
    <w:rsid w:val="004F6600"/>
    <w:rsid w:val="004F661C"/>
    <w:rsid w:val="004F6CF7"/>
    <w:rsid w:val="004F6D58"/>
    <w:rsid w:val="004F7528"/>
    <w:rsid w:val="005003E6"/>
    <w:rsid w:val="005007D7"/>
    <w:rsid w:val="005037A6"/>
    <w:rsid w:val="005038DD"/>
    <w:rsid w:val="00503C93"/>
    <w:rsid w:val="00504C45"/>
    <w:rsid w:val="00506149"/>
    <w:rsid w:val="0050678D"/>
    <w:rsid w:val="0050695F"/>
    <w:rsid w:val="00507172"/>
    <w:rsid w:val="00507DE0"/>
    <w:rsid w:val="00510F4A"/>
    <w:rsid w:val="005114E0"/>
    <w:rsid w:val="0051589E"/>
    <w:rsid w:val="005158BA"/>
    <w:rsid w:val="0052061C"/>
    <w:rsid w:val="00520919"/>
    <w:rsid w:val="00522454"/>
    <w:rsid w:val="00522DD5"/>
    <w:rsid w:val="00524791"/>
    <w:rsid w:val="005257FB"/>
    <w:rsid w:val="00527E64"/>
    <w:rsid w:val="00532415"/>
    <w:rsid w:val="00533537"/>
    <w:rsid w:val="00533E31"/>
    <w:rsid w:val="00534097"/>
    <w:rsid w:val="00535420"/>
    <w:rsid w:val="005366A5"/>
    <w:rsid w:val="005409A5"/>
    <w:rsid w:val="00540B5C"/>
    <w:rsid w:val="00544E6B"/>
    <w:rsid w:val="00544EBF"/>
    <w:rsid w:val="00546D26"/>
    <w:rsid w:val="00551759"/>
    <w:rsid w:val="005528F7"/>
    <w:rsid w:val="00553AD0"/>
    <w:rsid w:val="00553D8A"/>
    <w:rsid w:val="00555465"/>
    <w:rsid w:val="00555B5B"/>
    <w:rsid w:val="005602B6"/>
    <w:rsid w:val="00561E85"/>
    <w:rsid w:val="00563AB0"/>
    <w:rsid w:val="00564D85"/>
    <w:rsid w:val="005653F0"/>
    <w:rsid w:val="00570912"/>
    <w:rsid w:val="00570E49"/>
    <w:rsid w:val="00576BF2"/>
    <w:rsid w:val="00577B76"/>
    <w:rsid w:val="00580099"/>
    <w:rsid w:val="00580D34"/>
    <w:rsid w:val="00583A46"/>
    <w:rsid w:val="00583A8F"/>
    <w:rsid w:val="005846E4"/>
    <w:rsid w:val="005858EF"/>
    <w:rsid w:val="0058707A"/>
    <w:rsid w:val="00587087"/>
    <w:rsid w:val="005876F8"/>
    <w:rsid w:val="00591603"/>
    <w:rsid w:val="00592D8F"/>
    <w:rsid w:val="00593AC7"/>
    <w:rsid w:val="00593E9F"/>
    <w:rsid w:val="005975E2"/>
    <w:rsid w:val="005978D3"/>
    <w:rsid w:val="005A0EE2"/>
    <w:rsid w:val="005A134F"/>
    <w:rsid w:val="005A1864"/>
    <w:rsid w:val="005A1B29"/>
    <w:rsid w:val="005A4EE2"/>
    <w:rsid w:val="005A59A4"/>
    <w:rsid w:val="005A60BB"/>
    <w:rsid w:val="005A6AF8"/>
    <w:rsid w:val="005A6E95"/>
    <w:rsid w:val="005B103A"/>
    <w:rsid w:val="005B21A8"/>
    <w:rsid w:val="005B2485"/>
    <w:rsid w:val="005B261B"/>
    <w:rsid w:val="005B26D7"/>
    <w:rsid w:val="005B5B34"/>
    <w:rsid w:val="005B6BFC"/>
    <w:rsid w:val="005C0A35"/>
    <w:rsid w:val="005C118A"/>
    <w:rsid w:val="005C147F"/>
    <w:rsid w:val="005C2442"/>
    <w:rsid w:val="005C2C7B"/>
    <w:rsid w:val="005C43EA"/>
    <w:rsid w:val="005C5C76"/>
    <w:rsid w:val="005C6C99"/>
    <w:rsid w:val="005C7733"/>
    <w:rsid w:val="005D0399"/>
    <w:rsid w:val="005D14A8"/>
    <w:rsid w:val="005D31FC"/>
    <w:rsid w:val="005D3212"/>
    <w:rsid w:val="005D49B8"/>
    <w:rsid w:val="005D4B21"/>
    <w:rsid w:val="005D4FED"/>
    <w:rsid w:val="005D5B5A"/>
    <w:rsid w:val="005D74C7"/>
    <w:rsid w:val="005D7DC9"/>
    <w:rsid w:val="005E0C5B"/>
    <w:rsid w:val="005E2ACB"/>
    <w:rsid w:val="005E40A6"/>
    <w:rsid w:val="005E4434"/>
    <w:rsid w:val="005E4EA8"/>
    <w:rsid w:val="005E5136"/>
    <w:rsid w:val="005E65C3"/>
    <w:rsid w:val="005E7899"/>
    <w:rsid w:val="005F015E"/>
    <w:rsid w:val="005F2095"/>
    <w:rsid w:val="005F3572"/>
    <w:rsid w:val="005F3614"/>
    <w:rsid w:val="005F3BD0"/>
    <w:rsid w:val="005F4229"/>
    <w:rsid w:val="005F4C64"/>
    <w:rsid w:val="005F4E5B"/>
    <w:rsid w:val="005F7160"/>
    <w:rsid w:val="005F7665"/>
    <w:rsid w:val="006009A4"/>
    <w:rsid w:val="0060460D"/>
    <w:rsid w:val="0060530F"/>
    <w:rsid w:val="006054CB"/>
    <w:rsid w:val="006059BF"/>
    <w:rsid w:val="00605FB8"/>
    <w:rsid w:val="006064E3"/>
    <w:rsid w:val="0060707F"/>
    <w:rsid w:val="00607280"/>
    <w:rsid w:val="00610B9C"/>
    <w:rsid w:val="00610C57"/>
    <w:rsid w:val="00611693"/>
    <w:rsid w:val="00612085"/>
    <w:rsid w:val="006128A7"/>
    <w:rsid w:val="00613694"/>
    <w:rsid w:val="0061499F"/>
    <w:rsid w:val="006154BB"/>
    <w:rsid w:val="0061748A"/>
    <w:rsid w:val="00617D33"/>
    <w:rsid w:val="00620924"/>
    <w:rsid w:val="00621C91"/>
    <w:rsid w:val="0062435D"/>
    <w:rsid w:val="00624618"/>
    <w:rsid w:val="006262AF"/>
    <w:rsid w:val="006271E4"/>
    <w:rsid w:val="006274EA"/>
    <w:rsid w:val="00627CD2"/>
    <w:rsid w:val="006300BD"/>
    <w:rsid w:val="00632A27"/>
    <w:rsid w:val="00632F9F"/>
    <w:rsid w:val="00634678"/>
    <w:rsid w:val="00634B4B"/>
    <w:rsid w:val="00636ED9"/>
    <w:rsid w:val="006371C6"/>
    <w:rsid w:val="0063788E"/>
    <w:rsid w:val="006421F6"/>
    <w:rsid w:val="00642EC1"/>
    <w:rsid w:val="00646440"/>
    <w:rsid w:val="00650CE9"/>
    <w:rsid w:val="0065165A"/>
    <w:rsid w:val="00654384"/>
    <w:rsid w:val="0065548D"/>
    <w:rsid w:val="006557F3"/>
    <w:rsid w:val="0065640A"/>
    <w:rsid w:val="00662B2D"/>
    <w:rsid w:val="00662E3E"/>
    <w:rsid w:val="006645A1"/>
    <w:rsid w:val="00665BF1"/>
    <w:rsid w:val="00666151"/>
    <w:rsid w:val="006666F2"/>
    <w:rsid w:val="00667575"/>
    <w:rsid w:val="00667593"/>
    <w:rsid w:val="00670112"/>
    <w:rsid w:val="00670A51"/>
    <w:rsid w:val="006731DC"/>
    <w:rsid w:val="006755A9"/>
    <w:rsid w:val="006759BD"/>
    <w:rsid w:val="00677E20"/>
    <w:rsid w:val="00680BCE"/>
    <w:rsid w:val="00680FE7"/>
    <w:rsid w:val="0068103D"/>
    <w:rsid w:val="006817FC"/>
    <w:rsid w:val="006826C1"/>
    <w:rsid w:val="00683725"/>
    <w:rsid w:val="00683D0F"/>
    <w:rsid w:val="00685383"/>
    <w:rsid w:val="0068539F"/>
    <w:rsid w:val="00685BD7"/>
    <w:rsid w:val="00685F85"/>
    <w:rsid w:val="006871EF"/>
    <w:rsid w:val="00690166"/>
    <w:rsid w:val="0069016D"/>
    <w:rsid w:val="00690862"/>
    <w:rsid w:val="00690BD4"/>
    <w:rsid w:val="00691506"/>
    <w:rsid w:val="00691659"/>
    <w:rsid w:val="006933B4"/>
    <w:rsid w:val="0069525B"/>
    <w:rsid w:val="00696843"/>
    <w:rsid w:val="00696E0F"/>
    <w:rsid w:val="00697985"/>
    <w:rsid w:val="00697C1D"/>
    <w:rsid w:val="006A11D8"/>
    <w:rsid w:val="006A40CB"/>
    <w:rsid w:val="006A4E80"/>
    <w:rsid w:val="006A682C"/>
    <w:rsid w:val="006A6C8E"/>
    <w:rsid w:val="006A72BD"/>
    <w:rsid w:val="006A7A3F"/>
    <w:rsid w:val="006B121A"/>
    <w:rsid w:val="006B1B49"/>
    <w:rsid w:val="006B1EA0"/>
    <w:rsid w:val="006B4041"/>
    <w:rsid w:val="006B4F74"/>
    <w:rsid w:val="006B5731"/>
    <w:rsid w:val="006B5A1F"/>
    <w:rsid w:val="006B5B2B"/>
    <w:rsid w:val="006B68B9"/>
    <w:rsid w:val="006B7B2A"/>
    <w:rsid w:val="006B7F92"/>
    <w:rsid w:val="006C0AC7"/>
    <w:rsid w:val="006C172D"/>
    <w:rsid w:val="006C2214"/>
    <w:rsid w:val="006C2D60"/>
    <w:rsid w:val="006C3647"/>
    <w:rsid w:val="006C4E03"/>
    <w:rsid w:val="006C4F78"/>
    <w:rsid w:val="006C69F0"/>
    <w:rsid w:val="006C70D5"/>
    <w:rsid w:val="006C746D"/>
    <w:rsid w:val="006C7C99"/>
    <w:rsid w:val="006D08A5"/>
    <w:rsid w:val="006D0D8B"/>
    <w:rsid w:val="006D140D"/>
    <w:rsid w:val="006D25D1"/>
    <w:rsid w:val="006D378B"/>
    <w:rsid w:val="006D3EDA"/>
    <w:rsid w:val="006D5266"/>
    <w:rsid w:val="006D784A"/>
    <w:rsid w:val="006D7B74"/>
    <w:rsid w:val="006E05AB"/>
    <w:rsid w:val="006E1A8B"/>
    <w:rsid w:val="006E2B74"/>
    <w:rsid w:val="006E2BE3"/>
    <w:rsid w:val="006E30E0"/>
    <w:rsid w:val="006E37C1"/>
    <w:rsid w:val="006E69CA"/>
    <w:rsid w:val="006E7DD5"/>
    <w:rsid w:val="006F0393"/>
    <w:rsid w:val="006F4BC7"/>
    <w:rsid w:val="006F4D75"/>
    <w:rsid w:val="006F5446"/>
    <w:rsid w:val="006F5892"/>
    <w:rsid w:val="006F59DF"/>
    <w:rsid w:val="006F5C81"/>
    <w:rsid w:val="006F6AF0"/>
    <w:rsid w:val="006F6CDD"/>
    <w:rsid w:val="006F7440"/>
    <w:rsid w:val="00700F73"/>
    <w:rsid w:val="007014CE"/>
    <w:rsid w:val="0070208E"/>
    <w:rsid w:val="007027E5"/>
    <w:rsid w:val="007036E1"/>
    <w:rsid w:val="00704E41"/>
    <w:rsid w:val="0070589B"/>
    <w:rsid w:val="00705B8F"/>
    <w:rsid w:val="0070682E"/>
    <w:rsid w:val="00706C2F"/>
    <w:rsid w:val="0070737E"/>
    <w:rsid w:val="00710720"/>
    <w:rsid w:val="00710BF6"/>
    <w:rsid w:val="00711F6B"/>
    <w:rsid w:val="00712623"/>
    <w:rsid w:val="0071296A"/>
    <w:rsid w:val="00712BC6"/>
    <w:rsid w:val="007135A2"/>
    <w:rsid w:val="00713A6F"/>
    <w:rsid w:val="00713D58"/>
    <w:rsid w:val="00714BA9"/>
    <w:rsid w:val="0071658E"/>
    <w:rsid w:val="00716C6B"/>
    <w:rsid w:val="00716C81"/>
    <w:rsid w:val="0071773E"/>
    <w:rsid w:val="00720B38"/>
    <w:rsid w:val="00721144"/>
    <w:rsid w:val="00721460"/>
    <w:rsid w:val="00723A33"/>
    <w:rsid w:val="00724348"/>
    <w:rsid w:val="00724FBA"/>
    <w:rsid w:val="007251B0"/>
    <w:rsid w:val="00725449"/>
    <w:rsid w:val="007265A7"/>
    <w:rsid w:val="00727A25"/>
    <w:rsid w:val="00731180"/>
    <w:rsid w:val="007312F6"/>
    <w:rsid w:val="0073229A"/>
    <w:rsid w:val="00732FD7"/>
    <w:rsid w:val="007345D2"/>
    <w:rsid w:val="00736D9C"/>
    <w:rsid w:val="00737412"/>
    <w:rsid w:val="007374E9"/>
    <w:rsid w:val="00737959"/>
    <w:rsid w:val="00737C92"/>
    <w:rsid w:val="007400C7"/>
    <w:rsid w:val="00740508"/>
    <w:rsid w:val="0074058D"/>
    <w:rsid w:val="00741D12"/>
    <w:rsid w:val="00742487"/>
    <w:rsid w:val="0074297E"/>
    <w:rsid w:val="007444BD"/>
    <w:rsid w:val="00746270"/>
    <w:rsid w:val="00747509"/>
    <w:rsid w:val="007479C5"/>
    <w:rsid w:val="00747E83"/>
    <w:rsid w:val="00750101"/>
    <w:rsid w:val="00752396"/>
    <w:rsid w:val="00752B15"/>
    <w:rsid w:val="00752E44"/>
    <w:rsid w:val="007544F5"/>
    <w:rsid w:val="00754E35"/>
    <w:rsid w:val="00756DA6"/>
    <w:rsid w:val="0075705D"/>
    <w:rsid w:val="00757BB5"/>
    <w:rsid w:val="00761B13"/>
    <w:rsid w:val="00762E03"/>
    <w:rsid w:val="00764349"/>
    <w:rsid w:val="007649A8"/>
    <w:rsid w:val="007649E6"/>
    <w:rsid w:val="007663A1"/>
    <w:rsid w:val="00767133"/>
    <w:rsid w:val="007700A7"/>
    <w:rsid w:val="0077189A"/>
    <w:rsid w:val="00772F09"/>
    <w:rsid w:val="00776458"/>
    <w:rsid w:val="007778A7"/>
    <w:rsid w:val="00777E5A"/>
    <w:rsid w:val="007817E8"/>
    <w:rsid w:val="00782164"/>
    <w:rsid w:val="00784F12"/>
    <w:rsid w:val="007852EC"/>
    <w:rsid w:val="00790A49"/>
    <w:rsid w:val="00791C36"/>
    <w:rsid w:val="00792F73"/>
    <w:rsid w:val="00793900"/>
    <w:rsid w:val="0079421E"/>
    <w:rsid w:val="00796C18"/>
    <w:rsid w:val="00796FB5"/>
    <w:rsid w:val="00797285"/>
    <w:rsid w:val="007A5093"/>
    <w:rsid w:val="007A50A8"/>
    <w:rsid w:val="007A5165"/>
    <w:rsid w:val="007A6F65"/>
    <w:rsid w:val="007B0734"/>
    <w:rsid w:val="007B09B5"/>
    <w:rsid w:val="007B31EF"/>
    <w:rsid w:val="007B403B"/>
    <w:rsid w:val="007B5158"/>
    <w:rsid w:val="007B63DA"/>
    <w:rsid w:val="007B643C"/>
    <w:rsid w:val="007B6604"/>
    <w:rsid w:val="007B666F"/>
    <w:rsid w:val="007B7908"/>
    <w:rsid w:val="007B7DD6"/>
    <w:rsid w:val="007B7F6F"/>
    <w:rsid w:val="007C0641"/>
    <w:rsid w:val="007C25A7"/>
    <w:rsid w:val="007C2968"/>
    <w:rsid w:val="007C3058"/>
    <w:rsid w:val="007C4BFD"/>
    <w:rsid w:val="007C6B41"/>
    <w:rsid w:val="007C75CE"/>
    <w:rsid w:val="007D0231"/>
    <w:rsid w:val="007D128F"/>
    <w:rsid w:val="007D2B99"/>
    <w:rsid w:val="007D3479"/>
    <w:rsid w:val="007D390B"/>
    <w:rsid w:val="007D48D1"/>
    <w:rsid w:val="007D6126"/>
    <w:rsid w:val="007E0155"/>
    <w:rsid w:val="007E0B44"/>
    <w:rsid w:val="007E15DB"/>
    <w:rsid w:val="007E1B16"/>
    <w:rsid w:val="007E1D82"/>
    <w:rsid w:val="007E310D"/>
    <w:rsid w:val="007E43A7"/>
    <w:rsid w:val="007E4628"/>
    <w:rsid w:val="007E4D36"/>
    <w:rsid w:val="007E5070"/>
    <w:rsid w:val="007E5685"/>
    <w:rsid w:val="007E660D"/>
    <w:rsid w:val="007F1FC8"/>
    <w:rsid w:val="007F2580"/>
    <w:rsid w:val="007F3082"/>
    <w:rsid w:val="007F6FD1"/>
    <w:rsid w:val="007F7367"/>
    <w:rsid w:val="007F73BE"/>
    <w:rsid w:val="00801ADF"/>
    <w:rsid w:val="00801C1B"/>
    <w:rsid w:val="00804BF9"/>
    <w:rsid w:val="008059B7"/>
    <w:rsid w:val="00805D56"/>
    <w:rsid w:val="0080766F"/>
    <w:rsid w:val="00811499"/>
    <w:rsid w:val="008115D2"/>
    <w:rsid w:val="00811E6B"/>
    <w:rsid w:val="008128A5"/>
    <w:rsid w:val="00813DCE"/>
    <w:rsid w:val="008147AE"/>
    <w:rsid w:val="00814CDB"/>
    <w:rsid w:val="0081543C"/>
    <w:rsid w:val="00815E73"/>
    <w:rsid w:val="00816F71"/>
    <w:rsid w:val="00820195"/>
    <w:rsid w:val="008218F6"/>
    <w:rsid w:val="00821913"/>
    <w:rsid w:val="0082330E"/>
    <w:rsid w:val="0082522B"/>
    <w:rsid w:val="00826B5F"/>
    <w:rsid w:val="00827787"/>
    <w:rsid w:val="00827D3E"/>
    <w:rsid w:val="00827D86"/>
    <w:rsid w:val="00827FB6"/>
    <w:rsid w:val="00830163"/>
    <w:rsid w:val="00830C34"/>
    <w:rsid w:val="00831669"/>
    <w:rsid w:val="00832FC5"/>
    <w:rsid w:val="0083301D"/>
    <w:rsid w:val="008334C9"/>
    <w:rsid w:val="00833803"/>
    <w:rsid w:val="00833E19"/>
    <w:rsid w:val="00833EA3"/>
    <w:rsid w:val="00833EB7"/>
    <w:rsid w:val="00834588"/>
    <w:rsid w:val="0083484D"/>
    <w:rsid w:val="008352F8"/>
    <w:rsid w:val="00837090"/>
    <w:rsid w:val="008404D1"/>
    <w:rsid w:val="008444CD"/>
    <w:rsid w:val="00844811"/>
    <w:rsid w:val="00844BD0"/>
    <w:rsid w:val="00846482"/>
    <w:rsid w:val="0084657E"/>
    <w:rsid w:val="00847071"/>
    <w:rsid w:val="00850143"/>
    <w:rsid w:val="00850400"/>
    <w:rsid w:val="00851B83"/>
    <w:rsid w:val="0085232E"/>
    <w:rsid w:val="00852535"/>
    <w:rsid w:val="00852EFB"/>
    <w:rsid w:val="00853AB1"/>
    <w:rsid w:val="00855089"/>
    <w:rsid w:val="00862090"/>
    <w:rsid w:val="00863346"/>
    <w:rsid w:val="008646C0"/>
    <w:rsid w:val="00864F02"/>
    <w:rsid w:val="0086596B"/>
    <w:rsid w:val="00866506"/>
    <w:rsid w:val="00866C9C"/>
    <w:rsid w:val="00867AB6"/>
    <w:rsid w:val="008702D7"/>
    <w:rsid w:val="00870761"/>
    <w:rsid w:val="0087184A"/>
    <w:rsid w:val="0087285F"/>
    <w:rsid w:val="00874A97"/>
    <w:rsid w:val="00876365"/>
    <w:rsid w:val="00880030"/>
    <w:rsid w:val="0088033E"/>
    <w:rsid w:val="00880AF4"/>
    <w:rsid w:val="00881959"/>
    <w:rsid w:val="00882165"/>
    <w:rsid w:val="008825CA"/>
    <w:rsid w:val="00882701"/>
    <w:rsid w:val="00883837"/>
    <w:rsid w:val="008838E3"/>
    <w:rsid w:val="008848C9"/>
    <w:rsid w:val="00884E3A"/>
    <w:rsid w:val="0088512F"/>
    <w:rsid w:val="00885FFA"/>
    <w:rsid w:val="00890245"/>
    <w:rsid w:val="0089150A"/>
    <w:rsid w:val="008946B2"/>
    <w:rsid w:val="00896691"/>
    <w:rsid w:val="00896988"/>
    <w:rsid w:val="0089706B"/>
    <w:rsid w:val="008971F4"/>
    <w:rsid w:val="008A1223"/>
    <w:rsid w:val="008A1920"/>
    <w:rsid w:val="008A208C"/>
    <w:rsid w:val="008A20D0"/>
    <w:rsid w:val="008A5CBB"/>
    <w:rsid w:val="008B2574"/>
    <w:rsid w:val="008B3C0A"/>
    <w:rsid w:val="008B60C1"/>
    <w:rsid w:val="008B61C1"/>
    <w:rsid w:val="008B6450"/>
    <w:rsid w:val="008B7C82"/>
    <w:rsid w:val="008C0A6D"/>
    <w:rsid w:val="008C1B18"/>
    <w:rsid w:val="008C259C"/>
    <w:rsid w:val="008C6A2F"/>
    <w:rsid w:val="008C73CC"/>
    <w:rsid w:val="008C7470"/>
    <w:rsid w:val="008C7991"/>
    <w:rsid w:val="008C7DA6"/>
    <w:rsid w:val="008D052B"/>
    <w:rsid w:val="008D14FF"/>
    <w:rsid w:val="008D1E53"/>
    <w:rsid w:val="008D2AE1"/>
    <w:rsid w:val="008D3041"/>
    <w:rsid w:val="008D620A"/>
    <w:rsid w:val="008D6A1B"/>
    <w:rsid w:val="008D7602"/>
    <w:rsid w:val="008E032C"/>
    <w:rsid w:val="008E19F4"/>
    <w:rsid w:val="008E1BA5"/>
    <w:rsid w:val="008E3F89"/>
    <w:rsid w:val="008E59F2"/>
    <w:rsid w:val="008E5CCF"/>
    <w:rsid w:val="008F07DA"/>
    <w:rsid w:val="008F0D90"/>
    <w:rsid w:val="008F182E"/>
    <w:rsid w:val="008F3840"/>
    <w:rsid w:val="008F392E"/>
    <w:rsid w:val="008F3C85"/>
    <w:rsid w:val="008F4237"/>
    <w:rsid w:val="008F5251"/>
    <w:rsid w:val="008F5CD5"/>
    <w:rsid w:val="008F6472"/>
    <w:rsid w:val="009008D8"/>
    <w:rsid w:val="009009EB"/>
    <w:rsid w:val="009028CD"/>
    <w:rsid w:val="009046C1"/>
    <w:rsid w:val="00904886"/>
    <w:rsid w:val="00904DA9"/>
    <w:rsid w:val="00904E98"/>
    <w:rsid w:val="00905733"/>
    <w:rsid w:val="00905850"/>
    <w:rsid w:val="0090639A"/>
    <w:rsid w:val="00906C0D"/>
    <w:rsid w:val="00910D6E"/>
    <w:rsid w:val="0091145D"/>
    <w:rsid w:val="009125EC"/>
    <w:rsid w:val="0091395D"/>
    <w:rsid w:val="00913F64"/>
    <w:rsid w:val="00916F69"/>
    <w:rsid w:val="009170E2"/>
    <w:rsid w:val="0092303C"/>
    <w:rsid w:val="00924C87"/>
    <w:rsid w:val="00925ADB"/>
    <w:rsid w:val="00925D09"/>
    <w:rsid w:val="009272B0"/>
    <w:rsid w:val="00927463"/>
    <w:rsid w:val="00927B3C"/>
    <w:rsid w:val="00927F31"/>
    <w:rsid w:val="009308BF"/>
    <w:rsid w:val="0093156F"/>
    <w:rsid w:val="00931A98"/>
    <w:rsid w:val="00931EDC"/>
    <w:rsid w:val="009344ED"/>
    <w:rsid w:val="00935E67"/>
    <w:rsid w:val="009365B2"/>
    <w:rsid w:val="00937770"/>
    <w:rsid w:val="00940C09"/>
    <w:rsid w:val="00941F99"/>
    <w:rsid w:val="0095021E"/>
    <w:rsid w:val="00951362"/>
    <w:rsid w:val="00951880"/>
    <w:rsid w:val="00952316"/>
    <w:rsid w:val="0095285D"/>
    <w:rsid w:val="00953EFB"/>
    <w:rsid w:val="009546E9"/>
    <w:rsid w:val="00955076"/>
    <w:rsid w:val="0095713D"/>
    <w:rsid w:val="00957B42"/>
    <w:rsid w:val="00960126"/>
    <w:rsid w:val="00960A89"/>
    <w:rsid w:val="00962257"/>
    <w:rsid w:val="009622BD"/>
    <w:rsid w:val="00962EA8"/>
    <w:rsid w:val="0096573D"/>
    <w:rsid w:val="00966D02"/>
    <w:rsid w:val="009672AB"/>
    <w:rsid w:val="00967F7A"/>
    <w:rsid w:val="00970DED"/>
    <w:rsid w:val="00971A70"/>
    <w:rsid w:val="009728B3"/>
    <w:rsid w:val="009745C8"/>
    <w:rsid w:val="00974A83"/>
    <w:rsid w:val="00974AAC"/>
    <w:rsid w:val="00975FB0"/>
    <w:rsid w:val="009762B8"/>
    <w:rsid w:val="00976A14"/>
    <w:rsid w:val="00976BB2"/>
    <w:rsid w:val="0097776F"/>
    <w:rsid w:val="009777AE"/>
    <w:rsid w:val="009808DA"/>
    <w:rsid w:val="00982A85"/>
    <w:rsid w:val="00982BC2"/>
    <w:rsid w:val="00983584"/>
    <w:rsid w:val="00983B66"/>
    <w:rsid w:val="0098492F"/>
    <w:rsid w:val="0098500E"/>
    <w:rsid w:val="00986A37"/>
    <w:rsid w:val="00986D2C"/>
    <w:rsid w:val="009900F2"/>
    <w:rsid w:val="009916B7"/>
    <w:rsid w:val="009927C8"/>
    <w:rsid w:val="009929F6"/>
    <w:rsid w:val="00992B23"/>
    <w:rsid w:val="00992F66"/>
    <w:rsid w:val="009932AC"/>
    <w:rsid w:val="00994D67"/>
    <w:rsid w:val="009A0F60"/>
    <w:rsid w:val="009A184E"/>
    <w:rsid w:val="009A39EF"/>
    <w:rsid w:val="009A4132"/>
    <w:rsid w:val="009A4982"/>
    <w:rsid w:val="009A6C66"/>
    <w:rsid w:val="009B298A"/>
    <w:rsid w:val="009C0014"/>
    <w:rsid w:val="009C0071"/>
    <w:rsid w:val="009C01DB"/>
    <w:rsid w:val="009C0C57"/>
    <w:rsid w:val="009C145D"/>
    <w:rsid w:val="009C2A16"/>
    <w:rsid w:val="009C33E0"/>
    <w:rsid w:val="009C589D"/>
    <w:rsid w:val="009C58D3"/>
    <w:rsid w:val="009C5E3B"/>
    <w:rsid w:val="009C7B3A"/>
    <w:rsid w:val="009D0508"/>
    <w:rsid w:val="009D09EE"/>
    <w:rsid w:val="009D1904"/>
    <w:rsid w:val="009D20F7"/>
    <w:rsid w:val="009D34D5"/>
    <w:rsid w:val="009D45CF"/>
    <w:rsid w:val="009D4720"/>
    <w:rsid w:val="009D4FF5"/>
    <w:rsid w:val="009D67B6"/>
    <w:rsid w:val="009E01EB"/>
    <w:rsid w:val="009E02DF"/>
    <w:rsid w:val="009E1D05"/>
    <w:rsid w:val="009E2BFE"/>
    <w:rsid w:val="009E2C79"/>
    <w:rsid w:val="009E38A7"/>
    <w:rsid w:val="009E4459"/>
    <w:rsid w:val="009E50BF"/>
    <w:rsid w:val="009E5BE5"/>
    <w:rsid w:val="009E64D3"/>
    <w:rsid w:val="009E6AE8"/>
    <w:rsid w:val="009E78CD"/>
    <w:rsid w:val="009F19FC"/>
    <w:rsid w:val="009F1EF9"/>
    <w:rsid w:val="009F3C14"/>
    <w:rsid w:val="009F54B1"/>
    <w:rsid w:val="009F56E8"/>
    <w:rsid w:val="009F5D49"/>
    <w:rsid w:val="009F62AB"/>
    <w:rsid w:val="009F6DF8"/>
    <w:rsid w:val="009F70E0"/>
    <w:rsid w:val="009F768A"/>
    <w:rsid w:val="009F7DA8"/>
    <w:rsid w:val="00A00445"/>
    <w:rsid w:val="00A01BB5"/>
    <w:rsid w:val="00A02F29"/>
    <w:rsid w:val="00A03765"/>
    <w:rsid w:val="00A038CA"/>
    <w:rsid w:val="00A039DD"/>
    <w:rsid w:val="00A10A6C"/>
    <w:rsid w:val="00A10EAD"/>
    <w:rsid w:val="00A13801"/>
    <w:rsid w:val="00A13E26"/>
    <w:rsid w:val="00A157E8"/>
    <w:rsid w:val="00A22D8B"/>
    <w:rsid w:val="00A23E67"/>
    <w:rsid w:val="00A2445F"/>
    <w:rsid w:val="00A25277"/>
    <w:rsid w:val="00A26585"/>
    <w:rsid w:val="00A30DA2"/>
    <w:rsid w:val="00A31978"/>
    <w:rsid w:val="00A31F67"/>
    <w:rsid w:val="00A341A1"/>
    <w:rsid w:val="00A363EB"/>
    <w:rsid w:val="00A41E03"/>
    <w:rsid w:val="00A44919"/>
    <w:rsid w:val="00A454FA"/>
    <w:rsid w:val="00A470F5"/>
    <w:rsid w:val="00A51818"/>
    <w:rsid w:val="00A51D0D"/>
    <w:rsid w:val="00A52474"/>
    <w:rsid w:val="00A52762"/>
    <w:rsid w:val="00A529FE"/>
    <w:rsid w:val="00A5365A"/>
    <w:rsid w:val="00A53B74"/>
    <w:rsid w:val="00A53F1C"/>
    <w:rsid w:val="00A56A19"/>
    <w:rsid w:val="00A57994"/>
    <w:rsid w:val="00A57C5B"/>
    <w:rsid w:val="00A605B8"/>
    <w:rsid w:val="00A620D8"/>
    <w:rsid w:val="00A62A43"/>
    <w:rsid w:val="00A648B9"/>
    <w:rsid w:val="00A66E63"/>
    <w:rsid w:val="00A66FD0"/>
    <w:rsid w:val="00A7000B"/>
    <w:rsid w:val="00A7272D"/>
    <w:rsid w:val="00A73730"/>
    <w:rsid w:val="00A75130"/>
    <w:rsid w:val="00A75B61"/>
    <w:rsid w:val="00A76359"/>
    <w:rsid w:val="00A800A5"/>
    <w:rsid w:val="00A803B7"/>
    <w:rsid w:val="00A80A61"/>
    <w:rsid w:val="00A81014"/>
    <w:rsid w:val="00A839BB"/>
    <w:rsid w:val="00A84E12"/>
    <w:rsid w:val="00A84EF0"/>
    <w:rsid w:val="00A85872"/>
    <w:rsid w:val="00A9285F"/>
    <w:rsid w:val="00A93A35"/>
    <w:rsid w:val="00A93C93"/>
    <w:rsid w:val="00A94B46"/>
    <w:rsid w:val="00A95225"/>
    <w:rsid w:val="00A97CE8"/>
    <w:rsid w:val="00AA0464"/>
    <w:rsid w:val="00AA08FB"/>
    <w:rsid w:val="00AA0AFE"/>
    <w:rsid w:val="00AA26B7"/>
    <w:rsid w:val="00AA4597"/>
    <w:rsid w:val="00AB0443"/>
    <w:rsid w:val="00AB127E"/>
    <w:rsid w:val="00AB2F38"/>
    <w:rsid w:val="00AB3FCB"/>
    <w:rsid w:val="00AB42D6"/>
    <w:rsid w:val="00AB4A3D"/>
    <w:rsid w:val="00AB4AF2"/>
    <w:rsid w:val="00AB583C"/>
    <w:rsid w:val="00AB63BD"/>
    <w:rsid w:val="00AB653C"/>
    <w:rsid w:val="00AB7042"/>
    <w:rsid w:val="00AB7AD7"/>
    <w:rsid w:val="00AB7CC1"/>
    <w:rsid w:val="00AC0462"/>
    <w:rsid w:val="00AC071E"/>
    <w:rsid w:val="00AC1122"/>
    <w:rsid w:val="00AC1915"/>
    <w:rsid w:val="00AC2F16"/>
    <w:rsid w:val="00AC3526"/>
    <w:rsid w:val="00AC4116"/>
    <w:rsid w:val="00AC4616"/>
    <w:rsid w:val="00AC4B85"/>
    <w:rsid w:val="00AC54FE"/>
    <w:rsid w:val="00AC5657"/>
    <w:rsid w:val="00AC672A"/>
    <w:rsid w:val="00AC693B"/>
    <w:rsid w:val="00AC6A9D"/>
    <w:rsid w:val="00AD10AC"/>
    <w:rsid w:val="00AD14B5"/>
    <w:rsid w:val="00AD3537"/>
    <w:rsid w:val="00AD35B4"/>
    <w:rsid w:val="00AD4DA0"/>
    <w:rsid w:val="00AD4EA3"/>
    <w:rsid w:val="00AD53E5"/>
    <w:rsid w:val="00AD5CBC"/>
    <w:rsid w:val="00AD6A9E"/>
    <w:rsid w:val="00AE003B"/>
    <w:rsid w:val="00AE0C44"/>
    <w:rsid w:val="00AE1D5A"/>
    <w:rsid w:val="00AE1F1E"/>
    <w:rsid w:val="00AE2B00"/>
    <w:rsid w:val="00AE4B30"/>
    <w:rsid w:val="00AE4F0E"/>
    <w:rsid w:val="00AE5135"/>
    <w:rsid w:val="00AE6B34"/>
    <w:rsid w:val="00AE6BA0"/>
    <w:rsid w:val="00AF149A"/>
    <w:rsid w:val="00AF1876"/>
    <w:rsid w:val="00AF26DF"/>
    <w:rsid w:val="00AF5FB0"/>
    <w:rsid w:val="00AF79F8"/>
    <w:rsid w:val="00B003D2"/>
    <w:rsid w:val="00B02E0B"/>
    <w:rsid w:val="00B045B0"/>
    <w:rsid w:val="00B04656"/>
    <w:rsid w:val="00B055AC"/>
    <w:rsid w:val="00B064BB"/>
    <w:rsid w:val="00B06C11"/>
    <w:rsid w:val="00B074F9"/>
    <w:rsid w:val="00B07C40"/>
    <w:rsid w:val="00B1249E"/>
    <w:rsid w:val="00B1304C"/>
    <w:rsid w:val="00B133D1"/>
    <w:rsid w:val="00B159B0"/>
    <w:rsid w:val="00B15D00"/>
    <w:rsid w:val="00B16688"/>
    <w:rsid w:val="00B177FC"/>
    <w:rsid w:val="00B20466"/>
    <w:rsid w:val="00B20A02"/>
    <w:rsid w:val="00B24633"/>
    <w:rsid w:val="00B25BFA"/>
    <w:rsid w:val="00B2666F"/>
    <w:rsid w:val="00B27874"/>
    <w:rsid w:val="00B307E4"/>
    <w:rsid w:val="00B31212"/>
    <w:rsid w:val="00B32BB6"/>
    <w:rsid w:val="00B33122"/>
    <w:rsid w:val="00B33C5A"/>
    <w:rsid w:val="00B34023"/>
    <w:rsid w:val="00B3633A"/>
    <w:rsid w:val="00B403A1"/>
    <w:rsid w:val="00B404F7"/>
    <w:rsid w:val="00B41860"/>
    <w:rsid w:val="00B43844"/>
    <w:rsid w:val="00B523FB"/>
    <w:rsid w:val="00B55D52"/>
    <w:rsid w:val="00B56BEF"/>
    <w:rsid w:val="00B57026"/>
    <w:rsid w:val="00B600F9"/>
    <w:rsid w:val="00B60E77"/>
    <w:rsid w:val="00B60EEF"/>
    <w:rsid w:val="00B62AC9"/>
    <w:rsid w:val="00B63764"/>
    <w:rsid w:val="00B64A97"/>
    <w:rsid w:val="00B65C12"/>
    <w:rsid w:val="00B67F2B"/>
    <w:rsid w:val="00B70C83"/>
    <w:rsid w:val="00B717FC"/>
    <w:rsid w:val="00B71A82"/>
    <w:rsid w:val="00B72A7C"/>
    <w:rsid w:val="00B73EFA"/>
    <w:rsid w:val="00B74AD1"/>
    <w:rsid w:val="00B75338"/>
    <w:rsid w:val="00B75E9D"/>
    <w:rsid w:val="00B834D3"/>
    <w:rsid w:val="00B83773"/>
    <w:rsid w:val="00B83A91"/>
    <w:rsid w:val="00B84EAE"/>
    <w:rsid w:val="00B85E2B"/>
    <w:rsid w:val="00B86E6F"/>
    <w:rsid w:val="00B901AA"/>
    <w:rsid w:val="00B90A6E"/>
    <w:rsid w:val="00B90DA6"/>
    <w:rsid w:val="00B92FF9"/>
    <w:rsid w:val="00B93F3C"/>
    <w:rsid w:val="00B94A45"/>
    <w:rsid w:val="00B94EDA"/>
    <w:rsid w:val="00B95E82"/>
    <w:rsid w:val="00B9716C"/>
    <w:rsid w:val="00B97506"/>
    <w:rsid w:val="00BA0A61"/>
    <w:rsid w:val="00BA0D58"/>
    <w:rsid w:val="00BA180E"/>
    <w:rsid w:val="00BA188A"/>
    <w:rsid w:val="00BA1CA0"/>
    <w:rsid w:val="00BA2753"/>
    <w:rsid w:val="00BA4912"/>
    <w:rsid w:val="00BA53D8"/>
    <w:rsid w:val="00BA56BC"/>
    <w:rsid w:val="00BA59CB"/>
    <w:rsid w:val="00BA69C1"/>
    <w:rsid w:val="00BA6A96"/>
    <w:rsid w:val="00BA7A71"/>
    <w:rsid w:val="00BB30CC"/>
    <w:rsid w:val="00BB395B"/>
    <w:rsid w:val="00BB3DE8"/>
    <w:rsid w:val="00BB4025"/>
    <w:rsid w:val="00BB606D"/>
    <w:rsid w:val="00BB72BA"/>
    <w:rsid w:val="00BB79B0"/>
    <w:rsid w:val="00BB7BF9"/>
    <w:rsid w:val="00BC056D"/>
    <w:rsid w:val="00BC0DC9"/>
    <w:rsid w:val="00BC182D"/>
    <w:rsid w:val="00BC2F77"/>
    <w:rsid w:val="00BC3EC1"/>
    <w:rsid w:val="00BC66B4"/>
    <w:rsid w:val="00BC6BDA"/>
    <w:rsid w:val="00BD0C39"/>
    <w:rsid w:val="00BD146B"/>
    <w:rsid w:val="00BD1A78"/>
    <w:rsid w:val="00BD2489"/>
    <w:rsid w:val="00BD28ED"/>
    <w:rsid w:val="00BD2B90"/>
    <w:rsid w:val="00BD3763"/>
    <w:rsid w:val="00BD5A40"/>
    <w:rsid w:val="00BE2D7C"/>
    <w:rsid w:val="00BE3138"/>
    <w:rsid w:val="00BE3437"/>
    <w:rsid w:val="00BE397D"/>
    <w:rsid w:val="00BE3A8F"/>
    <w:rsid w:val="00BE3AB8"/>
    <w:rsid w:val="00BE3E4D"/>
    <w:rsid w:val="00BE64EF"/>
    <w:rsid w:val="00BE6BBE"/>
    <w:rsid w:val="00BE7F02"/>
    <w:rsid w:val="00BF1FD8"/>
    <w:rsid w:val="00BF3349"/>
    <w:rsid w:val="00BF36E7"/>
    <w:rsid w:val="00BF3AE8"/>
    <w:rsid w:val="00BF685B"/>
    <w:rsid w:val="00BF7090"/>
    <w:rsid w:val="00BF74B0"/>
    <w:rsid w:val="00BF7D96"/>
    <w:rsid w:val="00C020A5"/>
    <w:rsid w:val="00C02361"/>
    <w:rsid w:val="00C03ACC"/>
    <w:rsid w:val="00C05BBD"/>
    <w:rsid w:val="00C104AE"/>
    <w:rsid w:val="00C10DAA"/>
    <w:rsid w:val="00C12BF0"/>
    <w:rsid w:val="00C13214"/>
    <w:rsid w:val="00C1362C"/>
    <w:rsid w:val="00C140B0"/>
    <w:rsid w:val="00C144CB"/>
    <w:rsid w:val="00C14A59"/>
    <w:rsid w:val="00C160DC"/>
    <w:rsid w:val="00C219F8"/>
    <w:rsid w:val="00C21EA4"/>
    <w:rsid w:val="00C22662"/>
    <w:rsid w:val="00C23FAF"/>
    <w:rsid w:val="00C26DE6"/>
    <w:rsid w:val="00C2705A"/>
    <w:rsid w:val="00C27BA8"/>
    <w:rsid w:val="00C30B9C"/>
    <w:rsid w:val="00C31A81"/>
    <w:rsid w:val="00C31BCD"/>
    <w:rsid w:val="00C32165"/>
    <w:rsid w:val="00C3273D"/>
    <w:rsid w:val="00C328E3"/>
    <w:rsid w:val="00C32CDD"/>
    <w:rsid w:val="00C34846"/>
    <w:rsid w:val="00C34973"/>
    <w:rsid w:val="00C34DEC"/>
    <w:rsid w:val="00C35004"/>
    <w:rsid w:val="00C37D12"/>
    <w:rsid w:val="00C37D56"/>
    <w:rsid w:val="00C37EF5"/>
    <w:rsid w:val="00C37FC2"/>
    <w:rsid w:val="00C4062E"/>
    <w:rsid w:val="00C40FDE"/>
    <w:rsid w:val="00C410A8"/>
    <w:rsid w:val="00C425DC"/>
    <w:rsid w:val="00C444C2"/>
    <w:rsid w:val="00C44ACF"/>
    <w:rsid w:val="00C44CC4"/>
    <w:rsid w:val="00C4551C"/>
    <w:rsid w:val="00C45AC6"/>
    <w:rsid w:val="00C475DA"/>
    <w:rsid w:val="00C47D85"/>
    <w:rsid w:val="00C52A27"/>
    <w:rsid w:val="00C53C26"/>
    <w:rsid w:val="00C55B2B"/>
    <w:rsid w:val="00C56112"/>
    <w:rsid w:val="00C56D44"/>
    <w:rsid w:val="00C5796F"/>
    <w:rsid w:val="00C57AA9"/>
    <w:rsid w:val="00C62370"/>
    <w:rsid w:val="00C63AAE"/>
    <w:rsid w:val="00C653FB"/>
    <w:rsid w:val="00C6581F"/>
    <w:rsid w:val="00C6787E"/>
    <w:rsid w:val="00C67A1C"/>
    <w:rsid w:val="00C7039F"/>
    <w:rsid w:val="00C709D6"/>
    <w:rsid w:val="00C70C2C"/>
    <w:rsid w:val="00C7148E"/>
    <w:rsid w:val="00C7258C"/>
    <w:rsid w:val="00C73734"/>
    <w:rsid w:val="00C7696A"/>
    <w:rsid w:val="00C7719A"/>
    <w:rsid w:val="00C77568"/>
    <w:rsid w:val="00C8057A"/>
    <w:rsid w:val="00C81181"/>
    <w:rsid w:val="00C8137B"/>
    <w:rsid w:val="00C81B4B"/>
    <w:rsid w:val="00C81F8E"/>
    <w:rsid w:val="00C82CBF"/>
    <w:rsid w:val="00C8344D"/>
    <w:rsid w:val="00C8511E"/>
    <w:rsid w:val="00C860A1"/>
    <w:rsid w:val="00C86A4E"/>
    <w:rsid w:val="00C86D7D"/>
    <w:rsid w:val="00C86E7A"/>
    <w:rsid w:val="00C87B16"/>
    <w:rsid w:val="00C87EB5"/>
    <w:rsid w:val="00C9041C"/>
    <w:rsid w:val="00C91F84"/>
    <w:rsid w:val="00C925C1"/>
    <w:rsid w:val="00C92605"/>
    <w:rsid w:val="00C93822"/>
    <w:rsid w:val="00C93984"/>
    <w:rsid w:val="00C9483A"/>
    <w:rsid w:val="00C95419"/>
    <w:rsid w:val="00C95F56"/>
    <w:rsid w:val="00C96961"/>
    <w:rsid w:val="00C976EC"/>
    <w:rsid w:val="00C97C87"/>
    <w:rsid w:val="00C97D5B"/>
    <w:rsid w:val="00CA0A1C"/>
    <w:rsid w:val="00CA2550"/>
    <w:rsid w:val="00CA2E7B"/>
    <w:rsid w:val="00CA4151"/>
    <w:rsid w:val="00CA44AE"/>
    <w:rsid w:val="00CA45A1"/>
    <w:rsid w:val="00CA5D72"/>
    <w:rsid w:val="00CA6E90"/>
    <w:rsid w:val="00CB03AD"/>
    <w:rsid w:val="00CB1F1B"/>
    <w:rsid w:val="00CB3674"/>
    <w:rsid w:val="00CB4DA2"/>
    <w:rsid w:val="00CB6A88"/>
    <w:rsid w:val="00CB6BCD"/>
    <w:rsid w:val="00CC0843"/>
    <w:rsid w:val="00CC1B51"/>
    <w:rsid w:val="00CC3104"/>
    <w:rsid w:val="00CC412D"/>
    <w:rsid w:val="00CC4D1B"/>
    <w:rsid w:val="00CC7633"/>
    <w:rsid w:val="00CD4ABA"/>
    <w:rsid w:val="00CD4D63"/>
    <w:rsid w:val="00CD52CD"/>
    <w:rsid w:val="00CD5D0B"/>
    <w:rsid w:val="00CD6523"/>
    <w:rsid w:val="00CD6C37"/>
    <w:rsid w:val="00CD7266"/>
    <w:rsid w:val="00CE26EE"/>
    <w:rsid w:val="00CE3BC4"/>
    <w:rsid w:val="00CE3BE1"/>
    <w:rsid w:val="00CE45C3"/>
    <w:rsid w:val="00CE479E"/>
    <w:rsid w:val="00CE50BC"/>
    <w:rsid w:val="00CE650E"/>
    <w:rsid w:val="00CE70DC"/>
    <w:rsid w:val="00CF15C2"/>
    <w:rsid w:val="00CF1636"/>
    <w:rsid w:val="00CF2642"/>
    <w:rsid w:val="00CF3248"/>
    <w:rsid w:val="00CF46A7"/>
    <w:rsid w:val="00CF4746"/>
    <w:rsid w:val="00CF54FB"/>
    <w:rsid w:val="00CF631F"/>
    <w:rsid w:val="00CF68A4"/>
    <w:rsid w:val="00D0053C"/>
    <w:rsid w:val="00D015D5"/>
    <w:rsid w:val="00D021DF"/>
    <w:rsid w:val="00D03639"/>
    <w:rsid w:val="00D047E0"/>
    <w:rsid w:val="00D049DA"/>
    <w:rsid w:val="00D05A81"/>
    <w:rsid w:val="00D07714"/>
    <w:rsid w:val="00D07B73"/>
    <w:rsid w:val="00D12626"/>
    <w:rsid w:val="00D13FC6"/>
    <w:rsid w:val="00D148DD"/>
    <w:rsid w:val="00D16706"/>
    <w:rsid w:val="00D17164"/>
    <w:rsid w:val="00D20A4F"/>
    <w:rsid w:val="00D20EE4"/>
    <w:rsid w:val="00D21244"/>
    <w:rsid w:val="00D215F4"/>
    <w:rsid w:val="00D23FA7"/>
    <w:rsid w:val="00D259AA"/>
    <w:rsid w:val="00D27B98"/>
    <w:rsid w:val="00D30849"/>
    <w:rsid w:val="00D31633"/>
    <w:rsid w:val="00D33868"/>
    <w:rsid w:val="00D34E5D"/>
    <w:rsid w:val="00D371DE"/>
    <w:rsid w:val="00D40BC9"/>
    <w:rsid w:val="00D4372D"/>
    <w:rsid w:val="00D4438C"/>
    <w:rsid w:val="00D47376"/>
    <w:rsid w:val="00D50ACD"/>
    <w:rsid w:val="00D518FA"/>
    <w:rsid w:val="00D52236"/>
    <w:rsid w:val="00D526AF"/>
    <w:rsid w:val="00D52BC7"/>
    <w:rsid w:val="00D52F30"/>
    <w:rsid w:val="00D53337"/>
    <w:rsid w:val="00D55504"/>
    <w:rsid w:val="00D56A2E"/>
    <w:rsid w:val="00D574A2"/>
    <w:rsid w:val="00D617D5"/>
    <w:rsid w:val="00D61A80"/>
    <w:rsid w:val="00D61C5E"/>
    <w:rsid w:val="00D61D57"/>
    <w:rsid w:val="00D63DB7"/>
    <w:rsid w:val="00D655C6"/>
    <w:rsid w:val="00D72BE1"/>
    <w:rsid w:val="00D74425"/>
    <w:rsid w:val="00D763E1"/>
    <w:rsid w:val="00D76671"/>
    <w:rsid w:val="00D771E9"/>
    <w:rsid w:val="00D80829"/>
    <w:rsid w:val="00D81551"/>
    <w:rsid w:val="00D8156D"/>
    <w:rsid w:val="00D81F33"/>
    <w:rsid w:val="00D82072"/>
    <w:rsid w:val="00D82450"/>
    <w:rsid w:val="00D825E3"/>
    <w:rsid w:val="00D83688"/>
    <w:rsid w:val="00D91265"/>
    <w:rsid w:val="00D924AB"/>
    <w:rsid w:val="00D92751"/>
    <w:rsid w:val="00D92EFD"/>
    <w:rsid w:val="00D94804"/>
    <w:rsid w:val="00D94D8F"/>
    <w:rsid w:val="00D95293"/>
    <w:rsid w:val="00D95E77"/>
    <w:rsid w:val="00D967EA"/>
    <w:rsid w:val="00DA11E0"/>
    <w:rsid w:val="00DA1328"/>
    <w:rsid w:val="00DA155B"/>
    <w:rsid w:val="00DA2A89"/>
    <w:rsid w:val="00DA4AE2"/>
    <w:rsid w:val="00DB162E"/>
    <w:rsid w:val="00DB1F65"/>
    <w:rsid w:val="00DB3009"/>
    <w:rsid w:val="00DB3445"/>
    <w:rsid w:val="00DB4587"/>
    <w:rsid w:val="00DB4889"/>
    <w:rsid w:val="00DB4BAE"/>
    <w:rsid w:val="00DB53F3"/>
    <w:rsid w:val="00DB65B9"/>
    <w:rsid w:val="00DB662E"/>
    <w:rsid w:val="00DB69A6"/>
    <w:rsid w:val="00DB72EC"/>
    <w:rsid w:val="00DB7C91"/>
    <w:rsid w:val="00DB7FF8"/>
    <w:rsid w:val="00DC0734"/>
    <w:rsid w:val="00DC08B1"/>
    <w:rsid w:val="00DC09EF"/>
    <w:rsid w:val="00DC116A"/>
    <w:rsid w:val="00DC184B"/>
    <w:rsid w:val="00DC5D60"/>
    <w:rsid w:val="00DC7236"/>
    <w:rsid w:val="00DD05E9"/>
    <w:rsid w:val="00DD0E1D"/>
    <w:rsid w:val="00DD1906"/>
    <w:rsid w:val="00DD2134"/>
    <w:rsid w:val="00DD2F96"/>
    <w:rsid w:val="00DD3BE8"/>
    <w:rsid w:val="00DD4058"/>
    <w:rsid w:val="00DD45C9"/>
    <w:rsid w:val="00DD5EC0"/>
    <w:rsid w:val="00DD6E24"/>
    <w:rsid w:val="00DE0266"/>
    <w:rsid w:val="00DE230B"/>
    <w:rsid w:val="00DE3F89"/>
    <w:rsid w:val="00DE4166"/>
    <w:rsid w:val="00DE4168"/>
    <w:rsid w:val="00DE42BB"/>
    <w:rsid w:val="00DE43BF"/>
    <w:rsid w:val="00DE5003"/>
    <w:rsid w:val="00DE609B"/>
    <w:rsid w:val="00DE67F5"/>
    <w:rsid w:val="00DE684F"/>
    <w:rsid w:val="00DE6A16"/>
    <w:rsid w:val="00DE76DB"/>
    <w:rsid w:val="00DF11B3"/>
    <w:rsid w:val="00DF16B0"/>
    <w:rsid w:val="00DF2830"/>
    <w:rsid w:val="00DF4315"/>
    <w:rsid w:val="00DF43DA"/>
    <w:rsid w:val="00DF4592"/>
    <w:rsid w:val="00DF4711"/>
    <w:rsid w:val="00DF53F7"/>
    <w:rsid w:val="00DF5CCF"/>
    <w:rsid w:val="00DF6488"/>
    <w:rsid w:val="00DF7595"/>
    <w:rsid w:val="00E00E04"/>
    <w:rsid w:val="00E028C1"/>
    <w:rsid w:val="00E02ED5"/>
    <w:rsid w:val="00E03944"/>
    <w:rsid w:val="00E05ACD"/>
    <w:rsid w:val="00E05C79"/>
    <w:rsid w:val="00E07701"/>
    <w:rsid w:val="00E1307F"/>
    <w:rsid w:val="00E13B44"/>
    <w:rsid w:val="00E140B7"/>
    <w:rsid w:val="00E143A9"/>
    <w:rsid w:val="00E14976"/>
    <w:rsid w:val="00E16C3E"/>
    <w:rsid w:val="00E202D8"/>
    <w:rsid w:val="00E22215"/>
    <w:rsid w:val="00E23765"/>
    <w:rsid w:val="00E24CFF"/>
    <w:rsid w:val="00E256BF"/>
    <w:rsid w:val="00E30397"/>
    <w:rsid w:val="00E31E67"/>
    <w:rsid w:val="00E34D37"/>
    <w:rsid w:val="00E35182"/>
    <w:rsid w:val="00E3545F"/>
    <w:rsid w:val="00E35807"/>
    <w:rsid w:val="00E42863"/>
    <w:rsid w:val="00E44969"/>
    <w:rsid w:val="00E44A97"/>
    <w:rsid w:val="00E4537A"/>
    <w:rsid w:val="00E45E6A"/>
    <w:rsid w:val="00E466B6"/>
    <w:rsid w:val="00E46DCC"/>
    <w:rsid w:val="00E50EAC"/>
    <w:rsid w:val="00E512FE"/>
    <w:rsid w:val="00E52BC1"/>
    <w:rsid w:val="00E53C09"/>
    <w:rsid w:val="00E53F5C"/>
    <w:rsid w:val="00E54262"/>
    <w:rsid w:val="00E54544"/>
    <w:rsid w:val="00E54972"/>
    <w:rsid w:val="00E55AD8"/>
    <w:rsid w:val="00E56865"/>
    <w:rsid w:val="00E57996"/>
    <w:rsid w:val="00E60AF9"/>
    <w:rsid w:val="00E60BE1"/>
    <w:rsid w:val="00E62083"/>
    <w:rsid w:val="00E6228A"/>
    <w:rsid w:val="00E62D41"/>
    <w:rsid w:val="00E6380E"/>
    <w:rsid w:val="00E63C6C"/>
    <w:rsid w:val="00E6405B"/>
    <w:rsid w:val="00E64C69"/>
    <w:rsid w:val="00E65331"/>
    <w:rsid w:val="00E65718"/>
    <w:rsid w:val="00E6604B"/>
    <w:rsid w:val="00E66373"/>
    <w:rsid w:val="00E66B10"/>
    <w:rsid w:val="00E66DC9"/>
    <w:rsid w:val="00E6750B"/>
    <w:rsid w:val="00E678A2"/>
    <w:rsid w:val="00E6791B"/>
    <w:rsid w:val="00E7001B"/>
    <w:rsid w:val="00E70C9D"/>
    <w:rsid w:val="00E72C84"/>
    <w:rsid w:val="00E72FC0"/>
    <w:rsid w:val="00E75044"/>
    <w:rsid w:val="00E7667C"/>
    <w:rsid w:val="00E77047"/>
    <w:rsid w:val="00E774FD"/>
    <w:rsid w:val="00E77705"/>
    <w:rsid w:val="00E80235"/>
    <w:rsid w:val="00E812D0"/>
    <w:rsid w:val="00E8171F"/>
    <w:rsid w:val="00E818AC"/>
    <w:rsid w:val="00E81B5D"/>
    <w:rsid w:val="00E81D34"/>
    <w:rsid w:val="00E83380"/>
    <w:rsid w:val="00E835AD"/>
    <w:rsid w:val="00E83633"/>
    <w:rsid w:val="00E8366C"/>
    <w:rsid w:val="00E84ECD"/>
    <w:rsid w:val="00E853EE"/>
    <w:rsid w:val="00E866B7"/>
    <w:rsid w:val="00E866DA"/>
    <w:rsid w:val="00E93039"/>
    <w:rsid w:val="00E94CD4"/>
    <w:rsid w:val="00E96C6F"/>
    <w:rsid w:val="00E97F2F"/>
    <w:rsid w:val="00EA11C1"/>
    <w:rsid w:val="00EA170D"/>
    <w:rsid w:val="00EA1D3C"/>
    <w:rsid w:val="00EA3CC5"/>
    <w:rsid w:val="00EA428E"/>
    <w:rsid w:val="00EA6340"/>
    <w:rsid w:val="00EB0AED"/>
    <w:rsid w:val="00EB0B36"/>
    <w:rsid w:val="00EB103B"/>
    <w:rsid w:val="00EB20AD"/>
    <w:rsid w:val="00EB255F"/>
    <w:rsid w:val="00EB2D53"/>
    <w:rsid w:val="00EB3438"/>
    <w:rsid w:val="00EB4267"/>
    <w:rsid w:val="00EB48F9"/>
    <w:rsid w:val="00EB4DD9"/>
    <w:rsid w:val="00EB7C72"/>
    <w:rsid w:val="00EC059C"/>
    <w:rsid w:val="00EC0A70"/>
    <w:rsid w:val="00EC3284"/>
    <w:rsid w:val="00EC5BA6"/>
    <w:rsid w:val="00EC771E"/>
    <w:rsid w:val="00EC78A3"/>
    <w:rsid w:val="00ED798A"/>
    <w:rsid w:val="00EE016F"/>
    <w:rsid w:val="00EE0251"/>
    <w:rsid w:val="00EE2A58"/>
    <w:rsid w:val="00EE35A5"/>
    <w:rsid w:val="00EE52E1"/>
    <w:rsid w:val="00EE5849"/>
    <w:rsid w:val="00EE7F76"/>
    <w:rsid w:val="00EF01CA"/>
    <w:rsid w:val="00EF1102"/>
    <w:rsid w:val="00EF1378"/>
    <w:rsid w:val="00EF2AD8"/>
    <w:rsid w:val="00EF3291"/>
    <w:rsid w:val="00EF4461"/>
    <w:rsid w:val="00EF68BF"/>
    <w:rsid w:val="00EF7C33"/>
    <w:rsid w:val="00F00800"/>
    <w:rsid w:val="00F01E13"/>
    <w:rsid w:val="00F0376B"/>
    <w:rsid w:val="00F04394"/>
    <w:rsid w:val="00F05559"/>
    <w:rsid w:val="00F0596C"/>
    <w:rsid w:val="00F06091"/>
    <w:rsid w:val="00F0697E"/>
    <w:rsid w:val="00F07867"/>
    <w:rsid w:val="00F07F8B"/>
    <w:rsid w:val="00F1011F"/>
    <w:rsid w:val="00F11DE9"/>
    <w:rsid w:val="00F143AE"/>
    <w:rsid w:val="00F152DF"/>
    <w:rsid w:val="00F175EE"/>
    <w:rsid w:val="00F17EF1"/>
    <w:rsid w:val="00F22312"/>
    <w:rsid w:val="00F223FA"/>
    <w:rsid w:val="00F23B36"/>
    <w:rsid w:val="00F2437D"/>
    <w:rsid w:val="00F256A9"/>
    <w:rsid w:val="00F26131"/>
    <w:rsid w:val="00F265AD"/>
    <w:rsid w:val="00F26C42"/>
    <w:rsid w:val="00F30A8B"/>
    <w:rsid w:val="00F310E1"/>
    <w:rsid w:val="00F3161A"/>
    <w:rsid w:val="00F32D3C"/>
    <w:rsid w:val="00F3493F"/>
    <w:rsid w:val="00F34E5E"/>
    <w:rsid w:val="00F351DF"/>
    <w:rsid w:val="00F3526D"/>
    <w:rsid w:val="00F35F8D"/>
    <w:rsid w:val="00F377E5"/>
    <w:rsid w:val="00F378A0"/>
    <w:rsid w:val="00F40240"/>
    <w:rsid w:val="00F43CB8"/>
    <w:rsid w:val="00F448A8"/>
    <w:rsid w:val="00F45D54"/>
    <w:rsid w:val="00F46B1D"/>
    <w:rsid w:val="00F46B67"/>
    <w:rsid w:val="00F52239"/>
    <w:rsid w:val="00F52876"/>
    <w:rsid w:val="00F530AE"/>
    <w:rsid w:val="00F53270"/>
    <w:rsid w:val="00F559C3"/>
    <w:rsid w:val="00F5615B"/>
    <w:rsid w:val="00F57722"/>
    <w:rsid w:val="00F619A4"/>
    <w:rsid w:val="00F63458"/>
    <w:rsid w:val="00F6396B"/>
    <w:rsid w:val="00F639B5"/>
    <w:rsid w:val="00F63AA2"/>
    <w:rsid w:val="00F6428E"/>
    <w:rsid w:val="00F65B86"/>
    <w:rsid w:val="00F66B15"/>
    <w:rsid w:val="00F66BF6"/>
    <w:rsid w:val="00F677FD"/>
    <w:rsid w:val="00F702C0"/>
    <w:rsid w:val="00F713C5"/>
    <w:rsid w:val="00F72512"/>
    <w:rsid w:val="00F7255E"/>
    <w:rsid w:val="00F72BD8"/>
    <w:rsid w:val="00F734C3"/>
    <w:rsid w:val="00F7517E"/>
    <w:rsid w:val="00F76DFD"/>
    <w:rsid w:val="00F807A0"/>
    <w:rsid w:val="00F81532"/>
    <w:rsid w:val="00F816E6"/>
    <w:rsid w:val="00F841AD"/>
    <w:rsid w:val="00F843D6"/>
    <w:rsid w:val="00F862B0"/>
    <w:rsid w:val="00F91EBC"/>
    <w:rsid w:val="00F92074"/>
    <w:rsid w:val="00F920C2"/>
    <w:rsid w:val="00F92619"/>
    <w:rsid w:val="00F92A6D"/>
    <w:rsid w:val="00F92D77"/>
    <w:rsid w:val="00F93A5D"/>
    <w:rsid w:val="00F954B5"/>
    <w:rsid w:val="00F959D1"/>
    <w:rsid w:val="00FA0D7A"/>
    <w:rsid w:val="00FA1835"/>
    <w:rsid w:val="00FA2445"/>
    <w:rsid w:val="00FA38C8"/>
    <w:rsid w:val="00FA407B"/>
    <w:rsid w:val="00FA41F6"/>
    <w:rsid w:val="00FA521A"/>
    <w:rsid w:val="00FA5780"/>
    <w:rsid w:val="00FA58FC"/>
    <w:rsid w:val="00FA676E"/>
    <w:rsid w:val="00FA6B51"/>
    <w:rsid w:val="00FA7CA6"/>
    <w:rsid w:val="00FA7E3F"/>
    <w:rsid w:val="00FB04B4"/>
    <w:rsid w:val="00FB086E"/>
    <w:rsid w:val="00FB088F"/>
    <w:rsid w:val="00FB13D2"/>
    <w:rsid w:val="00FB1D08"/>
    <w:rsid w:val="00FB1D27"/>
    <w:rsid w:val="00FB277B"/>
    <w:rsid w:val="00FB403C"/>
    <w:rsid w:val="00FC0F8E"/>
    <w:rsid w:val="00FC1BF9"/>
    <w:rsid w:val="00FC29A1"/>
    <w:rsid w:val="00FC45EF"/>
    <w:rsid w:val="00FC4DE7"/>
    <w:rsid w:val="00FC500A"/>
    <w:rsid w:val="00FC5035"/>
    <w:rsid w:val="00FC5F5C"/>
    <w:rsid w:val="00FC6A81"/>
    <w:rsid w:val="00FC6C11"/>
    <w:rsid w:val="00FC6E9D"/>
    <w:rsid w:val="00FC778E"/>
    <w:rsid w:val="00FC7D3A"/>
    <w:rsid w:val="00FD0134"/>
    <w:rsid w:val="00FD11A3"/>
    <w:rsid w:val="00FD22AF"/>
    <w:rsid w:val="00FD2413"/>
    <w:rsid w:val="00FD2B39"/>
    <w:rsid w:val="00FD3BCD"/>
    <w:rsid w:val="00FE13B0"/>
    <w:rsid w:val="00FE35C6"/>
    <w:rsid w:val="00FE458D"/>
    <w:rsid w:val="00FE5DDE"/>
    <w:rsid w:val="00FE75D1"/>
    <w:rsid w:val="00FE7627"/>
    <w:rsid w:val="00FF1A45"/>
    <w:rsid w:val="00FF1FF7"/>
    <w:rsid w:val="00FF2DC3"/>
    <w:rsid w:val="00FF4173"/>
    <w:rsid w:val="00FF5262"/>
    <w:rsid w:val="00FF5943"/>
    <w:rsid w:val="00FF5A73"/>
    <w:rsid w:val="00FF6C73"/>
    <w:rsid w:val="00FF7E17"/>
    <w:rsid w:val="018E7819"/>
    <w:rsid w:val="01D51113"/>
    <w:rsid w:val="023A2E2C"/>
    <w:rsid w:val="0339199B"/>
    <w:rsid w:val="035C6341"/>
    <w:rsid w:val="03776CFE"/>
    <w:rsid w:val="03815C1E"/>
    <w:rsid w:val="04CF481B"/>
    <w:rsid w:val="05516998"/>
    <w:rsid w:val="055238A3"/>
    <w:rsid w:val="05776536"/>
    <w:rsid w:val="059C3DC1"/>
    <w:rsid w:val="06164F56"/>
    <w:rsid w:val="08026668"/>
    <w:rsid w:val="085F0594"/>
    <w:rsid w:val="08AD4124"/>
    <w:rsid w:val="09E21FE2"/>
    <w:rsid w:val="0A143D51"/>
    <w:rsid w:val="0A7F09E6"/>
    <w:rsid w:val="0AAC68B2"/>
    <w:rsid w:val="0ADC7583"/>
    <w:rsid w:val="0B4C367F"/>
    <w:rsid w:val="0B95651A"/>
    <w:rsid w:val="0D18578C"/>
    <w:rsid w:val="0D6358AB"/>
    <w:rsid w:val="0D77267A"/>
    <w:rsid w:val="0DB241E0"/>
    <w:rsid w:val="0DD77445"/>
    <w:rsid w:val="0DEC7259"/>
    <w:rsid w:val="0E994293"/>
    <w:rsid w:val="0EAB697C"/>
    <w:rsid w:val="0EE053D2"/>
    <w:rsid w:val="0EED1247"/>
    <w:rsid w:val="0F6E581A"/>
    <w:rsid w:val="11653413"/>
    <w:rsid w:val="11DA4319"/>
    <w:rsid w:val="124E2F7E"/>
    <w:rsid w:val="12B00485"/>
    <w:rsid w:val="13B1655E"/>
    <w:rsid w:val="13E40294"/>
    <w:rsid w:val="153D1B8E"/>
    <w:rsid w:val="16145045"/>
    <w:rsid w:val="1793394F"/>
    <w:rsid w:val="18830246"/>
    <w:rsid w:val="19D90F8F"/>
    <w:rsid w:val="1A1270E3"/>
    <w:rsid w:val="1A212CF6"/>
    <w:rsid w:val="1B0E5A7A"/>
    <w:rsid w:val="1B14193F"/>
    <w:rsid w:val="1D2E512B"/>
    <w:rsid w:val="1F164BA3"/>
    <w:rsid w:val="1F5A0134"/>
    <w:rsid w:val="1F7D602E"/>
    <w:rsid w:val="20224CC1"/>
    <w:rsid w:val="213D1BBA"/>
    <w:rsid w:val="216A25EE"/>
    <w:rsid w:val="217253F2"/>
    <w:rsid w:val="21972EF0"/>
    <w:rsid w:val="222C5B99"/>
    <w:rsid w:val="22331AEF"/>
    <w:rsid w:val="22AC7E3E"/>
    <w:rsid w:val="23030608"/>
    <w:rsid w:val="23477B99"/>
    <w:rsid w:val="24000B0D"/>
    <w:rsid w:val="243B796B"/>
    <w:rsid w:val="24D33CEE"/>
    <w:rsid w:val="264D28A0"/>
    <w:rsid w:val="269B185D"/>
    <w:rsid w:val="27252BF1"/>
    <w:rsid w:val="27583DCB"/>
    <w:rsid w:val="278D6C65"/>
    <w:rsid w:val="288527C5"/>
    <w:rsid w:val="288A7E1F"/>
    <w:rsid w:val="2917568E"/>
    <w:rsid w:val="29D356AD"/>
    <w:rsid w:val="2B125A7B"/>
    <w:rsid w:val="2B263EBD"/>
    <w:rsid w:val="2B272CEB"/>
    <w:rsid w:val="2B545055"/>
    <w:rsid w:val="2C5A7AC4"/>
    <w:rsid w:val="2C662479"/>
    <w:rsid w:val="2CD81EA7"/>
    <w:rsid w:val="2D2A7C52"/>
    <w:rsid w:val="2E362BA9"/>
    <w:rsid w:val="2E830A4C"/>
    <w:rsid w:val="2EA73716"/>
    <w:rsid w:val="30327475"/>
    <w:rsid w:val="30E6493A"/>
    <w:rsid w:val="311F205E"/>
    <w:rsid w:val="331B6501"/>
    <w:rsid w:val="34C12764"/>
    <w:rsid w:val="34EA7A1E"/>
    <w:rsid w:val="34F85D8A"/>
    <w:rsid w:val="354A59C6"/>
    <w:rsid w:val="369F27AF"/>
    <w:rsid w:val="36A77C00"/>
    <w:rsid w:val="36D91C7E"/>
    <w:rsid w:val="376E0A72"/>
    <w:rsid w:val="3771091F"/>
    <w:rsid w:val="37983D42"/>
    <w:rsid w:val="37DD1DEF"/>
    <w:rsid w:val="37FA4319"/>
    <w:rsid w:val="381B4B51"/>
    <w:rsid w:val="38E45431"/>
    <w:rsid w:val="39E27207"/>
    <w:rsid w:val="3A0E3D7F"/>
    <w:rsid w:val="3A167C26"/>
    <w:rsid w:val="3ACA7BAC"/>
    <w:rsid w:val="3AF74FDF"/>
    <w:rsid w:val="3B0C58DD"/>
    <w:rsid w:val="3B515C19"/>
    <w:rsid w:val="3B975572"/>
    <w:rsid w:val="3C791504"/>
    <w:rsid w:val="3D511C43"/>
    <w:rsid w:val="3E0E0A1C"/>
    <w:rsid w:val="3E492A9D"/>
    <w:rsid w:val="3F6C4C64"/>
    <w:rsid w:val="3FA12AE7"/>
    <w:rsid w:val="3FDE185C"/>
    <w:rsid w:val="404E159F"/>
    <w:rsid w:val="406C4A22"/>
    <w:rsid w:val="438558DF"/>
    <w:rsid w:val="4473384A"/>
    <w:rsid w:val="448D16D6"/>
    <w:rsid w:val="44DD6308"/>
    <w:rsid w:val="450C5A74"/>
    <w:rsid w:val="4548009D"/>
    <w:rsid w:val="45A208FF"/>
    <w:rsid w:val="45D34A34"/>
    <w:rsid w:val="45E20462"/>
    <w:rsid w:val="465504C9"/>
    <w:rsid w:val="46830090"/>
    <w:rsid w:val="46D37977"/>
    <w:rsid w:val="479E5F2A"/>
    <w:rsid w:val="47A36E74"/>
    <w:rsid w:val="47E96303"/>
    <w:rsid w:val="48D06FFE"/>
    <w:rsid w:val="495F0E1B"/>
    <w:rsid w:val="4A2251C4"/>
    <w:rsid w:val="4B1B667D"/>
    <w:rsid w:val="4C2B1AAF"/>
    <w:rsid w:val="4C316C9E"/>
    <w:rsid w:val="4C9A38A4"/>
    <w:rsid w:val="4CB2108E"/>
    <w:rsid w:val="4D2964E3"/>
    <w:rsid w:val="4D9C7AE5"/>
    <w:rsid w:val="4DE3275E"/>
    <w:rsid w:val="4F2605B3"/>
    <w:rsid w:val="51F95026"/>
    <w:rsid w:val="52B93069"/>
    <w:rsid w:val="534E5FDD"/>
    <w:rsid w:val="539411E0"/>
    <w:rsid w:val="53CA72F5"/>
    <w:rsid w:val="54044825"/>
    <w:rsid w:val="54122549"/>
    <w:rsid w:val="541330D5"/>
    <w:rsid w:val="54746B86"/>
    <w:rsid w:val="54A91265"/>
    <w:rsid w:val="555E56FA"/>
    <w:rsid w:val="55C55442"/>
    <w:rsid w:val="55EC7130"/>
    <w:rsid w:val="569C630A"/>
    <w:rsid w:val="56D471B9"/>
    <w:rsid w:val="5741113E"/>
    <w:rsid w:val="58817EFF"/>
    <w:rsid w:val="59A321FB"/>
    <w:rsid w:val="5A037552"/>
    <w:rsid w:val="5ABC4DE1"/>
    <w:rsid w:val="5ACE46A6"/>
    <w:rsid w:val="5BEB233F"/>
    <w:rsid w:val="5BEF1B84"/>
    <w:rsid w:val="5C630B77"/>
    <w:rsid w:val="5C982E14"/>
    <w:rsid w:val="5CA60A2B"/>
    <w:rsid w:val="5CD851F3"/>
    <w:rsid w:val="5CDB0592"/>
    <w:rsid w:val="5D494E68"/>
    <w:rsid w:val="5DD4783F"/>
    <w:rsid w:val="5E423CC7"/>
    <w:rsid w:val="5E6E17AA"/>
    <w:rsid w:val="5EAE0BD4"/>
    <w:rsid w:val="5EF22C19"/>
    <w:rsid w:val="5F0720C0"/>
    <w:rsid w:val="5F0C1449"/>
    <w:rsid w:val="5F180B40"/>
    <w:rsid w:val="5F4762BC"/>
    <w:rsid w:val="5F477198"/>
    <w:rsid w:val="5F994D4B"/>
    <w:rsid w:val="60206B9C"/>
    <w:rsid w:val="61B91604"/>
    <w:rsid w:val="62557A34"/>
    <w:rsid w:val="62926B95"/>
    <w:rsid w:val="62FC61E6"/>
    <w:rsid w:val="631338FF"/>
    <w:rsid w:val="63EC6927"/>
    <w:rsid w:val="6470105F"/>
    <w:rsid w:val="64E90B6D"/>
    <w:rsid w:val="653C162C"/>
    <w:rsid w:val="653F163A"/>
    <w:rsid w:val="67110DC2"/>
    <w:rsid w:val="672A5E48"/>
    <w:rsid w:val="67B11F87"/>
    <w:rsid w:val="686D5EAE"/>
    <w:rsid w:val="68771BD2"/>
    <w:rsid w:val="69061E11"/>
    <w:rsid w:val="69123C78"/>
    <w:rsid w:val="691F6E62"/>
    <w:rsid w:val="6A0B5B1A"/>
    <w:rsid w:val="6A974BDB"/>
    <w:rsid w:val="6AD07D8E"/>
    <w:rsid w:val="6AFE2D65"/>
    <w:rsid w:val="6B0E00E5"/>
    <w:rsid w:val="6B3028A3"/>
    <w:rsid w:val="6B626C6F"/>
    <w:rsid w:val="6B65775B"/>
    <w:rsid w:val="6BE94F1F"/>
    <w:rsid w:val="6C353187"/>
    <w:rsid w:val="6D431148"/>
    <w:rsid w:val="6D532F72"/>
    <w:rsid w:val="6D7101EF"/>
    <w:rsid w:val="6E6E13D6"/>
    <w:rsid w:val="6F6873AE"/>
    <w:rsid w:val="6FAC6BCC"/>
    <w:rsid w:val="6FCE356B"/>
    <w:rsid w:val="701F4BD7"/>
    <w:rsid w:val="70926A15"/>
    <w:rsid w:val="70D32296"/>
    <w:rsid w:val="70E23ED0"/>
    <w:rsid w:val="715B1CF9"/>
    <w:rsid w:val="717413BA"/>
    <w:rsid w:val="72697ED9"/>
    <w:rsid w:val="729E0788"/>
    <w:rsid w:val="72D2080E"/>
    <w:rsid w:val="73412D47"/>
    <w:rsid w:val="739E71D2"/>
    <w:rsid w:val="740B754B"/>
    <w:rsid w:val="75E46B48"/>
    <w:rsid w:val="760A5DBE"/>
    <w:rsid w:val="766133B3"/>
    <w:rsid w:val="77857E65"/>
    <w:rsid w:val="78175A71"/>
    <w:rsid w:val="791D0378"/>
    <w:rsid w:val="7956473D"/>
    <w:rsid w:val="798126C5"/>
    <w:rsid w:val="79A228E7"/>
    <w:rsid w:val="7AB92791"/>
    <w:rsid w:val="7B614FBB"/>
    <w:rsid w:val="7BA46A5C"/>
    <w:rsid w:val="7C89160E"/>
    <w:rsid w:val="7CB849F5"/>
    <w:rsid w:val="7CB91D79"/>
    <w:rsid w:val="7CD1588E"/>
    <w:rsid w:val="7D50686A"/>
    <w:rsid w:val="7DA23B0D"/>
    <w:rsid w:val="7DD2140A"/>
    <w:rsid w:val="7E401073"/>
    <w:rsid w:val="7E532A16"/>
    <w:rsid w:val="7EC27EA3"/>
    <w:rsid w:val="7F8E3044"/>
    <w:rsid w:val="7FD40C10"/>
    <w:rsid w:val="7FDF6D63"/>
    <w:rsid w:val="DC1F267C"/>
    <w:rsid w:val="E77DB5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0" w:name="footnote text"/>
    <w:lsdException w:qFormat="1" w:uiPriority="99" w:semiHidden="0" w:name="annotation text"/>
    <w:lsdException w:qFormat="1"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99"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uiPriority="0" w:name="Body Text Indent 2"/>
    <w:lsdException w:qFormat="1" w:unhideWhenUsed="0" w:uiPriority="0" w:semiHidden="0" w:name="Body Text Indent 3"/>
    <w:lsdException w:uiPriority="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uiPriority="0" w:name="HTML Typewriter"/>
    <w:lsdException w:uiPriority="0" w:name="HTML Variable"/>
    <w:lsdException w:uiPriority="99"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99" w:semiHidden="0" w:name="Balloon Text"/>
    <w:lsdException w:qFormat="1" w:unhideWhenUsed="0" w:uiPriority="5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02"/>
    <w:qFormat/>
    <w:uiPriority w:val="9"/>
    <w:pPr>
      <w:spacing w:before="100" w:beforeAutospacing="1" w:after="100" w:afterAutospacing="1"/>
      <w:jc w:val="left"/>
      <w:outlineLvl w:val="0"/>
    </w:pPr>
    <w:rPr>
      <w:rFonts w:hint="eastAsia" w:ascii="宋体" w:hAnsi="宋体"/>
      <w:b/>
      <w:kern w:val="44"/>
      <w:sz w:val="48"/>
      <w:szCs w:val="48"/>
    </w:rPr>
  </w:style>
  <w:style w:type="paragraph" w:styleId="3">
    <w:name w:val="heading 2"/>
    <w:basedOn w:val="1"/>
    <w:next w:val="1"/>
    <w:link w:val="103"/>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104"/>
    <w:qFormat/>
    <w:uiPriority w:val="9"/>
    <w:pPr>
      <w:spacing w:before="100" w:beforeAutospacing="1" w:after="100" w:afterAutospacing="1"/>
      <w:jc w:val="left"/>
      <w:outlineLvl w:val="2"/>
    </w:pPr>
    <w:rPr>
      <w:rFonts w:hint="eastAsia" w:ascii="宋体" w:hAnsi="宋体"/>
      <w:b/>
      <w:kern w:val="0"/>
      <w:sz w:val="27"/>
      <w:szCs w:val="27"/>
    </w:rPr>
  </w:style>
  <w:style w:type="paragraph" w:styleId="5">
    <w:name w:val="heading 4"/>
    <w:basedOn w:val="1"/>
    <w:next w:val="1"/>
    <w:link w:val="105"/>
    <w:autoRedefine/>
    <w:qFormat/>
    <w:uiPriority w:val="9"/>
    <w:pPr>
      <w:keepNext/>
      <w:keepLines/>
      <w:spacing w:before="280" w:after="290" w:line="372" w:lineRule="auto"/>
      <w:outlineLvl w:val="3"/>
    </w:pPr>
    <w:rPr>
      <w:rFonts w:ascii="Arial" w:hAnsi="Arial" w:eastAsia="黑体"/>
      <w:b/>
      <w:sz w:val="28"/>
    </w:rPr>
  </w:style>
  <w:style w:type="character" w:default="1" w:styleId="38">
    <w:name w:val="Default Paragraph Font"/>
    <w:semiHidden/>
    <w:unhideWhenUsed/>
    <w:uiPriority w:val="1"/>
  </w:style>
  <w:style w:type="table" w:default="1" w:styleId="36">
    <w:name w:val="Normal Table"/>
    <w:semiHidden/>
    <w:unhideWhenUsed/>
    <w:uiPriority w:val="99"/>
    <w:tblPr>
      <w:tblCellMar>
        <w:top w:w="0" w:type="dxa"/>
        <w:left w:w="108" w:type="dxa"/>
        <w:bottom w:w="0" w:type="dxa"/>
        <w:right w:w="108" w:type="dxa"/>
      </w:tblCellMar>
    </w:tblPr>
  </w:style>
  <w:style w:type="paragraph" w:styleId="6">
    <w:name w:val="toc 7"/>
    <w:basedOn w:val="1"/>
    <w:next w:val="1"/>
    <w:qFormat/>
    <w:uiPriority w:val="39"/>
    <w:pPr>
      <w:ind w:left="1260"/>
      <w:jc w:val="left"/>
    </w:pPr>
    <w:rPr>
      <w:sz w:val="18"/>
      <w:szCs w:val="18"/>
    </w:rPr>
  </w:style>
  <w:style w:type="paragraph" w:styleId="7">
    <w:name w:val="Normal Indent"/>
    <w:basedOn w:val="1"/>
    <w:link w:val="115"/>
    <w:qFormat/>
    <w:uiPriority w:val="0"/>
    <w:pPr>
      <w:ind w:firstLine="420"/>
    </w:pPr>
    <w:rPr>
      <w:szCs w:val="20"/>
    </w:rPr>
  </w:style>
  <w:style w:type="paragraph" w:styleId="8">
    <w:name w:val="caption"/>
    <w:basedOn w:val="1"/>
    <w:next w:val="1"/>
    <w:autoRedefine/>
    <w:qFormat/>
    <w:uiPriority w:val="0"/>
    <w:rPr>
      <w:rFonts w:ascii="Arial" w:hAnsi="Arial" w:eastAsia="黑体" w:cs="Arial"/>
      <w:sz w:val="20"/>
      <w:szCs w:val="20"/>
    </w:rPr>
  </w:style>
  <w:style w:type="paragraph" w:styleId="9">
    <w:name w:val="Document Map"/>
    <w:basedOn w:val="1"/>
    <w:link w:val="98"/>
    <w:autoRedefine/>
    <w:unhideWhenUsed/>
    <w:qFormat/>
    <w:uiPriority w:val="0"/>
    <w:rPr>
      <w:rFonts w:ascii="宋体"/>
      <w:sz w:val="18"/>
      <w:szCs w:val="18"/>
    </w:rPr>
  </w:style>
  <w:style w:type="paragraph" w:styleId="10">
    <w:name w:val="annotation text"/>
    <w:basedOn w:val="1"/>
    <w:link w:val="95"/>
    <w:autoRedefine/>
    <w:unhideWhenUsed/>
    <w:qFormat/>
    <w:uiPriority w:val="99"/>
    <w:pPr>
      <w:jc w:val="left"/>
    </w:pPr>
  </w:style>
  <w:style w:type="paragraph" w:styleId="11">
    <w:name w:val="Body Text 3"/>
    <w:basedOn w:val="1"/>
    <w:link w:val="119"/>
    <w:autoRedefine/>
    <w:qFormat/>
    <w:uiPriority w:val="0"/>
    <w:pPr>
      <w:spacing w:after="120"/>
    </w:pPr>
    <w:rPr>
      <w:sz w:val="16"/>
      <w:szCs w:val="16"/>
    </w:rPr>
  </w:style>
  <w:style w:type="paragraph" w:styleId="12">
    <w:name w:val="Body Text"/>
    <w:basedOn w:val="1"/>
    <w:link w:val="120"/>
    <w:autoRedefine/>
    <w:qFormat/>
    <w:uiPriority w:val="0"/>
    <w:pPr>
      <w:spacing w:line="360" w:lineRule="auto"/>
    </w:pPr>
    <w:rPr>
      <w:szCs w:val="20"/>
    </w:rPr>
  </w:style>
  <w:style w:type="paragraph" w:styleId="13">
    <w:name w:val="Body Text Indent"/>
    <w:basedOn w:val="1"/>
    <w:link w:val="121"/>
    <w:autoRedefine/>
    <w:qFormat/>
    <w:uiPriority w:val="0"/>
    <w:pPr>
      <w:ind w:firstLine="830" w:firstLineChars="352"/>
    </w:pPr>
    <w:rPr>
      <w:rFonts w:ascii="仿宋_GB2312" w:eastAsia="仿宋_GB2312"/>
      <w:sz w:val="32"/>
      <w:szCs w:val="20"/>
    </w:rPr>
  </w:style>
  <w:style w:type="paragraph" w:styleId="14">
    <w:name w:val="toc 5"/>
    <w:basedOn w:val="1"/>
    <w:next w:val="1"/>
    <w:autoRedefine/>
    <w:qFormat/>
    <w:uiPriority w:val="39"/>
    <w:pPr>
      <w:ind w:left="840"/>
      <w:jc w:val="left"/>
    </w:pPr>
    <w:rPr>
      <w:sz w:val="18"/>
      <w:szCs w:val="18"/>
    </w:rPr>
  </w:style>
  <w:style w:type="paragraph" w:styleId="15">
    <w:name w:val="toc 3"/>
    <w:basedOn w:val="1"/>
    <w:next w:val="1"/>
    <w:autoRedefine/>
    <w:qFormat/>
    <w:uiPriority w:val="39"/>
    <w:pPr>
      <w:spacing w:line="300" w:lineRule="auto"/>
      <w:ind w:left="420"/>
      <w:jc w:val="left"/>
    </w:pPr>
    <w:rPr>
      <w:i/>
      <w:iCs/>
      <w:szCs w:val="20"/>
    </w:rPr>
  </w:style>
  <w:style w:type="paragraph" w:styleId="16">
    <w:name w:val="Plain Text"/>
    <w:basedOn w:val="1"/>
    <w:link w:val="97"/>
    <w:autoRedefine/>
    <w:qFormat/>
    <w:uiPriority w:val="0"/>
    <w:rPr>
      <w:rFonts w:ascii="宋体" w:hAnsi="Courier New"/>
      <w:kern w:val="0"/>
      <w:sz w:val="20"/>
      <w:szCs w:val="21"/>
    </w:rPr>
  </w:style>
  <w:style w:type="paragraph" w:styleId="17">
    <w:name w:val="toc 8"/>
    <w:basedOn w:val="1"/>
    <w:next w:val="1"/>
    <w:autoRedefine/>
    <w:qFormat/>
    <w:uiPriority w:val="39"/>
    <w:pPr>
      <w:ind w:left="1470"/>
      <w:jc w:val="left"/>
    </w:pPr>
    <w:rPr>
      <w:sz w:val="18"/>
      <w:szCs w:val="18"/>
    </w:rPr>
  </w:style>
  <w:style w:type="paragraph" w:styleId="18">
    <w:name w:val="Date"/>
    <w:basedOn w:val="1"/>
    <w:next w:val="1"/>
    <w:link w:val="106"/>
    <w:autoRedefine/>
    <w:qFormat/>
    <w:uiPriority w:val="0"/>
    <w:rPr>
      <w:rFonts w:ascii="Calibri" w:hAnsi="Calibri"/>
      <w:szCs w:val="20"/>
    </w:rPr>
  </w:style>
  <w:style w:type="paragraph" w:styleId="19">
    <w:name w:val="Balloon Text"/>
    <w:basedOn w:val="1"/>
    <w:link w:val="93"/>
    <w:autoRedefine/>
    <w:unhideWhenUsed/>
    <w:qFormat/>
    <w:uiPriority w:val="99"/>
    <w:rPr>
      <w:kern w:val="0"/>
      <w:sz w:val="18"/>
      <w:szCs w:val="18"/>
    </w:rPr>
  </w:style>
  <w:style w:type="paragraph" w:styleId="20">
    <w:name w:val="footer"/>
    <w:basedOn w:val="1"/>
    <w:link w:val="92"/>
    <w:autoRedefine/>
    <w:unhideWhenUsed/>
    <w:qFormat/>
    <w:uiPriority w:val="0"/>
    <w:pPr>
      <w:tabs>
        <w:tab w:val="center" w:pos="4153"/>
        <w:tab w:val="right" w:pos="8306"/>
      </w:tabs>
      <w:snapToGrid w:val="0"/>
      <w:jc w:val="left"/>
    </w:pPr>
    <w:rPr>
      <w:sz w:val="18"/>
      <w:szCs w:val="18"/>
    </w:rPr>
  </w:style>
  <w:style w:type="paragraph" w:styleId="21">
    <w:name w:val="header"/>
    <w:basedOn w:val="1"/>
    <w:link w:val="91"/>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22">
    <w:name w:val="toc 1"/>
    <w:basedOn w:val="1"/>
    <w:next w:val="1"/>
    <w:autoRedefine/>
    <w:qFormat/>
    <w:uiPriority w:val="39"/>
    <w:pPr>
      <w:spacing w:before="120" w:after="120" w:line="360" w:lineRule="auto"/>
      <w:jc w:val="left"/>
    </w:pPr>
    <w:rPr>
      <w:b/>
      <w:bCs/>
      <w:caps/>
      <w:szCs w:val="20"/>
    </w:rPr>
  </w:style>
  <w:style w:type="paragraph" w:styleId="23">
    <w:name w:val="toc 4"/>
    <w:basedOn w:val="1"/>
    <w:next w:val="1"/>
    <w:autoRedefine/>
    <w:qFormat/>
    <w:uiPriority w:val="39"/>
    <w:pPr>
      <w:ind w:left="630"/>
      <w:jc w:val="left"/>
    </w:pPr>
    <w:rPr>
      <w:sz w:val="18"/>
      <w:szCs w:val="18"/>
    </w:rPr>
  </w:style>
  <w:style w:type="paragraph" w:styleId="24">
    <w:name w:val="index heading"/>
    <w:basedOn w:val="1"/>
    <w:next w:val="25"/>
    <w:autoRedefine/>
    <w:qFormat/>
    <w:uiPriority w:val="0"/>
    <w:rPr>
      <w:szCs w:val="20"/>
    </w:rPr>
  </w:style>
  <w:style w:type="paragraph" w:styleId="25">
    <w:name w:val="index 1"/>
    <w:basedOn w:val="1"/>
    <w:next w:val="1"/>
    <w:autoRedefine/>
    <w:unhideWhenUsed/>
    <w:qFormat/>
    <w:uiPriority w:val="0"/>
    <w:rPr>
      <w:rFonts w:ascii="Calibri" w:hAnsi="Calibri"/>
    </w:rPr>
  </w:style>
  <w:style w:type="paragraph" w:styleId="26">
    <w:name w:val="toc 6"/>
    <w:basedOn w:val="1"/>
    <w:next w:val="1"/>
    <w:autoRedefine/>
    <w:qFormat/>
    <w:uiPriority w:val="39"/>
    <w:pPr>
      <w:ind w:left="1050"/>
      <w:jc w:val="left"/>
    </w:pPr>
    <w:rPr>
      <w:sz w:val="18"/>
      <w:szCs w:val="18"/>
    </w:rPr>
  </w:style>
  <w:style w:type="paragraph" w:styleId="27">
    <w:name w:val="Body Text Indent 3"/>
    <w:basedOn w:val="1"/>
    <w:link w:val="122"/>
    <w:autoRedefine/>
    <w:qFormat/>
    <w:uiPriority w:val="0"/>
    <w:pPr>
      <w:spacing w:line="360" w:lineRule="auto"/>
      <w:ind w:firstLine="420" w:firstLineChars="200"/>
    </w:pPr>
    <w:rPr>
      <w:szCs w:val="20"/>
    </w:rPr>
  </w:style>
  <w:style w:type="paragraph" w:styleId="28">
    <w:name w:val="toc 2"/>
    <w:basedOn w:val="1"/>
    <w:next w:val="1"/>
    <w:autoRedefine/>
    <w:qFormat/>
    <w:uiPriority w:val="39"/>
    <w:pPr>
      <w:spacing w:line="360" w:lineRule="auto"/>
      <w:ind w:left="210"/>
      <w:jc w:val="left"/>
    </w:pPr>
    <w:rPr>
      <w:smallCaps/>
      <w:szCs w:val="20"/>
    </w:rPr>
  </w:style>
  <w:style w:type="paragraph" w:styleId="29">
    <w:name w:val="toc 9"/>
    <w:basedOn w:val="1"/>
    <w:next w:val="1"/>
    <w:autoRedefine/>
    <w:qFormat/>
    <w:uiPriority w:val="39"/>
    <w:pPr>
      <w:ind w:left="1680"/>
      <w:jc w:val="left"/>
    </w:pPr>
    <w:rPr>
      <w:sz w:val="18"/>
      <w:szCs w:val="18"/>
    </w:rPr>
  </w:style>
  <w:style w:type="paragraph" w:styleId="30">
    <w:name w:val="Body Text 2"/>
    <w:basedOn w:val="1"/>
    <w:link w:val="128"/>
    <w:autoRedefine/>
    <w:qFormat/>
    <w:uiPriority w:val="0"/>
    <w:pPr>
      <w:spacing w:after="120" w:line="480" w:lineRule="auto"/>
    </w:pPr>
  </w:style>
  <w:style w:type="paragraph" w:styleId="31">
    <w:name w:val="HTML Preformatted"/>
    <w:basedOn w:val="1"/>
    <w:link w:val="110"/>
    <w:autoRedefine/>
    <w:qFormat/>
    <w:uiPriority w:val="99"/>
    <w:pPr>
      <w:widowControl/>
      <w:jc w:val="left"/>
    </w:pPr>
    <w:rPr>
      <w:rFonts w:ascii="黑体" w:hAnsi="Courier New" w:eastAsia="黑体" w:cs="Courier New"/>
      <w:kern w:val="0"/>
      <w:sz w:val="20"/>
      <w:szCs w:val="21"/>
    </w:rPr>
  </w:style>
  <w:style w:type="paragraph" w:styleId="32">
    <w:name w:val="Normal (Web)"/>
    <w:basedOn w:val="1"/>
    <w:autoRedefine/>
    <w:qFormat/>
    <w:uiPriority w:val="0"/>
    <w:pPr>
      <w:widowControl/>
      <w:spacing w:beforeAutospacing="1" w:afterAutospacing="1"/>
      <w:jc w:val="left"/>
    </w:pPr>
    <w:rPr>
      <w:rFonts w:ascii="宋体" w:hAnsi="宋体"/>
      <w:color w:val="000000"/>
      <w:kern w:val="0"/>
      <w:sz w:val="24"/>
    </w:rPr>
  </w:style>
  <w:style w:type="paragraph" w:styleId="33">
    <w:name w:val="Title"/>
    <w:basedOn w:val="1"/>
    <w:link w:val="118"/>
    <w:autoRedefine/>
    <w:qFormat/>
    <w:uiPriority w:val="0"/>
    <w:pPr>
      <w:spacing w:before="240" w:after="60"/>
      <w:jc w:val="center"/>
      <w:outlineLvl w:val="0"/>
    </w:pPr>
    <w:rPr>
      <w:rFonts w:ascii="Arial" w:hAnsi="Arial" w:cs="Arial"/>
      <w:b/>
      <w:bCs/>
      <w:sz w:val="32"/>
      <w:szCs w:val="32"/>
    </w:rPr>
  </w:style>
  <w:style w:type="paragraph" w:styleId="34">
    <w:name w:val="annotation subject"/>
    <w:basedOn w:val="10"/>
    <w:next w:val="10"/>
    <w:link w:val="96"/>
    <w:autoRedefine/>
    <w:unhideWhenUsed/>
    <w:qFormat/>
    <w:uiPriority w:val="0"/>
    <w:rPr>
      <w:b/>
      <w:bCs/>
    </w:rPr>
  </w:style>
  <w:style w:type="paragraph" w:styleId="35">
    <w:name w:val="Body Text First Indent"/>
    <w:basedOn w:val="12"/>
    <w:link w:val="123"/>
    <w:autoRedefine/>
    <w:qFormat/>
    <w:uiPriority w:val="0"/>
    <w:pPr>
      <w:spacing w:after="120" w:line="240" w:lineRule="auto"/>
      <w:ind w:firstLine="420" w:firstLineChars="100"/>
    </w:pPr>
    <w:rPr>
      <w:szCs w:val="24"/>
    </w:rPr>
  </w:style>
  <w:style w:type="table" w:styleId="37">
    <w:name w:val="Table Grid"/>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autoRedefine/>
    <w:qFormat/>
    <w:uiPriority w:val="0"/>
    <w:rPr>
      <w:b/>
    </w:rPr>
  </w:style>
  <w:style w:type="character" w:styleId="40">
    <w:name w:val="page number"/>
    <w:basedOn w:val="38"/>
    <w:autoRedefine/>
    <w:qFormat/>
    <w:uiPriority w:val="0"/>
  </w:style>
  <w:style w:type="character" w:styleId="41">
    <w:name w:val="FollowedHyperlink"/>
    <w:autoRedefine/>
    <w:unhideWhenUsed/>
    <w:qFormat/>
    <w:uiPriority w:val="99"/>
    <w:rPr>
      <w:color w:val="954F72"/>
      <w:u w:val="single"/>
    </w:rPr>
  </w:style>
  <w:style w:type="character" w:styleId="42">
    <w:name w:val="Hyperlink"/>
    <w:autoRedefine/>
    <w:unhideWhenUsed/>
    <w:qFormat/>
    <w:uiPriority w:val="99"/>
    <w:rPr>
      <w:color w:val="0000FF"/>
      <w:u w:val="single"/>
    </w:rPr>
  </w:style>
  <w:style w:type="character" w:styleId="43">
    <w:name w:val="annotation reference"/>
    <w:autoRedefine/>
    <w:unhideWhenUsed/>
    <w:qFormat/>
    <w:uiPriority w:val="99"/>
    <w:rPr>
      <w:sz w:val="21"/>
      <w:szCs w:val="21"/>
    </w:rPr>
  </w:style>
  <w:style w:type="paragraph" w:customStyle="1" w:styleId="44">
    <w:name w:val="列表段落1"/>
    <w:basedOn w:val="1"/>
    <w:link w:val="94"/>
    <w:autoRedefine/>
    <w:qFormat/>
    <w:uiPriority w:val="0"/>
    <w:pPr>
      <w:ind w:firstLine="420" w:firstLineChars="200"/>
    </w:pPr>
  </w:style>
  <w:style w:type="paragraph" w:customStyle="1" w:styleId="45">
    <w:name w:val="列出段落1"/>
    <w:basedOn w:val="1"/>
    <w:autoRedefine/>
    <w:qFormat/>
    <w:uiPriority w:val="0"/>
    <w:pPr>
      <w:ind w:firstLine="420" w:firstLineChars="200"/>
    </w:pPr>
  </w:style>
  <w:style w:type="paragraph" w:customStyle="1" w:styleId="46">
    <w:name w:val="正文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纯文本1"/>
    <w:basedOn w:val="1"/>
    <w:link w:val="101"/>
    <w:autoRedefine/>
    <w:qFormat/>
    <w:uiPriority w:val="0"/>
    <w:rPr>
      <w:rFonts w:ascii="宋体" w:hAnsi="Courier New"/>
      <w:kern w:val="0"/>
      <w:sz w:val="20"/>
      <w:szCs w:val="20"/>
    </w:rPr>
  </w:style>
  <w:style w:type="paragraph" w:customStyle="1" w:styleId="48">
    <w:name w:val="列表段落2"/>
    <w:basedOn w:val="1"/>
    <w:autoRedefine/>
    <w:qFormat/>
    <w:uiPriority w:val="34"/>
    <w:pPr>
      <w:numPr>
        <w:ilvl w:val="0"/>
        <w:numId w:val="1"/>
      </w:numPr>
      <w:spacing w:line="360" w:lineRule="auto"/>
    </w:pPr>
  </w:style>
  <w:style w:type="paragraph" w:customStyle="1" w:styleId="49">
    <w:name w:val="表格文字"/>
    <w:basedOn w:val="1"/>
    <w:autoRedefine/>
    <w:qFormat/>
    <w:uiPriority w:val="0"/>
    <w:pPr>
      <w:jc w:val="left"/>
    </w:pPr>
    <w:rPr>
      <w:rFonts w:ascii="Calibri" w:hAnsi="Calibri"/>
      <w:bCs/>
      <w:spacing w:val="10"/>
      <w:kern w:val="0"/>
      <w:sz w:val="24"/>
      <w:szCs w:val="20"/>
    </w:rPr>
  </w:style>
  <w:style w:type="paragraph" w:customStyle="1" w:styleId="50">
    <w:name w:val="正文1"/>
    <w:autoRedefine/>
    <w:qFormat/>
    <w:uiPriority w:val="0"/>
    <w:pPr>
      <w:widowControl w:val="0"/>
      <w:jc w:val="both"/>
    </w:pPr>
    <w:rPr>
      <w:rFonts w:hint="eastAsia" w:ascii="Calibri" w:hAnsi="Calibri" w:eastAsia="宋体" w:cs="Times New Roman"/>
      <w:kern w:val="2"/>
      <w:sz w:val="21"/>
      <w:lang w:val="en-US" w:eastAsia="zh-CN" w:bidi="ar-SA"/>
    </w:rPr>
  </w:style>
  <w:style w:type="paragraph" w:customStyle="1" w:styleId="51">
    <w:name w:val="Blockquote"/>
    <w:basedOn w:val="1"/>
    <w:autoRedefine/>
    <w:qFormat/>
    <w:uiPriority w:val="0"/>
    <w:pPr>
      <w:autoSpaceDE w:val="0"/>
      <w:autoSpaceDN w:val="0"/>
      <w:adjustRightInd w:val="0"/>
      <w:spacing w:before="100" w:after="100"/>
      <w:ind w:left="360" w:right="360"/>
      <w:jc w:val="left"/>
    </w:pPr>
    <w:rPr>
      <w:rFonts w:ascii="Calibri" w:hAnsi="Calibri"/>
      <w:kern w:val="0"/>
      <w:sz w:val="24"/>
      <w:szCs w:val="20"/>
    </w:rPr>
  </w:style>
  <w:style w:type="paragraph" w:customStyle="1" w:styleId="52">
    <w:name w:val="msonormal"/>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53">
    <w:name w:val="font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54">
    <w:name w:val="xl69"/>
    <w:basedOn w:val="1"/>
    <w:autoRedefine/>
    <w:qFormat/>
    <w:uiPriority w:val="0"/>
    <w:pPr>
      <w:widowControl/>
      <w:spacing w:before="100" w:beforeAutospacing="1" w:after="100" w:afterAutospacing="1"/>
      <w:jc w:val="center"/>
    </w:pPr>
    <w:rPr>
      <w:rFonts w:ascii="宋体" w:hAnsi="宋体" w:cs="宋体"/>
      <w:kern w:val="0"/>
      <w:sz w:val="20"/>
      <w:szCs w:val="20"/>
    </w:rPr>
  </w:style>
  <w:style w:type="paragraph" w:customStyle="1" w:styleId="55">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6">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57">
    <w:name w:val="Char Char2 Char"/>
    <w:basedOn w:val="1"/>
    <w:autoRedefine/>
    <w:qFormat/>
    <w:uiPriority w:val="0"/>
    <w:rPr>
      <w:rFonts w:ascii="宋体" w:hAnsi="宋体"/>
      <w:b/>
      <w:sz w:val="28"/>
      <w:szCs w:val="28"/>
    </w:rPr>
  </w:style>
  <w:style w:type="paragraph" w:customStyle="1" w:styleId="58">
    <w:name w:val="Char Char Char Char Char Char Char Char Char Char"/>
    <w:basedOn w:val="1"/>
    <w:autoRedefine/>
    <w:qFormat/>
    <w:uiPriority w:val="0"/>
    <w:rPr>
      <w:rFonts w:ascii="Tahoma" w:hAnsi="Tahoma"/>
      <w:sz w:val="24"/>
      <w:szCs w:val="20"/>
    </w:rPr>
  </w:style>
  <w:style w:type="paragraph" w:customStyle="1" w:styleId="59">
    <w:name w:val="Char Char Char Char Char Char Char"/>
    <w:basedOn w:val="1"/>
    <w:autoRedefine/>
    <w:qFormat/>
    <w:uiPriority w:val="0"/>
    <w:pPr>
      <w:tabs>
        <w:tab w:val="left" w:pos="425"/>
      </w:tabs>
      <w:ind w:left="425" w:hanging="425"/>
    </w:pPr>
    <w:rPr>
      <w:rFonts w:eastAsia="仿宋_GB2312"/>
      <w:kern w:val="24"/>
      <w:sz w:val="24"/>
    </w:rPr>
  </w:style>
  <w:style w:type="paragraph" w:customStyle="1" w:styleId="60">
    <w:name w:val="table"/>
    <w:basedOn w:val="1"/>
    <w:autoRedefine/>
    <w:qFormat/>
    <w:uiPriority w:val="0"/>
    <w:pPr>
      <w:widowControl/>
      <w:overflowPunct w:val="0"/>
      <w:autoSpaceDE w:val="0"/>
      <w:autoSpaceDN w:val="0"/>
      <w:adjustRightInd w:val="0"/>
      <w:spacing w:before="60" w:after="60"/>
      <w:jc w:val="center"/>
      <w:textAlignment w:val="baseline"/>
    </w:pPr>
    <w:rPr>
      <w:rFonts w:ascii="仿宋体" w:eastAsia="仿宋体"/>
      <w:kern w:val="0"/>
      <w:sz w:val="24"/>
      <w:szCs w:val="20"/>
    </w:rPr>
  </w:style>
  <w:style w:type="paragraph" w:customStyle="1" w:styleId="61">
    <w:name w:val="正文标题"/>
    <w:basedOn w:val="1"/>
    <w:autoRedefine/>
    <w:qFormat/>
    <w:uiPriority w:val="0"/>
    <w:pPr>
      <w:spacing w:beforeLines="50" w:afterLines="50" w:line="360" w:lineRule="auto"/>
      <w:ind w:left="105" w:leftChars="50" w:right="105" w:rightChars="50"/>
      <w:jc w:val="center"/>
    </w:pPr>
    <w:rPr>
      <w:b/>
      <w:snapToGrid w:val="0"/>
      <w:spacing w:val="40"/>
      <w:kern w:val="0"/>
      <w:sz w:val="30"/>
      <w:szCs w:val="32"/>
    </w:rPr>
  </w:style>
  <w:style w:type="paragraph" w:customStyle="1" w:styleId="62">
    <w:name w:val="大标题"/>
    <w:basedOn w:val="2"/>
    <w:qFormat/>
    <w:uiPriority w:val="0"/>
    <w:pPr>
      <w:keepNext/>
      <w:spacing w:before="0" w:beforeAutospacing="0" w:after="0" w:afterAutospacing="0" w:line="360" w:lineRule="auto"/>
      <w:jc w:val="center"/>
    </w:pPr>
    <w:rPr>
      <w:rFonts w:hint="default" w:hAnsi="Arial" w:cs="Arial"/>
      <w:bCs/>
      <w:snapToGrid w:val="0"/>
      <w:kern w:val="0"/>
      <w:sz w:val="52"/>
      <w:szCs w:val="72"/>
    </w:rPr>
  </w:style>
  <w:style w:type="paragraph" w:customStyle="1" w:styleId="63">
    <w:name w:val="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4">
    <w:name w:val="Char"/>
    <w:basedOn w:val="1"/>
    <w:qFormat/>
    <w:uiPriority w:val="0"/>
    <w:pPr>
      <w:widowControl/>
      <w:spacing w:after="160" w:line="240" w:lineRule="exact"/>
      <w:jc w:val="left"/>
    </w:pPr>
    <w:rPr>
      <w:rFonts w:ascii="Verdana" w:hAnsi="Verdana"/>
      <w:kern w:val="0"/>
      <w:szCs w:val="20"/>
      <w:lang w:eastAsia="en-US"/>
    </w:rPr>
  </w:style>
  <w:style w:type="paragraph" w:customStyle="1" w:styleId="65">
    <w:name w:val="_Style 2"/>
    <w:basedOn w:val="1"/>
    <w:qFormat/>
    <w:uiPriority w:val="34"/>
    <w:pPr>
      <w:ind w:firstLine="420" w:firstLineChars="200"/>
    </w:pPr>
  </w:style>
  <w:style w:type="paragraph" w:customStyle="1" w:styleId="66">
    <w:name w:val="Char Char1"/>
    <w:basedOn w:val="1"/>
    <w:qFormat/>
    <w:uiPriority w:val="0"/>
    <w:rPr>
      <w:rFonts w:ascii="宋体" w:hAnsi="宋体"/>
      <w:b/>
      <w:sz w:val="28"/>
      <w:szCs w:val="28"/>
    </w:rPr>
  </w:style>
  <w:style w:type="paragraph" w:customStyle="1" w:styleId="67">
    <w:name w:val="默认段落字体 Para Char"/>
    <w:basedOn w:val="1"/>
    <w:qFormat/>
    <w:uiPriority w:val="0"/>
    <w:rPr>
      <w:rFonts w:ascii="宋体" w:hAnsi="宋体"/>
      <w:b/>
      <w:sz w:val="28"/>
      <w:szCs w:val="28"/>
    </w:rPr>
  </w:style>
  <w:style w:type="paragraph" w:customStyle="1" w:styleId="68">
    <w:name w:val="办公自动化专用标题"/>
    <w:basedOn w:val="33"/>
    <w:qFormat/>
    <w:uiPriority w:val="0"/>
    <w:pPr>
      <w:spacing w:line="560" w:lineRule="atLeast"/>
    </w:pPr>
    <w:rPr>
      <w:rFonts w:ascii="宋体" w:cs="Times New Roman"/>
      <w:bCs w:val="0"/>
      <w:sz w:val="44"/>
      <w:szCs w:val="20"/>
    </w:rPr>
  </w:style>
  <w:style w:type="paragraph" w:customStyle="1" w:styleId="69">
    <w:name w:val="_Style 1"/>
    <w:basedOn w:val="1"/>
    <w:qFormat/>
    <w:uiPriority w:val="34"/>
    <w:pPr>
      <w:ind w:firstLine="420" w:firstLineChars="200"/>
    </w:pPr>
  </w:style>
  <w:style w:type="paragraph" w:customStyle="1" w:styleId="70">
    <w:name w:val="p0"/>
    <w:basedOn w:val="1"/>
    <w:qFormat/>
    <w:uiPriority w:val="0"/>
    <w:pPr>
      <w:widowControl/>
    </w:pPr>
    <w:rPr>
      <w:kern w:val="0"/>
      <w:szCs w:val="21"/>
    </w:rPr>
  </w:style>
  <w:style w:type="paragraph" w:customStyle="1" w:styleId="71">
    <w:name w:val="Char Char1 Char Char Char Char Char Char"/>
    <w:basedOn w:val="1"/>
    <w:autoRedefine/>
    <w:qFormat/>
    <w:uiPriority w:val="0"/>
    <w:pPr>
      <w:widowControl/>
      <w:adjustRightInd w:val="0"/>
      <w:snapToGrid w:val="0"/>
      <w:spacing w:beforeLines="25" w:afterLines="25" w:line="240" w:lineRule="exact"/>
      <w:ind w:firstLine="560" w:firstLineChars="192"/>
      <w:jc w:val="left"/>
    </w:pPr>
    <w:rPr>
      <w:szCs w:val="20"/>
    </w:rPr>
  </w:style>
  <w:style w:type="paragraph" w:customStyle="1" w:styleId="72">
    <w:name w:val="HLegal 2"/>
    <w:basedOn w:val="1"/>
    <w:autoRedefine/>
    <w:qFormat/>
    <w:uiPriority w:val="0"/>
    <w:pPr>
      <w:widowControl/>
      <w:spacing w:beforeLines="50" w:afterLines="50" w:line="300" w:lineRule="auto"/>
      <w:ind w:left="1"/>
      <w:jc w:val="left"/>
    </w:pPr>
    <w:rPr>
      <w:rFonts w:ascii="宋体" w:hAnsi="宋体" w:cs="宋体"/>
      <w:bCs/>
      <w:kern w:val="0"/>
      <w:sz w:val="24"/>
    </w:rPr>
  </w:style>
  <w:style w:type="paragraph" w:customStyle="1" w:styleId="73">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4">
    <w:name w:val="题注4"/>
    <w:basedOn w:val="1"/>
    <w:next w:val="8"/>
    <w:qFormat/>
    <w:uiPriority w:val="0"/>
    <w:pPr>
      <w:ind w:left="-132" w:leftChars="-64" w:right="-105" w:rightChars="-50" w:hanging="2"/>
      <w:jc w:val="center"/>
    </w:pPr>
    <w:rPr>
      <w:b/>
      <w:color w:val="FF0000"/>
      <w:szCs w:val="21"/>
    </w:rPr>
  </w:style>
  <w:style w:type="paragraph" w:customStyle="1" w:styleId="75">
    <w:name w:val="Char Char Char Char Char"/>
    <w:basedOn w:val="1"/>
    <w:qFormat/>
    <w:uiPriority w:val="0"/>
    <w:pPr>
      <w:widowControl/>
      <w:spacing w:after="160" w:line="240" w:lineRule="exact"/>
      <w:jc w:val="left"/>
    </w:pPr>
    <w:rPr>
      <w:rFonts w:ascii="Verdana" w:hAnsi="Verdana"/>
      <w:kern w:val="0"/>
      <w:szCs w:val="20"/>
      <w:lang w:eastAsia="en-US"/>
    </w:rPr>
  </w:style>
  <w:style w:type="paragraph" w:customStyle="1" w:styleId="76">
    <w:name w:val="默认段落字体 Para Char Char Char Char"/>
    <w:basedOn w:val="1"/>
    <w:qFormat/>
    <w:uiPriority w:val="0"/>
    <w:pPr>
      <w:spacing w:line="360" w:lineRule="auto"/>
      <w:ind w:firstLine="200" w:firstLineChars="200"/>
    </w:pPr>
    <w:rPr>
      <w:rFonts w:ascii="宋体" w:hAnsi="宋体" w:cs="宋体"/>
      <w:sz w:val="24"/>
    </w:rPr>
  </w:style>
  <w:style w:type="paragraph" w:customStyle="1" w:styleId="77">
    <w:name w:val="xl2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78">
    <w:name w:val="xl29"/>
    <w:basedOn w:val="1"/>
    <w:qFormat/>
    <w:uiPriority w:val="0"/>
    <w:pPr>
      <w:widowControl/>
      <w:spacing w:before="100" w:beforeAutospacing="1" w:after="100" w:afterAutospacing="1"/>
      <w:jc w:val="center"/>
    </w:pPr>
    <w:rPr>
      <w:rFonts w:ascii="宋体" w:hAnsi="宋体"/>
      <w:kern w:val="0"/>
      <w:sz w:val="28"/>
      <w:szCs w:val="28"/>
    </w:rPr>
  </w:style>
  <w:style w:type="paragraph" w:customStyle="1" w:styleId="79">
    <w:name w:val="图"/>
    <w:basedOn w:val="1"/>
    <w:qFormat/>
    <w:uiPriority w:val="0"/>
    <w:pPr>
      <w:keepNext/>
      <w:adjustRightInd w:val="0"/>
      <w:jc w:val="center"/>
      <w:textAlignment w:val="center"/>
    </w:pPr>
    <w:rPr>
      <w:rFonts w:ascii="宋体" w:hAnsi="宋体" w:cs="宋体"/>
      <w:snapToGrid w:val="0"/>
      <w:spacing w:val="20"/>
      <w:kern w:val="0"/>
      <w:szCs w:val="21"/>
    </w:rPr>
  </w:style>
  <w:style w:type="paragraph" w:customStyle="1" w:styleId="80">
    <w:name w:val="表头"/>
    <w:basedOn w:val="8"/>
    <w:qFormat/>
    <w:uiPriority w:val="0"/>
    <w:pPr>
      <w:keepNext/>
      <w:keepLines/>
      <w:widowControl/>
      <w:spacing w:before="120" w:after="120" w:line="300" w:lineRule="auto"/>
      <w:jc w:val="center"/>
      <w:textAlignment w:val="baseline"/>
    </w:pPr>
    <w:rPr>
      <w:rFonts w:cs="Times New Roman"/>
      <w:kern w:val="0"/>
      <w:sz w:val="21"/>
    </w:rPr>
  </w:style>
  <w:style w:type="paragraph" w:customStyle="1" w:styleId="81">
    <w:name w:val="普通 (Web)"/>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82">
    <w:name w:val="题注5"/>
    <w:basedOn w:val="1"/>
    <w:next w:val="8"/>
    <w:qFormat/>
    <w:uiPriority w:val="0"/>
    <w:pPr>
      <w:jc w:val="center"/>
    </w:pPr>
    <w:rPr>
      <w:b/>
      <w:color w:val="000000"/>
      <w:sz w:val="24"/>
      <w:szCs w:val="21"/>
    </w:rPr>
  </w:style>
  <w:style w:type="paragraph" w:customStyle="1" w:styleId="83">
    <w:name w:val="修订1"/>
    <w:hidden/>
    <w:unhideWhenUsed/>
    <w:qFormat/>
    <w:uiPriority w:val="99"/>
    <w:rPr>
      <w:rFonts w:ascii="Calibri" w:hAnsi="Calibri" w:eastAsia="宋体" w:cs="Times New Roman"/>
      <w:kern w:val="2"/>
      <w:sz w:val="21"/>
      <w:szCs w:val="24"/>
      <w:lang w:val="en-US" w:eastAsia="zh-CN" w:bidi="ar-SA"/>
    </w:rPr>
  </w:style>
  <w:style w:type="paragraph" w:customStyle="1" w:styleId="84">
    <w:name w:val="_Style 95"/>
    <w:basedOn w:val="1"/>
    <w:next w:val="48"/>
    <w:qFormat/>
    <w:uiPriority w:val="0"/>
    <w:pPr>
      <w:ind w:firstLine="420" w:firstLineChars="200"/>
    </w:pPr>
    <w:rPr>
      <w:rFonts w:ascii="Calibri" w:hAnsi="Calibri"/>
      <w:szCs w:val="22"/>
    </w:rPr>
  </w:style>
  <w:style w:type="paragraph" w:customStyle="1" w:styleId="85">
    <w:name w:val="_Style 126"/>
    <w:basedOn w:val="1"/>
    <w:next w:val="48"/>
    <w:qFormat/>
    <w:uiPriority w:val="34"/>
    <w:pPr>
      <w:ind w:firstLine="420" w:firstLineChars="200"/>
    </w:pPr>
    <w:rPr>
      <w:rFonts w:ascii="Calibri" w:hAnsi="Calibri"/>
      <w:szCs w:val="22"/>
    </w:rPr>
  </w:style>
  <w:style w:type="paragraph" w:customStyle="1" w:styleId="86">
    <w:name w:val="4"/>
    <w:basedOn w:val="1"/>
    <w:next w:val="1"/>
    <w:autoRedefine/>
    <w:qFormat/>
    <w:uiPriority w:val="0"/>
    <w:pPr>
      <w:spacing w:after="120"/>
    </w:pPr>
    <w:rPr>
      <w:szCs w:val="20"/>
    </w:rPr>
  </w:style>
  <w:style w:type="paragraph" w:customStyle="1" w:styleId="87">
    <w:name w:val="_Style 128"/>
    <w:basedOn w:val="1"/>
    <w:next w:val="48"/>
    <w:qFormat/>
    <w:uiPriority w:val="34"/>
    <w:pPr>
      <w:ind w:firstLine="420" w:firstLineChars="200"/>
    </w:pPr>
    <w:rPr>
      <w:rFonts w:ascii="Calibri" w:hAnsi="Calibri"/>
      <w:szCs w:val="22"/>
    </w:rPr>
  </w:style>
  <w:style w:type="paragraph" w:customStyle="1" w:styleId="88">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89">
    <w:name w:val="列出段落2"/>
    <w:basedOn w:val="1"/>
    <w:qFormat/>
    <w:uiPriority w:val="0"/>
    <w:pPr>
      <w:ind w:firstLine="420" w:firstLineChars="200"/>
    </w:pPr>
    <w:rPr>
      <w:szCs w:val="21"/>
    </w:rPr>
  </w:style>
  <w:style w:type="paragraph" w:customStyle="1" w:styleId="90">
    <w:name w:val="HTML 预设格式3"/>
    <w:basedOn w:val="1"/>
    <w:qFormat/>
    <w:uiPriority w:val="0"/>
    <w:pPr>
      <w:widowControl/>
      <w:jc w:val="left"/>
    </w:pPr>
    <w:rPr>
      <w:rFonts w:hint="eastAsia" w:ascii="黑体" w:hAnsi="Courier New" w:eastAsia="黑体"/>
      <w:szCs w:val="21"/>
    </w:rPr>
  </w:style>
  <w:style w:type="character" w:customStyle="1" w:styleId="91">
    <w:name w:val="页眉 字符"/>
    <w:link w:val="21"/>
    <w:qFormat/>
    <w:uiPriority w:val="0"/>
    <w:rPr>
      <w:rFonts w:ascii="Times New Roman" w:hAnsi="Times New Roman"/>
      <w:kern w:val="2"/>
      <w:sz w:val="18"/>
      <w:szCs w:val="18"/>
    </w:rPr>
  </w:style>
  <w:style w:type="character" w:customStyle="1" w:styleId="92">
    <w:name w:val="页脚 字符"/>
    <w:link w:val="20"/>
    <w:qFormat/>
    <w:uiPriority w:val="0"/>
    <w:rPr>
      <w:rFonts w:ascii="Times New Roman" w:hAnsi="Times New Roman"/>
      <w:kern w:val="2"/>
      <w:sz w:val="18"/>
      <w:szCs w:val="18"/>
    </w:rPr>
  </w:style>
  <w:style w:type="character" w:customStyle="1" w:styleId="93">
    <w:name w:val="批注框文本 字符"/>
    <w:link w:val="19"/>
    <w:autoRedefine/>
    <w:qFormat/>
    <w:uiPriority w:val="99"/>
    <w:rPr>
      <w:rFonts w:ascii="Times New Roman" w:hAnsi="Times New Roman" w:eastAsia="宋体" w:cs="Times New Roman"/>
      <w:sz w:val="18"/>
      <w:szCs w:val="18"/>
    </w:rPr>
  </w:style>
  <w:style w:type="character" w:customStyle="1" w:styleId="94">
    <w:name w:val="列表段落 字符"/>
    <w:link w:val="44"/>
    <w:qFormat/>
    <w:uiPriority w:val="0"/>
    <w:rPr>
      <w:kern w:val="2"/>
      <w:sz w:val="21"/>
      <w:szCs w:val="24"/>
    </w:rPr>
  </w:style>
  <w:style w:type="character" w:customStyle="1" w:styleId="95">
    <w:name w:val="批注文字 字符"/>
    <w:link w:val="10"/>
    <w:qFormat/>
    <w:uiPriority w:val="99"/>
    <w:rPr>
      <w:kern w:val="2"/>
      <w:sz w:val="21"/>
      <w:szCs w:val="24"/>
    </w:rPr>
  </w:style>
  <w:style w:type="character" w:customStyle="1" w:styleId="96">
    <w:name w:val="批注主题 字符"/>
    <w:link w:val="34"/>
    <w:qFormat/>
    <w:uiPriority w:val="0"/>
    <w:rPr>
      <w:b/>
      <w:bCs/>
      <w:kern w:val="2"/>
      <w:sz w:val="21"/>
      <w:szCs w:val="24"/>
    </w:rPr>
  </w:style>
  <w:style w:type="character" w:customStyle="1" w:styleId="97">
    <w:name w:val="纯文本 字符"/>
    <w:link w:val="16"/>
    <w:qFormat/>
    <w:uiPriority w:val="0"/>
    <w:rPr>
      <w:rFonts w:ascii="宋体" w:hAnsi="Courier New"/>
      <w:szCs w:val="21"/>
    </w:rPr>
  </w:style>
  <w:style w:type="character" w:customStyle="1" w:styleId="98">
    <w:name w:val="文档结构图 字符"/>
    <w:link w:val="9"/>
    <w:qFormat/>
    <w:uiPriority w:val="0"/>
    <w:rPr>
      <w:rFonts w:ascii="宋体"/>
      <w:kern w:val="2"/>
      <w:sz w:val="18"/>
      <w:szCs w:val="18"/>
    </w:rPr>
  </w:style>
  <w:style w:type="character" w:customStyle="1" w:styleId="99">
    <w:name w:val="纯文本 Char"/>
    <w:semiHidden/>
    <w:qFormat/>
    <w:uiPriority w:val="99"/>
    <w:rPr>
      <w:rFonts w:ascii="宋体" w:hAnsi="Courier New"/>
      <w:kern w:val="2"/>
      <w:sz w:val="21"/>
    </w:rPr>
  </w:style>
  <w:style w:type="character" w:customStyle="1" w:styleId="100">
    <w:name w:val="列出段落 Char"/>
    <w:qFormat/>
    <w:locked/>
    <w:uiPriority w:val="99"/>
  </w:style>
  <w:style w:type="character" w:customStyle="1" w:styleId="101">
    <w:name w:val="纯文本 Char1"/>
    <w:link w:val="47"/>
    <w:qFormat/>
    <w:locked/>
    <w:uiPriority w:val="99"/>
    <w:rPr>
      <w:rFonts w:ascii="宋体" w:hAnsi="Courier New"/>
    </w:rPr>
  </w:style>
  <w:style w:type="character" w:customStyle="1" w:styleId="102">
    <w:name w:val="标题 1 字符"/>
    <w:link w:val="2"/>
    <w:qFormat/>
    <w:uiPriority w:val="9"/>
    <w:rPr>
      <w:rFonts w:ascii="宋体" w:hAnsi="宋体"/>
      <w:b/>
      <w:kern w:val="44"/>
      <w:sz w:val="48"/>
      <w:szCs w:val="48"/>
    </w:rPr>
  </w:style>
  <w:style w:type="character" w:customStyle="1" w:styleId="103">
    <w:name w:val="标题 2 字符"/>
    <w:link w:val="3"/>
    <w:qFormat/>
    <w:uiPriority w:val="0"/>
    <w:rPr>
      <w:rFonts w:ascii="Arial" w:hAnsi="Arial" w:eastAsia="黑体"/>
      <w:b/>
      <w:kern w:val="2"/>
      <w:sz w:val="32"/>
      <w:szCs w:val="24"/>
    </w:rPr>
  </w:style>
  <w:style w:type="character" w:customStyle="1" w:styleId="104">
    <w:name w:val="标题 3 字符"/>
    <w:link w:val="4"/>
    <w:qFormat/>
    <w:uiPriority w:val="9"/>
    <w:rPr>
      <w:rFonts w:ascii="宋体" w:hAnsi="宋体"/>
      <w:b/>
      <w:sz w:val="27"/>
      <w:szCs w:val="27"/>
    </w:rPr>
  </w:style>
  <w:style w:type="character" w:customStyle="1" w:styleId="105">
    <w:name w:val="标题 4 字符"/>
    <w:link w:val="5"/>
    <w:qFormat/>
    <w:uiPriority w:val="9"/>
    <w:rPr>
      <w:rFonts w:ascii="Arial" w:hAnsi="Arial" w:eastAsia="黑体"/>
      <w:b/>
      <w:kern w:val="2"/>
      <w:sz w:val="28"/>
      <w:szCs w:val="24"/>
    </w:rPr>
  </w:style>
  <w:style w:type="character" w:customStyle="1" w:styleId="106">
    <w:name w:val="日期 字符"/>
    <w:link w:val="18"/>
    <w:qFormat/>
    <w:uiPriority w:val="0"/>
    <w:rPr>
      <w:rFonts w:ascii="Calibri" w:hAnsi="Calibri"/>
      <w:kern w:val="2"/>
      <w:sz w:val="21"/>
    </w:rPr>
  </w:style>
  <w:style w:type="character" w:customStyle="1" w:styleId="107">
    <w:name w:val="A4"/>
    <w:qFormat/>
    <w:uiPriority w:val="0"/>
    <w:rPr>
      <w:rFonts w:hint="eastAsia" w:ascii="新宋体" w:hAnsi="新宋体" w:eastAsia="新宋体" w:cs="新宋体"/>
      <w:color w:val="000000"/>
    </w:rPr>
  </w:style>
  <w:style w:type="character" w:customStyle="1" w:styleId="108">
    <w:name w:val="纯文本 Char Char1"/>
    <w:qFormat/>
    <w:uiPriority w:val="0"/>
    <w:rPr>
      <w:rFonts w:ascii="宋体" w:hAnsi="Courier New" w:eastAsia="宋体"/>
      <w:kern w:val="2"/>
      <w:sz w:val="21"/>
      <w:szCs w:val="24"/>
      <w:lang w:val="en-US" w:eastAsia="zh-CN" w:bidi="ar-SA"/>
    </w:rPr>
  </w:style>
  <w:style w:type="character" w:customStyle="1" w:styleId="109">
    <w:name w:val="文档结构图 字符1"/>
    <w:semiHidden/>
    <w:qFormat/>
    <w:uiPriority w:val="0"/>
    <w:rPr>
      <w:rFonts w:ascii="Microsoft YaHei UI" w:hAnsi="Calibri" w:eastAsia="Microsoft YaHei UI"/>
      <w:kern w:val="2"/>
      <w:sz w:val="18"/>
      <w:szCs w:val="18"/>
    </w:rPr>
  </w:style>
  <w:style w:type="character" w:customStyle="1" w:styleId="110">
    <w:name w:val="HTML 预设格式 字符"/>
    <w:link w:val="31"/>
    <w:qFormat/>
    <w:uiPriority w:val="99"/>
    <w:rPr>
      <w:rFonts w:ascii="黑体" w:hAnsi="Courier New" w:eastAsia="黑体" w:cs="Courier New"/>
      <w:szCs w:val="21"/>
    </w:rPr>
  </w:style>
  <w:style w:type="character" w:customStyle="1" w:styleId="111">
    <w:name w:val="HTML 预设格式 字符1"/>
    <w:qFormat/>
    <w:uiPriority w:val="0"/>
    <w:rPr>
      <w:rFonts w:ascii="Courier New" w:hAnsi="Courier New" w:cs="Courier New"/>
      <w:kern w:val="2"/>
    </w:rPr>
  </w:style>
  <w:style w:type="character" w:customStyle="1" w:styleId="112">
    <w:name w:val="font141"/>
    <w:basedOn w:val="38"/>
    <w:qFormat/>
    <w:uiPriority w:val="0"/>
  </w:style>
  <w:style w:type="character" w:customStyle="1" w:styleId="113">
    <w:name w:val="HTML 预设格式 Char1"/>
    <w:qFormat/>
    <w:uiPriority w:val="0"/>
    <w:rPr>
      <w:rFonts w:ascii="Courier New" w:hAnsi="Courier New" w:cs="Courier New"/>
      <w:kern w:val="2"/>
    </w:rPr>
  </w:style>
  <w:style w:type="character" w:customStyle="1" w:styleId="114">
    <w:name w:val="small"/>
    <w:basedOn w:val="38"/>
    <w:autoRedefine/>
    <w:qFormat/>
    <w:uiPriority w:val="0"/>
  </w:style>
  <w:style w:type="character" w:customStyle="1" w:styleId="115">
    <w:name w:val="正文缩进 字符"/>
    <w:link w:val="7"/>
    <w:qFormat/>
    <w:uiPriority w:val="0"/>
    <w:rPr>
      <w:kern w:val="2"/>
      <w:sz w:val="21"/>
    </w:rPr>
  </w:style>
  <w:style w:type="character" w:customStyle="1" w:styleId="116">
    <w:name w:val="bold1"/>
    <w:qFormat/>
    <w:uiPriority w:val="0"/>
    <w:rPr>
      <w:b/>
      <w:bCs/>
      <w:shd w:val="clear" w:color="auto" w:fill="FFFFFF"/>
    </w:rPr>
  </w:style>
  <w:style w:type="character" w:customStyle="1" w:styleId="117">
    <w:name w:val="标题 2 Char"/>
    <w:qFormat/>
    <w:uiPriority w:val="0"/>
    <w:rPr>
      <w:rFonts w:ascii="Arial" w:hAnsi="Arial" w:eastAsia="黑体"/>
      <w:b/>
      <w:bCs/>
      <w:kern w:val="2"/>
      <w:sz w:val="32"/>
      <w:szCs w:val="32"/>
      <w:lang w:val="en-US" w:eastAsia="zh-CN" w:bidi="ar-SA"/>
    </w:rPr>
  </w:style>
  <w:style w:type="character" w:customStyle="1" w:styleId="118">
    <w:name w:val="标题 字符"/>
    <w:link w:val="33"/>
    <w:qFormat/>
    <w:uiPriority w:val="0"/>
    <w:rPr>
      <w:rFonts w:ascii="Arial" w:hAnsi="Arial" w:cs="Arial"/>
      <w:b/>
      <w:bCs/>
      <w:kern w:val="2"/>
      <w:sz w:val="32"/>
      <w:szCs w:val="32"/>
    </w:rPr>
  </w:style>
  <w:style w:type="character" w:customStyle="1" w:styleId="119">
    <w:name w:val="正文文本 3 字符"/>
    <w:link w:val="11"/>
    <w:qFormat/>
    <w:uiPriority w:val="0"/>
    <w:rPr>
      <w:kern w:val="2"/>
      <w:sz w:val="16"/>
      <w:szCs w:val="16"/>
    </w:rPr>
  </w:style>
  <w:style w:type="character" w:customStyle="1" w:styleId="120">
    <w:name w:val="正文文本 字符"/>
    <w:link w:val="12"/>
    <w:qFormat/>
    <w:uiPriority w:val="0"/>
    <w:rPr>
      <w:kern w:val="2"/>
      <w:sz w:val="21"/>
    </w:rPr>
  </w:style>
  <w:style w:type="character" w:customStyle="1" w:styleId="121">
    <w:name w:val="正文文本缩进 字符"/>
    <w:link w:val="13"/>
    <w:qFormat/>
    <w:uiPriority w:val="0"/>
    <w:rPr>
      <w:rFonts w:ascii="仿宋_GB2312" w:eastAsia="仿宋_GB2312"/>
      <w:kern w:val="2"/>
      <w:sz w:val="32"/>
    </w:rPr>
  </w:style>
  <w:style w:type="character" w:customStyle="1" w:styleId="122">
    <w:name w:val="正文文本缩进 3 字符"/>
    <w:link w:val="27"/>
    <w:qFormat/>
    <w:uiPriority w:val="0"/>
    <w:rPr>
      <w:kern w:val="2"/>
      <w:sz w:val="21"/>
    </w:rPr>
  </w:style>
  <w:style w:type="character" w:customStyle="1" w:styleId="123">
    <w:name w:val="正文文本首行缩进 字符"/>
    <w:link w:val="35"/>
    <w:qFormat/>
    <w:uiPriority w:val="0"/>
    <w:rPr>
      <w:kern w:val="2"/>
      <w:sz w:val="21"/>
      <w:szCs w:val="24"/>
    </w:rPr>
  </w:style>
  <w:style w:type="character" w:customStyle="1" w:styleId="124">
    <w:name w:val="页眉 字符1"/>
    <w:semiHidden/>
    <w:qFormat/>
    <w:uiPriority w:val="99"/>
    <w:rPr>
      <w:kern w:val="2"/>
      <w:sz w:val="18"/>
      <w:szCs w:val="18"/>
    </w:rPr>
  </w:style>
  <w:style w:type="character" w:customStyle="1" w:styleId="125">
    <w:name w:val="页脚 字符1"/>
    <w:semiHidden/>
    <w:qFormat/>
    <w:uiPriority w:val="99"/>
    <w:rPr>
      <w:kern w:val="2"/>
      <w:sz w:val="18"/>
      <w:szCs w:val="18"/>
    </w:rPr>
  </w:style>
  <w:style w:type="character" w:customStyle="1" w:styleId="126">
    <w:name w:val="批注框文本 字符1"/>
    <w:autoRedefine/>
    <w:semiHidden/>
    <w:qFormat/>
    <w:uiPriority w:val="99"/>
    <w:rPr>
      <w:kern w:val="2"/>
      <w:sz w:val="18"/>
      <w:szCs w:val="18"/>
    </w:rPr>
  </w:style>
  <w:style w:type="character" w:customStyle="1" w:styleId="127">
    <w:name w:val="普通文字1 Char"/>
    <w:qFormat/>
    <w:uiPriority w:val="0"/>
    <w:rPr>
      <w:rFonts w:ascii="宋体" w:hAnsi="Courier New" w:eastAsia="宋体" w:cs="Courier New"/>
      <w:kern w:val="2"/>
      <w:sz w:val="21"/>
      <w:szCs w:val="21"/>
      <w:lang w:val="en-US" w:eastAsia="zh-CN" w:bidi="ar-SA"/>
    </w:rPr>
  </w:style>
  <w:style w:type="character" w:customStyle="1" w:styleId="128">
    <w:name w:val="正文文本 2 字符"/>
    <w:link w:val="30"/>
    <w:qFormat/>
    <w:uiPriority w:val="0"/>
    <w:rPr>
      <w:kern w:val="2"/>
      <w:sz w:val="21"/>
      <w:szCs w:val="24"/>
    </w:rPr>
  </w:style>
  <w:style w:type="character" w:customStyle="1" w:styleId="129">
    <w:name w:val="HTML 预设格式 Char"/>
    <w:qFormat/>
    <w:uiPriority w:val="99"/>
    <w:rPr>
      <w:rFonts w:ascii="黑体" w:hAnsi="Courier New" w:eastAsia="黑体" w:cs="Courier New"/>
    </w:rPr>
  </w:style>
  <w:style w:type="table" w:customStyle="1" w:styleId="130">
    <w:name w:val="网格型1"/>
    <w:basedOn w:val="36"/>
    <w:qFormat/>
    <w:uiPriority w:val="0"/>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131">
    <w:name w:val="网格型2"/>
    <w:basedOn w:val="3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2">
    <w:name w:val="网格型3"/>
    <w:basedOn w:val="3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3">
    <w:name w:val="网格型11"/>
    <w:basedOn w:val="36"/>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134">
    <w:name w:val="List Paragraph"/>
    <w:basedOn w:val="1"/>
    <w:qFormat/>
    <w:uiPriority w:val="34"/>
    <w:pPr>
      <w:ind w:firstLine="420" w:firstLineChars="200"/>
    </w:pPr>
  </w:style>
  <w:style w:type="paragraph" w:customStyle="1" w:styleId="135">
    <w:name w:val="修订3"/>
    <w:hidden/>
    <w:semiHidden/>
    <w:qFormat/>
    <w:uiPriority w:val="99"/>
    <w:rPr>
      <w:rFonts w:ascii="Times New Roman" w:hAnsi="Times New Roman" w:eastAsia="宋体" w:cs="Times New Roman"/>
      <w:kern w:val="2"/>
      <w:sz w:val="21"/>
      <w:szCs w:val="24"/>
      <w:lang w:val="en-US" w:eastAsia="zh-CN" w:bidi="ar-SA"/>
    </w:rPr>
  </w:style>
  <w:style w:type="paragraph" w:customStyle="1" w:styleId="136">
    <w:name w:val="样式"/>
    <w:basedOn w:val="7"/>
    <w:qFormat/>
    <w:uiPriority w:val="0"/>
    <w:pPr>
      <w:spacing w:line="360" w:lineRule="auto"/>
      <w:ind w:firstLine="0"/>
    </w:pPr>
    <w:rPr>
      <w:rFonts w:ascii="宋体" w:hAnsi="宋体" w:cs="Arial"/>
      <w:b/>
      <w:color w:val="000000"/>
      <w:kern w:val="0"/>
      <w:sz w:val="24"/>
      <w:szCs w:val="24"/>
    </w:rPr>
  </w:style>
  <w:style w:type="paragraph" w:customStyle="1" w:styleId="137">
    <w:name w:val="修订4"/>
    <w:hidden/>
    <w:unhideWhenUsed/>
    <w:qFormat/>
    <w:uiPriority w:val="99"/>
    <w:rPr>
      <w:rFonts w:ascii="Times New Roman" w:hAnsi="Times New Roman" w:eastAsia="宋体" w:cs="Times New Roman"/>
      <w:kern w:val="2"/>
      <w:sz w:val="21"/>
      <w:szCs w:val="24"/>
      <w:lang w:val="en-US" w:eastAsia="zh-CN" w:bidi="ar-SA"/>
    </w:rPr>
  </w:style>
  <w:style w:type="paragraph" w:customStyle="1" w:styleId="138">
    <w:name w:val="修订5"/>
    <w:hidden/>
    <w:semiHidden/>
    <w:qFormat/>
    <w:uiPriority w:val="99"/>
    <w:rPr>
      <w:rFonts w:ascii="Times New Roman" w:hAnsi="Times New Roman" w:eastAsia="宋体" w:cs="Times New Roman"/>
      <w:kern w:val="2"/>
      <w:sz w:val="21"/>
      <w:szCs w:val="24"/>
      <w:lang w:val="en-US" w:eastAsia="zh-CN" w:bidi="ar-SA"/>
    </w:rPr>
  </w:style>
  <w:style w:type="paragraph" w:customStyle="1" w:styleId="139">
    <w:name w:val="修订6"/>
    <w:hidden/>
    <w:unhideWhenUsed/>
    <w:qFormat/>
    <w:uiPriority w:val="99"/>
    <w:rPr>
      <w:rFonts w:ascii="Times New Roman" w:hAnsi="Times New Roman" w:eastAsia="宋体" w:cs="Times New Roman"/>
      <w:kern w:val="2"/>
      <w:sz w:val="21"/>
      <w:szCs w:val="24"/>
      <w:lang w:val="en-US" w:eastAsia="zh-CN" w:bidi="ar-SA"/>
    </w:rPr>
  </w:style>
  <w:style w:type="paragraph" w:customStyle="1" w:styleId="140">
    <w:name w:val="修订7"/>
    <w:hidden/>
    <w:unhideWhenUsed/>
    <w:qFormat/>
    <w:uiPriority w:val="99"/>
    <w:rPr>
      <w:rFonts w:ascii="Times New Roman" w:hAnsi="Times New Roman" w:eastAsia="宋体" w:cs="Times New Roman"/>
      <w:kern w:val="2"/>
      <w:sz w:val="21"/>
      <w:szCs w:val="24"/>
      <w:lang w:val="en-US" w:eastAsia="zh-CN" w:bidi="ar-SA"/>
    </w:rPr>
  </w:style>
  <w:style w:type="paragraph" w:customStyle="1" w:styleId="141">
    <w:name w:val="List Paragraph1"/>
    <w:basedOn w:val="1"/>
    <w:autoRedefine/>
    <w:qFormat/>
    <w:uiPriority w:val="99"/>
    <w:pPr>
      <w:ind w:firstLine="420" w:firstLineChars="200"/>
    </w:pPr>
  </w:style>
  <w:style w:type="paragraph" w:customStyle="1" w:styleId="142">
    <w:name w:val="修订8"/>
    <w:hidden/>
    <w:unhideWhenUsed/>
    <w:qFormat/>
    <w:uiPriority w:val="99"/>
    <w:rPr>
      <w:rFonts w:ascii="Times New Roman" w:hAnsi="Times New Roman" w:eastAsia="宋体" w:cs="Times New Roman"/>
      <w:kern w:val="2"/>
      <w:sz w:val="21"/>
      <w:szCs w:val="24"/>
      <w:lang w:val="en-US" w:eastAsia="zh-CN" w:bidi="ar-SA"/>
    </w:rPr>
  </w:style>
  <w:style w:type="character" w:customStyle="1" w:styleId="143">
    <w:name w:val="正文加粗 Char"/>
    <w:link w:val="144"/>
    <w:qFormat/>
    <w:uiPriority w:val="0"/>
    <w:rPr>
      <w:rFonts w:ascii="Calibri" w:hAnsi="Calibri"/>
      <w:kern w:val="2"/>
      <w:sz w:val="21"/>
      <w:szCs w:val="22"/>
    </w:rPr>
  </w:style>
  <w:style w:type="paragraph" w:customStyle="1" w:styleId="144">
    <w:name w:val="正文加粗"/>
    <w:basedOn w:val="1"/>
    <w:link w:val="143"/>
    <w:qFormat/>
    <w:uiPriority w:val="0"/>
    <w:pPr>
      <w:tabs>
        <w:tab w:val="left" w:pos="1685"/>
      </w:tabs>
      <w:ind w:left="1685" w:hanging="425"/>
    </w:pPr>
    <w:rPr>
      <w:rFonts w:ascii="Calibri" w:hAnsi="Calibri"/>
      <w:szCs w:val="22"/>
    </w:rPr>
  </w:style>
  <w:style w:type="character" w:customStyle="1" w:styleId="145">
    <w:name w:val="A3"/>
    <w:qFormat/>
    <w:uiPriority w:val="0"/>
    <w:rPr>
      <w:rFonts w:cs="汉仪中等线简"/>
      <w:color w:val="000000"/>
      <w:sz w:val="16"/>
      <w:szCs w:val="16"/>
    </w:rPr>
  </w:style>
  <w:style w:type="character" w:customStyle="1" w:styleId="146">
    <w:name w:val="3级 Char"/>
    <w:link w:val="147"/>
    <w:qFormat/>
    <w:uiPriority w:val="0"/>
    <w:rPr>
      <w:rFonts w:ascii="Calibri" w:hAnsi="Calibri"/>
      <w:b/>
      <w:kern w:val="2"/>
      <w:sz w:val="30"/>
      <w:szCs w:val="30"/>
    </w:rPr>
  </w:style>
  <w:style w:type="paragraph" w:customStyle="1" w:styleId="147">
    <w:name w:val="3级"/>
    <w:basedOn w:val="148"/>
    <w:next w:val="1"/>
    <w:link w:val="146"/>
    <w:qFormat/>
    <w:uiPriority w:val="0"/>
    <w:pPr>
      <w:tabs>
        <w:tab w:val="left" w:pos="976"/>
      </w:tabs>
      <w:spacing w:before="240" w:after="240"/>
      <w:outlineLvl w:val="2"/>
    </w:pPr>
    <w:rPr>
      <w:b/>
      <w:sz w:val="30"/>
      <w:szCs w:val="30"/>
    </w:rPr>
  </w:style>
  <w:style w:type="paragraph" w:customStyle="1" w:styleId="148">
    <w:name w:val="三级条标题 Char Char"/>
    <w:basedOn w:val="1"/>
    <w:qFormat/>
    <w:uiPriority w:val="0"/>
    <w:pPr>
      <w:tabs>
        <w:tab w:val="left" w:pos="976"/>
      </w:tabs>
      <w:ind w:left="976" w:hanging="709"/>
    </w:pPr>
    <w:rPr>
      <w:rFonts w:ascii="Calibri" w:hAnsi="Calibri"/>
      <w:szCs w:val="22"/>
    </w:rPr>
  </w:style>
  <w:style w:type="character" w:customStyle="1" w:styleId="149">
    <w:name w:val="无间隔 字符"/>
    <w:link w:val="150"/>
    <w:qFormat/>
    <w:uiPriority w:val="1"/>
    <w:rPr>
      <w:rFonts w:ascii="Calibri" w:hAnsi="Calibri"/>
      <w:sz w:val="22"/>
      <w:szCs w:val="22"/>
    </w:rPr>
  </w:style>
  <w:style w:type="paragraph" w:styleId="150">
    <w:name w:val="No Spacing"/>
    <w:link w:val="149"/>
    <w:qFormat/>
    <w:uiPriority w:val="1"/>
    <w:rPr>
      <w:rFonts w:ascii="Calibri" w:hAnsi="Calibri" w:eastAsia="宋体" w:cs="Times New Roman"/>
      <w:sz w:val="22"/>
      <w:szCs w:val="22"/>
      <w:lang w:val="en-US" w:eastAsia="zh-CN" w:bidi="ar-SA"/>
    </w:rPr>
  </w:style>
  <w:style w:type="character" w:customStyle="1" w:styleId="151">
    <w:name w:val="A6"/>
    <w:qFormat/>
    <w:uiPriority w:val="0"/>
    <w:rPr>
      <w:rFonts w:cs="汉仪中等线简"/>
      <w:color w:val="000000"/>
      <w:sz w:val="8"/>
      <w:szCs w:val="8"/>
    </w:rPr>
  </w:style>
  <w:style w:type="character" w:customStyle="1" w:styleId="152">
    <w:name w:val="f141"/>
    <w:qFormat/>
    <w:uiPriority w:val="0"/>
    <w:rPr>
      <w:sz w:val="21"/>
      <w:szCs w:val="21"/>
    </w:rPr>
  </w:style>
  <w:style w:type="paragraph" w:customStyle="1" w:styleId="153">
    <w:name w:val="样式 段 + 首行缩进:  2 字符2"/>
    <w:basedOn w:val="1"/>
    <w:qFormat/>
    <w:uiPriority w:val="0"/>
    <w:pPr>
      <w:tabs>
        <w:tab w:val="left" w:pos="834"/>
      </w:tabs>
      <w:ind w:left="834" w:hanging="567"/>
    </w:pPr>
    <w:rPr>
      <w:rFonts w:ascii="Calibri" w:hAnsi="Calibri"/>
      <w:szCs w:val="22"/>
    </w:rPr>
  </w:style>
  <w:style w:type="paragraph" w:customStyle="1" w:styleId="154">
    <w:name w:val="6级"/>
    <w:basedOn w:val="155"/>
    <w:next w:val="1"/>
    <w:qFormat/>
    <w:uiPriority w:val="0"/>
    <w:pPr>
      <w:tabs>
        <w:tab w:val="left" w:pos="1259"/>
        <w:tab w:val="left" w:pos="1401"/>
      </w:tabs>
      <w:spacing w:before="240" w:after="240"/>
      <w:ind w:left="1401" w:hanging="1134"/>
      <w:outlineLvl w:val="5"/>
    </w:pPr>
    <w:rPr>
      <w:b/>
      <w:sz w:val="24"/>
      <w:szCs w:val="24"/>
    </w:rPr>
  </w:style>
  <w:style w:type="paragraph" w:customStyle="1" w:styleId="155">
    <w:name w:val="正文加粗 Char Char"/>
    <w:basedOn w:val="1"/>
    <w:qFormat/>
    <w:uiPriority w:val="0"/>
    <w:pPr>
      <w:tabs>
        <w:tab w:val="left" w:pos="1259"/>
      </w:tabs>
      <w:ind w:left="1259" w:hanging="992"/>
    </w:pPr>
    <w:rPr>
      <w:rFonts w:ascii="Calibri" w:hAnsi="Calibri"/>
      <w:szCs w:val="22"/>
    </w:rPr>
  </w:style>
  <w:style w:type="paragraph" w:customStyle="1" w:styleId="156">
    <w:name w:val="缺省文本"/>
    <w:basedOn w:val="1"/>
    <w:qFormat/>
    <w:uiPriority w:val="0"/>
    <w:pPr>
      <w:autoSpaceDE w:val="0"/>
      <w:autoSpaceDN w:val="0"/>
      <w:adjustRightInd w:val="0"/>
      <w:jc w:val="left"/>
    </w:pPr>
    <w:rPr>
      <w:kern w:val="0"/>
      <w:sz w:val="24"/>
    </w:rPr>
  </w:style>
  <w:style w:type="paragraph" w:customStyle="1" w:styleId="157">
    <w:name w:val="Char Char Char Char Char Char Char Char Char Char Char Char Char Char Char Char Char Char Char Char Char Char Char Char Char"/>
    <w:basedOn w:val="1"/>
    <w:autoRedefine/>
    <w:qFormat/>
    <w:uiPriority w:val="0"/>
    <w:rPr>
      <w:rFonts w:ascii="Tahoma" w:hAnsi="Tahoma"/>
      <w:sz w:val="24"/>
      <w:szCs w:val="20"/>
    </w:rPr>
  </w:style>
  <w:style w:type="paragraph" w:customStyle="1" w:styleId="158">
    <w:name w:val="Pa4"/>
    <w:basedOn w:val="159"/>
    <w:next w:val="159"/>
    <w:qFormat/>
    <w:uiPriority w:val="0"/>
    <w:pPr>
      <w:spacing w:line="211" w:lineRule="atLeast"/>
    </w:pPr>
    <w:rPr>
      <w:rFonts w:cs="Times New Roman"/>
      <w:color w:val="auto"/>
    </w:rPr>
  </w:style>
  <w:style w:type="paragraph" w:customStyle="1" w:styleId="159">
    <w:name w:val="Default"/>
    <w:qFormat/>
    <w:uiPriority w:val="0"/>
    <w:pPr>
      <w:widowControl w:val="0"/>
      <w:autoSpaceDE w:val="0"/>
      <w:autoSpaceDN w:val="0"/>
      <w:adjustRightInd w:val="0"/>
    </w:pPr>
    <w:rPr>
      <w:rFonts w:ascii="汉仪中等线简" w:hAnsi="Calibri" w:eastAsia="汉仪中等线简" w:cs="汉仪中等线简"/>
      <w:color w:val="000000"/>
      <w:sz w:val="24"/>
      <w:szCs w:val="24"/>
      <w:lang w:val="en-US" w:eastAsia="zh-CN" w:bidi="ar-SA"/>
    </w:rPr>
  </w:style>
  <w:style w:type="paragraph" w:customStyle="1" w:styleId="160">
    <w:name w:val="Pa1"/>
    <w:basedOn w:val="159"/>
    <w:next w:val="159"/>
    <w:qFormat/>
    <w:uiPriority w:val="0"/>
    <w:pPr>
      <w:spacing w:line="211" w:lineRule="atLeast"/>
    </w:pPr>
    <w:rPr>
      <w:rFonts w:cs="Times New Roman"/>
      <w:color w:val="auto"/>
    </w:rPr>
  </w:style>
  <w:style w:type="paragraph" w:customStyle="1" w:styleId="161">
    <w:name w:val="TOC 标题1"/>
    <w:basedOn w:val="2"/>
    <w:next w:val="1"/>
    <w:qFormat/>
    <w:uiPriority w:val="39"/>
    <w:pPr>
      <w:keepNext/>
      <w:keepLines/>
      <w:widowControl/>
      <w:spacing w:before="480" w:beforeAutospacing="0" w:after="0" w:afterAutospacing="0" w:line="276" w:lineRule="auto"/>
      <w:outlineLvl w:val="9"/>
    </w:pPr>
    <w:rPr>
      <w:rFonts w:hint="default" w:ascii="Cambria" w:hAnsi="Cambria"/>
      <w:bCs/>
      <w:color w:val="365F91"/>
      <w:kern w:val="0"/>
      <w:sz w:val="28"/>
      <w:szCs w:val="28"/>
    </w:rPr>
  </w:style>
  <w:style w:type="paragraph" w:customStyle="1" w:styleId="162">
    <w:name w:val="Normal_31"/>
    <w:qFormat/>
    <w:uiPriority w:val="0"/>
    <w:pPr>
      <w:spacing w:before="120" w:after="240"/>
      <w:jc w:val="both"/>
    </w:pPr>
    <w:rPr>
      <w:rFonts w:ascii="Calibri" w:hAnsi="Calibri" w:eastAsia="Calibri" w:cs="Times New Roman"/>
      <w:sz w:val="22"/>
      <w:szCs w:val="22"/>
      <w:lang w:val="ru-RU" w:eastAsia="en-US" w:bidi="ar-SA"/>
    </w:rPr>
  </w:style>
  <w:style w:type="paragraph" w:customStyle="1" w:styleId="163">
    <w:name w:val="Normal_6"/>
    <w:qFormat/>
    <w:uiPriority w:val="0"/>
    <w:pPr>
      <w:spacing w:before="120" w:after="240"/>
      <w:jc w:val="both"/>
    </w:pPr>
    <w:rPr>
      <w:rFonts w:ascii="Calibri" w:hAnsi="Calibri" w:eastAsia="Calibri" w:cs="Times New Roman"/>
      <w:sz w:val="22"/>
      <w:szCs w:val="22"/>
      <w:lang w:val="ru-RU" w:eastAsia="en-US" w:bidi="ar-SA"/>
    </w:rPr>
  </w:style>
  <w:style w:type="paragraph" w:customStyle="1" w:styleId="164">
    <w:name w:val="Normal_3"/>
    <w:qFormat/>
    <w:uiPriority w:val="0"/>
    <w:pPr>
      <w:spacing w:before="120" w:after="240"/>
      <w:jc w:val="both"/>
    </w:pPr>
    <w:rPr>
      <w:rFonts w:ascii="Calibri" w:hAnsi="Calibri" w:eastAsia="Calibri" w:cs="Times New Roman"/>
      <w:sz w:val="22"/>
      <w:szCs w:val="22"/>
      <w:lang w:val="ru-RU" w:eastAsia="en-US" w:bidi="ar-SA"/>
    </w:rPr>
  </w:style>
  <w:style w:type="paragraph" w:customStyle="1" w:styleId="165">
    <w:name w:val="7级"/>
    <w:basedOn w:val="155"/>
    <w:next w:val="1"/>
    <w:qFormat/>
    <w:uiPriority w:val="0"/>
    <w:pPr>
      <w:tabs>
        <w:tab w:val="left" w:pos="1543"/>
        <w:tab w:val="clear" w:pos="1259"/>
      </w:tabs>
      <w:spacing w:before="240" w:after="240"/>
      <w:outlineLvl w:val="6"/>
    </w:pPr>
    <w:rPr>
      <w:b/>
      <w:sz w:val="24"/>
      <w:szCs w:val="24"/>
    </w:rPr>
  </w:style>
  <w:style w:type="paragraph" w:customStyle="1" w:styleId="166">
    <w:name w:val="用例段落"/>
    <w:basedOn w:val="1"/>
    <w:qFormat/>
    <w:uiPriority w:val="0"/>
    <w:pPr>
      <w:spacing w:line="300" w:lineRule="auto"/>
      <w:ind w:left="840" w:leftChars="400"/>
      <w:jc w:val="left"/>
    </w:pPr>
    <w:rPr>
      <w:sz w:val="24"/>
    </w:rPr>
  </w:style>
  <w:style w:type="character" w:customStyle="1" w:styleId="167">
    <w:name w:val="font21"/>
    <w:basedOn w:val="38"/>
    <w:uiPriority w:val="0"/>
    <w:rPr>
      <w:rFonts w:hint="eastAsia" w:ascii="宋体" w:hAnsi="宋体" w:eastAsia="宋体" w:cs="宋体"/>
      <w:b/>
      <w:bCs/>
      <w:color w:val="000000"/>
      <w:sz w:val="18"/>
      <w:szCs w:val="18"/>
      <w:u w:val="none"/>
    </w:rPr>
  </w:style>
  <w:style w:type="character" w:customStyle="1" w:styleId="168">
    <w:name w:val="font31"/>
    <w:basedOn w:val="38"/>
    <w:uiPriority w:val="0"/>
    <w:rPr>
      <w:rFonts w:hint="eastAsia" w:ascii="宋体" w:hAnsi="宋体" w:eastAsia="宋体" w:cs="宋体"/>
      <w:color w:val="000000"/>
      <w:sz w:val="18"/>
      <w:szCs w:val="18"/>
      <w:u w:val="none"/>
    </w:rPr>
  </w:style>
  <w:style w:type="paragraph" w:customStyle="1" w:styleId="169">
    <w:name w:val="修订9"/>
    <w:hidden/>
    <w:unhideWhenUsed/>
    <w:uiPriority w:val="99"/>
    <w:rPr>
      <w:rFonts w:ascii="Times New Roman" w:hAnsi="Times New Roman" w:eastAsia="宋体" w:cs="Times New Roman"/>
      <w:kern w:val="2"/>
      <w:sz w:val="21"/>
      <w:szCs w:val="24"/>
      <w:lang w:val="en-US" w:eastAsia="zh-CN" w:bidi="ar-SA"/>
    </w:rPr>
  </w:style>
  <w:style w:type="paragraph" w:customStyle="1" w:styleId="170">
    <w:name w:val="修订10"/>
    <w:hidden/>
    <w:unhideWhenUsed/>
    <w:uiPriority w:val="99"/>
    <w:rPr>
      <w:rFonts w:ascii="Times New Roman" w:hAnsi="Times New Roman" w:eastAsia="宋体" w:cs="Times New Roman"/>
      <w:kern w:val="2"/>
      <w:sz w:val="21"/>
      <w:szCs w:val="24"/>
      <w:lang w:val="en-US" w:eastAsia="zh-CN" w:bidi="ar-SA"/>
    </w:rPr>
  </w:style>
  <w:style w:type="paragraph" w:customStyle="1" w:styleId="171">
    <w:name w:val="修订11"/>
    <w:hidden/>
    <w:unhideWhenUsed/>
    <w:uiPriority w:val="99"/>
    <w:rPr>
      <w:rFonts w:ascii="Times New Roman" w:hAnsi="Times New Roman" w:eastAsia="宋体" w:cs="Times New Roman"/>
      <w:kern w:val="2"/>
      <w:sz w:val="21"/>
      <w:szCs w:val="24"/>
      <w:lang w:val="en-US" w:eastAsia="zh-CN" w:bidi="ar-SA"/>
    </w:rPr>
  </w:style>
  <w:style w:type="paragraph" w:customStyle="1" w:styleId="172">
    <w:name w:val="_Style 3"/>
    <w:next w:val="27"/>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73">
    <w:name w:val="font11"/>
    <w:basedOn w:val="38"/>
    <w:qFormat/>
    <w:uiPriority w:val="0"/>
    <w:rPr>
      <w:rFonts w:hint="eastAsia" w:ascii="仿宋" w:hAnsi="仿宋" w:eastAsia="仿宋" w:cs="仿宋"/>
      <w:color w:val="000000"/>
      <w:sz w:val="24"/>
      <w:szCs w:val="24"/>
      <w:u w:val="none"/>
    </w:rPr>
  </w:style>
  <w:style w:type="character" w:customStyle="1" w:styleId="174">
    <w:name w:val="font01"/>
    <w:basedOn w:val="38"/>
    <w:uiPriority w:val="0"/>
    <w:rPr>
      <w:rFonts w:hint="eastAsia" w:ascii="宋体" w:hAnsi="宋体" w:eastAsia="宋体" w:cs="宋体"/>
      <w:color w:val="000000"/>
      <w:sz w:val="24"/>
      <w:szCs w:val="24"/>
      <w:u w:val="none"/>
    </w:rPr>
  </w:style>
  <w:style w:type="paragraph" w:customStyle="1" w:styleId="175">
    <w:name w:val="_Style 174"/>
    <w:basedOn w:val="1"/>
    <w:next w:val="134"/>
    <w:qFormat/>
    <w:uiPriority w:val="34"/>
    <w:pPr>
      <w:ind w:firstLine="420" w:firstLineChars="200"/>
    </w:pPr>
    <w:rPr>
      <w:rFonts w:ascii="Calibri" w:hAnsi="Calibri"/>
    </w:rPr>
  </w:style>
  <w:style w:type="paragraph" w:customStyle="1" w:styleId="176">
    <w:name w:val="_Style 175"/>
    <w:basedOn w:val="1"/>
    <w:next w:val="134"/>
    <w:qFormat/>
    <w:uiPriority w:val="34"/>
    <w:pPr>
      <w:ind w:firstLine="420" w:firstLineChars="200"/>
    </w:pPr>
    <w:rPr>
      <w:rFonts w:ascii="Calibri" w:hAnsi="Calibri"/>
    </w:rPr>
  </w:style>
  <w:style w:type="paragraph" w:customStyle="1" w:styleId="177">
    <w:name w:val="修订12"/>
    <w:hidden/>
    <w:unhideWhenUsed/>
    <w:uiPriority w:val="99"/>
    <w:rPr>
      <w:rFonts w:ascii="Times New Roman" w:hAnsi="Times New Roman" w:eastAsia="宋体" w:cs="Times New Roman"/>
      <w:kern w:val="2"/>
      <w:sz w:val="21"/>
      <w:szCs w:val="24"/>
      <w:lang w:val="en-US" w:eastAsia="zh-CN" w:bidi="ar-SA"/>
    </w:rPr>
  </w:style>
  <w:style w:type="character" w:customStyle="1" w:styleId="178">
    <w:name w:val="批注文字 Char"/>
    <w:qFormat/>
    <w:uiPriority w:val="99"/>
    <w:rPr>
      <w:kern w:val="2"/>
      <w:sz w:val="21"/>
      <w:szCs w:val="24"/>
    </w:rPr>
  </w:style>
  <w:style w:type="paragraph" w:customStyle="1" w:styleId="179">
    <w:name w:val="Revision"/>
    <w:hidden/>
    <w:unhideWhenUsed/>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E6F980-8A79-4974-983F-9376344BC431}">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34</Pages>
  <Words>3167</Words>
  <Characters>18053</Characters>
  <Lines>150</Lines>
  <Paragraphs>42</Paragraphs>
  <TotalTime>39</TotalTime>
  <ScaleCrop>false</ScaleCrop>
  <LinksUpToDate>false</LinksUpToDate>
  <CharactersWithSpaces>21178</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2024-03-26T08:19:00Z</dcterms:created>
  <dc:creator>Administrator</dc:creator>
  <cp:lastModifiedBy>云采链-清</cp:lastModifiedBy>
  <cp:lastPrinted>2023-10-27T06:54:00Z</cp:lastPrinted>
  <dcterms:modified xsi:type="dcterms:W3CDTF">2024-04-12T07:29:26Z</dcterms:modified>
  <dc:title>竞价文件</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049DD06EB25140588AC855FB86E975CE_13</vt:lpwstr>
  </property>
</Properties>
</file>