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line="360" w:lineRule="auto"/>
        <w:jc w:val="center"/>
        <w:rPr>
          <w:rFonts w:ascii="宋体" w:hAnsi="宋体"/>
          <w:b/>
          <w:bCs/>
          <w:color w:val="000000"/>
          <w:sz w:val="84"/>
          <w:szCs w:val="84"/>
        </w:rPr>
      </w:pPr>
      <w:r>
        <w:rPr>
          <w:rFonts w:hint="eastAsia" w:ascii="宋体" w:hAnsi="宋体"/>
          <w:b/>
          <w:color w:val="000000"/>
          <w:sz w:val="84"/>
          <w:szCs w:val="84"/>
        </w:rPr>
        <w:t>竞价文件</w:t>
      </w:r>
    </w:p>
    <w:p>
      <w:pPr>
        <w:spacing w:line="360" w:lineRule="auto"/>
        <w:jc w:val="center"/>
        <w:rPr>
          <w:rFonts w:ascii="宋体" w:hAnsi="宋体"/>
          <w:b/>
          <w:bCs/>
          <w:color w:val="000000"/>
          <w:sz w:val="24"/>
          <w:szCs w:val="24"/>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jc w:val="left"/>
        <w:rPr>
          <w:rFonts w:ascii="宋体" w:hAnsi="宋体"/>
          <w:b/>
          <w:bCs/>
          <w:color w:val="000000"/>
          <w:sz w:val="28"/>
          <w:szCs w:val="32"/>
        </w:rPr>
      </w:pPr>
      <w:r>
        <w:rPr>
          <w:rFonts w:ascii="宋体" w:hAnsi="宋体"/>
          <w:b/>
          <w:bCs/>
          <w:color w:val="000000"/>
          <w:sz w:val="28"/>
          <w:szCs w:val="32"/>
        </w:rPr>
        <w:t>采购方式：</w:t>
      </w:r>
      <w:r>
        <w:rPr>
          <w:rFonts w:hint="eastAsia" w:ascii="宋体" w:hAnsi="宋体"/>
          <w:b/>
          <w:bCs/>
          <w:color w:val="000000"/>
          <w:sz w:val="28"/>
          <w:szCs w:val="32"/>
        </w:rPr>
        <w:t>线上</w:t>
      </w:r>
      <w:r>
        <w:rPr>
          <w:rFonts w:ascii="宋体" w:hAnsi="宋体"/>
          <w:b/>
          <w:bCs/>
          <w:color w:val="000000"/>
          <w:sz w:val="28"/>
          <w:szCs w:val="32"/>
        </w:rPr>
        <w:t>竞价</w:t>
      </w:r>
    </w:p>
    <w:p>
      <w:pPr>
        <w:spacing w:line="360" w:lineRule="auto"/>
        <w:ind w:left="1276" w:hanging="1276" w:hangingChars="454"/>
        <w:rPr>
          <w:rFonts w:ascii="宋体" w:hAnsi="宋体"/>
          <w:b/>
          <w:color w:val="000000"/>
          <w:sz w:val="36"/>
          <w:szCs w:val="36"/>
        </w:rPr>
      </w:pPr>
      <w:r>
        <w:rPr>
          <w:rFonts w:ascii="宋体" w:hAnsi="宋体"/>
          <w:b/>
          <w:bCs/>
          <w:color w:val="000000"/>
          <w:sz w:val="28"/>
          <w:szCs w:val="32"/>
        </w:rPr>
        <w:t>项目</w:t>
      </w:r>
      <w:r>
        <w:rPr>
          <w:rFonts w:hint="eastAsia" w:ascii="宋体" w:hAnsi="宋体"/>
          <w:b/>
          <w:bCs/>
          <w:color w:val="000000"/>
          <w:sz w:val="28"/>
          <w:szCs w:val="32"/>
        </w:rPr>
        <w:t>名称</w:t>
      </w:r>
      <w:r>
        <w:rPr>
          <w:rFonts w:ascii="宋体" w:hAnsi="宋体"/>
          <w:b/>
          <w:bCs/>
          <w:color w:val="000000"/>
          <w:sz w:val="28"/>
          <w:szCs w:val="32"/>
        </w:rPr>
        <w:t>：</w:t>
      </w:r>
      <w:r>
        <w:rPr>
          <w:rFonts w:ascii="宋体" w:hAnsi="宋体" w:eastAsia="宋体" w:cs="宋体"/>
          <w:b/>
          <w:bCs/>
          <w:sz w:val="28"/>
          <w:szCs w:val="28"/>
          <w:u w:val="single"/>
        </w:rPr>
        <w:t>广东省广州女子监狱2024年打印复印耗材采购项目</w:t>
      </w:r>
    </w:p>
    <w:p>
      <w:pPr>
        <w:spacing w:line="360" w:lineRule="auto"/>
        <w:jc w:val="left"/>
        <w:rPr>
          <w:rFonts w:ascii="宋体" w:hAnsi="宋体"/>
          <w:b/>
          <w:bCs/>
          <w:color w:val="000000"/>
          <w:sz w:val="28"/>
          <w:szCs w:val="32"/>
        </w:rPr>
      </w:pPr>
    </w:p>
    <w:p>
      <w:pPr>
        <w:snapToGrid w:val="0"/>
        <w:spacing w:before="156" w:beforeLines="50" w:after="156" w:afterLines="50" w:line="360" w:lineRule="auto"/>
        <w:jc w:val="center"/>
        <w:rPr>
          <w:rFonts w:ascii="宋体" w:hAnsi="宋体" w:cs="华文中宋"/>
          <w:color w:val="000000"/>
          <w:sz w:val="30"/>
          <w:szCs w:val="30"/>
        </w:rPr>
      </w:pPr>
    </w:p>
    <w:p>
      <w:pPr>
        <w:autoSpaceDE w:val="0"/>
        <w:autoSpaceDN w:val="0"/>
        <w:adjustRightInd w:val="0"/>
        <w:snapToGrid w:val="0"/>
        <w:spacing w:before="156" w:beforeLines="50" w:after="156" w:afterLines="50" w:line="360" w:lineRule="auto"/>
        <w:jc w:val="center"/>
        <w:rPr>
          <w:rFonts w:ascii="宋体" w:hAnsi="宋体" w:cs="华文中宋"/>
          <w:color w:val="000000"/>
          <w:kern w:val="0"/>
          <w:sz w:val="30"/>
          <w:szCs w:val="30"/>
        </w:rPr>
      </w:pPr>
    </w:p>
    <w:p>
      <w:pPr>
        <w:autoSpaceDE w:val="0"/>
        <w:autoSpaceDN w:val="0"/>
        <w:adjustRightInd w:val="0"/>
        <w:snapToGrid w:val="0"/>
        <w:spacing w:before="156" w:beforeLines="50" w:after="156" w:afterLines="50" w:line="360" w:lineRule="auto"/>
        <w:jc w:val="left"/>
        <w:rPr>
          <w:rFonts w:ascii="宋体" w:hAnsi="宋体" w:cs="华文中宋"/>
          <w:color w:val="000000"/>
          <w:kern w:val="0"/>
          <w:sz w:val="30"/>
          <w:szCs w:val="30"/>
        </w:rPr>
      </w:pPr>
    </w:p>
    <w:p>
      <w:pPr>
        <w:spacing w:line="360" w:lineRule="auto"/>
        <w:jc w:val="center"/>
        <w:rPr>
          <w:rFonts w:ascii="宋体" w:hAnsi="宋体"/>
          <w:b/>
          <w:bCs/>
          <w:color w:val="000000"/>
          <w:sz w:val="44"/>
          <w:szCs w:val="44"/>
        </w:rPr>
      </w:pPr>
      <w:r>
        <w:rPr>
          <w:rFonts w:hint="eastAsia" w:ascii="宋体" w:hAnsi="宋体"/>
          <w:b/>
          <w:bCs/>
          <w:color w:val="000000"/>
          <w:sz w:val="28"/>
          <w:szCs w:val="32"/>
        </w:rPr>
        <w:t xml:space="preserve">    广东省广州女子监狱</w:t>
      </w:r>
    </w:p>
    <w:p>
      <w:pPr>
        <w:autoSpaceDE w:val="0"/>
        <w:autoSpaceDN w:val="0"/>
        <w:adjustRightInd w:val="0"/>
        <w:snapToGrid w:val="0"/>
        <w:spacing w:line="360" w:lineRule="auto"/>
        <w:ind w:left="420" w:firstLine="420"/>
        <w:jc w:val="center"/>
        <w:rPr>
          <w:rFonts w:ascii="宋体" w:hAnsi="宋体"/>
          <w:b/>
          <w:bCs/>
          <w:color w:val="000000"/>
          <w:sz w:val="28"/>
          <w:szCs w:val="32"/>
        </w:rPr>
      </w:pPr>
      <w:r>
        <w:rPr>
          <w:rFonts w:ascii="宋体" w:hAnsi="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ascii="宋体" w:hAnsi="宋体"/>
          <w:b/>
          <w:color w:val="000000"/>
          <w:sz w:val="28"/>
        </w:rPr>
      </w:pPr>
      <w:r>
        <w:rPr>
          <w:rFonts w:hint="eastAsia" w:ascii="宋体" w:hAnsi="宋体"/>
          <w:b/>
          <w:color w:val="000000"/>
          <w:sz w:val="28"/>
        </w:rPr>
        <w:t>二零二</w:t>
      </w:r>
      <w:r>
        <w:rPr>
          <w:rFonts w:hint="eastAsia" w:ascii="宋体" w:hAnsi="宋体"/>
          <w:b/>
          <w:color w:val="000000"/>
          <w:sz w:val="28"/>
          <w:lang w:val="en-US" w:eastAsia="zh-CN"/>
        </w:rPr>
        <w:t>四</w:t>
      </w:r>
      <w:r>
        <w:rPr>
          <w:rFonts w:hint="eastAsia" w:ascii="宋体" w:hAnsi="宋体"/>
          <w:b/>
          <w:color w:val="000000"/>
          <w:sz w:val="28"/>
        </w:rPr>
        <w:t>年</w:t>
      </w:r>
      <w:r>
        <w:rPr>
          <w:rFonts w:hint="eastAsia" w:ascii="宋体" w:hAnsi="宋体"/>
          <w:b/>
          <w:color w:val="000000"/>
          <w:sz w:val="28"/>
          <w:lang w:val="en-US" w:eastAsia="zh-CN"/>
        </w:rPr>
        <w:t>四</w:t>
      </w:r>
      <w:r>
        <w:rPr>
          <w:rFonts w:ascii="宋体" w:hAnsi="宋体"/>
          <w:b/>
          <w:color w:val="000000"/>
          <w:sz w:val="28"/>
        </w:rPr>
        <w:t>月</w:t>
      </w:r>
    </w:p>
    <w:p>
      <w:pPr>
        <w:spacing w:line="360" w:lineRule="auto"/>
        <w:rPr>
          <w:rFonts w:ascii="宋体" w:hAnsi="宋体"/>
          <w:color w:val="000000"/>
        </w:rPr>
      </w:pPr>
    </w:p>
    <w:p>
      <w:pPr>
        <w:widowControl/>
        <w:spacing w:line="360" w:lineRule="auto"/>
        <w:jc w:val="left"/>
        <w:rPr>
          <w:rFonts w:ascii="宋体" w:hAnsi="宋体"/>
          <w:color w:val="000000"/>
        </w:rPr>
      </w:pPr>
      <w:r>
        <w:rPr>
          <w:rFonts w:ascii="宋体" w:hAnsi="宋体"/>
          <w:color w:val="000000"/>
        </w:rPr>
        <w:br w:type="page"/>
      </w:r>
    </w:p>
    <w:p>
      <w:pPr>
        <w:pStyle w:val="10"/>
        <w:spacing w:before="0" w:after="0" w:line="360" w:lineRule="auto"/>
        <w:rPr>
          <w:rFonts w:ascii="宋体" w:hAnsi="宋体"/>
          <w:color w:val="000000"/>
        </w:rPr>
      </w:pPr>
      <w:r>
        <w:rPr>
          <w:rFonts w:hint="eastAsia" w:ascii="宋体" w:hAnsi="宋体"/>
          <w:color w:val="000000"/>
        </w:rPr>
        <w:t>第一章 竞价须知</w:t>
      </w:r>
    </w:p>
    <w:p>
      <w:pPr>
        <w:pStyle w:val="27"/>
        <w:numPr>
          <w:ilvl w:val="0"/>
          <w:numId w:val="1"/>
        </w:numPr>
        <w:spacing w:line="360" w:lineRule="auto"/>
        <w:ind w:firstLineChars="0"/>
        <w:rPr>
          <w:rFonts w:ascii="宋体" w:hAnsi="宋体"/>
          <w:color w:val="000000"/>
          <w:szCs w:val="21"/>
        </w:rPr>
      </w:pPr>
      <w:r>
        <w:rPr>
          <w:rFonts w:hint="eastAsia" w:ascii="宋体" w:hAnsi="宋体"/>
          <w:color w:val="000000"/>
          <w:szCs w:val="21"/>
        </w:rPr>
        <w:t>本项目通过云采链线上采购一体化平台进行竞价，参与竞价的供应商必须登录平台进行注册，注册成功后方可参与项目竞价。</w:t>
      </w:r>
    </w:p>
    <w:p>
      <w:pPr>
        <w:pStyle w:val="27"/>
        <w:numPr>
          <w:ilvl w:val="0"/>
          <w:numId w:val="1"/>
        </w:numPr>
        <w:spacing w:line="360" w:lineRule="auto"/>
        <w:ind w:firstLineChars="0"/>
        <w:rPr>
          <w:rFonts w:ascii="宋体" w:hAnsi="宋体"/>
          <w:color w:val="000000"/>
          <w:szCs w:val="21"/>
        </w:rPr>
      </w:pPr>
      <w:r>
        <w:rPr>
          <w:rFonts w:ascii="宋体" w:hAnsi="宋体"/>
          <w:color w:val="000000"/>
        </w:rPr>
        <w:t>语言要求</w:t>
      </w:r>
    </w:p>
    <w:p>
      <w:pPr>
        <w:pStyle w:val="27"/>
        <w:spacing w:line="360" w:lineRule="auto"/>
        <w:ind w:left="420" w:leftChars="200" w:firstLine="0" w:firstLineChars="0"/>
        <w:jc w:val="left"/>
        <w:rPr>
          <w:rFonts w:ascii="宋体" w:hAnsi="宋体"/>
          <w:color w:val="000000"/>
          <w:szCs w:val="21"/>
        </w:rPr>
      </w:pPr>
      <w:r>
        <w:rPr>
          <w:rFonts w:ascii="宋体" w:hAnsi="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hint="eastAsia" w:ascii="宋体" w:hAnsi="宋体"/>
          <w:color w:val="000000"/>
          <w:szCs w:val="21"/>
        </w:rPr>
        <w:t xml:space="preserve"> </w:t>
      </w:r>
      <w:r>
        <w:rPr>
          <w:rFonts w:ascii="宋体" w:hAnsi="宋体"/>
          <w:color w:val="000000"/>
          <w:szCs w:val="21"/>
        </w:rPr>
        <w:t xml:space="preserve"> </w:t>
      </w:r>
    </w:p>
    <w:p>
      <w:pPr>
        <w:pStyle w:val="27"/>
        <w:numPr>
          <w:ilvl w:val="0"/>
          <w:numId w:val="1"/>
        </w:numPr>
        <w:spacing w:line="360" w:lineRule="auto"/>
        <w:ind w:firstLineChars="0"/>
        <w:rPr>
          <w:rFonts w:ascii="宋体" w:hAnsi="宋体"/>
          <w:color w:val="000000"/>
        </w:rPr>
      </w:pPr>
      <w:r>
        <w:rPr>
          <w:rFonts w:hint="eastAsia" w:ascii="宋体" w:hAnsi="宋体"/>
          <w:color w:val="000000"/>
          <w:szCs w:val="21"/>
        </w:rPr>
        <w:t>在云采链平台参与项目竞价后放弃成交资格超过三次（含三次）的供应商连同该供应商同一法人名下所有公司将被列入平台黑名单，永久不得参与平台的项目竞价。</w:t>
      </w:r>
      <w:r>
        <w:rPr>
          <w:rFonts w:ascii="宋体" w:hAnsi="宋体"/>
          <w:color w:val="000000"/>
          <w:szCs w:val="21"/>
        </w:rPr>
        <w:t xml:space="preserve">  </w:t>
      </w:r>
    </w:p>
    <w:p>
      <w:pPr>
        <w:pStyle w:val="27"/>
        <w:numPr>
          <w:ilvl w:val="0"/>
          <w:numId w:val="1"/>
        </w:numPr>
        <w:spacing w:line="360" w:lineRule="auto"/>
        <w:ind w:firstLineChars="0"/>
        <w:rPr>
          <w:rFonts w:ascii="宋体" w:hAnsi="宋体"/>
          <w:color w:val="000000"/>
        </w:rPr>
      </w:pPr>
      <w:r>
        <w:rPr>
          <w:rFonts w:hint="eastAsia" w:ascii="宋体" w:hAnsi="宋体"/>
          <w:color w:val="000000"/>
        </w:rPr>
        <w:t>竞价须知</w:t>
      </w:r>
    </w:p>
    <w:p>
      <w:pPr>
        <w:pStyle w:val="27"/>
        <w:numPr>
          <w:ilvl w:val="0"/>
          <w:numId w:val="2"/>
        </w:numPr>
        <w:spacing w:line="360" w:lineRule="auto"/>
        <w:ind w:firstLineChars="0"/>
        <w:rPr>
          <w:rFonts w:ascii="宋体" w:hAnsi="宋体"/>
          <w:b/>
          <w:color w:val="000000"/>
        </w:rPr>
      </w:pPr>
      <w:r>
        <w:rPr>
          <w:rStyle w:val="15"/>
          <w:rFonts w:hint="eastAsia" w:ascii="宋体" w:hAnsi="宋体"/>
          <w:bCs w:val="0"/>
          <w:color w:val="000000"/>
        </w:rPr>
        <w:t>竞价说明</w:t>
      </w:r>
    </w:p>
    <w:p>
      <w:pPr>
        <w:pStyle w:val="27"/>
        <w:numPr>
          <w:ilvl w:val="0"/>
          <w:numId w:val="3"/>
        </w:numPr>
        <w:spacing w:line="360" w:lineRule="auto"/>
        <w:ind w:left="851" w:firstLineChars="0"/>
        <w:rPr>
          <w:rFonts w:ascii="宋体" w:hAnsi="宋体"/>
          <w:color w:val="000000"/>
        </w:rPr>
      </w:pPr>
      <w:r>
        <w:rPr>
          <w:rFonts w:hint="eastAsia" w:ascii="宋体" w:hAnsi="宋体"/>
          <w:color w:val="000000"/>
          <w:szCs w:val="21"/>
        </w:rPr>
        <w:t>参与竞价的供应商应承担所有与准备和参加竞价有关的费用</w:t>
      </w:r>
      <w:r>
        <w:rPr>
          <w:rFonts w:hint="eastAsia" w:ascii="宋体" w:hAnsi="宋体" w:cs="宋体"/>
          <w:color w:val="000000"/>
          <w:szCs w:val="21"/>
        </w:rPr>
        <w:t>，不</w:t>
      </w:r>
      <w:r>
        <w:rPr>
          <w:rFonts w:hint="eastAsia" w:ascii="宋体" w:hAnsi="宋体" w:cs="宋体"/>
          <w:color w:val="000000"/>
          <w:szCs w:val="21"/>
          <w:lang w:eastAsia="zh-TW"/>
        </w:rPr>
        <w:t>论</w:t>
      </w:r>
      <w:r>
        <w:rPr>
          <w:rFonts w:hint="eastAsia" w:ascii="宋体" w:hAnsi="宋体" w:cs="宋体"/>
          <w:color w:val="000000"/>
          <w:szCs w:val="21"/>
        </w:rPr>
        <w:t>竞价</w:t>
      </w:r>
      <w:r>
        <w:rPr>
          <w:rFonts w:hint="eastAsia" w:ascii="宋体" w:hAnsi="宋体" w:cs="宋体"/>
          <w:color w:val="000000"/>
          <w:szCs w:val="21"/>
          <w:lang w:eastAsia="zh-TW"/>
        </w:rPr>
        <w:t>的结果如何</w:t>
      </w:r>
      <w:r>
        <w:rPr>
          <w:rFonts w:hint="eastAsia" w:ascii="宋体" w:hAnsi="宋体" w:cs="宋体"/>
          <w:color w:val="000000"/>
          <w:szCs w:val="21"/>
        </w:rPr>
        <w:t>，采购</w:t>
      </w:r>
      <w:r>
        <w:rPr>
          <w:rFonts w:hint="eastAsia" w:ascii="宋体" w:hAnsi="宋体" w:cs="宋体"/>
          <w:color w:val="000000"/>
          <w:szCs w:val="21"/>
          <w:lang w:eastAsia="zh-TW"/>
        </w:rPr>
        <w:t>人</w:t>
      </w:r>
      <w:r>
        <w:rPr>
          <w:rFonts w:hint="eastAsia" w:ascii="宋体" w:hAnsi="宋体" w:cs="宋体"/>
          <w:color w:val="000000"/>
          <w:szCs w:val="21"/>
        </w:rPr>
        <w:t>和</w:t>
      </w:r>
      <w:r>
        <w:rPr>
          <w:rFonts w:hint="eastAsia" w:ascii="宋体" w:hAnsi="宋体" w:cs="宋体"/>
          <w:color w:val="000000"/>
          <w:szCs w:val="21"/>
          <w:lang w:eastAsia="zh-TW"/>
        </w:rPr>
        <w:t>代理机构均无义务和责任承担这些费用</w:t>
      </w:r>
      <w:r>
        <w:rPr>
          <w:rFonts w:hint="eastAsia" w:ascii="宋体" w:hAnsi="宋体" w:cs="宋体"/>
          <w:color w:val="000000"/>
          <w:szCs w:val="21"/>
        </w:rPr>
        <w:t>。</w:t>
      </w:r>
    </w:p>
    <w:p>
      <w:pPr>
        <w:pStyle w:val="27"/>
        <w:numPr>
          <w:ilvl w:val="0"/>
          <w:numId w:val="3"/>
        </w:numPr>
        <w:spacing w:line="360" w:lineRule="auto"/>
        <w:ind w:left="851" w:firstLineChars="0"/>
        <w:rPr>
          <w:rFonts w:ascii="宋体" w:hAnsi="宋体"/>
          <w:color w:val="000000"/>
        </w:rPr>
      </w:pPr>
      <w:r>
        <w:rPr>
          <w:rFonts w:hint="eastAsia" w:ascii="宋体" w:hAnsi="宋体"/>
          <w:color w:val="000000"/>
          <w:szCs w:val="21"/>
        </w:rPr>
        <w:t>参与竞价的</w:t>
      </w:r>
      <w:r>
        <w:rPr>
          <w:rFonts w:hint="eastAsia" w:ascii="宋体" w:hAnsi="宋体"/>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7"/>
        <w:numPr>
          <w:ilvl w:val="0"/>
          <w:numId w:val="3"/>
        </w:numPr>
        <w:spacing w:line="360" w:lineRule="auto"/>
        <w:ind w:left="851" w:firstLineChars="0"/>
        <w:rPr>
          <w:rFonts w:ascii="宋体" w:hAnsi="宋体"/>
          <w:color w:val="000000"/>
        </w:rPr>
      </w:pPr>
      <w:r>
        <w:rPr>
          <w:rFonts w:hint="eastAsia" w:ascii="宋体" w:hAnsi="宋体"/>
          <w:color w:val="000000"/>
          <w:szCs w:val="21"/>
        </w:rPr>
        <w:t>参与竞价的</w:t>
      </w:r>
      <w:r>
        <w:rPr>
          <w:rFonts w:hint="eastAsia" w:ascii="宋体" w:hAnsi="宋体"/>
          <w:color w:val="000000"/>
          <w:szCs w:val="21"/>
          <w:lang w:val="zh-CN"/>
        </w:rPr>
        <w:t>供应商需对用户需求书的所有条款进行整体响应，用户需求书条款若有一条负偏离或不响应，</w:t>
      </w:r>
      <w:r>
        <w:rPr>
          <w:rFonts w:hint="eastAsia" w:ascii="宋体" w:hAnsi="宋体"/>
          <w:bCs/>
          <w:color w:val="000000"/>
          <w:szCs w:val="21"/>
        </w:rPr>
        <w:t>不推荐为成交候选人</w:t>
      </w:r>
      <w:r>
        <w:rPr>
          <w:rFonts w:hint="eastAsia" w:ascii="宋体" w:hAnsi="宋体"/>
          <w:color w:val="000000"/>
          <w:szCs w:val="21"/>
          <w:lang w:val="zh-CN"/>
        </w:rPr>
        <w:t>。</w:t>
      </w:r>
    </w:p>
    <w:p>
      <w:pPr>
        <w:pStyle w:val="27"/>
        <w:numPr>
          <w:ilvl w:val="0"/>
          <w:numId w:val="3"/>
        </w:numPr>
        <w:spacing w:line="360" w:lineRule="auto"/>
        <w:ind w:left="851" w:firstLineChars="0"/>
        <w:rPr>
          <w:rFonts w:ascii="宋体" w:hAnsi="宋体"/>
          <w:color w:val="000000"/>
        </w:rPr>
      </w:pPr>
      <w:r>
        <w:rPr>
          <w:rFonts w:hint="eastAsia" w:ascii="宋体" w:hAnsi="宋体"/>
          <w:color w:val="000000"/>
          <w:szCs w:val="21"/>
        </w:rPr>
        <w:t>若成交供应商自身原因无法完成本项目，则采购人有权利保留追究责任。</w:t>
      </w:r>
    </w:p>
    <w:p>
      <w:pPr>
        <w:pStyle w:val="27"/>
        <w:numPr>
          <w:ilvl w:val="0"/>
          <w:numId w:val="3"/>
        </w:numPr>
        <w:spacing w:line="360" w:lineRule="auto"/>
        <w:ind w:left="851" w:firstLineChars="0"/>
        <w:rPr>
          <w:rFonts w:ascii="宋体" w:hAnsi="宋体"/>
          <w:color w:val="000000"/>
        </w:rPr>
      </w:pPr>
      <w:r>
        <w:rPr>
          <w:rFonts w:hint="eastAsia" w:ascii="宋体" w:hAnsi="宋体"/>
          <w:color w:val="000000"/>
        </w:rPr>
        <w:t>成交供应商因自身原因被取消成交资格，采购人可重新启动采购或按竞价公告规定顺延推选符合要求的供应商作为成交人。</w:t>
      </w:r>
    </w:p>
    <w:p>
      <w:pPr>
        <w:pStyle w:val="27"/>
        <w:numPr>
          <w:ilvl w:val="0"/>
          <w:numId w:val="3"/>
        </w:numPr>
        <w:spacing w:line="360" w:lineRule="auto"/>
        <w:ind w:left="851" w:firstLineChars="0"/>
        <w:rPr>
          <w:rFonts w:ascii="宋体" w:hAnsi="宋体"/>
          <w:color w:val="000000"/>
        </w:rPr>
      </w:pPr>
      <w:r>
        <w:rPr>
          <w:rFonts w:hint="eastAsia" w:ascii="宋体" w:hAnsi="宋体"/>
          <w:color w:val="000000"/>
        </w:rPr>
        <w:t>若本项目竞价采购失败，采购人将重新采购，届时采购人有权根据项目具体情况，决定重新采购项目的采购方式。</w:t>
      </w:r>
    </w:p>
    <w:p>
      <w:pPr>
        <w:pStyle w:val="27"/>
        <w:numPr>
          <w:ilvl w:val="0"/>
          <w:numId w:val="3"/>
        </w:numPr>
        <w:spacing w:line="360" w:lineRule="auto"/>
        <w:ind w:left="851" w:firstLineChars="0"/>
        <w:rPr>
          <w:rFonts w:ascii="宋体" w:hAnsi="宋体"/>
          <w:color w:val="000000"/>
        </w:rPr>
      </w:pPr>
      <w:r>
        <w:rPr>
          <w:rFonts w:hint="eastAsia" w:ascii="宋体" w:hAnsi="宋体"/>
          <w:color w:val="000000"/>
        </w:rPr>
        <w:t>成交供应商若无正当理由恶意放弃成交资格，采购人有权将拒绝其参加本项目重新组织的竞价采购活动。</w:t>
      </w:r>
    </w:p>
    <w:p>
      <w:pPr>
        <w:pStyle w:val="27"/>
        <w:numPr>
          <w:ilvl w:val="0"/>
          <w:numId w:val="3"/>
        </w:numPr>
        <w:spacing w:line="360" w:lineRule="auto"/>
        <w:ind w:left="851" w:firstLineChars="0"/>
        <w:rPr>
          <w:rFonts w:ascii="宋体" w:hAnsi="宋体"/>
          <w:color w:val="000000"/>
        </w:rPr>
      </w:pPr>
      <w:r>
        <w:rPr>
          <w:rFonts w:hint="eastAsia" w:ascii="宋体" w:hAnsi="宋体"/>
          <w:color w:val="000000"/>
        </w:rPr>
        <w:t>如采购人或代理机构在审核或复核</w:t>
      </w:r>
      <w:r>
        <w:rPr>
          <w:rFonts w:hint="eastAsia" w:ascii="宋体" w:hAnsi="宋体"/>
          <w:color w:val="000000"/>
          <w:szCs w:val="21"/>
        </w:rPr>
        <w:t>参与竞价的</w:t>
      </w:r>
      <w:r>
        <w:rPr>
          <w:rFonts w:hint="eastAsia" w:ascii="宋体" w:hAnsi="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pStyle w:val="27"/>
        <w:numPr>
          <w:ilvl w:val="0"/>
          <w:numId w:val="3"/>
        </w:numPr>
        <w:spacing w:line="360" w:lineRule="auto"/>
        <w:ind w:left="851" w:firstLineChars="0"/>
        <w:rPr>
          <w:rFonts w:ascii="宋体" w:hAnsi="宋体"/>
          <w:color w:val="000000"/>
        </w:rPr>
      </w:pPr>
      <w:r>
        <w:rPr>
          <w:rFonts w:hint="eastAsia" w:ascii="宋体" w:hAnsi="宋体" w:cs="宋体"/>
          <w:color w:val="000000"/>
          <w:szCs w:val="21"/>
        </w:rPr>
        <w:t>参与竞价的</w:t>
      </w:r>
      <w:r>
        <w:rPr>
          <w:rFonts w:hint="eastAsia" w:ascii="宋体" w:hAnsi="宋体" w:cs="宋体"/>
          <w:color w:val="000000"/>
          <w:szCs w:val="21"/>
          <w:lang w:eastAsia="zh-TW"/>
        </w:rPr>
        <w:t>供应商向我司咨询的有关项目事项，一切以</w:t>
      </w:r>
      <w:r>
        <w:rPr>
          <w:rFonts w:hint="eastAsia" w:ascii="宋体" w:hAnsi="宋体" w:cs="宋体"/>
          <w:color w:val="000000"/>
          <w:szCs w:val="21"/>
        </w:rPr>
        <w:t>竞价文件</w:t>
      </w:r>
      <w:r>
        <w:rPr>
          <w:rFonts w:hint="eastAsia" w:ascii="宋体" w:hAnsi="宋体" w:cs="宋体"/>
          <w:color w:val="000000"/>
          <w:szCs w:val="21"/>
          <w:lang w:eastAsia="zh-TW"/>
        </w:rPr>
        <w:t>规定</w:t>
      </w:r>
      <w:r>
        <w:rPr>
          <w:rFonts w:hint="eastAsia" w:ascii="宋体" w:hAnsi="宋体" w:cs="宋体"/>
          <w:color w:val="000000"/>
          <w:szCs w:val="21"/>
        </w:rPr>
        <w:t>和竞价公告规定以及</w:t>
      </w:r>
      <w:r>
        <w:rPr>
          <w:rFonts w:hint="eastAsia" w:ascii="宋体" w:hAnsi="宋体" w:cs="宋体"/>
          <w:color w:val="000000"/>
          <w:szCs w:val="21"/>
          <w:lang w:eastAsia="zh-TW"/>
        </w:rPr>
        <w:t>本公司</w:t>
      </w:r>
      <w:r>
        <w:rPr>
          <w:rFonts w:hint="eastAsia" w:ascii="宋体" w:hAnsi="宋体" w:cs="宋体"/>
          <w:color w:val="000000"/>
          <w:szCs w:val="21"/>
        </w:rPr>
        <w:t>的</w:t>
      </w:r>
      <w:r>
        <w:rPr>
          <w:rFonts w:hint="eastAsia" w:ascii="宋体" w:hAnsi="宋体" w:cs="宋体"/>
          <w:color w:val="000000"/>
          <w:szCs w:val="21"/>
          <w:lang w:eastAsia="zh-TW"/>
        </w:rPr>
        <w:t>书面答复为准，其他一切形式均为个人意见，不代表本公司的意见</w:t>
      </w:r>
      <w:r>
        <w:rPr>
          <w:rFonts w:hint="eastAsia" w:ascii="宋体" w:hAnsi="宋体" w:cs="宋体"/>
          <w:color w:val="000000"/>
          <w:szCs w:val="21"/>
        </w:rPr>
        <w:t>；</w:t>
      </w:r>
    </w:p>
    <w:p>
      <w:pPr>
        <w:pStyle w:val="27"/>
        <w:numPr>
          <w:ilvl w:val="0"/>
          <w:numId w:val="3"/>
        </w:numPr>
        <w:spacing w:line="360" w:lineRule="auto"/>
        <w:ind w:left="851" w:firstLineChars="0"/>
        <w:rPr>
          <w:rFonts w:ascii="宋体" w:hAnsi="宋体"/>
          <w:color w:val="000000"/>
        </w:rPr>
      </w:pPr>
      <w:r>
        <w:rPr>
          <w:rFonts w:hint="eastAsia" w:ascii="宋体" w:hAnsi="宋体"/>
          <w:color w:val="000000"/>
          <w:szCs w:val="21"/>
        </w:rPr>
        <w:t>参与竞价的供应商应认真阅读</w:t>
      </w:r>
      <w:r>
        <w:rPr>
          <w:rFonts w:hint="eastAsia" w:ascii="宋体" w:hAnsi="宋体" w:cs="宋体"/>
          <w:color w:val="000000"/>
          <w:szCs w:val="21"/>
          <w:lang w:eastAsia="zh-TW"/>
        </w:rPr>
        <w:t>、并充分理解</w:t>
      </w:r>
      <w:r>
        <w:rPr>
          <w:rFonts w:hint="eastAsia" w:ascii="宋体" w:hAnsi="宋体" w:cs="宋体"/>
          <w:color w:val="000000"/>
          <w:szCs w:val="21"/>
        </w:rPr>
        <w:t>竞价</w:t>
      </w:r>
      <w:r>
        <w:rPr>
          <w:rFonts w:hint="eastAsia" w:ascii="宋体" w:hAnsi="宋体" w:cs="宋体"/>
          <w:color w:val="000000"/>
          <w:szCs w:val="21"/>
          <w:lang w:eastAsia="zh-TW"/>
        </w:rPr>
        <w:t>文件的全部内容（包括所有的补充、修改内容重要事项、格式、条款</w:t>
      </w:r>
      <w:r>
        <w:rPr>
          <w:rFonts w:hint="eastAsia" w:ascii="宋体" w:hAnsi="宋体" w:cs="宋体"/>
          <w:color w:val="000000"/>
          <w:szCs w:val="21"/>
        </w:rPr>
        <w:t>、服务要求</w:t>
      </w:r>
      <w:r>
        <w:rPr>
          <w:rFonts w:hint="eastAsia" w:ascii="宋体" w:hAnsi="宋体" w:cs="宋体"/>
          <w:color w:val="000000"/>
          <w:szCs w:val="21"/>
          <w:lang w:eastAsia="zh-TW"/>
        </w:rPr>
        <w:t>和技术规范、参数及要求等）。</w:t>
      </w:r>
      <w:r>
        <w:rPr>
          <w:rFonts w:hint="eastAsia" w:ascii="宋体" w:hAnsi="宋体" w:cs="宋体"/>
          <w:color w:val="000000"/>
          <w:szCs w:val="21"/>
        </w:rPr>
        <w:t>供应商</w:t>
      </w:r>
      <w:r>
        <w:rPr>
          <w:rFonts w:hint="eastAsia" w:ascii="宋体" w:hAnsi="宋体" w:cs="宋体"/>
          <w:color w:val="000000"/>
          <w:szCs w:val="21"/>
          <w:lang w:eastAsia="zh-TW"/>
        </w:rPr>
        <w:t>没有按照</w:t>
      </w:r>
      <w:r>
        <w:rPr>
          <w:rFonts w:hint="eastAsia" w:ascii="宋体" w:hAnsi="宋体" w:cs="宋体"/>
          <w:color w:val="000000"/>
          <w:szCs w:val="21"/>
        </w:rPr>
        <w:t>竞价</w:t>
      </w:r>
      <w:r>
        <w:rPr>
          <w:rFonts w:hint="eastAsia" w:ascii="宋体" w:hAnsi="宋体" w:cs="宋体"/>
          <w:color w:val="000000"/>
          <w:szCs w:val="21"/>
          <w:lang w:eastAsia="zh-TW"/>
        </w:rPr>
        <w:t>文件要求提交全部资料，或者</w:t>
      </w:r>
      <w:r>
        <w:rPr>
          <w:rFonts w:hint="eastAsia" w:ascii="宋体" w:hAnsi="宋体" w:cs="宋体"/>
          <w:color w:val="000000"/>
          <w:szCs w:val="21"/>
        </w:rPr>
        <w:t>参与竞价所上传的</w:t>
      </w:r>
      <w:r>
        <w:rPr>
          <w:rFonts w:hint="eastAsia" w:ascii="宋体" w:hAnsi="宋体" w:cs="宋体"/>
          <w:color w:val="000000"/>
          <w:szCs w:val="21"/>
          <w:lang w:eastAsia="zh-TW"/>
        </w:rPr>
        <w:t>文件没有对</w:t>
      </w:r>
      <w:r>
        <w:rPr>
          <w:rFonts w:hint="eastAsia" w:ascii="宋体" w:hAnsi="宋体" w:cs="宋体"/>
          <w:color w:val="000000"/>
          <w:szCs w:val="21"/>
        </w:rPr>
        <w:t>竞价</w:t>
      </w:r>
      <w:r>
        <w:rPr>
          <w:rFonts w:hint="eastAsia" w:ascii="宋体" w:hAnsi="宋体" w:cs="宋体"/>
          <w:color w:val="000000"/>
          <w:szCs w:val="21"/>
          <w:lang w:eastAsia="zh-TW"/>
        </w:rPr>
        <w:t>文件在各方面都作出实质性响应是</w:t>
      </w:r>
      <w:r>
        <w:rPr>
          <w:rFonts w:hint="eastAsia" w:ascii="宋体" w:hAnsi="宋体" w:cs="宋体"/>
          <w:color w:val="000000"/>
          <w:szCs w:val="21"/>
        </w:rPr>
        <w:t>供应商</w:t>
      </w:r>
      <w:r>
        <w:rPr>
          <w:rFonts w:hint="eastAsia" w:ascii="宋体" w:hAnsi="宋体" w:cs="宋体"/>
          <w:color w:val="000000"/>
          <w:szCs w:val="21"/>
          <w:lang w:eastAsia="zh-TW"/>
        </w:rPr>
        <w:t>的风险，有可能导致其</w:t>
      </w:r>
      <w:r>
        <w:rPr>
          <w:rFonts w:hint="eastAsia" w:ascii="宋体" w:hAnsi="宋体" w:cs="宋体"/>
          <w:color w:val="000000"/>
          <w:szCs w:val="21"/>
        </w:rPr>
        <w:t>竞价</w:t>
      </w:r>
      <w:r>
        <w:rPr>
          <w:rFonts w:hint="eastAsia" w:ascii="宋体" w:hAnsi="宋体" w:cs="宋体"/>
          <w:color w:val="000000"/>
          <w:szCs w:val="21"/>
          <w:lang w:eastAsia="zh-TW"/>
        </w:rPr>
        <w:t>被拒绝，</w:t>
      </w:r>
      <w:r>
        <w:rPr>
          <w:rFonts w:hint="eastAsia" w:ascii="宋体" w:hAnsi="宋体"/>
          <w:color w:val="000000"/>
          <w:szCs w:val="21"/>
        </w:rPr>
        <w:t>或被认定为无效竞价。</w:t>
      </w:r>
    </w:p>
    <w:p>
      <w:pPr>
        <w:pStyle w:val="27"/>
        <w:numPr>
          <w:ilvl w:val="0"/>
          <w:numId w:val="3"/>
        </w:numPr>
        <w:spacing w:line="360" w:lineRule="auto"/>
        <w:ind w:left="851" w:firstLineChars="0"/>
        <w:rPr>
          <w:rFonts w:ascii="宋体" w:hAnsi="宋体"/>
          <w:color w:val="000000"/>
        </w:rPr>
      </w:pPr>
      <w:r>
        <w:rPr>
          <w:rFonts w:hint="eastAsia" w:ascii="宋体" w:hAnsi="宋体"/>
          <w:color w:val="000000"/>
          <w:kern w:val="0"/>
          <w:szCs w:val="21"/>
        </w:rPr>
        <w:t>采购人有权拒绝接受任何不合格的货物或服务，由此产生的费用及相关后果均由成交供应商自行承担；</w:t>
      </w:r>
    </w:p>
    <w:p>
      <w:pPr>
        <w:pStyle w:val="27"/>
        <w:numPr>
          <w:ilvl w:val="0"/>
          <w:numId w:val="3"/>
        </w:numPr>
        <w:spacing w:line="360" w:lineRule="auto"/>
        <w:ind w:left="851" w:firstLineChars="0"/>
        <w:rPr>
          <w:rFonts w:ascii="宋体" w:hAnsi="宋体"/>
          <w:color w:val="000000"/>
        </w:rPr>
      </w:pPr>
      <w:r>
        <w:rPr>
          <w:rFonts w:hint="eastAsia" w:ascii="宋体" w:hAnsi="宋体"/>
          <w:color w:val="000000"/>
        </w:rPr>
        <w:t>供应商认为竞价结果损害其权益的，应按照云采链平台相关指引在规定的时间内向采购人或代理机构提交书面质疑，不提交的视为无异议，</w:t>
      </w:r>
      <w:r>
        <w:rPr>
          <w:rFonts w:ascii="宋体" w:hAnsi="宋体"/>
          <w:color w:val="000000"/>
        </w:rPr>
        <w:t>逾期提交将不予受理</w:t>
      </w:r>
      <w:r>
        <w:rPr>
          <w:rFonts w:hint="eastAsia" w:ascii="宋体" w:hAnsi="宋体"/>
          <w:color w:val="000000"/>
        </w:rPr>
        <w:t>。</w:t>
      </w:r>
    </w:p>
    <w:p>
      <w:pPr>
        <w:pStyle w:val="27"/>
        <w:numPr>
          <w:ilvl w:val="0"/>
          <w:numId w:val="3"/>
        </w:numPr>
        <w:spacing w:line="360" w:lineRule="auto"/>
        <w:ind w:left="851" w:firstLineChars="0"/>
        <w:rPr>
          <w:rFonts w:ascii="宋体" w:hAnsi="宋体"/>
          <w:color w:val="000000"/>
        </w:rPr>
      </w:pPr>
      <w:r>
        <w:rPr>
          <w:rFonts w:hint="eastAsia" w:ascii="宋体" w:hAnsi="宋体"/>
          <w:color w:val="000000"/>
          <w:szCs w:val="21"/>
        </w:rPr>
        <w:t>本竞价公告和竞价文件的解释权归</w:t>
      </w:r>
      <w:r>
        <w:rPr>
          <w:rFonts w:hint="eastAsia" w:ascii="宋体" w:hAnsi="宋体" w:cs="宋体"/>
          <w:color w:val="000000"/>
          <w:szCs w:val="21"/>
          <w:lang w:eastAsia="zh-TW"/>
        </w:rPr>
        <w:t>“云采链</w:t>
      </w:r>
      <w:r>
        <w:rPr>
          <w:rFonts w:hint="eastAsia" w:ascii="宋体" w:hAnsi="宋体"/>
          <w:color w:val="000000"/>
        </w:rPr>
        <w:t>线上采购一体化平台</w:t>
      </w:r>
      <w:r>
        <w:rPr>
          <w:rFonts w:hint="eastAsia" w:ascii="宋体" w:hAnsi="宋体" w:cs="宋体"/>
          <w:color w:val="000000"/>
          <w:szCs w:val="21"/>
          <w:lang w:eastAsia="zh-TW"/>
        </w:rPr>
        <w:t>”所有。</w:t>
      </w:r>
    </w:p>
    <w:p>
      <w:pPr>
        <w:pStyle w:val="27"/>
        <w:numPr>
          <w:ilvl w:val="0"/>
          <w:numId w:val="2"/>
        </w:numPr>
        <w:spacing w:line="360" w:lineRule="auto"/>
        <w:ind w:firstLineChars="0"/>
        <w:rPr>
          <w:rFonts w:ascii="宋体" w:hAnsi="宋体"/>
          <w:color w:val="000000"/>
        </w:rPr>
      </w:pPr>
      <w:r>
        <w:rPr>
          <w:rFonts w:hint="eastAsia" w:ascii="宋体" w:hAnsi="宋体"/>
          <w:b/>
          <w:color w:val="000000"/>
        </w:rPr>
        <w:t>竞价文件的澄清或修改</w:t>
      </w:r>
    </w:p>
    <w:p>
      <w:pPr>
        <w:pStyle w:val="27"/>
        <w:numPr>
          <w:ilvl w:val="1"/>
          <w:numId w:val="4"/>
        </w:numPr>
        <w:spacing w:line="360" w:lineRule="auto"/>
        <w:ind w:firstLineChars="0"/>
        <w:rPr>
          <w:rFonts w:ascii="宋体" w:hAnsi="宋体"/>
          <w:color w:val="000000"/>
        </w:rPr>
      </w:pPr>
      <w:r>
        <w:rPr>
          <w:rFonts w:hint="eastAsia" w:ascii="宋体" w:hAnsi="宋体"/>
          <w:color w:val="000000"/>
        </w:rPr>
        <w:t>采购人或者采购代理机构可以对已发出的竞价文件进行必要的澄清或者修改。澄清或者修改的内容将在云采链平台上发布澄清（更正/变更）公告。</w:t>
      </w:r>
    </w:p>
    <w:p>
      <w:pPr>
        <w:pStyle w:val="27"/>
        <w:numPr>
          <w:ilvl w:val="1"/>
          <w:numId w:val="4"/>
        </w:numPr>
        <w:spacing w:line="360" w:lineRule="auto"/>
        <w:ind w:firstLineChars="0"/>
        <w:rPr>
          <w:rFonts w:ascii="宋体" w:hAnsi="宋体"/>
          <w:color w:val="000000"/>
        </w:rPr>
      </w:pPr>
      <w:r>
        <w:rPr>
          <w:rFonts w:hint="eastAsia" w:ascii="宋体" w:hAnsi="宋体"/>
          <w:color w:val="000000"/>
        </w:rPr>
        <w:t>无论澄清或者修改的内容是否影响竞价，平台将以短信形式通知所有的报名供应商；报名供应商应按要求履行相应的义务；</w:t>
      </w:r>
      <w:r>
        <w:rPr>
          <w:rFonts w:hint="eastAsia" w:ascii="宋体" w:hAnsi="宋体" w:cs="宋体"/>
          <w:color w:val="000000"/>
          <w:szCs w:val="21"/>
        </w:rPr>
        <w:t>如报名</w:t>
      </w:r>
      <w:r>
        <w:rPr>
          <w:rFonts w:hint="eastAsia" w:ascii="宋体" w:hAnsi="宋体" w:cs="宋体"/>
          <w:color w:val="000000"/>
          <w:szCs w:val="21"/>
          <w:lang w:eastAsia="zh-TW"/>
        </w:rPr>
        <w:t>截止时间</w:t>
      </w:r>
      <w:r>
        <w:rPr>
          <w:rFonts w:hint="eastAsia" w:ascii="宋体" w:hAnsi="宋体" w:cs="宋体"/>
          <w:color w:val="000000"/>
          <w:szCs w:val="21"/>
        </w:rPr>
        <w:t>少于一个工作日的，</w:t>
      </w:r>
      <w:r>
        <w:rPr>
          <w:rFonts w:hint="eastAsia" w:ascii="宋体" w:hAnsi="宋体"/>
          <w:color w:val="000000"/>
        </w:rPr>
        <w:t>采购人或者采购代理机构应当相应顺延报名的截止时间。</w:t>
      </w:r>
    </w:p>
    <w:p>
      <w:pPr>
        <w:pStyle w:val="27"/>
        <w:numPr>
          <w:ilvl w:val="1"/>
          <w:numId w:val="4"/>
        </w:numPr>
        <w:spacing w:line="360" w:lineRule="auto"/>
        <w:ind w:firstLineChars="0"/>
        <w:rPr>
          <w:rStyle w:val="15"/>
          <w:rFonts w:ascii="宋体" w:hAnsi="宋体"/>
          <w:b w:val="0"/>
          <w:bCs w:val="0"/>
          <w:color w:val="000000"/>
        </w:rPr>
      </w:pPr>
      <w:r>
        <w:rPr>
          <w:rFonts w:hint="eastAsia" w:ascii="宋体" w:hAnsi="宋体"/>
          <w:color w:val="000000"/>
        </w:rPr>
        <w:t>采购人或者采购代理机构发出的澄清或修改（更正/变更）的内容为竞价文件的组成部分，并对供应商具有约束力。</w:t>
      </w:r>
    </w:p>
    <w:p>
      <w:pPr>
        <w:pStyle w:val="27"/>
        <w:numPr>
          <w:ilvl w:val="0"/>
          <w:numId w:val="2"/>
        </w:numPr>
        <w:spacing w:line="360" w:lineRule="auto"/>
        <w:ind w:firstLineChars="0"/>
        <w:rPr>
          <w:rStyle w:val="15"/>
          <w:rFonts w:ascii="宋体" w:hAnsi="宋体"/>
          <w:bCs w:val="0"/>
          <w:color w:val="000000"/>
        </w:rPr>
      </w:pPr>
      <w:r>
        <w:rPr>
          <w:rStyle w:val="15"/>
          <w:rFonts w:hint="eastAsia" w:ascii="宋体" w:hAnsi="宋体"/>
          <w:bCs w:val="0"/>
          <w:color w:val="000000"/>
        </w:rPr>
        <w:t>报名要求（</w:t>
      </w:r>
      <w:r>
        <w:rPr>
          <w:rFonts w:hint="eastAsia" w:ascii="宋体" w:hAnsi="宋体"/>
          <w:color w:val="000000"/>
          <w:szCs w:val="21"/>
        </w:rPr>
        <w:t>参与竞价的</w:t>
      </w:r>
      <w:r>
        <w:rPr>
          <w:rStyle w:val="15"/>
          <w:rFonts w:hint="eastAsia" w:ascii="宋体" w:hAnsi="宋体"/>
          <w:bCs w:val="0"/>
          <w:color w:val="000000"/>
        </w:rPr>
        <w:t>供应商资质要求:</w:t>
      </w:r>
      <w:r>
        <w:rPr>
          <w:rStyle w:val="15"/>
          <w:rFonts w:hint="eastAsia" w:ascii="宋体" w:hAnsi="宋体"/>
          <w:b w:val="0"/>
          <w:color w:val="000000"/>
          <w:szCs w:val="21"/>
        </w:rPr>
        <w:t xml:space="preserve"> 报名时需要提供以下</w:t>
      </w:r>
      <w:r>
        <w:rPr>
          <w:rStyle w:val="15"/>
          <w:rFonts w:hint="eastAsia" w:ascii="宋体" w:hAnsi="宋体"/>
          <w:color w:val="000000"/>
          <w:szCs w:val="21"/>
          <w:u w:val="double"/>
        </w:rPr>
        <w:t>盖章</w:t>
      </w:r>
      <w:r>
        <w:rPr>
          <w:rStyle w:val="15"/>
          <w:rFonts w:hint="eastAsia" w:ascii="宋体" w:hAnsi="宋体"/>
          <w:b w:val="0"/>
          <w:color w:val="000000"/>
          <w:szCs w:val="21"/>
        </w:rPr>
        <w:t>资料，</w:t>
      </w:r>
      <w:r>
        <w:rPr>
          <w:rFonts w:hint="eastAsia" w:ascii="宋体" w:hAnsi="宋体"/>
          <w:color w:val="000000"/>
          <w:szCs w:val="21"/>
        </w:rPr>
        <w:t>并对上传的报名文件资料承担责任</w:t>
      </w:r>
      <w:r>
        <w:rPr>
          <w:rStyle w:val="15"/>
          <w:rFonts w:hint="eastAsia" w:ascii="宋体" w:hAnsi="宋体"/>
          <w:bCs w:val="0"/>
          <w:color w:val="000000"/>
        </w:rPr>
        <w:t>）</w:t>
      </w:r>
      <w:bookmarkStart w:id="1" w:name="_GoBack"/>
      <w:bookmarkEnd w:id="1"/>
    </w:p>
    <w:p>
      <w:pPr>
        <w:pStyle w:val="27"/>
        <w:widowControl/>
        <w:numPr>
          <w:ilvl w:val="0"/>
          <w:numId w:val="5"/>
        </w:numPr>
        <w:spacing w:line="360" w:lineRule="auto"/>
        <w:ind w:left="840" w:firstLineChars="0"/>
        <w:jc w:val="left"/>
        <w:rPr>
          <w:rFonts w:ascii="宋体" w:hAnsi="宋体" w:cs="宋体"/>
          <w:color w:val="000000"/>
        </w:rPr>
      </w:pPr>
      <w:r>
        <w:rPr>
          <w:rFonts w:hint="eastAsia" w:ascii="宋体" w:hAnsi="宋体" w:cs="宋体"/>
          <w:color w:val="000000"/>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27"/>
        <w:widowControl/>
        <w:numPr>
          <w:ilvl w:val="0"/>
          <w:numId w:val="5"/>
        </w:numPr>
        <w:tabs>
          <w:tab w:val="left" w:pos="851"/>
        </w:tabs>
        <w:spacing w:line="360" w:lineRule="auto"/>
        <w:ind w:left="851" w:firstLineChars="0"/>
        <w:jc w:val="left"/>
        <w:rPr>
          <w:rFonts w:ascii="宋体" w:hAnsi="宋体"/>
          <w:bCs/>
          <w:szCs w:val="21"/>
        </w:rPr>
      </w:pPr>
      <w:r>
        <w:rPr>
          <w:rFonts w:hint="eastAsia" w:ascii="宋体" w:hAnsi="宋体" w:cs="宋体"/>
          <w:color w:val="000000"/>
          <w:kern w:val="0"/>
          <w:szCs w:val="21"/>
        </w:rPr>
        <w:t>供应商完全响应本项目用户需求的条款、内容及要求的，提供用户需求书响应声明函即可</w:t>
      </w:r>
      <w:r>
        <w:rPr>
          <w:rFonts w:hint="eastAsia" w:ascii="宋体" w:hAnsi="宋体" w:cs="宋体"/>
          <w:b/>
          <w:color w:val="000000"/>
          <w:kern w:val="0"/>
          <w:szCs w:val="21"/>
        </w:rPr>
        <w:t>，格式详见附件</w:t>
      </w:r>
      <w:r>
        <w:rPr>
          <w:rFonts w:hint="eastAsia" w:ascii="宋体" w:hAnsi="宋体" w:cs="宋体"/>
          <w:color w:val="000000"/>
          <w:kern w:val="0"/>
          <w:szCs w:val="21"/>
        </w:rPr>
        <w:t>；</w:t>
      </w:r>
      <w:r>
        <w:rPr>
          <w:rFonts w:ascii="宋体" w:hAnsi="宋体" w:cs="宋体"/>
          <w:color w:val="000000"/>
          <w:kern w:val="0"/>
          <w:szCs w:val="20"/>
        </w:rPr>
        <w:t xml:space="preserve"> </w:t>
      </w:r>
    </w:p>
    <w:p>
      <w:pPr>
        <w:pStyle w:val="27"/>
        <w:widowControl/>
        <w:numPr>
          <w:ilvl w:val="0"/>
          <w:numId w:val="5"/>
        </w:numPr>
        <w:spacing w:line="360" w:lineRule="auto"/>
        <w:ind w:left="851" w:hanging="425" w:firstLineChars="0"/>
        <w:jc w:val="left"/>
        <w:rPr>
          <w:rFonts w:ascii="宋体" w:hAnsi="宋体" w:cs="宋体"/>
          <w:color w:val="000000"/>
          <w:kern w:val="0"/>
          <w:szCs w:val="20"/>
        </w:rPr>
      </w:pPr>
      <w:r>
        <w:rPr>
          <w:rFonts w:hint="eastAsia" w:ascii="宋体" w:hAnsi="宋体" w:cs="宋体"/>
          <w:color w:val="000000"/>
          <w:kern w:val="0"/>
          <w:szCs w:val="20"/>
        </w:rPr>
        <w:t>符合《中华人民共和国政府采购法》的第二十二条规定，本项目不允许分包，不接受联合竞价；提供供应商资格声明函，</w:t>
      </w:r>
      <w:r>
        <w:rPr>
          <w:rFonts w:hint="eastAsia" w:ascii="宋体" w:hAnsi="宋体" w:cs="宋体"/>
          <w:b/>
          <w:color w:val="000000"/>
          <w:kern w:val="0"/>
          <w:szCs w:val="20"/>
        </w:rPr>
        <w:t>格式详见附件；</w:t>
      </w:r>
    </w:p>
    <w:p>
      <w:pPr>
        <w:pStyle w:val="27"/>
        <w:numPr>
          <w:ilvl w:val="0"/>
          <w:numId w:val="2"/>
        </w:numPr>
        <w:spacing w:line="360" w:lineRule="auto"/>
        <w:ind w:firstLineChars="0"/>
        <w:rPr>
          <w:rStyle w:val="15"/>
          <w:rFonts w:ascii="宋体" w:hAnsi="宋体"/>
          <w:bCs w:val="0"/>
          <w:color w:val="000000"/>
        </w:rPr>
      </w:pPr>
      <w:r>
        <w:rPr>
          <w:rStyle w:val="15"/>
          <w:rFonts w:hint="eastAsia" w:ascii="宋体" w:hAnsi="宋体"/>
          <w:bCs w:val="0"/>
          <w:color w:val="000000"/>
        </w:rPr>
        <w:t>报价要求</w:t>
      </w:r>
      <w:r>
        <w:rPr>
          <w:rStyle w:val="15"/>
          <w:rFonts w:hint="eastAsia" w:ascii="宋体" w:hAnsi="宋体"/>
          <w:color w:val="000000"/>
          <w:szCs w:val="21"/>
        </w:rPr>
        <w:t>（</w:t>
      </w:r>
      <w:r>
        <w:rPr>
          <w:rStyle w:val="15"/>
          <w:rFonts w:hint="eastAsia" w:ascii="宋体" w:hAnsi="宋体"/>
          <w:b w:val="0"/>
          <w:color w:val="000000"/>
          <w:szCs w:val="21"/>
        </w:rPr>
        <w:t>报价时需要提供以下</w:t>
      </w:r>
      <w:r>
        <w:rPr>
          <w:rStyle w:val="15"/>
          <w:rFonts w:hint="eastAsia" w:ascii="宋体" w:hAnsi="宋体"/>
          <w:color w:val="000000"/>
          <w:szCs w:val="21"/>
          <w:u w:val="double"/>
        </w:rPr>
        <w:t>盖章</w:t>
      </w:r>
      <w:r>
        <w:rPr>
          <w:rStyle w:val="15"/>
          <w:rFonts w:hint="eastAsia" w:ascii="宋体" w:hAnsi="宋体"/>
          <w:b w:val="0"/>
          <w:color w:val="000000"/>
          <w:szCs w:val="21"/>
        </w:rPr>
        <w:t>资料，</w:t>
      </w:r>
      <w:r>
        <w:rPr>
          <w:rFonts w:hint="eastAsia" w:ascii="宋体" w:hAnsi="宋体"/>
          <w:color w:val="000000"/>
          <w:szCs w:val="21"/>
        </w:rPr>
        <w:t>并对上传的竞价文件资料承担责任</w:t>
      </w:r>
      <w:r>
        <w:rPr>
          <w:rStyle w:val="15"/>
          <w:rFonts w:hint="eastAsia" w:ascii="宋体" w:hAnsi="宋体"/>
          <w:color w:val="000000"/>
          <w:szCs w:val="21"/>
        </w:rPr>
        <w:t>）</w:t>
      </w:r>
    </w:p>
    <w:p>
      <w:pPr>
        <w:pStyle w:val="27"/>
        <w:numPr>
          <w:ilvl w:val="0"/>
          <w:numId w:val="6"/>
        </w:numPr>
        <w:spacing w:line="360" w:lineRule="auto"/>
        <w:ind w:left="851" w:firstLineChars="0"/>
        <w:rPr>
          <w:rFonts w:ascii="宋体" w:hAnsi="宋体"/>
          <w:color w:val="000000"/>
        </w:rPr>
      </w:pPr>
      <w:r>
        <w:rPr>
          <w:rFonts w:hint="eastAsia" w:ascii="宋体" w:hAnsi="宋体"/>
          <w:color w:val="000000"/>
          <w:szCs w:val="21"/>
        </w:rPr>
        <w:t>通过报名供应商应根据本公告要求，在规定的竞价时间内对采购项目进行报价，同时按本公告要求完整</w:t>
      </w:r>
      <w:r>
        <w:rPr>
          <w:rFonts w:hint="eastAsia" w:ascii="宋体" w:hAnsi="宋体" w:cs="宋体"/>
          <w:color w:val="000000"/>
          <w:szCs w:val="21"/>
          <w:lang w:eastAsia="zh-TW"/>
        </w:rPr>
        <w:t>、真实、准确地</w:t>
      </w:r>
      <w:r>
        <w:rPr>
          <w:rFonts w:hint="eastAsia" w:ascii="宋体" w:hAnsi="宋体" w:cs="宋体"/>
          <w:color w:val="000000"/>
          <w:szCs w:val="21"/>
        </w:rPr>
        <w:t>填写并</w:t>
      </w:r>
      <w:r>
        <w:rPr>
          <w:rFonts w:hint="eastAsia" w:ascii="宋体" w:hAnsi="宋体"/>
          <w:color w:val="000000"/>
          <w:szCs w:val="21"/>
        </w:rPr>
        <w:t>上传相应</w:t>
      </w:r>
      <w:r>
        <w:rPr>
          <w:rFonts w:hint="eastAsia" w:ascii="宋体" w:hAnsi="宋体"/>
          <w:bCs/>
          <w:color w:val="000000"/>
          <w:szCs w:val="21"/>
        </w:rPr>
        <w:t>报价附件</w:t>
      </w:r>
      <w:r>
        <w:rPr>
          <w:rFonts w:hint="eastAsia" w:ascii="宋体" w:hAnsi="宋体"/>
          <w:b/>
          <w:bCs/>
          <w:color w:val="000000"/>
          <w:szCs w:val="21"/>
        </w:rPr>
        <w:t>（报价表）</w:t>
      </w:r>
      <w:r>
        <w:rPr>
          <w:rFonts w:hint="eastAsia" w:ascii="宋体" w:hAnsi="宋体"/>
          <w:color w:val="000000"/>
          <w:szCs w:val="21"/>
        </w:rPr>
        <w:t>。</w:t>
      </w:r>
    </w:p>
    <w:p>
      <w:pPr>
        <w:pStyle w:val="27"/>
        <w:numPr>
          <w:ilvl w:val="0"/>
          <w:numId w:val="6"/>
        </w:numPr>
        <w:spacing w:line="360" w:lineRule="auto"/>
        <w:ind w:left="851" w:firstLineChars="0"/>
        <w:rPr>
          <w:rFonts w:ascii="宋体" w:hAnsi="宋体"/>
          <w:color w:val="000000"/>
        </w:rPr>
      </w:pPr>
      <w:r>
        <w:rPr>
          <w:rFonts w:hint="eastAsia" w:ascii="宋体" w:hAnsi="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7"/>
        <w:numPr>
          <w:ilvl w:val="0"/>
          <w:numId w:val="2"/>
        </w:numPr>
        <w:spacing w:line="360" w:lineRule="auto"/>
        <w:ind w:firstLineChars="0"/>
        <w:rPr>
          <w:rStyle w:val="15"/>
          <w:rFonts w:ascii="宋体" w:hAnsi="宋体"/>
          <w:bCs w:val="0"/>
          <w:color w:val="000000"/>
        </w:rPr>
      </w:pPr>
      <w:r>
        <w:rPr>
          <w:rStyle w:val="15"/>
          <w:rFonts w:hint="eastAsia" w:ascii="宋体" w:hAnsi="宋体"/>
          <w:bCs w:val="0"/>
          <w:color w:val="000000"/>
        </w:rPr>
        <w:t>确定成交候选人</w:t>
      </w:r>
    </w:p>
    <w:p>
      <w:pPr>
        <w:pStyle w:val="27"/>
        <w:numPr>
          <w:ilvl w:val="0"/>
          <w:numId w:val="7"/>
        </w:numPr>
        <w:spacing w:line="360" w:lineRule="auto"/>
        <w:ind w:firstLineChars="0"/>
        <w:rPr>
          <w:rFonts w:ascii="宋体" w:hAnsi="宋体"/>
          <w:color w:val="000000"/>
        </w:rPr>
      </w:pPr>
      <w:r>
        <w:rPr>
          <w:rFonts w:hint="eastAsia" w:ascii="宋体" w:hAnsi="宋体"/>
          <w:color w:val="000000"/>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27"/>
        <w:numPr>
          <w:ilvl w:val="0"/>
          <w:numId w:val="2"/>
        </w:numPr>
        <w:spacing w:line="360" w:lineRule="auto"/>
        <w:ind w:firstLineChars="0"/>
        <w:rPr>
          <w:rFonts w:ascii="宋体" w:hAnsi="宋体"/>
          <w:b/>
          <w:color w:val="000000"/>
          <w:szCs w:val="21"/>
        </w:rPr>
      </w:pPr>
      <w:r>
        <w:rPr>
          <w:rFonts w:hint="eastAsia" w:ascii="宋体" w:hAnsi="宋体"/>
          <w:b/>
          <w:color w:val="000000"/>
          <w:szCs w:val="21"/>
        </w:rPr>
        <w:t>无效报价</w:t>
      </w:r>
    </w:p>
    <w:p>
      <w:pPr>
        <w:pStyle w:val="27"/>
        <w:numPr>
          <w:ilvl w:val="0"/>
          <w:numId w:val="8"/>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color w:val="000000"/>
        </w:rPr>
        <w:t>供应商报价超过最高限价或低于最低限价或超过项目对应产品单项最高限价的视为无效报价。</w:t>
      </w:r>
    </w:p>
    <w:p>
      <w:pPr>
        <w:pStyle w:val="27"/>
        <w:numPr>
          <w:ilvl w:val="0"/>
          <w:numId w:val="8"/>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供应商须提供本项目要求的资质文件，如果不按公告规定或竞价文件要求等相关规定提供符合要求的资质文件，将被视为无效报价；</w:t>
      </w:r>
    </w:p>
    <w:p>
      <w:pPr>
        <w:pStyle w:val="27"/>
        <w:numPr>
          <w:ilvl w:val="0"/>
          <w:numId w:val="8"/>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供应商须对本项目采购内容进行整体报价，任何只对其中一部分内容进行的报价都被视为无效报价。</w:t>
      </w:r>
    </w:p>
    <w:p>
      <w:pPr>
        <w:pStyle w:val="27"/>
        <w:numPr>
          <w:ilvl w:val="0"/>
          <w:numId w:val="8"/>
        </w:numPr>
        <w:spacing w:line="360" w:lineRule="auto"/>
        <w:ind w:firstLineChars="0"/>
        <w:rPr>
          <w:rFonts w:ascii="宋体" w:hAnsi="宋体"/>
          <w:color w:val="000000"/>
          <w:szCs w:val="21"/>
        </w:rPr>
      </w:pPr>
      <w:r>
        <w:rPr>
          <w:rFonts w:ascii="宋体" w:hAnsi="宋体"/>
          <w:color w:val="000000"/>
          <w:u w:val="double"/>
        </w:rPr>
        <w:t>报价表</w:t>
      </w:r>
      <w:r>
        <w:rPr>
          <w:rFonts w:hint="eastAsia" w:ascii="宋体" w:hAnsi="宋体"/>
          <w:color w:val="000000"/>
          <w:u w:val="double"/>
        </w:rPr>
        <w:t>以及有报价供应商落款的报价文件</w:t>
      </w:r>
      <w:r>
        <w:rPr>
          <w:rFonts w:ascii="宋体" w:hAnsi="宋体"/>
          <w:color w:val="000000"/>
          <w:u w:val="double"/>
        </w:rPr>
        <w:t>必须加盖</w:t>
      </w:r>
      <w:r>
        <w:rPr>
          <w:rFonts w:hint="eastAsia" w:ascii="宋体" w:hAnsi="宋体"/>
          <w:color w:val="000000"/>
          <w:u w:val="double"/>
        </w:rPr>
        <w:t>报价供应商</w:t>
      </w:r>
      <w:r>
        <w:rPr>
          <w:rFonts w:ascii="宋体" w:hAnsi="宋体"/>
          <w:color w:val="000000"/>
          <w:u w:val="double"/>
        </w:rPr>
        <w:t>公章，否则视为无效报价</w:t>
      </w:r>
      <w:r>
        <w:rPr>
          <w:rFonts w:hint="eastAsia" w:ascii="宋体" w:hAnsi="宋体"/>
          <w:color w:val="000000"/>
        </w:rPr>
        <w:t>；</w:t>
      </w:r>
    </w:p>
    <w:p>
      <w:pPr>
        <w:pStyle w:val="9"/>
        <w:numPr>
          <w:ilvl w:val="0"/>
          <w:numId w:val="8"/>
        </w:numPr>
        <w:shd w:val="clear" w:color="auto" w:fill="FFFFFF"/>
        <w:spacing w:before="0" w:beforeAutospacing="0" w:after="0" w:afterAutospacing="0" w:line="360" w:lineRule="auto"/>
        <w:rPr>
          <w:color w:val="000000"/>
          <w:sz w:val="21"/>
          <w:szCs w:val="21"/>
        </w:rPr>
      </w:pPr>
      <w:r>
        <w:rPr>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b/>
          <w:color w:val="000000"/>
          <w:sz w:val="21"/>
          <w:szCs w:val="21"/>
        </w:rPr>
        <w:t>不接受总价优惠折扣形式的报价，供应商应将对项目的优惠直接在清单报价中体现出来</w:t>
      </w:r>
      <w:r>
        <w:rPr>
          <w:color w:val="000000"/>
          <w:sz w:val="21"/>
          <w:szCs w:val="21"/>
        </w:rPr>
        <w:t>。如果供应商不接受对其错误的更正，其报价将被视为无效报价；</w:t>
      </w:r>
    </w:p>
    <w:p>
      <w:pPr>
        <w:pStyle w:val="9"/>
        <w:numPr>
          <w:ilvl w:val="0"/>
          <w:numId w:val="8"/>
        </w:numPr>
        <w:shd w:val="clear" w:color="auto" w:fill="FFFFFF"/>
        <w:spacing w:before="0" w:beforeAutospacing="0" w:after="0" w:afterAutospacing="0" w:line="360" w:lineRule="auto"/>
        <w:rPr>
          <w:b/>
          <w:bCs/>
          <w:color w:val="000000"/>
          <w:sz w:val="21"/>
          <w:szCs w:val="21"/>
          <w:u w:val="double"/>
        </w:rPr>
      </w:pPr>
      <w:r>
        <w:rPr>
          <w:rFonts w:hint="eastAsia"/>
          <w:b/>
          <w:bCs/>
          <w:color w:val="000000"/>
          <w:sz w:val="21"/>
          <w:szCs w:val="21"/>
          <w:u w:val="double"/>
        </w:rPr>
        <w:t>按有关法律、法规、规章属于报价无效的。</w:t>
      </w:r>
    </w:p>
    <w:p>
      <w:pPr>
        <w:pStyle w:val="9"/>
        <w:numPr>
          <w:ilvl w:val="0"/>
          <w:numId w:val="8"/>
        </w:numPr>
        <w:shd w:val="clear" w:color="auto" w:fill="FFFFFF"/>
        <w:spacing w:before="0" w:beforeAutospacing="0" w:after="0" w:afterAutospacing="0" w:line="360" w:lineRule="auto"/>
        <w:rPr>
          <w:color w:val="000000"/>
          <w:sz w:val="21"/>
          <w:szCs w:val="21"/>
        </w:rPr>
      </w:pPr>
      <w:r>
        <w:rPr>
          <w:rFonts w:hint="eastAsia"/>
          <w:b/>
          <w:color w:val="000000"/>
          <w:sz w:val="21"/>
          <w:szCs w:val="21"/>
        </w:rPr>
        <w:t>有下列情形之一的，视为串通竞价，其报价无效：</w:t>
      </w:r>
    </w:p>
    <w:p>
      <w:pPr>
        <w:pStyle w:val="29"/>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存在单位负责人为同一人或存在控股、管理关系的不同单位参与同一竞价项目；</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不同供应商的响应文件由同一单位或者个人编制；</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不同供应商委托同一单位或者个人办理竞价事宜；</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不同供应商使用同一IP地址参与竞价；</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不同供应商的响应文件载明的项目管理成员或者联系人员为同一人；</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不同供应商的响应文件异常一致或者报价呈规律性差异；</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不同供应商的响应文件相互混淆；</w:t>
      </w:r>
    </w:p>
    <w:p>
      <w:pPr>
        <w:pStyle w:val="27"/>
        <w:widowControl/>
        <w:numPr>
          <w:ilvl w:val="2"/>
          <w:numId w:val="9"/>
        </w:numPr>
        <w:spacing w:line="360" w:lineRule="auto"/>
        <w:ind w:firstLineChars="0"/>
        <w:jc w:val="left"/>
        <w:rPr>
          <w:rFonts w:ascii="宋体" w:hAnsi="宋体"/>
          <w:color w:val="000000"/>
          <w:szCs w:val="21"/>
        </w:rPr>
      </w:pPr>
      <w:r>
        <w:rPr>
          <w:rFonts w:hint="eastAsia" w:ascii="宋体" w:hAnsi="宋体"/>
          <w:color w:val="000000"/>
          <w:szCs w:val="21"/>
        </w:rPr>
        <w:t>不同供应商的平台使用费从同一单位或者个人的账户转出；</w:t>
      </w:r>
    </w:p>
    <w:p>
      <w:pPr>
        <w:pStyle w:val="9"/>
        <w:numPr>
          <w:ilvl w:val="0"/>
          <w:numId w:val="8"/>
        </w:numPr>
        <w:shd w:val="clear" w:color="auto" w:fill="FFFFFF"/>
        <w:spacing w:before="0" w:beforeAutospacing="0" w:after="0" w:afterAutospacing="0" w:line="360" w:lineRule="auto"/>
        <w:rPr>
          <w:b/>
          <w:color w:val="000000"/>
          <w:sz w:val="21"/>
          <w:szCs w:val="21"/>
        </w:rPr>
      </w:pPr>
      <w:r>
        <w:rPr>
          <w:rFonts w:hint="eastAsia"/>
          <w:b/>
          <w:color w:val="000000"/>
          <w:sz w:val="21"/>
          <w:szCs w:val="21"/>
        </w:rPr>
        <w:t>供应商的报价明显低于其他供应商报价，有可能影响项目质量或者不能诚信履约的，在采购单位规定的时间内未能提供书面说明其报价合理性的视为无效报价。</w:t>
      </w:r>
    </w:p>
    <w:p>
      <w:pPr>
        <w:pStyle w:val="27"/>
        <w:numPr>
          <w:ilvl w:val="0"/>
          <w:numId w:val="2"/>
        </w:numPr>
        <w:spacing w:line="360" w:lineRule="auto"/>
        <w:ind w:firstLineChars="0"/>
        <w:rPr>
          <w:rFonts w:ascii="宋体" w:hAnsi="宋体"/>
          <w:color w:val="000000"/>
          <w:szCs w:val="21"/>
        </w:rPr>
      </w:pPr>
      <w:r>
        <w:rPr>
          <w:rFonts w:hint="eastAsia" w:ascii="宋体" w:hAnsi="宋体"/>
          <w:b/>
          <w:color w:val="000000"/>
          <w:szCs w:val="21"/>
        </w:rPr>
        <w:t>竞价活动失败</w:t>
      </w:r>
    </w:p>
    <w:p>
      <w:pPr>
        <w:pStyle w:val="27"/>
        <w:numPr>
          <w:ilvl w:val="0"/>
          <w:numId w:val="10"/>
        </w:numPr>
        <w:spacing w:line="360" w:lineRule="auto"/>
        <w:ind w:left="851" w:hanging="425" w:firstLineChars="0"/>
        <w:rPr>
          <w:rFonts w:ascii="宋体" w:hAnsi="宋体"/>
          <w:color w:val="000000"/>
          <w:szCs w:val="21"/>
        </w:rPr>
      </w:pPr>
      <w:r>
        <w:rPr>
          <w:rFonts w:ascii="宋体" w:hAnsi="宋体" w:cs="Tahoma"/>
          <w:color w:val="000000"/>
          <w:szCs w:val="21"/>
        </w:rPr>
        <w:t>出现下列情况的，本次竞价活动失败：</w:t>
      </w:r>
    </w:p>
    <w:p>
      <w:pPr>
        <w:pStyle w:val="27"/>
        <w:numPr>
          <w:ilvl w:val="0"/>
          <w:numId w:val="0"/>
        </w:numPr>
        <w:spacing w:line="360" w:lineRule="auto"/>
        <w:ind w:left="426" w:leftChars="0" w:firstLine="420" w:firstLineChars="200"/>
        <w:rPr>
          <w:rFonts w:ascii="宋体" w:hAnsi="宋体"/>
          <w:color w:val="000000"/>
          <w:szCs w:val="21"/>
        </w:rPr>
      </w:pPr>
      <w:r>
        <w:rPr>
          <w:rFonts w:hint="eastAsia" w:ascii="宋体" w:hAnsi="宋体" w:cs="Tahoma"/>
          <w:color w:val="000000"/>
          <w:szCs w:val="21"/>
        </w:rPr>
        <w:t>(</w:t>
      </w:r>
      <w:r>
        <w:rPr>
          <w:rFonts w:ascii="宋体" w:hAnsi="宋体" w:cs="Tahoma"/>
          <w:color w:val="000000"/>
          <w:szCs w:val="21"/>
        </w:rPr>
        <w:t>1)报名供应商不足3家；</w:t>
      </w:r>
    </w:p>
    <w:p>
      <w:pPr>
        <w:pStyle w:val="27"/>
        <w:numPr>
          <w:ilvl w:val="0"/>
          <w:numId w:val="0"/>
        </w:numPr>
        <w:spacing w:line="360" w:lineRule="auto"/>
        <w:ind w:left="426" w:leftChars="0" w:firstLine="420" w:firstLineChars="200"/>
        <w:rPr>
          <w:rFonts w:ascii="宋体" w:hAnsi="宋体"/>
          <w:color w:val="000000"/>
          <w:szCs w:val="21"/>
        </w:rPr>
      </w:pPr>
      <w:r>
        <w:rPr>
          <w:rFonts w:ascii="宋体" w:hAnsi="宋体" w:cs="Tahoma"/>
          <w:color w:val="000000"/>
          <w:szCs w:val="21"/>
        </w:rPr>
        <w:t>(2)报价供应商不足3家；</w:t>
      </w:r>
    </w:p>
    <w:p>
      <w:pPr>
        <w:pStyle w:val="27"/>
        <w:numPr>
          <w:ilvl w:val="0"/>
          <w:numId w:val="10"/>
        </w:numPr>
        <w:spacing w:line="360" w:lineRule="auto"/>
        <w:ind w:left="851" w:firstLineChars="0"/>
        <w:rPr>
          <w:rFonts w:ascii="宋体" w:hAnsi="宋体"/>
          <w:color w:val="000000"/>
          <w:szCs w:val="21"/>
        </w:rPr>
      </w:pPr>
      <w:r>
        <w:rPr>
          <w:rFonts w:ascii="宋体" w:hAnsi="宋体"/>
          <w:color w:val="000000"/>
          <w:szCs w:val="21"/>
        </w:rPr>
        <w:t>出现影响采购公正的违法、违规行为的</w:t>
      </w:r>
      <w:r>
        <w:rPr>
          <w:rFonts w:hint="eastAsia" w:ascii="宋体" w:hAnsi="宋体"/>
          <w:color w:val="000000"/>
          <w:szCs w:val="21"/>
        </w:rPr>
        <w:t>；</w:t>
      </w:r>
    </w:p>
    <w:p>
      <w:pPr>
        <w:pStyle w:val="27"/>
        <w:numPr>
          <w:ilvl w:val="0"/>
          <w:numId w:val="10"/>
        </w:numPr>
        <w:spacing w:line="360" w:lineRule="auto"/>
        <w:ind w:left="851" w:firstLineChars="0"/>
        <w:rPr>
          <w:rFonts w:ascii="宋体" w:hAnsi="宋体"/>
          <w:color w:val="000000"/>
          <w:szCs w:val="21"/>
        </w:rPr>
      </w:pPr>
      <w:r>
        <w:rPr>
          <w:rFonts w:ascii="宋体" w:hAnsi="宋体"/>
          <w:color w:val="000000"/>
          <w:szCs w:val="21"/>
        </w:rPr>
        <w:t>因重大变故，采购任务取消的</w:t>
      </w:r>
      <w:r>
        <w:rPr>
          <w:rFonts w:hint="eastAsia" w:ascii="宋体" w:hAnsi="宋体"/>
          <w:color w:val="000000"/>
          <w:szCs w:val="21"/>
        </w:rPr>
        <w:t>；</w:t>
      </w:r>
    </w:p>
    <w:p>
      <w:pPr>
        <w:pStyle w:val="27"/>
        <w:numPr>
          <w:ilvl w:val="0"/>
          <w:numId w:val="2"/>
        </w:numPr>
        <w:spacing w:line="360" w:lineRule="auto"/>
        <w:ind w:firstLineChars="0"/>
        <w:rPr>
          <w:rFonts w:ascii="宋体" w:hAnsi="宋体"/>
          <w:b/>
          <w:color w:val="000000"/>
          <w:szCs w:val="21"/>
        </w:rPr>
      </w:pPr>
      <w:r>
        <w:rPr>
          <w:rFonts w:hint="eastAsia" w:ascii="宋体" w:hAnsi="宋体"/>
          <w:b/>
          <w:color w:val="000000"/>
          <w:szCs w:val="21"/>
        </w:rPr>
        <w:t>使用费</w:t>
      </w:r>
    </w:p>
    <w:p>
      <w:pPr>
        <w:pStyle w:val="27"/>
        <w:numPr>
          <w:ilvl w:val="0"/>
          <w:numId w:val="11"/>
        </w:numPr>
        <w:spacing w:line="360" w:lineRule="auto"/>
        <w:ind w:left="851" w:hanging="425" w:firstLineChars="0"/>
        <w:rPr>
          <w:rFonts w:ascii="宋体" w:hAnsi="宋体"/>
          <w:color w:val="000000"/>
        </w:rPr>
      </w:pPr>
      <w:r>
        <w:rPr>
          <w:rFonts w:hint="eastAsia" w:ascii="宋体" w:hAnsi="宋体"/>
          <w:color w:val="000000"/>
        </w:rPr>
        <w:t>成交供应商须向平台服务商</w:t>
      </w:r>
      <w:r>
        <w:rPr>
          <w:rFonts w:hint="eastAsia" w:ascii="宋体" w:hAnsi="宋体" w:cs="宋体"/>
          <w:color w:val="000000"/>
          <w:szCs w:val="21"/>
          <w:lang w:eastAsia="zh-TW"/>
        </w:rPr>
        <w:t>云采链</w:t>
      </w:r>
      <w:r>
        <w:rPr>
          <w:rFonts w:hint="eastAsia" w:ascii="宋体" w:hAnsi="宋体"/>
          <w:color w:val="000000"/>
        </w:rPr>
        <w:t>线上采购一体化平台缴纳平台使用费，金额为成交金额的1.5%</w:t>
      </w:r>
      <w:r>
        <w:rPr>
          <w:rFonts w:hint="eastAsia" w:ascii="宋体" w:hAnsi="宋体"/>
          <w:b/>
          <w:color w:val="000000"/>
        </w:rPr>
        <w:t>（小数点后面四舍五入取整数）</w:t>
      </w:r>
      <w:r>
        <w:rPr>
          <w:rFonts w:hint="eastAsia" w:ascii="宋体" w:hAnsi="宋体"/>
          <w:color w:val="000000"/>
        </w:rPr>
        <w:t>；</w:t>
      </w:r>
    </w:p>
    <w:p>
      <w:pPr>
        <w:pStyle w:val="27"/>
        <w:numPr>
          <w:ilvl w:val="0"/>
          <w:numId w:val="11"/>
        </w:numPr>
        <w:spacing w:line="360" w:lineRule="auto"/>
        <w:ind w:left="851" w:hanging="425" w:firstLineChars="0"/>
        <w:rPr>
          <w:rFonts w:ascii="宋体" w:hAnsi="宋体"/>
          <w:color w:val="000000"/>
        </w:rPr>
      </w:pPr>
      <w:r>
        <w:rPr>
          <w:rFonts w:hint="eastAsia" w:ascii="宋体" w:hAnsi="宋体"/>
          <w:color w:val="000000"/>
        </w:rPr>
        <w:t>成交供应商无正当理由放弃成交资格的必须按竞价公告等相关规定缴纳相应的平台使用费；</w:t>
      </w:r>
    </w:p>
    <w:p>
      <w:pPr>
        <w:pStyle w:val="27"/>
        <w:numPr>
          <w:ilvl w:val="0"/>
          <w:numId w:val="11"/>
        </w:numPr>
        <w:spacing w:line="360" w:lineRule="auto"/>
        <w:ind w:left="851" w:hanging="425" w:firstLineChars="0"/>
        <w:rPr>
          <w:rFonts w:ascii="宋体" w:hAnsi="宋体"/>
          <w:color w:val="000000"/>
        </w:rPr>
      </w:pPr>
      <w:r>
        <w:rPr>
          <w:rFonts w:hint="eastAsia" w:ascii="宋体" w:hAnsi="宋体"/>
          <w:color w:val="000000"/>
          <w:szCs w:val="21"/>
        </w:rPr>
        <w:t>如确实因不可抗力放弃成交资格的，应在不可抗力发生后三个工作日内予以通知采购代理机构并提供相关的证明；如逾期，采购代理机构不予退还平台使用费；</w:t>
      </w:r>
    </w:p>
    <w:p>
      <w:pPr>
        <w:pStyle w:val="27"/>
        <w:numPr>
          <w:ilvl w:val="0"/>
          <w:numId w:val="1"/>
        </w:numPr>
        <w:spacing w:line="360" w:lineRule="auto"/>
        <w:ind w:firstLineChars="0"/>
        <w:rPr>
          <w:rFonts w:ascii="宋体" w:hAnsi="宋体"/>
          <w:color w:val="000000"/>
        </w:rPr>
      </w:pPr>
      <w:r>
        <w:rPr>
          <w:rFonts w:hint="eastAsia" w:ascii="宋体" w:hAnsi="宋体"/>
          <w:color w:val="000000"/>
        </w:rPr>
        <w:t>联系方式</w:t>
      </w:r>
    </w:p>
    <w:p>
      <w:pPr>
        <w:pStyle w:val="27"/>
        <w:widowControl/>
        <w:spacing w:line="360" w:lineRule="auto"/>
        <w:ind w:left="420" w:firstLine="0" w:firstLineChars="0"/>
        <w:jc w:val="left"/>
        <w:rPr>
          <w:rFonts w:ascii="宋体" w:hAnsi="宋体"/>
          <w:color w:val="000000"/>
        </w:rPr>
      </w:pPr>
      <w:r>
        <w:rPr>
          <w:rFonts w:ascii="宋体" w:hAnsi="宋体"/>
          <w:color w:val="000000"/>
        </w:rPr>
        <w:t>扫码关注微信公众号“云采链互联服务平台”，即可在线咨询相关事项</w:t>
      </w:r>
      <w:r>
        <w:rPr>
          <w:rFonts w:hint="eastAsia" w:ascii="宋体" w:hAnsi="宋体"/>
          <w:color w:val="000000"/>
        </w:rPr>
        <w:t>。</w:t>
      </w:r>
    </w:p>
    <w:p>
      <w:pPr>
        <w:spacing w:line="360" w:lineRule="auto"/>
        <w:jc w:val="center"/>
        <w:rPr>
          <w:rFonts w:ascii="宋体" w:hAnsi="宋体"/>
          <w:color w:val="000000"/>
        </w:rPr>
      </w:pPr>
      <w:r>
        <w:rPr>
          <w:rFonts w:ascii="宋体" w:hAnsi="宋体"/>
          <w:color w:val="000000"/>
        </w:rPr>
        <w:drawing>
          <wp:inline distT="0" distB="0" distL="0" distR="0">
            <wp:extent cx="1066800" cy="1066800"/>
            <wp:effectExtent l="0" t="0" r="0" b="0"/>
            <wp:docPr id="1026" name="图片 1" descr="C:\Users\ADMINI~1\AppData\Local\Temp\360zip$Temp\360$2\智采公众号8cm.jpg"/>
            <wp:cNvGraphicFramePr/>
            <a:graphic xmlns:a="http://schemas.openxmlformats.org/drawingml/2006/main">
              <a:graphicData uri="http://schemas.openxmlformats.org/drawingml/2006/picture">
                <pic:pic xmlns:pic="http://schemas.openxmlformats.org/drawingml/2006/picture">
                  <pic:nvPicPr>
                    <pic:cNvPr id="1026" name="图片 1" descr="C:\Users\ADMINI~1\AppData\Local\Temp\360zip$Temp\360$2\智采公众号8cm.jpg"/>
                    <pic:cNvPicPr/>
                  </pic:nvPicPr>
                  <pic:blipFill>
                    <a:blip r:embed="rId4" cstate="print"/>
                    <a:srcRect/>
                    <a:stretch>
                      <a:fillRect/>
                    </a:stretch>
                  </pic:blipFill>
                  <pic:spPr>
                    <a:xfrm>
                      <a:off x="0" y="0"/>
                      <a:ext cx="1066800" cy="1066800"/>
                    </a:xfrm>
                    <a:prstGeom prst="rect">
                      <a:avLst/>
                    </a:prstGeom>
                    <a:ln>
                      <a:noFill/>
                    </a:ln>
                  </pic:spPr>
                </pic:pic>
              </a:graphicData>
            </a:graphic>
          </wp:inline>
        </w:drawing>
      </w:r>
      <w:r>
        <w:rPr>
          <w:rFonts w:ascii="宋体" w:hAnsi="宋体"/>
          <w:color w:val="000000"/>
        </w:rPr>
        <w:br w:type="page"/>
      </w:r>
    </w:p>
    <w:p>
      <w:pPr>
        <w:pStyle w:val="10"/>
        <w:spacing w:before="0" w:after="0" w:line="360" w:lineRule="auto"/>
        <w:rPr>
          <w:rFonts w:ascii="宋体" w:hAnsi="宋体"/>
          <w:color w:val="000000"/>
        </w:rPr>
        <w:sectPr>
          <w:pgSz w:w="11906" w:h="16838"/>
          <w:pgMar w:top="1440" w:right="1800" w:bottom="1440" w:left="1800" w:header="851" w:footer="992" w:gutter="0"/>
          <w:cols w:space="425" w:num="1"/>
          <w:docGrid w:type="lines" w:linePitch="312" w:charSpace="0"/>
        </w:sectPr>
      </w:pPr>
    </w:p>
    <w:p>
      <w:pPr>
        <w:pStyle w:val="10"/>
        <w:spacing w:before="0" w:after="0" w:line="360" w:lineRule="auto"/>
        <w:rPr>
          <w:rFonts w:ascii="宋体" w:hAnsi="宋体"/>
          <w:color w:val="000000"/>
        </w:rPr>
      </w:pPr>
      <w:r>
        <w:rPr>
          <w:rFonts w:hint="eastAsia" w:ascii="宋体" w:hAnsi="宋体"/>
          <w:color w:val="000000"/>
        </w:rPr>
        <w:t>第二章 用户需求书</w:t>
      </w:r>
    </w:p>
    <w:p>
      <w:pPr>
        <w:snapToGrid w:val="0"/>
        <w:spacing w:before="120" w:beforeLines="50" w:line="360" w:lineRule="auto"/>
        <w:ind w:left="517" w:hanging="517" w:hangingChars="245"/>
        <w:rPr>
          <w:rFonts w:ascii="宋体" w:hAnsi="宋体"/>
          <w:b/>
          <w:bCs/>
          <w:color w:val="000000"/>
          <w:szCs w:val="21"/>
        </w:rPr>
      </w:pPr>
      <w:r>
        <w:rPr>
          <w:rFonts w:hint="eastAsia" w:ascii="宋体" w:hAnsi="宋体" w:cs="宋体"/>
          <w:b/>
          <w:bCs/>
          <w:color w:val="000000"/>
          <w:szCs w:val="21"/>
        </w:rPr>
        <w:t>说明：</w:t>
      </w:r>
    </w:p>
    <w:p>
      <w:pPr>
        <w:numPr>
          <w:ilvl w:val="0"/>
          <w:numId w:val="12"/>
        </w:numPr>
        <w:snapToGrid w:val="0"/>
        <w:spacing w:before="120" w:beforeLines="50" w:line="360" w:lineRule="auto"/>
        <w:rPr>
          <w:rFonts w:ascii="宋体" w:hAnsi="宋体" w:cs="宋体"/>
          <w:b/>
          <w:bCs/>
          <w:color w:val="000000"/>
          <w:szCs w:val="21"/>
        </w:rPr>
      </w:pPr>
      <w:r>
        <w:rPr>
          <w:rFonts w:hint="eastAsia" w:ascii="宋体" w:hAnsi="宋体" w:cs="宋体"/>
          <w:b/>
          <w:bCs/>
          <w:color w:val="000000"/>
          <w:szCs w:val="21"/>
        </w:rPr>
        <w:t>响应供应商须对本项目进行整体响应，任何只对其中一部分进行的响应都被视为无效响应。</w:t>
      </w:r>
    </w:p>
    <w:p>
      <w:pPr>
        <w:pStyle w:val="5"/>
        <w:numPr>
          <w:ilvl w:val="0"/>
          <w:numId w:val="13"/>
        </w:numPr>
        <w:tabs>
          <w:tab w:val="left" w:pos="420"/>
          <w:tab w:val="left" w:pos="540"/>
        </w:tabs>
        <w:adjustRightInd w:val="0"/>
        <w:snapToGrid w:val="0"/>
        <w:spacing w:line="360" w:lineRule="auto"/>
        <w:rPr>
          <w:rFonts w:hAnsi="宋体"/>
          <w:b/>
          <w:bCs/>
          <w:color w:val="000000"/>
          <w:sz w:val="21"/>
        </w:rPr>
      </w:pPr>
      <w:r>
        <w:rPr>
          <w:rFonts w:hint="eastAsia" w:hAnsi="宋体"/>
          <w:b/>
          <w:bCs/>
          <w:color w:val="000000"/>
          <w:sz w:val="21"/>
        </w:rPr>
        <w:t>项目一览表</w:t>
      </w:r>
    </w:p>
    <w:tbl>
      <w:tblPr>
        <w:tblStyle w:val="12"/>
        <w:tblW w:w="90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851"/>
        <w:gridCol w:w="2760"/>
        <w:gridCol w:w="2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3085" w:type="dxa"/>
            <w:shd w:val="clear" w:color="auto" w:fill="EEECE1"/>
            <w:vAlign w:val="center"/>
          </w:tcPr>
          <w:p>
            <w:pPr>
              <w:spacing w:before="120" w:beforeLines="50" w:line="360" w:lineRule="auto"/>
              <w:jc w:val="center"/>
              <w:rPr>
                <w:rFonts w:ascii="宋体" w:hAnsi="宋体"/>
                <w:b/>
                <w:color w:val="000000"/>
                <w:szCs w:val="21"/>
              </w:rPr>
            </w:pPr>
            <w:r>
              <w:rPr>
                <w:rFonts w:hint="eastAsia" w:ascii="宋体" w:hAnsi="宋体"/>
                <w:b/>
                <w:color w:val="000000"/>
                <w:szCs w:val="21"/>
              </w:rPr>
              <w:t>项目名称</w:t>
            </w:r>
          </w:p>
        </w:tc>
        <w:tc>
          <w:tcPr>
            <w:tcW w:w="851" w:type="dxa"/>
            <w:shd w:val="clear" w:color="auto" w:fill="EEECE1"/>
            <w:vAlign w:val="center"/>
          </w:tcPr>
          <w:p>
            <w:pPr>
              <w:spacing w:before="120" w:beforeLines="50" w:line="360" w:lineRule="auto"/>
              <w:jc w:val="center"/>
              <w:rPr>
                <w:rFonts w:ascii="宋体" w:hAnsi="宋体"/>
                <w:b/>
                <w:color w:val="000000"/>
                <w:szCs w:val="21"/>
              </w:rPr>
            </w:pPr>
            <w:r>
              <w:rPr>
                <w:rFonts w:hint="eastAsia" w:ascii="宋体" w:hAnsi="宋体"/>
                <w:b/>
                <w:color w:val="000000"/>
                <w:szCs w:val="21"/>
              </w:rPr>
              <w:t>数量</w:t>
            </w:r>
          </w:p>
        </w:tc>
        <w:tc>
          <w:tcPr>
            <w:tcW w:w="2760" w:type="dxa"/>
            <w:shd w:val="clear" w:color="auto" w:fill="EEECE1"/>
            <w:vAlign w:val="center"/>
          </w:tcPr>
          <w:p>
            <w:pPr>
              <w:spacing w:before="120" w:beforeLines="50" w:line="360" w:lineRule="auto"/>
              <w:jc w:val="center"/>
              <w:rPr>
                <w:rFonts w:ascii="宋体" w:hAnsi="宋体"/>
                <w:b/>
                <w:color w:val="000000"/>
                <w:szCs w:val="21"/>
              </w:rPr>
            </w:pPr>
            <w:r>
              <w:rPr>
                <w:rFonts w:hint="eastAsia" w:ascii="宋体" w:hAnsi="宋体"/>
                <w:b/>
                <w:color w:val="000000"/>
                <w:szCs w:val="21"/>
                <w:lang w:val="en-US" w:eastAsia="zh-CN"/>
              </w:rPr>
              <w:t>交货</w:t>
            </w:r>
            <w:r>
              <w:rPr>
                <w:rFonts w:hint="eastAsia" w:ascii="宋体" w:hAnsi="宋体"/>
                <w:b/>
                <w:color w:val="000000"/>
                <w:szCs w:val="21"/>
              </w:rPr>
              <w:t>期</w:t>
            </w:r>
          </w:p>
        </w:tc>
        <w:tc>
          <w:tcPr>
            <w:tcW w:w="2341" w:type="dxa"/>
            <w:shd w:val="clear" w:color="auto" w:fill="EEECE1"/>
            <w:vAlign w:val="center"/>
          </w:tcPr>
          <w:p>
            <w:pPr>
              <w:spacing w:before="120" w:beforeLines="50" w:line="360" w:lineRule="auto"/>
              <w:jc w:val="center"/>
              <w:rPr>
                <w:rFonts w:ascii="宋体" w:hAnsi="宋体"/>
                <w:b/>
                <w:color w:val="000000"/>
                <w:szCs w:val="21"/>
              </w:rPr>
            </w:pPr>
            <w:r>
              <w:rPr>
                <w:rFonts w:hint="eastAsia" w:ascii="宋体" w:hAnsi="宋体" w:cs="微软雅黑"/>
                <w:b/>
                <w:color w:val="000000"/>
                <w:szCs w:val="21"/>
              </w:rPr>
              <w:t>最高限价（含税）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3085" w:type="dxa"/>
            <w:vAlign w:val="center"/>
          </w:tcPr>
          <w:p>
            <w:pPr>
              <w:spacing w:before="120" w:beforeLines="50" w:line="360" w:lineRule="auto"/>
              <w:jc w:val="center"/>
              <w:rPr>
                <w:rFonts w:ascii="宋体" w:hAnsi="宋体"/>
                <w:color w:val="000000"/>
                <w:sz w:val="21"/>
                <w:szCs w:val="21"/>
              </w:rPr>
            </w:pPr>
            <w:r>
              <w:rPr>
                <w:rFonts w:ascii="宋体" w:hAnsi="宋体" w:eastAsia="宋体" w:cs="宋体"/>
                <w:sz w:val="21"/>
                <w:szCs w:val="21"/>
              </w:rPr>
              <w:t>广东省广州女子监狱2024年打印复印耗材采购项目</w:t>
            </w:r>
          </w:p>
        </w:tc>
        <w:tc>
          <w:tcPr>
            <w:tcW w:w="851" w:type="dxa"/>
            <w:vAlign w:val="center"/>
          </w:tcPr>
          <w:p>
            <w:pPr>
              <w:keepNext/>
              <w:adjustRightInd w:val="0"/>
              <w:spacing w:before="120" w:beforeLines="50" w:after="60" w:line="360" w:lineRule="auto"/>
              <w:jc w:val="center"/>
              <w:textAlignment w:val="center"/>
              <w:rPr>
                <w:rFonts w:ascii="宋体" w:hAnsi="宋体"/>
                <w:color w:val="000000"/>
                <w:sz w:val="21"/>
                <w:szCs w:val="21"/>
              </w:rPr>
            </w:pPr>
            <w:r>
              <w:rPr>
                <w:rFonts w:hint="eastAsia" w:ascii="宋体" w:hAnsi="宋体"/>
                <w:color w:val="000000"/>
                <w:sz w:val="21"/>
                <w:szCs w:val="21"/>
              </w:rPr>
              <w:t>1批</w:t>
            </w:r>
          </w:p>
        </w:tc>
        <w:tc>
          <w:tcPr>
            <w:tcW w:w="2760" w:type="dxa"/>
            <w:vAlign w:val="center"/>
          </w:tcPr>
          <w:p>
            <w:pPr>
              <w:spacing w:line="360" w:lineRule="auto"/>
              <w:jc w:val="center"/>
              <w:rPr>
                <w:rFonts w:hint="default" w:ascii="宋体" w:hAnsi="宋体" w:eastAsia="宋体"/>
                <w:color w:val="000000"/>
                <w:sz w:val="21"/>
                <w:szCs w:val="21"/>
                <w:lang w:val="en-US" w:eastAsia="zh-CN"/>
              </w:rPr>
            </w:pPr>
            <w:r>
              <w:rPr>
                <w:rFonts w:hint="eastAsia" w:hAnsi="宋体"/>
                <w:color w:val="000000"/>
                <w:sz w:val="21"/>
                <w:lang w:val="en-US"/>
              </w:rPr>
              <w:t>自合同签订</w:t>
            </w:r>
            <w:r>
              <w:rPr>
                <w:rFonts w:hint="eastAsia" w:hAnsi="宋体"/>
                <w:color w:val="000000"/>
                <w:sz w:val="21"/>
              </w:rPr>
              <w:t>之日</w:t>
            </w:r>
            <w:r>
              <w:rPr>
                <w:rFonts w:hint="eastAsia" w:hAnsi="宋体"/>
                <w:color w:val="000000"/>
                <w:sz w:val="21"/>
                <w:lang w:val="en-US"/>
              </w:rPr>
              <w:t xml:space="preserve">起15个日历天内。 </w:t>
            </w:r>
          </w:p>
        </w:tc>
        <w:tc>
          <w:tcPr>
            <w:tcW w:w="2341" w:type="dxa"/>
            <w:vAlign w:val="center"/>
          </w:tcPr>
          <w:p>
            <w:pPr>
              <w:keepNext/>
              <w:adjustRightInd w:val="0"/>
              <w:spacing w:before="120" w:beforeLines="50" w:after="60" w:line="360" w:lineRule="auto"/>
              <w:jc w:val="center"/>
              <w:textAlignment w:val="center"/>
              <w:rPr>
                <w:rFonts w:ascii="宋体" w:hAnsi="宋体"/>
                <w:color w:val="000000"/>
                <w:sz w:val="21"/>
                <w:szCs w:val="21"/>
              </w:rPr>
            </w:pPr>
            <w:r>
              <w:rPr>
                <w:rFonts w:hint="eastAsia" w:ascii="宋体" w:hAnsi="宋体"/>
                <w:color w:val="000000"/>
                <w:sz w:val="21"/>
                <w:szCs w:val="21"/>
              </w:rPr>
              <w:t>人民币</w:t>
            </w:r>
            <w:r>
              <w:rPr>
                <w:rFonts w:hint="eastAsia" w:ascii="宋体" w:hAnsi="宋体"/>
                <w:color w:val="000000"/>
                <w:sz w:val="21"/>
                <w:szCs w:val="21"/>
                <w:lang w:val="en-US" w:eastAsia="zh-CN"/>
              </w:rPr>
              <w:t>198550</w:t>
            </w:r>
            <w:r>
              <w:rPr>
                <w:rFonts w:hint="eastAsia" w:ascii="宋体" w:hAnsi="宋体"/>
                <w:color w:val="000000"/>
                <w:sz w:val="21"/>
                <w:szCs w:val="21"/>
              </w:rPr>
              <w:t>元</w:t>
            </w:r>
          </w:p>
        </w:tc>
      </w:tr>
    </w:tbl>
    <w:p>
      <w:pPr>
        <w:pStyle w:val="5"/>
        <w:numPr>
          <w:ilvl w:val="0"/>
          <w:numId w:val="13"/>
        </w:numPr>
        <w:tabs>
          <w:tab w:val="left" w:pos="420"/>
          <w:tab w:val="left" w:pos="540"/>
        </w:tabs>
        <w:adjustRightInd w:val="0"/>
        <w:snapToGrid w:val="0"/>
        <w:spacing w:line="360" w:lineRule="auto"/>
        <w:rPr>
          <w:rFonts w:hAnsi="宋体"/>
          <w:b/>
          <w:sz w:val="21"/>
        </w:rPr>
      </w:pPr>
      <w:r>
        <w:rPr>
          <w:rFonts w:hint="eastAsia" w:hAnsi="宋体" w:cs="宋体"/>
          <w:b/>
          <w:bCs/>
          <w:sz w:val="21"/>
          <w:lang w:val="en-US"/>
        </w:rPr>
        <w:t>项目</w:t>
      </w:r>
      <w:bookmarkStart w:id="0" w:name="_Toc46251438"/>
      <w:r>
        <w:rPr>
          <w:rFonts w:hint="eastAsia" w:hAnsi="宋体"/>
          <w:b/>
          <w:sz w:val="21"/>
        </w:rPr>
        <w:t>内容清单</w:t>
      </w:r>
    </w:p>
    <w:bookmarkEnd w:id="0"/>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2347"/>
        <w:gridCol w:w="1067"/>
        <w:gridCol w:w="1477"/>
        <w:gridCol w:w="1200"/>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序号</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耗材型号</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申购数量</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单价最高限价（元）</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小计（元）</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CC388AD</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双支装（60支）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CF256X</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三支装（18支）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CF230X</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25500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惠普W1520A</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惠普W9220MC黑色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1860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惠普碳粉收集器W9048MC</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佳能CLI-42BK</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佳能CLI-42Y</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佳能CLI-42M</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佳能CLI-42PM</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佳能CLI-42C</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佳能CLI-42PC</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佳能CLI-42LGY</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佳能CLI-42GY</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佳能328</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双支装（50支）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佳能055H黑色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6300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佳能055H红色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佳能055H黄色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佳能055H蓝色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理光IMC3500（黑）</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理光IMC3500（红）</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理光IMC3500（蓝）</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6300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理光IMC3500（黄）</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理光IMC3000废粉收集器</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柯尼卡美能达TN223K（大容量）</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联想LT100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229</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2290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三支装（30支）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联想LT2451H</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夏普DX-25（黑）</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夏普DX-25（红）</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夏普DX-25（黄）</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夏普DX-25（蓝）</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1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金典5.2mm铆管</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26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合计</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198550</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bl>
    <w:p>
      <w:pPr>
        <w:pStyle w:val="5"/>
        <w:numPr>
          <w:ilvl w:val="0"/>
          <w:numId w:val="13"/>
        </w:numPr>
        <w:tabs>
          <w:tab w:val="left" w:pos="420"/>
          <w:tab w:val="left" w:pos="540"/>
        </w:tabs>
        <w:adjustRightInd w:val="0"/>
        <w:snapToGrid w:val="0"/>
        <w:spacing w:line="360" w:lineRule="auto"/>
        <w:rPr>
          <w:rFonts w:hAnsi="宋体" w:cs="宋体"/>
          <w:b/>
          <w:bCs/>
          <w:sz w:val="21"/>
          <w:lang w:val="en-US"/>
        </w:rPr>
      </w:pPr>
      <w:r>
        <w:rPr>
          <w:rFonts w:hint="eastAsia" w:hAnsi="宋体" w:cs="宋体"/>
          <w:b/>
          <w:bCs/>
          <w:sz w:val="21"/>
          <w:lang w:val="en-US"/>
        </w:rPr>
        <w:t>商务要求：</w:t>
      </w:r>
    </w:p>
    <w:p>
      <w:pPr>
        <w:pStyle w:val="5"/>
        <w:numPr>
          <w:ilvl w:val="0"/>
          <w:numId w:val="14"/>
        </w:numPr>
        <w:tabs>
          <w:tab w:val="left" w:pos="426"/>
        </w:tabs>
        <w:adjustRightInd w:val="0"/>
        <w:snapToGrid w:val="0"/>
        <w:spacing w:line="360" w:lineRule="auto"/>
        <w:rPr>
          <w:rFonts w:hAnsi="宋体"/>
          <w:sz w:val="21"/>
        </w:rPr>
      </w:pPr>
      <w:r>
        <w:rPr>
          <w:rFonts w:hint="eastAsia" w:hAnsi="宋体" w:cs="仿宋_GB2312"/>
          <w:b/>
          <w:bCs/>
          <w:sz w:val="21"/>
        </w:rPr>
        <w:t>报价要求：</w:t>
      </w:r>
      <w:r>
        <w:rPr>
          <w:rFonts w:hint="eastAsia" w:hAnsi="宋体" w:cs="仿宋_GB2312"/>
          <w:bCs/>
          <w:sz w:val="21"/>
        </w:rPr>
        <w:t>供应商报价包含产品价格、运输、装卸、售后服务、保险、搬运费、税金等一切费用，采购人不再另外支付费用。</w:t>
      </w:r>
    </w:p>
    <w:p>
      <w:pPr>
        <w:pStyle w:val="5"/>
        <w:numPr>
          <w:ilvl w:val="0"/>
          <w:numId w:val="14"/>
        </w:numPr>
        <w:tabs>
          <w:tab w:val="left" w:pos="426"/>
        </w:tabs>
        <w:adjustRightInd w:val="0"/>
        <w:snapToGrid w:val="0"/>
        <w:spacing w:line="360" w:lineRule="auto"/>
        <w:rPr>
          <w:rFonts w:hAnsi="宋体"/>
          <w:b/>
          <w:sz w:val="21"/>
        </w:rPr>
      </w:pPr>
      <w:r>
        <w:rPr>
          <w:rFonts w:hint="eastAsia" w:hAnsi="宋体"/>
          <w:b/>
          <w:sz w:val="21"/>
        </w:rPr>
        <w:t>交货方式：</w:t>
      </w:r>
      <w:r>
        <w:rPr>
          <w:rFonts w:hint="eastAsia" w:hAnsi="宋体"/>
          <w:sz w:val="21"/>
        </w:rPr>
        <w:t>送货上门。</w:t>
      </w:r>
    </w:p>
    <w:p>
      <w:pPr>
        <w:pStyle w:val="5"/>
        <w:numPr>
          <w:ilvl w:val="0"/>
          <w:numId w:val="14"/>
        </w:numPr>
        <w:tabs>
          <w:tab w:val="left" w:pos="426"/>
        </w:tabs>
        <w:adjustRightInd w:val="0"/>
        <w:snapToGrid w:val="0"/>
        <w:spacing w:line="360" w:lineRule="auto"/>
        <w:rPr>
          <w:rFonts w:hAnsi="宋体"/>
          <w:b/>
          <w:sz w:val="21"/>
        </w:rPr>
      </w:pPr>
      <w:r>
        <w:rPr>
          <w:rFonts w:hint="eastAsia" w:hAnsi="宋体"/>
          <w:b/>
          <w:sz w:val="21"/>
        </w:rPr>
        <w:t>交货期：</w:t>
      </w:r>
      <w:r>
        <w:rPr>
          <w:rFonts w:hint="eastAsia" w:hAnsi="宋体"/>
          <w:color w:val="000000"/>
          <w:sz w:val="21"/>
          <w:lang w:val="en-US"/>
        </w:rPr>
        <w:t>自合同签订</w:t>
      </w:r>
      <w:r>
        <w:rPr>
          <w:rFonts w:hint="eastAsia" w:hAnsi="宋体"/>
          <w:color w:val="000000"/>
          <w:sz w:val="21"/>
        </w:rPr>
        <w:t>之日</w:t>
      </w:r>
      <w:r>
        <w:rPr>
          <w:rFonts w:hint="eastAsia" w:hAnsi="宋体"/>
          <w:color w:val="000000"/>
          <w:sz w:val="21"/>
          <w:lang w:val="en-US"/>
        </w:rPr>
        <w:t xml:space="preserve">起15个日历天内。 </w:t>
      </w:r>
    </w:p>
    <w:p>
      <w:pPr>
        <w:numPr>
          <w:ilvl w:val="0"/>
          <w:numId w:val="14"/>
        </w:numPr>
        <w:tabs>
          <w:tab w:val="left" w:pos="851"/>
        </w:tabs>
        <w:autoSpaceDE w:val="0"/>
        <w:autoSpaceDN w:val="0"/>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配送要求</w:t>
      </w:r>
    </w:p>
    <w:p>
      <w:pPr>
        <w:pStyle w:val="2"/>
        <w:numPr>
          <w:ilvl w:val="0"/>
          <w:numId w:val="15"/>
        </w:numPr>
        <w:spacing w:line="360" w:lineRule="auto"/>
        <w:ind w:left="851"/>
        <w:rPr>
          <w:rFonts w:ascii="宋体" w:hAnsi="宋体"/>
          <w:b w:val="0"/>
          <w:sz w:val="21"/>
          <w:szCs w:val="21"/>
        </w:rPr>
      </w:pPr>
      <w:r>
        <w:rPr>
          <w:rFonts w:hint="eastAsia" w:ascii="宋体" w:hAnsi="宋体"/>
          <w:b w:val="0"/>
          <w:sz w:val="21"/>
          <w:szCs w:val="21"/>
        </w:rPr>
        <w:t>成交人必须做好配送计划，合理调配送货时间，保证不影响采购人工作的正常运行。</w:t>
      </w:r>
    </w:p>
    <w:p>
      <w:pPr>
        <w:pStyle w:val="2"/>
        <w:numPr>
          <w:ilvl w:val="0"/>
          <w:numId w:val="15"/>
        </w:numPr>
        <w:spacing w:line="360" w:lineRule="auto"/>
        <w:ind w:left="851"/>
        <w:rPr>
          <w:rFonts w:ascii="宋体" w:hAnsi="宋体"/>
          <w:b w:val="0"/>
          <w:sz w:val="21"/>
          <w:szCs w:val="21"/>
        </w:rPr>
      </w:pPr>
      <w:r>
        <w:rPr>
          <w:rFonts w:hint="eastAsia" w:ascii="宋体" w:hAnsi="宋体"/>
          <w:b w:val="0"/>
          <w:sz w:val="21"/>
          <w:szCs w:val="21"/>
        </w:rPr>
        <w:t>成交人应送货上门，成交人需安排专人负责送货工作。</w:t>
      </w:r>
    </w:p>
    <w:p>
      <w:pPr>
        <w:pStyle w:val="2"/>
        <w:numPr>
          <w:ilvl w:val="0"/>
          <w:numId w:val="15"/>
        </w:numPr>
        <w:spacing w:line="360" w:lineRule="auto"/>
        <w:ind w:left="851"/>
        <w:rPr>
          <w:rFonts w:ascii="宋体" w:hAnsi="宋体"/>
          <w:b w:val="0"/>
          <w:sz w:val="21"/>
          <w:szCs w:val="21"/>
        </w:rPr>
      </w:pPr>
      <w:r>
        <w:rPr>
          <w:rFonts w:hint="eastAsia" w:ascii="宋体" w:hAnsi="宋体"/>
          <w:b w:val="0"/>
          <w:sz w:val="21"/>
          <w:szCs w:val="21"/>
        </w:rPr>
        <w:t>成交供应商负责将货物送到现场过程中的全部运输，包括装卸车、货物现场的搬运；同时，送货人员必须根据采购人的要求，将货物送至各区域、各楼层、各办公室的指定地点。</w:t>
      </w:r>
    </w:p>
    <w:p>
      <w:pPr>
        <w:pStyle w:val="2"/>
        <w:numPr>
          <w:ilvl w:val="0"/>
          <w:numId w:val="15"/>
        </w:numPr>
        <w:spacing w:line="360" w:lineRule="auto"/>
        <w:ind w:left="851"/>
        <w:rPr>
          <w:rFonts w:ascii="宋体" w:hAnsi="宋体"/>
          <w:b w:val="0"/>
          <w:sz w:val="21"/>
          <w:szCs w:val="21"/>
        </w:rPr>
      </w:pPr>
      <w:r>
        <w:rPr>
          <w:rFonts w:hint="eastAsia" w:ascii="宋体" w:hAnsi="宋体"/>
          <w:b w:val="0"/>
          <w:sz w:val="21"/>
          <w:szCs w:val="21"/>
        </w:rPr>
        <w:t>配送由成交人负责，物品包装破损或质量有问题要求无条件更换。</w:t>
      </w:r>
    </w:p>
    <w:p>
      <w:pPr>
        <w:pStyle w:val="2"/>
        <w:numPr>
          <w:ilvl w:val="0"/>
          <w:numId w:val="15"/>
        </w:numPr>
        <w:spacing w:line="360" w:lineRule="auto"/>
        <w:ind w:left="851"/>
        <w:rPr>
          <w:rFonts w:hint="eastAsia" w:ascii="宋体" w:hAnsi="宋体"/>
          <w:b w:val="0"/>
          <w:sz w:val="21"/>
          <w:szCs w:val="21"/>
        </w:rPr>
      </w:pPr>
      <w:r>
        <w:rPr>
          <w:rFonts w:hint="eastAsia" w:ascii="宋体" w:hAnsi="宋体"/>
          <w:b w:val="0"/>
          <w:sz w:val="21"/>
          <w:szCs w:val="21"/>
        </w:rPr>
        <w:t>成交人在配送服务中，须服从采购人的管理工作，不得做出有损采购人形象的行为。</w:t>
      </w:r>
    </w:p>
    <w:p>
      <w:pPr>
        <w:pStyle w:val="2"/>
        <w:numPr>
          <w:ilvl w:val="0"/>
          <w:numId w:val="15"/>
        </w:numPr>
        <w:spacing w:line="360" w:lineRule="auto"/>
        <w:ind w:left="851"/>
        <w:rPr>
          <w:rFonts w:ascii="宋体" w:hAnsi="宋体"/>
          <w:sz w:val="21"/>
          <w:szCs w:val="21"/>
        </w:rPr>
      </w:pPr>
      <w:r>
        <w:rPr>
          <w:rFonts w:hint="eastAsia" w:ascii="宋体" w:hAnsi="宋体"/>
          <w:sz w:val="21"/>
          <w:szCs w:val="21"/>
        </w:rPr>
        <w:t>供应商所供货物必须是原装正品。</w:t>
      </w:r>
    </w:p>
    <w:p>
      <w:pPr>
        <w:numPr>
          <w:ilvl w:val="0"/>
          <w:numId w:val="14"/>
        </w:numPr>
        <w:tabs>
          <w:tab w:val="left" w:pos="851"/>
        </w:tabs>
        <w:autoSpaceDE w:val="0"/>
        <w:autoSpaceDN w:val="0"/>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质保期及售后服务要求</w:t>
      </w:r>
    </w:p>
    <w:p>
      <w:pPr>
        <w:pStyle w:val="27"/>
        <w:numPr>
          <w:ilvl w:val="0"/>
          <w:numId w:val="16"/>
        </w:numPr>
        <w:tabs>
          <w:tab w:val="left" w:pos="851"/>
        </w:tabs>
        <w:autoSpaceDE w:val="0"/>
        <w:autoSpaceDN w:val="0"/>
        <w:adjustRightInd w:val="0"/>
        <w:snapToGrid w:val="0"/>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质量保证期（简称“质保期”）为1年，</w:t>
      </w:r>
      <w:r>
        <w:rPr>
          <w:rFonts w:hint="eastAsia" w:ascii="宋体" w:hAnsi="宋体"/>
          <w:szCs w:val="21"/>
        </w:rPr>
        <w:t>质保期内成交人对所供货物实行包修、包换、包退</w:t>
      </w:r>
      <w:r>
        <w:rPr>
          <w:rFonts w:hint="eastAsia" w:ascii="宋体" w:hAnsi="宋体"/>
          <w:color w:val="000000" w:themeColor="text1"/>
          <w:szCs w:val="21"/>
          <w14:textFill>
            <w14:solidFill>
              <w14:schemeClr w14:val="tx1"/>
            </w14:solidFill>
          </w14:textFill>
        </w:rPr>
        <w:t>。</w:t>
      </w:r>
    </w:p>
    <w:p>
      <w:pPr>
        <w:pStyle w:val="27"/>
        <w:numPr>
          <w:ilvl w:val="0"/>
          <w:numId w:val="16"/>
        </w:numPr>
        <w:tabs>
          <w:tab w:val="left" w:pos="851"/>
        </w:tabs>
        <w:autoSpaceDE w:val="0"/>
        <w:autoSpaceDN w:val="0"/>
        <w:adjustRightInd w:val="0"/>
        <w:snapToGrid w:val="0"/>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对采购人的服务通知，成交人在接报后1小时内响应，4小时内到达现场，48小时内处理完毕。若在48小时内仍未能有效解决，成交人须免费提供同档次的货物予采购人临时使用。</w:t>
      </w:r>
    </w:p>
    <w:p>
      <w:pPr>
        <w:pStyle w:val="5"/>
        <w:numPr>
          <w:ilvl w:val="0"/>
          <w:numId w:val="14"/>
        </w:numPr>
        <w:tabs>
          <w:tab w:val="left" w:pos="540"/>
        </w:tabs>
        <w:adjustRightInd w:val="0"/>
        <w:snapToGrid w:val="0"/>
        <w:spacing w:line="360" w:lineRule="auto"/>
        <w:ind w:left="426" w:hanging="426"/>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包装、保险及发运、保管要求</w:t>
      </w:r>
    </w:p>
    <w:p>
      <w:pPr>
        <w:numPr>
          <w:ilvl w:val="0"/>
          <w:numId w:val="17"/>
        </w:numPr>
        <w:adjustRightInd w:val="0"/>
        <w:snapToGrid w:val="0"/>
        <w:spacing w:line="360" w:lineRule="auto"/>
        <w:ind w:left="851" w:hanging="425"/>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材料的包装必须是制造商原厂包装，其包装均应有良好的防湿、防锈、防潮、防雨、防腐及防碰撞的措施。凡由于包装不良造成的损失和由此产生的费用均由供应商承担。</w:t>
      </w:r>
    </w:p>
    <w:p>
      <w:pPr>
        <w:numPr>
          <w:ilvl w:val="0"/>
          <w:numId w:val="17"/>
        </w:numPr>
        <w:adjustRightInd w:val="0"/>
        <w:snapToGrid w:val="0"/>
        <w:spacing w:line="360" w:lineRule="auto"/>
        <w:ind w:left="851" w:hanging="425"/>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成交人负责将材料货到现场过程中的全部运输，包括装卸车、货物现场的搬运。</w:t>
      </w:r>
    </w:p>
    <w:p>
      <w:pPr>
        <w:numPr>
          <w:ilvl w:val="0"/>
          <w:numId w:val="17"/>
        </w:numPr>
        <w:adjustRightInd w:val="0"/>
        <w:snapToGrid w:val="0"/>
        <w:spacing w:line="360" w:lineRule="auto"/>
        <w:ind w:left="851" w:hanging="425"/>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各种材料必须提供装箱清单，按装箱清单验收货物。</w:t>
      </w:r>
    </w:p>
    <w:p>
      <w:pPr>
        <w:numPr>
          <w:ilvl w:val="0"/>
          <w:numId w:val="17"/>
        </w:numPr>
        <w:adjustRightInd w:val="0"/>
        <w:snapToGrid w:val="0"/>
        <w:spacing w:line="360" w:lineRule="auto"/>
        <w:ind w:left="851" w:hanging="425"/>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货物在现场的保管由成交人负责，直至项目安装、验收完毕。</w:t>
      </w:r>
    </w:p>
    <w:p>
      <w:pPr>
        <w:numPr>
          <w:ilvl w:val="0"/>
          <w:numId w:val="17"/>
        </w:numPr>
        <w:adjustRightInd w:val="0"/>
        <w:snapToGrid w:val="0"/>
        <w:spacing w:line="360" w:lineRule="auto"/>
        <w:ind w:left="851" w:hanging="425"/>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货物至采购人指定的使用现场的包装、保险及发运等环节和费用均由成交人负责。</w:t>
      </w:r>
    </w:p>
    <w:p>
      <w:pPr>
        <w:pStyle w:val="5"/>
        <w:numPr>
          <w:ilvl w:val="0"/>
          <w:numId w:val="14"/>
        </w:numPr>
        <w:tabs>
          <w:tab w:val="left" w:pos="540"/>
        </w:tabs>
        <w:adjustRightInd w:val="0"/>
        <w:snapToGrid w:val="0"/>
        <w:spacing w:line="360" w:lineRule="auto"/>
        <w:ind w:left="426"/>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验收</w:t>
      </w:r>
    </w:p>
    <w:p>
      <w:pPr>
        <w:pStyle w:val="5"/>
        <w:numPr>
          <w:ilvl w:val="0"/>
          <w:numId w:val="18"/>
        </w:numPr>
        <w:adjustRightInd w:val="0"/>
        <w:snapToGrid w:val="0"/>
        <w:spacing w:line="360" w:lineRule="auto"/>
        <w:ind w:left="851"/>
        <w:rPr>
          <w:rFonts w:hAnsi="宋体" w:cs="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货物若有国家标准按照国家标准验收，若无国家标准按行业标准验收，为原制造商制造的全新产品，无污染，无侵权行为、表面无划损、无任何缺陷隐患，在中国境内可依常规安全合法使用。</w:t>
      </w:r>
    </w:p>
    <w:p>
      <w:pPr>
        <w:numPr>
          <w:ilvl w:val="0"/>
          <w:numId w:val="18"/>
        </w:numPr>
        <w:tabs>
          <w:tab w:val="left" w:pos="900"/>
        </w:tabs>
        <w:autoSpaceDE w:val="0"/>
        <w:autoSpaceDN w:val="0"/>
        <w:adjustRightInd w:val="0"/>
        <w:snapToGrid w:val="0"/>
        <w:spacing w:line="360" w:lineRule="auto"/>
        <w:ind w:left="851"/>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货物为原厂商未启封全新包装，具出厂合格证，序列号、包装箱号与出厂批号一致，并可追索查阅。</w:t>
      </w:r>
    </w:p>
    <w:p>
      <w:pPr>
        <w:numPr>
          <w:ilvl w:val="0"/>
          <w:numId w:val="18"/>
        </w:numPr>
        <w:tabs>
          <w:tab w:val="left" w:pos="900"/>
        </w:tabs>
        <w:autoSpaceDE w:val="0"/>
        <w:autoSpaceDN w:val="0"/>
        <w:adjustRightInd w:val="0"/>
        <w:snapToGrid w:val="0"/>
        <w:spacing w:line="360" w:lineRule="auto"/>
        <w:ind w:left="851"/>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5"/>
        <w:numPr>
          <w:ilvl w:val="0"/>
          <w:numId w:val="18"/>
        </w:numPr>
        <w:adjustRightInd w:val="0"/>
        <w:snapToGrid w:val="0"/>
        <w:spacing w:line="360" w:lineRule="auto"/>
        <w:ind w:left="851"/>
        <w:rPr>
          <w:rFonts w:hAnsi="宋体"/>
          <w:sz w:val="21"/>
        </w:rPr>
      </w:pPr>
      <w:r>
        <w:rPr>
          <w:rFonts w:hint="eastAsia" w:hAnsi="宋体"/>
          <w:sz w:val="21"/>
        </w:rPr>
        <w:t>所有商品数量、质量验收无误才能付款，送货前应提前确认好款式，符合要求才能供货。</w:t>
      </w:r>
    </w:p>
    <w:p>
      <w:pPr>
        <w:pStyle w:val="4"/>
        <w:numPr>
          <w:ilvl w:val="0"/>
          <w:numId w:val="14"/>
        </w:numPr>
        <w:tabs>
          <w:tab w:val="left" w:pos="540"/>
        </w:tabs>
        <w:adjustRightInd w:val="0"/>
        <w:snapToGrid w:val="0"/>
        <w:spacing w:line="360" w:lineRule="auto"/>
        <w:rPr>
          <w:rFonts w:ascii="宋体" w:hAnsi="宋体" w:cs="宋体"/>
          <w:b/>
          <w:szCs w:val="21"/>
        </w:rPr>
      </w:pPr>
      <w:r>
        <w:rPr>
          <w:rFonts w:hint="eastAsia" w:ascii="宋体" w:hAnsi="宋体" w:cs="宋体"/>
          <w:b/>
          <w:szCs w:val="21"/>
        </w:rPr>
        <w:t>其他要求</w:t>
      </w:r>
    </w:p>
    <w:p>
      <w:pPr>
        <w:pStyle w:val="43"/>
        <w:numPr>
          <w:ilvl w:val="0"/>
          <w:numId w:val="19"/>
        </w:numPr>
        <w:adjustRightInd w:val="0"/>
        <w:snapToGrid w:val="0"/>
        <w:spacing w:line="360" w:lineRule="auto"/>
        <w:ind w:left="851" w:hanging="425" w:firstLineChars="0"/>
        <w:rPr>
          <w:rFonts w:ascii="宋体" w:hAnsi="宋体"/>
          <w:szCs w:val="21"/>
        </w:rPr>
      </w:pPr>
      <w:r>
        <w:rPr>
          <w:rFonts w:hint="eastAsia" w:ascii="宋体" w:hAnsi="宋体"/>
          <w:szCs w:val="21"/>
        </w:rPr>
        <w:t>成交人必须保障打印复印耗材的正常供应，安排专职人员送货，并承担货物出厂送至采购人指定地点过程的所有费用。</w:t>
      </w:r>
    </w:p>
    <w:p>
      <w:pPr>
        <w:pStyle w:val="43"/>
        <w:numPr>
          <w:ilvl w:val="0"/>
          <w:numId w:val="19"/>
        </w:numPr>
        <w:adjustRightInd w:val="0"/>
        <w:snapToGrid w:val="0"/>
        <w:spacing w:line="360" w:lineRule="auto"/>
        <w:ind w:left="851" w:hanging="425" w:firstLineChars="0"/>
        <w:rPr>
          <w:rFonts w:ascii="宋体" w:hAnsi="宋体"/>
          <w:szCs w:val="21"/>
        </w:rPr>
      </w:pPr>
      <w:r>
        <w:rPr>
          <w:rFonts w:hint="eastAsia" w:ascii="宋体" w:hAnsi="宋体"/>
          <w:szCs w:val="21"/>
        </w:rPr>
        <w:t>成交人要加强对送货员工的日常安全教育与安全管理，避免任何安全事故的发生。因管理不善或操作不当而造成的人身或设备损坏，由成交人承担全部责任。</w:t>
      </w:r>
    </w:p>
    <w:p>
      <w:pPr>
        <w:pStyle w:val="43"/>
        <w:numPr>
          <w:ilvl w:val="0"/>
          <w:numId w:val="19"/>
        </w:numPr>
        <w:adjustRightInd w:val="0"/>
        <w:snapToGrid w:val="0"/>
        <w:spacing w:line="360" w:lineRule="auto"/>
        <w:ind w:left="851" w:hanging="425" w:firstLineChars="0"/>
        <w:rPr>
          <w:rFonts w:ascii="宋体" w:hAnsi="宋体"/>
          <w:szCs w:val="21"/>
        </w:rPr>
      </w:pPr>
      <w:r>
        <w:rPr>
          <w:rFonts w:hint="eastAsia" w:ascii="宋体" w:hAnsi="宋体"/>
          <w:szCs w:val="21"/>
        </w:rPr>
        <w:t>成交人应保证所提供的产品必须是合格安全的产品，因产品后量问题发生的不良事故，由成交人承担经济赔偿责任及其他法律责任。</w:t>
      </w:r>
    </w:p>
    <w:p>
      <w:pPr>
        <w:pStyle w:val="5"/>
        <w:numPr>
          <w:ilvl w:val="0"/>
          <w:numId w:val="13"/>
        </w:numPr>
        <w:tabs>
          <w:tab w:val="left" w:pos="420"/>
          <w:tab w:val="left" w:pos="540"/>
        </w:tabs>
        <w:adjustRightInd w:val="0"/>
        <w:snapToGrid w:val="0"/>
        <w:spacing w:line="360" w:lineRule="auto"/>
        <w:rPr>
          <w:rFonts w:hAnsi="宋体" w:cs="宋体"/>
          <w:b/>
          <w:sz w:val="21"/>
        </w:rPr>
      </w:pPr>
      <w:r>
        <w:rPr>
          <w:rFonts w:hint="eastAsia" w:hAnsi="宋体" w:cs="宋体"/>
          <w:b/>
          <w:sz w:val="21"/>
        </w:rPr>
        <w:t>付款方式</w:t>
      </w:r>
    </w:p>
    <w:p>
      <w:pPr>
        <w:snapToGrid w:val="0"/>
        <w:spacing w:line="360" w:lineRule="auto"/>
        <w:ind w:left="424" w:hanging="424" w:hangingChars="202"/>
        <w:rPr>
          <w:rFonts w:ascii="宋体" w:hAnsi="宋体" w:cs="宋体"/>
          <w:szCs w:val="21"/>
        </w:rPr>
      </w:pPr>
      <w:r>
        <w:rPr>
          <w:rFonts w:hint="eastAsia" w:ascii="宋体" w:hAnsi="宋体" w:cs="宋体"/>
          <w:szCs w:val="21"/>
        </w:rPr>
        <w:t xml:space="preserve">由采购人按下列程序付款： </w:t>
      </w:r>
    </w:p>
    <w:p>
      <w:pPr>
        <w:numPr>
          <w:ilvl w:val="0"/>
          <w:numId w:val="20"/>
        </w:numPr>
        <w:autoSpaceDE w:val="0"/>
        <w:autoSpaceDN w:val="0"/>
        <w:adjustRightInd w:val="0"/>
        <w:snapToGrid w:val="0"/>
        <w:spacing w:line="360" w:lineRule="auto"/>
        <w:rPr>
          <w:rFonts w:ascii="宋体" w:hAnsi="宋体"/>
          <w:szCs w:val="21"/>
        </w:rPr>
      </w:pPr>
      <w:r>
        <w:rPr>
          <w:rFonts w:hint="eastAsia" w:ascii="宋体" w:hAnsi="宋体"/>
          <w:szCs w:val="21"/>
        </w:rPr>
        <w:t>静置后验收合格一次性付款，成交人须提供国家正式普通发票和盖有成交人公章的送货单。</w:t>
      </w:r>
    </w:p>
    <w:p>
      <w:pPr>
        <w:numPr>
          <w:ilvl w:val="0"/>
          <w:numId w:val="20"/>
        </w:numPr>
        <w:autoSpaceDE w:val="0"/>
        <w:autoSpaceDN w:val="0"/>
        <w:adjustRightInd w:val="0"/>
        <w:snapToGrid w:val="0"/>
        <w:spacing w:line="360" w:lineRule="auto"/>
        <w:rPr>
          <w:rFonts w:ascii="宋体" w:hAnsi="宋体"/>
          <w:szCs w:val="21"/>
        </w:rPr>
      </w:pPr>
      <w:r>
        <w:rPr>
          <w:rFonts w:hint="eastAsia"/>
        </w:rPr>
        <w:t>按合同支付款项前，成交人必须先向采购人提供与支付金额相符的有效发票，且收款方、出具发票方、合同乙方均必须与成交人名称一致。</w:t>
      </w:r>
    </w:p>
    <w:p>
      <w:pPr>
        <w:numPr>
          <w:ilvl w:val="0"/>
          <w:numId w:val="20"/>
        </w:numPr>
        <w:autoSpaceDE w:val="0"/>
        <w:autoSpaceDN w:val="0"/>
        <w:adjustRightInd w:val="0"/>
        <w:snapToGrid w:val="0"/>
        <w:spacing w:line="360" w:lineRule="auto"/>
        <w:ind w:left="0" w:firstLine="0"/>
        <w:rPr>
          <w:rFonts w:ascii="宋体" w:hAnsi="宋体"/>
          <w:kern w:val="21"/>
          <w:szCs w:val="21"/>
        </w:rPr>
      </w:pPr>
      <w:r>
        <w:rPr>
          <w:rFonts w:hint="eastAsia" w:ascii="宋体" w:hAnsi="宋体"/>
          <w:kern w:val="21"/>
          <w:szCs w:val="21"/>
        </w:rPr>
        <w:t>成交人凭以下有效文件与采购人结算：</w:t>
      </w:r>
    </w:p>
    <w:p>
      <w:pPr>
        <w:pStyle w:val="27"/>
        <w:numPr>
          <w:ilvl w:val="0"/>
          <w:numId w:val="21"/>
        </w:numPr>
        <w:snapToGrid w:val="0"/>
        <w:spacing w:line="360" w:lineRule="auto"/>
        <w:ind w:left="848" w:leftChars="202" w:hanging="424" w:hangingChars="202"/>
        <w:rPr>
          <w:rFonts w:ascii="宋体" w:hAnsi="宋体"/>
          <w:szCs w:val="21"/>
        </w:rPr>
      </w:pPr>
      <w:r>
        <w:rPr>
          <w:rFonts w:ascii="宋体" w:hAnsi="宋体"/>
          <w:szCs w:val="21"/>
        </w:rPr>
        <w:t>合同；</w:t>
      </w:r>
    </w:p>
    <w:p>
      <w:pPr>
        <w:pStyle w:val="27"/>
        <w:numPr>
          <w:ilvl w:val="0"/>
          <w:numId w:val="21"/>
        </w:numPr>
        <w:snapToGrid w:val="0"/>
        <w:spacing w:line="360" w:lineRule="auto"/>
        <w:ind w:left="848" w:leftChars="202" w:hanging="424" w:hangingChars="202"/>
        <w:rPr>
          <w:rFonts w:ascii="宋体" w:hAnsi="宋体"/>
          <w:szCs w:val="21"/>
        </w:rPr>
      </w:pPr>
      <w:r>
        <w:rPr>
          <w:rFonts w:ascii="宋体" w:hAnsi="宋体"/>
          <w:szCs w:val="21"/>
        </w:rPr>
        <w:t>成交人开具的正式发票；</w:t>
      </w:r>
    </w:p>
    <w:p>
      <w:pPr>
        <w:pStyle w:val="27"/>
        <w:numPr>
          <w:ilvl w:val="0"/>
          <w:numId w:val="21"/>
        </w:numPr>
        <w:snapToGrid w:val="0"/>
        <w:spacing w:line="360" w:lineRule="auto"/>
        <w:ind w:left="848" w:leftChars="202" w:hanging="424" w:hangingChars="202"/>
        <w:rPr>
          <w:rFonts w:ascii="宋体" w:hAnsi="宋体"/>
          <w:szCs w:val="21"/>
        </w:rPr>
      </w:pPr>
      <w:r>
        <w:rPr>
          <w:rFonts w:ascii="宋体" w:hAnsi="宋体"/>
          <w:szCs w:val="21"/>
        </w:rPr>
        <w:t>验收报告（加盖采购人公章）；</w:t>
      </w:r>
    </w:p>
    <w:p>
      <w:pPr>
        <w:pStyle w:val="27"/>
        <w:numPr>
          <w:ilvl w:val="0"/>
          <w:numId w:val="21"/>
        </w:numPr>
        <w:snapToGrid w:val="0"/>
        <w:spacing w:line="360" w:lineRule="auto"/>
        <w:ind w:left="848" w:leftChars="202" w:hanging="424" w:hangingChars="202"/>
        <w:rPr>
          <w:rFonts w:ascii="宋体" w:hAnsi="宋体"/>
          <w:szCs w:val="21"/>
        </w:rPr>
      </w:pPr>
      <w:r>
        <w:rPr>
          <w:rFonts w:ascii="宋体" w:hAnsi="宋体"/>
          <w:szCs w:val="21"/>
        </w:rPr>
        <w:t>成交通知书。</w:t>
      </w:r>
    </w:p>
    <w:p>
      <w:pPr>
        <w:pStyle w:val="27"/>
        <w:spacing w:line="360" w:lineRule="auto"/>
        <w:ind w:left="850"/>
        <w:rPr>
          <w:rFonts w:ascii="宋体" w:hAnsi="宋体"/>
          <w:b/>
          <w:bCs/>
          <w:color w:val="000000"/>
        </w:rPr>
        <w:sectPr>
          <w:pgSz w:w="11906" w:h="16838"/>
          <w:pgMar w:top="1440" w:right="1797" w:bottom="1440" w:left="1797" w:header="851" w:footer="992" w:gutter="0"/>
          <w:cols w:space="425" w:num="1"/>
          <w:docGrid w:linePitch="312" w:charSpace="0"/>
        </w:sectPr>
      </w:pPr>
      <w:r>
        <w:rPr>
          <w:rFonts w:ascii="宋体" w:hAnsi="宋体"/>
          <w:color w:val="000000"/>
          <w:szCs w:val="21"/>
        </w:rPr>
        <w:br w:type="page"/>
      </w:r>
    </w:p>
    <w:p>
      <w:pPr>
        <w:pStyle w:val="10"/>
        <w:spacing w:before="0" w:after="0" w:line="360" w:lineRule="auto"/>
        <w:rPr>
          <w:rFonts w:ascii="宋体" w:hAnsi="宋体"/>
          <w:color w:val="000000"/>
        </w:rPr>
      </w:pPr>
      <w:r>
        <w:rPr>
          <w:rFonts w:hint="eastAsia" w:ascii="宋体" w:hAnsi="宋体"/>
          <w:color w:val="000000"/>
        </w:rPr>
        <w:t>第三章 报价附件</w:t>
      </w:r>
    </w:p>
    <w:p>
      <w:pPr>
        <w:pStyle w:val="3"/>
        <w:spacing w:before="0" w:after="0" w:line="360" w:lineRule="auto"/>
        <w:jc w:val="center"/>
        <w:rPr>
          <w:rFonts w:ascii="宋体" w:hAnsi="宋体" w:eastAsia="宋体"/>
          <w:color w:val="000000"/>
        </w:rPr>
      </w:pPr>
      <w:r>
        <w:rPr>
          <w:rFonts w:hint="eastAsia" w:ascii="宋体" w:hAnsi="宋体" w:eastAsia="宋体"/>
          <w:color w:val="000000"/>
        </w:rPr>
        <w:t>报价表</w:t>
      </w:r>
    </w:p>
    <w:tbl>
      <w:tblPr>
        <w:tblStyle w:val="12"/>
        <w:tblW w:w="517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7"/>
        <w:gridCol w:w="2002"/>
        <w:gridCol w:w="890"/>
        <w:gridCol w:w="1389"/>
        <w:gridCol w:w="1055"/>
        <w:gridCol w:w="1134"/>
        <w:gridCol w:w="1159"/>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序号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耗材型号</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申购数量</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单价最高限价（元）</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备注</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单价（元）</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小计（元）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CC388AD</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双支装（60支）</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CF256X</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三支装（18支）</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CF230X</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惠普W1520A</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惠普W9220MC黑色</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惠普碳粉收集器W9048MC</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佳能CLI-42BK</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佳能CLI-42Y</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佳能CLI-42M</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佳能CLI-42PM</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佳能CLI-42C</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佳能CLI-42PC</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佳能CLI-42LGY</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佳能CLI-42GY</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佳能328</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双支装（50支）</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佳能055H黑色</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佳能055H红色</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佳能055H黄色</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佳能055H蓝色</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理光IMC3500（黑）</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理光IMC3500（红）</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理光IMC3500（蓝）</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理光IMC3500（黄）</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理光IMC3000废粉收集器</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柯尼卡美能达TN223K（大容量）</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联想LT100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229</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三支装（30支）</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联想LT2451H</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夏普DX-25（黑）</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夏普DX-25（红）</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夏普DX-25（黄）</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夏普DX-25（蓝）</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金典5.2mm铆管</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cs="宋体"/>
                <w:b/>
                <w:bCs/>
                <w:sz w:val="21"/>
                <w:szCs w:val="21"/>
                <w:lang w:val="en-US" w:eastAsia="zh-CN"/>
              </w:rPr>
              <w:t>合计：人民币</w:t>
            </w:r>
            <w:r>
              <w:rPr>
                <w:rFonts w:hint="eastAsia" w:ascii="宋体" w:hAnsi="宋体" w:cs="宋体"/>
                <w:b/>
                <w:bCs/>
                <w:sz w:val="21"/>
                <w:szCs w:val="21"/>
                <w:u w:val="single"/>
                <w:lang w:val="en-US" w:eastAsia="zh-CN"/>
              </w:rPr>
              <w:t xml:space="preserve">         </w:t>
            </w:r>
            <w:r>
              <w:rPr>
                <w:rFonts w:hint="eastAsia" w:ascii="宋体" w:hAnsi="宋体" w:cs="宋体"/>
                <w:b/>
                <w:bCs/>
                <w:sz w:val="21"/>
                <w:szCs w:val="21"/>
                <w:lang w:val="en-US" w:eastAsia="zh-CN"/>
              </w:rPr>
              <w:t>元</w:t>
            </w:r>
          </w:p>
        </w:tc>
      </w:tr>
    </w:tbl>
    <w:p>
      <w:pPr>
        <w:pStyle w:val="2"/>
      </w:pPr>
    </w:p>
    <w:p>
      <w:pPr>
        <w:spacing w:line="360" w:lineRule="auto"/>
        <w:rPr>
          <w:rFonts w:ascii="宋体" w:hAnsi="宋体"/>
          <w:b/>
          <w:color w:val="000000"/>
          <w:spacing w:val="4"/>
          <w:szCs w:val="21"/>
        </w:rPr>
      </w:pPr>
      <w:r>
        <w:rPr>
          <w:rFonts w:hint="eastAsia" w:ascii="宋体" w:hAnsi="宋体"/>
          <w:b/>
          <w:color w:val="000000"/>
          <w:spacing w:val="4"/>
          <w:szCs w:val="21"/>
        </w:rPr>
        <w:t>注：</w:t>
      </w:r>
    </w:p>
    <w:p>
      <w:pPr>
        <w:pStyle w:val="9"/>
        <w:numPr>
          <w:ilvl w:val="0"/>
          <w:numId w:val="22"/>
        </w:numPr>
        <w:shd w:val="clear" w:color="auto" w:fill="FFFFFF"/>
        <w:spacing w:before="0" w:beforeAutospacing="0" w:after="0" w:afterAutospacing="0" w:line="276" w:lineRule="auto"/>
        <w:jc w:val="both"/>
        <w:rPr>
          <w:bCs/>
          <w:color w:val="000000"/>
          <w:sz w:val="21"/>
          <w:szCs w:val="21"/>
        </w:rPr>
      </w:pPr>
      <w:r>
        <w:rPr>
          <w:rFonts w:hint="eastAsia"/>
          <w:bCs/>
          <w:color w:val="000000"/>
          <w:sz w:val="21"/>
          <w:szCs w:val="21"/>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2"/>
        </w:numPr>
        <w:spacing w:line="276" w:lineRule="auto"/>
        <w:rPr>
          <w:rFonts w:ascii="宋体" w:hAnsi="宋体"/>
          <w:bCs/>
          <w:color w:val="000000"/>
          <w:kern w:val="0"/>
        </w:rPr>
      </w:pPr>
      <w:r>
        <w:rPr>
          <w:rFonts w:hint="eastAsia" w:ascii="宋体" w:hAnsi="宋体" w:cs="宋体"/>
          <w:bCs/>
          <w:color w:val="000000"/>
          <w:kern w:val="0"/>
        </w:rPr>
        <w:t>所有价格均系用人民币表示，单位为元，均为含税价；</w:t>
      </w:r>
    </w:p>
    <w:p>
      <w:pPr>
        <w:widowControl/>
        <w:numPr>
          <w:ilvl w:val="0"/>
          <w:numId w:val="22"/>
        </w:numPr>
        <w:spacing w:line="276" w:lineRule="auto"/>
        <w:rPr>
          <w:rFonts w:ascii="宋体" w:hAnsi="宋体"/>
          <w:bCs/>
          <w:color w:val="000000"/>
          <w:kern w:val="0"/>
        </w:rPr>
      </w:pPr>
      <w:r>
        <w:rPr>
          <w:rFonts w:ascii="宋体" w:hAnsi="宋体" w:cs="宋体"/>
          <w:bCs/>
          <w:color w:val="000000"/>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9"/>
        <w:numPr>
          <w:ilvl w:val="0"/>
          <w:numId w:val="22"/>
        </w:numPr>
        <w:shd w:val="clear" w:color="auto" w:fill="FFFFFF"/>
        <w:spacing w:before="0" w:beforeAutospacing="0" w:after="0" w:afterAutospacing="0" w:line="276" w:lineRule="auto"/>
        <w:jc w:val="both"/>
        <w:rPr>
          <w:color w:val="000000"/>
          <w:sz w:val="21"/>
          <w:szCs w:val="21"/>
        </w:rPr>
      </w:pPr>
      <w:r>
        <w:rPr>
          <w:rFonts w:hint="eastAsia"/>
          <w:color w:val="000000"/>
          <w:sz w:val="21"/>
          <w:szCs w:val="21"/>
        </w:rPr>
        <w:t>平台上报价与报价表合计不一致的，以报价表合计（经价格核准后的价格）为准。</w:t>
      </w:r>
    </w:p>
    <w:p>
      <w:pPr>
        <w:spacing w:line="360" w:lineRule="auto"/>
        <w:rPr>
          <w:rFonts w:ascii="宋体" w:hAnsi="宋体"/>
          <w:color w:val="000000"/>
          <w:spacing w:val="4"/>
          <w:szCs w:val="21"/>
        </w:rPr>
      </w:pPr>
    </w:p>
    <w:p>
      <w:pPr>
        <w:spacing w:line="360" w:lineRule="auto"/>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 xml:space="preserve">                     </w:t>
      </w:r>
    </w:p>
    <w:p>
      <w:pPr>
        <w:spacing w:after="240" w:line="360" w:lineRule="auto"/>
        <w:rPr>
          <w:rFonts w:ascii="宋体" w:hAnsi="宋体"/>
          <w:b/>
          <w:bCs/>
          <w:color w:val="000000"/>
        </w:rPr>
        <w:sectPr>
          <w:pgSz w:w="11906" w:h="16838"/>
          <w:pgMar w:top="1440" w:right="1797" w:bottom="1440" w:left="1797" w:header="851" w:footer="992" w:gutter="0"/>
          <w:cols w:space="425" w:num="1"/>
          <w:docGrid w:linePitch="312" w:charSpace="0"/>
        </w:sectPr>
      </w:pPr>
      <w:r>
        <w:rPr>
          <w:rFonts w:hint="eastAsia" w:ascii="宋体" w:hAnsi="宋体"/>
          <w:color w:val="000000"/>
          <w:spacing w:val="4"/>
          <w:szCs w:val="21"/>
        </w:rPr>
        <w:t>日期：</w:t>
      </w:r>
      <w:r>
        <w:rPr>
          <w:rFonts w:ascii="宋体" w:hAnsi="宋体"/>
          <w:color w:val="000000"/>
          <w:spacing w:val="4"/>
          <w:szCs w:val="21"/>
          <w:u w:val="single"/>
        </w:rPr>
        <w:t xml:space="preserve">  </w:t>
      </w:r>
      <w:r>
        <w:rPr>
          <w:rFonts w:hint="eastAsia" w:ascii="宋体" w:hAnsi="宋体"/>
          <w:color w:val="000000"/>
          <w:spacing w:val="4"/>
          <w:szCs w:val="21"/>
          <w:u w:val="single"/>
        </w:rPr>
        <w:t xml:space="preserve">                    </w:t>
      </w:r>
      <w:r>
        <w:rPr>
          <w:rFonts w:ascii="宋体" w:hAnsi="宋体"/>
          <w:color w:val="000000"/>
        </w:rPr>
        <w:br w:type="page"/>
      </w:r>
    </w:p>
    <w:p>
      <w:pPr>
        <w:pStyle w:val="3"/>
        <w:keepLines w:val="0"/>
        <w:spacing w:before="0" w:after="240" w:line="360" w:lineRule="auto"/>
        <w:jc w:val="center"/>
        <w:rPr>
          <w:rFonts w:ascii="宋体" w:hAnsi="宋体" w:eastAsia="宋体"/>
          <w:color w:val="000000"/>
        </w:rPr>
      </w:pPr>
      <w:r>
        <w:rPr>
          <w:rFonts w:hint="eastAsia" w:ascii="宋体" w:hAnsi="宋体" w:eastAsia="宋体"/>
          <w:color w:val="000000"/>
        </w:rPr>
        <w:t>用户需求书响应声明函</w:t>
      </w:r>
    </w:p>
    <w:p>
      <w:pPr>
        <w:spacing w:line="360" w:lineRule="auto"/>
        <w:rPr>
          <w:rFonts w:ascii="宋体" w:hAnsi="宋体"/>
          <w:b/>
          <w:color w:val="000000"/>
          <w:szCs w:val="21"/>
        </w:rPr>
      </w:pPr>
      <w:r>
        <w:rPr>
          <w:rFonts w:hint="eastAsia" w:ascii="宋体" w:hAnsi="宋体"/>
          <w:b/>
          <w:color w:val="000000"/>
          <w:szCs w:val="21"/>
        </w:rPr>
        <w:t>致：广东省广州女子监狱、</w:t>
      </w:r>
      <w:r>
        <w:rPr>
          <w:rFonts w:ascii="宋体" w:hAnsi="宋体"/>
          <w:b/>
          <w:color w:val="000000"/>
          <w:szCs w:val="21"/>
        </w:rPr>
        <w:t>云采链（广州）信息科技有限公司</w:t>
      </w:r>
    </w:p>
    <w:p>
      <w:pPr>
        <w:spacing w:line="360" w:lineRule="auto"/>
        <w:rPr>
          <w:rFonts w:ascii="宋体" w:hAnsi="宋体"/>
          <w:color w:val="000000"/>
          <w:lang w:val="zh-CN"/>
        </w:rPr>
      </w:pPr>
    </w:p>
    <w:p>
      <w:pPr>
        <w:snapToGrid w:val="0"/>
        <w:spacing w:line="360" w:lineRule="auto"/>
        <w:ind w:left="210" w:leftChars="100" w:firstLine="210" w:firstLineChars="100"/>
        <w:rPr>
          <w:rFonts w:ascii="宋体" w:hAnsi="宋体"/>
          <w:color w:val="000000"/>
          <w:szCs w:val="21"/>
        </w:rPr>
      </w:pPr>
      <w:r>
        <w:rPr>
          <w:rFonts w:hint="eastAsia" w:ascii="宋体" w:hAnsi="宋体"/>
          <w:color w:val="000000"/>
          <w:szCs w:val="21"/>
        </w:rPr>
        <w:t>关于贵单位、贵司发布</w:t>
      </w:r>
      <w:r>
        <w:rPr>
          <w:rFonts w:hint="eastAsia" w:ascii="宋体" w:hAnsi="宋体"/>
          <w:b/>
          <w:bCs/>
          <w:color w:val="000000"/>
          <w:szCs w:val="21"/>
          <w:u w:val="single"/>
        </w:rPr>
        <w:t xml:space="preserve"> </w:t>
      </w:r>
      <w:r>
        <w:rPr>
          <w:rFonts w:ascii="宋体" w:hAnsi="宋体" w:eastAsia="宋体" w:cs="宋体"/>
          <w:b/>
          <w:bCs/>
          <w:sz w:val="21"/>
          <w:szCs w:val="21"/>
          <w:u w:val="single"/>
        </w:rPr>
        <w:t>广东省广州女子监狱2024年打印复印耗材采购项目</w:t>
      </w:r>
      <w:r>
        <w:rPr>
          <w:rFonts w:hint="eastAsia" w:ascii="宋体" w:hAnsi="宋体"/>
          <w:b/>
          <w:bCs/>
          <w:color w:val="000000"/>
          <w:szCs w:val="21"/>
          <w:u w:val="single"/>
        </w:rPr>
        <w:t xml:space="preserve"> </w:t>
      </w:r>
      <w:r>
        <w:rPr>
          <w:rFonts w:hint="eastAsia" w:ascii="宋体" w:hAnsi="宋体"/>
          <w:color w:val="000000"/>
          <w:szCs w:val="21"/>
        </w:rPr>
        <w:t>的竞价公告，本公司（企业）愿意参加采购活动，并作出如下声明：</w:t>
      </w:r>
    </w:p>
    <w:p>
      <w:pPr>
        <w:pStyle w:val="30"/>
        <w:tabs>
          <w:tab w:val="left" w:pos="426"/>
        </w:tabs>
        <w:snapToGrid w:val="0"/>
        <w:spacing w:line="360" w:lineRule="auto"/>
        <w:rPr>
          <w:rFonts w:ascii="宋体" w:hAnsi="宋体"/>
          <w:color w:val="000000"/>
        </w:rPr>
      </w:pPr>
      <w:r>
        <w:rPr>
          <w:rFonts w:hint="eastAsia" w:ascii="宋体" w:hAnsi="宋体"/>
          <w:color w:val="00000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30"/>
        <w:tabs>
          <w:tab w:val="left" w:pos="426"/>
        </w:tabs>
        <w:snapToGrid w:val="0"/>
        <w:spacing w:line="360" w:lineRule="auto"/>
        <w:rPr>
          <w:rFonts w:ascii="宋体" w:hAnsi="宋体"/>
          <w:color w:val="000000"/>
        </w:rPr>
      </w:pPr>
      <w:r>
        <w:rPr>
          <w:rFonts w:hint="eastAsia" w:ascii="宋体" w:hAnsi="宋体"/>
          <w:color w:val="000000"/>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color w:val="000000"/>
        </w:rPr>
      </w:pPr>
    </w:p>
    <w:p>
      <w:pPr>
        <w:autoSpaceDE w:val="0"/>
        <w:autoSpaceDN w:val="0"/>
        <w:adjustRightInd w:val="0"/>
        <w:spacing w:line="360" w:lineRule="auto"/>
        <w:ind w:firstLine="413" w:firstLineChars="196"/>
        <w:rPr>
          <w:rFonts w:ascii="宋体" w:hAnsi="宋体"/>
          <w:b/>
          <w:color w:val="000000"/>
        </w:rPr>
      </w:pPr>
      <w:r>
        <w:rPr>
          <w:rFonts w:hint="eastAsia" w:ascii="宋体" w:hAnsi="宋体"/>
          <w:b/>
          <w:color w:val="000000"/>
        </w:rPr>
        <w:t>备注：</w:t>
      </w:r>
    </w:p>
    <w:p>
      <w:pPr>
        <w:pStyle w:val="27"/>
        <w:numPr>
          <w:ilvl w:val="0"/>
          <w:numId w:val="23"/>
        </w:numPr>
        <w:autoSpaceDE w:val="0"/>
        <w:autoSpaceDN w:val="0"/>
        <w:adjustRightInd w:val="0"/>
        <w:spacing w:line="360" w:lineRule="auto"/>
        <w:ind w:left="1196" w:hanging="357" w:firstLineChars="0"/>
        <w:rPr>
          <w:rFonts w:ascii="宋体" w:hAnsi="宋体"/>
          <w:color w:val="000000"/>
        </w:rPr>
      </w:pPr>
      <w:r>
        <w:rPr>
          <w:rFonts w:hint="eastAsia" w:ascii="宋体" w:hAnsi="宋体"/>
          <w:color w:val="000000"/>
        </w:rPr>
        <w:t>本声明函必须提供且内容不得擅自删改，否则视为响应无效。</w:t>
      </w:r>
    </w:p>
    <w:p>
      <w:pPr>
        <w:pStyle w:val="27"/>
        <w:numPr>
          <w:ilvl w:val="0"/>
          <w:numId w:val="23"/>
        </w:numPr>
        <w:snapToGrid w:val="0"/>
        <w:spacing w:line="360" w:lineRule="auto"/>
        <w:ind w:left="1196" w:hanging="357" w:firstLineChars="0"/>
        <w:rPr>
          <w:rFonts w:ascii="宋体" w:hAnsi="宋体"/>
          <w:color w:val="000000"/>
          <w:szCs w:val="21"/>
        </w:rPr>
      </w:pPr>
      <w:r>
        <w:rPr>
          <w:rFonts w:hint="eastAsia" w:ascii="宋体" w:hAnsi="宋体"/>
          <w:color w:val="000000"/>
          <w:szCs w:val="21"/>
        </w:rPr>
        <w:t>本声明函如有虚假或与事实不符的，作无效报价处理。</w:t>
      </w:r>
    </w:p>
    <w:p>
      <w:pPr>
        <w:widowControl/>
        <w:spacing w:line="360" w:lineRule="auto"/>
        <w:jc w:val="left"/>
        <w:rPr>
          <w:rFonts w:ascii="宋体" w:hAnsi="宋体"/>
          <w:b/>
          <w:bCs/>
          <w:color w:val="000000"/>
          <w:kern w:val="0"/>
          <w:sz w:val="32"/>
          <w:szCs w:val="32"/>
        </w:rPr>
      </w:pPr>
    </w:p>
    <w:p>
      <w:pPr>
        <w:wordWrap w:val="0"/>
        <w:spacing w:line="360" w:lineRule="auto"/>
        <w:jc w:val="right"/>
        <w:rPr>
          <w:rFonts w:ascii="宋体" w:hAnsi="宋体"/>
          <w:color w:val="000000"/>
          <w:szCs w:val="21"/>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p>
    <w:p>
      <w:pPr>
        <w:spacing w:line="360" w:lineRule="auto"/>
        <w:ind w:firstLine="105" w:firstLineChars="50"/>
        <w:jc w:val="right"/>
        <w:rPr>
          <w:rFonts w:ascii="宋体" w:hAnsi="宋体"/>
          <w:color w:val="000000"/>
          <w:szCs w:val="21"/>
          <w:u w:val="single"/>
        </w:rPr>
      </w:pPr>
    </w:p>
    <w:p>
      <w:pPr>
        <w:spacing w:line="360" w:lineRule="auto"/>
        <w:jc w:val="right"/>
        <w:rPr>
          <w:rFonts w:ascii="宋体" w:hAnsi="宋体"/>
          <w:color w:val="000000"/>
          <w:spacing w:val="4"/>
          <w:szCs w:val="21"/>
          <w:u w:val="single"/>
        </w:rPr>
      </w:pPr>
      <w:r>
        <w:rPr>
          <w:rFonts w:hint="eastAsia" w:ascii="宋体" w:hAnsi="宋体"/>
          <w:color w:val="000000"/>
          <w:spacing w:val="4"/>
          <w:szCs w:val="21"/>
        </w:rPr>
        <w:t>日期：</w:t>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r>
        <w:rPr>
          <w:rFonts w:hint="eastAsia" w:ascii="宋体" w:hAnsi="宋体"/>
          <w:color w:val="000000"/>
          <w:spacing w:val="4"/>
          <w:szCs w:val="21"/>
          <w:u w:val="single"/>
        </w:rPr>
        <w:t xml:space="preserve">          </w:t>
      </w:r>
    </w:p>
    <w:p>
      <w:pPr>
        <w:widowControl/>
        <w:jc w:val="left"/>
        <w:rPr>
          <w:rFonts w:ascii="宋体" w:hAnsi="宋体"/>
          <w:szCs w:val="21"/>
        </w:rPr>
      </w:pPr>
      <w:r>
        <w:rPr>
          <w:rFonts w:ascii="宋体" w:hAnsi="宋体"/>
          <w:szCs w:val="21"/>
        </w:rPr>
        <w:br w:type="page"/>
      </w:r>
    </w:p>
    <w:p>
      <w:pPr>
        <w:keepNext/>
        <w:keepLines/>
        <w:spacing w:before="260" w:after="260" w:line="360" w:lineRule="auto"/>
        <w:jc w:val="center"/>
        <w:outlineLvl w:val="1"/>
        <w:rPr>
          <w:rFonts w:ascii="宋体" w:hAnsi="宋体"/>
          <w:szCs w:val="21"/>
          <w:u w:val="single"/>
        </w:rPr>
      </w:pPr>
      <w:r>
        <w:rPr>
          <w:rFonts w:hint="eastAsia" w:ascii="宋体" w:hAnsi="宋体"/>
          <w:b/>
          <w:bCs/>
          <w:sz w:val="32"/>
          <w:szCs w:val="32"/>
        </w:rPr>
        <w:t>供应商资格声明函</w:t>
      </w:r>
    </w:p>
    <w:p>
      <w:pPr>
        <w:autoSpaceDE w:val="0"/>
        <w:autoSpaceDN w:val="0"/>
        <w:adjustRightInd w:val="0"/>
        <w:spacing w:before="240" w:after="240" w:afterLines="100" w:line="360" w:lineRule="auto"/>
        <w:jc w:val="left"/>
        <w:rPr>
          <w:rFonts w:ascii="宋体" w:hAnsi="宋体"/>
          <w:b/>
          <w:kern w:val="0"/>
          <w:szCs w:val="21"/>
        </w:rPr>
      </w:pPr>
      <w:r>
        <w:rPr>
          <w:rFonts w:hint="eastAsia" w:ascii="宋体" w:hAnsi="宋体"/>
          <w:b/>
          <w:kern w:val="0"/>
          <w:szCs w:val="21"/>
        </w:rPr>
        <w:t>致：</w:t>
      </w:r>
      <w:r>
        <w:rPr>
          <w:rFonts w:hint="eastAsia" w:ascii="宋体" w:hAnsi="宋体"/>
          <w:b/>
          <w:color w:val="000000"/>
          <w:szCs w:val="21"/>
        </w:rPr>
        <w:t>广东省广州女子监狱</w:t>
      </w:r>
      <w:r>
        <w:rPr>
          <w:rFonts w:hint="eastAsia" w:ascii="宋体" w:hAnsi="宋体"/>
          <w:b/>
          <w:kern w:val="0"/>
          <w:szCs w:val="21"/>
        </w:rPr>
        <w:t>、云采链（广州）信息科技有限公司</w:t>
      </w:r>
    </w:p>
    <w:p>
      <w:pPr>
        <w:snapToGrid w:val="0"/>
        <w:spacing w:line="360" w:lineRule="auto"/>
        <w:ind w:firstLine="424" w:firstLineChars="202"/>
        <w:rPr>
          <w:rFonts w:ascii="宋体" w:hAnsi="宋体"/>
          <w:szCs w:val="21"/>
        </w:rPr>
      </w:pPr>
      <w:r>
        <w:rPr>
          <w:rFonts w:hint="eastAsia" w:ascii="宋体" w:hAnsi="宋体" w:cs="宋体"/>
          <w:szCs w:val="21"/>
        </w:rPr>
        <w:t>关于贵单位、贵司发布</w:t>
      </w:r>
      <w:r>
        <w:rPr>
          <w:rFonts w:hint="eastAsia" w:ascii="宋体" w:hAnsi="宋体" w:cs="宋体"/>
          <w:szCs w:val="21"/>
          <w:u w:val="single"/>
        </w:rPr>
        <w:t xml:space="preserve"> </w:t>
      </w:r>
      <w:r>
        <w:rPr>
          <w:rFonts w:hint="eastAsia" w:ascii="宋体" w:hAnsi="宋体"/>
          <w:b/>
          <w:bCs/>
          <w:color w:val="000000"/>
          <w:szCs w:val="21"/>
          <w:u w:val="single"/>
        </w:rPr>
        <w:t xml:space="preserve"> </w:t>
      </w:r>
      <w:r>
        <w:rPr>
          <w:rFonts w:ascii="宋体" w:hAnsi="宋体" w:eastAsia="宋体" w:cs="宋体"/>
          <w:b/>
          <w:bCs/>
          <w:sz w:val="21"/>
          <w:szCs w:val="21"/>
          <w:u w:val="single"/>
        </w:rPr>
        <w:t>广东省广州女子监狱2024年打印复印耗材采购项目</w:t>
      </w:r>
      <w:r>
        <w:rPr>
          <w:rFonts w:hint="eastAsia" w:ascii="宋体" w:hAnsi="宋体"/>
          <w:b/>
          <w:bCs/>
          <w:color w:val="000000"/>
          <w:szCs w:val="21"/>
          <w:u w:val="single"/>
        </w:rPr>
        <w:t xml:space="preserve"> </w:t>
      </w:r>
      <w:r>
        <w:rPr>
          <w:rFonts w:hint="eastAsia" w:ascii="宋体" w:hAnsi="宋体"/>
          <w:bCs/>
          <w:szCs w:val="21"/>
        </w:rPr>
        <w:t>的</w:t>
      </w:r>
      <w:r>
        <w:rPr>
          <w:rFonts w:hint="eastAsia" w:ascii="宋体" w:hAnsi="宋体"/>
          <w:szCs w:val="21"/>
        </w:rPr>
        <w:t>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szCs w:val="21"/>
        </w:rPr>
      </w:pPr>
      <w:r>
        <w:rPr>
          <w:rFonts w:hint="eastAsia" w:ascii="宋体" w:hAnsi="宋体"/>
          <w:szCs w:val="21"/>
        </w:rPr>
        <w:t>四、本公司在本项目中不转包不分包且不联合竞价。</w:t>
      </w:r>
    </w:p>
    <w:p>
      <w:pPr>
        <w:snapToGrid w:val="0"/>
        <w:spacing w:line="360" w:lineRule="auto"/>
        <w:ind w:firstLine="424" w:firstLineChars="202"/>
        <w:rPr>
          <w:rFonts w:ascii="宋体" w:hAnsi="宋体"/>
          <w:szCs w:val="21"/>
        </w:rPr>
      </w:pPr>
      <w:r>
        <w:rPr>
          <w:rFonts w:hint="eastAsia" w:ascii="宋体" w:hAnsi="宋体"/>
          <w:szCs w:val="21"/>
        </w:rPr>
        <w:t>五、本公司（企业）不与所参投的本项目其他供应商存在隶属关系或同属一母公司或法人。</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numPr>
          <w:ilvl w:val="0"/>
          <w:numId w:val="24"/>
        </w:numPr>
        <w:tabs>
          <w:tab w:val="left" w:pos="1200"/>
        </w:tabs>
        <w:autoSpaceDE w:val="0"/>
        <w:autoSpaceDN w:val="0"/>
        <w:adjustRightInd w:val="0"/>
        <w:spacing w:line="360" w:lineRule="auto"/>
        <w:rPr>
          <w:rFonts w:ascii="宋体" w:hAnsi="宋体"/>
          <w:szCs w:val="21"/>
        </w:rPr>
      </w:pPr>
      <w:r>
        <w:rPr>
          <w:rFonts w:hint="eastAsia" w:ascii="宋体" w:hAnsi="宋体"/>
          <w:szCs w:val="21"/>
        </w:rPr>
        <w:t>本声明函必须提供且内容不得擅自删改，否则视为响应无效。</w:t>
      </w:r>
    </w:p>
    <w:p>
      <w:pPr>
        <w:numPr>
          <w:ilvl w:val="0"/>
          <w:numId w:val="24"/>
        </w:numPr>
        <w:tabs>
          <w:tab w:val="left" w:pos="1200"/>
        </w:tabs>
        <w:snapToGrid w:val="0"/>
        <w:spacing w:line="360" w:lineRule="auto"/>
        <w:rPr>
          <w:rFonts w:ascii="宋体" w:hAnsi="宋体"/>
          <w:szCs w:val="21"/>
        </w:rPr>
      </w:pPr>
      <w:r>
        <w:rPr>
          <w:rFonts w:hint="eastAsia" w:ascii="宋体" w:hAnsi="宋体"/>
          <w:szCs w:val="21"/>
        </w:rPr>
        <w:t>本声明函如有虚假或与事实不符的，作无效报价处理。</w:t>
      </w:r>
    </w:p>
    <w:p>
      <w:pPr>
        <w:pStyle w:val="27"/>
        <w:spacing w:line="360" w:lineRule="auto"/>
      </w:pPr>
    </w:p>
    <w:p>
      <w:pPr>
        <w:spacing w:line="360" w:lineRule="auto"/>
        <w:jc w:val="right"/>
        <w:rPr>
          <w:rFonts w:ascii="宋体" w:hAnsi="宋体" w:cs="宋体"/>
          <w:spacing w:val="4"/>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hint="eastAsia" w:ascii="宋体" w:hAnsi="宋体" w:cs="宋体"/>
          <w:spacing w:val="4"/>
          <w:szCs w:val="21"/>
          <w:u w:val="single"/>
        </w:rPr>
        <w:t xml:space="preserve"> </w:t>
      </w:r>
      <w:r>
        <w:rPr>
          <w:rFonts w:ascii="宋体" w:hAnsi="宋体" w:cs="宋体"/>
          <w:spacing w:val="4"/>
          <w:szCs w:val="21"/>
          <w:u w:val="single"/>
        </w:rPr>
        <w:t xml:space="preserve">      </w:t>
      </w:r>
    </w:p>
    <w:p>
      <w:pPr>
        <w:spacing w:line="360" w:lineRule="auto"/>
        <w:jc w:val="right"/>
        <w:rPr>
          <w:rFonts w:ascii="宋体" w:hAnsi="宋体"/>
          <w:szCs w:val="21"/>
          <w:u w:val="single"/>
        </w:rPr>
      </w:pPr>
    </w:p>
    <w:p>
      <w:pPr>
        <w:widowControl/>
        <w:jc w:val="left"/>
        <w:rPr>
          <w:rFonts w:ascii="宋体" w:hAnsi="宋体"/>
          <w:szCs w:val="21"/>
        </w:rPr>
      </w:pPr>
      <w:r>
        <w:rPr>
          <w:rFonts w:hint="eastAsia" w:ascii="宋体" w:hAnsi="宋体" w:cs="宋体"/>
          <w:spacing w:val="4"/>
          <w:szCs w:val="21"/>
        </w:rPr>
        <w:t xml:space="preserve"> </w:t>
      </w:r>
      <w:r>
        <w:rPr>
          <w:rFonts w:ascii="宋体" w:hAnsi="宋体" w:cs="宋体"/>
          <w:spacing w:val="4"/>
          <w:szCs w:val="21"/>
        </w:rPr>
        <w:t xml:space="preserve">  </w:t>
      </w:r>
      <w:r>
        <w:rPr>
          <w:rFonts w:hint="eastAsia" w:ascii="宋体" w:hAnsi="宋体" w:cs="宋体"/>
          <w:spacing w:val="4"/>
          <w:szCs w:val="21"/>
        </w:rPr>
        <w:t xml:space="preserve">                                                  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PingFang SC">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4"/>
    <w:multiLevelType w:val="multilevel"/>
    <w:tmpl w:val="00000004"/>
    <w:lvl w:ilvl="0" w:tentative="0">
      <w:start w:val="1"/>
      <w:numFmt w:val="decimal"/>
      <w:lvlText w:val="%1."/>
      <w:lvlJc w:val="left"/>
      <w:pPr>
        <w:ind w:left="420" w:hanging="420"/>
      </w:pPr>
      <w:rPr>
        <w:rFonts w:hint="eastAsia"/>
      </w:rPr>
    </w:lvl>
    <w:lvl w:ilvl="1" w:tentative="0">
      <w:start w:val="1"/>
      <w:numFmt w:val="decimal"/>
      <w:lvlText w:val="%2."/>
      <w:lvlJc w:val="left"/>
      <w:pPr>
        <w:ind w:left="846" w:hanging="420"/>
      </w:pPr>
      <w:rPr>
        <w:rFonts w:hint="eastAsia"/>
      </w:rPr>
    </w:lvl>
    <w:lvl w:ilvl="2" w:tentative="0">
      <w:start w:val="1"/>
      <w:numFmt w:val="lowerRoman"/>
      <w:lvlText w:val="%3."/>
      <w:lvlJc w:val="right"/>
      <w:pPr>
        <w:ind w:left="1260" w:hanging="420"/>
      </w:pPr>
      <w:rPr>
        <w:rFonts w:hint="eastAsia"/>
      </w:rPr>
    </w:lvl>
    <w:lvl w:ilvl="3" w:tentative="0">
      <w:start w:val="4"/>
      <w:numFmt w:val="japaneseCounting"/>
      <w:lvlText w:val="%4、"/>
      <w:lvlJc w:val="left"/>
      <w:pPr>
        <w:ind w:left="862" w:hanging="72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0000005"/>
    <w:multiLevelType w:val="multilevel"/>
    <w:tmpl w:val="00000005"/>
    <w:lvl w:ilvl="0" w:tentative="0">
      <w:start w:val="1"/>
      <w:numFmt w:val="decimal"/>
      <w:lvlText w:val="%1."/>
      <w:lvlJc w:val="left"/>
      <w:pPr>
        <w:ind w:left="420" w:hanging="420"/>
      </w:pPr>
      <w:rPr>
        <w:rFonts w:hint="eastAsia"/>
      </w:rPr>
    </w:lvl>
    <w:lvl w:ilvl="1" w:tentative="0">
      <w:start w:val="3"/>
      <w:numFmt w:val="japaneseCounting"/>
      <w:lvlText w:val="%2、"/>
      <w:lvlJc w:val="left"/>
      <w:pPr>
        <w:ind w:left="450" w:hanging="450"/>
      </w:pPr>
      <w:rPr>
        <w:rFonts w:hint="default"/>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0000008"/>
    <w:multiLevelType w:val="multilevel"/>
    <w:tmpl w:val="00000008"/>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4">
    <w:nsid w:val="00000009"/>
    <w:multiLevelType w:val="multilevel"/>
    <w:tmpl w:val="0000000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000000A"/>
    <w:multiLevelType w:val="multilevel"/>
    <w:tmpl w:val="0000000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000000B"/>
    <w:multiLevelType w:val="multilevel"/>
    <w:tmpl w:val="0000000B"/>
    <w:lvl w:ilvl="0" w:tentative="0">
      <w:start w:val="1"/>
      <w:numFmt w:val="decimal"/>
      <w:lvlText w:val="%1."/>
      <w:lvlJc w:val="left"/>
      <w:pPr>
        <w:ind w:left="704" w:hanging="420"/>
      </w:pPr>
      <w:rPr>
        <w:rFonts w:hint="eastAsia"/>
      </w:rPr>
    </w:lvl>
    <w:lvl w:ilvl="1" w:tentative="0">
      <w:start w:val="1"/>
      <w:numFmt w:val="lowerLetter"/>
      <w:lvlText w:val="%2)"/>
      <w:lvlJc w:val="left"/>
      <w:pPr>
        <w:ind w:left="1544" w:hanging="420"/>
      </w:pPr>
      <w:rPr>
        <w:rFonts w:hint="eastAsia"/>
      </w:rPr>
    </w:lvl>
    <w:lvl w:ilvl="2" w:tentative="0">
      <w:start w:val="1"/>
      <w:numFmt w:val="lowerRoman"/>
      <w:lvlText w:val="%3."/>
      <w:lvlJc w:val="right"/>
      <w:pPr>
        <w:ind w:left="1964" w:hanging="420"/>
      </w:pPr>
      <w:rPr>
        <w:rFonts w:hint="eastAsia"/>
      </w:rPr>
    </w:lvl>
    <w:lvl w:ilvl="3" w:tentative="0">
      <w:start w:val="1"/>
      <w:numFmt w:val="decimal"/>
      <w:lvlText w:val="%4."/>
      <w:lvlJc w:val="left"/>
      <w:pPr>
        <w:ind w:left="2384" w:hanging="420"/>
      </w:pPr>
      <w:rPr>
        <w:rFonts w:hint="eastAsia"/>
      </w:rPr>
    </w:lvl>
    <w:lvl w:ilvl="4" w:tentative="0">
      <w:start w:val="1"/>
      <w:numFmt w:val="lowerLetter"/>
      <w:lvlText w:val="%5)"/>
      <w:lvlJc w:val="left"/>
      <w:pPr>
        <w:ind w:left="2804" w:hanging="420"/>
      </w:pPr>
      <w:rPr>
        <w:rFonts w:hint="eastAsia"/>
      </w:rPr>
    </w:lvl>
    <w:lvl w:ilvl="5" w:tentative="0">
      <w:start w:val="1"/>
      <w:numFmt w:val="lowerRoman"/>
      <w:lvlText w:val="%6."/>
      <w:lvlJc w:val="right"/>
      <w:pPr>
        <w:ind w:left="3224" w:hanging="420"/>
      </w:pPr>
      <w:rPr>
        <w:rFonts w:hint="eastAsia"/>
      </w:rPr>
    </w:lvl>
    <w:lvl w:ilvl="6" w:tentative="0">
      <w:start w:val="1"/>
      <w:numFmt w:val="decimal"/>
      <w:lvlText w:val="%7."/>
      <w:lvlJc w:val="left"/>
      <w:pPr>
        <w:ind w:left="3644" w:hanging="420"/>
      </w:pPr>
      <w:rPr>
        <w:rFonts w:hint="eastAsia"/>
      </w:rPr>
    </w:lvl>
    <w:lvl w:ilvl="7" w:tentative="0">
      <w:start w:val="1"/>
      <w:numFmt w:val="lowerLetter"/>
      <w:lvlText w:val="%8)"/>
      <w:lvlJc w:val="left"/>
      <w:pPr>
        <w:ind w:left="4064" w:hanging="420"/>
      </w:pPr>
      <w:rPr>
        <w:rFonts w:hint="eastAsia"/>
      </w:rPr>
    </w:lvl>
    <w:lvl w:ilvl="8" w:tentative="0">
      <w:start w:val="1"/>
      <w:numFmt w:val="lowerRoman"/>
      <w:lvlText w:val="%9."/>
      <w:lvlJc w:val="right"/>
      <w:pPr>
        <w:ind w:left="4484" w:hanging="420"/>
      </w:pPr>
      <w:rPr>
        <w:rFonts w:hint="eastAsia"/>
      </w:rPr>
    </w:lvl>
  </w:abstractNum>
  <w:abstractNum w:abstractNumId="7">
    <w:nsid w:val="0000000C"/>
    <w:multiLevelType w:val="multilevel"/>
    <w:tmpl w:val="0000000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000000E"/>
    <w:multiLevelType w:val="multilevel"/>
    <w:tmpl w:val="0000000E"/>
    <w:lvl w:ilvl="0" w:tentative="0">
      <w:start w:val="1"/>
      <w:numFmt w:val="decimal"/>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00000011"/>
    <w:multiLevelType w:val="multilevel"/>
    <w:tmpl w:val="0000001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00000012"/>
    <w:multiLevelType w:val="multilevel"/>
    <w:tmpl w:val="00000012"/>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1">
    <w:nsid w:val="00000014"/>
    <w:multiLevelType w:val="multilevel"/>
    <w:tmpl w:val="00000014"/>
    <w:lvl w:ilvl="0" w:tentative="0">
      <w:start w:val="1"/>
      <w:numFmt w:val="decimal"/>
      <w:lvlText w:val="%1."/>
      <w:lvlJc w:val="left"/>
      <w:pPr>
        <w:ind w:left="987" w:hanging="420"/>
      </w:pPr>
      <w:rPr>
        <w:rFonts w:hint="eastAsia"/>
      </w:rPr>
    </w:lvl>
    <w:lvl w:ilvl="1" w:tentative="0">
      <w:start w:val="1"/>
      <w:numFmt w:val="lowerLetter"/>
      <w:lvlText w:val="%2)"/>
      <w:lvlJc w:val="left"/>
      <w:pPr>
        <w:ind w:left="1827" w:hanging="420"/>
      </w:pPr>
      <w:rPr>
        <w:rFonts w:hint="eastAsia"/>
      </w:rPr>
    </w:lvl>
    <w:lvl w:ilvl="2" w:tentative="0">
      <w:start w:val="1"/>
      <w:numFmt w:val="lowerRoman"/>
      <w:lvlText w:val="%3."/>
      <w:lvlJc w:val="right"/>
      <w:pPr>
        <w:ind w:left="2247" w:hanging="420"/>
      </w:pPr>
      <w:rPr>
        <w:rFonts w:hint="eastAsia"/>
      </w:rPr>
    </w:lvl>
    <w:lvl w:ilvl="3" w:tentative="0">
      <w:start w:val="1"/>
      <w:numFmt w:val="decimal"/>
      <w:lvlText w:val="%4."/>
      <w:lvlJc w:val="left"/>
      <w:pPr>
        <w:ind w:left="2667" w:hanging="420"/>
      </w:pPr>
      <w:rPr>
        <w:rFonts w:hint="eastAsia"/>
      </w:rPr>
    </w:lvl>
    <w:lvl w:ilvl="4" w:tentative="0">
      <w:start w:val="1"/>
      <w:numFmt w:val="lowerLetter"/>
      <w:lvlText w:val="%5)"/>
      <w:lvlJc w:val="left"/>
      <w:pPr>
        <w:ind w:left="3087" w:hanging="420"/>
      </w:pPr>
      <w:rPr>
        <w:rFonts w:hint="eastAsia"/>
      </w:rPr>
    </w:lvl>
    <w:lvl w:ilvl="5" w:tentative="0">
      <w:start w:val="1"/>
      <w:numFmt w:val="lowerRoman"/>
      <w:lvlText w:val="%6."/>
      <w:lvlJc w:val="right"/>
      <w:pPr>
        <w:ind w:left="3507" w:hanging="420"/>
      </w:pPr>
      <w:rPr>
        <w:rFonts w:hint="eastAsia"/>
      </w:rPr>
    </w:lvl>
    <w:lvl w:ilvl="6" w:tentative="0">
      <w:start w:val="1"/>
      <w:numFmt w:val="decimal"/>
      <w:lvlText w:val="%7."/>
      <w:lvlJc w:val="left"/>
      <w:pPr>
        <w:ind w:left="3927" w:hanging="420"/>
      </w:pPr>
      <w:rPr>
        <w:rFonts w:hint="eastAsia"/>
      </w:rPr>
    </w:lvl>
    <w:lvl w:ilvl="7" w:tentative="0">
      <w:start w:val="1"/>
      <w:numFmt w:val="lowerLetter"/>
      <w:lvlText w:val="%8)"/>
      <w:lvlJc w:val="left"/>
      <w:pPr>
        <w:ind w:left="4347" w:hanging="420"/>
      </w:pPr>
      <w:rPr>
        <w:rFonts w:hint="eastAsia"/>
      </w:rPr>
    </w:lvl>
    <w:lvl w:ilvl="8" w:tentative="0">
      <w:start w:val="1"/>
      <w:numFmt w:val="lowerRoman"/>
      <w:lvlText w:val="%9."/>
      <w:lvlJc w:val="right"/>
      <w:pPr>
        <w:ind w:left="4767" w:hanging="420"/>
      </w:pPr>
      <w:rPr>
        <w:rFonts w:hint="eastAsia"/>
      </w:rPr>
    </w:lvl>
  </w:abstractNum>
  <w:abstractNum w:abstractNumId="12">
    <w:nsid w:val="00000016"/>
    <w:multiLevelType w:val="multilevel"/>
    <w:tmpl w:val="00000016"/>
    <w:lvl w:ilvl="0" w:tentative="0">
      <w:start w:val="1"/>
      <w:numFmt w:val="decimal"/>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0000018"/>
    <w:multiLevelType w:val="multilevel"/>
    <w:tmpl w:val="00000018"/>
    <w:lvl w:ilvl="0" w:tentative="0">
      <w:start w:val="1"/>
      <w:numFmt w:val="decimal"/>
      <w:lvlText w:val="%1."/>
      <w:lvlJc w:val="left"/>
      <w:pPr>
        <w:ind w:left="987" w:hanging="420"/>
      </w:pPr>
      <w:rPr>
        <w:rFonts w:hint="eastAsia"/>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4">
    <w:nsid w:val="00000019"/>
    <w:multiLevelType w:val="multilevel"/>
    <w:tmpl w:val="00000019"/>
    <w:lvl w:ilvl="0" w:tentative="0">
      <w:start w:val="1"/>
      <w:numFmt w:val="decimal"/>
      <w:lvlText w:val="%1."/>
      <w:lvlJc w:val="left"/>
      <w:pPr>
        <w:ind w:left="426" w:hanging="420"/>
      </w:pPr>
      <w:rPr>
        <w:rFonts w:hint="eastAsia"/>
      </w:rPr>
    </w:lvl>
    <w:lvl w:ilvl="1" w:tentative="0">
      <w:start w:val="1"/>
      <w:numFmt w:val="lowerLetter"/>
      <w:lvlText w:val="%2)"/>
      <w:lvlJc w:val="left"/>
      <w:pPr>
        <w:ind w:left="846" w:hanging="420"/>
      </w:pPr>
      <w:rPr>
        <w:rFonts w:hint="eastAsia"/>
      </w:rPr>
    </w:lvl>
    <w:lvl w:ilvl="2" w:tentative="0">
      <w:start w:val="1"/>
      <w:numFmt w:val="lowerRoman"/>
      <w:lvlText w:val="%3."/>
      <w:lvlJc w:val="right"/>
      <w:pPr>
        <w:ind w:left="1266" w:hanging="420"/>
      </w:pPr>
      <w:rPr>
        <w:rFonts w:hint="eastAsia"/>
      </w:rPr>
    </w:lvl>
    <w:lvl w:ilvl="3" w:tentative="0">
      <w:start w:val="1"/>
      <w:numFmt w:val="decimal"/>
      <w:lvlText w:val="%4."/>
      <w:lvlJc w:val="left"/>
      <w:pPr>
        <w:ind w:left="1686" w:hanging="420"/>
      </w:pPr>
      <w:rPr>
        <w:rFonts w:hint="eastAsia"/>
      </w:rPr>
    </w:lvl>
    <w:lvl w:ilvl="4" w:tentative="0">
      <w:start w:val="1"/>
      <w:numFmt w:val="lowerLetter"/>
      <w:lvlText w:val="%5)"/>
      <w:lvlJc w:val="left"/>
      <w:pPr>
        <w:ind w:left="2106" w:hanging="420"/>
      </w:pPr>
      <w:rPr>
        <w:rFonts w:hint="eastAsia"/>
      </w:rPr>
    </w:lvl>
    <w:lvl w:ilvl="5" w:tentative="0">
      <w:start w:val="1"/>
      <w:numFmt w:val="lowerRoman"/>
      <w:lvlText w:val="%6."/>
      <w:lvlJc w:val="right"/>
      <w:pPr>
        <w:ind w:left="2526" w:hanging="420"/>
      </w:pPr>
      <w:rPr>
        <w:rFonts w:hint="eastAsia"/>
      </w:rPr>
    </w:lvl>
    <w:lvl w:ilvl="6" w:tentative="0">
      <w:start w:val="1"/>
      <w:numFmt w:val="decimal"/>
      <w:lvlText w:val="%7."/>
      <w:lvlJc w:val="left"/>
      <w:pPr>
        <w:ind w:left="2946" w:hanging="420"/>
      </w:pPr>
      <w:rPr>
        <w:rFonts w:hint="eastAsia"/>
      </w:rPr>
    </w:lvl>
    <w:lvl w:ilvl="7" w:tentative="0">
      <w:start w:val="1"/>
      <w:numFmt w:val="lowerLetter"/>
      <w:lvlText w:val="%8)"/>
      <w:lvlJc w:val="left"/>
      <w:pPr>
        <w:ind w:left="3366" w:hanging="420"/>
      </w:pPr>
      <w:rPr>
        <w:rFonts w:hint="eastAsia"/>
      </w:rPr>
    </w:lvl>
    <w:lvl w:ilvl="8" w:tentative="0">
      <w:start w:val="1"/>
      <w:numFmt w:val="lowerRoman"/>
      <w:lvlText w:val="%9."/>
      <w:lvlJc w:val="right"/>
      <w:pPr>
        <w:ind w:left="3786" w:hanging="420"/>
      </w:pPr>
      <w:rPr>
        <w:rFonts w:hint="eastAsia"/>
      </w:rPr>
    </w:lvl>
  </w:abstractNum>
  <w:abstractNum w:abstractNumId="15">
    <w:nsid w:val="031F5919"/>
    <w:multiLevelType w:val="multilevel"/>
    <w:tmpl w:val="031F591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9D72321"/>
    <w:multiLevelType w:val="multilevel"/>
    <w:tmpl w:val="09D723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6425225"/>
    <w:multiLevelType w:val="multilevel"/>
    <w:tmpl w:val="364252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F5862CA"/>
    <w:multiLevelType w:val="multilevel"/>
    <w:tmpl w:val="3F5862CA"/>
    <w:lvl w:ilvl="0" w:tentative="0">
      <w:start w:val="1"/>
      <w:numFmt w:val="decimal"/>
      <w:lvlText w:val="%1."/>
      <w:lvlJc w:val="left"/>
      <w:pPr>
        <w:tabs>
          <w:tab w:val="left" w:pos="851"/>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85817B9"/>
    <w:multiLevelType w:val="multilevel"/>
    <w:tmpl w:val="485817B9"/>
    <w:lvl w:ilvl="0" w:tentative="0">
      <w:start w:val="1"/>
      <w:numFmt w:val="decimal"/>
      <w:lvlText w:val="%1."/>
      <w:lvlJc w:val="left"/>
      <w:pPr>
        <w:tabs>
          <w:tab w:val="left" w:pos="851"/>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64D87B39"/>
    <w:multiLevelType w:val="multilevel"/>
    <w:tmpl w:val="64D87B39"/>
    <w:lvl w:ilvl="0" w:tentative="0">
      <w:start w:val="1"/>
      <w:numFmt w:val="decimal"/>
      <w:lvlText w:val="%1."/>
      <w:lvlJc w:val="left"/>
      <w:pPr>
        <w:ind w:left="735" w:hanging="420"/>
      </w:pPr>
      <w:rPr>
        <w:rFonts w:hint="eastAsia"/>
        <w:b w:val="0"/>
      </w:rPr>
    </w:lvl>
    <w:lvl w:ilvl="1" w:tentative="0">
      <w:start w:val="1"/>
      <w:numFmt w:val="lowerLetter"/>
      <w:lvlText w:val="%2)"/>
      <w:lvlJc w:val="left"/>
      <w:pPr>
        <w:ind w:left="1155" w:hanging="420"/>
      </w:pPr>
      <w:rPr>
        <w:rFonts w:hint="eastAsia"/>
      </w:rPr>
    </w:lvl>
    <w:lvl w:ilvl="2" w:tentative="0">
      <w:start w:val="1"/>
      <w:numFmt w:val="lowerRoman"/>
      <w:lvlText w:val="%3."/>
      <w:lvlJc w:val="right"/>
      <w:pPr>
        <w:ind w:left="1575" w:hanging="420"/>
      </w:pPr>
      <w:rPr>
        <w:rFonts w:hint="eastAsia"/>
      </w:rPr>
    </w:lvl>
    <w:lvl w:ilvl="3" w:tentative="0">
      <w:start w:val="1"/>
      <w:numFmt w:val="decimal"/>
      <w:lvlText w:val="%4."/>
      <w:lvlJc w:val="left"/>
      <w:pPr>
        <w:ind w:left="1995" w:hanging="420"/>
      </w:pPr>
      <w:rPr>
        <w:rFonts w:hint="eastAsia"/>
      </w:rPr>
    </w:lvl>
    <w:lvl w:ilvl="4" w:tentative="0">
      <w:start w:val="1"/>
      <w:numFmt w:val="lowerLetter"/>
      <w:lvlText w:val="%5)"/>
      <w:lvlJc w:val="left"/>
      <w:pPr>
        <w:ind w:left="2415" w:hanging="420"/>
      </w:pPr>
      <w:rPr>
        <w:rFonts w:hint="eastAsia"/>
      </w:rPr>
    </w:lvl>
    <w:lvl w:ilvl="5" w:tentative="0">
      <w:start w:val="1"/>
      <w:numFmt w:val="lowerRoman"/>
      <w:lvlText w:val="%6."/>
      <w:lvlJc w:val="right"/>
      <w:pPr>
        <w:ind w:left="2835" w:hanging="420"/>
      </w:pPr>
      <w:rPr>
        <w:rFonts w:hint="eastAsia"/>
      </w:rPr>
    </w:lvl>
    <w:lvl w:ilvl="6" w:tentative="0">
      <w:start w:val="1"/>
      <w:numFmt w:val="decimal"/>
      <w:lvlText w:val="%7."/>
      <w:lvlJc w:val="left"/>
      <w:pPr>
        <w:ind w:left="3255" w:hanging="420"/>
      </w:pPr>
      <w:rPr>
        <w:rFonts w:hint="eastAsia"/>
      </w:rPr>
    </w:lvl>
    <w:lvl w:ilvl="7" w:tentative="0">
      <w:start w:val="1"/>
      <w:numFmt w:val="lowerLetter"/>
      <w:lvlText w:val="%8)"/>
      <w:lvlJc w:val="left"/>
      <w:pPr>
        <w:ind w:left="3675" w:hanging="420"/>
      </w:pPr>
      <w:rPr>
        <w:rFonts w:hint="eastAsia"/>
      </w:rPr>
    </w:lvl>
    <w:lvl w:ilvl="8" w:tentative="0">
      <w:start w:val="1"/>
      <w:numFmt w:val="lowerRoman"/>
      <w:lvlText w:val="%9."/>
      <w:lvlJc w:val="right"/>
      <w:pPr>
        <w:ind w:left="4095" w:hanging="420"/>
      </w:pPr>
      <w:rPr>
        <w:rFonts w:hint="eastAsia"/>
      </w:rPr>
    </w:lvl>
  </w:abstractNum>
  <w:abstractNum w:abstractNumId="21">
    <w:nsid w:val="6DAF3289"/>
    <w:multiLevelType w:val="multilevel"/>
    <w:tmpl w:val="6DAF3289"/>
    <w:lvl w:ilvl="0" w:tentative="0">
      <w:start w:val="1"/>
      <w:numFmt w:val="chineseCountingThousand"/>
      <w:suff w:val="nothing"/>
      <w:lvlText w:val="(%1)"/>
      <w:lvlJc w:val="left"/>
      <w:pPr>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72AE5F84"/>
    <w:multiLevelType w:val="multilevel"/>
    <w:tmpl w:val="72AE5F84"/>
    <w:lvl w:ilvl="0" w:tentative="0">
      <w:start w:val="1"/>
      <w:numFmt w:val="chineseCountingThousand"/>
      <w:suff w:val="nothing"/>
      <w:lvlText w:val="(%1)"/>
      <w:lvlJc w:val="left"/>
      <w:pPr>
        <w:ind w:left="420" w:hanging="420"/>
      </w:pPr>
      <w:rPr>
        <w:rFonts w:hint="eastAsia"/>
        <w:b/>
        <w:lang w:val="en-US"/>
      </w:r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23">
    <w:nsid w:val="7F5943F0"/>
    <w:multiLevelType w:val="multilevel"/>
    <w:tmpl w:val="7F5943F0"/>
    <w:lvl w:ilvl="0" w:tentative="0">
      <w:start w:val="1"/>
      <w:numFmt w:val="decimal"/>
      <w:lvlText w:val="%1."/>
      <w:lvlJc w:val="left"/>
      <w:pPr>
        <w:ind w:left="846" w:hanging="420"/>
      </w:pPr>
      <w:rPr>
        <w:rFonts w:hint="eastAsia"/>
      </w:rPr>
    </w:lvl>
    <w:lvl w:ilvl="1" w:tentative="0">
      <w:start w:val="1"/>
      <w:numFmt w:val="lowerLetter"/>
      <w:lvlText w:val="%2)"/>
      <w:lvlJc w:val="left"/>
      <w:pPr>
        <w:ind w:left="1686" w:hanging="420"/>
      </w:pPr>
      <w:rPr>
        <w:rFonts w:hint="eastAsia"/>
      </w:rPr>
    </w:lvl>
    <w:lvl w:ilvl="2" w:tentative="0">
      <w:start w:val="1"/>
      <w:numFmt w:val="lowerRoman"/>
      <w:lvlText w:val="%3."/>
      <w:lvlJc w:val="right"/>
      <w:pPr>
        <w:ind w:left="2106" w:hanging="420"/>
      </w:pPr>
      <w:rPr>
        <w:rFonts w:hint="eastAsia"/>
      </w:rPr>
    </w:lvl>
    <w:lvl w:ilvl="3" w:tentative="0">
      <w:start w:val="1"/>
      <w:numFmt w:val="decimal"/>
      <w:lvlText w:val="%4."/>
      <w:lvlJc w:val="left"/>
      <w:pPr>
        <w:ind w:left="2526" w:hanging="420"/>
      </w:pPr>
      <w:rPr>
        <w:rFonts w:hint="eastAsia"/>
      </w:rPr>
    </w:lvl>
    <w:lvl w:ilvl="4" w:tentative="0">
      <w:start w:val="1"/>
      <w:numFmt w:val="lowerLetter"/>
      <w:lvlText w:val="%5)"/>
      <w:lvlJc w:val="left"/>
      <w:pPr>
        <w:ind w:left="2946" w:hanging="420"/>
      </w:pPr>
      <w:rPr>
        <w:rFonts w:hint="eastAsia"/>
      </w:rPr>
    </w:lvl>
    <w:lvl w:ilvl="5" w:tentative="0">
      <w:start w:val="1"/>
      <w:numFmt w:val="lowerRoman"/>
      <w:lvlText w:val="%6."/>
      <w:lvlJc w:val="right"/>
      <w:pPr>
        <w:ind w:left="3366" w:hanging="420"/>
      </w:pPr>
      <w:rPr>
        <w:rFonts w:hint="eastAsia"/>
      </w:rPr>
    </w:lvl>
    <w:lvl w:ilvl="6" w:tentative="0">
      <w:start w:val="1"/>
      <w:numFmt w:val="decimal"/>
      <w:lvlText w:val="%7."/>
      <w:lvlJc w:val="left"/>
      <w:pPr>
        <w:ind w:left="3786" w:hanging="420"/>
      </w:pPr>
      <w:rPr>
        <w:rFonts w:hint="eastAsia"/>
      </w:rPr>
    </w:lvl>
    <w:lvl w:ilvl="7" w:tentative="0">
      <w:start w:val="1"/>
      <w:numFmt w:val="lowerLetter"/>
      <w:lvlText w:val="%8)"/>
      <w:lvlJc w:val="left"/>
      <w:pPr>
        <w:ind w:left="4206" w:hanging="420"/>
      </w:pPr>
      <w:rPr>
        <w:rFonts w:hint="eastAsia"/>
      </w:rPr>
    </w:lvl>
    <w:lvl w:ilvl="8" w:tentative="0">
      <w:start w:val="1"/>
      <w:numFmt w:val="lowerRoman"/>
      <w:lvlText w:val="%9."/>
      <w:lvlJc w:val="right"/>
      <w:pPr>
        <w:ind w:left="4626" w:hanging="420"/>
      </w:pPr>
      <w:rPr>
        <w:rFonts w:hint="eastAsia"/>
      </w:rPr>
    </w:lvl>
  </w:abstractNum>
  <w:num w:numId="1">
    <w:abstractNumId w:val="9"/>
  </w:num>
  <w:num w:numId="2">
    <w:abstractNumId w:val="4"/>
  </w:num>
  <w:num w:numId="3">
    <w:abstractNumId w:val="6"/>
  </w:num>
  <w:num w:numId="4">
    <w:abstractNumId w:val="1"/>
  </w:num>
  <w:num w:numId="5">
    <w:abstractNumId w:val="13"/>
  </w:num>
  <w:num w:numId="6">
    <w:abstractNumId w:val="11"/>
  </w:num>
  <w:num w:numId="7">
    <w:abstractNumId w:val="5"/>
  </w:num>
  <w:num w:numId="8">
    <w:abstractNumId w:val="23"/>
  </w:num>
  <w:num w:numId="9">
    <w:abstractNumId w:val="7"/>
  </w:num>
  <w:num w:numId="10">
    <w:abstractNumId w:val="14"/>
  </w:num>
  <w:num w:numId="11">
    <w:abstractNumId w:val="2"/>
  </w:num>
  <w:num w:numId="12">
    <w:abstractNumId w:val="8"/>
  </w:num>
  <w:num w:numId="13">
    <w:abstractNumId w:val="0"/>
  </w:num>
  <w:num w:numId="14">
    <w:abstractNumId w:val="22"/>
  </w:num>
  <w:num w:numId="15">
    <w:abstractNumId w:val="16"/>
  </w:num>
  <w:num w:numId="16">
    <w:abstractNumId w:val="15"/>
  </w:num>
  <w:num w:numId="17">
    <w:abstractNumId w:val="18"/>
  </w:num>
  <w:num w:numId="18">
    <w:abstractNumId w:val="19"/>
  </w:num>
  <w:num w:numId="19">
    <w:abstractNumId w:val="17"/>
  </w:num>
  <w:num w:numId="20">
    <w:abstractNumId w:val="21"/>
  </w:num>
  <w:num w:numId="21">
    <w:abstractNumId w:val="20"/>
  </w:num>
  <w:num w:numId="22">
    <w:abstractNumId w:val="1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mRjYzJhOWExYzgyZjhkOTA0NjMzMjFhZDRlM2EifQ=="/>
  </w:docVars>
  <w:rsids>
    <w:rsidRoot w:val="00A270E2"/>
    <w:rsid w:val="00017670"/>
    <w:rsid w:val="00023AA4"/>
    <w:rsid w:val="00042DDB"/>
    <w:rsid w:val="000468C2"/>
    <w:rsid w:val="00052424"/>
    <w:rsid w:val="00067858"/>
    <w:rsid w:val="000716A8"/>
    <w:rsid w:val="00074549"/>
    <w:rsid w:val="00077398"/>
    <w:rsid w:val="00086A5E"/>
    <w:rsid w:val="00087FF8"/>
    <w:rsid w:val="000939A1"/>
    <w:rsid w:val="00095761"/>
    <w:rsid w:val="000A7413"/>
    <w:rsid w:val="000B2814"/>
    <w:rsid w:val="000D02F5"/>
    <w:rsid w:val="000D4443"/>
    <w:rsid w:val="000E0125"/>
    <w:rsid w:val="000E0440"/>
    <w:rsid w:val="000E508C"/>
    <w:rsid w:val="000F59EB"/>
    <w:rsid w:val="00101801"/>
    <w:rsid w:val="00105415"/>
    <w:rsid w:val="001152D5"/>
    <w:rsid w:val="001163C8"/>
    <w:rsid w:val="0012164B"/>
    <w:rsid w:val="0012260A"/>
    <w:rsid w:val="0013155A"/>
    <w:rsid w:val="0013614E"/>
    <w:rsid w:val="00140659"/>
    <w:rsid w:val="00151494"/>
    <w:rsid w:val="00156815"/>
    <w:rsid w:val="00157EC7"/>
    <w:rsid w:val="0016095F"/>
    <w:rsid w:val="00163D85"/>
    <w:rsid w:val="00183D02"/>
    <w:rsid w:val="00187595"/>
    <w:rsid w:val="00193A42"/>
    <w:rsid w:val="00194475"/>
    <w:rsid w:val="001B4BCB"/>
    <w:rsid w:val="001B5547"/>
    <w:rsid w:val="001C36A3"/>
    <w:rsid w:val="001C4DFB"/>
    <w:rsid w:val="001D39F1"/>
    <w:rsid w:val="001D3CAE"/>
    <w:rsid w:val="001E0AB3"/>
    <w:rsid w:val="001E2D98"/>
    <w:rsid w:val="001E367A"/>
    <w:rsid w:val="001E5703"/>
    <w:rsid w:val="001E7CE3"/>
    <w:rsid w:val="002177F1"/>
    <w:rsid w:val="00245704"/>
    <w:rsid w:val="002459A4"/>
    <w:rsid w:val="0026324E"/>
    <w:rsid w:val="00264126"/>
    <w:rsid w:val="00270DF9"/>
    <w:rsid w:val="00271583"/>
    <w:rsid w:val="00272F2E"/>
    <w:rsid w:val="00285C22"/>
    <w:rsid w:val="002A0626"/>
    <w:rsid w:val="002B3317"/>
    <w:rsid w:val="002B3547"/>
    <w:rsid w:val="002B510B"/>
    <w:rsid w:val="002C0655"/>
    <w:rsid w:val="002C2A0D"/>
    <w:rsid w:val="002E059A"/>
    <w:rsid w:val="002E3B24"/>
    <w:rsid w:val="002F72AE"/>
    <w:rsid w:val="00303835"/>
    <w:rsid w:val="00306D47"/>
    <w:rsid w:val="00311896"/>
    <w:rsid w:val="003142CE"/>
    <w:rsid w:val="00316479"/>
    <w:rsid w:val="0031717E"/>
    <w:rsid w:val="003270FC"/>
    <w:rsid w:val="003311B0"/>
    <w:rsid w:val="00336190"/>
    <w:rsid w:val="003410B8"/>
    <w:rsid w:val="00357CA4"/>
    <w:rsid w:val="00382451"/>
    <w:rsid w:val="003926A1"/>
    <w:rsid w:val="00393777"/>
    <w:rsid w:val="003A1B36"/>
    <w:rsid w:val="003B2765"/>
    <w:rsid w:val="003B6027"/>
    <w:rsid w:val="003C411F"/>
    <w:rsid w:val="003C5690"/>
    <w:rsid w:val="003C57B0"/>
    <w:rsid w:val="003C6145"/>
    <w:rsid w:val="003C63A7"/>
    <w:rsid w:val="003D09AF"/>
    <w:rsid w:val="003D0B92"/>
    <w:rsid w:val="003D6606"/>
    <w:rsid w:val="003E6546"/>
    <w:rsid w:val="003E6C23"/>
    <w:rsid w:val="003F5EA9"/>
    <w:rsid w:val="003F7365"/>
    <w:rsid w:val="00421329"/>
    <w:rsid w:val="004223B7"/>
    <w:rsid w:val="00424318"/>
    <w:rsid w:val="00434CB3"/>
    <w:rsid w:val="004535DD"/>
    <w:rsid w:val="004653E1"/>
    <w:rsid w:val="00491E11"/>
    <w:rsid w:val="004A04F0"/>
    <w:rsid w:val="004A4C2A"/>
    <w:rsid w:val="004B4748"/>
    <w:rsid w:val="004B74B5"/>
    <w:rsid w:val="004C38C0"/>
    <w:rsid w:val="004C4E5C"/>
    <w:rsid w:val="004C53FC"/>
    <w:rsid w:val="004C768E"/>
    <w:rsid w:val="004D09A2"/>
    <w:rsid w:val="004D1058"/>
    <w:rsid w:val="004D2CD1"/>
    <w:rsid w:val="004E6A86"/>
    <w:rsid w:val="004F5177"/>
    <w:rsid w:val="004F7541"/>
    <w:rsid w:val="00502600"/>
    <w:rsid w:val="00503244"/>
    <w:rsid w:val="00515EA4"/>
    <w:rsid w:val="00525027"/>
    <w:rsid w:val="00526898"/>
    <w:rsid w:val="00536D77"/>
    <w:rsid w:val="005418FC"/>
    <w:rsid w:val="00542CE1"/>
    <w:rsid w:val="00551E7D"/>
    <w:rsid w:val="00553177"/>
    <w:rsid w:val="00557AFA"/>
    <w:rsid w:val="00571166"/>
    <w:rsid w:val="00582F63"/>
    <w:rsid w:val="00583A25"/>
    <w:rsid w:val="005844F9"/>
    <w:rsid w:val="00585A62"/>
    <w:rsid w:val="00597021"/>
    <w:rsid w:val="005A2B26"/>
    <w:rsid w:val="005B0543"/>
    <w:rsid w:val="005B349A"/>
    <w:rsid w:val="005C16E6"/>
    <w:rsid w:val="005C50E3"/>
    <w:rsid w:val="005C6232"/>
    <w:rsid w:val="005C71A9"/>
    <w:rsid w:val="005E200C"/>
    <w:rsid w:val="00600099"/>
    <w:rsid w:val="00621DB4"/>
    <w:rsid w:val="00631CEC"/>
    <w:rsid w:val="00645611"/>
    <w:rsid w:val="00677577"/>
    <w:rsid w:val="0068360F"/>
    <w:rsid w:val="00694E6F"/>
    <w:rsid w:val="006B1319"/>
    <w:rsid w:val="006B1AB3"/>
    <w:rsid w:val="006B5B2F"/>
    <w:rsid w:val="006C02D3"/>
    <w:rsid w:val="006C0392"/>
    <w:rsid w:val="006D4318"/>
    <w:rsid w:val="006E366A"/>
    <w:rsid w:val="006E3A27"/>
    <w:rsid w:val="006E7F07"/>
    <w:rsid w:val="00706602"/>
    <w:rsid w:val="00722C4C"/>
    <w:rsid w:val="00724845"/>
    <w:rsid w:val="0072647E"/>
    <w:rsid w:val="00733BDD"/>
    <w:rsid w:val="0074243D"/>
    <w:rsid w:val="007441A3"/>
    <w:rsid w:val="00744679"/>
    <w:rsid w:val="007557EB"/>
    <w:rsid w:val="007969B0"/>
    <w:rsid w:val="00796EFE"/>
    <w:rsid w:val="007A0B4B"/>
    <w:rsid w:val="007A41BE"/>
    <w:rsid w:val="007C0933"/>
    <w:rsid w:val="007C2B3B"/>
    <w:rsid w:val="007C791E"/>
    <w:rsid w:val="007D2154"/>
    <w:rsid w:val="007E3465"/>
    <w:rsid w:val="00813C12"/>
    <w:rsid w:val="0082439A"/>
    <w:rsid w:val="00827B75"/>
    <w:rsid w:val="00832A60"/>
    <w:rsid w:val="00834635"/>
    <w:rsid w:val="00836213"/>
    <w:rsid w:val="00850E02"/>
    <w:rsid w:val="00864BF0"/>
    <w:rsid w:val="00866D38"/>
    <w:rsid w:val="00867E0A"/>
    <w:rsid w:val="00873155"/>
    <w:rsid w:val="00877B50"/>
    <w:rsid w:val="008838AB"/>
    <w:rsid w:val="00887615"/>
    <w:rsid w:val="008903FB"/>
    <w:rsid w:val="00897CAA"/>
    <w:rsid w:val="008A4CF0"/>
    <w:rsid w:val="008A73C7"/>
    <w:rsid w:val="008B0F74"/>
    <w:rsid w:val="008B60AE"/>
    <w:rsid w:val="008C2C89"/>
    <w:rsid w:val="008E0552"/>
    <w:rsid w:val="008E0AD5"/>
    <w:rsid w:val="008E40D2"/>
    <w:rsid w:val="009017A7"/>
    <w:rsid w:val="00901B2F"/>
    <w:rsid w:val="00924B96"/>
    <w:rsid w:val="00925DEC"/>
    <w:rsid w:val="00930502"/>
    <w:rsid w:val="009351DA"/>
    <w:rsid w:val="00937EC0"/>
    <w:rsid w:val="00965B5B"/>
    <w:rsid w:val="00974419"/>
    <w:rsid w:val="00977CD8"/>
    <w:rsid w:val="00981AD2"/>
    <w:rsid w:val="0099215A"/>
    <w:rsid w:val="009A0F1A"/>
    <w:rsid w:val="009C3C5C"/>
    <w:rsid w:val="009C3D36"/>
    <w:rsid w:val="009C5F6F"/>
    <w:rsid w:val="009E2BDA"/>
    <w:rsid w:val="009F0732"/>
    <w:rsid w:val="00A20757"/>
    <w:rsid w:val="00A241B9"/>
    <w:rsid w:val="00A270E2"/>
    <w:rsid w:val="00A32AE6"/>
    <w:rsid w:val="00A35E03"/>
    <w:rsid w:val="00A42B91"/>
    <w:rsid w:val="00A52794"/>
    <w:rsid w:val="00A5523E"/>
    <w:rsid w:val="00A565E0"/>
    <w:rsid w:val="00A727B2"/>
    <w:rsid w:val="00A729FA"/>
    <w:rsid w:val="00A8296E"/>
    <w:rsid w:val="00A87581"/>
    <w:rsid w:val="00A93EA2"/>
    <w:rsid w:val="00AA0C2E"/>
    <w:rsid w:val="00AB0D14"/>
    <w:rsid w:val="00AB7322"/>
    <w:rsid w:val="00AC50F3"/>
    <w:rsid w:val="00AC559B"/>
    <w:rsid w:val="00AD053D"/>
    <w:rsid w:val="00AD0A01"/>
    <w:rsid w:val="00AD4608"/>
    <w:rsid w:val="00AD4DC7"/>
    <w:rsid w:val="00AE4793"/>
    <w:rsid w:val="00AE77CE"/>
    <w:rsid w:val="00AF70FD"/>
    <w:rsid w:val="00B27D74"/>
    <w:rsid w:val="00B320EE"/>
    <w:rsid w:val="00B328D8"/>
    <w:rsid w:val="00B45D4D"/>
    <w:rsid w:val="00B528A6"/>
    <w:rsid w:val="00B53877"/>
    <w:rsid w:val="00B60214"/>
    <w:rsid w:val="00B72484"/>
    <w:rsid w:val="00B738ED"/>
    <w:rsid w:val="00B87630"/>
    <w:rsid w:val="00B94CC0"/>
    <w:rsid w:val="00BA3086"/>
    <w:rsid w:val="00BA6136"/>
    <w:rsid w:val="00BB0215"/>
    <w:rsid w:val="00BB18FA"/>
    <w:rsid w:val="00BB3B4C"/>
    <w:rsid w:val="00BB4E50"/>
    <w:rsid w:val="00BC1448"/>
    <w:rsid w:val="00BC16DE"/>
    <w:rsid w:val="00BD0750"/>
    <w:rsid w:val="00BD5A8E"/>
    <w:rsid w:val="00BE2675"/>
    <w:rsid w:val="00BE5281"/>
    <w:rsid w:val="00BE6F90"/>
    <w:rsid w:val="00C04704"/>
    <w:rsid w:val="00C152A5"/>
    <w:rsid w:val="00C44A80"/>
    <w:rsid w:val="00C456E7"/>
    <w:rsid w:val="00C47D65"/>
    <w:rsid w:val="00C509A0"/>
    <w:rsid w:val="00C57D11"/>
    <w:rsid w:val="00C602CA"/>
    <w:rsid w:val="00C62BF5"/>
    <w:rsid w:val="00C64869"/>
    <w:rsid w:val="00C65BDB"/>
    <w:rsid w:val="00C70F64"/>
    <w:rsid w:val="00C72033"/>
    <w:rsid w:val="00C75897"/>
    <w:rsid w:val="00C75A09"/>
    <w:rsid w:val="00C800E0"/>
    <w:rsid w:val="00C84688"/>
    <w:rsid w:val="00C8657F"/>
    <w:rsid w:val="00C979FF"/>
    <w:rsid w:val="00CA326C"/>
    <w:rsid w:val="00CA32AA"/>
    <w:rsid w:val="00CA36AF"/>
    <w:rsid w:val="00CD4E21"/>
    <w:rsid w:val="00CD6376"/>
    <w:rsid w:val="00CE0B49"/>
    <w:rsid w:val="00CE3686"/>
    <w:rsid w:val="00CF3104"/>
    <w:rsid w:val="00CF6F47"/>
    <w:rsid w:val="00D057E4"/>
    <w:rsid w:val="00D10557"/>
    <w:rsid w:val="00D221DB"/>
    <w:rsid w:val="00D25E56"/>
    <w:rsid w:val="00D27A31"/>
    <w:rsid w:val="00D3440C"/>
    <w:rsid w:val="00D50D2E"/>
    <w:rsid w:val="00D63ED5"/>
    <w:rsid w:val="00D661D7"/>
    <w:rsid w:val="00D8180C"/>
    <w:rsid w:val="00D84753"/>
    <w:rsid w:val="00D871C8"/>
    <w:rsid w:val="00DC32EB"/>
    <w:rsid w:val="00DC5A2B"/>
    <w:rsid w:val="00DD3A1E"/>
    <w:rsid w:val="00DE4E1F"/>
    <w:rsid w:val="00DF10FE"/>
    <w:rsid w:val="00E020C3"/>
    <w:rsid w:val="00E14B51"/>
    <w:rsid w:val="00E23AC3"/>
    <w:rsid w:val="00E41002"/>
    <w:rsid w:val="00E45A34"/>
    <w:rsid w:val="00E54A53"/>
    <w:rsid w:val="00E66DAD"/>
    <w:rsid w:val="00E71DEA"/>
    <w:rsid w:val="00E75609"/>
    <w:rsid w:val="00E76DE4"/>
    <w:rsid w:val="00E8449B"/>
    <w:rsid w:val="00EB41E9"/>
    <w:rsid w:val="00EB7990"/>
    <w:rsid w:val="00EE5037"/>
    <w:rsid w:val="00F11320"/>
    <w:rsid w:val="00F21D04"/>
    <w:rsid w:val="00F31DF0"/>
    <w:rsid w:val="00F34E56"/>
    <w:rsid w:val="00F3609F"/>
    <w:rsid w:val="00F4015B"/>
    <w:rsid w:val="00F50327"/>
    <w:rsid w:val="00F54080"/>
    <w:rsid w:val="00F60426"/>
    <w:rsid w:val="00F64157"/>
    <w:rsid w:val="00F84E4C"/>
    <w:rsid w:val="00F93A1D"/>
    <w:rsid w:val="00FA2457"/>
    <w:rsid w:val="00FA5782"/>
    <w:rsid w:val="00FB61AF"/>
    <w:rsid w:val="00FB6AF5"/>
    <w:rsid w:val="00FD5545"/>
    <w:rsid w:val="00FF4F01"/>
    <w:rsid w:val="03FE7D4C"/>
    <w:rsid w:val="07B409DE"/>
    <w:rsid w:val="08EC42B3"/>
    <w:rsid w:val="0BD40526"/>
    <w:rsid w:val="0DBD4BE7"/>
    <w:rsid w:val="109B03D9"/>
    <w:rsid w:val="11174AF7"/>
    <w:rsid w:val="13D616E2"/>
    <w:rsid w:val="1504137A"/>
    <w:rsid w:val="16E56609"/>
    <w:rsid w:val="206F7D0E"/>
    <w:rsid w:val="23662977"/>
    <w:rsid w:val="24201C52"/>
    <w:rsid w:val="249575E9"/>
    <w:rsid w:val="25141432"/>
    <w:rsid w:val="27BA523B"/>
    <w:rsid w:val="28314C9F"/>
    <w:rsid w:val="289B1BD8"/>
    <w:rsid w:val="29902824"/>
    <w:rsid w:val="2C734DFA"/>
    <w:rsid w:val="2D574004"/>
    <w:rsid w:val="315D77B6"/>
    <w:rsid w:val="35D84D60"/>
    <w:rsid w:val="366E2E6A"/>
    <w:rsid w:val="37231260"/>
    <w:rsid w:val="3C180E94"/>
    <w:rsid w:val="3DB35D08"/>
    <w:rsid w:val="449F150A"/>
    <w:rsid w:val="4501165A"/>
    <w:rsid w:val="4E50329B"/>
    <w:rsid w:val="51AD4E03"/>
    <w:rsid w:val="52486B25"/>
    <w:rsid w:val="53957258"/>
    <w:rsid w:val="54571E6B"/>
    <w:rsid w:val="55A77D7B"/>
    <w:rsid w:val="55F304BE"/>
    <w:rsid w:val="560E2D5F"/>
    <w:rsid w:val="57AC3331"/>
    <w:rsid w:val="59197F80"/>
    <w:rsid w:val="5A9E02C7"/>
    <w:rsid w:val="5DEB6A41"/>
    <w:rsid w:val="60A32AE1"/>
    <w:rsid w:val="61177EB1"/>
    <w:rsid w:val="68F42C0B"/>
    <w:rsid w:val="694F11EE"/>
    <w:rsid w:val="72164ECC"/>
    <w:rsid w:val="728C1421"/>
    <w:rsid w:val="751853F4"/>
    <w:rsid w:val="768A5887"/>
    <w:rsid w:val="7ADB1338"/>
    <w:rsid w:val="7E1C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link w:val="19"/>
    <w:autoRedefine/>
    <w:qFormat/>
    <w:uiPriority w:val="0"/>
    <w:pPr>
      <w:keepNext/>
      <w:keepLines/>
      <w:spacing w:before="260" w:after="260" w:line="416" w:lineRule="auto"/>
      <w:outlineLvl w:val="1"/>
    </w:pPr>
    <w:rPr>
      <w:rFonts w:ascii="Arial" w:hAnsi="Arial" w:eastAsia="黑体"/>
      <w:b/>
      <w:bCs/>
      <w:kern w:val="0"/>
      <w:sz w:val="32"/>
      <w:szCs w:val="32"/>
      <w:lang w:val="zh-CN"/>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spacing w:before="120" w:after="120"/>
      <w:jc w:val="left"/>
    </w:pPr>
    <w:rPr>
      <w:b/>
      <w:bCs/>
      <w:caps/>
      <w:sz w:val="20"/>
      <w:szCs w:val="20"/>
    </w:rPr>
  </w:style>
  <w:style w:type="paragraph" w:styleId="4">
    <w:name w:val="annotation text"/>
    <w:basedOn w:val="1"/>
    <w:link w:val="20"/>
    <w:autoRedefine/>
    <w:qFormat/>
    <w:uiPriority w:val="99"/>
    <w:pPr>
      <w:jc w:val="left"/>
    </w:pPr>
  </w:style>
  <w:style w:type="paragraph" w:styleId="5">
    <w:name w:val="Plain Text"/>
    <w:basedOn w:val="1"/>
    <w:link w:val="21"/>
    <w:qFormat/>
    <w:uiPriority w:val="0"/>
    <w:rPr>
      <w:rFonts w:ascii="宋体" w:hAnsi="Courier New"/>
      <w:kern w:val="0"/>
      <w:sz w:val="20"/>
      <w:szCs w:val="21"/>
      <w:lang w:val="zh-CN"/>
    </w:rPr>
  </w:style>
  <w:style w:type="paragraph" w:styleId="6">
    <w:name w:val="Balloon Text"/>
    <w:basedOn w:val="1"/>
    <w:link w:val="22"/>
    <w:autoRedefine/>
    <w:qFormat/>
    <w:uiPriority w:val="99"/>
    <w:rPr>
      <w:sz w:val="18"/>
      <w:szCs w:val="18"/>
    </w:rPr>
  </w:style>
  <w:style w:type="paragraph" w:styleId="7">
    <w:name w:val="footer"/>
    <w:basedOn w:val="1"/>
    <w:link w:val="23"/>
    <w:autoRedefine/>
    <w:qFormat/>
    <w:uiPriority w:val="99"/>
    <w:pPr>
      <w:tabs>
        <w:tab w:val="center" w:pos="4153"/>
        <w:tab w:val="right" w:pos="8306"/>
      </w:tabs>
      <w:snapToGrid w:val="0"/>
      <w:jc w:val="left"/>
    </w:pPr>
    <w:rPr>
      <w:sz w:val="18"/>
      <w:szCs w:val="18"/>
    </w:rPr>
  </w:style>
  <w:style w:type="paragraph" w:styleId="8">
    <w:name w:val="header"/>
    <w:basedOn w:val="1"/>
    <w:link w:val="24"/>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5"/>
    <w:autoRedefine/>
    <w:qFormat/>
    <w:uiPriority w:val="10"/>
    <w:pPr>
      <w:spacing w:before="240" w:after="60"/>
      <w:jc w:val="center"/>
      <w:outlineLvl w:val="0"/>
    </w:pPr>
    <w:rPr>
      <w:rFonts w:ascii="Cambria" w:hAnsi="Cambria"/>
      <w:b/>
      <w:bCs/>
      <w:kern w:val="0"/>
      <w:sz w:val="32"/>
      <w:szCs w:val="32"/>
      <w:lang w:val="zh-CN"/>
    </w:rPr>
  </w:style>
  <w:style w:type="paragraph" w:styleId="11">
    <w:name w:val="annotation subject"/>
    <w:basedOn w:val="4"/>
    <w:next w:val="4"/>
    <w:link w:val="26"/>
    <w:autoRedefine/>
    <w:qFormat/>
    <w:uiPriority w:val="99"/>
    <w:rPr>
      <w:b/>
      <w:bCs/>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autoRedefine/>
    <w:qFormat/>
    <w:uiPriority w:val="22"/>
    <w:rPr>
      <w:b/>
      <w:bCs/>
    </w:rPr>
  </w:style>
  <w:style w:type="character" w:styleId="16">
    <w:name w:val="Emphasis"/>
    <w:basedOn w:val="14"/>
    <w:autoRedefine/>
    <w:qFormat/>
    <w:uiPriority w:val="0"/>
    <w:rPr>
      <w:i/>
      <w:iCs/>
    </w:rPr>
  </w:style>
  <w:style w:type="character" w:styleId="17">
    <w:name w:val="Hyperlink"/>
    <w:basedOn w:val="14"/>
    <w:autoRedefine/>
    <w:qFormat/>
    <w:uiPriority w:val="99"/>
    <w:rPr>
      <w:color w:val="0000FF"/>
      <w:u w:val="single"/>
    </w:rPr>
  </w:style>
  <w:style w:type="character" w:styleId="18">
    <w:name w:val="annotation reference"/>
    <w:basedOn w:val="14"/>
    <w:autoRedefine/>
    <w:qFormat/>
    <w:uiPriority w:val="99"/>
    <w:rPr>
      <w:sz w:val="21"/>
      <w:szCs w:val="21"/>
    </w:rPr>
  </w:style>
  <w:style w:type="character" w:customStyle="1" w:styleId="19">
    <w:name w:val="标题 2 Char"/>
    <w:basedOn w:val="14"/>
    <w:link w:val="3"/>
    <w:autoRedefine/>
    <w:qFormat/>
    <w:uiPriority w:val="0"/>
    <w:rPr>
      <w:rFonts w:ascii="Arial" w:hAnsi="Arial" w:eastAsia="黑体" w:cs="Times New Roman"/>
      <w:b/>
      <w:bCs/>
      <w:kern w:val="0"/>
      <w:sz w:val="32"/>
      <w:szCs w:val="32"/>
      <w:lang w:val="zh-CN" w:eastAsia="zh-CN"/>
    </w:rPr>
  </w:style>
  <w:style w:type="character" w:customStyle="1" w:styleId="20">
    <w:name w:val="批注文字 Char"/>
    <w:basedOn w:val="14"/>
    <w:link w:val="4"/>
    <w:autoRedefine/>
    <w:qFormat/>
    <w:uiPriority w:val="99"/>
    <w:rPr>
      <w:rFonts w:ascii="Times New Roman" w:hAnsi="Times New Roman" w:eastAsia="宋体" w:cs="Times New Roman"/>
    </w:rPr>
  </w:style>
  <w:style w:type="character" w:customStyle="1" w:styleId="21">
    <w:name w:val="纯文本 Char"/>
    <w:basedOn w:val="14"/>
    <w:link w:val="5"/>
    <w:autoRedefine/>
    <w:qFormat/>
    <w:uiPriority w:val="0"/>
    <w:rPr>
      <w:rFonts w:ascii="宋体" w:hAnsi="Courier New" w:eastAsia="宋体" w:cs="Times New Roman"/>
      <w:kern w:val="0"/>
      <w:sz w:val="20"/>
      <w:szCs w:val="21"/>
      <w:lang w:val="zh-CN" w:eastAsia="zh-CN"/>
    </w:rPr>
  </w:style>
  <w:style w:type="character" w:customStyle="1" w:styleId="22">
    <w:name w:val="批注框文本 Char"/>
    <w:basedOn w:val="14"/>
    <w:link w:val="6"/>
    <w:autoRedefine/>
    <w:qFormat/>
    <w:uiPriority w:val="99"/>
    <w:rPr>
      <w:rFonts w:ascii="Times New Roman" w:hAnsi="Times New Roman" w:eastAsia="宋体" w:cs="Times New Roman"/>
      <w:sz w:val="18"/>
      <w:szCs w:val="18"/>
    </w:rPr>
  </w:style>
  <w:style w:type="character" w:customStyle="1" w:styleId="23">
    <w:name w:val="页脚 Char"/>
    <w:basedOn w:val="14"/>
    <w:link w:val="7"/>
    <w:autoRedefine/>
    <w:qFormat/>
    <w:uiPriority w:val="99"/>
    <w:rPr>
      <w:sz w:val="18"/>
      <w:szCs w:val="18"/>
    </w:rPr>
  </w:style>
  <w:style w:type="character" w:customStyle="1" w:styleId="24">
    <w:name w:val="页眉 Char"/>
    <w:basedOn w:val="14"/>
    <w:link w:val="8"/>
    <w:autoRedefine/>
    <w:qFormat/>
    <w:uiPriority w:val="99"/>
    <w:rPr>
      <w:sz w:val="18"/>
      <w:szCs w:val="18"/>
    </w:rPr>
  </w:style>
  <w:style w:type="character" w:customStyle="1" w:styleId="25">
    <w:name w:val="标题 Char"/>
    <w:basedOn w:val="14"/>
    <w:link w:val="10"/>
    <w:autoRedefine/>
    <w:qFormat/>
    <w:uiPriority w:val="10"/>
    <w:rPr>
      <w:rFonts w:ascii="Cambria" w:hAnsi="Cambria" w:eastAsia="宋体" w:cs="Times New Roman"/>
      <w:b/>
      <w:bCs/>
      <w:kern w:val="0"/>
      <w:sz w:val="32"/>
      <w:szCs w:val="32"/>
      <w:lang w:val="zh-CN" w:eastAsia="zh-CN"/>
    </w:rPr>
  </w:style>
  <w:style w:type="character" w:customStyle="1" w:styleId="26">
    <w:name w:val="批注主题 Char"/>
    <w:basedOn w:val="20"/>
    <w:link w:val="11"/>
    <w:autoRedefine/>
    <w:qFormat/>
    <w:uiPriority w:val="99"/>
    <w:rPr>
      <w:rFonts w:ascii="Times New Roman" w:hAnsi="Times New Roman" w:eastAsia="宋体" w:cs="Times New Roman"/>
      <w:b/>
      <w:bCs/>
    </w:rPr>
  </w:style>
  <w:style w:type="paragraph" w:customStyle="1" w:styleId="27">
    <w:name w:val="列出段落1"/>
    <w:basedOn w:val="1"/>
    <w:link w:val="28"/>
    <w:autoRedefine/>
    <w:qFormat/>
    <w:uiPriority w:val="34"/>
    <w:pPr>
      <w:ind w:firstLine="420" w:firstLineChars="200"/>
    </w:pPr>
  </w:style>
  <w:style w:type="character" w:customStyle="1" w:styleId="28">
    <w:name w:val="列出段落 Char"/>
    <w:link w:val="27"/>
    <w:autoRedefine/>
    <w:qFormat/>
    <w:uiPriority w:val="34"/>
    <w:rPr>
      <w:rFonts w:ascii="Times New Roman" w:hAnsi="Times New Roman" w:eastAsia="宋体" w:cs="Times New Roman"/>
    </w:rPr>
  </w:style>
  <w:style w:type="paragraph" w:customStyle="1" w:styleId="29">
    <w:name w:val="_Style 28"/>
    <w:basedOn w:val="1"/>
    <w:next w:val="27"/>
    <w:autoRedefine/>
    <w:qFormat/>
    <w:uiPriority w:val="99"/>
    <w:pPr>
      <w:ind w:firstLine="420" w:firstLineChars="200"/>
    </w:pPr>
  </w:style>
  <w:style w:type="paragraph" w:customStyle="1" w:styleId="30">
    <w:name w:val="列出段落11"/>
    <w:basedOn w:val="1"/>
    <w:link w:val="31"/>
    <w:autoRedefine/>
    <w:qFormat/>
    <w:uiPriority w:val="0"/>
    <w:pPr>
      <w:ind w:firstLine="420" w:firstLineChars="200"/>
    </w:pPr>
    <w:rPr>
      <w:rFonts w:ascii="Calibri" w:hAnsi="Calibri" w:cs="宋体"/>
    </w:rPr>
  </w:style>
  <w:style w:type="character" w:customStyle="1" w:styleId="31">
    <w:name w:val="List Paragraph Char"/>
    <w:link w:val="30"/>
    <w:autoRedefine/>
    <w:qFormat/>
    <w:uiPriority w:val="0"/>
  </w:style>
  <w:style w:type="paragraph" w:customStyle="1" w:styleId="32">
    <w:name w:val="_Style 281"/>
    <w:basedOn w:val="1"/>
    <w:next w:val="27"/>
    <w:autoRedefine/>
    <w:qFormat/>
    <w:uiPriority w:val="34"/>
    <w:pPr>
      <w:ind w:firstLine="420" w:firstLineChars="200"/>
    </w:pPr>
    <w:rPr>
      <w:rFonts w:eastAsia="等线"/>
    </w:rPr>
  </w:style>
  <w:style w:type="paragraph" w:customStyle="1" w:styleId="3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4">
    <w:name w:val="_Style 30"/>
    <w:basedOn w:val="1"/>
    <w:next w:val="27"/>
    <w:link w:val="35"/>
    <w:autoRedefine/>
    <w:qFormat/>
    <w:uiPriority w:val="34"/>
    <w:pPr>
      <w:ind w:firstLine="420" w:firstLineChars="200"/>
    </w:pPr>
    <w:rPr>
      <w:rFonts w:ascii="Calibri" w:hAnsi="Calibri" w:cs="宋体"/>
    </w:rPr>
  </w:style>
  <w:style w:type="character" w:customStyle="1" w:styleId="35">
    <w:name w:val="列出段落 Char2"/>
    <w:link w:val="34"/>
    <w:autoRedefine/>
    <w:qFormat/>
    <w:uiPriority w:val="34"/>
    <w:rPr>
      <w:rFonts w:ascii="Calibri" w:hAnsi="Calibri"/>
      <w:kern w:val="2"/>
      <w:sz w:val="21"/>
      <w:szCs w:val="22"/>
    </w:rPr>
  </w:style>
  <w:style w:type="character" w:customStyle="1" w:styleId="36">
    <w:name w:val="批注文字 字符"/>
    <w:autoRedefine/>
    <w:qFormat/>
    <w:uiPriority w:val="0"/>
    <w:rPr>
      <w:kern w:val="2"/>
      <w:sz w:val="21"/>
      <w:szCs w:val="24"/>
    </w:rPr>
  </w:style>
  <w:style w:type="paragraph" w:customStyle="1" w:styleId="3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表格内文字"/>
    <w:basedOn w:val="1"/>
    <w:autoRedefine/>
    <w:qFormat/>
    <w:uiPriority w:val="0"/>
    <w:pPr>
      <w:spacing w:line="300" w:lineRule="atLeast"/>
      <w:ind w:left="60" w:leftChars="-10" w:hanging="81" w:hangingChars="45"/>
      <w:jc w:val="center"/>
    </w:pPr>
    <w:rPr>
      <w:rFonts w:ascii="Arial" w:hAnsi="Arial" w:eastAsia="仿宋_GB2312" w:cs="Arial"/>
      <w:bCs/>
      <w:kern w:val="0"/>
      <w:sz w:val="18"/>
      <w:szCs w:val="18"/>
    </w:rPr>
  </w:style>
  <w:style w:type="paragraph" w:customStyle="1" w:styleId="39">
    <w:name w:val="表头文字"/>
    <w:basedOn w:val="1"/>
    <w:autoRedefine/>
    <w:qFormat/>
    <w:uiPriority w:val="0"/>
    <w:pPr>
      <w:spacing w:line="300" w:lineRule="atLeast"/>
      <w:jc w:val="center"/>
    </w:pPr>
    <w:rPr>
      <w:rFonts w:eastAsia="仿宋_GB2312"/>
      <w:sz w:val="18"/>
      <w:szCs w:val="20"/>
    </w:rPr>
  </w:style>
  <w:style w:type="character" w:customStyle="1" w:styleId="40">
    <w:name w:val="列表段落 字符"/>
    <w:autoRedefine/>
    <w:qFormat/>
    <w:uiPriority w:val="0"/>
    <w:rPr>
      <w:kern w:val="2"/>
      <w:sz w:val="21"/>
      <w:szCs w:val="22"/>
    </w:rPr>
  </w:style>
  <w:style w:type="character" w:customStyle="1" w:styleId="41">
    <w:name w:val="font81"/>
    <w:basedOn w:val="14"/>
    <w:autoRedefine/>
    <w:qFormat/>
    <w:uiPriority w:val="0"/>
    <w:rPr>
      <w:rFonts w:hint="eastAsia" w:ascii="宋体" w:hAnsi="宋体" w:eastAsia="宋体"/>
      <w:b/>
      <w:bCs/>
      <w:color w:val="000000"/>
      <w:sz w:val="30"/>
      <w:szCs w:val="30"/>
      <w:u w:val="none"/>
    </w:rPr>
  </w:style>
  <w:style w:type="character" w:customStyle="1" w:styleId="42">
    <w:name w:val="font101"/>
    <w:basedOn w:val="14"/>
    <w:autoRedefine/>
    <w:qFormat/>
    <w:uiPriority w:val="0"/>
    <w:rPr>
      <w:rFonts w:hint="default" w:ascii="PingFang SC" w:hAnsi="PingFang SC"/>
      <w:b/>
      <w:bCs/>
      <w:color w:val="000000"/>
      <w:sz w:val="30"/>
      <w:szCs w:val="30"/>
      <w:u w:val="none"/>
    </w:rPr>
  </w:style>
  <w:style w:type="paragraph" w:customStyle="1" w:styleId="43">
    <w:name w:val="列表段落1"/>
    <w:basedOn w:val="1"/>
    <w:autoRedefine/>
    <w:qFormat/>
    <w:uiPriority w:val="0"/>
    <w:pPr>
      <w:ind w:firstLine="420" w:firstLineChars="200"/>
    </w:pPr>
    <w:rPr>
      <w:rFonts w:ascii="Calibri" w:hAnsi="Calibri"/>
      <w:szCs w:val="24"/>
    </w:rPr>
  </w:style>
  <w:style w:type="paragraph" w:customStyle="1" w:styleId="44">
    <w:name w:val="修订2"/>
    <w:autoRedefine/>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75E5-EFA6-471F-991F-3FA3DF4818B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1140</Words>
  <Characters>6502</Characters>
  <Lines>54</Lines>
  <Paragraphs>15</Paragraphs>
  <TotalTime>0</TotalTime>
  <ScaleCrop>false</ScaleCrop>
  <LinksUpToDate>false</LinksUpToDate>
  <CharactersWithSpaces>7627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2022-10-09T16:37:00Z</dcterms:created>
  <dc:creator>Administrator</dc:creator>
  <cp:lastModifiedBy>云采链-清</cp:lastModifiedBy>
  <dcterms:modified xsi:type="dcterms:W3CDTF">2024-04-17T02:45:40Z</dcterms:modified>
  <cp:revision>474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9F142F688B814F8CA8912101E2BAF09A_13</vt:lpwstr>
  </property>
</Properties>
</file>