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sz w:val="84"/>
          <w:szCs w:val="84"/>
        </w:rPr>
      </w:pPr>
      <w:bookmarkStart w:id="0" w:name="_Toc512613206"/>
      <w:bookmarkStart w:id="1" w:name="_Toc502845064"/>
    </w:p>
    <w:p>
      <w:pPr>
        <w:snapToGrid w:val="0"/>
        <w:spacing w:before="156" w:beforeLines="50"/>
        <w:jc w:val="center"/>
        <w:rPr>
          <w:rFonts w:ascii="仿宋_GB2312" w:hAnsi="仿宋_GB2312"/>
          <w:b/>
          <w:bCs/>
          <w:sz w:val="84"/>
          <w:szCs w:val="84"/>
        </w:rPr>
      </w:pPr>
      <w:bookmarkStart w:id="24" w:name="_GoBack"/>
      <w:bookmarkEnd w:id="24"/>
      <w:r>
        <w:rPr>
          <w:rFonts w:hint="eastAsia" w:ascii="宋体" w:hAnsi="宋体"/>
          <w:b/>
          <w:sz w:val="84"/>
          <w:szCs w:val="84"/>
        </w:rPr>
        <w:t>竞价文件</w:t>
      </w:r>
    </w:p>
    <w:p>
      <w:pPr>
        <w:spacing w:line="360" w:lineRule="auto"/>
        <w:jc w:val="center"/>
        <w:rPr>
          <w:rFonts w:ascii="宋体" w:hAnsi="宋体"/>
          <w:b/>
          <w:bCs/>
          <w:sz w:val="24"/>
          <w:szCs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竞价</w:t>
      </w:r>
    </w:p>
    <w:p>
      <w:pPr>
        <w:spacing w:line="360" w:lineRule="auto"/>
        <w:ind w:left="1521" w:hanging="1521" w:hangingChars="541"/>
        <w:rPr>
          <w:rFonts w:hint="eastAsia" w:ascii="仿宋_GB2312" w:hAnsi="仿宋_GB2312" w:eastAsia="宋体"/>
          <w:b/>
          <w:bCs/>
          <w:sz w:val="28"/>
          <w:szCs w:val="32"/>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佛山市顺德区疾病预防控制中心采购试剂一批项目</w:t>
      </w:r>
    </w:p>
    <w:p>
      <w:pPr>
        <w:snapToGrid w:val="0"/>
        <w:spacing w:before="156" w:beforeLines="50" w:after="156" w:afterLines="50" w:line="360" w:lineRule="auto"/>
        <w:jc w:val="center"/>
        <w:rPr>
          <w:rFonts w:ascii="黑体" w:hAnsi="华文中宋" w:eastAsia="黑体" w:cs="华文中宋"/>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ind w:left="420" w:firstLine="420"/>
        <w:jc w:val="center"/>
        <w:rPr>
          <w:rFonts w:ascii="宋体" w:hAnsi="宋体"/>
          <w:b/>
          <w:bCs/>
          <w:sz w:val="28"/>
          <w:szCs w:val="32"/>
        </w:rPr>
      </w:pPr>
      <w:bookmarkStart w:id="2" w:name="_Hlk60937122"/>
      <w:r>
        <w:rPr>
          <w:rFonts w:hint="eastAsia" w:ascii="宋体" w:hAnsi="宋体"/>
          <w:b/>
          <w:bCs/>
          <w:sz w:val="28"/>
          <w:szCs w:val="32"/>
        </w:rPr>
        <w:t>佛山市顺德区疾病预防控制中心</w:t>
      </w:r>
    </w:p>
    <w:bookmarkEnd w:id="2"/>
    <w:p>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云采链（广州）信息科技有限公司</w:t>
      </w:r>
    </w:p>
    <w:p>
      <w:pPr>
        <w:autoSpaceDE w:val="0"/>
        <w:autoSpaceDN w:val="0"/>
        <w:adjustRightInd w:val="0"/>
        <w:snapToGrid w:val="0"/>
        <w:spacing w:line="360" w:lineRule="auto"/>
        <w:ind w:left="420" w:firstLine="420"/>
        <w:jc w:val="center"/>
        <w:rPr>
          <w:rFonts w:ascii="仿宋_GB2312" w:hAnsi="仿宋_GB2312"/>
          <w:b/>
          <w:sz w:val="28"/>
        </w:rPr>
      </w:pPr>
      <w:r>
        <w:rPr>
          <w:rFonts w:hint="eastAsia" w:ascii="仿宋_GB2312" w:hAnsi="仿宋_GB2312"/>
          <w:b/>
          <w:sz w:val="28"/>
        </w:rPr>
        <w:t>二零二四年</w:t>
      </w:r>
      <w:r>
        <w:rPr>
          <w:rFonts w:hint="eastAsia" w:ascii="仿宋_GB2312" w:hAnsi="仿宋_GB2312"/>
          <w:b/>
          <w:sz w:val="28"/>
          <w:lang w:val="en-US" w:eastAsia="zh-CN"/>
        </w:rPr>
        <w:t>六</w:t>
      </w:r>
      <w:r>
        <w:rPr>
          <w:rFonts w:hint="eastAsia" w:ascii="仿宋_GB2312" w:hAnsi="仿宋_GB2312"/>
          <w:b/>
          <w:sz w:val="28"/>
        </w:rPr>
        <w:t>月</w:t>
      </w:r>
    </w:p>
    <w:p>
      <w:pPr>
        <w:autoSpaceDE w:val="0"/>
        <w:autoSpaceDN w:val="0"/>
        <w:adjustRightInd w:val="0"/>
        <w:snapToGrid w:val="0"/>
        <w:spacing w:line="360" w:lineRule="auto"/>
        <w:ind w:left="420" w:firstLine="420"/>
        <w:jc w:val="center"/>
        <w:rPr>
          <w:rFonts w:ascii="仿宋_GB2312" w:hAnsi="仿宋_GB2312"/>
          <w:sz w:val="28"/>
        </w:rPr>
      </w:pPr>
    </w:p>
    <w:p>
      <w:pPr>
        <w:widowControl/>
        <w:jc w:val="left"/>
        <w:rPr>
          <w:rFonts w:ascii="Cambria" w:hAnsi="Cambria" w:cs="宋体"/>
          <w:b/>
          <w:bCs/>
          <w:kern w:val="0"/>
          <w:sz w:val="32"/>
          <w:szCs w:val="32"/>
        </w:rPr>
      </w:pPr>
      <w:r>
        <w:rPr>
          <w:rFonts w:cs="宋体"/>
        </w:rPr>
        <w:br w:type="page"/>
      </w:r>
    </w:p>
    <w:p>
      <w:pPr>
        <w:jc w:val="center"/>
        <w:outlineLvl w:val="0"/>
        <w:rPr>
          <w:rFonts w:ascii="Cambria" w:hAnsi="Cambria"/>
          <w:b/>
          <w:bCs/>
          <w:kern w:val="0"/>
          <w:sz w:val="32"/>
          <w:szCs w:val="32"/>
        </w:rPr>
      </w:pPr>
      <w:r>
        <w:rPr>
          <w:rFonts w:hint="eastAsia" w:ascii="Cambria" w:hAnsi="Cambria" w:cs="宋体"/>
          <w:b/>
          <w:bCs/>
          <w:kern w:val="0"/>
          <w:sz w:val="32"/>
          <w:szCs w:val="32"/>
        </w:rPr>
        <w:t>第一章竞价须知</w:t>
      </w:r>
    </w:p>
    <w:p>
      <w:pPr>
        <w:pStyle w:val="35"/>
        <w:numPr>
          <w:ilvl w:val="0"/>
          <w:numId w:val="3"/>
        </w:numPr>
        <w:adjustRightInd w:val="0"/>
        <w:spacing w:line="360" w:lineRule="auto"/>
        <w:ind w:left="0" w:firstLine="420"/>
        <w:rPr>
          <w:rFonts w:ascii="宋体" w:hAnsi="宋体" w:cs="宋体"/>
        </w:rPr>
      </w:pPr>
      <w:r>
        <w:rPr>
          <w:rFonts w:hint="eastAsia" w:ascii="宋体" w:hAnsi="宋体" w:cs="宋体"/>
        </w:rPr>
        <w:t>本项目通过云采链线上采购一体化平台进行竞价，参与竞价的供应商必须登录平台进行注册，注册成功后方可参与项目竞价。</w:t>
      </w:r>
    </w:p>
    <w:p>
      <w:pPr>
        <w:pStyle w:val="35"/>
        <w:numPr>
          <w:ilvl w:val="0"/>
          <w:numId w:val="3"/>
        </w:numPr>
        <w:adjustRightInd w:val="0"/>
        <w:spacing w:line="360" w:lineRule="auto"/>
        <w:ind w:left="0" w:firstLine="420"/>
        <w:rPr>
          <w:rFonts w:ascii="宋体" w:hAnsi="宋体" w:cs="宋体"/>
        </w:rPr>
      </w:pPr>
      <w:r>
        <w:rPr>
          <w:rFonts w:hint="eastAsia" w:ascii="宋体" w:hAnsi="宋体" w:cs="宋体"/>
        </w:rPr>
        <w:t>语言要求</w:t>
      </w:r>
    </w:p>
    <w:p>
      <w:pPr>
        <w:pStyle w:val="35"/>
        <w:adjustRightInd w:val="0"/>
        <w:spacing w:line="360" w:lineRule="auto"/>
        <w:rPr>
          <w:rFonts w:ascii="宋体" w:hAnsi="宋体" w:cs="宋体"/>
        </w:rPr>
      </w:pPr>
      <w:r>
        <w:rPr>
          <w:rFonts w:hint="eastAsia" w:ascii="宋体" w:hAnsi="宋体" w:cs="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5"/>
        <w:numPr>
          <w:ilvl w:val="0"/>
          <w:numId w:val="3"/>
        </w:numPr>
        <w:adjustRightInd w:val="0"/>
        <w:spacing w:line="360" w:lineRule="auto"/>
        <w:ind w:left="0" w:firstLine="420"/>
        <w:rPr>
          <w:rFonts w:ascii="宋体" w:hAnsi="宋体" w:cs="宋体"/>
        </w:rPr>
      </w:pPr>
      <w:r>
        <w:rPr>
          <w:rFonts w:hint="eastAsia" w:ascii="宋体" w:hAnsi="宋体" w:cs="宋体"/>
        </w:rPr>
        <w:t>在云采链平台参与项目竞价后放弃成交资格超过三次（含三次）的供应商连同该供应商同一法人名下所有公司将被列入平台黑名单，永久不得参与平台的项目竞价。</w:t>
      </w:r>
    </w:p>
    <w:p>
      <w:pPr>
        <w:pStyle w:val="35"/>
        <w:numPr>
          <w:ilvl w:val="0"/>
          <w:numId w:val="3"/>
        </w:numPr>
        <w:adjustRightInd w:val="0"/>
        <w:spacing w:line="360" w:lineRule="auto"/>
        <w:ind w:left="0" w:firstLine="420"/>
        <w:rPr>
          <w:rFonts w:ascii="宋体" w:hAnsi="宋体" w:cs="宋体"/>
        </w:rPr>
      </w:pPr>
      <w:r>
        <w:rPr>
          <w:rFonts w:hint="eastAsia" w:ascii="宋体" w:hAnsi="宋体" w:cs="宋体"/>
        </w:rPr>
        <w:t>竞价须知</w:t>
      </w:r>
    </w:p>
    <w:p>
      <w:pPr>
        <w:widowControl/>
        <w:adjustRightInd w:val="0"/>
        <w:spacing w:line="360" w:lineRule="auto"/>
        <w:ind w:firstLine="422" w:firstLineChars="200"/>
        <w:jc w:val="left"/>
        <w:rPr>
          <w:rFonts w:ascii="宋体" w:hAnsi="宋体"/>
          <w:b/>
          <w:bCs/>
        </w:rPr>
      </w:pPr>
      <w:r>
        <w:rPr>
          <w:rFonts w:hint="eastAsia" w:ascii="宋体" w:hAnsi="宋体" w:cs="宋体"/>
          <w:b/>
          <w:bCs/>
        </w:rPr>
        <w:t>（一）竞价说明</w:t>
      </w:r>
    </w:p>
    <w:p>
      <w:pPr>
        <w:widowControl/>
        <w:spacing w:line="360" w:lineRule="auto"/>
        <w:ind w:firstLine="420" w:firstLineChars="200"/>
        <w:jc w:val="left"/>
        <w:rPr>
          <w:rFonts w:ascii="宋体" w:hAnsi="宋体"/>
        </w:rPr>
      </w:pPr>
      <w:r>
        <w:rPr>
          <w:rFonts w:hint="eastAsia" w:ascii="宋体" w:hAnsi="宋体" w:cs="宋体"/>
        </w:rPr>
        <w:t>1、参与竞价的供应商应承担所有与准备和参加竞价有关的费用，不</w:t>
      </w:r>
      <w:r>
        <w:rPr>
          <w:rFonts w:hint="eastAsia" w:ascii="宋体" w:hAnsi="宋体" w:cs="宋体"/>
          <w:lang w:eastAsia="zh-TW"/>
        </w:rPr>
        <w:t>论</w:t>
      </w:r>
      <w:r>
        <w:rPr>
          <w:rFonts w:hint="eastAsia" w:ascii="宋体" w:hAnsi="宋体" w:cs="宋体"/>
        </w:rPr>
        <w:t>竞价</w:t>
      </w:r>
      <w:r>
        <w:rPr>
          <w:rFonts w:hint="eastAsia" w:ascii="宋体" w:hAnsi="宋体" w:cs="宋体"/>
          <w:lang w:eastAsia="zh-TW"/>
        </w:rPr>
        <w:t>的结果如何</w:t>
      </w:r>
      <w:r>
        <w:rPr>
          <w:rFonts w:hint="eastAsia" w:ascii="宋体" w:hAnsi="宋体" w:cs="宋体"/>
        </w:rPr>
        <w:t>，采购</w:t>
      </w:r>
      <w:r>
        <w:rPr>
          <w:rFonts w:hint="eastAsia" w:ascii="宋体" w:hAnsi="宋体" w:cs="宋体"/>
          <w:lang w:eastAsia="zh-TW"/>
        </w:rPr>
        <w:t>人</w:t>
      </w:r>
      <w:r>
        <w:rPr>
          <w:rFonts w:hint="eastAsia" w:ascii="宋体" w:hAnsi="宋体" w:cs="宋体"/>
        </w:rPr>
        <w:t>和</w:t>
      </w:r>
      <w:r>
        <w:rPr>
          <w:rFonts w:hint="eastAsia" w:ascii="宋体" w:hAnsi="宋体" w:cs="宋体"/>
          <w:lang w:eastAsia="zh-TW"/>
        </w:rPr>
        <w:t>代理机构均无义务和责任承担这些费用</w:t>
      </w:r>
      <w:r>
        <w:rPr>
          <w:rFonts w:hint="eastAsia" w:ascii="宋体" w:hAnsi="宋体" w:cs="宋体"/>
        </w:rPr>
        <w:t>；</w:t>
      </w:r>
    </w:p>
    <w:p>
      <w:pPr>
        <w:widowControl/>
        <w:spacing w:line="360" w:lineRule="auto"/>
        <w:ind w:firstLine="420" w:firstLineChars="200"/>
        <w:jc w:val="left"/>
        <w:rPr>
          <w:rFonts w:ascii="宋体" w:hAnsi="宋体"/>
        </w:rPr>
      </w:pPr>
      <w:r>
        <w:rPr>
          <w:rFonts w:hint="eastAsia" w:ascii="宋体" w:hAnsi="宋体" w:cs="宋体"/>
        </w:rPr>
        <w:t>2、参与竞价的供应商必须按竞价附件的格式填写，不得增加或删除表格内容。除单价、金额或项目要求填写的内容外，不得擅自改动竞价附件内容，否则将有可能影响成交结果，不推荐为成交候选人；</w:t>
      </w:r>
    </w:p>
    <w:p>
      <w:pPr>
        <w:widowControl/>
        <w:spacing w:line="360" w:lineRule="auto"/>
        <w:ind w:firstLine="420" w:firstLineChars="200"/>
        <w:jc w:val="left"/>
        <w:rPr>
          <w:rFonts w:ascii="宋体" w:hAnsi="宋体"/>
        </w:rPr>
      </w:pPr>
      <w:r>
        <w:rPr>
          <w:rFonts w:hint="eastAsia" w:ascii="宋体" w:hAnsi="宋体" w:cs="宋体"/>
        </w:rPr>
        <w:t>3、参与竞价的</w:t>
      </w:r>
      <w:r>
        <w:rPr>
          <w:rFonts w:hint="eastAsia" w:ascii="宋体" w:hAnsi="宋体" w:cs="宋体"/>
          <w:lang w:val="zh-CN"/>
        </w:rPr>
        <w:t>供应商需对用户需求书的所有条款进行整体响应，用户需求书条款若有一条负偏离或不响应，</w:t>
      </w:r>
      <w:r>
        <w:rPr>
          <w:rFonts w:hint="eastAsia" w:ascii="宋体" w:hAnsi="宋体" w:cs="宋体"/>
        </w:rPr>
        <w:t>不推荐为成交候选人</w:t>
      </w:r>
      <w:r>
        <w:rPr>
          <w:rFonts w:hint="eastAsia" w:ascii="宋体" w:hAnsi="宋体" w:cs="宋体"/>
          <w:lang w:val="zh-CN"/>
        </w:rPr>
        <w:t>；</w:t>
      </w:r>
    </w:p>
    <w:p>
      <w:pPr>
        <w:widowControl/>
        <w:spacing w:line="360" w:lineRule="auto"/>
        <w:ind w:left="420" w:leftChars="200"/>
        <w:jc w:val="left"/>
        <w:rPr>
          <w:rFonts w:ascii="宋体" w:hAnsi="宋体"/>
        </w:rPr>
      </w:pPr>
      <w:r>
        <w:rPr>
          <w:rFonts w:hint="eastAsia" w:ascii="宋体" w:hAnsi="宋体" w:cs="宋体"/>
        </w:rPr>
        <w:t>4、若成交供应商自身原因无法完成本项目，则采购人有权利保留追究责任；</w:t>
      </w:r>
    </w:p>
    <w:p>
      <w:pPr>
        <w:widowControl/>
        <w:spacing w:line="360" w:lineRule="auto"/>
        <w:ind w:firstLine="420" w:firstLineChars="200"/>
        <w:jc w:val="left"/>
        <w:rPr>
          <w:rFonts w:ascii="宋体" w:hAnsi="宋体"/>
        </w:rPr>
      </w:pPr>
      <w:r>
        <w:rPr>
          <w:rFonts w:hint="eastAsia" w:ascii="宋体" w:hAnsi="宋体" w:cs="宋体"/>
        </w:rPr>
        <w:t>5、成交供应商因自身原因被取消成交资格，采购人可重新启动采购或按竞价公告规定顺延推选符合要求的供应商作为成交供应商；</w:t>
      </w:r>
    </w:p>
    <w:p>
      <w:pPr>
        <w:widowControl/>
        <w:spacing w:line="360" w:lineRule="auto"/>
        <w:ind w:firstLine="420" w:firstLineChars="200"/>
        <w:jc w:val="left"/>
        <w:rPr>
          <w:rFonts w:ascii="宋体" w:hAnsi="宋体"/>
        </w:rPr>
      </w:pPr>
      <w:r>
        <w:rPr>
          <w:rFonts w:hint="eastAsia" w:ascii="宋体" w:hAnsi="宋体" w:cs="宋体"/>
        </w:rPr>
        <w:t>6、若本项目竞价采购失败，采购人将重新采购，届时采购人有权根据项目具体情况，决定重新采购项目的采购方式；</w:t>
      </w:r>
    </w:p>
    <w:p>
      <w:pPr>
        <w:widowControl/>
        <w:spacing w:line="360" w:lineRule="auto"/>
        <w:ind w:firstLine="420" w:firstLineChars="200"/>
        <w:jc w:val="left"/>
        <w:rPr>
          <w:rFonts w:ascii="宋体" w:hAnsi="宋体"/>
        </w:rPr>
      </w:pPr>
      <w:r>
        <w:rPr>
          <w:rFonts w:hint="eastAsia" w:ascii="宋体" w:hAnsi="宋体" w:cs="宋体"/>
        </w:rPr>
        <w:t>7、成交供应商若无正当理由恶意放弃成交资格，采购人有权将拒绝其参加本项目重新组织的竞价采购活动；</w:t>
      </w:r>
    </w:p>
    <w:p>
      <w:pPr>
        <w:widowControl/>
        <w:spacing w:line="360" w:lineRule="auto"/>
        <w:ind w:firstLine="420" w:firstLineChars="200"/>
        <w:jc w:val="left"/>
        <w:rPr>
          <w:rFonts w:ascii="宋体" w:hAnsi="宋体"/>
        </w:rPr>
      </w:pPr>
      <w:r>
        <w:rPr>
          <w:rFonts w:hint="eastAsia" w:ascii="宋体" w:hAnsi="宋体"/>
        </w:rPr>
        <w:t>8、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spacing w:line="360" w:lineRule="auto"/>
        <w:ind w:firstLine="420" w:firstLineChars="200"/>
        <w:jc w:val="left"/>
        <w:rPr>
          <w:rFonts w:ascii="宋体" w:hAnsi="宋体"/>
        </w:rPr>
      </w:pPr>
      <w:r>
        <w:rPr>
          <w:rFonts w:hint="eastAsia" w:ascii="宋体" w:hAnsi="宋体" w:cs="宋体"/>
        </w:rPr>
        <w:t>9、参与竞价的</w:t>
      </w:r>
      <w:r>
        <w:rPr>
          <w:rFonts w:hint="eastAsia" w:ascii="宋体" w:hAnsi="宋体" w:cs="宋体"/>
          <w:lang w:eastAsia="zh-TW"/>
        </w:rPr>
        <w:t>供应商向我司咨询的有关项目事项，一切以</w:t>
      </w:r>
      <w:r>
        <w:rPr>
          <w:rFonts w:hint="eastAsia" w:ascii="宋体" w:hAnsi="宋体" w:cs="宋体"/>
        </w:rPr>
        <w:t>竞价文件</w:t>
      </w:r>
      <w:r>
        <w:rPr>
          <w:rFonts w:hint="eastAsia" w:ascii="宋体" w:hAnsi="宋体" w:cs="宋体"/>
          <w:lang w:eastAsia="zh-TW"/>
        </w:rPr>
        <w:t>规定</w:t>
      </w:r>
      <w:r>
        <w:rPr>
          <w:rFonts w:hint="eastAsia" w:ascii="宋体" w:hAnsi="宋体" w:cs="宋体"/>
        </w:rPr>
        <w:t>和竞价公告规定以及</w:t>
      </w:r>
      <w:r>
        <w:rPr>
          <w:rFonts w:hint="eastAsia" w:ascii="宋体" w:hAnsi="宋体" w:cs="宋体"/>
          <w:lang w:eastAsia="zh-TW"/>
        </w:rPr>
        <w:t>本公司</w:t>
      </w:r>
      <w:r>
        <w:rPr>
          <w:rFonts w:hint="eastAsia" w:ascii="宋体" w:hAnsi="宋体" w:cs="宋体"/>
        </w:rPr>
        <w:t>的</w:t>
      </w:r>
      <w:r>
        <w:rPr>
          <w:rFonts w:hint="eastAsia" w:ascii="宋体" w:hAnsi="宋体" w:cs="宋体"/>
          <w:lang w:eastAsia="zh-TW"/>
        </w:rPr>
        <w:t>书面答复为准，其他一切形式均为个人意见，不代表本公司的意见</w:t>
      </w:r>
      <w:r>
        <w:rPr>
          <w:rFonts w:hint="eastAsia" w:ascii="宋体" w:hAnsi="宋体" w:cs="宋体"/>
        </w:rPr>
        <w:t>；</w:t>
      </w:r>
    </w:p>
    <w:p>
      <w:pPr>
        <w:widowControl/>
        <w:spacing w:line="360" w:lineRule="auto"/>
        <w:ind w:firstLine="420" w:firstLineChars="200"/>
        <w:jc w:val="left"/>
        <w:rPr>
          <w:rFonts w:ascii="宋体" w:hAnsi="宋体"/>
        </w:rPr>
      </w:pPr>
      <w:r>
        <w:rPr>
          <w:rFonts w:hint="eastAsia" w:ascii="宋体" w:hAnsi="宋体" w:cs="宋体"/>
        </w:rPr>
        <w:t>10、参与竞价的供应商应认真阅读</w:t>
      </w:r>
      <w:r>
        <w:rPr>
          <w:rFonts w:hint="eastAsia" w:ascii="宋体" w:hAnsi="宋体" w:cs="宋体"/>
          <w:lang w:eastAsia="zh-TW"/>
        </w:rPr>
        <w:t>、并充分理解</w:t>
      </w:r>
      <w:r>
        <w:rPr>
          <w:rFonts w:hint="eastAsia" w:ascii="宋体" w:hAnsi="宋体" w:cs="宋体"/>
        </w:rPr>
        <w:t>竞价</w:t>
      </w:r>
      <w:r>
        <w:rPr>
          <w:rFonts w:hint="eastAsia" w:ascii="宋体" w:hAnsi="宋体" w:cs="宋体"/>
          <w:lang w:eastAsia="zh-TW"/>
        </w:rPr>
        <w:t>文件的全部内容（包括所有的补充、修改内容重要事项、格式、条款</w:t>
      </w:r>
      <w:r>
        <w:rPr>
          <w:rFonts w:hint="eastAsia" w:ascii="宋体" w:hAnsi="宋体" w:cs="宋体"/>
        </w:rPr>
        <w:t>、服务要求</w:t>
      </w:r>
      <w:r>
        <w:rPr>
          <w:rFonts w:hint="eastAsia" w:ascii="宋体" w:hAnsi="宋体" w:cs="宋体"/>
          <w:lang w:eastAsia="zh-TW"/>
        </w:rPr>
        <w:t>和技术规范、参数及要求等）。</w:t>
      </w:r>
      <w:r>
        <w:rPr>
          <w:rFonts w:hint="eastAsia" w:ascii="宋体" w:hAnsi="宋体" w:cs="宋体"/>
        </w:rPr>
        <w:t>供应商</w:t>
      </w:r>
      <w:r>
        <w:rPr>
          <w:rFonts w:hint="eastAsia" w:ascii="宋体" w:hAnsi="宋体" w:cs="宋体"/>
          <w:lang w:eastAsia="zh-TW"/>
        </w:rPr>
        <w:t>没有按照</w:t>
      </w:r>
      <w:r>
        <w:rPr>
          <w:rFonts w:hint="eastAsia" w:ascii="宋体" w:hAnsi="宋体" w:cs="宋体"/>
        </w:rPr>
        <w:t>竞价</w:t>
      </w:r>
      <w:r>
        <w:rPr>
          <w:rFonts w:hint="eastAsia" w:ascii="宋体" w:hAnsi="宋体" w:cs="宋体"/>
          <w:lang w:eastAsia="zh-TW"/>
        </w:rPr>
        <w:t>文件要求提交全部资料，或者</w:t>
      </w:r>
      <w:r>
        <w:rPr>
          <w:rFonts w:hint="eastAsia" w:ascii="宋体" w:hAnsi="宋体" w:cs="宋体"/>
        </w:rPr>
        <w:t>参与竞价所上传的</w:t>
      </w:r>
      <w:r>
        <w:rPr>
          <w:rFonts w:hint="eastAsia" w:ascii="宋体" w:hAnsi="宋体" w:cs="宋体"/>
          <w:lang w:eastAsia="zh-TW"/>
        </w:rPr>
        <w:t>文件没有对</w:t>
      </w:r>
      <w:r>
        <w:rPr>
          <w:rFonts w:hint="eastAsia" w:ascii="宋体" w:hAnsi="宋体" w:cs="宋体"/>
        </w:rPr>
        <w:t>竞价</w:t>
      </w:r>
      <w:r>
        <w:rPr>
          <w:rFonts w:hint="eastAsia" w:ascii="宋体" w:hAnsi="宋体" w:cs="宋体"/>
          <w:lang w:eastAsia="zh-TW"/>
        </w:rPr>
        <w:t>文件在各方面都作出实质性响应是</w:t>
      </w:r>
      <w:r>
        <w:rPr>
          <w:rFonts w:hint="eastAsia" w:ascii="宋体" w:hAnsi="宋体" w:cs="宋体"/>
        </w:rPr>
        <w:t>供应商</w:t>
      </w:r>
      <w:r>
        <w:rPr>
          <w:rFonts w:hint="eastAsia" w:ascii="宋体" w:hAnsi="宋体" w:cs="宋体"/>
          <w:lang w:eastAsia="zh-TW"/>
        </w:rPr>
        <w:t>的风险，有可能导致其</w:t>
      </w:r>
      <w:r>
        <w:rPr>
          <w:rFonts w:hint="eastAsia" w:ascii="宋体" w:hAnsi="宋体" w:cs="宋体"/>
        </w:rPr>
        <w:t>竞价</w:t>
      </w:r>
      <w:r>
        <w:rPr>
          <w:rFonts w:hint="eastAsia" w:ascii="宋体" w:hAnsi="宋体" w:cs="宋体"/>
          <w:lang w:eastAsia="zh-TW"/>
        </w:rPr>
        <w:t>被拒绝，</w:t>
      </w:r>
      <w:r>
        <w:rPr>
          <w:rFonts w:hint="eastAsia" w:ascii="宋体" w:hAnsi="宋体" w:cs="宋体"/>
        </w:rPr>
        <w:t>或被认定为无效竞价；</w:t>
      </w:r>
    </w:p>
    <w:p>
      <w:pPr>
        <w:widowControl/>
        <w:spacing w:line="360" w:lineRule="auto"/>
        <w:ind w:firstLine="420" w:firstLineChars="200"/>
        <w:jc w:val="left"/>
        <w:rPr>
          <w:rFonts w:ascii="宋体" w:hAnsi="宋体"/>
        </w:rPr>
      </w:pPr>
      <w:r>
        <w:rPr>
          <w:rFonts w:hint="eastAsia" w:ascii="宋体" w:hAnsi="宋体" w:cs="宋体"/>
          <w:kern w:val="0"/>
        </w:rPr>
        <w:t>11、采购人有权拒绝接受任何不合格的货物或服务，由此产生的费用及相关后果均由成交供应商自行承担；</w:t>
      </w:r>
    </w:p>
    <w:p>
      <w:pPr>
        <w:widowControl/>
        <w:spacing w:line="360" w:lineRule="auto"/>
        <w:ind w:firstLine="420" w:firstLineChars="200"/>
        <w:jc w:val="left"/>
        <w:rPr>
          <w:rFonts w:ascii="宋体" w:hAnsi="宋体"/>
        </w:rPr>
      </w:pPr>
      <w:r>
        <w:rPr>
          <w:rFonts w:hint="eastAsia" w:ascii="宋体" w:hAnsi="宋体" w:cs="宋体"/>
        </w:rPr>
        <w:t>12、供应商认为竞价结果损害其权益的，应按照云采链平台相关指引在规定的时间内向采购人或代理机构提交书面质疑，不提交的视为无异议，逾期提交将不予受理；</w:t>
      </w:r>
    </w:p>
    <w:p>
      <w:pPr>
        <w:widowControl/>
        <w:spacing w:line="360" w:lineRule="auto"/>
        <w:ind w:firstLine="420" w:firstLineChars="200"/>
        <w:jc w:val="left"/>
        <w:rPr>
          <w:rFonts w:ascii="宋体" w:hAnsi="宋体"/>
        </w:rPr>
      </w:pPr>
      <w:r>
        <w:rPr>
          <w:rFonts w:hint="eastAsia" w:ascii="宋体" w:hAnsi="宋体" w:cs="宋体"/>
        </w:rPr>
        <w:t>13、本竞价公告和竞价文件的解释权归“云采链线上采购一体化平台”所有。</w:t>
      </w:r>
    </w:p>
    <w:p>
      <w:pPr>
        <w:widowControl/>
        <w:spacing w:line="360" w:lineRule="auto"/>
        <w:ind w:firstLine="422" w:firstLineChars="200"/>
        <w:jc w:val="left"/>
        <w:rPr>
          <w:rFonts w:ascii="宋体" w:hAnsi="宋体"/>
        </w:rPr>
      </w:pPr>
      <w:r>
        <w:rPr>
          <w:rFonts w:hint="eastAsia" w:ascii="宋体" w:hAnsi="宋体"/>
          <w:b/>
        </w:rPr>
        <w:t>（二）竞价文件的澄清或修改</w:t>
      </w:r>
    </w:p>
    <w:p>
      <w:pPr>
        <w:widowControl/>
        <w:spacing w:line="360" w:lineRule="auto"/>
        <w:ind w:firstLine="420" w:firstLineChars="200"/>
        <w:jc w:val="left"/>
        <w:rPr>
          <w:rFonts w:ascii="宋体" w:hAnsi="宋体"/>
        </w:rPr>
      </w:pPr>
      <w:r>
        <w:rPr>
          <w:rFonts w:hint="eastAsia" w:ascii="宋体" w:hAnsi="宋体"/>
        </w:rPr>
        <w:t>1、采购人或者采购代理机构可以对已发出的竞价文件进行必要的澄清或者修改。澄清或者修改的内容将在云采链平台上发布澄清（更正/变更）公告。</w:t>
      </w:r>
    </w:p>
    <w:p>
      <w:pPr>
        <w:widowControl/>
        <w:spacing w:line="360" w:lineRule="auto"/>
        <w:ind w:firstLine="420" w:firstLineChars="200"/>
        <w:jc w:val="left"/>
        <w:rPr>
          <w:rFonts w:ascii="宋体" w:hAnsi="宋体"/>
        </w:rPr>
      </w:pPr>
      <w:r>
        <w:rPr>
          <w:rFonts w:hint="eastAsia" w:ascii="宋体" w:hAnsi="宋体"/>
        </w:rPr>
        <w:t>2、无论澄清或者修改的内容是否影响竞价，平台将以短信形式通知所有的报名供应商；报名供应商应按要求履行相应的义务；</w:t>
      </w:r>
      <w:r>
        <w:rPr>
          <w:rFonts w:hint="eastAsia" w:ascii="宋体" w:hAnsi="宋体" w:cs="宋体"/>
        </w:rPr>
        <w:t>如报名</w:t>
      </w:r>
      <w:r>
        <w:rPr>
          <w:rFonts w:hint="eastAsia" w:ascii="宋体" w:hAnsi="宋体" w:cs="宋体"/>
          <w:lang w:eastAsia="zh-TW"/>
        </w:rPr>
        <w:t>截止时间</w:t>
      </w:r>
      <w:r>
        <w:rPr>
          <w:rFonts w:hint="eastAsia" w:ascii="宋体" w:hAnsi="宋体" w:cs="宋体"/>
        </w:rPr>
        <w:t>少于一个工作日的，</w:t>
      </w:r>
      <w:r>
        <w:rPr>
          <w:rFonts w:hint="eastAsia" w:ascii="宋体" w:hAnsi="宋体"/>
        </w:rPr>
        <w:t>采购人或者采购代理机构应当相应顺延报名的截止时间。</w:t>
      </w:r>
    </w:p>
    <w:p>
      <w:pPr>
        <w:widowControl/>
        <w:spacing w:line="360" w:lineRule="auto"/>
        <w:ind w:firstLine="420" w:firstLineChars="200"/>
        <w:jc w:val="left"/>
        <w:rPr>
          <w:rFonts w:ascii="宋体" w:hAnsi="宋体"/>
        </w:rPr>
      </w:pPr>
      <w:r>
        <w:rPr>
          <w:rFonts w:hint="eastAsia" w:ascii="宋体" w:hAnsi="宋体"/>
        </w:rPr>
        <w:t>3、采购人或者采购代理机构发出的澄清或修改（更正/变更）的内容为竞价文件的组成部分，并对供应商具有约束力。</w:t>
      </w:r>
    </w:p>
    <w:p>
      <w:pPr>
        <w:widowControl/>
        <w:spacing w:line="360" w:lineRule="auto"/>
        <w:ind w:firstLine="422" w:firstLineChars="200"/>
        <w:jc w:val="left"/>
        <w:rPr>
          <w:rFonts w:ascii="宋体" w:hAnsi="宋体"/>
          <w:b/>
          <w:bCs/>
        </w:rPr>
      </w:pPr>
      <w:r>
        <w:rPr>
          <w:rFonts w:hint="eastAsia" w:ascii="宋体" w:hAnsi="宋体" w:cs="宋体"/>
          <w:b/>
          <w:bCs/>
        </w:rPr>
        <w:t>（三）报名要求（请提供</w:t>
      </w:r>
      <w:r>
        <w:rPr>
          <w:rFonts w:hint="eastAsia" w:ascii="宋体" w:hAnsi="宋体" w:cs="宋体"/>
        </w:rPr>
        <w:t>参与竞价的</w:t>
      </w:r>
      <w:r>
        <w:rPr>
          <w:rFonts w:hint="eastAsia" w:ascii="宋体" w:hAnsi="宋体" w:cs="宋体"/>
          <w:b/>
          <w:bCs/>
        </w:rPr>
        <w:t>供应商资质要求</w:t>
      </w:r>
      <w:r>
        <w:rPr>
          <w:rFonts w:ascii="宋体" w:hAnsi="宋体" w:cs="宋体"/>
          <w:b/>
          <w:bCs/>
        </w:rPr>
        <w:t>:</w:t>
      </w:r>
      <w:r>
        <w:rPr>
          <w:rFonts w:hint="eastAsia" w:ascii="宋体" w:hAnsi="宋体" w:cs="宋体"/>
        </w:rPr>
        <w:t>报名时需要提供以下</w:t>
      </w:r>
      <w:r>
        <w:rPr>
          <w:rFonts w:hint="eastAsia" w:ascii="宋体" w:hAnsi="宋体" w:cs="宋体"/>
          <w:b/>
          <w:u w:val="double"/>
        </w:rPr>
        <w:t>盖章</w:t>
      </w:r>
      <w:r>
        <w:rPr>
          <w:rFonts w:hint="eastAsia" w:ascii="宋体" w:hAnsi="宋体" w:cs="宋体"/>
        </w:rPr>
        <w:t>资料，并对上传的报名文件资料承担责任</w:t>
      </w:r>
      <w:r>
        <w:rPr>
          <w:rFonts w:hint="eastAsia" w:ascii="宋体" w:hAnsi="宋体" w:cs="宋体"/>
          <w:b/>
          <w:bCs/>
        </w:rPr>
        <w:t>）</w:t>
      </w:r>
    </w:p>
    <w:p>
      <w:pPr>
        <w:pStyle w:val="36"/>
        <w:widowControl/>
        <w:spacing w:line="360" w:lineRule="auto"/>
        <w:jc w:val="left"/>
        <w:rPr>
          <w:rFonts w:ascii="宋体" w:hAnsi="宋体" w:cs="宋体"/>
        </w:rPr>
      </w:pPr>
      <w:r>
        <w:rPr>
          <w:rFonts w:hint="eastAsia" w:ascii="宋体" w:hAnsi="宋体" w:cs="宋体"/>
        </w:rPr>
        <w:t>1、具有独立承担民事责任的在中华人民共和国境内注册的法人或其他组织（提供法人或其他组织的营业执照等证明材料）；</w:t>
      </w:r>
    </w:p>
    <w:p>
      <w:pPr>
        <w:pStyle w:val="36"/>
        <w:widowControl/>
        <w:spacing w:line="360" w:lineRule="auto"/>
        <w:jc w:val="left"/>
      </w:pPr>
      <w:r>
        <w:rPr>
          <w:rFonts w:hint="eastAsia" w:ascii="宋体" w:hAnsi="宋体"/>
        </w:rPr>
        <w:t>2、</w:t>
      </w:r>
      <w:r>
        <w:rPr>
          <w:rFonts w:hint="eastAsia" w:ascii="宋体" w:hAnsi="宋体" w:cs="宋体"/>
        </w:rPr>
        <w:t>供应商符合《中华人民共和国政府采购法》的第二十二条规定，不转包且不联合竞价，提供供应商资格声明函，</w:t>
      </w:r>
      <w:r>
        <w:rPr>
          <w:rFonts w:hint="eastAsia" w:ascii="宋体" w:hAnsi="宋体" w:cs="宋体"/>
          <w:b/>
        </w:rPr>
        <w:t>格式详见附件</w:t>
      </w:r>
      <w:r>
        <w:rPr>
          <w:rFonts w:hint="eastAsia" w:ascii="宋体" w:hAnsi="宋体" w:cs="宋体"/>
        </w:rPr>
        <w:t>；</w:t>
      </w:r>
    </w:p>
    <w:p>
      <w:pPr>
        <w:pStyle w:val="36"/>
        <w:widowControl/>
        <w:spacing w:line="360" w:lineRule="auto"/>
        <w:jc w:val="left"/>
        <w:rPr>
          <w:rFonts w:ascii="宋体" w:hAnsi="宋体" w:cs="宋体"/>
        </w:rPr>
      </w:pPr>
      <w:r>
        <w:rPr>
          <w:rFonts w:hint="eastAsia" w:ascii="宋体" w:hAnsi="宋体" w:cs="宋体"/>
        </w:rPr>
        <w:t>3、供应商完全响应本项目用户需求的条款、内容及要求的，提供用户需求书响应声明函即可，</w:t>
      </w:r>
      <w:r>
        <w:rPr>
          <w:rFonts w:hint="eastAsia" w:ascii="宋体" w:hAnsi="宋体" w:cs="宋体"/>
          <w:b/>
        </w:rPr>
        <w:t>格式详见附件</w:t>
      </w:r>
      <w:r>
        <w:rPr>
          <w:rFonts w:hint="eastAsia" w:ascii="宋体" w:hAnsi="宋体" w:cs="宋体"/>
        </w:rPr>
        <w:t>。</w:t>
      </w:r>
    </w:p>
    <w:p>
      <w:pPr>
        <w:widowControl/>
        <w:spacing w:line="360" w:lineRule="auto"/>
        <w:ind w:firstLine="422" w:firstLineChars="200"/>
        <w:jc w:val="left"/>
        <w:rPr>
          <w:rFonts w:ascii="宋体" w:hAnsi="宋体"/>
          <w:b/>
          <w:bCs/>
        </w:rPr>
      </w:pPr>
      <w:r>
        <w:rPr>
          <w:rFonts w:hint="eastAsia" w:ascii="宋体" w:hAnsi="宋体" w:cs="宋体"/>
          <w:b/>
          <w:bCs/>
        </w:rPr>
        <w:t>（四）报价要求（</w:t>
      </w:r>
      <w:r>
        <w:rPr>
          <w:rFonts w:hint="eastAsia" w:ascii="宋体" w:hAnsi="宋体" w:cs="宋体"/>
        </w:rPr>
        <w:t>报价时需要提供以下</w:t>
      </w:r>
      <w:r>
        <w:rPr>
          <w:rFonts w:hint="eastAsia" w:ascii="宋体" w:hAnsi="宋体" w:cs="宋体"/>
          <w:b/>
          <w:u w:val="double"/>
        </w:rPr>
        <w:t>盖章</w:t>
      </w:r>
      <w:r>
        <w:rPr>
          <w:rFonts w:hint="eastAsia" w:ascii="宋体" w:hAnsi="宋体" w:cs="宋体"/>
        </w:rPr>
        <w:t>资料，并对上传的竞价文件资料承担责任</w:t>
      </w:r>
      <w:r>
        <w:rPr>
          <w:rFonts w:hint="eastAsia" w:ascii="宋体" w:hAnsi="宋体" w:cs="宋体"/>
          <w:b/>
          <w:bCs/>
        </w:rPr>
        <w:t>）</w:t>
      </w:r>
    </w:p>
    <w:p>
      <w:pPr>
        <w:pStyle w:val="36"/>
        <w:widowControl/>
        <w:spacing w:line="360" w:lineRule="auto"/>
        <w:jc w:val="left"/>
        <w:rPr>
          <w:rFonts w:ascii="宋体" w:hAnsi="宋体" w:cs="宋体"/>
        </w:rPr>
      </w:pPr>
      <w:r>
        <w:rPr>
          <w:rFonts w:hint="eastAsia" w:ascii="宋体" w:hAnsi="宋体" w:cs="宋体"/>
        </w:rPr>
        <w:t>1、通过报名供应商应根据本公告要求，在规定的竞价时间内对采购项目进行报价，同时按本公告要求完整、真实、准确地填写并上传相应报价附件（报价表）。</w:t>
      </w:r>
    </w:p>
    <w:p>
      <w:pPr>
        <w:pStyle w:val="36"/>
        <w:widowControl/>
        <w:spacing w:line="360" w:lineRule="auto"/>
        <w:jc w:val="left"/>
        <w:rPr>
          <w:rFonts w:ascii="宋体" w:hAnsi="宋体" w:cs="宋体"/>
        </w:rPr>
      </w:pPr>
      <w:r>
        <w:rPr>
          <w:rFonts w:hint="eastAsia" w:ascii="宋体" w:hAnsi="宋体" w:cs="宋体"/>
        </w:rPr>
        <w:t>2、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spacing w:line="360" w:lineRule="auto"/>
        <w:ind w:firstLine="422" w:firstLineChars="200"/>
        <w:jc w:val="left"/>
        <w:rPr>
          <w:rFonts w:ascii="宋体" w:hAnsi="宋体"/>
          <w:b/>
          <w:bCs/>
        </w:rPr>
      </w:pPr>
      <w:r>
        <w:rPr>
          <w:rFonts w:hint="eastAsia" w:ascii="宋体" w:hAnsi="宋体" w:cs="宋体"/>
          <w:b/>
          <w:bCs/>
        </w:rPr>
        <w:t>（五）确定成交候选人</w:t>
      </w:r>
    </w:p>
    <w:p>
      <w:pPr>
        <w:pStyle w:val="36"/>
        <w:widowControl/>
        <w:spacing w:line="360" w:lineRule="auto"/>
        <w:jc w:val="left"/>
        <w:rPr>
          <w:rFonts w:ascii="宋体" w:hAnsi="宋体" w:cs="宋体"/>
        </w:rPr>
      </w:pPr>
      <w:r>
        <w:rPr>
          <w:rFonts w:hint="eastAsia" w:ascii="宋体" w:hAnsi="宋体" w:cs="宋体"/>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spacing w:line="360" w:lineRule="auto"/>
        <w:ind w:firstLine="422" w:firstLineChars="200"/>
        <w:jc w:val="left"/>
        <w:rPr>
          <w:rFonts w:ascii="宋体" w:hAnsi="宋体"/>
          <w:b/>
          <w:bCs/>
        </w:rPr>
      </w:pPr>
      <w:r>
        <w:rPr>
          <w:rFonts w:hint="eastAsia" w:ascii="宋体" w:hAnsi="宋体" w:cs="宋体"/>
          <w:b/>
          <w:bCs/>
        </w:rPr>
        <w:t>（六）无效报价</w:t>
      </w:r>
    </w:p>
    <w:p>
      <w:pPr>
        <w:pStyle w:val="36"/>
        <w:spacing w:line="360" w:lineRule="auto"/>
        <w:rPr>
          <w:rFonts w:ascii="宋体" w:hAnsi="宋体" w:cs="宋体"/>
        </w:rPr>
      </w:pPr>
      <w:r>
        <w:rPr>
          <w:rFonts w:hint="eastAsia" w:ascii="宋体" w:hAnsi="宋体" w:cs="宋体"/>
        </w:rPr>
        <w:t>1、参与竞价的供应商报价超过最高限价或低于最低限价或超过项目对应产品单项最高限价的视为无效报价。</w:t>
      </w:r>
    </w:p>
    <w:p>
      <w:pPr>
        <w:widowControl/>
        <w:spacing w:line="360" w:lineRule="auto"/>
        <w:ind w:firstLine="420" w:firstLineChars="200"/>
        <w:jc w:val="left"/>
        <w:rPr>
          <w:rFonts w:ascii="宋体" w:hAnsi="宋体"/>
        </w:rPr>
      </w:pPr>
      <w:r>
        <w:rPr>
          <w:rFonts w:hint="eastAsia" w:ascii="宋体" w:hAnsi="宋体" w:cs="宋体"/>
        </w:rPr>
        <w:t>2、参与竞价的供应商须提供本项目要求的资质文件，如果不按公告规定或竞价文件要求等相关规定提供符合要求的资质文件，将被视为无效报价。</w:t>
      </w:r>
    </w:p>
    <w:p>
      <w:pPr>
        <w:widowControl/>
        <w:spacing w:line="360" w:lineRule="auto"/>
        <w:ind w:firstLine="420" w:firstLineChars="200"/>
        <w:jc w:val="left"/>
        <w:rPr>
          <w:rFonts w:ascii="宋体" w:hAnsi="宋体"/>
        </w:rPr>
      </w:pPr>
      <w:r>
        <w:rPr>
          <w:rFonts w:hint="eastAsia" w:ascii="宋体" w:hAnsi="宋体" w:cs="宋体"/>
        </w:rPr>
        <w:t>3、参与竞价的供应商须对本项目采购内容进行整体报价，任何只对其中一部分内容进行的报价都被视为无效报价。</w:t>
      </w:r>
    </w:p>
    <w:p>
      <w:pPr>
        <w:pStyle w:val="36"/>
        <w:spacing w:line="360" w:lineRule="auto"/>
        <w:rPr>
          <w:rFonts w:ascii="宋体" w:hAnsi="宋体" w:cs="宋体"/>
          <w:kern w:val="0"/>
          <w:u w:val="double"/>
        </w:rPr>
      </w:pPr>
      <w:r>
        <w:rPr>
          <w:rFonts w:hint="eastAsia" w:ascii="宋体" w:hAnsi="宋体" w:cs="宋体"/>
          <w:kern w:val="0"/>
          <w:u w:val="double"/>
        </w:rPr>
        <w:t>4、报价表以及有报价供应商落款的报价文件必须加盖报价供应商公章，否则视为无效报价。</w:t>
      </w:r>
    </w:p>
    <w:p>
      <w:pPr>
        <w:pStyle w:val="36"/>
        <w:spacing w:line="360" w:lineRule="auto"/>
        <w:rPr>
          <w:rFonts w:ascii="宋体" w:hAnsi="宋体" w:cs="宋体"/>
          <w:kern w:val="0"/>
        </w:rPr>
      </w:pPr>
      <w:r>
        <w:rPr>
          <w:rFonts w:hint="eastAsia" w:ascii="宋体" w:hAnsi="宋体" w:cs="宋体"/>
          <w:kern w:val="0"/>
        </w:rPr>
        <w:t>5、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36"/>
        <w:numPr>
          <w:ilvl w:val="0"/>
          <w:numId w:val="4"/>
        </w:numPr>
        <w:spacing w:line="360" w:lineRule="auto"/>
        <w:ind w:firstLineChars="0"/>
        <w:rPr>
          <w:rFonts w:ascii="宋体" w:hAnsi="宋体" w:cs="宋体"/>
          <w:b/>
          <w:bCs/>
          <w:kern w:val="0"/>
        </w:rPr>
      </w:pPr>
      <w:r>
        <w:rPr>
          <w:rFonts w:hint="eastAsia" w:ascii="宋体" w:hAnsi="宋体" w:cs="宋体"/>
          <w:b/>
          <w:bCs/>
          <w:kern w:val="0"/>
        </w:rPr>
        <w:t>按有关法律、法规、规章属于报价无效的。</w:t>
      </w:r>
    </w:p>
    <w:p>
      <w:pPr>
        <w:widowControl/>
        <w:shd w:val="clear" w:color="auto" w:fill="FFFFFF"/>
        <w:spacing w:line="360" w:lineRule="auto"/>
        <w:ind w:left="420"/>
        <w:jc w:val="left"/>
        <w:rPr>
          <w:rFonts w:ascii="宋体" w:hAnsi="宋体"/>
          <w:kern w:val="0"/>
        </w:rPr>
      </w:pPr>
      <w:r>
        <w:rPr>
          <w:rFonts w:hint="eastAsia" w:ascii="宋体" w:hAnsi="宋体" w:cs="宋体"/>
          <w:b/>
          <w:bCs/>
          <w:kern w:val="0"/>
        </w:rPr>
        <w:t>7、有下列情形之一的，视为串通竞价，其报价无效：</w:t>
      </w:r>
    </w:p>
    <w:p>
      <w:pPr>
        <w:widowControl/>
        <w:numPr>
          <w:ilvl w:val="2"/>
          <w:numId w:val="5"/>
        </w:numPr>
        <w:spacing w:line="360" w:lineRule="auto"/>
        <w:ind w:left="0" w:firstLine="420" w:firstLineChars="200"/>
        <w:jc w:val="left"/>
        <w:rPr>
          <w:rFonts w:ascii="宋体" w:hAnsi="宋体"/>
        </w:rPr>
      </w:pPr>
      <w:r>
        <w:rPr>
          <w:rFonts w:hint="eastAsia" w:ascii="宋体" w:hAnsi="宋体"/>
        </w:rPr>
        <w:t>存在单位负责人为同一人或存在控股、管理关系的不同单位参与同一竞价项目；</w:t>
      </w:r>
    </w:p>
    <w:p>
      <w:pPr>
        <w:widowControl/>
        <w:numPr>
          <w:ilvl w:val="2"/>
          <w:numId w:val="5"/>
        </w:numPr>
        <w:spacing w:line="360" w:lineRule="auto"/>
        <w:ind w:left="0" w:firstLine="420" w:firstLineChars="200"/>
        <w:jc w:val="left"/>
        <w:rPr>
          <w:rFonts w:ascii="宋体" w:hAnsi="宋体"/>
        </w:rPr>
      </w:pPr>
      <w:r>
        <w:rPr>
          <w:rFonts w:hint="eastAsia" w:ascii="宋体" w:hAnsi="宋体" w:cs="宋体"/>
        </w:rPr>
        <w:t>不同供应商的响应文件由同一单位或者个人编制；</w:t>
      </w:r>
    </w:p>
    <w:p>
      <w:pPr>
        <w:widowControl/>
        <w:numPr>
          <w:ilvl w:val="2"/>
          <w:numId w:val="5"/>
        </w:numPr>
        <w:spacing w:line="360" w:lineRule="auto"/>
        <w:ind w:left="0" w:firstLine="420" w:firstLineChars="200"/>
        <w:jc w:val="left"/>
        <w:rPr>
          <w:rFonts w:ascii="宋体" w:hAnsi="宋体"/>
        </w:rPr>
      </w:pPr>
      <w:r>
        <w:rPr>
          <w:rFonts w:hint="eastAsia" w:ascii="宋体" w:hAnsi="宋体" w:cs="宋体"/>
        </w:rPr>
        <w:t>不同供应商委托同一单位或者个人办理竞价事宜；</w:t>
      </w:r>
    </w:p>
    <w:p>
      <w:pPr>
        <w:widowControl/>
        <w:numPr>
          <w:ilvl w:val="2"/>
          <w:numId w:val="5"/>
        </w:numPr>
        <w:spacing w:line="360" w:lineRule="auto"/>
        <w:ind w:left="0" w:firstLine="420" w:firstLineChars="200"/>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地址参与竞价；</w:t>
      </w:r>
    </w:p>
    <w:p>
      <w:pPr>
        <w:widowControl/>
        <w:numPr>
          <w:ilvl w:val="2"/>
          <w:numId w:val="5"/>
        </w:numPr>
        <w:spacing w:line="360" w:lineRule="auto"/>
        <w:ind w:left="0" w:firstLine="420" w:firstLineChars="200"/>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5"/>
        </w:numPr>
        <w:spacing w:line="360" w:lineRule="auto"/>
        <w:ind w:left="0" w:firstLine="420" w:firstLineChars="200"/>
        <w:jc w:val="left"/>
        <w:rPr>
          <w:rFonts w:ascii="宋体" w:hAnsi="宋体"/>
        </w:rPr>
      </w:pPr>
      <w:r>
        <w:rPr>
          <w:rFonts w:hint="eastAsia" w:ascii="宋体" w:hAnsi="宋体" w:cs="宋体"/>
        </w:rPr>
        <w:t>不同供应商的响应文件异常一致或者报价呈规律性差异；</w:t>
      </w:r>
    </w:p>
    <w:p>
      <w:pPr>
        <w:widowControl/>
        <w:numPr>
          <w:ilvl w:val="2"/>
          <w:numId w:val="5"/>
        </w:numPr>
        <w:spacing w:line="360" w:lineRule="auto"/>
        <w:ind w:left="0" w:firstLine="420" w:firstLineChars="200"/>
        <w:jc w:val="left"/>
        <w:rPr>
          <w:rFonts w:ascii="宋体" w:hAnsi="宋体"/>
        </w:rPr>
      </w:pPr>
      <w:r>
        <w:rPr>
          <w:rFonts w:hint="eastAsia" w:ascii="宋体" w:hAnsi="宋体" w:cs="宋体"/>
        </w:rPr>
        <w:t>不同供应商的响应文件相互混淆；</w:t>
      </w:r>
    </w:p>
    <w:p>
      <w:pPr>
        <w:widowControl/>
        <w:numPr>
          <w:ilvl w:val="2"/>
          <w:numId w:val="5"/>
        </w:numPr>
        <w:spacing w:line="360" w:lineRule="auto"/>
        <w:ind w:left="0" w:firstLine="420" w:firstLineChars="200"/>
        <w:jc w:val="left"/>
        <w:rPr>
          <w:rFonts w:ascii="宋体" w:hAnsi="宋体"/>
        </w:rPr>
      </w:pPr>
      <w:r>
        <w:rPr>
          <w:rFonts w:hint="eastAsia" w:ascii="宋体" w:hAnsi="宋体" w:cs="宋体"/>
        </w:rPr>
        <w:t>不同供应商的平台使用费从同一单位或者个人的账户转出。</w:t>
      </w:r>
    </w:p>
    <w:p>
      <w:pPr>
        <w:widowControl/>
        <w:spacing w:line="360" w:lineRule="auto"/>
        <w:ind w:firstLine="422" w:firstLineChars="200"/>
        <w:jc w:val="left"/>
        <w:rPr>
          <w:rFonts w:ascii="宋体" w:hAnsi="宋体"/>
        </w:rPr>
      </w:pPr>
      <w:r>
        <w:rPr>
          <w:rFonts w:hint="eastAsia" w:ascii="宋体" w:hAnsi="宋体" w:cs="宋体"/>
          <w:b/>
          <w:bCs/>
        </w:rPr>
        <w:t>（七）竞价活动失败</w:t>
      </w:r>
    </w:p>
    <w:p>
      <w:pPr>
        <w:widowControl/>
        <w:spacing w:line="360" w:lineRule="auto"/>
        <w:ind w:left="200" w:firstLine="420" w:firstLineChars="200"/>
        <w:jc w:val="left"/>
        <w:rPr>
          <w:rFonts w:ascii="宋体" w:hAnsi="宋体"/>
        </w:rPr>
      </w:pPr>
      <w:r>
        <w:rPr>
          <w:rFonts w:hint="eastAsia" w:ascii="宋体" w:hAnsi="宋体" w:cs="宋体"/>
        </w:rPr>
        <w:t>1、报价供应商不足</w:t>
      </w:r>
      <w:r>
        <w:rPr>
          <w:rFonts w:ascii="宋体" w:hAnsi="宋体" w:cs="宋体"/>
        </w:rPr>
        <w:t>3</w:t>
      </w:r>
      <w:r>
        <w:rPr>
          <w:rFonts w:hint="eastAsia" w:ascii="宋体" w:hAnsi="宋体" w:cs="宋体"/>
        </w:rPr>
        <w:t>家，本次竞价活动失败；</w:t>
      </w:r>
    </w:p>
    <w:p>
      <w:pPr>
        <w:widowControl/>
        <w:spacing w:line="360" w:lineRule="auto"/>
        <w:ind w:left="200" w:firstLine="420" w:firstLineChars="200"/>
        <w:jc w:val="left"/>
        <w:rPr>
          <w:rFonts w:ascii="宋体" w:hAnsi="宋体" w:cs="宋体"/>
        </w:rPr>
      </w:pPr>
      <w:r>
        <w:rPr>
          <w:rFonts w:hint="eastAsia" w:ascii="宋体" w:hAnsi="宋体" w:cs="宋体"/>
        </w:rPr>
        <w:t>2、出现影响采购公正的违法、违规行为的；</w:t>
      </w:r>
    </w:p>
    <w:p>
      <w:pPr>
        <w:widowControl/>
        <w:spacing w:line="360" w:lineRule="auto"/>
        <w:ind w:left="200" w:firstLine="420" w:firstLineChars="200"/>
        <w:jc w:val="left"/>
        <w:rPr>
          <w:rFonts w:ascii="宋体" w:hAnsi="宋体" w:cs="宋体"/>
        </w:rPr>
      </w:pPr>
      <w:r>
        <w:rPr>
          <w:rFonts w:hint="eastAsia" w:ascii="宋体" w:hAnsi="宋体" w:cs="宋体"/>
        </w:rPr>
        <w:t>3、因重大变故，采购任务取消的。</w:t>
      </w:r>
    </w:p>
    <w:p>
      <w:pPr>
        <w:widowControl/>
        <w:spacing w:line="360" w:lineRule="auto"/>
        <w:ind w:firstLine="422" w:firstLineChars="200"/>
        <w:jc w:val="left"/>
        <w:rPr>
          <w:rFonts w:ascii="宋体" w:hAnsi="宋体"/>
          <w:b/>
          <w:bCs/>
        </w:rPr>
      </w:pPr>
      <w:r>
        <w:rPr>
          <w:rFonts w:hint="eastAsia" w:ascii="宋体" w:hAnsi="宋体" w:cs="宋体"/>
          <w:b/>
          <w:bCs/>
        </w:rPr>
        <w:t>（八）使用费</w:t>
      </w:r>
    </w:p>
    <w:p>
      <w:pPr>
        <w:widowControl/>
        <w:spacing w:line="360" w:lineRule="auto"/>
        <w:ind w:firstLine="630" w:firstLineChars="300"/>
        <w:jc w:val="left"/>
        <w:rPr>
          <w:rFonts w:ascii="宋体" w:hAnsi="宋体" w:cs="宋体"/>
        </w:rPr>
      </w:pPr>
      <w:r>
        <w:rPr>
          <w:rFonts w:hint="eastAsia" w:ascii="宋体" w:hAnsi="宋体" w:cs="宋体"/>
        </w:rPr>
        <w:t>1、成交供应商须向平台服务商</w:t>
      </w:r>
      <w:r>
        <w:rPr>
          <w:rFonts w:hint="eastAsia" w:ascii="宋体" w:hAnsi="宋体"/>
          <w:kern w:val="0"/>
        </w:rPr>
        <w:t>云采链线上采购一体化平台</w:t>
      </w:r>
      <w:r>
        <w:rPr>
          <w:rFonts w:hint="eastAsia" w:ascii="宋体" w:hAnsi="宋体" w:cs="宋体"/>
        </w:rPr>
        <w:t>缴纳平台使用费，金额为成交金额的1.5%（四舍五入取整数）。</w:t>
      </w:r>
    </w:p>
    <w:p>
      <w:pPr>
        <w:widowControl/>
        <w:spacing w:line="360" w:lineRule="auto"/>
        <w:ind w:firstLine="630" w:firstLineChars="300"/>
        <w:jc w:val="left"/>
        <w:rPr>
          <w:rFonts w:ascii="宋体" w:hAnsi="宋体" w:cs="宋体"/>
        </w:rPr>
      </w:pPr>
      <w:r>
        <w:rPr>
          <w:rFonts w:hint="eastAsia" w:ascii="宋体" w:hAnsi="宋体" w:cs="宋体"/>
        </w:rPr>
        <w:t>2、成交供应商无正当理由放弃成交资格的必须按竞价公告等相关规定缴纳相应的平台使用费。</w:t>
      </w:r>
    </w:p>
    <w:p>
      <w:pPr>
        <w:widowControl/>
        <w:spacing w:line="360" w:lineRule="auto"/>
        <w:ind w:firstLine="630" w:firstLineChars="300"/>
        <w:jc w:val="left"/>
        <w:rPr>
          <w:rFonts w:ascii="宋体" w:hAnsi="宋体" w:cs="宋体"/>
        </w:rPr>
      </w:pPr>
      <w:r>
        <w:rPr>
          <w:rFonts w:hint="eastAsia" w:ascii="宋体" w:hAnsi="宋体" w:cs="宋体"/>
        </w:rPr>
        <w:t>3、如确实因不可抗力放弃成交资格的，应在不可抗力发生后三个工作日内予以通知采购代理机构并提供相关的证明；如逾期，采购代理机构不予退还平台使用费。</w:t>
      </w:r>
    </w:p>
    <w:p>
      <w:pPr>
        <w:widowControl/>
        <w:spacing w:line="360" w:lineRule="auto"/>
        <w:ind w:firstLine="422" w:firstLineChars="200"/>
        <w:jc w:val="left"/>
        <w:rPr>
          <w:rFonts w:ascii="宋体" w:hAnsi="宋体"/>
          <w:b/>
          <w:bCs/>
        </w:rPr>
      </w:pPr>
      <w:r>
        <w:rPr>
          <w:rFonts w:hint="eastAsia" w:ascii="宋体" w:hAnsi="宋体" w:cs="宋体"/>
          <w:b/>
          <w:bCs/>
        </w:rPr>
        <w:t>（九）联系方式</w:t>
      </w:r>
    </w:p>
    <w:p>
      <w:pPr>
        <w:widowControl/>
        <w:spacing w:line="360" w:lineRule="auto"/>
        <w:ind w:firstLine="420" w:firstLineChars="200"/>
        <w:jc w:val="left"/>
        <w:rPr>
          <w:rFonts w:ascii="宋体" w:hAnsi="宋体"/>
        </w:rPr>
      </w:pPr>
      <w:r>
        <w:rPr>
          <w:rFonts w:hint="eastAsia" w:ascii="宋体" w:hAnsi="宋体" w:cs="宋体"/>
        </w:rPr>
        <w:t>扫码关注微信公众号</w:t>
      </w:r>
      <w:r>
        <w:rPr>
          <w:rFonts w:ascii="宋体" w:hAnsi="宋体"/>
        </w:rPr>
        <w:t>“</w:t>
      </w:r>
      <w:r>
        <w:rPr>
          <w:rFonts w:hint="eastAsia" w:ascii="宋体" w:hAnsi="宋体" w:cs="宋体"/>
        </w:rPr>
        <w:t>云采链互联服务平台</w:t>
      </w:r>
      <w:r>
        <w:rPr>
          <w:rFonts w:ascii="宋体" w:hAnsi="宋体"/>
        </w:rPr>
        <w:t>”</w:t>
      </w:r>
      <w:r>
        <w:rPr>
          <w:rFonts w:hint="eastAsia" w:ascii="宋体" w:hAnsi="宋体" w:cs="宋体"/>
        </w:rPr>
        <w:t>，即可在线咨询相关事项。</w:t>
      </w:r>
    </w:p>
    <w:p>
      <w:pPr>
        <w:widowControl/>
        <w:spacing w:line="360" w:lineRule="auto"/>
        <w:ind w:left="420"/>
        <w:jc w:val="center"/>
        <w:rPr>
          <w:b/>
          <w:bCs/>
          <w:sz w:val="28"/>
          <w:szCs w:val="28"/>
        </w:rPr>
      </w:pPr>
      <w:r>
        <w:rPr>
          <w:rFonts w:ascii="宋体"/>
        </w:rPr>
        <w:drawing>
          <wp:inline distT="0" distB="0" distL="0" distR="0">
            <wp:extent cx="1647825" cy="1647825"/>
            <wp:effectExtent l="0" t="0" r="9525" b="9525"/>
            <wp:docPr id="20"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QR 代码&#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widowControl/>
        <w:jc w:val="left"/>
        <w:rPr>
          <w:rFonts w:cs="宋体"/>
          <w:b/>
          <w:bCs/>
          <w:sz w:val="28"/>
          <w:szCs w:val="28"/>
        </w:rPr>
      </w:pPr>
      <w:r>
        <w:rPr>
          <w:rFonts w:cs="宋体"/>
          <w:b/>
          <w:bCs/>
          <w:sz w:val="28"/>
          <w:szCs w:val="28"/>
        </w:rPr>
        <w:br w:type="page"/>
      </w:r>
    </w:p>
    <w:p>
      <w:pPr>
        <w:snapToGrid w:val="0"/>
        <w:spacing w:line="360" w:lineRule="auto"/>
        <w:jc w:val="center"/>
        <w:outlineLvl w:val="0"/>
        <w:rPr>
          <w:sz w:val="32"/>
          <w:szCs w:val="32"/>
        </w:rPr>
      </w:pPr>
      <w:r>
        <w:rPr>
          <w:rFonts w:hint="eastAsia" w:cs="宋体"/>
          <w:b/>
          <w:bCs/>
          <w:sz w:val="32"/>
          <w:szCs w:val="32"/>
        </w:rPr>
        <w:t>第二章</w:t>
      </w:r>
      <w:r>
        <w:rPr>
          <w:b/>
          <w:bCs/>
          <w:sz w:val="32"/>
          <w:szCs w:val="32"/>
        </w:rPr>
        <w:t xml:space="preserve">  </w:t>
      </w:r>
      <w:r>
        <w:rPr>
          <w:rFonts w:hint="eastAsia" w:cs="宋体"/>
          <w:b/>
          <w:bCs/>
          <w:sz w:val="32"/>
          <w:szCs w:val="32"/>
        </w:rPr>
        <w:t>用户需求书</w:t>
      </w:r>
    </w:p>
    <w:bookmarkEnd w:id="0"/>
    <w:bookmarkEnd w:id="1"/>
    <w:p>
      <w:pPr>
        <w:snapToGrid w:val="0"/>
        <w:spacing w:line="360" w:lineRule="auto"/>
        <w:ind w:firstLine="422" w:firstLineChars="200"/>
        <w:rPr>
          <w:rFonts w:ascii="宋体" w:hAnsi="宋体" w:cs="宋体"/>
          <w:b/>
          <w:bCs/>
        </w:rPr>
      </w:pPr>
      <w:r>
        <w:rPr>
          <w:rFonts w:hint="eastAsia" w:ascii="宋体" w:hAnsi="宋体" w:cs="宋体"/>
          <w:b/>
          <w:bCs/>
        </w:rPr>
        <w:t>说明：响应供应商须对本项目进行整体响应，任何只对其中一部分进行的响应都被视为无效响应。</w:t>
      </w:r>
      <w:r>
        <w:rPr>
          <w:rFonts w:ascii="宋体" w:hAnsi="宋体" w:cs="宋体"/>
          <w:b/>
          <w:bCs/>
        </w:rPr>
        <w:t xml:space="preserve"> </w:t>
      </w:r>
    </w:p>
    <w:p>
      <w:pPr>
        <w:pStyle w:val="13"/>
        <w:tabs>
          <w:tab w:val="left" w:pos="540"/>
        </w:tabs>
        <w:adjustRightInd w:val="0"/>
        <w:snapToGrid w:val="0"/>
        <w:spacing w:line="360" w:lineRule="auto"/>
        <w:ind w:firstLine="422" w:firstLineChars="200"/>
        <w:rPr>
          <w:rFonts w:hAnsi="宋体" w:cs="Times New Roman"/>
          <w:b/>
          <w:bCs/>
        </w:rPr>
      </w:pPr>
      <w:r>
        <w:rPr>
          <w:rFonts w:hint="eastAsia" w:hAnsi="宋体"/>
          <w:b/>
          <w:bCs/>
        </w:rPr>
        <w:t>一、项目一览表</w:t>
      </w:r>
    </w:p>
    <w:tbl>
      <w:tblPr>
        <w:tblStyle w:val="22"/>
        <w:tblW w:w="1079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4067"/>
        <w:gridCol w:w="709"/>
        <w:gridCol w:w="891"/>
        <w:gridCol w:w="3338"/>
        <w:gridCol w:w="17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29" w:hRule="atLeast"/>
          <w:jc w:val="center"/>
        </w:trPr>
        <w:tc>
          <w:tcPr>
            <w:tcW w:w="4067" w:type="dxa"/>
            <w:shd w:val="clear" w:color="auto" w:fill="EEECE1"/>
            <w:vAlign w:val="center"/>
          </w:tcPr>
          <w:p>
            <w:pPr>
              <w:spacing w:line="360" w:lineRule="auto"/>
              <w:jc w:val="center"/>
              <w:rPr>
                <w:rFonts w:ascii="宋体" w:hAnsi="宋体"/>
                <w:b/>
                <w:bCs/>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采购内容</w:t>
            </w:r>
          </w:p>
        </w:tc>
        <w:tc>
          <w:tcPr>
            <w:tcW w:w="709" w:type="dxa"/>
            <w:shd w:val="clear" w:color="auto" w:fill="EEECE1"/>
            <w:vAlign w:val="center"/>
          </w:tcPr>
          <w:p>
            <w:pPr>
              <w:spacing w:line="360" w:lineRule="auto"/>
              <w:jc w:val="center"/>
              <w:rPr>
                <w:rFonts w:ascii="宋体" w:hAnsi="宋体"/>
                <w:b/>
                <w:bCs/>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数量</w:t>
            </w:r>
          </w:p>
        </w:tc>
        <w:tc>
          <w:tcPr>
            <w:tcW w:w="891" w:type="dxa"/>
            <w:tcBorders>
              <w:top w:val="single" w:color="auto" w:sz="12" w:space="0"/>
            </w:tcBorders>
            <w:shd w:val="clear" w:color="auto" w:fill="EEECE1"/>
            <w:vAlign w:val="center"/>
          </w:tcPr>
          <w:p>
            <w:pPr>
              <w:spacing w:line="360" w:lineRule="auto"/>
              <w:jc w:val="center"/>
              <w:rPr>
                <w:rFonts w:ascii="宋体" w:hAnsi="宋体"/>
                <w:b/>
                <w:bCs/>
                <w:color w:val="000000" w:themeColor="text1"/>
                <w14:textFill>
                  <w14:solidFill>
                    <w14:schemeClr w14:val="tx1"/>
                  </w14:solidFill>
                </w14:textFill>
              </w:rPr>
            </w:pPr>
            <w:r>
              <w:rPr>
                <w:rFonts w:hint="eastAsia" w:ascii="宋体" w:hAnsi="宋体" w:cs="宋体"/>
                <w:b/>
                <w:bCs/>
                <w:color w:val="000000"/>
                <w:kern w:val="0"/>
                <w:szCs w:val="21"/>
              </w:rPr>
              <w:t>单位</w:t>
            </w:r>
          </w:p>
        </w:tc>
        <w:tc>
          <w:tcPr>
            <w:tcW w:w="3338" w:type="dxa"/>
            <w:tcBorders>
              <w:top w:val="single" w:color="auto" w:sz="12" w:space="0"/>
            </w:tcBorders>
            <w:shd w:val="clear" w:color="auto" w:fill="EEECE1"/>
            <w:vAlign w:val="center"/>
          </w:tcPr>
          <w:p>
            <w:pPr>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交付时间</w:t>
            </w:r>
          </w:p>
        </w:tc>
        <w:tc>
          <w:tcPr>
            <w:tcW w:w="1789" w:type="dxa"/>
            <w:tcBorders>
              <w:top w:val="single" w:color="auto" w:sz="12" w:space="0"/>
            </w:tcBorders>
            <w:shd w:val="clear" w:color="auto" w:fill="EEECE1"/>
            <w:vAlign w:val="center"/>
          </w:tcPr>
          <w:p>
            <w:pPr>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71" w:hRule="atLeast"/>
          <w:jc w:val="center"/>
        </w:trPr>
        <w:tc>
          <w:tcPr>
            <w:tcW w:w="4067" w:type="dxa"/>
            <w:vAlign w:val="center"/>
          </w:tcPr>
          <w:p>
            <w:pPr>
              <w:spacing w:line="360" w:lineRule="auto"/>
              <w:jc w:val="center"/>
              <w:rPr>
                <w:rFonts w:hint="eastAsia" w:ascii="宋体" w:hAnsi="宋体" w:eastAsia="宋体" w:cstheme="minorEastAsia"/>
                <w:bCs/>
                <w:color w:val="000000" w:themeColor="text1"/>
                <w:lang w:eastAsia="zh-CN"/>
                <w14:textFill>
                  <w14:solidFill>
                    <w14:schemeClr w14:val="tx1"/>
                  </w14:solidFill>
                </w14:textFill>
              </w:rPr>
            </w:pPr>
            <w:r>
              <w:rPr>
                <w:rFonts w:hint="eastAsia" w:ascii="宋体" w:hAnsi="宋体" w:cstheme="minorEastAsia"/>
                <w:bCs/>
                <w:color w:val="000000" w:themeColor="text1"/>
                <w:lang w:eastAsia="zh-CN"/>
                <w14:textFill>
                  <w14:solidFill>
                    <w14:schemeClr w14:val="tx1"/>
                  </w14:solidFill>
                </w14:textFill>
              </w:rPr>
              <w:t>佛山市顺德区疾病预防控制中心采购试剂一批项目</w:t>
            </w:r>
          </w:p>
        </w:tc>
        <w:tc>
          <w:tcPr>
            <w:tcW w:w="709" w:type="dxa"/>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stheme="minorEastAsia"/>
                <w:bCs/>
                <w:color w:val="000000" w:themeColor="text1"/>
                <w14:textFill>
                  <w14:solidFill>
                    <w14:schemeClr w14:val="tx1"/>
                  </w14:solidFill>
                </w14:textFill>
              </w:rPr>
              <w:t>1</w:t>
            </w:r>
          </w:p>
        </w:tc>
        <w:tc>
          <w:tcPr>
            <w:tcW w:w="891" w:type="dxa"/>
            <w:vAlign w:val="center"/>
          </w:tcPr>
          <w:p>
            <w:pPr>
              <w:pStyle w:val="34"/>
              <w:spacing w:before="0" w:after="0" w:line="360" w:lineRule="auto"/>
              <w:ind w:right="-82" w:rightChars="-39" w:hanging="54"/>
              <w:rPr>
                <w:rFonts w:hint="eastAsia" w:ascii="宋体" w:hAnsi="宋体" w:eastAsia="宋体"/>
                <w:color w:val="000000" w:themeColor="text1"/>
                <w:spacing w:val="0"/>
                <w:kern w:val="2"/>
                <w:sz w:val="21"/>
                <w:szCs w:val="21"/>
                <w:lang w:val="en-US" w:eastAsia="zh-CN"/>
                <w14:textFill>
                  <w14:solidFill>
                    <w14:schemeClr w14:val="tx1"/>
                  </w14:solidFill>
                </w14:textFill>
              </w:rPr>
            </w:pPr>
            <w:r>
              <w:rPr>
                <w:rFonts w:hint="eastAsia" w:ascii="宋体" w:hAnsi="宋体"/>
                <w:color w:val="000000" w:themeColor="text1"/>
                <w:spacing w:val="0"/>
                <w:kern w:val="2"/>
                <w:sz w:val="21"/>
                <w:szCs w:val="21"/>
                <w:lang w:val="en-US" w:eastAsia="zh-CN"/>
                <w14:textFill>
                  <w14:solidFill>
                    <w14:schemeClr w14:val="tx1"/>
                  </w14:solidFill>
                </w14:textFill>
              </w:rPr>
              <w:t>批</w:t>
            </w:r>
          </w:p>
        </w:tc>
        <w:tc>
          <w:tcPr>
            <w:tcW w:w="3338" w:type="dxa"/>
            <w:vAlign w:val="center"/>
          </w:tcPr>
          <w:p>
            <w:pPr>
              <w:pStyle w:val="34"/>
              <w:spacing w:before="0" w:after="0" w:line="360" w:lineRule="auto"/>
              <w:ind w:right="-82" w:rightChars="-39" w:hanging="54"/>
              <w:rPr>
                <w:rFonts w:ascii="宋体" w:hAnsi="宋体"/>
                <w:color w:val="000000" w:themeColor="text1"/>
                <w:spacing w:val="0"/>
                <w:kern w:val="2"/>
                <w:sz w:val="21"/>
                <w:szCs w:val="21"/>
                <w14:textFill>
                  <w14:solidFill>
                    <w14:schemeClr w14:val="tx1"/>
                  </w14:solidFill>
                </w14:textFill>
              </w:rPr>
            </w:pPr>
            <w:r>
              <w:rPr>
                <w:rFonts w:hint="eastAsia" w:ascii="宋体" w:hAnsi="宋体"/>
                <w:color w:val="000000" w:themeColor="text1"/>
                <w:spacing w:val="0"/>
                <w:kern w:val="2"/>
                <w:sz w:val="21"/>
                <w:szCs w:val="21"/>
                <w14:textFill>
                  <w14:solidFill>
                    <w14:schemeClr w14:val="tx1"/>
                  </w14:solidFill>
                </w14:textFill>
              </w:rPr>
              <w:t>2024年</w:t>
            </w:r>
            <w:r>
              <w:rPr>
                <w:rFonts w:hint="eastAsia" w:ascii="宋体" w:hAnsi="宋体"/>
                <w:color w:val="000000" w:themeColor="text1"/>
                <w:spacing w:val="0"/>
                <w:kern w:val="2"/>
                <w:sz w:val="21"/>
                <w:szCs w:val="21"/>
                <w:lang w:val="en-US" w:eastAsia="zh-CN"/>
                <w14:textFill>
                  <w14:solidFill>
                    <w14:schemeClr w14:val="tx1"/>
                  </w14:solidFill>
                </w14:textFill>
              </w:rPr>
              <w:t>6</w:t>
            </w:r>
            <w:r>
              <w:rPr>
                <w:rFonts w:hint="eastAsia" w:ascii="宋体" w:hAnsi="宋体"/>
                <w:color w:val="000000" w:themeColor="text1"/>
                <w:spacing w:val="0"/>
                <w:kern w:val="2"/>
                <w:sz w:val="21"/>
                <w:szCs w:val="21"/>
                <w14:textFill>
                  <w14:solidFill>
                    <w14:schemeClr w14:val="tx1"/>
                  </w14:solidFill>
                </w14:textFill>
              </w:rPr>
              <w:t>月</w:t>
            </w:r>
            <w:r>
              <w:rPr>
                <w:rFonts w:hint="eastAsia" w:ascii="宋体" w:hAnsi="宋体"/>
                <w:color w:val="000000" w:themeColor="text1"/>
                <w:spacing w:val="0"/>
                <w:kern w:val="2"/>
                <w:sz w:val="21"/>
                <w:szCs w:val="21"/>
                <w:lang w:val="en-US" w:eastAsia="zh-CN"/>
                <w14:textFill>
                  <w14:solidFill>
                    <w14:schemeClr w14:val="tx1"/>
                  </w14:solidFill>
                </w14:textFill>
              </w:rPr>
              <w:t>25</w:t>
            </w:r>
            <w:r>
              <w:rPr>
                <w:rFonts w:hint="eastAsia" w:ascii="宋体" w:hAnsi="宋体"/>
                <w:color w:val="000000" w:themeColor="text1"/>
                <w:spacing w:val="0"/>
                <w:kern w:val="2"/>
                <w:sz w:val="21"/>
                <w:szCs w:val="21"/>
                <w14:textFill>
                  <w14:solidFill>
                    <w14:schemeClr w14:val="tx1"/>
                  </w14:solidFill>
                </w14:textFill>
              </w:rPr>
              <w:t>日</w:t>
            </w:r>
          </w:p>
        </w:tc>
        <w:tc>
          <w:tcPr>
            <w:tcW w:w="1789" w:type="dxa"/>
            <w:vAlign w:val="center"/>
          </w:tcPr>
          <w:p>
            <w:pPr>
              <w:pStyle w:val="34"/>
              <w:spacing w:before="0" w:after="0" w:line="360" w:lineRule="auto"/>
              <w:ind w:right="-82" w:rightChars="-39" w:hanging="54"/>
              <w:rPr>
                <w:rFonts w:ascii="宋体" w:hAnsi="宋体"/>
                <w:color w:val="000000" w:themeColor="text1"/>
                <w:spacing w:val="0"/>
                <w:kern w:val="2"/>
                <w:sz w:val="21"/>
                <w:szCs w:val="21"/>
                <w14:textFill>
                  <w14:solidFill>
                    <w14:schemeClr w14:val="tx1"/>
                  </w14:solidFill>
                </w14:textFill>
              </w:rPr>
            </w:pPr>
            <w:r>
              <w:rPr>
                <w:rFonts w:hint="eastAsia" w:ascii="宋体" w:hAnsi="宋体"/>
                <w:color w:val="000000" w:themeColor="text1"/>
                <w:spacing w:val="0"/>
                <w:kern w:val="2"/>
                <w:sz w:val="21"/>
                <w:szCs w:val="21"/>
                <w14:textFill>
                  <w14:solidFill>
                    <w14:schemeClr w14:val="tx1"/>
                  </w14:solidFill>
                </w14:textFill>
              </w:rPr>
              <w:t>人民币</w:t>
            </w:r>
            <w:r>
              <w:rPr>
                <w:rFonts w:hint="eastAsia" w:ascii="宋体" w:hAnsi="宋体"/>
                <w:color w:val="000000" w:themeColor="text1"/>
                <w:spacing w:val="0"/>
                <w:kern w:val="2"/>
                <w:sz w:val="21"/>
                <w:szCs w:val="21"/>
                <w:lang w:eastAsia="zh-CN"/>
                <w14:textFill>
                  <w14:solidFill>
                    <w14:schemeClr w14:val="tx1"/>
                  </w14:solidFill>
                </w14:textFill>
              </w:rPr>
              <w:t>260240</w:t>
            </w:r>
            <w:r>
              <w:rPr>
                <w:rFonts w:hint="eastAsia" w:ascii="宋体" w:hAnsi="宋体"/>
                <w:color w:val="000000" w:themeColor="text1"/>
                <w:spacing w:val="0"/>
                <w:kern w:val="2"/>
                <w:sz w:val="21"/>
                <w:szCs w:val="21"/>
                <w14:textFill>
                  <w14:solidFill>
                    <w14:schemeClr w14:val="tx1"/>
                  </w14:solidFill>
                </w14:textFill>
              </w:rPr>
              <w:t>元</w:t>
            </w:r>
          </w:p>
        </w:tc>
      </w:tr>
    </w:tbl>
    <w:p>
      <w:pPr>
        <w:pStyle w:val="13"/>
        <w:numPr>
          <w:ilvl w:val="0"/>
          <w:numId w:val="6"/>
        </w:numPr>
        <w:tabs>
          <w:tab w:val="left" w:pos="540"/>
        </w:tabs>
        <w:adjustRightInd w:val="0"/>
        <w:snapToGrid w:val="0"/>
        <w:spacing w:line="360" w:lineRule="auto"/>
        <w:ind w:firstLine="422" w:firstLineChars="200"/>
        <w:rPr>
          <w:rFonts w:hint="eastAsia" w:hAnsi="宋体"/>
          <w:b/>
          <w:bCs/>
          <w:color w:val="000000" w:themeColor="text1"/>
          <w:lang w:val="en-US" w:eastAsia="zh-CN"/>
          <w14:textFill>
            <w14:solidFill>
              <w14:schemeClr w14:val="tx1"/>
            </w14:solidFill>
          </w14:textFill>
        </w:rPr>
      </w:pPr>
      <w:r>
        <w:rPr>
          <w:rFonts w:hint="eastAsia" w:hAnsi="宋体"/>
          <w:b/>
          <w:bCs/>
          <w:color w:val="000000" w:themeColor="text1"/>
          <w:lang w:val="en-US" w:eastAsia="zh-CN"/>
          <w14:textFill>
            <w14:solidFill>
              <w14:schemeClr w14:val="tx1"/>
            </w14:solidFill>
          </w14:textFill>
        </w:rPr>
        <w:t>采购内容及要求（生产日期近两个月内）</w:t>
      </w:r>
    </w:p>
    <w:tbl>
      <w:tblPr>
        <w:tblStyle w:val="22"/>
        <w:tblW w:w="10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534"/>
        <w:gridCol w:w="865"/>
        <w:gridCol w:w="672"/>
        <w:gridCol w:w="504"/>
        <w:gridCol w:w="484"/>
        <w:gridCol w:w="945"/>
        <w:gridCol w:w="917"/>
        <w:gridCol w:w="4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物料名称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品牌</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限价（元）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小计限价（元）</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百日咳杆菌核酸检测试剂盒（荧光PCR法）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生凌</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预混大单管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发热伴血小板减少综合征（布尼亚病毒）核酸检测试剂盒</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生凌</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预混大单管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疟原虫通用核酸检测试剂盒（荧光PCR法）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伯杰</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百日咳杆菌和副百日咳杆菌核酸检测试剂盒（荧光PCR法）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50T/盒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生凌</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预混大单管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恶性/间日/卵形/三日疟原虫核酸检测试剂盒（四重荧光PCR法）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伯杰</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肠道病毒（通用型/EV71/CA16/CA6/CA10）五重核酸检测试剂盒（PCR荧光探针法）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澳东</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优先预混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疟原虫（疟原虫属、恶性疟原虫、间日疟原虫、卵形疟原虫、三日疟原虫）核酸检测试剂盒（荧光PCR法）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生凌</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预混大单管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8种虫媒类病原体多重核酸检测（B管）液体全分装试剂盒</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生凌</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【检测目标：登革热病毒、基孔肯雅热病毒、寨卡病毒、乙型脑炎病毒、黄热病毒、西尼罗河病毒、辛德毕斯病毒、疟原虫 】尽量要预混大单管，不要预分装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十七种呼吸道病原体核酸检测试剂盒-G版(荧光PCR法)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伯杰</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anchor distT="0" distB="0" distL="114300" distR="114300" simplePos="0" relativeHeight="251659264" behindDoc="0" locked="0" layoutInCell="1" allowOverlap="1">
                  <wp:simplePos x="0" y="0"/>
                  <wp:positionH relativeFrom="column">
                    <wp:posOffset>-45720</wp:posOffset>
                  </wp:positionH>
                  <wp:positionV relativeFrom="paragraph">
                    <wp:posOffset>623570</wp:posOffset>
                  </wp:positionV>
                  <wp:extent cx="2693035" cy="1437005"/>
                  <wp:effectExtent l="0" t="0" r="12065" b="10795"/>
                  <wp:wrapNone/>
                  <wp:docPr id="14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 name="图片 1"/>
                          <pic:cNvPicPr>
                            <a:picLocks noChangeAspect="1"/>
                          </pic:cNvPicPr>
                        </pic:nvPicPr>
                        <pic:blipFill>
                          <a:blip r:embed="rId7"/>
                          <a:stretch>
                            <a:fillRect/>
                          </a:stretch>
                        </pic:blipFill>
                        <pic:spPr>
                          <a:xfrm>
                            <a:off x="0" y="0"/>
                            <a:ext cx="2693035" cy="1437005"/>
                          </a:xfrm>
                          <a:prstGeom prst="rect">
                            <a:avLst/>
                          </a:prstGeom>
                          <a:noFill/>
                          <a:ln w="9525">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不要预分装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10ul移液器带滤芯灭菌吸头</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96支/盒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300uL一次性已灭菌带滤芯吸头</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96头/盒，10盒/箱</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1000ul移液器带滤芯吸头</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96支/盒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冻存管</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  50个/包 10包/箱</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预分装磁珠法病毒总核酸提取试剂盒</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美基5412</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PCR扩增仪96孔反应板</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0.1ml，20 plates</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星状病毒核酸检测试剂盒</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硕世</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人腺病毒核酸检测试剂盒</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硕世</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肠道病毒CA6/CA10核酸检测试剂盒</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伯杰</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柯萨奇病毒A16型和肠道病毒71型+肠道病毒通用型核酸检测试剂盒(2+1)(荧光PCR法)</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伯杰</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13"/>
        <w:tabs>
          <w:tab w:val="left" w:pos="540"/>
        </w:tabs>
        <w:adjustRightInd w:val="0"/>
        <w:snapToGrid w:val="0"/>
        <w:spacing w:line="360" w:lineRule="auto"/>
        <w:ind w:firstLine="422" w:firstLineChars="200"/>
        <w:rPr>
          <w:rFonts w:hAnsi="宋体"/>
          <w:b/>
          <w:bCs/>
          <w:color w:val="000000" w:themeColor="text1"/>
          <w14:textFill>
            <w14:solidFill>
              <w14:schemeClr w14:val="tx1"/>
            </w14:solidFill>
          </w14:textFill>
        </w:rPr>
      </w:pPr>
      <w:r>
        <w:rPr>
          <w:rFonts w:hint="eastAsia" w:hAnsi="宋体"/>
          <w:b/>
          <w:bCs/>
          <w:color w:val="000000" w:themeColor="text1"/>
          <w:lang w:val="en-US" w:eastAsia="zh-CN"/>
          <w14:textFill>
            <w14:solidFill>
              <w14:schemeClr w14:val="tx1"/>
            </w14:solidFill>
          </w14:textFill>
        </w:rPr>
        <w:t>三</w:t>
      </w:r>
      <w:r>
        <w:rPr>
          <w:rFonts w:hint="eastAsia" w:hAnsi="宋体"/>
          <w:b/>
          <w:bCs/>
          <w:color w:val="000000" w:themeColor="text1"/>
          <w14:textFill>
            <w14:solidFill>
              <w14:schemeClr w14:val="tx1"/>
            </w14:solidFill>
          </w14:textFill>
        </w:rPr>
        <w:t>、商务要求：</w:t>
      </w:r>
    </w:p>
    <w:p>
      <w:pPr>
        <w:pStyle w:val="13"/>
        <w:numPr>
          <w:ilvl w:val="0"/>
          <w:numId w:val="7"/>
        </w:numPr>
        <w:tabs>
          <w:tab w:val="left" w:pos="540"/>
        </w:tabs>
        <w:adjustRightInd w:val="0"/>
        <w:snapToGrid w:val="0"/>
        <w:spacing w:line="360" w:lineRule="auto"/>
      </w:pPr>
      <w:r>
        <w:rPr>
          <w:rFonts w:hint="eastAsia"/>
          <w:b/>
        </w:rPr>
        <w:t>质保期及售后服务要求</w:t>
      </w:r>
    </w:p>
    <w:p>
      <w:pPr>
        <w:pStyle w:val="13"/>
        <w:numPr>
          <w:ilvl w:val="0"/>
          <w:numId w:val="8"/>
        </w:numPr>
        <w:tabs>
          <w:tab w:val="left" w:pos="2340"/>
        </w:tabs>
        <w:adjustRightInd w:val="0"/>
        <w:snapToGrid w:val="0"/>
        <w:spacing w:line="360" w:lineRule="auto"/>
      </w:pPr>
      <w:r>
        <w:rPr>
          <w:rFonts w:hint="eastAsia"/>
        </w:rPr>
        <w:t>质保期内成交供应商对所供货物实行包修、包换、包退、包维护保养。</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质保期内，如设备或零部件因非人为因素出现故障而造成短期停用时，则质保期和免费维修期相应顺延。如停用时间累计超过60天则质保期重新计算。</w:t>
      </w:r>
    </w:p>
    <w:p>
      <w:pPr>
        <w:numPr>
          <w:ilvl w:val="0"/>
          <w:numId w:val="8"/>
        </w:numPr>
        <w:autoSpaceDE w:val="0"/>
        <w:autoSpaceDN w:val="0"/>
        <w:adjustRightInd w:val="0"/>
        <w:snapToGrid w:val="0"/>
        <w:spacing w:line="360" w:lineRule="auto"/>
        <w:rPr>
          <w:rFonts w:ascii="宋体" w:hAnsi="宋体" w:cs="宋体"/>
          <w:szCs w:val="21"/>
        </w:rPr>
      </w:pPr>
      <w:r>
        <w:rPr>
          <w:rFonts w:hint="eastAsia" w:ascii="宋体" w:hAnsi="宋体" w:cs="宋体"/>
          <w:szCs w:val="21"/>
        </w:rPr>
        <w:t>对采购人的服务通知，成交供应商在接报后1小时内响应，4小时内到达现场，48小时内处理完毕。若在48小时内仍未能有效解决，成交供应商须免费提供同档次的设备予采购人临时使用。</w:t>
      </w:r>
    </w:p>
    <w:p>
      <w:pPr>
        <w:pStyle w:val="13"/>
        <w:numPr>
          <w:ilvl w:val="0"/>
          <w:numId w:val="7"/>
        </w:numPr>
        <w:tabs>
          <w:tab w:val="left" w:pos="540"/>
        </w:tabs>
        <w:adjustRightInd w:val="0"/>
        <w:snapToGrid w:val="0"/>
        <w:spacing w:line="360" w:lineRule="auto"/>
        <w:rPr>
          <w:rFonts w:hAnsi="宋体"/>
          <w:b/>
        </w:rPr>
      </w:pPr>
      <w:r>
        <w:rPr>
          <w:rFonts w:hint="eastAsia" w:hAnsi="宋体"/>
          <w:b/>
        </w:rPr>
        <w:t>包装、保险及发运、保管要求</w:t>
      </w:r>
    </w:p>
    <w:p>
      <w:pPr>
        <w:numPr>
          <w:ilvl w:val="0"/>
          <w:numId w:val="9"/>
        </w:numPr>
        <w:adjustRightInd w:val="0"/>
        <w:snapToGrid w:val="0"/>
        <w:spacing w:line="360" w:lineRule="auto"/>
        <w:rPr>
          <w:rFonts w:ascii="宋体" w:hAnsi="宋体"/>
          <w:szCs w:val="21"/>
        </w:rPr>
      </w:pPr>
      <w:r>
        <w:rPr>
          <w:rFonts w:hint="eastAsia" w:ascii="宋体" w:hAnsi="宋体"/>
          <w:szCs w:val="21"/>
        </w:rPr>
        <w:t>货物材料的包装必须是制造商原厂包装，其包装均应有良好的防湿、防锈、防潮、防雨、防腐及防碰撞的措施。凡由于包装不良造成的损失和由此产生的费用均由成交供应商承担。</w:t>
      </w:r>
    </w:p>
    <w:p>
      <w:pPr>
        <w:numPr>
          <w:ilvl w:val="0"/>
          <w:numId w:val="9"/>
        </w:numPr>
        <w:adjustRightInd w:val="0"/>
        <w:snapToGrid w:val="0"/>
        <w:spacing w:line="360" w:lineRule="auto"/>
        <w:rPr>
          <w:rFonts w:ascii="宋体" w:hAnsi="宋体"/>
          <w:szCs w:val="21"/>
        </w:rPr>
      </w:pPr>
      <w:r>
        <w:rPr>
          <w:rFonts w:hint="eastAsia" w:ascii="宋体" w:hAnsi="宋体"/>
          <w:szCs w:val="21"/>
        </w:rPr>
        <w:t>成交供应商负责将货物材料运送到现场过程中的全部运输，包括装卸车、货物现场的搬运。</w:t>
      </w:r>
    </w:p>
    <w:p>
      <w:pPr>
        <w:numPr>
          <w:ilvl w:val="0"/>
          <w:numId w:val="9"/>
        </w:numPr>
        <w:adjustRightInd w:val="0"/>
        <w:snapToGrid w:val="0"/>
        <w:spacing w:line="360" w:lineRule="auto"/>
        <w:rPr>
          <w:rFonts w:ascii="宋体" w:hAnsi="宋体"/>
          <w:szCs w:val="21"/>
        </w:rPr>
      </w:pPr>
      <w:r>
        <w:rPr>
          <w:rFonts w:hint="eastAsia" w:ascii="宋体" w:hAnsi="宋体"/>
          <w:szCs w:val="21"/>
        </w:rPr>
        <w:t>货物在现场的保管由成交供应商负责，直至项目安装、验收完毕。</w:t>
      </w:r>
    </w:p>
    <w:p>
      <w:pPr>
        <w:numPr>
          <w:ilvl w:val="0"/>
          <w:numId w:val="9"/>
        </w:numPr>
        <w:adjustRightInd w:val="0"/>
        <w:snapToGrid w:val="0"/>
        <w:spacing w:line="360" w:lineRule="auto"/>
        <w:rPr>
          <w:rFonts w:ascii="宋体" w:hAnsi="宋体"/>
          <w:szCs w:val="21"/>
        </w:rPr>
      </w:pPr>
      <w:r>
        <w:rPr>
          <w:rFonts w:hint="eastAsia" w:ascii="宋体" w:hAnsi="宋体"/>
          <w:szCs w:val="21"/>
        </w:rPr>
        <w:t>货物至采购人指定的使用现场的包装、保险及发运等环节和费用均由成交供应商负责。</w:t>
      </w:r>
    </w:p>
    <w:p>
      <w:pPr>
        <w:pStyle w:val="13"/>
        <w:numPr>
          <w:ilvl w:val="0"/>
          <w:numId w:val="7"/>
        </w:numPr>
        <w:tabs>
          <w:tab w:val="left" w:pos="540"/>
        </w:tabs>
        <w:adjustRightInd w:val="0"/>
        <w:snapToGrid w:val="0"/>
        <w:spacing w:line="360" w:lineRule="auto"/>
        <w:rPr>
          <w:b/>
        </w:rPr>
      </w:pPr>
      <w:r>
        <w:rPr>
          <w:rFonts w:hint="eastAsia"/>
          <w:b/>
        </w:rPr>
        <w:t>安装、调试与验收</w:t>
      </w:r>
    </w:p>
    <w:p>
      <w:pPr>
        <w:pStyle w:val="13"/>
        <w:numPr>
          <w:ilvl w:val="0"/>
          <w:numId w:val="10"/>
        </w:numPr>
        <w:tabs>
          <w:tab w:val="left" w:pos="540"/>
        </w:tabs>
        <w:adjustRightInd w:val="0"/>
        <w:snapToGrid w:val="0"/>
        <w:spacing w:line="360" w:lineRule="auto"/>
      </w:pPr>
      <w:r>
        <w:rPr>
          <w:rFonts w:hint="eastAsia"/>
        </w:rPr>
        <w:t>成交供应商必须依照采购文件的要求和响应文件的承诺，将设备、系统安装并调试至正常运行的最佳状态。</w:t>
      </w:r>
    </w:p>
    <w:p>
      <w:pPr>
        <w:pStyle w:val="13"/>
        <w:numPr>
          <w:ilvl w:val="0"/>
          <w:numId w:val="10"/>
        </w:numPr>
        <w:tabs>
          <w:tab w:val="left" w:pos="540"/>
        </w:tabs>
        <w:adjustRightInd w:val="0"/>
        <w:snapToGrid w:val="0"/>
        <w:spacing w:line="360" w:lineRule="auto"/>
      </w:pPr>
      <w:r>
        <w:rPr>
          <w:rFonts w:hint="eastAsia"/>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0"/>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货物为原厂商未启封全新包装，具出厂合格证，序列号、包装箱号与出厂批号一致，并可追索查阅。所有随设备的附件必须齐全。</w:t>
      </w:r>
    </w:p>
    <w:p>
      <w:pPr>
        <w:numPr>
          <w:ilvl w:val="0"/>
          <w:numId w:val="10"/>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成交供应商应将关键主机设备的用户手册、保修手册、有关单证资料及配备件、随机工具等交付给采购人，使用操作及安全须知等重要资料应附有中文说明。</w:t>
      </w:r>
    </w:p>
    <w:p>
      <w:pPr>
        <w:numPr>
          <w:ilvl w:val="0"/>
          <w:numId w:val="10"/>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13"/>
        <w:numPr>
          <w:ilvl w:val="0"/>
          <w:numId w:val="7"/>
        </w:numPr>
        <w:tabs>
          <w:tab w:val="left" w:pos="540"/>
        </w:tabs>
        <w:adjustRightInd w:val="0"/>
        <w:snapToGrid w:val="0"/>
        <w:spacing w:line="360" w:lineRule="auto"/>
        <w:rPr>
          <w:rFonts w:hint="eastAsia"/>
          <w:b/>
        </w:rPr>
      </w:pPr>
      <w:r>
        <w:rPr>
          <w:rFonts w:hint="eastAsia"/>
          <w:b/>
        </w:rPr>
        <w:t>付款及结算方式</w:t>
      </w:r>
    </w:p>
    <w:p>
      <w:pPr>
        <w:pStyle w:val="13"/>
        <w:numPr>
          <w:ilvl w:val="0"/>
          <w:numId w:val="11"/>
        </w:numPr>
        <w:tabs>
          <w:tab w:val="left" w:pos="540"/>
        </w:tabs>
        <w:adjustRightInd w:val="0"/>
        <w:snapToGrid w:val="0"/>
        <w:spacing w:line="360" w:lineRule="auto"/>
      </w:pPr>
      <w:r>
        <w:rPr>
          <w:rFonts w:hint="eastAsia"/>
        </w:rPr>
        <w:t>合同款支付：</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auto"/>
        <w:ind w:left="420" w:leftChars="0" w:firstLine="0" w:firstLineChars="0"/>
        <w:textAlignment w:val="auto"/>
        <w:rPr>
          <w:rFonts w:ascii="宋体" w:hAnsi="宋体" w:cs="宋体"/>
          <w:szCs w:val="21"/>
        </w:rPr>
      </w:pPr>
      <w:r>
        <w:rPr>
          <w:rFonts w:hint="eastAsia" w:ascii="宋体" w:hAnsi="宋体" w:cs="宋体"/>
          <w:szCs w:val="21"/>
        </w:rPr>
        <w:t>签订合同后及全部合同货物到达交货地点，并安装调试且验收合格后，凭验收合格单或验收合格报告，采购人自收到发票之日起</w:t>
      </w:r>
      <w:r>
        <w:rPr>
          <w:rFonts w:hint="eastAsia" w:ascii="宋体" w:hAnsi="宋体" w:cs="宋体"/>
          <w:szCs w:val="21"/>
          <w:u w:val="single"/>
        </w:rPr>
        <w:t xml:space="preserve"> </w:t>
      </w:r>
      <w:r>
        <w:rPr>
          <w:rFonts w:hint="eastAsia" w:ascii="宋体" w:hAnsi="宋体" w:cs="宋体"/>
          <w:szCs w:val="21"/>
          <w:u w:val="single"/>
          <w:lang w:val="en-US" w:eastAsia="zh-CN"/>
        </w:rPr>
        <w:t>90日</w:t>
      </w:r>
      <w:r>
        <w:rPr>
          <w:rFonts w:hint="eastAsia" w:ascii="宋体" w:hAnsi="宋体" w:cs="宋体"/>
          <w:szCs w:val="21"/>
          <w:u w:val="single"/>
        </w:rPr>
        <w:t xml:space="preserve">  </w:t>
      </w:r>
      <w:r>
        <w:rPr>
          <w:rFonts w:hint="eastAsia" w:ascii="宋体" w:hAnsi="宋体" w:cs="宋体"/>
          <w:szCs w:val="21"/>
        </w:rPr>
        <w:t>内向成交供应商支付合同总价的</w:t>
      </w:r>
      <w:r>
        <w:rPr>
          <w:rFonts w:hint="eastAsia" w:ascii="宋体" w:hAnsi="宋体" w:cs="宋体"/>
          <w:szCs w:val="21"/>
          <w:u w:val="single"/>
        </w:rPr>
        <w:t xml:space="preserve"> </w:t>
      </w:r>
      <w:r>
        <w:rPr>
          <w:rFonts w:hint="eastAsia" w:ascii="宋体" w:hAnsi="宋体" w:cs="宋体"/>
          <w:szCs w:val="21"/>
          <w:u w:val="single"/>
          <w:lang w:val="en-US" w:eastAsia="zh-CN"/>
        </w:rPr>
        <w:t>100</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color w:val="000000"/>
        </w:rPr>
        <w:t>因采购方使用的是财政资金，采购方在合同前款规定的付款时间内向财政部门提出支付申请手续后即视为采购方已经按期支付</w:t>
      </w:r>
      <w:r>
        <w:rPr>
          <w:rFonts w:hint="eastAsia" w:ascii="宋体" w:hAnsi="宋体" w:cs="宋体"/>
          <w:szCs w:val="21"/>
        </w:rPr>
        <w:t>。</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auto"/>
        <w:ind w:left="420" w:leftChars="0" w:firstLine="0" w:firstLineChars="0"/>
        <w:textAlignment w:val="auto"/>
        <w:rPr>
          <w:rFonts w:ascii="宋体" w:hAnsi="宋体" w:cs="宋体"/>
          <w:szCs w:val="21"/>
        </w:rPr>
      </w:pPr>
      <w:r>
        <w:rPr>
          <w:rFonts w:hint="eastAsia" w:ascii="宋体" w:hAnsi="宋体" w:cs="宋体"/>
          <w:szCs w:val="21"/>
          <w:lang w:eastAsia="zh-TW"/>
        </w:rPr>
        <w:t>按合同支付款项前，成交供应商</w:t>
      </w:r>
      <w:r>
        <w:rPr>
          <w:rFonts w:hint="eastAsia" w:ascii="宋体" w:hAnsi="宋体" w:cs="宋体"/>
          <w:szCs w:val="21"/>
        </w:rPr>
        <w:t>应</w:t>
      </w:r>
      <w:r>
        <w:rPr>
          <w:rFonts w:hint="eastAsia" w:ascii="宋体" w:hAnsi="宋体" w:cs="宋体"/>
          <w:szCs w:val="21"/>
          <w:lang w:eastAsia="zh-TW"/>
        </w:rPr>
        <w:t>向采购人提供与支付金额相符的有效发票，且收款方、出具发票方、合同乙方均必须与成交供应商名称一致；</w:t>
      </w:r>
    </w:p>
    <w:p>
      <w:pPr>
        <w:pStyle w:val="13"/>
        <w:numPr>
          <w:ilvl w:val="0"/>
          <w:numId w:val="11"/>
        </w:numPr>
        <w:tabs>
          <w:tab w:val="left" w:pos="540"/>
        </w:tabs>
        <w:adjustRightInd w:val="0"/>
        <w:snapToGrid w:val="0"/>
        <w:spacing w:line="360" w:lineRule="auto"/>
      </w:pPr>
      <w:r>
        <w:rPr>
          <w:rFonts w:hint="eastAsia"/>
        </w:rPr>
        <w:t>付款方式：采用支票、银行转账、电汇三种形式。</w:t>
      </w:r>
    </w:p>
    <w:p>
      <w:pPr>
        <w:pStyle w:val="13"/>
        <w:tabs>
          <w:tab w:val="left" w:pos="540"/>
        </w:tabs>
        <w:adjustRightInd w:val="0"/>
        <w:snapToGrid w:val="0"/>
        <w:spacing w:line="360" w:lineRule="auto"/>
        <w:ind w:firstLine="643" w:firstLineChars="200"/>
        <w:rPr>
          <w:b/>
          <w:bCs/>
          <w:sz w:val="32"/>
          <w:szCs w:val="32"/>
        </w:rPr>
      </w:pPr>
    </w:p>
    <w:p>
      <w:pPr>
        <w:snapToGrid w:val="0"/>
        <w:spacing w:line="360" w:lineRule="auto"/>
        <w:jc w:val="center"/>
        <w:rPr>
          <w:b/>
          <w:bCs/>
          <w:sz w:val="32"/>
          <w:szCs w:val="32"/>
        </w:rPr>
      </w:pPr>
      <w:r>
        <w:rPr>
          <w:b/>
          <w:bCs/>
          <w:sz w:val="32"/>
          <w:szCs w:val="32"/>
        </w:rPr>
        <w:br w:type="page"/>
      </w:r>
    </w:p>
    <w:p>
      <w:pPr>
        <w:snapToGrid w:val="0"/>
        <w:spacing w:line="360" w:lineRule="auto"/>
        <w:jc w:val="center"/>
        <w:rPr>
          <w:b/>
          <w:bCs/>
          <w:sz w:val="32"/>
          <w:szCs w:val="32"/>
        </w:rPr>
      </w:pPr>
      <w:r>
        <w:rPr>
          <w:rFonts w:hint="eastAsia"/>
          <w:b/>
          <w:bCs/>
          <w:sz w:val="32"/>
          <w:szCs w:val="32"/>
        </w:rPr>
        <w:t>第三章竞价附件</w:t>
      </w:r>
    </w:p>
    <w:p>
      <w:pPr>
        <w:keepNext/>
        <w:keepLines/>
        <w:spacing w:line="416" w:lineRule="auto"/>
        <w:jc w:val="center"/>
        <w:outlineLvl w:val="1"/>
        <w:rPr>
          <w:rFonts w:ascii="宋体" w:hAnsi="宋体"/>
          <w:b/>
          <w:bCs/>
          <w:kern w:val="0"/>
          <w:sz w:val="32"/>
          <w:szCs w:val="32"/>
          <w:lang w:val="zh-CN"/>
        </w:rPr>
      </w:pPr>
      <w:r>
        <w:rPr>
          <w:rFonts w:hint="eastAsia" w:ascii="宋体" w:hAnsi="宋体"/>
          <w:b/>
          <w:bCs/>
          <w:kern w:val="0"/>
          <w:sz w:val="32"/>
          <w:szCs w:val="32"/>
          <w:lang w:val="zh-CN"/>
        </w:rPr>
        <w:t>报价表（生产日期近两个月内）</w:t>
      </w:r>
    </w:p>
    <w:tbl>
      <w:tblPr>
        <w:tblStyle w:val="22"/>
        <w:tblW w:w="11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1140"/>
        <w:gridCol w:w="780"/>
        <w:gridCol w:w="525"/>
        <w:gridCol w:w="585"/>
        <w:gridCol w:w="858"/>
        <w:gridCol w:w="921"/>
        <w:gridCol w:w="4051"/>
        <w:gridCol w:w="860"/>
        <w:gridCol w:w="870"/>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物料名称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限价（元）</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小计限价（元）</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品牌</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tabs>
                <w:tab w:val="left" w:pos="540"/>
              </w:tabs>
              <w:adjustRightInd w:val="0"/>
              <w:snapToGrid w:val="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hAnsi="宋体"/>
                <w:b/>
                <w:bCs/>
                <w:color w:val="000000" w:themeColor="text1"/>
                <w14:textFill>
                  <w14:solidFill>
                    <w14:schemeClr w14:val="tx1"/>
                  </w14:solidFill>
                </w14:textFill>
              </w:rPr>
              <w:t>单价报价（元）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tabs>
                <w:tab w:val="left" w:pos="540"/>
              </w:tabs>
              <w:adjustRightInd w:val="0"/>
              <w:snapToGrid w:val="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hAnsi="宋体"/>
                <w:b/>
                <w:bCs/>
                <w:color w:val="000000" w:themeColor="text1"/>
                <w14:textFill>
                  <w14:solidFill>
                    <w14:schemeClr w14:val="tx1"/>
                  </w14:solidFill>
                </w14:textFill>
              </w:rPr>
              <w:t>小计报价（元）</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tabs>
                <w:tab w:val="left" w:pos="540"/>
              </w:tabs>
              <w:adjustRightInd w:val="0"/>
              <w:snapToGrid w:val="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hAnsi="宋体"/>
                <w:b/>
                <w:bCs/>
                <w:color w:val="000000" w:themeColor="text1"/>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50T/盒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发热伴血小板减少综合征（布尼亚病毒）核酸检测试剂盒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疟原虫通用核酸检测试剂盒（荧光PCR法）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百日咳杆菌和副百日咳杆菌核酸检测试剂盒（荧光PCR法）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50T/盒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恶性/间日/卵形/三日疟原虫核酸检测试剂盒（四重荧光PCR法）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肠道病毒（通用型/EV71/CA16/CA6/CA10）五重核酸检测试剂盒（PCR荧光探针法）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优先预混，澳东</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疟原虫（疟原虫属、恶性疟原虫、间日疟原虫、卵形疟原虫、三日疟原虫）核酸检测试剂盒（荧光PCR法）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8种虫媒类病原体多重核酸检测（B管）液体全分装试剂盒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生凌【检测目标：登革热病毒、基孔肯雅热病毒、寨卡病毒、乙型脑炎病毒、黄热病毒、西尼罗河病毒、辛德毕斯病毒、疟原虫 】尽量要预混大单管，不要预分装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十七种呼吸道病原体核酸检测试剂盒-G版(荧光PCR法)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drawing>
                <wp:anchor distT="0" distB="0" distL="114300" distR="114300" simplePos="0" relativeHeight="251660288" behindDoc="0" locked="0" layoutInCell="1" allowOverlap="1">
                  <wp:simplePos x="0" y="0"/>
                  <wp:positionH relativeFrom="column">
                    <wp:posOffset>436880</wp:posOffset>
                  </wp:positionH>
                  <wp:positionV relativeFrom="paragraph">
                    <wp:posOffset>261620</wp:posOffset>
                  </wp:positionV>
                  <wp:extent cx="2693035" cy="1437005"/>
                  <wp:effectExtent l="0" t="0" r="12065"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93035" cy="1437005"/>
                          </a:xfrm>
                          <a:prstGeom prst="rect">
                            <a:avLst/>
                          </a:prstGeom>
                          <a:noFill/>
                          <a:ln w="9525">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64,600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伯杰，不要预分装</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10ul移液器带滤芯灭菌吸头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96支/盒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300uL一次性已灭菌带滤芯吸头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96头/盒，10盒/箱</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1000ul移液器带滤芯吸头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96支/盒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冻存管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  50个/包 10包/箱</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预分装磁珠法病毒总核酸提取试剂盒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美基5412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PCR扩增仪96孔反应板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0.1ml，20 plates</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星状病毒核酸检测试剂盒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硕世</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人腺病毒核酸检测试剂盒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硕世</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肠道病毒CA6/CA10核酸检测试剂盒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柯萨奇病毒A16型和肠道病毒71型+肠道病毒通用型核酸检测试剂盒(2+1)(荧光PCR法)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2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eastAsia="宋体" w:cs="宋体"/>
                <w:b/>
                <w:kern w:val="0"/>
                <w:sz w:val="21"/>
                <w:szCs w:val="21"/>
                <w:lang w:val="en-US" w:eastAsia="zh-CN" w:bidi="ar-SA"/>
              </w:rPr>
            </w:pPr>
            <w:r>
              <w:rPr>
                <w:rFonts w:hint="eastAsia" w:ascii="宋体" w:hAnsi="宋体" w:cs="宋体"/>
                <w:b/>
                <w:kern w:val="0"/>
                <w:szCs w:val="21"/>
              </w:rPr>
              <w:t>合计（各项小计金额之和）：人民币</w:t>
            </w:r>
            <w:r>
              <w:rPr>
                <w:rFonts w:hint="eastAsia" w:ascii="宋体" w:hAnsi="宋体" w:cs="宋体"/>
                <w:b/>
                <w:kern w:val="0"/>
                <w:szCs w:val="21"/>
                <w:u w:val="single"/>
              </w:rPr>
              <w:t xml:space="preserve">    </w:t>
            </w:r>
            <w:r>
              <w:rPr>
                <w:rFonts w:hint="eastAsia" w:ascii="宋体" w:hAnsi="宋体" w:cs="宋体"/>
                <w:b/>
                <w:kern w:val="0"/>
                <w:szCs w:val="21"/>
              </w:rPr>
              <w:t>元</w:t>
            </w:r>
          </w:p>
        </w:tc>
      </w:tr>
    </w:tbl>
    <w:p>
      <w:pPr>
        <w:spacing w:line="360" w:lineRule="auto"/>
        <w:rPr>
          <w:rFonts w:asciiTheme="minorEastAsia" w:hAnsiTheme="minorEastAsia"/>
          <w:b/>
          <w:spacing w:val="4"/>
        </w:rPr>
      </w:pPr>
    </w:p>
    <w:p>
      <w:pPr>
        <w:spacing w:line="360" w:lineRule="auto"/>
        <w:rPr>
          <w:rFonts w:asciiTheme="minorEastAsia" w:hAnsiTheme="minorEastAsia"/>
          <w:b/>
          <w:spacing w:val="4"/>
        </w:rPr>
      </w:pPr>
      <w:r>
        <w:rPr>
          <w:rFonts w:hint="eastAsia" w:asciiTheme="minorEastAsia" w:hAnsiTheme="minorEastAsia"/>
          <w:b/>
          <w:spacing w:val="4"/>
        </w:rPr>
        <w:t>注：</w:t>
      </w:r>
    </w:p>
    <w:p>
      <w:pPr>
        <w:spacing w:line="360" w:lineRule="auto"/>
        <w:ind w:firstLine="438" w:firstLineChars="200"/>
        <w:rPr>
          <w:rFonts w:asciiTheme="minorEastAsia" w:hAnsiTheme="minorEastAsia" w:eastAsiaTheme="minorEastAsia"/>
          <w:b/>
          <w:bCs/>
          <w:u w:val="single"/>
        </w:rPr>
      </w:pPr>
      <w:r>
        <w:rPr>
          <w:rFonts w:hint="eastAsia" w:asciiTheme="minorEastAsia" w:hAnsiTheme="minorEastAsia" w:eastAsiaTheme="minorEastAsia"/>
          <w:b/>
          <w:spacing w:val="4"/>
        </w:rPr>
        <w:t>1、</w:t>
      </w:r>
      <w:r>
        <w:rPr>
          <w:rFonts w:hint="eastAsia" w:asciiTheme="minorEastAsia" w:hAnsiTheme="minorEastAsia" w:eastAsiaTheme="minorEastAsia"/>
          <w:b/>
          <w:bCs/>
          <w:u w:val="single"/>
        </w:rPr>
        <w:t>供应商必须按报价表的格式填写，不得增加或删除表格内容。除单价、金额或项目要求填写的内容外，不得擅自改动报价表内容，否则将有可能影响成交结果，不推荐为</w:t>
      </w:r>
      <w:bookmarkStart w:id="3" w:name="_Hlk79481060"/>
      <w:r>
        <w:rPr>
          <w:rFonts w:hint="eastAsia" w:asciiTheme="minorEastAsia" w:hAnsiTheme="minorEastAsia" w:eastAsiaTheme="minorEastAsia"/>
          <w:b/>
          <w:bCs/>
          <w:u w:val="single"/>
        </w:rPr>
        <w:t>成交</w:t>
      </w:r>
      <w:bookmarkEnd w:id="3"/>
      <w:r>
        <w:rPr>
          <w:rFonts w:hint="eastAsia" w:asciiTheme="minorEastAsia" w:hAnsiTheme="minorEastAsia" w:eastAsiaTheme="minorEastAsia"/>
          <w:b/>
          <w:bCs/>
          <w:u w:val="single"/>
        </w:rPr>
        <w:t>候选人。</w:t>
      </w:r>
    </w:p>
    <w:p>
      <w:pPr>
        <w:pStyle w:val="19"/>
        <w:shd w:val="clear" w:color="auto" w:fill="FFFFFF"/>
        <w:spacing w:before="0" w:beforeAutospacing="0" w:after="0" w:afterAutospacing="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2、所有价格均系用人民币表示，单位为元，</w:t>
      </w:r>
      <w:r>
        <w:rPr>
          <w:rFonts w:hint="eastAsia" w:asciiTheme="minorEastAsia" w:hAnsiTheme="minorEastAsia" w:eastAsiaTheme="minorEastAsia"/>
          <w:b/>
          <w:bCs/>
          <w:sz w:val="21"/>
          <w:szCs w:val="21"/>
        </w:rPr>
        <w:t>均为含税价</w:t>
      </w:r>
      <w:r>
        <w:rPr>
          <w:rFonts w:hint="eastAsia" w:asciiTheme="minorEastAsia" w:hAnsiTheme="minorEastAsia" w:eastAsiaTheme="minorEastAsia"/>
          <w:b/>
          <w:sz w:val="21"/>
          <w:szCs w:val="21"/>
        </w:rPr>
        <w:t>。</w:t>
      </w:r>
    </w:p>
    <w:p>
      <w:pPr>
        <w:pStyle w:val="19"/>
        <w:shd w:val="clear" w:color="auto" w:fill="FFFFFF"/>
        <w:spacing w:before="0" w:beforeAutospacing="0" w:after="0" w:afterAutospacing="0" w:line="360" w:lineRule="auto"/>
        <w:ind w:firstLine="422" w:firstLineChars="200"/>
        <w:rPr>
          <w:b/>
          <w:sz w:val="21"/>
          <w:szCs w:val="21"/>
        </w:rPr>
      </w:pPr>
      <w:r>
        <w:rPr>
          <w:rFonts w:hint="eastAsia"/>
          <w:b/>
          <w:sz w:val="21"/>
          <w:szCs w:val="21"/>
        </w:rPr>
        <w:t>3、平台上报价与报价表合计不一致的，以报价表合计（经价格核准后的价格）为准。</w:t>
      </w:r>
    </w:p>
    <w:p>
      <w:pPr>
        <w:spacing w:line="360" w:lineRule="auto"/>
        <w:rPr>
          <w:rFonts w:asciiTheme="minorEastAsia" w:hAnsiTheme="minorEastAsia"/>
          <w:spacing w:val="4"/>
        </w:rPr>
      </w:pPr>
    </w:p>
    <w:p>
      <w:pPr>
        <w:spacing w:line="360" w:lineRule="auto"/>
        <w:rPr>
          <w:rFonts w:asciiTheme="minorEastAsia" w:hAnsiTheme="minorEastAsia"/>
          <w:u w:val="single"/>
        </w:rPr>
      </w:pPr>
      <w:r>
        <w:rPr>
          <w:rFonts w:hint="eastAsia" w:asciiTheme="minorEastAsia" w:hAnsiTheme="minorEastAsia"/>
          <w:spacing w:val="4"/>
        </w:rPr>
        <w:t>供应商名称（</w:t>
      </w:r>
      <w:r>
        <w:rPr>
          <w:rFonts w:hint="eastAsia" w:asciiTheme="minorEastAsia" w:hAnsiTheme="minorEastAsia"/>
        </w:rPr>
        <w:t>单位盖</w:t>
      </w:r>
      <w:r>
        <w:rPr>
          <w:rFonts w:hint="eastAsia" w:asciiTheme="minorEastAsia" w:hAnsiTheme="minorEastAsia"/>
          <w:spacing w:val="4"/>
        </w:rPr>
        <w:t>公章）：</w:t>
      </w:r>
      <w:r>
        <w:rPr>
          <w:rFonts w:asciiTheme="minorEastAsia" w:hAnsiTheme="minorEastAsia"/>
          <w:spacing w:val="4"/>
          <w:u w:val="single"/>
        </w:rPr>
        <w:t xml:space="preserve">                     </w:t>
      </w:r>
    </w:p>
    <w:p>
      <w:pPr>
        <w:spacing w:line="360" w:lineRule="auto"/>
        <w:rPr>
          <w:rFonts w:asciiTheme="minorEastAsia" w:hAnsiTheme="minorEastAsia"/>
          <w:spacing w:val="4"/>
        </w:rPr>
      </w:pPr>
    </w:p>
    <w:p>
      <w:pPr>
        <w:spacing w:line="360" w:lineRule="auto"/>
        <w:rPr>
          <w:rFonts w:asciiTheme="minorEastAsia" w:hAnsiTheme="minorEastAsia"/>
          <w:spacing w:val="4"/>
          <w:u w:val="single"/>
        </w:rPr>
      </w:pPr>
      <w:r>
        <w:rPr>
          <w:rFonts w:hint="eastAsia" w:asciiTheme="minorEastAsia" w:hAnsiTheme="minorEastAsia"/>
          <w:spacing w:val="4"/>
        </w:rPr>
        <w:t>日期：</w:t>
      </w:r>
      <w:r>
        <w:rPr>
          <w:rFonts w:asciiTheme="minorEastAsia" w:hAnsiTheme="minorEastAsia"/>
          <w:spacing w:val="4"/>
          <w:u w:val="single"/>
        </w:rPr>
        <w:t xml:space="preserve">                 </w:t>
      </w:r>
    </w:p>
    <w:p>
      <w:pPr>
        <w:widowControl/>
        <w:jc w:val="left"/>
        <w:rPr>
          <w:rFonts w:ascii="宋体" w:hAnsi="宋体"/>
          <w:b/>
          <w:bCs/>
          <w:kern w:val="0"/>
          <w:sz w:val="32"/>
          <w:szCs w:val="32"/>
        </w:rPr>
      </w:pPr>
    </w:p>
    <w:p>
      <w:pPr>
        <w:keepNext/>
        <w:spacing w:after="240" w:line="360" w:lineRule="auto"/>
        <w:ind w:left="720" w:hanging="360"/>
        <w:jc w:val="center"/>
        <w:outlineLvl w:val="1"/>
        <w:rPr>
          <w:rFonts w:ascii="宋体" w:hAnsi="宋体"/>
          <w:b/>
          <w:bCs/>
          <w:kern w:val="0"/>
          <w:sz w:val="32"/>
          <w:szCs w:val="32"/>
        </w:rPr>
      </w:pPr>
      <w:r>
        <w:rPr>
          <w:rFonts w:ascii="宋体" w:hAnsi="宋体"/>
          <w:b/>
          <w:bCs/>
          <w:kern w:val="0"/>
          <w:sz w:val="32"/>
          <w:szCs w:val="32"/>
        </w:rPr>
        <w:br w:type="page"/>
      </w:r>
      <w:r>
        <w:rPr>
          <w:rFonts w:hint="eastAsia" w:ascii="宋体" w:hAnsi="宋体"/>
          <w:b/>
          <w:bCs/>
          <w:kern w:val="0"/>
          <w:sz w:val="32"/>
          <w:szCs w:val="32"/>
        </w:rPr>
        <w:t>用户需求书响应声明函</w:t>
      </w:r>
    </w:p>
    <w:p>
      <w:pPr>
        <w:spacing w:line="360" w:lineRule="auto"/>
        <w:rPr>
          <w:rFonts w:ascii="宋体" w:hAnsi="宋体"/>
          <w:b/>
        </w:rPr>
      </w:pPr>
      <w:r>
        <w:rPr>
          <w:rFonts w:hint="eastAsia" w:ascii="宋体" w:hAnsi="宋体"/>
          <w:b/>
        </w:rPr>
        <w:t>致：</w:t>
      </w:r>
      <w:r>
        <w:rPr>
          <w:rFonts w:hint="eastAsia"/>
          <w:b/>
          <w:bCs/>
        </w:rPr>
        <w:t>佛山市顺德区疾病预防控制中心</w:t>
      </w:r>
      <w:r>
        <w:rPr>
          <w:rFonts w:hint="eastAsia" w:ascii="宋体" w:hAnsi="宋体"/>
          <w:b/>
        </w:rPr>
        <w:t>、云采链（广州）信息科技有限公司</w:t>
      </w:r>
    </w:p>
    <w:p>
      <w:pPr>
        <w:snapToGrid w:val="0"/>
        <w:spacing w:line="480" w:lineRule="auto"/>
        <w:ind w:firstLine="420" w:firstLineChars="200"/>
        <w:rPr>
          <w:rFonts w:ascii="宋体" w:hAnsi="宋体"/>
        </w:rPr>
      </w:pPr>
    </w:p>
    <w:p>
      <w:pPr>
        <w:snapToGrid w:val="0"/>
        <w:spacing w:line="480" w:lineRule="auto"/>
        <w:ind w:firstLine="420" w:firstLineChars="200"/>
        <w:rPr>
          <w:rFonts w:ascii="宋体" w:hAnsi="宋体"/>
          <w:b/>
          <w:bCs/>
          <w:u w:val="single"/>
        </w:rPr>
      </w:pPr>
      <w:r>
        <w:rPr>
          <w:rFonts w:hint="eastAsia" w:ascii="宋体" w:hAnsi="宋体"/>
        </w:rPr>
        <w:t>关于贵单位、贵司发布</w:t>
      </w:r>
      <w:r>
        <w:rPr>
          <w:rFonts w:hint="eastAsia" w:ascii="宋体" w:hAnsi="宋体"/>
          <w:b/>
          <w:lang w:eastAsia="zh-CN"/>
        </w:rPr>
        <w:t>佛山市顺德区疾病预防控制中心采购试剂一批项目</w:t>
      </w:r>
      <w:r>
        <w:rPr>
          <w:rFonts w:hint="eastAsia" w:ascii="宋体" w:hAnsi="宋体"/>
        </w:rPr>
        <w:t>的竞价公告，本公司（企业）愿意参加采购活动，并作出如下声明：</w:t>
      </w:r>
    </w:p>
    <w:p>
      <w:pPr>
        <w:tabs>
          <w:tab w:val="left" w:pos="426"/>
        </w:tabs>
        <w:snapToGrid w:val="0"/>
        <w:spacing w:line="480" w:lineRule="auto"/>
        <w:ind w:firstLine="420"/>
        <w:rPr>
          <w:rFonts w:ascii="宋体" w:hAnsi="宋体"/>
          <w:kern w:val="0"/>
        </w:rPr>
      </w:pPr>
      <w:r>
        <w:rPr>
          <w:rFonts w:hint="eastAsia" w:ascii="宋体" w:hAnsi="宋体"/>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480" w:lineRule="auto"/>
        <w:ind w:firstLine="420"/>
        <w:rPr>
          <w:rFonts w:ascii="宋体" w:hAnsi="宋体" w:cs="宋体"/>
          <w:kern w:val="0"/>
        </w:rPr>
      </w:pPr>
      <w:r>
        <w:rPr>
          <w:rFonts w:hint="eastAsia" w:ascii="宋体" w:hAnsi="宋体" w:cs="宋体"/>
          <w:kern w:val="0"/>
        </w:rPr>
        <w:t>本公司（企业）承诺在本次采购活动中，如有违法、违规、弄虚作假行为，所造成的损失、不良后果及法律责任，一律由我公司（企业）承担。</w:t>
      </w:r>
    </w:p>
    <w:p>
      <w:pPr>
        <w:autoSpaceDE w:val="0"/>
        <w:autoSpaceDN w:val="0"/>
        <w:adjustRightInd w:val="0"/>
        <w:spacing w:line="480" w:lineRule="auto"/>
        <w:ind w:firstLine="413" w:firstLineChars="196"/>
        <w:rPr>
          <w:rFonts w:ascii="宋体" w:hAnsi="宋体"/>
          <w:b/>
        </w:rPr>
      </w:pPr>
      <w:r>
        <w:rPr>
          <w:rFonts w:hint="eastAsia" w:ascii="宋体" w:hAnsi="宋体"/>
          <w:b/>
        </w:rPr>
        <w:t>备注：</w:t>
      </w:r>
    </w:p>
    <w:p>
      <w:pPr>
        <w:widowControl/>
        <w:numPr>
          <w:ilvl w:val="0"/>
          <w:numId w:val="13"/>
        </w:numPr>
        <w:autoSpaceDE w:val="0"/>
        <w:autoSpaceDN w:val="0"/>
        <w:adjustRightInd w:val="0"/>
        <w:spacing w:line="480" w:lineRule="auto"/>
        <w:jc w:val="left"/>
        <w:rPr>
          <w:rFonts w:ascii="宋体" w:hAnsi="宋体"/>
        </w:rPr>
      </w:pPr>
      <w:r>
        <w:rPr>
          <w:rFonts w:hint="eastAsia" w:ascii="宋体" w:hAnsi="宋体"/>
        </w:rPr>
        <w:t>本声明函必须提供且内容不得擅自删改，否则视为响应无效。</w:t>
      </w:r>
    </w:p>
    <w:p>
      <w:pPr>
        <w:widowControl/>
        <w:numPr>
          <w:ilvl w:val="0"/>
          <w:numId w:val="13"/>
        </w:numPr>
        <w:snapToGrid w:val="0"/>
        <w:spacing w:line="480" w:lineRule="auto"/>
        <w:jc w:val="left"/>
        <w:rPr>
          <w:rFonts w:ascii="宋体" w:hAnsi="宋体"/>
        </w:rPr>
      </w:pPr>
      <w:r>
        <w:rPr>
          <w:rFonts w:hint="eastAsia" w:ascii="宋体" w:hAnsi="宋体"/>
        </w:rPr>
        <w:t>本声明函如有虚假或与事实不符的，作无效报价处理。</w:t>
      </w:r>
    </w:p>
    <w:p>
      <w:pPr>
        <w:widowControl/>
        <w:spacing w:line="480" w:lineRule="auto"/>
        <w:jc w:val="left"/>
        <w:rPr>
          <w:rFonts w:ascii="宋体" w:hAnsi="宋体"/>
          <w:b/>
          <w:bCs/>
          <w:kern w:val="0"/>
          <w:sz w:val="32"/>
          <w:szCs w:val="32"/>
        </w:rPr>
      </w:pPr>
    </w:p>
    <w:p>
      <w:pPr>
        <w:pStyle w:val="35"/>
        <w:spacing w:line="360" w:lineRule="auto"/>
        <w:ind w:right="218" w:firstLine="0" w:firstLineChars="0"/>
        <w:jc w:val="left"/>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pStyle w:val="35"/>
        <w:spacing w:line="360" w:lineRule="auto"/>
        <w:ind w:left="1200" w:right="210" w:firstLine="0" w:firstLineChars="0"/>
        <w:jc w:val="left"/>
        <w:rPr>
          <w:rFonts w:ascii="宋体" w:hAnsi="宋体"/>
          <w:u w:val="single"/>
        </w:rPr>
      </w:pPr>
    </w:p>
    <w:p>
      <w:pPr>
        <w:wordWrap w:val="0"/>
        <w:spacing w:line="360" w:lineRule="auto"/>
        <w:jc w:val="left"/>
        <w:rPr>
          <w:rFonts w:ascii="宋体" w:hAnsi="宋体"/>
          <w:u w:val="single"/>
        </w:rPr>
      </w:pPr>
      <w:r>
        <w:rPr>
          <w:rFonts w:hint="eastAsia" w:ascii="宋体" w:hAnsi="宋体"/>
          <w:spacing w:val="4"/>
        </w:rPr>
        <w:t>日期：</w:t>
      </w:r>
      <w:r>
        <w:rPr>
          <w:rFonts w:hint="eastAsia" w:ascii="宋体" w:hAnsi="宋体"/>
          <w:spacing w:val="4"/>
          <w:u w:val="single"/>
        </w:rPr>
        <w:t xml:space="preserve">          </w:t>
      </w:r>
      <w:bookmarkStart w:id="4" w:name="_Toc435514863"/>
      <w:bookmarkStart w:id="5" w:name="_Toc435515303"/>
      <w:r>
        <w:rPr>
          <w:rFonts w:hint="eastAsia" w:ascii="宋体" w:hAnsi="宋体"/>
          <w:spacing w:val="4"/>
          <w:u w:val="single"/>
        </w:rPr>
        <w:t xml:space="preserve"> </w:t>
      </w:r>
    </w:p>
    <w:p>
      <w:pPr>
        <w:spacing w:line="360" w:lineRule="auto"/>
        <w:jc w:val="left"/>
        <w:rPr>
          <w:rFonts w:ascii="宋体" w:hAnsi="宋体"/>
        </w:rPr>
      </w:pPr>
    </w:p>
    <w:bookmarkEnd w:id="4"/>
    <w:bookmarkEnd w:id="5"/>
    <w:p>
      <w:pPr>
        <w:widowControl/>
        <w:jc w:val="left"/>
        <w:rPr>
          <w:rFonts w:cs="Arial" w:asciiTheme="minorEastAsia" w:hAnsiTheme="minorEastAsia" w:eastAsiaTheme="minorEastAsia"/>
          <w:b/>
          <w:bCs/>
          <w:kern w:val="0"/>
          <w:sz w:val="32"/>
          <w:szCs w:val="32"/>
        </w:rPr>
      </w:pPr>
      <w:r>
        <w:rPr>
          <w:rFonts w:asciiTheme="minorEastAsia" w:hAnsiTheme="minorEastAsia" w:eastAsiaTheme="minorEastAsia"/>
        </w:rPr>
        <w:br w:type="page"/>
      </w:r>
    </w:p>
    <w:p>
      <w:pPr>
        <w:pStyle w:val="3"/>
        <w:pageBreakBefore/>
        <w:numPr>
          <w:ilvl w:val="0"/>
          <w:numId w:val="0"/>
        </w:numPr>
        <w:adjustRightInd w:val="0"/>
        <w:snapToGrid w:val="0"/>
        <w:spacing w:before="312"/>
        <w:jc w:val="center"/>
        <w:rPr>
          <w:rFonts w:ascii="黑体" w:hAnsi="黑体" w:eastAsia="黑体"/>
          <w:b w:val="0"/>
          <w:sz w:val="32"/>
        </w:rPr>
      </w:pPr>
      <w:r>
        <w:rPr>
          <w:rFonts w:hint="eastAsia" w:ascii="黑体" w:hAnsi="黑体" w:eastAsia="黑体"/>
          <w:b w:val="0"/>
          <w:sz w:val="32"/>
        </w:rPr>
        <w:t>供应商资格声明函</w:t>
      </w:r>
    </w:p>
    <w:p>
      <w:pPr>
        <w:spacing w:line="360" w:lineRule="auto"/>
        <w:rPr>
          <w:rFonts w:asciiTheme="minorEastAsia" w:hAnsiTheme="minorEastAsia" w:eastAsiaTheme="minorEastAsia"/>
          <w:b/>
        </w:rPr>
      </w:pPr>
      <w:r>
        <w:rPr>
          <w:rFonts w:hint="eastAsia" w:asciiTheme="minorEastAsia" w:hAnsiTheme="minorEastAsia" w:eastAsiaTheme="minorEastAsia"/>
          <w:b/>
        </w:rPr>
        <w:t>致：佛山市顺德区疾病预防控制中心、云采链（广州）信息科技有限公司</w:t>
      </w:r>
    </w:p>
    <w:p>
      <w:pPr>
        <w:spacing w:line="360" w:lineRule="auto"/>
        <w:rPr>
          <w:rFonts w:asciiTheme="minorEastAsia" w:hAnsiTheme="minorEastAsia" w:eastAsiaTheme="minorEastAsia"/>
          <w:b/>
        </w:rPr>
      </w:pP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关于贵单位、贵司发</w:t>
      </w:r>
      <w:r>
        <w:rPr>
          <w:rFonts w:hint="eastAsia" w:ascii="宋体" w:hAnsi="宋体"/>
        </w:rPr>
        <w:t>布</w:t>
      </w:r>
      <w:r>
        <w:rPr>
          <w:rFonts w:hint="eastAsia" w:ascii="宋体" w:hAnsi="宋体"/>
          <w:b/>
          <w:lang w:eastAsia="zh-CN"/>
        </w:rPr>
        <w:t>佛山市顺德区疾病预防控制中心采购试剂一批项目</w:t>
      </w:r>
      <w:r>
        <w:rPr>
          <w:rFonts w:hint="eastAsia" w:asciiTheme="minorEastAsia" w:hAnsiTheme="minorEastAsia" w:eastAsiaTheme="minorEastAsia"/>
        </w:rPr>
        <w:t>的竞价公告，本公司（企业）愿意参加竞价，并声明：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一、本公司（企业）具备《中华人民共和国政府采购法》第二十二条规定的条件：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（一）具有独立承担民事责任的能力；</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（二）具有良好的商业信誉和健全的财务会计制度；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（三）具有履行合同所必需的</w:t>
      </w:r>
      <w:r>
        <w:rPr>
          <w:rFonts w:hint="eastAsia" w:ascii="宋体" w:hAnsi="宋体" w:cs="宋体"/>
          <w:szCs w:val="21"/>
        </w:rPr>
        <w:t>货物</w:t>
      </w:r>
      <w:r>
        <w:rPr>
          <w:rFonts w:hint="eastAsia" w:asciiTheme="minorEastAsia" w:hAnsiTheme="minorEastAsia" w:eastAsiaTheme="minorEastAsia"/>
        </w:rPr>
        <w:t>和专业技术能力；</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（四）有依法缴纳税收和社会保障资金的良好记录；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（五）参加本次询价活动前三年内，在经营活动中没有重大违法记录；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（六）法律、行政法规规定的其他条件。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二、本公司具有本次采购项目服务能力。</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三、本公司有固定的经营场所，信誉良好、售后维护服务好，并且在经营活动中无严重违法记录。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四、本公司在本项目中不转包且不联合竞价。</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本公司（企业）承诺在本次采购活动中，如有违法、违规、弄虚作假行为，所造成的损失、不良后果及法律责任，一律由我公司（企业）承担。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特此声明！</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备注：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本声明函必须提供且内容不得擅自删改，否则视为响应无效。</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本声明函如有虚假或与事实不符的，作无效报价处理。</w:t>
      </w:r>
    </w:p>
    <w:p>
      <w:pPr>
        <w:pStyle w:val="35"/>
        <w:wordWrap w:val="0"/>
        <w:spacing w:line="360" w:lineRule="auto"/>
        <w:ind w:left="1200" w:right="218" w:firstLine="0" w:firstLineChars="0"/>
        <w:jc w:val="right"/>
        <w:rPr>
          <w:rFonts w:ascii="宋体" w:hAnsi="宋体"/>
          <w:spacing w:val="4"/>
        </w:rPr>
      </w:pPr>
    </w:p>
    <w:p>
      <w:pPr>
        <w:pStyle w:val="35"/>
        <w:spacing w:line="360" w:lineRule="auto"/>
        <w:ind w:left="1200" w:right="218" w:firstLine="0" w:firstLineChars="0"/>
        <w:jc w:val="right"/>
        <w:rPr>
          <w:rFonts w:ascii="宋体" w:hAnsi="宋体"/>
          <w:spacing w:val="4"/>
        </w:rPr>
      </w:pPr>
    </w:p>
    <w:p>
      <w:pPr>
        <w:pStyle w:val="35"/>
        <w:spacing w:line="360" w:lineRule="auto"/>
        <w:ind w:right="218" w:firstLine="218" w:firstLineChars="100"/>
        <w:jc w:val="left"/>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pStyle w:val="35"/>
        <w:spacing w:line="360" w:lineRule="auto"/>
        <w:ind w:left="1200" w:right="210" w:firstLine="0" w:firstLineChars="0"/>
        <w:jc w:val="left"/>
        <w:rPr>
          <w:rFonts w:ascii="宋体" w:hAnsi="宋体"/>
          <w:u w:val="single"/>
        </w:rPr>
      </w:pPr>
    </w:p>
    <w:p>
      <w:pPr>
        <w:wordWrap w:val="0"/>
        <w:spacing w:line="360" w:lineRule="auto"/>
        <w:ind w:firstLine="218" w:firstLineChars="100"/>
        <w:jc w:val="left"/>
        <w:rPr>
          <w:rFonts w:ascii="宋体" w:hAnsi="宋体"/>
          <w:u w:val="single"/>
        </w:rPr>
      </w:pPr>
      <w:r>
        <w:rPr>
          <w:rFonts w:hint="eastAsia" w:ascii="宋体" w:hAnsi="宋体"/>
          <w:spacing w:val="4"/>
        </w:rPr>
        <w:t>日期：</w:t>
      </w:r>
      <w:r>
        <w:rPr>
          <w:rFonts w:hint="eastAsia" w:ascii="宋体" w:hAnsi="宋体"/>
          <w:spacing w:val="4"/>
          <w:u w:val="single"/>
        </w:rPr>
        <w:t xml:space="preserve">          </w:t>
      </w:r>
    </w:p>
    <w:p>
      <w:pPr>
        <w:spacing w:line="360" w:lineRule="auto"/>
        <w:ind w:firstLine="420" w:firstLineChars="200"/>
        <w:rPr>
          <w:rFonts w:asciiTheme="minorEastAsia" w:hAnsiTheme="minorEastAsia" w:eastAsiaTheme="minorEastAsia"/>
        </w:rPr>
      </w:pPr>
    </w:p>
    <w:p>
      <w:pPr>
        <w:widowControl/>
        <w:jc w:val="left"/>
        <w:rPr>
          <w:rFonts w:ascii="宋体" w:hAnsi="宋体" w:cs="仿宋"/>
          <w:color w:val="000000"/>
          <w:kern w:val="0"/>
          <w:szCs w:val="21"/>
        </w:rPr>
      </w:pPr>
      <w:r>
        <w:rPr>
          <w:rFonts w:ascii="宋体" w:hAnsi="宋体" w:cs="仿宋"/>
          <w:szCs w:val="21"/>
        </w:rPr>
        <w:br w:type="page"/>
      </w:r>
    </w:p>
    <w:p>
      <w:pPr>
        <w:pStyle w:val="20"/>
        <w:rPr>
          <w:sz w:val="72"/>
          <w:szCs w:val="72"/>
        </w:rPr>
      </w:pPr>
      <w:r>
        <w:rPr>
          <w:rFonts w:hint="eastAsia"/>
          <w:sz w:val="72"/>
          <w:szCs w:val="72"/>
        </w:rPr>
        <w:t>合</w:t>
      </w:r>
      <w:r>
        <w:rPr>
          <w:sz w:val="72"/>
          <w:szCs w:val="72"/>
        </w:rPr>
        <w:t xml:space="preserve">  </w:t>
      </w:r>
      <w:r>
        <w:rPr>
          <w:rFonts w:hint="eastAsia"/>
          <w:sz w:val="72"/>
          <w:szCs w:val="72"/>
        </w:rPr>
        <w:t>同</w:t>
      </w:r>
      <w:r>
        <w:rPr>
          <w:sz w:val="72"/>
          <w:szCs w:val="72"/>
        </w:rPr>
        <w:t xml:space="preserve">  </w:t>
      </w:r>
      <w:r>
        <w:rPr>
          <w:rFonts w:hint="eastAsia"/>
          <w:sz w:val="72"/>
          <w:szCs w:val="72"/>
        </w:rPr>
        <w:t>书</w:t>
      </w:r>
    </w:p>
    <w:p>
      <w:pPr>
        <w:spacing w:line="360" w:lineRule="auto"/>
        <w:ind w:firstLine="2675" w:firstLineChars="1269"/>
        <w:rPr>
          <w:rFonts w:ascii="宋体" w:hAnsi="宋体"/>
          <w:b/>
          <w:bCs/>
        </w:rPr>
      </w:pPr>
    </w:p>
    <w:p>
      <w:pPr>
        <w:spacing w:before="156" w:beforeLines="50" w:line="360" w:lineRule="auto"/>
        <w:jc w:val="left"/>
        <w:rPr>
          <w:rFonts w:ascii="宋体" w:hAnsi="宋体"/>
          <w:b/>
          <w:bCs/>
        </w:rPr>
      </w:pPr>
    </w:p>
    <w:p>
      <w:pPr>
        <w:spacing w:line="540" w:lineRule="exact"/>
        <w:rPr>
          <w:rFonts w:hint="eastAsia" w:ascii="宋体" w:hAnsi="宋体" w:eastAsia="宋体"/>
          <w:b/>
          <w:bCs/>
          <w:sz w:val="24"/>
          <w:szCs w:val="24"/>
          <w:lang w:eastAsia="zh-CN"/>
        </w:rPr>
      </w:pPr>
      <w:r>
        <w:rPr>
          <w:rFonts w:hint="eastAsia" w:ascii="宋体" w:hAnsi="宋体" w:cs="宋体"/>
          <w:b/>
        </w:rPr>
        <w:t>项目名称：</w:t>
      </w:r>
      <w:r>
        <w:rPr>
          <w:rFonts w:hint="eastAsia" w:ascii="宋体" w:hAnsi="宋体"/>
          <w:b/>
          <w:lang w:eastAsia="zh-CN"/>
        </w:rPr>
        <w:t>佛山市顺德区疾病预防控制中心采购试剂一批项目</w:t>
      </w:r>
    </w:p>
    <w:p>
      <w:pPr>
        <w:spacing w:line="540" w:lineRule="exact"/>
        <w:rPr>
          <w:rFonts w:ascii="宋体" w:hAnsi="宋体" w:cs="宋体"/>
          <w:b/>
        </w:rPr>
      </w:pPr>
      <w:r>
        <w:rPr>
          <w:rFonts w:hint="eastAsia" w:ascii="宋体" w:hAnsi="宋体" w:cs="宋体"/>
          <w:b/>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tbl>
      <w:tblPr>
        <w:tblStyle w:val="22"/>
        <w:tblW w:w="5167" w:type="dxa"/>
        <w:jc w:val="center"/>
        <w:tblLayout w:type="fixed"/>
        <w:tblCellMar>
          <w:top w:w="0" w:type="dxa"/>
          <w:left w:w="108" w:type="dxa"/>
          <w:bottom w:w="0" w:type="dxa"/>
          <w:right w:w="108" w:type="dxa"/>
        </w:tblCellMar>
      </w:tblPr>
      <w:tblGrid>
        <w:gridCol w:w="5167"/>
      </w:tblGrid>
      <w:tr>
        <w:trPr>
          <w:trHeight w:val="615" w:hRule="atLeast"/>
          <w:jc w:val="center"/>
        </w:trPr>
        <w:tc>
          <w:tcPr>
            <w:tcW w:w="5167" w:type="dxa"/>
          </w:tcPr>
          <w:p>
            <w:pPr>
              <w:spacing w:line="360" w:lineRule="auto"/>
              <w:rPr>
                <w:rFonts w:ascii="宋体" w:hAnsi="宋体"/>
              </w:rPr>
            </w:pPr>
            <w:r>
              <w:rPr>
                <w:rFonts w:ascii="宋体" w:hAnsi="宋体"/>
                <w:b/>
              </w:rPr>
              <w:t>甲方：</w:t>
            </w:r>
            <w:r>
              <w:rPr>
                <w:rFonts w:hint="eastAsia" w:ascii="宋体" w:hAnsi="宋体"/>
                <w:b/>
                <w:u w:val="single"/>
              </w:rPr>
              <w:t xml:space="preserve">           （采购人）           </w:t>
            </w:r>
          </w:p>
        </w:tc>
      </w:tr>
      <w:tr>
        <w:tblPrEx>
          <w:tblCellMar>
            <w:top w:w="0" w:type="dxa"/>
            <w:left w:w="108" w:type="dxa"/>
            <w:bottom w:w="0" w:type="dxa"/>
            <w:right w:w="108" w:type="dxa"/>
          </w:tblCellMar>
        </w:tblPrEx>
        <w:trPr>
          <w:trHeight w:val="439" w:hRule="atLeast"/>
          <w:jc w:val="center"/>
        </w:trPr>
        <w:tc>
          <w:tcPr>
            <w:tcW w:w="5167" w:type="dxa"/>
          </w:tcPr>
          <w:p>
            <w:pPr>
              <w:spacing w:line="360" w:lineRule="auto"/>
              <w:rPr>
                <w:rFonts w:ascii="宋体" w:hAnsi="宋体"/>
              </w:rPr>
            </w:pPr>
            <w:r>
              <w:rPr>
                <w:rFonts w:ascii="宋体" w:hAnsi="宋体"/>
                <w:b/>
              </w:rPr>
              <w:t>乙方：</w:t>
            </w:r>
            <w:r>
              <w:rPr>
                <w:rFonts w:hint="eastAsia" w:ascii="宋体" w:hAnsi="宋体"/>
                <w:b/>
                <w:u w:val="single"/>
              </w:rPr>
              <w:t xml:space="preserve">         （成交供应商）        </w:t>
            </w:r>
            <w:r>
              <w:rPr>
                <w:rFonts w:ascii="宋体" w:hAnsi="宋体"/>
                <w:b/>
                <w:u w:val="single"/>
              </w:rPr>
              <w:t xml:space="preserve"> </w:t>
            </w:r>
          </w:p>
        </w:tc>
      </w:tr>
      <w:tr>
        <w:tblPrEx>
          <w:tblCellMar>
            <w:top w:w="0" w:type="dxa"/>
            <w:left w:w="108" w:type="dxa"/>
            <w:bottom w:w="0" w:type="dxa"/>
            <w:right w:w="108" w:type="dxa"/>
          </w:tblCellMar>
        </w:tblPrEx>
        <w:trPr>
          <w:trHeight w:val="439" w:hRule="atLeast"/>
          <w:jc w:val="center"/>
        </w:trPr>
        <w:tc>
          <w:tcPr>
            <w:tcW w:w="5167" w:type="dxa"/>
          </w:tcPr>
          <w:p>
            <w:pPr>
              <w:spacing w:line="360" w:lineRule="auto"/>
              <w:jc w:val="center"/>
              <w:rPr>
                <w:rFonts w:ascii="宋体" w:hAnsi="宋体"/>
                <w:b/>
                <w:bCs/>
              </w:rPr>
            </w:pPr>
            <w:r>
              <w:rPr>
                <w:rFonts w:ascii="宋体" w:hAnsi="宋体"/>
                <w:b/>
              </w:rPr>
              <w:t>签订日期：</w:t>
            </w:r>
            <w:r>
              <w:rPr>
                <w:rFonts w:hint="eastAsia" w:ascii="宋体" w:hAnsi="宋体"/>
                <w:b/>
              </w:rPr>
              <w:t xml:space="preserve">     </w:t>
            </w:r>
            <w:r>
              <w:rPr>
                <w:rFonts w:ascii="宋体" w:hAnsi="宋体"/>
                <w:b/>
              </w:rPr>
              <w:t>年</w:t>
            </w:r>
            <w:r>
              <w:rPr>
                <w:rFonts w:hint="eastAsia" w:ascii="宋体" w:hAnsi="宋体"/>
                <w:b/>
              </w:rPr>
              <w:t xml:space="preserve">    </w:t>
            </w:r>
            <w:r>
              <w:rPr>
                <w:rFonts w:ascii="宋体" w:hAnsi="宋体"/>
                <w:b/>
              </w:rPr>
              <w:t>月</w:t>
            </w:r>
          </w:p>
        </w:tc>
      </w:tr>
    </w:tbl>
    <w:p>
      <w:pPr>
        <w:rPr>
          <w:rFonts w:ascii="宋体" w:hAnsi="宋体"/>
        </w:rPr>
      </w:pPr>
    </w:p>
    <w:p>
      <w:pPr>
        <w:adjustRightInd w:val="0"/>
        <w:snapToGrid w:val="0"/>
        <w:spacing w:line="360" w:lineRule="auto"/>
        <w:rPr>
          <w:rFonts w:ascii="宋体" w:hAnsi="宋体"/>
          <w:b/>
        </w:rPr>
      </w:pPr>
      <w:r>
        <w:rPr>
          <w:rFonts w:hint="eastAsia" w:ascii="宋体" w:hAnsi="宋体"/>
        </w:rPr>
        <w:br w:type="page"/>
      </w:r>
      <w:r>
        <w:rPr>
          <w:rFonts w:hint="eastAsia" w:ascii="宋体" w:hAnsi="宋体"/>
          <w:b/>
        </w:rPr>
        <w:t>甲      方：</w:t>
      </w:r>
      <w:r>
        <w:rPr>
          <w:rFonts w:hint="eastAsia" w:ascii="宋体" w:hAnsi="宋体"/>
          <w:b/>
          <w:u w:val="single"/>
        </w:rPr>
        <w:t xml:space="preserve"> （采购人）          </w:t>
      </w:r>
    </w:p>
    <w:p>
      <w:pPr>
        <w:adjustRightInd w:val="0"/>
        <w:snapToGrid w:val="0"/>
        <w:spacing w:line="360" w:lineRule="auto"/>
        <w:rPr>
          <w:rFonts w:ascii="宋体" w:hAnsi="宋体"/>
          <w:b/>
        </w:rPr>
      </w:pPr>
      <w:r>
        <w:rPr>
          <w:rFonts w:ascii="宋体" w:hAnsi="宋体"/>
          <w:b/>
        </w:rPr>
        <w:t>乙</w:t>
      </w:r>
      <w:r>
        <w:rPr>
          <w:rFonts w:hint="eastAsia" w:ascii="宋体" w:hAnsi="宋体"/>
          <w:b/>
        </w:rPr>
        <w:t xml:space="preserve">      </w:t>
      </w:r>
      <w:r>
        <w:rPr>
          <w:rFonts w:ascii="宋体" w:hAnsi="宋体"/>
          <w:b/>
        </w:rPr>
        <w:t>方：</w:t>
      </w:r>
      <w:r>
        <w:rPr>
          <w:rFonts w:hint="eastAsia" w:ascii="宋体" w:hAnsi="宋体"/>
          <w:b/>
          <w:u w:val="single"/>
        </w:rPr>
        <w:t xml:space="preserve"> （成交人）    </w:t>
      </w:r>
      <w:r>
        <w:rPr>
          <w:rFonts w:ascii="宋体" w:hAnsi="宋体"/>
          <w:b/>
          <w:u w:val="single"/>
        </w:rPr>
        <w:t xml:space="preserve">    </w:t>
      </w:r>
      <w:r>
        <w:rPr>
          <w:rFonts w:hint="eastAsia" w:ascii="宋体" w:hAnsi="宋体"/>
          <w:b/>
          <w:u w:val="single"/>
        </w:rPr>
        <w:t xml:space="preserve">  </w:t>
      </w:r>
    </w:p>
    <w:p>
      <w:pPr>
        <w:adjustRightInd w:val="0"/>
        <w:snapToGrid w:val="0"/>
        <w:spacing w:line="360" w:lineRule="auto"/>
        <w:rPr>
          <w:rFonts w:ascii="宋体" w:hAnsi="宋体"/>
          <w:b/>
          <w:u w:val="single"/>
        </w:rPr>
      </w:pPr>
      <w:r>
        <w:rPr>
          <w:rFonts w:hint="eastAsia" w:ascii="宋体" w:hAnsi="宋体"/>
          <w:b/>
        </w:rPr>
        <w:t>合同见证方：</w:t>
      </w: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kern w:val="28"/>
        </w:rPr>
      </w:pPr>
      <w:r>
        <w:rPr>
          <w:rFonts w:hint="eastAsia" w:ascii="宋体" w:hAnsi="宋体"/>
        </w:rPr>
        <w:t>根据</w:t>
      </w:r>
      <w:r>
        <w:rPr>
          <w:rFonts w:hint="eastAsia" w:ascii="宋体" w:hAnsi="宋体"/>
          <w:b/>
          <w:lang w:eastAsia="zh-CN"/>
        </w:rPr>
        <w:t>佛山市顺德区疾病预防控制中心采购试剂一批项目</w:t>
      </w:r>
      <w:r>
        <w:rPr>
          <w:rFonts w:hint="eastAsia" w:ascii="宋体" w:hAnsi="宋体"/>
        </w:rPr>
        <w:t>的采购结果，按照《中华人民共和国政府采购法》《中华人民共和国民法典》、竞价文件的要求，</w:t>
      </w:r>
      <w:r>
        <w:rPr>
          <w:rFonts w:hint="eastAsia" w:ascii="宋体" w:hAnsi="宋体"/>
          <w:kern w:val="28"/>
        </w:rPr>
        <w:t>经双方协商，</w:t>
      </w:r>
      <w:r>
        <w:rPr>
          <w:rFonts w:hint="eastAsia" w:ascii="宋体" w:hAnsi="宋体"/>
        </w:rPr>
        <w:t>本着平等互利和诚实信用的原则，</w:t>
      </w:r>
      <w:r>
        <w:rPr>
          <w:rFonts w:hint="eastAsia" w:ascii="宋体" w:hAnsi="宋体"/>
          <w:kern w:val="28"/>
        </w:rPr>
        <w:t>一致同意签订本合同如下。</w:t>
      </w:r>
    </w:p>
    <w:p>
      <w:pPr>
        <w:pStyle w:val="39"/>
        <w:numPr>
          <w:ilvl w:val="0"/>
          <w:numId w:val="14"/>
        </w:numPr>
        <w:spacing w:line="360" w:lineRule="auto"/>
        <w:ind w:left="0" w:firstLine="422"/>
        <w:rPr>
          <w:rFonts w:ascii="宋体" w:hAnsi="宋体" w:eastAsia="宋体" w:cs="Calibri"/>
          <w:b/>
          <w:bCs/>
          <w:szCs w:val="21"/>
        </w:rPr>
      </w:pPr>
      <w:r>
        <w:rPr>
          <w:rFonts w:hint="eastAsia" w:ascii="宋体" w:hAnsi="宋体" w:eastAsia="宋体" w:cs="Calibri"/>
          <w:b/>
          <w:bCs/>
          <w:szCs w:val="21"/>
        </w:rPr>
        <w:t>项目名称及编号</w:t>
      </w:r>
    </w:p>
    <w:p>
      <w:pPr>
        <w:numPr>
          <w:ilvl w:val="1"/>
          <w:numId w:val="15"/>
        </w:numPr>
        <w:adjustRightInd w:val="0"/>
        <w:snapToGrid w:val="0"/>
        <w:spacing w:line="360" w:lineRule="auto"/>
        <w:ind w:left="0" w:firstLine="420" w:firstLineChars="200"/>
        <w:jc w:val="left"/>
        <w:rPr>
          <w:rFonts w:ascii="宋体" w:hAnsi="宋体"/>
        </w:rPr>
      </w:pPr>
      <w:r>
        <w:rPr>
          <w:rFonts w:hint="eastAsia" w:ascii="宋体" w:hAnsi="宋体"/>
        </w:rPr>
        <w:t>项目名称：</w:t>
      </w:r>
      <w:r>
        <w:rPr>
          <w:rFonts w:hint="eastAsia" w:ascii="宋体" w:hAnsi="宋体"/>
          <w:b/>
          <w:lang w:eastAsia="zh-CN"/>
        </w:rPr>
        <w:t>佛山市顺德区疾病预防控制中心采购试剂一批项目</w:t>
      </w:r>
    </w:p>
    <w:p>
      <w:pPr>
        <w:numPr>
          <w:ilvl w:val="1"/>
          <w:numId w:val="15"/>
        </w:numPr>
        <w:adjustRightInd w:val="0"/>
        <w:snapToGrid w:val="0"/>
        <w:spacing w:line="360" w:lineRule="auto"/>
        <w:ind w:left="0" w:firstLine="420" w:firstLineChars="200"/>
        <w:jc w:val="left"/>
        <w:rPr>
          <w:rFonts w:ascii="宋体" w:hAnsi="宋体"/>
        </w:rPr>
      </w:pPr>
      <w:r>
        <w:rPr>
          <w:rFonts w:hint="eastAsia" w:ascii="宋体" w:hAnsi="宋体"/>
        </w:rPr>
        <w:t>项目编号：</w:t>
      </w:r>
    </w:p>
    <w:p>
      <w:pPr>
        <w:pStyle w:val="39"/>
        <w:numPr>
          <w:ilvl w:val="0"/>
          <w:numId w:val="14"/>
        </w:numPr>
        <w:spacing w:line="360" w:lineRule="auto"/>
        <w:ind w:left="0" w:firstLine="422"/>
        <w:rPr>
          <w:rFonts w:ascii="宋体" w:hAnsi="宋体" w:eastAsia="宋体" w:cs="Calibri"/>
          <w:b/>
          <w:bCs/>
          <w:szCs w:val="21"/>
        </w:rPr>
      </w:pPr>
      <w:bookmarkStart w:id="6" w:name="_Toc78604606"/>
      <w:r>
        <w:rPr>
          <w:rFonts w:hint="eastAsia" w:ascii="宋体" w:hAnsi="宋体" w:eastAsia="宋体" w:cs="Calibri"/>
          <w:b/>
          <w:bCs/>
          <w:szCs w:val="21"/>
        </w:rPr>
        <w:t>采购内容</w:t>
      </w:r>
    </w:p>
    <w:tbl>
      <w:tblPr>
        <w:tblStyle w:val="22"/>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4"/>
        <w:gridCol w:w="1701"/>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754" w:type="dxa"/>
            <w:shd w:val="clear" w:color="auto" w:fill="EEECE1"/>
            <w:vAlign w:val="center"/>
          </w:tcPr>
          <w:p>
            <w:pPr>
              <w:spacing w:line="360" w:lineRule="auto"/>
              <w:jc w:val="center"/>
              <w:rPr>
                <w:rFonts w:ascii="宋体" w:hAnsi="宋体"/>
                <w:b/>
                <w:bCs/>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采购内容</w:t>
            </w:r>
          </w:p>
        </w:tc>
        <w:tc>
          <w:tcPr>
            <w:tcW w:w="1701" w:type="dxa"/>
            <w:shd w:val="clear" w:color="auto" w:fill="EEECE1"/>
            <w:vAlign w:val="center"/>
          </w:tcPr>
          <w:p>
            <w:pPr>
              <w:spacing w:line="360" w:lineRule="auto"/>
              <w:jc w:val="center"/>
              <w:rPr>
                <w:rFonts w:ascii="宋体" w:hAnsi="宋体"/>
                <w:b/>
                <w:bCs/>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数量</w:t>
            </w:r>
          </w:p>
        </w:tc>
        <w:tc>
          <w:tcPr>
            <w:tcW w:w="3702" w:type="dxa"/>
            <w:shd w:val="clear" w:color="auto" w:fill="EEECE1"/>
            <w:vAlign w:val="center"/>
          </w:tcPr>
          <w:p>
            <w:pPr>
              <w:spacing w:line="360" w:lineRule="auto"/>
              <w:jc w:val="center"/>
              <w:rPr>
                <w:rFonts w:ascii="宋体" w:hAns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54" w:type="dxa"/>
            <w:vAlign w:val="center"/>
          </w:tcPr>
          <w:p>
            <w:pPr>
              <w:spacing w:line="360" w:lineRule="auto"/>
              <w:jc w:val="center"/>
              <w:rPr>
                <w:rFonts w:hint="eastAsia" w:ascii="宋体" w:hAnsi="宋体" w:eastAsia="宋体" w:cstheme="minorEastAsia"/>
                <w:bCs/>
                <w:color w:val="000000" w:themeColor="text1"/>
                <w:lang w:eastAsia="zh-CN"/>
                <w14:textFill>
                  <w14:solidFill>
                    <w14:schemeClr w14:val="tx1"/>
                  </w14:solidFill>
                </w14:textFill>
              </w:rPr>
            </w:pPr>
            <w:r>
              <w:rPr>
                <w:rFonts w:hint="eastAsia" w:ascii="宋体" w:hAnsi="宋体" w:cstheme="minorEastAsia"/>
                <w:bCs/>
                <w:color w:val="000000" w:themeColor="text1"/>
                <w:lang w:eastAsia="zh-CN"/>
                <w14:textFill>
                  <w14:solidFill>
                    <w14:schemeClr w14:val="tx1"/>
                  </w14:solidFill>
                </w14:textFill>
              </w:rPr>
              <w:t>佛山市顺德区疾病预防控制中心采购试剂一批项目</w:t>
            </w:r>
          </w:p>
        </w:tc>
        <w:tc>
          <w:tcPr>
            <w:tcW w:w="1701" w:type="dxa"/>
            <w:shd w:val="clear" w:color="auto" w:fill="auto"/>
            <w:vAlign w:val="center"/>
          </w:tcPr>
          <w:p>
            <w:pPr>
              <w:spacing w:line="360" w:lineRule="auto"/>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stheme="minorEastAsia"/>
                <w:bCs/>
                <w:color w:val="000000" w:themeColor="text1"/>
                <w14:textFill>
                  <w14:solidFill>
                    <w14:schemeClr w14:val="tx1"/>
                  </w14:solidFill>
                </w14:textFill>
              </w:rPr>
              <w:t>1</w:t>
            </w:r>
            <w:r>
              <w:rPr>
                <w:rFonts w:hint="eastAsia" w:ascii="宋体" w:hAnsi="宋体" w:cstheme="minorEastAsia"/>
                <w:bCs/>
                <w:color w:val="000000" w:themeColor="text1"/>
                <w:lang w:eastAsia="zh-CN"/>
                <w14:textFill>
                  <w14:solidFill>
                    <w14:schemeClr w14:val="tx1"/>
                  </w14:solidFill>
                </w14:textFill>
              </w:rPr>
              <w:t>批</w:t>
            </w:r>
          </w:p>
        </w:tc>
        <w:tc>
          <w:tcPr>
            <w:tcW w:w="3702" w:type="dxa"/>
            <w:vAlign w:val="center"/>
          </w:tcPr>
          <w:p>
            <w:pPr>
              <w:pStyle w:val="34"/>
              <w:spacing w:before="0" w:after="0" w:line="360" w:lineRule="auto"/>
              <w:ind w:right="-82" w:rightChars="-39" w:hanging="54"/>
              <w:rPr>
                <w:rFonts w:ascii="宋体" w:hAnsi="宋体"/>
                <w:color w:val="000000" w:themeColor="text1"/>
                <w:spacing w:val="0"/>
                <w:kern w:val="2"/>
                <w:sz w:val="21"/>
                <w:szCs w:val="21"/>
                <w14:textFill>
                  <w14:solidFill>
                    <w14:schemeClr w14:val="tx1"/>
                  </w14:solidFill>
                </w14:textFill>
              </w:rPr>
            </w:pPr>
            <w:r>
              <w:rPr>
                <w:rFonts w:hint="eastAsia" w:ascii="宋体" w:hAnsi="宋体"/>
                <w:color w:val="000000" w:themeColor="text1"/>
                <w:spacing w:val="0"/>
                <w:kern w:val="2"/>
                <w:sz w:val="21"/>
                <w:szCs w:val="21"/>
                <w14:textFill>
                  <w14:solidFill>
                    <w14:schemeClr w14:val="tx1"/>
                  </w14:solidFill>
                </w14:textFill>
              </w:rPr>
              <w:t>2024年6月25日</w:t>
            </w:r>
          </w:p>
        </w:tc>
      </w:tr>
    </w:tbl>
    <w:p>
      <w:pPr>
        <w:adjustRightInd w:val="0"/>
        <w:snapToGrid w:val="0"/>
        <w:spacing w:line="360" w:lineRule="auto"/>
        <w:ind w:left="420" w:left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w:t>
      </w:r>
      <w:r>
        <w:rPr>
          <w:rFonts w:ascii="宋体" w:hAnsi="宋体"/>
          <w:b/>
          <w:bCs/>
          <w:color w:val="000000" w:themeColor="text1"/>
          <w14:textFill>
            <w14:solidFill>
              <w14:schemeClr w14:val="tx1"/>
            </w14:solidFill>
          </w14:textFill>
        </w:rPr>
        <w:t>合同</w:t>
      </w:r>
      <w:bookmarkEnd w:id="6"/>
      <w:r>
        <w:rPr>
          <w:rFonts w:ascii="宋体" w:hAnsi="宋体"/>
          <w:b/>
          <w:bCs/>
          <w:color w:val="000000" w:themeColor="text1"/>
          <w14:textFill>
            <w14:solidFill>
              <w14:schemeClr w14:val="tx1"/>
            </w14:solidFill>
          </w14:textFill>
        </w:rPr>
        <w:t>金额</w:t>
      </w:r>
    </w:p>
    <w:p>
      <w:pPr>
        <w:tabs>
          <w:tab w:val="left" w:pos="624"/>
        </w:tabs>
        <w:snapToGrid w:val="0"/>
        <w:spacing w:line="360" w:lineRule="auto"/>
        <w:ind w:firstLine="420" w:firstLineChars="200"/>
        <w:jc w:val="left"/>
      </w:pPr>
      <w:r>
        <w:rPr>
          <w:color w:val="000000" w:themeColor="text1"/>
          <w:szCs w:val="24"/>
          <w14:textFill>
            <w14:solidFill>
              <w14:schemeClr w14:val="tx1"/>
            </w14:solidFill>
          </w14:textFill>
        </w:rPr>
        <w:t>合同价：￥</w:t>
      </w:r>
      <w:r>
        <w:rPr>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小写</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；人民币</w:t>
      </w:r>
      <w:r>
        <w:rPr>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大写</w:t>
      </w:r>
      <w:r>
        <w:rPr>
          <w:rFonts w:hint="eastAsia"/>
          <w:color w:val="000000" w:themeColor="text1"/>
          <w:szCs w:val="24"/>
          <w14:textFill>
            <w14:solidFill>
              <w14:schemeClr w14:val="tx1"/>
            </w14:solidFill>
          </w14:textFill>
        </w:rPr>
        <w:t>）</w:t>
      </w:r>
    </w:p>
    <w:p>
      <w:pPr>
        <w:pStyle w:val="13"/>
        <w:tabs>
          <w:tab w:val="left" w:pos="540"/>
        </w:tabs>
        <w:adjustRightInd w:val="0"/>
        <w:snapToGrid w:val="0"/>
        <w:spacing w:line="360" w:lineRule="auto"/>
        <w:ind w:firstLine="422" w:firstLineChars="200"/>
        <w:rPr>
          <w:rFonts w:hint="eastAsia" w:hAnsi="宋体"/>
          <w:b/>
          <w:bCs/>
          <w:color w:val="000000" w:themeColor="text1"/>
          <w14:textFill>
            <w14:solidFill>
              <w14:schemeClr w14:val="tx1"/>
            </w14:solidFill>
          </w14:textFill>
        </w:rPr>
      </w:pPr>
      <w:r>
        <w:rPr>
          <w:rFonts w:hint="eastAsia" w:hAnsi="宋体"/>
          <w:b/>
          <w:bCs/>
          <w:color w:val="000000" w:themeColor="text1"/>
          <w:lang w:val="en-US" w:eastAsia="zh-CN"/>
          <w14:textFill>
            <w14:solidFill>
              <w14:schemeClr w14:val="tx1"/>
            </w14:solidFill>
          </w14:textFill>
        </w:rPr>
        <w:t>四、</w:t>
      </w:r>
      <w:r>
        <w:rPr>
          <w:rFonts w:hint="eastAsia" w:ascii="宋体" w:hAnsi="宋体"/>
          <w:b/>
          <w:bCs/>
          <w:color w:val="000000" w:themeColor="text1"/>
          <w14:textFill>
            <w14:solidFill>
              <w14:schemeClr w14:val="tx1"/>
            </w14:solidFill>
          </w14:textFill>
        </w:rPr>
        <w:t>采购内容及要求（生产日期近两个月内）</w:t>
      </w:r>
    </w:p>
    <w:tbl>
      <w:tblPr>
        <w:tblStyle w:val="22"/>
        <w:tblW w:w="11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1140"/>
        <w:gridCol w:w="780"/>
        <w:gridCol w:w="525"/>
        <w:gridCol w:w="585"/>
        <w:gridCol w:w="858"/>
        <w:gridCol w:w="837"/>
        <w:gridCol w:w="4135"/>
        <w:gridCol w:w="86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物料名称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限价（元）</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小计限价（元）</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品牌</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tabs>
                <w:tab w:val="left" w:pos="540"/>
              </w:tabs>
              <w:adjustRightInd w:val="0"/>
              <w:snapToGrid w:val="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hAnsi="宋体"/>
                <w:b/>
                <w:bCs/>
                <w:color w:val="000000" w:themeColor="text1"/>
                <w14:textFill>
                  <w14:solidFill>
                    <w14:schemeClr w14:val="tx1"/>
                  </w14:solidFill>
                </w14:textFill>
              </w:rPr>
              <w:t>单价报价（元）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tabs>
                <w:tab w:val="left" w:pos="540"/>
              </w:tabs>
              <w:adjustRightInd w:val="0"/>
              <w:snapToGrid w:val="0"/>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hAnsi="宋体"/>
                <w:b/>
                <w:bCs/>
                <w:color w:val="000000" w:themeColor="text1"/>
                <w14:textFill>
                  <w14:solidFill>
                    <w14:schemeClr w14:val="tx1"/>
                  </w14:solidFill>
                </w14:textFill>
              </w:rPr>
              <w:t>小计报价（元）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50T/盒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发热伴血小板减少综合征（布尼亚病毒）核酸检测试剂盒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疟原虫通用核酸检测试剂盒（荧光PCR法）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百日咳杆菌和副百日咳杆菌核酸检测试剂盒（荧光PCR法）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50T/盒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恶性/间日/卵形/三日疟原虫核酸检测试剂盒（四重荧光PCR法）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肠道病毒（通用型/EV71/CA16/CA6/CA10）五重核酸检测试剂盒（PCR荧光探针法）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优先预混</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澳东</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疟原虫（疟原虫属、恶性疟原虫、间日疟原虫、卵形疟原虫、三日疟原虫）核酸检测试剂盒（荧光PCR法）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生凌，预混大单管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8种虫媒类病原体多重核酸检测（B管）液体全分装试剂盒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生凌【检测目标：登革热病毒、基孔肯雅热病毒、寨卡病毒、乙型脑炎病毒、黄热病毒、西尼罗河病毒、辛德毕斯病毒、疟原虫 】尽量要预混大单管，不要预分装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十七种呼吸道病原体核酸检测试剂盒-G版(荧光PCR法)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drawing>
                <wp:anchor distT="0" distB="0" distL="114300" distR="114300" simplePos="0" relativeHeight="251661312" behindDoc="0" locked="0" layoutInCell="1" allowOverlap="1">
                  <wp:simplePos x="0" y="0"/>
                  <wp:positionH relativeFrom="column">
                    <wp:posOffset>436880</wp:posOffset>
                  </wp:positionH>
                  <wp:positionV relativeFrom="paragraph">
                    <wp:posOffset>261620</wp:posOffset>
                  </wp:positionV>
                  <wp:extent cx="2693035" cy="1437005"/>
                  <wp:effectExtent l="0" t="0" r="12065"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693035" cy="1437005"/>
                          </a:xfrm>
                          <a:prstGeom prst="rect">
                            <a:avLst/>
                          </a:prstGeom>
                          <a:noFill/>
                          <a:ln w="9525">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64,600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伯杰，不要预分装</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10ul移液器带滤芯灭菌吸头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96支/盒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300uL一次性已灭菌带滤芯吸头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96头/盒，10盒/箱</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1000ul移液器带滤芯吸头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96支/盒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冻存管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  50个/包 10包/箱</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预分装磁珠法病毒总核酸提取试剂盒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美基5412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PCR扩增仪96孔反应板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0.1ml，20 plates</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星状病毒核酸检测试剂盒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硕世</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人腺病毒核酸检测试剂盒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硕世</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肠道病毒CA6/CA10核酸检测试剂盒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柯萨奇病毒A16型和肠道病毒71型+肠道病毒通用型核酸检测试剂盒(2+1)(荧光PCR法)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50人份/盒</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13"/>
        <w:tabs>
          <w:tab w:val="left" w:pos="540"/>
        </w:tabs>
        <w:adjustRightInd w:val="0"/>
        <w:snapToGrid w:val="0"/>
        <w:spacing w:line="360" w:lineRule="auto"/>
        <w:ind w:firstLine="422" w:firstLineChars="2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五、商务要求：</w:t>
      </w:r>
    </w:p>
    <w:p>
      <w:pPr>
        <w:pStyle w:val="13"/>
        <w:numPr>
          <w:ilvl w:val="0"/>
          <w:numId w:val="16"/>
        </w:numPr>
        <w:tabs>
          <w:tab w:val="left" w:pos="540"/>
        </w:tabs>
        <w:adjustRightInd w:val="0"/>
        <w:snapToGrid w:val="0"/>
        <w:spacing w:line="360" w:lineRule="auto"/>
        <w:ind w:left="0" w:firstLine="422" w:firstLineChars="200"/>
      </w:pPr>
      <w:r>
        <w:rPr>
          <w:rFonts w:hint="eastAsia"/>
          <w:b/>
        </w:rPr>
        <w:t>质保期及售后服务要求</w:t>
      </w:r>
    </w:p>
    <w:p>
      <w:pPr>
        <w:numPr>
          <w:ilvl w:val="0"/>
          <w:numId w:val="17"/>
        </w:numPr>
        <w:autoSpaceDE w:val="0"/>
        <w:autoSpaceDN w:val="0"/>
        <w:adjustRightInd w:val="0"/>
        <w:snapToGrid w:val="0"/>
        <w:spacing w:line="360" w:lineRule="auto"/>
        <w:ind w:left="0" w:firstLine="420" w:firstLineChars="200"/>
        <w:rPr>
          <w:rFonts w:ascii="宋体" w:hAnsi="宋体" w:cs="宋体"/>
          <w:szCs w:val="21"/>
        </w:rPr>
      </w:pPr>
      <w:r>
        <w:rPr>
          <w:rFonts w:hint="eastAsia" w:ascii="宋体" w:hAnsi="宋体" w:cs="宋体"/>
          <w:szCs w:val="21"/>
        </w:rPr>
        <w:t>质保期内乙方对所供货物实行包修、包换、包退、包维护保养。</w:t>
      </w:r>
    </w:p>
    <w:p>
      <w:pPr>
        <w:numPr>
          <w:ilvl w:val="0"/>
          <w:numId w:val="17"/>
        </w:numPr>
        <w:autoSpaceDE w:val="0"/>
        <w:autoSpaceDN w:val="0"/>
        <w:adjustRightInd w:val="0"/>
        <w:snapToGrid w:val="0"/>
        <w:spacing w:line="360" w:lineRule="auto"/>
        <w:ind w:left="0" w:firstLine="420" w:firstLineChars="200"/>
        <w:rPr>
          <w:rFonts w:ascii="宋体" w:hAnsi="宋体" w:cs="宋体"/>
          <w:szCs w:val="21"/>
        </w:rPr>
      </w:pPr>
      <w:r>
        <w:rPr>
          <w:rFonts w:hint="eastAsia" w:ascii="宋体" w:hAnsi="宋体" w:cs="宋体"/>
          <w:szCs w:val="21"/>
        </w:rPr>
        <w:t>质保期内，如设备或零部件因非人为因素出现故障而造成短期停用时，则质保期和免费维修期相应顺延。如停用时间累计超过60天则质保期重新计算。</w:t>
      </w:r>
    </w:p>
    <w:p>
      <w:pPr>
        <w:numPr>
          <w:ilvl w:val="0"/>
          <w:numId w:val="17"/>
        </w:numPr>
        <w:autoSpaceDE w:val="0"/>
        <w:autoSpaceDN w:val="0"/>
        <w:adjustRightInd w:val="0"/>
        <w:snapToGrid w:val="0"/>
        <w:spacing w:line="360" w:lineRule="auto"/>
        <w:ind w:left="0" w:firstLine="420" w:firstLineChars="200"/>
        <w:rPr>
          <w:rFonts w:ascii="宋体" w:hAnsi="宋体" w:cs="宋体"/>
          <w:szCs w:val="21"/>
        </w:rPr>
      </w:pPr>
      <w:r>
        <w:rPr>
          <w:rFonts w:hint="eastAsia" w:ascii="宋体" w:hAnsi="宋体" w:cs="宋体"/>
          <w:szCs w:val="21"/>
        </w:rPr>
        <w:t>对甲方的服务通知，乙方在接报后1小时内响应，4小时内到达现场，48小时内处理完毕。若在48小时内仍未能有效解决，乙方须免费提供同档次的设备予甲方临时使用。</w:t>
      </w:r>
    </w:p>
    <w:p>
      <w:pPr>
        <w:pStyle w:val="13"/>
        <w:numPr>
          <w:ilvl w:val="0"/>
          <w:numId w:val="16"/>
        </w:numPr>
        <w:tabs>
          <w:tab w:val="left" w:pos="540"/>
        </w:tabs>
        <w:adjustRightInd w:val="0"/>
        <w:snapToGrid w:val="0"/>
        <w:spacing w:line="360" w:lineRule="auto"/>
        <w:ind w:left="0" w:firstLine="422" w:firstLineChars="200"/>
        <w:rPr>
          <w:rFonts w:hAnsi="宋体"/>
          <w:b/>
        </w:rPr>
      </w:pPr>
      <w:r>
        <w:rPr>
          <w:rFonts w:hint="eastAsia" w:hAnsi="宋体"/>
          <w:b/>
        </w:rPr>
        <w:t>包装、保险及发运、保管要求</w:t>
      </w:r>
    </w:p>
    <w:p>
      <w:pPr>
        <w:numPr>
          <w:ilvl w:val="0"/>
          <w:numId w:val="18"/>
        </w:numPr>
        <w:adjustRightInd w:val="0"/>
        <w:snapToGrid w:val="0"/>
        <w:spacing w:line="360" w:lineRule="auto"/>
        <w:ind w:left="0" w:firstLine="420" w:firstLineChars="200"/>
        <w:rPr>
          <w:rFonts w:ascii="宋体" w:hAnsi="宋体"/>
          <w:szCs w:val="21"/>
        </w:rPr>
      </w:pPr>
      <w:r>
        <w:rPr>
          <w:rFonts w:hint="eastAsia" w:ascii="宋体" w:hAnsi="宋体"/>
          <w:szCs w:val="21"/>
        </w:rPr>
        <w:t>货物材料的包装必须是制造商原厂包装，其包装均应有良好的防湿、防锈、防潮、防雨、防腐及防碰撞的措施。凡由于包装不良造成的损失和由此产生的费用均由乙方承担。</w:t>
      </w:r>
    </w:p>
    <w:p>
      <w:pPr>
        <w:numPr>
          <w:ilvl w:val="0"/>
          <w:numId w:val="18"/>
        </w:numPr>
        <w:adjustRightInd w:val="0"/>
        <w:snapToGrid w:val="0"/>
        <w:spacing w:line="360" w:lineRule="auto"/>
        <w:ind w:left="0" w:firstLine="420" w:firstLineChars="200"/>
        <w:rPr>
          <w:rFonts w:ascii="宋体" w:hAnsi="宋体"/>
          <w:szCs w:val="21"/>
        </w:rPr>
      </w:pPr>
      <w:r>
        <w:rPr>
          <w:rFonts w:hint="eastAsia" w:ascii="宋体" w:hAnsi="宋体"/>
          <w:szCs w:val="21"/>
        </w:rPr>
        <w:t>乙方负责将货物材料运送到现场过程中的全部运输，包括装卸车、货物现场的搬运。</w:t>
      </w:r>
    </w:p>
    <w:p>
      <w:pPr>
        <w:numPr>
          <w:ilvl w:val="0"/>
          <w:numId w:val="18"/>
        </w:numPr>
        <w:adjustRightInd w:val="0"/>
        <w:snapToGrid w:val="0"/>
        <w:spacing w:line="360" w:lineRule="auto"/>
        <w:ind w:left="0" w:firstLine="420" w:firstLineChars="200"/>
        <w:rPr>
          <w:rFonts w:ascii="宋体" w:hAnsi="宋体"/>
          <w:szCs w:val="21"/>
        </w:rPr>
      </w:pPr>
      <w:r>
        <w:rPr>
          <w:rFonts w:hint="eastAsia" w:ascii="宋体" w:hAnsi="宋体"/>
          <w:szCs w:val="21"/>
        </w:rPr>
        <w:t>货物在现场的保管由乙方负责，直至项目安装、验收完毕。</w:t>
      </w:r>
    </w:p>
    <w:p>
      <w:pPr>
        <w:numPr>
          <w:ilvl w:val="0"/>
          <w:numId w:val="18"/>
        </w:numPr>
        <w:adjustRightInd w:val="0"/>
        <w:snapToGrid w:val="0"/>
        <w:spacing w:line="360" w:lineRule="auto"/>
        <w:ind w:left="0" w:firstLine="420" w:firstLineChars="200"/>
        <w:rPr>
          <w:rFonts w:ascii="宋体" w:hAnsi="宋体"/>
          <w:szCs w:val="21"/>
        </w:rPr>
      </w:pPr>
      <w:r>
        <w:rPr>
          <w:rFonts w:hint="eastAsia" w:ascii="宋体" w:hAnsi="宋体"/>
          <w:szCs w:val="21"/>
        </w:rPr>
        <w:t>货物至甲方指定的使用现场的包装、保险及发运等环节和费用均由乙方负责。</w:t>
      </w:r>
    </w:p>
    <w:p>
      <w:pPr>
        <w:pStyle w:val="13"/>
        <w:numPr>
          <w:ilvl w:val="0"/>
          <w:numId w:val="16"/>
        </w:numPr>
        <w:tabs>
          <w:tab w:val="left" w:pos="540"/>
        </w:tabs>
        <w:adjustRightInd w:val="0"/>
        <w:snapToGrid w:val="0"/>
        <w:spacing w:line="360" w:lineRule="auto"/>
        <w:ind w:left="0" w:firstLine="422" w:firstLineChars="200"/>
        <w:rPr>
          <w:b/>
        </w:rPr>
      </w:pPr>
      <w:r>
        <w:rPr>
          <w:rFonts w:hint="eastAsia"/>
          <w:b/>
        </w:rPr>
        <w:t>安装、调试与验收</w:t>
      </w:r>
    </w:p>
    <w:p>
      <w:pPr>
        <w:pStyle w:val="13"/>
        <w:numPr>
          <w:ilvl w:val="0"/>
          <w:numId w:val="19"/>
        </w:numPr>
        <w:tabs>
          <w:tab w:val="left" w:pos="540"/>
        </w:tabs>
        <w:adjustRightInd w:val="0"/>
        <w:snapToGrid w:val="0"/>
        <w:spacing w:line="360" w:lineRule="auto"/>
        <w:ind w:left="0" w:firstLine="420" w:firstLineChars="200"/>
      </w:pPr>
      <w:r>
        <w:rPr>
          <w:rFonts w:hint="eastAsia"/>
        </w:rPr>
        <w:t>乙方必须依照采购文件的要求和响应文件的承诺，将设备、系统安装并调试至正常运行的最佳状态。</w:t>
      </w:r>
    </w:p>
    <w:p>
      <w:pPr>
        <w:pStyle w:val="13"/>
        <w:numPr>
          <w:ilvl w:val="0"/>
          <w:numId w:val="19"/>
        </w:numPr>
        <w:tabs>
          <w:tab w:val="left" w:pos="540"/>
        </w:tabs>
        <w:adjustRightInd w:val="0"/>
        <w:snapToGrid w:val="0"/>
        <w:spacing w:line="360" w:lineRule="auto"/>
        <w:ind w:left="0" w:firstLine="420" w:firstLineChars="200"/>
      </w:pPr>
      <w:r>
        <w:rPr>
          <w:rFonts w:hint="eastAsia"/>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9"/>
        </w:numPr>
        <w:tabs>
          <w:tab w:val="left" w:pos="900"/>
        </w:tabs>
        <w:autoSpaceDE w:val="0"/>
        <w:autoSpaceDN w:val="0"/>
        <w:adjustRightInd w:val="0"/>
        <w:snapToGrid w:val="0"/>
        <w:spacing w:line="360" w:lineRule="auto"/>
        <w:ind w:left="0" w:firstLine="420" w:firstLineChars="200"/>
        <w:rPr>
          <w:rFonts w:ascii="宋体" w:hAnsi="宋体" w:cs="宋体"/>
          <w:szCs w:val="21"/>
        </w:rPr>
      </w:pPr>
      <w:r>
        <w:rPr>
          <w:rFonts w:hint="eastAsia" w:ascii="宋体" w:hAnsi="宋体" w:cs="宋体"/>
          <w:szCs w:val="21"/>
        </w:rPr>
        <w:t>货物为原厂商未启封全新包装，具出厂合格证，序列号、包装箱号与出厂批号一致，并可追索查阅。所有随设备的附件必须齐全。</w:t>
      </w:r>
    </w:p>
    <w:p>
      <w:pPr>
        <w:numPr>
          <w:ilvl w:val="0"/>
          <w:numId w:val="19"/>
        </w:numPr>
        <w:tabs>
          <w:tab w:val="left" w:pos="900"/>
        </w:tabs>
        <w:autoSpaceDE w:val="0"/>
        <w:autoSpaceDN w:val="0"/>
        <w:adjustRightInd w:val="0"/>
        <w:snapToGrid w:val="0"/>
        <w:spacing w:line="360" w:lineRule="auto"/>
        <w:ind w:left="0" w:firstLine="420" w:firstLineChars="200"/>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numPr>
          <w:ilvl w:val="0"/>
          <w:numId w:val="19"/>
        </w:numPr>
        <w:tabs>
          <w:tab w:val="left" w:pos="900"/>
        </w:tabs>
        <w:autoSpaceDE w:val="0"/>
        <w:autoSpaceDN w:val="0"/>
        <w:adjustRightInd w:val="0"/>
        <w:snapToGrid w:val="0"/>
        <w:spacing w:line="360" w:lineRule="auto"/>
        <w:ind w:left="0" w:firstLine="420" w:firstLineChars="200"/>
        <w:rPr>
          <w:rFonts w:ascii="宋体" w:hAnsi="宋体" w:cs="宋体"/>
          <w:szCs w:val="21"/>
        </w:rPr>
      </w:pPr>
      <w:r>
        <w:rPr>
          <w:rFonts w:hint="eastAsia" w:ascii="宋体" w:hAnsi="宋体" w:cs="宋体"/>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13"/>
        <w:numPr>
          <w:ilvl w:val="0"/>
          <w:numId w:val="16"/>
        </w:numPr>
        <w:tabs>
          <w:tab w:val="left" w:pos="540"/>
        </w:tabs>
        <w:adjustRightInd w:val="0"/>
        <w:snapToGrid w:val="0"/>
        <w:spacing w:line="360" w:lineRule="auto"/>
        <w:ind w:left="0" w:firstLine="422" w:firstLineChars="200"/>
        <w:rPr>
          <w:b/>
        </w:rPr>
      </w:pPr>
      <w:r>
        <w:rPr>
          <w:rFonts w:hint="eastAsia"/>
          <w:b/>
        </w:rPr>
        <w:t>付款及结算方式</w:t>
      </w:r>
    </w:p>
    <w:p>
      <w:pPr>
        <w:numPr>
          <w:ilvl w:val="0"/>
          <w:numId w:val="20"/>
        </w:numPr>
        <w:autoSpaceDE w:val="0"/>
        <w:autoSpaceDN w:val="0"/>
        <w:snapToGrid w:val="0"/>
        <w:spacing w:line="360" w:lineRule="auto"/>
        <w:ind w:left="0" w:firstLine="420" w:firstLineChars="200"/>
        <w:rPr>
          <w:rFonts w:ascii="宋体" w:hAnsi="宋体" w:cs="宋体"/>
          <w:szCs w:val="21"/>
        </w:rPr>
      </w:pPr>
      <w:r>
        <w:rPr>
          <w:rFonts w:hint="eastAsia" w:ascii="宋体" w:hAnsi="宋体" w:cs="宋体"/>
          <w:szCs w:val="21"/>
        </w:rPr>
        <w:t>合同款支付：</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0" w:leftChars="0" w:firstLine="420" w:firstLineChars="0"/>
        <w:textAlignment w:val="auto"/>
        <w:rPr>
          <w:rFonts w:ascii="宋体" w:hAnsi="宋体" w:cs="宋体"/>
          <w:szCs w:val="21"/>
        </w:rPr>
      </w:pPr>
      <w:r>
        <w:rPr>
          <w:rFonts w:hint="eastAsia" w:ascii="宋体" w:hAnsi="宋体" w:cs="宋体"/>
          <w:szCs w:val="21"/>
        </w:rPr>
        <w:t>签订合同后及全部合同货物到达交货地点，并安装调试且验收合格后，凭验收合格单或验收合格报告，甲方自收到发票之日起</w:t>
      </w:r>
      <w:r>
        <w:rPr>
          <w:rFonts w:hint="eastAsia" w:ascii="宋体" w:hAnsi="宋体" w:cs="宋体"/>
          <w:szCs w:val="21"/>
          <w:u w:val="single"/>
        </w:rPr>
        <w:t xml:space="preserve"> </w:t>
      </w:r>
      <w:r>
        <w:rPr>
          <w:rFonts w:hint="eastAsia" w:ascii="宋体" w:hAnsi="宋体" w:cs="宋体"/>
          <w:szCs w:val="21"/>
          <w:u w:val="single"/>
          <w:lang w:val="en-US" w:eastAsia="zh-CN"/>
        </w:rPr>
        <w:t>90日</w:t>
      </w:r>
      <w:r>
        <w:rPr>
          <w:rFonts w:hint="eastAsia" w:ascii="宋体" w:hAnsi="宋体" w:cs="宋体"/>
          <w:szCs w:val="21"/>
          <w:u w:val="single"/>
        </w:rPr>
        <w:t xml:space="preserve"> </w:t>
      </w:r>
      <w:r>
        <w:rPr>
          <w:rFonts w:hint="eastAsia" w:ascii="宋体" w:hAnsi="宋体" w:cs="宋体"/>
          <w:szCs w:val="21"/>
        </w:rPr>
        <w:t>内向乙方支付合同总价的</w:t>
      </w:r>
      <w:r>
        <w:rPr>
          <w:rFonts w:hint="eastAsia" w:ascii="宋体" w:hAnsi="宋体" w:cs="宋体"/>
          <w:szCs w:val="21"/>
          <w:u w:val="single"/>
        </w:rPr>
        <w:t xml:space="preserve">  </w:t>
      </w:r>
      <w:r>
        <w:rPr>
          <w:rFonts w:hint="eastAsia" w:ascii="宋体" w:hAnsi="宋体" w:cs="宋体"/>
          <w:szCs w:val="21"/>
          <w:u w:val="single"/>
          <w:lang w:val="en-US" w:eastAsia="zh-CN"/>
        </w:rPr>
        <w:t>100</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color w:val="000000"/>
        </w:rPr>
        <w:t>因甲方使用的是财政资金，甲方在合同前款规定的付款时间内向财政部门提出支付申请手续后即视为甲方已经按期支付</w:t>
      </w:r>
      <w:r>
        <w:rPr>
          <w:rFonts w:hint="eastAsia" w:ascii="宋体" w:hAnsi="宋体" w:cs="宋体"/>
          <w:szCs w:val="21"/>
        </w:rPr>
        <w:t>。</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0" w:leftChars="0" w:firstLine="420" w:firstLineChars="0"/>
        <w:textAlignment w:val="auto"/>
        <w:rPr>
          <w:rFonts w:ascii="宋体" w:hAnsi="宋体" w:cs="宋体"/>
          <w:szCs w:val="21"/>
        </w:rPr>
      </w:pPr>
      <w:r>
        <w:rPr>
          <w:rFonts w:hint="eastAsia" w:ascii="宋体" w:hAnsi="宋体" w:cs="宋体"/>
          <w:szCs w:val="21"/>
          <w:lang w:eastAsia="zh-TW"/>
        </w:rPr>
        <w:t>按合同支付款项前，</w:t>
      </w:r>
      <w:r>
        <w:rPr>
          <w:rFonts w:hint="eastAsia" w:ascii="宋体" w:hAnsi="宋体" w:cs="宋体"/>
          <w:szCs w:val="21"/>
        </w:rPr>
        <w:t>乙方应</w:t>
      </w:r>
      <w:r>
        <w:rPr>
          <w:rFonts w:hint="eastAsia" w:ascii="宋体" w:hAnsi="宋体" w:cs="宋体"/>
          <w:szCs w:val="21"/>
          <w:lang w:eastAsia="zh-TW"/>
        </w:rPr>
        <w:t>向</w:t>
      </w:r>
      <w:r>
        <w:rPr>
          <w:rFonts w:hint="eastAsia" w:ascii="宋体" w:hAnsi="宋体" w:cs="宋体"/>
          <w:szCs w:val="21"/>
        </w:rPr>
        <w:t>甲方</w:t>
      </w:r>
      <w:r>
        <w:rPr>
          <w:rFonts w:hint="eastAsia" w:ascii="宋体" w:hAnsi="宋体" w:cs="宋体"/>
          <w:szCs w:val="21"/>
          <w:lang w:eastAsia="zh-TW"/>
        </w:rPr>
        <w:t>提供与支付金额相符的有效发票，且收款方、出具发票方、合同乙方均必须与成交供应商名称一致；</w:t>
      </w:r>
    </w:p>
    <w:p>
      <w:pPr>
        <w:numPr>
          <w:ilvl w:val="0"/>
          <w:numId w:val="20"/>
        </w:numPr>
        <w:autoSpaceDE w:val="0"/>
        <w:autoSpaceDN w:val="0"/>
        <w:snapToGrid w:val="0"/>
        <w:spacing w:line="360" w:lineRule="auto"/>
        <w:ind w:left="0" w:firstLine="420" w:firstLineChars="200"/>
        <w:rPr>
          <w:rFonts w:ascii="宋体" w:hAnsi="宋体" w:cs="宋体"/>
          <w:szCs w:val="21"/>
        </w:rPr>
      </w:pPr>
      <w:r>
        <w:rPr>
          <w:rFonts w:hint="eastAsia" w:ascii="宋体" w:hAnsi="宋体" w:cs="宋体"/>
          <w:szCs w:val="21"/>
        </w:rPr>
        <w:t>付款方式：采用支票、银行转账、电汇三种形式。</w:t>
      </w:r>
    </w:p>
    <w:p>
      <w:pPr>
        <w:pStyle w:val="13"/>
        <w:tabs>
          <w:tab w:val="left" w:pos="540"/>
        </w:tabs>
        <w:adjustRightInd w:val="0"/>
        <w:snapToGrid w:val="0"/>
        <w:spacing w:line="360" w:lineRule="auto"/>
        <w:ind w:firstLine="422" w:firstLineChars="2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六、违约责任与赔偿损失</w:t>
      </w:r>
    </w:p>
    <w:p>
      <w:pPr>
        <w:tabs>
          <w:tab w:val="left" w:pos="567"/>
        </w:tabs>
        <w:autoSpaceDE w:val="0"/>
        <w:autoSpaceDN w:val="0"/>
        <w:adjustRightInd w:val="0"/>
        <w:snapToGrid w:val="0"/>
        <w:spacing w:line="360" w:lineRule="auto"/>
        <w:ind w:firstLine="420" w:firstLineChars="200"/>
        <w:textAlignment w:val="baseline"/>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（一）乙方交付的货物、工程/提供的服务不符合竞价文件、响应文件或本合同规定的，甲方有权拒收，并且乙方须向甲方退回预付款及支付本合同总价5%的违约金。</w:t>
      </w:r>
    </w:p>
    <w:p>
      <w:pPr>
        <w:tabs>
          <w:tab w:val="left" w:pos="567"/>
        </w:tabs>
        <w:autoSpaceDE w:val="0"/>
        <w:autoSpaceDN w:val="0"/>
        <w:adjustRightInd w:val="0"/>
        <w:snapToGrid w:val="0"/>
        <w:spacing w:line="360" w:lineRule="auto"/>
        <w:ind w:firstLine="420" w:firstLineChars="200"/>
        <w:textAlignment w:val="baseline"/>
        <w:rPr>
          <w:rFonts w:ascii="宋体" w:hAnsi="宋体" w:cs="宋体"/>
          <w:kern w:val="0"/>
        </w:rPr>
      </w:pPr>
      <w:r>
        <w:rPr>
          <w:rFonts w:hint="eastAsia" w:ascii="宋体" w:hAnsi="宋体" w:cs="宋体"/>
          <w:color w:val="000000" w:themeColor="text1"/>
          <w:kern w:val="0"/>
          <w14:textFill>
            <w14:solidFill>
              <w14:schemeClr w14:val="tx1"/>
            </w14:solidFill>
          </w14:textFill>
        </w:rPr>
        <w:t>（二）乙方未能按本合同规定的交货时间交付货物的/提供服务，从逾期之日起每日按本合同总价</w:t>
      </w:r>
      <w:r>
        <w:rPr>
          <w:rFonts w:hint="eastAsia" w:ascii="宋体" w:hAnsi="宋体" w:cs="宋体"/>
          <w:color w:val="000000" w:themeColor="text1"/>
          <w:kern w:val="0"/>
          <w:u w:val="single"/>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的数额向甲方支付违约金；逾期15天以上（含15天）的，甲方有权终止合同，要求乙方退回预付款及支</w:t>
      </w:r>
      <w:r>
        <w:rPr>
          <w:rFonts w:hint="eastAsia" w:ascii="宋体" w:hAnsi="宋体" w:cs="宋体"/>
          <w:kern w:val="0"/>
        </w:rPr>
        <w:t>付违约金，并且给甲方造成的经济损失由乙方承担赔偿责任。</w:t>
      </w:r>
    </w:p>
    <w:p>
      <w:pPr>
        <w:tabs>
          <w:tab w:val="left" w:pos="567"/>
        </w:tabs>
        <w:autoSpaceDE w:val="0"/>
        <w:autoSpaceDN w:val="0"/>
        <w:adjustRightInd w:val="0"/>
        <w:snapToGrid w:val="0"/>
        <w:spacing w:line="360" w:lineRule="auto"/>
        <w:ind w:firstLine="420" w:firstLineChars="200"/>
        <w:textAlignment w:val="baseline"/>
        <w:rPr>
          <w:rFonts w:ascii="宋体" w:hAnsi="宋体" w:cs="宋体"/>
          <w:kern w:val="0"/>
        </w:rPr>
      </w:pPr>
      <w:r>
        <w:rPr>
          <w:rFonts w:hint="eastAsia" w:ascii="宋体" w:hAnsi="宋体" w:cs="宋体"/>
          <w:kern w:val="0"/>
        </w:rPr>
        <w:t>（三）甲方无正当理由拒收货物/接受服务，到期拒付货物/服务款项的，甲方向乙方偿付本合同总价的5%的违约金。甲方逾期付款，则每日按本合同总价的</w:t>
      </w:r>
      <w:r>
        <w:rPr>
          <w:rFonts w:hint="eastAsia" w:ascii="宋体" w:hAnsi="宋体" w:cs="宋体"/>
          <w:kern w:val="0"/>
          <w:u w:val="single"/>
        </w:rPr>
        <w:t>3‰</w:t>
      </w:r>
      <w:r>
        <w:rPr>
          <w:rFonts w:hint="eastAsia" w:ascii="宋体" w:hAnsi="宋体" w:cs="宋体"/>
          <w:kern w:val="0"/>
        </w:rPr>
        <w:t>向乙方偿付违约金。</w:t>
      </w:r>
    </w:p>
    <w:p>
      <w:pPr>
        <w:tabs>
          <w:tab w:val="left" w:pos="567"/>
        </w:tabs>
        <w:autoSpaceDE w:val="0"/>
        <w:autoSpaceDN w:val="0"/>
        <w:adjustRightInd w:val="0"/>
        <w:snapToGrid w:val="0"/>
        <w:spacing w:line="360" w:lineRule="auto"/>
        <w:ind w:firstLine="420" w:firstLineChars="200"/>
        <w:textAlignment w:val="baseline"/>
        <w:rPr>
          <w:rFonts w:ascii="宋体" w:hAnsi="宋体" w:cs="宋体"/>
          <w:kern w:val="0"/>
        </w:rPr>
      </w:pPr>
      <w:r>
        <w:rPr>
          <w:rFonts w:hint="eastAsia" w:ascii="宋体" w:hAnsi="宋体" w:cs="宋体"/>
          <w:kern w:val="0"/>
        </w:rPr>
        <w:t>（四）其它违约责任按《中华人民共和国民法典》处理。</w:t>
      </w:r>
    </w:p>
    <w:p>
      <w:pPr>
        <w:adjustRightInd w:val="0"/>
        <w:snapToGrid w:val="0"/>
        <w:spacing w:line="360" w:lineRule="auto"/>
        <w:ind w:left="420" w:leftChars="200"/>
        <w:rPr>
          <w:rFonts w:ascii="宋体" w:hAnsi="宋体"/>
          <w:b/>
          <w:bCs/>
        </w:rPr>
      </w:pPr>
      <w:bookmarkStart w:id="7" w:name="_Toc310518876"/>
      <w:bookmarkStart w:id="8" w:name="_Toc308452708"/>
      <w:bookmarkStart w:id="9" w:name="_Toc310943781"/>
      <w:bookmarkStart w:id="10" w:name="_Toc344953154"/>
      <w:bookmarkStart w:id="11" w:name="_Toc308452522"/>
      <w:bookmarkStart w:id="12" w:name="_Toc307934677"/>
      <w:bookmarkStart w:id="13" w:name="_Toc310520948"/>
      <w:r>
        <w:rPr>
          <w:rFonts w:hint="eastAsia" w:ascii="宋体" w:hAnsi="宋体"/>
          <w:b/>
          <w:bCs/>
        </w:rPr>
        <w:t>七、</w:t>
      </w:r>
      <w:r>
        <w:rPr>
          <w:rFonts w:ascii="宋体" w:hAnsi="宋体"/>
          <w:b/>
          <w:bCs/>
        </w:rPr>
        <w:t>合同生效、变更与终止</w:t>
      </w:r>
      <w:bookmarkEnd w:id="7"/>
      <w:bookmarkEnd w:id="8"/>
      <w:bookmarkEnd w:id="9"/>
      <w:bookmarkEnd w:id="10"/>
      <w:bookmarkEnd w:id="11"/>
      <w:bookmarkEnd w:id="12"/>
      <w:bookmarkEnd w:id="13"/>
    </w:p>
    <w:p>
      <w:pPr>
        <w:spacing w:line="360" w:lineRule="auto"/>
        <w:ind w:firstLine="420" w:firstLineChars="200"/>
        <w:jc w:val="left"/>
        <w:rPr>
          <w:szCs w:val="24"/>
        </w:rPr>
      </w:pPr>
      <w:r>
        <w:rPr>
          <w:rFonts w:hint="eastAsia"/>
          <w:szCs w:val="24"/>
        </w:rPr>
        <w:t>（一）</w:t>
      </w:r>
      <w:r>
        <w:rPr>
          <w:szCs w:val="24"/>
        </w:rPr>
        <w:t>由于甲方的原因使本项目的工作受到阻碍或延误，以致延长了完成时间，则乙方应当将此情况与可能产生的影响及时通知甲方，经甲方书面确认后，完成时间可以相应延长。</w:t>
      </w:r>
    </w:p>
    <w:p>
      <w:pPr>
        <w:spacing w:line="360" w:lineRule="auto"/>
        <w:ind w:firstLine="420" w:firstLineChars="200"/>
        <w:jc w:val="left"/>
        <w:rPr>
          <w:szCs w:val="24"/>
        </w:rPr>
      </w:pPr>
      <w:r>
        <w:rPr>
          <w:rFonts w:hint="eastAsia"/>
          <w:szCs w:val="24"/>
        </w:rPr>
        <w:t>（二）</w:t>
      </w:r>
      <w:r>
        <w:rPr>
          <w:szCs w:val="24"/>
        </w:rPr>
        <w:t>在项目实施过程中，如出现内容的变更，由当事各方协商解决。</w:t>
      </w:r>
    </w:p>
    <w:p>
      <w:pPr>
        <w:spacing w:line="360" w:lineRule="auto"/>
        <w:ind w:firstLine="420" w:firstLineChars="200"/>
        <w:jc w:val="left"/>
        <w:rPr>
          <w:szCs w:val="24"/>
        </w:rPr>
      </w:pPr>
      <w:r>
        <w:rPr>
          <w:rFonts w:hint="eastAsia"/>
          <w:szCs w:val="24"/>
        </w:rPr>
        <w:t>（三）</w:t>
      </w:r>
      <w:r>
        <w:rPr>
          <w:szCs w:val="24"/>
        </w:rPr>
        <w:t>本合同有效期自生效之日起，至乙方履行完毕全部合同义务止。</w:t>
      </w:r>
    </w:p>
    <w:p>
      <w:pPr>
        <w:spacing w:line="360" w:lineRule="auto"/>
        <w:ind w:firstLine="420" w:firstLineChars="200"/>
        <w:jc w:val="left"/>
        <w:rPr>
          <w:szCs w:val="24"/>
        </w:rPr>
      </w:pPr>
      <w:r>
        <w:rPr>
          <w:rFonts w:hint="eastAsia"/>
          <w:szCs w:val="24"/>
        </w:rPr>
        <w:t>（四）</w:t>
      </w:r>
      <w:r>
        <w:rPr>
          <w:szCs w:val="24"/>
        </w:rPr>
        <w:t>当事人一方要求变更或解除合同时，应当在20个工作日前书面通知对方，因解除合同使其他方遭受损失的，除依法可以免除的责任外，应由责任方负责赔偿。</w:t>
      </w:r>
    </w:p>
    <w:p>
      <w:pPr>
        <w:spacing w:line="360" w:lineRule="auto"/>
        <w:ind w:firstLine="420" w:firstLineChars="200"/>
        <w:jc w:val="left"/>
        <w:rPr>
          <w:szCs w:val="24"/>
        </w:rPr>
      </w:pPr>
      <w:r>
        <w:rPr>
          <w:rFonts w:hint="eastAsia"/>
          <w:szCs w:val="24"/>
        </w:rPr>
        <w:t>（五）</w:t>
      </w:r>
      <w:r>
        <w:rPr>
          <w:szCs w:val="24"/>
        </w:rPr>
        <w:t>变更或解除合同的通知或协议必须采取书面形式，协议未达成之前，原合同仍然有效。</w:t>
      </w:r>
    </w:p>
    <w:p>
      <w:pPr>
        <w:spacing w:line="360" w:lineRule="auto"/>
        <w:ind w:firstLine="420" w:firstLineChars="200"/>
        <w:jc w:val="left"/>
        <w:rPr>
          <w:szCs w:val="24"/>
        </w:rPr>
      </w:pPr>
      <w:r>
        <w:rPr>
          <w:rFonts w:hint="eastAsia"/>
          <w:szCs w:val="24"/>
        </w:rPr>
        <w:t>（六）</w:t>
      </w:r>
      <w:r>
        <w:rPr>
          <w:szCs w:val="24"/>
        </w:rPr>
        <w:t>本合同的终止并不影响各方应有的权利和应当承担的责任。</w:t>
      </w:r>
    </w:p>
    <w:p>
      <w:pPr>
        <w:adjustRightInd w:val="0"/>
        <w:snapToGrid w:val="0"/>
        <w:spacing w:line="360" w:lineRule="auto"/>
        <w:ind w:left="420" w:leftChars="200"/>
        <w:rPr>
          <w:rFonts w:ascii="宋体" w:hAnsi="宋体"/>
          <w:b/>
          <w:bCs/>
        </w:rPr>
      </w:pPr>
      <w:bookmarkStart w:id="14" w:name="_Toc308452523"/>
      <w:bookmarkStart w:id="15" w:name="_Toc310943782"/>
      <w:bookmarkStart w:id="16" w:name="_Toc308452709"/>
      <w:bookmarkStart w:id="17" w:name="_Toc344953155"/>
      <w:bookmarkStart w:id="18" w:name="_Toc307934678"/>
      <w:bookmarkStart w:id="19" w:name="_Toc310520949"/>
      <w:bookmarkStart w:id="20" w:name="_Toc310518877"/>
      <w:r>
        <w:rPr>
          <w:rFonts w:hint="eastAsia" w:ascii="宋体" w:hAnsi="宋体"/>
          <w:b/>
          <w:bCs/>
        </w:rPr>
        <w:t>八、</w:t>
      </w:r>
      <w:r>
        <w:rPr>
          <w:rFonts w:ascii="宋体" w:hAnsi="宋体"/>
          <w:b/>
          <w:bCs/>
        </w:rPr>
        <w:t>不可抗力</w:t>
      </w:r>
      <w:bookmarkEnd w:id="14"/>
      <w:bookmarkEnd w:id="15"/>
      <w:bookmarkEnd w:id="16"/>
      <w:bookmarkEnd w:id="17"/>
      <w:bookmarkEnd w:id="18"/>
      <w:bookmarkEnd w:id="19"/>
      <w:bookmarkEnd w:id="20"/>
    </w:p>
    <w:p>
      <w:pPr>
        <w:spacing w:line="360" w:lineRule="auto"/>
        <w:ind w:firstLine="420" w:firstLineChars="200"/>
        <w:jc w:val="left"/>
        <w:rPr>
          <w:szCs w:val="24"/>
        </w:rPr>
      </w:pPr>
      <w:r>
        <w:rPr>
          <w:szCs w:val="24"/>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应在15天内提供事故详情及合同不能履行，或者部分不能履行，或者需要延期履行的理由的有效证明文件。此项证明文件应由事故发生地区的公证机构出具。按照事故对履行合同的影响程度，由合同各方协商决定是否解除合同，或者部分免除履行合同的责任，或者延期履行合同。</w:t>
      </w:r>
    </w:p>
    <w:p>
      <w:pPr>
        <w:adjustRightInd w:val="0"/>
        <w:snapToGrid w:val="0"/>
        <w:spacing w:line="360" w:lineRule="auto"/>
        <w:ind w:left="420" w:leftChars="200"/>
        <w:rPr>
          <w:rFonts w:ascii="宋体" w:hAnsi="宋体"/>
          <w:b/>
          <w:bCs/>
        </w:rPr>
      </w:pPr>
      <w:bookmarkStart w:id="21" w:name="_Toc344953156"/>
      <w:r>
        <w:rPr>
          <w:rFonts w:hint="eastAsia" w:ascii="宋体" w:hAnsi="宋体"/>
          <w:b/>
          <w:bCs/>
        </w:rPr>
        <w:t>九、</w:t>
      </w:r>
      <w:r>
        <w:rPr>
          <w:rFonts w:ascii="宋体" w:hAnsi="宋体"/>
          <w:b/>
          <w:bCs/>
        </w:rPr>
        <w:t>争议解决</w:t>
      </w:r>
      <w:bookmarkEnd w:id="21"/>
    </w:p>
    <w:p>
      <w:pPr>
        <w:spacing w:line="360" w:lineRule="auto"/>
        <w:ind w:firstLine="420" w:firstLineChars="200"/>
        <w:jc w:val="left"/>
        <w:rPr>
          <w:szCs w:val="24"/>
        </w:rPr>
      </w:pPr>
      <w:r>
        <w:rPr>
          <w:szCs w:val="24"/>
        </w:rPr>
        <w:t>凡因履行本合同而引起的一切争议或与本合同有关的争议，应由当事各方通过友好协商解决。协商不成时，当事各方同意提交</w:t>
      </w:r>
      <w:r>
        <w:rPr>
          <w:szCs w:val="24"/>
          <w:u w:val="single"/>
        </w:rPr>
        <w:t>甲方当地的人民法院</w:t>
      </w:r>
      <w:r>
        <w:rPr>
          <w:szCs w:val="24"/>
        </w:rPr>
        <w:t>进行诉讼。</w:t>
      </w:r>
    </w:p>
    <w:p>
      <w:pPr>
        <w:adjustRightInd w:val="0"/>
        <w:snapToGrid w:val="0"/>
        <w:spacing w:line="360" w:lineRule="auto"/>
        <w:ind w:left="420" w:leftChars="200"/>
        <w:rPr>
          <w:rFonts w:ascii="宋体" w:hAnsi="宋体"/>
          <w:b/>
          <w:bCs/>
        </w:rPr>
      </w:pPr>
      <w:bookmarkStart w:id="22" w:name="_Toc78604617"/>
      <w:r>
        <w:rPr>
          <w:rFonts w:hint="eastAsia" w:ascii="宋体" w:hAnsi="宋体"/>
          <w:b/>
          <w:bCs/>
        </w:rPr>
        <w:t>十、</w:t>
      </w:r>
      <w:r>
        <w:rPr>
          <w:rFonts w:ascii="宋体" w:hAnsi="宋体"/>
          <w:b/>
          <w:bCs/>
        </w:rPr>
        <w:t>税费</w:t>
      </w:r>
      <w:bookmarkEnd w:id="22"/>
    </w:p>
    <w:p>
      <w:pPr>
        <w:spacing w:line="360" w:lineRule="auto"/>
        <w:ind w:firstLine="420" w:firstLineChars="200"/>
        <w:jc w:val="left"/>
        <w:rPr>
          <w:szCs w:val="24"/>
        </w:rPr>
      </w:pPr>
      <w:r>
        <w:rPr>
          <w:szCs w:val="24"/>
        </w:rPr>
        <w:t>中国政府根据现行税法所征收的一切税费均由各缴税责任方独立承担。在中国境外发生的与本合同相关的一切税费及不可预见费均由乙方负担。</w:t>
      </w:r>
    </w:p>
    <w:p>
      <w:pPr>
        <w:adjustRightInd w:val="0"/>
        <w:snapToGrid w:val="0"/>
        <w:spacing w:line="360" w:lineRule="auto"/>
        <w:ind w:left="420" w:leftChars="200"/>
        <w:rPr>
          <w:rFonts w:ascii="宋体" w:hAnsi="宋体"/>
          <w:b/>
          <w:bCs/>
        </w:rPr>
      </w:pPr>
      <w:bookmarkStart w:id="23" w:name="_Toc78604619"/>
      <w:r>
        <w:rPr>
          <w:rFonts w:hint="eastAsia" w:ascii="宋体" w:hAnsi="宋体"/>
          <w:b/>
          <w:bCs/>
        </w:rPr>
        <w:t>十一、</w:t>
      </w:r>
      <w:r>
        <w:rPr>
          <w:rFonts w:ascii="宋体" w:hAnsi="宋体"/>
          <w:b/>
          <w:bCs/>
        </w:rPr>
        <w:t>其它</w:t>
      </w:r>
      <w:bookmarkEnd w:id="23"/>
    </w:p>
    <w:p>
      <w:pPr>
        <w:spacing w:line="360" w:lineRule="auto"/>
        <w:ind w:firstLine="420" w:firstLineChars="200"/>
        <w:jc w:val="left"/>
        <w:rPr>
          <w:szCs w:val="24"/>
        </w:rPr>
      </w:pPr>
      <w:r>
        <w:rPr>
          <w:rFonts w:hint="eastAsia"/>
          <w:szCs w:val="24"/>
        </w:rPr>
        <w:t>（一）</w:t>
      </w:r>
      <w:r>
        <w:rPr>
          <w:szCs w:val="24"/>
        </w:rPr>
        <w:t>本项</w:t>
      </w:r>
      <w:r>
        <w:rPr>
          <w:rFonts w:ascii="宋体" w:hAnsi="宋体"/>
          <w:szCs w:val="24"/>
        </w:rPr>
        <w:t>目合同由下列文件组成，均为本合同不可分割的部分，下列文件的优先解释顺序如下：</w:t>
      </w:r>
      <w:r>
        <w:rPr>
          <w:rFonts w:hint="eastAsia" w:ascii="宋体" w:hAnsi="宋体"/>
          <w:b/>
          <w:szCs w:val="24"/>
        </w:rPr>
        <w:t>1）</w:t>
      </w:r>
      <w:r>
        <w:rPr>
          <w:rFonts w:ascii="宋体" w:hAnsi="宋体"/>
          <w:szCs w:val="24"/>
        </w:rPr>
        <w:t>本合同执行期间甲、乙双方签署确认的文件（包括会议纪要、补充协议、往来信函及修正文件）；</w:t>
      </w:r>
      <w:r>
        <w:rPr>
          <w:rFonts w:hint="eastAsia" w:ascii="宋体" w:hAnsi="宋体"/>
          <w:b/>
          <w:szCs w:val="24"/>
        </w:rPr>
        <w:t>2）</w:t>
      </w:r>
      <w:r>
        <w:rPr>
          <w:rFonts w:ascii="宋体" w:hAnsi="宋体"/>
          <w:szCs w:val="24"/>
        </w:rPr>
        <w:t>本采购合同</w:t>
      </w:r>
      <w:r>
        <w:rPr>
          <w:rFonts w:hint="eastAsia" w:ascii="宋体" w:hAnsi="宋体"/>
          <w:szCs w:val="24"/>
        </w:rPr>
        <w:t>；</w:t>
      </w:r>
      <w:r>
        <w:rPr>
          <w:rFonts w:hint="eastAsia" w:ascii="宋体" w:hAnsi="宋体"/>
          <w:b/>
          <w:szCs w:val="24"/>
        </w:rPr>
        <w:t>3）</w:t>
      </w:r>
      <w:r>
        <w:rPr>
          <w:rFonts w:ascii="宋体" w:hAnsi="宋体"/>
          <w:szCs w:val="24"/>
        </w:rPr>
        <w:t>乙方针对本项目的各项制度和规定（包括在本合同签订后的各类新出台的制度和规定）；</w:t>
      </w:r>
      <w:r>
        <w:rPr>
          <w:rFonts w:hint="eastAsia" w:ascii="宋体" w:hAnsi="宋体"/>
          <w:b/>
          <w:szCs w:val="24"/>
        </w:rPr>
        <w:t>4）</w:t>
      </w:r>
      <w:r>
        <w:rPr>
          <w:rFonts w:ascii="宋体" w:hAnsi="宋体"/>
          <w:szCs w:val="24"/>
        </w:rPr>
        <w:t>成交通知书；</w:t>
      </w:r>
      <w:r>
        <w:rPr>
          <w:rFonts w:hint="eastAsia" w:ascii="宋体" w:hAnsi="宋体"/>
          <w:b/>
          <w:szCs w:val="24"/>
        </w:rPr>
        <w:t>5）</w:t>
      </w:r>
      <w:r>
        <w:rPr>
          <w:rFonts w:ascii="宋体" w:hAnsi="宋体"/>
          <w:szCs w:val="24"/>
        </w:rPr>
        <w:t>磋商文件及答疑补遗文件（含磋商文件澄清或修正内容、答疑会议纪要等）；</w:t>
      </w:r>
      <w:r>
        <w:rPr>
          <w:rFonts w:hint="eastAsia" w:ascii="宋体" w:hAnsi="宋体"/>
          <w:b/>
          <w:szCs w:val="24"/>
        </w:rPr>
        <w:t>6）</w:t>
      </w:r>
      <w:r>
        <w:rPr>
          <w:rFonts w:ascii="宋体" w:hAnsi="宋体"/>
          <w:szCs w:val="24"/>
        </w:rPr>
        <w:t>响应文件及其相关承诺附件（含响应文件澄清）；</w:t>
      </w:r>
      <w:r>
        <w:rPr>
          <w:rFonts w:hint="eastAsia" w:ascii="宋体" w:hAnsi="宋体"/>
          <w:b/>
          <w:szCs w:val="24"/>
        </w:rPr>
        <w:t>7）</w:t>
      </w:r>
      <w:r>
        <w:rPr>
          <w:rFonts w:ascii="宋体" w:hAnsi="宋体"/>
          <w:szCs w:val="24"/>
        </w:rPr>
        <w:t>标准、规范及有关技术文件；</w:t>
      </w:r>
      <w:r>
        <w:rPr>
          <w:rFonts w:hint="eastAsia" w:ascii="宋体" w:hAnsi="宋体"/>
          <w:b/>
          <w:szCs w:val="24"/>
        </w:rPr>
        <w:t>8）</w:t>
      </w:r>
      <w:r>
        <w:rPr>
          <w:rFonts w:ascii="宋体" w:hAnsi="宋体"/>
          <w:szCs w:val="24"/>
        </w:rPr>
        <w:t>组成合同的其他文</w:t>
      </w:r>
      <w:r>
        <w:rPr>
          <w:szCs w:val="24"/>
        </w:rPr>
        <w:t>件。</w:t>
      </w:r>
    </w:p>
    <w:p>
      <w:pPr>
        <w:spacing w:line="360" w:lineRule="auto"/>
        <w:ind w:firstLine="420" w:firstLineChars="200"/>
        <w:jc w:val="left"/>
        <w:rPr>
          <w:szCs w:val="24"/>
        </w:rPr>
      </w:pPr>
      <w:r>
        <w:rPr>
          <w:szCs w:val="24"/>
        </w:rPr>
        <w:t>注：如乙方在《响应文件》及其相关承诺附件中作出有比</w:t>
      </w:r>
      <w:r>
        <w:rPr>
          <w:rFonts w:hint="eastAsia"/>
          <w:szCs w:val="24"/>
        </w:rPr>
        <w:t>竞价</w:t>
      </w:r>
      <w:r>
        <w:rPr>
          <w:szCs w:val="24"/>
        </w:rPr>
        <w:t>文件及答疑补遗文件和本合同更有利于甲方的响应（该是否有利于甲方的解释权双方同意最终归甲方所有），则乙方响应文件及其相关承诺附件中更有利于甲方的相关条款内容的解释顺序优于</w:t>
      </w:r>
      <w:r>
        <w:rPr>
          <w:rFonts w:hint="eastAsia"/>
          <w:szCs w:val="24"/>
        </w:rPr>
        <w:t>谈判</w:t>
      </w:r>
      <w:r>
        <w:rPr>
          <w:szCs w:val="24"/>
        </w:rPr>
        <w:t>文件及答疑补遗文件和本合同，乙方须按这些响应承诺履行。</w:t>
      </w:r>
    </w:p>
    <w:p>
      <w:pPr>
        <w:spacing w:line="360" w:lineRule="auto"/>
        <w:ind w:firstLine="420" w:firstLineChars="200"/>
        <w:jc w:val="left"/>
        <w:rPr>
          <w:szCs w:val="24"/>
        </w:rPr>
      </w:pPr>
      <w:r>
        <w:rPr>
          <w:rFonts w:hint="eastAsia"/>
          <w:szCs w:val="24"/>
        </w:rPr>
        <w:t>（二）</w:t>
      </w:r>
      <w:r>
        <w:rPr>
          <w:szCs w:val="24"/>
        </w:rPr>
        <w:t>所有经双方签署确认的文件（包括会议纪要、补充协议、变更协议等）、磋商文件、响应文件和响应承诺文件、合同附件及《成交通知书》均为本合同不可分割的有效组成部分，与本合同具有同等的法律效力和履约义务，其缔约生效日期为有效签署或盖章确认之日期。</w:t>
      </w:r>
    </w:p>
    <w:p>
      <w:pPr>
        <w:spacing w:line="360" w:lineRule="auto"/>
        <w:ind w:firstLine="420" w:firstLineChars="200"/>
        <w:jc w:val="left"/>
        <w:rPr>
          <w:szCs w:val="24"/>
        </w:rPr>
      </w:pPr>
      <w:r>
        <w:rPr>
          <w:rFonts w:hint="eastAsia"/>
          <w:szCs w:val="24"/>
        </w:rPr>
        <w:t>（三）</w:t>
      </w:r>
      <w:r>
        <w:rPr>
          <w:szCs w:val="24"/>
        </w:rPr>
        <w:t>乙方在合同服务期内，自费办理派驻到项目所在地人员人身和自备财产的有关保险，保险时间应随服务时间的延长而顺延，并在出险后自行办理索赔。如果乙方不办理上述保险，则应对有关风险及后果自负其责。</w:t>
      </w:r>
    </w:p>
    <w:p>
      <w:pPr>
        <w:spacing w:line="360" w:lineRule="auto"/>
        <w:ind w:firstLine="420" w:firstLineChars="200"/>
        <w:jc w:val="left"/>
        <w:rPr>
          <w:szCs w:val="24"/>
        </w:rPr>
      </w:pPr>
      <w:r>
        <w:rPr>
          <w:rFonts w:hint="eastAsia"/>
          <w:szCs w:val="24"/>
        </w:rPr>
        <w:t>（四）</w:t>
      </w:r>
      <w:r>
        <w:rPr>
          <w:szCs w:val="24"/>
        </w:rPr>
        <w:t>乙方向甲方提出赔偿要求不能成立时，乙方应当补偿由于该索赔所导致甲方的各种费用支出。</w:t>
      </w:r>
    </w:p>
    <w:p>
      <w:pPr>
        <w:spacing w:line="360" w:lineRule="auto"/>
        <w:ind w:firstLine="420" w:firstLineChars="200"/>
        <w:jc w:val="left"/>
        <w:rPr>
          <w:szCs w:val="24"/>
        </w:rPr>
      </w:pPr>
      <w:r>
        <w:rPr>
          <w:rFonts w:hint="eastAsia"/>
          <w:szCs w:val="24"/>
        </w:rPr>
        <w:t>（五）</w:t>
      </w:r>
      <w:r>
        <w:rPr>
          <w:szCs w:val="24"/>
        </w:rPr>
        <w:t>未经对方的书面同意，无论甲方或乙方均不得转让本合同约定的权利和义务。</w:t>
      </w:r>
    </w:p>
    <w:p>
      <w:pPr>
        <w:spacing w:line="360" w:lineRule="auto"/>
        <w:ind w:firstLine="420" w:firstLineChars="200"/>
        <w:jc w:val="left"/>
        <w:rPr>
          <w:szCs w:val="24"/>
        </w:rPr>
      </w:pPr>
      <w:r>
        <w:rPr>
          <w:rFonts w:hint="eastAsia"/>
          <w:szCs w:val="24"/>
        </w:rPr>
        <w:t>（六）</w:t>
      </w:r>
      <w:r>
        <w:rPr>
          <w:szCs w:val="24"/>
        </w:rPr>
        <w:t>各方都应保护对签署和履行本合同而取得的所有任何有关对方的非公开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pPr>
        <w:spacing w:line="360" w:lineRule="auto"/>
        <w:ind w:firstLine="420" w:firstLineChars="200"/>
        <w:jc w:val="left"/>
        <w:rPr>
          <w:szCs w:val="24"/>
        </w:rPr>
      </w:pPr>
      <w:r>
        <w:rPr>
          <w:rFonts w:hint="eastAsia"/>
          <w:szCs w:val="24"/>
        </w:rPr>
        <w:t>（七）</w:t>
      </w:r>
      <w:r>
        <w:rPr>
          <w:szCs w:val="24"/>
        </w:rPr>
        <w:t>各方应保证向对方提供的资料和数据不侵犯第三方的知识产权或其他权利，因一方提供的资料虚假、错误、或侵犯第三方权利而造成误工、赔偿等损失（包括律师费）的，应当给予充分有效的赔偿。</w:t>
      </w:r>
    </w:p>
    <w:p>
      <w:pPr>
        <w:spacing w:line="360" w:lineRule="auto"/>
        <w:ind w:firstLine="420" w:firstLineChars="200"/>
        <w:jc w:val="left"/>
        <w:rPr>
          <w:szCs w:val="24"/>
        </w:rPr>
      </w:pPr>
      <w:r>
        <w:rPr>
          <w:rFonts w:hint="eastAsia"/>
          <w:szCs w:val="24"/>
        </w:rPr>
        <w:t>（八）</w:t>
      </w:r>
      <w:r>
        <w:rPr>
          <w:szCs w:val="24"/>
        </w:rPr>
        <w:t>本合同未尽事宜，合同各方另行商定，必要时签定补充合同协议。补充协议经合同各方签字盖章后作为本合同补充文件。</w:t>
      </w:r>
    </w:p>
    <w:p>
      <w:pPr>
        <w:spacing w:line="360" w:lineRule="auto"/>
        <w:ind w:firstLine="420" w:firstLineChars="200"/>
        <w:jc w:val="left"/>
        <w:rPr>
          <w:szCs w:val="24"/>
        </w:rPr>
      </w:pPr>
      <w:r>
        <w:rPr>
          <w:rFonts w:hint="eastAsia"/>
          <w:szCs w:val="24"/>
        </w:rPr>
        <w:t>（九）</w:t>
      </w:r>
      <w:r>
        <w:rPr>
          <w:szCs w:val="24"/>
        </w:rPr>
        <w:t>甲、乙双方法定代表人或授权代表在合同协议书签字，并分别加盖各单位的公章，并经见证单位见证后合同生效。</w:t>
      </w:r>
    </w:p>
    <w:p>
      <w:pPr>
        <w:spacing w:line="360" w:lineRule="auto"/>
        <w:ind w:firstLine="420" w:firstLineChars="200"/>
        <w:jc w:val="left"/>
        <w:rPr>
          <w:szCs w:val="24"/>
        </w:rPr>
      </w:pPr>
      <w:r>
        <w:rPr>
          <w:rFonts w:hint="eastAsia"/>
          <w:szCs w:val="24"/>
        </w:rPr>
        <w:t>（十）</w:t>
      </w:r>
      <w:r>
        <w:rPr>
          <w:szCs w:val="24"/>
        </w:rPr>
        <w:t>本合同壹式</w:t>
      </w:r>
      <w:r>
        <w:rPr>
          <w:szCs w:val="24"/>
          <w:u w:val="single"/>
        </w:rPr>
        <w:t xml:space="preserve">   </w:t>
      </w:r>
      <w:r>
        <w:rPr>
          <w:szCs w:val="24"/>
        </w:rPr>
        <w:t>份，甲方执</w:t>
      </w:r>
      <w:r>
        <w:rPr>
          <w:szCs w:val="24"/>
          <w:u w:val="single"/>
        </w:rPr>
        <w:t xml:space="preserve">   </w:t>
      </w:r>
      <w:r>
        <w:rPr>
          <w:szCs w:val="24"/>
        </w:rPr>
        <w:t>份，乙方执</w:t>
      </w:r>
      <w:r>
        <w:rPr>
          <w:szCs w:val="24"/>
          <w:u w:val="single"/>
        </w:rPr>
        <w:t xml:space="preserve">   </w:t>
      </w:r>
      <w:r>
        <w:rPr>
          <w:szCs w:val="24"/>
        </w:rPr>
        <w:t>份。</w:t>
      </w:r>
    </w:p>
    <w:p>
      <w:pPr>
        <w:spacing w:line="360" w:lineRule="auto"/>
        <w:rPr>
          <w:szCs w:val="24"/>
        </w:rPr>
      </w:pPr>
      <w:r>
        <w:rPr>
          <w:rFonts w:hint="eastAsia"/>
          <w:b/>
          <w:szCs w:val="24"/>
        </w:rPr>
        <w:t>（完）</w:t>
      </w:r>
    </w:p>
    <w:tbl>
      <w:tblPr>
        <w:tblStyle w:val="22"/>
        <w:tblW w:w="8717" w:type="dxa"/>
        <w:tblInd w:w="0" w:type="dxa"/>
        <w:tblLayout w:type="fixed"/>
        <w:tblCellMar>
          <w:top w:w="0" w:type="dxa"/>
          <w:left w:w="108" w:type="dxa"/>
          <w:bottom w:w="0" w:type="dxa"/>
          <w:right w:w="108" w:type="dxa"/>
        </w:tblCellMar>
      </w:tblPr>
      <w:tblGrid>
        <w:gridCol w:w="4279"/>
        <w:gridCol w:w="4438"/>
      </w:tblGrid>
      <w:tr>
        <w:tblPrEx>
          <w:tblCellMar>
            <w:top w:w="0" w:type="dxa"/>
            <w:left w:w="108" w:type="dxa"/>
            <w:bottom w:w="0" w:type="dxa"/>
            <w:right w:w="108" w:type="dxa"/>
          </w:tblCellMar>
        </w:tblPrEx>
        <w:trPr>
          <w:trHeight w:val="2785" w:hRule="atLeast"/>
        </w:trPr>
        <w:tc>
          <w:tcPr>
            <w:tcW w:w="4279" w:type="dxa"/>
          </w:tcPr>
          <w:p>
            <w:pPr>
              <w:spacing w:line="360" w:lineRule="auto"/>
              <w:rPr>
                <w:rFonts w:ascii="宋体" w:hAnsi="宋体"/>
              </w:rPr>
            </w:pPr>
            <w:r>
              <w:rPr>
                <w:rFonts w:hint="eastAsia" w:ascii="宋体" w:hAnsi="宋体"/>
                <w:b/>
              </w:rPr>
              <w:t>甲方（盖章）：</w:t>
            </w:r>
          </w:p>
          <w:p>
            <w:pPr>
              <w:spacing w:line="360" w:lineRule="auto"/>
              <w:rPr>
                <w:rFonts w:ascii="宋体" w:hAnsi="宋体"/>
              </w:rPr>
            </w:pPr>
            <w:r>
              <w:rPr>
                <w:rFonts w:hint="eastAsia" w:ascii="宋体" w:hAnsi="宋体"/>
              </w:rPr>
              <w:t>代表：</w:t>
            </w:r>
            <w:r>
              <w:rPr>
                <w:rFonts w:hint="eastAsia" w:ascii="宋体" w:hAnsi="宋体"/>
                <w:u w:val="single"/>
              </w:rPr>
              <w:t xml:space="preserve">                             </w:t>
            </w:r>
          </w:p>
          <w:p>
            <w:pPr>
              <w:spacing w:line="360" w:lineRule="auto"/>
              <w:rPr>
                <w:rFonts w:ascii="宋体" w:hAnsi="宋体"/>
              </w:rPr>
            </w:pPr>
            <w:r>
              <w:rPr>
                <w:rFonts w:hint="eastAsia" w:ascii="宋体" w:hAnsi="宋体"/>
              </w:rPr>
              <w:t>地址：</w:t>
            </w:r>
          </w:p>
          <w:p>
            <w:pPr>
              <w:spacing w:line="360" w:lineRule="auto"/>
              <w:rPr>
                <w:rFonts w:ascii="宋体" w:hAnsi="宋体"/>
              </w:rPr>
            </w:pPr>
            <w:r>
              <w:rPr>
                <w:rFonts w:hint="eastAsia" w:ascii="宋体" w:hAnsi="宋体"/>
              </w:rPr>
              <w:t>电话：</w:t>
            </w:r>
          </w:p>
          <w:p>
            <w:pPr>
              <w:spacing w:line="360" w:lineRule="auto"/>
              <w:rPr>
                <w:rFonts w:ascii="宋体" w:hAnsi="宋体"/>
              </w:rPr>
            </w:pPr>
            <w:r>
              <w:rPr>
                <w:rFonts w:hint="eastAsia" w:ascii="宋体" w:hAnsi="宋体"/>
              </w:rPr>
              <w:t>传真：</w:t>
            </w:r>
          </w:p>
          <w:p>
            <w:pPr>
              <w:spacing w:line="360" w:lineRule="auto"/>
              <w:rPr>
                <w:rFonts w:ascii="宋体" w:hAnsi="宋体"/>
              </w:rPr>
            </w:pPr>
            <w:r>
              <w:rPr>
                <w:rFonts w:hint="eastAsia" w:ascii="宋体" w:hAnsi="宋体"/>
              </w:rPr>
              <w:t>日期：        年     月    日</w:t>
            </w:r>
          </w:p>
        </w:tc>
        <w:tc>
          <w:tcPr>
            <w:tcW w:w="4438" w:type="dxa"/>
          </w:tcPr>
          <w:p>
            <w:pPr>
              <w:spacing w:line="360" w:lineRule="auto"/>
              <w:rPr>
                <w:rFonts w:ascii="宋体" w:hAnsi="宋体"/>
              </w:rPr>
            </w:pPr>
            <w:r>
              <w:rPr>
                <w:rFonts w:hint="eastAsia" w:ascii="宋体" w:hAnsi="宋体"/>
                <w:b/>
              </w:rPr>
              <w:t>乙方（盖章）：</w:t>
            </w:r>
          </w:p>
          <w:p>
            <w:pPr>
              <w:spacing w:line="360" w:lineRule="auto"/>
              <w:rPr>
                <w:rFonts w:ascii="宋体" w:hAnsi="宋体"/>
              </w:rPr>
            </w:pPr>
            <w:r>
              <w:rPr>
                <w:rFonts w:hint="eastAsia" w:ascii="宋体" w:hAnsi="宋体"/>
              </w:rPr>
              <w:t>代表：</w:t>
            </w:r>
            <w:r>
              <w:rPr>
                <w:rFonts w:hint="eastAsia" w:ascii="宋体" w:hAnsi="宋体"/>
                <w:u w:val="single"/>
              </w:rPr>
              <w:t xml:space="preserve">                             </w:t>
            </w:r>
          </w:p>
          <w:p>
            <w:pPr>
              <w:spacing w:line="360" w:lineRule="auto"/>
              <w:rPr>
                <w:rFonts w:ascii="宋体" w:hAnsi="宋体"/>
              </w:rPr>
            </w:pPr>
            <w:r>
              <w:rPr>
                <w:rFonts w:hint="eastAsia" w:ascii="宋体" w:hAnsi="宋体"/>
              </w:rPr>
              <w:t>地址：</w:t>
            </w:r>
          </w:p>
          <w:p>
            <w:pPr>
              <w:spacing w:line="360" w:lineRule="auto"/>
              <w:rPr>
                <w:rFonts w:ascii="宋体" w:hAnsi="宋体"/>
              </w:rPr>
            </w:pPr>
            <w:r>
              <w:rPr>
                <w:rFonts w:hint="eastAsia" w:ascii="宋体" w:hAnsi="宋体"/>
              </w:rPr>
              <w:t>电话：</w:t>
            </w:r>
          </w:p>
          <w:p>
            <w:pPr>
              <w:spacing w:line="360" w:lineRule="auto"/>
              <w:rPr>
                <w:rFonts w:ascii="宋体" w:hAnsi="宋体"/>
              </w:rPr>
            </w:pPr>
            <w:r>
              <w:rPr>
                <w:rFonts w:hint="eastAsia" w:ascii="宋体" w:hAnsi="宋体"/>
              </w:rPr>
              <w:t>传真：</w:t>
            </w:r>
          </w:p>
          <w:p>
            <w:pPr>
              <w:widowControl/>
              <w:spacing w:line="360" w:lineRule="auto"/>
              <w:jc w:val="left"/>
            </w:pPr>
            <w:r>
              <w:rPr>
                <w:rFonts w:hint="eastAsia" w:ascii="宋体" w:hAnsi="宋体"/>
              </w:rPr>
              <w:t>日期：        年     月    日</w:t>
            </w:r>
          </w:p>
        </w:tc>
      </w:tr>
    </w:tbl>
    <w:p>
      <w:pPr>
        <w:pStyle w:val="27"/>
        <w:rPr>
          <w:rFonts w:ascii="宋体" w:hAnsi="宋体" w:eastAsia="宋体" w:cs="仿宋"/>
          <w:sz w:val="21"/>
          <w:szCs w:val="21"/>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ì.">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866"/>
      </w:tabs>
      <w:ind w:firstLine="48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5"/>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9240"/>
        <w:tab w:val="clear" w:pos="8306"/>
      </w:tabs>
      <w:ind w:firstLine="180" w:firstLineChars="10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1935"/>
    <w:multiLevelType w:val="multilevel"/>
    <w:tmpl w:val="BD4E193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C456829D"/>
    <w:multiLevelType w:val="multilevel"/>
    <w:tmpl w:val="C456829D"/>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C623EDA5"/>
    <w:multiLevelType w:val="multilevel"/>
    <w:tmpl w:val="C623EDA5"/>
    <w:lvl w:ilvl="0" w:tentative="0">
      <w:start w:val="1"/>
      <w:numFmt w:val="decimal"/>
      <w:suff w:val="nothing"/>
      <w:lvlText w:val="（%1）"/>
      <w:lvlJc w:val="left"/>
      <w:pPr>
        <w:ind w:left="420" w:leftChars="0" w:firstLine="0" w:firstLineChars="0"/>
      </w:pPr>
      <w:rPr>
        <w:rFonts w:hint="eastAsia"/>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D5D81A81"/>
    <w:multiLevelType w:val="multilevel"/>
    <w:tmpl w:val="D5D81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E0F903D0"/>
    <w:multiLevelType w:val="multilevel"/>
    <w:tmpl w:val="E0F903D0"/>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BD155E9"/>
    <w:multiLevelType w:val="multilevel"/>
    <w:tmpl w:val="1BD155E9"/>
    <w:lvl w:ilvl="0" w:tentative="0">
      <w:start w:val="6"/>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295E2D51"/>
    <w:multiLevelType w:val="multilevel"/>
    <w:tmpl w:val="295E2D51"/>
    <w:lvl w:ilvl="0" w:tentative="0">
      <w:start w:val="1"/>
      <w:numFmt w:val="decimal"/>
      <w:lvlText w:val="%1."/>
      <w:lvlJc w:val="left"/>
      <w:pPr>
        <w:ind w:left="0" w:firstLine="0"/>
      </w:pPr>
      <w:rPr>
        <w:rFonts w:hint="default" w:ascii="Times New Roman" w:hAnsi="Times New Roman" w:cs="Times New Roman"/>
      </w:rPr>
    </w:lvl>
    <w:lvl w:ilvl="1" w:tentative="0">
      <w:start w:val="1"/>
      <w:numFmt w:val="chineseCountingThousand"/>
      <w:suff w:val="nothing"/>
      <w:lvlText w:val="(%2)"/>
      <w:lvlJc w:val="left"/>
      <w:pPr>
        <w:ind w:left="624" w:hanging="624"/>
      </w:pPr>
      <w:rPr>
        <w:rFonts w:hint="eastAsia" w:cs="Times New Roman"/>
        <w:sz w:val="21"/>
        <w:szCs w:val="21"/>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2AB91E49"/>
    <w:multiLevelType w:val="multilevel"/>
    <w:tmpl w:val="2AB91E49"/>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japaneseCounting"/>
      <w:lvlText w:val="（%3）"/>
      <w:lvlJc w:val="left"/>
      <w:pPr>
        <w:ind w:left="1560" w:hanging="720"/>
      </w:pPr>
      <w:rPr>
        <w:rFonts w:hint="default" w:cs="Courier New"/>
        <w:b w:val="0"/>
        <w:color w:val="00B05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271" w:hanging="42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E8761D6"/>
    <w:multiLevelType w:val="singleLevel"/>
    <w:tmpl w:val="3E8761D6"/>
    <w:lvl w:ilvl="0" w:tentative="0">
      <w:start w:val="2"/>
      <w:numFmt w:val="chineseCounting"/>
      <w:suff w:val="nothing"/>
      <w:lvlText w:val="%1、"/>
      <w:lvlJc w:val="left"/>
      <w:rPr>
        <w:rFonts w:hint="eastAsia"/>
      </w:rPr>
    </w:lvl>
  </w:abstractNum>
  <w:abstractNum w:abstractNumId="12">
    <w:nsid w:val="3F1EDC8B"/>
    <w:multiLevelType w:val="multilevel"/>
    <w:tmpl w:val="3F1EDC8B"/>
    <w:lvl w:ilvl="0" w:tentative="0">
      <w:start w:val="1"/>
      <w:numFmt w:val="chineseCountingThousand"/>
      <w:lvlText w:val="(%1)"/>
      <w:lvlJc w:val="left"/>
      <w:pPr>
        <w:ind w:left="286" w:hanging="420"/>
      </w:pPr>
      <w:rPr>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3">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4F3713C3"/>
    <w:multiLevelType w:val="multilevel"/>
    <w:tmpl w:val="4F3713C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613E4D6B"/>
    <w:multiLevelType w:val="multilevel"/>
    <w:tmpl w:val="613E4D6B"/>
    <w:lvl w:ilvl="0" w:tentative="0">
      <w:start w:val="1"/>
      <w:numFmt w:val="chineseCountingThousand"/>
      <w:suff w:val="nothing"/>
      <w:lvlText w:val="%1、"/>
      <w:lvlJc w:val="left"/>
      <w:pPr>
        <w:ind w:left="840" w:hanging="420"/>
      </w:pPr>
      <w:rPr>
        <w:rFonts w:hint="eastAsia"/>
      </w:rPr>
    </w:lvl>
    <w:lvl w:ilvl="1" w:tentative="0">
      <w:start w:val="1"/>
      <w:numFmt w:val="decimal"/>
      <w:lvlText w:val="（%2）"/>
      <w:lvlJc w:val="left"/>
      <w:pPr>
        <w:ind w:left="1785" w:hanging="945"/>
      </w:pPr>
      <w:rPr>
        <w:rFonts w:hint="default" w:cs="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81F4B97"/>
    <w:multiLevelType w:val="multilevel"/>
    <w:tmpl w:val="681F4B97"/>
    <w:lvl w:ilvl="0" w:tentative="0">
      <w:start w:val="1"/>
      <w:numFmt w:val="chineseCountingThousand"/>
      <w:suff w:val="nothing"/>
      <w:lvlText w:val="%1、"/>
      <w:lvlJc w:val="left"/>
      <w:pPr>
        <w:ind w:left="624" w:hanging="624"/>
      </w:pPr>
      <w:rPr>
        <w:rFonts w:hint="eastAsia" w:cs="Times New Roman"/>
        <w:b/>
        <w:bCs/>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72AE5F84"/>
    <w:multiLevelType w:val="multilevel"/>
    <w:tmpl w:val="72AE5F84"/>
    <w:lvl w:ilvl="0" w:tentative="0">
      <w:start w:val="1"/>
      <w:numFmt w:val="chineseCountingThousand"/>
      <w:lvlText w:val="(%1)"/>
      <w:lvlJc w:val="left"/>
      <w:pPr>
        <w:ind w:left="286" w:hanging="420"/>
      </w:pPr>
      <w:rPr>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0">
    <w:nsid w:val="79BE7B52"/>
    <w:multiLevelType w:val="multilevel"/>
    <w:tmpl w:val="79BE7B5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0"/>
  </w:num>
  <w:num w:numId="2">
    <w:abstractNumId w:val="5"/>
  </w:num>
  <w:num w:numId="3">
    <w:abstractNumId w:val="16"/>
  </w:num>
  <w:num w:numId="4">
    <w:abstractNumId w:val="6"/>
  </w:num>
  <w:num w:numId="5">
    <w:abstractNumId w:val="10"/>
  </w:num>
  <w:num w:numId="6">
    <w:abstractNumId w:val="11"/>
  </w:num>
  <w:num w:numId="7">
    <w:abstractNumId w:val="19"/>
  </w:num>
  <w:num w:numId="8">
    <w:abstractNumId w:val="18"/>
  </w:num>
  <w:num w:numId="9">
    <w:abstractNumId w:val="13"/>
  </w:num>
  <w:num w:numId="10">
    <w:abstractNumId w:val="14"/>
  </w:num>
  <w:num w:numId="11">
    <w:abstractNumId w:val="3"/>
  </w:num>
  <w:num w:numId="12">
    <w:abstractNumId w:val="2"/>
  </w:num>
  <w:num w:numId="13">
    <w:abstractNumId w:val="9"/>
  </w:num>
  <w:num w:numId="14">
    <w:abstractNumId w:val="17"/>
  </w:num>
  <w:num w:numId="15">
    <w:abstractNumId w:val="7"/>
  </w:num>
  <w:num w:numId="16">
    <w:abstractNumId w:val="12"/>
  </w:num>
  <w:num w:numId="17">
    <w:abstractNumId w:val="15"/>
  </w:num>
  <w:num w:numId="18">
    <w:abstractNumId w:val="4"/>
  </w:num>
  <w:num w:numId="19">
    <w:abstractNumId w:val="0"/>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DYyNGU2NTAzZTI3ZjcwMjhkNWM2NTgxNTcyMGQifQ=="/>
  </w:docVars>
  <w:rsids>
    <w:rsidRoot w:val="15E41223"/>
    <w:rsid w:val="00020AD8"/>
    <w:rsid w:val="00031C54"/>
    <w:rsid w:val="00035605"/>
    <w:rsid w:val="00052AB5"/>
    <w:rsid w:val="00060E7C"/>
    <w:rsid w:val="00062119"/>
    <w:rsid w:val="0007087C"/>
    <w:rsid w:val="00096D5E"/>
    <w:rsid w:val="000B35FC"/>
    <w:rsid w:val="000C0B2F"/>
    <w:rsid w:val="000D27CC"/>
    <w:rsid w:val="000D3063"/>
    <w:rsid w:val="000E1ED7"/>
    <w:rsid w:val="00104114"/>
    <w:rsid w:val="001066DB"/>
    <w:rsid w:val="0012716E"/>
    <w:rsid w:val="00130C4B"/>
    <w:rsid w:val="0015327F"/>
    <w:rsid w:val="001724CD"/>
    <w:rsid w:val="00173ABF"/>
    <w:rsid w:val="0017611C"/>
    <w:rsid w:val="00195250"/>
    <w:rsid w:val="001B109F"/>
    <w:rsid w:val="001D6EEC"/>
    <w:rsid w:val="001F4FE1"/>
    <w:rsid w:val="001F7852"/>
    <w:rsid w:val="001F7EA8"/>
    <w:rsid w:val="00202AFA"/>
    <w:rsid w:val="00203396"/>
    <w:rsid w:val="002118A5"/>
    <w:rsid w:val="0022615D"/>
    <w:rsid w:val="00232B2C"/>
    <w:rsid w:val="002570D9"/>
    <w:rsid w:val="00267F51"/>
    <w:rsid w:val="00275D35"/>
    <w:rsid w:val="002837C5"/>
    <w:rsid w:val="00294536"/>
    <w:rsid w:val="0029533A"/>
    <w:rsid w:val="002A6AB9"/>
    <w:rsid w:val="002C6F49"/>
    <w:rsid w:val="002C7C04"/>
    <w:rsid w:val="002D075D"/>
    <w:rsid w:val="002D21C5"/>
    <w:rsid w:val="002D4523"/>
    <w:rsid w:val="002F28E0"/>
    <w:rsid w:val="002F2D39"/>
    <w:rsid w:val="002F324A"/>
    <w:rsid w:val="00302FA8"/>
    <w:rsid w:val="00303B8B"/>
    <w:rsid w:val="00305297"/>
    <w:rsid w:val="00312732"/>
    <w:rsid w:val="00317690"/>
    <w:rsid w:val="0032496A"/>
    <w:rsid w:val="003329ED"/>
    <w:rsid w:val="003332FC"/>
    <w:rsid w:val="003420FF"/>
    <w:rsid w:val="0034282A"/>
    <w:rsid w:val="0034402D"/>
    <w:rsid w:val="00347A1D"/>
    <w:rsid w:val="00353D3B"/>
    <w:rsid w:val="00376A00"/>
    <w:rsid w:val="003A1E38"/>
    <w:rsid w:val="003A416B"/>
    <w:rsid w:val="003A4AFC"/>
    <w:rsid w:val="003A5147"/>
    <w:rsid w:val="003B2FCE"/>
    <w:rsid w:val="003B3B65"/>
    <w:rsid w:val="003D62C9"/>
    <w:rsid w:val="00406429"/>
    <w:rsid w:val="00407755"/>
    <w:rsid w:val="004230A8"/>
    <w:rsid w:val="0046485F"/>
    <w:rsid w:val="004771A5"/>
    <w:rsid w:val="00487F2B"/>
    <w:rsid w:val="004A4113"/>
    <w:rsid w:val="004A487C"/>
    <w:rsid w:val="004C3FC6"/>
    <w:rsid w:val="004C5C47"/>
    <w:rsid w:val="004C6513"/>
    <w:rsid w:val="004D3EF0"/>
    <w:rsid w:val="004E2009"/>
    <w:rsid w:val="004F2D5F"/>
    <w:rsid w:val="004F6DC6"/>
    <w:rsid w:val="00511FA2"/>
    <w:rsid w:val="00533045"/>
    <w:rsid w:val="00536254"/>
    <w:rsid w:val="00540FF1"/>
    <w:rsid w:val="005463D4"/>
    <w:rsid w:val="00552EEC"/>
    <w:rsid w:val="00566045"/>
    <w:rsid w:val="00575482"/>
    <w:rsid w:val="0057591F"/>
    <w:rsid w:val="005A43D7"/>
    <w:rsid w:val="005B10E0"/>
    <w:rsid w:val="005B4863"/>
    <w:rsid w:val="005B5C40"/>
    <w:rsid w:val="005C38DF"/>
    <w:rsid w:val="005C5E95"/>
    <w:rsid w:val="005C6761"/>
    <w:rsid w:val="005C69B2"/>
    <w:rsid w:val="005E4326"/>
    <w:rsid w:val="005F2140"/>
    <w:rsid w:val="005F64A7"/>
    <w:rsid w:val="006045D7"/>
    <w:rsid w:val="00642A07"/>
    <w:rsid w:val="00646D27"/>
    <w:rsid w:val="00654260"/>
    <w:rsid w:val="006622E9"/>
    <w:rsid w:val="00671AC4"/>
    <w:rsid w:val="00677FFC"/>
    <w:rsid w:val="00683D83"/>
    <w:rsid w:val="006857A3"/>
    <w:rsid w:val="006B154C"/>
    <w:rsid w:val="00732DA8"/>
    <w:rsid w:val="00733C50"/>
    <w:rsid w:val="0076433A"/>
    <w:rsid w:val="0079793F"/>
    <w:rsid w:val="007B1357"/>
    <w:rsid w:val="007B4B7E"/>
    <w:rsid w:val="007B7663"/>
    <w:rsid w:val="007C618E"/>
    <w:rsid w:val="007D5D99"/>
    <w:rsid w:val="007F3777"/>
    <w:rsid w:val="008007CA"/>
    <w:rsid w:val="00812273"/>
    <w:rsid w:val="00841BCA"/>
    <w:rsid w:val="00851346"/>
    <w:rsid w:val="00855969"/>
    <w:rsid w:val="008619A1"/>
    <w:rsid w:val="008621D8"/>
    <w:rsid w:val="0086711F"/>
    <w:rsid w:val="0087183D"/>
    <w:rsid w:val="008772CA"/>
    <w:rsid w:val="00880A7C"/>
    <w:rsid w:val="008B3042"/>
    <w:rsid w:val="008B4C4B"/>
    <w:rsid w:val="008E3E8B"/>
    <w:rsid w:val="00903268"/>
    <w:rsid w:val="00917A88"/>
    <w:rsid w:val="00922A64"/>
    <w:rsid w:val="009401B7"/>
    <w:rsid w:val="009449AF"/>
    <w:rsid w:val="00946712"/>
    <w:rsid w:val="00952ADA"/>
    <w:rsid w:val="009A6C60"/>
    <w:rsid w:val="009B3984"/>
    <w:rsid w:val="009C35F8"/>
    <w:rsid w:val="009E223A"/>
    <w:rsid w:val="009E4416"/>
    <w:rsid w:val="009F32F0"/>
    <w:rsid w:val="00A1255F"/>
    <w:rsid w:val="00A17CD8"/>
    <w:rsid w:val="00A21838"/>
    <w:rsid w:val="00A21F31"/>
    <w:rsid w:val="00A22B56"/>
    <w:rsid w:val="00A260CC"/>
    <w:rsid w:val="00A54CFF"/>
    <w:rsid w:val="00A66C23"/>
    <w:rsid w:val="00A77D14"/>
    <w:rsid w:val="00A81717"/>
    <w:rsid w:val="00A9092E"/>
    <w:rsid w:val="00A91DF1"/>
    <w:rsid w:val="00AA348A"/>
    <w:rsid w:val="00AB0AA0"/>
    <w:rsid w:val="00AC2E5D"/>
    <w:rsid w:val="00AD6D17"/>
    <w:rsid w:val="00AF1557"/>
    <w:rsid w:val="00B35FB1"/>
    <w:rsid w:val="00B56517"/>
    <w:rsid w:val="00B94E14"/>
    <w:rsid w:val="00B95949"/>
    <w:rsid w:val="00BA74B0"/>
    <w:rsid w:val="00BC2501"/>
    <w:rsid w:val="00BC5137"/>
    <w:rsid w:val="00BD0473"/>
    <w:rsid w:val="00BD051A"/>
    <w:rsid w:val="00BF65B9"/>
    <w:rsid w:val="00BF7088"/>
    <w:rsid w:val="00C021E6"/>
    <w:rsid w:val="00C13B0B"/>
    <w:rsid w:val="00C17CBC"/>
    <w:rsid w:val="00C23249"/>
    <w:rsid w:val="00C33589"/>
    <w:rsid w:val="00C33BCB"/>
    <w:rsid w:val="00C36247"/>
    <w:rsid w:val="00C426BE"/>
    <w:rsid w:val="00C45AFD"/>
    <w:rsid w:val="00C46882"/>
    <w:rsid w:val="00C5666F"/>
    <w:rsid w:val="00C60899"/>
    <w:rsid w:val="00C81085"/>
    <w:rsid w:val="00C82F4F"/>
    <w:rsid w:val="00C87352"/>
    <w:rsid w:val="00C91274"/>
    <w:rsid w:val="00CA730E"/>
    <w:rsid w:val="00CA7365"/>
    <w:rsid w:val="00CB517A"/>
    <w:rsid w:val="00CC65A7"/>
    <w:rsid w:val="00CD50D6"/>
    <w:rsid w:val="00CE2194"/>
    <w:rsid w:val="00D32056"/>
    <w:rsid w:val="00D4045A"/>
    <w:rsid w:val="00D641A2"/>
    <w:rsid w:val="00D70C11"/>
    <w:rsid w:val="00D729EA"/>
    <w:rsid w:val="00D742C2"/>
    <w:rsid w:val="00DA0220"/>
    <w:rsid w:val="00DB3398"/>
    <w:rsid w:val="00DB343E"/>
    <w:rsid w:val="00DB7B8A"/>
    <w:rsid w:val="00DE5B2A"/>
    <w:rsid w:val="00DE6432"/>
    <w:rsid w:val="00DF3A4A"/>
    <w:rsid w:val="00E30B2D"/>
    <w:rsid w:val="00E33C29"/>
    <w:rsid w:val="00E37A1F"/>
    <w:rsid w:val="00E40EF5"/>
    <w:rsid w:val="00E710FA"/>
    <w:rsid w:val="00E760D7"/>
    <w:rsid w:val="00E83D69"/>
    <w:rsid w:val="00E96EDB"/>
    <w:rsid w:val="00EA0B12"/>
    <w:rsid w:val="00EA2AA6"/>
    <w:rsid w:val="00EE1607"/>
    <w:rsid w:val="00EE253F"/>
    <w:rsid w:val="00F20215"/>
    <w:rsid w:val="00F209FD"/>
    <w:rsid w:val="00F26A20"/>
    <w:rsid w:val="00F41D4D"/>
    <w:rsid w:val="00F50F31"/>
    <w:rsid w:val="00F52D93"/>
    <w:rsid w:val="00F649C7"/>
    <w:rsid w:val="00F67A1B"/>
    <w:rsid w:val="00F75819"/>
    <w:rsid w:val="00F86CA2"/>
    <w:rsid w:val="00FB32A8"/>
    <w:rsid w:val="00FC69BF"/>
    <w:rsid w:val="00FD6477"/>
    <w:rsid w:val="00FE0E8B"/>
    <w:rsid w:val="00FF2150"/>
    <w:rsid w:val="00FF3EA8"/>
    <w:rsid w:val="00FF7FB4"/>
    <w:rsid w:val="01431251"/>
    <w:rsid w:val="0237734E"/>
    <w:rsid w:val="055A15D1"/>
    <w:rsid w:val="05AA2792"/>
    <w:rsid w:val="067C3ABB"/>
    <w:rsid w:val="06DC7DF2"/>
    <w:rsid w:val="08873AB4"/>
    <w:rsid w:val="08A2613E"/>
    <w:rsid w:val="0AB51186"/>
    <w:rsid w:val="0ADC3F04"/>
    <w:rsid w:val="0C7E6903"/>
    <w:rsid w:val="0D0417A1"/>
    <w:rsid w:val="0DD57178"/>
    <w:rsid w:val="0DF83317"/>
    <w:rsid w:val="0EEB1A9A"/>
    <w:rsid w:val="0F7D1699"/>
    <w:rsid w:val="10C646FE"/>
    <w:rsid w:val="11DE0B03"/>
    <w:rsid w:val="15183C5A"/>
    <w:rsid w:val="15381244"/>
    <w:rsid w:val="15DC5E96"/>
    <w:rsid w:val="15E41223"/>
    <w:rsid w:val="18DA46AC"/>
    <w:rsid w:val="18E62ED0"/>
    <w:rsid w:val="190C565E"/>
    <w:rsid w:val="1B182DC8"/>
    <w:rsid w:val="1C5008C3"/>
    <w:rsid w:val="1C6B50C0"/>
    <w:rsid w:val="1C711B13"/>
    <w:rsid w:val="1CB07383"/>
    <w:rsid w:val="1CB21D54"/>
    <w:rsid w:val="1CDC4F65"/>
    <w:rsid w:val="1F45416C"/>
    <w:rsid w:val="1F4D594D"/>
    <w:rsid w:val="203121D5"/>
    <w:rsid w:val="2221008D"/>
    <w:rsid w:val="22524B9E"/>
    <w:rsid w:val="22707230"/>
    <w:rsid w:val="23021C5F"/>
    <w:rsid w:val="232A18AE"/>
    <w:rsid w:val="24156586"/>
    <w:rsid w:val="244B3A34"/>
    <w:rsid w:val="24D34B20"/>
    <w:rsid w:val="286D7F92"/>
    <w:rsid w:val="28B11D2A"/>
    <w:rsid w:val="293E17F0"/>
    <w:rsid w:val="29DB7EDD"/>
    <w:rsid w:val="29E42830"/>
    <w:rsid w:val="2A200316"/>
    <w:rsid w:val="2AA94B40"/>
    <w:rsid w:val="2B01686E"/>
    <w:rsid w:val="2BC2181A"/>
    <w:rsid w:val="2C617FDA"/>
    <w:rsid w:val="2C8C4BC6"/>
    <w:rsid w:val="2D1175A4"/>
    <w:rsid w:val="2D4E1CA3"/>
    <w:rsid w:val="2D6B39F9"/>
    <w:rsid w:val="2DB10647"/>
    <w:rsid w:val="2E4A2DEC"/>
    <w:rsid w:val="2E9B051D"/>
    <w:rsid w:val="2FD34A0D"/>
    <w:rsid w:val="31A850BC"/>
    <w:rsid w:val="330B7D6A"/>
    <w:rsid w:val="335F6224"/>
    <w:rsid w:val="349824ED"/>
    <w:rsid w:val="364655CA"/>
    <w:rsid w:val="36B33B3A"/>
    <w:rsid w:val="374371A8"/>
    <w:rsid w:val="37A3724B"/>
    <w:rsid w:val="37D72870"/>
    <w:rsid w:val="384071FA"/>
    <w:rsid w:val="38957F19"/>
    <w:rsid w:val="38AC700C"/>
    <w:rsid w:val="39141CB8"/>
    <w:rsid w:val="39C650A3"/>
    <w:rsid w:val="3ABE18F0"/>
    <w:rsid w:val="3CCF1095"/>
    <w:rsid w:val="3E0F692E"/>
    <w:rsid w:val="410522F4"/>
    <w:rsid w:val="416074D3"/>
    <w:rsid w:val="431B3FAE"/>
    <w:rsid w:val="43667190"/>
    <w:rsid w:val="43BC04B4"/>
    <w:rsid w:val="45CF7326"/>
    <w:rsid w:val="461A2CE7"/>
    <w:rsid w:val="465922CF"/>
    <w:rsid w:val="466219CB"/>
    <w:rsid w:val="467C37F8"/>
    <w:rsid w:val="476A2E6B"/>
    <w:rsid w:val="4A7A6964"/>
    <w:rsid w:val="4A823197"/>
    <w:rsid w:val="4DFD38B0"/>
    <w:rsid w:val="4F1E0F13"/>
    <w:rsid w:val="4FC15A6D"/>
    <w:rsid w:val="50116164"/>
    <w:rsid w:val="507C629B"/>
    <w:rsid w:val="50A72C86"/>
    <w:rsid w:val="50AA56D7"/>
    <w:rsid w:val="50C026B9"/>
    <w:rsid w:val="511C57F8"/>
    <w:rsid w:val="52217F20"/>
    <w:rsid w:val="52B30DD9"/>
    <w:rsid w:val="53320F6F"/>
    <w:rsid w:val="5422582D"/>
    <w:rsid w:val="544C5D66"/>
    <w:rsid w:val="54603E60"/>
    <w:rsid w:val="54C81701"/>
    <w:rsid w:val="563F064B"/>
    <w:rsid w:val="56440581"/>
    <w:rsid w:val="571538AD"/>
    <w:rsid w:val="58116E67"/>
    <w:rsid w:val="5A2E58AA"/>
    <w:rsid w:val="5B1A66F9"/>
    <w:rsid w:val="5C565F70"/>
    <w:rsid w:val="5CC0644B"/>
    <w:rsid w:val="5DB46AEB"/>
    <w:rsid w:val="5E6B621C"/>
    <w:rsid w:val="5ED37C84"/>
    <w:rsid w:val="604E3D51"/>
    <w:rsid w:val="61467801"/>
    <w:rsid w:val="620E1CC0"/>
    <w:rsid w:val="62612B91"/>
    <w:rsid w:val="628A258E"/>
    <w:rsid w:val="62DD781C"/>
    <w:rsid w:val="636F1AAE"/>
    <w:rsid w:val="644B4AAD"/>
    <w:rsid w:val="65976E66"/>
    <w:rsid w:val="66D71989"/>
    <w:rsid w:val="68F21ACE"/>
    <w:rsid w:val="69AD0B0B"/>
    <w:rsid w:val="6A1E5148"/>
    <w:rsid w:val="6A736CD6"/>
    <w:rsid w:val="6A9276EA"/>
    <w:rsid w:val="6B867CAC"/>
    <w:rsid w:val="6E1972E1"/>
    <w:rsid w:val="70AB4262"/>
    <w:rsid w:val="714162F1"/>
    <w:rsid w:val="721A5C68"/>
    <w:rsid w:val="722D2A5F"/>
    <w:rsid w:val="733C6F68"/>
    <w:rsid w:val="74481B64"/>
    <w:rsid w:val="76B36746"/>
    <w:rsid w:val="76E05574"/>
    <w:rsid w:val="77B06FA2"/>
    <w:rsid w:val="77C8392F"/>
    <w:rsid w:val="77E9388A"/>
    <w:rsid w:val="77EE66EA"/>
    <w:rsid w:val="78BA11C1"/>
    <w:rsid w:val="78CE6340"/>
    <w:rsid w:val="790714B4"/>
    <w:rsid w:val="794702B2"/>
    <w:rsid w:val="79513E93"/>
    <w:rsid w:val="7961312E"/>
    <w:rsid w:val="7B7E62B0"/>
    <w:rsid w:val="7C7C5954"/>
    <w:rsid w:val="7DAA5562"/>
    <w:rsid w:val="7DEA118D"/>
    <w:rsid w:val="7E30697A"/>
    <w:rsid w:val="7F12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link w:val="28"/>
    <w:unhideWhenUsed/>
    <w:qFormat/>
    <w:uiPriority w:val="0"/>
    <w:pPr>
      <w:keepNext/>
      <w:keepLines/>
      <w:numPr>
        <w:ilvl w:val="1"/>
        <w:numId w:val="1"/>
      </w:numPr>
      <w:spacing w:before="100" w:beforeLines="100" w:line="360" w:lineRule="auto"/>
      <w:outlineLvl w:val="1"/>
    </w:pPr>
    <w:rPr>
      <w:rFonts w:ascii="等线 Light" w:hAnsi="等线 Light"/>
      <w:b/>
      <w:bCs/>
      <w:sz w:val="30"/>
      <w:szCs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28"/>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spacing w:line="360" w:lineRule="auto"/>
      <w:ind w:firstLine="420" w:firstLineChars="200"/>
    </w:pPr>
    <w:rPr>
      <w:sz w:val="20"/>
      <w:szCs w:val="24"/>
    </w:rPr>
  </w:style>
  <w:style w:type="paragraph" w:styleId="12">
    <w:name w:val="annotation text"/>
    <w:basedOn w:val="1"/>
    <w:link w:val="32"/>
    <w:qFormat/>
    <w:uiPriority w:val="0"/>
    <w:pPr>
      <w:jc w:val="left"/>
    </w:pPr>
    <w:rPr>
      <w:rFonts w:ascii="Calibri" w:hAnsi="Calibri" w:cs="Calibri"/>
      <w:szCs w:val="21"/>
    </w:rPr>
  </w:style>
  <w:style w:type="paragraph" w:styleId="13">
    <w:name w:val="Plain Text"/>
    <w:basedOn w:val="1"/>
    <w:link w:val="33"/>
    <w:qFormat/>
    <w:uiPriority w:val="0"/>
    <w:rPr>
      <w:rFonts w:ascii="宋体" w:hAnsi="Courier New" w:cs="宋体"/>
      <w:kern w:val="0"/>
      <w:szCs w:val="21"/>
    </w:r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link w:val="43"/>
    <w:qFormat/>
    <w:uiPriority w:val="0"/>
    <w:pPr>
      <w:spacing w:before="240" w:after="60"/>
      <w:jc w:val="center"/>
      <w:outlineLvl w:val="0"/>
    </w:pPr>
    <w:rPr>
      <w:rFonts w:asciiTheme="majorHAnsi" w:hAnsiTheme="majorHAnsi" w:cstheme="majorBidi"/>
      <w:b/>
      <w:bCs/>
      <w:sz w:val="32"/>
      <w:szCs w:val="32"/>
    </w:rPr>
  </w:style>
  <w:style w:type="paragraph" w:styleId="21">
    <w:name w:val="annotation subject"/>
    <w:basedOn w:val="12"/>
    <w:next w:val="12"/>
    <w:link w:val="37"/>
    <w:qFormat/>
    <w:uiPriority w:val="0"/>
    <w:rPr>
      <w:rFonts w:ascii="Times New Roman" w:hAnsi="Times New Roman" w:cs="Times New Roman"/>
      <w:b/>
      <w:bCs/>
      <w:szCs w:val="22"/>
    </w:rPr>
  </w:style>
  <w:style w:type="table" w:styleId="23">
    <w:name w:val="Table Grid"/>
    <w:basedOn w:val="22"/>
    <w:unhideWhenUse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Default"/>
    <w:qFormat/>
    <w:uiPriority w:val="99"/>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28">
    <w:name w:val="标题 2 Char"/>
    <w:link w:val="3"/>
    <w:qFormat/>
    <w:uiPriority w:val="9"/>
    <w:rPr>
      <w:rFonts w:ascii="等线 Light" w:hAnsi="等线 Light" w:eastAsia="宋体" w:cs="Times New Roman"/>
      <w:b/>
      <w:bCs/>
      <w:sz w:val="30"/>
      <w:szCs w:val="32"/>
    </w:rPr>
  </w:style>
  <w:style w:type="paragraph" w:customStyle="1" w:styleId="29">
    <w:name w:val="my正文"/>
    <w:basedOn w:val="1"/>
    <w:qFormat/>
    <w:uiPriority w:val="0"/>
    <w:pPr>
      <w:ind w:firstLine="480"/>
    </w:pPr>
    <w:rPr>
      <w:szCs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批注文字 Char"/>
    <w:basedOn w:val="24"/>
    <w:link w:val="12"/>
    <w:qFormat/>
    <w:uiPriority w:val="0"/>
    <w:rPr>
      <w:rFonts w:ascii="Calibri" w:hAnsi="Calibri" w:cs="Calibri"/>
      <w:kern w:val="2"/>
      <w:sz w:val="21"/>
      <w:szCs w:val="21"/>
    </w:rPr>
  </w:style>
  <w:style w:type="character" w:customStyle="1" w:styleId="33">
    <w:name w:val="纯文本 Char"/>
    <w:basedOn w:val="24"/>
    <w:link w:val="13"/>
    <w:qFormat/>
    <w:uiPriority w:val="0"/>
    <w:rPr>
      <w:rFonts w:ascii="宋体" w:hAnsi="Courier New" w:cs="宋体"/>
      <w:sz w:val="21"/>
      <w:szCs w:val="21"/>
    </w:rPr>
  </w:style>
  <w:style w:type="paragraph" w:customStyle="1" w:styleId="34">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35">
    <w:name w:val="列表段落2"/>
    <w:basedOn w:val="1"/>
    <w:qFormat/>
    <w:uiPriority w:val="34"/>
    <w:pPr>
      <w:ind w:firstLine="420" w:firstLineChars="200"/>
    </w:pPr>
    <w:rPr>
      <w:rFonts w:ascii="Calibri" w:hAnsi="Calibri" w:cs="Calibri"/>
      <w:szCs w:val="21"/>
    </w:rPr>
  </w:style>
  <w:style w:type="paragraph" w:customStyle="1" w:styleId="36">
    <w:name w:val="列出段落1"/>
    <w:basedOn w:val="1"/>
    <w:qFormat/>
    <w:uiPriority w:val="34"/>
    <w:pPr>
      <w:ind w:firstLine="420" w:firstLineChars="200"/>
    </w:pPr>
    <w:rPr>
      <w:rFonts w:ascii="Calibri" w:hAnsi="Calibri" w:cs="Calibri"/>
      <w:szCs w:val="21"/>
    </w:rPr>
  </w:style>
  <w:style w:type="character" w:customStyle="1" w:styleId="37">
    <w:name w:val="批注主题 Char"/>
    <w:basedOn w:val="32"/>
    <w:link w:val="21"/>
    <w:qFormat/>
    <w:uiPriority w:val="0"/>
    <w:rPr>
      <w:rFonts w:ascii="Calibri" w:hAnsi="Calibri" w:cs="Calibri"/>
      <w:b/>
      <w:bCs/>
      <w:kern w:val="2"/>
      <w:sz w:val="21"/>
      <w:szCs w:val="22"/>
    </w:rPr>
  </w:style>
  <w:style w:type="paragraph" w:customStyle="1" w:styleId="38">
    <w:name w:val="样式4"/>
    <w:basedOn w:val="1"/>
    <w:qFormat/>
    <w:uiPriority w:val="99"/>
    <w:pPr>
      <w:numPr>
        <w:ilvl w:val="3"/>
        <w:numId w:val="2"/>
      </w:numPr>
      <w:tabs>
        <w:tab w:val="left" w:pos="425"/>
        <w:tab w:val="left" w:pos="1984"/>
      </w:tabs>
    </w:pPr>
    <w:rPr>
      <w:szCs w:val="21"/>
    </w:rPr>
  </w:style>
  <w:style w:type="paragraph" w:customStyle="1" w:styleId="39">
    <w:name w:val="列表段落3"/>
    <w:basedOn w:val="1"/>
    <w:qFormat/>
    <w:uiPriority w:val="34"/>
    <w:pPr>
      <w:ind w:firstLine="420" w:firstLineChars="200"/>
    </w:pPr>
    <w:rPr>
      <w:rFonts w:asciiTheme="minorHAnsi" w:hAnsiTheme="minorHAnsi" w:eastAsiaTheme="minorEastAsia" w:cstheme="minorBidi"/>
    </w:rPr>
  </w:style>
  <w:style w:type="paragraph" w:customStyle="1" w:styleId="40">
    <w:name w:val="_Style 37"/>
    <w:basedOn w:val="1"/>
    <w:next w:val="1"/>
    <w:qFormat/>
    <w:uiPriority w:val="0"/>
    <w:pPr>
      <w:pBdr>
        <w:bottom w:val="single" w:color="auto" w:sz="6" w:space="1"/>
      </w:pBdr>
      <w:jc w:val="center"/>
    </w:pPr>
    <w:rPr>
      <w:rFonts w:ascii="Arial"/>
      <w:vanish/>
      <w:sz w:val="16"/>
    </w:rPr>
  </w:style>
  <w:style w:type="paragraph" w:customStyle="1" w:styleId="41">
    <w:name w:val="_Style 38"/>
    <w:basedOn w:val="1"/>
    <w:next w:val="1"/>
    <w:qFormat/>
    <w:uiPriority w:val="0"/>
    <w:pPr>
      <w:pBdr>
        <w:top w:val="single" w:color="auto" w:sz="6" w:space="1"/>
      </w:pBdr>
      <w:jc w:val="center"/>
    </w:pPr>
    <w:rPr>
      <w:rFonts w:ascii="Arial"/>
      <w:vanish/>
      <w:sz w:val="16"/>
    </w:rPr>
  </w:style>
  <w:style w:type="character" w:customStyle="1" w:styleId="42">
    <w:name w:val="批注框文本 Char"/>
    <w:basedOn w:val="24"/>
    <w:link w:val="14"/>
    <w:qFormat/>
    <w:uiPriority w:val="0"/>
    <w:rPr>
      <w:kern w:val="2"/>
      <w:sz w:val="18"/>
      <w:szCs w:val="18"/>
    </w:rPr>
  </w:style>
  <w:style w:type="character" w:customStyle="1" w:styleId="43">
    <w:name w:val="标题 Char"/>
    <w:basedOn w:val="24"/>
    <w:link w:val="20"/>
    <w:qFormat/>
    <w:uiPriority w:val="0"/>
    <w:rPr>
      <w:rFonts w:asciiTheme="majorHAnsi" w:hAnsiTheme="majorHAnsi" w:cstheme="majorBidi"/>
      <w:b/>
      <w:bCs/>
      <w:kern w:val="2"/>
      <w:sz w:val="32"/>
      <w:szCs w:val="32"/>
    </w:rPr>
  </w:style>
  <w:style w:type="paragraph" w:customStyle="1" w:styleId="44">
    <w:name w:val="TableNormal"/>
    <w:basedOn w:val="1"/>
    <w:qFormat/>
    <w:uiPriority w:val="0"/>
    <w:pPr>
      <w:widowControl/>
      <w:spacing w:before="40" w:after="40" w:line="264" w:lineRule="auto"/>
      <w:jc w:val="left"/>
    </w:pPr>
    <w:rPr>
      <w:rFonts w:ascii="Arial" w:hAnsi="Arial" w:eastAsia="等线" w:cs="宋体"/>
      <w:kern w:val="0"/>
      <w:szCs w:val="20"/>
    </w:rPr>
  </w:style>
  <w:style w:type="paragraph" w:customStyle="1" w:styleId="45">
    <w:name w:val="首行缩进:  0.85 厘米"/>
    <w:basedOn w:val="1"/>
    <w:qFormat/>
    <w:uiPriority w:val="0"/>
    <w:pPr>
      <w:widowControl/>
      <w:spacing w:after="100" w:line="360" w:lineRule="auto"/>
      <w:ind w:firstLine="482"/>
      <w:jc w:val="left"/>
    </w:pPr>
    <w:rPr>
      <w:rFonts w:ascii="等线" w:hAnsi="等线" w:cs="宋体"/>
      <w:sz w:val="24"/>
      <w:lang w:eastAsia="en-US" w:bidi="en-US"/>
    </w:rPr>
  </w:style>
  <w:style w:type="paragraph" w:styleId="46">
    <w:name w:val="List Paragraph"/>
    <w:basedOn w:val="1"/>
    <w:link w:val="47"/>
    <w:unhideWhenUsed/>
    <w:qFormat/>
    <w:uiPriority w:val="34"/>
    <w:pPr>
      <w:ind w:firstLine="420" w:firstLineChars="200"/>
    </w:pPr>
  </w:style>
  <w:style w:type="character" w:customStyle="1" w:styleId="47">
    <w:name w:val="列出段落 Char"/>
    <w:link w:val="46"/>
    <w:qFormat/>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23</Pages>
  <Words>10593</Words>
  <Characters>11427</Characters>
  <Lines>63</Lines>
  <Paragraphs>17</Paragraphs>
  <TotalTime>11</TotalTime>
  <ScaleCrop>false</ScaleCrop>
  <LinksUpToDate>false</LinksUpToDate>
  <CharactersWithSpaces>11753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2024-04-02T08:41:00Z</dcterms:created>
  <dc:creator>惜。</dc:creator>
  <cp:lastModifiedBy>云采链</cp:lastModifiedBy>
  <dcterms:modified xsi:type="dcterms:W3CDTF">2024-06-17T00:57:25Z</dcterms:modified>
  <dc:title>竞价文件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0D2A869CE3E142ED832B2ED9309160B1_13</vt:lpwstr>
  </property>
</Properties>
</file>