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62CDE">
      <w:pPr>
        <w:snapToGrid w:val="0"/>
        <w:spacing w:before="156" w:beforeLines="50"/>
        <w:jc w:val="center"/>
        <w:rPr>
          <w:rFonts w:ascii="宋体" w:hAnsi="宋体"/>
          <w:b/>
          <w:sz w:val="84"/>
          <w:szCs w:val="84"/>
        </w:rPr>
      </w:pPr>
      <w:bookmarkStart w:id="0" w:name="_GoBack"/>
      <w:bookmarkEnd w:id="0"/>
      <w:r>
        <w:rPr>
          <w:rFonts w:hint="eastAsia" w:ascii="宋体" w:hAnsi="宋体"/>
          <w:b/>
          <w:sz w:val="84"/>
          <w:szCs w:val="84"/>
        </w:rPr>
        <w:t xml:space="preserve">          </w:t>
      </w:r>
    </w:p>
    <w:p w14:paraId="1C6D3CA2">
      <w:pPr>
        <w:snapToGrid w:val="0"/>
        <w:spacing w:before="156" w:beforeLines="50"/>
        <w:jc w:val="center"/>
        <w:rPr>
          <w:rFonts w:ascii="宋体" w:hAnsi="宋体"/>
          <w:b/>
          <w:sz w:val="84"/>
          <w:szCs w:val="84"/>
        </w:rPr>
      </w:pPr>
    </w:p>
    <w:p w14:paraId="4EA45B0E">
      <w:pPr>
        <w:snapToGrid w:val="0"/>
        <w:spacing w:before="156" w:beforeLines="50"/>
        <w:rPr>
          <w:rFonts w:ascii="宋体" w:hAnsi="宋体"/>
          <w:b/>
          <w:sz w:val="84"/>
          <w:szCs w:val="84"/>
        </w:rPr>
      </w:pPr>
    </w:p>
    <w:p w14:paraId="6682A861">
      <w:pPr>
        <w:snapToGrid w:val="0"/>
        <w:spacing w:before="156" w:beforeLines="50"/>
        <w:jc w:val="center"/>
        <w:rPr>
          <w:rFonts w:ascii="仿宋_GB2312" w:hAnsi="仿宋_GB2312"/>
          <w:b/>
          <w:bCs/>
          <w:sz w:val="84"/>
          <w:szCs w:val="84"/>
        </w:rPr>
      </w:pPr>
      <w:r>
        <w:rPr>
          <w:rFonts w:hint="eastAsia" w:ascii="宋体" w:hAnsi="宋体"/>
          <w:b/>
          <w:sz w:val="84"/>
          <w:szCs w:val="84"/>
        </w:rPr>
        <w:t>竞价文件</w:t>
      </w:r>
    </w:p>
    <w:p w14:paraId="17033C6A">
      <w:pPr>
        <w:spacing w:line="360" w:lineRule="auto"/>
        <w:jc w:val="center"/>
        <w:rPr>
          <w:rFonts w:ascii="宋体" w:hAnsi="宋体"/>
          <w:b/>
          <w:bCs/>
          <w:sz w:val="24"/>
          <w:szCs w:val="24"/>
        </w:rPr>
      </w:pPr>
    </w:p>
    <w:p w14:paraId="0788B089">
      <w:pPr>
        <w:spacing w:line="360" w:lineRule="auto"/>
        <w:rPr>
          <w:rFonts w:ascii="华文中宋" w:hAnsi="华文中宋" w:eastAsia="华文中宋"/>
          <w:sz w:val="30"/>
          <w:szCs w:val="30"/>
        </w:rPr>
      </w:pPr>
    </w:p>
    <w:p w14:paraId="39FE7219">
      <w:pPr>
        <w:spacing w:line="360" w:lineRule="auto"/>
        <w:rPr>
          <w:rFonts w:ascii="华文中宋" w:hAnsi="华文中宋" w:eastAsia="华文中宋"/>
          <w:sz w:val="30"/>
          <w:szCs w:val="30"/>
        </w:rPr>
      </w:pPr>
    </w:p>
    <w:p w14:paraId="659D7D26">
      <w:pPr>
        <w:spacing w:line="360" w:lineRule="auto"/>
        <w:rPr>
          <w:rFonts w:ascii="华文中宋" w:hAnsi="华文中宋" w:eastAsia="华文中宋"/>
          <w:sz w:val="30"/>
          <w:szCs w:val="30"/>
        </w:rPr>
      </w:pPr>
    </w:p>
    <w:p w14:paraId="44D2C040">
      <w:pPr>
        <w:spacing w:line="360" w:lineRule="auto"/>
        <w:jc w:val="left"/>
        <w:rPr>
          <w:rFonts w:ascii="仿宋_GB2312" w:hAnsi="仿宋_GB2312"/>
          <w:b/>
          <w:bCs/>
          <w:sz w:val="28"/>
          <w:szCs w:val="32"/>
        </w:rPr>
      </w:pPr>
      <w:r>
        <w:rPr>
          <w:rFonts w:hint="eastAsia" w:ascii="仿宋_GB2312" w:hAnsi="仿宋_GB2312"/>
          <w:b/>
          <w:bCs/>
          <w:sz w:val="28"/>
          <w:szCs w:val="32"/>
        </w:rPr>
        <w:t>采购方</w:t>
      </w:r>
      <w:r>
        <w:rPr>
          <w:rFonts w:ascii="仿宋_GB2312" w:hAnsi="仿宋_GB2312"/>
          <w:b/>
          <w:bCs/>
          <w:sz w:val="28"/>
          <w:szCs w:val="32"/>
        </w:rPr>
        <w:t>式：</w:t>
      </w:r>
      <w:r>
        <w:rPr>
          <w:rFonts w:hint="eastAsia" w:ascii="仿宋_GB2312" w:hAnsi="仿宋_GB2312"/>
          <w:b/>
          <w:bCs/>
          <w:sz w:val="28"/>
          <w:szCs w:val="32"/>
        </w:rPr>
        <w:t>线上</w:t>
      </w:r>
      <w:r>
        <w:rPr>
          <w:rFonts w:ascii="仿宋_GB2312" w:hAnsi="仿宋_GB2312"/>
          <w:b/>
          <w:bCs/>
          <w:sz w:val="28"/>
          <w:szCs w:val="32"/>
        </w:rPr>
        <w:t>竞价</w:t>
      </w:r>
    </w:p>
    <w:p w14:paraId="3FAC4735">
      <w:pPr>
        <w:spacing w:line="360" w:lineRule="auto"/>
        <w:ind w:left="1405" w:hanging="1405" w:hangingChars="500"/>
        <w:jc w:val="left"/>
        <w:rPr>
          <w:rFonts w:hint="eastAsia" w:ascii="仿宋_GB2312" w:hAnsi="仿宋_GB2312" w:eastAsia="宋体"/>
          <w:b/>
          <w:bCs/>
          <w:sz w:val="28"/>
          <w:szCs w:val="28"/>
          <w:lang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宋体" w:hAnsi="宋体" w:cs="宋体"/>
          <w:b/>
          <w:bCs/>
          <w:sz w:val="28"/>
          <w:szCs w:val="28"/>
          <w:lang w:eastAsia="zh-CN"/>
        </w:rPr>
        <w:t>广东预警相关数据接口开发服务项目</w:t>
      </w:r>
    </w:p>
    <w:p w14:paraId="21E3172C">
      <w:pPr>
        <w:autoSpaceDE w:val="0"/>
        <w:autoSpaceDN w:val="0"/>
        <w:adjustRightInd w:val="0"/>
        <w:snapToGrid w:val="0"/>
        <w:spacing w:before="156" w:beforeLines="50" w:after="156" w:afterLines="50" w:line="360" w:lineRule="auto"/>
        <w:rPr>
          <w:rFonts w:ascii="黑体" w:hAnsi="华文中宋" w:eastAsia="黑体" w:cs="华文中宋"/>
          <w:kern w:val="0"/>
          <w:sz w:val="30"/>
          <w:szCs w:val="30"/>
        </w:rPr>
      </w:pPr>
    </w:p>
    <w:p w14:paraId="4FCDB9FA">
      <w:pPr>
        <w:pStyle w:val="13"/>
        <w:rPr>
          <w:rFonts w:ascii="黑体" w:hAnsi="华文中宋" w:eastAsia="黑体" w:cs="华文中宋"/>
          <w:kern w:val="0"/>
          <w:sz w:val="30"/>
          <w:szCs w:val="30"/>
        </w:rPr>
      </w:pPr>
    </w:p>
    <w:p w14:paraId="1177C4C5">
      <w:pPr>
        <w:pStyle w:val="13"/>
        <w:rPr>
          <w:rFonts w:ascii="黑体" w:hAnsi="华文中宋" w:eastAsia="黑体" w:cs="华文中宋"/>
          <w:kern w:val="0"/>
          <w:sz w:val="30"/>
          <w:szCs w:val="30"/>
        </w:rPr>
      </w:pPr>
    </w:p>
    <w:p w14:paraId="34028451">
      <w:pPr>
        <w:autoSpaceDE w:val="0"/>
        <w:autoSpaceDN w:val="0"/>
        <w:adjustRightInd w:val="0"/>
        <w:snapToGrid w:val="0"/>
        <w:spacing w:line="360" w:lineRule="auto"/>
        <w:ind w:left="420" w:firstLine="420"/>
        <w:jc w:val="center"/>
        <w:rPr>
          <w:rFonts w:hint="eastAsia" w:ascii="宋体" w:hAnsi="宋体" w:cs="宋体"/>
          <w:b/>
          <w:bCs/>
          <w:sz w:val="28"/>
          <w:szCs w:val="28"/>
          <w:lang w:eastAsia="zh-CN"/>
        </w:rPr>
      </w:pPr>
      <w:r>
        <w:rPr>
          <w:rFonts w:ascii="仿宋_GB2312" w:hAnsi="仿宋_GB2312"/>
          <w:b/>
          <w:bCs/>
          <w:sz w:val="28"/>
          <w:szCs w:val="32"/>
        </w:rPr>
        <w:t>广东省突发事件预警信息发布中心（广东省人工影响天气中心）</w:t>
      </w:r>
    </w:p>
    <w:p w14:paraId="3E26079E">
      <w:pPr>
        <w:autoSpaceDE w:val="0"/>
        <w:autoSpaceDN w:val="0"/>
        <w:adjustRightInd w:val="0"/>
        <w:snapToGrid w:val="0"/>
        <w:spacing w:line="360" w:lineRule="auto"/>
        <w:ind w:left="420" w:firstLine="420"/>
        <w:jc w:val="center"/>
        <w:rPr>
          <w:b/>
          <w:sz w:val="28"/>
        </w:rPr>
      </w:pPr>
      <w:r>
        <w:rPr>
          <w:rFonts w:hint="eastAsia"/>
          <w:b/>
          <w:sz w:val="28"/>
        </w:rPr>
        <w:t>云采链（广州）信息科技有限公司</w:t>
      </w:r>
    </w:p>
    <w:p w14:paraId="638D20E7">
      <w:pPr>
        <w:autoSpaceDE w:val="0"/>
        <w:autoSpaceDN w:val="0"/>
        <w:adjustRightInd w:val="0"/>
        <w:snapToGrid w:val="0"/>
        <w:spacing w:line="360" w:lineRule="auto"/>
        <w:ind w:left="420" w:firstLine="420"/>
        <w:jc w:val="center"/>
        <w:rPr>
          <w:rFonts w:cs="Times New Roman"/>
          <w:b/>
          <w:sz w:val="48"/>
          <w:szCs w:val="48"/>
        </w:rPr>
      </w:pPr>
      <w:r>
        <w:rPr>
          <w:rFonts w:hint="eastAsia" w:ascii="仿宋_GB2312" w:hAnsi="仿宋_GB2312"/>
          <w:b/>
          <w:sz w:val="28"/>
        </w:rPr>
        <w:t>二〇二四年</w:t>
      </w:r>
      <w:r>
        <w:rPr>
          <w:rFonts w:hint="eastAsia" w:ascii="仿宋_GB2312" w:hAnsi="仿宋_GB2312"/>
          <w:b/>
          <w:sz w:val="28"/>
          <w:lang w:val="en-US" w:eastAsia="zh-CN"/>
        </w:rPr>
        <w:t>十</w:t>
      </w:r>
      <w:r>
        <w:rPr>
          <w:rFonts w:ascii="仿宋_GB2312" w:hAnsi="仿宋_GB2312"/>
          <w:b/>
          <w:sz w:val="28"/>
        </w:rPr>
        <w:t>月</w:t>
      </w:r>
    </w:p>
    <w:p w14:paraId="2CAFD946">
      <w:pPr>
        <w:pStyle w:val="13"/>
        <w:sectPr>
          <w:pgSz w:w="11906" w:h="16838"/>
          <w:pgMar w:top="1440" w:right="1440" w:bottom="1440" w:left="1440" w:header="851" w:footer="992" w:gutter="0"/>
          <w:cols w:space="0" w:num="1"/>
          <w:docGrid w:type="lines" w:linePitch="312" w:charSpace="0"/>
        </w:sectPr>
      </w:pPr>
    </w:p>
    <w:p w14:paraId="16729F23">
      <w:pPr>
        <w:widowControl/>
        <w:snapToGrid w:val="0"/>
        <w:spacing w:line="360" w:lineRule="auto"/>
        <w:jc w:val="center"/>
        <w:outlineLvl w:val="0"/>
        <w:rPr>
          <w:rFonts w:ascii="宋体" w:hAnsi="宋体"/>
          <w:kern w:val="0"/>
          <w:szCs w:val="21"/>
        </w:rPr>
      </w:pPr>
      <w:r>
        <w:rPr>
          <w:rFonts w:hint="eastAsia" w:ascii="Cambria" w:hAnsi="Cambria" w:cs="Times New Roman"/>
          <w:b/>
          <w:bCs/>
          <w:kern w:val="0"/>
          <w:sz w:val="32"/>
          <w:szCs w:val="32"/>
        </w:rPr>
        <w:t>第一章</w:t>
      </w:r>
      <w:r>
        <w:rPr>
          <w:rFonts w:ascii="Cambria" w:hAnsi="Cambria" w:cs="Times New Roman"/>
          <w:b/>
          <w:bCs/>
          <w:kern w:val="0"/>
          <w:sz w:val="32"/>
          <w:szCs w:val="32"/>
        </w:rPr>
        <w:t xml:space="preserve"> </w:t>
      </w:r>
      <w:r>
        <w:rPr>
          <w:rFonts w:hint="eastAsia" w:ascii="Cambria" w:hAnsi="Cambria" w:cs="Times New Roman"/>
          <w:b/>
          <w:bCs/>
          <w:kern w:val="0"/>
          <w:sz w:val="32"/>
          <w:szCs w:val="32"/>
        </w:rPr>
        <w:t>竞价须知</w:t>
      </w:r>
    </w:p>
    <w:p w14:paraId="3EFA66F1">
      <w:pPr>
        <w:pStyle w:val="55"/>
        <w:numPr>
          <w:ilvl w:val="0"/>
          <w:numId w:val="1"/>
        </w:numPr>
        <w:spacing w:line="360" w:lineRule="auto"/>
        <w:ind w:firstLineChars="0"/>
        <w:rPr>
          <w:rFonts w:ascii="宋体" w:hAnsi="宋体"/>
          <w:szCs w:val="21"/>
        </w:rPr>
      </w:pPr>
      <w:r>
        <w:rPr>
          <w:rFonts w:hint="eastAsia" w:ascii="宋体" w:hAnsi="宋体"/>
          <w:szCs w:val="21"/>
        </w:rPr>
        <w:t>本项目通过云采链线上采购一体化平台进行竞价，</w:t>
      </w:r>
      <w:r>
        <w:rPr>
          <w:rFonts w:hint="eastAsia" w:ascii="宋体" w:hAnsi="宋体"/>
          <w:szCs w:val="21"/>
          <w:lang w:val="en-US" w:eastAsia="zh-CN"/>
        </w:rPr>
        <w:t>受邀参与竞价</w:t>
      </w:r>
      <w:r>
        <w:rPr>
          <w:rFonts w:hint="eastAsia" w:ascii="宋体" w:hAnsi="宋体"/>
          <w:szCs w:val="21"/>
        </w:rPr>
        <w:t>的供应商必须登录平台进行注册，注册成功后方可参与项目竞价。</w:t>
      </w:r>
    </w:p>
    <w:p w14:paraId="798193B7">
      <w:pPr>
        <w:pStyle w:val="55"/>
        <w:numPr>
          <w:ilvl w:val="0"/>
          <w:numId w:val="1"/>
        </w:numPr>
        <w:spacing w:line="360" w:lineRule="auto"/>
        <w:ind w:firstLineChars="0"/>
        <w:rPr>
          <w:rFonts w:ascii="宋体" w:hAnsi="宋体"/>
          <w:szCs w:val="21"/>
        </w:rPr>
      </w:pPr>
      <w:r>
        <w:rPr>
          <w:rFonts w:ascii="宋体" w:hAnsi="宋体"/>
          <w:szCs w:val="21"/>
        </w:rPr>
        <w:t>语言要求</w:t>
      </w:r>
    </w:p>
    <w:p w14:paraId="48B2D856">
      <w:pPr>
        <w:pStyle w:val="55"/>
        <w:spacing w:line="360" w:lineRule="auto"/>
        <w:ind w:left="420" w:firstLine="0" w:firstLineChars="0"/>
        <w:rPr>
          <w:rFonts w:ascii="宋体" w:hAnsi="宋体"/>
          <w:b/>
          <w:bCs/>
          <w:kern w:val="0"/>
          <w:szCs w:val="21"/>
        </w:rPr>
      </w:pPr>
      <w:r>
        <w:rPr>
          <w:rFonts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A3E6AA6">
      <w:pPr>
        <w:pStyle w:val="55"/>
        <w:numPr>
          <w:ilvl w:val="0"/>
          <w:numId w:val="1"/>
        </w:numPr>
        <w:spacing w:line="360" w:lineRule="auto"/>
        <w:ind w:firstLineChars="0"/>
        <w:rPr>
          <w:rFonts w:ascii="宋体" w:hAnsi="宋体"/>
          <w:b/>
          <w:bCs/>
          <w:kern w:val="0"/>
          <w:szCs w:val="21"/>
        </w:rPr>
      </w:pPr>
      <w:r>
        <w:rPr>
          <w:rFonts w:hint="eastAsia" w:ascii="宋体" w:hAnsi="宋体"/>
          <w:b/>
          <w:bCs/>
          <w:kern w:val="0"/>
          <w:szCs w:val="21"/>
        </w:rPr>
        <w:t>在云采链平台参与项目竞价后放弃成交资格超过三次（含三次）的供应商连同该供应商同一法人名下所有公司将被列入平台黑名单，永久不得参与平台的项目竞价。</w:t>
      </w:r>
    </w:p>
    <w:p w14:paraId="3E3ED5B2">
      <w:pPr>
        <w:pStyle w:val="55"/>
        <w:numPr>
          <w:ilvl w:val="0"/>
          <w:numId w:val="1"/>
        </w:numPr>
        <w:spacing w:line="360" w:lineRule="auto"/>
        <w:ind w:firstLineChars="0"/>
        <w:rPr>
          <w:rFonts w:ascii="宋体" w:hAnsi="宋体"/>
          <w:b/>
          <w:bCs/>
          <w:kern w:val="0"/>
          <w:szCs w:val="21"/>
        </w:rPr>
      </w:pPr>
      <w:r>
        <w:rPr>
          <w:rFonts w:hint="eastAsia" w:ascii="宋体" w:hAnsi="宋体"/>
          <w:b/>
          <w:bCs/>
          <w:kern w:val="0"/>
          <w:szCs w:val="21"/>
        </w:rPr>
        <w:t>竞价须知</w:t>
      </w:r>
    </w:p>
    <w:p w14:paraId="0243A6BC">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bCs/>
          <w:kern w:val="0"/>
          <w:szCs w:val="21"/>
        </w:rPr>
        <w:t>竞价说明</w:t>
      </w:r>
    </w:p>
    <w:p w14:paraId="563DBAC5">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参与竞价的供应商应承担所有与准备和参加竞价有关的费用，不</w:t>
      </w:r>
      <w:r>
        <w:rPr>
          <w:rFonts w:hint="eastAsia" w:ascii="宋体" w:hAnsi="宋体"/>
          <w:kern w:val="0"/>
          <w:szCs w:val="21"/>
          <w:lang w:eastAsia="zh-TW"/>
        </w:rPr>
        <w:t>论</w:t>
      </w:r>
      <w:r>
        <w:rPr>
          <w:rFonts w:hint="eastAsia" w:ascii="宋体" w:hAnsi="宋体"/>
          <w:kern w:val="0"/>
          <w:szCs w:val="21"/>
        </w:rPr>
        <w:t>竞价</w:t>
      </w:r>
      <w:r>
        <w:rPr>
          <w:rFonts w:hint="eastAsia" w:ascii="宋体" w:hAnsi="宋体"/>
          <w:kern w:val="0"/>
          <w:szCs w:val="21"/>
          <w:lang w:eastAsia="zh-TW"/>
        </w:rPr>
        <w:t>的结果如何</w:t>
      </w:r>
      <w:r>
        <w:rPr>
          <w:rFonts w:hint="eastAsia" w:ascii="宋体" w:hAnsi="宋体"/>
          <w:kern w:val="0"/>
          <w:szCs w:val="21"/>
        </w:rPr>
        <w:t>，采购</w:t>
      </w:r>
      <w:r>
        <w:rPr>
          <w:rFonts w:hint="eastAsia" w:ascii="宋体" w:hAnsi="宋体"/>
          <w:kern w:val="0"/>
          <w:szCs w:val="21"/>
          <w:lang w:eastAsia="zh-TW"/>
        </w:rPr>
        <w:t>人</w:t>
      </w:r>
      <w:r>
        <w:rPr>
          <w:rFonts w:hint="eastAsia" w:ascii="宋体" w:hAnsi="宋体"/>
          <w:kern w:val="0"/>
          <w:szCs w:val="21"/>
        </w:rPr>
        <w:t>和</w:t>
      </w:r>
      <w:r>
        <w:rPr>
          <w:rFonts w:hint="eastAsia" w:ascii="宋体" w:hAnsi="宋体"/>
          <w:kern w:val="0"/>
          <w:szCs w:val="21"/>
          <w:lang w:eastAsia="zh-TW"/>
        </w:rPr>
        <w:t>代理机构均无义务和责任承担这些费用</w:t>
      </w:r>
      <w:r>
        <w:rPr>
          <w:rFonts w:hint="eastAsia" w:ascii="宋体" w:hAnsi="宋体"/>
          <w:kern w:val="0"/>
          <w:szCs w:val="21"/>
        </w:rPr>
        <w:t>；</w:t>
      </w:r>
    </w:p>
    <w:p w14:paraId="6BC15C67">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szCs w:val="21"/>
        </w:rPr>
        <w:t>参与竞价的</w:t>
      </w:r>
      <w:r>
        <w:rPr>
          <w:rFonts w:hint="eastAsia" w:ascii="宋体" w:hAnsi="宋体"/>
          <w:bCs/>
          <w:kern w:val="0"/>
          <w:szCs w:val="21"/>
        </w:rPr>
        <w:t>供应商必须按竞价附件的格式填写，不得增加或删除表格内容。除单价、金额或项目要求填写的内容外，不得擅自改动竞价附件内容，否则将有可能影响成交结果，不推荐为成交候选人；</w:t>
      </w:r>
    </w:p>
    <w:p w14:paraId="21295E82">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szCs w:val="21"/>
        </w:rPr>
        <w:t>参与竞价的</w:t>
      </w:r>
      <w:r>
        <w:rPr>
          <w:rFonts w:hint="eastAsia" w:ascii="宋体" w:hAnsi="宋体"/>
          <w:kern w:val="0"/>
          <w:szCs w:val="21"/>
          <w:lang w:val="zh-CN"/>
        </w:rPr>
        <w:t>供应商需对用户需求书的所有条款进行整体响应，用户需求书条款若有一条负偏离或不响应，</w:t>
      </w:r>
      <w:r>
        <w:rPr>
          <w:rFonts w:hint="eastAsia" w:ascii="宋体" w:hAnsi="宋体"/>
          <w:bCs/>
          <w:kern w:val="0"/>
          <w:szCs w:val="21"/>
        </w:rPr>
        <w:t>不推荐为成交候选人</w:t>
      </w:r>
      <w:r>
        <w:rPr>
          <w:rFonts w:hint="eastAsia" w:ascii="宋体" w:hAnsi="宋体"/>
          <w:kern w:val="0"/>
          <w:szCs w:val="21"/>
          <w:lang w:val="zh-CN"/>
        </w:rPr>
        <w:t>；</w:t>
      </w:r>
    </w:p>
    <w:p w14:paraId="42A92D06">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若成交供应商自身原因无法完成本项目，则采购人有权利保留追究责任；</w:t>
      </w:r>
    </w:p>
    <w:p w14:paraId="16BB6432">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成交供应商因自身原因被取消成交资格，采购人可重新启动采购或按竞价公告规定顺延推选符合要求的供应商作为成交人；</w:t>
      </w:r>
    </w:p>
    <w:p w14:paraId="3532E007">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若本项目竞价采购失败，采购人将重新采购，届时采购人有权根据项目具体情况，决定重新采购项目的采购方式；</w:t>
      </w:r>
    </w:p>
    <w:p w14:paraId="2FD0271E">
      <w:pPr>
        <w:numPr>
          <w:ilvl w:val="0"/>
          <w:numId w:val="3"/>
        </w:numPr>
        <w:autoSpaceDE w:val="0"/>
        <w:autoSpaceDN w:val="0"/>
        <w:adjustRightInd w:val="0"/>
        <w:spacing w:line="360" w:lineRule="auto"/>
        <w:ind w:left="426"/>
        <w:jc w:val="left"/>
        <w:rPr>
          <w:rFonts w:ascii="宋体" w:hAnsi="宋体"/>
          <w:szCs w:val="21"/>
        </w:rPr>
      </w:pPr>
      <w:r>
        <w:rPr>
          <w:rFonts w:hint="eastAsia" w:ascii="宋体" w:hAnsi="宋体"/>
          <w:szCs w:val="21"/>
        </w:rPr>
        <w:t>成交供应商若无正当理由恶意放弃成交资格，采购人有权将拒绝其参加本项目重新组织的竞价采购活动。</w:t>
      </w:r>
    </w:p>
    <w:p w14:paraId="6D44BB79">
      <w:pPr>
        <w:numPr>
          <w:ilvl w:val="0"/>
          <w:numId w:val="3"/>
        </w:numPr>
        <w:autoSpaceDE w:val="0"/>
        <w:autoSpaceDN w:val="0"/>
        <w:adjustRightInd w:val="0"/>
        <w:spacing w:line="360" w:lineRule="auto"/>
        <w:ind w:left="426"/>
        <w:jc w:val="left"/>
        <w:rPr>
          <w:rFonts w:ascii="宋体" w:hAnsi="宋体"/>
          <w:szCs w:val="21"/>
        </w:rPr>
      </w:pPr>
      <w:r>
        <w:rPr>
          <w:rFonts w:hint="eastAsia" w:ascii="宋体" w:hAnsi="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1E63B7F7">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w:t>
      </w:r>
      <w:r>
        <w:rPr>
          <w:rFonts w:hint="eastAsia" w:ascii="宋体" w:hAnsi="宋体"/>
          <w:kern w:val="0"/>
          <w:szCs w:val="21"/>
          <w:lang w:eastAsia="zh-TW"/>
        </w:rPr>
        <w:t>供应商向我司咨询的有关项目事项，一切以</w:t>
      </w:r>
      <w:r>
        <w:rPr>
          <w:rFonts w:hint="eastAsia" w:ascii="宋体" w:hAnsi="宋体"/>
          <w:kern w:val="0"/>
          <w:szCs w:val="21"/>
        </w:rPr>
        <w:t>竞价文件</w:t>
      </w:r>
      <w:r>
        <w:rPr>
          <w:rFonts w:hint="eastAsia" w:ascii="宋体" w:hAnsi="宋体"/>
          <w:kern w:val="0"/>
          <w:szCs w:val="21"/>
          <w:lang w:eastAsia="zh-TW"/>
        </w:rPr>
        <w:t>规定</w:t>
      </w:r>
      <w:r>
        <w:rPr>
          <w:rFonts w:hint="eastAsia" w:ascii="宋体" w:hAnsi="宋体"/>
          <w:kern w:val="0"/>
          <w:szCs w:val="21"/>
        </w:rPr>
        <w:t>和竞价公告规定以及</w:t>
      </w:r>
      <w:r>
        <w:rPr>
          <w:rFonts w:hint="eastAsia" w:ascii="宋体" w:hAnsi="宋体"/>
          <w:kern w:val="0"/>
          <w:szCs w:val="21"/>
          <w:lang w:eastAsia="zh-TW"/>
        </w:rPr>
        <w:t>本公司</w:t>
      </w:r>
      <w:r>
        <w:rPr>
          <w:rFonts w:hint="eastAsia" w:ascii="宋体" w:hAnsi="宋体"/>
          <w:kern w:val="0"/>
          <w:szCs w:val="21"/>
        </w:rPr>
        <w:t>的</w:t>
      </w:r>
      <w:r>
        <w:rPr>
          <w:rFonts w:hint="eastAsia" w:ascii="宋体" w:hAnsi="宋体"/>
          <w:kern w:val="0"/>
          <w:szCs w:val="21"/>
          <w:lang w:eastAsia="zh-TW"/>
        </w:rPr>
        <w:t>书面答复为准，其他一切形式均为个人意见，不代表本公司的意见</w:t>
      </w:r>
      <w:r>
        <w:rPr>
          <w:rFonts w:hint="eastAsia" w:ascii="宋体" w:hAnsi="宋体"/>
          <w:kern w:val="0"/>
          <w:szCs w:val="21"/>
        </w:rPr>
        <w:t>；</w:t>
      </w:r>
    </w:p>
    <w:p w14:paraId="4898196F">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参与竞价的供应商应认真阅读</w:t>
      </w:r>
      <w:r>
        <w:rPr>
          <w:rFonts w:hint="eastAsia" w:ascii="宋体" w:hAnsi="宋体"/>
          <w:kern w:val="0"/>
          <w:szCs w:val="21"/>
          <w:lang w:eastAsia="zh-TW"/>
        </w:rPr>
        <w:t>、并充分理解</w:t>
      </w:r>
      <w:r>
        <w:rPr>
          <w:rFonts w:hint="eastAsia" w:ascii="宋体" w:hAnsi="宋体"/>
          <w:kern w:val="0"/>
          <w:szCs w:val="21"/>
        </w:rPr>
        <w:t>竞价</w:t>
      </w:r>
      <w:r>
        <w:rPr>
          <w:rFonts w:hint="eastAsia" w:ascii="宋体" w:hAnsi="宋体"/>
          <w:kern w:val="0"/>
          <w:szCs w:val="21"/>
          <w:lang w:eastAsia="zh-TW"/>
        </w:rPr>
        <w:t>文件的全部内容（包括所有的补充、修改内容重要事项、格式、条款</w:t>
      </w:r>
      <w:r>
        <w:rPr>
          <w:rFonts w:hint="eastAsia" w:ascii="宋体" w:hAnsi="宋体"/>
          <w:kern w:val="0"/>
          <w:szCs w:val="21"/>
        </w:rPr>
        <w:t>、服务要求</w:t>
      </w:r>
      <w:r>
        <w:rPr>
          <w:rFonts w:hint="eastAsia" w:ascii="宋体" w:hAnsi="宋体"/>
          <w:kern w:val="0"/>
          <w:szCs w:val="21"/>
          <w:lang w:eastAsia="zh-TW"/>
        </w:rPr>
        <w:t>和技术规范、参数及要求等）。</w:t>
      </w:r>
      <w:r>
        <w:rPr>
          <w:rFonts w:hint="eastAsia" w:ascii="宋体" w:hAnsi="宋体"/>
          <w:kern w:val="0"/>
          <w:szCs w:val="21"/>
        </w:rPr>
        <w:t>供应商</w:t>
      </w:r>
      <w:r>
        <w:rPr>
          <w:rFonts w:hint="eastAsia" w:ascii="宋体" w:hAnsi="宋体"/>
          <w:kern w:val="0"/>
          <w:szCs w:val="21"/>
          <w:lang w:eastAsia="zh-TW"/>
        </w:rPr>
        <w:t>没有按照</w:t>
      </w:r>
      <w:r>
        <w:rPr>
          <w:rFonts w:hint="eastAsia" w:ascii="宋体" w:hAnsi="宋体"/>
          <w:kern w:val="0"/>
          <w:szCs w:val="21"/>
        </w:rPr>
        <w:t>竞价</w:t>
      </w:r>
      <w:r>
        <w:rPr>
          <w:rFonts w:hint="eastAsia" w:ascii="宋体" w:hAnsi="宋体"/>
          <w:kern w:val="0"/>
          <w:szCs w:val="21"/>
          <w:lang w:eastAsia="zh-TW"/>
        </w:rPr>
        <w:t>文件要求提交全部资料，或者</w:t>
      </w:r>
      <w:r>
        <w:rPr>
          <w:rFonts w:hint="eastAsia" w:ascii="宋体" w:hAnsi="宋体"/>
          <w:kern w:val="0"/>
          <w:szCs w:val="21"/>
        </w:rPr>
        <w:t>参与竞价所上传的</w:t>
      </w:r>
      <w:r>
        <w:rPr>
          <w:rFonts w:hint="eastAsia" w:ascii="宋体" w:hAnsi="宋体"/>
          <w:kern w:val="0"/>
          <w:szCs w:val="21"/>
          <w:lang w:eastAsia="zh-TW"/>
        </w:rPr>
        <w:t>文件没有对</w:t>
      </w:r>
      <w:r>
        <w:rPr>
          <w:rFonts w:hint="eastAsia" w:ascii="宋体" w:hAnsi="宋体"/>
          <w:kern w:val="0"/>
          <w:szCs w:val="21"/>
        </w:rPr>
        <w:t>竞价</w:t>
      </w:r>
      <w:r>
        <w:rPr>
          <w:rFonts w:hint="eastAsia" w:ascii="宋体" w:hAnsi="宋体"/>
          <w:kern w:val="0"/>
          <w:szCs w:val="21"/>
          <w:lang w:eastAsia="zh-TW"/>
        </w:rPr>
        <w:t>文件在各方面都作出实质性响应是</w:t>
      </w:r>
      <w:r>
        <w:rPr>
          <w:rFonts w:hint="eastAsia" w:ascii="宋体" w:hAnsi="宋体"/>
          <w:kern w:val="0"/>
          <w:szCs w:val="21"/>
        </w:rPr>
        <w:t>供应商</w:t>
      </w:r>
      <w:r>
        <w:rPr>
          <w:rFonts w:hint="eastAsia" w:ascii="宋体" w:hAnsi="宋体"/>
          <w:kern w:val="0"/>
          <w:szCs w:val="21"/>
          <w:lang w:eastAsia="zh-TW"/>
        </w:rPr>
        <w:t>的风险，有可能导致其</w:t>
      </w:r>
      <w:r>
        <w:rPr>
          <w:rFonts w:hint="eastAsia" w:ascii="宋体" w:hAnsi="宋体"/>
          <w:kern w:val="0"/>
          <w:szCs w:val="21"/>
        </w:rPr>
        <w:t>竞价</w:t>
      </w:r>
      <w:r>
        <w:rPr>
          <w:rFonts w:hint="eastAsia" w:ascii="宋体" w:hAnsi="宋体"/>
          <w:kern w:val="0"/>
          <w:szCs w:val="21"/>
          <w:lang w:eastAsia="zh-TW"/>
        </w:rPr>
        <w:t>被拒绝，</w:t>
      </w:r>
      <w:r>
        <w:rPr>
          <w:rFonts w:hint="eastAsia" w:ascii="宋体" w:hAnsi="宋体"/>
          <w:kern w:val="0"/>
          <w:szCs w:val="21"/>
        </w:rPr>
        <w:t>或被认定为无效竞价；</w:t>
      </w:r>
    </w:p>
    <w:p w14:paraId="118A19D3">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采购人有权拒绝接受任何不合格的货物或服务，由此产生的费用及相关后果均由供应商自行承担；</w:t>
      </w:r>
    </w:p>
    <w:p w14:paraId="73843554">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供应商认为竞价结果损害其权益的，应按照云采链平台相关指引在规定的时间内向采购人或代理机构提交书面质疑，不提交的视为无异议，</w:t>
      </w:r>
      <w:r>
        <w:rPr>
          <w:rFonts w:ascii="宋体" w:hAnsi="宋体"/>
          <w:kern w:val="0"/>
          <w:szCs w:val="21"/>
        </w:rPr>
        <w:t>逾期提交将不予受理</w:t>
      </w:r>
      <w:r>
        <w:rPr>
          <w:rFonts w:hint="eastAsia" w:ascii="宋体" w:hAnsi="宋体"/>
          <w:kern w:val="0"/>
          <w:szCs w:val="21"/>
        </w:rPr>
        <w:t>。</w:t>
      </w:r>
    </w:p>
    <w:p w14:paraId="0B8A4EB2">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本竞价公告和竞价文件的解释权归</w:t>
      </w:r>
      <w:r>
        <w:rPr>
          <w:rFonts w:hint="eastAsia" w:ascii="宋体" w:hAnsi="宋体"/>
          <w:kern w:val="0"/>
          <w:szCs w:val="21"/>
          <w:lang w:eastAsia="zh-TW"/>
        </w:rPr>
        <w:t>“</w:t>
      </w:r>
      <w:r>
        <w:rPr>
          <w:rFonts w:hint="eastAsia" w:ascii="宋体" w:hAnsi="宋体"/>
          <w:kern w:val="0"/>
          <w:szCs w:val="21"/>
        </w:rPr>
        <w:t>云采链线上采购一体化平台</w:t>
      </w:r>
      <w:r>
        <w:rPr>
          <w:rFonts w:hint="eastAsia" w:ascii="宋体" w:hAnsi="宋体"/>
          <w:kern w:val="0"/>
          <w:szCs w:val="21"/>
          <w:lang w:eastAsia="zh-TW"/>
        </w:rPr>
        <w:t>”所有。</w:t>
      </w:r>
    </w:p>
    <w:p w14:paraId="57D8856F">
      <w:pPr>
        <w:numPr>
          <w:ilvl w:val="0"/>
          <w:numId w:val="2"/>
        </w:numPr>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竞价文件的澄清或修改</w:t>
      </w:r>
    </w:p>
    <w:p w14:paraId="7E19261E">
      <w:pPr>
        <w:pStyle w:val="55"/>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采购人或者采购代理机构可以对已发出的竞价文件进行必要的澄清或者修改。澄清或者修改的内容将在云采链平台上发布澄清（更正/变更）公告。</w:t>
      </w:r>
    </w:p>
    <w:p w14:paraId="15A5B5B1">
      <w:pPr>
        <w:pStyle w:val="55"/>
        <w:numPr>
          <w:ilvl w:val="0"/>
          <w:numId w:val="4"/>
        </w:numPr>
        <w:spacing w:line="360" w:lineRule="auto"/>
        <w:ind w:firstLineChars="0"/>
        <w:rPr>
          <w:rFonts w:asciiTheme="minorEastAsia" w:hAnsiTheme="minorEastAsia"/>
        </w:rPr>
      </w:pPr>
      <w:r>
        <w:rPr>
          <w:rFonts w:hint="eastAsia" w:asciiTheme="minorEastAsia" w:hAnsiTheme="minorEastAsia"/>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14:paraId="4730C028">
      <w:pPr>
        <w:pStyle w:val="55"/>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采购人或者采购代理机构发出的澄清或修改（更正/变更）的内容为竞价文件的组成部分，并对供应商具有约束力。</w:t>
      </w:r>
    </w:p>
    <w:p w14:paraId="424DCDD3">
      <w:pPr>
        <w:numPr>
          <w:ilvl w:val="0"/>
          <w:numId w:val="2"/>
        </w:numPr>
        <w:autoSpaceDE w:val="0"/>
        <w:autoSpaceDN w:val="0"/>
        <w:adjustRightInd w:val="0"/>
        <w:spacing w:line="360" w:lineRule="auto"/>
        <w:jc w:val="left"/>
        <w:rPr>
          <w:rFonts w:ascii="宋体" w:hAnsi="宋体"/>
          <w:kern w:val="0"/>
          <w:szCs w:val="21"/>
        </w:rPr>
      </w:pPr>
      <w:r>
        <w:rPr>
          <w:rFonts w:hint="eastAsia" w:ascii="宋体" w:hAnsi="宋体"/>
          <w:b/>
          <w:bCs/>
          <w:kern w:val="0"/>
          <w:szCs w:val="21"/>
        </w:rPr>
        <w:t>报名提交资料（报名时需要提供以下盖章资料，并对上传的报名文件资料承担责任）</w:t>
      </w:r>
    </w:p>
    <w:p w14:paraId="28026BA6">
      <w:pPr>
        <w:pStyle w:val="55"/>
        <w:widowControl/>
        <w:numPr>
          <w:ilvl w:val="0"/>
          <w:numId w:val="5"/>
        </w:numPr>
        <w:spacing w:line="360" w:lineRule="auto"/>
        <w:ind w:left="840" w:leftChars="0" w:firstLineChars="0"/>
        <w:jc w:val="left"/>
        <w:rPr>
          <w:rFonts w:ascii="宋体" w:hAnsi="宋体" w:cs="宋体"/>
          <w:kern w:val="0"/>
          <w:szCs w:val="20"/>
        </w:rPr>
      </w:pPr>
      <w:r>
        <w:rPr>
          <w:rFonts w:hint="eastAsia" w:ascii="宋体" w:hAnsi="宋体" w:cs="宋体"/>
          <w:kern w:val="0"/>
          <w:szCs w:val="20"/>
        </w:rPr>
        <w:t>具有独立承担民事责任的在中华人民共和国境内注册的法人</w:t>
      </w:r>
      <w:r>
        <w:rPr>
          <w:rFonts w:hint="eastAsia" w:ascii="宋体" w:hAnsi="宋体" w:cs="宋体"/>
          <w:kern w:val="0"/>
          <w:szCs w:val="20"/>
          <w:lang w:val="en-US" w:eastAsia="zh-CN"/>
        </w:rPr>
        <w:t>机构</w:t>
      </w:r>
      <w:r>
        <w:rPr>
          <w:rFonts w:hint="eastAsia" w:ascii="宋体" w:hAnsi="宋体" w:cs="宋体"/>
          <w:kern w:val="0"/>
          <w:szCs w:val="20"/>
        </w:rPr>
        <w:t>（提供法人的营业执照等证明材料）；</w:t>
      </w:r>
    </w:p>
    <w:p w14:paraId="7E1DBF98">
      <w:pPr>
        <w:pStyle w:val="55"/>
        <w:widowControl/>
        <w:numPr>
          <w:ilvl w:val="0"/>
          <w:numId w:val="5"/>
        </w:numPr>
        <w:spacing w:line="360" w:lineRule="auto"/>
        <w:ind w:left="840" w:leftChars="0" w:firstLineChars="0"/>
        <w:jc w:val="left"/>
        <w:rPr>
          <w:rFonts w:ascii="宋体" w:hAnsi="宋体" w:cs="宋体"/>
          <w:kern w:val="0"/>
          <w:szCs w:val="20"/>
        </w:rPr>
      </w:pPr>
      <w:r>
        <w:rPr>
          <w:rFonts w:hint="eastAsia" w:ascii="宋体" w:hAnsi="宋体" w:cs="宋体"/>
          <w:kern w:val="0"/>
          <w:szCs w:val="20"/>
        </w:rPr>
        <w:t>供应商须提供《供应商资格声明函》（格式详见附件）；</w:t>
      </w:r>
    </w:p>
    <w:p w14:paraId="098872F3">
      <w:pPr>
        <w:pStyle w:val="55"/>
        <w:widowControl/>
        <w:numPr>
          <w:ilvl w:val="0"/>
          <w:numId w:val="5"/>
        </w:numPr>
        <w:spacing w:line="360" w:lineRule="auto"/>
        <w:ind w:left="840" w:leftChars="0" w:firstLineChars="0"/>
        <w:jc w:val="left"/>
        <w:rPr>
          <w:rFonts w:asciiTheme="minorEastAsia" w:hAnsiTheme="minorEastAsia"/>
          <w:b/>
        </w:rPr>
      </w:pPr>
      <w:r>
        <w:rPr>
          <w:rFonts w:hint="eastAsia" w:ascii="宋体" w:hAnsi="宋体" w:cs="宋体"/>
          <w:kern w:val="0"/>
          <w:szCs w:val="21"/>
        </w:rPr>
        <w:t>供应商完全响应本项目用户需求的条款、内容及要求的，提供用户需求书响应声明函即可</w:t>
      </w:r>
      <w:r>
        <w:rPr>
          <w:rFonts w:hint="eastAsia" w:ascii="宋体" w:hAnsi="宋体" w:cs="宋体"/>
          <w:b/>
          <w:kern w:val="0"/>
          <w:szCs w:val="21"/>
        </w:rPr>
        <w:t>，格式详见附件</w:t>
      </w:r>
      <w:r>
        <w:rPr>
          <w:rFonts w:hint="eastAsia" w:ascii="宋体" w:hAnsi="宋体" w:cs="宋体"/>
          <w:kern w:val="0"/>
          <w:szCs w:val="21"/>
        </w:rPr>
        <w:t>；</w:t>
      </w:r>
    </w:p>
    <w:p w14:paraId="465D2F33">
      <w:pPr>
        <w:numPr>
          <w:ilvl w:val="0"/>
          <w:numId w:val="2"/>
        </w:numPr>
        <w:autoSpaceDE w:val="0"/>
        <w:autoSpaceDN w:val="0"/>
        <w:adjustRightInd w:val="0"/>
        <w:spacing w:line="360" w:lineRule="auto"/>
        <w:jc w:val="left"/>
        <w:rPr>
          <w:rFonts w:ascii="宋体" w:hAnsi="宋体"/>
          <w:b/>
          <w:szCs w:val="21"/>
        </w:rPr>
      </w:pPr>
      <w:r>
        <w:rPr>
          <w:rFonts w:hint="eastAsia" w:ascii="宋体" w:hAnsi="宋体"/>
          <w:b/>
          <w:bCs/>
          <w:kern w:val="0"/>
          <w:szCs w:val="21"/>
        </w:rPr>
        <w:t>报价提交资料（报价是需要提供以下盖章资料，并对上传的竞价文件资料承担责任）</w:t>
      </w:r>
    </w:p>
    <w:p w14:paraId="1D11D9EE">
      <w:pPr>
        <w:pStyle w:val="55"/>
        <w:numPr>
          <w:ilvl w:val="0"/>
          <w:numId w:val="6"/>
        </w:numPr>
        <w:autoSpaceDE w:val="0"/>
        <w:autoSpaceDN w:val="0"/>
        <w:adjustRightInd w:val="0"/>
        <w:spacing w:line="360" w:lineRule="auto"/>
        <w:ind w:left="780" w:leftChars="0" w:firstLineChars="0"/>
        <w:jc w:val="left"/>
        <w:rPr>
          <w:rFonts w:ascii="宋体" w:hAnsi="宋体"/>
          <w:kern w:val="0"/>
          <w:szCs w:val="21"/>
        </w:rPr>
      </w:pPr>
      <w:r>
        <w:rPr>
          <w:rFonts w:hint="eastAsia" w:ascii="宋体" w:hAnsi="宋体"/>
          <w:kern w:val="0"/>
          <w:szCs w:val="21"/>
        </w:rPr>
        <w:t>通过报名供应商应根据本公告要求，在规定的竞价时间内对采购项目进行报价，同时按本公告要求完整</w:t>
      </w:r>
      <w:r>
        <w:rPr>
          <w:rFonts w:hint="eastAsia" w:ascii="宋体" w:hAnsi="宋体"/>
          <w:kern w:val="0"/>
          <w:szCs w:val="21"/>
          <w:lang w:eastAsia="zh-TW"/>
        </w:rPr>
        <w:t>、真实、准确地</w:t>
      </w:r>
      <w:r>
        <w:rPr>
          <w:rFonts w:hint="eastAsia" w:ascii="宋体" w:hAnsi="宋体"/>
          <w:kern w:val="0"/>
          <w:szCs w:val="21"/>
        </w:rPr>
        <w:t>填写并上传相应报价附件</w:t>
      </w:r>
      <w:r>
        <w:rPr>
          <w:rFonts w:hint="eastAsia" w:ascii="宋体" w:hAnsi="宋体"/>
          <w:b/>
          <w:bCs/>
          <w:kern w:val="0"/>
          <w:szCs w:val="21"/>
        </w:rPr>
        <w:t>（</w:t>
      </w:r>
      <w:r>
        <w:rPr>
          <w:rFonts w:hint="eastAsia" w:ascii="宋体" w:hAnsi="宋体"/>
          <w:b/>
          <w:bCs/>
          <w:kern w:val="0"/>
          <w:szCs w:val="21"/>
          <w:u w:val="double"/>
        </w:rPr>
        <w:t>报价表</w:t>
      </w:r>
      <w:r>
        <w:rPr>
          <w:rFonts w:hint="eastAsia" w:ascii="宋体" w:hAnsi="宋体"/>
          <w:b/>
          <w:bCs/>
          <w:kern w:val="0"/>
          <w:szCs w:val="21"/>
        </w:rPr>
        <w:t>）</w:t>
      </w:r>
      <w:r>
        <w:rPr>
          <w:rFonts w:hint="eastAsia" w:ascii="宋体" w:hAnsi="宋体"/>
          <w:kern w:val="0"/>
          <w:szCs w:val="21"/>
        </w:rPr>
        <w:t>。</w:t>
      </w:r>
    </w:p>
    <w:p w14:paraId="4823CF11">
      <w:pPr>
        <w:pStyle w:val="55"/>
        <w:numPr>
          <w:ilvl w:val="0"/>
          <w:numId w:val="6"/>
        </w:numPr>
        <w:spacing w:line="360" w:lineRule="auto"/>
        <w:ind w:left="780" w:leftChars="0" w:firstLineChars="0"/>
        <w:rPr>
          <w:rFonts w:ascii="宋体" w:hAnsi="宋体"/>
          <w:b/>
          <w:szCs w:val="21"/>
          <w:u w:val="double"/>
          <w:shd w:val="clear" w:color="auto" w:fill="FFFFFF"/>
        </w:rPr>
      </w:pPr>
      <w:r>
        <w:rPr>
          <w:rFonts w:hint="eastAsia" w:ascii="宋体" w:hAnsi="宋体"/>
          <w:b/>
          <w:szCs w:val="21"/>
          <w:u w:val="double"/>
          <w:shd w:val="clear" w:color="auto" w:fill="FFFFFF"/>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AD14C81">
      <w:pPr>
        <w:numPr>
          <w:ilvl w:val="0"/>
          <w:numId w:val="2"/>
        </w:numPr>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确定成交候选人</w:t>
      </w:r>
    </w:p>
    <w:p w14:paraId="60DB024D">
      <w:pPr>
        <w:numPr>
          <w:ilvl w:val="0"/>
          <w:numId w:val="0"/>
        </w:num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339B5C49">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kern w:val="0"/>
          <w:szCs w:val="21"/>
        </w:rPr>
        <w:t>无效报价</w:t>
      </w:r>
    </w:p>
    <w:p w14:paraId="7382C51A">
      <w:pPr>
        <w:pStyle w:val="55"/>
        <w:numPr>
          <w:ilvl w:val="0"/>
          <w:numId w:val="7"/>
        </w:numPr>
        <w:spacing w:line="360" w:lineRule="auto"/>
        <w:ind w:left="630" w:leftChars="0" w:firstLineChars="0"/>
        <w:rPr>
          <w:rFonts w:ascii="宋体" w:hAnsi="宋体" w:cs="宋体"/>
          <w:kern w:val="0"/>
          <w:szCs w:val="21"/>
        </w:rPr>
      </w:pPr>
      <w:r>
        <w:rPr>
          <w:rFonts w:hint="eastAsia" w:ascii="宋体" w:hAnsi="宋体" w:cs="宋体"/>
          <w:kern w:val="0"/>
          <w:szCs w:val="21"/>
        </w:rPr>
        <w:t>参与竞价的供应商报价超过最高限价或低于最低限价或超过项目对应产品单项最高限价的视为无效报价。</w:t>
      </w:r>
    </w:p>
    <w:p w14:paraId="4447679F">
      <w:pPr>
        <w:numPr>
          <w:ilvl w:val="0"/>
          <w:numId w:val="7"/>
        </w:numPr>
        <w:autoSpaceDE w:val="0"/>
        <w:autoSpaceDN w:val="0"/>
        <w:adjustRightInd w:val="0"/>
        <w:spacing w:line="360" w:lineRule="auto"/>
        <w:ind w:left="636" w:leftChars="0" w:firstLineChars="0"/>
        <w:jc w:val="left"/>
        <w:rPr>
          <w:rFonts w:ascii="宋体" w:hAnsi="宋体"/>
          <w:kern w:val="0"/>
          <w:szCs w:val="21"/>
        </w:rPr>
      </w:pPr>
      <w:r>
        <w:rPr>
          <w:rFonts w:hint="eastAsia" w:ascii="宋体" w:hAnsi="宋体"/>
          <w:kern w:val="0"/>
          <w:szCs w:val="21"/>
        </w:rPr>
        <w:t>参与竞价的</w:t>
      </w:r>
      <w:r>
        <w:rPr>
          <w:rFonts w:hint="eastAsia" w:ascii="宋体" w:hAnsi="宋体"/>
          <w:bCs/>
          <w:kern w:val="0"/>
          <w:szCs w:val="21"/>
        </w:rPr>
        <w:t>供应商须提供本项目要求的资质文件，如果不按公告规定或竞价文件要求等相关规定提供符合要求的资质文件，将被视为无效报价；</w:t>
      </w:r>
    </w:p>
    <w:p w14:paraId="29860337">
      <w:pPr>
        <w:numPr>
          <w:ilvl w:val="0"/>
          <w:numId w:val="7"/>
        </w:numPr>
        <w:autoSpaceDE w:val="0"/>
        <w:autoSpaceDN w:val="0"/>
        <w:adjustRightInd w:val="0"/>
        <w:spacing w:line="360" w:lineRule="auto"/>
        <w:ind w:left="636" w:leftChars="0" w:firstLineChars="0"/>
        <w:jc w:val="left"/>
        <w:rPr>
          <w:rFonts w:ascii="宋体" w:hAnsi="宋体"/>
          <w:bCs/>
          <w:kern w:val="0"/>
          <w:szCs w:val="21"/>
        </w:rPr>
      </w:pPr>
      <w:r>
        <w:rPr>
          <w:rFonts w:hint="eastAsia" w:ascii="宋体" w:hAnsi="宋体"/>
          <w:kern w:val="0"/>
          <w:szCs w:val="21"/>
        </w:rPr>
        <w:t>参与竞价的</w:t>
      </w:r>
      <w:r>
        <w:rPr>
          <w:rFonts w:hint="eastAsia" w:ascii="宋体" w:hAnsi="宋体"/>
          <w:bCs/>
          <w:kern w:val="0"/>
          <w:szCs w:val="21"/>
        </w:rPr>
        <w:t>供应商须对本项目采购内容进行整体报价，任何只对其中一部分内容进行的报价都被视为无效报价。</w:t>
      </w:r>
    </w:p>
    <w:p w14:paraId="3C7A7326">
      <w:pPr>
        <w:numPr>
          <w:ilvl w:val="0"/>
          <w:numId w:val="7"/>
        </w:numPr>
        <w:autoSpaceDE w:val="0"/>
        <w:autoSpaceDN w:val="0"/>
        <w:adjustRightInd w:val="0"/>
        <w:spacing w:line="360" w:lineRule="auto"/>
        <w:ind w:left="636" w:leftChars="0" w:firstLineChars="0"/>
        <w:jc w:val="left"/>
        <w:rPr>
          <w:rFonts w:ascii="宋体" w:hAnsi="宋体"/>
          <w:bCs/>
          <w:kern w:val="0"/>
          <w:szCs w:val="21"/>
          <w:u w:val="double"/>
        </w:rPr>
      </w:pPr>
      <w:r>
        <w:rPr>
          <w:rFonts w:ascii="宋体" w:hAnsi="宋体"/>
          <w:bCs/>
          <w:kern w:val="0"/>
          <w:szCs w:val="21"/>
          <w:u w:val="double"/>
        </w:rPr>
        <w:t>报价表</w:t>
      </w:r>
      <w:r>
        <w:rPr>
          <w:rFonts w:hint="eastAsia" w:ascii="宋体" w:hAnsi="宋体"/>
          <w:bCs/>
          <w:kern w:val="0"/>
          <w:szCs w:val="21"/>
          <w:u w:val="double"/>
        </w:rPr>
        <w:t>以及有报价供应商落款的报价文件</w:t>
      </w:r>
      <w:r>
        <w:rPr>
          <w:rFonts w:ascii="宋体" w:hAnsi="宋体"/>
          <w:bCs/>
          <w:kern w:val="0"/>
          <w:szCs w:val="21"/>
          <w:u w:val="double"/>
        </w:rPr>
        <w:t>必须加盖</w:t>
      </w:r>
      <w:r>
        <w:rPr>
          <w:rFonts w:hint="eastAsia" w:ascii="宋体" w:hAnsi="宋体"/>
          <w:bCs/>
          <w:kern w:val="0"/>
          <w:szCs w:val="21"/>
          <w:u w:val="double"/>
        </w:rPr>
        <w:t>报价供应商</w:t>
      </w:r>
      <w:r>
        <w:rPr>
          <w:rFonts w:ascii="宋体" w:hAnsi="宋体"/>
          <w:bCs/>
          <w:kern w:val="0"/>
          <w:szCs w:val="21"/>
          <w:u w:val="double"/>
        </w:rPr>
        <w:t>公章，否则视为无效报价</w:t>
      </w:r>
      <w:r>
        <w:rPr>
          <w:rFonts w:hint="eastAsia" w:ascii="宋体" w:hAnsi="宋体"/>
          <w:bCs/>
          <w:kern w:val="0"/>
          <w:szCs w:val="21"/>
          <w:u w:val="double"/>
        </w:rPr>
        <w:t>；</w:t>
      </w:r>
    </w:p>
    <w:p w14:paraId="609040F6">
      <w:pPr>
        <w:numPr>
          <w:ilvl w:val="0"/>
          <w:numId w:val="7"/>
        </w:numPr>
        <w:autoSpaceDE w:val="0"/>
        <w:autoSpaceDN w:val="0"/>
        <w:adjustRightInd w:val="0"/>
        <w:spacing w:line="360" w:lineRule="auto"/>
        <w:ind w:left="636" w:leftChars="0" w:firstLineChars="0"/>
        <w:jc w:val="left"/>
        <w:rPr>
          <w:rFonts w:ascii="宋体" w:hAnsi="宋体"/>
          <w:bCs/>
          <w:kern w:val="0"/>
          <w:szCs w:val="21"/>
        </w:rPr>
      </w:pPr>
      <w:r>
        <w:rPr>
          <w:rFonts w:hint="eastAsia" w:ascii="宋体" w:hAnsi="宋体"/>
          <w:bCs/>
          <w:kern w:val="0"/>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047841F0">
      <w:pPr>
        <w:numPr>
          <w:ilvl w:val="0"/>
          <w:numId w:val="7"/>
        </w:numPr>
        <w:autoSpaceDE w:val="0"/>
        <w:autoSpaceDN w:val="0"/>
        <w:adjustRightInd w:val="0"/>
        <w:spacing w:line="360" w:lineRule="auto"/>
        <w:ind w:left="636" w:leftChars="0" w:firstLineChars="0"/>
        <w:jc w:val="left"/>
        <w:rPr>
          <w:rFonts w:ascii="宋体" w:hAnsi="宋体"/>
          <w:kern w:val="0"/>
          <w:szCs w:val="21"/>
        </w:rPr>
      </w:pPr>
      <w:r>
        <w:rPr>
          <w:rFonts w:hint="eastAsia" w:ascii="宋体" w:hAnsi="宋体"/>
          <w:kern w:val="0"/>
          <w:szCs w:val="21"/>
        </w:rPr>
        <w:t>按有关法律、法规、规章属于报价无效的。</w:t>
      </w:r>
    </w:p>
    <w:p w14:paraId="41A280C7">
      <w:pPr>
        <w:numPr>
          <w:ilvl w:val="0"/>
          <w:numId w:val="7"/>
        </w:numPr>
        <w:autoSpaceDE w:val="0"/>
        <w:autoSpaceDN w:val="0"/>
        <w:adjustRightInd w:val="0"/>
        <w:spacing w:line="360" w:lineRule="auto"/>
        <w:ind w:left="636" w:leftChars="0" w:firstLineChars="0"/>
        <w:jc w:val="left"/>
        <w:rPr>
          <w:rFonts w:ascii="宋体" w:hAnsi="宋体"/>
          <w:szCs w:val="21"/>
        </w:rPr>
      </w:pPr>
      <w:r>
        <w:rPr>
          <w:rFonts w:hint="eastAsia" w:ascii="宋体" w:hAnsi="宋体"/>
          <w:b/>
          <w:szCs w:val="21"/>
        </w:rPr>
        <w:t>有下列情形之一的，视为串通竞价，其报价无效：</w:t>
      </w:r>
    </w:p>
    <w:p w14:paraId="51CE1F7F">
      <w:pPr>
        <w:pStyle w:val="55"/>
        <w:widowControl/>
        <w:numPr>
          <w:ilvl w:val="2"/>
          <w:numId w:val="8"/>
        </w:numPr>
        <w:spacing w:line="360" w:lineRule="auto"/>
        <w:ind w:left="987" w:leftChars="0" w:firstLineChars="0"/>
        <w:jc w:val="left"/>
        <w:rPr>
          <w:rFonts w:ascii="宋体" w:hAnsi="宋体"/>
          <w:szCs w:val="21"/>
        </w:rPr>
      </w:pPr>
      <w:r>
        <w:rPr>
          <w:rFonts w:hint="eastAsia" w:ascii="宋体" w:hAnsi="宋体"/>
          <w:szCs w:val="21"/>
        </w:rPr>
        <w:t>存在单位负责人为同一人或存在控股、管理关系的不同单位参与同一竞价项目；</w:t>
      </w:r>
    </w:p>
    <w:p w14:paraId="6C95718E">
      <w:pPr>
        <w:widowControl/>
        <w:numPr>
          <w:ilvl w:val="2"/>
          <w:numId w:val="8"/>
        </w:numPr>
        <w:spacing w:line="360" w:lineRule="auto"/>
        <w:ind w:left="987" w:leftChars="0" w:firstLineChars="0"/>
        <w:jc w:val="left"/>
        <w:rPr>
          <w:rFonts w:ascii="宋体" w:hAnsi="宋体"/>
          <w:szCs w:val="21"/>
        </w:rPr>
      </w:pPr>
      <w:r>
        <w:rPr>
          <w:rFonts w:hint="eastAsia" w:ascii="宋体" w:hAnsi="宋体"/>
          <w:szCs w:val="21"/>
        </w:rPr>
        <w:t>不同供应商的响应文件由同一单位或者个人编制；</w:t>
      </w:r>
    </w:p>
    <w:p w14:paraId="3BF932ED">
      <w:pPr>
        <w:widowControl/>
        <w:numPr>
          <w:ilvl w:val="2"/>
          <w:numId w:val="8"/>
        </w:numPr>
        <w:spacing w:line="360" w:lineRule="auto"/>
        <w:ind w:left="987" w:leftChars="0" w:firstLineChars="0"/>
        <w:jc w:val="left"/>
        <w:rPr>
          <w:rFonts w:ascii="宋体" w:hAnsi="宋体"/>
          <w:szCs w:val="21"/>
        </w:rPr>
      </w:pPr>
      <w:r>
        <w:rPr>
          <w:rFonts w:hint="eastAsia" w:ascii="宋体" w:hAnsi="宋体"/>
          <w:szCs w:val="21"/>
        </w:rPr>
        <w:t>不同供应商委托同一单位或者个人办理竞价事宜；</w:t>
      </w:r>
    </w:p>
    <w:p w14:paraId="05FCC087">
      <w:pPr>
        <w:widowControl/>
        <w:numPr>
          <w:ilvl w:val="2"/>
          <w:numId w:val="8"/>
        </w:numPr>
        <w:spacing w:line="360" w:lineRule="auto"/>
        <w:ind w:left="987" w:leftChars="0" w:firstLineChars="0"/>
        <w:jc w:val="left"/>
        <w:rPr>
          <w:rFonts w:ascii="宋体" w:hAnsi="宋体"/>
          <w:szCs w:val="21"/>
        </w:rPr>
      </w:pPr>
      <w:r>
        <w:rPr>
          <w:rFonts w:hint="eastAsia" w:ascii="宋体" w:hAnsi="宋体"/>
          <w:szCs w:val="21"/>
        </w:rPr>
        <w:t>不同供应商使用同一IP地址参与竞价；</w:t>
      </w:r>
    </w:p>
    <w:p w14:paraId="3C770E61">
      <w:pPr>
        <w:widowControl/>
        <w:numPr>
          <w:ilvl w:val="2"/>
          <w:numId w:val="8"/>
        </w:numPr>
        <w:spacing w:line="360" w:lineRule="auto"/>
        <w:ind w:left="987" w:leftChars="0" w:firstLineChars="0"/>
        <w:jc w:val="left"/>
        <w:rPr>
          <w:rFonts w:ascii="宋体" w:hAnsi="宋体"/>
          <w:szCs w:val="21"/>
        </w:rPr>
      </w:pPr>
      <w:r>
        <w:rPr>
          <w:rFonts w:hint="eastAsia" w:ascii="宋体" w:hAnsi="宋体"/>
          <w:szCs w:val="21"/>
        </w:rPr>
        <w:t>不同供应商的响应文件载明的项目管理成员或者联系人员为同一人；</w:t>
      </w:r>
    </w:p>
    <w:p w14:paraId="7640BB0A">
      <w:pPr>
        <w:widowControl/>
        <w:numPr>
          <w:ilvl w:val="2"/>
          <w:numId w:val="8"/>
        </w:numPr>
        <w:spacing w:line="360" w:lineRule="auto"/>
        <w:ind w:left="987" w:leftChars="0" w:firstLineChars="0"/>
        <w:jc w:val="left"/>
        <w:rPr>
          <w:rFonts w:ascii="宋体" w:hAnsi="宋体"/>
          <w:szCs w:val="21"/>
        </w:rPr>
      </w:pPr>
      <w:r>
        <w:rPr>
          <w:rFonts w:hint="eastAsia" w:ascii="宋体" w:hAnsi="宋体"/>
          <w:szCs w:val="21"/>
        </w:rPr>
        <w:t>不同供应商的响应文件异常一致或者报价呈规律性差异；</w:t>
      </w:r>
    </w:p>
    <w:p w14:paraId="6167F52A">
      <w:pPr>
        <w:widowControl/>
        <w:numPr>
          <w:ilvl w:val="2"/>
          <w:numId w:val="8"/>
        </w:numPr>
        <w:spacing w:line="360" w:lineRule="auto"/>
        <w:ind w:left="987" w:leftChars="0" w:firstLineChars="0"/>
        <w:jc w:val="left"/>
        <w:rPr>
          <w:rFonts w:ascii="宋体" w:hAnsi="宋体"/>
          <w:szCs w:val="21"/>
        </w:rPr>
      </w:pPr>
      <w:r>
        <w:rPr>
          <w:rFonts w:hint="eastAsia" w:ascii="宋体" w:hAnsi="宋体"/>
          <w:szCs w:val="21"/>
        </w:rPr>
        <w:t>不同供应商的响应文件相互混淆；</w:t>
      </w:r>
    </w:p>
    <w:p w14:paraId="20D15BD4">
      <w:pPr>
        <w:widowControl/>
        <w:numPr>
          <w:ilvl w:val="2"/>
          <w:numId w:val="8"/>
        </w:numPr>
        <w:spacing w:line="360" w:lineRule="auto"/>
        <w:ind w:left="987" w:leftChars="0" w:firstLineChars="0"/>
        <w:jc w:val="left"/>
        <w:rPr>
          <w:rFonts w:ascii="宋体" w:hAnsi="宋体"/>
          <w:szCs w:val="21"/>
        </w:rPr>
      </w:pPr>
      <w:r>
        <w:rPr>
          <w:rFonts w:hint="eastAsia" w:ascii="宋体" w:hAnsi="宋体"/>
          <w:szCs w:val="21"/>
        </w:rPr>
        <w:t>不同供应商的平台使用费从同一单位或者个人的账户转出；</w:t>
      </w:r>
    </w:p>
    <w:p w14:paraId="16837C61">
      <w:pPr>
        <w:numPr>
          <w:ilvl w:val="0"/>
          <w:numId w:val="2"/>
        </w:numPr>
        <w:autoSpaceDE w:val="0"/>
        <w:autoSpaceDN w:val="0"/>
        <w:adjustRightInd w:val="0"/>
        <w:spacing w:line="360" w:lineRule="auto"/>
        <w:jc w:val="left"/>
        <w:rPr>
          <w:rFonts w:ascii="宋体" w:hAnsi="宋体"/>
          <w:kern w:val="0"/>
          <w:szCs w:val="21"/>
        </w:rPr>
      </w:pPr>
      <w:r>
        <w:rPr>
          <w:rFonts w:hint="eastAsia" w:ascii="宋体" w:hAnsi="宋体"/>
          <w:b/>
          <w:kern w:val="0"/>
          <w:szCs w:val="21"/>
        </w:rPr>
        <w:t>竞价活动失败</w:t>
      </w:r>
    </w:p>
    <w:p w14:paraId="453AE300">
      <w:pPr>
        <w:numPr>
          <w:ilvl w:val="0"/>
          <w:numId w:val="9"/>
        </w:numPr>
        <w:autoSpaceDE w:val="0"/>
        <w:autoSpaceDN w:val="0"/>
        <w:adjustRightInd w:val="0"/>
        <w:spacing w:line="360" w:lineRule="auto"/>
        <w:ind w:left="630" w:leftChars="0" w:firstLineChars="0"/>
        <w:jc w:val="left"/>
        <w:rPr>
          <w:rFonts w:ascii="宋体" w:hAnsi="宋体"/>
          <w:kern w:val="0"/>
          <w:szCs w:val="21"/>
        </w:rPr>
      </w:pPr>
      <w:r>
        <w:rPr>
          <w:rFonts w:hint="eastAsia" w:ascii="宋体" w:hAnsi="宋体"/>
          <w:kern w:val="0"/>
          <w:szCs w:val="21"/>
        </w:rPr>
        <w:t>报价供应商不足三家</w:t>
      </w:r>
      <w:r>
        <w:rPr>
          <w:rFonts w:hint="eastAsia" w:asciiTheme="minorEastAsia" w:hAnsiTheme="minorEastAsia"/>
        </w:rPr>
        <w:t>，</w:t>
      </w:r>
      <w:r>
        <w:rPr>
          <w:rFonts w:hint="eastAsia" w:asciiTheme="minorEastAsia" w:hAnsiTheme="minorEastAsia"/>
          <w:szCs w:val="21"/>
        </w:rPr>
        <w:t>本次竞价活动失败；</w:t>
      </w:r>
    </w:p>
    <w:p w14:paraId="1081B5B7">
      <w:pPr>
        <w:numPr>
          <w:ilvl w:val="0"/>
          <w:numId w:val="9"/>
        </w:numPr>
        <w:autoSpaceDE w:val="0"/>
        <w:autoSpaceDN w:val="0"/>
        <w:adjustRightInd w:val="0"/>
        <w:spacing w:line="360" w:lineRule="auto"/>
        <w:ind w:left="630" w:leftChars="0" w:firstLineChars="0"/>
        <w:jc w:val="left"/>
        <w:rPr>
          <w:rFonts w:ascii="宋体" w:hAnsi="宋体"/>
          <w:kern w:val="0"/>
          <w:szCs w:val="21"/>
        </w:rPr>
      </w:pPr>
      <w:r>
        <w:rPr>
          <w:rFonts w:hint="eastAsia" w:ascii="宋体" w:hAnsi="宋体"/>
          <w:kern w:val="0"/>
          <w:szCs w:val="21"/>
        </w:rPr>
        <w:t>出现影响采购公正的违法、违规行为的；</w:t>
      </w:r>
    </w:p>
    <w:p w14:paraId="4455A0D0">
      <w:pPr>
        <w:numPr>
          <w:ilvl w:val="0"/>
          <w:numId w:val="9"/>
        </w:numPr>
        <w:autoSpaceDE w:val="0"/>
        <w:autoSpaceDN w:val="0"/>
        <w:adjustRightInd w:val="0"/>
        <w:spacing w:line="360" w:lineRule="auto"/>
        <w:ind w:left="630" w:leftChars="0" w:firstLineChars="0"/>
        <w:jc w:val="left"/>
        <w:rPr>
          <w:rFonts w:ascii="宋体" w:hAnsi="宋体"/>
          <w:kern w:val="0"/>
          <w:szCs w:val="21"/>
        </w:rPr>
      </w:pPr>
      <w:r>
        <w:rPr>
          <w:rFonts w:hint="eastAsia" w:ascii="宋体" w:hAnsi="宋体"/>
          <w:kern w:val="0"/>
          <w:szCs w:val="21"/>
        </w:rPr>
        <w:t>因重大变故，采购任务取消的；</w:t>
      </w:r>
    </w:p>
    <w:p w14:paraId="1B1F9C24">
      <w:pPr>
        <w:numPr>
          <w:ilvl w:val="0"/>
          <w:numId w:val="2"/>
        </w:numPr>
        <w:autoSpaceDE w:val="0"/>
        <w:autoSpaceDN w:val="0"/>
        <w:adjustRightInd w:val="0"/>
        <w:spacing w:line="360" w:lineRule="auto"/>
        <w:jc w:val="left"/>
        <w:rPr>
          <w:rFonts w:ascii="宋体" w:hAnsi="宋体"/>
          <w:szCs w:val="21"/>
        </w:rPr>
      </w:pPr>
      <w:r>
        <w:rPr>
          <w:rFonts w:hint="eastAsia" w:ascii="宋体" w:hAnsi="宋体"/>
          <w:b/>
          <w:kern w:val="0"/>
          <w:szCs w:val="21"/>
        </w:rPr>
        <w:t>使用费</w:t>
      </w:r>
    </w:p>
    <w:p w14:paraId="790E13FF">
      <w:pPr>
        <w:pStyle w:val="55"/>
        <w:numPr>
          <w:ilvl w:val="0"/>
          <w:numId w:val="10"/>
        </w:numPr>
        <w:autoSpaceDE w:val="0"/>
        <w:autoSpaceDN w:val="0"/>
        <w:adjustRightInd w:val="0"/>
        <w:spacing w:line="360" w:lineRule="auto"/>
        <w:ind w:left="570" w:leftChars="0" w:firstLineChars="0"/>
        <w:jc w:val="left"/>
        <w:rPr>
          <w:rFonts w:ascii="宋体" w:hAnsi="宋体"/>
          <w:kern w:val="0"/>
          <w:szCs w:val="21"/>
        </w:rPr>
      </w:pPr>
      <w:r>
        <w:rPr>
          <w:rFonts w:hint="eastAsia" w:ascii="宋体" w:hAnsi="宋体"/>
          <w:kern w:val="0"/>
          <w:szCs w:val="21"/>
        </w:rPr>
        <w:t>成交供应商须向平台服务商云采链线上采购一体化平台缴纳平台使用费，金额为成交金额的</w:t>
      </w:r>
      <w:r>
        <w:rPr>
          <w:rFonts w:ascii="宋体" w:hAnsi="宋体"/>
          <w:kern w:val="0"/>
          <w:szCs w:val="21"/>
        </w:rPr>
        <w:t>1.</w:t>
      </w:r>
      <w:r>
        <w:rPr>
          <w:rFonts w:hint="eastAsia" w:ascii="宋体" w:hAnsi="宋体"/>
          <w:kern w:val="0"/>
          <w:szCs w:val="21"/>
          <w:lang w:val="en-US" w:eastAsia="zh-CN"/>
        </w:rPr>
        <w:t>5</w:t>
      </w:r>
      <w:r>
        <w:rPr>
          <w:rFonts w:ascii="宋体" w:hAnsi="宋体"/>
          <w:kern w:val="0"/>
          <w:szCs w:val="21"/>
        </w:rPr>
        <w:t>%（四舍五入取整数）。</w:t>
      </w:r>
    </w:p>
    <w:p w14:paraId="6988A64F">
      <w:pPr>
        <w:numPr>
          <w:ilvl w:val="0"/>
          <w:numId w:val="10"/>
        </w:numPr>
        <w:spacing w:line="360" w:lineRule="auto"/>
        <w:ind w:left="570" w:leftChars="0" w:firstLineChars="0"/>
        <w:rPr>
          <w:rFonts w:ascii="宋体" w:hAnsi="宋体"/>
          <w:szCs w:val="21"/>
        </w:rPr>
      </w:pPr>
      <w:r>
        <w:rPr>
          <w:rFonts w:hint="eastAsia" w:ascii="宋体" w:hAnsi="宋体"/>
          <w:szCs w:val="21"/>
        </w:rPr>
        <w:t>成交供应商无正当理由放弃成交资格的必须按竞价公告等相关规定缴纳相应的平台使用费；</w:t>
      </w:r>
    </w:p>
    <w:p w14:paraId="6FA24E97">
      <w:pPr>
        <w:numPr>
          <w:ilvl w:val="0"/>
          <w:numId w:val="10"/>
        </w:numPr>
        <w:spacing w:line="360" w:lineRule="auto"/>
        <w:ind w:left="570" w:leftChars="0" w:firstLineChars="0"/>
        <w:rPr>
          <w:rFonts w:ascii="宋体" w:hAnsi="宋体"/>
          <w:szCs w:val="21"/>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p>
    <w:p w14:paraId="77A3C1A1">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kern w:val="0"/>
          <w:szCs w:val="21"/>
        </w:rPr>
        <w:t>联系方式</w:t>
      </w:r>
    </w:p>
    <w:p w14:paraId="6E2B6369">
      <w:pPr>
        <w:widowControl/>
        <w:spacing w:line="360" w:lineRule="auto"/>
        <w:ind w:left="420"/>
        <w:jc w:val="left"/>
        <w:rPr>
          <w:rFonts w:ascii="宋体" w:hAnsi="宋体"/>
          <w:szCs w:val="21"/>
        </w:rPr>
      </w:pPr>
      <w:r>
        <w:rPr>
          <w:rFonts w:ascii="宋体" w:hAnsi="宋体"/>
          <w:szCs w:val="21"/>
        </w:rPr>
        <w:t>扫码关注微信公众号“云采链互联服务平台”，即可在线咨询相关事项</w:t>
      </w:r>
      <w:r>
        <w:rPr>
          <w:rFonts w:hint="eastAsia" w:ascii="宋体" w:hAnsi="宋体"/>
          <w:szCs w:val="21"/>
        </w:rPr>
        <w:t>；</w:t>
      </w:r>
    </w:p>
    <w:p w14:paraId="4FDDF9D9">
      <w:pPr>
        <w:widowControl/>
        <w:spacing w:line="360" w:lineRule="auto"/>
        <w:ind w:left="420"/>
        <w:jc w:val="center"/>
        <w:rPr>
          <w:rFonts w:ascii="宋体" w:hAnsi="宋体"/>
          <w:b/>
        </w:rPr>
      </w:pPr>
      <w:r>
        <w:rPr>
          <w:rFonts w:ascii="宋体" w:hAnsi="宋体"/>
        </w:rPr>
        <w:drawing>
          <wp:inline distT="0" distB="0" distL="0" distR="0">
            <wp:extent cx="1390650" cy="1390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58A4270">
      <w:pPr>
        <w:widowControl/>
        <w:spacing w:line="360" w:lineRule="auto"/>
        <w:ind w:left="420"/>
        <w:jc w:val="left"/>
        <w:rPr>
          <w:sz w:val="32"/>
          <w:szCs w:val="32"/>
        </w:rPr>
      </w:pPr>
    </w:p>
    <w:p w14:paraId="0A9AF9D3">
      <w:pPr>
        <w:pStyle w:val="13"/>
        <w:rPr>
          <w:rStyle w:val="33"/>
          <w:rFonts w:ascii="宋体" w:hAnsi="宋体"/>
          <w:sz w:val="24"/>
          <w:szCs w:val="24"/>
        </w:rPr>
      </w:pPr>
    </w:p>
    <w:p w14:paraId="76C77EEF">
      <w:pPr>
        <w:pStyle w:val="13"/>
        <w:rPr>
          <w:rStyle w:val="33"/>
          <w:rFonts w:ascii="宋体" w:hAnsi="宋体"/>
          <w:sz w:val="24"/>
          <w:szCs w:val="24"/>
        </w:rPr>
        <w:sectPr>
          <w:footerReference r:id="rId3" w:type="default"/>
          <w:pgSz w:w="11906" w:h="16838"/>
          <w:pgMar w:top="1440" w:right="1440" w:bottom="1440" w:left="1440" w:header="851" w:footer="992" w:gutter="0"/>
          <w:pgNumType w:start="1"/>
          <w:cols w:space="0" w:num="1"/>
          <w:docGrid w:type="lines" w:linePitch="312" w:charSpace="0"/>
        </w:sectPr>
      </w:pPr>
    </w:p>
    <w:p w14:paraId="76E365EA">
      <w:pPr>
        <w:pStyle w:val="81"/>
        <w:numPr>
          <w:ilvl w:val="0"/>
          <w:numId w:val="11"/>
        </w:numPr>
        <w:ind w:left="2518" w:leftChars="0" w:firstLine="422" w:firstLineChars="0"/>
        <w:jc w:val="both"/>
        <w:outlineLvl w:val="0"/>
        <w:rPr>
          <w:rFonts w:hint="eastAsia" w:ascii="宋体" w:hAnsi="宋体"/>
          <w:b/>
          <w:bCs/>
          <w:sz w:val="30"/>
          <w:szCs w:val="30"/>
        </w:rPr>
      </w:pPr>
      <w:r>
        <w:rPr>
          <w:rFonts w:hint="eastAsia"/>
          <w:b/>
          <w:bCs/>
          <w:sz w:val="30"/>
          <w:szCs w:val="30"/>
        </w:rPr>
        <w:t>用户需求书</w:t>
      </w:r>
    </w:p>
    <w:p w14:paraId="1015FB79">
      <w:pPr>
        <w:pStyle w:val="81"/>
        <w:numPr>
          <w:ilvl w:val="0"/>
          <w:numId w:val="0"/>
        </w:numPr>
        <w:ind w:leftChars="200"/>
        <w:jc w:val="left"/>
        <w:rPr>
          <w:rFonts w:ascii="宋体" w:hAnsi="宋体"/>
          <w:b/>
        </w:rPr>
      </w:pPr>
      <w:r>
        <w:rPr>
          <w:rFonts w:hint="eastAsia" w:ascii="宋体" w:hAnsi="宋体"/>
          <w:b/>
        </w:rPr>
        <w:t>说明：</w:t>
      </w:r>
    </w:p>
    <w:p w14:paraId="161DFB2C">
      <w:pPr>
        <w:pStyle w:val="81"/>
        <w:jc w:val="left"/>
        <w:rPr>
          <w:rFonts w:ascii="宋体" w:hAnsi="宋体"/>
          <w:sz w:val="24"/>
          <w:szCs w:val="24"/>
        </w:rPr>
      </w:pPr>
      <w:r>
        <w:rPr>
          <w:rFonts w:hint="eastAsia" w:ascii="宋体" w:hAnsi="宋体"/>
          <w:b/>
        </w:rPr>
        <w:t>1.响应供应商须对本项目进行整体响应，任何只对其中一部分进行的响应都被视为无效响应。</w:t>
      </w:r>
    </w:p>
    <w:p w14:paraId="14CEC45F">
      <w:pPr>
        <w:pStyle w:val="14"/>
        <w:numPr>
          <w:ilvl w:val="0"/>
          <w:numId w:val="12"/>
        </w:numPr>
        <w:tabs>
          <w:tab w:val="left" w:pos="540"/>
        </w:tabs>
        <w:adjustRightInd w:val="0"/>
        <w:snapToGrid w:val="0"/>
        <w:spacing w:line="360" w:lineRule="auto"/>
        <w:rPr>
          <w:rFonts w:hAnsi="宋体" w:cs="宋体"/>
          <w:b/>
          <w:bCs/>
        </w:rPr>
      </w:pPr>
      <w:r>
        <w:rPr>
          <w:rFonts w:hint="eastAsia" w:hAnsi="宋体" w:cs="宋体"/>
          <w:b/>
          <w:bCs/>
        </w:rPr>
        <w:t>项目一览表</w:t>
      </w:r>
    </w:p>
    <w:tbl>
      <w:tblPr>
        <w:tblStyle w:val="22"/>
        <w:tblW w:w="92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1241"/>
        <w:gridCol w:w="2723"/>
        <w:gridCol w:w="2153"/>
      </w:tblGrid>
      <w:tr w14:paraId="6ECD3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092" w:type="dxa"/>
            <w:tcBorders>
              <w:tl2br w:val="nil"/>
              <w:tr2bl w:val="nil"/>
            </w:tcBorders>
            <w:shd w:val="clear" w:color="auto" w:fill="EEECE1"/>
            <w:vAlign w:val="center"/>
          </w:tcPr>
          <w:p w14:paraId="07B26E1C">
            <w:pPr>
              <w:jc w:val="center"/>
              <w:rPr>
                <w:rFonts w:ascii="宋体" w:hAnsi="宋体"/>
                <w:b/>
                <w:szCs w:val="21"/>
              </w:rPr>
            </w:pPr>
            <w:r>
              <w:rPr>
                <w:rFonts w:hint="eastAsia" w:ascii="宋体" w:hAnsi="宋体" w:cs="仿宋_GB2312"/>
                <w:b/>
                <w:szCs w:val="21"/>
              </w:rPr>
              <w:t>项目名称</w:t>
            </w:r>
          </w:p>
        </w:tc>
        <w:tc>
          <w:tcPr>
            <w:tcW w:w="1241" w:type="dxa"/>
            <w:tcBorders>
              <w:tl2br w:val="nil"/>
              <w:tr2bl w:val="nil"/>
            </w:tcBorders>
            <w:shd w:val="clear" w:color="auto" w:fill="EEECE1"/>
            <w:vAlign w:val="center"/>
          </w:tcPr>
          <w:p w14:paraId="7DA1EF10">
            <w:pPr>
              <w:jc w:val="center"/>
              <w:rPr>
                <w:rFonts w:ascii="宋体" w:hAnsi="宋体"/>
                <w:b/>
                <w:szCs w:val="21"/>
              </w:rPr>
            </w:pPr>
            <w:r>
              <w:rPr>
                <w:rFonts w:hint="eastAsia" w:ascii="宋体" w:hAnsi="宋体"/>
                <w:b/>
                <w:szCs w:val="21"/>
              </w:rPr>
              <w:t>数量</w:t>
            </w:r>
          </w:p>
        </w:tc>
        <w:tc>
          <w:tcPr>
            <w:tcW w:w="2723" w:type="dxa"/>
            <w:tcBorders>
              <w:tl2br w:val="nil"/>
              <w:tr2bl w:val="nil"/>
            </w:tcBorders>
            <w:shd w:val="clear" w:color="auto" w:fill="EEECE1"/>
            <w:vAlign w:val="center"/>
          </w:tcPr>
          <w:p w14:paraId="2E1BEC6B">
            <w:pPr>
              <w:jc w:val="center"/>
              <w:rPr>
                <w:rFonts w:ascii="宋体" w:hAnsi="宋体"/>
                <w:b/>
                <w:szCs w:val="21"/>
              </w:rPr>
            </w:pPr>
            <w:r>
              <w:rPr>
                <w:rFonts w:hint="eastAsia" w:ascii="宋体" w:hAnsi="宋体"/>
                <w:b/>
                <w:szCs w:val="21"/>
                <w:lang w:val="en-US" w:eastAsia="zh-CN"/>
              </w:rPr>
              <w:t>服务</w:t>
            </w:r>
            <w:r>
              <w:rPr>
                <w:rFonts w:hint="eastAsia" w:ascii="宋体" w:hAnsi="宋体"/>
                <w:b/>
                <w:szCs w:val="21"/>
              </w:rPr>
              <w:t>期</w:t>
            </w:r>
          </w:p>
        </w:tc>
        <w:tc>
          <w:tcPr>
            <w:tcW w:w="2153" w:type="dxa"/>
            <w:tcBorders>
              <w:tl2br w:val="nil"/>
              <w:tr2bl w:val="nil"/>
            </w:tcBorders>
            <w:shd w:val="clear" w:color="auto" w:fill="EEECE1"/>
            <w:vAlign w:val="center"/>
          </w:tcPr>
          <w:p w14:paraId="7D284814">
            <w:pPr>
              <w:jc w:val="center"/>
              <w:rPr>
                <w:rFonts w:ascii="宋体" w:hAnsi="宋体"/>
                <w:szCs w:val="21"/>
              </w:rPr>
            </w:pPr>
            <w:r>
              <w:rPr>
                <w:rFonts w:hint="eastAsia" w:ascii="宋体" w:hAnsi="宋体"/>
                <w:b/>
                <w:szCs w:val="21"/>
              </w:rPr>
              <w:t>最高限价（含税）</w:t>
            </w:r>
          </w:p>
        </w:tc>
      </w:tr>
      <w:tr w14:paraId="087BAE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092" w:type="dxa"/>
            <w:tcBorders>
              <w:tl2br w:val="nil"/>
              <w:tr2bl w:val="nil"/>
            </w:tcBorders>
            <w:vAlign w:val="center"/>
          </w:tcPr>
          <w:p w14:paraId="45B5109E">
            <w:pPr>
              <w:adjustRightInd w:val="0"/>
              <w:snapToGrid w:val="0"/>
              <w:spacing w:line="360" w:lineRule="auto"/>
              <w:jc w:val="center"/>
              <w:rPr>
                <w:rFonts w:hint="eastAsia" w:ascii="宋体" w:hAnsi="宋体" w:eastAsia="宋体"/>
                <w:szCs w:val="21"/>
                <w:lang w:eastAsia="zh-CN"/>
              </w:rPr>
            </w:pPr>
            <w:r>
              <w:rPr>
                <w:rFonts w:hint="eastAsia" w:cs="Times New Roman" w:asciiTheme="minorEastAsia" w:hAnsiTheme="minorEastAsia"/>
                <w:szCs w:val="21"/>
              </w:rPr>
              <w:t>广东预警相关数据接口开发服务</w:t>
            </w:r>
            <w:r>
              <w:rPr>
                <w:rFonts w:hint="eastAsia" w:cs="Times New Roman" w:asciiTheme="minorEastAsia" w:hAnsiTheme="minorEastAsia"/>
                <w:szCs w:val="21"/>
                <w:lang w:val="en-US" w:eastAsia="zh-CN"/>
              </w:rPr>
              <w:t>项目</w:t>
            </w:r>
          </w:p>
        </w:tc>
        <w:tc>
          <w:tcPr>
            <w:tcW w:w="1241" w:type="dxa"/>
            <w:tcBorders>
              <w:tl2br w:val="nil"/>
              <w:tr2bl w:val="nil"/>
            </w:tcBorders>
            <w:vAlign w:val="center"/>
          </w:tcPr>
          <w:p w14:paraId="1DE7C8A0">
            <w:pPr>
              <w:adjustRightInd w:val="0"/>
              <w:snapToGrid w:val="0"/>
              <w:spacing w:line="360" w:lineRule="auto"/>
              <w:jc w:val="center"/>
              <w:rPr>
                <w:rFonts w:hint="eastAsia" w:ascii="宋体" w:hAnsi="宋体" w:eastAsia="宋体"/>
                <w:szCs w:val="21"/>
                <w:lang w:val="en-US" w:eastAsia="zh-CN"/>
              </w:rPr>
            </w:pPr>
            <w:r>
              <w:rPr>
                <w:rFonts w:hint="eastAsia" w:cs="Times New Roman" w:asciiTheme="minorEastAsia" w:hAnsiTheme="minorEastAsia"/>
                <w:szCs w:val="21"/>
              </w:rPr>
              <w:t>1项</w:t>
            </w:r>
          </w:p>
        </w:tc>
        <w:tc>
          <w:tcPr>
            <w:tcW w:w="2723" w:type="dxa"/>
            <w:tcBorders>
              <w:tl2br w:val="nil"/>
              <w:tr2bl w:val="nil"/>
            </w:tcBorders>
            <w:vAlign w:val="center"/>
          </w:tcPr>
          <w:p w14:paraId="2A761CD1">
            <w:pPr>
              <w:keepNext/>
              <w:adjustRightInd w:val="0"/>
              <w:snapToGrid w:val="0"/>
              <w:spacing w:line="360" w:lineRule="auto"/>
              <w:ind w:left="0" w:leftChars="-15" w:hanging="31" w:hangingChars="15"/>
              <w:jc w:val="center"/>
              <w:textAlignment w:val="center"/>
              <w:rPr>
                <w:rFonts w:hint="eastAsia" w:ascii="宋体" w:hAnsi="宋体" w:eastAsia="宋体" w:cs="宋体"/>
                <w:sz w:val="21"/>
                <w:szCs w:val="21"/>
              </w:rPr>
            </w:pPr>
            <w:r>
              <w:rPr>
                <w:rFonts w:hint="eastAsia" w:cs="Times New Roman" w:asciiTheme="minorEastAsia" w:hAnsiTheme="minorEastAsia"/>
                <w:szCs w:val="21"/>
                <w:u w:val="single"/>
                <w:lang w:val="en-US" w:eastAsia="zh-CN"/>
              </w:rPr>
              <w:t>2</w:t>
            </w:r>
            <w:r>
              <w:rPr>
                <w:rFonts w:hint="eastAsia" w:cs="Times New Roman" w:asciiTheme="minorEastAsia" w:hAnsiTheme="minorEastAsia"/>
                <w:szCs w:val="21"/>
              </w:rPr>
              <w:t>个月</w:t>
            </w:r>
          </w:p>
        </w:tc>
        <w:tc>
          <w:tcPr>
            <w:tcW w:w="2153" w:type="dxa"/>
            <w:tcBorders>
              <w:tl2br w:val="nil"/>
              <w:tr2bl w:val="nil"/>
            </w:tcBorders>
            <w:vAlign w:val="center"/>
          </w:tcPr>
          <w:p w14:paraId="2AC7EE99">
            <w:pPr>
              <w:keepNext/>
              <w:adjustRightInd w:val="0"/>
              <w:spacing w:line="360" w:lineRule="auto"/>
              <w:jc w:val="center"/>
              <w:textAlignment w:val="center"/>
              <w:rPr>
                <w:rFonts w:hint="eastAsia" w:ascii="宋体" w:hAnsi="宋体" w:eastAsia="宋体" w:cs="宋体"/>
                <w:sz w:val="21"/>
                <w:szCs w:val="21"/>
              </w:rPr>
            </w:pPr>
            <w:r>
              <w:rPr>
                <w:rFonts w:hint="eastAsia" w:cs="Times New Roman" w:asciiTheme="minorEastAsia" w:hAnsiTheme="minorEastAsia"/>
                <w:snapToGrid w:val="0"/>
                <w:szCs w:val="21"/>
              </w:rPr>
              <w:t>人民币</w:t>
            </w:r>
            <w:r>
              <w:rPr>
                <w:rFonts w:cs="Times New Roman" w:asciiTheme="minorEastAsia" w:hAnsiTheme="minorEastAsia"/>
                <w:snapToGrid w:val="0"/>
                <w:szCs w:val="21"/>
                <w:u w:val="single"/>
              </w:rPr>
              <w:t xml:space="preserve"> </w:t>
            </w:r>
            <w:r>
              <w:rPr>
                <w:rFonts w:hint="eastAsia" w:cs="Times New Roman" w:asciiTheme="minorEastAsia" w:hAnsiTheme="minorEastAsia"/>
                <w:snapToGrid w:val="0"/>
                <w:szCs w:val="21"/>
                <w:u w:val="single"/>
                <w:lang w:val="en-US" w:eastAsia="zh-CN"/>
              </w:rPr>
              <w:t>85</w:t>
            </w:r>
            <w:r>
              <w:rPr>
                <w:rFonts w:hint="eastAsia" w:cs="Times New Roman" w:asciiTheme="minorEastAsia" w:hAnsiTheme="minorEastAsia"/>
                <w:snapToGrid w:val="0"/>
                <w:szCs w:val="21"/>
                <w:u w:val="single"/>
              </w:rPr>
              <w:t xml:space="preserve">000 </w:t>
            </w:r>
            <w:r>
              <w:rPr>
                <w:rFonts w:hint="eastAsia" w:cs="Times New Roman" w:asciiTheme="minorEastAsia" w:hAnsiTheme="minorEastAsia"/>
                <w:snapToGrid w:val="0"/>
                <w:szCs w:val="21"/>
              </w:rPr>
              <w:t>元</w:t>
            </w:r>
          </w:p>
        </w:tc>
      </w:tr>
    </w:tbl>
    <w:p w14:paraId="5D513340">
      <w:pPr>
        <w:pStyle w:val="14"/>
        <w:keepNext w:val="0"/>
        <w:keepLines w:val="0"/>
        <w:pageBreakBefore w:val="0"/>
        <w:widowControl w:val="0"/>
        <w:numPr>
          <w:ilvl w:val="0"/>
          <w:numId w:val="12"/>
        </w:numPr>
        <w:tabs>
          <w:tab w:val="left" w:pos="540"/>
        </w:tabs>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项目</w:t>
      </w:r>
      <w:r>
        <w:rPr>
          <w:rFonts w:hint="eastAsia" w:ascii="宋体" w:hAnsi="宋体" w:eastAsia="宋体" w:cs="宋体"/>
          <w:b/>
          <w:bCs/>
          <w:sz w:val="21"/>
          <w:szCs w:val="21"/>
          <w:lang w:val="en-US" w:eastAsia="zh-CN"/>
        </w:rPr>
        <w:t>背景</w:t>
      </w:r>
    </w:p>
    <w:p w14:paraId="4544C571">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yellow"/>
        </w:rPr>
      </w:pPr>
      <w:r>
        <w:rPr>
          <w:rFonts w:hint="eastAsia"/>
          <w:sz w:val="21"/>
          <w:szCs w:val="21"/>
          <w:lang w:val="en-US" w:eastAsia="zh-CN"/>
        </w:rPr>
        <w:t>开展预警信息效益评估对提升气象服务的针对性和时效性有重要的指导意义。为推进更加精细准确的预警服务，完善预警发布效益评估体系，拟通过计算预警发布和传播的各项指标，构建多维度预警传播评价方法。现需开发预警数据、叫应数据、联动数据数据接口，做好预警信息效益评估数据支撑。</w:t>
      </w:r>
    </w:p>
    <w:p w14:paraId="6EBB1C4C">
      <w:pPr>
        <w:pStyle w:val="14"/>
        <w:keepNext w:val="0"/>
        <w:keepLines w:val="0"/>
        <w:pageBreakBefore w:val="0"/>
        <w:widowControl w:val="0"/>
        <w:numPr>
          <w:ilvl w:val="0"/>
          <w:numId w:val="12"/>
        </w:numPr>
        <w:tabs>
          <w:tab w:val="left" w:pos="540"/>
        </w:tabs>
        <w:kinsoku/>
        <w:wordWrap/>
        <w:overflowPunct/>
        <w:topLinePunct w:val="0"/>
        <w:autoSpaceDE/>
        <w:autoSpaceDN/>
        <w:bidi w:val="0"/>
        <w:adjustRightInd w:val="0"/>
        <w:snapToGrid w:val="0"/>
        <w:spacing w:line="360" w:lineRule="auto"/>
        <w:textAlignment w:val="auto"/>
        <w:rPr>
          <w:rFonts w:ascii="宋体" w:hAnsi="宋体" w:cs="宋体"/>
          <w:b/>
          <w:bCs/>
          <w:szCs w:val="21"/>
        </w:rPr>
      </w:pPr>
      <w:r>
        <w:rPr>
          <w:rFonts w:hint="eastAsia" w:ascii="宋体" w:hAnsi="宋体" w:cs="宋体"/>
          <w:b/>
          <w:bCs/>
          <w:szCs w:val="21"/>
        </w:rPr>
        <w:t>建设内容</w:t>
      </w:r>
    </w:p>
    <w:p w14:paraId="34AF50F2">
      <w:pPr>
        <w:tabs>
          <w:tab w:val="left" w:pos="840"/>
        </w:tabs>
        <w:spacing w:line="360" w:lineRule="auto"/>
        <w:rPr>
          <w:rFonts w:hint="eastAsia" w:ascii="宋体" w:hAnsi="宋体"/>
          <w:szCs w:val="21"/>
          <w:lang w:val="en-US" w:eastAsia="zh-CN"/>
        </w:rPr>
      </w:pPr>
      <w:r>
        <w:rPr>
          <w:rFonts w:hint="eastAsia" w:ascii="宋体" w:hAnsi="宋体"/>
          <w:szCs w:val="21"/>
          <w:lang w:val="en-US" w:eastAsia="zh-CN"/>
        </w:rPr>
        <w:t>完成预警数据、叫应数据、联动数据相关接口的开发，具体需求如下：</w:t>
      </w:r>
    </w:p>
    <w:tbl>
      <w:tblPr>
        <w:tblStyle w:val="22"/>
        <w:tblW w:w="4893" w:type="pct"/>
        <w:tblInd w:w="0" w:type="dxa"/>
        <w:tblLayout w:type="autofit"/>
        <w:tblCellMar>
          <w:top w:w="0" w:type="dxa"/>
          <w:left w:w="0" w:type="dxa"/>
          <w:bottom w:w="0" w:type="dxa"/>
          <w:right w:w="0" w:type="dxa"/>
        </w:tblCellMar>
      </w:tblPr>
      <w:tblGrid>
        <w:gridCol w:w="1955"/>
        <w:gridCol w:w="7171"/>
      </w:tblGrid>
      <w:tr w14:paraId="0E30DAB9">
        <w:tblPrEx>
          <w:tblCellMar>
            <w:top w:w="0" w:type="dxa"/>
            <w:left w:w="0" w:type="dxa"/>
            <w:bottom w:w="0" w:type="dxa"/>
            <w:right w:w="0" w:type="dxa"/>
          </w:tblCellMar>
        </w:tblPrEx>
        <w:tc>
          <w:tcPr>
            <w:tcW w:w="1071"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4C08511B">
            <w:pPr>
              <w:jc w:val="center"/>
              <w:rPr>
                <w:b/>
                <w:sz w:val="21"/>
                <w:szCs w:val="21"/>
              </w:rPr>
            </w:pPr>
            <w:r>
              <w:rPr>
                <w:b/>
                <w:sz w:val="21"/>
                <w:szCs w:val="21"/>
              </w:rPr>
              <w:t>数据类型</w:t>
            </w:r>
          </w:p>
        </w:tc>
        <w:tc>
          <w:tcPr>
            <w:tcW w:w="3928"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60228053">
            <w:pPr>
              <w:jc w:val="center"/>
              <w:rPr>
                <w:rFonts w:hint="eastAsia" w:eastAsia="宋体"/>
                <w:b/>
                <w:sz w:val="21"/>
                <w:szCs w:val="21"/>
                <w:lang w:val="en-US" w:eastAsia="zh-CN"/>
              </w:rPr>
            </w:pPr>
            <w:r>
              <w:rPr>
                <w:b/>
                <w:sz w:val="21"/>
                <w:szCs w:val="21"/>
              </w:rPr>
              <w:t>数据</w:t>
            </w:r>
            <w:r>
              <w:rPr>
                <w:rFonts w:hint="eastAsia"/>
                <w:b/>
                <w:sz w:val="21"/>
                <w:szCs w:val="21"/>
                <w:lang w:val="en-US" w:eastAsia="zh-CN"/>
              </w:rPr>
              <w:t>说明</w:t>
            </w:r>
          </w:p>
        </w:tc>
      </w:tr>
      <w:tr w14:paraId="3BBDEA66">
        <w:tblPrEx>
          <w:tblCellMar>
            <w:top w:w="0" w:type="dxa"/>
            <w:left w:w="0" w:type="dxa"/>
            <w:bottom w:w="0" w:type="dxa"/>
            <w:right w:w="0" w:type="dxa"/>
          </w:tblCellMar>
        </w:tblPrEx>
        <w:tc>
          <w:tcPr>
            <w:tcW w:w="1071"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08526C51">
            <w:pPr>
              <w:jc w:val="center"/>
              <w:rPr>
                <w:sz w:val="21"/>
                <w:szCs w:val="21"/>
              </w:rPr>
            </w:pPr>
            <w:r>
              <w:rPr>
                <w:sz w:val="21"/>
                <w:szCs w:val="21"/>
              </w:rPr>
              <w:t>预警数据</w:t>
            </w:r>
          </w:p>
        </w:tc>
        <w:tc>
          <w:tcPr>
            <w:tcW w:w="3928"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7011AE3">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警信息唯一标识、预警信息发布行政单位代码、预警信息发布单位名称、预警信息签发时间、预警信息类型、预警事件类型编码、预警事件类型中文名称、预警级别、预警信息的标题、预警信息正文、预警信息状态</w:t>
            </w:r>
          </w:p>
        </w:tc>
      </w:tr>
      <w:tr w14:paraId="6D430216">
        <w:tblPrEx>
          <w:tblCellMar>
            <w:top w:w="0" w:type="dxa"/>
            <w:left w:w="0" w:type="dxa"/>
            <w:bottom w:w="0" w:type="dxa"/>
            <w:right w:w="0" w:type="dxa"/>
          </w:tblCellMar>
        </w:tblPrEx>
        <w:tc>
          <w:tcPr>
            <w:tcW w:w="1071"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61EE4F3B">
            <w:pPr>
              <w:jc w:val="center"/>
              <w:rPr>
                <w:sz w:val="21"/>
                <w:szCs w:val="21"/>
              </w:rPr>
            </w:pPr>
            <w:r>
              <w:rPr>
                <w:sz w:val="21"/>
                <w:szCs w:val="21"/>
              </w:rPr>
              <w:t>叫应数据</w:t>
            </w:r>
          </w:p>
        </w:tc>
        <w:tc>
          <w:tcPr>
            <w:tcW w:w="3928"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187472A3">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报送单位行政区划编码、行政区划名称、叫应预警级别、叫应灾害名称、叫应灾种、叫应开始时间、叫应结束时间、负责人叫应、群叫应、部门叫应</w:t>
            </w:r>
          </w:p>
        </w:tc>
      </w:tr>
      <w:tr w14:paraId="20B9CE08">
        <w:tblPrEx>
          <w:tblCellMar>
            <w:top w:w="0" w:type="dxa"/>
            <w:left w:w="0" w:type="dxa"/>
            <w:bottom w:w="0" w:type="dxa"/>
            <w:right w:w="0" w:type="dxa"/>
          </w:tblCellMar>
        </w:tblPrEx>
        <w:tc>
          <w:tcPr>
            <w:tcW w:w="1071"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5722AC68">
            <w:pPr>
              <w:jc w:val="center"/>
              <w:rPr>
                <w:sz w:val="21"/>
                <w:szCs w:val="21"/>
              </w:rPr>
            </w:pPr>
            <w:r>
              <w:rPr>
                <w:sz w:val="21"/>
                <w:szCs w:val="21"/>
              </w:rPr>
              <w:t>联动数据</w:t>
            </w:r>
          </w:p>
        </w:tc>
        <w:tc>
          <w:tcPr>
            <w:tcW w:w="3928" w:type="pct"/>
            <w:tcBorders>
              <w:top w:val="single" w:color="000000" w:sz="6" w:space="0"/>
              <w:left w:val="single" w:color="000000" w:sz="6" w:space="0"/>
              <w:bottom w:val="single" w:color="000000" w:sz="6" w:space="0"/>
              <w:right w:val="single" w:color="000000" w:sz="6" w:space="0"/>
            </w:tcBorders>
            <w:noWrap w:val="0"/>
            <w:tcMar>
              <w:top w:w="150" w:type="dxa"/>
              <w:left w:w="150" w:type="dxa"/>
              <w:bottom w:w="150" w:type="dxa"/>
              <w:right w:w="150" w:type="dxa"/>
            </w:tcMar>
            <w:vAlign w:val="center"/>
          </w:tcPr>
          <w:p w14:paraId="1516C1F3">
            <w:pPr>
              <w:jc w:val="lef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行政区划编码、行政区划名称、创建时间、叫应灾害名称、叫应灾种、联动时间、状态、政府/行业单位名称、政府/行业部署情况</w:t>
            </w:r>
          </w:p>
        </w:tc>
      </w:tr>
    </w:tbl>
    <w:p w14:paraId="7572EB6C">
      <w:pPr>
        <w:pStyle w:val="14"/>
        <w:keepNext w:val="0"/>
        <w:keepLines w:val="0"/>
        <w:pageBreakBefore w:val="0"/>
        <w:widowControl w:val="0"/>
        <w:numPr>
          <w:ilvl w:val="0"/>
          <w:numId w:val="12"/>
        </w:numPr>
        <w:tabs>
          <w:tab w:val="left" w:pos="540"/>
        </w:tabs>
        <w:kinsoku/>
        <w:wordWrap/>
        <w:overflowPunct/>
        <w:topLinePunct w:val="0"/>
        <w:autoSpaceDE/>
        <w:autoSpaceDN/>
        <w:bidi w:val="0"/>
        <w:adjustRightInd w:val="0"/>
        <w:snapToGrid w:val="0"/>
        <w:spacing w:line="360" w:lineRule="auto"/>
        <w:textAlignment w:val="auto"/>
        <w:rPr>
          <w:rFonts w:ascii="宋体" w:hAnsi="宋体" w:cs="宋体"/>
          <w:b/>
          <w:bCs/>
          <w:szCs w:val="21"/>
        </w:rPr>
      </w:pPr>
      <w:r>
        <w:rPr>
          <w:rFonts w:hint="eastAsia" w:ascii="宋体" w:hAnsi="宋体" w:cs="宋体"/>
          <w:b/>
          <w:bCs/>
          <w:szCs w:val="21"/>
          <w:lang w:val="en-US" w:eastAsia="zh-CN"/>
        </w:rPr>
        <w:t>服务</w:t>
      </w:r>
      <w:r>
        <w:rPr>
          <w:rFonts w:hint="eastAsia" w:ascii="宋体" w:hAnsi="宋体" w:cs="宋体"/>
          <w:b/>
          <w:bCs/>
          <w:szCs w:val="21"/>
        </w:rPr>
        <w:t>内容</w:t>
      </w:r>
    </w:p>
    <w:p w14:paraId="1923C823">
      <w:pPr>
        <w:keepNext w:val="0"/>
        <w:keepLines w:val="0"/>
        <w:pageBreakBefore w:val="0"/>
        <w:widowControl w:val="0"/>
        <w:tabs>
          <w:tab w:val="left" w:pos="840"/>
        </w:tabs>
        <w:kinsoku/>
        <w:wordWrap/>
        <w:overflowPunct/>
        <w:topLinePunct w:val="0"/>
        <w:autoSpaceDE/>
        <w:autoSpaceDN/>
        <w:bidi w:val="0"/>
        <w:spacing w:line="360" w:lineRule="auto"/>
        <w:textAlignment w:val="auto"/>
        <w:rPr>
          <w:rFonts w:hint="eastAsia" w:ascii="宋体" w:hAnsi="宋体" w:eastAsia="宋体"/>
          <w:szCs w:val="21"/>
          <w:highlight w:val="none"/>
        </w:rPr>
      </w:pPr>
      <w:r>
        <w:rPr>
          <w:rFonts w:hint="eastAsia" w:ascii="宋体" w:hAnsi="宋体"/>
          <w:szCs w:val="21"/>
          <w:highlight w:val="none"/>
          <w:lang w:val="en-US" w:eastAsia="zh-CN"/>
        </w:rPr>
        <w:t>1、</w:t>
      </w:r>
      <w:r>
        <w:rPr>
          <w:rFonts w:hint="eastAsia" w:ascii="宋体" w:hAnsi="宋体" w:eastAsia="宋体"/>
          <w:szCs w:val="21"/>
          <w:highlight w:val="none"/>
        </w:rPr>
        <w:t>合同签订之日起</w:t>
      </w:r>
      <w:r>
        <w:rPr>
          <w:rFonts w:hint="eastAsia" w:ascii="宋体" w:hAnsi="宋体" w:eastAsia="宋体"/>
          <w:szCs w:val="21"/>
          <w:highlight w:val="none"/>
          <w:lang w:val="en-US" w:eastAsia="zh-CN"/>
        </w:rPr>
        <w:t>2</w:t>
      </w:r>
      <w:r>
        <w:rPr>
          <w:rFonts w:hint="eastAsia" w:ascii="宋体" w:hAnsi="宋体" w:eastAsia="宋体"/>
          <w:szCs w:val="21"/>
          <w:highlight w:val="none"/>
        </w:rPr>
        <w:t>个月</w:t>
      </w:r>
      <w:r>
        <w:rPr>
          <w:rFonts w:hint="eastAsia" w:ascii="宋体" w:hAnsi="宋体" w:eastAsia="宋体"/>
          <w:szCs w:val="21"/>
          <w:highlight w:val="none"/>
          <w:lang w:val="en-US" w:eastAsia="zh-CN"/>
        </w:rPr>
        <w:t>之</w:t>
      </w:r>
      <w:r>
        <w:rPr>
          <w:rFonts w:hint="eastAsia" w:ascii="宋体" w:hAnsi="宋体" w:eastAsia="宋体"/>
          <w:szCs w:val="21"/>
          <w:highlight w:val="none"/>
        </w:rPr>
        <w:t>内完成</w:t>
      </w:r>
      <w:r>
        <w:rPr>
          <w:rFonts w:hint="eastAsia" w:ascii="宋体" w:hAnsi="宋体"/>
          <w:szCs w:val="21"/>
          <w:highlight w:val="none"/>
          <w:lang w:val="en-US" w:eastAsia="zh-CN"/>
        </w:rPr>
        <w:t>预警数据、叫应数据、联动数据接口</w:t>
      </w:r>
      <w:r>
        <w:rPr>
          <w:rFonts w:hint="eastAsia" w:ascii="宋体" w:hAnsi="宋体" w:eastAsia="宋体"/>
          <w:szCs w:val="21"/>
          <w:highlight w:val="none"/>
          <w:lang w:val="en-US" w:eastAsia="zh-CN"/>
        </w:rPr>
        <w:t>的开发</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保证数据接口符合采购人需求</w:t>
      </w:r>
      <w:r>
        <w:rPr>
          <w:rFonts w:hint="eastAsia" w:ascii="宋体" w:hAnsi="宋体" w:eastAsia="宋体"/>
          <w:szCs w:val="21"/>
          <w:highlight w:val="none"/>
        </w:rPr>
        <w:t>。</w:t>
      </w:r>
    </w:p>
    <w:p w14:paraId="4B61ECA0">
      <w:pPr>
        <w:keepNext w:val="0"/>
        <w:keepLines w:val="0"/>
        <w:pageBreakBefore w:val="0"/>
        <w:widowControl w:val="0"/>
        <w:tabs>
          <w:tab w:val="left" w:pos="840"/>
        </w:tabs>
        <w:kinsoku/>
        <w:wordWrap/>
        <w:overflowPunct/>
        <w:topLinePunct w:val="0"/>
        <w:autoSpaceDE/>
        <w:autoSpaceDN/>
        <w:bidi w:val="0"/>
        <w:spacing w:line="360" w:lineRule="auto"/>
        <w:textAlignment w:val="auto"/>
        <w:rPr>
          <w:rFonts w:hint="eastAsia" w:ascii="宋体" w:hAnsi="宋体" w:eastAsia="宋体"/>
          <w:szCs w:val="21"/>
          <w:highlight w:val="none"/>
        </w:rPr>
      </w:pPr>
      <w:r>
        <w:rPr>
          <w:rFonts w:hint="eastAsia" w:ascii="宋体" w:hAnsi="宋体" w:eastAsia="宋体"/>
          <w:szCs w:val="21"/>
          <w:highlight w:val="none"/>
          <w:lang w:val="en-US" w:eastAsia="zh-CN"/>
        </w:rPr>
        <w:t>2、</w:t>
      </w:r>
      <w:r>
        <w:rPr>
          <w:rFonts w:hint="eastAsia" w:ascii="宋体" w:hAnsi="宋体" w:eastAsia="宋体"/>
          <w:szCs w:val="21"/>
          <w:highlight w:val="none"/>
        </w:rPr>
        <w:t>项目</w:t>
      </w:r>
      <w:r>
        <w:rPr>
          <w:rFonts w:hint="eastAsia" w:ascii="宋体" w:hAnsi="宋体" w:eastAsia="宋体"/>
          <w:szCs w:val="21"/>
          <w:highlight w:val="none"/>
          <w:lang w:val="en-US" w:eastAsia="zh-CN"/>
        </w:rPr>
        <w:t>验收</w:t>
      </w:r>
      <w:r>
        <w:rPr>
          <w:rFonts w:hint="eastAsia" w:ascii="宋体" w:hAnsi="宋体" w:eastAsia="宋体"/>
          <w:szCs w:val="21"/>
          <w:highlight w:val="none"/>
        </w:rPr>
        <w:t>后,质保期</w:t>
      </w:r>
      <w:r>
        <w:rPr>
          <w:rFonts w:hint="eastAsia" w:ascii="宋体" w:hAnsi="宋体" w:eastAsia="宋体"/>
          <w:szCs w:val="21"/>
          <w:highlight w:val="none"/>
          <w:lang w:val="en-US" w:eastAsia="zh-CN"/>
        </w:rPr>
        <w:t>为1年</w:t>
      </w:r>
      <w:r>
        <w:rPr>
          <w:rFonts w:hint="eastAsia" w:ascii="宋体" w:hAnsi="宋体" w:eastAsia="宋体"/>
          <w:szCs w:val="21"/>
          <w:highlight w:val="none"/>
        </w:rPr>
        <w:t>。</w:t>
      </w:r>
      <w:r>
        <w:rPr>
          <w:rFonts w:hint="eastAsia" w:ascii="宋体" w:hAnsi="宋体" w:eastAsia="宋体"/>
          <w:szCs w:val="21"/>
          <w:highlight w:val="none"/>
          <w:lang w:val="en-US" w:eastAsia="zh-CN"/>
        </w:rPr>
        <w:t>在</w:t>
      </w:r>
      <w:r>
        <w:rPr>
          <w:rFonts w:hint="eastAsia" w:ascii="宋体" w:hAnsi="宋体" w:eastAsia="宋体"/>
          <w:szCs w:val="21"/>
          <w:highlight w:val="none"/>
        </w:rPr>
        <w:t>质保期内</w:t>
      </w:r>
      <w:r>
        <w:rPr>
          <w:rFonts w:hint="eastAsia" w:ascii="宋体" w:hAnsi="宋体" w:eastAsia="宋体"/>
          <w:szCs w:val="21"/>
          <w:highlight w:val="none"/>
          <w:lang w:eastAsia="zh-CN"/>
        </w:rPr>
        <w:t>，</w:t>
      </w:r>
      <w:r>
        <w:rPr>
          <w:rFonts w:hint="eastAsia" w:ascii="宋体" w:hAnsi="宋体" w:eastAsia="宋体"/>
          <w:szCs w:val="21"/>
          <w:highlight w:val="none"/>
        </w:rPr>
        <w:t>如</w:t>
      </w:r>
      <w:r>
        <w:rPr>
          <w:rFonts w:hint="eastAsia" w:ascii="宋体" w:hAnsi="宋体" w:eastAsia="宋体"/>
          <w:szCs w:val="21"/>
          <w:highlight w:val="none"/>
          <w:lang w:val="en-US" w:eastAsia="zh-CN"/>
        </w:rPr>
        <w:t>采购人</w:t>
      </w:r>
      <w:r>
        <w:rPr>
          <w:rFonts w:hint="eastAsia" w:ascii="宋体" w:hAnsi="宋体" w:eastAsia="宋体"/>
          <w:szCs w:val="21"/>
          <w:highlight w:val="none"/>
        </w:rPr>
        <w:t>使用</w:t>
      </w:r>
      <w:r>
        <w:rPr>
          <w:rFonts w:hint="eastAsia" w:ascii="宋体" w:hAnsi="宋体" w:eastAsia="宋体"/>
          <w:szCs w:val="21"/>
          <w:highlight w:val="none"/>
          <w:lang w:val="en-US" w:eastAsia="zh-CN"/>
        </w:rPr>
        <w:t>数据接口</w:t>
      </w:r>
      <w:r>
        <w:rPr>
          <w:rFonts w:hint="eastAsia" w:ascii="宋体" w:hAnsi="宋体" w:eastAsia="宋体"/>
          <w:szCs w:val="21"/>
          <w:highlight w:val="none"/>
        </w:rPr>
        <w:t>出现故障</w:t>
      </w: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成交人</w:t>
      </w:r>
      <w:r>
        <w:rPr>
          <w:rFonts w:hint="eastAsia" w:ascii="宋体" w:hAnsi="宋体" w:eastAsia="宋体"/>
          <w:szCs w:val="21"/>
          <w:highlight w:val="none"/>
        </w:rPr>
        <w:t>应在</w:t>
      </w:r>
      <w:r>
        <w:rPr>
          <w:rFonts w:hint="eastAsia" w:ascii="宋体" w:hAnsi="宋体" w:eastAsia="宋体"/>
          <w:szCs w:val="21"/>
          <w:highlight w:val="none"/>
          <w:lang w:val="en-US" w:eastAsia="zh-CN"/>
        </w:rPr>
        <w:t>接到采购人</w:t>
      </w:r>
      <w:r>
        <w:rPr>
          <w:rFonts w:hint="eastAsia" w:ascii="宋体" w:hAnsi="宋体" w:eastAsia="宋体"/>
          <w:szCs w:val="21"/>
          <w:highlight w:val="none"/>
        </w:rPr>
        <w:t>通知后及时予以响应,</w:t>
      </w:r>
      <w:r>
        <w:rPr>
          <w:rFonts w:hint="eastAsia" w:ascii="宋体" w:hAnsi="宋体" w:eastAsia="宋体"/>
          <w:szCs w:val="21"/>
          <w:highlight w:val="none"/>
          <w:lang w:val="en-US" w:eastAsia="zh-CN"/>
        </w:rPr>
        <w:t>为采购人</w:t>
      </w:r>
      <w:r>
        <w:rPr>
          <w:rFonts w:hint="eastAsia" w:ascii="宋体" w:hAnsi="宋体" w:eastAsia="宋体"/>
          <w:szCs w:val="21"/>
          <w:highlight w:val="none"/>
        </w:rPr>
        <w:t>免费解决。</w:t>
      </w:r>
    </w:p>
    <w:p w14:paraId="26BA6D48">
      <w:pPr>
        <w:pStyle w:val="14"/>
        <w:keepNext w:val="0"/>
        <w:keepLines w:val="0"/>
        <w:pageBreakBefore w:val="0"/>
        <w:widowControl w:val="0"/>
        <w:numPr>
          <w:ilvl w:val="0"/>
          <w:numId w:val="12"/>
        </w:numPr>
        <w:tabs>
          <w:tab w:val="left" w:pos="540"/>
        </w:tabs>
        <w:kinsoku/>
        <w:wordWrap/>
        <w:overflowPunct/>
        <w:topLinePunct w:val="0"/>
        <w:autoSpaceDE/>
        <w:autoSpaceDN/>
        <w:bidi w:val="0"/>
        <w:adjustRightInd w:val="0"/>
        <w:snapToGrid w:val="0"/>
        <w:spacing w:line="360" w:lineRule="auto"/>
        <w:textAlignment w:val="auto"/>
        <w:rPr>
          <w:rFonts w:hint="eastAsia" w:ascii="宋体" w:hAnsi="宋体" w:cs="宋体"/>
          <w:b/>
          <w:bCs/>
          <w:szCs w:val="21"/>
          <w:lang w:val="en-US" w:eastAsia="zh-CN"/>
        </w:rPr>
      </w:pPr>
      <w:r>
        <w:rPr>
          <w:rFonts w:hint="eastAsia" w:ascii="宋体" w:hAnsi="宋体" w:cs="宋体"/>
          <w:b/>
          <w:bCs/>
          <w:szCs w:val="21"/>
          <w:lang w:val="en-US" w:eastAsia="zh-CN"/>
        </w:rPr>
        <w:t>资质条件</w:t>
      </w:r>
    </w:p>
    <w:p w14:paraId="3239DA25">
      <w:pPr>
        <w:keepNext w:val="0"/>
        <w:keepLines w:val="0"/>
        <w:pageBreakBefore w:val="0"/>
        <w:widowControl w:val="0"/>
        <w:tabs>
          <w:tab w:val="left" w:pos="840"/>
        </w:tabs>
        <w:kinsoku/>
        <w:wordWrap/>
        <w:overflowPunct/>
        <w:topLinePunct w:val="0"/>
        <w:autoSpaceDE/>
        <w:autoSpaceDN/>
        <w:bidi w:val="0"/>
        <w:spacing w:line="360" w:lineRule="auto"/>
        <w:textAlignment w:val="auto"/>
        <w:rPr>
          <w:rFonts w:hint="eastAsia" w:ascii="宋体" w:hAnsi="宋体" w:eastAsia="宋体"/>
          <w:szCs w:val="21"/>
          <w:highlight w:val="none"/>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一</w:t>
      </w:r>
      <w:r>
        <w:rPr>
          <w:rFonts w:hint="eastAsia" w:ascii="宋体" w:hAnsi="宋体" w:eastAsia="宋体"/>
          <w:szCs w:val="21"/>
          <w:highlight w:val="none"/>
          <w:lang w:eastAsia="zh-CN"/>
        </w:rPr>
        <w:t>）</w:t>
      </w:r>
      <w:r>
        <w:rPr>
          <w:rFonts w:hint="eastAsia" w:ascii="宋体" w:hAnsi="宋体" w:eastAsia="宋体"/>
          <w:szCs w:val="21"/>
          <w:highlight w:val="none"/>
        </w:rPr>
        <w:t>供应商应是在中华人民共和国境内注册的企事业法人单位，具有独立法人资格；</w:t>
      </w:r>
    </w:p>
    <w:p w14:paraId="773EDBA7">
      <w:pPr>
        <w:keepNext w:val="0"/>
        <w:keepLines w:val="0"/>
        <w:pageBreakBefore w:val="0"/>
        <w:widowControl w:val="0"/>
        <w:tabs>
          <w:tab w:val="left" w:pos="840"/>
        </w:tabs>
        <w:kinsoku/>
        <w:wordWrap/>
        <w:overflowPunct/>
        <w:topLinePunct w:val="0"/>
        <w:autoSpaceDE/>
        <w:autoSpaceDN/>
        <w:bidi w:val="0"/>
        <w:spacing w:line="360" w:lineRule="auto"/>
        <w:textAlignment w:val="auto"/>
        <w:rPr>
          <w:rFonts w:hint="eastAsia" w:ascii="宋体" w:hAnsi="宋体" w:eastAsia="宋体"/>
          <w:szCs w:val="21"/>
          <w:highlight w:val="none"/>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二</w:t>
      </w:r>
      <w:r>
        <w:rPr>
          <w:rFonts w:hint="eastAsia" w:ascii="宋体" w:hAnsi="宋体" w:eastAsia="宋体"/>
          <w:szCs w:val="21"/>
          <w:highlight w:val="none"/>
          <w:lang w:eastAsia="zh-CN"/>
        </w:rPr>
        <w:t>）</w:t>
      </w:r>
      <w:r>
        <w:rPr>
          <w:rFonts w:hint="eastAsia" w:ascii="宋体" w:hAnsi="宋体" w:eastAsia="宋体"/>
          <w:szCs w:val="21"/>
          <w:highlight w:val="none"/>
        </w:rPr>
        <w:t>供应商应</w:t>
      </w:r>
      <w:r>
        <w:rPr>
          <w:rFonts w:hint="eastAsia" w:ascii="宋体" w:hAnsi="宋体" w:eastAsia="宋体"/>
          <w:szCs w:val="21"/>
          <w:highlight w:val="none"/>
          <w:lang w:val="en-US" w:eastAsia="zh-CN"/>
        </w:rPr>
        <w:t>具有履行合同所必须的专业技术能力</w:t>
      </w:r>
      <w:r>
        <w:rPr>
          <w:rFonts w:hint="eastAsia" w:ascii="宋体" w:hAnsi="宋体" w:eastAsia="宋体"/>
          <w:szCs w:val="21"/>
          <w:highlight w:val="none"/>
          <w:lang w:eastAsia="zh-CN"/>
        </w:rPr>
        <w:t>。</w:t>
      </w:r>
    </w:p>
    <w:p w14:paraId="68FD8B72">
      <w:pPr>
        <w:pStyle w:val="14"/>
        <w:keepNext w:val="0"/>
        <w:keepLines w:val="0"/>
        <w:pageBreakBefore w:val="0"/>
        <w:widowControl w:val="0"/>
        <w:numPr>
          <w:ilvl w:val="0"/>
          <w:numId w:val="12"/>
        </w:numPr>
        <w:tabs>
          <w:tab w:val="left" w:pos="540"/>
        </w:tabs>
        <w:kinsoku/>
        <w:wordWrap/>
        <w:overflowPunct/>
        <w:topLinePunct w:val="0"/>
        <w:autoSpaceDE/>
        <w:autoSpaceDN/>
        <w:bidi w:val="0"/>
        <w:adjustRightInd w:val="0"/>
        <w:snapToGrid w:val="0"/>
        <w:spacing w:line="360" w:lineRule="auto"/>
        <w:textAlignment w:val="auto"/>
        <w:rPr>
          <w:rFonts w:ascii="宋体" w:hAnsi="宋体" w:cs="宋体"/>
          <w:b/>
          <w:bCs/>
          <w:szCs w:val="21"/>
          <w:highlight w:val="none"/>
        </w:rPr>
      </w:pPr>
      <w:r>
        <w:rPr>
          <w:rFonts w:hint="eastAsia" w:ascii="宋体" w:hAnsi="宋体" w:cs="宋体"/>
          <w:b/>
          <w:bCs/>
          <w:szCs w:val="21"/>
          <w:highlight w:val="none"/>
        </w:rPr>
        <w:t>付款方式</w:t>
      </w:r>
    </w:p>
    <w:p w14:paraId="6CD9DF10">
      <w:pPr>
        <w:tabs>
          <w:tab w:val="left" w:pos="840"/>
        </w:tabs>
        <w:spacing w:line="360" w:lineRule="auto"/>
        <w:rPr>
          <w:rFonts w:ascii="宋体" w:hAnsi="宋体"/>
          <w:szCs w:val="21"/>
          <w:highlight w:val="none"/>
        </w:rPr>
      </w:pPr>
      <w:r>
        <w:rPr>
          <w:rFonts w:hint="eastAsia" w:ascii="宋体" w:hAnsi="宋体" w:eastAsia="宋体"/>
          <w:szCs w:val="21"/>
          <w:highlight w:val="none"/>
        </w:rPr>
        <w:t xml:space="preserve">（一）由采购人按下列程序付款： </w:t>
      </w:r>
    </w:p>
    <w:p w14:paraId="18DD19BE">
      <w:pPr>
        <w:tabs>
          <w:tab w:val="left" w:pos="840"/>
        </w:tabs>
        <w:spacing w:line="360" w:lineRule="auto"/>
        <w:rPr>
          <w:rFonts w:hint="eastAsia" w:ascii="宋体" w:hAnsi="宋体" w:eastAsia="宋体"/>
          <w:szCs w:val="21"/>
          <w:highlight w:val="none"/>
        </w:rPr>
      </w:pPr>
      <w:r>
        <w:rPr>
          <w:rFonts w:hint="eastAsia" w:ascii="宋体" w:hAnsi="宋体" w:eastAsia="宋体"/>
          <w:szCs w:val="21"/>
          <w:highlight w:val="none"/>
        </w:rPr>
        <w:t>1、合同签订后</w:t>
      </w:r>
      <w:r>
        <w:rPr>
          <w:rFonts w:hint="eastAsia" w:ascii="宋体" w:hAnsi="宋体" w:eastAsia="宋体"/>
          <w:szCs w:val="21"/>
          <w:highlight w:val="none"/>
          <w:lang w:val="en-US" w:eastAsia="zh-CN"/>
        </w:rPr>
        <w:t>15</w:t>
      </w:r>
      <w:r>
        <w:rPr>
          <w:rFonts w:hint="eastAsia" w:ascii="宋体" w:hAnsi="宋体" w:eastAsia="宋体"/>
          <w:szCs w:val="21"/>
          <w:highlight w:val="none"/>
        </w:rPr>
        <w:t>个工作日内，采购人收到成交人提供的普通发票后支付成交人合同总额的</w:t>
      </w:r>
      <w:r>
        <w:rPr>
          <w:rFonts w:hint="eastAsia" w:ascii="宋体" w:hAnsi="宋体" w:eastAsia="宋体"/>
          <w:szCs w:val="21"/>
          <w:highlight w:val="none"/>
          <w:lang w:val="en-US" w:eastAsia="zh-CN"/>
        </w:rPr>
        <w:t>50</w:t>
      </w:r>
      <w:r>
        <w:rPr>
          <w:rFonts w:hint="eastAsia" w:ascii="宋体" w:hAnsi="宋体" w:eastAsia="宋体"/>
          <w:szCs w:val="21"/>
          <w:highlight w:val="none"/>
        </w:rPr>
        <w:t>%款项。</w:t>
      </w:r>
    </w:p>
    <w:p w14:paraId="32349D96">
      <w:pPr>
        <w:tabs>
          <w:tab w:val="left" w:pos="840"/>
        </w:tabs>
        <w:spacing w:line="360" w:lineRule="auto"/>
        <w:rPr>
          <w:rFonts w:ascii="宋体" w:hAnsi="宋体"/>
          <w:szCs w:val="21"/>
          <w:highlight w:val="none"/>
        </w:rPr>
      </w:pPr>
      <w:r>
        <w:rPr>
          <w:rFonts w:hint="eastAsia" w:ascii="宋体" w:hAnsi="宋体" w:eastAsia="宋体"/>
          <w:szCs w:val="21"/>
          <w:highlight w:val="none"/>
          <w:lang w:val="en-US" w:eastAsia="zh-CN"/>
        </w:rPr>
        <w:t>2</w:t>
      </w:r>
      <w:r>
        <w:rPr>
          <w:rFonts w:hint="eastAsia" w:ascii="宋体" w:hAnsi="宋体" w:eastAsia="宋体"/>
          <w:szCs w:val="21"/>
          <w:highlight w:val="none"/>
        </w:rPr>
        <w:t>、</w:t>
      </w:r>
      <w:r>
        <w:rPr>
          <w:rFonts w:hint="eastAsia" w:ascii="宋体" w:hAnsi="宋体" w:eastAsia="宋体"/>
          <w:szCs w:val="21"/>
          <w:highlight w:val="none"/>
          <w:lang w:val="en-US" w:eastAsia="zh-CN"/>
        </w:rPr>
        <w:t>项目完成</w:t>
      </w:r>
      <w:r>
        <w:rPr>
          <w:rFonts w:hint="eastAsia" w:ascii="宋体" w:hAnsi="宋体" w:eastAsia="宋体"/>
          <w:szCs w:val="21"/>
          <w:highlight w:val="none"/>
        </w:rPr>
        <w:t>，且采购人在收到成交人提供的</w:t>
      </w:r>
      <w:r>
        <w:rPr>
          <w:rFonts w:hint="eastAsia" w:ascii="宋体" w:hAnsi="宋体"/>
          <w:szCs w:val="21"/>
          <w:highlight w:val="none"/>
          <w:lang w:val="en-US" w:eastAsia="zh-CN"/>
        </w:rPr>
        <w:t>验收报告</w:t>
      </w:r>
      <w:r>
        <w:rPr>
          <w:rFonts w:hint="eastAsia" w:ascii="宋体" w:hAnsi="宋体" w:eastAsia="宋体"/>
          <w:szCs w:val="21"/>
          <w:highlight w:val="none"/>
          <w:lang w:val="en-US" w:eastAsia="zh-CN"/>
        </w:rPr>
        <w:t>、质量承诺函和</w:t>
      </w:r>
      <w:r>
        <w:rPr>
          <w:rFonts w:hint="eastAsia" w:ascii="宋体" w:hAnsi="宋体" w:eastAsia="宋体"/>
          <w:szCs w:val="21"/>
          <w:highlight w:val="none"/>
        </w:rPr>
        <w:t>普通发票后 15 个工作日内，向成交人支付合同总额</w:t>
      </w:r>
      <w:r>
        <w:rPr>
          <w:rFonts w:hint="eastAsia" w:ascii="宋体" w:hAnsi="宋体" w:eastAsia="宋体"/>
          <w:szCs w:val="21"/>
          <w:highlight w:val="none"/>
          <w:lang w:val="en-US" w:eastAsia="zh-CN"/>
        </w:rPr>
        <w:t>50</w:t>
      </w:r>
      <w:r>
        <w:rPr>
          <w:rFonts w:hint="eastAsia" w:ascii="宋体" w:hAnsi="宋体" w:eastAsia="宋体"/>
          <w:szCs w:val="21"/>
          <w:highlight w:val="none"/>
        </w:rPr>
        <w:t>%款项。</w:t>
      </w:r>
    </w:p>
    <w:p w14:paraId="4238DC0C">
      <w:pPr>
        <w:tabs>
          <w:tab w:val="left" w:pos="840"/>
        </w:tabs>
        <w:spacing w:line="360" w:lineRule="auto"/>
        <w:rPr>
          <w:rFonts w:ascii="宋体" w:hAnsi="宋体"/>
          <w:szCs w:val="21"/>
          <w:highlight w:val="none"/>
        </w:rPr>
      </w:pPr>
      <w:r>
        <w:rPr>
          <w:rFonts w:hint="eastAsia" w:ascii="宋体" w:hAnsi="宋体" w:eastAsia="宋体"/>
          <w:szCs w:val="21"/>
          <w:highlight w:val="none"/>
          <w:lang w:eastAsia="zh-CN"/>
        </w:rPr>
        <w:t>（</w:t>
      </w:r>
      <w:r>
        <w:rPr>
          <w:rFonts w:hint="eastAsia" w:ascii="宋体" w:hAnsi="宋体" w:eastAsia="宋体"/>
          <w:szCs w:val="21"/>
          <w:highlight w:val="none"/>
          <w:lang w:val="en-US" w:eastAsia="zh-CN"/>
        </w:rPr>
        <w:t>二</w:t>
      </w:r>
      <w:r>
        <w:rPr>
          <w:rFonts w:hint="eastAsia" w:ascii="宋体" w:hAnsi="宋体" w:eastAsia="宋体"/>
          <w:szCs w:val="21"/>
          <w:highlight w:val="none"/>
          <w:lang w:eastAsia="zh-CN"/>
        </w:rPr>
        <w:t>）</w:t>
      </w:r>
      <w:r>
        <w:rPr>
          <w:rFonts w:hint="eastAsia" w:ascii="宋体" w:hAnsi="宋体" w:eastAsia="宋体"/>
          <w:szCs w:val="21"/>
          <w:highlight w:val="none"/>
        </w:rPr>
        <w:t>成交人凭以下有效文件与采购人结算：</w:t>
      </w:r>
    </w:p>
    <w:p w14:paraId="7E2161EA">
      <w:pPr>
        <w:widowControl/>
        <w:numPr>
          <w:ilvl w:val="0"/>
          <w:numId w:val="13"/>
        </w:numPr>
        <w:tabs>
          <w:tab w:val="left" w:pos="840"/>
        </w:tabs>
        <w:spacing w:line="360" w:lineRule="auto"/>
        <w:jc w:val="left"/>
        <w:rPr>
          <w:rFonts w:ascii="宋体" w:hAnsi="宋体"/>
          <w:szCs w:val="21"/>
        </w:rPr>
      </w:pPr>
      <w:r>
        <w:rPr>
          <w:rFonts w:hint="eastAsia" w:ascii="宋体" w:hAnsi="宋体" w:eastAsia="宋体"/>
          <w:szCs w:val="21"/>
        </w:rPr>
        <w:t>合同；</w:t>
      </w:r>
    </w:p>
    <w:p w14:paraId="5B9A50AB">
      <w:pPr>
        <w:widowControl/>
        <w:numPr>
          <w:ilvl w:val="0"/>
          <w:numId w:val="13"/>
        </w:numPr>
        <w:tabs>
          <w:tab w:val="left" w:pos="840"/>
        </w:tabs>
        <w:spacing w:line="360" w:lineRule="auto"/>
        <w:jc w:val="left"/>
        <w:rPr>
          <w:rFonts w:ascii="宋体" w:hAnsi="宋体"/>
          <w:szCs w:val="21"/>
        </w:rPr>
      </w:pPr>
      <w:r>
        <w:rPr>
          <w:rFonts w:hint="eastAsia" w:ascii="宋体" w:hAnsi="宋体" w:eastAsia="宋体"/>
          <w:szCs w:val="21"/>
        </w:rPr>
        <w:t>云采链出具的成交通知书；</w:t>
      </w:r>
    </w:p>
    <w:p w14:paraId="4CFF199B">
      <w:pPr>
        <w:widowControl/>
        <w:numPr>
          <w:ilvl w:val="0"/>
          <w:numId w:val="13"/>
        </w:numPr>
        <w:tabs>
          <w:tab w:val="left" w:pos="840"/>
        </w:tabs>
        <w:spacing w:line="360" w:lineRule="auto"/>
        <w:jc w:val="left"/>
        <w:rPr>
          <w:rFonts w:ascii="宋体" w:hAnsi="宋体"/>
          <w:szCs w:val="24"/>
          <w:u w:val="single"/>
        </w:rPr>
      </w:pPr>
      <w:r>
        <w:rPr>
          <w:rFonts w:hint="eastAsia" w:ascii="宋体" w:hAnsi="宋体" w:eastAsia="宋体"/>
          <w:szCs w:val="21"/>
        </w:rPr>
        <w:t>成交人开具的正式发票。</w:t>
      </w:r>
    </w:p>
    <w:p w14:paraId="675F62F7">
      <w:pPr>
        <w:rPr>
          <w:rFonts w:hint="eastAsia"/>
          <w:sz w:val="32"/>
          <w:szCs w:val="32"/>
        </w:rPr>
      </w:pPr>
      <w:r>
        <w:rPr>
          <w:rFonts w:hint="eastAsia"/>
          <w:sz w:val="32"/>
          <w:szCs w:val="32"/>
        </w:rPr>
        <w:br w:type="page"/>
      </w:r>
    </w:p>
    <w:p w14:paraId="1523A60E">
      <w:pPr>
        <w:pStyle w:val="2"/>
        <w:jc w:val="center"/>
        <w:rPr>
          <w:sz w:val="32"/>
          <w:szCs w:val="32"/>
        </w:rPr>
      </w:pPr>
      <w:r>
        <w:rPr>
          <w:rFonts w:hint="eastAsia"/>
          <w:sz w:val="32"/>
          <w:szCs w:val="32"/>
        </w:rPr>
        <w:t>第三章 报价附件</w:t>
      </w:r>
    </w:p>
    <w:p w14:paraId="467A5754">
      <w:pPr>
        <w:pStyle w:val="3"/>
        <w:spacing w:before="0" w:after="0"/>
        <w:jc w:val="center"/>
        <w:rPr>
          <w:rFonts w:ascii="宋体" w:hAnsi="宋体" w:eastAsia="宋体"/>
          <w:lang w:val="zh-CN"/>
        </w:rPr>
      </w:pPr>
      <w:r>
        <w:rPr>
          <w:rFonts w:hint="eastAsia" w:ascii="宋体" w:hAnsi="宋体" w:eastAsia="宋体"/>
        </w:rPr>
        <w:t xml:space="preserve"> </w:t>
      </w:r>
      <w:r>
        <w:rPr>
          <w:rFonts w:hint="eastAsia" w:ascii="宋体" w:hAnsi="宋体" w:eastAsia="宋体"/>
          <w:lang w:val="zh-CN"/>
        </w:rPr>
        <w:t>报 价 表</w:t>
      </w:r>
    </w:p>
    <w:p w14:paraId="5FCF155B">
      <w:pPr>
        <w:rPr>
          <w:lang w:val="zh-CN"/>
        </w:rPr>
      </w:pP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087"/>
        <w:gridCol w:w="1361"/>
        <w:gridCol w:w="2100"/>
        <w:gridCol w:w="1416"/>
        <w:gridCol w:w="1026"/>
      </w:tblGrid>
      <w:tr w14:paraId="18CB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2296" w:type="dxa"/>
            <w:shd w:val="clear" w:color="auto" w:fill="auto"/>
            <w:vAlign w:val="center"/>
          </w:tcPr>
          <w:p w14:paraId="2057C09C">
            <w:pPr>
              <w:spacing w:line="360" w:lineRule="auto"/>
              <w:jc w:val="center"/>
              <w:rPr>
                <w:rFonts w:ascii="宋体" w:hAnsi="宋体"/>
                <w:b/>
                <w:szCs w:val="21"/>
              </w:rPr>
            </w:pPr>
            <w:r>
              <w:rPr>
                <w:rFonts w:hint="eastAsia" w:ascii="宋体" w:hAnsi="宋体"/>
                <w:b/>
                <w:szCs w:val="21"/>
              </w:rPr>
              <w:t>物品名称</w:t>
            </w:r>
          </w:p>
        </w:tc>
        <w:tc>
          <w:tcPr>
            <w:tcW w:w="1087" w:type="dxa"/>
            <w:shd w:val="clear" w:color="auto" w:fill="auto"/>
            <w:vAlign w:val="center"/>
          </w:tcPr>
          <w:p w14:paraId="1166FA58">
            <w:pPr>
              <w:spacing w:line="360" w:lineRule="auto"/>
              <w:jc w:val="center"/>
              <w:rPr>
                <w:rFonts w:ascii="宋体" w:hAnsi="宋体"/>
                <w:b/>
                <w:szCs w:val="21"/>
              </w:rPr>
            </w:pPr>
            <w:r>
              <w:rPr>
                <w:rFonts w:hint="eastAsia" w:ascii="宋体" w:hAnsi="宋体"/>
                <w:b/>
                <w:szCs w:val="21"/>
              </w:rPr>
              <w:t>数量</w:t>
            </w:r>
          </w:p>
        </w:tc>
        <w:tc>
          <w:tcPr>
            <w:tcW w:w="1361" w:type="dxa"/>
            <w:shd w:val="clear" w:color="auto" w:fill="auto"/>
            <w:vAlign w:val="center"/>
          </w:tcPr>
          <w:p w14:paraId="644CC601">
            <w:pPr>
              <w:jc w:val="center"/>
              <w:rPr>
                <w:rFonts w:ascii="宋体" w:hAnsi="宋体"/>
                <w:b/>
                <w:szCs w:val="21"/>
              </w:rPr>
            </w:pPr>
            <w:r>
              <w:rPr>
                <w:rFonts w:hint="eastAsia" w:ascii="宋体" w:hAnsi="宋体"/>
                <w:b/>
                <w:szCs w:val="21"/>
                <w:lang w:val="en-US" w:eastAsia="zh-CN"/>
              </w:rPr>
              <w:t>服务</w:t>
            </w:r>
            <w:r>
              <w:rPr>
                <w:rFonts w:hint="eastAsia" w:ascii="宋体" w:hAnsi="宋体"/>
                <w:b/>
                <w:szCs w:val="21"/>
              </w:rPr>
              <w:t>期</w:t>
            </w:r>
          </w:p>
        </w:tc>
        <w:tc>
          <w:tcPr>
            <w:tcW w:w="2100" w:type="dxa"/>
            <w:vAlign w:val="center"/>
          </w:tcPr>
          <w:p w14:paraId="7FB56067">
            <w:pPr>
              <w:jc w:val="center"/>
              <w:rPr>
                <w:rFonts w:hint="default"/>
                <w:lang w:val="en-US" w:eastAsia="zh-CN"/>
              </w:rPr>
            </w:pPr>
            <w:r>
              <w:rPr>
                <w:rFonts w:hint="eastAsia" w:ascii="宋体" w:hAnsi="宋体"/>
                <w:b/>
                <w:szCs w:val="21"/>
              </w:rPr>
              <w:t>最高限价（含税）</w:t>
            </w:r>
          </w:p>
        </w:tc>
        <w:tc>
          <w:tcPr>
            <w:tcW w:w="1416" w:type="dxa"/>
            <w:vAlign w:val="center"/>
          </w:tcPr>
          <w:p w14:paraId="68C15898">
            <w:pPr>
              <w:spacing w:line="360" w:lineRule="auto"/>
              <w:jc w:val="center"/>
              <w:rPr>
                <w:rFonts w:ascii="宋体" w:hAnsi="宋体"/>
                <w:b/>
                <w:szCs w:val="21"/>
              </w:rPr>
            </w:pPr>
            <w:r>
              <w:rPr>
                <w:rFonts w:hint="eastAsia" w:cs="宋体"/>
                <w:b/>
                <w:bCs/>
                <w:sz w:val="21"/>
                <w:szCs w:val="21"/>
                <w:u w:val="none"/>
                <w:lang w:val="en-US" w:eastAsia="zh-CN"/>
              </w:rPr>
              <w:t>报价（元）</w:t>
            </w:r>
          </w:p>
        </w:tc>
        <w:tc>
          <w:tcPr>
            <w:tcW w:w="1026" w:type="dxa"/>
            <w:vAlign w:val="center"/>
          </w:tcPr>
          <w:p w14:paraId="57D50D00">
            <w:pPr>
              <w:spacing w:line="360" w:lineRule="auto"/>
              <w:jc w:val="center"/>
              <w:rPr>
                <w:rFonts w:ascii="宋体" w:hAnsi="宋体"/>
                <w:b/>
                <w:szCs w:val="21"/>
              </w:rPr>
            </w:pPr>
            <w:r>
              <w:rPr>
                <w:rFonts w:ascii="宋体" w:hAnsi="宋体"/>
                <w:b/>
                <w:szCs w:val="21"/>
              </w:rPr>
              <w:t>备注</w:t>
            </w:r>
          </w:p>
        </w:tc>
      </w:tr>
      <w:tr w14:paraId="034F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2296" w:type="dxa"/>
            <w:shd w:val="clear" w:color="auto" w:fill="auto"/>
            <w:vAlign w:val="center"/>
          </w:tcPr>
          <w:p w14:paraId="180AAB82">
            <w:pPr>
              <w:adjustRightInd w:val="0"/>
              <w:snapToGrid w:val="0"/>
              <w:spacing w:line="360" w:lineRule="auto"/>
              <w:jc w:val="center"/>
              <w:rPr>
                <w:rFonts w:hint="eastAsia" w:ascii="宋体" w:hAnsi="宋体" w:eastAsia="宋体"/>
                <w:szCs w:val="21"/>
                <w:lang w:eastAsia="zh-CN"/>
              </w:rPr>
            </w:pPr>
            <w:r>
              <w:rPr>
                <w:rFonts w:hint="eastAsia" w:cs="Times New Roman" w:asciiTheme="minorEastAsia" w:hAnsiTheme="minorEastAsia"/>
                <w:szCs w:val="21"/>
              </w:rPr>
              <w:t>广东预警相关数据接口开发服务</w:t>
            </w:r>
            <w:r>
              <w:rPr>
                <w:rFonts w:hint="eastAsia" w:cs="Times New Roman" w:asciiTheme="minorEastAsia" w:hAnsiTheme="minorEastAsia"/>
                <w:szCs w:val="21"/>
                <w:lang w:val="en-US" w:eastAsia="zh-CN"/>
              </w:rPr>
              <w:t>项目</w:t>
            </w:r>
          </w:p>
        </w:tc>
        <w:tc>
          <w:tcPr>
            <w:tcW w:w="1087" w:type="dxa"/>
            <w:shd w:val="clear" w:color="auto" w:fill="auto"/>
            <w:vAlign w:val="center"/>
          </w:tcPr>
          <w:p w14:paraId="7F731C6C">
            <w:pPr>
              <w:adjustRightInd w:val="0"/>
              <w:snapToGrid w:val="0"/>
              <w:spacing w:line="360" w:lineRule="auto"/>
              <w:jc w:val="center"/>
              <w:rPr>
                <w:rFonts w:hint="eastAsia" w:ascii="宋体" w:hAnsi="宋体" w:eastAsia="宋体"/>
                <w:szCs w:val="21"/>
                <w:lang w:val="en-US" w:eastAsia="zh-CN"/>
              </w:rPr>
            </w:pPr>
            <w:r>
              <w:rPr>
                <w:rFonts w:hint="eastAsia" w:cs="Times New Roman" w:asciiTheme="minorEastAsia" w:hAnsiTheme="minorEastAsia"/>
                <w:szCs w:val="21"/>
              </w:rPr>
              <w:t>1项</w:t>
            </w:r>
          </w:p>
        </w:tc>
        <w:tc>
          <w:tcPr>
            <w:tcW w:w="1361" w:type="dxa"/>
            <w:shd w:val="clear" w:color="auto" w:fill="auto"/>
            <w:vAlign w:val="center"/>
          </w:tcPr>
          <w:p w14:paraId="5126F042">
            <w:pPr>
              <w:keepNext/>
              <w:adjustRightInd w:val="0"/>
              <w:snapToGrid w:val="0"/>
              <w:spacing w:line="360" w:lineRule="auto"/>
              <w:ind w:left="0" w:leftChars="-15" w:hanging="31" w:hangingChars="15"/>
              <w:jc w:val="center"/>
              <w:textAlignment w:val="center"/>
              <w:rPr>
                <w:rFonts w:hint="default" w:ascii="宋体" w:hAnsi="宋体" w:eastAsia="宋体"/>
                <w:szCs w:val="21"/>
                <w:u w:val="single"/>
                <w:lang w:val="en-US" w:eastAsia="zh-CN"/>
              </w:rPr>
            </w:pPr>
            <w:r>
              <w:rPr>
                <w:rFonts w:hint="eastAsia" w:cs="Times New Roman" w:asciiTheme="minorEastAsia" w:hAnsiTheme="minorEastAsia"/>
                <w:szCs w:val="21"/>
                <w:u w:val="single"/>
                <w:lang w:val="en-US" w:eastAsia="zh-CN"/>
              </w:rPr>
              <w:t>2</w:t>
            </w:r>
            <w:r>
              <w:rPr>
                <w:rFonts w:hint="eastAsia" w:cs="Times New Roman" w:asciiTheme="minorEastAsia" w:hAnsiTheme="minorEastAsia"/>
                <w:szCs w:val="21"/>
              </w:rPr>
              <w:t>个月</w:t>
            </w:r>
          </w:p>
        </w:tc>
        <w:tc>
          <w:tcPr>
            <w:tcW w:w="2100" w:type="dxa"/>
            <w:vAlign w:val="center"/>
          </w:tcPr>
          <w:p w14:paraId="2D9334DD">
            <w:pPr>
              <w:keepNext/>
              <w:adjustRightInd w:val="0"/>
              <w:spacing w:line="360" w:lineRule="auto"/>
              <w:jc w:val="center"/>
              <w:textAlignment w:val="center"/>
              <w:rPr>
                <w:rFonts w:hint="eastAsia" w:ascii="宋体" w:hAnsi="宋体"/>
                <w:szCs w:val="21"/>
                <w:lang w:val="en-US" w:eastAsia="zh-CN"/>
              </w:rPr>
            </w:pPr>
            <w:r>
              <w:rPr>
                <w:rFonts w:hint="eastAsia" w:cs="Times New Roman" w:asciiTheme="minorEastAsia" w:hAnsiTheme="minorEastAsia"/>
                <w:snapToGrid w:val="0"/>
                <w:szCs w:val="21"/>
              </w:rPr>
              <w:t>人民币</w:t>
            </w:r>
            <w:r>
              <w:rPr>
                <w:rFonts w:cs="Times New Roman" w:asciiTheme="minorEastAsia" w:hAnsiTheme="minorEastAsia"/>
                <w:snapToGrid w:val="0"/>
                <w:szCs w:val="21"/>
                <w:u w:val="single"/>
              </w:rPr>
              <w:t xml:space="preserve"> </w:t>
            </w:r>
            <w:r>
              <w:rPr>
                <w:rFonts w:hint="eastAsia" w:cs="Times New Roman" w:asciiTheme="minorEastAsia" w:hAnsiTheme="minorEastAsia"/>
                <w:snapToGrid w:val="0"/>
                <w:szCs w:val="21"/>
                <w:u w:val="single"/>
                <w:lang w:val="en-US" w:eastAsia="zh-CN"/>
              </w:rPr>
              <w:t>85</w:t>
            </w:r>
            <w:r>
              <w:rPr>
                <w:rFonts w:hint="eastAsia" w:cs="Times New Roman" w:asciiTheme="minorEastAsia" w:hAnsiTheme="minorEastAsia"/>
                <w:snapToGrid w:val="0"/>
                <w:szCs w:val="21"/>
                <w:u w:val="single"/>
              </w:rPr>
              <w:t xml:space="preserve">000 </w:t>
            </w:r>
            <w:r>
              <w:rPr>
                <w:rFonts w:hint="eastAsia" w:cs="Times New Roman" w:asciiTheme="minorEastAsia" w:hAnsiTheme="minorEastAsia"/>
                <w:snapToGrid w:val="0"/>
                <w:szCs w:val="21"/>
              </w:rPr>
              <w:t>元</w:t>
            </w:r>
          </w:p>
        </w:tc>
        <w:tc>
          <w:tcPr>
            <w:tcW w:w="1416" w:type="dxa"/>
            <w:vAlign w:val="center"/>
          </w:tcPr>
          <w:p w14:paraId="50BD0851">
            <w:pPr>
              <w:spacing w:line="360" w:lineRule="auto"/>
              <w:jc w:val="center"/>
              <w:rPr>
                <w:rFonts w:ascii="宋体" w:hAnsi="宋体"/>
                <w:szCs w:val="21"/>
              </w:rPr>
            </w:pPr>
          </w:p>
        </w:tc>
        <w:tc>
          <w:tcPr>
            <w:tcW w:w="1026" w:type="dxa"/>
            <w:vAlign w:val="center"/>
          </w:tcPr>
          <w:p w14:paraId="26FB45E0">
            <w:pPr>
              <w:spacing w:line="360" w:lineRule="auto"/>
              <w:jc w:val="center"/>
              <w:rPr>
                <w:rFonts w:ascii="宋体" w:hAnsi="宋体"/>
                <w:szCs w:val="21"/>
              </w:rPr>
            </w:pPr>
          </w:p>
        </w:tc>
      </w:tr>
    </w:tbl>
    <w:p w14:paraId="094B6D81">
      <w:pPr>
        <w:spacing w:line="360" w:lineRule="auto"/>
        <w:rPr>
          <w:rFonts w:ascii="宋体" w:hAnsi="宋体"/>
          <w:b/>
          <w:color w:val="000000"/>
          <w:spacing w:val="4"/>
          <w:szCs w:val="21"/>
        </w:rPr>
      </w:pPr>
    </w:p>
    <w:p w14:paraId="2B956616">
      <w:pPr>
        <w:spacing w:line="500" w:lineRule="exact"/>
        <w:rPr>
          <w:rFonts w:asciiTheme="minorEastAsia" w:hAnsiTheme="minorEastAsia"/>
          <w:b/>
          <w:spacing w:val="4"/>
          <w:szCs w:val="21"/>
        </w:rPr>
      </w:pPr>
      <w:r>
        <w:rPr>
          <w:rFonts w:hint="eastAsia" w:asciiTheme="minorEastAsia" w:hAnsiTheme="minorEastAsia"/>
          <w:b/>
          <w:spacing w:val="4"/>
          <w:szCs w:val="21"/>
        </w:rPr>
        <w:t>注：</w:t>
      </w:r>
    </w:p>
    <w:p w14:paraId="1114590B">
      <w:pPr>
        <w:pStyle w:val="19"/>
        <w:numPr>
          <w:ilvl w:val="0"/>
          <w:numId w:val="14"/>
        </w:numPr>
        <w:shd w:val="clear" w:color="auto" w:fill="FFFFFF"/>
        <w:spacing w:before="0" w:beforeAutospacing="0" w:after="0" w:afterAutospacing="0" w:line="276" w:lineRule="auto"/>
        <w:rPr>
          <w:rFonts w:asciiTheme="minorEastAsia" w:hAnsiTheme="minorEastAsia" w:eastAsiaTheme="minorEastAsia"/>
          <w:b/>
          <w:bCs/>
          <w:sz w:val="21"/>
          <w:szCs w:val="21"/>
          <w:u w:val="single"/>
        </w:rPr>
      </w:pPr>
      <w:r>
        <w:rPr>
          <w:rFonts w:hint="eastAsia" w:asciiTheme="minorEastAsia" w:hAnsiTheme="minorEastAsia" w:eastAsiaTheme="minorEastAsia"/>
          <w:b/>
          <w:bCs/>
          <w:sz w:val="21"/>
          <w:szCs w:val="21"/>
          <w:u w:val="single"/>
        </w:rPr>
        <w:t>供应商必须按报价表的格式填写，不得增加或删除表格内容。除单价、金额或项目要求填写的内容外，不得擅自改动报价表内容，</w:t>
      </w:r>
      <w:r>
        <w:rPr>
          <w:rFonts w:hint="eastAsia" w:asciiTheme="minorEastAsia" w:hAnsiTheme="minorEastAsia"/>
          <w:b/>
          <w:bCs/>
          <w:sz w:val="21"/>
          <w:szCs w:val="21"/>
        </w:rPr>
        <w:t>否则将有可能影响成交结果，不推荐为成交候选人</w:t>
      </w:r>
      <w:r>
        <w:rPr>
          <w:rFonts w:hint="eastAsia" w:asciiTheme="minorEastAsia" w:hAnsiTheme="minorEastAsia" w:eastAsiaTheme="minorEastAsia"/>
          <w:b/>
          <w:bCs/>
          <w:sz w:val="21"/>
          <w:szCs w:val="21"/>
          <w:u w:val="none"/>
        </w:rPr>
        <w:t>；</w:t>
      </w:r>
    </w:p>
    <w:p w14:paraId="1FD14FC8">
      <w:pPr>
        <w:pStyle w:val="19"/>
        <w:numPr>
          <w:ilvl w:val="0"/>
          <w:numId w:val="14"/>
        </w:numPr>
        <w:shd w:val="clear" w:color="auto" w:fill="FFFFFF"/>
        <w:spacing w:before="0" w:beforeAutospacing="0" w:after="0" w:afterAutospacing="0" w:line="276"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所有价格均系用人民币表示，单位为元，</w:t>
      </w:r>
      <w:r>
        <w:rPr>
          <w:rFonts w:hint="eastAsia" w:asciiTheme="minorEastAsia" w:hAnsiTheme="minorEastAsia" w:eastAsiaTheme="minorEastAsia"/>
          <w:b/>
          <w:bCs/>
          <w:sz w:val="21"/>
          <w:szCs w:val="21"/>
        </w:rPr>
        <w:t>均为含税价</w:t>
      </w:r>
      <w:r>
        <w:rPr>
          <w:rFonts w:hint="eastAsia" w:asciiTheme="minorEastAsia" w:hAnsiTheme="minorEastAsia" w:eastAsiaTheme="minorEastAsia"/>
          <w:b/>
          <w:sz w:val="21"/>
          <w:szCs w:val="21"/>
        </w:rPr>
        <w:t>；</w:t>
      </w:r>
    </w:p>
    <w:p w14:paraId="2A1F8838">
      <w:pPr>
        <w:pStyle w:val="19"/>
        <w:numPr>
          <w:ilvl w:val="0"/>
          <w:numId w:val="14"/>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14:paraId="1E8377F4">
      <w:pPr>
        <w:spacing w:line="360" w:lineRule="auto"/>
        <w:textAlignment w:val="baseline"/>
        <w:rPr>
          <w:rFonts w:hint="eastAsia" w:ascii="宋体" w:hAnsi="宋体" w:cs="宋体"/>
          <w:spacing w:val="4"/>
        </w:rPr>
      </w:pPr>
    </w:p>
    <w:p w14:paraId="27172DC5">
      <w:pPr>
        <w:spacing w:line="360" w:lineRule="auto"/>
        <w:textAlignment w:val="baseline"/>
        <w:rPr>
          <w:rFonts w:ascii="宋体" w:hAnsi="宋体" w:cs="宋体"/>
          <w:spacing w:val="4"/>
        </w:rPr>
      </w:pPr>
      <w:r>
        <w:rPr>
          <w:rFonts w:hint="eastAsia" w:ascii="宋体" w:hAnsi="宋体" w:cs="宋体"/>
          <w:spacing w:val="4"/>
        </w:rPr>
        <w:t>供应商名称（单位盖公章）：</w:t>
      </w:r>
    </w:p>
    <w:p w14:paraId="02BA095C">
      <w:pPr>
        <w:spacing w:line="360" w:lineRule="auto"/>
        <w:textAlignment w:val="baseline"/>
        <w:rPr>
          <w:rFonts w:ascii="宋体" w:hAnsi="宋体"/>
        </w:rPr>
      </w:pPr>
      <w:r>
        <w:rPr>
          <w:rFonts w:hint="eastAsia" w:ascii="宋体" w:hAnsi="宋体" w:cs="宋体"/>
          <w:spacing w:val="4"/>
        </w:rPr>
        <w:t>日期：</w:t>
      </w:r>
    </w:p>
    <w:p w14:paraId="4D702864">
      <w:pPr>
        <w:rPr>
          <w:rFonts w:hint="eastAsia" w:ascii="Cambria" w:hAnsi="Cambria" w:cs="Times New Roman"/>
          <w:b/>
          <w:bCs/>
          <w:kern w:val="28"/>
          <w:sz w:val="32"/>
          <w:szCs w:val="32"/>
        </w:rPr>
      </w:pPr>
      <w:r>
        <w:rPr>
          <w:rFonts w:hint="eastAsia" w:ascii="Cambria" w:hAnsi="Cambria" w:cs="Times New Roman"/>
          <w:b/>
          <w:bCs/>
          <w:kern w:val="28"/>
          <w:sz w:val="32"/>
          <w:szCs w:val="32"/>
        </w:rPr>
        <w:br w:type="page"/>
      </w:r>
    </w:p>
    <w:p w14:paraId="142908C1">
      <w:pPr>
        <w:autoSpaceDE w:val="0"/>
        <w:autoSpaceDN w:val="0"/>
        <w:adjustRightInd w:val="0"/>
        <w:spacing w:before="240" w:after="60" w:line="312" w:lineRule="auto"/>
        <w:jc w:val="center"/>
        <w:outlineLvl w:val="1"/>
        <w:rPr>
          <w:rFonts w:ascii="Cambria" w:hAnsi="Cambria" w:cs="Times New Roman"/>
          <w:b/>
          <w:bCs/>
          <w:kern w:val="28"/>
          <w:sz w:val="32"/>
          <w:szCs w:val="32"/>
        </w:rPr>
      </w:pPr>
      <w:r>
        <w:rPr>
          <w:rFonts w:hint="eastAsia" w:ascii="Cambria" w:hAnsi="Cambria" w:cs="Times New Roman"/>
          <w:b/>
          <w:bCs/>
          <w:kern w:val="28"/>
          <w:sz w:val="32"/>
          <w:szCs w:val="32"/>
        </w:rPr>
        <w:t>用户需求书响应声明函</w:t>
      </w:r>
    </w:p>
    <w:p w14:paraId="5C05C089">
      <w:pPr>
        <w:autoSpaceDE w:val="0"/>
        <w:autoSpaceDN w:val="0"/>
        <w:adjustRightInd w:val="0"/>
        <w:spacing w:before="240" w:after="312" w:afterLines="100" w:line="360" w:lineRule="auto"/>
        <w:jc w:val="left"/>
        <w:rPr>
          <w:rFonts w:ascii="宋体" w:hAnsi="宋体" w:cs="Times New Roman"/>
          <w:b/>
          <w:kern w:val="0"/>
          <w:szCs w:val="21"/>
        </w:rPr>
      </w:pPr>
      <w:r>
        <w:rPr>
          <w:rFonts w:hint="eastAsia" w:ascii="宋体" w:hAnsi="宋体" w:cs="Times New Roman"/>
          <w:b/>
          <w:kern w:val="0"/>
          <w:szCs w:val="21"/>
        </w:rPr>
        <w:t>致：</w:t>
      </w:r>
      <w:r>
        <w:rPr>
          <w:b/>
        </w:rPr>
        <w:t>广东省突发事件预警信息发布中心（广东省人工影响天气中心）</w:t>
      </w:r>
      <w:r>
        <w:rPr>
          <w:rFonts w:hint="eastAsia" w:ascii="宋体" w:hAnsi="宋体" w:cs="Times New Roman"/>
          <w:b/>
          <w:kern w:val="0"/>
          <w:szCs w:val="21"/>
        </w:rPr>
        <w:t>、云采链（广州）信息科技有限公司</w:t>
      </w:r>
    </w:p>
    <w:p w14:paraId="1E730A1B">
      <w:pPr>
        <w:autoSpaceDE w:val="0"/>
        <w:autoSpaceDN w:val="0"/>
        <w:adjustRightInd w:val="0"/>
        <w:spacing w:line="480" w:lineRule="auto"/>
        <w:ind w:firstLine="424" w:firstLineChars="202"/>
        <w:jc w:val="left"/>
        <w:rPr>
          <w:rFonts w:ascii="宋体" w:hAnsi="宋体" w:cs="Times New Roman"/>
          <w:kern w:val="0"/>
          <w:szCs w:val="21"/>
        </w:rPr>
      </w:pPr>
      <w:r>
        <w:rPr>
          <w:rFonts w:hint="eastAsia" w:ascii="宋体" w:hAnsi="宋体" w:cs="Times New Roman"/>
          <w:kern w:val="0"/>
          <w:szCs w:val="21"/>
        </w:rPr>
        <w:t>关于贵单位、贵司发布</w:t>
      </w:r>
      <w:r>
        <w:rPr>
          <w:rFonts w:hint="eastAsia" w:ascii="宋体" w:hAnsi="宋体" w:cs="宋体"/>
          <w:b/>
          <w:bCs/>
          <w:sz w:val="21"/>
          <w:szCs w:val="21"/>
          <w:u w:val="single"/>
          <w:lang w:eastAsia="zh-CN"/>
        </w:rPr>
        <w:t>广东预警相关数据接口开发服务项目</w:t>
      </w:r>
      <w:r>
        <w:rPr>
          <w:rFonts w:hint="eastAsia" w:ascii="宋体" w:hAnsi="宋体" w:cs="Times New Roman"/>
          <w:kern w:val="0"/>
          <w:szCs w:val="21"/>
        </w:rPr>
        <w:t>的竞价公告，本公司（企业）愿意参加采购活动，并作出如下声明：</w:t>
      </w:r>
    </w:p>
    <w:p w14:paraId="3F9C6057">
      <w:pPr>
        <w:autoSpaceDE w:val="0"/>
        <w:autoSpaceDN w:val="0"/>
        <w:adjustRightInd w:val="0"/>
        <w:spacing w:line="480" w:lineRule="auto"/>
        <w:ind w:firstLine="424" w:firstLineChars="202"/>
        <w:jc w:val="left"/>
        <w:rPr>
          <w:rFonts w:ascii="宋体" w:hAnsi="宋体" w:cs="Times New Roman"/>
          <w:kern w:val="0"/>
          <w:szCs w:val="21"/>
        </w:rPr>
      </w:pPr>
      <w:r>
        <w:rPr>
          <w:rFonts w:hint="eastAsia" w:ascii="宋体" w:hAnsi="宋体" w:cs="Times New Roman"/>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334BDAE">
      <w:pPr>
        <w:autoSpaceDE w:val="0"/>
        <w:autoSpaceDN w:val="0"/>
        <w:adjustRightInd w:val="0"/>
        <w:spacing w:line="480" w:lineRule="auto"/>
        <w:ind w:firstLine="424" w:firstLineChars="202"/>
        <w:jc w:val="left"/>
        <w:rPr>
          <w:rFonts w:ascii="宋体" w:hAnsi="宋体" w:cs="Times New Roman"/>
          <w:kern w:val="0"/>
          <w:szCs w:val="21"/>
        </w:rPr>
      </w:pPr>
      <w:r>
        <w:rPr>
          <w:rFonts w:hint="eastAsia" w:ascii="宋体" w:hAnsi="宋体" w:cs="Times New Roman"/>
          <w:kern w:val="0"/>
          <w:szCs w:val="21"/>
        </w:rPr>
        <w:t>本公司（企业）承诺在本次采购活动中，如有违法、违规、弄虚作假行为，所造成的损失、不良后果及法律责任，一律由我公司（企业）承担。</w:t>
      </w:r>
    </w:p>
    <w:p w14:paraId="5D3DBAE8">
      <w:pPr>
        <w:autoSpaceDE w:val="0"/>
        <w:autoSpaceDN w:val="0"/>
        <w:adjustRightInd w:val="0"/>
        <w:spacing w:line="480" w:lineRule="auto"/>
        <w:ind w:firstLine="424" w:firstLineChars="202"/>
        <w:jc w:val="left"/>
        <w:rPr>
          <w:rFonts w:ascii="宋体" w:hAnsi="宋体" w:cs="Times New Roman"/>
          <w:kern w:val="0"/>
          <w:szCs w:val="21"/>
        </w:rPr>
      </w:pPr>
      <w:r>
        <w:rPr>
          <w:rFonts w:hint="eastAsia" w:ascii="宋体" w:hAnsi="宋体" w:cs="Times New Roman"/>
          <w:kern w:val="0"/>
          <w:szCs w:val="21"/>
        </w:rPr>
        <w:t>备注：</w:t>
      </w:r>
    </w:p>
    <w:p w14:paraId="1A038F53">
      <w:pPr>
        <w:autoSpaceDE w:val="0"/>
        <w:autoSpaceDN w:val="0"/>
        <w:adjustRightInd w:val="0"/>
        <w:spacing w:line="480" w:lineRule="auto"/>
        <w:ind w:firstLine="739" w:firstLineChars="352"/>
        <w:jc w:val="left"/>
        <w:rPr>
          <w:rFonts w:ascii="宋体" w:hAnsi="宋体" w:cs="Times New Roman"/>
          <w:kern w:val="0"/>
          <w:szCs w:val="21"/>
        </w:rPr>
      </w:pPr>
      <w:r>
        <w:rPr>
          <w:rFonts w:hint="eastAsia" w:ascii="宋体" w:hAnsi="宋体" w:cs="Times New Roman"/>
          <w:kern w:val="0"/>
          <w:szCs w:val="21"/>
        </w:rPr>
        <w:t>（1）本声明函必须提供且内容不得擅自删改，否则视为响应无效。</w:t>
      </w:r>
    </w:p>
    <w:p w14:paraId="319B701A">
      <w:pPr>
        <w:autoSpaceDE w:val="0"/>
        <w:autoSpaceDN w:val="0"/>
        <w:adjustRightInd w:val="0"/>
        <w:spacing w:line="480" w:lineRule="auto"/>
        <w:ind w:firstLine="739" w:firstLineChars="352"/>
        <w:jc w:val="left"/>
        <w:rPr>
          <w:rFonts w:ascii="宋体" w:hAnsi="宋体" w:cs="Times New Roman"/>
          <w:kern w:val="0"/>
          <w:szCs w:val="21"/>
        </w:rPr>
      </w:pPr>
      <w:r>
        <w:rPr>
          <w:rFonts w:hint="eastAsia" w:ascii="宋体" w:hAnsi="宋体" w:cs="Times New Roman"/>
          <w:kern w:val="0"/>
          <w:szCs w:val="21"/>
        </w:rPr>
        <w:t>（2）本声明函如有虚假或与事实不符的，作无效报价处理。</w:t>
      </w:r>
    </w:p>
    <w:p w14:paraId="5D3DCDBD">
      <w:pPr>
        <w:autoSpaceDE w:val="0"/>
        <w:autoSpaceDN w:val="0"/>
        <w:adjustRightInd w:val="0"/>
        <w:spacing w:line="480" w:lineRule="auto"/>
        <w:ind w:firstLine="424" w:firstLineChars="202"/>
        <w:jc w:val="right"/>
        <w:rPr>
          <w:rFonts w:ascii="宋体" w:hAnsi="宋体" w:cs="Times New Roman"/>
          <w:kern w:val="0"/>
          <w:szCs w:val="21"/>
        </w:rPr>
      </w:pPr>
    </w:p>
    <w:p w14:paraId="012AB20E">
      <w:pPr>
        <w:autoSpaceDE w:val="0"/>
        <w:autoSpaceDN w:val="0"/>
        <w:adjustRightInd w:val="0"/>
        <w:spacing w:line="480" w:lineRule="auto"/>
        <w:ind w:firstLine="3574" w:firstLineChars="1702"/>
        <w:jc w:val="right"/>
        <w:rPr>
          <w:rFonts w:ascii="宋体" w:hAnsi="宋体" w:cs="Times New Roman"/>
          <w:kern w:val="0"/>
          <w:szCs w:val="21"/>
        </w:rPr>
      </w:pPr>
      <w:r>
        <w:rPr>
          <w:rFonts w:hint="eastAsia" w:ascii="宋体" w:hAnsi="宋体" w:cs="Times New Roman"/>
          <w:kern w:val="0"/>
          <w:szCs w:val="21"/>
        </w:rPr>
        <w:t>供应商名称（单位盖公章）：</w:t>
      </w:r>
    </w:p>
    <w:p w14:paraId="20D95F57">
      <w:pPr>
        <w:autoSpaceDE w:val="0"/>
        <w:autoSpaceDN w:val="0"/>
        <w:adjustRightInd w:val="0"/>
        <w:spacing w:line="480" w:lineRule="auto"/>
        <w:ind w:firstLine="3574" w:firstLineChars="1702"/>
        <w:jc w:val="center"/>
        <w:rPr>
          <w:rFonts w:ascii="宋体" w:hAnsi="宋体" w:cs="Times New Roman"/>
          <w:b/>
          <w:bCs/>
          <w:kern w:val="28"/>
          <w:szCs w:val="21"/>
        </w:rPr>
      </w:pPr>
      <w:r>
        <w:rPr>
          <w:rFonts w:hint="eastAsia" w:ascii="宋体" w:hAnsi="宋体" w:cs="Times New Roman"/>
          <w:kern w:val="0"/>
          <w:szCs w:val="21"/>
        </w:rPr>
        <w:t xml:space="preserve">      日期：</w:t>
      </w:r>
    </w:p>
    <w:p w14:paraId="40EDB572">
      <w:pPr>
        <w:pStyle w:val="14"/>
        <w:rPr>
          <w:rFonts w:hAnsi="宋体"/>
        </w:rPr>
      </w:pPr>
    </w:p>
    <w:p w14:paraId="6B6E4ACA">
      <w:pPr>
        <w:pStyle w:val="14"/>
        <w:rPr>
          <w:rFonts w:hAnsi="宋体"/>
        </w:rPr>
      </w:pPr>
    </w:p>
    <w:p w14:paraId="1D311929">
      <w:pPr>
        <w:pStyle w:val="14"/>
      </w:pPr>
    </w:p>
    <w:p w14:paraId="25FA92F3">
      <w:pPr>
        <w:widowControl/>
        <w:jc w:val="left"/>
        <w:rPr>
          <w:rFonts w:ascii="宋体" w:hAnsi="Courier New" w:cs="Times New Roman"/>
          <w:szCs w:val="21"/>
        </w:rPr>
      </w:pPr>
      <w:r>
        <w:br w:type="page"/>
      </w:r>
    </w:p>
    <w:p w14:paraId="6BB9F0DF">
      <w:pPr>
        <w:pStyle w:val="3"/>
        <w:spacing w:before="0" w:after="0"/>
        <w:jc w:val="center"/>
        <w:rPr>
          <w:rFonts w:ascii="宋体" w:hAnsi="宋体" w:eastAsia="宋体"/>
        </w:rPr>
      </w:pPr>
      <w:r>
        <w:rPr>
          <w:rFonts w:hint="eastAsia" w:ascii="宋体" w:hAnsi="宋体" w:eastAsia="宋体"/>
        </w:rPr>
        <w:t>供应商资格声明函</w:t>
      </w:r>
    </w:p>
    <w:p w14:paraId="5232071A">
      <w:pPr>
        <w:rPr>
          <w:rFonts w:ascii="宋体" w:hAnsi="宋体"/>
          <w:b/>
          <w:sz w:val="24"/>
          <w:szCs w:val="24"/>
        </w:rPr>
      </w:pPr>
    </w:p>
    <w:p w14:paraId="26A54878">
      <w:pPr>
        <w:rPr>
          <w:rFonts w:ascii="宋体" w:hAnsi="宋体"/>
          <w:b/>
          <w:szCs w:val="21"/>
        </w:rPr>
      </w:pPr>
      <w:r>
        <w:rPr>
          <w:rFonts w:hint="eastAsia" w:ascii="宋体" w:hAnsi="宋体"/>
          <w:b/>
          <w:szCs w:val="21"/>
        </w:rPr>
        <w:t>致：</w:t>
      </w:r>
      <w:r>
        <w:rPr>
          <w:b/>
        </w:rPr>
        <w:t>广东省突发事件预警信息发布中心（广东省人工影响天气中心）</w:t>
      </w:r>
      <w:r>
        <w:rPr>
          <w:rFonts w:hint="eastAsia" w:ascii="宋体" w:hAnsi="宋体"/>
          <w:b/>
          <w:szCs w:val="21"/>
        </w:rPr>
        <w:t>、云采链（广州）信息科技有限公司：</w:t>
      </w:r>
    </w:p>
    <w:p w14:paraId="4DB90080">
      <w:pPr>
        <w:rPr>
          <w:rFonts w:ascii="宋体" w:hAnsi="宋体"/>
          <w:b/>
          <w:szCs w:val="21"/>
        </w:rPr>
      </w:pPr>
    </w:p>
    <w:p w14:paraId="6984CAF1">
      <w:pPr>
        <w:snapToGrid w:val="0"/>
        <w:spacing w:line="360" w:lineRule="auto"/>
        <w:ind w:firstLine="424" w:firstLineChars="202"/>
        <w:rPr>
          <w:rFonts w:ascii="宋体" w:hAnsi="宋体"/>
          <w:szCs w:val="21"/>
        </w:rPr>
      </w:pPr>
      <w:r>
        <w:rPr>
          <w:rFonts w:hint="eastAsia" w:ascii="宋体" w:hAnsi="宋体"/>
          <w:szCs w:val="21"/>
        </w:rPr>
        <w:t>关于贵公司发布</w:t>
      </w:r>
      <w:r>
        <w:rPr>
          <w:rFonts w:hint="eastAsia" w:ascii="宋体" w:hAnsi="宋体" w:cs="宋体"/>
          <w:b/>
          <w:bCs/>
          <w:sz w:val="21"/>
          <w:szCs w:val="21"/>
          <w:u w:val="single"/>
          <w:lang w:eastAsia="zh-CN"/>
        </w:rPr>
        <w:t>广东预警相关数据接口开发服务项目</w:t>
      </w:r>
      <w:r>
        <w:rPr>
          <w:rFonts w:hint="eastAsia" w:ascii="宋体" w:hAnsi="宋体"/>
          <w:szCs w:val="21"/>
        </w:rPr>
        <w:t>的采购公告，本公司（企业）愿意参加竞价，并声明：</w:t>
      </w:r>
    </w:p>
    <w:p w14:paraId="3B7BBF46">
      <w:pPr>
        <w:snapToGrid w:val="0"/>
        <w:spacing w:line="360" w:lineRule="auto"/>
        <w:ind w:firstLine="420" w:firstLineChars="200"/>
        <w:rPr>
          <w:rFonts w:ascii="宋体" w:hAnsi="宋体"/>
          <w:bCs/>
          <w:szCs w:val="21"/>
        </w:rPr>
      </w:pPr>
      <w:r>
        <w:rPr>
          <w:rFonts w:hint="eastAsia" w:ascii="宋体" w:hAnsi="宋体"/>
          <w:szCs w:val="21"/>
        </w:rPr>
        <w:t>一、本公司（企业）</w:t>
      </w:r>
      <w:r>
        <w:rPr>
          <w:rFonts w:hint="eastAsia" w:ascii="宋体" w:hAnsi="宋体"/>
          <w:bCs/>
          <w:szCs w:val="21"/>
        </w:rPr>
        <w:t>具备《中华人民共和国政府采购法》第二十二条规定的条件：</w:t>
      </w:r>
    </w:p>
    <w:p w14:paraId="33D392C5">
      <w:pPr>
        <w:widowControl/>
        <w:spacing w:line="360" w:lineRule="auto"/>
        <w:ind w:firstLine="360"/>
        <w:rPr>
          <w:rFonts w:ascii="宋体" w:hAnsi="宋体"/>
          <w:kern w:val="0"/>
          <w:szCs w:val="21"/>
        </w:rPr>
      </w:pPr>
      <w:r>
        <w:rPr>
          <w:rFonts w:hint="eastAsia" w:ascii="宋体" w:hAnsi="宋体"/>
          <w:kern w:val="0"/>
          <w:szCs w:val="21"/>
        </w:rPr>
        <w:t>（一）具有独立承担民事责任的能力；</w:t>
      </w:r>
    </w:p>
    <w:p w14:paraId="395AFCDB">
      <w:pPr>
        <w:widowControl/>
        <w:spacing w:line="360" w:lineRule="auto"/>
        <w:ind w:firstLine="360"/>
        <w:rPr>
          <w:rFonts w:ascii="宋体" w:hAnsi="宋体"/>
          <w:kern w:val="0"/>
          <w:szCs w:val="21"/>
        </w:rPr>
      </w:pPr>
      <w:r>
        <w:rPr>
          <w:rFonts w:hint="eastAsia" w:ascii="宋体" w:hAnsi="宋体"/>
          <w:kern w:val="0"/>
          <w:szCs w:val="21"/>
        </w:rPr>
        <w:t xml:space="preserve">（二）具有良好的商业信誉和健全的财务会计制度； </w:t>
      </w:r>
    </w:p>
    <w:p w14:paraId="24AE2BEB">
      <w:pPr>
        <w:widowControl/>
        <w:spacing w:line="360" w:lineRule="auto"/>
        <w:ind w:firstLine="360"/>
        <w:rPr>
          <w:rFonts w:ascii="宋体" w:hAnsi="宋体"/>
          <w:kern w:val="0"/>
          <w:szCs w:val="21"/>
        </w:rPr>
      </w:pPr>
      <w:r>
        <w:rPr>
          <w:rFonts w:hint="eastAsia" w:ascii="宋体" w:hAnsi="宋体"/>
          <w:kern w:val="0"/>
          <w:szCs w:val="21"/>
        </w:rPr>
        <w:t>（三）具有履行合同所必需的设备和专业技术能力；</w:t>
      </w:r>
    </w:p>
    <w:p w14:paraId="500E6453">
      <w:pPr>
        <w:widowControl/>
        <w:spacing w:line="360" w:lineRule="auto"/>
        <w:ind w:firstLine="360"/>
        <w:rPr>
          <w:rFonts w:ascii="宋体" w:hAnsi="宋体"/>
          <w:kern w:val="0"/>
          <w:szCs w:val="21"/>
        </w:rPr>
      </w:pPr>
      <w:r>
        <w:rPr>
          <w:rFonts w:hint="eastAsia" w:ascii="宋体" w:hAnsi="宋体"/>
          <w:kern w:val="0"/>
          <w:szCs w:val="21"/>
        </w:rPr>
        <w:t>（四）有依法缴纳税收和社会保障资金的良好记录；</w:t>
      </w:r>
    </w:p>
    <w:p w14:paraId="11633C3B">
      <w:pPr>
        <w:widowControl/>
        <w:spacing w:line="360" w:lineRule="auto"/>
        <w:ind w:firstLine="360"/>
        <w:rPr>
          <w:rFonts w:ascii="宋体" w:hAnsi="宋体"/>
          <w:kern w:val="0"/>
          <w:szCs w:val="21"/>
        </w:rPr>
      </w:pPr>
      <w:r>
        <w:rPr>
          <w:rFonts w:hint="eastAsia" w:ascii="宋体" w:hAnsi="宋体"/>
          <w:kern w:val="0"/>
          <w:szCs w:val="21"/>
        </w:rPr>
        <w:t>（五）参加政府采购活动前三年内，在经营活动中没有重大违法记录；</w:t>
      </w:r>
    </w:p>
    <w:p w14:paraId="476F9434">
      <w:pPr>
        <w:widowControl/>
        <w:spacing w:line="360" w:lineRule="auto"/>
        <w:ind w:firstLine="360"/>
        <w:rPr>
          <w:rFonts w:ascii="宋体" w:hAnsi="宋体"/>
          <w:kern w:val="0"/>
          <w:szCs w:val="21"/>
        </w:rPr>
      </w:pPr>
      <w:r>
        <w:rPr>
          <w:rFonts w:hint="eastAsia" w:ascii="宋体" w:hAnsi="宋体"/>
          <w:kern w:val="0"/>
          <w:szCs w:val="21"/>
        </w:rPr>
        <w:t>（六）法律、行政法规规定的其他条件。</w:t>
      </w:r>
    </w:p>
    <w:p w14:paraId="2D537974">
      <w:pPr>
        <w:snapToGrid w:val="0"/>
        <w:spacing w:line="360" w:lineRule="auto"/>
        <w:ind w:firstLine="424" w:firstLineChars="202"/>
        <w:rPr>
          <w:rFonts w:ascii="宋体" w:hAnsi="宋体"/>
          <w:szCs w:val="21"/>
        </w:rPr>
      </w:pPr>
      <w:r>
        <w:rPr>
          <w:rFonts w:hint="eastAsia" w:ascii="宋体" w:hAnsi="宋体"/>
          <w:szCs w:val="21"/>
        </w:rPr>
        <w:t>二、本公司具有本次采购项目服务能力。</w:t>
      </w:r>
    </w:p>
    <w:p w14:paraId="19FB6377">
      <w:pPr>
        <w:snapToGrid w:val="0"/>
        <w:spacing w:line="360" w:lineRule="auto"/>
        <w:ind w:firstLine="424" w:firstLineChars="202"/>
        <w:rPr>
          <w:rFonts w:ascii="宋体" w:hAnsi="宋体"/>
          <w:szCs w:val="21"/>
        </w:rPr>
      </w:pPr>
      <w:r>
        <w:rPr>
          <w:rFonts w:hint="eastAsia" w:ascii="宋体" w:hAnsi="宋体"/>
          <w:szCs w:val="21"/>
        </w:rPr>
        <w:t>三、本公司有固定的经营场所，信誉良好、售后维护服务好，并且在经营活动中无严重违法记录。</w:t>
      </w:r>
    </w:p>
    <w:p w14:paraId="1700B516">
      <w:pPr>
        <w:pStyle w:val="13"/>
        <w:spacing w:after="0" w:line="360" w:lineRule="auto"/>
      </w:pPr>
      <w:r>
        <w:rPr>
          <w:rFonts w:hint="eastAsia"/>
        </w:rPr>
        <w:t xml:space="preserve">    四、</w:t>
      </w:r>
      <w:r>
        <w:rPr>
          <w:rFonts w:hint="eastAsia" w:ascii="宋体" w:hAnsi="宋体"/>
          <w:szCs w:val="24"/>
        </w:rPr>
        <w:t>本公司（企业）的法定代表人或单位负责人与所参投的本项目其他供应商的法定代表人或单位负责人不为同一人且与其他供应商之间不存在直接控股、管理关系。</w:t>
      </w:r>
    </w:p>
    <w:p w14:paraId="6F6CCED4">
      <w:pPr>
        <w:snapToGrid w:val="0"/>
        <w:spacing w:line="360" w:lineRule="auto"/>
        <w:ind w:firstLine="424" w:firstLineChars="202"/>
        <w:rPr>
          <w:rFonts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14:paraId="49E7B20E">
      <w:pPr>
        <w:spacing w:line="360" w:lineRule="auto"/>
        <w:ind w:firstLine="420"/>
        <w:rPr>
          <w:rFonts w:ascii="宋体" w:hAnsi="宋体"/>
          <w:szCs w:val="21"/>
        </w:rPr>
      </w:pPr>
      <w:r>
        <w:rPr>
          <w:rFonts w:hint="eastAsia" w:ascii="宋体" w:hAnsi="宋体"/>
          <w:szCs w:val="21"/>
        </w:rPr>
        <w:t>特此声明！</w:t>
      </w:r>
    </w:p>
    <w:p w14:paraId="6C0D39A6">
      <w:pPr>
        <w:autoSpaceDE w:val="0"/>
        <w:autoSpaceDN w:val="0"/>
        <w:adjustRightInd w:val="0"/>
        <w:spacing w:line="360" w:lineRule="auto"/>
        <w:ind w:firstLine="413" w:firstLineChars="196"/>
        <w:rPr>
          <w:rFonts w:ascii="宋体" w:hAnsi="宋体"/>
          <w:b/>
          <w:szCs w:val="21"/>
        </w:rPr>
      </w:pPr>
      <w:r>
        <w:rPr>
          <w:rFonts w:hint="eastAsia" w:ascii="宋体" w:hAnsi="宋体"/>
          <w:b/>
          <w:szCs w:val="21"/>
        </w:rPr>
        <w:t>备注：</w:t>
      </w:r>
    </w:p>
    <w:p w14:paraId="3BE34ACE">
      <w:pPr>
        <w:pStyle w:val="55"/>
        <w:numPr>
          <w:ilvl w:val="0"/>
          <w:numId w:val="15"/>
        </w:numPr>
        <w:autoSpaceDE w:val="0"/>
        <w:autoSpaceDN w:val="0"/>
        <w:adjustRightInd w:val="0"/>
        <w:spacing w:line="360" w:lineRule="auto"/>
        <w:ind w:firstLineChars="0"/>
        <w:rPr>
          <w:rFonts w:ascii="宋体" w:hAnsi="宋体" w:cs="宋体"/>
          <w:szCs w:val="21"/>
        </w:rPr>
      </w:pPr>
      <w:r>
        <w:rPr>
          <w:rFonts w:hint="eastAsia" w:ascii="宋体" w:hAnsi="宋体" w:cs="宋体"/>
          <w:szCs w:val="21"/>
        </w:rPr>
        <w:t>本声明函必须提供且内容不得擅自删改，否则视为响应无效。</w:t>
      </w:r>
    </w:p>
    <w:p w14:paraId="33C905FC">
      <w:pPr>
        <w:pStyle w:val="55"/>
        <w:numPr>
          <w:ilvl w:val="0"/>
          <w:numId w:val="15"/>
        </w:numPr>
        <w:snapToGrid w:val="0"/>
        <w:spacing w:line="360" w:lineRule="auto"/>
        <w:ind w:firstLineChars="0"/>
        <w:rPr>
          <w:rFonts w:ascii="宋体" w:hAnsi="宋体" w:cs="宋体"/>
          <w:szCs w:val="21"/>
        </w:rPr>
      </w:pPr>
      <w:r>
        <w:rPr>
          <w:rFonts w:hint="eastAsia" w:ascii="宋体" w:hAnsi="宋体" w:cs="宋体"/>
          <w:szCs w:val="21"/>
        </w:rPr>
        <w:t>本声明函如有虚假或与事实不符的，作无效报价处理。</w:t>
      </w:r>
    </w:p>
    <w:p w14:paraId="62B0FF67">
      <w:pPr>
        <w:autoSpaceDE w:val="0"/>
        <w:autoSpaceDN w:val="0"/>
        <w:adjustRightInd w:val="0"/>
        <w:spacing w:line="360" w:lineRule="auto"/>
        <w:rPr>
          <w:rFonts w:ascii="宋体" w:hAnsi="宋体"/>
          <w:b/>
          <w:szCs w:val="21"/>
        </w:rPr>
      </w:pPr>
    </w:p>
    <w:p w14:paraId="1A9D735C">
      <w:pPr>
        <w:spacing w:line="360" w:lineRule="auto"/>
        <w:ind w:firstLine="420"/>
        <w:jc w:val="right"/>
        <w:rPr>
          <w:rFonts w:ascii="宋体" w:hAnsi="宋体"/>
          <w:szCs w:val="21"/>
          <w:u w:val="single"/>
        </w:rPr>
      </w:pPr>
      <w:r>
        <w:rPr>
          <w:rFonts w:hint="eastAsia" w:ascii="宋体" w:hAnsi="宋体"/>
          <w:szCs w:val="21"/>
        </w:rPr>
        <w:t>供应商名称（单位盖</w:t>
      </w:r>
      <w:r>
        <w:rPr>
          <w:rFonts w:hint="eastAsia" w:ascii="宋体" w:hAnsi="宋体"/>
          <w:spacing w:val="4"/>
          <w:szCs w:val="21"/>
        </w:rPr>
        <w:t>公章</w:t>
      </w:r>
      <w:r>
        <w:rPr>
          <w:rFonts w:hint="eastAsia" w:ascii="宋体" w:hAnsi="宋体"/>
          <w:szCs w:val="21"/>
        </w:rPr>
        <w:t>）：</w:t>
      </w:r>
      <w:r>
        <w:rPr>
          <w:rFonts w:hint="eastAsia" w:ascii="宋体" w:hAnsi="宋体"/>
          <w:szCs w:val="21"/>
          <w:u w:val="single"/>
        </w:rPr>
        <w:t xml:space="preserve">                          </w:t>
      </w:r>
    </w:p>
    <w:p w14:paraId="5EF2CACC">
      <w:pPr>
        <w:spacing w:line="360" w:lineRule="auto"/>
        <w:ind w:firstLine="420" w:firstLineChars="200"/>
        <w:jc w:val="center"/>
        <w:rPr>
          <w:rFonts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sectPr>
      <w:pgSz w:w="11906" w:h="16838"/>
      <w:pgMar w:top="1440" w:right="1440" w:bottom="144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69C9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5C50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14:paraId="25F5C50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153AC"/>
    <w:multiLevelType w:val="multilevel"/>
    <w:tmpl w:val="097153AC"/>
    <w:lvl w:ilvl="0" w:tentative="0">
      <w:start w:val="1"/>
      <w:numFmt w:val="decimal"/>
      <w:suff w:val="nothing"/>
      <w:lvlText w:val="%1)"/>
      <w:lvlJc w:val="left"/>
      <w:pPr>
        <w:ind w:left="840" w:hanging="420"/>
      </w:pPr>
      <w:rPr>
        <w:rFonts w:hint="eastAsia" w:ascii="宋体" w:hAnsi="宋体" w:eastAsia="宋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0773F8"/>
    <w:multiLevelType w:val="singleLevel"/>
    <w:tmpl w:val="190773F8"/>
    <w:lvl w:ilvl="0" w:tentative="0">
      <w:start w:val="1"/>
      <w:numFmt w:val="decimal"/>
      <w:suff w:val="nothing"/>
      <w:lvlText w:val="（%1）"/>
      <w:lvlJc w:val="left"/>
    </w:lvl>
  </w:abstractNum>
  <w:abstractNum w:abstractNumId="2">
    <w:nsid w:val="1EA2C6A7"/>
    <w:multiLevelType w:val="singleLevel"/>
    <w:tmpl w:val="1EA2C6A7"/>
    <w:lvl w:ilvl="0" w:tentative="0">
      <w:start w:val="2"/>
      <w:numFmt w:val="chineseCounting"/>
      <w:suff w:val="space"/>
      <w:lvlText w:val="第%1章"/>
      <w:lvlJc w:val="left"/>
      <w:pPr>
        <w:ind w:left="1398"/>
      </w:pPr>
      <w:rPr>
        <w:rFonts w:hint="eastAsia"/>
        <w:sz w:val="30"/>
        <w:szCs w:val="30"/>
      </w:rPr>
    </w:lvl>
  </w:abstractNum>
  <w:abstractNum w:abstractNumId="3">
    <w:nsid w:val="230B0FB5"/>
    <w:multiLevelType w:val="multilevel"/>
    <w:tmpl w:val="230B0FB5"/>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98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7">
    <w:nsid w:val="549AE636"/>
    <w:multiLevelType w:val="multilevel"/>
    <w:tmpl w:val="549AE636"/>
    <w:lvl w:ilvl="0" w:tentative="0">
      <w:start w:val="1"/>
      <w:numFmt w:val="chineseCountingThousand"/>
      <w:suff w:val="space"/>
      <w:lvlText w:val="%1、"/>
      <w:lvlJc w:val="left"/>
      <w:pPr>
        <w:ind w:left="420" w:hanging="420"/>
      </w:pPr>
      <w:rPr>
        <w:rFonts w:hint="eastAsia"/>
        <w:b/>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57702BD4"/>
    <w:multiLevelType w:val="multilevel"/>
    <w:tmpl w:val="57702BD4"/>
    <w:lvl w:ilvl="0" w:tentative="0">
      <w:start w:val="1"/>
      <w:numFmt w:val="decimal"/>
      <w:suff w:val="nothing"/>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9">
    <w:nsid w:val="5C9A225F"/>
    <w:multiLevelType w:val="multilevel"/>
    <w:tmpl w:val="5C9A225F"/>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5C9A2275"/>
    <w:multiLevelType w:val="multilevel"/>
    <w:tmpl w:val="5C9A227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5C9A22CD"/>
    <w:multiLevelType w:val="multilevel"/>
    <w:tmpl w:val="5C9A22CD"/>
    <w:lvl w:ilvl="0" w:tentative="0">
      <w:start w:val="1"/>
      <w:numFmt w:val="decimal"/>
      <w:suff w:val="nothing"/>
      <w:lvlText w:val="%1)"/>
      <w:lvlJc w:val="left"/>
      <w:pPr>
        <w:ind w:left="1050" w:hanging="420"/>
      </w:pPr>
      <w:rPr>
        <w:rFonts w:hint="eastAsia"/>
      </w:rPr>
    </w:lvl>
    <w:lvl w:ilvl="1" w:tentative="0">
      <w:start w:val="1"/>
      <w:numFmt w:val="lowerLetter"/>
      <w:lvlText w:val="%2)"/>
      <w:lvlJc w:val="left"/>
      <w:pPr>
        <w:ind w:left="1470" w:hanging="420"/>
      </w:pPr>
      <w:rPr>
        <w:rFonts w:hint="eastAsia"/>
      </w:rPr>
    </w:lvl>
    <w:lvl w:ilvl="2" w:tentative="0">
      <w:start w:val="1"/>
      <w:numFmt w:val="lowerRoman"/>
      <w:lvlText w:val="%3."/>
      <w:lvlJc w:val="right"/>
      <w:pPr>
        <w:ind w:left="1890" w:hanging="420"/>
      </w:pPr>
      <w:rPr>
        <w:rFonts w:hint="eastAsia"/>
      </w:rPr>
    </w:lvl>
    <w:lvl w:ilvl="3" w:tentative="0">
      <w:start w:val="1"/>
      <w:numFmt w:val="decimal"/>
      <w:lvlText w:val="%4."/>
      <w:lvlJc w:val="left"/>
      <w:pPr>
        <w:ind w:left="2310" w:hanging="420"/>
      </w:pPr>
      <w:rPr>
        <w:rFonts w:hint="eastAsia"/>
      </w:rPr>
    </w:lvl>
    <w:lvl w:ilvl="4" w:tentative="0">
      <w:start w:val="1"/>
      <w:numFmt w:val="lowerLetter"/>
      <w:lvlText w:val="%5)"/>
      <w:lvlJc w:val="left"/>
      <w:pPr>
        <w:ind w:left="2730" w:hanging="420"/>
      </w:pPr>
      <w:rPr>
        <w:rFonts w:hint="eastAsia"/>
      </w:rPr>
    </w:lvl>
    <w:lvl w:ilvl="5" w:tentative="0">
      <w:start w:val="1"/>
      <w:numFmt w:val="lowerRoman"/>
      <w:lvlText w:val="%6."/>
      <w:lvlJc w:val="right"/>
      <w:pPr>
        <w:ind w:left="3150" w:hanging="420"/>
      </w:pPr>
      <w:rPr>
        <w:rFonts w:hint="eastAsia"/>
      </w:rPr>
    </w:lvl>
    <w:lvl w:ilvl="6" w:tentative="0">
      <w:start w:val="1"/>
      <w:numFmt w:val="decimal"/>
      <w:lvlText w:val="%7."/>
      <w:lvlJc w:val="left"/>
      <w:pPr>
        <w:ind w:left="3570" w:hanging="420"/>
      </w:pPr>
      <w:rPr>
        <w:rFonts w:hint="eastAsia"/>
      </w:rPr>
    </w:lvl>
    <w:lvl w:ilvl="7" w:tentative="0">
      <w:start w:val="1"/>
      <w:numFmt w:val="lowerLetter"/>
      <w:lvlText w:val="%8)"/>
      <w:lvlJc w:val="left"/>
      <w:pPr>
        <w:ind w:left="3990" w:hanging="420"/>
      </w:pPr>
      <w:rPr>
        <w:rFonts w:hint="eastAsia"/>
      </w:rPr>
    </w:lvl>
    <w:lvl w:ilvl="8" w:tentative="0">
      <w:start w:val="1"/>
      <w:numFmt w:val="lowerRoman"/>
      <w:lvlText w:val="%9."/>
      <w:lvlJc w:val="right"/>
      <w:pPr>
        <w:ind w:left="4410" w:hanging="420"/>
      </w:pPr>
      <w:rPr>
        <w:rFonts w:hint="eastAsia"/>
      </w:rPr>
    </w:lvl>
  </w:abstractNum>
  <w:abstractNum w:abstractNumId="12">
    <w:nsid w:val="5C9A22E3"/>
    <w:multiLevelType w:val="multilevel"/>
    <w:tmpl w:val="5C9A22E3"/>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1050" w:hanging="420"/>
      </w:pPr>
      <w:rPr>
        <w:rFonts w:hint="eastAsia"/>
      </w:rPr>
    </w:lvl>
    <w:lvl w:ilvl="2" w:tentative="0">
      <w:start w:val="1"/>
      <w:numFmt w:val="lowerRoman"/>
      <w:lvlText w:val="%3."/>
      <w:lvlJc w:val="right"/>
      <w:pPr>
        <w:ind w:left="1470" w:hanging="420"/>
      </w:pPr>
      <w:rPr>
        <w:rFonts w:hint="eastAsia"/>
      </w:rPr>
    </w:lvl>
    <w:lvl w:ilvl="3" w:tentative="0">
      <w:start w:val="1"/>
      <w:numFmt w:val="decimal"/>
      <w:lvlText w:val="%4."/>
      <w:lvlJc w:val="left"/>
      <w:pPr>
        <w:ind w:left="1890" w:hanging="420"/>
      </w:pPr>
      <w:rPr>
        <w:rFonts w:hint="eastAsia"/>
      </w:rPr>
    </w:lvl>
    <w:lvl w:ilvl="4" w:tentative="0">
      <w:start w:val="1"/>
      <w:numFmt w:val="lowerLetter"/>
      <w:lvlText w:val="%5)"/>
      <w:lvlJc w:val="left"/>
      <w:pPr>
        <w:ind w:left="2310" w:hanging="420"/>
      </w:pPr>
      <w:rPr>
        <w:rFonts w:hint="eastAsia"/>
      </w:rPr>
    </w:lvl>
    <w:lvl w:ilvl="5" w:tentative="0">
      <w:start w:val="1"/>
      <w:numFmt w:val="lowerRoman"/>
      <w:lvlText w:val="%6."/>
      <w:lvlJc w:val="right"/>
      <w:pPr>
        <w:ind w:left="2730" w:hanging="420"/>
      </w:pPr>
      <w:rPr>
        <w:rFonts w:hint="eastAsia"/>
      </w:rPr>
    </w:lvl>
    <w:lvl w:ilvl="6" w:tentative="0">
      <w:start w:val="1"/>
      <w:numFmt w:val="decimal"/>
      <w:lvlText w:val="%7."/>
      <w:lvlJc w:val="left"/>
      <w:pPr>
        <w:ind w:left="3150" w:hanging="420"/>
      </w:pPr>
      <w:rPr>
        <w:rFonts w:hint="eastAsia"/>
      </w:rPr>
    </w:lvl>
    <w:lvl w:ilvl="7" w:tentative="0">
      <w:start w:val="1"/>
      <w:numFmt w:val="lowerLetter"/>
      <w:lvlText w:val="%8)"/>
      <w:lvlJc w:val="left"/>
      <w:pPr>
        <w:ind w:left="3570" w:hanging="420"/>
      </w:pPr>
      <w:rPr>
        <w:rFonts w:hint="eastAsia"/>
      </w:rPr>
    </w:lvl>
    <w:lvl w:ilvl="8" w:tentative="0">
      <w:start w:val="1"/>
      <w:numFmt w:val="lowerRoman"/>
      <w:lvlText w:val="%9."/>
      <w:lvlJc w:val="right"/>
      <w:pPr>
        <w:ind w:left="3990" w:hanging="420"/>
      </w:pPr>
      <w:rPr>
        <w:rFonts w:hint="eastAsia"/>
      </w:rPr>
    </w:lvl>
  </w:abstractNum>
  <w:abstractNum w:abstractNumId="13">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19083E"/>
    <w:multiLevelType w:val="multilevel"/>
    <w:tmpl w:val="6E19083E"/>
    <w:lvl w:ilvl="0" w:tentative="0">
      <w:start w:val="1"/>
      <w:numFmt w:val="decimal"/>
      <w:lvlText w:val="%1."/>
      <w:lvlJc w:val="left"/>
      <w:pPr>
        <w:ind w:left="420" w:hanging="420"/>
      </w:pPr>
      <w:rPr>
        <w:rFonts w:ascii="宋体" w:hAnsi="宋体" w:eastAsia="宋体"/>
        <w:b/>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9"/>
  </w:num>
  <w:num w:numId="3">
    <w:abstractNumId w:val="10"/>
  </w:num>
  <w:num w:numId="4">
    <w:abstractNumId w:val="6"/>
  </w:num>
  <w:num w:numId="5">
    <w:abstractNumId w:val="0"/>
  </w:num>
  <w:num w:numId="6">
    <w:abstractNumId w:val="3"/>
  </w:num>
  <w:num w:numId="7">
    <w:abstractNumId w:val="11"/>
  </w:num>
  <w:num w:numId="8">
    <w:abstractNumId w:val="4"/>
  </w:num>
  <w:num w:numId="9">
    <w:abstractNumId w:val="12"/>
  </w:num>
  <w:num w:numId="10">
    <w:abstractNumId w:val="8"/>
  </w:num>
  <w:num w:numId="11">
    <w:abstractNumId w:val="2"/>
  </w:num>
  <w:num w:numId="12">
    <w:abstractNumId w:val="7"/>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NDg1MzIwN2Q2YTI1YTViNmI1M2NiYjczNzQ3YTcifQ=="/>
  </w:docVars>
  <w:rsids>
    <w:rsidRoot w:val="03954CCD"/>
    <w:rsid w:val="00010C89"/>
    <w:rsid w:val="00013B97"/>
    <w:rsid w:val="00052B25"/>
    <w:rsid w:val="00063F28"/>
    <w:rsid w:val="0007580A"/>
    <w:rsid w:val="00094D24"/>
    <w:rsid w:val="000B44B8"/>
    <w:rsid w:val="000B7C9F"/>
    <w:rsid w:val="00105FF7"/>
    <w:rsid w:val="001121AC"/>
    <w:rsid w:val="00135C04"/>
    <w:rsid w:val="0014681B"/>
    <w:rsid w:val="001565CF"/>
    <w:rsid w:val="00162937"/>
    <w:rsid w:val="001A324B"/>
    <w:rsid w:val="001B6A1B"/>
    <w:rsid w:val="001D6218"/>
    <w:rsid w:val="001E0231"/>
    <w:rsid w:val="001E03A1"/>
    <w:rsid w:val="001E079A"/>
    <w:rsid w:val="00220F74"/>
    <w:rsid w:val="00222C9D"/>
    <w:rsid w:val="002433CE"/>
    <w:rsid w:val="00245F81"/>
    <w:rsid w:val="002B5BDB"/>
    <w:rsid w:val="002D153B"/>
    <w:rsid w:val="002E1EAD"/>
    <w:rsid w:val="00323C2A"/>
    <w:rsid w:val="00325155"/>
    <w:rsid w:val="00332215"/>
    <w:rsid w:val="00333982"/>
    <w:rsid w:val="00366256"/>
    <w:rsid w:val="00377F74"/>
    <w:rsid w:val="00393480"/>
    <w:rsid w:val="003C7551"/>
    <w:rsid w:val="003D11B1"/>
    <w:rsid w:val="003E61A0"/>
    <w:rsid w:val="00427D62"/>
    <w:rsid w:val="0044347B"/>
    <w:rsid w:val="004610F4"/>
    <w:rsid w:val="00464C4A"/>
    <w:rsid w:val="0046798E"/>
    <w:rsid w:val="004803FF"/>
    <w:rsid w:val="00487BB0"/>
    <w:rsid w:val="004A261F"/>
    <w:rsid w:val="004A5D8B"/>
    <w:rsid w:val="004C6567"/>
    <w:rsid w:val="004C6A18"/>
    <w:rsid w:val="004E4A5C"/>
    <w:rsid w:val="00507AE2"/>
    <w:rsid w:val="0051349D"/>
    <w:rsid w:val="00517A79"/>
    <w:rsid w:val="00527FE9"/>
    <w:rsid w:val="0054225B"/>
    <w:rsid w:val="0056388F"/>
    <w:rsid w:val="005653F1"/>
    <w:rsid w:val="005700BA"/>
    <w:rsid w:val="00587118"/>
    <w:rsid w:val="005B014B"/>
    <w:rsid w:val="005B6170"/>
    <w:rsid w:val="005E3318"/>
    <w:rsid w:val="006204B0"/>
    <w:rsid w:val="0062563B"/>
    <w:rsid w:val="00625E5C"/>
    <w:rsid w:val="006352BE"/>
    <w:rsid w:val="006640C6"/>
    <w:rsid w:val="00684590"/>
    <w:rsid w:val="00685708"/>
    <w:rsid w:val="00691B48"/>
    <w:rsid w:val="006A1D8A"/>
    <w:rsid w:val="006A2513"/>
    <w:rsid w:val="006A5784"/>
    <w:rsid w:val="006B0DB5"/>
    <w:rsid w:val="006E147D"/>
    <w:rsid w:val="006E675E"/>
    <w:rsid w:val="006F400E"/>
    <w:rsid w:val="00717A07"/>
    <w:rsid w:val="00795132"/>
    <w:rsid w:val="007A5BC6"/>
    <w:rsid w:val="007A64FE"/>
    <w:rsid w:val="007D3624"/>
    <w:rsid w:val="007E7D8E"/>
    <w:rsid w:val="00807E4C"/>
    <w:rsid w:val="00843C5D"/>
    <w:rsid w:val="008679EE"/>
    <w:rsid w:val="008A0563"/>
    <w:rsid w:val="008A191F"/>
    <w:rsid w:val="008A5295"/>
    <w:rsid w:val="008B7B3B"/>
    <w:rsid w:val="008C215D"/>
    <w:rsid w:val="008D4531"/>
    <w:rsid w:val="008E1BDC"/>
    <w:rsid w:val="008E4589"/>
    <w:rsid w:val="008E7689"/>
    <w:rsid w:val="00945E48"/>
    <w:rsid w:val="00946B9C"/>
    <w:rsid w:val="009859A4"/>
    <w:rsid w:val="00994DDA"/>
    <w:rsid w:val="009A2D11"/>
    <w:rsid w:val="009A683E"/>
    <w:rsid w:val="009B3C95"/>
    <w:rsid w:val="00A0517F"/>
    <w:rsid w:val="00A145B3"/>
    <w:rsid w:val="00A33027"/>
    <w:rsid w:val="00A3660B"/>
    <w:rsid w:val="00A378C9"/>
    <w:rsid w:val="00A41632"/>
    <w:rsid w:val="00A647D2"/>
    <w:rsid w:val="00A70CBC"/>
    <w:rsid w:val="00AA29DF"/>
    <w:rsid w:val="00AA4339"/>
    <w:rsid w:val="00AB0C34"/>
    <w:rsid w:val="00AB6AE2"/>
    <w:rsid w:val="00AB6B03"/>
    <w:rsid w:val="00AC4B5B"/>
    <w:rsid w:val="00AD2636"/>
    <w:rsid w:val="00AD4117"/>
    <w:rsid w:val="00AE73A6"/>
    <w:rsid w:val="00AF631B"/>
    <w:rsid w:val="00B12693"/>
    <w:rsid w:val="00B16391"/>
    <w:rsid w:val="00B330CC"/>
    <w:rsid w:val="00B370D5"/>
    <w:rsid w:val="00B83075"/>
    <w:rsid w:val="00B843CD"/>
    <w:rsid w:val="00B96BDE"/>
    <w:rsid w:val="00BB2760"/>
    <w:rsid w:val="00BC7839"/>
    <w:rsid w:val="00BD0D26"/>
    <w:rsid w:val="00BD3EC8"/>
    <w:rsid w:val="00BE24F5"/>
    <w:rsid w:val="00BE273F"/>
    <w:rsid w:val="00C334C7"/>
    <w:rsid w:val="00C34168"/>
    <w:rsid w:val="00C727AC"/>
    <w:rsid w:val="00C90AEE"/>
    <w:rsid w:val="00C91E39"/>
    <w:rsid w:val="00CC0655"/>
    <w:rsid w:val="00CD1949"/>
    <w:rsid w:val="00CE7BE4"/>
    <w:rsid w:val="00D12784"/>
    <w:rsid w:val="00D22618"/>
    <w:rsid w:val="00D270C9"/>
    <w:rsid w:val="00D30358"/>
    <w:rsid w:val="00D3667D"/>
    <w:rsid w:val="00D36717"/>
    <w:rsid w:val="00D368CE"/>
    <w:rsid w:val="00D7643A"/>
    <w:rsid w:val="00D77095"/>
    <w:rsid w:val="00D94202"/>
    <w:rsid w:val="00DC54DE"/>
    <w:rsid w:val="00DE24D7"/>
    <w:rsid w:val="00DE5E02"/>
    <w:rsid w:val="00E0154C"/>
    <w:rsid w:val="00E07644"/>
    <w:rsid w:val="00E447C0"/>
    <w:rsid w:val="00E47442"/>
    <w:rsid w:val="00E6270D"/>
    <w:rsid w:val="00E74189"/>
    <w:rsid w:val="00E9635E"/>
    <w:rsid w:val="00EA1089"/>
    <w:rsid w:val="00EC3CF1"/>
    <w:rsid w:val="00ED165C"/>
    <w:rsid w:val="00ED3183"/>
    <w:rsid w:val="00ED4F37"/>
    <w:rsid w:val="00EE4B12"/>
    <w:rsid w:val="00EE5192"/>
    <w:rsid w:val="00EF62FA"/>
    <w:rsid w:val="00F1258F"/>
    <w:rsid w:val="00F43308"/>
    <w:rsid w:val="00F51EBE"/>
    <w:rsid w:val="00F56C2A"/>
    <w:rsid w:val="00F677BF"/>
    <w:rsid w:val="00F712EB"/>
    <w:rsid w:val="00F77571"/>
    <w:rsid w:val="00F82567"/>
    <w:rsid w:val="00F86CA5"/>
    <w:rsid w:val="00F917EA"/>
    <w:rsid w:val="00FA3D04"/>
    <w:rsid w:val="00FC5A74"/>
    <w:rsid w:val="00FD3BC6"/>
    <w:rsid w:val="00FE2D1E"/>
    <w:rsid w:val="00FE4ECD"/>
    <w:rsid w:val="00FF429F"/>
    <w:rsid w:val="012C4688"/>
    <w:rsid w:val="014D4677"/>
    <w:rsid w:val="01515265"/>
    <w:rsid w:val="01D6641D"/>
    <w:rsid w:val="021B4B04"/>
    <w:rsid w:val="03010ED5"/>
    <w:rsid w:val="030866D6"/>
    <w:rsid w:val="030F6088"/>
    <w:rsid w:val="032A2EC2"/>
    <w:rsid w:val="03342211"/>
    <w:rsid w:val="03954CCD"/>
    <w:rsid w:val="03C954C3"/>
    <w:rsid w:val="03D67A70"/>
    <w:rsid w:val="03F80782"/>
    <w:rsid w:val="041D1F54"/>
    <w:rsid w:val="052E09CE"/>
    <w:rsid w:val="0553350A"/>
    <w:rsid w:val="06237294"/>
    <w:rsid w:val="06304066"/>
    <w:rsid w:val="068549B5"/>
    <w:rsid w:val="06FB6AE4"/>
    <w:rsid w:val="079A5E1F"/>
    <w:rsid w:val="07D14494"/>
    <w:rsid w:val="07DD377C"/>
    <w:rsid w:val="085B380D"/>
    <w:rsid w:val="09497E1A"/>
    <w:rsid w:val="09721C92"/>
    <w:rsid w:val="098B7F60"/>
    <w:rsid w:val="0A581AC5"/>
    <w:rsid w:val="0AC3446A"/>
    <w:rsid w:val="0B36617C"/>
    <w:rsid w:val="0B4756A5"/>
    <w:rsid w:val="0B840EB2"/>
    <w:rsid w:val="0BCB51AB"/>
    <w:rsid w:val="0C0D2381"/>
    <w:rsid w:val="0C14470F"/>
    <w:rsid w:val="0C2F4ABF"/>
    <w:rsid w:val="0C3E353A"/>
    <w:rsid w:val="0C5408F5"/>
    <w:rsid w:val="0CBE7B13"/>
    <w:rsid w:val="0D180822"/>
    <w:rsid w:val="0D1C2526"/>
    <w:rsid w:val="0D8B2A97"/>
    <w:rsid w:val="0EF13509"/>
    <w:rsid w:val="0F0D11D7"/>
    <w:rsid w:val="0F565A23"/>
    <w:rsid w:val="0FBC40C1"/>
    <w:rsid w:val="0FD46DBF"/>
    <w:rsid w:val="0FE54422"/>
    <w:rsid w:val="0FED5CB0"/>
    <w:rsid w:val="104B07BE"/>
    <w:rsid w:val="10C97911"/>
    <w:rsid w:val="11265E34"/>
    <w:rsid w:val="116457F1"/>
    <w:rsid w:val="11D00FBC"/>
    <w:rsid w:val="12267A2E"/>
    <w:rsid w:val="1277016F"/>
    <w:rsid w:val="128C29E8"/>
    <w:rsid w:val="14985C8E"/>
    <w:rsid w:val="14BA32D3"/>
    <w:rsid w:val="1578401C"/>
    <w:rsid w:val="15A03356"/>
    <w:rsid w:val="15E24E02"/>
    <w:rsid w:val="1649235D"/>
    <w:rsid w:val="164A478D"/>
    <w:rsid w:val="17BB37BF"/>
    <w:rsid w:val="17D968EC"/>
    <w:rsid w:val="17E551B2"/>
    <w:rsid w:val="17ED4848"/>
    <w:rsid w:val="183D517A"/>
    <w:rsid w:val="18433D82"/>
    <w:rsid w:val="189F53D1"/>
    <w:rsid w:val="19BF52C1"/>
    <w:rsid w:val="19C54816"/>
    <w:rsid w:val="1AA364B9"/>
    <w:rsid w:val="1B24020D"/>
    <w:rsid w:val="1B677022"/>
    <w:rsid w:val="1BDB2B53"/>
    <w:rsid w:val="1C4A7CD9"/>
    <w:rsid w:val="1C7B4075"/>
    <w:rsid w:val="1C9D42AD"/>
    <w:rsid w:val="1CC135AC"/>
    <w:rsid w:val="1CC6349A"/>
    <w:rsid w:val="1D9D67FE"/>
    <w:rsid w:val="1DC324E0"/>
    <w:rsid w:val="1DD12B86"/>
    <w:rsid w:val="1E080E00"/>
    <w:rsid w:val="1E2E5C51"/>
    <w:rsid w:val="1E6F10AE"/>
    <w:rsid w:val="1E71154D"/>
    <w:rsid w:val="1E9F430C"/>
    <w:rsid w:val="1ED1023E"/>
    <w:rsid w:val="1F016D9C"/>
    <w:rsid w:val="1F0428F1"/>
    <w:rsid w:val="1F2914EE"/>
    <w:rsid w:val="1F3A5DE3"/>
    <w:rsid w:val="1F5A0233"/>
    <w:rsid w:val="1FCC484C"/>
    <w:rsid w:val="20236AB5"/>
    <w:rsid w:val="20495C51"/>
    <w:rsid w:val="20BA3B95"/>
    <w:rsid w:val="20C4348B"/>
    <w:rsid w:val="20FE5DC5"/>
    <w:rsid w:val="21010286"/>
    <w:rsid w:val="21515CAD"/>
    <w:rsid w:val="21AA2107"/>
    <w:rsid w:val="21C422DC"/>
    <w:rsid w:val="22115702"/>
    <w:rsid w:val="222E52AD"/>
    <w:rsid w:val="224D2E97"/>
    <w:rsid w:val="229B0B2D"/>
    <w:rsid w:val="22B77B04"/>
    <w:rsid w:val="230C46C5"/>
    <w:rsid w:val="233174FD"/>
    <w:rsid w:val="233D5629"/>
    <w:rsid w:val="23870B3B"/>
    <w:rsid w:val="23A011DF"/>
    <w:rsid w:val="23A44E45"/>
    <w:rsid w:val="23DD3A35"/>
    <w:rsid w:val="25321FE3"/>
    <w:rsid w:val="25D244AB"/>
    <w:rsid w:val="264F486A"/>
    <w:rsid w:val="26DF4B02"/>
    <w:rsid w:val="26E1123A"/>
    <w:rsid w:val="27393EDB"/>
    <w:rsid w:val="278C32B3"/>
    <w:rsid w:val="27CE415D"/>
    <w:rsid w:val="27E678C5"/>
    <w:rsid w:val="283E7FF0"/>
    <w:rsid w:val="28B960E5"/>
    <w:rsid w:val="28BA6882"/>
    <w:rsid w:val="28D5477D"/>
    <w:rsid w:val="299564C0"/>
    <w:rsid w:val="2A47761F"/>
    <w:rsid w:val="2A4F759D"/>
    <w:rsid w:val="2AB5239B"/>
    <w:rsid w:val="2AFC46CD"/>
    <w:rsid w:val="2B8D3D7E"/>
    <w:rsid w:val="2B9A4DE1"/>
    <w:rsid w:val="2C6126CD"/>
    <w:rsid w:val="2C6975FA"/>
    <w:rsid w:val="2DC355E9"/>
    <w:rsid w:val="2E5C36B8"/>
    <w:rsid w:val="2EB13EE2"/>
    <w:rsid w:val="2F001D22"/>
    <w:rsid w:val="2F5B11AC"/>
    <w:rsid w:val="2F771663"/>
    <w:rsid w:val="2F860BD0"/>
    <w:rsid w:val="2F9F606F"/>
    <w:rsid w:val="2FAF2AD9"/>
    <w:rsid w:val="30512E6C"/>
    <w:rsid w:val="30D37944"/>
    <w:rsid w:val="30EB0645"/>
    <w:rsid w:val="31431CFC"/>
    <w:rsid w:val="319D6903"/>
    <w:rsid w:val="322C4DEF"/>
    <w:rsid w:val="323E5B9E"/>
    <w:rsid w:val="336B2704"/>
    <w:rsid w:val="33CF2B46"/>
    <w:rsid w:val="33D82E1F"/>
    <w:rsid w:val="34072221"/>
    <w:rsid w:val="3466117B"/>
    <w:rsid w:val="34823958"/>
    <w:rsid w:val="3495336C"/>
    <w:rsid w:val="34F26562"/>
    <w:rsid w:val="35565543"/>
    <w:rsid w:val="35780FBB"/>
    <w:rsid w:val="35D93D99"/>
    <w:rsid w:val="35E75D69"/>
    <w:rsid w:val="367F7259"/>
    <w:rsid w:val="36955D88"/>
    <w:rsid w:val="369A5390"/>
    <w:rsid w:val="36D11C33"/>
    <w:rsid w:val="3700570C"/>
    <w:rsid w:val="37D20E92"/>
    <w:rsid w:val="38A12F6A"/>
    <w:rsid w:val="39203E44"/>
    <w:rsid w:val="39531E7E"/>
    <w:rsid w:val="399250CC"/>
    <w:rsid w:val="3A033FE6"/>
    <w:rsid w:val="3A5E5394"/>
    <w:rsid w:val="3A6D3088"/>
    <w:rsid w:val="3A926037"/>
    <w:rsid w:val="3B0D36C4"/>
    <w:rsid w:val="3B7C35E7"/>
    <w:rsid w:val="3B8704DF"/>
    <w:rsid w:val="3BB06297"/>
    <w:rsid w:val="3BD24161"/>
    <w:rsid w:val="3C1457C3"/>
    <w:rsid w:val="3C8446EA"/>
    <w:rsid w:val="3C9D157A"/>
    <w:rsid w:val="3CC32D28"/>
    <w:rsid w:val="3CD967E3"/>
    <w:rsid w:val="3D6E2230"/>
    <w:rsid w:val="3D7B3A9F"/>
    <w:rsid w:val="3D9C5583"/>
    <w:rsid w:val="3DA204E4"/>
    <w:rsid w:val="3E263CAA"/>
    <w:rsid w:val="3F10198E"/>
    <w:rsid w:val="3FCA3682"/>
    <w:rsid w:val="402E6E46"/>
    <w:rsid w:val="402F03B9"/>
    <w:rsid w:val="40AE39D5"/>
    <w:rsid w:val="40B5214B"/>
    <w:rsid w:val="41393A05"/>
    <w:rsid w:val="41782F39"/>
    <w:rsid w:val="41C70627"/>
    <w:rsid w:val="420B19C7"/>
    <w:rsid w:val="425510B2"/>
    <w:rsid w:val="42A65451"/>
    <w:rsid w:val="42C10479"/>
    <w:rsid w:val="431F4F79"/>
    <w:rsid w:val="43392225"/>
    <w:rsid w:val="43A752EA"/>
    <w:rsid w:val="43B52E3C"/>
    <w:rsid w:val="44615D36"/>
    <w:rsid w:val="44980001"/>
    <w:rsid w:val="44983721"/>
    <w:rsid w:val="44C922B6"/>
    <w:rsid w:val="45003DE2"/>
    <w:rsid w:val="45433394"/>
    <w:rsid w:val="45942CD3"/>
    <w:rsid w:val="45CC45BA"/>
    <w:rsid w:val="45D00B17"/>
    <w:rsid w:val="45E83F3B"/>
    <w:rsid w:val="46375FD9"/>
    <w:rsid w:val="464E3D9E"/>
    <w:rsid w:val="4681375E"/>
    <w:rsid w:val="468E063F"/>
    <w:rsid w:val="46AA58EF"/>
    <w:rsid w:val="46AC30CA"/>
    <w:rsid w:val="46C77C41"/>
    <w:rsid w:val="46D327A9"/>
    <w:rsid w:val="470F7D67"/>
    <w:rsid w:val="47B916EB"/>
    <w:rsid w:val="483A45B4"/>
    <w:rsid w:val="487815A6"/>
    <w:rsid w:val="492219EC"/>
    <w:rsid w:val="493D1B4B"/>
    <w:rsid w:val="49ED219A"/>
    <w:rsid w:val="4A5E7E53"/>
    <w:rsid w:val="4AB958D0"/>
    <w:rsid w:val="4ABA5EA6"/>
    <w:rsid w:val="4AD26CD3"/>
    <w:rsid w:val="4ADF790C"/>
    <w:rsid w:val="4AE42F23"/>
    <w:rsid w:val="4B4E71D7"/>
    <w:rsid w:val="4B5B195A"/>
    <w:rsid w:val="4B6613CE"/>
    <w:rsid w:val="4BD76BC9"/>
    <w:rsid w:val="4BFE25C1"/>
    <w:rsid w:val="4C066EC9"/>
    <w:rsid w:val="4CBD67E5"/>
    <w:rsid w:val="4CC058BC"/>
    <w:rsid w:val="4CF020FE"/>
    <w:rsid w:val="4DBA61BD"/>
    <w:rsid w:val="4DC03743"/>
    <w:rsid w:val="4DDC07DF"/>
    <w:rsid w:val="4DF162BE"/>
    <w:rsid w:val="4E091A94"/>
    <w:rsid w:val="4F035942"/>
    <w:rsid w:val="4F82101C"/>
    <w:rsid w:val="4FC936FA"/>
    <w:rsid w:val="4FEA7DCD"/>
    <w:rsid w:val="4FF72D1A"/>
    <w:rsid w:val="50422A03"/>
    <w:rsid w:val="509F12F3"/>
    <w:rsid w:val="511D5715"/>
    <w:rsid w:val="51592BD2"/>
    <w:rsid w:val="518F276C"/>
    <w:rsid w:val="51C55765"/>
    <w:rsid w:val="520914C1"/>
    <w:rsid w:val="53163E96"/>
    <w:rsid w:val="53D739B2"/>
    <w:rsid w:val="53E2021C"/>
    <w:rsid w:val="53EE5A05"/>
    <w:rsid w:val="540649E3"/>
    <w:rsid w:val="56660C90"/>
    <w:rsid w:val="56824CF7"/>
    <w:rsid w:val="570E32F3"/>
    <w:rsid w:val="5728476E"/>
    <w:rsid w:val="575F696C"/>
    <w:rsid w:val="57FE3564"/>
    <w:rsid w:val="586D16BC"/>
    <w:rsid w:val="58DD2CB1"/>
    <w:rsid w:val="58DF4D2A"/>
    <w:rsid w:val="59056087"/>
    <w:rsid w:val="591E3856"/>
    <w:rsid w:val="59464082"/>
    <w:rsid w:val="59E54F98"/>
    <w:rsid w:val="5A3B6304"/>
    <w:rsid w:val="5A83540B"/>
    <w:rsid w:val="5B8336B1"/>
    <w:rsid w:val="5B8C5782"/>
    <w:rsid w:val="5B964520"/>
    <w:rsid w:val="5BA30CCD"/>
    <w:rsid w:val="5CE153A5"/>
    <w:rsid w:val="5D8612FB"/>
    <w:rsid w:val="5E0C740C"/>
    <w:rsid w:val="5EFD075D"/>
    <w:rsid w:val="5F474103"/>
    <w:rsid w:val="5FC52ECB"/>
    <w:rsid w:val="5FF548A6"/>
    <w:rsid w:val="5FF92F99"/>
    <w:rsid w:val="60C82547"/>
    <w:rsid w:val="60CC64DC"/>
    <w:rsid w:val="611C7200"/>
    <w:rsid w:val="61241E74"/>
    <w:rsid w:val="62CA38AE"/>
    <w:rsid w:val="62CE6432"/>
    <w:rsid w:val="63454B2F"/>
    <w:rsid w:val="6396154F"/>
    <w:rsid w:val="63AD61BA"/>
    <w:rsid w:val="63D5191B"/>
    <w:rsid w:val="644B7717"/>
    <w:rsid w:val="646628AF"/>
    <w:rsid w:val="66B76854"/>
    <w:rsid w:val="670B673E"/>
    <w:rsid w:val="677C71DE"/>
    <w:rsid w:val="681F35AD"/>
    <w:rsid w:val="687C6E3E"/>
    <w:rsid w:val="68D4417F"/>
    <w:rsid w:val="69045AB5"/>
    <w:rsid w:val="6A4F6F4E"/>
    <w:rsid w:val="6A7F1926"/>
    <w:rsid w:val="6A94324D"/>
    <w:rsid w:val="6A9448A2"/>
    <w:rsid w:val="6B340F05"/>
    <w:rsid w:val="6B3C2ED3"/>
    <w:rsid w:val="6B7C4EE8"/>
    <w:rsid w:val="6BAA4478"/>
    <w:rsid w:val="6BE631C0"/>
    <w:rsid w:val="6C4C227F"/>
    <w:rsid w:val="6CAE69CD"/>
    <w:rsid w:val="6CF82F88"/>
    <w:rsid w:val="6D531AA4"/>
    <w:rsid w:val="6D5A600D"/>
    <w:rsid w:val="6D6C46DC"/>
    <w:rsid w:val="6E3B2E06"/>
    <w:rsid w:val="6E556835"/>
    <w:rsid w:val="6E6A26D3"/>
    <w:rsid w:val="6E7A4B8C"/>
    <w:rsid w:val="6EC72090"/>
    <w:rsid w:val="6F662BF4"/>
    <w:rsid w:val="6F9353F4"/>
    <w:rsid w:val="701F534D"/>
    <w:rsid w:val="70A350D3"/>
    <w:rsid w:val="721B77F8"/>
    <w:rsid w:val="726758D0"/>
    <w:rsid w:val="739A38A7"/>
    <w:rsid w:val="73ED60F5"/>
    <w:rsid w:val="73F65648"/>
    <w:rsid w:val="740306D3"/>
    <w:rsid w:val="748C7AC9"/>
    <w:rsid w:val="749613C5"/>
    <w:rsid w:val="749D6719"/>
    <w:rsid w:val="74EB2E95"/>
    <w:rsid w:val="758D6865"/>
    <w:rsid w:val="75F6755D"/>
    <w:rsid w:val="765D458F"/>
    <w:rsid w:val="778847F7"/>
    <w:rsid w:val="77D20FA6"/>
    <w:rsid w:val="784420A2"/>
    <w:rsid w:val="786B1E62"/>
    <w:rsid w:val="7A232871"/>
    <w:rsid w:val="7ACB1447"/>
    <w:rsid w:val="7B01655E"/>
    <w:rsid w:val="7B066262"/>
    <w:rsid w:val="7BBD0AA3"/>
    <w:rsid w:val="7C3C40BE"/>
    <w:rsid w:val="7D627B54"/>
    <w:rsid w:val="7DF1015F"/>
    <w:rsid w:val="7EBD4CD6"/>
    <w:rsid w:val="7F33788E"/>
    <w:rsid w:val="7F616F6E"/>
    <w:rsid w:val="7F885E70"/>
    <w:rsid w:val="7FC3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99"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8"/>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0"/>
    <w:pPr>
      <w:keepNext/>
      <w:keepLines/>
      <w:spacing w:before="280" w:after="290" w:line="372" w:lineRule="auto"/>
      <w:outlineLvl w:val="3"/>
    </w:pPr>
    <w:rPr>
      <w:rFonts w:ascii="Arial" w:hAnsi="Arial" w:eastAsia="黑体" w:cstheme="minorBidi"/>
      <w:b/>
      <w:sz w:val="28"/>
      <w:szCs w:val="24"/>
    </w:rPr>
  </w:style>
  <w:style w:type="paragraph" w:styleId="6">
    <w:name w:val="heading 5"/>
    <w:basedOn w:val="1"/>
    <w:next w:val="1"/>
    <w:link w:val="41"/>
    <w:unhideWhenUsed/>
    <w:qFormat/>
    <w:uiPriority w:val="0"/>
    <w:pPr>
      <w:keepNext/>
      <w:keepLines/>
      <w:spacing w:before="280" w:after="290" w:line="372" w:lineRule="auto"/>
      <w:outlineLvl w:val="4"/>
    </w:pPr>
    <w:rPr>
      <w:rFonts w:asciiTheme="minorHAnsi" w:hAnsiTheme="minorHAnsi" w:eastAsiaTheme="minorEastAsia" w:cstheme="minorBidi"/>
      <w:b/>
      <w:sz w:val="28"/>
      <w:szCs w:val="24"/>
    </w:rPr>
  </w:style>
  <w:style w:type="paragraph" w:styleId="7">
    <w:name w:val="heading 6"/>
    <w:basedOn w:val="1"/>
    <w:next w:val="1"/>
    <w:link w:val="42"/>
    <w:unhideWhenUsed/>
    <w:qFormat/>
    <w:uiPriority w:val="0"/>
    <w:pPr>
      <w:keepNext/>
      <w:keepLines/>
      <w:spacing w:before="240" w:after="64" w:line="317" w:lineRule="auto"/>
      <w:outlineLvl w:val="5"/>
    </w:pPr>
    <w:rPr>
      <w:rFonts w:ascii="Arial" w:hAnsi="Arial" w:eastAsia="黑体" w:cstheme="minorBidi"/>
      <w:b/>
      <w:sz w:val="24"/>
      <w:szCs w:val="24"/>
    </w:rPr>
  </w:style>
  <w:style w:type="paragraph" w:styleId="8">
    <w:name w:val="heading 7"/>
    <w:basedOn w:val="1"/>
    <w:next w:val="1"/>
    <w:link w:val="43"/>
    <w:unhideWhenUsed/>
    <w:qFormat/>
    <w:uiPriority w:val="0"/>
    <w:pPr>
      <w:keepNext/>
      <w:keepLines/>
      <w:spacing w:before="240" w:after="64" w:line="317" w:lineRule="auto"/>
      <w:outlineLvl w:val="6"/>
    </w:pPr>
    <w:rPr>
      <w:rFonts w:asciiTheme="minorHAnsi" w:hAnsiTheme="minorHAnsi" w:eastAsiaTheme="minorEastAsia" w:cstheme="minorBidi"/>
      <w:b/>
      <w:sz w:val="24"/>
      <w:szCs w:val="24"/>
    </w:rPr>
  </w:style>
  <w:style w:type="paragraph" w:styleId="9">
    <w:name w:val="heading 8"/>
    <w:basedOn w:val="1"/>
    <w:next w:val="1"/>
    <w:link w:val="44"/>
    <w:autoRedefine/>
    <w:unhideWhenUsed/>
    <w:qFormat/>
    <w:uiPriority w:val="0"/>
    <w:pPr>
      <w:keepNext/>
      <w:keepLines/>
      <w:spacing w:before="240" w:after="64" w:line="317" w:lineRule="auto"/>
      <w:outlineLvl w:val="7"/>
    </w:pPr>
    <w:rPr>
      <w:rFonts w:ascii="Arial" w:hAnsi="Arial" w:eastAsia="黑体" w:cstheme="minorBidi"/>
      <w:sz w:val="24"/>
      <w:szCs w:val="24"/>
    </w:rPr>
  </w:style>
  <w:style w:type="paragraph" w:styleId="10">
    <w:name w:val="heading 9"/>
    <w:basedOn w:val="1"/>
    <w:next w:val="1"/>
    <w:link w:val="45"/>
    <w:unhideWhenUsed/>
    <w:qFormat/>
    <w:uiPriority w:val="0"/>
    <w:pPr>
      <w:keepNext/>
      <w:keepLines/>
      <w:spacing w:before="240" w:after="64" w:line="317" w:lineRule="auto"/>
      <w:outlineLvl w:val="8"/>
    </w:pPr>
    <w:rPr>
      <w:rFonts w:ascii="Arial" w:hAnsi="Arial" w:eastAsia="黑体" w:cstheme="minorBidi"/>
      <w:szCs w:val="24"/>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99"/>
    <w:pPr>
      <w:ind w:firstLine="420"/>
    </w:pPr>
    <w:rPr>
      <w:szCs w:val="20"/>
    </w:rPr>
  </w:style>
  <w:style w:type="paragraph" w:styleId="12">
    <w:name w:val="annotation text"/>
    <w:basedOn w:val="1"/>
    <w:link w:val="46"/>
    <w:autoRedefine/>
    <w:unhideWhenUsed/>
    <w:qFormat/>
    <w:uiPriority w:val="0"/>
    <w:pPr>
      <w:jc w:val="left"/>
    </w:pPr>
    <w:rPr>
      <w:szCs w:val="24"/>
    </w:rPr>
  </w:style>
  <w:style w:type="paragraph" w:styleId="13">
    <w:name w:val="Body Text"/>
    <w:basedOn w:val="1"/>
    <w:link w:val="37"/>
    <w:autoRedefine/>
    <w:qFormat/>
    <w:uiPriority w:val="99"/>
    <w:pPr>
      <w:spacing w:after="120"/>
    </w:pPr>
  </w:style>
  <w:style w:type="paragraph" w:styleId="14">
    <w:name w:val="Plain Text"/>
    <w:basedOn w:val="1"/>
    <w:link w:val="47"/>
    <w:autoRedefine/>
    <w:qFormat/>
    <w:uiPriority w:val="0"/>
    <w:rPr>
      <w:rFonts w:ascii="宋体" w:hAnsi="Courier New" w:cs="Times New Roman"/>
      <w:szCs w:val="21"/>
    </w:rPr>
  </w:style>
  <w:style w:type="paragraph" w:styleId="15">
    <w:name w:val="Date"/>
    <w:basedOn w:val="1"/>
    <w:next w:val="1"/>
    <w:link w:val="79"/>
    <w:qFormat/>
    <w:uiPriority w:val="99"/>
    <w:pPr>
      <w:ind w:left="100" w:leftChars="2500"/>
    </w:pPr>
    <w:rPr>
      <w:rFonts w:ascii="Calibri" w:hAnsi="Calibri" w:cs="Times New Roman"/>
      <w:szCs w:val="24"/>
    </w:rPr>
  </w:style>
  <w:style w:type="paragraph" w:styleId="16">
    <w:name w:val="Balloon Text"/>
    <w:basedOn w:val="1"/>
    <w:link w:val="48"/>
    <w:autoRedefine/>
    <w:qFormat/>
    <w:uiPriority w:val="99"/>
    <w:rPr>
      <w:sz w:val="18"/>
      <w:szCs w:val="18"/>
    </w:rPr>
  </w:style>
  <w:style w:type="paragraph" w:styleId="17">
    <w:name w:val="footer"/>
    <w:basedOn w:val="1"/>
    <w:link w:val="49"/>
    <w:autoRedefine/>
    <w:qFormat/>
    <w:uiPriority w:val="99"/>
    <w:pPr>
      <w:tabs>
        <w:tab w:val="center" w:pos="4153"/>
        <w:tab w:val="right" w:pos="8306"/>
      </w:tabs>
      <w:snapToGrid w:val="0"/>
      <w:jc w:val="left"/>
    </w:pPr>
    <w:rPr>
      <w:rFonts w:ascii="Calibri" w:hAnsi="Calibri"/>
      <w:kern w:val="0"/>
      <w:sz w:val="18"/>
      <w:szCs w:val="18"/>
    </w:rPr>
  </w:style>
  <w:style w:type="paragraph" w:styleId="18">
    <w:name w:val="header"/>
    <w:basedOn w:val="1"/>
    <w:link w:val="50"/>
    <w:qFormat/>
    <w:uiPriority w:val="99"/>
    <w:pPr>
      <w:pBdr>
        <w:bottom w:val="single" w:color="auto" w:sz="6" w:space="1"/>
      </w:pBdr>
      <w:tabs>
        <w:tab w:val="left" w:pos="-18731"/>
        <w:tab w:val="center" w:pos="-1080"/>
        <w:tab w:val="center" w:pos="4153"/>
        <w:tab w:val="right" w:pos="4320"/>
        <w:tab w:val="right" w:pos="8306"/>
      </w:tabs>
      <w:snapToGrid w:val="0"/>
      <w:jc w:val="center"/>
    </w:pPr>
    <w:rPr>
      <w:rFonts w:ascii="Calibri" w:hAnsi="Calibri"/>
      <w:kern w:val="0"/>
      <w:sz w:val="18"/>
      <w:szCs w:val="18"/>
    </w:rPr>
  </w:style>
  <w:style w:type="paragraph" w:styleId="19">
    <w:name w:val="Normal (Web)"/>
    <w:basedOn w:val="1"/>
    <w:autoRedefine/>
    <w:qFormat/>
    <w:uiPriority w:val="0"/>
    <w:pPr>
      <w:widowControl/>
      <w:spacing w:before="100" w:beforeAutospacing="1" w:after="100" w:afterAutospacing="1"/>
      <w:jc w:val="left"/>
    </w:pPr>
    <w:rPr>
      <w:rFonts w:ascii="宋体" w:hAnsi="宋体" w:cs="Times New Roman"/>
      <w:color w:val="000000"/>
      <w:kern w:val="0"/>
      <w:sz w:val="24"/>
      <w:szCs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annotation subject"/>
    <w:basedOn w:val="12"/>
    <w:next w:val="12"/>
    <w:link w:val="51"/>
    <w:autoRedefine/>
    <w:qFormat/>
    <w:uiPriority w:val="0"/>
    <w:rPr>
      <w:b/>
      <w:bCs/>
      <w:szCs w:val="2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FollowedHyperlink"/>
    <w:basedOn w:val="24"/>
    <w:qFormat/>
    <w:uiPriority w:val="0"/>
    <w:rPr>
      <w:color w:val="000000"/>
      <w:u w:val="none"/>
    </w:rPr>
  </w:style>
  <w:style w:type="character" w:styleId="27">
    <w:name w:val="Emphasis"/>
    <w:basedOn w:val="24"/>
    <w:autoRedefine/>
    <w:qFormat/>
    <w:uiPriority w:val="0"/>
    <w:rPr>
      <w:i/>
    </w:rPr>
  </w:style>
  <w:style w:type="character" w:styleId="28">
    <w:name w:val="HTML Definition"/>
    <w:basedOn w:val="24"/>
    <w:autoRedefine/>
    <w:qFormat/>
    <w:uiPriority w:val="0"/>
    <w:rPr>
      <w:i/>
    </w:rPr>
  </w:style>
  <w:style w:type="character" w:styleId="29">
    <w:name w:val="HTML Acronym"/>
    <w:basedOn w:val="24"/>
    <w:autoRedefine/>
    <w:qFormat/>
    <w:uiPriority w:val="0"/>
  </w:style>
  <w:style w:type="character" w:styleId="30">
    <w:name w:val="HTML Variable"/>
    <w:basedOn w:val="24"/>
    <w:qFormat/>
    <w:uiPriority w:val="0"/>
    <w:rPr>
      <w:i/>
    </w:rPr>
  </w:style>
  <w:style w:type="character" w:styleId="31">
    <w:name w:val="Hyperlink"/>
    <w:basedOn w:val="24"/>
    <w:autoRedefine/>
    <w:qFormat/>
    <w:uiPriority w:val="0"/>
    <w:rPr>
      <w:color w:val="000000"/>
      <w:u w:val="none"/>
    </w:rPr>
  </w:style>
  <w:style w:type="character" w:styleId="32">
    <w:name w:val="HTML Code"/>
    <w:basedOn w:val="24"/>
    <w:qFormat/>
    <w:uiPriority w:val="0"/>
    <w:rPr>
      <w:rFonts w:ascii="Courier New" w:hAnsi="Courier New"/>
      <w:sz w:val="20"/>
    </w:rPr>
  </w:style>
  <w:style w:type="character" w:styleId="33">
    <w:name w:val="annotation reference"/>
    <w:basedOn w:val="24"/>
    <w:autoRedefine/>
    <w:unhideWhenUsed/>
    <w:qFormat/>
    <w:uiPriority w:val="0"/>
    <w:rPr>
      <w:sz w:val="21"/>
      <w:szCs w:val="21"/>
    </w:rPr>
  </w:style>
  <w:style w:type="character" w:styleId="34">
    <w:name w:val="HTML Cite"/>
    <w:basedOn w:val="24"/>
    <w:autoRedefine/>
    <w:qFormat/>
    <w:uiPriority w:val="0"/>
    <w:rPr>
      <w:i/>
    </w:rPr>
  </w:style>
  <w:style w:type="paragraph" w:customStyle="1" w:styleId="35">
    <w:name w:val="基准页眉样式"/>
    <w:basedOn w:val="13"/>
    <w:qFormat/>
    <w:uiPriority w:val="0"/>
    <w:pPr>
      <w:keepLines/>
      <w:tabs>
        <w:tab w:val="left" w:pos="-18731"/>
        <w:tab w:val="center" w:pos="-1080"/>
        <w:tab w:val="right" w:pos="4320"/>
      </w:tabs>
      <w:spacing w:after="0"/>
    </w:pPr>
  </w:style>
  <w:style w:type="paragraph" w:customStyle="1" w:styleId="36">
    <w:name w:val="表格文字"/>
    <w:basedOn w:val="1"/>
    <w:autoRedefine/>
    <w:qFormat/>
    <w:uiPriority w:val="0"/>
    <w:pPr>
      <w:spacing w:before="25" w:after="25"/>
      <w:jc w:val="left"/>
    </w:pPr>
    <w:rPr>
      <w:bCs/>
      <w:spacing w:val="10"/>
      <w:kern w:val="0"/>
      <w:szCs w:val="20"/>
    </w:rPr>
  </w:style>
  <w:style w:type="character" w:customStyle="1" w:styleId="37">
    <w:name w:val="正文文本 Char"/>
    <w:basedOn w:val="24"/>
    <w:link w:val="13"/>
    <w:autoRedefine/>
    <w:qFormat/>
    <w:uiPriority w:val="99"/>
    <w:rPr>
      <w:rFonts w:cs="宋体"/>
      <w:kern w:val="2"/>
      <w:sz w:val="21"/>
      <w:szCs w:val="22"/>
    </w:rPr>
  </w:style>
  <w:style w:type="character" w:customStyle="1" w:styleId="38">
    <w:name w:val="标题 2 Char"/>
    <w:basedOn w:val="24"/>
    <w:link w:val="3"/>
    <w:autoRedefine/>
    <w:qFormat/>
    <w:uiPriority w:val="99"/>
    <w:rPr>
      <w:rFonts w:ascii="Arial" w:hAnsi="Arial" w:eastAsia="黑体" w:cs="宋体"/>
      <w:b/>
      <w:bCs/>
      <w:kern w:val="2"/>
      <w:sz w:val="32"/>
      <w:szCs w:val="32"/>
    </w:rPr>
  </w:style>
  <w:style w:type="character" w:customStyle="1" w:styleId="39">
    <w:name w:val="标题 3 Char"/>
    <w:basedOn w:val="24"/>
    <w:link w:val="4"/>
    <w:autoRedefine/>
    <w:semiHidden/>
    <w:qFormat/>
    <w:uiPriority w:val="0"/>
    <w:rPr>
      <w:rFonts w:cs="宋体"/>
      <w:b/>
      <w:bCs/>
      <w:kern w:val="2"/>
      <w:sz w:val="32"/>
      <w:szCs w:val="32"/>
    </w:rPr>
  </w:style>
  <w:style w:type="character" w:customStyle="1" w:styleId="40">
    <w:name w:val="标题 4 Char"/>
    <w:basedOn w:val="24"/>
    <w:link w:val="5"/>
    <w:autoRedefine/>
    <w:qFormat/>
    <w:uiPriority w:val="0"/>
    <w:rPr>
      <w:rFonts w:ascii="Arial" w:hAnsi="Arial" w:eastAsia="黑体" w:cstheme="minorBidi"/>
      <w:b/>
      <w:kern w:val="2"/>
      <w:sz w:val="28"/>
      <w:szCs w:val="24"/>
    </w:rPr>
  </w:style>
  <w:style w:type="character" w:customStyle="1" w:styleId="41">
    <w:name w:val="标题 5 Char"/>
    <w:basedOn w:val="24"/>
    <w:link w:val="6"/>
    <w:autoRedefine/>
    <w:qFormat/>
    <w:uiPriority w:val="0"/>
    <w:rPr>
      <w:rFonts w:asciiTheme="minorHAnsi" w:hAnsiTheme="minorHAnsi" w:eastAsiaTheme="minorEastAsia" w:cstheme="minorBidi"/>
      <w:b/>
      <w:kern w:val="2"/>
      <w:sz w:val="28"/>
      <w:szCs w:val="24"/>
    </w:rPr>
  </w:style>
  <w:style w:type="character" w:customStyle="1" w:styleId="42">
    <w:name w:val="标题 6 Char"/>
    <w:basedOn w:val="24"/>
    <w:link w:val="7"/>
    <w:qFormat/>
    <w:uiPriority w:val="0"/>
    <w:rPr>
      <w:rFonts w:ascii="Arial" w:hAnsi="Arial" w:eastAsia="黑体" w:cstheme="minorBidi"/>
      <w:b/>
      <w:kern w:val="2"/>
      <w:sz w:val="24"/>
      <w:szCs w:val="24"/>
    </w:rPr>
  </w:style>
  <w:style w:type="character" w:customStyle="1" w:styleId="43">
    <w:name w:val="标题 7 Char"/>
    <w:basedOn w:val="24"/>
    <w:link w:val="8"/>
    <w:autoRedefine/>
    <w:qFormat/>
    <w:uiPriority w:val="0"/>
    <w:rPr>
      <w:rFonts w:asciiTheme="minorHAnsi" w:hAnsiTheme="minorHAnsi" w:eastAsiaTheme="minorEastAsia" w:cstheme="minorBidi"/>
      <w:b/>
      <w:kern w:val="2"/>
      <w:sz w:val="24"/>
      <w:szCs w:val="24"/>
    </w:rPr>
  </w:style>
  <w:style w:type="character" w:customStyle="1" w:styleId="44">
    <w:name w:val="标题 8 Char"/>
    <w:basedOn w:val="24"/>
    <w:link w:val="9"/>
    <w:qFormat/>
    <w:uiPriority w:val="0"/>
    <w:rPr>
      <w:rFonts w:ascii="Arial" w:hAnsi="Arial" w:eastAsia="黑体" w:cstheme="minorBidi"/>
      <w:kern w:val="2"/>
      <w:sz w:val="24"/>
      <w:szCs w:val="24"/>
    </w:rPr>
  </w:style>
  <w:style w:type="character" w:customStyle="1" w:styleId="45">
    <w:name w:val="标题 9 Char"/>
    <w:basedOn w:val="24"/>
    <w:link w:val="10"/>
    <w:qFormat/>
    <w:uiPriority w:val="0"/>
    <w:rPr>
      <w:rFonts w:ascii="Arial" w:hAnsi="Arial" w:eastAsia="黑体" w:cstheme="minorBidi"/>
      <w:kern w:val="2"/>
      <w:sz w:val="21"/>
      <w:szCs w:val="24"/>
    </w:rPr>
  </w:style>
  <w:style w:type="character" w:customStyle="1" w:styleId="46">
    <w:name w:val="批注文字 Char"/>
    <w:basedOn w:val="24"/>
    <w:link w:val="12"/>
    <w:autoRedefine/>
    <w:qFormat/>
    <w:uiPriority w:val="0"/>
    <w:rPr>
      <w:rFonts w:cs="宋体"/>
      <w:kern w:val="2"/>
      <w:sz w:val="21"/>
      <w:szCs w:val="24"/>
    </w:rPr>
  </w:style>
  <w:style w:type="character" w:customStyle="1" w:styleId="47">
    <w:name w:val="纯文本 Char"/>
    <w:link w:val="14"/>
    <w:autoRedefine/>
    <w:qFormat/>
    <w:uiPriority w:val="0"/>
    <w:rPr>
      <w:rFonts w:ascii="宋体" w:hAnsi="Courier New"/>
      <w:kern w:val="2"/>
      <w:sz w:val="21"/>
      <w:szCs w:val="21"/>
    </w:rPr>
  </w:style>
  <w:style w:type="character" w:customStyle="1" w:styleId="48">
    <w:name w:val="批注框文本 Char"/>
    <w:basedOn w:val="24"/>
    <w:link w:val="16"/>
    <w:autoRedefine/>
    <w:qFormat/>
    <w:uiPriority w:val="99"/>
    <w:rPr>
      <w:rFonts w:cs="宋体"/>
      <w:kern w:val="2"/>
      <w:sz w:val="18"/>
      <w:szCs w:val="18"/>
    </w:rPr>
  </w:style>
  <w:style w:type="character" w:customStyle="1" w:styleId="49">
    <w:name w:val="页脚 Char"/>
    <w:basedOn w:val="24"/>
    <w:link w:val="17"/>
    <w:autoRedefine/>
    <w:qFormat/>
    <w:uiPriority w:val="99"/>
    <w:rPr>
      <w:rFonts w:ascii="Calibri" w:hAnsi="Calibri" w:cs="宋体"/>
      <w:sz w:val="18"/>
      <w:szCs w:val="18"/>
    </w:rPr>
  </w:style>
  <w:style w:type="character" w:customStyle="1" w:styleId="50">
    <w:name w:val="页眉 Char"/>
    <w:basedOn w:val="24"/>
    <w:link w:val="18"/>
    <w:autoRedefine/>
    <w:qFormat/>
    <w:uiPriority w:val="99"/>
    <w:rPr>
      <w:rFonts w:ascii="Calibri" w:hAnsi="Calibri" w:cs="宋体"/>
      <w:sz w:val="18"/>
      <w:szCs w:val="18"/>
    </w:rPr>
  </w:style>
  <w:style w:type="character" w:customStyle="1" w:styleId="51">
    <w:name w:val="批注主题 Char"/>
    <w:basedOn w:val="46"/>
    <w:link w:val="21"/>
    <w:qFormat/>
    <w:uiPriority w:val="0"/>
    <w:rPr>
      <w:rFonts w:cs="宋体"/>
      <w:b/>
      <w:bCs/>
      <w:kern w:val="2"/>
      <w:sz w:val="21"/>
      <w:szCs w:val="22"/>
    </w:rPr>
  </w:style>
  <w:style w:type="paragraph" w:customStyle="1" w:styleId="52">
    <w:name w:val="正文正"/>
    <w:basedOn w:val="1"/>
    <w:autoRedefine/>
    <w:qFormat/>
    <w:uiPriority w:val="99"/>
    <w:pPr>
      <w:spacing w:line="560" w:lineRule="exact"/>
      <w:ind w:firstLine="561"/>
    </w:pPr>
    <w:rPr>
      <w:rFonts w:eastAsia="仿宋_GB2312"/>
      <w:sz w:val="28"/>
      <w:szCs w:val="24"/>
    </w:rPr>
  </w:style>
  <w:style w:type="paragraph" w:styleId="53">
    <w:name w:val="No Spacing"/>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图"/>
    <w:basedOn w:val="1"/>
    <w:autoRedefine/>
    <w:qFormat/>
    <w:uiPriority w:val="0"/>
    <w:pPr>
      <w:keepNext/>
      <w:adjustRightInd w:val="0"/>
      <w:spacing w:before="60" w:after="60" w:line="300" w:lineRule="auto"/>
      <w:jc w:val="center"/>
      <w:textAlignment w:val="center"/>
    </w:pPr>
    <w:rPr>
      <w:rFonts w:cs="Times New Roman"/>
      <w:spacing w:val="20"/>
      <w:kern w:val="0"/>
      <w:sz w:val="24"/>
      <w:szCs w:val="20"/>
    </w:rPr>
  </w:style>
  <w:style w:type="paragraph" w:styleId="55">
    <w:name w:val="List Paragraph"/>
    <w:basedOn w:val="1"/>
    <w:link w:val="56"/>
    <w:autoRedefine/>
    <w:qFormat/>
    <w:uiPriority w:val="34"/>
    <w:pPr>
      <w:ind w:firstLine="420" w:firstLineChars="200"/>
    </w:pPr>
    <w:rPr>
      <w:rFonts w:ascii="Calibri" w:hAnsi="Calibri" w:cs="Times New Roman"/>
    </w:rPr>
  </w:style>
  <w:style w:type="character" w:customStyle="1" w:styleId="56">
    <w:name w:val="列出段落 Char"/>
    <w:link w:val="55"/>
    <w:autoRedefine/>
    <w:qFormat/>
    <w:uiPriority w:val="34"/>
    <w:rPr>
      <w:rFonts w:ascii="Calibri" w:hAnsi="Calibri"/>
      <w:kern w:val="2"/>
      <w:sz w:val="21"/>
      <w:szCs w:val="22"/>
    </w:rPr>
  </w:style>
  <w:style w:type="character" w:customStyle="1" w:styleId="57">
    <w:name w:val="font11"/>
    <w:basedOn w:val="24"/>
    <w:autoRedefine/>
    <w:qFormat/>
    <w:uiPriority w:val="0"/>
    <w:rPr>
      <w:rFonts w:hint="eastAsia" w:ascii="宋体" w:hAnsi="宋体" w:eastAsia="宋体" w:cs="宋体"/>
      <w:b/>
      <w:color w:val="000000"/>
      <w:sz w:val="24"/>
      <w:szCs w:val="24"/>
      <w:u w:val="none"/>
    </w:rPr>
  </w:style>
  <w:style w:type="paragraph" w:customStyle="1" w:styleId="58">
    <w:name w:val="修订1"/>
    <w:autoRedefine/>
    <w:hidden/>
    <w:semiHidden/>
    <w:qFormat/>
    <w:uiPriority w:val="99"/>
    <w:rPr>
      <w:rFonts w:ascii="Times New Roman" w:hAnsi="Times New Roman" w:eastAsia="宋体" w:cs="宋体"/>
      <w:kern w:val="2"/>
      <w:sz w:val="21"/>
      <w:szCs w:val="22"/>
      <w:lang w:val="en-US" w:eastAsia="zh-CN" w:bidi="ar-SA"/>
    </w:rPr>
  </w:style>
  <w:style w:type="paragraph" w:customStyle="1" w:styleId="59">
    <w:name w:val="_Style 121"/>
    <w:basedOn w:val="1"/>
    <w:next w:val="55"/>
    <w:autoRedefine/>
    <w:qFormat/>
    <w:uiPriority w:val="34"/>
    <w:pPr>
      <w:ind w:firstLine="420" w:firstLineChars="200"/>
    </w:pPr>
    <w:rPr>
      <w:rFonts w:ascii="Calibri" w:hAnsi="Calibri" w:cs="Times New Roman"/>
    </w:rPr>
  </w:style>
  <w:style w:type="paragraph" w:customStyle="1" w:styleId="60">
    <w:name w:val="修订2"/>
    <w:autoRedefine/>
    <w:hidden/>
    <w:semiHidden/>
    <w:qFormat/>
    <w:uiPriority w:val="99"/>
    <w:rPr>
      <w:rFonts w:ascii="Times New Roman" w:hAnsi="Times New Roman" w:eastAsia="宋体" w:cs="宋体"/>
      <w:kern w:val="2"/>
      <w:sz w:val="21"/>
      <w:szCs w:val="22"/>
      <w:lang w:val="en-US" w:eastAsia="zh-CN" w:bidi="ar-SA"/>
    </w:rPr>
  </w:style>
  <w:style w:type="paragraph" w:customStyle="1" w:styleId="61">
    <w:name w:val="修订3"/>
    <w:autoRedefine/>
    <w:hidden/>
    <w:semiHidden/>
    <w:qFormat/>
    <w:uiPriority w:val="99"/>
    <w:rPr>
      <w:rFonts w:ascii="Times New Roman" w:hAnsi="Times New Roman" w:eastAsia="宋体" w:cs="宋体"/>
      <w:kern w:val="2"/>
      <w:sz w:val="21"/>
      <w:szCs w:val="22"/>
      <w:lang w:val="en-US" w:eastAsia="zh-CN" w:bidi="ar-SA"/>
    </w:rPr>
  </w:style>
  <w:style w:type="paragraph" w:customStyle="1" w:styleId="62">
    <w:name w:val="修订4"/>
    <w:autoRedefine/>
    <w:hidden/>
    <w:semiHidden/>
    <w:qFormat/>
    <w:uiPriority w:val="99"/>
    <w:rPr>
      <w:rFonts w:ascii="Times New Roman" w:hAnsi="Times New Roman" w:eastAsia="宋体" w:cs="宋体"/>
      <w:kern w:val="2"/>
      <w:sz w:val="21"/>
      <w:szCs w:val="22"/>
      <w:lang w:val="en-US" w:eastAsia="zh-CN" w:bidi="ar-SA"/>
    </w:rPr>
  </w:style>
  <w:style w:type="paragraph" w:customStyle="1" w:styleId="63">
    <w:name w:val="修订5"/>
    <w:autoRedefine/>
    <w:hidden/>
    <w:unhideWhenUsed/>
    <w:qFormat/>
    <w:uiPriority w:val="99"/>
    <w:rPr>
      <w:rFonts w:ascii="Times New Roman" w:hAnsi="Times New Roman" w:eastAsia="宋体" w:cs="宋体"/>
      <w:kern w:val="2"/>
      <w:sz w:val="21"/>
      <w:szCs w:val="22"/>
      <w:lang w:val="en-US" w:eastAsia="zh-CN" w:bidi="ar-SA"/>
    </w:rPr>
  </w:style>
  <w:style w:type="character" w:customStyle="1" w:styleId="64">
    <w:name w:val="first-child"/>
    <w:basedOn w:val="24"/>
    <w:qFormat/>
    <w:uiPriority w:val="0"/>
  </w:style>
  <w:style w:type="character" w:customStyle="1" w:styleId="65">
    <w:name w:val="hover9"/>
    <w:basedOn w:val="24"/>
    <w:autoRedefine/>
    <w:qFormat/>
    <w:uiPriority w:val="0"/>
    <w:rPr>
      <w:shd w:val="clear" w:color="auto" w:fill="FF0000"/>
    </w:rPr>
  </w:style>
  <w:style w:type="character" w:customStyle="1" w:styleId="66">
    <w:name w:val="layui-this"/>
    <w:basedOn w:val="24"/>
    <w:autoRedefine/>
    <w:qFormat/>
    <w:uiPriority w:val="0"/>
    <w:rPr>
      <w:bdr w:val="single" w:color="EEEEEE" w:sz="6" w:space="0"/>
      <w:shd w:val="clear" w:color="auto" w:fill="FFFFFF"/>
    </w:rPr>
  </w:style>
  <w:style w:type="character" w:customStyle="1" w:styleId="67">
    <w:name w:val="hover6"/>
    <w:basedOn w:val="24"/>
    <w:autoRedefine/>
    <w:qFormat/>
    <w:uiPriority w:val="0"/>
    <w:rPr>
      <w:shd w:val="clear" w:color="auto" w:fill="FF0000"/>
    </w:rPr>
  </w:style>
  <w:style w:type="character" w:customStyle="1" w:styleId="68">
    <w:name w:val="oz-tabs-strip-text"/>
    <w:basedOn w:val="24"/>
    <w:qFormat/>
    <w:uiPriority w:val="0"/>
    <w:rPr>
      <w:b/>
      <w:color w:val="15428B"/>
    </w:rPr>
  </w:style>
  <w:style w:type="character" w:customStyle="1" w:styleId="69">
    <w:name w:val="oz-tabs-strip-text1"/>
    <w:basedOn w:val="24"/>
    <w:autoRedefine/>
    <w:qFormat/>
    <w:uiPriority w:val="0"/>
  </w:style>
  <w:style w:type="character" w:customStyle="1" w:styleId="70">
    <w:name w:val="oz-tabs-strip-text2"/>
    <w:basedOn w:val="24"/>
    <w:autoRedefine/>
    <w:qFormat/>
    <w:uiPriority w:val="0"/>
  </w:style>
  <w:style w:type="character" w:customStyle="1" w:styleId="71">
    <w:name w:val="oz-tabs-strip-text3"/>
    <w:basedOn w:val="24"/>
    <w:autoRedefine/>
    <w:qFormat/>
    <w:uiPriority w:val="0"/>
  </w:style>
  <w:style w:type="character" w:customStyle="1" w:styleId="72">
    <w:name w:val="oz-tabs-strip-text4"/>
    <w:basedOn w:val="24"/>
    <w:qFormat/>
    <w:uiPriority w:val="0"/>
    <w:rPr>
      <w:rFonts w:ascii="Tahoma" w:hAnsi="Tahoma" w:eastAsia="Tahoma" w:cs="Tahoma"/>
      <w:color w:val="416AA3"/>
      <w:sz w:val="18"/>
      <w:szCs w:val="18"/>
    </w:rPr>
  </w:style>
  <w:style w:type="character" w:customStyle="1" w:styleId="73">
    <w:name w:val="oz-tabs-strip-text5"/>
    <w:basedOn w:val="24"/>
    <w:autoRedefine/>
    <w:qFormat/>
    <w:uiPriority w:val="0"/>
    <w:rPr>
      <w:color w:val="15428B"/>
    </w:rPr>
  </w:style>
  <w:style w:type="paragraph" w:customStyle="1" w:styleId="74">
    <w:name w:val="_Style 33"/>
    <w:basedOn w:val="1"/>
    <w:next w:val="1"/>
    <w:qFormat/>
    <w:uiPriority w:val="0"/>
    <w:pPr>
      <w:pBdr>
        <w:bottom w:val="single" w:color="auto" w:sz="6" w:space="1"/>
      </w:pBdr>
      <w:jc w:val="center"/>
    </w:pPr>
    <w:rPr>
      <w:rFonts w:ascii="Arial" w:hAnsiTheme="minorHAnsi" w:cstheme="minorBidi"/>
      <w:vanish/>
      <w:sz w:val="16"/>
      <w:szCs w:val="24"/>
    </w:rPr>
  </w:style>
  <w:style w:type="paragraph" w:customStyle="1" w:styleId="75">
    <w:name w:val="_Style 34"/>
    <w:basedOn w:val="1"/>
    <w:next w:val="1"/>
    <w:autoRedefine/>
    <w:qFormat/>
    <w:uiPriority w:val="0"/>
    <w:pPr>
      <w:pBdr>
        <w:top w:val="single" w:color="auto" w:sz="6" w:space="1"/>
      </w:pBdr>
      <w:jc w:val="center"/>
    </w:pPr>
    <w:rPr>
      <w:rFonts w:ascii="Arial" w:hAnsiTheme="minorHAnsi" w:cstheme="minorBidi"/>
      <w:vanish/>
      <w:sz w:val="16"/>
      <w:szCs w:val="24"/>
    </w:rPr>
  </w:style>
  <w:style w:type="character" w:customStyle="1" w:styleId="76">
    <w:name w:val="font01"/>
    <w:basedOn w:val="24"/>
    <w:autoRedefine/>
    <w:qFormat/>
    <w:uiPriority w:val="0"/>
    <w:rPr>
      <w:rFonts w:hint="default" w:ascii="Arial" w:hAnsi="Arial" w:cs="Arial"/>
      <w:b/>
      <w:color w:val="666666"/>
      <w:sz w:val="24"/>
      <w:szCs w:val="24"/>
      <w:u w:val="none"/>
    </w:rPr>
  </w:style>
  <w:style w:type="character" w:customStyle="1" w:styleId="77">
    <w:name w:val="font31"/>
    <w:basedOn w:val="24"/>
    <w:qFormat/>
    <w:uiPriority w:val="0"/>
    <w:rPr>
      <w:rFonts w:hint="eastAsia" w:ascii="宋体" w:hAnsi="宋体" w:eastAsia="宋体" w:cs="宋体"/>
      <w:b/>
      <w:color w:val="666666"/>
      <w:sz w:val="24"/>
      <w:szCs w:val="24"/>
      <w:u w:val="none"/>
    </w:rPr>
  </w:style>
  <w:style w:type="paragraph" w:customStyle="1" w:styleId="78">
    <w:name w:val="Char Char Char Char Char Char"/>
    <w:basedOn w:val="1"/>
    <w:autoRedefine/>
    <w:qFormat/>
    <w:uiPriority w:val="0"/>
    <w:pPr>
      <w:widowControl/>
      <w:spacing w:after="160" w:line="240" w:lineRule="exact"/>
      <w:jc w:val="left"/>
    </w:pPr>
    <w:rPr>
      <w:rFonts w:ascii="Calibri" w:hAnsi="Calibri" w:cs="Times New Roman"/>
      <w:szCs w:val="24"/>
    </w:rPr>
  </w:style>
  <w:style w:type="character" w:customStyle="1" w:styleId="79">
    <w:name w:val="日期 Char"/>
    <w:basedOn w:val="24"/>
    <w:link w:val="15"/>
    <w:qFormat/>
    <w:uiPriority w:val="99"/>
    <w:rPr>
      <w:rFonts w:ascii="Calibri" w:hAnsi="Calibri"/>
      <w:kern w:val="2"/>
      <w:sz w:val="21"/>
      <w:szCs w:val="24"/>
    </w:rPr>
  </w:style>
  <w:style w:type="paragraph" w:customStyle="1" w:styleId="80">
    <w:name w:val="_Style 17"/>
    <w:basedOn w:val="1"/>
    <w:next w:val="1"/>
    <w:autoRedefine/>
    <w:qFormat/>
    <w:uiPriority w:val="0"/>
    <w:pPr>
      <w:pBdr>
        <w:bottom w:val="single" w:color="auto" w:sz="6" w:space="1"/>
      </w:pBdr>
      <w:jc w:val="center"/>
    </w:pPr>
    <w:rPr>
      <w:rFonts w:ascii="Arial" w:hAnsiTheme="minorHAnsi" w:cstheme="minorBidi"/>
      <w:vanish/>
      <w:sz w:val="16"/>
      <w:szCs w:val="24"/>
    </w:rPr>
  </w:style>
  <w:style w:type="paragraph" w:customStyle="1" w:styleId="81">
    <w:name w:val="标书正文1"/>
    <w:basedOn w:val="1"/>
    <w:autoRedefine/>
    <w:qFormat/>
    <w:uiPriority w:val="0"/>
    <w:pPr>
      <w:spacing w:line="520" w:lineRule="exact"/>
      <w:ind w:firstLine="640" w:firstLineChars="200"/>
    </w:pPr>
  </w:style>
  <w:style w:type="paragraph" w:customStyle="1" w:styleId="82">
    <w:name w:val="Null"/>
    <w:autoRedefine/>
    <w:qFormat/>
    <w:uiPriority w:val="0"/>
    <w:pPr>
      <w:ind w:firstLine="480" w:firstLineChars="200"/>
      <w:jc w:val="both"/>
      <w:textAlignment w:val="baseline"/>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7B41E-5700-474A-8CB5-CF850AA3FF1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10</Pages>
  <Words>4726</Words>
  <Characters>4745</Characters>
  <Lines>37</Lines>
  <Paragraphs>10</Paragraphs>
  <TotalTime>9</TotalTime>
  <ScaleCrop>false</ScaleCrop>
  <LinksUpToDate>false</LinksUpToDate>
  <CharactersWithSpaces>4856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2024-03-27T01:01:00Z</dcterms:created>
  <dc:creator>海阔天空</dc:creator>
  <cp:lastModifiedBy>代理机构</cp:lastModifiedBy>
  <cp:lastPrinted>2023-03-13T01:01:00Z</cp:lastPrinted>
  <dcterms:modified xsi:type="dcterms:W3CDTF">2024-10-09T02:03:23Z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0A236B00576D4882889A4AE86096C2AE_13</vt:lpwstr>
  </property>
</Properties>
</file>