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jc w:val="center"/>
        <w:rPr>
          <w:rFonts w:cs="Times New Roman" w:asciiTheme="majorEastAsia" w:hAnsiTheme="majorEastAsia" w:eastAsiaTheme="majorEastAsia"/>
          <w:b/>
          <w:bCs/>
          <w:color w:val="auto"/>
          <w:sz w:val="84"/>
          <w:szCs w:val="84"/>
        </w:rPr>
      </w:pPr>
      <w:bookmarkStart w:id="2" w:name="_GoBack"/>
      <w:bookmarkStart w:id="0" w:name="_Toc512613206"/>
      <w:bookmarkStart w:id="1" w:name="_Toc502845064"/>
      <w:r>
        <w:rPr>
          <w:rFonts w:hint="eastAsia" w:cs="Times New Roman" w:asciiTheme="majorEastAsia" w:hAnsiTheme="majorEastAsia" w:eastAsiaTheme="majorEastAsia"/>
          <w:b/>
          <w:color w:val="auto"/>
          <w:sz w:val="84"/>
          <w:szCs w:val="84"/>
        </w:rPr>
        <w:t>竞价文件</w:t>
      </w:r>
    </w:p>
    <w:p>
      <w:pPr>
        <w:spacing w:line="360" w:lineRule="auto"/>
        <w:jc w:val="center"/>
        <w:rPr>
          <w:rFonts w:cs="Times New Roman" w:asciiTheme="majorEastAsia" w:hAnsiTheme="majorEastAsia" w:eastAsiaTheme="majorEastAsia"/>
          <w:b/>
          <w:bCs/>
          <w:color w:val="auto"/>
          <w:sz w:val="24"/>
          <w:szCs w:val="24"/>
        </w:rPr>
      </w:pPr>
    </w:p>
    <w:p>
      <w:pPr>
        <w:spacing w:line="360" w:lineRule="auto"/>
        <w:rPr>
          <w:rFonts w:cs="Times New Roman" w:asciiTheme="majorEastAsia" w:hAnsiTheme="majorEastAsia" w:eastAsiaTheme="majorEastAsia"/>
          <w:color w:val="auto"/>
          <w:sz w:val="30"/>
          <w:szCs w:val="30"/>
        </w:rPr>
      </w:pPr>
    </w:p>
    <w:p>
      <w:pPr>
        <w:pStyle w:val="17"/>
        <w:rPr>
          <w:rFonts w:asciiTheme="majorEastAsia" w:hAnsiTheme="majorEastAsia" w:eastAsiaTheme="majorEastAsia"/>
          <w:color w:val="auto"/>
        </w:rPr>
      </w:pPr>
    </w:p>
    <w:p>
      <w:pPr>
        <w:pStyle w:val="17"/>
        <w:rPr>
          <w:rFonts w:asciiTheme="majorEastAsia" w:hAnsiTheme="majorEastAsia" w:eastAsiaTheme="majorEastAsia"/>
          <w:color w:val="auto"/>
        </w:rPr>
      </w:pPr>
    </w:p>
    <w:p>
      <w:pPr>
        <w:pStyle w:val="17"/>
        <w:rPr>
          <w:rFonts w:asciiTheme="majorEastAsia" w:hAnsiTheme="majorEastAsia" w:eastAsiaTheme="majorEastAsia"/>
          <w:color w:val="auto"/>
        </w:rPr>
      </w:pPr>
    </w:p>
    <w:p>
      <w:pPr>
        <w:spacing w:line="360" w:lineRule="auto"/>
        <w:rPr>
          <w:rFonts w:cs="Times New Roman" w:asciiTheme="majorEastAsia" w:hAnsiTheme="majorEastAsia" w:eastAsiaTheme="majorEastAsia"/>
          <w:color w:val="auto"/>
          <w:sz w:val="30"/>
          <w:szCs w:val="30"/>
        </w:rPr>
      </w:pPr>
    </w:p>
    <w:p>
      <w:pPr>
        <w:spacing w:line="360" w:lineRule="auto"/>
        <w:rPr>
          <w:rFonts w:cs="Times New Roman" w:asciiTheme="majorEastAsia" w:hAnsiTheme="majorEastAsia" w:eastAsiaTheme="majorEastAsia"/>
          <w:color w:val="auto"/>
          <w:sz w:val="30"/>
          <w:szCs w:val="30"/>
        </w:rPr>
      </w:pPr>
    </w:p>
    <w:p>
      <w:pPr>
        <w:spacing w:line="360" w:lineRule="auto"/>
        <w:jc w:val="left"/>
        <w:rPr>
          <w:rFonts w:cs="Times New Roman" w:asciiTheme="majorEastAsia" w:hAnsiTheme="majorEastAsia" w:eastAsiaTheme="majorEastAsia"/>
          <w:b/>
          <w:bCs/>
          <w:color w:val="auto"/>
          <w:sz w:val="28"/>
          <w:szCs w:val="32"/>
        </w:rPr>
      </w:pPr>
      <w:r>
        <w:rPr>
          <w:rFonts w:cs="Times New Roman" w:asciiTheme="majorEastAsia" w:hAnsiTheme="majorEastAsia" w:eastAsiaTheme="majorEastAsia"/>
          <w:b/>
          <w:bCs/>
          <w:color w:val="auto"/>
          <w:sz w:val="28"/>
          <w:szCs w:val="32"/>
        </w:rPr>
        <w:t>采购方式：</w:t>
      </w:r>
      <w:r>
        <w:rPr>
          <w:rFonts w:hint="eastAsia" w:cs="Times New Roman" w:asciiTheme="majorEastAsia" w:hAnsiTheme="majorEastAsia" w:eastAsiaTheme="majorEastAsia"/>
          <w:b/>
          <w:bCs/>
          <w:color w:val="auto"/>
          <w:sz w:val="28"/>
          <w:szCs w:val="32"/>
        </w:rPr>
        <w:t>线上</w:t>
      </w:r>
      <w:r>
        <w:rPr>
          <w:rFonts w:cs="Times New Roman" w:asciiTheme="majorEastAsia" w:hAnsiTheme="majorEastAsia" w:eastAsiaTheme="majorEastAsia"/>
          <w:b/>
          <w:bCs/>
          <w:color w:val="auto"/>
          <w:sz w:val="28"/>
          <w:szCs w:val="32"/>
        </w:rPr>
        <w:t>竞价</w:t>
      </w:r>
    </w:p>
    <w:p>
      <w:pPr>
        <w:spacing w:line="360" w:lineRule="auto"/>
        <w:ind w:left="1405" w:hanging="1405" w:hangingChars="500"/>
        <w:jc w:val="left"/>
        <w:rPr>
          <w:rFonts w:cs="Times New Roman" w:asciiTheme="majorEastAsia" w:hAnsiTheme="majorEastAsia" w:eastAsiaTheme="majorEastAsia"/>
          <w:b/>
          <w:bCs/>
          <w:color w:val="auto"/>
          <w:sz w:val="28"/>
          <w:szCs w:val="32"/>
        </w:rPr>
      </w:pPr>
      <w:r>
        <w:rPr>
          <w:rFonts w:cs="Times New Roman" w:asciiTheme="majorEastAsia" w:hAnsiTheme="majorEastAsia" w:eastAsiaTheme="majorEastAsia"/>
          <w:b/>
          <w:bCs/>
          <w:color w:val="auto"/>
          <w:sz w:val="28"/>
          <w:szCs w:val="32"/>
        </w:rPr>
        <w:t>项目</w:t>
      </w:r>
      <w:r>
        <w:rPr>
          <w:rFonts w:hint="eastAsia" w:cs="Times New Roman" w:asciiTheme="majorEastAsia" w:hAnsiTheme="majorEastAsia" w:eastAsiaTheme="majorEastAsia"/>
          <w:b/>
          <w:bCs/>
          <w:color w:val="auto"/>
          <w:sz w:val="28"/>
          <w:szCs w:val="32"/>
        </w:rPr>
        <w:t>名称</w:t>
      </w:r>
      <w:r>
        <w:rPr>
          <w:rFonts w:cs="Times New Roman" w:asciiTheme="majorEastAsia" w:hAnsiTheme="majorEastAsia" w:eastAsiaTheme="majorEastAsia"/>
          <w:b/>
          <w:bCs/>
          <w:color w:val="auto"/>
          <w:sz w:val="28"/>
          <w:szCs w:val="32"/>
        </w:rPr>
        <w:t>：</w:t>
      </w:r>
      <w:r>
        <w:rPr>
          <w:rFonts w:hint="eastAsia" w:cs="Times New Roman" w:asciiTheme="majorEastAsia" w:hAnsiTheme="majorEastAsia" w:eastAsiaTheme="majorEastAsia"/>
          <w:b/>
          <w:bCs/>
          <w:color w:val="auto"/>
          <w:sz w:val="28"/>
          <w:szCs w:val="32"/>
        </w:rPr>
        <w:t>广东省梅州监狱工会委员会2024年便民理发服务项目</w:t>
      </w:r>
    </w:p>
    <w:p>
      <w:pPr>
        <w:snapToGrid w:val="0"/>
        <w:spacing w:beforeLines="50" w:afterLines="50" w:line="360" w:lineRule="auto"/>
        <w:jc w:val="center"/>
        <w:rPr>
          <w:rFonts w:cs="华文中宋" w:asciiTheme="majorEastAsia" w:hAnsiTheme="majorEastAsia" w:eastAsiaTheme="majorEastAsia"/>
          <w:color w:val="auto"/>
          <w:sz w:val="30"/>
          <w:szCs w:val="30"/>
        </w:rPr>
      </w:pPr>
    </w:p>
    <w:p>
      <w:pPr>
        <w:snapToGrid w:val="0"/>
        <w:spacing w:beforeLines="50" w:afterLines="50" w:line="360" w:lineRule="auto"/>
        <w:jc w:val="center"/>
        <w:rPr>
          <w:rFonts w:cs="华文中宋" w:asciiTheme="majorEastAsia" w:hAnsiTheme="majorEastAsia" w:eastAsiaTheme="majorEastAsia"/>
          <w:color w:val="auto"/>
          <w:sz w:val="30"/>
          <w:szCs w:val="30"/>
        </w:rPr>
      </w:pPr>
    </w:p>
    <w:p>
      <w:pPr>
        <w:snapToGrid w:val="0"/>
        <w:spacing w:beforeLines="50" w:afterLines="50" w:line="360" w:lineRule="auto"/>
        <w:jc w:val="center"/>
        <w:rPr>
          <w:rFonts w:cs="华文中宋" w:asciiTheme="majorEastAsia" w:hAnsiTheme="majorEastAsia" w:eastAsiaTheme="majorEastAsia"/>
          <w:color w:val="auto"/>
          <w:sz w:val="30"/>
          <w:szCs w:val="30"/>
        </w:rPr>
      </w:pPr>
    </w:p>
    <w:p>
      <w:pPr>
        <w:snapToGrid w:val="0"/>
        <w:spacing w:beforeLines="50" w:afterLines="50" w:line="360" w:lineRule="auto"/>
        <w:jc w:val="center"/>
        <w:rPr>
          <w:rFonts w:cs="华文中宋" w:asciiTheme="majorEastAsia" w:hAnsiTheme="majorEastAsia" w:eastAsiaTheme="majorEastAsia"/>
          <w:color w:val="auto"/>
          <w:sz w:val="30"/>
          <w:szCs w:val="30"/>
        </w:rPr>
      </w:pPr>
    </w:p>
    <w:p>
      <w:pPr>
        <w:snapToGrid w:val="0"/>
        <w:spacing w:beforeLines="50" w:afterLines="50" w:line="360" w:lineRule="auto"/>
        <w:jc w:val="center"/>
        <w:rPr>
          <w:rFonts w:cs="华文中宋" w:asciiTheme="majorEastAsia" w:hAnsiTheme="majorEastAsia" w:eastAsiaTheme="majorEastAsia"/>
          <w:color w:val="auto"/>
          <w:sz w:val="30"/>
          <w:szCs w:val="30"/>
        </w:rPr>
      </w:pPr>
    </w:p>
    <w:p>
      <w:pPr>
        <w:autoSpaceDE w:val="0"/>
        <w:autoSpaceDN w:val="0"/>
        <w:adjustRightInd w:val="0"/>
        <w:snapToGrid w:val="0"/>
        <w:spacing w:beforeLines="50" w:afterLines="50" w:line="360" w:lineRule="auto"/>
        <w:jc w:val="left"/>
        <w:rPr>
          <w:rFonts w:cs="华文中宋" w:asciiTheme="majorEastAsia" w:hAnsiTheme="majorEastAsia" w:eastAsiaTheme="majorEastAsia"/>
          <w:color w:val="auto"/>
          <w:kern w:val="0"/>
          <w:sz w:val="30"/>
          <w:szCs w:val="30"/>
        </w:rPr>
      </w:pPr>
    </w:p>
    <w:p>
      <w:pPr>
        <w:autoSpaceDE w:val="0"/>
        <w:autoSpaceDN w:val="0"/>
        <w:adjustRightInd w:val="0"/>
        <w:snapToGrid w:val="0"/>
        <w:spacing w:line="360" w:lineRule="auto"/>
        <w:ind w:left="420" w:firstLine="420"/>
        <w:jc w:val="center"/>
        <w:rPr>
          <w:rFonts w:cs="Times New Roman" w:asciiTheme="majorEastAsia" w:hAnsiTheme="majorEastAsia" w:eastAsiaTheme="majorEastAsia"/>
          <w:b/>
          <w:bCs/>
          <w:color w:val="auto"/>
          <w:sz w:val="28"/>
          <w:szCs w:val="32"/>
        </w:rPr>
      </w:pPr>
      <w:r>
        <w:rPr>
          <w:rFonts w:hint="eastAsia" w:cs="Times New Roman" w:asciiTheme="majorEastAsia" w:hAnsiTheme="majorEastAsia" w:eastAsiaTheme="majorEastAsia"/>
          <w:b/>
          <w:bCs/>
          <w:color w:val="auto"/>
          <w:sz w:val="28"/>
          <w:szCs w:val="32"/>
        </w:rPr>
        <w:t>广东省梅州监狱工会委员会</w:t>
      </w:r>
    </w:p>
    <w:p>
      <w:pPr>
        <w:autoSpaceDE w:val="0"/>
        <w:autoSpaceDN w:val="0"/>
        <w:adjustRightInd w:val="0"/>
        <w:snapToGrid w:val="0"/>
        <w:spacing w:line="360" w:lineRule="auto"/>
        <w:ind w:left="420" w:firstLine="420"/>
        <w:jc w:val="center"/>
        <w:rPr>
          <w:rFonts w:asciiTheme="majorEastAsia" w:hAnsiTheme="majorEastAsia" w:eastAsiaTheme="majorEastAsia"/>
          <w:b/>
          <w:bCs/>
          <w:color w:val="auto"/>
          <w:sz w:val="28"/>
          <w:szCs w:val="32"/>
        </w:rPr>
      </w:pPr>
      <w:r>
        <w:rPr>
          <w:rFonts w:hint="eastAsia" w:asciiTheme="majorEastAsia" w:hAnsiTheme="majorEastAsia" w:eastAsiaTheme="majorEastAsia"/>
          <w:b/>
          <w:bCs/>
          <w:color w:val="auto"/>
          <w:sz w:val="28"/>
          <w:szCs w:val="32"/>
        </w:rPr>
        <w:t>云采链（广州）信息科技有限公司</w:t>
      </w:r>
    </w:p>
    <w:p>
      <w:pPr>
        <w:autoSpaceDE w:val="0"/>
        <w:autoSpaceDN w:val="0"/>
        <w:adjustRightInd w:val="0"/>
        <w:snapToGrid w:val="0"/>
        <w:spacing w:line="360" w:lineRule="auto"/>
        <w:ind w:left="420" w:firstLine="420"/>
        <w:jc w:val="center"/>
        <w:rPr>
          <w:rFonts w:cs="Times New Roman" w:asciiTheme="majorEastAsia" w:hAnsiTheme="majorEastAsia" w:eastAsiaTheme="majorEastAsia"/>
          <w:color w:val="auto"/>
          <w:sz w:val="28"/>
          <w:szCs w:val="22"/>
        </w:rPr>
      </w:pPr>
      <w:r>
        <w:rPr>
          <w:rFonts w:hint="eastAsia" w:cs="Times New Roman" w:asciiTheme="majorEastAsia" w:hAnsiTheme="majorEastAsia" w:eastAsiaTheme="majorEastAsia"/>
          <w:b/>
          <w:color w:val="auto"/>
          <w:sz w:val="28"/>
          <w:szCs w:val="22"/>
        </w:rPr>
        <w:t>二零二四年四</w:t>
      </w:r>
      <w:r>
        <w:rPr>
          <w:rFonts w:cs="Times New Roman" w:asciiTheme="majorEastAsia" w:hAnsiTheme="majorEastAsia" w:eastAsiaTheme="majorEastAsia"/>
          <w:b/>
          <w:color w:val="auto"/>
          <w:sz w:val="28"/>
          <w:szCs w:val="22"/>
        </w:rPr>
        <w:t>月</w:t>
      </w:r>
    </w:p>
    <w:p>
      <w:pPr>
        <w:widowControl/>
        <w:jc w:val="left"/>
        <w:rPr>
          <w:rFonts w:cs="宋体" w:asciiTheme="majorEastAsia" w:hAnsiTheme="majorEastAsia" w:eastAsiaTheme="majorEastAsia"/>
          <w:b/>
          <w:bCs/>
          <w:color w:val="auto"/>
          <w:kern w:val="0"/>
          <w:sz w:val="32"/>
          <w:szCs w:val="32"/>
        </w:rPr>
      </w:pPr>
      <w:r>
        <w:rPr>
          <w:rFonts w:cs="宋体" w:asciiTheme="majorEastAsia" w:hAnsiTheme="majorEastAsia" w:eastAsiaTheme="majorEastAsia"/>
          <w:color w:val="auto"/>
        </w:rPr>
        <w:br w:type="page"/>
      </w:r>
    </w:p>
    <w:p>
      <w:pPr>
        <w:widowControl/>
        <w:snapToGrid w:val="0"/>
        <w:jc w:val="center"/>
        <w:outlineLvl w:val="0"/>
        <w:rPr>
          <w:rFonts w:asciiTheme="majorEastAsia" w:hAnsiTheme="majorEastAsia" w:eastAsiaTheme="majorEastAsia"/>
          <w:b/>
          <w:bCs/>
          <w:color w:val="auto"/>
          <w:sz w:val="32"/>
          <w:szCs w:val="32"/>
        </w:rPr>
      </w:pPr>
      <w:r>
        <w:rPr>
          <w:rFonts w:hint="eastAsia" w:asciiTheme="majorEastAsia" w:hAnsiTheme="majorEastAsia" w:eastAsiaTheme="majorEastAsia"/>
          <w:b/>
          <w:bCs/>
          <w:color w:val="auto"/>
          <w:sz w:val="32"/>
          <w:szCs w:val="32"/>
        </w:rPr>
        <w:t>第一章 竞价须知</w:t>
      </w:r>
    </w:p>
    <w:p>
      <w:pPr>
        <w:pStyle w:val="42"/>
        <w:numPr>
          <w:ilvl w:val="0"/>
          <w:numId w:val="3"/>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szCs w:val="21"/>
        </w:rPr>
        <w:t>本项目通过云采链线上采购一体化平台进行公开竞价，参与竞价的供应商必须登录平台进行注册，注册成功后方可参与项目竞价。</w:t>
      </w:r>
    </w:p>
    <w:p>
      <w:pPr>
        <w:pStyle w:val="42"/>
        <w:numPr>
          <w:ilvl w:val="0"/>
          <w:numId w:val="3"/>
        </w:numPr>
        <w:spacing w:line="360" w:lineRule="auto"/>
        <w:ind w:firstLineChars="0"/>
        <w:rPr>
          <w:rFonts w:asciiTheme="majorEastAsia" w:hAnsiTheme="majorEastAsia" w:eastAsiaTheme="majorEastAsia"/>
          <w:color w:val="auto"/>
        </w:rPr>
      </w:pPr>
      <w:r>
        <w:rPr>
          <w:rFonts w:asciiTheme="majorEastAsia" w:hAnsiTheme="majorEastAsia" w:eastAsiaTheme="majorEastAsia"/>
          <w:color w:val="auto"/>
        </w:rPr>
        <w:t>语言要求</w:t>
      </w:r>
    </w:p>
    <w:p>
      <w:pPr>
        <w:spacing w:line="360" w:lineRule="auto"/>
        <w:ind w:left="420" w:leftChars="200"/>
        <w:rPr>
          <w:rFonts w:asciiTheme="majorEastAsia" w:hAnsiTheme="majorEastAsia" w:eastAsiaTheme="majorEastAsia"/>
          <w:color w:val="auto"/>
        </w:rPr>
      </w:pPr>
      <w:r>
        <w:rPr>
          <w:rFonts w:asciiTheme="majorEastAsia" w:hAnsiTheme="majorEastAsia" w:eastAsiaTheme="majorEastAsia"/>
          <w:color w:val="auto"/>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spacing w:line="360" w:lineRule="auto"/>
        <w:ind w:left="422" w:hanging="422" w:hangingChars="200"/>
        <w:rPr>
          <w:rFonts w:asciiTheme="majorEastAsia" w:hAnsiTheme="majorEastAsia" w:eastAsiaTheme="majorEastAsia"/>
          <w:b/>
          <w:bCs/>
          <w:color w:val="auto"/>
        </w:rPr>
      </w:pPr>
      <w:r>
        <w:rPr>
          <w:rFonts w:hint="eastAsia" w:asciiTheme="majorEastAsia" w:hAnsiTheme="majorEastAsia" w:eastAsiaTheme="majorEastAsia"/>
          <w:b/>
          <w:bCs/>
          <w:color w:val="auto"/>
        </w:rPr>
        <w:t>三、在云采链平台参与项目竞价后放弃成交资格超过三次（含三次）的供应商连同该供应商同一法人名下所有公司将被列入平台黑名单，永久不得参与平台的项目竞价。</w:t>
      </w:r>
    </w:p>
    <w:p>
      <w:pPr>
        <w:spacing w:line="360" w:lineRule="auto"/>
        <w:rPr>
          <w:rFonts w:asciiTheme="majorEastAsia" w:hAnsiTheme="majorEastAsia" w:eastAsiaTheme="majorEastAsia"/>
          <w:color w:val="auto"/>
        </w:rPr>
      </w:pPr>
      <w:r>
        <w:rPr>
          <w:rFonts w:hint="eastAsia" w:asciiTheme="majorEastAsia" w:hAnsiTheme="majorEastAsia" w:eastAsiaTheme="majorEastAsia"/>
          <w:color w:val="auto"/>
        </w:rPr>
        <w:t>四、竞价须知</w:t>
      </w:r>
    </w:p>
    <w:p>
      <w:pPr>
        <w:pStyle w:val="42"/>
        <w:numPr>
          <w:ilvl w:val="0"/>
          <w:numId w:val="4"/>
        </w:numPr>
        <w:spacing w:line="360" w:lineRule="auto"/>
        <w:ind w:firstLineChars="0"/>
        <w:rPr>
          <w:rFonts w:asciiTheme="majorEastAsia" w:hAnsiTheme="majorEastAsia" w:eastAsiaTheme="majorEastAsia"/>
          <w:b/>
          <w:color w:val="auto"/>
        </w:rPr>
      </w:pPr>
      <w:r>
        <w:rPr>
          <w:rStyle w:val="21"/>
          <w:rFonts w:hint="eastAsia" w:asciiTheme="majorEastAsia" w:hAnsiTheme="majorEastAsia" w:eastAsiaTheme="majorEastAsia"/>
          <w:color w:val="auto"/>
        </w:rPr>
        <w:t>竞价说明</w:t>
      </w:r>
    </w:p>
    <w:p>
      <w:pPr>
        <w:pStyle w:val="42"/>
        <w:numPr>
          <w:ilvl w:val="0"/>
          <w:numId w:val="5"/>
        </w:numPr>
        <w:tabs>
          <w:tab w:val="left" w:pos="851"/>
        </w:tabs>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szCs w:val="21"/>
        </w:rPr>
        <w:t>参与竞价的供应商应承担所有与准备和参加竞价有关的费用</w:t>
      </w:r>
      <w:r>
        <w:rPr>
          <w:rFonts w:hint="eastAsia" w:cs="宋体" w:asciiTheme="majorEastAsia" w:hAnsiTheme="majorEastAsia" w:eastAsiaTheme="majorEastAsia"/>
          <w:color w:val="auto"/>
          <w:szCs w:val="21"/>
        </w:rPr>
        <w:t>，不</w:t>
      </w:r>
      <w:r>
        <w:rPr>
          <w:rFonts w:hint="eastAsia" w:cs="宋体" w:asciiTheme="majorEastAsia" w:hAnsiTheme="majorEastAsia" w:eastAsiaTheme="majorEastAsia"/>
          <w:color w:val="auto"/>
          <w:szCs w:val="21"/>
          <w:lang w:eastAsia="zh-TW"/>
        </w:rPr>
        <w:t>论</w:t>
      </w:r>
      <w:r>
        <w:rPr>
          <w:rFonts w:hint="eastAsia" w:cs="宋体" w:asciiTheme="majorEastAsia" w:hAnsiTheme="majorEastAsia" w:eastAsiaTheme="majorEastAsia"/>
          <w:color w:val="auto"/>
          <w:szCs w:val="21"/>
        </w:rPr>
        <w:t>竞价</w:t>
      </w:r>
      <w:r>
        <w:rPr>
          <w:rFonts w:hint="eastAsia" w:cs="宋体" w:asciiTheme="majorEastAsia" w:hAnsiTheme="majorEastAsia" w:eastAsiaTheme="majorEastAsia"/>
          <w:color w:val="auto"/>
          <w:szCs w:val="21"/>
          <w:lang w:eastAsia="zh-TW"/>
        </w:rPr>
        <w:t>的结果如何</w:t>
      </w:r>
      <w:r>
        <w:rPr>
          <w:rFonts w:hint="eastAsia" w:cs="宋体" w:asciiTheme="majorEastAsia" w:hAnsiTheme="majorEastAsia" w:eastAsiaTheme="majorEastAsia"/>
          <w:color w:val="auto"/>
          <w:szCs w:val="21"/>
        </w:rPr>
        <w:t>，采购</w:t>
      </w:r>
      <w:r>
        <w:rPr>
          <w:rFonts w:hint="eastAsia" w:cs="宋体" w:asciiTheme="majorEastAsia" w:hAnsiTheme="majorEastAsia" w:eastAsiaTheme="majorEastAsia"/>
          <w:color w:val="auto"/>
          <w:szCs w:val="21"/>
          <w:lang w:eastAsia="zh-TW"/>
        </w:rPr>
        <w:t>人</w:t>
      </w:r>
      <w:r>
        <w:rPr>
          <w:rFonts w:hint="eastAsia" w:cs="宋体" w:asciiTheme="majorEastAsia" w:hAnsiTheme="majorEastAsia" w:eastAsiaTheme="majorEastAsia"/>
          <w:color w:val="auto"/>
          <w:szCs w:val="21"/>
        </w:rPr>
        <w:t>和</w:t>
      </w:r>
      <w:r>
        <w:rPr>
          <w:rFonts w:hint="eastAsia" w:cs="宋体" w:asciiTheme="majorEastAsia" w:hAnsiTheme="majorEastAsia" w:eastAsiaTheme="majorEastAsia"/>
          <w:color w:val="auto"/>
          <w:szCs w:val="21"/>
          <w:lang w:eastAsia="zh-TW"/>
        </w:rPr>
        <w:t>代理机构均无义务和责任承担这些费用</w:t>
      </w:r>
      <w:r>
        <w:rPr>
          <w:rFonts w:hint="eastAsia" w:cs="宋体" w:asciiTheme="majorEastAsia" w:hAnsiTheme="majorEastAsia" w:eastAsiaTheme="majorEastAsia"/>
          <w:color w:val="auto"/>
          <w:szCs w:val="21"/>
        </w:rPr>
        <w:t>。</w:t>
      </w:r>
    </w:p>
    <w:p>
      <w:pPr>
        <w:pStyle w:val="42"/>
        <w:numPr>
          <w:ilvl w:val="0"/>
          <w:numId w:val="5"/>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szCs w:val="21"/>
        </w:rPr>
        <w:t>参与竞价的</w:t>
      </w:r>
      <w:r>
        <w:rPr>
          <w:rFonts w:hint="eastAsia" w:asciiTheme="majorEastAsia" w:hAnsiTheme="majorEastAsia" w:eastAsiaTheme="majorEastAsia"/>
          <w:bCs/>
          <w:color w:val="auto"/>
          <w:szCs w:val="21"/>
        </w:rPr>
        <w:t>供应商必须按竞价附件的格式填写，不得随意增加或删除表格内容。除单价、金额或项目要求填写的内容外，不得擅自改动竞价附件内容，否则将有可能影响成交结果，不推荐为成交候选人。</w:t>
      </w:r>
    </w:p>
    <w:p>
      <w:pPr>
        <w:pStyle w:val="42"/>
        <w:numPr>
          <w:ilvl w:val="0"/>
          <w:numId w:val="5"/>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szCs w:val="21"/>
        </w:rPr>
        <w:t>参与竞价的</w:t>
      </w:r>
      <w:r>
        <w:rPr>
          <w:rFonts w:hint="eastAsia" w:asciiTheme="majorEastAsia" w:hAnsiTheme="majorEastAsia" w:eastAsiaTheme="majorEastAsia"/>
          <w:color w:val="auto"/>
          <w:szCs w:val="21"/>
          <w:lang w:val="zh-CN"/>
        </w:rPr>
        <w:t>供应商需对用户需求书的所有条款进行整体响应，用户需求书条款若有一条负偏离或不响应，</w:t>
      </w:r>
      <w:r>
        <w:rPr>
          <w:rFonts w:hint="eastAsia" w:asciiTheme="majorEastAsia" w:hAnsiTheme="majorEastAsia" w:eastAsiaTheme="majorEastAsia"/>
          <w:bCs/>
          <w:color w:val="auto"/>
          <w:szCs w:val="21"/>
        </w:rPr>
        <w:t>不推荐为成交候选人</w:t>
      </w:r>
      <w:r>
        <w:rPr>
          <w:rFonts w:hint="eastAsia" w:asciiTheme="majorEastAsia" w:hAnsiTheme="majorEastAsia" w:eastAsiaTheme="majorEastAsia"/>
          <w:color w:val="auto"/>
          <w:szCs w:val="21"/>
          <w:lang w:val="zh-CN"/>
        </w:rPr>
        <w:t>。</w:t>
      </w:r>
    </w:p>
    <w:p>
      <w:pPr>
        <w:pStyle w:val="42"/>
        <w:numPr>
          <w:ilvl w:val="0"/>
          <w:numId w:val="5"/>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szCs w:val="21"/>
        </w:rPr>
        <w:t>若成交供应商自身原因无法完成本项目，则采购人有权利保留追究责任。</w:t>
      </w:r>
    </w:p>
    <w:p>
      <w:pPr>
        <w:pStyle w:val="42"/>
        <w:numPr>
          <w:ilvl w:val="0"/>
          <w:numId w:val="5"/>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rPr>
        <w:t>成交供应商因自身原因被取消成交资格，采购人可重新启动采购或按竞价公告规定顺延推选符合要求的供应商作为成交供应商。</w:t>
      </w:r>
    </w:p>
    <w:p>
      <w:pPr>
        <w:pStyle w:val="42"/>
        <w:numPr>
          <w:ilvl w:val="0"/>
          <w:numId w:val="5"/>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rPr>
        <w:t>若本项目竞价采购失败，采购人将重新采购，届时采购人有权根据项目具体情况，决定重新采购项目的采购方式。</w:t>
      </w:r>
    </w:p>
    <w:p>
      <w:pPr>
        <w:pStyle w:val="42"/>
        <w:numPr>
          <w:ilvl w:val="0"/>
          <w:numId w:val="5"/>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rPr>
        <w:t>成交供应商若无正当理由恶意放弃成交资格，采购人有权将拒绝其参加本项目重新组织的竞价采购活动。</w:t>
      </w:r>
    </w:p>
    <w:p>
      <w:pPr>
        <w:pStyle w:val="42"/>
        <w:numPr>
          <w:ilvl w:val="0"/>
          <w:numId w:val="5"/>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rPr>
        <w:t>如采购人或代理机构在审核或复核</w:t>
      </w:r>
      <w:r>
        <w:rPr>
          <w:rFonts w:hint="eastAsia" w:asciiTheme="majorEastAsia" w:hAnsiTheme="majorEastAsia" w:eastAsiaTheme="majorEastAsia"/>
          <w:color w:val="auto"/>
          <w:szCs w:val="21"/>
        </w:rPr>
        <w:t>参与竞价的</w:t>
      </w:r>
      <w:r>
        <w:rPr>
          <w:rFonts w:hint="eastAsia" w:asciiTheme="majorEastAsia" w:hAnsiTheme="majorEastAsia" w:eastAsiaTheme="majorEastAsia"/>
          <w:color w:val="auto"/>
        </w:rPr>
        <w:t>供应商所提交的竞价资料时，供应商须无条件配合；期间若发现存在弄虚作假或相关的失信记录或违反国家法律法规等相关的不良情形，采购人可取消其成交资格并保留追究责任的权力。</w:t>
      </w:r>
    </w:p>
    <w:p>
      <w:pPr>
        <w:pStyle w:val="42"/>
        <w:numPr>
          <w:ilvl w:val="0"/>
          <w:numId w:val="5"/>
        </w:numPr>
        <w:spacing w:line="360" w:lineRule="auto"/>
        <w:ind w:firstLineChars="0"/>
        <w:rPr>
          <w:rFonts w:asciiTheme="majorEastAsia" w:hAnsiTheme="majorEastAsia" w:eastAsiaTheme="majorEastAsia"/>
          <w:color w:val="auto"/>
        </w:rPr>
      </w:pPr>
      <w:r>
        <w:rPr>
          <w:rFonts w:hint="eastAsia" w:cs="宋体" w:asciiTheme="majorEastAsia" w:hAnsiTheme="majorEastAsia" w:eastAsiaTheme="majorEastAsia"/>
          <w:color w:val="auto"/>
          <w:szCs w:val="21"/>
        </w:rPr>
        <w:t>参与竞价的</w:t>
      </w:r>
      <w:r>
        <w:rPr>
          <w:rFonts w:hint="eastAsia" w:cs="宋体" w:asciiTheme="majorEastAsia" w:hAnsiTheme="majorEastAsia" w:eastAsiaTheme="majorEastAsia"/>
          <w:color w:val="auto"/>
          <w:szCs w:val="21"/>
          <w:lang w:eastAsia="zh-TW"/>
        </w:rPr>
        <w:t>供应商向我司咨询的有关项目事项，一切以</w:t>
      </w:r>
      <w:r>
        <w:rPr>
          <w:rFonts w:hint="eastAsia" w:cs="宋体" w:asciiTheme="majorEastAsia" w:hAnsiTheme="majorEastAsia" w:eastAsiaTheme="majorEastAsia"/>
          <w:color w:val="auto"/>
          <w:szCs w:val="21"/>
        </w:rPr>
        <w:t>竞价文件</w:t>
      </w:r>
      <w:r>
        <w:rPr>
          <w:rFonts w:hint="eastAsia" w:cs="宋体" w:asciiTheme="majorEastAsia" w:hAnsiTheme="majorEastAsia" w:eastAsiaTheme="majorEastAsia"/>
          <w:color w:val="auto"/>
          <w:szCs w:val="21"/>
          <w:lang w:eastAsia="zh-TW"/>
        </w:rPr>
        <w:t>规定</w:t>
      </w:r>
      <w:r>
        <w:rPr>
          <w:rFonts w:hint="eastAsia" w:cs="宋体" w:asciiTheme="majorEastAsia" w:hAnsiTheme="majorEastAsia" w:eastAsiaTheme="majorEastAsia"/>
          <w:color w:val="auto"/>
          <w:szCs w:val="21"/>
        </w:rPr>
        <w:t>和竞价公告规定以及</w:t>
      </w:r>
      <w:r>
        <w:rPr>
          <w:rFonts w:hint="eastAsia" w:cs="宋体" w:asciiTheme="majorEastAsia" w:hAnsiTheme="majorEastAsia" w:eastAsiaTheme="majorEastAsia"/>
          <w:color w:val="auto"/>
          <w:szCs w:val="21"/>
          <w:lang w:eastAsia="zh-TW"/>
        </w:rPr>
        <w:t>本公司</w:t>
      </w:r>
      <w:r>
        <w:rPr>
          <w:rFonts w:hint="eastAsia" w:cs="宋体" w:asciiTheme="majorEastAsia" w:hAnsiTheme="majorEastAsia" w:eastAsiaTheme="majorEastAsia"/>
          <w:color w:val="auto"/>
          <w:szCs w:val="21"/>
        </w:rPr>
        <w:t>的</w:t>
      </w:r>
      <w:r>
        <w:rPr>
          <w:rFonts w:hint="eastAsia" w:cs="宋体" w:asciiTheme="majorEastAsia" w:hAnsiTheme="majorEastAsia" w:eastAsiaTheme="majorEastAsia"/>
          <w:color w:val="auto"/>
          <w:szCs w:val="21"/>
          <w:lang w:eastAsia="zh-TW"/>
        </w:rPr>
        <w:t>书面答复为准，其他一切形式均为个人意见，不代表本公司的意见</w:t>
      </w:r>
      <w:r>
        <w:rPr>
          <w:rFonts w:hint="eastAsia" w:cs="宋体" w:asciiTheme="majorEastAsia" w:hAnsiTheme="majorEastAsia" w:eastAsiaTheme="majorEastAsia"/>
          <w:color w:val="auto"/>
          <w:szCs w:val="21"/>
        </w:rPr>
        <w:t>。</w:t>
      </w:r>
    </w:p>
    <w:p>
      <w:pPr>
        <w:pStyle w:val="42"/>
        <w:numPr>
          <w:ilvl w:val="0"/>
          <w:numId w:val="5"/>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szCs w:val="21"/>
        </w:rPr>
        <w:t>参与竞价的供应商应认真阅读</w:t>
      </w:r>
      <w:r>
        <w:rPr>
          <w:rFonts w:hint="eastAsia" w:cs="宋体" w:asciiTheme="majorEastAsia" w:hAnsiTheme="majorEastAsia" w:eastAsiaTheme="majorEastAsia"/>
          <w:color w:val="auto"/>
          <w:szCs w:val="21"/>
          <w:lang w:eastAsia="zh-TW"/>
        </w:rPr>
        <w:t>、并充分理解</w:t>
      </w:r>
      <w:r>
        <w:rPr>
          <w:rFonts w:hint="eastAsia" w:cs="宋体" w:asciiTheme="majorEastAsia" w:hAnsiTheme="majorEastAsia" w:eastAsiaTheme="majorEastAsia"/>
          <w:color w:val="auto"/>
          <w:szCs w:val="21"/>
        </w:rPr>
        <w:t>竞价</w:t>
      </w:r>
      <w:r>
        <w:rPr>
          <w:rFonts w:hint="eastAsia" w:cs="宋体" w:asciiTheme="majorEastAsia" w:hAnsiTheme="majorEastAsia" w:eastAsiaTheme="majorEastAsia"/>
          <w:color w:val="auto"/>
          <w:szCs w:val="21"/>
          <w:lang w:eastAsia="zh-TW"/>
        </w:rPr>
        <w:t>文件的全部内容（包括所有的补充、</w:t>
      </w:r>
    </w:p>
    <w:p>
      <w:pPr>
        <w:spacing w:line="360" w:lineRule="auto"/>
        <w:ind w:left="840" w:leftChars="400"/>
        <w:rPr>
          <w:rFonts w:asciiTheme="majorEastAsia" w:hAnsiTheme="majorEastAsia" w:eastAsiaTheme="majorEastAsia"/>
          <w:color w:val="auto"/>
        </w:rPr>
      </w:pPr>
      <w:r>
        <w:rPr>
          <w:rFonts w:hint="eastAsia" w:cs="宋体" w:asciiTheme="majorEastAsia" w:hAnsiTheme="majorEastAsia" w:eastAsiaTheme="majorEastAsia"/>
          <w:color w:val="auto"/>
          <w:lang w:eastAsia="zh-TW"/>
        </w:rPr>
        <w:t>修改内容重要事项、格式、条款</w:t>
      </w:r>
      <w:r>
        <w:rPr>
          <w:rFonts w:hint="eastAsia" w:cs="宋体" w:asciiTheme="majorEastAsia" w:hAnsiTheme="majorEastAsia" w:eastAsiaTheme="majorEastAsia"/>
          <w:color w:val="auto"/>
        </w:rPr>
        <w:t>、服务要求</w:t>
      </w:r>
      <w:r>
        <w:rPr>
          <w:rFonts w:hint="eastAsia" w:cs="宋体" w:asciiTheme="majorEastAsia" w:hAnsiTheme="majorEastAsia" w:eastAsiaTheme="majorEastAsia"/>
          <w:color w:val="auto"/>
          <w:lang w:eastAsia="zh-TW"/>
        </w:rPr>
        <w:t>和技术规范、参数及要求等）。</w:t>
      </w:r>
      <w:r>
        <w:rPr>
          <w:rFonts w:hint="eastAsia" w:cs="宋体" w:asciiTheme="majorEastAsia" w:hAnsiTheme="majorEastAsia" w:eastAsiaTheme="majorEastAsia"/>
          <w:color w:val="auto"/>
        </w:rPr>
        <w:t>供应商</w:t>
      </w:r>
      <w:r>
        <w:rPr>
          <w:rFonts w:hint="eastAsia" w:cs="宋体" w:asciiTheme="majorEastAsia" w:hAnsiTheme="majorEastAsia" w:eastAsiaTheme="majorEastAsia"/>
          <w:color w:val="auto"/>
          <w:lang w:eastAsia="zh-TW"/>
        </w:rPr>
        <w:t>没有按照</w:t>
      </w:r>
      <w:r>
        <w:rPr>
          <w:rFonts w:hint="eastAsia" w:cs="宋体" w:asciiTheme="majorEastAsia" w:hAnsiTheme="majorEastAsia" w:eastAsiaTheme="majorEastAsia"/>
          <w:color w:val="auto"/>
        </w:rPr>
        <w:t>竞价</w:t>
      </w:r>
      <w:r>
        <w:rPr>
          <w:rFonts w:hint="eastAsia" w:cs="宋体" w:asciiTheme="majorEastAsia" w:hAnsiTheme="majorEastAsia" w:eastAsiaTheme="majorEastAsia"/>
          <w:color w:val="auto"/>
          <w:lang w:eastAsia="zh-TW"/>
        </w:rPr>
        <w:t>文件要求提交全部资料，或者</w:t>
      </w:r>
      <w:r>
        <w:rPr>
          <w:rFonts w:hint="eastAsia" w:cs="宋体" w:asciiTheme="majorEastAsia" w:hAnsiTheme="majorEastAsia" w:eastAsiaTheme="majorEastAsia"/>
          <w:color w:val="auto"/>
        </w:rPr>
        <w:t>参与竞价所上传的</w:t>
      </w:r>
      <w:r>
        <w:rPr>
          <w:rFonts w:hint="eastAsia" w:cs="宋体" w:asciiTheme="majorEastAsia" w:hAnsiTheme="majorEastAsia" w:eastAsiaTheme="majorEastAsia"/>
          <w:color w:val="auto"/>
          <w:lang w:eastAsia="zh-TW"/>
        </w:rPr>
        <w:t>文件没有对</w:t>
      </w:r>
      <w:r>
        <w:rPr>
          <w:rFonts w:hint="eastAsia" w:cs="宋体" w:asciiTheme="majorEastAsia" w:hAnsiTheme="majorEastAsia" w:eastAsiaTheme="majorEastAsia"/>
          <w:color w:val="auto"/>
        </w:rPr>
        <w:t>竞价</w:t>
      </w:r>
      <w:r>
        <w:rPr>
          <w:rFonts w:hint="eastAsia" w:cs="宋体" w:asciiTheme="majorEastAsia" w:hAnsiTheme="majorEastAsia" w:eastAsiaTheme="majorEastAsia"/>
          <w:color w:val="auto"/>
          <w:lang w:eastAsia="zh-TW"/>
        </w:rPr>
        <w:t>文件在各方面都作出实质性响应是</w:t>
      </w:r>
      <w:r>
        <w:rPr>
          <w:rFonts w:hint="eastAsia" w:cs="宋体" w:asciiTheme="majorEastAsia" w:hAnsiTheme="majorEastAsia" w:eastAsiaTheme="majorEastAsia"/>
          <w:color w:val="auto"/>
        </w:rPr>
        <w:t>供应商</w:t>
      </w:r>
      <w:r>
        <w:rPr>
          <w:rFonts w:hint="eastAsia" w:cs="宋体" w:asciiTheme="majorEastAsia" w:hAnsiTheme="majorEastAsia" w:eastAsiaTheme="majorEastAsia"/>
          <w:color w:val="auto"/>
          <w:lang w:eastAsia="zh-TW"/>
        </w:rPr>
        <w:t>的风险，有可能导致其</w:t>
      </w:r>
      <w:r>
        <w:rPr>
          <w:rFonts w:hint="eastAsia" w:cs="宋体" w:asciiTheme="majorEastAsia" w:hAnsiTheme="majorEastAsia" w:eastAsiaTheme="majorEastAsia"/>
          <w:color w:val="auto"/>
        </w:rPr>
        <w:t>竞价</w:t>
      </w:r>
      <w:r>
        <w:rPr>
          <w:rFonts w:hint="eastAsia" w:cs="宋体" w:asciiTheme="majorEastAsia" w:hAnsiTheme="majorEastAsia" w:eastAsiaTheme="majorEastAsia"/>
          <w:color w:val="auto"/>
          <w:lang w:eastAsia="zh-TW"/>
        </w:rPr>
        <w:t>被拒绝，</w:t>
      </w:r>
      <w:r>
        <w:rPr>
          <w:rFonts w:hint="eastAsia" w:asciiTheme="majorEastAsia" w:hAnsiTheme="majorEastAsia" w:eastAsiaTheme="majorEastAsia"/>
          <w:color w:val="auto"/>
        </w:rPr>
        <w:t>或被认定为无效竞价。</w:t>
      </w:r>
    </w:p>
    <w:p>
      <w:pPr>
        <w:pStyle w:val="42"/>
        <w:numPr>
          <w:ilvl w:val="0"/>
          <w:numId w:val="5"/>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kern w:val="0"/>
          <w:szCs w:val="21"/>
        </w:rPr>
        <w:t>采购人有权拒绝接受任何不合格的货物或服务，由此产生的费用及相关后果均由成交供应商自行承担。</w:t>
      </w:r>
    </w:p>
    <w:p>
      <w:pPr>
        <w:pStyle w:val="42"/>
        <w:numPr>
          <w:ilvl w:val="0"/>
          <w:numId w:val="5"/>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rPr>
        <w:t>供应商认为竞价结果损害其权益的，应按照云采链平台相关指引在规定的时间内向采购人或代理机构提交书面质疑，不提交的视为无异议，</w:t>
      </w:r>
      <w:r>
        <w:rPr>
          <w:rFonts w:asciiTheme="majorEastAsia" w:hAnsiTheme="majorEastAsia" w:eastAsiaTheme="majorEastAsia"/>
          <w:color w:val="auto"/>
        </w:rPr>
        <w:t>逾期提交将不予受理</w:t>
      </w:r>
      <w:r>
        <w:rPr>
          <w:rFonts w:hint="eastAsia" w:asciiTheme="majorEastAsia" w:hAnsiTheme="majorEastAsia" w:eastAsiaTheme="majorEastAsia"/>
          <w:color w:val="auto"/>
        </w:rPr>
        <w:t>。</w:t>
      </w:r>
    </w:p>
    <w:p>
      <w:pPr>
        <w:pStyle w:val="42"/>
        <w:numPr>
          <w:ilvl w:val="0"/>
          <w:numId w:val="5"/>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szCs w:val="21"/>
        </w:rPr>
        <w:t>本竞价公告和竞价文件的解释权归</w:t>
      </w:r>
      <w:r>
        <w:rPr>
          <w:rFonts w:hint="eastAsia" w:cs="宋体" w:asciiTheme="majorEastAsia" w:hAnsiTheme="majorEastAsia" w:eastAsiaTheme="majorEastAsia"/>
          <w:color w:val="auto"/>
          <w:szCs w:val="21"/>
          <w:lang w:eastAsia="zh-TW"/>
        </w:rPr>
        <w:t>“</w:t>
      </w:r>
      <w:r>
        <w:rPr>
          <w:rFonts w:hint="eastAsia" w:asciiTheme="majorEastAsia" w:hAnsiTheme="majorEastAsia" w:eastAsiaTheme="majorEastAsia"/>
          <w:color w:val="auto"/>
          <w:szCs w:val="21"/>
        </w:rPr>
        <w:t>云采链线上采购一体化平台</w:t>
      </w:r>
      <w:r>
        <w:rPr>
          <w:rFonts w:hint="eastAsia" w:cs="宋体" w:asciiTheme="majorEastAsia" w:hAnsiTheme="majorEastAsia" w:eastAsiaTheme="majorEastAsia"/>
          <w:color w:val="auto"/>
          <w:szCs w:val="21"/>
          <w:lang w:eastAsia="zh-TW"/>
        </w:rPr>
        <w:t>”所有。</w:t>
      </w:r>
    </w:p>
    <w:p>
      <w:pPr>
        <w:pStyle w:val="42"/>
        <w:numPr>
          <w:ilvl w:val="0"/>
          <w:numId w:val="4"/>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b/>
          <w:color w:val="auto"/>
        </w:rPr>
        <w:t>竞价文件的澄清或修改</w:t>
      </w:r>
    </w:p>
    <w:p>
      <w:pPr>
        <w:pStyle w:val="42"/>
        <w:numPr>
          <w:ilvl w:val="0"/>
          <w:numId w:val="6"/>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rPr>
        <w:t>采购人或者采购代理机构可以对已发出的竞价文件进行必要的澄清或者修改。澄清或</w:t>
      </w:r>
    </w:p>
    <w:p>
      <w:pPr>
        <w:spacing w:line="360" w:lineRule="auto"/>
        <w:ind w:left="420" w:leftChars="200" w:firstLine="210" w:firstLineChars="100"/>
        <w:rPr>
          <w:rFonts w:asciiTheme="majorEastAsia" w:hAnsiTheme="majorEastAsia" w:eastAsiaTheme="majorEastAsia"/>
          <w:color w:val="auto"/>
        </w:rPr>
      </w:pPr>
      <w:r>
        <w:rPr>
          <w:rFonts w:hint="eastAsia" w:asciiTheme="majorEastAsia" w:hAnsiTheme="majorEastAsia" w:eastAsiaTheme="majorEastAsia"/>
          <w:color w:val="auto"/>
        </w:rPr>
        <w:t>者修改的内容将在云采链平台上发布澄清（更正/变更）公告。</w:t>
      </w:r>
    </w:p>
    <w:p>
      <w:pPr>
        <w:pStyle w:val="42"/>
        <w:numPr>
          <w:ilvl w:val="0"/>
          <w:numId w:val="6"/>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rPr>
        <w:t>无论澄清或者修改的内容是否影响竞价，平台将以短信形式通知所有的报名供应商；</w:t>
      </w:r>
    </w:p>
    <w:p>
      <w:pPr>
        <w:spacing w:line="360" w:lineRule="auto"/>
        <w:ind w:left="630" w:leftChars="300"/>
        <w:rPr>
          <w:rFonts w:asciiTheme="majorEastAsia" w:hAnsiTheme="majorEastAsia" w:eastAsiaTheme="majorEastAsia"/>
          <w:color w:val="auto"/>
        </w:rPr>
      </w:pPr>
      <w:r>
        <w:rPr>
          <w:rFonts w:hint="eastAsia" w:asciiTheme="majorEastAsia" w:hAnsiTheme="majorEastAsia" w:eastAsiaTheme="majorEastAsia"/>
          <w:color w:val="auto"/>
        </w:rPr>
        <w:t>报名供应商应按要求履行相应的义务；</w:t>
      </w:r>
      <w:r>
        <w:rPr>
          <w:rFonts w:hint="eastAsia" w:cs="宋体" w:asciiTheme="majorEastAsia" w:hAnsiTheme="majorEastAsia" w:eastAsiaTheme="majorEastAsia"/>
          <w:color w:val="auto"/>
        </w:rPr>
        <w:t>如报名</w:t>
      </w:r>
      <w:r>
        <w:rPr>
          <w:rFonts w:hint="eastAsia" w:cs="宋体" w:asciiTheme="majorEastAsia" w:hAnsiTheme="majorEastAsia" w:eastAsiaTheme="majorEastAsia"/>
          <w:color w:val="auto"/>
          <w:lang w:eastAsia="zh-TW"/>
        </w:rPr>
        <w:t>截止时间</w:t>
      </w:r>
      <w:r>
        <w:rPr>
          <w:rFonts w:hint="eastAsia" w:cs="宋体" w:asciiTheme="majorEastAsia" w:hAnsiTheme="majorEastAsia" w:eastAsiaTheme="majorEastAsia"/>
          <w:color w:val="auto"/>
        </w:rPr>
        <w:t>少于一个工作日的，</w:t>
      </w:r>
      <w:r>
        <w:rPr>
          <w:rFonts w:hint="eastAsia" w:asciiTheme="majorEastAsia" w:hAnsiTheme="majorEastAsia" w:eastAsiaTheme="majorEastAsia"/>
          <w:color w:val="auto"/>
        </w:rPr>
        <w:t>采购人或者采购代理机构应当相应顺延报名的截止时间。</w:t>
      </w:r>
    </w:p>
    <w:p>
      <w:pPr>
        <w:pStyle w:val="42"/>
        <w:numPr>
          <w:ilvl w:val="0"/>
          <w:numId w:val="6"/>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rPr>
        <w:t>采购人或者采购代理机构发出的澄清或修改（更正/变更）的内容为竞价文件的组成</w:t>
      </w:r>
    </w:p>
    <w:p>
      <w:pPr>
        <w:spacing w:line="360" w:lineRule="auto"/>
        <w:ind w:left="420" w:leftChars="200" w:firstLine="210" w:firstLineChars="100"/>
        <w:rPr>
          <w:rFonts w:asciiTheme="majorEastAsia" w:hAnsiTheme="majorEastAsia" w:eastAsiaTheme="majorEastAsia"/>
          <w:color w:val="auto"/>
        </w:rPr>
      </w:pPr>
      <w:r>
        <w:rPr>
          <w:rFonts w:hint="eastAsia" w:asciiTheme="majorEastAsia" w:hAnsiTheme="majorEastAsia" w:eastAsiaTheme="majorEastAsia"/>
          <w:color w:val="auto"/>
        </w:rPr>
        <w:t>部分，并对供应商具有约束力。</w:t>
      </w:r>
    </w:p>
    <w:p>
      <w:pPr>
        <w:pStyle w:val="42"/>
        <w:numPr>
          <w:ilvl w:val="0"/>
          <w:numId w:val="4"/>
        </w:numPr>
        <w:spacing w:line="360" w:lineRule="auto"/>
        <w:ind w:firstLineChars="0"/>
        <w:rPr>
          <w:rStyle w:val="21"/>
          <w:rFonts w:asciiTheme="majorEastAsia" w:hAnsiTheme="majorEastAsia" w:eastAsiaTheme="majorEastAsia"/>
          <w:bCs w:val="0"/>
          <w:color w:val="auto"/>
        </w:rPr>
      </w:pPr>
      <w:r>
        <w:rPr>
          <w:rStyle w:val="21"/>
          <w:rFonts w:hint="eastAsia" w:asciiTheme="majorEastAsia" w:hAnsiTheme="majorEastAsia" w:eastAsiaTheme="majorEastAsia"/>
          <w:color w:val="auto"/>
        </w:rPr>
        <w:t>报名要求（</w:t>
      </w:r>
      <w:r>
        <w:rPr>
          <w:rFonts w:hint="eastAsia" w:asciiTheme="majorEastAsia" w:hAnsiTheme="majorEastAsia" w:eastAsiaTheme="majorEastAsia"/>
          <w:color w:val="auto"/>
          <w:szCs w:val="21"/>
        </w:rPr>
        <w:t>参与竞价的</w:t>
      </w:r>
      <w:r>
        <w:rPr>
          <w:rStyle w:val="21"/>
          <w:rFonts w:hint="eastAsia" w:asciiTheme="majorEastAsia" w:hAnsiTheme="majorEastAsia" w:eastAsiaTheme="majorEastAsia"/>
          <w:color w:val="auto"/>
        </w:rPr>
        <w:t>供应商资质要求: 报名时需要提供以下</w:t>
      </w:r>
      <w:r>
        <w:rPr>
          <w:rStyle w:val="21"/>
          <w:rFonts w:hint="eastAsia" w:asciiTheme="majorEastAsia" w:hAnsiTheme="majorEastAsia" w:eastAsiaTheme="majorEastAsia"/>
          <w:color w:val="auto"/>
          <w:u w:val="double"/>
        </w:rPr>
        <w:t>盖章</w:t>
      </w:r>
      <w:r>
        <w:rPr>
          <w:rStyle w:val="21"/>
          <w:rFonts w:hint="eastAsia" w:asciiTheme="majorEastAsia" w:hAnsiTheme="majorEastAsia" w:eastAsiaTheme="majorEastAsia"/>
          <w:color w:val="auto"/>
        </w:rPr>
        <w:t>资料，</w:t>
      </w:r>
      <w:r>
        <w:rPr>
          <w:rFonts w:hint="eastAsia" w:asciiTheme="majorEastAsia" w:hAnsiTheme="majorEastAsia" w:eastAsiaTheme="majorEastAsia"/>
          <w:color w:val="auto"/>
          <w:szCs w:val="21"/>
        </w:rPr>
        <w:t>并对上传的报名文件资料承担责任</w:t>
      </w:r>
      <w:r>
        <w:rPr>
          <w:rStyle w:val="21"/>
          <w:rFonts w:hint="eastAsia" w:asciiTheme="majorEastAsia" w:hAnsiTheme="majorEastAsia" w:eastAsiaTheme="majorEastAsia"/>
          <w:color w:val="auto"/>
        </w:rPr>
        <w:t>）</w:t>
      </w:r>
    </w:p>
    <w:p>
      <w:pPr>
        <w:pStyle w:val="42"/>
        <w:widowControl/>
        <w:numPr>
          <w:ilvl w:val="0"/>
          <w:numId w:val="7"/>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供应商提供在中华人民共和国境内注册的法人或其他组织的营业执照或事业单位法人</w:t>
      </w:r>
    </w:p>
    <w:p>
      <w:pPr>
        <w:widowControl/>
        <w:spacing w:line="360" w:lineRule="auto"/>
        <w:ind w:left="630" w:leftChars="300"/>
        <w:jc w:val="left"/>
        <w:rPr>
          <w:rFonts w:cs="宋体" w:asciiTheme="majorEastAsia" w:hAnsiTheme="majorEastAsia" w:eastAsiaTheme="majorEastAsia"/>
          <w:color w:val="auto"/>
          <w:kern w:val="0"/>
        </w:rPr>
      </w:pPr>
      <w:r>
        <w:rPr>
          <w:rFonts w:hint="eastAsia" w:cs="宋体" w:asciiTheme="majorEastAsia" w:hAnsiTheme="majorEastAsia" w:eastAsiaTheme="majorEastAsia"/>
          <w:color w:val="auto"/>
          <w:kern w:val="0"/>
        </w:rPr>
        <w:t>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pStyle w:val="42"/>
        <w:widowControl/>
        <w:numPr>
          <w:ilvl w:val="0"/>
          <w:numId w:val="7"/>
        </w:numPr>
        <w:spacing w:line="360" w:lineRule="auto"/>
        <w:ind w:firstLineChars="0"/>
        <w:jc w:val="left"/>
        <w:rPr>
          <w:rFonts w:cs="宋体" w:asciiTheme="majorEastAsia" w:hAnsiTheme="majorEastAsia" w:eastAsiaTheme="majorEastAsia"/>
          <w:color w:val="auto"/>
          <w:kern w:val="0"/>
          <w:szCs w:val="20"/>
        </w:rPr>
      </w:pPr>
      <w:r>
        <w:rPr>
          <w:rFonts w:hint="eastAsia" w:cs="宋体" w:asciiTheme="majorEastAsia" w:hAnsiTheme="majorEastAsia" w:eastAsiaTheme="majorEastAsia"/>
          <w:color w:val="auto"/>
          <w:kern w:val="0"/>
          <w:szCs w:val="21"/>
        </w:rPr>
        <w:t>供应商完全响应本项目用户需求的条款、内容及要求的，提供用户需求书响应声明函，</w:t>
      </w:r>
    </w:p>
    <w:p>
      <w:pPr>
        <w:widowControl/>
        <w:spacing w:line="360" w:lineRule="auto"/>
        <w:ind w:firstLine="630" w:firstLineChars="300"/>
        <w:jc w:val="left"/>
        <w:rPr>
          <w:rFonts w:cs="宋体" w:asciiTheme="majorEastAsia" w:hAnsiTheme="majorEastAsia" w:eastAsiaTheme="majorEastAsia"/>
          <w:color w:val="auto"/>
          <w:kern w:val="0"/>
          <w:szCs w:val="20"/>
        </w:rPr>
      </w:pPr>
      <w:r>
        <w:rPr>
          <w:rFonts w:hint="eastAsia" w:cs="宋体" w:asciiTheme="majorEastAsia" w:hAnsiTheme="majorEastAsia" w:eastAsiaTheme="majorEastAsia"/>
          <w:color w:val="auto"/>
          <w:kern w:val="0"/>
        </w:rPr>
        <w:t>格式详见附件。</w:t>
      </w:r>
    </w:p>
    <w:p>
      <w:pPr>
        <w:pStyle w:val="42"/>
        <w:widowControl/>
        <w:numPr>
          <w:ilvl w:val="0"/>
          <w:numId w:val="7"/>
        </w:numPr>
        <w:spacing w:line="360" w:lineRule="auto"/>
        <w:ind w:firstLineChars="0"/>
        <w:jc w:val="left"/>
        <w:rPr>
          <w:rFonts w:cs="宋体" w:asciiTheme="majorEastAsia" w:hAnsiTheme="majorEastAsia" w:eastAsiaTheme="majorEastAsia"/>
          <w:color w:val="auto"/>
          <w:kern w:val="0"/>
          <w:szCs w:val="20"/>
        </w:rPr>
      </w:pPr>
      <w:r>
        <w:rPr>
          <w:rFonts w:hint="eastAsia" w:cs="新宋体" w:asciiTheme="majorEastAsia" w:hAnsiTheme="majorEastAsia" w:eastAsiaTheme="majorEastAsia"/>
          <w:color w:val="auto"/>
          <w:szCs w:val="21"/>
        </w:rPr>
        <w:t>供应商须具备《政府采购法》第二十二条所规定的条件；本项目不接受联合体竞价；不</w:t>
      </w:r>
    </w:p>
    <w:p>
      <w:pPr>
        <w:pStyle w:val="42"/>
        <w:widowControl/>
        <w:spacing w:line="360" w:lineRule="auto"/>
        <w:ind w:left="420" w:firstLine="210" w:firstLineChars="100"/>
        <w:jc w:val="left"/>
        <w:rPr>
          <w:rFonts w:asciiTheme="majorEastAsia" w:hAnsiTheme="majorEastAsia" w:eastAsiaTheme="majorEastAsia"/>
          <w:color w:val="auto"/>
        </w:rPr>
      </w:pPr>
      <w:r>
        <w:rPr>
          <w:rFonts w:hint="eastAsia" w:cs="新宋体" w:asciiTheme="majorEastAsia" w:hAnsiTheme="majorEastAsia" w:eastAsiaTheme="majorEastAsia"/>
          <w:color w:val="auto"/>
          <w:szCs w:val="21"/>
        </w:rPr>
        <w:t>允许分包、转包；</w:t>
      </w:r>
      <w:r>
        <w:rPr>
          <w:rFonts w:hint="eastAsia" w:cs="新宋体" w:asciiTheme="majorEastAsia" w:hAnsiTheme="majorEastAsia" w:eastAsiaTheme="majorEastAsia"/>
          <w:bCs/>
          <w:color w:val="auto"/>
        </w:rPr>
        <w:t>提供供应商资格声明函，格式详见附件。</w:t>
      </w:r>
    </w:p>
    <w:p>
      <w:pPr>
        <w:pStyle w:val="42"/>
        <w:numPr>
          <w:ilvl w:val="0"/>
          <w:numId w:val="4"/>
        </w:numPr>
        <w:spacing w:line="360" w:lineRule="auto"/>
        <w:ind w:firstLineChars="0"/>
        <w:rPr>
          <w:rStyle w:val="21"/>
          <w:rFonts w:asciiTheme="majorEastAsia" w:hAnsiTheme="majorEastAsia" w:eastAsiaTheme="majorEastAsia"/>
          <w:bCs w:val="0"/>
          <w:color w:val="auto"/>
        </w:rPr>
      </w:pPr>
      <w:r>
        <w:rPr>
          <w:rStyle w:val="21"/>
          <w:rFonts w:hint="eastAsia" w:asciiTheme="majorEastAsia" w:hAnsiTheme="majorEastAsia" w:eastAsiaTheme="majorEastAsia"/>
          <w:color w:val="auto"/>
        </w:rPr>
        <w:t>报价要求（报价时需要提供以下</w:t>
      </w:r>
      <w:r>
        <w:rPr>
          <w:rStyle w:val="21"/>
          <w:rFonts w:hint="eastAsia" w:asciiTheme="majorEastAsia" w:hAnsiTheme="majorEastAsia" w:eastAsiaTheme="majorEastAsia"/>
          <w:color w:val="auto"/>
          <w:u w:val="double"/>
        </w:rPr>
        <w:t>盖章</w:t>
      </w:r>
      <w:r>
        <w:rPr>
          <w:rStyle w:val="21"/>
          <w:rFonts w:hint="eastAsia" w:asciiTheme="majorEastAsia" w:hAnsiTheme="majorEastAsia" w:eastAsiaTheme="majorEastAsia"/>
          <w:color w:val="auto"/>
        </w:rPr>
        <w:t>资料，</w:t>
      </w:r>
      <w:r>
        <w:rPr>
          <w:rFonts w:hint="eastAsia" w:asciiTheme="majorEastAsia" w:hAnsiTheme="majorEastAsia" w:eastAsiaTheme="majorEastAsia"/>
          <w:color w:val="auto"/>
          <w:szCs w:val="21"/>
        </w:rPr>
        <w:t>并对上传的竞价文件资料承担责任</w:t>
      </w:r>
      <w:r>
        <w:rPr>
          <w:rStyle w:val="21"/>
          <w:rFonts w:hint="eastAsia" w:asciiTheme="majorEastAsia" w:hAnsiTheme="majorEastAsia" w:eastAsiaTheme="majorEastAsia"/>
          <w:color w:val="auto"/>
        </w:rPr>
        <w:t>）</w:t>
      </w:r>
    </w:p>
    <w:p>
      <w:pPr>
        <w:pStyle w:val="42"/>
        <w:numPr>
          <w:ilvl w:val="0"/>
          <w:numId w:val="8"/>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szCs w:val="21"/>
        </w:rPr>
        <w:t>通过报名供应商应根据本公告要求，在规定的竞价时间内对采购项目进行报价，同时按本公告要求完整</w:t>
      </w:r>
      <w:r>
        <w:rPr>
          <w:rFonts w:hint="eastAsia" w:cs="宋体" w:asciiTheme="majorEastAsia" w:hAnsiTheme="majorEastAsia" w:eastAsiaTheme="majorEastAsia"/>
          <w:color w:val="auto"/>
          <w:szCs w:val="21"/>
          <w:lang w:eastAsia="zh-TW"/>
        </w:rPr>
        <w:t>、真实、准确地</w:t>
      </w:r>
      <w:r>
        <w:rPr>
          <w:rFonts w:hint="eastAsia" w:cs="宋体" w:asciiTheme="majorEastAsia" w:hAnsiTheme="majorEastAsia" w:eastAsiaTheme="majorEastAsia"/>
          <w:color w:val="auto"/>
          <w:szCs w:val="21"/>
        </w:rPr>
        <w:t>填写并</w:t>
      </w:r>
      <w:r>
        <w:rPr>
          <w:rFonts w:hint="eastAsia" w:asciiTheme="majorEastAsia" w:hAnsiTheme="majorEastAsia" w:eastAsiaTheme="majorEastAsia"/>
          <w:color w:val="auto"/>
          <w:szCs w:val="21"/>
        </w:rPr>
        <w:t>上传相应报价附件（</w:t>
      </w:r>
      <w:r>
        <w:rPr>
          <w:rFonts w:hint="eastAsia" w:asciiTheme="majorEastAsia" w:hAnsiTheme="majorEastAsia" w:eastAsiaTheme="majorEastAsia"/>
          <w:b/>
          <w:color w:val="auto"/>
          <w:szCs w:val="21"/>
        </w:rPr>
        <w:t>报价表</w:t>
      </w:r>
      <w:r>
        <w:rPr>
          <w:rFonts w:hint="eastAsia" w:asciiTheme="majorEastAsia" w:hAnsiTheme="majorEastAsia" w:eastAsiaTheme="majorEastAsia"/>
          <w:color w:val="auto"/>
          <w:szCs w:val="21"/>
        </w:rPr>
        <w:t>）。</w:t>
      </w:r>
    </w:p>
    <w:p>
      <w:pPr>
        <w:pStyle w:val="42"/>
        <w:numPr>
          <w:ilvl w:val="0"/>
          <w:numId w:val="8"/>
        </w:numPr>
        <w:spacing w:line="360" w:lineRule="auto"/>
        <w:ind w:firstLineChars="0"/>
        <w:rPr>
          <w:rFonts w:asciiTheme="majorEastAsia" w:hAnsiTheme="majorEastAsia" w:eastAsiaTheme="majorEastAsia"/>
          <w:b/>
          <w:color w:val="auto"/>
          <w:u w:val="double"/>
        </w:rPr>
      </w:pPr>
      <w:r>
        <w:rPr>
          <w:rFonts w:hint="eastAsia" w:asciiTheme="majorEastAsia" w:hAnsiTheme="majorEastAsia" w:eastAsiaTheme="majorEastAsia"/>
          <w:b/>
          <w:color w:val="auto"/>
          <w:szCs w:val="21"/>
          <w:u w:val="double"/>
        </w:rPr>
        <w:t>公告中的报价次数指报价期间供应商可进行的最多报价次数。本项目只允许报价1次</w:t>
      </w:r>
      <w:r>
        <w:rPr>
          <w:rFonts w:hint="eastAsia" w:asciiTheme="majorEastAsia" w:hAnsiTheme="majorEastAsia" w:eastAsiaTheme="majorEastAsia"/>
          <w:b/>
          <w:color w:val="auto"/>
          <w:u w:val="double"/>
        </w:rPr>
        <w:t>。</w:t>
      </w:r>
    </w:p>
    <w:p>
      <w:pPr>
        <w:pStyle w:val="42"/>
        <w:numPr>
          <w:ilvl w:val="0"/>
          <w:numId w:val="4"/>
        </w:numPr>
        <w:spacing w:line="360" w:lineRule="auto"/>
        <w:ind w:firstLineChars="0"/>
        <w:rPr>
          <w:rStyle w:val="21"/>
          <w:rFonts w:asciiTheme="majorEastAsia" w:hAnsiTheme="majorEastAsia" w:eastAsiaTheme="majorEastAsia"/>
          <w:bCs w:val="0"/>
          <w:color w:val="auto"/>
        </w:rPr>
      </w:pPr>
      <w:r>
        <w:rPr>
          <w:rStyle w:val="21"/>
          <w:rFonts w:hint="eastAsia" w:asciiTheme="majorEastAsia" w:hAnsiTheme="majorEastAsia" w:eastAsiaTheme="majorEastAsia"/>
          <w:color w:val="auto"/>
        </w:rPr>
        <w:t>确定成交候选人</w:t>
      </w:r>
    </w:p>
    <w:p>
      <w:pPr>
        <w:pStyle w:val="42"/>
        <w:numPr>
          <w:ilvl w:val="0"/>
          <w:numId w:val="9"/>
        </w:numPr>
        <w:spacing w:line="360" w:lineRule="auto"/>
        <w:ind w:firstLineChars="0"/>
        <w:rPr>
          <w:rFonts w:asciiTheme="majorEastAsia" w:hAnsiTheme="majorEastAsia" w:eastAsiaTheme="majorEastAsia"/>
          <w:b/>
          <w:bCs/>
          <w:color w:val="auto"/>
        </w:rPr>
      </w:pPr>
      <w:r>
        <w:rPr>
          <w:rFonts w:hint="eastAsia" w:asciiTheme="majorEastAsia" w:hAnsiTheme="majorEastAsia" w:eastAsiaTheme="majorEastAsia"/>
          <w:b/>
          <w:bCs/>
          <w:color w:val="auto"/>
        </w:rPr>
        <w:t>本项目以最低价中标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pPr>
        <w:pStyle w:val="42"/>
        <w:numPr>
          <w:ilvl w:val="0"/>
          <w:numId w:val="4"/>
        </w:numPr>
        <w:spacing w:line="360" w:lineRule="auto"/>
        <w:ind w:firstLineChars="0"/>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无效报价</w:t>
      </w:r>
    </w:p>
    <w:p>
      <w:pPr>
        <w:pStyle w:val="42"/>
        <w:numPr>
          <w:ilvl w:val="0"/>
          <w:numId w:val="10"/>
        </w:numPr>
        <w:spacing w:line="360" w:lineRule="auto"/>
        <w:ind w:firstLineChars="0"/>
        <w:rPr>
          <w:rFonts w:asciiTheme="majorEastAsia" w:hAnsiTheme="majorEastAsia" w:eastAsiaTheme="majorEastAsia"/>
          <w:b/>
          <w:bCs/>
          <w:color w:val="auto"/>
          <w:szCs w:val="21"/>
        </w:rPr>
      </w:pPr>
      <w:r>
        <w:rPr>
          <w:rFonts w:hint="eastAsia" w:asciiTheme="majorEastAsia" w:hAnsiTheme="majorEastAsia" w:eastAsiaTheme="majorEastAsia"/>
          <w:b/>
          <w:bCs/>
          <w:color w:val="auto"/>
          <w:szCs w:val="21"/>
        </w:rPr>
        <w:t>参与竞价的</w:t>
      </w:r>
      <w:r>
        <w:rPr>
          <w:rFonts w:hint="eastAsia" w:asciiTheme="majorEastAsia" w:hAnsiTheme="majorEastAsia" w:eastAsiaTheme="majorEastAsia"/>
          <w:b/>
          <w:bCs/>
          <w:color w:val="auto"/>
        </w:rPr>
        <w:t>供应商报价超过最高限价或超过项目对应产品单项最高限价的视为无效报价</w:t>
      </w:r>
      <w:r>
        <w:rPr>
          <w:rFonts w:hint="eastAsia" w:asciiTheme="majorEastAsia" w:hAnsiTheme="majorEastAsia" w:eastAsiaTheme="majorEastAsia"/>
          <w:b/>
          <w:bCs/>
          <w:color w:val="auto"/>
          <w:szCs w:val="21"/>
        </w:rPr>
        <w:t>。</w:t>
      </w:r>
    </w:p>
    <w:p>
      <w:pPr>
        <w:pStyle w:val="42"/>
        <w:numPr>
          <w:ilvl w:val="0"/>
          <w:numId w:val="10"/>
        </w:numPr>
        <w:spacing w:line="360" w:lineRule="auto"/>
        <w:ind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参与竞价的</w:t>
      </w:r>
      <w:r>
        <w:rPr>
          <w:rFonts w:hint="eastAsia" w:asciiTheme="majorEastAsia" w:hAnsiTheme="majorEastAsia" w:eastAsiaTheme="majorEastAsia"/>
          <w:bCs/>
          <w:color w:val="auto"/>
          <w:szCs w:val="21"/>
        </w:rPr>
        <w:t>供应商须提供本项目要求的资质文件，如果不按公告规定或竞价文件要求等相关规定提供符合要求的资质文件，将被视为无效报价。</w:t>
      </w:r>
    </w:p>
    <w:p>
      <w:pPr>
        <w:pStyle w:val="42"/>
        <w:numPr>
          <w:ilvl w:val="0"/>
          <w:numId w:val="10"/>
        </w:numPr>
        <w:spacing w:line="360" w:lineRule="auto"/>
        <w:ind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参与竞价的</w:t>
      </w:r>
      <w:r>
        <w:rPr>
          <w:rFonts w:hint="eastAsia" w:asciiTheme="majorEastAsia" w:hAnsiTheme="majorEastAsia" w:eastAsiaTheme="majorEastAsia"/>
          <w:bCs/>
          <w:color w:val="auto"/>
          <w:szCs w:val="21"/>
        </w:rPr>
        <w:t>供应商须对本项目采购内容进行整体报价，任何只对其中一部分内容进行的报价都被视为无效报价。</w:t>
      </w:r>
    </w:p>
    <w:p>
      <w:pPr>
        <w:pStyle w:val="42"/>
        <w:numPr>
          <w:ilvl w:val="0"/>
          <w:numId w:val="10"/>
        </w:numPr>
        <w:spacing w:line="360" w:lineRule="auto"/>
        <w:ind w:firstLineChars="0"/>
        <w:rPr>
          <w:rFonts w:asciiTheme="majorEastAsia" w:hAnsiTheme="majorEastAsia" w:eastAsiaTheme="majorEastAsia"/>
          <w:color w:val="auto"/>
          <w:szCs w:val="21"/>
        </w:rPr>
      </w:pPr>
      <w:r>
        <w:rPr>
          <w:rFonts w:asciiTheme="majorEastAsia" w:hAnsiTheme="majorEastAsia" w:eastAsiaTheme="majorEastAsia"/>
          <w:color w:val="auto"/>
          <w:u w:val="double"/>
        </w:rPr>
        <w:t>报价表</w:t>
      </w:r>
      <w:r>
        <w:rPr>
          <w:rFonts w:hint="eastAsia" w:asciiTheme="majorEastAsia" w:hAnsiTheme="majorEastAsia" w:eastAsiaTheme="majorEastAsia"/>
          <w:color w:val="auto"/>
          <w:u w:val="double"/>
        </w:rPr>
        <w:t>以及有报价供应商落款的报价文件</w:t>
      </w:r>
      <w:r>
        <w:rPr>
          <w:rFonts w:asciiTheme="majorEastAsia" w:hAnsiTheme="majorEastAsia" w:eastAsiaTheme="majorEastAsia"/>
          <w:color w:val="auto"/>
          <w:u w:val="double"/>
        </w:rPr>
        <w:t>必须加盖</w:t>
      </w:r>
      <w:r>
        <w:rPr>
          <w:rFonts w:hint="eastAsia" w:asciiTheme="majorEastAsia" w:hAnsiTheme="majorEastAsia" w:eastAsiaTheme="majorEastAsia"/>
          <w:color w:val="auto"/>
          <w:u w:val="double"/>
        </w:rPr>
        <w:t>报价供应商</w:t>
      </w:r>
      <w:r>
        <w:rPr>
          <w:rFonts w:asciiTheme="majorEastAsia" w:hAnsiTheme="majorEastAsia" w:eastAsiaTheme="majorEastAsia"/>
          <w:color w:val="auto"/>
          <w:u w:val="double"/>
        </w:rPr>
        <w:t>公章，否则视为无效报价</w:t>
      </w:r>
      <w:r>
        <w:rPr>
          <w:rFonts w:hint="eastAsia" w:asciiTheme="majorEastAsia" w:hAnsiTheme="majorEastAsia" w:eastAsiaTheme="majorEastAsia"/>
          <w:color w:val="auto"/>
        </w:rPr>
        <w:t>。</w:t>
      </w:r>
    </w:p>
    <w:p>
      <w:pPr>
        <w:pStyle w:val="42"/>
        <w:numPr>
          <w:ilvl w:val="0"/>
          <w:numId w:val="10"/>
        </w:numPr>
        <w:spacing w:line="360" w:lineRule="auto"/>
        <w:ind w:firstLineChars="0"/>
        <w:rPr>
          <w:rFonts w:asciiTheme="majorEastAsia" w:hAnsiTheme="majorEastAsia" w:eastAsiaTheme="majorEastAsia"/>
          <w:color w:val="auto"/>
          <w:szCs w:val="21"/>
        </w:rPr>
      </w:pPr>
      <w:r>
        <w:rPr>
          <w:rFonts w:asciiTheme="majorEastAsia" w:hAnsiTheme="majorEastAsia" w:eastAsiaTheme="majorEastAsia"/>
          <w:color w:val="auto"/>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asciiTheme="majorEastAsia" w:hAnsiTheme="majorEastAsia" w:eastAsiaTheme="majorEastAsia"/>
          <w:color w:val="auto"/>
          <w:szCs w:val="21"/>
        </w:rPr>
        <w:t>；不接受总价优惠折扣形式的报价，供应商应将对项目的优惠直接在清单报价中体现出来。如果供应商不接受对其错误的更正，其报价将被视为无效报价。</w:t>
      </w:r>
    </w:p>
    <w:p>
      <w:pPr>
        <w:pStyle w:val="15"/>
        <w:numPr>
          <w:ilvl w:val="0"/>
          <w:numId w:val="10"/>
        </w:numPr>
        <w:shd w:val="clear" w:color="auto" w:fill="FFFFFF"/>
        <w:spacing w:before="0" w:beforeAutospacing="0" w:after="0" w:afterAutospacing="0" w:line="276" w:lineRule="auto"/>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按有关法律、法规、规章属于报价无效的。</w:t>
      </w:r>
    </w:p>
    <w:p>
      <w:pPr>
        <w:pStyle w:val="15"/>
        <w:numPr>
          <w:ilvl w:val="0"/>
          <w:numId w:val="10"/>
        </w:numPr>
        <w:shd w:val="clear" w:color="auto" w:fill="FFFFFF"/>
        <w:spacing w:before="0" w:beforeAutospacing="0" w:after="0" w:afterAutospacing="0" w:line="360" w:lineRule="auto"/>
        <w:rPr>
          <w:rFonts w:asciiTheme="majorEastAsia" w:hAnsiTheme="majorEastAsia" w:eastAsiaTheme="majorEastAsia"/>
          <w:color w:val="auto"/>
          <w:sz w:val="21"/>
          <w:szCs w:val="21"/>
        </w:rPr>
      </w:pPr>
      <w:r>
        <w:rPr>
          <w:rFonts w:hint="eastAsia" w:asciiTheme="majorEastAsia" w:hAnsiTheme="majorEastAsia" w:eastAsiaTheme="majorEastAsia"/>
          <w:b/>
          <w:color w:val="auto"/>
          <w:sz w:val="21"/>
          <w:szCs w:val="21"/>
        </w:rPr>
        <w:t>有下列情形之一的，视为串通竞价，其报价无效：</w:t>
      </w:r>
    </w:p>
    <w:p>
      <w:pPr>
        <w:pStyle w:val="42"/>
        <w:widowControl/>
        <w:numPr>
          <w:ilvl w:val="2"/>
          <w:numId w:val="11"/>
        </w:numPr>
        <w:spacing w:line="360" w:lineRule="auto"/>
        <w:ind w:firstLineChars="0"/>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存在单位负责人为同一人或存在控股、管理关系的不同单位参与同一竞价项</w:t>
      </w:r>
    </w:p>
    <w:p>
      <w:pPr>
        <w:widowControl/>
        <w:spacing w:line="360" w:lineRule="auto"/>
        <w:ind w:left="850" w:leftChars="405" w:firstLine="420" w:firstLineChars="200"/>
        <w:jc w:val="left"/>
        <w:rPr>
          <w:rFonts w:asciiTheme="majorEastAsia" w:hAnsiTheme="majorEastAsia" w:eastAsiaTheme="majorEastAsia"/>
          <w:color w:val="auto"/>
        </w:rPr>
      </w:pPr>
      <w:r>
        <w:rPr>
          <w:rFonts w:hint="eastAsia" w:asciiTheme="majorEastAsia" w:hAnsiTheme="majorEastAsia" w:eastAsiaTheme="majorEastAsia"/>
          <w:color w:val="auto"/>
        </w:rPr>
        <w:t>目；</w:t>
      </w:r>
    </w:p>
    <w:p>
      <w:pPr>
        <w:pStyle w:val="42"/>
        <w:widowControl/>
        <w:numPr>
          <w:ilvl w:val="2"/>
          <w:numId w:val="11"/>
        </w:numPr>
        <w:spacing w:line="360" w:lineRule="auto"/>
        <w:ind w:firstLineChars="0"/>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不同供应商的响应文件由同一单位或者个人编制；</w:t>
      </w:r>
    </w:p>
    <w:p>
      <w:pPr>
        <w:pStyle w:val="42"/>
        <w:widowControl/>
        <w:numPr>
          <w:ilvl w:val="2"/>
          <w:numId w:val="11"/>
        </w:numPr>
        <w:spacing w:line="360" w:lineRule="auto"/>
        <w:ind w:firstLineChars="0"/>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不同供应商委托同一单位或者个人办理竞价事宜；</w:t>
      </w:r>
    </w:p>
    <w:p>
      <w:pPr>
        <w:pStyle w:val="42"/>
        <w:widowControl/>
        <w:numPr>
          <w:ilvl w:val="2"/>
          <w:numId w:val="11"/>
        </w:numPr>
        <w:spacing w:line="360" w:lineRule="auto"/>
        <w:ind w:firstLineChars="0"/>
        <w:jc w:val="left"/>
        <w:rPr>
          <w:rFonts w:asciiTheme="majorEastAsia" w:hAnsiTheme="majorEastAsia" w:eastAsiaTheme="majorEastAsia"/>
          <w:b/>
          <w:bCs/>
          <w:color w:val="auto"/>
          <w:szCs w:val="21"/>
          <w:u w:val="double"/>
        </w:rPr>
      </w:pPr>
      <w:r>
        <w:rPr>
          <w:rFonts w:hint="eastAsia" w:asciiTheme="majorEastAsia" w:hAnsiTheme="majorEastAsia" w:eastAsiaTheme="majorEastAsia"/>
          <w:b/>
          <w:bCs/>
          <w:color w:val="auto"/>
          <w:szCs w:val="21"/>
          <w:u w:val="double"/>
        </w:rPr>
        <w:t>不同供应商使用同一IP地址参与竞价；</w:t>
      </w:r>
    </w:p>
    <w:p>
      <w:pPr>
        <w:pStyle w:val="42"/>
        <w:widowControl/>
        <w:numPr>
          <w:ilvl w:val="2"/>
          <w:numId w:val="11"/>
        </w:numPr>
        <w:spacing w:line="360" w:lineRule="auto"/>
        <w:ind w:firstLineChars="0"/>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不同供应商的响应文件载明的项目管理成员或者联系人员为同一人；</w:t>
      </w:r>
    </w:p>
    <w:p>
      <w:pPr>
        <w:pStyle w:val="42"/>
        <w:widowControl/>
        <w:numPr>
          <w:ilvl w:val="2"/>
          <w:numId w:val="11"/>
        </w:numPr>
        <w:spacing w:line="360" w:lineRule="auto"/>
        <w:ind w:firstLineChars="0"/>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不同供应商的响应文件异常一致或者报价呈规律性差异；</w:t>
      </w:r>
    </w:p>
    <w:p>
      <w:pPr>
        <w:pStyle w:val="42"/>
        <w:widowControl/>
        <w:numPr>
          <w:ilvl w:val="2"/>
          <w:numId w:val="11"/>
        </w:numPr>
        <w:spacing w:line="360" w:lineRule="auto"/>
        <w:ind w:firstLineChars="0"/>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不同供应商的响应文件相互混淆；</w:t>
      </w:r>
    </w:p>
    <w:p>
      <w:pPr>
        <w:pStyle w:val="42"/>
        <w:widowControl/>
        <w:numPr>
          <w:ilvl w:val="2"/>
          <w:numId w:val="11"/>
        </w:numPr>
        <w:spacing w:line="360" w:lineRule="auto"/>
        <w:ind w:firstLineChars="0"/>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不同供应商的平台使用费从同一单位或者个人的账户转出。</w:t>
      </w:r>
    </w:p>
    <w:p>
      <w:pPr>
        <w:pStyle w:val="42"/>
        <w:numPr>
          <w:ilvl w:val="0"/>
          <w:numId w:val="4"/>
        </w:numPr>
        <w:spacing w:line="360" w:lineRule="auto"/>
        <w:ind w:firstLineChars="0"/>
        <w:rPr>
          <w:rFonts w:asciiTheme="majorEastAsia" w:hAnsiTheme="majorEastAsia" w:eastAsiaTheme="majorEastAsia"/>
          <w:color w:val="auto"/>
          <w:szCs w:val="21"/>
        </w:rPr>
      </w:pPr>
      <w:r>
        <w:rPr>
          <w:rFonts w:hint="eastAsia" w:asciiTheme="majorEastAsia" w:hAnsiTheme="majorEastAsia" w:eastAsiaTheme="majorEastAsia"/>
          <w:b/>
          <w:color w:val="auto"/>
          <w:szCs w:val="21"/>
        </w:rPr>
        <w:t>竞价活动失败</w:t>
      </w:r>
    </w:p>
    <w:p>
      <w:pPr>
        <w:pStyle w:val="42"/>
        <w:numPr>
          <w:ilvl w:val="0"/>
          <w:numId w:val="12"/>
        </w:numPr>
        <w:spacing w:line="360" w:lineRule="auto"/>
        <w:ind w:leftChars="200" w:firstLineChars="0"/>
        <w:rPr>
          <w:rFonts w:asciiTheme="majorEastAsia" w:hAnsiTheme="majorEastAsia" w:eastAsiaTheme="majorEastAsia"/>
          <w:color w:val="auto"/>
        </w:rPr>
      </w:pPr>
      <w:r>
        <w:rPr>
          <w:rFonts w:hint="eastAsia" w:asciiTheme="majorEastAsia" w:hAnsiTheme="majorEastAsia" w:eastAsiaTheme="majorEastAsia"/>
          <w:color w:val="auto"/>
          <w:szCs w:val="21"/>
        </w:rPr>
        <w:t>出现下列情况的，本次竞价活动失败：</w:t>
      </w:r>
    </w:p>
    <w:p>
      <w:pPr>
        <w:pStyle w:val="42"/>
        <w:numPr>
          <w:ilvl w:val="0"/>
          <w:numId w:val="13"/>
        </w:numPr>
        <w:spacing w:line="360" w:lineRule="auto"/>
        <w:ind w:left="1681" w:leftChars="338" w:hanging="971" w:firstLineChars="0"/>
        <w:rPr>
          <w:rFonts w:asciiTheme="majorEastAsia" w:hAnsiTheme="majorEastAsia" w:eastAsiaTheme="majorEastAsia"/>
          <w:color w:val="auto"/>
        </w:rPr>
      </w:pPr>
      <w:r>
        <w:rPr>
          <w:rFonts w:hint="eastAsia" w:asciiTheme="majorEastAsia" w:hAnsiTheme="majorEastAsia" w:eastAsiaTheme="majorEastAsia"/>
          <w:color w:val="auto"/>
        </w:rPr>
        <w:t>报名供应商不足3家；</w:t>
      </w:r>
    </w:p>
    <w:p>
      <w:pPr>
        <w:pStyle w:val="42"/>
        <w:numPr>
          <w:ilvl w:val="0"/>
          <w:numId w:val="13"/>
        </w:numPr>
        <w:spacing w:line="360" w:lineRule="auto"/>
        <w:ind w:left="1681" w:leftChars="338" w:hanging="971" w:firstLineChars="0"/>
        <w:rPr>
          <w:rFonts w:asciiTheme="majorEastAsia" w:hAnsiTheme="majorEastAsia" w:eastAsiaTheme="majorEastAsia"/>
          <w:color w:val="auto"/>
        </w:rPr>
      </w:pPr>
      <w:r>
        <w:rPr>
          <w:rFonts w:hint="eastAsia" w:asciiTheme="majorEastAsia" w:hAnsiTheme="majorEastAsia" w:eastAsiaTheme="majorEastAsia"/>
          <w:color w:val="auto"/>
        </w:rPr>
        <w:t>报价供应商不足3家。</w:t>
      </w:r>
    </w:p>
    <w:p>
      <w:pPr>
        <w:pStyle w:val="42"/>
        <w:numPr>
          <w:ilvl w:val="0"/>
          <w:numId w:val="12"/>
        </w:numPr>
        <w:spacing w:line="360" w:lineRule="auto"/>
        <w:ind w:leftChars="200" w:firstLineChars="0"/>
        <w:rPr>
          <w:rFonts w:asciiTheme="majorEastAsia" w:hAnsiTheme="majorEastAsia" w:eastAsiaTheme="majorEastAsia"/>
          <w:color w:val="auto"/>
          <w:szCs w:val="21"/>
        </w:rPr>
      </w:pPr>
      <w:r>
        <w:rPr>
          <w:rFonts w:asciiTheme="majorEastAsia" w:hAnsiTheme="majorEastAsia" w:eastAsiaTheme="majorEastAsia"/>
          <w:color w:val="auto"/>
          <w:szCs w:val="21"/>
        </w:rPr>
        <w:t>出现影响采购公正的违法、违规行为的</w:t>
      </w:r>
      <w:r>
        <w:rPr>
          <w:rFonts w:hint="eastAsia" w:asciiTheme="majorEastAsia" w:hAnsiTheme="majorEastAsia" w:eastAsiaTheme="majorEastAsia"/>
          <w:color w:val="auto"/>
          <w:szCs w:val="21"/>
        </w:rPr>
        <w:t>。</w:t>
      </w:r>
    </w:p>
    <w:p>
      <w:pPr>
        <w:pStyle w:val="42"/>
        <w:numPr>
          <w:ilvl w:val="0"/>
          <w:numId w:val="12"/>
        </w:numPr>
        <w:spacing w:line="360" w:lineRule="auto"/>
        <w:ind w:leftChars="200" w:firstLineChars="0"/>
        <w:rPr>
          <w:rFonts w:asciiTheme="majorEastAsia" w:hAnsiTheme="majorEastAsia" w:eastAsiaTheme="majorEastAsia"/>
          <w:color w:val="auto"/>
          <w:szCs w:val="21"/>
        </w:rPr>
      </w:pPr>
      <w:r>
        <w:rPr>
          <w:rFonts w:asciiTheme="majorEastAsia" w:hAnsiTheme="majorEastAsia" w:eastAsiaTheme="majorEastAsia"/>
          <w:color w:val="auto"/>
          <w:szCs w:val="21"/>
        </w:rPr>
        <w:t>因重大变故，采购任务取消的</w:t>
      </w:r>
      <w:r>
        <w:rPr>
          <w:rFonts w:hint="eastAsia" w:asciiTheme="majorEastAsia" w:hAnsiTheme="majorEastAsia" w:eastAsiaTheme="majorEastAsia"/>
          <w:color w:val="auto"/>
          <w:szCs w:val="21"/>
        </w:rPr>
        <w:t>。</w:t>
      </w:r>
    </w:p>
    <w:p>
      <w:pPr>
        <w:pStyle w:val="42"/>
        <w:numPr>
          <w:ilvl w:val="0"/>
          <w:numId w:val="4"/>
        </w:numPr>
        <w:spacing w:line="360" w:lineRule="auto"/>
        <w:ind w:firstLineChars="0"/>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使用费</w:t>
      </w:r>
    </w:p>
    <w:p>
      <w:pPr>
        <w:pStyle w:val="42"/>
        <w:numPr>
          <w:ilvl w:val="0"/>
          <w:numId w:val="14"/>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rPr>
        <w:t>成交供应商须向平台服务商</w:t>
      </w:r>
      <w:r>
        <w:rPr>
          <w:rFonts w:hint="eastAsia" w:asciiTheme="majorEastAsia" w:hAnsiTheme="majorEastAsia" w:eastAsiaTheme="majorEastAsia"/>
          <w:color w:val="auto"/>
          <w:szCs w:val="21"/>
        </w:rPr>
        <w:t>云采链线上采购一体化平台</w:t>
      </w:r>
      <w:r>
        <w:rPr>
          <w:rFonts w:hint="eastAsia" w:asciiTheme="majorEastAsia" w:hAnsiTheme="majorEastAsia" w:eastAsiaTheme="majorEastAsia"/>
          <w:color w:val="auto"/>
        </w:rPr>
        <w:t>缴纳平台使用费，金额为预算金额的1.5%</w:t>
      </w:r>
      <w:r>
        <w:rPr>
          <w:rFonts w:hint="eastAsia" w:asciiTheme="majorEastAsia" w:hAnsiTheme="majorEastAsia" w:eastAsiaTheme="majorEastAsia"/>
          <w:b/>
          <w:color w:val="auto"/>
        </w:rPr>
        <w:t>（四舍五入取整数），</w:t>
      </w:r>
      <w:r>
        <w:rPr>
          <w:rFonts w:hint="eastAsia" w:asciiTheme="majorEastAsia" w:hAnsiTheme="majorEastAsia" w:eastAsiaTheme="majorEastAsia"/>
          <w:color w:val="auto"/>
        </w:rPr>
        <w:t>不足1000元收1000元。</w:t>
      </w:r>
    </w:p>
    <w:p>
      <w:pPr>
        <w:pStyle w:val="42"/>
        <w:numPr>
          <w:ilvl w:val="0"/>
          <w:numId w:val="14"/>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rPr>
        <w:t>成交供应商无正当理由放弃成交资格的必须按竞价公告等相关规定缴纳相应的平台使用费。</w:t>
      </w:r>
    </w:p>
    <w:p>
      <w:pPr>
        <w:pStyle w:val="42"/>
        <w:numPr>
          <w:ilvl w:val="0"/>
          <w:numId w:val="14"/>
        </w:numPr>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szCs w:val="21"/>
        </w:rPr>
        <w:t>如确实因不可抗力放弃成交资格的，应在不可抗力发生后三个工作日内予以通知采购代理机构并提供相关的证明；如逾期，采购代理机构不予退还平台使用费。</w:t>
      </w:r>
    </w:p>
    <w:p>
      <w:pPr>
        <w:pStyle w:val="42"/>
        <w:widowControl/>
        <w:spacing w:line="360" w:lineRule="auto"/>
        <w:ind w:firstLine="0" w:firstLineChars="0"/>
        <w:jc w:val="left"/>
        <w:rPr>
          <w:rFonts w:asciiTheme="majorEastAsia" w:hAnsiTheme="majorEastAsia" w:eastAsiaTheme="majorEastAsia"/>
          <w:b/>
          <w:color w:val="auto"/>
        </w:rPr>
      </w:pPr>
      <w:r>
        <w:rPr>
          <w:rFonts w:hint="eastAsia" w:asciiTheme="majorEastAsia" w:hAnsiTheme="majorEastAsia" w:eastAsiaTheme="majorEastAsia"/>
          <w:b/>
          <w:color w:val="auto"/>
        </w:rPr>
        <w:t>五、联系方式</w:t>
      </w:r>
    </w:p>
    <w:p>
      <w:pPr>
        <w:spacing w:line="360" w:lineRule="auto"/>
        <w:ind w:firstLine="420" w:firstLineChars="200"/>
        <w:rPr>
          <w:rFonts w:asciiTheme="majorEastAsia" w:hAnsiTheme="majorEastAsia" w:eastAsiaTheme="majorEastAsia"/>
          <w:color w:val="auto"/>
        </w:rPr>
      </w:pPr>
      <w:r>
        <w:rPr>
          <w:rFonts w:asciiTheme="majorEastAsia" w:hAnsiTheme="majorEastAsia" w:eastAsiaTheme="majorEastAsia"/>
          <w:color w:val="auto"/>
        </w:rPr>
        <w:t>扫码关注微信公众号“云采链互联服务平台”，即可在线咨询相关事项</w:t>
      </w:r>
      <w:r>
        <w:rPr>
          <w:rFonts w:hint="eastAsia" w:asciiTheme="majorEastAsia" w:hAnsiTheme="majorEastAsia" w:eastAsiaTheme="majorEastAsia"/>
          <w:color w:val="auto"/>
        </w:rPr>
        <w:t>。</w:t>
      </w:r>
    </w:p>
    <w:p>
      <w:pPr>
        <w:snapToGrid w:val="0"/>
        <w:spacing w:line="360" w:lineRule="auto"/>
        <w:ind w:firstLine="420" w:firstLineChars="200"/>
        <w:jc w:val="center"/>
        <w:outlineLvl w:val="0"/>
        <w:rPr>
          <w:rFonts w:cs="Times New Roman" w:asciiTheme="majorEastAsia" w:hAnsiTheme="majorEastAsia" w:eastAsiaTheme="majorEastAsia"/>
          <w:color w:val="auto"/>
          <w:sz w:val="28"/>
          <w:szCs w:val="28"/>
        </w:rPr>
      </w:pPr>
      <w:r>
        <w:rPr>
          <w:rFonts w:asciiTheme="majorEastAsia" w:hAnsiTheme="majorEastAsia" w:eastAsiaTheme="majorEastAsia"/>
          <w:color w:val="auto"/>
        </w:rPr>
        <w:drawing>
          <wp:inline distT="0" distB="0" distL="0" distR="0">
            <wp:extent cx="1371600" cy="1371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71600" cy="1371600"/>
                    </a:xfrm>
                    <a:prstGeom prst="rect">
                      <a:avLst/>
                    </a:prstGeom>
                    <a:noFill/>
                    <a:ln>
                      <a:noFill/>
                    </a:ln>
                  </pic:spPr>
                </pic:pic>
              </a:graphicData>
            </a:graphic>
          </wp:inline>
        </w:drawing>
      </w:r>
      <w:r>
        <w:rPr>
          <w:rFonts w:cs="宋体" w:asciiTheme="majorEastAsia" w:hAnsiTheme="majorEastAsia" w:eastAsiaTheme="majorEastAsia"/>
          <w:b/>
          <w:bCs/>
          <w:color w:val="auto"/>
        </w:rPr>
        <w:br w:type="page"/>
      </w:r>
      <w:r>
        <w:rPr>
          <w:rFonts w:hint="eastAsia" w:cs="宋体" w:asciiTheme="majorEastAsia" w:hAnsiTheme="majorEastAsia" w:eastAsiaTheme="majorEastAsia"/>
          <w:b/>
          <w:bCs/>
          <w:color w:val="auto"/>
          <w:sz w:val="28"/>
          <w:szCs w:val="28"/>
        </w:rPr>
        <w:t>第二章 用户需求书</w:t>
      </w:r>
      <w:bookmarkEnd w:id="0"/>
      <w:bookmarkEnd w:id="1"/>
    </w:p>
    <w:p>
      <w:pPr>
        <w:snapToGrid w:val="0"/>
        <w:spacing w:beforeLines="50" w:line="360" w:lineRule="auto"/>
        <w:ind w:left="517" w:hanging="517" w:hangingChars="245"/>
        <w:rPr>
          <w:rFonts w:cs="宋体" w:asciiTheme="majorEastAsia" w:hAnsiTheme="majorEastAsia" w:eastAsiaTheme="majorEastAsia"/>
          <w:b/>
          <w:bCs/>
          <w:color w:val="auto"/>
        </w:rPr>
      </w:pPr>
      <w:r>
        <w:rPr>
          <w:rFonts w:hint="eastAsia" w:cs="宋体" w:asciiTheme="majorEastAsia" w:hAnsiTheme="majorEastAsia" w:eastAsiaTheme="majorEastAsia"/>
          <w:b/>
          <w:bCs/>
          <w:color w:val="auto"/>
        </w:rPr>
        <w:t>说明：</w:t>
      </w:r>
    </w:p>
    <w:p>
      <w:pPr>
        <w:tabs>
          <w:tab w:val="left" w:pos="420"/>
        </w:tabs>
        <w:snapToGrid w:val="0"/>
        <w:spacing w:beforeLines="50" w:line="360" w:lineRule="auto"/>
        <w:ind w:left="420"/>
        <w:rPr>
          <w:rFonts w:cs="宋体" w:asciiTheme="majorEastAsia" w:hAnsiTheme="majorEastAsia" w:eastAsiaTheme="majorEastAsia"/>
          <w:b/>
          <w:bCs/>
          <w:color w:val="auto"/>
        </w:rPr>
      </w:pPr>
      <w:r>
        <w:rPr>
          <w:rFonts w:hint="eastAsia" w:cs="宋体" w:asciiTheme="majorEastAsia" w:hAnsiTheme="majorEastAsia" w:eastAsiaTheme="majorEastAsia"/>
          <w:b/>
          <w:bCs/>
          <w:color w:val="auto"/>
        </w:rPr>
        <w:t>响应供应商须对本项目进行整体响应，任何只对其中一部分进行的响应都被视为无效响应。</w:t>
      </w:r>
    </w:p>
    <w:p>
      <w:pPr>
        <w:pStyle w:val="10"/>
        <w:numPr>
          <w:ilvl w:val="0"/>
          <w:numId w:val="15"/>
        </w:numPr>
        <w:tabs>
          <w:tab w:val="left" w:pos="540"/>
        </w:tabs>
        <w:adjustRightInd w:val="0"/>
        <w:snapToGrid w:val="0"/>
        <w:spacing w:beforeLines="50" w:line="360" w:lineRule="auto"/>
        <w:rPr>
          <w:rFonts w:asciiTheme="majorEastAsia" w:hAnsiTheme="majorEastAsia" w:eastAsiaTheme="majorEastAsia"/>
          <w:b/>
          <w:bCs/>
          <w:color w:val="auto"/>
        </w:rPr>
      </w:pPr>
      <w:r>
        <w:rPr>
          <w:rFonts w:hint="eastAsia" w:asciiTheme="majorEastAsia" w:hAnsiTheme="majorEastAsia" w:eastAsiaTheme="majorEastAsia"/>
          <w:b/>
          <w:bCs/>
          <w:color w:val="auto"/>
        </w:rPr>
        <w:t>项目一览表</w:t>
      </w:r>
    </w:p>
    <w:tbl>
      <w:tblPr>
        <w:tblStyle w:val="18"/>
        <w:tblW w:w="742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
      <w:tblGrid>
        <w:gridCol w:w="2434"/>
        <w:gridCol w:w="1140"/>
        <w:gridCol w:w="1353"/>
        <w:gridCol w:w="249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91" w:hRule="atLeast"/>
          <w:jc w:val="center"/>
        </w:trPr>
        <w:tc>
          <w:tcPr>
            <w:tcW w:w="2434" w:type="dxa"/>
            <w:tcBorders>
              <w:top w:val="single" w:color="auto" w:sz="12" w:space="0"/>
            </w:tcBorders>
            <w:shd w:val="clear" w:color="auto" w:fill="EEECE1"/>
            <w:vAlign w:val="center"/>
          </w:tcPr>
          <w:p>
            <w:pPr>
              <w:jc w:val="center"/>
              <w:rPr>
                <w:rFonts w:cs="宋体" w:asciiTheme="majorEastAsia" w:hAnsiTheme="majorEastAsia" w:eastAsiaTheme="majorEastAsia"/>
                <w:b/>
                <w:bCs/>
                <w:color w:val="auto"/>
              </w:rPr>
            </w:pPr>
            <w:r>
              <w:rPr>
                <w:rFonts w:hint="eastAsia" w:cs="宋体" w:asciiTheme="majorEastAsia" w:hAnsiTheme="majorEastAsia" w:eastAsiaTheme="majorEastAsia"/>
                <w:b/>
                <w:bCs/>
                <w:color w:val="auto"/>
              </w:rPr>
              <w:t>采购内容</w:t>
            </w:r>
          </w:p>
        </w:tc>
        <w:tc>
          <w:tcPr>
            <w:tcW w:w="1140" w:type="dxa"/>
            <w:tcBorders>
              <w:top w:val="single" w:color="auto" w:sz="12" w:space="0"/>
            </w:tcBorders>
            <w:shd w:val="clear" w:color="auto" w:fill="EEECE1"/>
            <w:vAlign w:val="center"/>
          </w:tcPr>
          <w:p>
            <w:pPr>
              <w:jc w:val="center"/>
              <w:rPr>
                <w:rFonts w:cs="宋体" w:asciiTheme="majorEastAsia" w:hAnsiTheme="majorEastAsia" w:eastAsiaTheme="majorEastAsia"/>
                <w:b/>
                <w:bCs/>
                <w:color w:val="auto"/>
              </w:rPr>
            </w:pPr>
            <w:r>
              <w:rPr>
                <w:rFonts w:hint="eastAsia" w:cs="宋体" w:asciiTheme="majorEastAsia" w:hAnsiTheme="majorEastAsia" w:eastAsiaTheme="majorEastAsia"/>
                <w:b/>
                <w:bCs/>
                <w:color w:val="auto"/>
              </w:rPr>
              <w:t>会员人数</w:t>
            </w:r>
          </w:p>
        </w:tc>
        <w:tc>
          <w:tcPr>
            <w:tcW w:w="1353" w:type="dxa"/>
            <w:tcBorders>
              <w:top w:val="single" w:color="auto" w:sz="12" w:space="0"/>
            </w:tcBorders>
            <w:shd w:val="clear" w:color="auto" w:fill="EEECE1"/>
            <w:vAlign w:val="center"/>
          </w:tcPr>
          <w:p>
            <w:pPr>
              <w:jc w:val="center"/>
              <w:rPr>
                <w:rFonts w:cs="宋体" w:asciiTheme="majorEastAsia" w:hAnsiTheme="majorEastAsia" w:eastAsiaTheme="majorEastAsia"/>
                <w:b/>
                <w:bCs/>
                <w:color w:val="auto"/>
              </w:rPr>
            </w:pPr>
            <w:r>
              <w:rPr>
                <w:rFonts w:hint="eastAsia" w:cs="宋体" w:asciiTheme="majorEastAsia" w:hAnsiTheme="majorEastAsia" w:eastAsiaTheme="majorEastAsia"/>
                <w:b/>
                <w:bCs/>
                <w:color w:val="auto"/>
              </w:rPr>
              <w:t>服务期</w:t>
            </w:r>
          </w:p>
        </w:tc>
        <w:tc>
          <w:tcPr>
            <w:tcW w:w="2495" w:type="dxa"/>
            <w:tcBorders>
              <w:top w:val="single" w:color="auto" w:sz="12" w:space="0"/>
            </w:tcBorders>
            <w:shd w:val="clear" w:color="auto" w:fill="EEECE1"/>
            <w:vAlign w:val="center"/>
          </w:tcPr>
          <w:p>
            <w:pPr>
              <w:jc w:val="center"/>
              <w:rPr>
                <w:rFonts w:cs="宋体" w:asciiTheme="majorEastAsia" w:hAnsiTheme="majorEastAsia" w:eastAsiaTheme="majorEastAsia"/>
                <w:b/>
                <w:bCs/>
                <w:color w:val="auto"/>
              </w:rPr>
            </w:pPr>
            <w:r>
              <w:rPr>
                <w:rFonts w:hint="eastAsia" w:cs="宋体" w:asciiTheme="majorEastAsia" w:hAnsiTheme="majorEastAsia" w:eastAsiaTheme="majorEastAsia"/>
                <w:b/>
                <w:bCs/>
                <w:color w:val="auto"/>
              </w:rPr>
              <w:t>预算金额（含税）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643" w:hRule="atLeast"/>
          <w:jc w:val="center"/>
        </w:trPr>
        <w:tc>
          <w:tcPr>
            <w:tcW w:w="2434" w:type="dxa"/>
            <w:tcBorders>
              <w:bottom w:val="single" w:color="auto" w:sz="12" w:space="0"/>
            </w:tcBorders>
            <w:vAlign w:val="center"/>
          </w:tcPr>
          <w:p>
            <w:pPr>
              <w:pStyle w:val="34"/>
              <w:spacing w:beforeLines="50" w:line="240" w:lineRule="auto"/>
              <w:ind w:right="-82" w:rightChars="-39" w:hanging="54"/>
              <w:rPr>
                <w:rFonts w:cs="宋体" w:asciiTheme="majorEastAsia" w:hAnsiTheme="majorEastAsia" w:eastAsiaTheme="majorEastAsia"/>
                <w:color w:val="auto"/>
                <w:spacing w:val="0"/>
                <w:kern w:val="2"/>
                <w:sz w:val="21"/>
                <w:szCs w:val="21"/>
              </w:rPr>
            </w:pPr>
            <w:r>
              <w:rPr>
                <w:rFonts w:hint="eastAsia" w:cs="宋体" w:asciiTheme="majorEastAsia" w:hAnsiTheme="majorEastAsia" w:eastAsiaTheme="majorEastAsia"/>
                <w:color w:val="auto"/>
                <w:spacing w:val="0"/>
                <w:kern w:val="2"/>
                <w:sz w:val="21"/>
                <w:szCs w:val="21"/>
              </w:rPr>
              <w:t>广东省梅州监狱工会委员会2024年便民理发服务</w:t>
            </w:r>
          </w:p>
        </w:tc>
        <w:tc>
          <w:tcPr>
            <w:tcW w:w="1140" w:type="dxa"/>
            <w:tcBorders>
              <w:bottom w:val="single" w:color="auto" w:sz="12" w:space="0"/>
            </w:tcBorders>
            <w:vAlign w:val="center"/>
          </w:tcPr>
          <w:p>
            <w:pPr>
              <w:spacing w:beforeLines="50"/>
              <w:jc w:val="center"/>
              <w:rPr>
                <w:rFonts w:cs="宋体" w:asciiTheme="majorEastAsia" w:hAnsiTheme="majorEastAsia" w:eastAsiaTheme="majorEastAsia"/>
                <w:color w:val="auto"/>
              </w:rPr>
            </w:pPr>
            <w:r>
              <w:rPr>
                <w:rFonts w:hint="eastAsia" w:cs="宋体" w:asciiTheme="majorEastAsia" w:hAnsiTheme="majorEastAsia" w:eastAsiaTheme="majorEastAsia"/>
                <w:color w:val="auto"/>
              </w:rPr>
              <w:t>800人</w:t>
            </w:r>
          </w:p>
        </w:tc>
        <w:tc>
          <w:tcPr>
            <w:tcW w:w="1353" w:type="dxa"/>
            <w:tcBorders>
              <w:bottom w:val="single" w:color="auto" w:sz="12" w:space="0"/>
            </w:tcBorders>
            <w:vAlign w:val="center"/>
          </w:tcPr>
          <w:p>
            <w:pPr>
              <w:pStyle w:val="34"/>
              <w:spacing w:beforeLines="50" w:line="240" w:lineRule="auto"/>
              <w:ind w:right="-82" w:rightChars="-39" w:hanging="54"/>
              <w:rPr>
                <w:rFonts w:cs="宋体" w:asciiTheme="majorEastAsia" w:hAnsiTheme="majorEastAsia" w:eastAsiaTheme="majorEastAsia"/>
                <w:color w:val="auto"/>
                <w:spacing w:val="0"/>
                <w:kern w:val="2"/>
                <w:sz w:val="21"/>
                <w:szCs w:val="21"/>
              </w:rPr>
            </w:pPr>
            <w:r>
              <w:rPr>
                <w:rFonts w:hint="eastAsia" w:cs="宋体" w:asciiTheme="majorEastAsia" w:hAnsiTheme="majorEastAsia" w:eastAsiaTheme="majorEastAsia"/>
                <w:color w:val="auto"/>
                <w:sz w:val="21"/>
                <w:szCs w:val="21"/>
              </w:rPr>
              <w:t>1年</w:t>
            </w:r>
          </w:p>
        </w:tc>
        <w:tc>
          <w:tcPr>
            <w:tcW w:w="2495" w:type="dxa"/>
            <w:tcBorders>
              <w:bottom w:val="single" w:color="auto" w:sz="12" w:space="0"/>
            </w:tcBorders>
            <w:vAlign w:val="center"/>
          </w:tcPr>
          <w:p>
            <w:pPr>
              <w:spacing w:beforeLines="50"/>
              <w:jc w:val="center"/>
              <w:rPr>
                <w:rFonts w:cs="宋体" w:asciiTheme="majorEastAsia" w:hAnsiTheme="majorEastAsia" w:eastAsiaTheme="majorEastAsia"/>
                <w:color w:val="auto"/>
              </w:rPr>
            </w:pPr>
            <w:r>
              <w:rPr>
                <w:rFonts w:hint="eastAsia" w:cs="宋体" w:asciiTheme="majorEastAsia" w:hAnsiTheme="majorEastAsia" w:eastAsiaTheme="majorEastAsia"/>
                <w:color w:val="auto"/>
              </w:rPr>
              <w:t>人民币120000.00元</w:t>
            </w:r>
          </w:p>
        </w:tc>
      </w:tr>
    </w:tbl>
    <w:p>
      <w:pPr>
        <w:pStyle w:val="10"/>
        <w:numPr>
          <w:ilvl w:val="0"/>
          <w:numId w:val="15"/>
        </w:numPr>
        <w:tabs>
          <w:tab w:val="left" w:pos="540"/>
        </w:tabs>
        <w:adjustRightInd w:val="0"/>
        <w:snapToGrid w:val="0"/>
        <w:spacing w:beforeLines="50" w:line="360" w:lineRule="auto"/>
        <w:rPr>
          <w:rFonts w:asciiTheme="majorEastAsia" w:hAnsiTheme="majorEastAsia" w:eastAsiaTheme="majorEastAsia"/>
          <w:b/>
          <w:bCs/>
          <w:color w:val="auto"/>
        </w:rPr>
      </w:pPr>
      <w:r>
        <w:rPr>
          <w:rFonts w:hint="eastAsia" w:asciiTheme="majorEastAsia" w:hAnsiTheme="majorEastAsia" w:eastAsiaTheme="majorEastAsia"/>
          <w:b/>
          <w:bCs/>
          <w:color w:val="auto"/>
        </w:rPr>
        <w:t>项目内容</w:t>
      </w:r>
    </w:p>
    <w:p>
      <w:pPr>
        <w:spacing w:line="360" w:lineRule="auto"/>
        <w:ind w:firstLine="42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采购人提供理发场所，负责理发室水电费用。设置洗头床2张、剪发椅2张、镜台2张、工作台2张、师傅凳2张，沙发、茶几一套，热水器和空调等。成交人为采购人员工(采购人员工人数约800人)提供理发服务，不允许对外营业。</w:t>
      </w:r>
    </w:p>
    <w:p>
      <w:pPr>
        <w:spacing w:line="360" w:lineRule="auto"/>
        <w:ind w:firstLine="42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2、服务期：1年。</w:t>
      </w:r>
    </w:p>
    <w:p>
      <w:pPr>
        <w:spacing w:line="360" w:lineRule="auto"/>
        <w:ind w:firstLine="42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3、成交人负责自备理发用品、用具及理发室耗材。洗发用品使用国产品牌商品（飘柔，沙宣或花王），严禁使用假冒伪劣产品，确保安全。</w:t>
      </w:r>
    </w:p>
    <w:p>
      <w:pPr>
        <w:pStyle w:val="42"/>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4、以购买服务方式按月结算：由单位以实际成交价按月结算理发服务费用。为采购人员工提供理发服务后，个人按短发洗剪吹10元、长发洗剪吹15元的价格（其他服务类型由个人与服务商协商）现场结算。不限每月个人理发次数。</w:t>
      </w:r>
    </w:p>
    <w:p>
      <w:pPr>
        <w:pStyle w:val="10"/>
        <w:numPr>
          <w:ilvl w:val="0"/>
          <w:numId w:val="15"/>
        </w:numPr>
        <w:tabs>
          <w:tab w:val="left" w:pos="540"/>
        </w:tabs>
        <w:adjustRightInd w:val="0"/>
        <w:snapToGrid w:val="0"/>
        <w:spacing w:beforeLines="50" w:line="360" w:lineRule="auto"/>
        <w:rPr>
          <w:rFonts w:asciiTheme="majorEastAsia" w:hAnsiTheme="majorEastAsia" w:eastAsiaTheme="majorEastAsia"/>
          <w:b/>
          <w:bCs/>
          <w:color w:val="auto"/>
        </w:rPr>
      </w:pPr>
      <w:r>
        <w:rPr>
          <w:rFonts w:hint="eastAsia" w:asciiTheme="majorEastAsia" w:hAnsiTheme="majorEastAsia" w:eastAsiaTheme="majorEastAsia"/>
          <w:b/>
          <w:bCs/>
          <w:color w:val="auto"/>
        </w:rPr>
        <w:t>项目要求</w:t>
      </w:r>
    </w:p>
    <w:p>
      <w:pPr>
        <w:spacing w:line="360" w:lineRule="auto"/>
        <w:ind w:firstLine="42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1、成交后三天内签订合同并缴交合同金额的5%作为履约保证金。</w:t>
      </w:r>
    </w:p>
    <w:p>
      <w:pPr>
        <w:spacing w:line="360" w:lineRule="auto"/>
        <w:ind w:firstLine="42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成交人直接从事理发室的经营管理，严禁转包、分包、委托他人管理，否则视作违约，采购人有权终止协议并要求成交人或转包、分包的任何第三方撤离场所，成交人指定一名负责人与采购人进行对接，并全权负责经营管理工作。</w:t>
      </w:r>
    </w:p>
    <w:p>
      <w:pPr>
        <w:spacing w:line="360" w:lineRule="auto"/>
        <w:ind w:firstLine="42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3、供应商提供理发室服务人员，人数不少于2人（含），其中拥有熟练的洗剪吹等技能者（含发型师设计师）不少于1人（含），并维持人员稳定，如人员发生变动需提前通知采购人并征得同意。</w:t>
      </w:r>
    </w:p>
    <w:p>
      <w:pPr>
        <w:spacing w:line="360" w:lineRule="auto"/>
        <w:ind w:firstLine="42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4、服务人员具相关行业从业经验、遵纪守法，且定期体检，健康合格，无传染性疾病，全员持证（健康证）上岗。</w:t>
      </w:r>
    </w:p>
    <w:p>
      <w:pPr>
        <w:spacing w:line="360" w:lineRule="auto"/>
        <w:ind w:firstLine="42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5、服务时间：工作日8:00-19:30，确因特殊情况需调整服务时间需提前3天书面通知并征得采购人同意，一年不超过3次，采购人原因需调整的除外。</w:t>
      </w:r>
    </w:p>
    <w:p>
      <w:pPr>
        <w:spacing w:line="360" w:lineRule="auto"/>
        <w:ind w:firstLine="42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6、按《公共场所卫生管理条例》、《美容美发场所卫生规范》等要求加强理发室的清洁卫生管理，并负责理发室环境卫生和垃圾处理。</w:t>
      </w:r>
    </w:p>
    <w:p>
      <w:pPr>
        <w:spacing w:line="360" w:lineRule="auto"/>
        <w:ind w:firstLine="42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7、负责办理公共场所卫生许可证。</w:t>
      </w:r>
    </w:p>
    <w:p>
      <w:pPr>
        <w:spacing w:line="360" w:lineRule="auto"/>
        <w:ind w:firstLine="411" w:firstLineChars="196"/>
        <w:rPr>
          <w:rFonts w:cs="宋体" w:asciiTheme="majorEastAsia" w:hAnsiTheme="majorEastAsia" w:eastAsiaTheme="majorEastAsia"/>
          <w:color w:val="auto"/>
        </w:rPr>
      </w:pPr>
      <w:r>
        <w:rPr>
          <w:rFonts w:hint="eastAsia" w:cs="宋体" w:asciiTheme="majorEastAsia" w:hAnsiTheme="majorEastAsia" w:eastAsiaTheme="majorEastAsia"/>
          <w:color w:val="auto"/>
        </w:rPr>
        <w:t>8、确保服务质量，做到规范有序，热情周到，并虚心听取客户的建议和意见，妥善解决顾客合理要求。其他服务项目、价格应上墙公示。</w:t>
      </w:r>
    </w:p>
    <w:p>
      <w:pPr>
        <w:spacing w:line="360" w:lineRule="auto"/>
        <w:ind w:firstLine="42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9、便民理发室不得对外营业。成交人应加强人员管理，理发前认真查验核对理发会员的身份，发现有对外营业情况的每次支付200元违约金。发生三次仍未落实整改的，采购人有权终止协议并要求成交人撤离场所。</w:t>
      </w:r>
    </w:p>
    <w:p>
      <w:pPr>
        <w:spacing w:line="360" w:lineRule="auto"/>
        <w:ind w:firstLine="42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同时成交人应承担由此产生的相关责任，包括但不限于行政处罚，对采购人的经济和声誉损失进行赔偿。</w:t>
      </w:r>
    </w:p>
    <w:p>
      <w:pPr>
        <w:spacing w:line="360" w:lineRule="auto"/>
        <w:ind w:firstLine="42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10、成交人应妥善使用采购人提供的设备、设施，若非正常使用损坏须照价赔偿。成交人负责理发室用水用电安全，由于成交人在使用过程中违反相关安全操作规定、消防条例，导致发生安全或火灾事等事故，由成交人承担由此引起的全部经济损失。</w:t>
      </w:r>
    </w:p>
    <w:p>
      <w:pPr>
        <w:spacing w:line="360" w:lineRule="auto"/>
        <w:ind w:firstLine="42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11、成交人接受采购人对理发室服务的监督和考核。对理发服务的投诉经调查属实的给予警告并要求整改，发生三次仍未落实整改的，采购人有权终止协议并要求成交人撤离场所。</w:t>
      </w:r>
    </w:p>
    <w:p>
      <w:pPr>
        <w:spacing w:line="360" w:lineRule="auto"/>
        <w:ind w:firstLine="42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成交人因违反采购人要求被终止协议撤离场所的，不再结算当月服务费用。</w:t>
      </w:r>
    </w:p>
    <w:p>
      <w:pPr>
        <w:spacing w:line="360" w:lineRule="auto"/>
        <w:ind w:firstLine="42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w:t>
      </w:r>
      <w:r>
        <w:rPr>
          <w:rFonts w:hint="eastAsia" w:cs="宋体" w:asciiTheme="majorEastAsia" w:hAnsiTheme="majorEastAsia" w:eastAsiaTheme="majorEastAsia"/>
          <w:color w:val="auto"/>
          <w:lang w:val="en-US" w:eastAsia="zh-CN"/>
        </w:rPr>
        <w:t>2</w:t>
      </w:r>
      <w:r>
        <w:rPr>
          <w:rFonts w:hint="eastAsia" w:cs="宋体" w:asciiTheme="majorEastAsia" w:hAnsiTheme="majorEastAsia" w:eastAsiaTheme="majorEastAsia"/>
          <w:color w:val="auto"/>
        </w:rPr>
        <w:t>、成交人半年内不得以任何理由停止经营。确因自身经营等问题需终止协议撤离场所的，应提前2个月书面告知采购人，否则没收履约保证金。</w:t>
      </w:r>
    </w:p>
    <w:p>
      <w:pPr>
        <w:pStyle w:val="10"/>
        <w:numPr>
          <w:ilvl w:val="0"/>
          <w:numId w:val="15"/>
        </w:numPr>
        <w:tabs>
          <w:tab w:val="left" w:pos="540"/>
        </w:tabs>
        <w:adjustRightInd w:val="0"/>
        <w:snapToGrid w:val="0"/>
        <w:spacing w:beforeLines="50" w:line="360" w:lineRule="auto"/>
        <w:rPr>
          <w:rFonts w:asciiTheme="majorEastAsia" w:hAnsiTheme="majorEastAsia" w:eastAsiaTheme="majorEastAsia"/>
          <w:b/>
          <w:bCs/>
          <w:color w:val="auto"/>
        </w:rPr>
      </w:pPr>
      <w:r>
        <w:rPr>
          <w:rFonts w:hint="eastAsia" w:asciiTheme="majorEastAsia" w:hAnsiTheme="majorEastAsia" w:eastAsiaTheme="majorEastAsia"/>
          <w:b/>
          <w:bCs/>
          <w:color w:val="auto"/>
        </w:rPr>
        <w:t>报价要求</w:t>
      </w:r>
    </w:p>
    <w:p>
      <w:pPr>
        <w:spacing w:line="360" w:lineRule="auto"/>
        <w:ind w:firstLine="422" w:firstLineChars="200"/>
        <w:rPr>
          <w:rFonts w:cs="宋体" w:asciiTheme="majorEastAsia" w:hAnsiTheme="majorEastAsia" w:eastAsiaTheme="majorEastAsia"/>
          <w:b/>
          <w:color w:val="auto"/>
        </w:rPr>
      </w:pPr>
      <w:r>
        <w:rPr>
          <w:rFonts w:hint="eastAsia" w:cs="宋体" w:asciiTheme="majorEastAsia" w:hAnsiTheme="majorEastAsia" w:eastAsiaTheme="majorEastAsia"/>
          <w:b/>
          <w:color w:val="auto"/>
        </w:rPr>
        <w:t>报价：以至少派2人(理发师傅1人；洗头工1人)的人民币10000元/月为本项目单价最高限价报价，以报价最低者为成交供应商。由供应商负责相关税费。</w:t>
      </w:r>
    </w:p>
    <w:p>
      <w:pPr>
        <w:pStyle w:val="10"/>
        <w:numPr>
          <w:ilvl w:val="0"/>
          <w:numId w:val="15"/>
        </w:numPr>
        <w:tabs>
          <w:tab w:val="left" w:pos="540"/>
        </w:tabs>
        <w:adjustRightInd w:val="0"/>
        <w:snapToGrid w:val="0"/>
        <w:spacing w:beforeLines="50" w:line="360" w:lineRule="auto"/>
        <w:rPr>
          <w:rFonts w:asciiTheme="majorEastAsia" w:hAnsiTheme="majorEastAsia" w:eastAsiaTheme="majorEastAsia"/>
          <w:b/>
          <w:bCs/>
          <w:color w:val="auto"/>
        </w:rPr>
      </w:pPr>
      <w:r>
        <w:rPr>
          <w:rFonts w:hint="eastAsia" w:asciiTheme="majorEastAsia" w:hAnsiTheme="majorEastAsia" w:eastAsiaTheme="majorEastAsia"/>
          <w:b/>
          <w:bCs/>
          <w:color w:val="auto"/>
        </w:rPr>
        <w:t>付款方式</w:t>
      </w:r>
    </w:p>
    <w:p>
      <w:pPr>
        <w:spacing w:line="360" w:lineRule="auto"/>
        <w:ind w:firstLine="42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1、结算：根据最后成交的报价由单位每个月结算一次。每位理发会员自负部分的理发费根据价目表由个人现场支付。</w:t>
      </w:r>
    </w:p>
    <w:p>
      <w:pPr>
        <w:spacing w:line="360" w:lineRule="auto"/>
        <w:ind w:firstLine="411" w:firstLineChars="196"/>
        <w:rPr>
          <w:rFonts w:cs="宋体" w:asciiTheme="majorEastAsia" w:hAnsiTheme="majorEastAsia" w:eastAsiaTheme="majorEastAsia"/>
          <w:color w:val="auto"/>
        </w:rPr>
      </w:pPr>
      <w:r>
        <w:rPr>
          <w:rFonts w:hint="eastAsia" w:cs="宋体" w:asciiTheme="majorEastAsia" w:hAnsiTheme="majorEastAsia" w:eastAsiaTheme="majorEastAsia"/>
          <w:color w:val="auto"/>
        </w:rPr>
        <w:t>2、付款方式</w:t>
      </w:r>
    </w:p>
    <w:p>
      <w:pPr>
        <w:pStyle w:val="10"/>
        <w:tabs>
          <w:tab w:val="left" w:pos="540"/>
        </w:tabs>
        <w:adjustRightInd w:val="0"/>
        <w:snapToGrid w:val="0"/>
        <w:spacing w:beforeLines="50" w:line="360" w:lineRule="auto"/>
        <w:ind w:firstLine="420" w:firstLineChars="200"/>
        <w:rPr>
          <w:rFonts w:asciiTheme="majorEastAsia" w:hAnsiTheme="majorEastAsia" w:eastAsiaTheme="majorEastAsia"/>
          <w:color w:val="auto"/>
        </w:rPr>
      </w:pPr>
      <w:r>
        <w:rPr>
          <w:rFonts w:hint="eastAsia" w:asciiTheme="majorEastAsia" w:hAnsiTheme="majorEastAsia" w:eastAsiaTheme="majorEastAsia"/>
          <w:color w:val="auto"/>
        </w:rPr>
        <w:t>成交人提供一个对公帐户。每个月5日前（遇法定节假日顺延）成交人将上个月理发服务费用开具正规发票，双方办理费用结算手续。其他涉及到相关税费等统一由成交人自行负责。</w:t>
      </w:r>
    </w:p>
    <w:p>
      <w:pPr>
        <w:pStyle w:val="10"/>
        <w:tabs>
          <w:tab w:val="left" w:pos="540"/>
        </w:tabs>
        <w:adjustRightInd w:val="0"/>
        <w:snapToGrid w:val="0"/>
        <w:spacing w:beforeLines="50" w:line="360" w:lineRule="auto"/>
        <w:rPr>
          <w:rFonts w:asciiTheme="majorEastAsia" w:hAnsiTheme="majorEastAsia" w:eastAsiaTheme="majorEastAsia"/>
          <w:color w:val="auto"/>
        </w:rPr>
      </w:pPr>
      <w:r>
        <w:rPr>
          <w:rFonts w:hint="eastAsia" w:asciiTheme="majorEastAsia" w:hAnsiTheme="majorEastAsia" w:eastAsiaTheme="majorEastAsia"/>
          <w:color w:val="auto"/>
        </w:rPr>
        <w:t>附件：合同书（供参考）</w:t>
      </w:r>
    </w:p>
    <w:p>
      <w:pPr>
        <w:pStyle w:val="10"/>
        <w:tabs>
          <w:tab w:val="left" w:pos="540"/>
        </w:tabs>
        <w:adjustRightInd w:val="0"/>
        <w:snapToGrid w:val="0"/>
        <w:spacing w:beforeLines="50" w:line="360" w:lineRule="auto"/>
        <w:rPr>
          <w:rFonts w:asciiTheme="majorEastAsia" w:hAnsiTheme="majorEastAsia" w:eastAsiaTheme="majorEastAsia"/>
          <w:color w:val="auto"/>
        </w:rPr>
      </w:pPr>
    </w:p>
    <w:p>
      <w:pPr>
        <w:tabs>
          <w:tab w:val="left" w:pos="3030"/>
        </w:tabs>
        <w:spacing w:line="800" w:lineRule="exact"/>
        <w:jc w:val="center"/>
        <w:rPr>
          <w:rFonts w:cs="仿宋" w:asciiTheme="majorEastAsia" w:hAnsiTheme="majorEastAsia" w:eastAsiaTheme="majorEastAsia"/>
          <w:b/>
          <w:color w:val="auto"/>
          <w:sz w:val="72"/>
          <w:szCs w:val="72"/>
        </w:rPr>
      </w:pPr>
      <w:r>
        <w:rPr>
          <w:rFonts w:hint="eastAsia" w:cs="仿宋" w:asciiTheme="majorEastAsia" w:hAnsiTheme="majorEastAsia" w:eastAsiaTheme="majorEastAsia"/>
          <w:b/>
          <w:color w:val="auto"/>
          <w:sz w:val="72"/>
          <w:szCs w:val="72"/>
        </w:rPr>
        <w:t>合   同  书</w:t>
      </w:r>
    </w:p>
    <w:p>
      <w:pPr>
        <w:spacing w:line="560" w:lineRule="exact"/>
        <w:rPr>
          <w:rFonts w:cs="仿宋" w:asciiTheme="majorEastAsia" w:hAnsiTheme="majorEastAsia" w:eastAsiaTheme="majorEastAsia"/>
          <w:color w:val="auto"/>
          <w:sz w:val="32"/>
          <w:szCs w:val="32"/>
        </w:rPr>
      </w:pPr>
    </w:p>
    <w:p>
      <w:pPr>
        <w:spacing w:line="560" w:lineRule="exact"/>
        <w:rPr>
          <w:rFonts w:cs="仿宋" w:asciiTheme="majorEastAsia" w:hAnsiTheme="majorEastAsia" w:eastAsiaTheme="majorEastAsia"/>
          <w:color w:val="auto"/>
          <w:sz w:val="32"/>
          <w:szCs w:val="32"/>
        </w:rPr>
      </w:pPr>
    </w:p>
    <w:p>
      <w:pPr>
        <w:spacing w:line="560" w:lineRule="exact"/>
        <w:rPr>
          <w:rFonts w:cs="仿宋" w:asciiTheme="majorEastAsia" w:hAnsiTheme="majorEastAsia" w:eastAsiaTheme="majorEastAsia"/>
          <w:color w:val="auto"/>
          <w:sz w:val="32"/>
          <w:szCs w:val="32"/>
        </w:rPr>
      </w:pPr>
    </w:p>
    <w:p>
      <w:pPr>
        <w:spacing w:line="560" w:lineRule="exact"/>
        <w:rPr>
          <w:rFonts w:cs="仿宋" w:asciiTheme="majorEastAsia" w:hAnsiTheme="majorEastAsia" w:eastAsiaTheme="majorEastAsia"/>
          <w:color w:val="auto"/>
          <w:sz w:val="32"/>
          <w:szCs w:val="32"/>
        </w:rPr>
      </w:pPr>
    </w:p>
    <w:p>
      <w:pPr>
        <w:spacing w:line="560" w:lineRule="exact"/>
        <w:rPr>
          <w:rFonts w:cs="仿宋" w:asciiTheme="majorEastAsia" w:hAnsiTheme="majorEastAsia" w:eastAsiaTheme="majorEastAsia"/>
          <w:color w:val="auto"/>
          <w:sz w:val="32"/>
          <w:szCs w:val="32"/>
        </w:rPr>
      </w:pPr>
    </w:p>
    <w:p>
      <w:pPr>
        <w:spacing w:line="560" w:lineRule="exact"/>
        <w:rPr>
          <w:rFonts w:cs="仿宋" w:asciiTheme="majorEastAsia" w:hAnsiTheme="majorEastAsia" w:eastAsiaTheme="majorEastAsia"/>
          <w:color w:val="auto"/>
          <w:sz w:val="32"/>
          <w:szCs w:val="32"/>
        </w:rPr>
      </w:pPr>
    </w:p>
    <w:p>
      <w:pPr>
        <w:spacing w:line="560" w:lineRule="exact"/>
        <w:ind w:firstLine="482" w:firstLineChars="150"/>
        <w:rPr>
          <w:rFonts w:cs="仿宋" w:asciiTheme="majorEastAsia" w:hAnsiTheme="majorEastAsia" w:eastAsiaTheme="majorEastAsia"/>
          <w:b/>
          <w:color w:val="auto"/>
          <w:sz w:val="32"/>
          <w:szCs w:val="32"/>
        </w:rPr>
      </w:pPr>
    </w:p>
    <w:p>
      <w:pPr>
        <w:spacing w:line="560" w:lineRule="exact"/>
        <w:ind w:firstLine="803" w:firstLineChars="250"/>
        <w:rPr>
          <w:rFonts w:cs="仿宋" w:asciiTheme="majorEastAsia" w:hAnsiTheme="majorEastAsia" w:eastAsiaTheme="majorEastAsia"/>
          <w:b/>
          <w:color w:val="auto"/>
          <w:sz w:val="32"/>
          <w:szCs w:val="32"/>
        </w:rPr>
      </w:pPr>
      <w:r>
        <w:rPr>
          <w:rFonts w:hint="eastAsia" w:cs="仿宋" w:asciiTheme="majorEastAsia" w:hAnsiTheme="majorEastAsia" w:eastAsiaTheme="majorEastAsia"/>
          <w:b/>
          <w:color w:val="auto"/>
          <w:sz w:val="32"/>
          <w:szCs w:val="32"/>
        </w:rPr>
        <w:t>合同编号：GH2024—   号</w:t>
      </w:r>
    </w:p>
    <w:p>
      <w:pPr>
        <w:spacing w:line="560" w:lineRule="exact"/>
        <w:ind w:firstLine="803" w:firstLineChars="250"/>
        <w:rPr>
          <w:rFonts w:cs="仿宋" w:asciiTheme="majorEastAsia" w:hAnsiTheme="majorEastAsia" w:eastAsiaTheme="majorEastAsia"/>
          <w:b/>
          <w:color w:val="auto"/>
          <w:sz w:val="32"/>
          <w:szCs w:val="32"/>
        </w:rPr>
      </w:pPr>
      <w:r>
        <w:rPr>
          <w:rFonts w:hint="eastAsia" w:cs="仿宋" w:asciiTheme="majorEastAsia" w:hAnsiTheme="majorEastAsia" w:eastAsiaTheme="majorEastAsia"/>
          <w:b/>
          <w:color w:val="auto"/>
          <w:sz w:val="32"/>
          <w:szCs w:val="32"/>
        </w:rPr>
        <w:t>项目名称：广东省梅州监狱便民理发服务</w:t>
      </w:r>
    </w:p>
    <w:p>
      <w:pPr>
        <w:spacing w:line="560" w:lineRule="exact"/>
        <w:ind w:firstLine="803" w:firstLineChars="250"/>
        <w:rPr>
          <w:rFonts w:cs="仿宋" w:asciiTheme="majorEastAsia" w:hAnsiTheme="majorEastAsia" w:eastAsiaTheme="majorEastAsia"/>
          <w:b/>
          <w:color w:val="auto"/>
          <w:sz w:val="32"/>
          <w:szCs w:val="32"/>
          <w:u w:val="single"/>
        </w:rPr>
      </w:pPr>
      <w:r>
        <w:rPr>
          <w:rFonts w:hint="eastAsia" w:cs="仿宋" w:asciiTheme="majorEastAsia" w:hAnsiTheme="majorEastAsia" w:eastAsiaTheme="majorEastAsia"/>
          <w:b/>
          <w:color w:val="auto"/>
          <w:sz w:val="32"/>
          <w:szCs w:val="32"/>
        </w:rPr>
        <w:t>签订日期： 2024 年  月   日</w:t>
      </w:r>
    </w:p>
    <w:p>
      <w:pPr>
        <w:spacing w:line="560" w:lineRule="exact"/>
        <w:rPr>
          <w:rFonts w:cs="仿宋" w:asciiTheme="majorEastAsia" w:hAnsiTheme="majorEastAsia" w:eastAsiaTheme="majorEastAsia"/>
          <w:color w:val="auto"/>
          <w:sz w:val="32"/>
          <w:szCs w:val="32"/>
        </w:rPr>
      </w:pPr>
    </w:p>
    <w:p>
      <w:pPr>
        <w:spacing w:line="560" w:lineRule="exact"/>
        <w:rPr>
          <w:rFonts w:cs="仿宋" w:asciiTheme="majorEastAsia" w:hAnsiTheme="majorEastAsia" w:eastAsiaTheme="majorEastAsia"/>
          <w:color w:val="auto"/>
          <w:sz w:val="32"/>
          <w:szCs w:val="32"/>
        </w:rPr>
      </w:pPr>
    </w:p>
    <w:p>
      <w:pPr>
        <w:spacing w:line="560" w:lineRule="exact"/>
        <w:rPr>
          <w:rFonts w:cs="仿宋" w:asciiTheme="majorEastAsia" w:hAnsiTheme="majorEastAsia" w:eastAsiaTheme="majorEastAsia"/>
          <w:color w:val="auto"/>
          <w:sz w:val="32"/>
          <w:szCs w:val="32"/>
        </w:rPr>
      </w:pPr>
    </w:p>
    <w:p>
      <w:pPr>
        <w:spacing w:line="560" w:lineRule="exact"/>
        <w:rPr>
          <w:rFonts w:cs="仿宋" w:asciiTheme="majorEastAsia" w:hAnsiTheme="majorEastAsia" w:eastAsiaTheme="majorEastAsia"/>
          <w:color w:val="auto"/>
        </w:rPr>
      </w:pPr>
      <w:r>
        <w:rPr>
          <w:rFonts w:cs="仿宋" w:asciiTheme="majorEastAsia" w:hAnsiTheme="majorEastAsia" w:eastAsiaTheme="majorEastAsia"/>
          <w:color w:val="auto"/>
          <w:sz w:val="32"/>
          <w:szCs w:val="32"/>
        </w:rPr>
        <w:br w:type="page"/>
      </w:r>
      <w:r>
        <w:rPr>
          <w:rFonts w:hint="eastAsia" w:cs="仿宋" w:asciiTheme="majorEastAsia" w:hAnsiTheme="majorEastAsia" w:eastAsiaTheme="majorEastAsia"/>
          <w:color w:val="auto"/>
        </w:rPr>
        <w:t>甲方：广东省梅州监狱工会委员会</w:t>
      </w:r>
    </w:p>
    <w:p>
      <w:pPr>
        <w:spacing w:line="560" w:lineRule="exact"/>
        <w:rPr>
          <w:rFonts w:cs="仿宋" w:asciiTheme="majorEastAsia" w:hAnsiTheme="majorEastAsia" w:eastAsiaTheme="majorEastAsia"/>
          <w:color w:val="auto"/>
        </w:rPr>
      </w:pPr>
      <w:r>
        <w:rPr>
          <w:rFonts w:hint="eastAsia" w:cs="仿宋" w:asciiTheme="majorEastAsia" w:hAnsiTheme="majorEastAsia" w:eastAsiaTheme="majorEastAsia"/>
          <w:color w:val="auto"/>
        </w:rPr>
        <w:t>电话：0753—2183013</w:t>
      </w:r>
    </w:p>
    <w:p>
      <w:pPr>
        <w:spacing w:line="560" w:lineRule="exact"/>
        <w:rPr>
          <w:rFonts w:cs="仿宋" w:asciiTheme="majorEastAsia" w:hAnsiTheme="majorEastAsia" w:eastAsiaTheme="majorEastAsia"/>
          <w:color w:val="auto"/>
        </w:rPr>
      </w:pPr>
    </w:p>
    <w:p>
      <w:pPr>
        <w:spacing w:line="560" w:lineRule="exact"/>
        <w:rPr>
          <w:rFonts w:cs="仿宋" w:asciiTheme="majorEastAsia" w:hAnsiTheme="majorEastAsia" w:eastAsiaTheme="majorEastAsia"/>
          <w:color w:val="auto"/>
        </w:rPr>
      </w:pPr>
      <w:r>
        <w:rPr>
          <w:rFonts w:hint="eastAsia" w:cs="仿宋" w:asciiTheme="majorEastAsia" w:hAnsiTheme="majorEastAsia" w:eastAsiaTheme="majorEastAsia"/>
          <w:color w:val="auto"/>
        </w:rPr>
        <w:t xml:space="preserve">乙方： </w:t>
      </w:r>
    </w:p>
    <w:p>
      <w:pPr>
        <w:spacing w:line="560" w:lineRule="exact"/>
        <w:rPr>
          <w:rFonts w:cs="仿宋" w:asciiTheme="majorEastAsia" w:hAnsiTheme="majorEastAsia" w:eastAsiaTheme="majorEastAsia"/>
          <w:color w:val="auto"/>
        </w:rPr>
      </w:pPr>
      <w:r>
        <w:rPr>
          <w:rFonts w:hint="eastAsia" w:cs="仿宋" w:asciiTheme="majorEastAsia" w:hAnsiTheme="majorEastAsia" w:eastAsiaTheme="majorEastAsia"/>
          <w:color w:val="auto"/>
        </w:rPr>
        <w:t xml:space="preserve">电话： </w:t>
      </w:r>
    </w:p>
    <w:p>
      <w:pPr>
        <w:spacing w:line="560" w:lineRule="exact"/>
        <w:rPr>
          <w:rFonts w:cs="仿宋" w:asciiTheme="majorEastAsia" w:hAnsiTheme="majorEastAsia" w:eastAsiaTheme="majorEastAsia"/>
          <w:color w:val="auto"/>
        </w:rPr>
      </w:pPr>
    </w:p>
    <w:p>
      <w:pPr>
        <w:spacing w:line="560" w:lineRule="exact"/>
        <w:ind w:firstLine="420" w:firstLineChars="200"/>
        <w:rPr>
          <w:rFonts w:cs="仿宋" w:asciiTheme="majorEastAsia" w:hAnsiTheme="majorEastAsia" w:eastAsiaTheme="majorEastAsia"/>
          <w:color w:val="auto"/>
        </w:rPr>
      </w:pPr>
      <w:r>
        <w:rPr>
          <w:rFonts w:hint="eastAsia" w:cs="仿宋" w:asciiTheme="majorEastAsia" w:hAnsiTheme="majorEastAsia" w:eastAsiaTheme="majorEastAsia"/>
          <w:color w:val="auto"/>
        </w:rPr>
        <w:t>甲乙双方根据有关法律、法规，本着平等互利的原则，</w:t>
      </w:r>
      <w:r>
        <w:rPr>
          <w:rFonts w:hint="eastAsia" w:cs="仿宋" w:asciiTheme="majorEastAsia" w:hAnsiTheme="majorEastAsia" w:eastAsiaTheme="majorEastAsia"/>
          <w:color w:val="auto"/>
          <w:u w:val="single"/>
        </w:rPr>
        <w:t>通过友好协议</w:t>
      </w:r>
      <w:r>
        <w:rPr>
          <w:rFonts w:hint="eastAsia" w:cs="仿宋" w:asciiTheme="majorEastAsia" w:hAnsiTheme="majorEastAsia" w:eastAsiaTheme="majorEastAsia"/>
          <w:color w:val="auto"/>
        </w:rPr>
        <w:t>，就乙方在甲方提供场所内开设理发室，为甲方员工提供理发服务的有关事宜达成如下协议:</w:t>
      </w:r>
    </w:p>
    <w:p>
      <w:pPr>
        <w:spacing w:line="560" w:lineRule="exact"/>
        <w:ind w:firstLine="422" w:firstLineChars="200"/>
        <w:rPr>
          <w:rFonts w:cs="仿宋" w:asciiTheme="majorEastAsia" w:hAnsiTheme="majorEastAsia" w:eastAsiaTheme="majorEastAsia"/>
          <w:b/>
          <w:color w:val="auto"/>
        </w:rPr>
      </w:pPr>
      <w:r>
        <w:rPr>
          <w:rFonts w:hint="eastAsia" w:cs="仿宋" w:asciiTheme="majorEastAsia" w:hAnsiTheme="majorEastAsia" w:eastAsiaTheme="majorEastAsia"/>
          <w:b/>
          <w:color w:val="auto"/>
        </w:rPr>
        <w:t xml:space="preserve">第一章  经营场所 </w:t>
      </w:r>
    </w:p>
    <w:p>
      <w:pPr>
        <w:spacing w:line="560" w:lineRule="exact"/>
        <w:ind w:firstLine="420" w:firstLineChars="200"/>
        <w:rPr>
          <w:rFonts w:cs="仿宋" w:asciiTheme="majorEastAsia" w:hAnsiTheme="majorEastAsia" w:eastAsiaTheme="majorEastAsia"/>
          <w:color w:val="auto"/>
        </w:rPr>
      </w:pPr>
      <w:r>
        <w:rPr>
          <w:rFonts w:hint="eastAsia" w:cs="仿宋" w:asciiTheme="majorEastAsia" w:hAnsiTheme="majorEastAsia" w:eastAsiaTheme="majorEastAsia"/>
          <w:color w:val="auto"/>
        </w:rPr>
        <w:t>一、甲方将位于单位活动中心一楼理发室提供给乙方使用，由乙方为甲方员工提供理发服务。</w:t>
      </w:r>
    </w:p>
    <w:p>
      <w:pPr>
        <w:spacing w:line="560" w:lineRule="exact"/>
        <w:ind w:firstLine="422" w:firstLineChars="200"/>
        <w:rPr>
          <w:rFonts w:cs="仿宋" w:asciiTheme="majorEastAsia" w:hAnsiTheme="majorEastAsia" w:eastAsiaTheme="majorEastAsia"/>
          <w:b/>
          <w:color w:val="auto"/>
        </w:rPr>
      </w:pPr>
      <w:r>
        <w:rPr>
          <w:rFonts w:hint="eastAsia" w:cs="仿宋" w:asciiTheme="majorEastAsia" w:hAnsiTheme="majorEastAsia" w:eastAsiaTheme="majorEastAsia"/>
          <w:b/>
          <w:color w:val="auto"/>
        </w:rPr>
        <w:t xml:space="preserve">第二章  经营范围 </w:t>
      </w:r>
    </w:p>
    <w:p>
      <w:pPr>
        <w:spacing w:line="560" w:lineRule="exact"/>
        <w:ind w:firstLine="420" w:firstLineChars="200"/>
        <w:rPr>
          <w:rFonts w:cs="仿宋" w:asciiTheme="majorEastAsia" w:hAnsiTheme="majorEastAsia" w:eastAsiaTheme="majorEastAsia"/>
          <w:color w:val="auto"/>
        </w:rPr>
      </w:pPr>
      <w:r>
        <w:rPr>
          <w:rFonts w:hint="eastAsia" w:cs="仿宋" w:asciiTheme="majorEastAsia" w:hAnsiTheme="majorEastAsia" w:eastAsiaTheme="majorEastAsia"/>
          <w:color w:val="auto"/>
        </w:rPr>
        <w:t>二、乙方服务范围为理发服务等。</w:t>
      </w:r>
    </w:p>
    <w:p>
      <w:pPr>
        <w:spacing w:line="560" w:lineRule="exact"/>
        <w:ind w:firstLine="422" w:firstLineChars="200"/>
        <w:rPr>
          <w:rFonts w:cs="仿宋" w:asciiTheme="majorEastAsia" w:hAnsiTheme="majorEastAsia" w:eastAsiaTheme="majorEastAsia"/>
          <w:color w:val="auto"/>
        </w:rPr>
      </w:pPr>
      <w:r>
        <w:rPr>
          <w:rFonts w:hint="eastAsia" w:cs="仿宋" w:asciiTheme="majorEastAsia" w:hAnsiTheme="majorEastAsia" w:eastAsiaTheme="majorEastAsia"/>
          <w:b/>
          <w:color w:val="auto"/>
        </w:rPr>
        <w:t>第三章  协议期限</w:t>
      </w:r>
    </w:p>
    <w:p>
      <w:pPr>
        <w:spacing w:line="560" w:lineRule="exact"/>
        <w:ind w:firstLine="420" w:firstLineChars="200"/>
        <w:rPr>
          <w:rFonts w:asciiTheme="majorEastAsia" w:hAnsiTheme="majorEastAsia" w:eastAsiaTheme="majorEastAsia"/>
          <w:color w:val="auto"/>
        </w:rPr>
      </w:pPr>
      <w:r>
        <w:rPr>
          <w:rFonts w:hint="eastAsia" w:cs="仿宋" w:asciiTheme="majorEastAsia" w:hAnsiTheme="majorEastAsia" w:eastAsiaTheme="majorEastAsia"/>
          <w:color w:val="auto"/>
        </w:rPr>
        <w:t>三、本协议</w:t>
      </w:r>
      <w:r>
        <w:rPr>
          <w:rFonts w:hint="eastAsia" w:asciiTheme="majorEastAsia" w:hAnsiTheme="majorEastAsia" w:eastAsiaTheme="majorEastAsia"/>
          <w:color w:val="auto"/>
        </w:rPr>
        <w:t>服务期：1年。签订合同之日甲方须交纳5000元作为履约保证金，1年合同期满无出现任何服务质量和违约问题，全额退回（不计利息）。</w:t>
      </w:r>
    </w:p>
    <w:p>
      <w:pPr>
        <w:spacing w:line="560" w:lineRule="exact"/>
        <w:ind w:firstLine="422" w:firstLineChars="200"/>
        <w:rPr>
          <w:rFonts w:cs="仿宋" w:asciiTheme="majorEastAsia" w:hAnsiTheme="majorEastAsia" w:eastAsiaTheme="majorEastAsia"/>
          <w:color w:val="auto"/>
        </w:rPr>
      </w:pPr>
      <w:r>
        <w:rPr>
          <w:rFonts w:hint="eastAsia" w:cs="仿宋" w:asciiTheme="majorEastAsia" w:hAnsiTheme="majorEastAsia" w:eastAsiaTheme="majorEastAsia"/>
          <w:b/>
          <w:color w:val="auto"/>
        </w:rPr>
        <w:t>第四章  甲方的权利及义务</w:t>
      </w:r>
    </w:p>
    <w:p>
      <w:pPr>
        <w:spacing w:line="560" w:lineRule="exact"/>
        <w:ind w:firstLine="420" w:firstLineChars="200"/>
        <w:rPr>
          <w:rFonts w:cs="仿宋" w:asciiTheme="majorEastAsia" w:hAnsiTheme="majorEastAsia" w:eastAsiaTheme="majorEastAsia"/>
          <w:color w:val="auto"/>
        </w:rPr>
      </w:pPr>
      <w:r>
        <w:rPr>
          <w:rFonts w:hint="eastAsia" w:cs="仿宋" w:asciiTheme="majorEastAsia" w:hAnsiTheme="majorEastAsia" w:eastAsiaTheme="majorEastAsia"/>
          <w:color w:val="auto"/>
        </w:rPr>
        <w:t>四、不收取场地费用，物业管理费等。</w:t>
      </w:r>
    </w:p>
    <w:p>
      <w:pPr>
        <w:spacing w:line="560" w:lineRule="exact"/>
        <w:ind w:firstLine="420" w:firstLineChars="200"/>
        <w:rPr>
          <w:rFonts w:cs="宋体" w:asciiTheme="majorEastAsia" w:hAnsiTheme="majorEastAsia" w:eastAsiaTheme="majorEastAsia"/>
          <w:color w:val="auto"/>
        </w:rPr>
      </w:pPr>
      <w:r>
        <w:rPr>
          <w:rFonts w:hint="eastAsia" w:cs="仿宋" w:asciiTheme="majorEastAsia" w:hAnsiTheme="majorEastAsia" w:eastAsiaTheme="majorEastAsia"/>
          <w:color w:val="auto"/>
        </w:rPr>
        <w:t>五、</w:t>
      </w:r>
      <w:r>
        <w:rPr>
          <w:rFonts w:hint="eastAsia" w:asciiTheme="majorEastAsia" w:hAnsiTheme="majorEastAsia" w:eastAsiaTheme="majorEastAsia"/>
          <w:color w:val="auto"/>
        </w:rPr>
        <w:t>负责便民理发室理发服务产生的水电费用,</w:t>
      </w:r>
      <w:r>
        <w:rPr>
          <w:rFonts w:hint="eastAsia" w:cs="仿宋" w:asciiTheme="majorEastAsia" w:hAnsiTheme="majorEastAsia" w:eastAsiaTheme="majorEastAsia"/>
          <w:color w:val="auto"/>
        </w:rPr>
        <w:t>提供理发室内设备设施。</w:t>
      </w:r>
      <w:r>
        <w:rPr>
          <w:rFonts w:hint="eastAsia" w:cs="宋体" w:asciiTheme="majorEastAsia" w:hAnsiTheme="majorEastAsia" w:eastAsiaTheme="majorEastAsia"/>
          <w:color w:val="auto"/>
        </w:rPr>
        <w:t>设置洗头床2张、剪发椅2张、镜台2张、工作台2张、师傅凳2张，沙发、茶几一套，热水器和空调等。</w:t>
      </w:r>
    </w:p>
    <w:p>
      <w:pPr>
        <w:spacing w:line="560" w:lineRule="exact"/>
        <w:ind w:firstLine="420" w:firstLineChars="200"/>
        <w:rPr>
          <w:rFonts w:cs="仿宋" w:asciiTheme="majorEastAsia" w:hAnsiTheme="majorEastAsia" w:eastAsiaTheme="majorEastAsia"/>
          <w:color w:val="auto"/>
        </w:rPr>
      </w:pPr>
      <w:r>
        <w:rPr>
          <w:rFonts w:hint="eastAsia" w:cs="仿宋" w:asciiTheme="majorEastAsia" w:hAnsiTheme="majorEastAsia" w:eastAsiaTheme="majorEastAsia"/>
          <w:color w:val="auto"/>
        </w:rPr>
        <w:t>六、负责对乙方理发室服务的监督和考核。</w:t>
      </w:r>
    </w:p>
    <w:p>
      <w:pPr>
        <w:spacing w:line="560" w:lineRule="exact"/>
        <w:ind w:firstLine="420" w:firstLineChars="200"/>
        <w:rPr>
          <w:rFonts w:cs="仿宋" w:asciiTheme="majorEastAsia" w:hAnsiTheme="majorEastAsia" w:eastAsiaTheme="majorEastAsia"/>
          <w:color w:val="auto"/>
        </w:rPr>
      </w:pPr>
      <w:r>
        <w:rPr>
          <w:rFonts w:hint="eastAsia" w:cs="仿宋" w:asciiTheme="majorEastAsia" w:hAnsiTheme="majorEastAsia" w:eastAsiaTheme="majorEastAsia"/>
          <w:color w:val="auto"/>
        </w:rPr>
        <w:t>七、协助配合乙方办理理发室的公共场所卫生许可证。</w:t>
      </w:r>
    </w:p>
    <w:p>
      <w:pPr>
        <w:spacing w:line="560" w:lineRule="exact"/>
        <w:ind w:firstLine="422" w:firstLineChars="200"/>
        <w:rPr>
          <w:rFonts w:cs="仿宋" w:asciiTheme="majorEastAsia" w:hAnsiTheme="majorEastAsia" w:eastAsiaTheme="majorEastAsia"/>
          <w:b/>
          <w:color w:val="auto"/>
        </w:rPr>
      </w:pPr>
      <w:r>
        <w:rPr>
          <w:rFonts w:hint="eastAsia" w:cs="仿宋" w:asciiTheme="majorEastAsia" w:hAnsiTheme="majorEastAsia" w:eastAsiaTheme="majorEastAsia"/>
          <w:b/>
          <w:color w:val="auto"/>
        </w:rPr>
        <w:t>第五章  乙方的权利义务</w:t>
      </w:r>
    </w:p>
    <w:p>
      <w:pPr>
        <w:spacing w:line="560" w:lineRule="exact"/>
        <w:ind w:firstLine="420" w:firstLineChars="200"/>
        <w:rPr>
          <w:rFonts w:cs="仿宋" w:asciiTheme="majorEastAsia" w:hAnsiTheme="majorEastAsia" w:eastAsiaTheme="majorEastAsia"/>
          <w:color w:val="auto"/>
        </w:rPr>
      </w:pPr>
      <w:r>
        <w:rPr>
          <w:rFonts w:hint="eastAsia" w:cs="仿宋" w:asciiTheme="majorEastAsia" w:hAnsiTheme="majorEastAsia" w:eastAsiaTheme="majorEastAsia"/>
          <w:color w:val="auto"/>
        </w:rPr>
        <w:t>八、由乙方直接从事理发室的理发服务，严禁转包、分包，严禁委托他人管理，否则视作违约，甲方有权终止协议并要求乙方或转包、分包的任何第三方撤离甲方场所。</w:t>
      </w:r>
    </w:p>
    <w:p>
      <w:pPr>
        <w:spacing w:line="560" w:lineRule="exact"/>
        <w:ind w:firstLine="420" w:firstLineChars="200"/>
        <w:rPr>
          <w:rFonts w:cs="仿宋" w:asciiTheme="majorEastAsia" w:hAnsiTheme="majorEastAsia" w:eastAsiaTheme="majorEastAsia"/>
          <w:color w:val="auto"/>
        </w:rPr>
      </w:pPr>
      <w:r>
        <w:rPr>
          <w:rFonts w:hint="eastAsia" w:cs="仿宋" w:asciiTheme="majorEastAsia" w:hAnsiTheme="majorEastAsia" w:eastAsiaTheme="majorEastAsia"/>
          <w:color w:val="auto"/>
        </w:rPr>
        <w:t>九、乙方承诺选派的理发室服务人员人数不少于2人(含)，其中拥有熟练的洗剪吹技术者(含发型师设计师)不少于1人(含)，并维持人员稳定，如人员发生变动需提前通知甲方并征得甲方同意。服务人员须具有一定的相关行业从业经验，遵纪守法，且定期体检，健康合格，无传染性疾病，全员持证(健康证)上岗。</w:t>
      </w:r>
    </w:p>
    <w:p>
      <w:pPr>
        <w:spacing w:line="560" w:lineRule="exact"/>
        <w:ind w:firstLine="420" w:firstLineChars="200"/>
        <w:rPr>
          <w:rFonts w:cs="仿宋" w:asciiTheme="majorEastAsia" w:hAnsiTheme="majorEastAsia" w:eastAsiaTheme="majorEastAsia"/>
          <w:color w:val="auto"/>
        </w:rPr>
      </w:pPr>
      <w:r>
        <w:rPr>
          <w:rFonts w:hint="eastAsia" w:cs="仿宋" w:asciiTheme="majorEastAsia" w:hAnsiTheme="majorEastAsia" w:eastAsiaTheme="majorEastAsia"/>
          <w:color w:val="auto"/>
        </w:rPr>
        <w:t>十、服务时间：</w:t>
      </w:r>
      <w:r>
        <w:rPr>
          <w:rFonts w:hint="eastAsia" w:asciiTheme="majorEastAsia" w:hAnsiTheme="majorEastAsia" w:eastAsiaTheme="majorEastAsia"/>
          <w:color w:val="auto"/>
        </w:rPr>
        <w:t>工作日8:00-19:30</w:t>
      </w:r>
      <w:r>
        <w:rPr>
          <w:rFonts w:hint="eastAsia" w:cs="仿宋" w:asciiTheme="majorEastAsia" w:hAnsiTheme="majorEastAsia" w:eastAsiaTheme="majorEastAsia"/>
          <w:color w:val="auto"/>
        </w:rPr>
        <w:t>，确因特殊情况需调整服务休息需提前3天书面通知并征得甲方同</w:t>
      </w:r>
      <w:r>
        <w:rPr>
          <w:rFonts w:hint="eastAsia" w:asciiTheme="majorEastAsia" w:hAnsiTheme="majorEastAsia" w:eastAsiaTheme="majorEastAsia"/>
          <w:color w:val="auto"/>
        </w:rPr>
        <w:t>意，一年不超过3次，甲方原因需调整的除外，否则发生此类情况的每次向甲方支付200元违约金。</w:t>
      </w:r>
    </w:p>
    <w:p>
      <w:pPr>
        <w:spacing w:line="560" w:lineRule="exact"/>
        <w:ind w:firstLine="420" w:firstLineChars="200"/>
        <w:rPr>
          <w:rFonts w:asciiTheme="majorEastAsia" w:hAnsiTheme="majorEastAsia" w:eastAsiaTheme="majorEastAsia"/>
          <w:color w:val="auto"/>
        </w:rPr>
      </w:pPr>
      <w:r>
        <w:rPr>
          <w:rFonts w:hint="eastAsia" w:cs="仿宋" w:asciiTheme="majorEastAsia" w:hAnsiTheme="majorEastAsia" w:eastAsiaTheme="majorEastAsia"/>
          <w:color w:val="auto"/>
        </w:rPr>
        <w:t>十一、理发用品、用具及理发室耗材由乙方自备。毛巾，刮胡刀片等一次性用品每人次更换，</w:t>
      </w:r>
      <w:r>
        <w:rPr>
          <w:rFonts w:hint="eastAsia" w:asciiTheme="majorEastAsia" w:hAnsiTheme="majorEastAsia" w:eastAsiaTheme="majorEastAsia"/>
          <w:color w:val="auto"/>
        </w:rPr>
        <w:t>确保卫生</w:t>
      </w:r>
      <w:r>
        <w:rPr>
          <w:rFonts w:hint="eastAsia" w:cs="仿宋" w:asciiTheme="majorEastAsia" w:hAnsiTheme="majorEastAsia" w:eastAsiaTheme="majorEastAsia"/>
          <w:color w:val="auto"/>
        </w:rPr>
        <w:t>。</w:t>
      </w:r>
      <w:r>
        <w:rPr>
          <w:rFonts w:hint="eastAsia" w:asciiTheme="majorEastAsia" w:hAnsiTheme="majorEastAsia" w:eastAsiaTheme="majorEastAsia"/>
          <w:color w:val="auto"/>
        </w:rPr>
        <w:t>洗发用品使用国产品牌商品（飘柔，沙宣或花王）。发现使用假冒伪劣产品每次向甲方支付200元违约金。</w:t>
      </w:r>
    </w:p>
    <w:p>
      <w:pPr>
        <w:spacing w:line="560" w:lineRule="exact"/>
        <w:ind w:firstLine="420" w:firstLineChars="200"/>
        <w:rPr>
          <w:rFonts w:cs="仿宋" w:asciiTheme="majorEastAsia" w:hAnsiTheme="majorEastAsia" w:eastAsiaTheme="majorEastAsia"/>
          <w:color w:val="auto"/>
        </w:rPr>
      </w:pPr>
      <w:r>
        <w:rPr>
          <w:rFonts w:hint="eastAsia" w:asciiTheme="majorEastAsia" w:hAnsiTheme="majorEastAsia" w:eastAsiaTheme="majorEastAsia"/>
          <w:color w:val="auto"/>
        </w:rPr>
        <w:t>十二、</w:t>
      </w:r>
      <w:r>
        <w:rPr>
          <w:rFonts w:hint="eastAsia" w:cs="仿宋" w:asciiTheme="majorEastAsia" w:hAnsiTheme="majorEastAsia" w:eastAsiaTheme="majorEastAsia"/>
          <w:color w:val="auto"/>
        </w:rPr>
        <w:t>乙方须按《公共场所卫生管理条例》、《美容美发场所卫生规范》等要求加强理发室的清洁卫生管理、办理公共场所卫生许可证(甲方协助配合)。</w:t>
      </w:r>
    </w:p>
    <w:p>
      <w:pPr>
        <w:spacing w:line="560" w:lineRule="exact"/>
        <w:ind w:firstLine="420" w:firstLineChars="200"/>
        <w:rPr>
          <w:rFonts w:asciiTheme="majorEastAsia" w:hAnsiTheme="majorEastAsia" w:eastAsiaTheme="majorEastAsia"/>
          <w:color w:val="auto"/>
        </w:rPr>
      </w:pPr>
      <w:r>
        <w:rPr>
          <w:rFonts w:hint="eastAsia" w:cs="仿宋" w:asciiTheme="majorEastAsia" w:hAnsiTheme="majorEastAsia" w:eastAsiaTheme="majorEastAsia"/>
          <w:color w:val="auto"/>
        </w:rPr>
        <w:t>十三、</w:t>
      </w:r>
      <w:r>
        <w:rPr>
          <w:rFonts w:hint="eastAsia" w:asciiTheme="majorEastAsia" w:hAnsiTheme="majorEastAsia" w:eastAsiaTheme="majorEastAsia"/>
          <w:color w:val="auto"/>
        </w:rPr>
        <w:t>便民理发室不得对外营业。乙方应加强人员管理，理发前认真查验核对理发会员的身份，发现有对外营业情况的每次向甲方支付200元违约金。发生三次仍未落实整改的，甲方有权终止协议并要求乙方撤离场所。</w:t>
      </w:r>
    </w:p>
    <w:p>
      <w:pPr>
        <w:spacing w:line="560" w:lineRule="exact"/>
        <w:ind w:firstLine="420" w:firstLineChars="200"/>
        <w:rPr>
          <w:rFonts w:asciiTheme="majorEastAsia" w:hAnsiTheme="majorEastAsia" w:eastAsiaTheme="majorEastAsia"/>
          <w:color w:val="auto"/>
        </w:rPr>
      </w:pPr>
      <w:r>
        <w:rPr>
          <w:rFonts w:hint="eastAsia" w:cs="仿宋" w:asciiTheme="majorEastAsia" w:hAnsiTheme="majorEastAsia" w:eastAsiaTheme="majorEastAsia"/>
          <w:color w:val="auto"/>
        </w:rPr>
        <w:t>十四、乙方在甲方经营场所内不得有任何违法违纪行为的发生，否则由此产生的相关责任，</w:t>
      </w:r>
      <w:r>
        <w:rPr>
          <w:rFonts w:hint="eastAsia" w:asciiTheme="majorEastAsia" w:hAnsiTheme="majorEastAsia" w:eastAsiaTheme="majorEastAsia"/>
          <w:color w:val="auto"/>
        </w:rPr>
        <w:t>应由乙方应承担，包括但不限于行政处罚，对甲方的经济和声誉损失进行赔偿。</w:t>
      </w:r>
    </w:p>
    <w:p>
      <w:pPr>
        <w:spacing w:line="560" w:lineRule="exact"/>
        <w:ind w:firstLine="420" w:firstLineChars="200"/>
        <w:rPr>
          <w:rFonts w:asciiTheme="majorEastAsia" w:hAnsiTheme="majorEastAsia" w:eastAsiaTheme="majorEastAsia"/>
          <w:color w:val="auto"/>
        </w:rPr>
      </w:pPr>
      <w:r>
        <w:rPr>
          <w:rFonts w:hint="eastAsia" w:cs="仿宋" w:asciiTheme="majorEastAsia" w:hAnsiTheme="majorEastAsia" w:eastAsiaTheme="majorEastAsia"/>
          <w:color w:val="auto"/>
        </w:rPr>
        <w:t>十五、</w:t>
      </w:r>
      <w:r>
        <w:rPr>
          <w:rFonts w:hint="eastAsia" w:asciiTheme="majorEastAsia" w:hAnsiTheme="majorEastAsia" w:eastAsiaTheme="majorEastAsia"/>
          <w:color w:val="auto"/>
        </w:rPr>
        <w:t>乙方应妥善使用甲方提供的设备、设施，若非正常使用损坏须照价赔偿。乙方</w:t>
      </w:r>
      <w:r>
        <w:rPr>
          <w:rFonts w:hint="eastAsia" w:cs="仿宋" w:asciiTheme="majorEastAsia" w:hAnsiTheme="majorEastAsia" w:eastAsiaTheme="majorEastAsia"/>
          <w:color w:val="auto"/>
        </w:rPr>
        <w:t>负责理发室用水用电安全，由于在使用过程中违反相关安全操作规定、消防条例，导致发生安全或火灾事等事故，由乙方承担由此引的的全部经济损失。</w:t>
      </w:r>
    </w:p>
    <w:p>
      <w:pPr>
        <w:spacing w:line="560" w:lineRule="exact"/>
        <w:ind w:firstLine="420" w:firstLineChars="200"/>
        <w:rPr>
          <w:rFonts w:asciiTheme="majorEastAsia" w:hAnsiTheme="majorEastAsia" w:eastAsiaTheme="majorEastAsia"/>
          <w:color w:val="auto"/>
        </w:rPr>
      </w:pPr>
      <w:r>
        <w:rPr>
          <w:rFonts w:hint="eastAsia" w:cs="仿宋" w:asciiTheme="majorEastAsia" w:hAnsiTheme="majorEastAsia" w:eastAsiaTheme="majorEastAsia"/>
          <w:color w:val="auto"/>
        </w:rPr>
        <w:t>十六、</w:t>
      </w:r>
      <w:r>
        <w:rPr>
          <w:rFonts w:hint="eastAsia" w:asciiTheme="majorEastAsia" w:hAnsiTheme="majorEastAsia" w:eastAsiaTheme="majorEastAsia"/>
          <w:color w:val="auto"/>
        </w:rPr>
        <w:t>乙方接受甲方对理发室服务的监督和考核。对理发服务的投诉经调查属实的给予警告并要求整改，发生三次仍未落实整改的，甲方有权终止协议并要求乙方撤离场所。</w:t>
      </w:r>
    </w:p>
    <w:p>
      <w:pPr>
        <w:spacing w:line="560" w:lineRule="exact"/>
        <w:ind w:firstLine="420" w:firstLineChars="200"/>
        <w:rPr>
          <w:rFonts w:asciiTheme="majorEastAsia" w:hAnsiTheme="majorEastAsia" w:eastAsiaTheme="majorEastAsia"/>
          <w:color w:val="auto"/>
        </w:rPr>
      </w:pPr>
      <w:r>
        <w:rPr>
          <w:rFonts w:hint="eastAsia" w:asciiTheme="majorEastAsia" w:hAnsiTheme="majorEastAsia" w:eastAsiaTheme="majorEastAsia"/>
          <w:color w:val="auto"/>
        </w:rPr>
        <w:t>乙方因违反采购人要求被终止协议撤离场所的，不再结算当月服务费用。</w:t>
      </w:r>
    </w:p>
    <w:p>
      <w:pPr>
        <w:spacing w:line="560" w:lineRule="exact"/>
        <w:ind w:firstLine="420" w:firstLineChars="200"/>
        <w:rPr>
          <w:rFonts w:asciiTheme="majorEastAsia" w:hAnsiTheme="majorEastAsia" w:eastAsiaTheme="majorEastAsia"/>
          <w:color w:val="auto"/>
        </w:rPr>
      </w:pPr>
      <w:r>
        <w:rPr>
          <w:rFonts w:hint="eastAsia" w:asciiTheme="majorEastAsia" w:hAnsiTheme="majorEastAsia" w:eastAsiaTheme="majorEastAsia"/>
          <w:color w:val="auto"/>
        </w:rPr>
        <w:t>十七、乙方在签订合同半年内不得以任何理由停止经营。确因自身经营等问题终止协议撤离场所的，应提前2个月书面告知甲方，否则没收履约保证金。</w:t>
      </w:r>
    </w:p>
    <w:p>
      <w:pPr>
        <w:spacing w:line="560" w:lineRule="exact"/>
        <w:ind w:firstLine="422" w:firstLineChars="200"/>
        <w:rPr>
          <w:rFonts w:cs="仿宋" w:asciiTheme="majorEastAsia" w:hAnsiTheme="majorEastAsia" w:eastAsiaTheme="majorEastAsia"/>
          <w:color w:val="auto"/>
        </w:rPr>
      </w:pPr>
      <w:r>
        <w:rPr>
          <w:rFonts w:hint="eastAsia" w:cs="仿宋" w:asciiTheme="majorEastAsia" w:hAnsiTheme="majorEastAsia" w:eastAsiaTheme="majorEastAsia"/>
          <w:b/>
          <w:color w:val="auto"/>
        </w:rPr>
        <w:t>第六章  服务项目及收费标准</w:t>
      </w:r>
    </w:p>
    <w:p>
      <w:pPr>
        <w:spacing w:line="560" w:lineRule="exact"/>
        <w:ind w:firstLine="420" w:firstLineChars="200"/>
        <w:rPr>
          <w:rFonts w:cs="仿宋" w:asciiTheme="majorEastAsia" w:hAnsiTheme="majorEastAsia" w:eastAsiaTheme="majorEastAsia"/>
          <w:color w:val="auto"/>
        </w:rPr>
      </w:pPr>
      <w:r>
        <w:rPr>
          <w:rFonts w:hint="eastAsia" w:cs="仿宋" w:asciiTheme="majorEastAsia" w:hAnsiTheme="majorEastAsia" w:eastAsiaTheme="majorEastAsia"/>
          <w:color w:val="auto"/>
        </w:rPr>
        <w:t xml:space="preserve">十八、基础洗剪吹价格: </w:t>
      </w:r>
      <w:r>
        <w:rPr>
          <w:rFonts w:hint="eastAsia" w:asciiTheme="majorEastAsia" w:hAnsiTheme="majorEastAsia" w:eastAsiaTheme="majorEastAsia"/>
          <w:color w:val="auto"/>
        </w:rPr>
        <w:t>洗剪吹（短发）10元；洗剪吹（长发）15元；并将包含其他服务项目的</w:t>
      </w:r>
      <w:r>
        <w:rPr>
          <w:rFonts w:hint="eastAsia" w:cs="仿宋" w:asciiTheme="majorEastAsia" w:hAnsiTheme="majorEastAsia" w:eastAsiaTheme="majorEastAsia"/>
          <w:color w:val="auto"/>
        </w:rPr>
        <w:t>《梅州监狱便民理发服务价目表》在理发室内上墙明示。</w:t>
      </w:r>
    </w:p>
    <w:p>
      <w:pPr>
        <w:spacing w:line="560" w:lineRule="exact"/>
        <w:ind w:firstLine="420" w:firstLineChars="200"/>
        <w:rPr>
          <w:rFonts w:asciiTheme="majorEastAsia" w:hAnsiTheme="majorEastAsia" w:eastAsiaTheme="majorEastAsia"/>
          <w:color w:val="auto"/>
        </w:rPr>
      </w:pPr>
      <w:r>
        <w:rPr>
          <w:rFonts w:hint="eastAsia" w:asciiTheme="majorEastAsia" w:hAnsiTheme="majorEastAsia" w:eastAsiaTheme="majorEastAsia"/>
          <w:color w:val="auto"/>
        </w:rPr>
        <w:t>十九、付款方式：乙方提供一个对公账户。每月5日前（遇法定节假日顺延）乙方将上月理发服务费用开具发票交由甲方相关部门办理结算手续。其他涉及到相关税费等统一由乙方自行负责。</w:t>
      </w:r>
    </w:p>
    <w:p>
      <w:pPr>
        <w:spacing w:line="560" w:lineRule="exact"/>
        <w:ind w:firstLine="422" w:firstLineChars="200"/>
        <w:rPr>
          <w:rFonts w:cs="仿宋" w:asciiTheme="majorEastAsia" w:hAnsiTheme="majorEastAsia" w:eastAsiaTheme="majorEastAsia"/>
          <w:b/>
          <w:color w:val="auto"/>
        </w:rPr>
      </w:pPr>
      <w:r>
        <w:rPr>
          <w:rFonts w:hint="eastAsia" w:cs="仿宋" w:asciiTheme="majorEastAsia" w:hAnsiTheme="majorEastAsia" w:eastAsiaTheme="majorEastAsia"/>
          <w:b/>
          <w:color w:val="auto"/>
        </w:rPr>
        <w:t>第八章  其他事项</w:t>
      </w:r>
    </w:p>
    <w:p>
      <w:pPr>
        <w:spacing w:line="560" w:lineRule="exact"/>
        <w:ind w:firstLine="420" w:firstLineChars="200"/>
        <w:rPr>
          <w:rFonts w:cs="仿宋" w:asciiTheme="majorEastAsia" w:hAnsiTheme="majorEastAsia" w:eastAsiaTheme="majorEastAsia"/>
          <w:color w:val="auto"/>
        </w:rPr>
      </w:pPr>
      <w:r>
        <w:rPr>
          <w:rFonts w:hint="eastAsia" w:cs="仿宋" w:asciiTheme="majorEastAsia" w:hAnsiTheme="majorEastAsia" w:eastAsiaTheme="majorEastAsia"/>
          <w:color w:val="auto"/>
        </w:rPr>
        <w:t>二十、服务过程中如有纠纷，按照《中华人民共和国消费者权益保护法》、《美容美发业管理暂行办法》等相关规定进行处理。</w:t>
      </w:r>
    </w:p>
    <w:p>
      <w:pPr>
        <w:spacing w:line="560" w:lineRule="exact"/>
        <w:ind w:firstLine="420" w:firstLineChars="200"/>
        <w:rPr>
          <w:rFonts w:cs="仿宋" w:asciiTheme="majorEastAsia" w:hAnsiTheme="majorEastAsia" w:eastAsiaTheme="majorEastAsia"/>
          <w:color w:val="auto"/>
        </w:rPr>
      </w:pPr>
      <w:r>
        <w:rPr>
          <w:rFonts w:hint="eastAsia" w:cs="仿宋" w:asciiTheme="majorEastAsia" w:hAnsiTheme="majorEastAsia" w:eastAsiaTheme="majorEastAsia"/>
          <w:color w:val="auto"/>
        </w:rPr>
        <w:t>二十一、本合同一式伍份，甲方叁份，乙方贰份，每份都具有同等法律效力。本合同附件与合同文本具有同等法律效力。</w:t>
      </w:r>
    </w:p>
    <w:p>
      <w:pPr>
        <w:spacing w:line="560" w:lineRule="exact"/>
        <w:ind w:firstLine="420" w:firstLineChars="200"/>
        <w:rPr>
          <w:rFonts w:cs="仿宋" w:asciiTheme="majorEastAsia" w:hAnsiTheme="majorEastAsia" w:eastAsiaTheme="majorEastAsia"/>
          <w:color w:val="auto"/>
        </w:rPr>
      </w:pPr>
      <w:r>
        <w:rPr>
          <w:rFonts w:hint="eastAsia" w:cs="仿宋" w:asciiTheme="majorEastAsia" w:hAnsiTheme="majorEastAsia" w:eastAsiaTheme="majorEastAsia"/>
          <w:color w:val="auto"/>
        </w:rPr>
        <w:t>二十二、甲乙双方因本合同引起的争议或一方违背合同承诺，由甲乙双方协商解决，如协商无法达成一致，提交甲方所在地人民法院诉讼解决。</w:t>
      </w:r>
    </w:p>
    <w:p>
      <w:pPr>
        <w:spacing w:line="560" w:lineRule="exact"/>
        <w:ind w:firstLine="420" w:firstLineChars="200"/>
        <w:rPr>
          <w:rFonts w:cs="仿宋" w:asciiTheme="majorEastAsia" w:hAnsiTheme="majorEastAsia" w:eastAsiaTheme="majorEastAsia"/>
          <w:color w:val="auto"/>
        </w:rPr>
      </w:pPr>
      <w:r>
        <w:rPr>
          <w:rFonts w:hint="eastAsia" w:cs="仿宋" w:asciiTheme="majorEastAsia" w:hAnsiTheme="majorEastAsia" w:eastAsiaTheme="majorEastAsia"/>
          <w:color w:val="auto"/>
        </w:rPr>
        <w:t>二十三、未尽事宜，由双方协商办理，如须变动本协议内容的，由双方协商后签署补充协议进行约定。</w:t>
      </w:r>
    </w:p>
    <w:p>
      <w:pPr>
        <w:spacing w:line="560" w:lineRule="exact"/>
        <w:rPr>
          <w:rFonts w:cs="仿宋" w:asciiTheme="majorEastAsia" w:hAnsiTheme="majorEastAsia" w:eastAsiaTheme="majorEastAsia"/>
          <w:color w:val="auto"/>
        </w:rPr>
      </w:pPr>
    </w:p>
    <w:p>
      <w:pPr>
        <w:spacing w:line="560" w:lineRule="exact"/>
        <w:rPr>
          <w:rFonts w:cs="仿宋" w:asciiTheme="majorEastAsia" w:hAnsiTheme="majorEastAsia" w:eastAsiaTheme="majorEastAsia"/>
          <w:color w:val="auto"/>
        </w:rPr>
      </w:pPr>
      <w:r>
        <w:rPr>
          <w:rFonts w:hint="eastAsia" w:cs="仿宋" w:asciiTheme="majorEastAsia" w:hAnsiTheme="majorEastAsia" w:eastAsiaTheme="majorEastAsia"/>
          <w:color w:val="auto"/>
        </w:rPr>
        <w:t xml:space="preserve">甲方：广东省梅州监狱工会委员会    乙方： </w:t>
      </w:r>
    </w:p>
    <w:p>
      <w:pPr>
        <w:spacing w:line="560" w:lineRule="exact"/>
        <w:rPr>
          <w:rFonts w:cs="仿宋" w:asciiTheme="majorEastAsia" w:hAnsiTheme="majorEastAsia" w:eastAsiaTheme="majorEastAsia"/>
          <w:color w:val="auto"/>
        </w:rPr>
      </w:pPr>
      <w:r>
        <w:rPr>
          <w:rFonts w:hint="eastAsia" w:cs="仿宋" w:asciiTheme="majorEastAsia" w:hAnsiTheme="majorEastAsia" w:eastAsiaTheme="majorEastAsia"/>
          <w:color w:val="auto"/>
        </w:rPr>
        <w:t>授权代理人：                授权代理人：</w:t>
      </w:r>
    </w:p>
    <w:p>
      <w:pPr>
        <w:spacing w:line="560" w:lineRule="exact"/>
        <w:rPr>
          <w:rFonts w:cs="仿宋" w:asciiTheme="majorEastAsia" w:hAnsiTheme="majorEastAsia" w:eastAsiaTheme="majorEastAsia"/>
          <w:color w:val="auto"/>
        </w:rPr>
      </w:pPr>
      <w:r>
        <w:rPr>
          <w:rFonts w:hint="eastAsia" w:cs="仿宋" w:asciiTheme="majorEastAsia" w:hAnsiTheme="majorEastAsia" w:eastAsiaTheme="majorEastAsia"/>
          <w:color w:val="auto"/>
        </w:rPr>
        <w:t>日期：                      日期：</w:t>
      </w:r>
    </w:p>
    <w:p>
      <w:pPr>
        <w:pStyle w:val="10"/>
        <w:tabs>
          <w:tab w:val="left" w:pos="540"/>
        </w:tabs>
        <w:adjustRightInd w:val="0"/>
        <w:snapToGrid w:val="0"/>
        <w:spacing w:beforeLines="50" w:line="360" w:lineRule="auto"/>
        <w:ind w:firstLine="420" w:firstLineChars="200"/>
        <w:rPr>
          <w:rFonts w:asciiTheme="majorEastAsia" w:hAnsiTheme="majorEastAsia" w:eastAsiaTheme="majorEastAsia"/>
          <w:color w:val="auto"/>
        </w:rPr>
      </w:pPr>
    </w:p>
    <w:p>
      <w:pPr>
        <w:keepNext/>
        <w:keepLines/>
        <w:spacing w:line="416" w:lineRule="auto"/>
        <w:jc w:val="center"/>
        <w:outlineLvl w:val="1"/>
        <w:rPr>
          <w:rFonts w:cs="Times New Roman" w:asciiTheme="majorEastAsia" w:hAnsiTheme="majorEastAsia" w:eastAsiaTheme="majorEastAsia"/>
          <w:b/>
          <w:bCs/>
          <w:color w:val="auto"/>
          <w:sz w:val="32"/>
          <w:szCs w:val="32"/>
        </w:rPr>
      </w:pPr>
      <w:r>
        <w:rPr>
          <w:rFonts w:asciiTheme="majorEastAsia" w:hAnsiTheme="majorEastAsia" w:eastAsiaTheme="majorEastAsia"/>
          <w:color w:val="auto"/>
          <w:sz w:val="44"/>
        </w:rPr>
        <w:br w:type="page"/>
      </w:r>
      <w:r>
        <w:rPr>
          <w:rFonts w:hint="eastAsia" w:cs="宋体" w:asciiTheme="majorEastAsia" w:hAnsiTheme="majorEastAsia" w:eastAsiaTheme="majorEastAsia"/>
          <w:b/>
          <w:bCs/>
          <w:color w:val="auto"/>
          <w:sz w:val="28"/>
          <w:szCs w:val="28"/>
        </w:rPr>
        <w:t>第三章 竞价附件</w:t>
      </w:r>
    </w:p>
    <w:p>
      <w:pPr>
        <w:keepNext/>
        <w:keepLines/>
        <w:spacing w:line="416" w:lineRule="auto"/>
        <w:jc w:val="center"/>
        <w:outlineLvl w:val="1"/>
        <w:rPr>
          <w:rFonts w:hint="eastAsia" w:cs="Times New Roman" w:asciiTheme="majorEastAsia" w:hAnsiTheme="majorEastAsia" w:eastAsiaTheme="majorEastAsia"/>
          <w:b/>
          <w:bCs/>
          <w:color w:val="auto"/>
          <w:kern w:val="0"/>
          <w:sz w:val="32"/>
          <w:szCs w:val="32"/>
          <w:lang w:val="zh-CN"/>
        </w:rPr>
      </w:pPr>
      <w:r>
        <w:rPr>
          <w:rFonts w:hint="eastAsia" w:cs="Times New Roman" w:asciiTheme="majorEastAsia" w:hAnsiTheme="majorEastAsia" w:eastAsiaTheme="majorEastAsia"/>
          <w:b/>
          <w:bCs/>
          <w:color w:val="auto"/>
          <w:kern w:val="0"/>
          <w:sz w:val="32"/>
          <w:szCs w:val="32"/>
          <w:lang w:val="zh-CN"/>
        </w:rPr>
        <w:t>报价表</w:t>
      </w:r>
    </w:p>
    <w:tbl>
      <w:tblPr>
        <w:tblStyle w:val="18"/>
        <w:tblW w:w="915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
      <w:tblGrid>
        <w:gridCol w:w="2126"/>
        <w:gridCol w:w="1177"/>
        <w:gridCol w:w="1217"/>
        <w:gridCol w:w="1873"/>
        <w:gridCol w:w="1903"/>
        <w:gridCol w:w="86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563" w:hRule="atLeast"/>
          <w:jc w:val="center"/>
        </w:trPr>
        <w:tc>
          <w:tcPr>
            <w:tcW w:w="2126" w:type="dxa"/>
            <w:tcBorders>
              <w:top w:val="single" w:color="auto" w:sz="12" w:space="0"/>
            </w:tcBorders>
            <w:shd w:val="clear" w:color="auto" w:fill="EEECE1"/>
            <w:vAlign w:val="center"/>
          </w:tcPr>
          <w:p>
            <w:pPr>
              <w:jc w:val="center"/>
              <w:rPr>
                <w:rFonts w:cs="宋体" w:asciiTheme="majorEastAsia" w:hAnsiTheme="majorEastAsia" w:eastAsiaTheme="majorEastAsia"/>
                <w:b/>
                <w:bCs/>
                <w:color w:val="auto"/>
              </w:rPr>
            </w:pPr>
            <w:r>
              <w:rPr>
                <w:rFonts w:hint="eastAsia" w:cs="宋体" w:asciiTheme="majorEastAsia" w:hAnsiTheme="majorEastAsia" w:eastAsiaTheme="majorEastAsia"/>
                <w:b/>
                <w:bCs/>
                <w:color w:val="auto"/>
              </w:rPr>
              <w:t>采购内容</w:t>
            </w:r>
          </w:p>
        </w:tc>
        <w:tc>
          <w:tcPr>
            <w:tcW w:w="1177" w:type="dxa"/>
            <w:tcBorders>
              <w:top w:val="single" w:color="auto" w:sz="12" w:space="0"/>
            </w:tcBorders>
            <w:shd w:val="clear" w:color="auto" w:fill="EEECE1"/>
            <w:vAlign w:val="center"/>
          </w:tcPr>
          <w:p>
            <w:pPr>
              <w:jc w:val="center"/>
              <w:rPr>
                <w:rFonts w:cs="宋体" w:asciiTheme="majorEastAsia" w:hAnsiTheme="majorEastAsia" w:eastAsiaTheme="majorEastAsia"/>
                <w:b/>
                <w:bCs/>
                <w:color w:val="auto"/>
              </w:rPr>
            </w:pPr>
            <w:r>
              <w:rPr>
                <w:rFonts w:hint="eastAsia" w:cs="宋体" w:asciiTheme="majorEastAsia" w:hAnsiTheme="majorEastAsia" w:eastAsiaTheme="majorEastAsia"/>
                <w:b/>
                <w:bCs/>
                <w:color w:val="auto"/>
              </w:rPr>
              <w:t>会员人数</w:t>
            </w:r>
          </w:p>
        </w:tc>
        <w:tc>
          <w:tcPr>
            <w:tcW w:w="1217" w:type="dxa"/>
            <w:tcBorders>
              <w:top w:val="single" w:color="auto" w:sz="12" w:space="0"/>
            </w:tcBorders>
            <w:shd w:val="clear" w:color="auto" w:fill="EEECE1"/>
            <w:vAlign w:val="center"/>
          </w:tcPr>
          <w:p>
            <w:pPr>
              <w:jc w:val="center"/>
              <w:rPr>
                <w:rFonts w:cs="宋体" w:asciiTheme="majorEastAsia" w:hAnsiTheme="majorEastAsia" w:eastAsiaTheme="majorEastAsia"/>
                <w:b/>
                <w:bCs/>
                <w:color w:val="auto"/>
              </w:rPr>
            </w:pPr>
            <w:r>
              <w:rPr>
                <w:rFonts w:hint="eastAsia" w:cs="宋体" w:asciiTheme="majorEastAsia" w:hAnsiTheme="majorEastAsia" w:eastAsiaTheme="majorEastAsia"/>
                <w:b/>
                <w:bCs/>
                <w:color w:val="auto"/>
              </w:rPr>
              <w:t>服务期</w:t>
            </w:r>
          </w:p>
        </w:tc>
        <w:tc>
          <w:tcPr>
            <w:tcW w:w="1873" w:type="dxa"/>
            <w:tcBorders>
              <w:top w:val="single" w:color="auto" w:sz="12" w:space="0"/>
            </w:tcBorders>
            <w:shd w:val="clear" w:color="auto" w:fill="EEECE1"/>
            <w:vAlign w:val="center"/>
          </w:tcPr>
          <w:p>
            <w:pPr>
              <w:jc w:val="center"/>
              <w:rPr>
                <w:rFonts w:cs="宋体" w:asciiTheme="majorEastAsia" w:hAnsiTheme="majorEastAsia" w:eastAsiaTheme="majorEastAsia"/>
                <w:b/>
                <w:bCs/>
                <w:color w:val="auto"/>
              </w:rPr>
            </w:pPr>
            <w:r>
              <w:rPr>
                <w:rFonts w:hint="eastAsia" w:cs="宋体" w:asciiTheme="majorEastAsia" w:hAnsiTheme="majorEastAsia" w:eastAsiaTheme="majorEastAsia"/>
                <w:b/>
                <w:bCs/>
                <w:color w:val="auto"/>
              </w:rPr>
              <w:t>单价最高限价</w:t>
            </w:r>
          </w:p>
          <w:p>
            <w:pPr>
              <w:jc w:val="center"/>
              <w:rPr>
                <w:rFonts w:cs="宋体" w:asciiTheme="majorEastAsia" w:hAnsiTheme="majorEastAsia" w:eastAsiaTheme="majorEastAsia"/>
                <w:b/>
                <w:bCs/>
                <w:color w:val="auto"/>
              </w:rPr>
            </w:pPr>
            <w:r>
              <w:rPr>
                <w:rFonts w:hint="eastAsia" w:cs="宋体" w:asciiTheme="majorEastAsia" w:hAnsiTheme="majorEastAsia" w:eastAsiaTheme="majorEastAsia"/>
                <w:b/>
                <w:bCs/>
                <w:color w:val="auto"/>
              </w:rPr>
              <w:t>（人民币 元/月）</w:t>
            </w:r>
          </w:p>
        </w:tc>
        <w:tc>
          <w:tcPr>
            <w:tcW w:w="1903" w:type="dxa"/>
            <w:tcBorders>
              <w:top w:val="single" w:color="auto" w:sz="12" w:space="0"/>
            </w:tcBorders>
            <w:shd w:val="clear" w:color="auto" w:fill="EEECE1"/>
            <w:vAlign w:val="center"/>
          </w:tcPr>
          <w:p>
            <w:pPr>
              <w:jc w:val="center"/>
              <w:rPr>
                <w:rFonts w:cs="宋体" w:asciiTheme="majorEastAsia" w:hAnsiTheme="majorEastAsia" w:eastAsiaTheme="majorEastAsia"/>
                <w:b/>
                <w:bCs/>
                <w:color w:val="auto"/>
              </w:rPr>
            </w:pPr>
            <w:r>
              <w:rPr>
                <w:rFonts w:hint="eastAsia" w:cs="宋体" w:asciiTheme="majorEastAsia" w:hAnsiTheme="majorEastAsia" w:eastAsiaTheme="majorEastAsia"/>
                <w:b/>
                <w:bCs/>
                <w:color w:val="auto"/>
              </w:rPr>
              <w:t>单价报价</w:t>
            </w:r>
          </w:p>
          <w:p>
            <w:pPr>
              <w:jc w:val="center"/>
              <w:rPr>
                <w:rFonts w:cs="宋体" w:asciiTheme="majorEastAsia" w:hAnsiTheme="majorEastAsia" w:eastAsiaTheme="majorEastAsia"/>
                <w:b/>
                <w:bCs/>
                <w:color w:val="auto"/>
              </w:rPr>
            </w:pPr>
            <w:r>
              <w:rPr>
                <w:rFonts w:hint="eastAsia" w:cs="宋体" w:asciiTheme="majorEastAsia" w:hAnsiTheme="majorEastAsia" w:eastAsiaTheme="majorEastAsia"/>
                <w:b/>
                <w:bCs/>
                <w:color w:val="auto"/>
              </w:rPr>
              <w:t>（人民币 元/月）</w:t>
            </w:r>
          </w:p>
        </w:tc>
        <w:tc>
          <w:tcPr>
            <w:tcW w:w="860" w:type="dxa"/>
            <w:tcBorders>
              <w:top w:val="single" w:color="auto" w:sz="12" w:space="0"/>
            </w:tcBorders>
            <w:shd w:val="clear" w:color="auto" w:fill="EEECE1"/>
            <w:vAlign w:val="center"/>
          </w:tcPr>
          <w:p>
            <w:pPr>
              <w:jc w:val="center"/>
              <w:rPr>
                <w:rFonts w:cs="宋体" w:asciiTheme="majorEastAsia" w:hAnsiTheme="majorEastAsia" w:eastAsiaTheme="majorEastAsia"/>
                <w:b/>
                <w:bCs/>
                <w:color w:val="auto"/>
              </w:rPr>
            </w:pPr>
            <w:r>
              <w:rPr>
                <w:rFonts w:hint="eastAsia" w:cs="宋体" w:asciiTheme="majorEastAsia" w:hAnsiTheme="majorEastAsia" w:eastAsiaTheme="majorEastAsia"/>
                <w:b/>
                <w:bCs/>
                <w:color w:val="auto"/>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736" w:hRule="atLeast"/>
          <w:jc w:val="center"/>
        </w:trPr>
        <w:tc>
          <w:tcPr>
            <w:tcW w:w="2126" w:type="dxa"/>
            <w:tcBorders>
              <w:bottom w:val="single" w:color="auto" w:sz="12" w:space="0"/>
            </w:tcBorders>
            <w:vAlign w:val="center"/>
          </w:tcPr>
          <w:p>
            <w:pPr>
              <w:pStyle w:val="34"/>
              <w:spacing w:beforeLines="50" w:line="240" w:lineRule="auto"/>
              <w:ind w:right="-82" w:rightChars="-39" w:hanging="54" w:firstLineChars="0"/>
              <w:rPr>
                <w:rFonts w:cs="宋体" w:asciiTheme="majorEastAsia" w:hAnsiTheme="majorEastAsia" w:eastAsiaTheme="majorEastAsia"/>
                <w:color w:val="auto"/>
                <w:spacing w:val="0"/>
                <w:kern w:val="2"/>
                <w:sz w:val="21"/>
                <w:szCs w:val="21"/>
              </w:rPr>
            </w:pPr>
            <w:r>
              <w:rPr>
                <w:rFonts w:hint="eastAsia" w:cs="宋体" w:asciiTheme="majorEastAsia" w:hAnsiTheme="majorEastAsia" w:eastAsiaTheme="majorEastAsia"/>
                <w:color w:val="auto"/>
                <w:spacing w:val="0"/>
                <w:kern w:val="2"/>
                <w:sz w:val="21"/>
                <w:szCs w:val="21"/>
              </w:rPr>
              <w:t>广东省梅州监狱工会委员会2024年便民理发服务</w:t>
            </w:r>
          </w:p>
        </w:tc>
        <w:tc>
          <w:tcPr>
            <w:tcW w:w="1177" w:type="dxa"/>
            <w:tcBorders>
              <w:bottom w:val="single" w:color="auto" w:sz="12" w:space="0"/>
            </w:tcBorders>
            <w:vAlign w:val="center"/>
          </w:tcPr>
          <w:p>
            <w:pPr>
              <w:spacing w:beforeLines="50"/>
              <w:jc w:val="center"/>
              <w:rPr>
                <w:rFonts w:cs="宋体" w:asciiTheme="majorEastAsia" w:hAnsiTheme="majorEastAsia" w:eastAsiaTheme="majorEastAsia"/>
                <w:color w:val="auto"/>
              </w:rPr>
            </w:pPr>
            <w:r>
              <w:rPr>
                <w:rFonts w:hint="eastAsia" w:cs="宋体" w:asciiTheme="majorEastAsia" w:hAnsiTheme="majorEastAsia" w:eastAsiaTheme="majorEastAsia"/>
                <w:color w:val="auto"/>
              </w:rPr>
              <w:t>800人</w:t>
            </w:r>
          </w:p>
        </w:tc>
        <w:tc>
          <w:tcPr>
            <w:tcW w:w="1217" w:type="dxa"/>
            <w:tcBorders>
              <w:bottom w:val="single" w:color="auto" w:sz="12" w:space="0"/>
            </w:tcBorders>
            <w:vAlign w:val="center"/>
          </w:tcPr>
          <w:p>
            <w:pPr>
              <w:pStyle w:val="34"/>
              <w:spacing w:beforeLines="50" w:line="240" w:lineRule="auto"/>
              <w:ind w:right="-82" w:rightChars="-39" w:hanging="54" w:firstLineChars="0"/>
              <w:rPr>
                <w:rFonts w:cs="宋体" w:asciiTheme="majorEastAsia" w:hAnsiTheme="majorEastAsia" w:eastAsiaTheme="majorEastAsia"/>
                <w:color w:val="auto"/>
                <w:spacing w:val="0"/>
                <w:kern w:val="2"/>
                <w:sz w:val="21"/>
                <w:szCs w:val="21"/>
              </w:rPr>
            </w:pPr>
            <w:r>
              <w:rPr>
                <w:rFonts w:hint="eastAsia" w:cs="宋体" w:asciiTheme="majorEastAsia" w:hAnsiTheme="majorEastAsia" w:eastAsiaTheme="majorEastAsia"/>
                <w:color w:val="auto"/>
                <w:sz w:val="21"/>
                <w:szCs w:val="21"/>
              </w:rPr>
              <w:t>1年</w:t>
            </w:r>
          </w:p>
        </w:tc>
        <w:tc>
          <w:tcPr>
            <w:tcW w:w="1873" w:type="dxa"/>
            <w:tcBorders>
              <w:bottom w:val="single" w:color="auto" w:sz="12" w:space="0"/>
            </w:tcBorders>
            <w:vAlign w:val="center"/>
          </w:tcPr>
          <w:p>
            <w:pPr>
              <w:spacing w:beforeLines="50"/>
              <w:jc w:val="center"/>
              <w:rPr>
                <w:rFonts w:cs="宋体" w:asciiTheme="majorEastAsia" w:hAnsiTheme="majorEastAsia" w:eastAsiaTheme="majorEastAsia"/>
                <w:color w:val="auto"/>
              </w:rPr>
            </w:pPr>
            <w:r>
              <w:rPr>
                <w:rFonts w:hint="eastAsia" w:cs="宋体" w:asciiTheme="majorEastAsia" w:hAnsiTheme="majorEastAsia" w:eastAsiaTheme="majorEastAsia"/>
                <w:color w:val="auto"/>
              </w:rPr>
              <w:t>10000</w:t>
            </w:r>
          </w:p>
        </w:tc>
        <w:tc>
          <w:tcPr>
            <w:tcW w:w="1903" w:type="dxa"/>
            <w:tcBorders>
              <w:bottom w:val="single" w:color="auto" w:sz="12" w:space="0"/>
            </w:tcBorders>
            <w:vAlign w:val="center"/>
          </w:tcPr>
          <w:p>
            <w:pPr>
              <w:spacing w:beforeLines="50"/>
              <w:jc w:val="center"/>
              <w:rPr>
                <w:rFonts w:cs="宋体" w:asciiTheme="majorEastAsia" w:hAnsiTheme="majorEastAsia" w:eastAsiaTheme="majorEastAsia"/>
                <w:color w:val="auto"/>
              </w:rPr>
            </w:pPr>
          </w:p>
        </w:tc>
        <w:tc>
          <w:tcPr>
            <w:tcW w:w="860" w:type="dxa"/>
            <w:tcBorders>
              <w:bottom w:val="single" w:color="auto" w:sz="12" w:space="0"/>
            </w:tcBorders>
            <w:vAlign w:val="center"/>
          </w:tcPr>
          <w:p>
            <w:pPr>
              <w:spacing w:beforeLines="50"/>
              <w:jc w:val="center"/>
              <w:rPr>
                <w:rFonts w:cs="宋体" w:asciiTheme="majorEastAsia" w:hAnsiTheme="majorEastAsia" w:eastAsiaTheme="majorEastAsia"/>
                <w:color w:val="auto"/>
              </w:rPr>
            </w:pPr>
          </w:p>
        </w:tc>
      </w:tr>
    </w:tbl>
    <w:p>
      <w:pPr>
        <w:spacing w:line="360" w:lineRule="auto"/>
        <w:rPr>
          <w:rFonts w:asciiTheme="majorEastAsia" w:hAnsiTheme="majorEastAsia" w:eastAsiaTheme="majorEastAsia"/>
          <w:b/>
          <w:color w:val="auto"/>
          <w:spacing w:val="4"/>
        </w:rPr>
      </w:pPr>
      <w:r>
        <w:rPr>
          <w:rFonts w:hint="eastAsia" w:asciiTheme="majorEastAsia" w:hAnsiTheme="majorEastAsia" w:eastAsiaTheme="majorEastAsia"/>
          <w:b/>
          <w:color w:val="auto"/>
          <w:spacing w:val="4"/>
        </w:rPr>
        <w:t>注：</w:t>
      </w:r>
    </w:p>
    <w:p>
      <w:pPr>
        <w:widowControl/>
        <w:numPr>
          <w:ilvl w:val="0"/>
          <w:numId w:val="16"/>
        </w:numPr>
        <w:spacing w:line="340" w:lineRule="exact"/>
        <w:jc w:val="left"/>
        <w:rPr>
          <w:rFonts w:cs="宋体" w:asciiTheme="majorEastAsia" w:hAnsiTheme="majorEastAsia" w:eastAsiaTheme="majorEastAsia"/>
          <w:b/>
          <w:bCs/>
          <w:color w:val="auto"/>
          <w:kern w:val="0"/>
          <w:u w:val="single"/>
        </w:rPr>
      </w:pPr>
      <w:r>
        <w:rPr>
          <w:rFonts w:hint="eastAsia" w:cs="宋体" w:asciiTheme="majorEastAsia" w:hAnsiTheme="majorEastAsia" w:eastAsiaTheme="majorEastAsia"/>
          <w:b/>
          <w:bCs/>
          <w:color w:val="auto"/>
          <w:kern w:val="0"/>
        </w:rPr>
        <w:t>供应商必须按报价表的格式填写，不得增加或删除表格内容。除项目要求填写的内容外，不得擅自改动报价表内容，否则将有可能影响成交结果，不推荐为成交候选人。</w:t>
      </w:r>
    </w:p>
    <w:p>
      <w:pPr>
        <w:widowControl/>
        <w:numPr>
          <w:ilvl w:val="0"/>
          <w:numId w:val="16"/>
        </w:numPr>
        <w:spacing w:line="340" w:lineRule="exact"/>
        <w:jc w:val="left"/>
        <w:rPr>
          <w:rFonts w:cs="宋体" w:asciiTheme="majorEastAsia" w:hAnsiTheme="majorEastAsia" w:eastAsiaTheme="majorEastAsia"/>
          <w:b/>
          <w:color w:val="auto"/>
          <w:kern w:val="0"/>
        </w:rPr>
      </w:pPr>
      <w:r>
        <w:rPr>
          <w:rFonts w:hint="eastAsia" w:cs="宋体" w:asciiTheme="majorEastAsia" w:hAnsiTheme="majorEastAsia" w:eastAsiaTheme="majorEastAsia"/>
          <w:b/>
          <w:color w:val="auto"/>
          <w:kern w:val="0"/>
        </w:rPr>
        <w:t>平台填报单价报价，平台报价与报价表单价报价不一致的，以报价表单价报价（经价格核准后的价格）为准。</w:t>
      </w:r>
    </w:p>
    <w:p>
      <w:pPr>
        <w:widowControl/>
        <w:numPr>
          <w:ilvl w:val="0"/>
          <w:numId w:val="16"/>
        </w:numPr>
        <w:spacing w:line="340" w:lineRule="exact"/>
        <w:jc w:val="left"/>
        <w:rPr>
          <w:rFonts w:cs="宋体" w:asciiTheme="majorEastAsia" w:hAnsiTheme="majorEastAsia" w:eastAsiaTheme="majorEastAsia"/>
          <w:b/>
          <w:color w:val="auto"/>
          <w:kern w:val="0"/>
        </w:rPr>
      </w:pPr>
      <w:r>
        <w:rPr>
          <w:rFonts w:hint="eastAsia" w:cs="宋体" w:asciiTheme="majorEastAsia" w:hAnsiTheme="majorEastAsia" w:eastAsiaTheme="majorEastAsia"/>
          <w:b/>
          <w:color w:val="auto"/>
          <w:kern w:val="0"/>
        </w:rPr>
        <w:t>报价表须加盖单位公章，否则视为无效报价。</w:t>
      </w:r>
    </w:p>
    <w:p>
      <w:pPr>
        <w:pStyle w:val="7"/>
        <w:rPr>
          <w:rFonts w:asciiTheme="majorEastAsia" w:hAnsiTheme="majorEastAsia" w:eastAsiaTheme="majorEastAsia"/>
          <w:color w:val="auto"/>
        </w:rPr>
      </w:pPr>
    </w:p>
    <w:p>
      <w:pPr>
        <w:pStyle w:val="7"/>
        <w:rPr>
          <w:rFonts w:asciiTheme="majorEastAsia" w:hAnsiTheme="majorEastAsia" w:eastAsiaTheme="majorEastAsia"/>
          <w:color w:val="auto"/>
        </w:rPr>
      </w:pPr>
    </w:p>
    <w:p>
      <w:pPr>
        <w:spacing w:line="360" w:lineRule="auto"/>
        <w:ind w:firstLine="4905" w:firstLineChars="2250"/>
        <w:rPr>
          <w:rFonts w:cs="Times New Roman" w:asciiTheme="majorEastAsia" w:hAnsiTheme="majorEastAsia" w:eastAsiaTheme="majorEastAsia"/>
          <w:color w:val="auto"/>
          <w:spacing w:val="4"/>
        </w:rPr>
      </w:pPr>
      <w:r>
        <w:rPr>
          <w:rFonts w:hint="eastAsia" w:cs="Times New Roman" w:asciiTheme="majorEastAsia" w:hAnsiTheme="majorEastAsia" w:eastAsiaTheme="majorEastAsia"/>
          <w:color w:val="auto"/>
          <w:spacing w:val="4"/>
        </w:rPr>
        <w:t>供应商名称（</w:t>
      </w:r>
      <w:r>
        <w:rPr>
          <w:rFonts w:hint="eastAsia" w:cs="Times New Roman" w:asciiTheme="majorEastAsia" w:hAnsiTheme="majorEastAsia" w:eastAsiaTheme="majorEastAsia"/>
          <w:color w:val="auto"/>
        </w:rPr>
        <w:t>盖</w:t>
      </w:r>
      <w:r>
        <w:rPr>
          <w:rFonts w:hint="eastAsia" w:cs="Times New Roman" w:asciiTheme="majorEastAsia" w:hAnsiTheme="majorEastAsia" w:eastAsiaTheme="majorEastAsia"/>
          <w:color w:val="auto"/>
          <w:spacing w:val="4"/>
        </w:rPr>
        <w:t>公章）：</w:t>
      </w:r>
    </w:p>
    <w:p>
      <w:pPr>
        <w:spacing w:line="360" w:lineRule="auto"/>
        <w:ind w:firstLine="4725" w:firstLineChars="2250"/>
        <w:rPr>
          <w:rFonts w:cs="Times New Roman" w:asciiTheme="majorEastAsia" w:hAnsiTheme="majorEastAsia" w:eastAsiaTheme="majorEastAsia"/>
          <w:color w:val="auto"/>
          <w:u w:val="single"/>
        </w:rPr>
      </w:pPr>
    </w:p>
    <w:p>
      <w:pPr>
        <w:spacing w:line="360" w:lineRule="auto"/>
        <w:ind w:firstLine="4905" w:firstLineChars="2250"/>
        <w:rPr>
          <w:rFonts w:cs="Times New Roman" w:asciiTheme="majorEastAsia" w:hAnsiTheme="majorEastAsia" w:eastAsiaTheme="majorEastAsia"/>
          <w:color w:val="auto"/>
          <w:spacing w:val="4"/>
        </w:rPr>
      </w:pPr>
      <w:r>
        <w:rPr>
          <w:rFonts w:hint="eastAsia" w:cs="Times New Roman" w:asciiTheme="majorEastAsia" w:hAnsiTheme="majorEastAsia" w:eastAsiaTheme="majorEastAsia"/>
          <w:color w:val="auto"/>
          <w:spacing w:val="4"/>
        </w:rPr>
        <w:t>日期：</w:t>
      </w:r>
      <w:r>
        <w:rPr>
          <w:rFonts w:cs="Times New Roman" w:asciiTheme="majorEastAsia" w:hAnsiTheme="majorEastAsia" w:eastAsiaTheme="majorEastAsia"/>
          <w:color w:val="auto"/>
          <w:spacing w:val="4"/>
        </w:rPr>
        <w:br w:type="page"/>
      </w:r>
    </w:p>
    <w:p>
      <w:pPr>
        <w:keepNext/>
        <w:spacing w:after="240" w:line="360" w:lineRule="auto"/>
        <w:ind w:left="720" w:hanging="360"/>
        <w:jc w:val="center"/>
        <w:outlineLvl w:val="1"/>
        <w:rPr>
          <w:rFonts w:cs="Times New Roman" w:asciiTheme="majorEastAsia" w:hAnsiTheme="majorEastAsia" w:eastAsiaTheme="majorEastAsia"/>
          <w:b/>
          <w:bCs/>
          <w:color w:val="auto"/>
          <w:kern w:val="0"/>
          <w:sz w:val="32"/>
          <w:szCs w:val="32"/>
        </w:rPr>
      </w:pPr>
      <w:r>
        <w:rPr>
          <w:rFonts w:hint="eastAsia" w:cs="Times New Roman" w:asciiTheme="majorEastAsia" w:hAnsiTheme="majorEastAsia" w:eastAsiaTheme="majorEastAsia"/>
          <w:b/>
          <w:bCs/>
          <w:color w:val="auto"/>
          <w:kern w:val="0"/>
          <w:sz w:val="32"/>
          <w:szCs w:val="32"/>
        </w:rPr>
        <w:t>用户需求书响应声明函</w:t>
      </w:r>
    </w:p>
    <w:p>
      <w:pPr>
        <w:spacing w:beforeLines="50" w:line="360" w:lineRule="auto"/>
        <w:rPr>
          <w:rFonts w:cs="Times New Roman" w:asciiTheme="majorEastAsia" w:hAnsiTheme="majorEastAsia" w:eastAsiaTheme="majorEastAsia"/>
          <w:b/>
          <w:color w:val="auto"/>
        </w:rPr>
      </w:pPr>
      <w:r>
        <w:rPr>
          <w:rFonts w:hint="eastAsia" w:cs="Times New Roman" w:asciiTheme="majorEastAsia" w:hAnsiTheme="majorEastAsia" w:eastAsiaTheme="majorEastAsia"/>
          <w:b/>
          <w:color w:val="auto"/>
        </w:rPr>
        <w:t>致：</w:t>
      </w:r>
      <w:r>
        <w:rPr>
          <w:rFonts w:hint="eastAsia" w:asciiTheme="majorEastAsia" w:hAnsiTheme="majorEastAsia" w:eastAsiaTheme="majorEastAsia"/>
          <w:b/>
          <w:color w:val="auto"/>
        </w:rPr>
        <w:t>广东省梅州监狱工会委员会、云采链（广州）信息科技有限公司</w:t>
      </w:r>
    </w:p>
    <w:p>
      <w:pPr>
        <w:snapToGrid w:val="0"/>
        <w:spacing w:beforeLines="50" w:line="360" w:lineRule="auto"/>
        <w:ind w:firstLine="420" w:firstLineChars="200"/>
        <w:rPr>
          <w:rFonts w:cs="Times New Roman" w:asciiTheme="majorEastAsia" w:hAnsiTheme="majorEastAsia" w:eastAsiaTheme="majorEastAsia"/>
          <w:color w:val="auto"/>
        </w:rPr>
      </w:pPr>
      <w:r>
        <w:rPr>
          <w:rFonts w:hint="eastAsia" w:cs="Times New Roman" w:asciiTheme="majorEastAsia" w:hAnsiTheme="majorEastAsia" w:eastAsiaTheme="majorEastAsia"/>
          <w:color w:val="auto"/>
        </w:rPr>
        <w:t>关于贵单位、贵司发布</w:t>
      </w:r>
      <w:r>
        <w:rPr>
          <w:rFonts w:hint="eastAsia" w:asciiTheme="majorEastAsia" w:hAnsiTheme="majorEastAsia" w:eastAsiaTheme="majorEastAsia"/>
          <w:b/>
          <w:bCs/>
          <w:color w:val="auto"/>
          <w:u w:val="single"/>
        </w:rPr>
        <w:t>广东省梅州监狱工会委员会2024年便民理发服务项目</w:t>
      </w:r>
      <w:r>
        <w:rPr>
          <w:rFonts w:hint="eastAsia" w:cs="Times New Roman" w:asciiTheme="majorEastAsia" w:hAnsiTheme="majorEastAsia" w:eastAsiaTheme="majorEastAsia"/>
          <w:color w:val="auto"/>
        </w:rPr>
        <w:t>的竞价公告，本公司（企业）愿意参加采购活动，并作出如下声明：</w:t>
      </w:r>
    </w:p>
    <w:p>
      <w:pPr>
        <w:tabs>
          <w:tab w:val="left" w:pos="426"/>
        </w:tabs>
        <w:snapToGrid w:val="0"/>
        <w:spacing w:beforeLines="50" w:line="360" w:lineRule="auto"/>
        <w:ind w:firstLine="420"/>
        <w:rPr>
          <w:rFonts w:cs="Times New Roman" w:asciiTheme="majorEastAsia" w:hAnsiTheme="majorEastAsia" w:eastAsiaTheme="majorEastAsia"/>
          <w:color w:val="auto"/>
          <w:kern w:val="0"/>
        </w:rPr>
      </w:pPr>
      <w:r>
        <w:rPr>
          <w:rFonts w:hint="eastAsia" w:cs="Times New Roman" w:asciiTheme="majorEastAsia" w:hAnsiTheme="majorEastAsia" w:eastAsiaTheme="majorEastAsia"/>
          <w:color w:val="auto"/>
          <w:kern w:val="0"/>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beforeLines="50" w:line="360" w:lineRule="auto"/>
        <w:ind w:firstLine="420"/>
        <w:rPr>
          <w:rFonts w:cs="宋体" w:asciiTheme="majorEastAsia" w:hAnsiTheme="majorEastAsia" w:eastAsiaTheme="majorEastAsia"/>
          <w:color w:val="auto"/>
          <w:kern w:val="0"/>
        </w:rPr>
      </w:pPr>
      <w:r>
        <w:rPr>
          <w:rFonts w:hint="eastAsia" w:cs="宋体" w:asciiTheme="majorEastAsia" w:hAnsiTheme="majorEastAsia" w:eastAsiaTheme="majorEastAsia"/>
          <w:color w:val="auto"/>
          <w:kern w:val="0"/>
        </w:rPr>
        <w:t>本公司（企业）承诺在本次采购活动中，如有违法、违规、弄虚作假行为，所造成的损失、不良后果及法律责任，一律由本公司（企业）承担。</w:t>
      </w:r>
    </w:p>
    <w:p>
      <w:pPr>
        <w:autoSpaceDE w:val="0"/>
        <w:autoSpaceDN w:val="0"/>
        <w:adjustRightInd w:val="0"/>
        <w:spacing w:beforeLines="50" w:line="360" w:lineRule="auto"/>
        <w:ind w:firstLine="413" w:firstLineChars="196"/>
        <w:rPr>
          <w:rFonts w:cs="Times New Roman" w:asciiTheme="majorEastAsia" w:hAnsiTheme="majorEastAsia" w:eastAsiaTheme="majorEastAsia"/>
          <w:b/>
          <w:color w:val="auto"/>
        </w:rPr>
      </w:pPr>
      <w:r>
        <w:rPr>
          <w:rFonts w:hint="eastAsia" w:cs="Times New Roman" w:asciiTheme="majorEastAsia" w:hAnsiTheme="majorEastAsia" w:eastAsiaTheme="majorEastAsia"/>
          <w:b/>
          <w:color w:val="auto"/>
        </w:rPr>
        <w:t>备注：</w:t>
      </w:r>
    </w:p>
    <w:p>
      <w:pPr>
        <w:widowControl/>
        <w:numPr>
          <w:ilvl w:val="0"/>
          <w:numId w:val="17"/>
        </w:numPr>
        <w:autoSpaceDE w:val="0"/>
        <w:autoSpaceDN w:val="0"/>
        <w:adjustRightInd w:val="0"/>
        <w:spacing w:beforeLines="50" w:line="360" w:lineRule="auto"/>
        <w:jc w:val="left"/>
        <w:rPr>
          <w:rFonts w:cs="Times New Roman" w:asciiTheme="majorEastAsia" w:hAnsiTheme="majorEastAsia" w:eastAsiaTheme="majorEastAsia"/>
          <w:color w:val="auto"/>
        </w:rPr>
      </w:pPr>
      <w:r>
        <w:rPr>
          <w:rFonts w:hint="eastAsia" w:cs="Times New Roman" w:asciiTheme="majorEastAsia" w:hAnsiTheme="majorEastAsia" w:eastAsiaTheme="majorEastAsia"/>
          <w:color w:val="auto"/>
        </w:rPr>
        <w:t>本声明函必须提供且内容不得擅自删改，否则视为响应无效。</w:t>
      </w:r>
    </w:p>
    <w:p>
      <w:pPr>
        <w:widowControl/>
        <w:numPr>
          <w:ilvl w:val="0"/>
          <w:numId w:val="17"/>
        </w:numPr>
        <w:snapToGrid w:val="0"/>
        <w:spacing w:beforeLines="50" w:line="360" w:lineRule="auto"/>
        <w:jc w:val="left"/>
        <w:rPr>
          <w:rFonts w:cs="Times New Roman" w:asciiTheme="majorEastAsia" w:hAnsiTheme="majorEastAsia" w:eastAsiaTheme="majorEastAsia"/>
          <w:color w:val="auto"/>
        </w:rPr>
      </w:pPr>
      <w:r>
        <w:rPr>
          <w:rFonts w:hint="eastAsia" w:cs="Times New Roman" w:asciiTheme="majorEastAsia" w:hAnsiTheme="majorEastAsia" w:eastAsiaTheme="majorEastAsia"/>
          <w:color w:val="auto"/>
        </w:rPr>
        <w:t>本声明函如有虚假或与事实不符的，作无效报价处理。</w:t>
      </w:r>
    </w:p>
    <w:p>
      <w:pPr>
        <w:widowControl/>
        <w:spacing w:beforeLines="50" w:line="360" w:lineRule="auto"/>
        <w:jc w:val="left"/>
        <w:rPr>
          <w:rFonts w:cs="Times New Roman" w:asciiTheme="majorEastAsia" w:hAnsiTheme="majorEastAsia" w:eastAsiaTheme="majorEastAsia"/>
          <w:b/>
          <w:bCs/>
          <w:color w:val="auto"/>
          <w:kern w:val="0"/>
        </w:rPr>
      </w:pPr>
    </w:p>
    <w:p>
      <w:pPr>
        <w:pStyle w:val="17"/>
        <w:rPr>
          <w:rFonts w:asciiTheme="majorEastAsia" w:hAnsiTheme="majorEastAsia" w:eastAsiaTheme="majorEastAsia"/>
          <w:color w:val="auto"/>
        </w:rPr>
      </w:pPr>
    </w:p>
    <w:p>
      <w:pPr>
        <w:pStyle w:val="17"/>
        <w:rPr>
          <w:rFonts w:asciiTheme="majorEastAsia" w:hAnsiTheme="majorEastAsia" w:eastAsiaTheme="majorEastAsia"/>
          <w:color w:val="auto"/>
        </w:rPr>
      </w:pPr>
    </w:p>
    <w:p>
      <w:pPr>
        <w:spacing w:beforeLines="50"/>
        <w:ind w:firstLine="4620" w:firstLineChars="2200"/>
        <w:rPr>
          <w:rFonts w:asciiTheme="majorEastAsia" w:hAnsiTheme="majorEastAsia" w:eastAsiaTheme="majorEastAsia"/>
          <w:color w:val="auto"/>
          <w:u w:val="single"/>
        </w:rPr>
      </w:pPr>
      <w:r>
        <w:rPr>
          <w:rFonts w:hint="eastAsia" w:asciiTheme="majorEastAsia" w:hAnsiTheme="majorEastAsia" w:eastAsiaTheme="majorEastAsia"/>
          <w:color w:val="auto"/>
        </w:rPr>
        <w:t>供应商名称（盖</w:t>
      </w:r>
      <w:r>
        <w:rPr>
          <w:rFonts w:hint="eastAsia" w:asciiTheme="majorEastAsia" w:hAnsiTheme="majorEastAsia" w:eastAsiaTheme="majorEastAsia"/>
          <w:color w:val="auto"/>
          <w:spacing w:val="4"/>
        </w:rPr>
        <w:t>公章</w:t>
      </w:r>
      <w:r>
        <w:rPr>
          <w:rFonts w:hint="eastAsia" w:asciiTheme="majorEastAsia" w:hAnsiTheme="majorEastAsia" w:eastAsiaTheme="majorEastAsia"/>
          <w:color w:val="auto"/>
        </w:rPr>
        <w:t>）：</w:t>
      </w:r>
    </w:p>
    <w:p>
      <w:pPr>
        <w:spacing w:beforeLines="50"/>
        <w:ind w:firstLine="4620" w:firstLineChars="2200"/>
        <w:rPr>
          <w:rFonts w:asciiTheme="majorEastAsia" w:hAnsiTheme="majorEastAsia" w:eastAsiaTheme="majorEastAsia"/>
          <w:color w:val="auto"/>
        </w:rPr>
      </w:pPr>
    </w:p>
    <w:p>
      <w:pPr>
        <w:spacing w:beforeLines="50"/>
        <w:ind w:firstLine="4620" w:firstLineChars="2200"/>
        <w:rPr>
          <w:rFonts w:asciiTheme="majorEastAsia" w:hAnsiTheme="majorEastAsia" w:eastAsiaTheme="majorEastAsia"/>
          <w:color w:val="auto"/>
        </w:rPr>
      </w:pPr>
      <w:r>
        <w:rPr>
          <w:rFonts w:hint="eastAsia" w:asciiTheme="majorEastAsia" w:hAnsiTheme="majorEastAsia" w:eastAsiaTheme="majorEastAsia"/>
          <w:color w:val="auto"/>
        </w:rPr>
        <w:t>日期：</w:t>
      </w:r>
    </w:p>
    <w:p>
      <w:pPr>
        <w:spacing w:beforeLines="50" w:line="360" w:lineRule="auto"/>
        <w:rPr>
          <w:rFonts w:cs="Times New Roman" w:asciiTheme="majorEastAsia" w:hAnsiTheme="majorEastAsia" w:eastAsiaTheme="majorEastAsia"/>
          <w:color w:val="auto"/>
        </w:rPr>
      </w:pPr>
    </w:p>
    <w:p>
      <w:pPr>
        <w:widowControl/>
        <w:spacing w:beforeLines="50" w:line="360" w:lineRule="auto"/>
        <w:jc w:val="left"/>
        <w:rPr>
          <w:rFonts w:cs="Times New Roman" w:asciiTheme="majorEastAsia" w:hAnsiTheme="majorEastAsia" w:eastAsiaTheme="majorEastAsia"/>
          <w:color w:val="auto"/>
        </w:rPr>
      </w:pPr>
    </w:p>
    <w:p>
      <w:pPr>
        <w:widowControl/>
        <w:spacing w:beforeLines="50" w:line="360" w:lineRule="auto"/>
        <w:jc w:val="left"/>
        <w:rPr>
          <w:rFonts w:cs="Times New Roman" w:asciiTheme="majorEastAsia" w:hAnsiTheme="majorEastAsia" w:eastAsiaTheme="majorEastAsia"/>
          <w:color w:val="auto"/>
        </w:rPr>
      </w:pPr>
    </w:p>
    <w:p>
      <w:pPr>
        <w:widowControl/>
        <w:spacing w:beforeLines="50" w:line="360" w:lineRule="auto"/>
        <w:jc w:val="left"/>
        <w:rPr>
          <w:rFonts w:cs="Times New Roman" w:asciiTheme="majorEastAsia" w:hAnsiTheme="majorEastAsia" w:eastAsiaTheme="majorEastAsia"/>
          <w:color w:val="auto"/>
        </w:rPr>
      </w:pPr>
    </w:p>
    <w:p>
      <w:pPr>
        <w:widowControl/>
        <w:jc w:val="left"/>
        <w:rPr>
          <w:rFonts w:cs="Times New Roman" w:asciiTheme="majorEastAsia" w:hAnsiTheme="majorEastAsia" w:eastAsiaTheme="majorEastAsia"/>
          <w:color w:val="auto"/>
        </w:rPr>
      </w:pPr>
    </w:p>
    <w:p>
      <w:pPr>
        <w:widowControl/>
        <w:jc w:val="left"/>
        <w:rPr>
          <w:rFonts w:cs="Times New Roman" w:asciiTheme="majorEastAsia" w:hAnsiTheme="majorEastAsia" w:eastAsiaTheme="majorEastAsia"/>
          <w:color w:val="auto"/>
        </w:rPr>
      </w:pPr>
    </w:p>
    <w:p>
      <w:pPr>
        <w:pStyle w:val="3"/>
        <w:spacing w:beforeLines="50" w:after="0" w:line="240" w:lineRule="auto"/>
        <w:jc w:val="center"/>
        <w:rPr>
          <w:rFonts w:asciiTheme="majorEastAsia" w:hAnsiTheme="majorEastAsia" w:eastAsiaTheme="majorEastAsia"/>
          <w:color w:val="auto"/>
        </w:rPr>
      </w:pPr>
      <w:r>
        <w:rPr>
          <w:rFonts w:hint="eastAsia" w:asciiTheme="majorEastAsia" w:hAnsiTheme="majorEastAsia" w:eastAsiaTheme="majorEastAsia"/>
          <w:color w:val="auto"/>
        </w:rPr>
        <w:t>供应商资格声明函</w:t>
      </w:r>
    </w:p>
    <w:p>
      <w:pPr>
        <w:spacing w:beforeLines="50" w:line="360" w:lineRule="auto"/>
        <w:rPr>
          <w:rFonts w:asciiTheme="majorEastAsia" w:hAnsiTheme="majorEastAsia" w:eastAsiaTheme="majorEastAsia"/>
          <w:b/>
          <w:color w:val="auto"/>
        </w:rPr>
      </w:pPr>
      <w:r>
        <w:rPr>
          <w:rFonts w:hint="eastAsia" w:asciiTheme="majorEastAsia" w:hAnsiTheme="majorEastAsia" w:eastAsiaTheme="majorEastAsia"/>
          <w:b/>
          <w:color w:val="auto"/>
        </w:rPr>
        <w:t>致：广东省梅州监狱工会委员会、云采链（广州）信息科技有限公司：</w:t>
      </w:r>
    </w:p>
    <w:p>
      <w:pPr>
        <w:snapToGrid w:val="0"/>
        <w:spacing w:beforeLines="50" w:line="360" w:lineRule="auto"/>
        <w:ind w:firstLine="424" w:firstLineChars="202"/>
        <w:rPr>
          <w:rFonts w:asciiTheme="majorEastAsia" w:hAnsiTheme="majorEastAsia" w:eastAsiaTheme="majorEastAsia"/>
          <w:color w:val="auto"/>
        </w:rPr>
      </w:pPr>
      <w:r>
        <w:rPr>
          <w:rFonts w:hint="eastAsia" w:asciiTheme="majorEastAsia" w:hAnsiTheme="majorEastAsia" w:eastAsiaTheme="majorEastAsia"/>
          <w:color w:val="auto"/>
        </w:rPr>
        <w:t>关于贵单位、贵司发布</w:t>
      </w:r>
      <w:r>
        <w:rPr>
          <w:rFonts w:hint="eastAsia" w:asciiTheme="majorEastAsia" w:hAnsiTheme="majorEastAsia" w:eastAsiaTheme="majorEastAsia"/>
          <w:b/>
          <w:bCs/>
          <w:color w:val="auto"/>
          <w:u w:val="single"/>
        </w:rPr>
        <w:t>广东省梅州监狱工会委员会2024年便民理发服务项目</w:t>
      </w:r>
      <w:r>
        <w:rPr>
          <w:rFonts w:hint="eastAsia" w:asciiTheme="majorEastAsia" w:hAnsiTheme="majorEastAsia" w:eastAsiaTheme="majorEastAsia"/>
          <w:color w:val="auto"/>
        </w:rPr>
        <w:t>的采购公告，本公司（企业）愿意参加竞价，并声明：</w:t>
      </w:r>
    </w:p>
    <w:p>
      <w:pPr>
        <w:snapToGrid w:val="0"/>
        <w:spacing w:line="360" w:lineRule="auto"/>
        <w:ind w:firstLine="420" w:firstLineChars="200"/>
        <w:rPr>
          <w:rFonts w:asciiTheme="majorEastAsia" w:hAnsiTheme="majorEastAsia" w:eastAsiaTheme="majorEastAsia"/>
          <w:bCs/>
          <w:color w:val="auto"/>
          <w:szCs w:val="20"/>
        </w:rPr>
      </w:pPr>
      <w:r>
        <w:rPr>
          <w:rFonts w:hint="eastAsia" w:asciiTheme="majorEastAsia" w:hAnsiTheme="majorEastAsia" w:eastAsiaTheme="majorEastAsia"/>
          <w:color w:val="auto"/>
        </w:rPr>
        <w:t>一、本公司（企业）</w:t>
      </w:r>
      <w:r>
        <w:rPr>
          <w:rFonts w:hint="eastAsia" w:asciiTheme="majorEastAsia" w:hAnsiTheme="majorEastAsia" w:eastAsiaTheme="majorEastAsia"/>
          <w:bCs/>
          <w:color w:val="auto"/>
          <w:szCs w:val="20"/>
        </w:rPr>
        <w:t>具备《中华人民共和国政府采购法》第二十二条规定的条件：</w:t>
      </w:r>
    </w:p>
    <w:p>
      <w:pPr>
        <w:widowControl/>
        <w:spacing w:line="360" w:lineRule="auto"/>
        <w:ind w:firstLine="360"/>
        <w:rPr>
          <w:rFonts w:cs="宋体" w:asciiTheme="majorEastAsia" w:hAnsiTheme="majorEastAsia" w:eastAsiaTheme="majorEastAsia"/>
          <w:color w:val="auto"/>
          <w:kern w:val="0"/>
        </w:rPr>
      </w:pPr>
      <w:r>
        <w:rPr>
          <w:rFonts w:hint="eastAsia" w:cs="宋体" w:asciiTheme="majorEastAsia" w:hAnsiTheme="majorEastAsia" w:eastAsiaTheme="majorEastAsia"/>
          <w:color w:val="auto"/>
          <w:kern w:val="0"/>
        </w:rPr>
        <w:t>（一）具有独立承担民事责任的能力；</w:t>
      </w:r>
    </w:p>
    <w:p>
      <w:pPr>
        <w:widowControl/>
        <w:spacing w:line="360" w:lineRule="auto"/>
        <w:ind w:firstLine="360"/>
        <w:rPr>
          <w:rFonts w:cs="宋体" w:asciiTheme="majorEastAsia" w:hAnsiTheme="majorEastAsia" w:eastAsiaTheme="majorEastAsia"/>
          <w:color w:val="auto"/>
          <w:kern w:val="0"/>
        </w:rPr>
      </w:pPr>
      <w:r>
        <w:rPr>
          <w:rFonts w:hint="eastAsia" w:cs="宋体" w:asciiTheme="majorEastAsia" w:hAnsiTheme="majorEastAsia" w:eastAsiaTheme="majorEastAsia"/>
          <w:color w:val="auto"/>
          <w:kern w:val="0"/>
        </w:rPr>
        <w:t>（二）具有良好的商业信誉和健全的财务会计制度；</w:t>
      </w:r>
    </w:p>
    <w:p>
      <w:pPr>
        <w:widowControl/>
        <w:spacing w:line="360" w:lineRule="auto"/>
        <w:ind w:firstLine="360"/>
        <w:rPr>
          <w:rFonts w:cs="宋体" w:asciiTheme="majorEastAsia" w:hAnsiTheme="majorEastAsia" w:eastAsiaTheme="majorEastAsia"/>
          <w:color w:val="auto"/>
          <w:kern w:val="0"/>
        </w:rPr>
      </w:pPr>
      <w:r>
        <w:rPr>
          <w:rFonts w:hint="eastAsia" w:cs="宋体" w:asciiTheme="majorEastAsia" w:hAnsiTheme="majorEastAsia" w:eastAsiaTheme="majorEastAsia"/>
          <w:color w:val="auto"/>
          <w:kern w:val="0"/>
        </w:rPr>
        <w:t>（三）具有履行合同所必需的设备和专业技术能力；</w:t>
      </w:r>
    </w:p>
    <w:p>
      <w:pPr>
        <w:widowControl/>
        <w:spacing w:line="360" w:lineRule="auto"/>
        <w:ind w:firstLine="360"/>
        <w:rPr>
          <w:rFonts w:cs="宋体" w:asciiTheme="majorEastAsia" w:hAnsiTheme="majorEastAsia" w:eastAsiaTheme="majorEastAsia"/>
          <w:color w:val="auto"/>
          <w:kern w:val="0"/>
        </w:rPr>
      </w:pPr>
      <w:r>
        <w:rPr>
          <w:rFonts w:hint="eastAsia" w:cs="宋体" w:asciiTheme="majorEastAsia" w:hAnsiTheme="majorEastAsia" w:eastAsiaTheme="majorEastAsia"/>
          <w:color w:val="auto"/>
          <w:kern w:val="0"/>
        </w:rPr>
        <w:t>（四）有依法缴纳税收和社会保障资金的良好记录；</w:t>
      </w:r>
    </w:p>
    <w:p>
      <w:pPr>
        <w:widowControl/>
        <w:spacing w:line="360" w:lineRule="auto"/>
        <w:ind w:firstLine="360"/>
        <w:rPr>
          <w:rFonts w:cs="宋体" w:asciiTheme="majorEastAsia" w:hAnsiTheme="majorEastAsia" w:eastAsiaTheme="majorEastAsia"/>
          <w:color w:val="auto"/>
          <w:kern w:val="0"/>
        </w:rPr>
      </w:pPr>
      <w:r>
        <w:rPr>
          <w:rFonts w:hint="eastAsia" w:cs="宋体" w:asciiTheme="majorEastAsia" w:hAnsiTheme="majorEastAsia" w:eastAsiaTheme="majorEastAsia"/>
          <w:color w:val="auto"/>
          <w:kern w:val="0"/>
        </w:rPr>
        <w:t>（五）参加政府采购活动前三年内，在经营活动中没有重大违法记录；</w:t>
      </w:r>
    </w:p>
    <w:p>
      <w:pPr>
        <w:widowControl/>
        <w:spacing w:line="360" w:lineRule="auto"/>
        <w:ind w:firstLine="360"/>
        <w:rPr>
          <w:rFonts w:cs="宋体" w:asciiTheme="majorEastAsia" w:hAnsiTheme="majorEastAsia" w:eastAsiaTheme="majorEastAsia"/>
          <w:color w:val="auto"/>
          <w:kern w:val="0"/>
        </w:rPr>
      </w:pPr>
      <w:r>
        <w:rPr>
          <w:rFonts w:hint="eastAsia" w:cs="宋体" w:asciiTheme="majorEastAsia" w:hAnsiTheme="majorEastAsia" w:eastAsiaTheme="majorEastAsia"/>
          <w:color w:val="auto"/>
          <w:kern w:val="0"/>
        </w:rPr>
        <w:t>（六）法律、行政法规规定的其他条件。</w:t>
      </w:r>
    </w:p>
    <w:p>
      <w:pPr>
        <w:snapToGrid w:val="0"/>
        <w:spacing w:line="360" w:lineRule="auto"/>
        <w:ind w:firstLine="424" w:firstLineChars="202"/>
        <w:rPr>
          <w:rFonts w:asciiTheme="majorEastAsia" w:hAnsiTheme="majorEastAsia" w:eastAsiaTheme="majorEastAsia"/>
          <w:color w:val="auto"/>
        </w:rPr>
      </w:pPr>
      <w:r>
        <w:rPr>
          <w:rFonts w:hint="eastAsia" w:asciiTheme="majorEastAsia" w:hAnsiTheme="majorEastAsia" w:eastAsiaTheme="majorEastAsia"/>
          <w:color w:val="auto"/>
        </w:rPr>
        <w:t>二、本公司（企业）具有本次采购项目服务能力。</w:t>
      </w:r>
    </w:p>
    <w:p>
      <w:pPr>
        <w:snapToGrid w:val="0"/>
        <w:spacing w:line="360" w:lineRule="auto"/>
        <w:ind w:firstLine="424" w:firstLineChars="202"/>
        <w:rPr>
          <w:rFonts w:asciiTheme="majorEastAsia" w:hAnsiTheme="majorEastAsia" w:eastAsiaTheme="majorEastAsia"/>
          <w:color w:val="auto"/>
        </w:rPr>
      </w:pPr>
      <w:r>
        <w:rPr>
          <w:rFonts w:hint="eastAsia" w:asciiTheme="majorEastAsia" w:hAnsiTheme="majorEastAsia" w:eastAsiaTheme="majorEastAsia"/>
          <w:color w:val="auto"/>
        </w:rPr>
        <w:t>三、本公司（企业）有固定的经营场所，信誉良好、售后维护服务好，并且在经营活动中无严重违法记录。</w:t>
      </w:r>
    </w:p>
    <w:p>
      <w:pPr>
        <w:snapToGrid w:val="0"/>
        <w:spacing w:line="360" w:lineRule="auto"/>
        <w:ind w:firstLine="424" w:firstLineChars="202"/>
        <w:rPr>
          <w:rFonts w:asciiTheme="majorEastAsia" w:hAnsiTheme="majorEastAsia" w:eastAsiaTheme="majorEastAsia"/>
          <w:color w:val="auto"/>
        </w:rPr>
      </w:pPr>
      <w:r>
        <w:rPr>
          <w:rFonts w:hint="eastAsia" w:asciiTheme="majorEastAsia" w:hAnsiTheme="majorEastAsia" w:eastAsiaTheme="majorEastAsia"/>
          <w:color w:val="auto"/>
        </w:rPr>
        <w:t>四、本公司（企业）不以联合体身份参与本项目竞价，不分包、不转包。</w:t>
      </w:r>
    </w:p>
    <w:p>
      <w:pPr>
        <w:snapToGrid w:val="0"/>
        <w:spacing w:beforeLines="50" w:line="360" w:lineRule="auto"/>
        <w:ind w:firstLine="424" w:firstLineChars="202"/>
        <w:rPr>
          <w:rFonts w:asciiTheme="majorEastAsia" w:hAnsiTheme="majorEastAsia" w:eastAsiaTheme="majorEastAsia"/>
          <w:color w:val="auto"/>
        </w:rPr>
      </w:pPr>
      <w:r>
        <w:rPr>
          <w:rFonts w:hint="eastAsia" w:asciiTheme="majorEastAsia" w:hAnsiTheme="majorEastAsia" w:eastAsiaTheme="majorEastAsia"/>
          <w:color w:val="auto"/>
        </w:rPr>
        <w:t>本公司（企业）承诺在本次采购活动中，如有违法、违规、弄虚作假行为，所造成的损失、不良后果及法律责任，一律由本公司（企业）承担。</w:t>
      </w:r>
    </w:p>
    <w:p>
      <w:pPr>
        <w:spacing w:beforeLines="50" w:line="360" w:lineRule="auto"/>
        <w:ind w:firstLine="420"/>
        <w:rPr>
          <w:rFonts w:asciiTheme="majorEastAsia" w:hAnsiTheme="majorEastAsia" w:eastAsiaTheme="majorEastAsia"/>
          <w:color w:val="auto"/>
        </w:rPr>
      </w:pPr>
      <w:r>
        <w:rPr>
          <w:rFonts w:hint="eastAsia" w:asciiTheme="majorEastAsia" w:hAnsiTheme="majorEastAsia" w:eastAsiaTheme="majorEastAsia"/>
          <w:color w:val="auto"/>
        </w:rPr>
        <w:t>特此声明！</w:t>
      </w:r>
    </w:p>
    <w:p>
      <w:pPr>
        <w:autoSpaceDE w:val="0"/>
        <w:autoSpaceDN w:val="0"/>
        <w:adjustRightInd w:val="0"/>
        <w:spacing w:beforeLines="50"/>
        <w:ind w:firstLine="413" w:firstLineChars="196"/>
        <w:rPr>
          <w:rFonts w:asciiTheme="majorEastAsia" w:hAnsiTheme="majorEastAsia" w:eastAsiaTheme="majorEastAsia"/>
          <w:b/>
          <w:color w:val="auto"/>
        </w:rPr>
      </w:pPr>
      <w:r>
        <w:rPr>
          <w:rFonts w:hint="eastAsia" w:asciiTheme="majorEastAsia" w:hAnsiTheme="majorEastAsia" w:eastAsiaTheme="majorEastAsia"/>
          <w:b/>
          <w:color w:val="auto"/>
        </w:rPr>
        <w:t>备注：</w:t>
      </w:r>
    </w:p>
    <w:p>
      <w:pPr>
        <w:pStyle w:val="42"/>
        <w:numPr>
          <w:ilvl w:val="0"/>
          <w:numId w:val="18"/>
        </w:numPr>
        <w:autoSpaceDE w:val="0"/>
        <w:autoSpaceDN w:val="0"/>
        <w:adjustRightInd w:val="0"/>
        <w:spacing w:beforeLines="50"/>
        <w:ind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本声明函必须提供且内容不得擅自删改，否则视为响应无效。</w:t>
      </w:r>
    </w:p>
    <w:p>
      <w:pPr>
        <w:pStyle w:val="42"/>
        <w:numPr>
          <w:ilvl w:val="0"/>
          <w:numId w:val="18"/>
        </w:numPr>
        <w:snapToGrid w:val="0"/>
        <w:spacing w:beforeLines="50"/>
        <w:ind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本声明函如有虚假或与事实不符的，作无效报价处理。</w:t>
      </w:r>
    </w:p>
    <w:p>
      <w:pPr>
        <w:tabs>
          <w:tab w:val="left" w:pos="426"/>
        </w:tabs>
        <w:adjustRightInd w:val="0"/>
        <w:snapToGrid w:val="0"/>
        <w:spacing w:beforeLines="50"/>
        <w:rPr>
          <w:rFonts w:asciiTheme="majorEastAsia" w:hAnsiTheme="majorEastAsia" w:eastAsiaTheme="majorEastAsia"/>
          <w:bCs/>
          <w:color w:val="auto"/>
        </w:rPr>
      </w:pPr>
    </w:p>
    <w:p>
      <w:pPr>
        <w:pStyle w:val="17"/>
        <w:rPr>
          <w:rFonts w:asciiTheme="majorEastAsia" w:hAnsiTheme="majorEastAsia" w:eastAsiaTheme="majorEastAsia"/>
          <w:color w:val="auto"/>
        </w:rPr>
      </w:pPr>
    </w:p>
    <w:p>
      <w:pPr>
        <w:pStyle w:val="17"/>
        <w:rPr>
          <w:rFonts w:asciiTheme="majorEastAsia" w:hAnsiTheme="majorEastAsia" w:eastAsiaTheme="majorEastAsia"/>
          <w:color w:val="auto"/>
        </w:rPr>
      </w:pPr>
    </w:p>
    <w:p>
      <w:pPr>
        <w:spacing w:beforeLines="50"/>
        <w:ind w:firstLine="4620" w:firstLineChars="2200"/>
        <w:rPr>
          <w:rFonts w:asciiTheme="majorEastAsia" w:hAnsiTheme="majorEastAsia" w:eastAsiaTheme="majorEastAsia"/>
          <w:color w:val="auto"/>
          <w:u w:val="single"/>
        </w:rPr>
      </w:pPr>
      <w:r>
        <w:rPr>
          <w:rFonts w:hint="eastAsia" w:asciiTheme="majorEastAsia" w:hAnsiTheme="majorEastAsia" w:eastAsiaTheme="majorEastAsia"/>
          <w:color w:val="auto"/>
        </w:rPr>
        <w:t>供应商名称（盖</w:t>
      </w:r>
      <w:r>
        <w:rPr>
          <w:rFonts w:hint="eastAsia" w:asciiTheme="majorEastAsia" w:hAnsiTheme="majorEastAsia" w:eastAsiaTheme="majorEastAsia"/>
          <w:color w:val="auto"/>
          <w:spacing w:val="4"/>
        </w:rPr>
        <w:t>公章</w:t>
      </w:r>
      <w:r>
        <w:rPr>
          <w:rFonts w:hint="eastAsia" w:asciiTheme="majorEastAsia" w:hAnsiTheme="majorEastAsia" w:eastAsiaTheme="majorEastAsia"/>
          <w:color w:val="auto"/>
        </w:rPr>
        <w:t>）：</w:t>
      </w:r>
    </w:p>
    <w:p>
      <w:pPr>
        <w:spacing w:beforeLines="50"/>
        <w:ind w:firstLine="4620" w:firstLineChars="2200"/>
        <w:rPr>
          <w:rFonts w:asciiTheme="majorEastAsia" w:hAnsiTheme="majorEastAsia" w:eastAsiaTheme="majorEastAsia"/>
          <w:color w:val="auto"/>
        </w:rPr>
      </w:pPr>
    </w:p>
    <w:p>
      <w:pPr>
        <w:spacing w:beforeLines="50"/>
        <w:ind w:firstLine="4620" w:firstLineChars="2200"/>
        <w:rPr>
          <w:rFonts w:asciiTheme="majorEastAsia" w:hAnsiTheme="majorEastAsia" w:eastAsiaTheme="majorEastAsia"/>
          <w:color w:val="auto"/>
        </w:rPr>
      </w:pPr>
      <w:r>
        <w:rPr>
          <w:rFonts w:hint="eastAsia" w:asciiTheme="majorEastAsia" w:hAnsiTheme="majorEastAsia" w:eastAsiaTheme="majorEastAsia"/>
          <w:color w:val="auto"/>
        </w:rPr>
        <w:t>日期：</w:t>
      </w:r>
    </w:p>
    <w:p>
      <w:pPr>
        <w:widowControl/>
        <w:jc w:val="left"/>
        <w:rPr>
          <w:rFonts w:cs="Arial" w:asciiTheme="majorEastAsia" w:hAnsiTheme="majorEastAsia" w:eastAsiaTheme="majorEastAsia"/>
          <w:b/>
          <w:bCs/>
          <w:color w:val="auto"/>
          <w:kern w:val="0"/>
        </w:rPr>
      </w:pPr>
    </w:p>
    <w:bookmarkEnd w:id="2"/>
    <w:sectPr>
      <w:footerReference r:id="rId3" w:type="default"/>
      <w:pgSz w:w="11906" w:h="16838"/>
      <w:pgMar w:top="1440" w:right="1700" w:bottom="1440" w:left="170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5536805"/>
    </w:sdtPr>
    <w:sdtContent>
      <w:p>
        <w:pPr>
          <w:pStyle w:val="12"/>
          <w:jc w:val="center"/>
        </w:pPr>
        <w:r>
          <w:fldChar w:fldCharType="begin"/>
        </w:r>
        <w:r>
          <w:instrText xml:space="preserve">PAGE   \* MERGEFORMAT</w:instrText>
        </w:r>
        <w:r>
          <w:fldChar w:fldCharType="separate"/>
        </w:r>
        <w:r>
          <w:rPr>
            <w:lang w:val="zh-CN"/>
          </w:rPr>
          <w:t>14</w:t>
        </w:r>
        <w: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3D50D4"/>
    <w:multiLevelType w:val="multilevel"/>
    <w:tmpl w:val="CB3D50D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b w:val="0"/>
        <w:bCs w:val="0"/>
        <w:dstrike w:val="0"/>
      </w:rPr>
    </w:lvl>
    <w:lvl w:ilvl="2" w:tentative="0">
      <w:start w:val="1"/>
      <w:numFmt w:val="decimal"/>
      <w:lvlText w:val="%1.%2.%3"/>
      <w:lvlJc w:val="left"/>
      <w:pPr>
        <w:tabs>
          <w:tab w:val="left" w:pos="1703"/>
        </w:tabs>
        <w:ind w:left="1703" w:hanging="851"/>
      </w:pPr>
      <w:rPr>
        <w:rFonts w:hint="default" w:ascii="宋体" w:hAnsi="宋体" w:eastAsia="宋体"/>
        <w:b w:val="0"/>
        <w:bCs w:val="0"/>
        <w:color w:val="auto"/>
        <w:sz w:val="21"/>
        <w:szCs w:val="21"/>
      </w:rPr>
    </w:lvl>
    <w:lvl w:ilvl="3" w:tentative="0">
      <w:start w:val="1"/>
      <w:numFmt w:val="decimal"/>
      <w:pStyle w:val="36"/>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4AD10DA"/>
    <w:multiLevelType w:val="multilevel"/>
    <w:tmpl w:val="04AD10DA"/>
    <w:lvl w:ilvl="0" w:tentative="0">
      <w:start w:val="1"/>
      <w:numFmt w:val="lowerLetter"/>
      <w:suff w:val="nothing"/>
      <w:lvlText w:val="%1)"/>
      <w:lvlJc w:val="left"/>
      <w:pPr>
        <w:ind w:left="1260" w:hanging="420"/>
      </w:pPr>
      <w:rPr>
        <w:rFonts w:hint="eastAsia" w:cs="Times New Roman"/>
      </w:rPr>
    </w:lvl>
    <w:lvl w:ilvl="1" w:tentative="0">
      <w:start w:val="1"/>
      <w:numFmt w:val="lowerLetter"/>
      <w:lvlText w:val="%2)"/>
      <w:lvlJc w:val="left"/>
      <w:pPr>
        <w:ind w:left="1680" w:hanging="420"/>
      </w:pPr>
      <w:rPr>
        <w:rFonts w:hint="eastAsia" w:cs="Times New Roman"/>
      </w:rPr>
    </w:lvl>
    <w:lvl w:ilvl="2" w:tentative="0">
      <w:start w:val="1"/>
      <w:numFmt w:val="lowerRoman"/>
      <w:lvlText w:val="%3."/>
      <w:lvlJc w:val="right"/>
      <w:pPr>
        <w:ind w:left="2100" w:hanging="420"/>
      </w:pPr>
      <w:rPr>
        <w:rFonts w:hint="eastAsia" w:cs="Times New Roman"/>
      </w:rPr>
    </w:lvl>
    <w:lvl w:ilvl="3" w:tentative="0">
      <w:start w:val="1"/>
      <w:numFmt w:val="decimal"/>
      <w:lvlText w:val="%4."/>
      <w:lvlJc w:val="left"/>
      <w:pPr>
        <w:ind w:left="2520" w:hanging="420"/>
      </w:pPr>
      <w:rPr>
        <w:rFonts w:hint="eastAsia" w:cs="Times New Roman"/>
      </w:rPr>
    </w:lvl>
    <w:lvl w:ilvl="4" w:tentative="0">
      <w:start w:val="1"/>
      <w:numFmt w:val="lowerLetter"/>
      <w:lvlText w:val="%5)"/>
      <w:lvlJc w:val="left"/>
      <w:pPr>
        <w:ind w:left="2940" w:hanging="420"/>
      </w:pPr>
      <w:rPr>
        <w:rFonts w:hint="eastAsia" w:cs="Times New Roman"/>
      </w:rPr>
    </w:lvl>
    <w:lvl w:ilvl="5" w:tentative="0">
      <w:start w:val="1"/>
      <w:numFmt w:val="lowerRoman"/>
      <w:lvlText w:val="%6."/>
      <w:lvlJc w:val="right"/>
      <w:pPr>
        <w:ind w:left="3360" w:hanging="420"/>
      </w:pPr>
      <w:rPr>
        <w:rFonts w:hint="eastAsia" w:cs="Times New Roman"/>
      </w:rPr>
    </w:lvl>
    <w:lvl w:ilvl="6" w:tentative="0">
      <w:start w:val="1"/>
      <w:numFmt w:val="decimal"/>
      <w:lvlText w:val="%7."/>
      <w:lvlJc w:val="left"/>
      <w:pPr>
        <w:ind w:left="3780" w:hanging="420"/>
      </w:pPr>
      <w:rPr>
        <w:rFonts w:hint="eastAsia" w:cs="Times New Roman"/>
      </w:rPr>
    </w:lvl>
    <w:lvl w:ilvl="7" w:tentative="0">
      <w:start w:val="1"/>
      <w:numFmt w:val="lowerLetter"/>
      <w:lvlText w:val="%8)"/>
      <w:lvlJc w:val="left"/>
      <w:pPr>
        <w:ind w:left="4200" w:hanging="420"/>
      </w:pPr>
      <w:rPr>
        <w:rFonts w:hint="eastAsia" w:cs="Times New Roman"/>
      </w:rPr>
    </w:lvl>
    <w:lvl w:ilvl="8" w:tentative="0">
      <w:start w:val="1"/>
      <w:numFmt w:val="lowerRoman"/>
      <w:lvlText w:val="%9."/>
      <w:lvlJc w:val="right"/>
      <w:pPr>
        <w:ind w:left="4620" w:hanging="420"/>
      </w:pPr>
      <w:rPr>
        <w:rFonts w:hint="eastAsia" w:cs="Times New Roman"/>
      </w:rPr>
    </w:lvl>
  </w:abstractNum>
  <w:abstractNum w:abstractNumId="3">
    <w:nsid w:val="140A6B21"/>
    <w:multiLevelType w:val="multilevel"/>
    <w:tmpl w:val="140A6B2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F216A77"/>
    <w:multiLevelType w:val="multilevel"/>
    <w:tmpl w:val="1F216A77"/>
    <w:lvl w:ilvl="0" w:tentative="0">
      <w:start w:val="1"/>
      <w:numFmt w:val="chineseCountingThousand"/>
      <w:pStyle w:val="46"/>
      <w:lvlText w:val="%1、"/>
      <w:lvlJc w:val="left"/>
      <w:pPr>
        <w:ind w:left="420" w:hanging="420"/>
      </w:pPr>
      <w:rPr>
        <w:rFonts w:hint="eastAsia"/>
        <w:b/>
        <w:i w:val="0"/>
        <w:spacing w:val="0"/>
        <w:position w:val="0"/>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27D41A0"/>
    <w:multiLevelType w:val="multilevel"/>
    <w:tmpl w:val="227D41A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5AC778E"/>
    <w:multiLevelType w:val="multilevel"/>
    <w:tmpl w:val="25AC778E"/>
    <w:lvl w:ilvl="0" w:tentative="0">
      <w:start w:val="1"/>
      <w:numFmt w:val="chineseCountingThousand"/>
      <w:lvlText w:val="%1、"/>
      <w:lvlJc w:val="left"/>
      <w:pPr>
        <w:tabs>
          <w:tab w:val="left" w:pos="420"/>
        </w:tabs>
        <w:ind w:left="420" w:hanging="420"/>
      </w:pPr>
      <w:rPr>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C2121DA"/>
    <w:multiLevelType w:val="multilevel"/>
    <w:tmpl w:val="2C2121D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9">
    <w:nsid w:val="34433F59"/>
    <w:multiLevelType w:val="multilevel"/>
    <w:tmpl w:val="34433F5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CE44964"/>
    <w:multiLevelType w:val="multilevel"/>
    <w:tmpl w:val="3CE4496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E7E35BD"/>
    <w:multiLevelType w:val="multilevel"/>
    <w:tmpl w:val="3E7E35BD"/>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lowerLetter"/>
      <w:lvlText w:val="%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2">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3">
    <w:nsid w:val="52472D9D"/>
    <w:multiLevelType w:val="multilevel"/>
    <w:tmpl w:val="52472D9D"/>
    <w:lvl w:ilvl="0" w:tentative="0">
      <w:start w:val="1"/>
      <w:numFmt w:val="decimal"/>
      <w:suff w:val="nothing"/>
      <w:lvlText w:val="%1)"/>
      <w:lvlJc w:val="left"/>
      <w:pPr>
        <w:ind w:left="840" w:hanging="420"/>
      </w:pPr>
      <w:rPr>
        <w:rFonts w:hint="default" w:ascii="宋体" w:hAnsi="宋体" w:eastAsia="宋体" w:cs="宋体"/>
        <w:b w:val="0"/>
        <w:color w:val="auto"/>
        <w:sz w:val="21"/>
        <w:szCs w:val="21"/>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4">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5">
    <w:nsid w:val="59794862"/>
    <w:multiLevelType w:val="multilevel"/>
    <w:tmpl w:val="59794862"/>
    <w:lvl w:ilvl="0" w:tentative="0">
      <w:start w:val="1"/>
      <w:numFmt w:val="decimal"/>
      <w:lvlText w:val="%1)"/>
      <w:lvlJc w:val="left"/>
      <w:pPr>
        <w:ind w:left="840" w:hanging="420"/>
      </w:pPr>
      <w:rPr>
        <w:rFonts w:hint="default" w:ascii="宋体" w:hAnsi="宋体" w:eastAsia="宋体" w:cs="宋体"/>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16"/>
  </w:num>
  <w:num w:numId="4">
    <w:abstractNumId w:val="9"/>
  </w:num>
  <w:num w:numId="5">
    <w:abstractNumId w:val="10"/>
  </w:num>
  <w:num w:numId="6">
    <w:abstractNumId w:val="14"/>
  </w:num>
  <w:num w:numId="7">
    <w:abstractNumId w:val="13"/>
  </w:num>
  <w:num w:numId="8">
    <w:abstractNumId w:val="15"/>
  </w:num>
  <w:num w:numId="9">
    <w:abstractNumId w:val="7"/>
  </w:num>
  <w:num w:numId="10">
    <w:abstractNumId w:val="0"/>
  </w:num>
  <w:num w:numId="11">
    <w:abstractNumId w:val="11"/>
  </w:num>
  <w:num w:numId="12">
    <w:abstractNumId w:val="3"/>
  </w:num>
  <w:num w:numId="13">
    <w:abstractNumId w:val="2"/>
  </w:num>
  <w:num w:numId="14">
    <w:abstractNumId w:val="5"/>
  </w:num>
  <w:num w:numId="15">
    <w:abstractNumId w:val="6"/>
  </w:num>
  <w:num w:numId="16">
    <w:abstractNumId w:val="17"/>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BiMzM3MzE3ZjRkN2VmNDQ5NmMzZDdjMmIwMDZkZGIifQ=="/>
    <w:docVar w:name="KSO_WPS_MARK_KEY" w:val="Ā&amp;"/>
  </w:docVars>
  <w:rsids>
    <w:rsidRoot w:val="00603670"/>
    <w:rsid w:val="0000298A"/>
    <w:rsid w:val="00015F7C"/>
    <w:rsid w:val="00016DE3"/>
    <w:rsid w:val="00025500"/>
    <w:rsid w:val="00033572"/>
    <w:rsid w:val="00035AD5"/>
    <w:rsid w:val="00042B6B"/>
    <w:rsid w:val="00043316"/>
    <w:rsid w:val="00050534"/>
    <w:rsid w:val="0005284C"/>
    <w:rsid w:val="00053978"/>
    <w:rsid w:val="000565F1"/>
    <w:rsid w:val="00057397"/>
    <w:rsid w:val="000643CC"/>
    <w:rsid w:val="00071A77"/>
    <w:rsid w:val="00072D57"/>
    <w:rsid w:val="00075391"/>
    <w:rsid w:val="00082596"/>
    <w:rsid w:val="00082CDE"/>
    <w:rsid w:val="00086760"/>
    <w:rsid w:val="0009371F"/>
    <w:rsid w:val="0009646E"/>
    <w:rsid w:val="000A42CF"/>
    <w:rsid w:val="000B004D"/>
    <w:rsid w:val="000B040C"/>
    <w:rsid w:val="000B3F59"/>
    <w:rsid w:val="000B4A9E"/>
    <w:rsid w:val="000B59FC"/>
    <w:rsid w:val="000C55BF"/>
    <w:rsid w:val="000D1F67"/>
    <w:rsid w:val="000D36F0"/>
    <w:rsid w:val="000D4306"/>
    <w:rsid w:val="000E1199"/>
    <w:rsid w:val="000E578E"/>
    <w:rsid w:val="000F3418"/>
    <w:rsid w:val="000F3DC1"/>
    <w:rsid w:val="000F4961"/>
    <w:rsid w:val="00104C8A"/>
    <w:rsid w:val="00107E2D"/>
    <w:rsid w:val="0011556A"/>
    <w:rsid w:val="00115794"/>
    <w:rsid w:val="00116ACD"/>
    <w:rsid w:val="00116EDF"/>
    <w:rsid w:val="001171EC"/>
    <w:rsid w:val="00122CF7"/>
    <w:rsid w:val="00123BEA"/>
    <w:rsid w:val="0012661E"/>
    <w:rsid w:val="001304CF"/>
    <w:rsid w:val="001331A9"/>
    <w:rsid w:val="00140AD2"/>
    <w:rsid w:val="0016171E"/>
    <w:rsid w:val="0016188F"/>
    <w:rsid w:val="00175ECB"/>
    <w:rsid w:val="00182BE9"/>
    <w:rsid w:val="001A3D1C"/>
    <w:rsid w:val="001A769F"/>
    <w:rsid w:val="001B0A70"/>
    <w:rsid w:val="001B1D84"/>
    <w:rsid w:val="001B2B65"/>
    <w:rsid w:val="001B74DB"/>
    <w:rsid w:val="001C086C"/>
    <w:rsid w:val="001C6BE3"/>
    <w:rsid w:val="001C7818"/>
    <w:rsid w:val="001D1026"/>
    <w:rsid w:val="001D25E2"/>
    <w:rsid w:val="001D33E6"/>
    <w:rsid w:val="001D3B81"/>
    <w:rsid w:val="001D44FA"/>
    <w:rsid w:val="001D5646"/>
    <w:rsid w:val="001D6582"/>
    <w:rsid w:val="001E143C"/>
    <w:rsid w:val="001E2A6D"/>
    <w:rsid w:val="001E3E64"/>
    <w:rsid w:val="001E48AC"/>
    <w:rsid w:val="001E5C33"/>
    <w:rsid w:val="001F0F72"/>
    <w:rsid w:val="001F2C3E"/>
    <w:rsid w:val="001F3F8C"/>
    <w:rsid w:val="00200913"/>
    <w:rsid w:val="00202A72"/>
    <w:rsid w:val="002038D0"/>
    <w:rsid w:val="00203E65"/>
    <w:rsid w:val="002056C6"/>
    <w:rsid w:val="002076EA"/>
    <w:rsid w:val="00226E56"/>
    <w:rsid w:val="0024390D"/>
    <w:rsid w:val="00253352"/>
    <w:rsid w:val="00260556"/>
    <w:rsid w:val="0026118D"/>
    <w:rsid w:val="00262DAA"/>
    <w:rsid w:val="0026462D"/>
    <w:rsid w:val="00265715"/>
    <w:rsid w:val="00270E13"/>
    <w:rsid w:val="0027149E"/>
    <w:rsid w:val="00274555"/>
    <w:rsid w:val="00275F07"/>
    <w:rsid w:val="00280F7C"/>
    <w:rsid w:val="0028193C"/>
    <w:rsid w:val="00283853"/>
    <w:rsid w:val="002937CB"/>
    <w:rsid w:val="002A1FE5"/>
    <w:rsid w:val="002A4348"/>
    <w:rsid w:val="002A535D"/>
    <w:rsid w:val="002C39DB"/>
    <w:rsid w:val="002C60B9"/>
    <w:rsid w:val="002C7CC8"/>
    <w:rsid w:val="002D4EBD"/>
    <w:rsid w:val="002E0263"/>
    <w:rsid w:val="002E61D3"/>
    <w:rsid w:val="002F276B"/>
    <w:rsid w:val="002F352E"/>
    <w:rsid w:val="002F3564"/>
    <w:rsid w:val="002F6CD8"/>
    <w:rsid w:val="002F76A4"/>
    <w:rsid w:val="00300B49"/>
    <w:rsid w:val="00303BFD"/>
    <w:rsid w:val="00311AF1"/>
    <w:rsid w:val="003156D0"/>
    <w:rsid w:val="003161CF"/>
    <w:rsid w:val="003176B6"/>
    <w:rsid w:val="00321A99"/>
    <w:rsid w:val="00327487"/>
    <w:rsid w:val="00327C22"/>
    <w:rsid w:val="003303D8"/>
    <w:rsid w:val="00342C97"/>
    <w:rsid w:val="00344462"/>
    <w:rsid w:val="00355F34"/>
    <w:rsid w:val="003652D3"/>
    <w:rsid w:val="00366067"/>
    <w:rsid w:val="00367444"/>
    <w:rsid w:val="003747BB"/>
    <w:rsid w:val="00374A77"/>
    <w:rsid w:val="003818F2"/>
    <w:rsid w:val="00383905"/>
    <w:rsid w:val="00384031"/>
    <w:rsid w:val="003846B9"/>
    <w:rsid w:val="003846F9"/>
    <w:rsid w:val="00392847"/>
    <w:rsid w:val="00393D24"/>
    <w:rsid w:val="00394537"/>
    <w:rsid w:val="00395A64"/>
    <w:rsid w:val="00396F2C"/>
    <w:rsid w:val="003B48C0"/>
    <w:rsid w:val="003C45CC"/>
    <w:rsid w:val="003C4F8D"/>
    <w:rsid w:val="003C55BC"/>
    <w:rsid w:val="003C67F4"/>
    <w:rsid w:val="003C7FA6"/>
    <w:rsid w:val="003D591B"/>
    <w:rsid w:val="003D753D"/>
    <w:rsid w:val="003E0757"/>
    <w:rsid w:val="003E273C"/>
    <w:rsid w:val="003E5FA1"/>
    <w:rsid w:val="003F38D5"/>
    <w:rsid w:val="003F6E2E"/>
    <w:rsid w:val="003F7E3D"/>
    <w:rsid w:val="00400BFC"/>
    <w:rsid w:val="00403AB2"/>
    <w:rsid w:val="00405232"/>
    <w:rsid w:val="00423267"/>
    <w:rsid w:val="00430F2B"/>
    <w:rsid w:val="00431DBE"/>
    <w:rsid w:val="00436696"/>
    <w:rsid w:val="00456D78"/>
    <w:rsid w:val="0045708A"/>
    <w:rsid w:val="0045760A"/>
    <w:rsid w:val="004610D7"/>
    <w:rsid w:val="004613B9"/>
    <w:rsid w:val="00463829"/>
    <w:rsid w:val="0046765C"/>
    <w:rsid w:val="0047081D"/>
    <w:rsid w:val="004765F8"/>
    <w:rsid w:val="00476745"/>
    <w:rsid w:val="00487B57"/>
    <w:rsid w:val="004911BB"/>
    <w:rsid w:val="00492B35"/>
    <w:rsid w:val="00493336"/>
    <w:rsid w:val="00493CFE"/>
    <w:rsid w:val="0049490E"/>
    <w:rsid w:val="00496883"/>
    <w:rsid w:val="00496A8C"/>
    <w:rsid w:val="004A36A8"/>
    <w:rsid w:val="004A66AE"/>
    <w:rsid w:val="004B4136"/>
    <w:rsid w:val="004B7182"/>
    <w:rsid w:val="004D2165"/>
    <w:rsid w:val="004D21F2"/>
    <w:rsid w:val="004D24AA"/>
    <w:rsid w:val="004D2A3E"/>
    <w:rsid w:val="004D6D34"/>
    <w:rsid w:val="004E3790"/>
    <w:rsid w:val="004F325B"/>
    <w:rsid w:val="00505529"/>
    <w:rsid w:val="00522280"/>
    <w:rsid w:val="005235D8"/>
    <w:rsid w:val="005253CF"/>
    <w:rsid w:val="005316BD"/>
    <w:rsid w:val="00535EEC"/>
    <w:rsid w:val="00536AB0"/>
    <w:rsid w:val="00546CB7"/>
    <w:rsid w:val="005521A5"/>
    <w:rsid w:val="00555B34"/>
    <w:rsid w:val="00557DBA"/>
    <w:rsid w:val="00560AA5"/>
    <w:rsid w:val="005656FE"/>
    <w:rsid w:val="00575621"/>
    <w:rsid w:val="00576C0F"/>
    <w:rsid w:val="00576CE4"/>
    <w:rsid w:val="005835E4"/>
    <w:rsid w:val="005A12E6"/>
    <w:rsid w:val="005A23EE"/>
    <w:rsid w:val="005A6096"/>
    <w:rsid w:val="005B3853"/>
    <w:rsid w:val="005B3A28"/>
    <w:rsid w:val="005B7572"/>
    <w:rsid w:val="005C064C"/>
    <w:rsid w:val="005C3A40"/>
    <w:rsid w:val="005C7E69"/>
    <w:rsid w:val="005D2BDE"/>
    <w:rsid w:val="005D796C"/>
    <w:rsid w:val="005E4015"/>
    <w:rsid w:val="005E748F"/>
    <w:rsid w:val="005F6D53"/>
    <w:rsid w:val="00602BDE"/>
    <w:rsid w:val="00603670"/>
    <w:rsid w:val="00603D44"/>
    <w:rsid w:val="0060663D"/>
    <w:rsid w:val="00615B63"/>
    <w:rsid w:val="0061694E"/>
    <w:rsid w:val="00616D17"/>
    <w:rsid w:val="00617EC4"/>
    <w:rsid w:val="00627F1C"/>
    <w:rsid w:val="0063215A"/>
    <w:rsid w:val="00632F1D"/>
    <w:rsid w:val="006407A7"/>
    <w:rsid w:val="00642742"/>
    <w:rsid w:val="00642B85"/>
    <w:rsid w:val="0064715C"/>
    <w:rsid w:val="00650DC7"/>
    <w:rsid w:val="00650F9C"/>
    <w:rsid w:val="006536B4"/>
    <w:rsid w:val="006572CC"/>
    <w:rsid w:val="0066408C"/>
    <w:rsid w:val="00664FF6"/>
    <w:rsid w:val="00680244"/>
    <w:rsid w:val="006848EE"/>
    <w:rsid w:val="0068637F"/>
    <w:rsid w:val="00687EE9"/>
    <w:rsid w:val="006927A8"/>
    <w:rsid w:val="00693CBA"/>
    <w:rsid w:val="006940EF"/>
    <w:rsid w:val="006A61C8"/>
    <w:rsid w:val="006B07B5"/>
    <w:rsid w:val="006B498D"/>
    <w:rsid w:val="006B764E"/>
    <w:rsid w:val="006D09C1"/>
    <w:rsid w:val="006D64A5"/>
    <w:rsid w:val="006D6D63"/>
    <w:rsid w:val="006D7E04"/>
    <w:rsid w:val="006E1410"/>
    <w:rsid w:val="006E4717"/>
    <w:rsid w:val="006F7876"/>
    <w:rsid w:val="00700C51"/>
    <w:rsid w:val="00704031"/>
    <w:rsid w:val="007056A1"/>
    <w:rsid w:val="00706977"/>
    <w:rsid w:val="00707AF9"/>
    <w:rsid w:val="0071097B"/>
    <w:rsid w:val="00711D45"/>
    <w:rsid w:val="007128C2"/>
    <w:rsid w:val="00713BF5"/>
    <w:rsid w:val="00716E1D"/>
    <w:rsid w:val="00722CD7"/>
    <w:rsid w:val="00724E13"/>
    <w:rsid w:val="00727102"/>
    <w:rsid w:val="0073360C"/>
    <w:rsid w:val="007342B9"/>
    <w:rsid w:val="007553B0"/>
    <w:rsid w:val="00757B49"/>
    <w:rsid w:val="00760A6A"/>
    <w:rsid w:val="00764E99"/>
    <w:rsid w:val="00766BD6"/>
    <w:rsid w:val="00772286"/>
    <w:rsid w:val="00776682"/>
    <w:rsid w:val="007815B1"/>
    <w:rsid w:val="00781747"/>
    <w:rsid w:val="00781957"/>
    <w:rsid w:val="00783B9B"/>
    <w:rsid w:val="007926F2"/>
    <w:rsid w:val="00796682"/>
    <w:rsid w:val="007A6732"/>
    <w:rsid w:val="007B3B59"/>
    <w:rsid w:val="007C67E6"/>
    <w:rsid w:val="007D540D"/>
    <w:rsid w:val="007E26FA"/>
    <w:rsid w:val="007E3EDE"/>
    <w:rsid w:val="007E5149"/>
    <w:rsid w:val="007E6696"/>
    <w:rsid w:val="007F26F4"/>
    <w:rsid w:val="007F4345"/>
    <w:rsid w:val="007F45A9"/>
    <w:rsid w:val="007F595A"/>
    <w:rsid w:val="0080065E"/>
    <w:rsid w:val="008034FC"/>
    <w:rsid w:val="00803D3B"/>
    <w:rsid w:val="00805989"/>
    <w:rsid w:val="00807127"/>
    <w:rsid w:val="00811F33"/>
    <w:rsid w:val="00812470"/>
    <w:rsid w:val="008124C1"/>
    <w:rsid w:val="00815A1E"/>
    <w:rsid w:val="008204B2"/>
    <w:rsid w:val="00825FF0"/>
    <w:rsid w:val="008303DD"/>
    <w:rsid w:val="00833D8F"/>
    <w:rsid w:val="0083639A"/>
    <w:rsid w:val="00843C79"/>
    <w:rsid w:val="00845AEE"/>
    <w:rsid w:val="0085119F"/>
    <w:rsid w:val="008537C7"/>
    <w:rsid w:val="00855DFE"/>
    <w:rsid w:val="00856F2F"/>
    <w:rsid w:val="00862A60"/>
    <w:rsid w:val="008631BC"/>
    <w:rsid w:val="00867815"/>
    <w:rsid w:val="00867E82"/>
    <w:rsid w:val="00872056"/>
    <w:rsid w:val="00875023"/>
    <w:rsid w:val="008756FE"/>
    <w:rsid w:val="00880455"/>
    <w:rsid w:val="00880A9F"/>
    <w:rsid w:val="00884F21"/>
    <w:rsid w:val="0089260D"/>
    <w:rsid w:val="0089484C"/>
    <w:rsid w:val="008976BE"/>
    <w:rsid w:val="008A2081"/>
    <w:rsid w:val="008A5110"/>
    <w:rsid w:val="008A59EB"/>
    <w:rsid w:val="008A7093"/>
    <w:rsid w:val="008A75A4"/>
    <w:rsid w:val="008B71AF"/>
    <w:rsid w:val="008B7309"/>
    <w:rsid w:val="008B7BAC"/>
    <w:rsid w:val="008B7C71"/>
    <w:rsid w:val="008C1BE3"/>
    <w:rsid w:val="008C2AB1"/>
    <w:rsid w:val="008C3917"/>
    <w:rsid w:val="008C7CB6"/>
    <w:rsid w:val="008D11DB"/>
    <w:rsid w:val="008E26B9"/>
    <w:rsid w:val="008E3CD8"/>
    <w:rsid w:val="008E456D"/>
    <w:rsid w:val="008E49E5"/>
    <w:rsid w:val="008E6EDC"/>
    <w:rsid w:val="008F0E14"/>
    <w:rsid w:val="008F3F79"/>
    <w:rsid w:val="00901DA0"/>
    <w:rsid w:val="00904D13"/>
    <w:rsid w:val="009124E6"/>
    <w:rsid w:val="009145FD"/>
    <w:rsid w:val="00916969"/>
    <w:rsid w:val="0091744E"/>
    <w:rsid w:val="009222B7"/>
    <w:rsid w:val="009227C3"/>
    <w:rsid w:val="0092421F"/>
    <w:rsid w:val="00924AA7"/>
    <w:rsid w:val="00924D6A"/>
    <w:rsid w:val="00930B78"/>
    <w:rsid w:val="00935C5B"/>
    <w:rsid w:val="009442A5"/>
    <w:rsid w:val="009455D6"/>
    <w:rsid w:val="00945FC8"/>
    <w:rsid w:val="009500CB"/>
    <w:rsid w:val="00960AF6"/>
    <w:rsid w:val="009653F7"/>
    <w:rsid w:val="00966193"/>
    <w:rsid w:val="00966BD2"/>
    <w:rsid w:val="00977FA7"/>
    <w:rsid w:val="00980902"/>
    <w:rsid w:val="00981FCF"/>
    <w:rsid w:val="00986DFD"/>
    <w:rsid w:val="00987257"/>
    <w:rsid w:val="009877F1"/>
    <w:rsid w:val="00990253"/>
    <w:rsid w:val="00992589"/>
    <w:rsid w:val="00996A88"/>
    <w:rsid w:val="009A091C"/>
    <w:rsid w:val="009A21C0"/>
    <w:rsid w:val="009B05AC"/>
    <w:rsid w:val="009B2029"/>
    <w:rsid w:val="009B4D41"/>
    <w:rsid w:val="009C49CF"/>
    <w:rsid w:val="009D4FC9"/>
    <w:rsid w:val="009E5075"/>
    <w:rsid w:val="009E5F7B"/>
    <w:rsid w:val="009F2D03"/>
    <w:rsid w:val="009F4F82"/>
    <w:rsid w:val="009F765C"/>
    <w:rsid w:val="00A042E3"/>
    <w:rsid w:val="00A13934"/>
    <w:rsid w:val="00A14A76"/>
    <w:rsid w:val="00A167C8"/>
    <w:rsid w:val="00A16824"/>
    <w:rsid w:val="00A16C1A"/>
    <w:rsid w:val="00A170A1"/>
    <w:rsid w:val="00A17934"/>
    <w:rsid w:val="00A303B3"/>
    <w:rsid w:val="00A418EA"/>
    <w:rsid w:val="00A45A6D"/>
    <w:rsid w:val="00A46F92"/>
    <w:rsid w:val="00A560DD"/>
    <w:rsid w:val="00A60C58"/>
    <w:rsid w:val="00A626ED"/>
    <w:rsid w:val="00A62F4D"/>
    <w:rsid w:val="00A63A3A"/>
    <w:rsid w:val="00A7005C"/>
    <w:rsid w:val="00A707A1"/>
    <w:rsid w:val="00A76737"/>
    <w:rsid w:val="00A82740"/>
    <w:rsid w:val="00A8506F"/>
    <w:rsid w:val="00A86232"/>
    <w:rsid w:val="00A90C91"/>
    <w:rsid w:val="00A95205"/>
    <w:rsid w:val="00AA62B5"/>
    <w:rsid w:val="00AB1996"/>
    <w:rsid w:val="00AB1F84"/>
    <w:rsid w:val="00AD3C05"/>
    <w:rsid w:val="00AD6219"/>
    <w:rsid w:val="00AF4283"/>
    <w:rsid w:val="00B0099A"/>
    <w:rsid w:val="00B07729"/>
    <w:rsid w:val="00B13732"/>
    <w:rsid w:val="00B14C48"/>
    <w:rsid w:val="00B17776"/>
    <w:rsid w:val="00B226D1"/>
    <w:rsid w:val="00B23195"/>
    <w:rsid w:val="00B23817"/>
    <w:rsid w:val="00B35A3A"/>
    <w:rsid w:val="00B42C43"/>
    <w:rsid w:val="00B44C8C"/>
    <w:rsid w:val="00B4687C"/>
    <w:rsid w:val="00B5131D"/>
    <w:rsid w:val="00B5406D"/>
    <w:rsid w:val="00B76155"/>
    <w:rsid w:val="00B7693D"/>
    <w:rsid w:val="00B77F90"/>
    <w:rsid w:val="00B83255"/>
    <w:rsid w:val="00B85FC9"/>
    <w:rsid w:val="00B92A84"/>
    <w:rsid w:val="00B9732A"/>
    <w:rsid w:val="00BA06AF"/>
    <w:rsid w:val="00BA0B68"/>
    <w:rsid w:val="00BA1245"/>
    <w:rsid w:val="00BA5686"/>
    <w:rsid w:val="00BA578C"/>
    <w:rsid w:val="00BB1525"/>
    <w:rsid w:val="00BB2AA8"/>
    <w:rsid w:val="00BB430A"/>
    <w:rsid w:val="00BB45E3"/>
    <w:rsid w:val="00BB67EB"/>
    <w:rsid w:val="00BB76D7"/>
    <w:rsid w:val="00BD1A69"/>
    <w:rsid w:val="00BD3301"/>
    <w:rsid w:val="00BD4CD9"/>
    <w:rsid w:val="00BE1FDB"/>
    <w:rsid w:val="00BE3E1D"/>
    <w:rsid w:val="00BE571C"/>
    <w:rsid w:val="00BE6D1B"/>
    <w:rsid w:val="00BF04FE"/>
    <w:rsid w:val="00BF193C"/>
    <w:rsid w:val="00BF34BD"/>
    <w:rsid w:val="00BF3951"/>
    <w:rsid w:val="00BF45A9"/>
    <w:rsid w:val="00BF568B"/>
    <w:rsid w:val="00C00098"/>
    <w:rsid w:val="00C02598"/>
    <w:rsid w:val="00C038CD"/>
    <w:rsid w:val="00C0559E"/>
    <w:rsid w:val="00C07BE5"/>
    <w:rsid w:val="00C157A7"/>
    <w:rsid w:val="00C16E22"/>
    <w:rsid w:val="00C2026A"/>
    <w:rsid w:val="00C21B82"/>
    <w:rsid w:val="00C26648"/>
    <w:rsid w:val="00C30622"/>
    <w:rsid w:val="00C31252"/>
    <w:rsid w:val="00C368FE"/>
    <w:rsid w:val="00C36931"/>
    <w:rsid w:val="00C37E8A"/>
    <w:rsid w:val="00C40805"/>
    <w:rsid w:val="00C42AC3"/>
    <w:rsid w:val="00C521A7"/>
    <w:rsid w:val="00C523FD"/>
    <w:rsid w:val="00C53092"/>
    <w:rsid w:val="00C5476B"/>
    <w:rsid w:val="00C57DC2"/>
    <w:rsid w:val="00C71857"/>
    <w:rsid w:val="00C868C2"/>
    <w:rsid w:val="00C9013F"/>
    <w:rsid w:val="00C939F4"/>
    <w:rsid w:val="00C968F9"/>
    <w:rsid w:val="00CA090A"/>
    <w:rsid w:val="00CA5A2E"/>
    <w:rsid w:val="00CA6416"/>
    <w:rsid w:val="00CC1F6D"/>
    <w:rsid w:val="00CC299E"/>
    <w:rsid w:val="00CD325E"/>
    <w:rsid w:val="00CD3F66"/>
    <w:rsid w:val="00CD57F2"/>
    <w:rsid w:val="00CE3A57"/>
    <w:rsid w:val="00CE3AF2"/>
    <w:rsid w:val="00CE541C"/>
    <w:rsid w:val="00CF54FC"/>
    <w:rsid w:val="00CF763F"/>
    <w:rsid w:val="00D015A2"/>
    <w:rsid w:val="00D1491D"/>
    <w:rsid w:val="00D15572"/>
    <w:rsid w:val="00D2020D"/>
    <w:rsid w:val="00D21474"/>
    <w:rsid w:val="00D2420D"/>
    <w:rsid w:val="00D2445C"/>
    <w:rsid w:val="00D2729E"/>
    <w:rsid w:val="00D32E78"/>
    <w:rsid w:val="00D334A8"/>
    <w:rsid w:val="00D33A17"/>
    <w:rsid w:val="00D36DC8"/>
    <w:rsid w:val="00D467C0"/>
    <w:rsid w:val="00D533FC"/>
    <w:rsid w:val="00D61271"/>
    <w:rsid w:val="00D7179D"/>
    <w:rsid w:val="00D815BD"/>
    <w:rsid w:val="00D82EF0"/>
    <w:rsid w:val="00D83722"/>
    <w:rsid w:val="00D92572"/>
    <w:rsid w:val="00D96C7B"/>
    <w:rsid w:val="00D96CBE"/>
    <w:rsid w:val="00DA0BBD"/>
    <w:rsid w:val="00DB5E4C"/>
    <w:rsid w:val="00DC1CFA"/>
    <w:rsid w:val="00DC390F"/>
    <w:rsid w:val="00DC46B5"/>
    <w:rsid w:val="00DD1D70"/>
    <w:rsid w:val="00DD1F0C"/>
    <w:rsid w:val="00DD3276"/>
    <w:rsid w:val="00DD4221"/>
    <w:rsid w:val="00DE3AAB"/>
    <w:rsid w:val="00DF51E5"/>
    <w:rsid w:val="00DF5EE5"/>
    <w:rsid w:val="00E0529C"/>
    <w:rsid w:val="00E07AB9"/>
    <w:rsid w:val="00E13BEA"/>
    <w:rsid w:val="00E21FF8"/>
    <w:rsid w:val="00E226E5"/>
    <w:rsid w:val="00E22E3A"/>
    <w:rsid w:val="00E258CC"/>
    <w:rsid w:val="00E26AEB"/>
    <w:rsid w:val="00E4552F"/>
    <w:rsid w:val="00E54BFD"/>
    <w:rsid w:val="00E61067"/>
    <w:rsid w:val="00E627A4"/>
    <w:rsid w:val="00E632A1"/>
    <w:rsid w:val="00E639E3"/>
    <w:rsid w:val="00E66CB7"/>
    <w:rsid w:val="00E67927"/>
    <w:rsid w:val="00E76905"/>
    <w:rsid w:val="00E81F84"/>
    <w:rsid w:val="00E84F37"/>
    <w:rsid w:val="00E85EFF"/>
    <w:rsid w:val="00E961F1"/>
    <w:rsid w:val="00E96562"/>
    <w:rsid w:val="00E97F59"/>
    <w:rsid w:val="00EA03C3"/>
    <w:rsid w:val="00EA08B8"/>
    <w:rsid w:val="00EA6EFF"/>
    <w:rsid w:val="00EB1454"/>
    <w:rsid w:val="00EB3E5D"/>
    <w:rsid w:val="00EB5AE5"/>
    <w:rsid w:val="00EC0090"/>
    <w:rsid w:val="00EC06DA"/>
    <w:rsid w:val="00EC35C7"/>
    <w:rsid w:val="00EC4286"/>
    <w:rsid w:val="00EC5199"/>
    <w:rsid w:val="00EC6B71"/>
    <w:rsid w:val="00EC7578"/>
    <w:rsid w:val="00ED0D62"/>
    <w:rsid w:val="00ED13C2"/>
    <w:rsid w:val="00EE22B8"/>
    <w:rsid w:val="00EE6332"/>
    <w:rsid w:val="00EE7439"/>
    <w:rsid w:val="00EF5B10"/>
    <w:rsid w:val="00EF5F21"/>
    <w:rsid w:val="00F079BB"/>
    <w:rsid w:val="00F124EF"/>
    <w:rsid w:val="00F12E26"/>
    <w:rsid w:val="00F16A55"/>
    <w:rsid w:val="00F171E3"/>
    <w:rsid w:val="00F23328"/>
    <w:rsid w:val="00F24044"/>
    <w:rsid w:val="00F27B45"/>
    <w:rsid w:val="00F51656"/>
    <w:rsid w:val="00F5165D"/>
    <w:rsid w:val="00F54CAC"/>
    <w:rsid w:val="00F5528E"/>
    <w:rsid w:val="00F61DA9"/>
    <w:rsid w:val="00F67ABD"/>
    <w:rsid w:val="00F736C3"/>
    <w:rsid w:val="00F73A9C"/>
    <w:rsid w:val="00F74919"/>
    <w:rsid w:val="00F75B95"/>
    <w:rsid w:val="00F77CFF"/>
    <w:rsid w:val="00F77FA7"/>
    <w:rsid w:val="00F83208"/>
    <w:rsid w:val="00F96F51"/>
    <w:rsid w:val="00FA1C2C"/>
    <w:rsid w:val="00FA2846"/>
    <w:rsid w:val="00FA5198"/>
    <w:rsid w:val="00FB0581"/>
    <w:rsid w:val="00FC00E8"/>
    <w:rsid w:val="00FC1A05"/>
    <w:rsid w:val="00FC46FA"/>
    <w:rsid w:val="00FD12C6"/>
    <w:rsid w:val="00FD361D"/>
    <w:rsid w:val="00FD53B6"/>
    <w:rsid w:val="00FD56B9"/>
    <w:rsid w:val="00FE1170"/>
    <w:rsid w:val="00FE2939"/>
    <w:rsid w:val="00FF04E2"/>
    <w:rsid w:val="00FF424F"/>
    <w:rsid w:val="01D7659D"/>
    <w:rsid w:val="02962D99"/>
    <w:rsid w:val="02EB73E1"/>
    <w:rsid w:val="02F949FE"/>
    <w:rsid w:val="030516AD"/>
    <w:rsid w:val="03CF3A69"/>
    <w:rsid w:val="042A22B1"/>
    <w:rsid w:val="045B7634"/>
    <w:rsid w:val="059F47CA"/>
    <w:rsid w:val="05B222AB"/>
    <w:rsid w:val="067526A6"/>
    <w:rsid w:val="06FC4A35"/>
    <w:rsid w:val="0731093E"/>
    <w:rsid w:val="073C141B"/>
    <w:rsid w:val="0772236B"/>
    <w:rsid w:val="078132CC"/>
    <w:rsid w:val="07D505EB"/>
    <w:rsid w:val="087319E5"/>
    <w:rsid w:val="08765D39"/>
    <w:rsid w:val="08A63A3F"/>
    <w:rsid w:val="09207477"/>
    <w:rsid w:val="096E5E5D"/>
    <w:rsid w:val="097F7CCD"/>
    <w:rsid w:val="09AD60D4"/>
    <w:rsid w:val="09FF3781"/>
    <w:rsid w:val="0A357927"/>
    <w:rsid w:val="0A650DF3"/>
    <w:rsid w:val="0B4F35C1"/>
    <w:rsid w:val="0B8734B5"/>
    <w:rsid w:val="0BD11F3C"/>
    <w:rsid w:val="0C05499C"/>
    <w:rsid w:val="0C7E3FDF"/>
    <w:rsid w:val="0CD50D5D"/>
    <w:rsid w:val="0D0C3638"/>
    <w:rsid w:val="0D0C513B"/>
    <w:rsid w:val="0D3B5CCB"/>
    <w:rsid w:val="0DF06860"/>
    <w:rsid w:val="0E2261C6"/>
    <w:rsid w:val="0E8813E4"/>
    <w:rsid w:val="0FA943C9"/>
    <w:rsid w:val="0FB410DE"/>
    <w:rsid w:val="0FCD5BA8"/>
    <w:rsid w:val="0FF17751"/>
    <w:rsid w:val="101575C4"/>
    <w:rsid w:val="11DB6A66"/>
    <w:rsid w:val="11F23509"/>
    <w:rsid w:val="123B29E4"/>
    <w:rsid w:val="12C756EB"/>
    <w:rsid w:val="13043C7D"/>
    <w:rsid w:val="136566A4"/>
    <w:rsid w:val="139323BD"/>
    <w:rsid w:val="13D0654B"/>
    <w:rsid w:val="1432607A"/>
    <w:rsid w:val="16303767"/>
    <w:rsid w:val="172A128B"/>
    <w:rsid w:val="176853F5"/>
    <w:rsid w:val="17A728DB"/>
    <w:rsid w:val="17CD677C"/>
    <w:rsid w:val="17FA0B61"/>
    <w:rsid w:val="186408A7"/>
    <w:rsid w:val="187D47DE"/>
    <w:rsid w:val="18DF2FA2"/>
    <w:rsid w:val="19A8694B"/>
    <w:rsid w:val="19E826BA"/>
    <w:rsid w:val="1A277931"/>
    <w:rsid w:val="1A2E28FE"/>
    <w:rsid w:val="1A537EC8"/>
    <w:rsid w:val="1A9E1004"/>
    <w:rsid w:val="1AD70C33"/>
    <w:rsid w:val="1B1655AF"/>
    <w:rsid w:val="1BE97278"/>
    <w:rsid w:val="1C180F75"/>
    <w:rsid w:val="1C480CEA"/>
    <w:rsid w:val="1C9C72EA"/>
    <w:rsid w:val="1DC82614"/>
    <w:rsid w:val="1E8D045A"/>
    <w:rsid w:val="1EED3670"/>
    <w:rsid w:val="1F0B12FE"/>
    <w:rsid w:val="1F435A8D"/>
    <w:rsid w:val="1F863DF9"/>
    <w:rsid w:val="2049701E"/>
    <w:rsid w:val="20F63442"/>
    <w:rsid w:val="21645F5A"/>
    <w:rsid w:val="21D121B8"/>
    <w:rsid w:val="22743D02"/>
    <w:rsid w:val="22911A89"/>
    <w:rsid w:val="22CF679B"/>
    <w:rsid w:val="22DB099F"/>
    <w:rsid w:val="23307AAA"/>
    <w:rsid w:val="24861ACA"/>
    <w:rsid w:val="25BA1A2C"/>
    <w:rsid w:val="25D90FE1"/>
    <w:rsid w:val="27395666"/>
    <w:rsid w:val="27F07987"/>
    <w:rsid w:val="28034FD9"/>
    <w:rsid w:val="280702B1"/>
    <w:rsid w:val="280C2A11"/>
    <w:rsid w:val="291458F7"/>
    <w:rsid w:val="29E277A3"/>
    <w:rsid w:val="2A8638C3"/>
    <w:rsid w:val="2A8C371B"/>
    <w:rsid w:val="2ADC0AA2"/>
    <w:rsid w:val="2B232D5C"/>
    <w:rsid w:val="2B262371"/>
    <w:rsid w:val="2CD37E1B"/>
    <w:rsid w:val="2E0738D5"/>
    <w:rsid w:val="2E8E5C3C"/>
    <w:rsid w:val="2EC970A3"/>
    <w:rsid w:val="2EF33363"/>
    <w:rsid w:val="2F2B1D15"/>
    <w:rsid w:val="301335B6"/>
    <w:rsid w:val="30E3452C"/>
    <w:rsid w:val="3124258B"/>
    <w:rsid w:val="3249776B"/>
    <w:rsid w:val="32D85BE7"/>
    <w:rsid w:val="332638F5"/>
    <w:rsid w:val="337C4353"/>
    <w:rsid w:val="34304FAF"/>
    <w:rsid w:val="347C3314"/>
    <w:rsid w:val="349B3370"/>
    <w:rsid w:val="35701FB7"/>
    <w:rsid w:val="36AD1667"/>
    <w:rsid w:val="38241AB1"/>
    <w:rsid w:val="382660A1"/>
    <w:rsid w:val="38343ECE"/>
    <w:rsid w:val="38481B38"/>
    <w:rsid w:val="38634B5A"/>
    <w:rsid w:val="39BC2C84"/>
    <w:rsid w:val="3A27753D"/>
    <w:rsid w:val="3A5B1E81"/>
    <w:rsid w:val="3B8B7064"/>
    <w:rsid w:val="3C07763C"/>
    <w:rsid w:val="3C8B1ACD"/>
    <w:rsid w:val="3CD26CA1"/>
    <w:rsid w:val="3E1B038F"/>
    <w:rsid w:val="3EC139D3"/>
    <w:rsid w:val="3EC26D84"/>
    <w:rsid w:val="3F372608"/>
    <w:rsid w:val="40A27FD0"/>
    <w:rsid w:val="40E8457D"/>
    <w:rsid w:val="41015C65"/>
    <w:rsid w:val="410B7187"/>
    <w:rsid w:val="4186746A"/>
    <w:rsid w:val="418F1B67"/>
    <w:rsid w:val="4343312E"/>
    <w:rsid w:val="437C2F89"/>
    <w:rsid w:val="44E36C8A"/>
    <w:rsid w:val="44FD04E6"/>
    <w:rsid w:val="450B4272"/>
    <w:rsid w:val="45CE6B57"/>
    <w:rsid w:val="464417A7"/>
    <w:rsid w:val="46C87FF5"/>
    <w:rsid w:val="46DE1856"/>
    <w:rsid w:val="47035AFB"/>
    <w:rsid w:val="476B7BE1"/>
    <w:rsid w:val="476C4F52"/>
    <w:rsid w:val="485E0543"/>
    <w:rsid w:val="49357421"/>
    <w:rsid w:val="4A1D07F5"/>
    <w:rsid w:val="4A894D04"/>
    <w:rsid w:val="4AEB6336"/>
    <w:rsid w:val="4AEC5B6B"/>
    <w:rsid w:val="4B020923"/>
    <w:rsid w:val="4B7666AB"/>
    <w:rsid w:val="4BA85E05"/>
    <w:rsid w:val="4CB247F7"/>
    <w:rsid w:val="4D9C6EFF"/>
    <w:rsid w:val="4FB32279"/>
    <w:rsid w:val="504B3BB6"/>
    <w:rsid w:val="50644A81"/>
    <w:rsid w:val="522307D5"/>
    <w:rsid w:val="524F59E8"/>
    <w:rsid w:val="531C4BE8"/>
    <w:rsid w:val="53F22A1E"/>
    <w:rsid w:val="542E3522"/>
    <w:rsid w:val="5509794D"/>
    <w:rsid w:val="55280FC5"/>
    <w:rsid w:val="552A50E3"/>
    <w:rsid w:val="559F0338"/>
    <w:rsid w:val="5618580F"/>
    <w:rsid w:val="566B3F3F"/>
    <w:rsid w:val="56D136AC"/>
    <w:rsid w:val="57810D40"/>
    <w:rsid w:val="57C94C59"/>
    <w:rsid w:val="58567764"/>
    <w:rsid w:val="588D1D8F"/>
    <w:rsid w:val="589870FB"/>
    <w:rsid w:val="58A55113"/>
    <w:rsid w:val="58D15408"/>
    <w:rsid w:val="58EB08C9"/>
    <w:rsid w:val="5939492F"/>
    <w:rsid w:val="598C4EB2"/>
    <w:rsid w:val="59941FB8"/>
    <w:rsid w:val="59C503C4"/>
    <w:rsid w:val="59CA36F9"/>
    <w:rsid w:val="5A727F21"/>
    <w:rsid w:val="5B265B08"/>
    <w:rsid w:val="5B9A08D9"/>
    <w:rsid w:val="5C1D0043"/>
    <w:rsid w:val="5D8E49E7"/>
    <w:rsid w:val="5DDB1B42"/>
    <w:rsid w:val="5E004414"/>
    <w:rsid w:val="5E2E7D65"/>
    <w:rsid w:val="5E864CF6"/>
    <w:rsid w:val="5F94210A"/>
    <w:rsid w:val="609805E0"/>
    <w:rsid w:val="60A2320D"/>
    <w:rsid w:val="610C4B2A"/>
    <w:rsid w:val="611F770B"/>
    <w:rsid w:val="61DB4C28"/>
    <w:rsid w:val="62BB6808"/>
    <w:rsid w:val="62C23FFB"/>
    <w:rsid w:val="63517077"/>
    <w:rsid w:val="6446705B"/>
    <w:rsid w:val="64D74FB5"/>
    <w:rsid w:val="64EF67CF"/>
    <w:rsid w:val="652663EB"/>
    <w:rsid w:val="65672542"/>
    <w:rsid w:val="658E700A"/>
    <w:rsid w:val="65B70105"/>
    <w:rsid w:val="66237528"/>
    <w:rsid w:val="66A82BFF"/>
    <w:rsid w:val="685D1A7B"/>
    <w:rsid w:val="686F135E"/>
    <w:rsid w:val="69360310"/>
    <w:rsid w:val="6A07131F"/>
    <w:rsid w:val="6A502CA6"/>
    <w:rsid w:val="6A7379C8"/>
    <w:rsid w:val="6A9522E0"/>
    <w:rsid w:val="6AA53D02"/>
    <w:rsid w:val="6AEF34F2"/>
    <w:rsid w:val="6CB5028A"/>
    <w:rsid w:val="6CEB49D0"/>
    <w:rsid w:val="6D6F2986"/>
    <w:rsid w:val="6E223F1D"/>
    <w:rsid w:val="6E3B660C"/>
    <w:rsid w:val="6E6C4629"/>
    <w:rsid w:val="6E6D6CEF"/>
    <w:rsid w:val="6E8B7E27"/>
    <w:rsid w:val="6EC91F16"/>
    <w:rsid w:val="6EDC4727"/>
    <w:rsid w:val="6F58552A"/>
    <w:rsid w:val="701423EB"/>
    <w:rsid w:val="70217031"/>
    <w:rsid w:val="70F215B8"/>
    <w:rsid w:val="718F3339"/>
    <w:rsid w:val="721A4B78"/>
    <w:rsid w:val="723D413A"/>
    <w:rsid w:val="72766C52"/>
    <w:rsid w:val="72BF3798"/>
    <w:rsid w:val="7347011F"/>
    <w:rsid w:val="738467A2"/>
    <w:rsid w:val="7460067F"/>
    <w:rsid w:val="76F706AD"/>
    <w:rsid w:val="783B0E0E"/>
    <w:rsid w:val="7888653E"/>
    <w:rsid w:val="78D52820"/>
    <w:rsid w:val="79535D21"/>
    <w:rsid w:val="79C24E54"/>
    <w:rsid w:val="7AE226A2"/>
    <w:rsid w:val="7C391D2C"/>
    <w:rsid w:val="7CF07DEE"/>
    <w:rsid w:val="7D124C9D"/>
    <w:rsid w:val="7D3134F6"/>
    <w:rsid w:val="7D6623BF"/>
    <w:rsid w:val="7DA4016C"/>
    <w:rsid w:val="7DB00CFC"/>
    <w:rsid w:val="7DEE54A3"/>
    <w:rsid w:val="7F043C8F"/>
    <w:rsid w:val="7F2055C0"/>
    <w:rsid w:val="7F261DFC"/>
    <w:rsid w:val="7F831D7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iPriority="99" w:name="Body Text" w:locked="1"/>
    <w:lsdException w:qFormat="1"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name="Hyperlink" w:locked="1"/>
    <w:lsdException w:uiPriority="99" w:name="FollowedHyperlink" w:locked="1"/>
    <w:lsdException w:qFormat="1" w:unhideWhenUsed="0" w:uiPriority="22" w:semiHidden="0" w:name="Strong"/>
    <w:lsdException w:qFormat="1" w:unhideWhenUsed="0" w:uiPriority="0" w:semiHidden="0" w:name="Emphasis"/>
    <w:lsdException w:qFormat="1"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autoRedefine/>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5"/>
    <w:autoRedefine/>
    <w:qFormat/>
    <w:uiPriority w:val="99"/>
    <w:pPr>
      <w:keepNext/>
      <w:keepLines/>
      <w:spacing w:before="260" w:after="260" w:line="416" w:lineRule="auto"/>
      <w:outlineLvl w:val="1"/>
    </w:pPr>
    <w:rPr>
      <w:rFonts w:ascii="Arial" w:hAnsi="Arial" w:eastAsia="黑体" w:cs="Arial"/>
      <w:b/>
      <w:bCs/>
      <w:kern w:val="0"/>
      <w:sz w:val="32"/>
      <w:szCs w:val="32"/>
    </w:rPr>
  </w:style>
  <w:style w:type="paragraph" w:styleId="4">
    <w:name w:val="heading 3"/>
    <w:basedOn w:val="1"/>
    <w:next w:val="1"/>
    <w:link w:val="52"/>
    <w:autoRedefine/>
    <w:semiHidden/>
    <w:unhideWhenUsed/>
    <w:qFormat/>
    <w:uiPriority w:val="0"/>
    <w:pPr>
      <w:keepNext/>
      <w:keepLines/>
      <w:spacing w:before="260" w:after="260" w:line="416" w:lineRule="auto"/>
      <w:outlineLvl w:val="2"/>
    </w:pPr>
    <w:rPr>
      <w:b/>
      <w:bCs/>
      <w:sz w:val="32"/>
      <w:szCs w:val="32"/>
    </w:rPr>
  </w:style>
  <w:style w:type="character" w:default="1" w:styleId="20">
    <w:name w:val="Default Paragraph Font"/>
    <w:autoRedefine/>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5">
    <w:name w:val="Document Map"/>
    <w:basedOn w:val="1"/>
    <w:link w:val="48"/>
    <w:autoRedefine/>
    <w:semiHidden/>
    <w:unhideWhenUsed/>
    <w:qFormat/>
    <w:locked/>
    <w:uiPriority w:val="99"/>
    <w:rPr>
      <w:rFonts w:ascii="宋体"/>
      <w:sz w:val="18"/>
      <w:szCs w:val="18"/>
    </w:rPr>
  </w:style>
  <w:style w:type="paragraph" w:styleId="6">
    <w:name w:val="annotation text"/>
    <w:basedOn w:val="1"/>
    <w:link w:val="26"/>
    <w:autoRedefine/>
    <w:qFormat/>
    <w:uiPriority w:val="99"/>
    <w:pPr>
      <w:jc w:val="left"/>
    </w:pPr>
  </w:style>
  <w:style w:type="paragraph" w:styleId="7">
    <w:name w:val="Body Text"/>
    <w:basedOn w:val="1"/>
    <w:next w:val="8"/>
    <w:link w:val="53"/>
    <w:autoRedefine/>
    <w:semiHidden/>
    <w:unhideWhenUsed/>
    <w:qFormat/>
    <w:locked/>
    <w:uiPriority w:val="99"/>
    <w:pPr>
      <w:spacing w:after="120"/>
    </w:pPr>
  </w:style>
  <w:style w:type="paragraph" w:styleId="8">
    <w:name w:val="Title"/>
    <w:basedOn w:val="1"/>
    <w:next w:val="1"/>
    <w:link w:val="32"/>
    <w:autoRedefine/>
    <w:qFormat/>
    <w:uiPriority w:val="99"/>
    <w:pPr>
      <w:spacing w:before="240" w:after="60"/>
      <w:jc w:val="center"/>
      <w:outlineLvl w:val="0"/>
    </w:pPr>
    <w:rPr>
      <w:rFonts w:ascii="Cambria" w:hAnsi="Cambria" w:cs="Cambria"/>
      <w:b/>
      <w:bCs/>
      <w:kern w:val="0"/>
      <w:sz w:val="32"/>
      <w:szCs w:val="32"/>
    </w:rPr>
  </w:style>
  <w:style w:type="paragraph" w:styleId="9">
    <w:name w:val="Body Text Indent"/>
    <w:basedOn w:val="1"/>
    <w:autoRedefine/>
    <w:unhideWhenUsed/>
    <w:qFormat/>
    <w:locked/>
    <w:uiPriority w:val="0"/>
    <w:pPr>
      <w:spacing w:after="120"/>
      <w:ind w:left="420" w:leftChars="200"/>
    </w:pPr>
  </w:style>
  <w:style w:type="paragraph" w:styleId="10">
    <w:name w:val="Plain Text"/>
    <w:basedOn w:val="1"/>
    <w:link w:val="28"/>
    <w:autoRedefine/>
    <w:qFormat/>
    <w:uiPriority w:val="0"/>
    <w:rPr>
      <w:rFonts w:ascii="宋体" w:hAnsi="Courier New" w:cs="宋体"/>
      <w:kern w:val="0"/>
    </w:rPr>
  </w:style>
  <w:style w:type="paragraph" w:styleId="11">
    <w:name w:val="Balloon Text"/>
    <w:basedOn w:val="1"/>
    <w:link w:val="29"/>
    <w:autoRedefine/>
    <w:semiHidden/>
    <w:qFormat/>
    <w:uiPriority w:val="99"/>
    <w:rPr>
      <w:kern w:val="0"/>
      <w:sz w:val="18"/>
      <w:szCs w:val="18"/>
    </w:rPr>
  </w:style>
  <w:style w:type="paragraph" w:styleId="12">
    <w:name w:val="footer"/>
    <w:basedOn w:val="1"/>
    <w:link w:val="30"/>
    <w:autoRedefine/>
    <w:qFormat/>
    <w:uiPriority w:val="99"/>
    <w:pPr>
      <w:tabs>
        <w:tab w:val="center" w:pos="4153"/>
        <w:tab w:val="right" w:pos="8306"/>
      </w:tabs>
      <w:snapToGrid w:val="0"/>
      <w:jc w:val="left"/>
    </w:pPr>
    <w:rPr>
      <w:kern w:val="0"/>
      <w:sz w:val="18"/>
      <w:szCs w:val="18"/>
    </w:rPr>
  </w:style>
  <w:style w:type="paragraph" w:styleId="13">
    <w:name w:val="header"/>
    <w:basedOn w:val="1"/>
    <w:link w:val="31"/>
    <w:autoRedefine/>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autoRedefine/>
    <w:unhideWhenUsed/>
    <w:qFormat/>
    <w:uiPriority w:val="39"/>
    <w:pPr>
      <w:spacing w:line="400" w:lineRule="exact"/>
      <w:jc w:val="center"/>
    </w:pPr>
    <w:rPr>
      <w:rFonts w:ascii="宋体" w:hAnsi="宋体" w:cs="宋体"/>
      <w:b/>
      <w:bCs/>
    </w:rPr>
  </w:style>
  <w:style w:type="paragraph" w:styleId="15">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16">
    <w:name w:val="annotation subject"/>
    <w:basedOn w:val="6"/>
    <w:next w:val="6"/>
    <w:link w:val="27"/>
    <w:autoRedefine/>
    <w:semiHidden/>
    <w:qFormat/>
    <w:uiPriority w:val="99"/>
    <w:rPr>
      <w:b/>
      <w:bCs/>
      <w:kern w:val="0"/>
      <w:sz w:val="20"/>
      <w:szCs w:val="20"/>
    </w:rPr>
  </w:style>
  <w:style w:type="paragraph" w:styleId="17">
    <w:name w:val="Body Text First Indent 2"/>
    <w:basedOn w:val="9"/>
    <w:autoRedefine/>
    <w:qFormat/>
    <w:locked/>
    <w:uiPriority w:val="0"/>
    <w:pPr>
      <w:ind w:firstLine="420" w:firstLineChars="200"/>
    </w:pPr>
  </w:style>
  <w:style w:type="table" w:styleId="19">
    <w:name w:val="Table Grid"/>
    <w:basedOn w:val="18"/>
    <w:autoRedefine/>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autoRedefine/>
    <w:qFormat/>
    <w:uiPriority w:val="22"/>
    <w:rPr>
      <w:b/>
      <w:bCs/>
    </w:rPr>
  </w:style>
  <w:style w:type="character" w:styleId="22">
    <w:name w:val="Hyperlink"/>
    <w:basedOn w:val="20"/>
    <w:autoRedefine/>
    <w:semiHidden/>
    <w:unhideWhenUsed/>
    <w:qFormat/>
    <w:locked/>
    <w:uiPriority w:val="99"/>
    <w:rPr>
      <w:color w:val="0000FF"/>
      <w:u w:val="single"/>
    </w:rPr>
  </w:style>
  <w:style w:type="character" w:styleId="23">
    <w:name w:val="annotation reference"/>
    <w:basedOn w:val="20"/>
    <w:autoRedefine/>
    <w:qFormat/>
    <w:uiPriority w:val="99"/>
    <w:rPr>
      <w:sz w:val="21"/>
      <w:szCs w:val="21"/>
    </w:rPr>
  </w:style>
  <w:style w:type="character" w:customStyle="1" w:styleId="24">
    <w:name w:val="标题 1 Char"/>
    <w:basedOn w:val="20"/>
    <w:link w:val="2"/>
    <w:autoRedefine/>
    <w:qFormat/>
    <w:locked/>
    <w:uiPriority w:val="99"/>
    <w:rPr>
      <w:rFonts w:ascii="Calibri" w:hAnsi="Calibri" w:eastAsia="宋体" w:cs="Calibri"/>
      <w:b/>
      <w:bCs/>
      <w:kern w:val="44"/>
      <w:sz w:val="44"/>
      <w:szCs w:val="44"/>
    </w:rPr>
  </w:style>
  <w:style w:type="character" w:customStyle="1" w:styleId="25">
    <w:name w:val="标题 2 Char"/>
    <w:basedOn w:val="20"/>
    <w:link w:val="3"/>
    <w:autoRedefine/>
    <w:qFormat/>
    <w:locked/>
    <w:uiPriority w:val="99"/>
    <w:rPr>
      <w:rFonts w:ascii="Arial" w:hAnsi="Arial" w:eastAsia="黑体" w:cs="Arial"/>
      <w:b/>
      <w:bCs/>
      <w:sz w:val="32"/>
      <w:szCs w:val="32"/>
    </w:rPr>
  </w:style>
  <w:style w:type="character" w:customStyle="1" w:styleId="26">
    <w:name w:val="批注文字 Char"/>
    <w:basedOn w:val="20"/>
    <w:link w:val="6"/>
    <w:autoRedefine/>
    <w:qFormat/>
    <w:locked/>
    <w:uiPriority w:val="99"/>
  </w:style>
  <w:style w:type="character" w:customStyle="1" w:styleId="27">
    <w:name w:val="批注主题 Char"/>
    <w:basedOn w:val="26"/>
    <w:link w:val="16"/>
    <w:autoRedefine/>
    <w:semiHidden/>
    <w:qFormat/>
    <w:locked/>
    <w:uiPriority w:val="99"/>
    <w:rPr>
      <w:b/>
      <w:bCs/>
    </w:rPr>
  </w:style>
  <w:style w:type="character" w:customStyle="1" w:styleId="28">
    <w:name w:val="纯文本 Char"/>
    <w:basedOn w:val="20"/>
    <w:link w:val="10"/>
    <w:autoRedefine/>
    <w:qFormat/>
    <w:locked/>
    <w:uiPriority w:val="0"/>
    <w:rPr>
      <w:rFonts w:ascii="宋体" w:hAnsi="Courier New" w:eastAsia="宋体" w:cs="宋体"/>
      <w:kern w:val="0"/>
      <w:sz w:val="21"/>
      <w:szCs w:val="21"/>
    </w:rPr>
  </w:style>
  <w:style w:type="character" w:customStyle="1" w:styleId="29">
    <w:name w:val="批注框文本 Char"/>
    <w:basedOn w:val="20"/>
    <w:link w:val="11"/>
    <w:autoRedefine/>
    <w:semiHidden/>
    <w:qFormat/>
    <w:locked/>
    <w:uiPriority w:val="99"/>
    <w:rPr>
      <w:sz w:val="18"/>
      <w:szCs w:val="18"/>
    </w:rPr>
  </w:style>
  <w:style w:type="character" w:customStyle="1" w:styleId="30">
    <w:name w:val="页脚 Char"/>
    <w:basedOn w:val="20"/>
    <w:link w:val="12"/>
    <w:autoRedefine/>
    <w:qFormat/>
    <w:locked/>
    <w:uiPriority w:val="99"/>
    <w:rPr>
      <w:sz w:val="18"/>
      <w:szCs w:val="18"/>
    </w:rPr>
  </w:style>
  <w:style w:type="character" w:customStyle="1" w:styleId="31">
    <w:name w:val="页眉 Char"/>
    <w:basedOn w:val="20"/>
    <w:link w:val="13"/>
    <w:autoRedefine/>
    <w:qFormat/>
    <w:locked/>
    <w:uiPriority w:val="99"/>
    <w:rPr>
      <w:sz w:val="18"/>
      <w:szCs w:val="18"/>
    </w:rPr>
  </w:style>
  <w:style w:type="character" w:customStyle="1" w:styleId="32">
    <w:name w:val="标题 Char"/>
    <w:basedOn w:val="20"/>
    <w:link w:val="8"/>
    <w:autoRedefine/>
    <w:qFormat/>
    <w:locked/>
    <w:uiPriority w:val="99"/>
    <w:rPr>
      <w:rFonts w:ascii="Cambria" w:hAnsi="Cambria" w:eastAsia="宋体" w:cs="Cambria"/>
      <w:b/>
      <w:bCs/>
      <w:sz w:val="32"/>
      <w:szCs w:val="32"/>
    </w:rPr>
  </w:style>
  <w:style w:type="paragraph" w:customStyle="1" w:styleId="33">
    <w:name w:val="列出段落1"/>
    <w:basedOn w:val="1"/>
    <w:link w:val="35"/>
    <w:autoRedefine/>
    <w:qFormat/>
    <w:uiPriority w:val="0"/>
    <w:pPr>
      <w:ind w:firstLine="420" w:firstLineChars="200"/>
    </w:pPr>
  </w:style>
  <w:style w:type="paragraph" w:customStyle="1" w:styleId="34">
    <w:name w:val="图"/>
    <w:basedOn w:val="1"/>
    <w:autoRedefine/>
    <w:qFormat/>
    <w:uiPriority w:val="99"/>
    <w:pPr>
      <w:keepNext/>
      <w:adjustRightInd w:val="0"/>
      <w:spacing w:before="60" w:after="60" w:line="300" w:lineRule="auto"/>
      <w:jc w:val="center"/>
      <w:textAlignment w:val="center"/>
    </w:pPr>
    <w:rPr>
      <w:rFonts w:ascii="Times New Roman" w:hAnsi="Times New Roman" w:cs="Times New Roman"/>
      <w:spacing w:val="20"/>
      <w:kern w:val="0"/>
      <w:sz w:val="24"/>
      <w:szCs w:val="24"/>
    </w:rPr>
  </w:style>
  <w:style w:type="character" w:customStyle="1" w:styleId="35">
    <w:name w:val="列出段落 Char"/>
    <w:link w:val="33"/>
    <w:autoRedefine/>
    <w:qFormat/>
    <w:locked/>
    <w:uiPriority w:val="34"/>
  </w:style>
  <w:style w:type="paragraph" w:customStyle="1" w:styleId="36">
    <w:name w:val="样式4"/>
    <w:basedOn w:val="1"/>
    <w:autoRedefine/>
    <w:qFormat/>
    <w:uiPriority w:val="99"/>
    <w:pPr>
      <w:numPr>
        <w:ilvl w:val="3"/>
        <w:numId w:val="1"/>
      </w:numPr>
      <w:tabs>
        <w:tab w:val="left" w:pos="425"/>
        <w:tab w:val="left" w:pos="1984"/>
      </w:tabs>
    </w:pPr>
    <w:rPr>
      <w:rFonts w:ascii="Times New Roman" w:hAnsi="Times New Roman" w:cs="Times New Roman"/>
    </w:rPr>
  </w:style>
  <w:style w:type="paragraph" w:customStyle="1" w:styleId="37">
    <w:name w:val="列出段落11"/>
    <w:basedOn w:val="1"/>
    <w:link w:val="38"/>
    <w:autoRedefine/>
    <w:qFormat/>
    <w:uiPriority w:val="99"/>
    <w:pPr>
      <w:ind w:firstLine="420" w:firstLineChars="200"/>
    </w:pPr>
    <w:rPr>
      <w:rFonts w:ascii="Times New Roman" w:hAnsi="Times New Roman" w:cs="Times New Roman"/>
      <w:kern w:val="0"/>
    </w:rPr>
  </w:style>
  <w:style w:type="character" w:customStyle="1" w:styleId="38">
    <w:name w:val="List Paragraph Char"/>
    <w:link w:val="37"/>
    <w:autoRedefine/>
    <w:qFormat/>
    <w:locked/>
    <w:uiPriority w:val="34"/>
    <w:rPr>
      <w:rFonts w:ascii="Times New Roman" w:hAnsi="Times New Roman" w:eastAsia="宋体" w:cs="Times New Roman"/>
      <w:sz w:val="21"/>
      <w:szCs w:val="21"/>
    </w:rPr>
  </w:style>
  <w:style w:type="character" w:customStyle="1" w:styleId="39">
    <w:name w:val="font31"/>
    <w:autoRedefine/>
    <w:qFormat/>
    <w:uiPriority w:val="99"/>
    <w:rPr>
      <w:rFonts w:ascii="宋体" w:hAnsi="宋体" w:eastAsia="宋体" w:cs="宋体"/>
      <w:color w:val="000000"/>
      <w:sz w:val="24"/>
      <w:szCs w:val="24"/>
      <w:u w:val="none"/>
    </w:rPr>
  </w:style>
  <w:style w:type="character" w:customStyle="1" w:styleId="40">
    <w:name w:val="font11"/>
    <w:autoRedefine/>
    <w:qFormat/>
    <w:uiPriority w:val="99"/>
    <w:rPr>
      <w:rFonts w:ascii="宋体" w:hAnsi="宋体" w:eastAsia="宋体" w:cs="宋体"/>
      <w:color w:val="000000"/>
      <w:sz w:val="21"/>
      <w:szCs w:val="21"/>
      <w:u w:val="none"/>
    </w:rPr>
  </w:style>
  <w:style w:type="character" w:customStyle="1" w:styleId="41">
    <w:name w:val="font01"/>
    <w:autoRedefine/>
    <w:qFormat/>
    <w:uiPriority w:val="99"/>
    <w:rPr>
      <w:rFonts w:ascii="Times New Roman" w:hAnsi="Times New Roman" w:cs="Times New Roman"/>
      <w:color w:val="000000"/>
      <w:sz w:val="21"/>
      <w:szCs w:val="21"/>
      <w:u w:val="none"/>
    </w:rPr>
  </w:style>
  <w:style w:type="paragraph" w:styleId="42">
    <w:name w:val="List Paragraph"/>
    <w:basedOn w:val="1"/>
    <w:link w:val="43"/>
    <w:autoRedefine/>
    <w:qFormat/>
    <w:uiPriority w:val="34"/>
    <w:pPr>
      <w:ind w:firstLine="420" w:firstLineChars="200"/>
    </w:pPr>
    <w:rPr>
      <w:rFonts w:cs="Times New Roman"/>
      <w:szCs w:val="22"/>
    </w:rPr>
  </w:style>
  <w:style w:type="character" w:customStyle="1" w:styleId="43">
    <w:name w:val="列出段落 Char1"/>
    <w:link w:val="42"/>
    <w:autoRedefine/>
    <w:qFormat/>
    <w:uiPriority w:val="99"/>
    <w:rPr>
      <w:kern w:val="2"/>
      <w:sz w:val="21"/>
      <w:szCs w:val="22"/>
    </w:rPr>
  </w:style>
  <w:style w:type="character" w:customStyle="1" w:styleId="44">
    <w:name w:val="列出段落 字符"/>
    <w:link w:val="45"/>
    <w:autoRedefine/>
    <w:qFormat/>
    <w:uiPriority w:val="34"/>
    <w:rPr>
      <w:rFonts w:ascii="Calibri" w:hAnsi="Calibri"/>
    </w:rPr>
  </w:style>
  <w:style w:type="paragraph" w:customStyle="1" w:styleId="45">
    <w:name w:val="_Style 49"/>
    <w:basedOn w:val="1"/>
    <w:next w:val="42"/>
    <w:link w:val="44"/>
    <w:autoRedefine/>
    <w:qFormat/>
    <w:uiPriority w:val="34"/>
    <w:pPr>
      <w:ind w:firstLine="420" w:firstLineChars="200"/>
    </w:pPr>
    <w:rPr>
      <w:rFonts w:cs="Times New Roman"/>
      <w:kern w:val="0"/>
      <w:sz w:val="20"/>
      <w:szCs w:val="20"/>
    </w:rPr>
  </w:style>
  <w:style w:type="paragraph" w:customStyle="1" w:styleId="46">
    <w:name w:val="样式1"/>
    <w:basedOn w:val="2"/>
    <w:autoRedefine/>
    <w:qFormat/>
    <w:uiPriority w:val="0"/>
    <w:pPr>
      <w:numPr>
        <w:ilvl w:val="0"/>
        <w:numId w:val="2"/>
      </w:numPr>
      <w:spacing w:beforeLines="50"/>
      <w:ind w:left="0" w:firstLine="57"/>
    </w:pPr>
    <w:rPr>
      <w:rFonts w:ascii="宋体" w:hAnsi="宋体"/>
      <w:sz w:val="28"/>
      <w:szCs w:val="24"/>
    </w:rPr>
  </w:style>
  <w:style w:type="paragraph" w:customStyle="1" w:styleId="4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8">
    <w:name w:val="文档结构图 Char"/>
    <w:basedOn w:val="20"/>
    <w:link w:val="5"/>
    <w:autoRedefine/>
    <w:semiHidden/>
    <w:qFormat/>
    <w:uiPriority w:val="99"/>
    <w:rPr>
      <w:rFonts w:ascii="宋体" w:hAnsi="Calibri" w:cs="Calibri"/>
      <w:kern w:val="2"/>
      <w:sz w:val="18"/>
      <w:szCs w:val="18"/>
    </w:rPr>
  </w:style>
  <w:style w:type="character" w:customStyle="1" w:styleId="49">
    <w:name w:val="font41"/>
    <w:basedOn w:val="20"/>
    <w:autoRedefine/>
    <w:qFormat/>
    <w:uiPriority w:val="0"/>
    <w:rPr>
      <w:rFonts w:ascii="Arial" w:hAnsi="Arial" w:cs="Arial"/>
      <w:color w:val="000000"/>
      <w:sz w:val="20"/>
      <w:szCs w:val="20"/>
      <w:u w:val="none"/>
    </w:rPr>
  </w:style>
  <w:style w:type="character" w:customStyle="1" w:styleId="50">
    <w:name w:val="font81"/>
    <w:basedOn w:val="20"/>
    <w:autoRedefine/>
    <w:qFormat/>
    <w:uiPriority w:val="0"/>
    <w:rPr>
      <w:rFonts w:hint="eastAsia" w:ascii="宋体" w:hAnsi="宋体" w:eastAsia="宋体" w:cs="宋体"/>
      <w:b/>
      <w:bCs/>
      <w:color w:val="000000"/>
      <w:sz w:val="24"/>
      <w:szCs w:val="24"/>
      <w:u w:val="none"/>
    </w:rPr>
  </w:style>
  <w:style w:type="character" w:customStyle="1" w:styleId="51">
    <w:name w:val="font101"/>
    <w:basedOn w:val="20"/>
    <w:autoRedefine/>
    <w:qFormat/>
    <w:uiPriority w:val="0"/>
    <w:rPr>
      <w:rFonts w:hint="eastAsia" w:ascii="黑体" w:hAnsi="宋体" w:eastAsia="黑体" w:cs="黑体"/>
      <w:b/>
      <w:bCs/>
      <w:color w:val="000000"/>
      <w:sz w:val="24"/>
      <w:szCs w:val="24"/>
      <w:u w:val="none"/>
    </w:rPr>
  </w:style>
  <w:style w:type="character" w:customStyle="1" w:styleId="52">
    <w:name w:val="标题 3 Char"/>
    <w:basedOn w:val="20"/>
    <w:link w:val="4"/>
    <w:autoRedefine/>
    <w:semiHidden/>
    <w:qFormat/>
    <w:uiPriority w:val="0"/>
    <w:rPr>
      <w:rFonts w:ascii="Calibri" w:hAnsi="Calibri" w:cs="Calibri"/>
      <w:b/>
      <w:bCs/>
      <w:kern w:val="2"/>
      <w:sz w:val="32"/>
      <w:szCs w:val="32"/>
    </w:rPr>
  </w:style>
  <w:style w:type="character" w:customStyle="1" w:styleId="53">
    <w:name w:val="正文文本 Char"/>
    <w:basedOn w:val="20"/>
    <w:link w:val="7"/>
    <w:autoRedefine/>
    <w:semiHidden/>
    <w:qFormat/>
    <w:uiPriority w:val="99"/>
    <w:rPr>
      <w:rFonts w:ascii="Calibri" w:hAnsi="Calibri" w:cs="Calibri"/>
      <w:kern w:val="2"/>
      <w:sz w:val="21"/>
      <w:szCs w:val="21"/>
    </w:rPr>
  </w:style>
  <w:style w:type="paragraph" w:customStyle="1" w:styleId="54">
    <w:name w:val="p0"/>
    <w:basedOn w:val="1"/>
    <w:autoRedefine/>
    <w:qFormat/>
    <w:uiPriority w:val="0"/>
    <w:pPr>
      <w:widowControl/>
    </w:pPr>
    <w:rPr>
      <w:rFonts w:ascii="Times New Roman" w:hAnsi="Times New Roman" w:cs="Times New Roman"/>
      <w:kern w:val="0"/>
      <w:szCs w:val="20"/>
    </w:rPr>
  </w:style>
  <w:style w:type="paragraph" w:customStyle="1" w:styleId="55">
    <w:name w:val="正题"/>
    <w:basedOn w:val="1"/>
    <w:next w:val="1"/>
    <w:autoRedefine/>
    <w:unhideWhenUsed/>
    <w:qFormat/>
    <w:uiPriority w:val="99"/>
    <w:pPr>
      <w:topLinePunct/>
      <w:adjustRightInd w:val="0"/>
      <w:snapToGrid w:val="0"/>
      <w:spacing w:line="360" w:lineRule="auto"/>
      <w:jc w:val="center"/>
    </w:pPr>
    <w:rPr>
      <w:rFonts w:ascii="Times New Roman" w:hAnsi="Times New Roman" w:eastAsia="黑体" w:cs="Times New Roman"/>
      <w:b/>
      <w:spacing w:val="4"/>
      <w:kern w:val="0"/>
      <w:sz w:val="36"/>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8981-00E5-440C-9469-6155E278675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1154</Words>
  <Characters>6579</Characters>
  <Lines>54</Lines>
  <Paragraphs>15</Paragraphs>
  <TotalTime>2</TotalTime>
  <ScaleCrop>false</ScaleCrop>
  <LinksUpToDate>false</LinksUpToDate>
  <CharactersWithSpaces>7718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2023-03-08T02:04:00Z</dcterms:created>
  <dc:creator>dreamsummit</dc:creator>
  <cp:lastModifiedBy>云采链-LW</cp:lastModifiedBy>
  <cp:lastPrinted>2020-10-22T07:36:00Z</cp:lastPrinted>
  <dcterms:modified xsi:type="dcterms:W3CDTF">2024-04-26T09:03:32Z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B6514471168F4AAB80967354593DA66B_13</vt:lpwstr>
  </property>
  <property fmtid="{D5CDD505-2E9C-101B-9397-08002B2CF9AE}" pid="4" name="commondata">
    <vt:lpwstr>eyJoZGlkIjoiMzg2YTM4YjFiZjc5MTQyMjU1Y2Q4MmRkNWZkNWQ1ODQifQ==</vt:lpwstr>
  </property>
</Properties>
</file>