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宋体" w:hAnsi="宋体" w:eastAsia="宋体" w:cs="Times New Roman"/>
          <w:color w:val="auto"/>
          <w:sz w:val="48"/>
          <w:szCs w:val="24"/>
          <w:highlight w:val="none"/>
        </w:rPr>
      </w:pPr>
    </w:p>
    <w:p>
      <w:pPr>
        <w:snapToGrid w:val="0"/>
        <w:spacing w:before="156" w:beforeLines="50"/>
        <w:jc w:val="center"/>
        <w:rPr>
          <w:rFonts w:ascii="宋体" w:hAnsi="宋体" w:eastAsia="宋体"/>
          <w:b/>
          <w:bCs/>
          <w:color w:val="auto"/>
          <w:sz w:val="84"/>
          <w:szCs w:val="84"/>
          <w:highlight w:val="none"/>
        </w:rPr>
      </w:pPr>
      <w:bookmarkStart w:id="0" w:name="_Hlk21427976"/>
      <w:r>
        <w:rPr>
          <w:rFonts w:hint="eastAsia" w:ascii="宋体" w:hAnsi="宋体" w:eastAsia="宋体"/>
          <w:b/>
          <w:color w:val="auto"/>
          <w:sz w:val="84"/>
          <w:szCs w:val="84"/>
          <w:highlight w:val="none"/>
        </w:rPr>
        <w:t>竞价文件</w:t>
      </w:r>
    </w:p>
    <w:p>
      <w:pPr>
        <w:spacing w:line="360" w:lineRule="auto"/>
        <w:jc w:val="center"/>
        <w:rPr>
          <w:rFonts w:ascii="宋体" w:hAnsi="宋体" w:eastAsia="宋体"/>
          <w:b/>
          <w:bCs/>
          <w:color w:val="auto"/>
          <w:sz w:val="24"/>
          <w:szCs w:val="24"/>
          <w:highlight w:val="none"/>
        </w:rPr>
      </w:pPr>
    </w:p>
    <w:p>
      <w:pPr>
        <w:spacing w:line="360" w:lineRule="auto"/>
        <w:rPr>
          <w:rFonts w:ascii="宋体" w:hAnsi="宋体" w:eastAsia="宋体"/>
          <w:color w:val="auto"/>
          <w:sz w:val="30"/>
          <w:szCs w:val="30"/>
          <w:highlight w:val="none"/>
        </w:rPr>
      </w:pPr>
    </w:p>
    <w:p>
      <w:pPr>
        <w:spacing w:line="360" w:lineRule="auto"/>
        <w:rPr>
          <w:rFonts w:ascii="宋体" w:hAnsi="宋体" w:eastAsia="宋体"/>
          <w:color w:val="auto"/>
          <w:sz w:val="30"/>
          <w:szCs w:val="30"/>
          <w:highlight w:val="none"/>
        </w:rPr>
      </w:pPr>
    </w:p>
    <w:p>
      <w:pPr>
        <w:spacing w:line="360" w:lineRule="auto"/>
        <w:rPr>
          <w:rFonts w:ascii="宋体" w:hAnsi="宋体" w:eastAsia="宋体"/>
          <w:color w:val="auto"/>
          <w:sz w:val="30"/>
          <w:szCs w:val="30"/>
          <w:highlight w:val="none"/>
        </w:rPr>
      </w:pPr>
    </w:p>
    <w:p>
      <w:pPr>
        <w:spacing w:line="360" w:lineRule="auto"/>
        <w:rPr>
          <w:rFonts w:ascii="宋体" w:hAnsi="宋体" w:eastAsia="宋体"/>
          <w:color w:val="auto"/>
          <w:sz w:val="30"/>
          <w:szCs w:val="30"/>
          <w:highlight w:val="none"/>
        </w:rPr>
      </w:pPr>
    </w:p>
    <w:p>
      <w:pPr>
        <w:spacing w:line="360" w:lineRule="auto"/>
        <w:jc w:val="left"/>
        <w:rPr>
          <w:rFonts w:ascii="宋体" w:hAnsi="宋体" w:eastAsia="宋体"/>
          <w:b/>
          <w:bCs/>
          <w:color w:val="auto"/>
          <w:sz w:val="28"/>
          <w:szCs w:val="32"/>
          <w:highlight w:val="none"/>
        </w:rPr>
      </w:pPr>
      <w:r>
        <w:rPr>
          <w:rFonts w:ascii="宋体" w:hAnsi="宋体" w:eastAsia="宋体"/>
          <w:b/>
          <w:bCs/>
          <w:color w:val="auto"/>
          <w:sz w:val="28"/>
          <w:szCs w:val="32"/>
          <w:highlight w:val="none"/>
        </w:rPr>
        <w:t>采购方式：</w:t>
      </w:r>
      <w:r>
        <w:rPr>
          <w:rFonts w:hint="eastAsia" w:ascii="宋体" w:hAnsi="宋体" w:eastAsia="宋体"/>
          <w:b/>
          <w:bCs/>
          <w:color w:val="auto"/>
          <w:sz w:val="28"/>
          <w:szCs w:val="32"/>
          <w:highlight w:val="none"/>
        </w:rPr>
        <w:t>线上</w:t>
      </w:r>
      <w:r>
        <w:rPr>
          <w:rFonts w:ascii="宋体" w:hAnsi="宋体" w:eastAsia="宋体"/>
          <w:b/>
          <w:bCs/>
          <w:color w:val="auto"/>
          <w:sz w:val="28"/>
          <w:szCs w:val="32"/>
          <w:highlight w:val="none"/>
        </w:rPr>
        <w:t>竞价</w:t>
      </w:r>
    </w:p>
    <w:p>
      <w:pPr>
        <w:spacing w:line="360" w:lineRule="auto"/>
        <w:jc w:val="left"/>
        <w:rPr>
          <w:rFonts w:hint="eastAsia" w:ascii="宋体" w:hAnsi="宋体" w:eastAsia="宋体"/>
          <w:b/>
          <w:bCs/>
          <w:color w:val="auto"/>
          <w:sz w:val="28"/>
          <w:szCs w:val="32"/>
          <w:highlight w:val="none"/>
          <w:lang w:eastAsia="zh-CN"/>
        </w:rPr>
      </w:pPr>
      <w:r>
        <w:rPr>
          <w:rFonts w:ascii="宋体" w:hAnsi="宋体" w:eastAsia="宋体"/>
          <w:b/>
          <w:bCs/>
          <w:color w:val="auto"/>
          <w:sz w:val="28"/>
          <w:szCs w:val="32"/>
          <w:highlight w:val="none"/>
        </w:rPr>
        <w:t>项目</w:t>
      </w:r>
      <w:r>
        <w:rPr>
          <w:rFonts w:hint="eastAsia" w:ascii="宋体" w:hAnsi="宋体" w:eastAsia="宋体"/>
          <w:b/>
          <w:bCs/>
          <w:color w:val="auto"/>
          <w:sz w:val="28"/>
          <w:szCs w:val="32"/>
          <w:highlight w:val="none"/>
        </w:rPr>
        <w:t>名称</w:t>
      </w:r>
      <w:r>
        <w:rPr>
          <w:rFonts w:ascii="宋体" w:hAnsi="宋体" w:eastAsia="宋体"/>
          <w:b/>
          <w:bCs/>
          <w:color w:val="auto"/>
          <w:sz w:val="28"/>
          <w:szCs w:val="32"/>
          <w:highlight w:val="none"/>
        </w:rPr>
        <w:t>：</w:t>
      </w:r>
      <w:r>
        <w:rPr>
          <w:rFonts w:hint="eastAsia" w:ascii="宋体" w:hAnsi="宋体" w:eastAsia="宋体"/>
          <w:b/>
          <w:bCs/>
          <w:color w:val="auto"/>
          <w:sz w:val="28"/>
          <w:szCs w:val="32"/>
          <w:highlight w:val="none"/>
          <w:lang w:eastAsia="zh-CN"/>
        </w:rPr>
        <w:t>潮州市湘桥区磷溪卫生院医疗设备采购项目</w:t>
      </w:r>
    </w:p>
    <w:p>
      <w:pPr>
        <w:autoSpaceDE w:val="0"/>
        <w:autoSpaceDN w:val="0"/>
        <w:adjustRightInd w:val="0"/>
        <w:snapToGrid w:val="0"/>
        <w:spacing w:before="156" w:beforeLines="50" w:after="156" w:afterLines="50" w:line="360" w:lineRule="auto"/>
        <w:jc w:val="center"/>
        <w:rPr>
          <w:rFonts w:ascii="宋体" w:hAnsi="宋体" w:eastAsia="宋体" w:cs="华文中宋"/>
          <w:color w:val="auto"/>
          <w:kern w:val="0"/>
          <w:sz w:val="30"/>
          <w:szCs w:val="30"/>
          <w:highlight w:val="none"/>
        </w:rPr>
      </w:pPr>
    </w:p>
    <w:p>
      <w:pPr>
        <w:autoSpaceDE w:val="0"/>
        <w:autoSpaceDN w:val="0"/>
        <w:adjustRightInd w:val="0"/>
        <w:snapToGrid w:val="0"/>
        <w:spacing w:before="156" w:beforeLines="50" w:after="156" w:afterLines="50" w:line="360" w:lineRule="auto"/>
        <w:jc w:val="center"/>
        <w:rPr>
          <w:rFonts w:ascii="宋体" w:hAnsi="宋体" w:eastAsia="宋体" w:cs="华文中宋"/>
          <w:color w:val="auto"/>
          <w:kern w:val="0"/>
          <w:sz w:val="30"/>
          <w:szCs w:val="30"/>
          <w:highlight w:val="none"/>
        </w:rPr>
      </w:pPr>
    </w:p>
    <w:p>
      <w:pPr>
        <w:autoSpaceDE w:val="0"/>
        <w:autoSpaceDN w:val="0"/>
        <w:adjustRightInd w:val="0"/>
        <w:snapToGrid w:val="0"/>
        <w:spacing w:before="156" w:beforeLines="50" w:after="156" w:afterLines="50" w:line="360" w:lineRule="auto"/>
        <w:jc w:val="center"/>
        <w:rPr>
          <w:rFonts w:ascii="宋体" w:hAnsi="宋体" w:eastAsia="宋体" w:cs="华文中宋"/>
          <w:color w:val="auto"/>
          <w:kern w:val="0"/>
          <w:sz w:val="30"/>
          <w:szCs w:val="30"/>
          <w:highlight w:val="none"/>
        </w:rPr>
      </w:pPr>
    </w:p>
    <w:p>
      <w:pPr>
        <w:autoSpaceDE w:val="0"/>
        <w:autoSpaceDN w:val="0"/>
        <w:adjustRightInd w:val="0"/>
        <w:snapToGrid w:val="0"/>
        <w:spacing w:before="156" w:beforeLines="50" w:after="156" w:afterLines="50" w:line="360" w:lineRule="auto"/>
        <w:jc w:val="center"/>
        <w:rPr>
          <w:rFonts w:ascii="宋体" w:hAnsi="宋体" w:eastAsia="宋体" w:cs="华文中宋"/>
          <w:color w:val="auto"/>
          <w:kern w:val="0"/>
          <w:sz w:val="30"/>
          <w:szCs w:val="30"/>
          <w:highlight w:val="none"/>
        </w:rPr>
      </w:pPr>
    </w:p>
    <w:p>
      <w:pPr>
        <w:autoSpaceDE w:val="0"/>
        <w:autoSpaceDN w:val="0"/>
        <w:adjustRightInd w:val="0"/>
        <w:snapToGrid w:val="0"/>
        <w:spacing w:before="156" w:beforeLines="50" w:after="156" w:afterLines="50" w:line="360" w:lineRule="auto"/>
        <w:jc w:val="center"/>
        <w:rPr>
          <w:rFonts w:ascii="宋体" w:hAnsi="宋体" w:eastAsia="宋体" w:cs="华文中宋"/>
          <w:color w:val="auto"/>
          <w:kern w:val="0"/>
          <w:sz w:val="30"/>
          <w:szCs w:val="30"/>
          <w:highlight w:val="none"/>
        </w:rPr>
      </w:pPr>
    </w:p>
    <w:p>
      <w:pPr>
        <w:autoSpaceDE w:val="0"/>
        <w:autoSpaceDN w:val="0"/>
        <w:adjustRightInd w:val="0"/>
        <w:snapToGrid w:val="0"/>
        <w:spacing w:before="156" w:beforeLines="50" w:after="156" w:afterLines="50" w:line="360" w:lineRule="auto"/>
        <w:jc w:val="left"/>
        <w:rPr>
          <w:rFonts w:ascii="宋体" w:hAnsi="宋体" w:eastAsia="宋体" w:cs="华文中宋"/>
          <w:color w:val="auto"/>
          <w:kern w:val="0"/>
          <w:sz w:val="30"/>
          <w:szCs w:val="30"/>
          <w:highlight w:val="none"/>
        </w:rPr>
      </w:pPr>
    </w:p>
    <w:p>
      <w:pPr>
        <w:autoSpaceDE w:val="0"/>
        <w:autoSpaceDN w:val="0"/>
        <w:adjustRightInd w:val="0"/>
        <w:snapToGrid w:val="0"/>
        <w:spacing w:line="360" w:lineRule="auto"/>
        <w:ind w:left="420" w:firstLine="420"/>
        <w:jc w:val="center"/>
        <w:rPr>
          <w:rFonts w:hint="eastAsia" w:ascii="宋体" w:hAnsi="宋体" w:eastAsia="宋体"/>
          <w:b/>
          <w:bCs/>
          <w:color w:val="auto"/>
          <w:sz w:val="28"/>
          <w:szCs w:val="32"/>
          <w:highlight w:val="none"/>
          <w:lang w:eastAsia="zh-CN"/>
        </w:rPr>
      </w:pPr>
      <w:r>
        <w:rPr>
          <w:rFonts w:hint="eastAsia" w:ascii="宋体" w:hAnsi="宋体" w:eastAsia="宋体"/>
          <w:b/>
          <w:bCs/>
          <w:color w:val="auto"/>
          <w:sz w:val="28"/>
          <w:szCs w:val="32"/>
          <w:highlight w:val="none"/>
          <w:lang w:eastAsia="zh-CN"/>
        </w:rPr>
        <w:t>潮州市湘桥区磷溪卫生院</w:t>
      </w:r>
    </w:p>
    <w:p>
      <w:pPr>
        <w:autoSpaceDE w:val="0"/>
        <w:autoSpaceDN w:val="0"/>
        <w:adjustRightInd w:val="0"/>
        <w:snapToGrid w:val="0"/>
        <w:spacing w:line="360" w:lineRule="auto"/>
        <w:ind w:left="420" w:firstLine="420"/>
        <w:jc w:val="center"/>
        <w:rPr>
          <w:rFonts w:ascii="宋体" w:hAnsi="宋体" w:eastAsia="宋体"/>
          <w:b/>
          <w:bCs/>
          <w:color w:val="auto"/>
          <w:sz w:val="28"/>
          <w:szCs w:val="32"/>
          <w:highlight w:val="none"/>
        </w:rPr>
      </w:pPr>
      <w:r>
        <w:rPr>
          <w:rFonts w:hint="eastAsia" w:ascii="宋体" w:hAnsi="宋体" w:eastAsia="宋体"/>
          <w:b/>
          <w:bCs/>
          <w:color w:val="auto"/>
          <w:sz w:val="28"/>
          <w:szCs w:val="32"/>
          <w:highlight w:val="none"/>
        </w:rPr>
        <w:t>云采链（广州）信息科技有限公司</w:t>
      </w:r>
    </w:p>
    <w:p>
      <w:pPr>
        <w:autoSpaceDE w:val="0"/>
        <w:autoSpaceDN w:val="0"/>
        <w:adjustRightInd w:val="0"/>
        <w:snapToGrid w:val="0"/>
        <w:spacing w:line="360" w:lineRule="auto"/>
        <w:ind w:left="420" w:firstLine="420"/>
        <w:jc w:val="center"/>
        <w:rPr>
          <w:rFonts w:ascii="宋体" w:hAnsi="宋体" w:eastAsia="宋体"/>
          <w:b/>
          <w:color w:val="auto"/>
          <w:sz w:val="28"/>
          <w:highlight w:val="none"/>
        </w:rPr>
      </w:pPr>
      <w:r>
        <w:rPr>
          <w:rFonts w:hint="eastAsia" w:ascii="宋体" w:hAnsi="宋体" w:eastAsia="宋体"/>
          <w:b/>
          <w:color w:val="auto"/>
          <w:sz w:val="28"/>
          <w:highlight w:val="none"/>
        </w:rPr>
        <w:t>二零二</w:t>
      </w:r>
      <w:r>
        <w:rPr>
          <w:rFonts w:hint="eastAsia" w:ascii="宋体" w:hAnsi="宋体" w:eastAsia="宋体"/>
          <w:b/>
          <w:color w:val="auto"/>
          <w:sz w:val="28"/>
          <w:highlight w:val="none"/>
          <w:lang w:val="en-US" w:eastAsia="zh-CN"/>
        </w:rPr>
        <w:t>四</w:t>
      </w:r>
      <w:r>
        <w:rPr>
          <w:rFonts w:hint="eastAsia" w:ascii="宋体" w:hAnsi="宋体" w:eastAsia="宋体"/>
          <w:b/>
          <w:color w:val="auto"/>
          <w:sz w:val="28"/>
          <w:highlight w:val="none"/>
        </w:rPr>
        <w:t>年</w:t>
      </w:r>
      <w:r>
        <w:rPr>
          <w:rFonts w:hint="eastAsia" w:ascii="宋体" w:hAnsi="宋体" w:eastAsia="宋体"/>
          <w:b/>
          <w:color w:val="auto"/>
          <w:sz w:val="28"/>
          <w:highlight w:val="none"/>
          <w:lang w:val="en-US" w:eastAsia="zh-CN"/>
        </w:rPr>
        <w:t>四</w:t>
      </w:r>
      <w:r>
        <w:rPr>
          <w:rFonts w:ascii="宋体" w:hAnsi="宋体" w:eastAsia="宋体"/>
          <w:b/>
          <w:color w:val="auto"/>
          <w:sz w:val="28"/>
          <w:highlight w:val="none"/>
        </w:rPr>
        <w:t>月</w:t>
      </w:r>
    </w:p>
    <w:bookmarkEnd w:id="0"/>
    <w:p>
      <w:pPr>
        <w:widowControl/>
        <w:snapToGrid w:val="0"/>
        <w:spacing w:before="240" w:after="60"/>
        <w:jc w:val="center"/>
        <w:outlineLvl w:val="0"/>
        <w:rPr>
          <w:rFonts w:ascii="宋体" w:hAnsi="宋体" w:eastAsia="宋体"/>
          <w:bCs/>
          <w:color w:val="auto"/>
          <w:sz w:val="32"/>
          <w:szCs w:val="32"/>
          <w:highlight w:val="none"/>
        </w:rPr>
        <w:sectPr>
          <w:footerReference r:id="rId4" w:type="first"/>
          <w:footerReference r:id="rId3" w:type="default"/>
          <w:pgSz w:w="11906" w:h="16838"/>
          <w:pgMar w:top="1440" w:right="1133" w:bottom="1440" w:left="1276" w:header="851" w:footer="992" w:gutter="0"/>
          <w:pgBorders>
            <w:top w:val="none" w:sz="0" w:space="0"/>
            <w:left w:val="none" w:sz="0" w:space="0"/>
            <w:bottom w:val="none" w:sz="0" w:space="0"/>
            <w:right w:val="none" w:sz="0" w:space="0"/>
          </w:pgBorders>
          <w:cols w:space="720" w:num="1"/>
          <w:titlePg/>
          <w:docGrid w:type="lines" w:linePitch="312" w:charSpace="0"/>
        </w:sectPr>
      </w:pPr>
    </w:p>
    <w:p>
      <w:pPr>
        <w:widowControl/>
        <w:snapToGrid w:val="0"/>
        <w:jc w:val="center"/>
        <w:outlineLvl w:val="0"/>
        <w:rPr>
          <w:rFonts w:ascii="宋体" w:hAnsi="宋体" w:eastAsia="宋体"/>
          <w:b/>
          <w:bCs/>
          <w:color w:val="auto"/>
          <w:sz w:val="32"/>
          <w:szCs w:val="32"/>
          <w:highlight w:val="none"/>
        </w:rPr>
      </w:pPr>
      <w:r>
        <w:rPr>
          <w:rFonts w:hint="eastAsia" w:ascii="宋体" w:hAnsi="宋体" w:eastAsia="宋体"/>
          <w:b/>
          <w:bCs/>
          <w:color w:val="auto"/>
          <w:sz w:val="32"/>
          <w:szCs w:val="32"/>
          <w:highlight w:val="none"/>
        </w:rPr>
        <w:t>第一章竞价须知</w:t>
      </w:r>
    </w:p>
    <w:p>
      <w:pPr>
        <w:pStyle w:val="27"/>
        <w:numPr>
          <w:ilvl w:val="0"/>
          <w:numId w:val="1"/>
        </w:numPr>
        <w:spacing w:line="360" w:lineRule="auto"/>
        <w:ind w:firstLineChars="0"/>
        <w:rPr>
          <w:rFonts w:asciiTheme="minorEastAsia" w:hAnsiTheme="minorEastAsia"/>
          <w:color w:val="auto"/>
          <w:highlight w:val="none"/>
        </w:rPr>
      </w:pPr>
      <w:r>
        <w:rPr>
          <w:rFonts w:hint="eastAsia" w:asciiTheme="minorEastAsia" w:hAnsiTheme="minorEastAsia"/>
          <w:color w:val="auto"/>
          <w:szCs w:val="21"/>
          <w:highlight w:val="none"/>
        </w:rPr>
        <w:t>本项目通过云采链线上采购一体化平台进行公开竞价，</w:t>
      </w:r>
      <w:r>
        <w:rPr>
          <w:rFonts w:hint="eastAsia" w:ascii="宋体" w:hAnsi="宋体"/>
          <w:color w:val="auto"/>
          <w:szCs w:val="21"/>
          <w:highlight w:val="none"/>
        </w:rPr>
        <w:t>参与竞价的</w:t>
      </w:r>
      <w:r>
        <w:rPr>
          <w:rFonts w:hint="eastAsia" w:asciiTheme="minorEastAsia" w:hAnsiTheme="minorEastAsia"/>
          <w:color w:val="auto"/>
          <w:szCs w:val="21"/>
          <w:highlight w:val="none"/>
        </w:rPr>
        <w:t>供应商必须登录平台进行注册，注册成功后方可参与项目竞价。</w:t>
      </w:r>
    </w:p>
    <w:p>
      <w:pPr>
        <w:pStyle w:val="27"/>
        <w:numPr>
          <w:ilvl w:val="0"/>
          <w:numId w:val="1"/>
        </w:numPr>
        <w:spacing w:line="360" w:lineRule="auto"/>
        <w:ind w:firstLineChars="0"/>
        <w:rPr>
          <w:rFonts w:asciiTheme="minorEastAsia" w:hAnsiTheme="minorEastAsia"/>
          <w:color w:val="auto"/>
          <w:highlight w:val="none"/>
        </w:rPr>
      </w:pPr>
      <w:r>
        <w:rPr>
          <w:color w:val="auto"/>
          <w:highlight w:val="none"/>
        </w:rPr>
        <w:t>语言要求</w:t>
      </w:r>
    </w:p>
    <w:p>
      <w:pPr>
        <w:spacing w:line="360" w:lineRule="auto"/>
        <w:ind w:left="420" w:leftChars="200"/>
        <w:rPr>
          <w:color w:val="auto"/>
          <w:highlight w:val="none"/>
        </w:rPr>
      </w:pPr>
      <w:r>
        <w:rPr>
          <w:color w:val="auto"/>
          <w:highlight w:val="none"/>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pStyle w:val="27"/>
        <w:numPr>
          <w:ilvl w:val="0"/>
          <w:numId w:val="1"/>
        </w:numPr>
        <w:spacing w:line="360" w:lineRule="auto"/>
        <w:ind w:firstLineChars="0"/>
        <w:rPr>
          <w:rFonts w:asciiTheme="minorEastAsia" w:hAnsiTheme="minorEastAsia"/>
          <w:b/>
          <w:bCs/>
          <w:color w:val="auto"/>
          <w:highlight w:val="none"/>
        </w:rPr>
      </w:pPr>
      <w:r>
        <w:rPr>
          <w:rFonts w:hint="eastAsia"/>
          <w:color w:val="auto"/>
          <w:highlight w:val="none"/>
        </w:rPr>
        <w:t>在云采链平台参与项目竞价后放弃成交资格超过三次（含三次）的供应商连同该供应商同一法人名下所有公司将被列入平台黑名单，永久不得参与平台的项目竞价。</w:t>
      </w:r>
    </w:p>
    <w:p>
      <w:pPr>
        <w:pStyle w:val="27"/>
        <w:numPr>
          <w:ilvl w:val="0"/>
          <w:numId w:val="1"/>
        </w:numPr>
        <w:spacing w:line="360" w:lineRule="auto"/>
        <w:ind w:firstLineChars="0"/>
        <w:rPr>
          <w:color w:val="auto"/>
          <w:highlight w:val="none"/>
        </w:rPr>
      </w:pPr>
      <w:r>
        <w:rPr>
          <w:rFonts w:hint="eastAsia"/>
          <w:color w:val="auto"/>
          <w:highlight w:val="none"/>
        </w:rPr>
        <w:t>竞价须知</w:t>
      </w:r>
    </w:p>
    <w:p>
      <w:pPr>
        <w:pStyle w:val="27"/>
        <w:numPr>
          <w:ilvl w:val="0"/>
          <w:numId w:val="2"/>
        </w:numPr>
        <w:spacing w:line="360" w:lineRule="auto"/>
        <w:ind w:firstLineChars="0"/>
        <w:rPr>
          <w:rFonts w:asciiTheme="minorEastAsia" w:hAnsiTheme="minorEastAsia"/>
          <w:b/>
          <w:color w:val="auto"/>
          <w:highlight w:val="none"/>
        </w:rPr>
      </w:pPr>
      <w:r>
        <w:rPr>
          <w:rStyle w:val="21"/>
          <w:rFonts w:hint="eastAsia" w:asciiTheme="minorEastAsia" w:hAnsiTheme="minorEastAsia"/>
          <w:color w:val="auto"/>
          <w:highlight w:val="none"/>
        </w:rPr>
        <w:t>竞价说明</w:t>
      </w:r>
    </w:p>
    <w:p>
      <w:pPr>
        <w:pStyle w:val="27"/>
        <w:numPr>
          <w:ilvl w:val="0"/>
          <w:numId w:val="3"/>
        </w:numPr>
        <w:tabs>
          <w:tab w:val="left" w:pos="851"/>
        </w:tabs>
        <w:spacing w:line="360" w:lineRule="auto"/>
        <w:ind w:firstLineChars="0"/>
        <w:rPr>
          <w:rFonts w:asciiTheme="minorEastAsia" w:hAnsiTheme="minorEastAsia"/>
          <w:color w:val="auto"/>
          <w:highlight w:val="none"/>
        </w:rPr>
      </w:pPr>
      <w:r>
        <w:rPr>
          <w:rFonts w:hint="eastAsia" w:ascii="宋体" w:hAnsi="宋体"/>
          <w:color w:val="auto"/>
          <w:szCs w:val="21"/>
          <w:highlight w:val="none"/>
        </w:rPr>
        <w:t>参与竞价的供应商应承担所有与准备和参加竞价有关的费用</w:t>
      </w:r>
      <w:r>
        <w:rPr>
          <w:rFonts w:hint="eastAsia" w:ascii="宋体" w:hAnsi="宋体" w:cs="宋体"/>
          <w:color w:val="auto"/>
          <w:szCs w:val="21"/>
          <w:highlight w:val="none"/>
        </w:rPr>
        <w:t>，不</w:t>
      </w:r>
      <w:r>
        <w:rPr>
          <w:rFonts w:hint="eastAsia" w:ascii="宋体" w:hAnsi="宋体" w:cs="宋体"/>
          <w:color w:val="auto"/>
          <w:szCs w:val="21"/>
          <w:highlight w:val="none"/>
          <w:lang w:eastAsia="zh-TW"/>
        </w:rPr>
        <w:t>论</w:t>
      </w:r>
      <w:r>
        <w:rPr>
          <w:rFonts w:hint="eastAsia" w:ascii="宋体" w:hAnsi="宋体" w:cs="宋体"/>
          <w:color w:val="auto"/>
          <w:szCs w:val="21"/>
          <w:highlight w:val="none"/>
        </w:rPr>
        <w:t>竞价</w:t>
      </w:r>
      <w:r>
        <w:rPr>
          <w:rFonts w:hint="eastAsia" w:ascii="宋体" w:hAnsi="宋体" w:cs="宋体"/>
          <w:color w:val="auto"/>
          <w:szCs w:val="21"/>
          <w:highlight w:val="none"/>
          <w:lang w:eastAsia="zh-TW"/>
        </w:rPr>
        <w:t>的结果如何</w:t>
      </w:r>
      <w:r>
        <w:rPr>
          <w:rFonts w:hint="eastAsia" w:ascii="宋体" w:hAnsi="宋体" w:cs="宋体"/>
          <w:color w:val="auto"/>
          <w:szCs w:val="21"/>
          <w:highlight w:val="none"/>
        </w:rPr>
        <w:t>，采购</w:t>
      </w:r>
      <w:r>
        <w:rPr>
          <w:rFonts w:hint="eastAsia" w:ascii="宋体" w:hAnsi="宋体" w:cs="宋体"/>
          <w:color w:val="auto"/>
          <w:szCs w:val="21"/>
          <w:highlight w:val="none"/>
          <w:lang w:eastAsia="zh-TW"/>
        </w:rPr>
        <w:t>人</w:t>
      </w:r>
      <w:r>
        <w:rPr>
          <w:rFonts w:hint="eastAsia" w:ascii="宋体" w:hAnsi="宋体" w:cs="宋体"/>
          <w:color w:val="auto"/>
          <w:szCs w:val="21"/>
          <w:highlight w:val="none"/>
        </w:rPr>
        <w:t>和</w:t>
      </w:r>
      <w:r>
        <w:rPr>
          <w:rFonts w:hint="eastAsia" w:ascii="宋体" w:hAnsi="宋体" w:cs="宋体"/>
          <w:color w:val="auto"/>
          <w:szCs w:val="21"/>
          <w:highlight w:val="none"/>
          <w:lang w:eastAsia="zh-TW"/>
        </w:rPr>
        <w:t>代理</w:t>
      </w:r>
    </w:p>
    <w:p>
      <w:pPr>
        <w:tabs>
          <w:tab w:val="left" w:pos="851"/>
        </w:tabs>
        <w:spacing w:line="360" w:lineRule="auto"/>
        <w:ind w:left="420" w:leftChars="200" w:firstLine="210" w:firstLineChars="100"/>
        <w:rPr>
          <w:rFonts w:asciiTheme="minorEastAsia" w:hAnsiTheme="minorEastAsia"/>
          <w:color w:val="auto"/>
          <w:highlight w:val="none"/>
        </w:rPr>
      </w:pPr>
      <w:r>
        <w:rPr>
          <w:rFonts w:hint="eastAsia" w:ascii="宋体" w:hAnsi="宋体" w:cs="宋体"/>
          <w:color w:val="auto"/>
          <w:szCs w:val="21"/>
          <w:highlight w:val="none"/>
          <w:lang w:eastAsia="zh-TW"/>
        </w:rPr>
        <w:t>机构均无义务和责任承担这些费用</w:t>
      </w:r>
      <w:r>
        <w:rPr>
          <w:rFonts w:hint="eastAsia" w:ascii="宋体" w:hAnsi="宋体" w:cs="宋体"/>
          <w:color w:val="auto"/>
          <w:szCs w:val="21"/>
          <w:highlight w:val="none"/>
        </w:rPr>
        <w:t>。</w:t>
      </w:r>
    </w:p>
    <w:p>
      <w:pPr>
        <w:pStyle w:val="27"/>
        <w:numPr>
          <w:ilvl w:val="0"/>
          <w:numId w:val="3"/>
        </w:numPr>
        <w:spacing w:line="360" w:lineRule="auto"/>
        <w:ind w:firstLineChars="0"/>
        <w:rPr>
          <w:rFonts w:asciiTheme="minorEastAsia" w:hAnsiTheme="minorEastAsia"/>
          <w:color w:val="auto"/>
          <w:highlight w:val="none"/>
        </w:rPr>
      </w:pPr>
      <w:r>
        <w:rPr>
          <w:rFonts w:hint="eastAsia" w:ascii="宋体" w:hAnsi="宋体"/>
          <w:color w:val="auto"/>
          <w:szCs w:val="21"/>
          <w:highlight w:val="none"/>
        </w:rPr>
        <w:t>参与竞价的</w:t>
      </w:r>
      <w:r>
        <w:rPr>
          <w:rFonts w:hint="eastAsia" w:asciiTheme="minorEastAsia" w:hAnsiTheme="minorEastAsia"/>
          <w:bCs/>
          <w:color w:val="auto"/>
          <w:szCs w:val="21"/>
          <w:highlight w:val="none"/>
        </w:rPr>
        <w:t>供应商必须按竞价附件的格式填写，不得随意增加或删除表格内容。除单价、金额或项</w:t>
      </w:r>
    </w:p>
    <w:p>
      <w:pPr>
        <w:spacing w:line="360" w:lineRule="auto"/>
        <w:ind w:left="630" w:leftChars="300"/>
        <w:rPr>
          <w:rFonts w:asciiTheme="minorEastAsia" w:hAnsiTheme="minorEastAsia"/>
          <w:color w:val="auto"/>
          <w:highlight w:val="none"/>
        </w:rPr>
      </w:pPr>
      <w:r>
        <w:rPr>
          <w:rFonts w:hint="eastAsia" w:asciiTheme="minorEastAsia" w:hAnsiTheme="minorEastAsia"/>
          <w:bCs/>
          <w:color w:val="auto"/>
          <w:szCs w:val="21"/>
          <w:highlight w:val="none"/>
        </w:rPr>
        <w:t>目要求填写的内容外，不得擅自改动竞价附件内容，否则将有可能影响成交结果，不推荐为成交候选人。</w:t>
      </w:r>
    </w:p>
    <w:p>
      <w:pPr>
        <w:pStyle w:val="27"/>
        <w:numPr>
          <w:ilvl w:val="0"/>
          <w:numId w:val="3"/>
        </w:numPr>
        <w:spacing w:line="360" w:lineRule="auto"/>
        <w:ind w:firstLineChars="0"/>
        <w:rPr>
          <w:rFonts w:asciiTheme="minorEastAsia" w:hAnsiTheme="minorEastAsia"/>
          <w:color w:val="auto"/>
          <w:highlight w:val="none"/>
        </w:rPr>
      </w:pPr>
      <w:r>
        <w:rPr>
          <w:rFonts w:hint="eastAsia" w:ascii="宋体" w:hAnsi="宋体"/>
          <w:color w:val="auto"/>
          <w:szCs w:val="21"/>
          <w:highlight w:val="none"/>
        </w:rPr>
        <w:t>参与竞价的</w:t>
      </w:r>
      <w:r>
        <w:rPr>
          <w:rFonts w:hint="eastAsia" w:asciiTheme="minorEastAsia" w:hAnsiTheme="minorEastAsia"/>
          <w:color w:val="auto"/>
          <w:szCs w:val="21"/>
          <w:highlight w:val="none"/>
          <w:lang w:val="zh-CN"/>
        </w:rPr>
        <w:t>供应商需对用户需求书的所有条款进行整体响应，用户需求书条款若有一条负偏离或不</w:t>
      </w:r>
    </w:p>
    <w:p>
      <w:pPr>
        <w:spacing w:line="360" w:lineRule="auto"/>
        <w:ind w:left="420" w:leftChars="200" w:firstLine="210" w:firstLineChars="100"/>
        <w:rPr>
          <w:rFonts w:asciiTheme="minorEastAsia" w:hAnsiTheme="minorEastAsia"/>
          <w:color w:val="auto"/>
          <w:highlight w:val="none"/>
        </w:rPr>
      </w:pPr>
      <w:r>
        <w:rPr>
          <w:rFonts w:hint="eastAsia" w:asciiTheme="minorEastAsia" w:hAnsiTheme="minorEastAsia"/>
          <w:color w:val="auto"/>
          <w:szCs w:val="21"/>
          <w:highlight w:val="none"/>
          <w:lang w:val="zh-CN"/>
        </w:rPr>
        <w:t>响应，</w:t>
      </w:r>
      <w:r>
        <w:rPr>
          <w:rFonts w:hint="eastAsia" w:asciiTheme="minorEastAsia" w:hAnsiTheme="minorEastAsia"/>
          <w:bCs/>
          <w:color w:val="auto"/>
          <w:szCs w:val="21"/>
          <w:highlight w:val="none"/>
        </w:rPr>
        <w:t>不推荐为成交候选人</w:t>
      </w:r>
      <w:r>
        <w:rPr>
          <w:rFonts w:hint="eastAsia" w:asciiTheme="minorEastAsia" w:hAnsiTheme="minorEastAsia"/>
          <w:color w:val="auto"/>
          <w:szCs w:val="21"/>
          <w:highlight w:val="none"/>
          <w:lang w:val="zh-CN"/>
        </w:rPr>
        <w:t>。</w:t>
      </w:r>
    </w:p>
    <w:p>
      <w:pPr>
        <w:pStyle w:val="27"/>
        <w:numPr>
          <w:ilvl w:val="0"/>
          <w:numId w:val="3"/>
        </w:numPr>
        <w:spacing w:line="360" w:lineRule="auto"/>
        <w:ind w:firstLineChars="0"/>
        <w:rPr>
          <w:rFonts w:asciiTheme="minorEastAsia" w:hAnsiTheme="minorEastAsia"/>
          <w:color w:val="auto"/>
          <w:highlight w:val="none"/>
        </w:rPr>
      </w:pPr>
      <w:r>
        <w:rPr>
          <w:rFonts w:hint="eastAsia" w:asciiTheme="minorEastAsia" w:hAnsiTheme="minorEastAsia"/>
          <w:color w:val="auto"/>
          <w:szCs w:val="21"/>
          <w:highlight w:val="none"/>
        </w:rPr>
        <w:t>若成交供应商自身原因无法完成本项目，则采购人有权利保留追究责任。</w:t>
      </w:r>
    </w:p>
    <w:p>
      <w:pPr>
        <w:pStyle w:val="27"/>
        <w:numPr>
          <w:ilvl w:val="0"/>
          <w:numId w:val="3"/>
        </w:numPr>
        <w:spacing w:line="360" w:lineRule="auto"/>
        <w:ind w:firstLineChars="0"/>
        <w:rPr>
          <w:rFonts w:asciiTheme="minorEastAsia" w:hAnsiTheme="minorEastAsia"/>
          <w:color w:val="auto"/>
          <w:highlight w:val="none"/>
        </w:rPr>
      </w:pPr>
      <w:r>
        <w:rPr>
          <w:rFonts w:hint="eastAsia" w:asciiTheme="minorEastAsia" w:hAnsiTheme="minorEastAsia"/>
          <w:color w:val="auto"/>
          <w:highlight w:val="none"/>
        </w:rPr>
        <w:t>成交供应商因自身原因被取消成交资格，采购人可重新启动采购或按竞价公告规定顺延推选符合要</w:t>
      </w:r>
    </w:p>
    <w:p>
      <w:pPr>
        <w:spacing w:line="360" w:lineRule="auto"/>
        <w:ind w:left="420" w:leftChars="200" w:firstLine="210" w:firstLineChars="100"/>
        <w:rPr>
          <w:rFonts w:asciiTheme="minorEastAsia" w:hAnsiTheme="minorEastAsia"/>
          <w:color w:val="auto"/>
          <w:highlight w:val="none"/>
        </w:rPr>
      </w:pPr>
      <w:r>
        <w:rPr>
          <w:rFonts w:hint="eastAsia" w:asciiTheme="minorEastAsia" w:hAnsiTheme="minorEastAsia"/>
          <w:color w:val="auto"/>
          <w:highlight w:val="none"/>
        </w:rPr>
        <w:t>求的供应商作为成交供应商。</w:t>
      </w:r>
    </w:p>
    <w:p>
      <w:pPr>
        <w:pStyle w:val="27"/>
        <w:numPr>
          <w:ilvl w:val="0"/>
          <w:numId w:val="3"/>
        </w:numPr>
        <w:spacing w:line="360" w:lineRule="auto"/>
        <w:ind w:firstLineChars="0"/>
        <w:rPr>
          <w:rFonts w:asciiTheme="minorEastAsia" w:hAnsiTheme="minorEastAsia"/>
          <w:color w:val="auto"/>
          <w:highlight w:val="none"/>
        </w:rPr>
      </w:pPr>
      <w:r>
        <w:rPr>
          <w:rFonts w:hint="eastAsia" w:asciiTheme="minorEastAsia" w:hAnsiTheme="minorEastAsia"/>
          <w:color w:val="auto"/>
          <w:highlight w:val="none"/>
        </w:rPr>
        <w:t>若本项目竞价采购失败，采购人将重新采购，届时采购人有权根据项目具体情况，决定重新采购项</w:t>
      </w:r>
    </w:p>
    <w:p>
      <w:pPr>
        <w:spacing w:line="360" w:lineRule="auto"/>
        <w:ind w:left="420" w:leftChars="200" w:firstLine="210" w:firstLineChars="100"/>
        <w:rPr>
          <w:rFonts w:asciiTheme="minorEastAsia" w:hAnsiTheme="minorEastAsia"/>
          <w:color w:val="auto"/>
          <w:highlight w:val="none"/>
        </w:rPr>
      </w:pPr>
      <w:r>
        <w:rPr>
          <w:rFonts w:hint="eastAsia" w:asciiTheme="minorEastAsia" w:hAnsiTheme="minorEastAsia"/>
          <w:color w:val="auto"/>
          <w:highlight w:val="none"/>
        </w:rPr>
        <w:t>目的采购方式。</w:t>
      </w:r>
    </w:p>
    <w:p>
      <w:pPr>
        <w:pStyle w:val="27"/>
        <w:numPr>
          <w:ilvl w:val="0"/>
          <w:numId w:val="3"/>
        </w:numPr>
        <w:spacing w:line="360" w:lineRule="auto"/>
        <w:ind w:firstLineChars="0"/>
        <w:rPr>
          <w:rFonts w:asciiTheme="minorEastAsia" w:hAnsiTheme="minorEastAsia"/>
          <w:color w:val="auto"/>
          <w:highlight w:val="none"/>
        </w:rPr>
      </w:pPr>
      <w:r>
        <w:rPr>
          <w:rFonts w:hint="eastAsia" w:asciiTheme="minorEastAsia" w:hAnsiTheme="minorEastAsia"/>
          <w:color w:val="auto"/>
          <w:highlight w:val="none"/>
        </w:rPr>
        <w:t>成交供应商若无正当理由恶意放弃成交资格，采购人有权将拒绝其参加本项目重新组织的竞价采购</w:t>
      </w:r>
    </w:p>
    <w:p>
      <w:pPr>
        <w:spacing w:line="360" w:lineRule="auto"/>
        <w:ind w:left="420" w:leftChars="200" w:firstLine="210" w:firstLineChars="100"/>
        <w:rPr>
          <w:rFonts w:asciiTheme="minorEastAsia" w:hAnsiTheme="minorEastAsia"/>
          <w:color w:val="auto"/>
          <w:highlight w:val="none"/>
        </w:rPr>
      </w:pPr>
      <w:r>
        <w:rPr>
          <w:rFonts w:hint="eastAsia" w:asciiTheme="minorEastAsia" w:hAnsiTheme="minorEastAsia"/>
          <w:color w:val="auto"/>
          <w:highlight w:val="none"/>
        </w:rPr>
        <w:t>活动。</w:t>
      </w:r>
    </w:p>
    <w:p>
      <w:pPr>
        <w:pStyle w:val="27"/>
        <w:numPr>
          <w:ilvl w:val="0"/>
          <w:numId w:val="3"/>
        </w:numPr>
        <w:spacing w:line="360" w:lineRule="auto"/>
        <w:ind w:firstLineChars="0"/>
        <w:rPr>
          <w:rFonts w:asciiTheme="minorEastAsia" w:hAnsiTheme="minorEastAsia"/>
          <w:color w:val="auto"/>
          <w:highlight w:val="none"/>
        </w:rPr>
      </w:pPr>
      <w:r>
        <w:rPr>
          <w:rFonts w:hint="eastAsia" w:asciiTheme="minorEastAsia" w:hAnsiTheme="minorEastAsia"/>
          <w:color w:val="auto"/>
          <w:highlight w:val="none"/>
        </w:rPr>
        <w:t>如采购人或代理机构在审核或复核</w:t>
      </w:r>
      <w:r>
        <w:rPr>
          <w:rFonts w:hint="eastAsia" w:ascii="宋体" w:hAnsi="宋体"/>
          <w:color w:val="auto"/>
          <w:szCs w:val="21"/>
          <w:highlight w:val="none"/>
        </w:rPr>
        <w:t>参与竞价的</w:t>
      </w:r>
      <w:r>
        <w:rPr>
          <w:rFonts w:hint="eastAsia" w:asciiTheme="minorEastAsia" w:hAnsiTheme="minorEastAsia"/>
          <w:color w:val="auto"/>
          <w:highlight w:val="none"/>
        </w:rPr>
        <w:t>供应商所提交的竞价资料时，供应商须无条件配合；</w:t>
      </w:r>
    </w:p>
    <w:p>
      <w:pPr>
        <w:spacing w:line="360" w:lineRule="auto"/>
        <w:ind w:left="630" w:leftChars="300"/>
        <w:rPr>
          <w:rFonts w:asciiTheme="minorEastAsia" w:hAnsiTheme="minorEastAsia"/>
          <w:color w:val="auto"/>
          <w:highlight w:val="none"/>
        </w:rPr>
      </w:pPr>
      <w:r>
        <w:rPr>
          <w:rFonts w:hint="eastAsia" w:asciiTheme="minorEastAsia" w:hAnsiTheme="minorEastAsia"/>
          <w:color w:val="auto"/>
          <w:highlight w:val="none"/>
        </w:rPr>
        <w:t>期间若发现存在弄虚作假或相关的失信记录或违反国家法律法规等相关的不良情形，采购人可取消其成交资格并保留追究责任的权力。</w:t>
      </w:r>
    </w:p>
    <w:p>
      <w:pPr>
        <w:pStyle w:val="27"/>
        <w:numPr>
          <w:ilvl w:val="0"/>
          <w:numId w:val="3"/>
        </w:numPr>
        <w:spacing w:line="360" w:lineRule="auto"/>
        <w:ind w:firstLineChars="0"/>
        <w:rPr>
          <w:rFonts w:asciiTheme="minorEastAsia" w:hAnsiTheme="minorEastAsia"/>
          <w:color w:val="auto"/>
          <w:highlight w:val="none"/>
        </w:rPr>
      </w:pPr>
      <w:r>
        <w:rPr>
          <w:rFonts w:hint="eastAsia" w:ascii="宋体" w:hAnsi="宋体" w:cs="宋体"/>
          <w:color w:val="auto"/>
          <w:szCs w:val="21"/>
          <w:highlight w:val="none"/>
        </w:rPr>
        <w:t>参与竞价的</w:t>
      </w:r>
      <w:r>
        <w:rPr>
          <w:rFonts w:hint="eastAsia" w:ascii="宋体" w:hAnsi="宋体" w:cs="宋体"/>
          <w:color w:val="auto"/>
          <w:szCs w:val="21"/>
          <w:highlight w:val="none"/>
          <w:lang w:eastAsia="zh-TW"/>
        </w:rPr>
        <w:t>供应商向我司咨询的有关项目事项，一切以</w:t>
      </w:r>
      <w:r>
        <w:rPr>
          <w:rFonts w:hint="eastAsia" w:ascii="宋体" w:hAnsi="宋体" w:cs="宋体"/>
          <w:color w:val="auto"/>
          <w:szCs w:val="21"/>
          <w:highlight w:val="none"/>
        </w:rPr>
        <w:t>竞价文件</w:t>
      </w:r>
      <w:r>
        <w:rPr>
          <w:rFonts w:hint="eastAsia" w:ascii="宋体" w:hAnsi="宋体" w:cs="宋体"/>
          <w:color w:val="auto"/>
          <w:szCs w:val="21"/>
          <w:highlight w:val="none"/>
          <w:lang w:eastAsia="zh-TW"/>
        </w:rPr>
        <w:t>规定</w:t>
      </w:r>
      <w:r>
        <w:rPr>
          <w:rFonts w:hint="eastAsia" w:ascii="宋体" w:hAnsi="宋体" w:cs="宋体"/>
          <w:color w:val="auto"/>
          <w:szCs w:val="21"/>
          <w:highlight w:val="none"/>
        </w:rPr>
        <w:t>和竞价公告规定以及</w:t>
      </w:r>
      <w:r>
        <w:rPr>
          <w:rFonts w:hint="eastAsia" w:ascii="宋体" w:hAnsi="宋体" w:cs="宋体"/>
          <w:color w:val="auto"/>
          <w:szCs w:val="21"/>
          <w:highlight w:val="none"/>
          <w:lang w:eastAsia="zh-TW"/>
        </w:rPr>
        <w:t>本公司</w:t>
      </w:r>
      <w:r>
        <w:rPr>
          <w:rFonts w:hint="eastAsia" w:ascii="宋体" w:hAnsi="宋体" w:cs="宋体"/>
          <w:color w:val="auto"/>
          <w:szCs w:val="21"/>
          <w:highlight w:val="none"/>
        </w:rPr>
        <w:t>的</w:t>
      </w:r>
    </w:p>
    <w:p>
      <w:pPr>
        <w:spacing w:line="360" w:lineRule="auto"/>
        <w:ind w:left="420" w:leftChars="200" w:firstLine="210" w:firstLineChars="100"/>
        <w:rPr>
          <w:rFonts w:asciiTheme="minorEastAsia" w:hAnsiTheme="minorEastAsia"/>
          <w:color w:val="auto"/>
          <w:highlight w:val="none"/>
        </w:rPr>
      </w:pPr>
      <w:r>
        <w:rPr>
          <w:rFonts w:hint="eastAsia" w:ascii="宋体" w:hAnsi="宋体" w:cs="宋体"/>
          <w:color w:val="auto"/>
          <w:szCs w:val="21"/>
          <w:highlight w:val="none"/>
          <w:lang w:eastAsia="zh-TW"/>
        </w:rPr>
        <w:t>书面答复为准，其他一切形式均为个人意见，不代表本公司的意见</w:t>
      </w:r>
      <w:r>
        <w:rPr>
          <w:rFonts w:hint="eastAsia" w:ascii="宋体" w:hAnsi="宋体" w:cs="宋体"/>
          <w:color w:val="auto"/>
          <w:szCs w:val="21"/>
          <w:highlight w:val="none"/>
        </w:rPr>
        <w:t>。</w:t>
      </w:r>
    </w:p>
    <w:p>
      <w:pPr>
        <w:pStyle w:val="27"/>
        <w:numPr>
          <w:ilvl w:val="0"/>
          <w:numId w:val="3"/>
        </w:numPr>
        <w:spacing w:line="360" w:lineRule="auto"/>
        <w:ind w:firstLineChars="0"/>
        <w:rPr>
          <w:rFonts w:asciiTheme="minorEastAsia" w:hAnsiTheme="minorEastAsia"/>
          <w:color w:val="auto"/>
          <w:highlight w:val="none"/>
        </w:rPr>
      </w:pPr>
      <w:r>
        <w:rPr>
          <w:rFonts w:hint="eastAsia" w:ascii="宋体" w:hAnsi="宋体"/>
          <w:color w:val="auto"/>
          <w:szCs w:val="21"/>
          <w:highlight w:val="none"/>
        </w:rPr>
        <w:t>参与竞价的供应商应认真阅读</w:t>
      </w:r>
      <w:r>
        <w:rPr>
          <w:rFonts w:hint="eastAsia" w:ascii="宋体" w:hAnsi="宋体" w:cs="宋体"/>
          <w:color w:val="auto"/>
          <w:szCs w:val="21"/>
          <w:highlight w:val="none"/>
          <w:lang w:eastAsia="zh-TW"/>
        </w:rPr>
        <w:t>、并充分理解</w:t>
      </w:r>
      <w:r>
        <w:rPr>
          <w:rFonts w:hint="eastAsia" w:ascii="宋体" w:hAnsi="宋体" w:cs="宋体"/>
          <w:color w:val="auto"/>
          <w:szCs w:val="21"/>
          <w:highlight w:val="none"/>
        </w:rPr>
        <w:t>竞价</w:t>
      </w:r>
      <w:r>
        <w:rPr>
          <w:rFonts w:hint="eastAsia" w:ascii="宋体" w:hAnsi="宋体" w:cs="宋体"/>
          <w:color w:val="auto"/>
          <w:szCs w:val="21"/>
          <w:highlight w:val="none"/>
          <w:lang w:eastAsia="zh-TW"/>
        </w:rPr>
        <w:t>文件的全部内容（包括所有的补充、修改内容重要</w:t>
      </w:r>
    </w:p>
    <w:p>
      <w:pPr>
        <w:spacing w:line="360" w:lineRule="auto"/>
        <w:ind w:left="630" w:leftChars="300"/>
        <w:rPr>
          <w:rFonts w:asciiTheme="minorEastAsia" w:hAnsiTheme="minorEastAsia"/>
          <w:color w:val="auto"/>
          <w:highlight w:val="none"/>
        </w:rPr>
      </w:pPr>
      <w:r>
        <w:rPr>
          <w:rFonts w:hint="eastAsia" w:ascii="宋体" w:hAnsi="宋体" w:cs="宋体"/>
          <w:color w:val="auto"/>
          <w:szCs w:val="21"/>
          <w:highlight w:val="none"/>
          <w:lang w:eastAsia="zh-TW"/>
        </w:rPr>
        <w:t>事项、格式、条款</w:t>
      </w:r>
      <w:r>
        <w:rPr>
          <w:rFonts w:hint="eastAsia" w:ascii="宋体" w:hAnsi="宋体" w:cs="宋体"/>
          <w:color w:val="auto"/>
          <w:szCs w:val="21"/>
          <w:highlight w:val="none"/>
        </w:rPr>
        <w:t>、服务要求</w:t>
      </w:r>
      <w:r>
        <w:rPr>
          <w:rFonts w:hint="eastAsia" w:ascii="宋体" w:hAnsi="宋体" w:cs="宋体"/>
          <w:color w:val="auto"/>
          <w:szCs w:val="21"/>
          <w:highlight w:val="none"/>
          <w:lang w:eastAsia="zh-TW"/>
        </w:rPr>
        <w:t>和技术规范、参数及要求等）。</w:t>
      </w:r>
      <w:r>
        <w:rPr>
          <w:rFonts w:hint="eastAsia" w:ascii="宋体" w:hAnsi="宋体" w:cs="宋体"/>
          <w:color w:val="auto"/>
          <w:szCs w:val="21"/>
          <w:highlight w:val="none"/>
        </w:rPr>
        <w:t>供应商</w:t>
      </w:r>
      <w:r>
        <w:rPr>
          <w:rFonts w:hint="eastAsia" w:ascii="宋体" w:hAnsi="宋体" w:cs="宋体"/>
          <w:color w:val="auto"/>
          <w:szCs w:val="21"/>
          <w:highlight w:val="none"/>
          <w:lang w:eastAsia="zh-TW"/>
        </w:rPr>
        <w:t>没有按照</w:t>
      </w:r>
      <w:r>
        <w:rPr>
          <w:rFonts w:hint="eastAsia" w:ascii="宋体" w:hAnsi="宋体" w:cs="宋体"/>
          <w:color w:val="auto"/>
          <w:szCs w:val="21"/>
          <w:highlight w:val="none"/>
        </w:rPr>
        <w:t>竞价</w:t>
      </w:r>
      <w:r>
        <w:rPr>
          <w:rFonts w:hint="eastAsia" w:ascii="宋体" w:hAnsi="宋体" w:cs="宋体"/>
          <w:color w:val="auto"/>
          <w:szCs w:val="21"/>
          <w:highlight w:val="none"/>
          <w:lang w:eastAsia="zh-TW"/>
        </w:rPr>
        <w:t>文件要求提交全部资料，或者</w:t>
      </w:r>
      <w:r>
        <w:rPr>
          <w:rFonts w:hint="eastAsia" w:ascii="宋体" w:hAnsi="宋体" w:cs="宋体"/>
          <w:color w:val="auto"/>
          <w:szCs w:val="21"/>
          <w:highlight w:val="none"/>
        </w:rPr>
        <w:t>参与竞价所上传的</w:t>
      </w:r>
      <w:r>
        <w:rPr>
          <w:rFonts w:hint="eastAsia" w:ascii="宋体" w:hAnsi="宋体" w:cs="宋体"/>
          <w:color w:val="auto"/>
          <w:szCs w:val="21"/>
          <w:highlight w:val="none"/>
          <w:lang w:eastAsia="zh-TW"/>
        </w:rPr>
        <w:t>文件没有对</w:t>
      </w:r>
      <w:r>
        <w:rPr>
          <w:rFonts w:hint="eastAsia" w:ascii="宋体" w:hAnsi="宋体" w:cs="宋体"/>
          <w:color w:val="auto"/>
          <w:szCs w:val="21"/>
          <w:highlight w:val="none"/>
        </w:rPr>
        <w:t>竞价</w:t>
      </w:r>
      <w:r>
        <w:rPr>
          <w:rFonts w:hint="eastAsia" w:ascii="宋体" w:hAnsi="宋体" w:cs="宋体"/>
          <w:color w:val="auto"/>
          <w:szCs w:val="21"/>
          <w:highlight w:val="none"/>
          <w:lang w:eastAsia="zh-TW"/>
        </w:rPr>
        <w:t>文件在各方面都作出实质性响应是</w:t>
      </w:r>
      <w:r>
        <w:rPr>
          <w:rFonts w:hint="eastAsia" w:ascii="宋体" w:hAnsi="宋体" w:cs="宋体"/>
          <w:color w:val="auto"/>
          <w:szCs w:val="21"/>
          <w:highlight w:val="none"/>
        </w:rPr>
        <w:t>供应商</w:t>
      </w:r>
      <w:r>
        <w:rPr>
          <w:rFonts w:hint="eastAsia" w:ascii="宋体" w:hAnsi="宋体" w:cs="宋体"/>
          <w:color w:val="auto"/>
          <w:szCs w:val="21"/>
          <w:highlight w:val="none"/>
          <w:lang w:eastAsia="zh-TW"/>
        </w:rPr>
        <w:t>的风险，有可能导致其</w:t>
      </w:r>
      <w:r>
        <w:rPr>
          <w:rFonts w:hint="eastAsia" w:ascii="宋体" w:hAnsi="宋体" w:cs="宋体"/>
          <w:color w:val="auto"/>
          <w:szCs w:val="21"/>
          <w:highlight w:val="none"/>
        </w:rPr>
        <w:t>竞价</w:t>
      </w:r>
      <w:r>
        <w:rPr>
          <w:rFonts w:hint="eastAsia" w:ascii="宋体" w:hAnsi="宋体" w:cs="宋体"/>
          <w:color w:val="auto"/>
          <w:szCs w:val="21"/>
          <w:highlight w:val="none"/>
          <w:lang w:eastAsia="zh-TW"/>
        </w:rPr>
        <w:t>被拒绝，</w:t>
      </w:r>
      <w:r>
        <w:rPr>
          <w:rFonts w:hint="eastAsia" w:ascii="宋体" w:hAnsi="宋体"/>
          <w:color w:val="auto"/>
          <w:szCs w:val="21"/>
          <w:highlight w:val="none"/>
        </w:rPr>
        <w:t>或被认定为无效竞价。</w:t>
      </w:r>
    </w:p>
    <w:p>
      <w:pPr>
        <w:pStyle w:val="27"/>
        <w:numPr>
          <w:ilvl w:val="0"/>
          <w:numId w:val="3"/>
        </w:numPr>
        <w:spacing w:line="360" w:lineRule="auto"/>
        <w:ind w:firstLineChars="0"/>
        <w:rPr>
          <w:rFonts w:asciiTheme="minorEastAsia" w:hAnsiTheme="minorEastAsia"/>
          <w:color w:val="auto"/>
          <w:highlight w:val="none"/>
        </w:rPr>
      </w:pPr>
      <w:r>
        <w:rPr>
          <w:rFonts w:hint="eastAsia" w:ascii="宋体" w:hAnsi="宋体"/>
          <w:color w:val="auto"/>
          <w:kern w:val="0"/>
          <w:szCs w:val="21"/>
          <w:highlight w:val="none"/>
        </w:rPr>
        <w:t>采购人有权拒绝接受任何不合格的货物或服务，由此产生的费用及相关后果均由成交供应商自行承</w:t>
      </w:r>
    </w:p>
    <w:p>
      <w:pPr>
        <w:spacing w:line="360" w:lineRule="auto"/>
        <w:ind w:left="420" w:leftChars="200" w:firstLine="210" w:firstLineChars="100"/>
        <w:rPr>
          <w:rFonts w:asciiTheme="minorEastAsia" w:hAnsiTheme="minorEastAsia"/>
          <w:color w:val="auto"/>
          <w:highlight w:val="none"/>
        </w:rPr>
      </w:pPr>
      <w:r>
        <w:rPr>
          <w:rFonts w:hint="eastAsia" w:ascii="宋体" w:hAnsi="宋体"/>
          <w:color w:val="auto"/>
          <w:kern w:val="0"/>
          <w:szCs w:val="21"/>
          <w:highlight w:val="none"/>
        </w:rPr>
        <w:t>担。</w:t>
      </w:r>
    </w:p>
    <w:p>
      <w:pPr>
        <w:pStyle w:val="27"/>
        <w:numPr>
          <w:ilvl w:val="0"/>
          <w:numId w:val="3"/>
        </w:numPr>
        <w:spacing w:line="360" w:lineRule="auto"/>
        <w:ind w:firstLineChars="0"/>
        <w:rPr>
          <w:rFonts w:asciiTheme="minorEastAsia" w:hAnsiTheme="minorEastAsia"/>
          <w:color w:val="auto"/>
          <w:highlight w:val="none"/>
        </w:rPr>
      </w:pPr>
      <w:r>
        <w:rPr>
          <w:rFonts w:asciiTheme="minorEastAsia" w:hAnsiTheme="minorEastAsia"/>
          <w:color w:val="auto"/>
          <w:highlight w:val="none"/>
        </w:rPr>
        <w:t xml:space="preserve"> </w:t>
      </w:r>
      <w:r>
        <w:rPr>
          <w:rFonts w:hint="eastAsia" w:asciiTheme="minorEastAsia" w:hAnsiTheme="minorEastAsia"/>
          <w:color w:val="auto"/>
          <w:highlight w:val="none"/>
        </w:rPr>
        <w:t>供应商认为竞价结果损害其权益的，应按照云采链平台相关指引在规定的时间内向采购人或代理</w:t>
      </w:r>
    </w:p>
    <w:p>
      <w:pPr>
        <w:spacing w:line="360" w:lineRule="auto"/>
        <w:ind w:left="420" w:leftChars="200" w:firstLine="210" w:firstLineChars="100"/>
        <w:rPr>
          <w:rFonts w:asciiTheme="minorEastAsia" w:hAnsiTheme="minorEastAsia"/>
          <w:color w:val="auto"/>
          <w:highlight w:val="none"/>
        </w:rPr>
      </w:pPr>
      <w:r>
        <w:rPr>
          <w:rFonts w:hint="eastAsia" w:asciiTheme="minorEastAsia" w:hAnsiTheme="minorEastAsia"/>
          <w:color w:val="auto"/>
          <w:highlight w:val="none"/>
        </w:rPr>
        <w:t>机构提交书面质疑，不提交的视为无异议，</w:t>
      </w:r>
      <w:r>
        <w:rPr>
          <w:color w:val="auto"/>
          <w:highlight w:val="none"/>
        </w:rPr>
        <w:t>逾期提交将不予受理</w:t>
      </w:r>
      <w:r>
        <w:rPr>
          <w:rFonts w:hint="eastAsia" w:asciiTheme="minorEastAsia" w:hAnsiTheme="minorEastAsia"/>
          <w:color w:val="auto"/>
          <w:highlight w:val="none"/>
        </w:rPr>
        <w:t>。</w:t>
      </w:r>
    </w:p>
    <w:p>
      <w:pPr>
        <w:pStyle w:val="27"/>
        <w:numPr>
          <w:ilvl w:val="0"/>
          <w:numId w:val="3"/>
        </w:numPr>
        <w:spacing w:line="360" w:lineRule="auto"/>
        <w:ind w:firstLineChars="0"/>
        <w:rPr>
          <w:rFonts w:asciiTheme="minorEastAsia" w:hAnsiTheme="minorEastAsia"/>
          <w:color w:val="auto"/>
          <w:highlight w:val="none"/>
        </w:rPr>
      </w:pPr>
      <w:r>
        <w:rPr>
          <w:rFonts w:hint="eastAsia" w:ascii="宋体" w:hAnsi="宋体"/>
          <w:color w:val="auto"/>
          <w:szCs w:val="21"/>
          <w:highlight w:val="none"/>
        </w:rPr>
        <w:t>本竞价公告和竞价文件的解释权归</w:t>
      </w:r>
      <w:r>
        <w:rPr>
          <w:rFonts w:hint="eastAsia" w:ascii="宋体" w:hAnsi="宋体" w:cs="宋体"/>
          <w:color w:val="auto"/>
          <w:szCs w:val="21"/>
          <w:highlight w:val="none"/>
          <w:lang w:eastAsia="zh-TW"/>
        </w:rPr>
        <w:t>“</w:t>
      </w:r>
      <w:r>
        <w:rPr>
          <w:rFonts w:hint="eastAsia" w:asciiTheme="minorEastAsia" w:hAnsiTheme="minorEastAsia"/>
          <w:color w:val="auto"/>
          <w:szCs w:val="21"/>
          <w:highlight w:val="none"/>
        </w:rPr>
        <w:t>云采链线上采购一体化平台</w:t>
      </w:r>
      <w:r>
        <w:rPr>
          <w:rFonts w:hint="eastAsia" w:ascii="宋体" w:hAnsi="宋体" w:cs="宋体"/>
          <w:color w:val="auto"/>
          <w:szCs w:val="21"/>
          <w:highlight w:val="none"/>
          <w:lang w:eastAsia="zh-TW"/>
        </w:rPr>
        <w:t>”所有。</w:t>
      </w:r>
    </w:p>
    <w:p>
      <w:pPr>
        <w:pStyle w:val="27"/>
        <w:numPr>
          <w:ilvl w:val="0"/>
          <w:numId w:val="2"/>
        </w:numPr>
        <w:spacing w:line="360" w:lineRule="auto"/>
        <w:ind w:firstLineChars="0"/>
        <w:rPr>
          <w:rFonts w:asciiTheme="minorEastAsia" w:hAnsiTheme="minorEastAsia"/>
          <w:color w:val="auto"/>
          <w:highlight w:val="none"/>
        </w:rPr>
      </w:pPr>
      <w:r>
        <w:rPr>
          <w:rFonts w:hint="eastAsia" w:asciiTheme="minorEastAsia" w:hAnsiTheme="minorEastAsia"/>
          <w:b/>
          <w:color w:val="auto"/>
          <w:highlight w:val="none"/>
        </w:rPr>
        <w:t>竞价文件的澄清或修改</w:t>
      </w:r>
    </w:p>
    <w:p>
      <w:pPr>
        <w:pStyle w:val="27"/>
        <w:numPr>
          <w:ilvl w:val="0"/>
          <w:numId w:val="4"/>
        </w:numPr>
        <w:spacing w:line="360" w:lineRule="auto"/>
        <w:ind w:firstLineChars="0"/>
        <w:rPr>
          <w:rFonts w:asciiTheme="minorEastAsia" w:hAnsiTheme="minorEastAsia"/>
          <w:color w:val="auto"/>
          <w:highlight w:val="none"/>
        </w:rPr>
      </w:pPr>
      <w:r>
        <w:rPr>
          <w:rFonts w:hint="eastAsia" w:asciiTheme="minorEastAsia" w:hAnsiTheme="minorEastAsia"/>
          <w:color w:val="auto"/>
          <w:highlight w:val="none"/>
        </w:rPr>
        <w:t>采购人或者采购代理机构可以对已发出的竞价文件进行必要的澄清或者修改。澄清或者修改的内容</w:t>
      </w:r>
    </w:p>
    <w:p>
      <w:pPr>
        <w:spacing w:line="360" w:lineRule="auto"/>
        <w:ind w:left="420" w:leftChars="200" w:firstLine="210" w:firstLineChars="100"/>
        <w:rPr>
          <w:rFonts w:asciiTheme="minorEastAsia" w:hAnsiTheme="minorEastAsia"/>
          <w:color w:val="auto"/>
          <w:highlight w:val="none"/>
        </w:rPr>
      </w:pPr>
      <w:r>
        <w:rPr>
          <w:rFonts w:hint="eastAsia" w:asciiTheme="minorEastAsia" w:hAnsiTheme="minorEastAsia"/>
          <w:color w:val="auto"/>
          <w:highlight w:val="none"/>
        </w:rPr>
        <w:t>将在云采链平台上发布澄清（更正/变更）公告。</w:t>
      </w:r>
    </w:p>
    <w:p>
      <w:pPr>
        <w:pStyle w:val="27"/>
        <w:numPr>
          <w:ilvl w:val="0"/>
          <w:numId w:val="4"/>
        </w:numPr>
        <w:spacing w:line="360" w:lineRule="auto"/>
        <w:ind w:firstLineChars="0"/>
        <w:rPr>
          <w:rFonts w:asciiTheme="minorEastAsia" w:hAnsiTheme="minorEastAsia"/>
          <w:color w:val="auto"/>
          <w:highlight w:val="none"/>
        </w:rPr>
      </w:pPr>
      <w:r>
        <w:rPr>
          <w:rFonts w:hint="eastAsia" w:asciiTheme="minorEastAsia" w:hAnsiTheme="minorEastAsia"/>
          <w:color w:val="auto"/>
          <w:highlight w:val="none"/>
        </w:rPr>
        <w:t>无论澄清或者修改的内容是否影响竞价，平台将以短信形式通知所有的报名供应商；报名供应商应</w:t>
      </w:r>
    </w:p>
    <w:p>
      <w:pPr>
        <w:spacing w:line="360" w:lineRule="auto"/>
        <w:ind w:left="630" w:leftChars="300"/>
        <w:rPr>
          <w:rFonts w:asciiTheme="minorEastAsia" w:hAnsiTheme="minorEastAsia"/>
          <w:color w:val="auto"/>
          <w:highlight w:val="none"/>
        </w:rPr>
      </w:pPr>
      <w:r>
        <w:rPr>
          <w:rFonts w:hint="eastAsia" w:asciiTheme="minorEastAsia" w:hAnsiTheme="minorEastAsia"/>
          <w:color w:val="auto"/>
          <w:highlight w:val="none"/>
        </w:rPr>
        <w:t>按要求履行相应的义务；</w:t>
      </w:r>
      <w:r>
        <w:rPr>
          <w:rFonts w:hint="eastAsia" w:ascii="宋体" w:hAnsi="宋体" w:cs="宋体"/>
          <w:color w:val="auto"/>
          <w:szCs w:val="21"/>
          <w:highlight w:val="none"/>
        </w:rPr>
        <w:t>如报名</w:t>
      </w:r>
      <w:r>
        <w:rPr>
          <w:rFonts w:hint="eastAsia" w:ascii="宋体" w:hAnsi="宋体" w:cs="宋体"/>
          <w:color w:val="auto"/>
          <w:szCs w:val="21"/>
          <w:highlight w:val="none"/>
          <w:lang w:eastAsia="zh-TW"/>
        </w:rPr>
        <w:t>截止时间</w:t>
      </w:r>
      <w:r>
        <w:rPr>
          <w:rFonts w:hint="eastAsia" w:ascii="宋体" w:hAnsi="宋体" w:cs="宋体"/>
          <w:color w:val="auto"/>
          <w:szCs w:val="21"/>
          <w:highlight w:val="none"/>
        </w:rPr>
        <w:t>少于一个工作日的，</w:t>
      </w:r>
      <w:r>
        <w:rPr>
          <w:rFonts w:hint="eastAsia" w:asciiTheme="minorEastAsia" w:hAnsiTheme="minorEastAsia"/>
          <w:color w:val="auto"/>
          <w:highlight w:val="none"/>
        </w:rPr>
        <w:t>采购人或者采购代理机构应当相应顺延报名的截止时间。</w:t>
      </w:r>
    </w:p>
    <w:p>
      <w:pPr>
        <w:pStyle w:val="27"/>
        <w:numPr>
          <w:ilvl w:val="0"/>
          <w:numId w:val="4"/>
        </w:numPr>
        <w:spacing w:line="360" w:lineRule="auto"/>
        <w:ind w:firstLineChars="0"/>
        <w:rPr>
          <w:rFonts w:asciiTheme="minorEastAsia" w:hAnsiTheme="minorEastAsia"/>
          <w:color w:val="auto"/>
          <w:highlight w:val="none"/>
        </w:rPr>
      </w:pPr>
      <w:r>
        <w:rPr>
          <w:rFonts w:hint="eastAsia" w:asciiTheme="minorEastAsia" w:hAnsiTheme="minorEastAsia"/>
          <w:color w:val="auto"/>
          <w:highlight w:val="none"/>
        </w:rPr>
        <w:t>采购人或者采购代理机构发出的澄清或修改（更正/变更）的内容为竞价文件的组成部分，并对供应</w:t>
      </w:r>
    </w:p>
    <w:p>
      <w:pPr>
        <w:spacing w:line="360" w:lineRule="auto"/>
        <w:ind w:left="420" w:leftChars="200" w:firstLine="210" w:firstLineChars="100"/>
        <w:rPr>
          <w:rFonts w:asciiTheme="minorEastAsia" w:hAnsiTheme="minorEastAsia"/>
          <w:color w:val="auto"/>
          <w:highlight w:val="none"/>
        </w:rPr>
      </w:pPr>
      <w:r>
        <w:rPr>
          <w:rFonts w:hint="eastAsia" w:asciiTheme="minorEastAsia" w:hAnsiTheme="minorEastAsia"/>
          <w:color w:val="auto"/>
          <w:highlight w:val="none"/>
        </w:rPr>
        <w:t>商具有约束力。</w:t>
      </w:r>
    </w:p>
    <w:p>
      <w:pPr>
        <w:pStyle w:val="27"/>
        <w:numPr>
          <w:ilvl w:val="0"/>
          <w:numId w:val="2"/>
        </w:numPr>
        <w:spacing w:line="360" w:lineRule="auto"/>
        <w:ind w:firstLineChars="0"/>
        <w:rPr>
          <w:rStyle w:val="21"/>
          <w:rFonts w:asciiTheme="minorEastAsia" w:hAnsiTheme="minorEastAsia"/>
          <w:bCs w:val="0"/>
          <w:color w:val="auto"/>
          <w:highlight w:val="none"/>
        </w:rPr>
      </w:pPr>
      <w:r>
        <w:rPr>
          <w:rStyle w:val="21"/>
          <w:rFonts w:hint="eastAsia" w:asciiTheme="minorEastAsia" w:hAnsiTheme="minorEastAsia"/>
          <w:color w:val="auto"/>
          <w:highlight w:val="none"/>
        </w:rPr>
        <w:t>报名要求（</w:t>
      </w:r>
      <w:r>
        <w:rPr>
          <w:rFonts w:hint="eastAsia" w:ascii="宋体" w:hAnsi="宋体"/>
          <w:color w:val="auto"/>
          <w:szCs w:val="21"/>
          <w:highlight w:val="none"/>
        </w:rPr>
        <w:t>参与竞价的</w:t>
      </w:r>
      <w:r>
        <w:rPr>
          <w:rStyle w:val="21"/>
          <w:rFonts w:hint="eastAsia" w:asciiTheme="minorEastAsia" w:hAnsiTheme="minorEastAsia"/>
          <w:color w:val="auto"/>
          <w:highlight w:val="none"/>
        </w:rPr>
        <w:t>供应商资质要求:</w:t>
      </w:r>
      <w:r>
        <w:rPr>
          <w:rStyle w:val="21"/>
          <w:rFonts w:hint="eastAsia" w:asciiTheme="minorEastAsia" w:hAnsiTheme="minorEastAsia"/>
          <w:color w:val="auto"/>
          <w:szCs w:val="21"/>
          <w:highlight w:val="none"/>
        </w:rPr>
        <w:t xml:space="preserve"> 报名时需要提供以下</w:t>
      </w:r>
      <w:r>
        <w:rPr>
          <w:rStyle w:val="21"/>
          <w:rFonts w:hint="eastAsia" w:asciiTheme="minorEastAsia" w:hAnsiTheme="minorEastAsia"/>
          <w:color w:val="auto"/>
          <w:szCs w:val="21"/>
          <w:highlight w:val="none"/>
          <w:u w:val="double"/>
        </w:rPr>
        <w:t>盖章</w:t>
      </w:r>
      <w:r>
        <w:rPr>
          <w:rStyle w:val="21"/>
          <w:rFonts w:hint="eastAsia" w:asciiTheme="minorEastAsia" w:hAnsiTheme="minorEastAsia"/>
          <w:color w:val="auto"/>
          <w:szCs w:val="21"/>
          <w:highlight w:val="none"/>
        </w:rPr>
        <w:t>资料，</w:t>
      </w:r>
      <w:r>
        <w:rPr>
          <w:rFonts w:hint="eastAsia" w:asciiTheme="minorEastAsia" w:hAnsiTheme="minorEastAsia"/>
          <w:color w:val="auto"/>
          <w:szCs w:val="21"/>
          <w:highlight w:val="none"/>
        </w:rPr>
        <w:t>并对上传的报名文件资料承担责任</w:t>
      </w:r>
      <w:r>
        <w:rPr>
          <w:rStyle w:val="21"/>
          <w:rFonts w:hint="eastAsia" w:asciiTheme="minorEastAsia" w:hAnsiTheme="minorEastAsia"/>
          <w:color w:val="auto"/>
          <w:highlight w:val="none"/>
        </w:rPr>
        <w:t>）</w:t>
      </w:r>
    </w:p>
    <w:p>
      <w:pPr>
        <w:pStyle w:val="27"/>
        <w:widowControl/>
        <w:numPr>
          <w:ilvl w:val="0"/>
          <w:numId w:val="5"/>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供应商提供在中华人民共和国境内注册的法人或其他组织的营业执照或事业单位法人证书或社会团</w:t>
      </w:r>
    </w:p>
    <w:p>
      <w:pPr>
        <w:widowControl/>
        <w:spacing w:line="360" w:lineRule="auto"/>
        <w:ind w:left="630" w:leftChars="300"/>
        <w:jc w:val="left"/>
        <w:rPr>
          <w:rFonts w:ascii="宋体" w:hAnsi="宋体" w:cs="宋体"/>
          <w:color w:val="auto"/>
          <w:kern w:val="0"/>
          <w:szCs w:val="21"/>
          <w:highlight w:val="none"/>
        </w:rPr>
      </w:pPr>
      <w:r>
        <w:rPr>
          <w:rFonts w:hint="eastAsia" w:ascii="宋体" w:hAnsi="宋体" w:cs="宋体"/>
          <w:color w:val="auto"/>
          <w:kern w:val="0"/>
          <w:szCs w:val="21"/>
          <w:highlight w:val="none"/>
        </w:rPr>
        <w:t>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pStyle w:val="27"/>
        <w:widowControl/>
        <w:numPr>
          <w:ilvl w:val="0"/>
          <w:numId w:val="5"/>
        </w:numPr>
        <w:spacing w:line="360" w:lineRule="auto"/>
        <w:ind w:firstLineChars="0"/>
        <w:jc w:val="left"/>
        <w:rPr>
          <w:rFonts w:ascii="宋体" w:hAnsi="宋体" w:cs="宋体"/>
          <w:color w:val="auto"/>
          <w:kern w:val="0"/>
          <w:szCs w:val="20"/>
          <w:highlight w:val="none"/>
        </w:rPr>
      </w:pPr>
      <w:r>
        <w:rPr>
          <w:rFonts w:hint="eastAsia" w:ascii="宋体" w:hAnsi="宋体" w:cs="宋体"/>
          <w:color w:val="auto"/>
          <w:kern w:val="0"/>
          <w:szCs w:val="21"/>
          <w:highlight w:val="none"/>
        </w:rPr>
        <w:t>供应商完全响应本项目用户需求的条款、内容及要求的，提供用户需求书响应声明函，格式详见附</w:t>
      </w:r>
    </w:p>
    <w:p>
      <w:pPr>
        <w:widowControl/>
        <w:spacing w:line="360" w:lineRule="auto"/>
        <w:ind w:left="420" w:leftChars="200" w:firstLine="210" w:firstLineChars="100"/>
        <w:jc w:val="left"/>
        <w:rPr>
          <w:rFonts w:ascii="宋体" w:hAnsi="宋体" w:cs="宋体"/>
          <w:color w:val="auto"/>
          <w:kern w:val="0"/>
          <w:szCs w:val="20"/>
          <w:highlight w:val="none"/>
        </w:rPr>
      </w:pPr>
      <w:r>
        <w:rPr>
          <w:rFonts w:hint="eastAsia" w:ascii="宋体" w:hAnsi="宋体" w:cs="宋体"/>
          <w:color w:val="auto"/>
          <w:kern w:val="0"/>
          <w:szCs w:val="21"/>
          <w:highlight w:val="none"/>
        </w:rPr>
        <w:t>件</w:t>
      </w:r>
      <w:r>
        <w:rPr>
          <w:rFonts w:hint="eastAsia" w:ascii="宋体" w:hAnsi="宋体" w:cs="宋体"/>
          <w:color w:val="auto"/>
          <w:kern w:val="0"/>
          <w:szCs w:val="20"/>
          <w:highlight w:val="none"/>
        </w:rPr>
        <w:t>。</w:t>
      </w:r>
    </w:p>
    <w:p>
      <w:pPr>
        <w:pStyle w:val="27"/>
        <w:widowControl/>
        <w:numPr>
          <w:ilvl w:val="0"/>
          <w:numId w:val="5"/>
        </w:numPr>
        <w:spacing w:line="360" w:lineRule="auto"/>
        <w:ind w:firstLineChars="0"/>
        <w:jc w:val="left"/>
        <w:rPr>
          <w:rFonts w:ascii="宋体" w:hAnsi="宋体" w:cs="宋体"/>
          <w:color w:val="auto"/>
          <w:kern w:val="0"/>
          <w:szCs w:val="20"/>
          <w:highlight w:val="none"/>
        </w:rPr>
      </w:pPr>
      <w:r>
        <w:rPr>
          <w:rFonts w:hint="eastAsia" w:ascii="宋体" w:hAnsi="宋体" w:cs="宋体"/>
          <w:color w:val="auto"/>
          <w:kern w:val="0"/>
          <w:szCs w:val="20"/>
          <w:highlight w:val="none"/>
        </w:rPr>
        <w:t>供应商必须具备《政府采购法》第二十二条所规定的条件，本项目不接受联合体参与竞价，提供供</w:t>
      </w:r>
    </w:p>
    <w:p>
      <w:pPr>
        <w:widowControl/>
        <w:spacing w:line="360" w:lineRule="auto"/>
        <w:ind w:left="420" w:leftChars="200" w:firstLine="210" w:firstLineChars="100"/>
        <w:jc w:val="left"/>
        <w:rPr>
          <w:rFonts w:ascii="宋体" w:hAnsi="宋体" w:cs="宋体"/>
          <w:color w:val="auto"/>
          <w:kern w:val="0"/>
          <w:szCs w:val="20"/>
          <w:highlight w:val="none"/>
        </w:rPr>
      </w:pPr>
      <w:r>
        <w:rPr>
          <w:rFonts w:hint="eastAsia" w:ascii="宋体" w:hAnsi="宋体" w:cs="宋体"/>
          <w:color w:val="auto"/>
          <w:kern w:val="0"/>
          <w:szCs w:val="20"/>
          <w:highlight w:val="none"/>
        </w:rPr>
        <w:t>应商资格声明函，格式详见附件。</w:t>
      </w:r>
    </w:p>
    <w:p>
      <w:pPr>
        <w:pStyle w:val="27"/>
        <w:widowControl/>
        <w:numPr>
          <w:ilvl w:val="0"/>
          <w:numId w:val="5"/>
        </w:numPr>
        <w:spacing w:line="360" w:lineRule="auto"/>
        <w:ind w:firstLineChars="0"/>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如是经销商、代理商参与竞价时，所报价产品来源渠道必须合法正当，</w:t>
      </w:r>
      <w:r>
        <w:rPr>
          <w:rFonts w:hint="eastAsia" w:ascii="宋体" w:hAnsi="宋体" w:cs="宋体"/>
          <w:b/>
          <w:bCs/>
          <w:color w:val="auto"/>
          <w:kern w:val="0"/>
          <w:szCs w:val="20"/>
          <w:highlight w:val="none"/>
        </w:rPr>
        <w:t>报名时提供制造商常州赛乐医疗技术有限公司对</w:t>
      </w:r>
      <w:r>
        <w:rPr>
          <w:rFonts w:hint="eastAsia" w:ascii="宋体" w:hAnsi="宋体" w:cs="宋体"/>
          <w:b/>
          <w:bCs/>
          <w:color w:val="auto"/>
          <w:kern w:val="0"/>
          <w:szCs w:val="20"/>
          <w:highlight w:val="none"/>
          <w:lang w:val="en-US" w:eastAsia="zh-CN"/>
        </w:rPr>
        <w:t>本项目</w:t>
      </w:r>
      <w:r>
        <w:rPr>
          <w:rFonts w:hint="eastAsia" w:ascii="宋体" w:hAnsi="宋体" w:cs="宋体"/>
          <w:b/>
          <w:bCs/>
          <w:color w:val="auto"/>
          <w:kern w:val="0"/>
          <w:szCs w:val="20"/>
          <w:highlight w:val="none"/>
        </w:rPr>
        <w:t>出具的授权书</w:t>
      </w:r>
      <w:r>
        <w:rPr>
          <w:rFonts w:hint="eastAsia" w:ascii="宋体" w:hAnsi="宋体" w:cs="宋体"/>
          <w:color w:val="auto"/>
          <w:kern w:val="0"/>
          <w:szCs w:val="20"/>
          <w:highlight w:val="none"/>
        </w:rPr>
        <w:t>，加盖制造商公章；如是制造商参与竞价时，提供制造商声明函（格式自拟）。</w:t>
      </w:r>
    </w:p>
    <w:p>
      <w:pPr>
        <w:pStyle w:val="27"/>
        <w:widowControl/>
        <w:numPr>
          <w:ilvl w:val="0"/>
          <w:numId w:val="5"/>
        </w:numPr>
        <w:spacing w:line="360" w:lineRule="auto"/>
        <w:ind w:firstLineChars="0"/>
        <w:jc w:val="left"/>
        <w:rPr>
          <w:rFonts w:hint="eastAsia" w:ascii="宋体" w:hAnsi="宋体" w:cs="宋体"/>
          <w:b/>
          <w:color w:val="auto"/>
          <w:kern w:val="0"/>
          <w:szCs w:val="21"/>
          <w:highlight w:val="none"/>
        </w:rPr>
      </w:pPr>
      <w:r>
        <w:rPr>
          <w:rFonts w:hint="eastAsia" w:ascii="宋体" w:hAnsi="宋体" w:cs="宋体"/>
          <w:bCs/>
          <w:color w:val="auto"/>
          <w:kern w:val="0"/>
          <w:szCs w:val="21"/>
          <w:highlight w:val="none"/>
        </w:rPr>
        <w:t>供应商如为生产企业：具备有效的《医疗器械生产许可证》</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如为经营企业：</w:t>
      </w:r>
      <w:r>
        <w:rPr>
          <w:rFonts w:hint="eastAsia" w:ascii="宋体" w:hAnsi="宋体" w:cs="宋体"/>
          <w:bCs/>
          <w:color w:val="auto"/>
          <w:kern w:val="0"/>
          <w:szCs w:val="21"/>
          <w:highlight w:val="none"/>
          <w:lang w:val="en-US" w:eastAsia="zh-CN"/>
        </w:rPr>
        <w:t>具备</w:t>
      </w:r>
      <w:r>
        <w:rPr>
          <w:rFonts w:hint="eastAsia" w:ascii="宋体" w:hAnsi="宋体" w:cs="宋体"/>
          <w:bCs/>
          <w:color w:val="auto"/>
          <w:kern w:val="0"/>
          <w:szCs w:val="21"/>
          <w:highlight w:val="none"/>
        </w:rPr>
        <w:t>有效的《医疗器械经营许可证》或《医疗器械经营备案凭证》；</w:t>
      </w:r>
      <w:r>
        <w:rPr>
          <w:rFonts w:hint="eastAsia" w:ascii="宋体" w:hAnsi="宋体" w:cs="宋体"/>
          <w:b/>
          <w:color w:val="auto"/>
          <w:kern w:val="0"/>
          <w:szCs w:val="21"/>
          <w:highlight w:val="none"/>
        </w:rPr>
        <w:t>（提供相关证明材料，如国家另有规定，则适用其规定）。</w:t>
      </w:r>
    </w:p>
    <w:p>
      <w:pPr>
        <w:pStyle w:val="27"/>
        <w:widowControl/>
        <w:numPr>
          <w:ilvl w:val="0"/>
          <w:numId w:val="5"/>
        </w:numPr>
        <w:spacing w:line="360" w:lineRule="auto"/>
        <w:ind w:firstLineChars="0"/>
        <w:jc w:val="left"/>
        <w:rPr>
          <w:rFonts w:ascii="宋体" w:hAnsi="宋体" w:cs="宋体"/>
          <w:bCs/>
          <w:color w:val="auto"/>
          <w:kern w:val="0"/>
          <w:szCs w:val="21"/>
          <w:highlight w:val="none"/>
        </w:rPr>
      </w:pPr>
      <w:r>
        <w:rPr>
          <w:rFonts w:hint="eastAsia" w:ascii="宋体" w:hAnsi="宋体" w:cs="宋体"/>
          <w:bCs/>
          <w:color w:val="auto"/>
          <w:kern w:val="0"/>
          <w:szCs w:val="21"/>
          <w:highlight w:val="none"/>
        </w:rPr>
        <w:t>所报价设备属医疗器械管理的，须具备有效的《中华人民共和国医疗器械注册证》或《医疗器械备案信息表》；（提供相关证明材料，如国家另有规定，则适用其规定）。</w:t>
      </w:r>
    </w:p>
    <w:p>
      <w:pPr>
        <w:pStyle w:val="27"/>
        <w:numPr>
          <w:ilvl w:val="0"/>
          <w:numId w:val="2"/>
        </w:numPr>
        <w:spacing w:line="360" w:lineRule="auto"/>
        <w:ind w:firstLineChars="0"/>
        <w:rPr>
          <w:rStyle w:val="21"/>
          <w:rFonts w:asciiTheme="minorEastAsia" w:hAnsiTheme="minorEastAsia"/>
          <w:bCs w:val="0"/>
          <w:color w:val="auto"/>
          <w:highlight w:val="none"/>
        </w:rPr>
      </w:pPr>
      <w:r>
        <w:rPr>
          <w:rStyle w:val="21"/>
          <w:rFonts w:hint="eastAsia" w:asciiTheme="minorEastAsia" w:hAnsiTheme="minorEastAsia"/>
          <w:color w:val="auto"/>
          <w:highlight w:val="none"/>
        </w:rPr>
        <w:t>报价要求</w:t>
      </w:r>
      <w:r>
        <w:rPr>
          <w:rStyle w:val="21"/>
          <w:rFonts w:hint="eastAsia" w:ascii="宋体" w:hAnsi="宋体"/>
          <w:color w:val="auto"/>
          <w:szCs w:val="21"/>
          <w:highlight w:val="none"/>
        </w:rPr>
        <w:t>（</w:t>
      </w:r>
      <w:r>
        <w:rPr>
          <w:rStyle w:val="21"/>
          <w:rFonts w:hint="eastAsia" w:asciiTheme="minorEastAsia" w:hAnsiTheme="minorEastAsia"/>
          <w:color w:val="auto"/>
          <w:szCs w:val="21"/>
          <w:highlight w:val="none"/>
        </w:rPr>
        <w:t>报价时需要提供以下</w:t>
      </w:r>
      <w:r>
        <w:rPr>
          <w:rStyle w:val="21"/>
          <w:rFonts w:hint="eastAsia" w:asciiTheme="minorEastAsia" w:hAnsiTheme="minorEastAsia"/>
          <w:color w:val="auto"/>
          <w:szCs w:val="21"/>
          <w:highlight w:val="none"/>
          <w:u w:val="double"/>
        </w:rPr>
        <w:t>盖章</w:t>
      </w:r>
      <w:r>
        <w:rPr>
          <w:rStyle w:val="21"/>
          <w:rFonts w:hint="eastAsia" w:asciiTheme="minorEastAsia" w:hAnsiTheme="minorEastAsia"/>
          <w:color w:val="auto"/>
          <w:szCs w:val="21"/>
          <w:highlight w:val="none"/>
        </w:rPr>
        <w:t>资料，</w:t>
      </w:r>
      <w:r>
        <w:rPr>
          <w:rFonts w:hint="eastAsia" w:asciiTheme="minorEastAsia" w:hAnsiTheme="minorEastAsia"/>
          <w:color w:val="auto"/>
          <w:szCs w:val="21"/>
          <w:highlight w:val="none"/>
        </w:rPr>
        <w:t>并对上传的竞价文件资料承担责任</w:t>
      </w:r>
      <w:r>
        <w:rPr>
          <w:rStyle w:val="21"/>
          <w:rFonts w:hint="eastAsia" w:ascii="宋体" w:hAnsi="宋体"/>
          <w:color w:val="auto"/>
          <w:szCs w:val="21"/>
          <w:highlight w:val="none"/>
        </w:rPr>
        <w:t>）</w:t>
      </w:r>
    </w:p>
    <w:p>
      <w:pPr>
        <w:pStyle w:val="27"/>
        <w:numPr>
          <w:ilvl w:val="0"/>
          <w:numId w:val="6"/>
        </w:numPr>
        <w:spacing w:line="360" w:lineRule="auto"/>
        <w:ind w:firstLineChars="0"/>
        <w:rPr>
          <w:rFonts w:asciiTheme="minorEastAsia" w:hAnsiTheme="minorEastAsia"/>
          <w:color w:val="auto"/>
          <w:highlight w:val="none"/>
        </w:rPr>
      </w:pPr>
      <w:r>
        <w:rPr>
          <w:rFonts w:hint="eastAsia" w:asciiTheme="minorEastAsia" w:hAnsiTheme="minorEastAsia"/>
          <w:color w:val="auto"/>
          <w:szCs w:val="21"/>
          <w:highlight w:val="none"/>
        </w:rPr>
        <w:t>通过报名供应商应根据本公告要求，在规定的竞价时间内对采购项目进行报价，同时按本公告要求</w:t>
      </w:r>
    </w:p>
    <w:p>
      <w:pPr>
        <w:spacing w:line="360" w:lineRule="auto"/>
        <w:ind w:left="420" w:leftChars="200" w:firstLine="210" w:firstLineChars="100"/>
        <w:rPr>
          <w:rFonts w:asciiTheme="minorEastAsia" w:hAnsiTheme="minorEastAsia"/>
          <w:color w:val="auto"/>
          <w:highlight w:val="none"/>
        </w:rPr>
      </w:pPr>
      <w:r>
        <w:rPr>
          <w:rFonts w:hint="eastAsia" w:ascii="宋体" w:hAnsi="宋体"/>
          <w:color w:val="auto"/>
          <w:szCs w:val="21"/>
          <w:highlight w:val="none"/>
        </w:rPr>
        <w:t>完整</w:t>
      </w:r>
      <w:r>
        <w:rPr>
          <w:rFonts w:hint="eastAsia" w:ascii="宋体" w:hAnsi="宋体" w:cs="宋体"/>
          <w:color w:val="auto"/>
          <w:szCs w:val="21"/>
          <w:highlight w:val="none"/>
          <w:lang w:eastAsia="zh-TW"/>
        </w:rPr>
        <w:t>、真实、准确地</w:t>
      </w:r>
      <w:r>
        <w:rPr>
          <w:rFonts w:hint="eastAsia" w:ascii="宋体" w:hAnsi="宋体" w:cs="宋体"/>
          <w:color w:val="auto"/>
          <w:szCs w:val="21"/>
          <w:highlight w:val="none"/>
        </w:rPr>
        <w:t>填写并</w:t>
      </w:r>
      <w:r>
        <w:rPr>
          <w:rFonts w:hint="eastAsia" w:asciiTheme="minorEastAsia" w:hAnsiTheme="minorEastAsia"/>
          <w:color w:val="auto"/>
          <w:szCs w:val="21"/>
          <w:highlight w:val="none"/>
        </w:rPr>
        <w:t>上传相应报价附件（报价表）。</w:t>
      </w:r>
    </w:p>
    <w:p>
      <w:pPr>
        <w:pStyle w:val="27"/>
        <w:numPr>
          <w:ilvl w:val="0"/>
          <w:numId w:val="6"/>
        </w:numPr>
        <w:spacing w:line="360" w:lineRule="auto"/>
        <w:ind w:firstLineChars="0"/>
        <w:rPr>
          <w:rFonts w:asciiTheme="minorEastAsia" w:hAnsiTheme="minorEastAsia"/>
          <w:b/>
          <w:color w:val="auto"/>
          <w:highlight w:val="none"/>
          <w:u w:val="double"/>
        </w:rPr>
      </w:pPr>
      <w:r>
        <w:rPr>
          <w:rFonts w:hint="eastAsia" w:asciiTheme="minorEastAsia" w:hAnsiTheme="minorEastAsia"/>
          <w:b/>
          <w:color w:val="auto"/>
          <w:szCs w:val="21"/>
          <w:highlight w:val="none"/>
          <w:u w:val="double"/>
        </w:rPr>
        <w:t>公告中的报价次数指报价期间供应商可进行的最多报价次数。如报价次数为2次，指供应商最多可</w:t>
      </w:r>
    </w:p>
    <w:p>
      <w:pPr>
        <w:spacing w:line="360" w:lineRule="auto"/>
        <w:ind w:left="630" w:leftChars="300"/>
        <w:rPr>
          <w:rFonts w:asciiTheme="minorEastAsia" w:hAnsiTheme="minorEastAsia"/>
          <w:b/>
          <w:color w:val="auto"/>
          <w:highlight w:val="none"/>
          <w:u w:val="double"/>
        </w:rPr>
      </w:pPr>
      <w:r>
        <w:rPr>
          <w:rFonts w:hint="eastAsia" w:asciiTheme="minorEastAsia" w:hAnsiTheme="minorEastAsia"/>
          <w:b/>
          <w:color w:val="auto"/>
          <w:szCs w:val="21"/>
          <w:highlight w:val="none"/>
          <w:u w:val="double"/>
        </w:rPr>
        <w:t>进行2次报价。如供应商只进行1次报价，则以此次报价为准；如供应商因报价有误或其他原因需重新进行第2次报价，则以第2次报价为准，以此类推。</w:t>
      </w:r>
    </w:p>
    <w:p>
      <w:pPr>
        <w:pStyle w:val="27"/>
        <w:numPr>
          <w:ilvl w:val="0"/>
          <w:numId w:val="2"/>
        </w:numPr>
        <w:spacing w:line="360" w:lineRule="auto"/>
        <w:ind w:firstLineChars="0"/>
        <w:rPr>
          <w:rStyle w:val="21"/>
          <w:rFonts w:asciiTheme="minorEastAsia" w:hAnsiTheme="minorEastAsia"/>
          <w:bCs w:val="0"/>
          <w:color w:val="auto"/>
          <w:highlight w:val="none"/>
        </w:rPr>
      </w:pPr>
      <w:r>
        <w:rPr>
          <w:rStyle w:val="21"/>
          <w:rFonts w:hint="eastAsia" w:asciiTheme="minorEastAsia" w:hAnsiTheme="minorEastAsia"/>
          <w:color w:val="auto"/>
          <w:highlight w:val="none"/>
        </w:rPr>
        <w:t>确定成交候选人</w:t>
      </w:r>
    </w:p>
    <w:p>
      <w:pPr>
        <w:pStyle w:val="27"/>
        <w:numPr>
          <w:ilvl w:val="0"/>
          <w:numId w:val="7"/>
        </w:numPr>
        <w:spacing w:line="360" w:lineRule="auto"/>
        <w:ind w:firstLineChars="0"/>
        <w:rPr>
          <w:rFonts w:asciiTheme="minorEastAsia" w:hAnsiTheme="minorEastAsia"/>
          <w:color w:val="auto"/>
          <w:highlight w:val="none"/>
        </w:rPr>
      </w:pPr>
      <w:r>
        <w:rPr>
          <w:rFonts w:hint="eastAsia" w:asciiTheme="minorEastAsia" w:hAnsiTheme="minorEastAsia"/>
          <w:color w:val="auto"/>
          <w:szCs w:val="21"/>
          <w:highlight w:val="none"/>
        </w:rPr>
        <w:t>本项目以最低价</w:t>
      </w:r>
      <w:r>
        <w:rPr>
          <w:rFonts w:hint="eastAsia" w:asciiTheme="minorEastAsia" w:hAnsiTheme="minorEastAsia"/>
          <w:color w:val="auto"/>
          <w:szCs w:val="21"/>
          <w:highlight w:val="none"/>
          <w:lang w:val="en-US" w:eastAsia="zh-CN"/>
        </w:rPr>
        <w:t>成交</w:t>
      </w:r>
      <w:r>
        <w:rPr>
          <w:rFonts w:hint="eastAsia" w:asciiTheme="minorEastAsia" w:hAnsiTheme="minorEastAsia"/>
          <w:color w:val="auto"/>
          <w:szCs w:val="21"/>
          <w:highlight w:val="none"/>
        </w:rPr>
        <w:t>的方式确定成交供应商。报价时间截止后，系统按报价（经价格核准后的价格）</w:t>
      </w:r>
    </w:p>
    <w:p>
      <w:pPr>
        <w:spacing w:line="360" w:lineRule="auto"/>
        <w:ind w:left="630" w:leftChars="300"/>
        <w:rPr>
          <w:rFonts w:asciiTheme="minorEastAsia" w:hAnsiTheme="minorEastAsia"/>
          <w:color w:val="auto"/>
          <w:highlight w:val="none"/>
        </w:rPr>
      </w:pPr>
      <w:r>
        <w:rPr>
          <w:rFonts w:hint="eastAsia" w:asciiTheme="minorEastAsia" w:hAnsiTheme="minorEastAsia"/>
          <w:color w:val="auto"/>
          <w:szCs w:val="21"/>
          <w:highlight w:val="none"/>
        </w:rPr>
        <w:t>由低到高顺序排列，</w:t>
      </w:r>
      <w:r>
        <w:rPr>
          <w:rFonts w:hint="eastAsia" w:asciiTheme="minorEastAsia" w:hAnsiTheme="minorEastAsia"/>
          <w:color w:val="auto"/>
          <w:highlight w:val="none"/>
        </w:rPr>
        <w:t>报价最低的为第一成交候选人，报价相同的，按报价时间在前的为第一成交候选人；</w:t>
      </w:r>
      <w:r>
        <w:rPr>
          <w:rFonts w:hint="eastAsia" w:ascii="宋体" w:hAnsi="宋体"/>
          <w:color w:val="auto"/>
          <w:szCs w:val="21"/>
          <w:highlight w:val="none"/>
        </w:rPr>
        <w:t>报价次低的为第二成交候选人，以此类推</w:t>
      </w:r>
      <w:r>
        <w:rPr>
          <w:rFonts w:hint="eastAsia" w:asciiTheme="minorEastAsia" w:hAnsiTheme="minorEastAsia"/>
          <w:color w:val="auto"/>
          <w:highlight w:val="none"/>
        </w:rPr>
        <w:t>。</w:t>
      </w:r>
    </w:p>
    <w:p>
      <w:pPr>
        <w:pStyle w:val="27"/>
        <w:numPr>
          <w:ilvl w:val="0"/>
          <w:numId w:val="2"/>
        </w:numPr>
        <w:spacing w:line="360" w:lineRule="auto"/>
        <w:ind w:firstLineChars="0"/>
        <w:rPr>
          <w:rFonts w:asciiTheme="minorEastAsia" w:hAnsiTheme="minorEastAsia"/>
          <w:b/>
          <w:color w:val="auto"/>
          <w:szCs w:val="21"/>
          <w:highlight w:val="none"/>
        </w:rPr>
      </w:pPr>
      <w:r>
        <w:rPr>
          <w:rFonts w:hint="eastAsia" w:asciiTheme="minorEastAsia" w:hAnsiTheme="minorEastAsia"/>
          <w:b/>
          <w:color w:val="auto"/>
          <w:szCs w:val="21"/>
          <w:highlight w:val="none"/>
        </w:rPr>
        <w:t>无效报价</w:t>
      </w:r>
    </w:p>
    <w:p>
      <w:pPr>
        <w:pStyle w:val="27"/>
        <w:numPr>
          <w:ilvl w:val="0"/>
          <w:numId w:val="8"/>
        </w:numPr>
        <w:spacing w:line="360" w:lineRule="auto"/>
        <w:ind w:firstLineChars="0"/>
        <w:rPr>
          <w:rFonts w:asciiTheme="minorEastAsia" w:hAnsiTheme="minorEastAsia"/>
          <w:color w:val="auto"/>
          <w:szCs w:val="21"/>
          <w:highlight w:val="none"/>
        </w:rPr>
      </w:pPr>
      <w:r>
        <w:rPr>
          <w:rFonts w:hint="eastAsia" w:ascii="宋体" w:hAnsi="宋体"/>
          <w:color w:val="auto"/>
          <w:szCs w:val="21"/>
          <w:highlight w:val="none"/>
        </w:rPr>
        <w:t>参与竞价的</w:t>
      </w:r>
      <w:r>
        <w:rPr>
          <w:rFonts w:hint="eastAsia" w:asciiTheme="minorEastAsia" w:hAnsiTheme="minorEastAsia"/>
          <w:color w:val="auto"/>
          <w:highlight w:val="none"/>
        </w:rPr>
        <w:t>供应商报价超过最高限价或低于最低限价或超过项目对应产品单项最高限价的视为无效</w:t>
      </w:r>
    </w:p>
    <w:p>
      <w:pPr>
        <w:spacing w:line="360" w:lineRule="auto"/>
        <w:ind w:left="420" w:leftChars="200" w:firstLine="210" w:firstLineChars="100"/>
        <w:rPr>
          <w:rFonts w:asciiTheme="minorEastAsia" w:hAnsiTheme="minorEastAsia"/>
          <w:color w:val="auto"/>
          <w:szCs w:val="21"/>
          <w:highlight w:val="none"/>
        </w:rPr>
      </w:pPr>
      <w:r>
        <w:rPr>
          <w:rFonts w:hint="eastAsia" w:asciiTheme="minorEastAsia" w:hAnsiTheme="minorEastAsia"/>
          <w:color w:val="auto"/>
          <w:highlight w:val="none"/>
        </w:rPr>
        <w:t>报价。</w:t>
      </w:r>
    </w:p>
    <w:p>
      <w:pPr>
        <w:pStyle w:val="27"/>
        <w:numPr>
          <w:ilvl w:val="0"/>
          <w:numId w:val="8"/>
        </w:numPr>
        <w:spacing w:line="360" w:lineRule="auto"/>
        <w:ind w:firstLineChars="0"/>
        <w:rPr>
          <w:rFonts w:ascii="宋体" w:hAnsi="宋体"/>
          <w:color w:val="auto"/>
          <w:szCs w:val="21"/>
          <w:highlight w:val="none"/>
        </w:rPr>
      </w:pPr>
      <w:r>
        <w:rPr>
          <w:rFonts w:hint="eastAsia" w:ascii="宋体" w:hAnsi="宋体"/>
          <w:color w:val="auto"/>
          <w:szCs w:val="21"/>
          <w:highlight w:val="none"/>
        </w:rPr>
        <w:t>参与竞价的</w:t>
      </w:r>
      <w:r>
        <w:rPr>
          <w:rFonts w:hint="eastAsia" w:asciiTheme="minorEastAsia" w:hAnsiTheme="minorEastAsia"/>
          <w:bCs/>
          <w:color w:val="auto"/>
          <w:szCs w:val="21"/>
          <w:highlight w:val="none"/>
        </w:rPr>
        <w:t>供应商须提供本项目要求的资质文件，如果不按公告规定或竞价文件要求等相关规定提</w:t>
      </w:r>
    </w:p>
    <w:p>
      <w:pPr>
        <w:spacing w:line="360" w:lineRule="auto"/>
        <w:ind w:left="420" w:leftChars="200" w:firstLine="210" w:firstLineChars="100"/>
        <w:rPr>
          <w:rFonts w:ascii="宋体" w:hAnsi="宋体"/>
          <w:color w:val="auto"/>
          <w:szCs w:val="21"/>
          <w:highlight w:val="none"/>
        </w:rPr>
      </w:pPr>
      <w:r>
        <w:rPr>
          <w:rFonts w:hint="eastAsia" w:asciiTheme="minorEastAsia" w:hAnsiTheme="minorEastAsia"/>
          <w:bCs/>
          <w:color w:val="auto"/>
          <w:szCs w:val="21"/>
          <w:highlight w:val="none"/>
        </w:rPr>
        <w:t>供符合要求的资质文件，将被视为无效报价。</w:t>
      </w:r>
    </w:p>
    <w:p>
      <w:pPr>
        <w:pStyle w:val="27"/>
        <w:numPr>
          <w:ilvl w:val="0"/>
          <w:numId w:val="8"/>
        </w:numPr>
        <w:spacing w:line="360" w:lineRule="auto"/>
        <w:ind w:firstLineChars="0"/>
        <w:rPr>
          <w:rFonts w:asciiTheme="minorEastAsia" w:hAnsiTheme="minorEastAsia"/>
          <w:color w:val="auto"/>
          <w:szCs w:val="21"/>
          <w:highlight w:val="none"/>
        </w:rPr>
      </w:pPr>
      <w:r>
        <w:rPr>
          <w:rFonts w:hint="eastAsia" w:ascii="宋体" w:hAnsi="宋体"/>
          <w:color w:val="auto"/>
          <w:szCs w:val="21"/>
          <w:highlight w:val="none"/>
        </w:rPr>
        <w:t>参与竞价的</w:t>
      </w:r>
      <w:r>
        <w:rPr>
          <w:rFonts w:hint="eastAsia" w:asciiTheme="minorEastAsia" w:hAnsiTheme="minorEastAsia"/>
          <w:bCs/>
          <w:color w:val="auto"/>
          <w:szCs w:val="21"/>
          <w:highlight w:val="none"/>
        </w:rPr>
        <w:t>供应商须对本项目采购内容进行整体报价，任何只对其中一部分内容进行的报价都被视</w:t>
      </w:r>
    </w:p>
    <w:p>
      <w:pPr>
        <w:spacing w:line="360" w:lineRule="auto"/>
        <w:ind w:left="420" w:leftChars="200" w:firstLine="210" w:firstLineChars="100"/>
        <w:rPr>
          <w:rFonts w:asciiTheme="minorEastAsia" w:hAnsiTheme="minorEastAsia"/>
          <w:color w:val="auto"/>
          <w:szCs w:val="21"/>
          <w:highlight w:val="none"/>
        </w:rPr>
      </w:pPr>
      <w:r>
        <w:rPr>
          <w:rFonts w:hint="eastAsia" w:asciiTheme="minorEastAsia" w:hAnsiTheme="minorEastAsia"/>
          <w:bCs/>
          <w:color w:val="auto"/>
          <w:szCs w:val="21"/>
          <w:highlight w:val="none"/>
        </w:rPr>
        <w:t>为无效报价。</w:t>
      </w:r>
    </w:p>
    <w:p>
      <w:pPr>
        <w:pStyle w:val="27"/>
        <w:numPr>
          <w:ilvl w:val="0"/>
          <w:numId w:val="8"/>
        </w:numPr>
        <w:spacing w:line="360" w:lineRule="auto"/>
        <w:ind w:firstLineChars="0"/>
        <w:rPr>
          <w:rFonts w:asciiTheme="minorEastAsia" w:hAnsiTheme="minorEastAsia"/>
          <w:color w:val="auto"/>
          <w:szCs w:val="21"/>
          <w:highlight w:val="none"/>
        </w:rPr>
      </w:pPr>
      <w:r>
        <w:rPr>
          <w:color w:val="auto"/>
          <w:highlight w:val="none"/>
          <w:u w:val="double"/>
        </w:rPr>
        <w:t>报价表</w:t>
      </w:r>
      <w:r>
        <w:rPr>
          <w:rFonts w:hint="eastAsia"/>
          <w:color w:val="auto"/>
          <w:highlight w:val="none"/>
          <w:u w:val="double"/>
        </w:rPr>
        <w:t>以及有报价供应商落款的报价文件</w:t>
      </w:r>
      <w:r>
        <w:rPr>
          <w:color w:val="auto"/>
          <w:highlight w:val="none"/>
          <w:u w:val="double"/>
        </w:rPr>
        <w:t>必须加盖</w:t>
      </w:r>
      <w:r>
        <w:rPr>
          <w:rFonts w:hint="eastAsia"/>
          <w:color w:val="auto"/>
          <w:highlight w:val="none"/>
          <w:u w:val="double"/>
        </w:rPr>
        <w:t>报价供应商</w:t>
      </w:r>
      <w:r>
        <w:rPr>
          <w:color w:val="auto"/>
          <w:highlight w:val="none"/>
          <w:u w:val="double"/>
        </w:rPr>
        <w:t>公章，否则视为无效报价</w:t>
      </w:r>
      <w:r>
        <w:rPr>
          <w:rFonts w:hint="eastAsia"/>
          <w:color w:val="auto"/>
          <w:highlight w:val="none"/>
        </w:rPr>
        <w:t>。</w:t>
      </w:r>
    </w:p>
    <w:p>
      <w:pPr>
        <w:pStyle w:val="27"/>
        <w:numPr>
          <w:ilvl w:val="0"/>
          <w:numId w:val="8"/>
        </w:numPr>
        <w:spacing w:line="360" w:lineRule="auto"/>
        <w:ind w:firstLineChars="0"/>
        <w:rPr>
          <w:rFonts w:ascii="宋体" w:hAnsi="宋体"/>
          <w:color w:val="auto"/>
          <w:szCs w:val="21"/>
          <w:highlight w:val="none"/>
        </w:rPr>
      </w:pPr>
      <w:r>
        <w:rPr>
          <w:rFonts w:asciiTheme="minorEastAsia" w:hAnsiTheme="minorEastAsia" w:eastAsiaTheme="minorEastAsia"/>
          <w:color w:val="auto"/>
          <w:szCs w:val="21"/>
          <w:highlight w:val="none"/>
        </w:rPr>
        <w:t>大写金额和小写金额不一致的，以大写金额为准；单价金额小数点或者百分比有明显错位的，以报</w:t>
      </w:r>
    </w:p>
    <w:p>
      <w:pPr>
        <w:spacing w:line="360" w:lineRule="auto"/>
        <w:ind w:left="630" w:leftChars="300"/>
        <w:rPr>
          <w:rFonts w:ascii="宋体" w:hAnsi="宋体" w:eastAsia="宋体"/>
          <w:color w:val="auto"/>
          <w:szCs w:val="21"/>
          <w:highlight w:val="none"/>
        </w:rPr>
      </w:pPr>
      <w:r>
        <w:rPr>
          <w:rFonts w:asciiTheme="minorEastAsia" w:hAnsiTheme="minorEastAsia"/>
          <w:color w:val="auto"/>
          <w:szCs w:val="21"/>
          <w:highlight w:val="none"/>
        </w:rPr>
        <w:t>价表的总价为准，并修改单价；总价金额与按单价汇总金额不一致的，以单价金额计算结果为准</w:t>
      </w:r>
      <w:r>
        <w:rPr>
          <w:rFonts w:hint="eastAsia" w:asciiTheme="minorEastAsia" w:hAnsiTheme="minorEastAsia"/>
          <w:color w:val="auto"/>
          <w:szCs w:val="21"/>
          <w:highlight w:val="none"/>
        </w:rPr>
        <w:t>；不接受总价优惠折扣形式的报价，供应商应将对项目的优惠直接在清单报价中体现出来。</w:t>
      </w:r>
      <w:r>
        <w:rPr>
          <w:rFonts w:hint="eastAsia"/>
          <w:color w:val="auto"/>
          <w:szCs w:val="21"/>
          <w:highlight w:val="none"/>
        </w:rPr>
        <w:t>如果供应商不接受对其错误的更正，其报价将被视为无效报价</w:t>
      </w:r>
      <w:r>
        <w:rPr>
          <w:rFonts w:hint="eastAsia" w:ascii="宋体" w:hAnsi="宋体" w:eastAsia="宋体" w:cs="Times New Roman"/>
          <w:color w:val="auto"/>
          <w:szCs w:val="21"/>
          <w:highlight w:val="none"/>
        </w:rPr>
        <w:t>。</w:t>
      </w:r>
    </w:p>
    <w:p>
      <w:pPr>
        <w:pStyle w:val="15"/>
        <w:numPr>
          <w:ilvl w:val="0"/>
          <w:numId w:val="8"/>
        </w:numPr>
        <w:shd w:val="clear" w:color="auto" w:fill="FFFFFF"/>
        <w:spacing w:before="0" w:beforeAutospacing="0" w:after="0" w:afterAutospacing="0" w:line="360" w:lineRule="auto"/>
        <w:rPr>
          <w:rFonts w:asciiTheme="minorEastAsia" w:hAnsiTheme="minorEastAsia" w:eastAsiaTheme="minorEastAsia"/>
          <w:color w:val="auto"/>
          <w:sz w:val="21"/>
          <w:szCs w:val="21"/>
          <w:highlight w:val="none"/>
        </w:rPr>
      </w:pPr>
      <w:r>
        <w:rPr>
          <w:rFonts w:hint="eastAsia"/>
          <w:b/>
          <w:color w:val="auto"/>
          <w:sz w:val="21"/>
          <w:szCs w:val="21"/>
          <w:highlight w:val="none"/>
        </w:rPr>
        <w:t>有下列情形之一的，视为串通竞价，其报价无效：</w:t>
      </w:r>
    </w:p>
    <w:p>
      <w:pPr>
        <w:pStyle w:val="27"/>
        <w:widowControl/>
        <w:numPr>
          <w:ilvl w:val="2"/>
          <w:numId w:val="9"/>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存在单位负责人为同一人或存在控股、管理关系的不同单位参与同一竞价项目；</w:t>
      </w:r>
    </w:p>
    <w:p>
      <w:pPr>
        <w:pStyle w:val="27"/>
        <w:widowControl/>
        <w:numPr>
          <w:ilvl w:val="2"/>
          <w:numId w:val="9"/>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不同供应商的响应文件由同一单位或者个人编制；</w:t>
      </w:r>
    </w:p>
    <w:p>
      <w:pPr>
        <w:pStyle w:val="27"/>
        <w:widowControl/>
        <w:numPr>
          <w:ilvl w:val="2"/>
          <w:numId w:val="9"/>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不同供应商委托同一单位或者个人办理竞价事宜；</w:t>
      </w:r>
    </w:p>
    <w:p>
      <w:pPr>
        <w:pStyle w:val="27"/>
        <w:widowControl/>
        <w:numPr>
          <w:ilvl w:val="2"/>
          <w:numId w:val="9"/>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不同供应商使用同一IP地址参与竞价；</w:t>
      </w:r>
    </w:p>
    <w:p>
      <w:pPr>
        <w:pStyle w:val="27"/>
        <w:widowControl/>
        <w:numPr>
          <w:ilvl w:val="2"/>
          <w:numId w:val="9"/>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不同供应商的响应文件载明的项目管理成员或者联系人员为同一人；</w:t>
      </w:r>
    </w:p>
    <w:p>
      <w:pPr>
        <w:pStyle w:val="27"/>
        <w:widowControl/>
        <w:numPr>
          <w:ilvl w:val="2"/>
          <w:numId w:val="9"/>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不同供应商的响应文件异常一致或者报价呈规律性差异；</w:t>
      </w:r>
    </w:p>
    <w:p>
      <w:pPr>
        <w:pStyle w:val="27"/>
        <w:widowControl/>
        <w:numPr>
          <w:ilvl w:val="2"/>
          <w:numId w:val="9"/>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不同供应商的响应文件相互混淆；</w:t>
      </w:r>
    </w:p>
    <w:p>
      <w:pPr>
        <w:pStyle w:val="27"/>
        <w:widowControl/>
        <w:numPr>
          <w:ilvl w:val="2"/>
          <w:numId w:val="9"/>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不同供应商的平台使用费从同一单位或者个人的账户转出。</w:t>
      </w:r>
    </w:p>
    <w:p>
      <w:pPr>
        <w:pStyle w:val="27"/>
        <w:numPr>
          <w:ilvl w:val="0"/>
          <w:numId w:val="2"/>
        </w:numPr>
        <w:spacing w:line="360" w:lineRule="auto"/>
        <w:ind w:firstLineChars="0"/>
        <w:rPr>
          <w:rFonts w:asciiTheme="minorEastAsia" w:hAnsiTheme="minorEastAsia"/>
          <w:color w:val="auto"/>
          <w:szCs w:val="21"/>
          <w:highlight w:val="none"/>
        </w:rPr>
      </w:pPr>
      <w:r>
        <w:rPr>
          <w:rFonts w:hint="eastAsia" w:asciiTheme="minorEastAsia" w:hAnsiTheme="minorEastAsia"/>
          <w:b/>
          <w:color w:val="auto"/>
          <w:szCs w:val="21"/>
          <w:highlight w:val="none"/>
        </w:rPr>
        <w:t>竞价活动失败</w:t>
      </w:r>
    </w:p>
    <w:p>
      <w:pPr>
        <w:pStyle w:val="27"/>
        <w:numPr>
          <w:ilvl w:val="0"/>
          <w:numId w:val="10"/>
        </w:numPr>
        <w:spacing w:line="360" w:lineRule="auto"/>
        <w:ind w:leftChars="200" w:firstLineChars="0"/>
        <w:rPr>
          <w:rFonts w:asciiTheme="minorEastAsia" w:hAnsiTheme="minorEastAsia"/>
          <w:color w:val="auto"/>
          <w:highlight w:val="none"/>
        </w:rPr>
      </w:pPr>
      <w:r>
        <w:rPr>
          <w:rFonts w:hint="eastAsia" w:asciiTheme="minorEastAsia" w:hAnsiTheme="minorEastAsia"/>
          <w:color w:val="auto"/>
          <w:szCs w:val="21"/>
          <w:highlight w:val="none"/>
        </w:rPr>
        <w:t>出现下列情况的，本次竞价活动失败：</w:t>
      </w:r>
    </w:p>
    <w:p>
      <w:pPr>
        <w:pStyle w:val="27"/>
        <w:widowControl/>
        <w:numPr>
          <w:ilvl w:val="2"/>
          <w:numId w:val="11"/>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报名供应商不足3家；</w:t>
      </w:r>
    </w:p>
    <w:p>
      <w:pPr>
        <w:pStyle w:val="27"/>
        <w:widowControl/>
        <w:numPr>
          <w:ilvl w:val="2"/>
          <w:numId w:val="11"/>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报价供应商不足3家。</w:t>
      </w:r>
    </w:p>
    <w:p>
      <w:pPr>
        <w:pStyle w:val="27"/>
        <w:numPr>
          <w:ilvl w:val="0"/>
          <w:numId w:val="10"/>
        </w:numPr>
        <w:spacing w:line="360" w:lineRule="auto"/>
        <w:ind w:leftChars="200" w:firstLineChars="0"/>
        <w:rPr>
          <w:rFonts w:asciiTheme="minorEastAsia" w:hAnsiTheme="minorEastAsia"/>
          <w:color w:val="auto"/>
          <w:szCs w:val="21"/>
          <w:highlight w:val="none"/>
        </w:rPr>
      </w:pPr>
      <w:r>
        <w:rPr>
          <w:rFonts w:ascii="宋体" w:hAnsi="宋体"/>
          <w:color w:val="auto"/>
          <w:szCs w:val="21"/>
          <w:highlight w:val="none"/>
        </w:rPr>
        <w:t>出现影响采购公正的违法、违规行为的</w:t>
      </w:r>
      <w:r>
        <w:rPr>
          <w:rFonts w:hint="eastAsia" w:ascii="宋体" w:hAnsi="宋体"/>
          <w:color w:val="auto"/>
          <w:szCs w:val="21"/>
          <w:highlight w:val="none"/>
        </w:rPr>
        <w:t>。</w:t>
      </w:r>
    </w:p>
    <w:p>
      <w:pPr>
        <w:pStyle w:val="27"/>
        <w:numPr>
          <w:ilvl w:val="0"/>
          <w:numId w:val="10"/>
        </w:numPr>
        <w:spacing w:line="360" w:lineRule="auto"/>
        <w:ind w:leftChars="200" w:firstLineChars="0"/>
        <w:rPr>
          <w:rFonts w:asciiTheme="minorEastAsia" w:hAnsiTheme="minorEastAsia"/>
          <w:color w:val="auto"/>
          <w:szCs w:val="21"/>
          <w:highlight w:val="none"/>
        </w:rPr>
      </w:pPr>
      <w:r>
        <w:rPr>
          <w:rFonts w:ascii="宋体" w:hAnsi="宋体"/>
          <w:color w:val="auto"/>
          <w:szCs w:val="21"/>
          <w:highlight w:val="none"/>
        </w:rPr>
        <w:t>因重大变故，采购任务取消的</w:t>
      </w:r>
      <w:r>
        <w:rPr>
          <w:rFonts w:hint="eastAsia" w:ascii="宋体" w:hAnsi="宋体"/>
          <w:color w:val="auto"/>
          <w:szCs w:val="21"/>
          <w:highlight w:val="none"/>
        </w:rPr>
        <w:t>。</w:t>
      </w:r>
    </w:p>
    <w:p>
      <w:pPr>
        <w:pStyle w:val="27"/>
        <w:numPr>
          <w:ilvl w:val="0"/>
          <w:numId w:val="2"/>
        </w:numPr>
        <w:spacing w:line="360" w:lineRule="auto"/>
        <w:ind w:firstLineChars="0"/>
        <w:rPr>
          <w:rFonts w:asciiTheme="minorEastAsia" w:hAnsiTheme="minorEastAsia"/>
          <w:b/>
          <w:color w:val="auto"/>
          <w:szCs w:val="21"/>
          <w:highlight w:val="none"/>
        </w:rPr>
      </w:pPr>
      <w:r>
        <w:rPr>
          <w:rFonts w:hint="eastAsia" w:asciiTheme="minorEastAsia" w:hAnsiTheme="minorEastAsia"/>
          <w:b/>
          <w:color w:val="auto"/>
          <w:szCs w:val="21"/>
          <w:highlight w:val="none"/>
        </w:rPr>
        <w:t>使用费</w:t>
      </w:r>
    </w:p>
    <w:p>
      <w:pPr>
        <w:pStyle w:val="27"/>
        <w:numPr>
          <w:ilvl w:val="0"/>
          <w:numId w:val="12"/>
        </w:numPr>
        <w:spacing w:line="360" w:lineRule="auto"/>
        <w:ind w:firstLineChars="0"/>
        <w:rPr>
          <w:rFonts w:asciiTheme="minorEastAsia" w:hAnsiTheme="minorEastAsia"/>
          <w:color w:val="auto"/>
          <w:highlight w:val="none"/>
        </w:rPr>
      </w:pPr>
      <w:r>
        <w:rPr>
          <w:rFonts w:hint="eastAsia" w:asciiTheme="minorEastAsia" w:hAnsiTheme="minorEastAsia"/>
          <w:color w:val="auto"/>
          <w:highlight w:val="none"/>
        </w:rPr>
        <w:t>成交供应商须向平台服务商</w:t>
      </w:r>
      <w:r>
        <w:rPr>
          <w:color w:val="auto"/>
          <w:highlight w:val="none"/>
        </w:rPr>
        <w:t>云</w:t>
      </w:r>
      <w:r>
        <w:rPr>
          <w:rFonts w:hint="eastAsia" w:asciiTheme="minorEastAsia" w:hAnsiTheme="minorEastAsia"/>
          <w:color w:val="auto"/>
          <w:szCs w:val="21"/>
          <w:highlight w:val="none"/>
        </w:rPr>
        <w:t>云采链线上采购一体化平台</w:t>
      </w:r>
      <w:r>
        <w:rPr>
          <w:rFonts w:hint="eastAsia" w:asciiTheme="minorEastAsia" w:hAnsiTheme="minorEastAsia"/>
          <w:color w:val="auto"/>
          <w:highlight w:val="none"/>
        </w:rPr>
        <w:t>缴纳平台使用费，金额为成交金额的1.5%</w:t>
      </w:r>
    </w:p>
    <w:p>
      <w:pPr>
        <w:spacing w:line="360" w:lineRule="auto"/>
        <w:ind w:left="420" w:leftChars="200" w:firstLine="211" w:firstLineChars="100"/>
        <w:rPr>
          <w:rFonts w:asciiTheme="minorEastAsia" w:hAnsiTheme="minorEastAsia"/>
          <w:color w:val="auto"/>
          <w:highlight w:val="none"/>
        </w:rPr>
      </w:pPr>
      <w:r>
        <w:rPr>
          <w:rFonts w:hint="eastAsia" w:asciiTheme="minorEastAsia" w:hAnsiTheme="minorEastAsia"/>
          <w:b/>
          <w:color w:val="auto"/>
          <w:highlight w:val="none"/>
        </w:rPr>
        <w:t>（四舍五入取整数）</w:t>
      </w:r>
      <w:r>
        <w:rPr>
          <w:rFonts w:hint="eastAsia" w:asciiTheme="minorEastAsia" w:hAnsiTheme="minorEastAsia"/>
          <w:b/>
          <w:color w:val="auto"/>
          <w:highlight w:val="none"/>
          <w:lang w:eastAsia="zh-CN"/>
        </w:rPr>
        <w:t>，</w:t>
      </w:r>
      <w:r>
        <w:rPr>
          <w:rFonts w:hint="eastAsia" w:asciiTheme="minorEastAsia" w:hAnsiTheme="minorEastAsia"/>
          <w:b/>
          <w:color w:val="auto"/>
          <w:highlight w:val="none"/>
          <w:lang w:val="en-US" w:eastAsia="zh-CN"/>
        </w:rPr>
        <w:t>不足1000元按1000元收取</w:t>
      </w:r>
      <w:r>
        <w:rPr>
          <w:rFonts w:hint="eastAsia" w:asciiTheme="minorEastAsia" w:hAnsiTheme="minorEastAsia"/>
          <w:color w:val="auto"/>
          <w:highlight w:val="none"/>
        </w:rPr>
        <w:t>。</w:t>
      </w:r>
    </w:p>
    <w:p>
      <w:pPr>
        <w:pStyle w:val="27"/>
        <w:numPr>
          <w:ilvl w:val="0"/>
          <w:numId w:val="12"/>
        </w:numPr>
        <w:spacing w:line="360" w:lineRule="auto"/>
        <w:ind w:firstLineChars="0"/>
        <w:rPr>
          <w:rFonts w:asciiTheme="minorEastAsia" w:hAnsiTheme="minorEastAsia"/>
          <w:color w:val="auto"/>
          <w:highlight w:val="none"/>
        </w:rPr>
      </w:pPr>
      <w:r>
        <w:rPr>
          <w:rFonts w:hint="eastAsia" w:asciiTheme="minorEastAsia" w:hAnsiTheme="minorEastAsia"/>
          <w:color w:val="auto"/>
          <w:highlight w:val="none"/>
        </w:rPr>
        <w:t>成交供应商无正当理由放弃成交资格的必须按竞价公告等相关规定缴纳相应的平台使用费。</w:t>
      </w:r>
    </w:p>
    <w:p>
      <w:pPr>
        <w:pStyle w:val="27"/>
        <w:numPr>
          <w:ilvl w:val="0"/>
          <w:numId w:val="12"/>
        </w:numPr>
        <w:spacing w:line="360" w:lineRule="auto"/>
        <w:ind w:firstLineChars="0"/>
        <w:rPr>
          <w:rFonts w:asciiTheme="minorEastAsia" w:hAnsiTheme="minorEastAsia"/>
          <w:color w:val="auto"/>
          <w:highlight w:val="none"/>
        </w:rPr>
      </w:pPr>
      <w:r>
        <w:rPr>
          <w:rFonts w:hint="eastAsia" w:asciiTheme="minorEastAsia" w:hAnsiTheme="minorEastAsia"/>
          <w:color w:val="auto"/>
          <w:szCs w:val="21"/>
          <w:highlight w:val="none"/>
        </w:rPr>
        <w:t>如确实因不可抗力放弃成交资格的，应在不可抗力发生后三个工作日内予以通知采购代理机构并提</w:t>
      </w:r>
    </w:p>
    <w:p>
      <w:pPr>
        <w:spacing w:line="360" w:lineRule="auto"/>
        <w:ind w:left="420" w:leftChars="200" w:firstLine="210" w:firstLineChars="100"/>
        <w:rPr>
          <w:rFonts w:asciiTheme="minorEastAsia" w:hAnsiTheme="minorEastAsia"/>
          <w:color w:val="auto"/>
          <w:highlight w:val="none"/>
        </w:rPr>
      </w:pPr>
      <w:r>
        <w:rPr>
          <w:rFonts w:hint="eastAsia" w:asciiTheme="minorEastAsia" w:hAnsiTheme="minorEastAsia"/>
          <w:color w:val="auto"/>
          <w:szCs w:val="21"/>
          <w:highlight w:val="none"/>
        </w:rPr>
        <w:t>供相关的证明；如逾期，采购代理机构不予退还平台使用费。</w:t>
      </w:r>
    </w:p>
    <w:p>
      <w:pPr>
        <w:pStyle w:val="27"/>
        <w:widowControl/>
        <w:numPr>
          <w:ilvl w:val="0"/>
          <w:numId w:val="1"/>
        </w:numPr>
        <w:spacing w:line="360" w:lineRule="auto"/>
        <w:ind w:firstLineChars="0"/>
        <w:jc w:val="left"/>
        <w:rPr>
          <w:rFonts w:asciiTheme="minorEastAsia" w:hAnsiTheme="minorEastAsia"/>
          <w:b/>
          <w:color w:val="auto"/>
          <w:highlight w:val="none"/>
        </w:rPr>
      </w:pPr>
      <w:r>
        <w:rPr>
          <w:rFonts w:hint="eastAsia" w:asciiTheme="minorEastAsia" w:hAnsiTheme="minorEastAsia"/>
          <w:b/>
          <w:color w:val="auto"/>
          <w:highlight w:val="none"/>
        </w:rPr>
        <w:t>联系方式</w:t>
      </w:r>
    </w:p>
    <w:p>
      <w:pPr>
        <w:pStyle w:val="27"/>
        <w:widowControl/>
        <w:spacing w:line="360" w:lineRule="auto"/>
        <w:ind w:left="420" w:firstLine="0" w:firstLineChars="0"/>
        <w:jc w:val="left"/>
        <w:rPr>
          <w:rFonts w:asciiTheme="minorEastAsia" w:hAnsiTheme="minorEastAsia"/>
          <w:color w:val="auto"/>
          <w:highlight w:val="none"/>
        </w:rPr>
      </w:pPr>
      <w:r>
        <w:rPr>
          <w:color w:val="auto"/>
          <w:highlight w:val="none"/>
        </w:rPr>
        <w:t>扫码关注微信公众号“云采链互联服务平台”，即可在线咨询相关事项</w:t>
      </w:r>
      <w:r>
        <w:rPr>
          <w:rFonts w:hint="eastAsia" w:asciiTheme="minorEastAsia" w:hAnsiTheme="minorEastAsia"/>
          <w:color w:val="auto"/>
          <w:highlight w:val="none"/>
        </w:rPr>
        <w:t>。</w:t>
      </w:r>
    </w:p>
    <w:p>
      <w:pPr>
        <w:snapToGrid w:val="0"/>
        <w:spacing w:line="360" w:lineRule="auto"/>
        <w:jc w:val="center"/>
        <w:outlineLvl w:val="0"/>
        <w:rPr>
          <w:rFonts w:ascii="宋体" w:hAnsi="宋体" w:eastAsia="宋体"/>
          <w:b/>
          <w:bCs/>
          <w:color w:val="auto"/>
          <w:sz w:val="44"/>
          <w:szCs w:val="44"/>
          <w:highlight w:val="none"/>
        </w:rPr>
      </w:pPr>
      <w:r>
        <w:rPr>
          <w:rFonts w:ascii="宋体" w:hAnsi="宋体" w:eastAsia="宋体"/>
          <w:color w:val="auto"/>
          <w:highlight w:val="none"/>
        </w:rPr>
        <w:drawing>
          <wp:inline distT="0" distB="0" distL="0" distR="0">
            <wp:extent cx="1371600" cy="13716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71600" cy="1371600"/>
                    </a:xfrm>
                    <a:prstGeom prst="rect">
                      <a:avLst/>
                    </a:prstGeom>
                    <a:noFill/>
                    <a:ln>
                      <a:noFill/>
                    </a:ln>
                  </pic:spPr>
                </pic:pic>
              </a:graphicData>
            </a:graphic>
          </wp:inline>
        </w:drawing>
      </w:r>
    </w:p>
    <w:p>
      <w:pPr>
        <w:widowControl/>
        <w:snapToGrid w:val="0"/>
        <w:spacing w:after="156" w:afterLines="50" w:line="360" w:lineRule="auto"/>
        <w:jc w:val="center"/>
        <w:rPr>
          <w:rFonts w:ascii="宋体" w:hAnsi="宋体" w:eastAsia="宋体"/>
          <w:b/>
          <w:bCs/>
          <w:color w:val="auto"/>
          <w:sz w:val="36"/>
          <w:szCs w:val="21"/>
          <w:highlight w:val="none"/>
          <w:shd w:val="clear" w:color="auto" w:fill="FFFFFF"/>
        </w:rPr>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p>
      <w:pPr>
        <w:pStyle w:val="3"/>
        <w:jc w:val="center"/>
        <w:rPr>
          <w:rFonts w:ascii="宋体" w:hAnsi="宋体" w:eastAsia="宋体"/>
          <w:color w:val="auto"/>
          <w:sz w:val="32"/>
          <w:szCs w:val="32"/>
          <w:highlight w:val="none"/>
          <w:shd w:val="clear" w:color="auto" w:fill="FFFFFF"/>
        </w:rPr>
      </w:pPr>
      <w:r>
        <w:rPr>
          <w:rFonts w:hint="eastAsia" w:ascii="宋体" w:hAnsi="宋体" w:eastAsia="宋体"/>
          <w:color w:val="auto"/>
          <w:sz w:val="32"/>
          <w:szCs w:val="32"/>
          <w:highlight w:val="none"/>
          <w:shd w:val="clear" w:color="auto" w:fill="FFFFFF"/>
        </w:rPr>
        <w:t>第二章用户</w:t>
      </w:r>
      <w:r>
        <w:rPr>
          <w:rFonts w:ascii="宋体" w:hAnsi="宋体" w:eastAsia="宋体"/>
          <w:color w:val="auto"/>
          <w:sz w:val="32"/>
          <w:szCs w:val="32"/>
          <w:highlight w:val="none"/>
          <w:shd w:val="clear" w:color="auto" w:fill="FFFFFF"/>
        </w:rPr>
        <w:t>需求书</w:t>
      </w:r>
    </w:p>
    <w:p>
      <w:pPr>
        <w:widowControl/>
        <w:snapToGrid w:val="0"/>
        <w:spacing w:line="360" w:lineRule="auto"/>
        <w:ind w:left="517" w:hanging="517" w:hangingChars="245"/>
        <w:jc w:val="left"/>
        <w:rPr>
          <w:rFonts w:cs="宋体" w:asciiTheme="minorEastAsia" w:hAnsiTheme="minorEastAsia"/>
          <w:b/>
          <w:bCs/>
          <w:color w:val="auto"/>
          <w:kern w:val="0"/>
          <w:szCs w:val="21"/>
          <w:highlight w:val="none"/>
        </w:rPr>
      </w:pPr>
      <w:r>
        <w:rPr>
          <w:rFonts w:hint="eastAsia" w:cs="宋体" w:asciiTheme="minorEastAsia" w:hAnsiTheme="minorEastAsia"/>
          <w:b/>
          <w:bCs/>
          <w:color w:val="auto"/>
          <w:kern w:val="0"/>
          <w:szCs w:val="21"/>
          <w:highlight w:val="none"/>
        </w:rPr>
        <w:t>说明：</w:t>
      </w:r>
    </w:p>
    <w:p>
      <w:pPr>
        <w:widowControl/>
        <w:numPr>
          <w:ilvl w:val="0"/>
          <w:numId w:val="13"/>
        </w:numPr>
        <w:snapToGrid w:val="0"/>
        <w:spacing w:line="360" w:lineRule="auto"/>
        <w:jc w:val="left"/>
        <w:rPr>
          <w:rFonts w:cs="宋体" w:asciiTheme="minorEastAsia" w:hAnsiTheme="minorEastAsia"/>
          <w:color w:val="auto"/>
          <w:kern w:val="0"/>
          <w:szCs w:val="21"/>
          <w:highlight w:val="none"/>
        </w:rPr>
      </w:pPr>
      <w:r>
        <w:rPr>
          <w:rFonts w:hint="eastAsia" w:cs="宋体" w:asciiTheme="minorEastAsia" w:hAnsiTheme="minorEastAsia"/>
          <w:b/>
          <w:bCs/>
          <w:color w:val="auto"/>
          <w:kern w:val="0"/>
          <w:szCs w:val="21"/>
          <w:highlight w:val="none"/>
        </w:rPr>
        <w:t>响应供应商须对本项目的采购内容进行整体响应，任何只对其中一部分采购内容进行的响应都被视为无效响应。</w:t>
      </w:r>
    </w:p>
    <w:p>
      <w:pPr>
        <w:widowControl/>
        <w:numPr>
          <w:ilvl w:val="0"/>
          <w:numId w:val="13"/>
        </w:numPr>
        <w:snapToGrid w:val="0"/>
        <w:spacing w:line="360" w:lineRule="auto"/>
        <w:jc w:val="left"/>
        <w:rPr>
          <w:rFonts w:cs="宋体" w:asciiTheme="minorEastAsia" w:hAnsiTheme="minorEastAsia"/>
          <w:color w:val="auto"/>
          <w:kern w:val="0"/>
          <w:szCs w:val="21"/>
          <w:highlight w:val="none"/>
        </w:rPr>
      </w:pPr>
      <w:r>
        <w:rPr>
          <w:rFonts w:hint="eastAsia" w:cs="宋体" w:asciiTheme="minorEastAsia" w:hAnsiTheme="minorEastAsia"/>
          <w:b/>
          <w:bCs/>
          <w:color w:val="auto"/>
          <w:kern w:val="0"/>
          <w:szCs w:val="21"/>
          <w:highlight w:val="none"/>
        </w:rPr>
        <w:t>单价报价不可超过对应货物的最高单价限价，否则将视为无效报价。</w:t>
      </w:r>
    </w:p>
    <w:p>
      <w:pPr>
        <w:pStyle w:val="27"/>
        <w:numPr>
          <w:ilvl w:val="0"/>
          <w:numId w:val="14"/>
        </w:numPr>
        <w:tabs>
          <w:tab w:val="left" w:pos="426"/>
        </w:tabs>
        <w:spacing w:line="360" w:lineRule="auto"/>
        <w:ind w:firstLineChars="0"/>
        <w:rPr>
          <w:rFonts w:cs="宋体" w:asciiTheme="minorEastAsia" w:hAnsiTheme="minorEastAsia" w:eastAsiaTheme="minorEastAsia"/>
          <w:b/>
          <w:color w:val="auto"/>
          <w:szCs w:val="21"/>
          <w:highlight w:val="none"/>
        </w:rPr>
      </w:pPr>
      <w:r>
        <w:rPr>
          <w:rFonts w:hint="eastAsia" w:cs="微软雅黑" w:asciiTheme="minorEastAsia" w:hAnsiTheme="minorEastAsia" w:eastAsiaTheme="minorEastAsia"/>
          <w:b/>
          <w:color w:val="auto"/>
          <w:szCs w:val="21"/>
          <w:highlight w:val="none"/>
        </w:rPr>
        <w:t>项</w:t>
      </w:r>
      <w:r>
        <w:rPr>
          <w:rFonts w:hint="eastAsia" w:cs="Gulim" w:asciiTheme="minorEastAsia" w:hAnsiTheme="minorEastAsia" w:eastAsiaTheme="minorEastAsia"/>
          <w:b/>
          <w:color w:val="auto"/>
          <w:szCs w:val="21"/>
          <w:highlight w:val="none"/>
        </w:rPr>
        <w:t>目</w:t>
      </w:r>
      <w:r>
        <w:rPr>
          <w:rFonts w:hint="eastAsia" w:cs="宋体" w:asciiTheme="minorEastAsia" w:hAnsiTheme="minorEastAsia" w:eastAsiaTheme="minorEastAsia"/>
          <w:b/>
          <w:color w:val="auto"/>
          <w:szCs w:val="21"/>
          <w:highlight w:val="none"/>
        </w:rPr>
        <w:t>一</w:t>
      </w:r>
      <w:r>
        <w:rPr>
          <w:rFonts w:hint="eastAsia" w:cs="微软雅黑" w:asciiTheme="minorEastAsia" w:hAnsiTheme="minorEastAsia" w:eastAsiaTheme="minorEastAsia"/>
          <w:b/>
          <w:color w:val="auto"/>
          <w:szCs w:val="21"/>
          <w:highlight w:val="none"/>
        </w:rPr>
        <w:t>览</w:t>
      </w:r>
      <w:r>
        <w:rPr>
          <w:rFonts w:hint="eastAsia" w:cs="宋体" w:asciiTheme="minorEastAsia" w:hAnsiTheme="minorEastAsia" w:eastAsiaTheme="minorEastAsia"/>
          <w:b/>
          <w:color w:val="auto"/>
          <w:szCs w:val="21"/>
          <w:highlight w:val="none"/>
        </w:rPr>
        <w:t>表</w:t>
      </w:r>
    </w:p>
    <w:tbl>
      <w:tblPr>
        <w:tblStyle w:val="18"/>
        <w:tblW w:w="95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9"/>
        <w:gridCol w:w="1614"/>
        <w:gridCol w:w="2835"/>
        <w:gridCol w:w="20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2979" w:type="dxa"/>
            <w:shd w:val="clear" w:color="auto" w:fill="EEECE1"/>
            <w:vAlign w:val="center"/>
          </w:tcPr>
          <w:p>
            <w:pPr>
              <w:jc w:val="center"/>
              <w:rPr>
                <w:rFonts w:cs="宋体" w:asciiTheme="minorEastAsia" w:hAnsiTheme="minorEastAsia"/>
                <w:b/>
                <w:color w:val="auto"/>
                <w:szCs w:val="21"/>
                <w:highlight w:val="none"/>
              </w:rPr>
            </w:pPr>
            <w:r>
              <w:rPr>
                <w:rFonts w:hint="eastAsia" w:cs="宋体" w:asciiTheme="minorEastAsia" w:hAnsiTheme="minorEastAsia"/>
                <w:b/>
                <w:color w:val="auto"/>
                <w:szCs w:val="21"/>
                <w:highlight w:val="none"/>
              </w:rPr>
              <w:t>采</w:t>
            </w:r>
            <w:r>
              <w:rPr>
                <w:rFonts w:hint="eastAsia" w:cs="微软雅黑" w:asciiTheme="minorEastAsia" w:hAnsiTheme="minorEastAsia"/>
                <w:b/>
                <w:color w:val="auto"/>
                <w:szCs w:val="21"/>
                <w:highlight w:val="none"/>
              </w:rPr>
              <w:t>购内</w:t>
            </w:r>
            <w:r>
              <w:rPr>
                <w:rFonts w:hint="eastAsia" w:cs="Gulim" w:asciiTheme="minorEastAsia" w:hAnsiTheme="minorEastAsia"/>
                <w:b/>
                <w:color w:val="auto"/>
                <w:szCs w:val="21"/>
                <w:highlight w:val="none"/>
              </w:rPr>
              <w:t>容</w:t>
            </w:r>
          </w:p>
        </w:tc>
        <w:tc>
          <w:tcPr>
            <w:tcW w:w="1614" w:type="dxa"/>
            <w:shd w:val="clear" w:color="auto" w:fill="EEECE1"/>
            <w:vAlign w:val="center"/>
          </w:tcPr>
          <w:p>
            <w:pPr>
              <w:jc w:val="center"/>
              <w:rPr>
                <w:rFonts w:cs="宋体" w:asciiTheme="minorEastAsia" w:hAnsiTheme="minorEastAsia"/>
                <w:b/>
                <w:color w:val="auto"/>
                <w:szCs w:val="21"/>
                <w:highlight w:val="none"/>
              </w:rPr>
            </w:pPr>
            <w:r>
              <w:rPr>
                <w:rFonts w:hint="eastAsia" w:cs="微软雅黑" w:asciiTheme="minorEastAsia" w:hAnsiTheme="minorEastAsia"/>
                <w:b/>
                <w:color w:val="auto"/>
                <w:szCs w:val="21"/>
                <w:highlight w:val="none"/>
              </w:rPr>
              <w:t>数</w:t>
            </w:r>
            <w:r>
              <w:rPr>
                <w:rFonts w:hint="eastAsia" w:cs="Gulim" w:asciiTheme="minorEastAsia" w:hAnsiTheme="minorEastAsia"/>
                <w:b/>
                <w:color w:val="auto"/>
                <w:szCs w:val="21"/>
                <w:highlight w:val="none"/>
              </w:rPr>
              <w:t>量</w:t>
            </w:r>
          </w:p>
        </w:tc>
        <w:tc>
          <w:tcPr>
            <w:tcW w:w="2835" w:type="dxa"/>
            <w:shd w:val="clear" w:color="auto" w:fill="EEECE1"/>
            <w:vAlign w:val="center"/>
          </w:tcPr>
          <w:p>
            <w:pPr>
              <w:jc w:val="center"/>
              <w:rPr>
                <w:rFonts w:cs="宋体" w:asciiTheme="minorEastAsia" w:hAnsiTheme="minorEastAsia"/>
                <w:b/>
                <w:color w:val="auto"/>
                <w:szCs w:val="21"/>
                <w:highlight w:val="none"/>
              </w:rPr>
            </w:pPr>
            <w:r>
              <w:rPr>
                <w:rFonts w:hint="eastAsia" w:cs="宋体" w:asciiTheme="minorEastAsia" w:hAnsiTheme="minorEastAsia"/>
                <w:b/>
                <w:color w:val="auto"/>
                <w:szCs w:val="21"/>
                <w:highlight w:val="none"/>
              </w:rPr>
              <w:t>交</w:t>
            </w:r>
            <w:r>
              <w:rPr>
                <w:rFonts w:hint="eastAsia" w:cs="微软雅黑" w:asciiTheme="minorEastAsia" w:hAnsiTheme="minorEastAsia"/>
                <w:b/>
                <w:color w:val="auto"/>
                <w:szCs w:val="21"/>
                <w:highlight w:val="none"/>
              </w:rPr>
              <w:t>货</w:t>
            </w:r>
            <w:r>
              <w:rPr>
                <w:rFonts w:hint="eastAsia" w:cs="宋体" w:asciiTheme="minorEastAsia" w:hAnsiTheme="minorEastAsia"/>
                <w:b/>
                <w:color w:val="auto"/>
                <w:szCs w:val="21"/>
                <w:highlight w:val="none"/>
              </w:rPr>
              <w:t>期</w:t>
            </w:r>
          </w:p>
        </w:tc>
        <w:tc>
          <w:tcPr>
            <w:tcW w:w="2088" w:type="dxa"/>
            <w:shd w:val="clear" w:color="auto" w:fill="EEECE1"/>
            <w:vAlign w:val="center"/>
          </w:tcPr>
          <w:p>
            <w:pPr>
              <w:jc w:val="center"/>
              <w:rPr>
                <w:rFonts w:cs="宋体" w:asciiTheme="minorEastAsia" w:hAnsiTheme="minorEastAsia"/>
                <w:b/>
                <w:color w:val="auto"/>
                <w:szCs w:val="21"/>
                <w:highlight w:val="none"/>
              </w:rPr>
            </w:pPr>
            <w:r>
              <w:rPr>
                <w:rFonts w:hint="eastAsia" w:cs="微软雅黑" w:asciiTheme="minorEastAsia" w:hAnsiTheme="minorEastAsia"/>
                <w:b/>
                <w:color w:val="auto"/>
                <w:szCs w:val="21"/>
                <w:highlight w:val="none"/>
              </w:rPr>
              <w:t>预</w:t>
            </w:r>
            <w:r>
              <w:rPr>
                <w:rFonts w:hint="eastAsia" w:cs="Gulim" w:asciiTheme="minorEastAsia" w:hAnsiTheme="minorEastAsia"/>
                <w:b/>
                <w:color w:val="auto"/>
                <w:szCs w:val="21"/>
                <w:highlight w:val="none"/>
              </w:rPr>
              <w:t>算金</w:t>
            </w:r>
            <w:r>
              <w:rPr>
                <w:rFonts w:hint="eastAsia" w:cs="微软雅黑" w:asciiTheme="minorEastAsia" w:hAnsiTheme="minorEastAsia"/>
                <w:b/>
                <w:color w:val="auto"/>
                <w:szCs w:val="21"/>
                <w:highlight w:val="none"/>
              </w:rPr>
              <w:t>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59" w:hRule="atLeast"/>
          <w:jc w:val="center"/>
        </w:trPr>
        <w:tc>
          <w:tcPr>
            <w:tcW w:w="2979" w:type="dxa"/>
            <w:vAlign w:val="center"/>
          </w:tcPr>
          <w:p>
            <w:pPr>
              <w:jc w:val="center"/>
              <w:rPr>
                <w:rFonts w:hint="eastAsia" w:asciiTheme="minorEastAsia" w:hAnsiTheme="minorEastAsia" w:eastAsiaTheme="minorEastAsia"/>
                <w:color w:val="auto"/>
                <w:szCs w:val="21"/>
                <w:highlight w:val="none"/>
                <w:lang w:eastAsia="zh-CN"/>
              </w:rPr>
            </w:pPr>
            <w:r>
              <w:rPr>
                <w:rFonts w:hint="eastAsia" w:asciiTheme="minorEastAsia" w:hAnsiTheme="minorEastAsia"/>
                <w:color w:val="auto"/>
                <w:szCs w:val="21"/>
                <w:highlight w:val="none"/>
                <w:lang w:eastAsia="zh-CN"/>
              </w:rPr>
              <w:t>潮州市湘桥区磷溪卫生院医疗设备采购项目</w:t>
            </w:r>
          </w:p>
        </w:tc>
        <w:tc>
          <w:tcPr>
            <w:tcW w:w="1614" w:type="dxa"/>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1批</w:t>
            </w:r>
          </w:p>
        </w:tc>
        <w:tc>
          <w:tcPr>
            <w:tcW w:w="2835" w:type="dxa"/>
            <w:vAlign w:val="center"/>
          </w:tcPr>
          <w:p>
            <w:pPr>
              <w:pStyle w:val="7"/>
              <w:jc w:val="center"/>
              <w:rPr>
                <w:rFonts w:asciiTheme="minorEastAsia" w:hAnsiTheme="minorEastAsia"/>
                <w:color w:val="auto"/>
                <w:szCs w:val="21"/>
                <w:highlight w:val="none"/>
              </w:rPr>
            </w:pPr>
            <w:r>
              <w:rPr>
                <w:rFonts w:hint="eastAsia" w:asciiTheme="minorEastAsia" w:hAnsiTheme="minorEastAsia"/>
                <w:color w:val="auto"/>
                <w:szCs w:val="21"/>
                <w:highlight w:val="none"/>
              </w:rPr>
              <w:t>签订合同后</w:t>
            </w:r>
            <w:r>
              <w:rPr>
                <w:rFonts w:hint="eastAsia" w:asciiTheme="minorEastAsia" w:hAnsiTheme="minorEastAsia"/>
                <w:color w:val="auto"/>
                <w:szCs w:val="21"/>
                <w:highlight w:val="none"/>
                <w:lang w:val="en-US" w:eastAsia="zh-CN"/>
              </w:rPr>
              <w:t>在30</w:t>
            </w:r>
            <w:r>
              <w:rPr>
                <w:rFonts w:hint="eastAsia" w:asciiTheme="minorEastAsia" w:hAnsiTheme="minorEastAsia"/>
                <w:color w:val="auto"/>
                <w:szCs w:val="21"/>
                <w:highlight w:val="none"/>
              </w:rPr>
              <w:t>个日历日内交货</w:t>
            </w:r>
          </w:p>
        </w:tc>
        <w:tc>
          <w:tcPr>
            <w:tcW w:w="2088" w:type="dxa"/>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人民币</w:t>
            </w:r>
            <w:r>
              <w:rPr>
                <w:rFonts w:hint="eastAsia" w:asciiTheme="minorEastAsia" w:hAnsiTheme="minorEastAsia"/>
                <w:color w:val="auto"/>
                <w:szCs w:val="21"/>
                <w:highlight w:val="none"/>
                <w:lang w:val="en-US" w:eastAsia="zh-CN"/>
              </w:rPr>
              <w:t>70</w:t>
            </w:r>
            <w:r>
              <w:rPr>
                <w:rFonts w:hint="eastAsia" w:asciiTheme="minorEastAsia" w:hAnsiTheme="minorEastAsia"/>
                <w:color w:val="auto"/>
                <w:szCs w:val="21"/>
                <w:highlight w:val="none"/>
              </w:rPr>
              <w:t>000元</w:t>
            </w:r>
          </w:p>
        </w:tc>
      </w:tr>
    </w:tbl>
    <w:p>
      <w:pPr>
        <w:pStyle w:val="27"/>
        <w:numPr>
          <w:ilvl w:val="0"/>
          <w:numId w:val="14"/>
        </w:numPr>
        <w:tabs>
          <w:tab w:val="left" w:pos="426"/>
        </w:tabs>
        <w:spacing w:line="360" w:lineRule="auto"/>
        <w:ind w:firstLineChars="0"/>
        <w:rPr>
          <w:rFonts w:cs="微软雅黑" w:asciiTheme="minorEastAsia" w:hAnsiTheme="minorEastAsia" w:eastAsiaTheme="minorEastAsia"/>
          <w:b/>
          <w:color w:val="auto"/>
          <w:szCs w:val="21"/>
          <w:highlight w:val="none"/>
        </w:rPr>
      </w:pPr>
      <w:r>
        <w:rPr>
          <w:rFonts w:hint="eastAsia" w:cs="微软雅黑" w:asciiTheme="minorEastAsia" w:hAnsiTheme="minorEastAsia" w:eastAsiaTheme="minorEastAsia"/>
          <w:b/>
          <w:color w:val="auto"/>
          <w:szCs w:val="21"/>
          <w:highlight w:val="none"/>
          <w:lang w:val="en-US" w:eastAsia="zh-CN"/>
        </w:rPr>
        <w:t>采购清单</w:t>
      </w:r>
    </w:p>
    <w:tbl>
      <w:tblPr>
        <w:tblStyle w:val="19"/>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2745"/>
        <w:gridCol w:w="1926"/>
        <w:gridCol w:w="1644"/>
        <w:gridCol w:w="1221"/>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序号</w:t>
            </w:r>
          </w:p>
        </w:tc>
        <w:tc>
          <w:tcPr>
            <w:tcW w:w="2745"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产品名称</w:t>
            </w:r>
          </w:p>
        </w:tc>
        <w:tc>
          <w:tcPr>
            <w:tcW w:w="1926"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品牌</w:t>
            </w:r>
          </w:p>
        </w:tc>
        <w:tc>
          <w:tcPr>
            <w:tcW w:w="1644"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型号</w:t>
            </w:r>
          </w:p>
        </w:tc>
        <w:tc>
          <w:tcPr>
            <w:tcW w:w="1221"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数量</w:t>
            </w:r>
          </w:p>
        </w:tc>
        <w:tc>
          <w:tcPr>
            <w:tcW w:w="1075"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w:t>
            </w:r>
          </w:p>
        </w:tc>
        <w:tc>
          <w:tcPr>
            <w:tcW w:w="2745"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根尖定位仪</w:t>
            </w:r>
          </w:p>
        </w:tc>
        <w:tc>
          <w:tcPr>
            <w:tcW w:w="1926"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八颗牙</w:t>
            </w:r>
          </w:p>
        </w:tc>
        <w:tc>
          <w:tcPr>
            <w:tcW w:w="1644"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E-PEX</w:t>
            </w:r>
          </w:p>
        </w:tc>
        <w:tc>
          <w:tcPr>
            <w:tcW w:w="1221"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台</w:t>
            </w:r>
          </w:p>
        </w:tc>
        <w:tc>
          <w:tcPr>
            <w:tcW w:w="1075"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w:t>
            </w:r>
          </w:p>
        </w:tc>
        <w:tc>
          <w:tcPr>
            <w:tcW w:w="2745"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根管马达</w:t>
            </w:r>
          </w:p>
        </w:tc>
        <w:tc>
          <w:tcPr>
            <w:tcW w:w="1926"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八颗牙</w:t>
            </w:r>
          </w:p>
        </w:tc>
        <w:tc>
          <w:tcPr>
            <w:tcW w:w="1644"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E-connect</w:t>
            </w: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台</w:t>
            </w:r>
          </w:p>
        </w:tc>
        <w:tc>
          <w:tcPr>
            <w:tcW w:w="1075"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w:t>
            </w:r>
          </w:p>
        </w:tc>
        <w:tc>
          <w:tcPr>
            <w:tcW w:w="2745"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牙科X射线机</w:t>
            </w:r>
          </w:p>
        </w:tc>
        <w:tc>
          <w:tcPr>
            <w:tcW w:w="1926"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八颗牙</w:t>
            </w:r>
          </w:p>
        </w:tc>
        <w:tc>
          <w:tcPr>
            <w:tcW w:w="1644"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HyperLight</w:t>
            </w: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台</w:t>
            </w:r>
          </w:p>
        </w:tc>
        <w:tc>
          <w:tcPr>
            <w:tcW w:w="1075"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4</w:t>
            </w:r>
          </w:p>
        </w:tc>
        <w:tc>
          <w:tcPr>
            <w:tcW w:w="2745"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口腔麻醉助推仪</w:t>
            </w:r>
          </w:p>
        </w:tc>
        <w:tc>
          <w:tcPr>
            <w:tcW w:w="1926"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索感</w:t>
            </w:r>
          </w:p>
        </w:tc>
        <w:tc>
          <w:tcPr>
            <w:tcW w:w="1644"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Smart</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rPr>
              <w:t>Ⅱ</w:t>
            </w: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台</w:t>
            </w:r>
          </w:p>
        </w:tc>
        <w:tc>
          <w:tcPr>
            <w:tcW w:w="1075"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5</w:t>
            </w:r>
          </w:p>
        </w:tc>
        <w:tc>
          <w:tcPr>
            <w:tcW w:w="2745"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牙片宝影像板扫描仪</w:t>
            </w:r>
          </w:p>
        </w:tc>
        <w:tc>
          <w:tcPr>
            <w:tcW w:w="1926"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菲森</w:t>
            </w:r>
          </w:p>
        </w:tc>
        <w:tc>
          <w:tcPr>
            <w:tcW w:w="1644"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F220</w:t>
            </w: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台</w:t>
            </w:r>
          </w:p>
        </w:tc>
        <w:tc>
          <w:tcPr>
            <w:tcW w:w="1075"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w:t>
            </w:r>
          </w:p>
        </w:tc>
      </w:tr>
    </w:tbl>
    <w:p>
      <w:pPr>
        <w:pStyle w:val="27"/>
        <w:numPr>
          <w:ilvl w:val="0"/>
          <w:numId w:val="14"/>
        </w:numPr>
        <w:tabs>
          <w:tab w:val="left" w:pos="426"/>
        </w:tabs>
        <w:spacing w:line="360" w:lineRule="auto"/>
        <w:ind w:firstLineChars="0"/>
        <w:rPr>
          <w:rFonts w:cs="微软雅黑" w:asciiTheme="minorEastAsia" w:hAnsiTheme="minorEastAsia" w:eastAsiaTheme="minorEastAsia"/>
          <w:b/>
          <w:color w:val="auto"/>
          <w:szCs w:val="21"/>
          <w:highlight w:val="none"/>
        </w:rPr>
      </w:pPr>
      <w:r>
        <w:rPr>
          <w:rFonts w:hint="eastAsia" w:cs="微软雅黑" w:asciiTheme="minorEastAsia" w:hAnsiTheme="minorEastAsia" w:eastAsiaTheme="minorEastAsia"/>
          <w:b/>
          <w:color w:val="auto"/>
          <w:szCs w:val="21"/>
          <w:highlight w:val="none"/>
          <w:lang w:val="en-US" w:eastAsia="zh-CN"/>
        </w:rPr>
        <w:t>技术参数</w:t>
      </w:r>
    </w:p>
    <w:p>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一</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b/>
          <w:bCs/>
          <w:sz w:val="21"/>
          <w:szCs w:val="21"/>
        </w:rPr>
        <w:t>根尖定位仪参数    品牌：八颗牙    型号：E-PEX</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主机部分</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 3.5英寸彩色LCD屏幕，图像清晰，彩色指示针清晰指示锉针在根管中的位置;</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1.2基于多频独立网络测量技术，自动校准功能保证根尖定位的准确性;</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1.3唇钩、锉夹均可高温高压消毒，避免交叉感染;</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1.4大容量可充电锂电池，不需要反复更换干电池;</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1.5体积小巧，视角符合临场操作习惯;</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1.6可通过菜单键设置根尖止点，根据操作习惯及临床要求设定，及时提醒测量具体;</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1.7音量可调节，根据患者要求及使用体验调整音量;</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、主要技术参数</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2.1电池:3.7V/1500mAh锂电池;</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2.2电源适配器: AC100-240V 5.5VA 50Hz/60Hz;</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2.3功率:0.4A</w:t>
      </w:r>
      <w:r>
        <w:rPr>
          <w:rFonts w:hint="eastAsia" w:asciiTheme="minorEastAsia" w:hAnsiTheme="minorEastAsia" w:cstheme="minorEastAsia"/>
          <w:sz w:val="21"/>
          <w:szCs w:val="21"/>
          <w:lang w:eastAsia="zh-CN"/>
        </w:rPr>
        <w:t>；</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2.4保护程度:IPX 0</w:t>
      </w:r>
      <w:r>
        <w:rPr>
          <w:rFonts w:hint="eastAsia" w:asciiTheme="minorEastAsia" w:hAnsiTheme="minorEastAsia" w:cstheme="minorEastAsia"/>
          <w:sz w:val="21"/>
          <w:szCs w:val="21"/>
          <w:lang w:eastAsia="zh-CN"/>
        </w:rPr>
        <w:t>；</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2.5电气安全等级:第二级</w:t>
      </w:r>
      <w:r>
        <w:rPr>
          <w:rFonts w:hint="eastAsia" w:asciiTheme="minorEastAsia" w:hAnsiTheme="minorEastAsia" w:cstheme="minorEastAsia"/>
          <w:sz w:val="21"/>
          <w:szCs w:val="21"/>
          <w:lang w:eastAsia="zh-CN"/>
        </w:rPr>
        <w:t>；</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2.6显示:3.5英寸LCD屏</w:t>
      </w:r>
      <w:r>
        <w:rPr>
          <w:rFonts w:hint="eastAsia" w:asciiTheme="minorEastAsia" w:hAnsiTheme="minorEastAsia" w:cstheme="minorEastAsia"/>
          <w:sz w:val="21"/>
          <w:szCs w:val="21"/>
          <w:lang w:eastAsia="zh-CN"/>
        </w:rPr>
        <w:t>；</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2.7声响提示:根管针在距离根尖小于2mm时会有报警声提示</w:t>
      </w:r>
      <w:r>
        <w:rPr>
          <w:rFonts w:hint="eastAsia" w:asciiTheme="minorEastAsia" w:hAnsiTheme="minorEastAsia" w:cstheme="minorEastAsia"/>
          <w:sz w:val="21"/>
          <w:szCs w:val="21"/>
          <w:lang w:eastAsia="zh-CN"/>
        </w:rPr>
        <w:t>；</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、配置清单</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主机1台</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测量线1根</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锉夹2根</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唇挂钩2个</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电源适配器1个</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测试器1个</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使用说明书1本</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保修卡1份</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装箱清单1份</w:t>
      </w:r>
    </w:p>
    <w:p>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cstheme="minorEastAsia"/>
          <w:b/>
          <w:bCs/>
          <w:sz w:val="21"/>
          <w:szCs w:val="21"/>
          <w:lang w:eastAsia="zh-CN"/>
        </w:rPr>
        <w:t>（</w:t>
      </w:r>
      <w:r>
        <w:rPr>
          <w:rFonts w:hint="eastAsia" w:asciiTheme="minorEastAsia" w:hAnsiTheme="minorEastAsia" w:cstheme="minorEastAsia"/>
          <w:b/>
          <w:bCs/>
          <w:sz w:val="21"/>
          <w:szCs w:val="21"/>
          <w:lang w:val="en-US" w:eastAsia="zh-CN"/>
        </w:rPr>
        <w:t>二</w:t>
      </w:r>
      <w:r>
        <w:rPr>
          <w:rFonts w:hint="eastAsia" w:asciiTheme="minorEastAsia" w:hAnsiTheme="minorEastAsia" w:cstheme="minorEastAsia"/>
          <w:b/>
          <w:bCs/>
          <w:sz w:val="21"/>
          <w:szCs w:val="21"/>
          <w:lang w:eastAsia="zh-CN"/>
        </w:rPr>
        <w:t>）</w:t>
      </w:r>
      <w:r>
        <w:rPr>
          <w:rFonts w:hint="eastAsia" w:asciiTheme="minorEastAsia" w:hAnsiTheme="minorEastAsia" w:eastAsiaTheme="minorEastAsia" w:cstheme="minorEastAsia"/>
          <w:b/>
          <w:bCs/>
          <w:sz w:val="21"/>
          <w:szCs w:val="21"/>
        </w:rPr>
        <w:t>根管马达  参数     品牌：八颗牙   型号：E-connect</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、主机部分</w:t>
      </w:r>
      <w:r>
        <w:rPr>
          <w:rFonts w:hint="eastAsia" w:asciiTheme="minorEastAsia" w:hAnsiTheme="minorEastAsia" w:cstheme="minorEastAsia"/>
          <w:sz w:val="21"/>
          <w:szCs w:val="21"/>
          <w:lang w:eastAsia="zh-CN"/>
        </w:rPr>
        <w:t>；</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1.1内置6个可供医生自行设置的程序</w:t>
      </w:r>
      <w:r>
        <w:rPr>
          <w:rFonts w:hint="eastAsia" w:asciiTheme="minorEastAsia" w:hAnsiTheme="minorEastAsia" w:cstheme="minorEastAsia"/>
          <w:sz w:val="21"/>
          <w:szCs w:val="21"/>
          <w:lang w:eastAsia="zh-CN"/>
        </w:rPr>
        <w:t>；</w:t>
      </w:r>
    </w:p>
    <w:p>
      <w:pPr>
        <w:spacing w:line="360" w:lineRule="auto"/>
        <w:rPr>
          <w:rFonts w:hint="eastAsia" w:asciiTheme="minorEastAsia" w:hAnsiTheme="minorEastAsia" w:cstheme="minorEastAsia"/>
          <w:sz w:val="21"/>
          <w:szCs w:val="21"/>
          <w:lang w:eastAsia="zh-CN"/>
        </w:rPr>
      </w:pPr>
      <w:r>
        <w:rPr>
          <w:rFonts w:hint="eastAsia" w:asciiTheme="minorEastAsia" w:hAnsiTheme="minorEastAsia" w:eastAsiaTheme="minorEastAsia" w:cstheme="minorEastAsia"/>
          <w:sz w:val="21"/>
          <w:szCs w:val="21"/>
        </w:rPr>
        <w:t>1.2在1.0Ncm - 4.0Ncm的扭矩范围内，可设置有7个微调扭矩值</w:t>
      </w:r>
      <w:r>
        <w:rPr>
          <w:rFonts w:hint="eastAsia" w:asciiTheme="minorEastAsia" w:hAnsiTheme="minorEastAsia" w:cstheme="minorEastAsia"/>
          <w:sz w:val="21"/>
          <w:szCs w:val="21"/>
          <w:lang w:eastAsia="zh-CN"/>
        </w:rPr>
        <w:t>；</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1.3动态扭矩实时监控，OLED操作屏幕上能够实时显示工作时的扭矩值大小</w:t>
      </w:r>
      <w:r>
        <w:rPr>
          <w:rFonts w:hint="eastAsia" w:asciiTheme="minorEastAsia" w:hAnsiTheme="minorEastAsia" w:cstheme="minorEastAsia"/>
          <w:sz w:val="21"/>
          <w:szCs w:val="21"/>
          <w:lang w:eastAsia="zh-CN"/>
        </w:rPr>
        <w:t>；</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1.4遇阻回旋功能，防止断针。当工作时扭力达到预设的扭力值，马达自动反转，当工作扭力降到预设扭力值70%以下继续正转工作</w:t>
      </w:r>
      <w:r>
        <w:rPr>
          <w:rFonts w:hint="eastAsia" w:asciiTheme="minorEastAsia" w:hAnsiTheme="minorEastAsia" w:cstheme="minorEastAsia"/>
          <w:sz w:val="21"/>
          <w:szCs w:val="21"/>
          <w:lang w:eastAsia="zh-CN"/>
        </w:rPr>
        <w:t>；</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1.5转速可以调节区间120 rpm—650rpm，参数适配市面上大部分锉</w:t>
      </w:r>
      <w:r>
        <w:rPr>
          <w:rFonts w:hint="eastAsia" w:asciiTheme="minorEastAsia" w:hAnsiTheme="minorEastAsia" w:cstheme="minorEastAsia"/>
          <w:sz w:val="21"/>
          <w:szCs w:val="21"/>
          <w:lang w:eastAsia="zh-CN"/>
        </w:rPr>
        <w:t>；</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1.6工作模式包含:正反转模式，往复旋转模式</w:t>
      </w:r>
      <w:r>
        <w:rPr>
          <w:rFonts w:hint="eastAsia" w:asciiTheme="minorEastAsia" w:hAnsiTheme="minorEastAsia" w:cstheme="minorEastAsia"/>
          <w:sz w:val="21"/>
          <w:szCs w:val="21"/>
          <w:lang w:eastAsia="zh-CN"/>
        </w:rPr>
        <w:t>；</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1.7高级功能:音量可调、屏幕可根据左右手使用习惯调整、自动关机、自动回到待机界面</w:t>
      </w:r>
      <w:r>
        <w:rPr>
          <w:rFonts w:hint="eastAsia" w:asciiTheme="minorEastAsia" w:hAnsiTheme="minorEastAsia" w:cstheme="minorEastAsia"/>
          <w:sz w:val="21"/>
          <w:szCs w:val="21"/>
          <w:lang w:eastAsia="zh-CN"/>
        </w:rPr>
        <w:t>；</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1.8自动校准功能，可以校准弯机头的转速扭矩参数</w:t>
      </w:r>
      <w:r>
        <w:rPr>
          <w:rFonts w:hint="eastAsia" w:asciiTheme="minorEastAsia" w:hAnsiTheme="minorEastAsia" w:cstheme="minorEastAsia"/>
          <w:sz w:val="21"/>
          <w:szCs w:val="21"/>
          <w:lang w:eastAsia="zh-CN"/>
        </w:rPr>
        <w:t>；</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1.9适用于往复旋转和360度旋转的镍钛根管预备器械系统，内置250/30 : 210/30: 180/30 : 150/30 : 30/150多组往复旋转角度数据，并且参数可调整适用于Reciproc、Waveone、Mtwo、Protaper等系统</w:t>
      </w:r>
      <w:r>
        <w:rPr>
          <w:rFonts w:hint="eastAsia" w:asciiTheme="minorEastAsia" w:hAnsiTheme="minorEastAsia" w:cstheme="minorEastAsia"/>
          <w:sz w:val="21"/>
          <w:szCs w:val="21"/>
          <w:lang w:eastAsia="zh-CN"/>
        </w:rPr>
        <w:t>；</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1.10可重新设定设备出厂时内部存储的数据</w:t>
      </w:r>
      <w:r>
        <w:rPr>
          <w:rFonts w:hint="eastAsia" w:asciiTheme="minorEastAsia" w:hAnsiTheme="minorEastAsia" w:cstheme="minorEastAsia"/>
          <w:sz w:val="21"/>
          <w:szCs w:val="21"/>
          <w:lang w:eastAsia="zh-CN"/>
        </w:rPr>
        <w:t>；</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1.11内置充电电池，锂电池1500mAh，DC3.7V 额定频率50/60.赫兹，输入功率5.5VA。充电4小时、可连续稳定工作4小时以上</w:t>
      </w:r>
      <w:r>
        <w:rPr>
          <w:rFonts w:hint="eastAsia" w:asciiTheme="minorEastAsia" w:hAnsiTheme="minorEastAsia" w:cstheme="minorEastAsia"/>
          <w:sz w:val="21"/>
          <w:szCs w:val="21"/>
          <w:lang w:eastAsia="zh-CN"/>
        </w:rPr>
        <w:t>；</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1.12无线根管马达，按键启动关闭，操作简便</w:t>
      </w:r>
      <w:r>
        <w:rPr>
          <w:rFonts w:hint="eastAsia" w:asciiTheme="minorEastAsia" w:hAnsiTheme="minorEastAsia" w:cstheme="minorEastAsia"/>
          <w:sz w:val="21"/>
          <w:szCs w:val="21"/>
          <w:lang w:eastAsia="zh-CN"/>
        </w:rPr>
        <w:t>；</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1.13一体化高精度1:1弯机头，机头可340°旋转</w:t>
      </w:r>
      <w:r>
        <w:rPr>
          <w:rFonts w:hint="eastAsia" w:asciiTheme="minorEastAsia" w:hAnsiTheme="minorEastAsia" w:cstheme="minorEastAsia"/>
          <w:sz w:val="21"/>
          <w:szCs w:val="21"/>
          <w:lang w:eastAsia="zh-CN"/>
        </w:rPr>
        <w:t>；</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1.14弯机头消毒灭菌简便，机头注油保养</w:t>
      </w:r>
      <w:r>
        <w:rPr>
          <w:rFonts w:hint="eastAsia" w:asciiTheme="minorEastAsia" w:hAnsiTheme="minorEastAsia" w:cstheme="minorEastAsia"/>
          <w:sz w:val="21"/>
          <w:szCs w:val="21"/>
          <w:lang w:eastAsia="zh-CN"/>
        </w:rPr>
        <w:t>；</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1.15整机</w:t>
      </w:r>
      <w:r>
        <w:rPr>
          <w:rFonts w:hint="eastAsia" w:asciiTheme="minorEastAsia" w:hAnsiTheme="minorEastAsia" w:cstheme="minorEastAsia"/>
          <w:sz w:val="21"/>
          <w:szCs w:val="21"/>
          <w:lang w:val="en-US" w:eastAsia="zh-CN"/>
        </w:rPr>
        <w:t>一</w:t>
      </w:r>
      <w:bookmarkStart w:id="2" w:name="_GoBack"/>
      <w:bookmarkEnd w:id="2"/>
      <w:r>
        <w:rPr>
          <w:rFonts w:hint="eastAsia" w:asciiTheme="minorEastAsia" w:hAnsiTheme="minorEastAsia" w:eastAsiaTheme="minorEastAsia" w:cstheme="minorEastAsia"/>
          <w:sz w:val="21"/>
          <w:szCs w:val="21"/>
        </w:rPr>
        <w:t>年质保</w:t>
      </w:r>
      <w:r>
        <w:rPr>
          <w:rFonts w:hint="eastAsia" w:asciiTheme="minorEastAsia" w:hAnsiTheme="minorEastAsia" w:cstheme="minorEastAsia"/>
          <w:sz w:val="21"/>
          <w:szCs w:val="21"/>
          <w:lang w:eastAsia="zh-CN"/>
        </w:rPr>
        <w:t>；</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1.16环境条件:15°℃~35℃，相对湿度&lt;80%,0°℃时无冷凝海拔高度&lt;2000m</w:t>
      </w:r>
      <w:r>
        <w:rPr>
          <w:rFonts w:hint="eastAsia" w:asciiTheme="minorEastAsia" w:hAnsiTheme="minorEastAsia" w:cstheme="minorEastAsia"/>
          <w:sz w:val="21"/>
          <w:szCs w:val="21"/>
          <w:lang w:eastAsia="zh-CN"/>
        </w:rPr>
        <w:t>。</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、配置清单</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主机 1台</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弯机头 1个</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底座 1个</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注油嘴 1个</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电源适配器 1个</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使用说明书 1本</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保修卡 1份</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装箱清单 1份</w:t>
      </w:r>
    </w:p>
    <w:p>
      <w:pPr>
        <w:spacing w:line="0" w:lineRule="atLeast"/>
        <w:rPr>
          <w:rFonts w:hint="eastAsia" w:asciiTheme="minorEastAsia" w:hAnsiTheme="minorEastAsia" w:eastAsiaTheme="minorEastAsia" w:cstheme="minorEastAsia"/>
          <w:b/>
          <w:bCs/>
          <w:sz w:val="21"/>
          <w:szCs w:val="21"/>
        </w:rPr>
      </w:pPr>
      <w:r>
        <w:rPr>
          <w:rFonts w:hint="eastAsia" w:asciiTheme="minorEastAsia" w:hAnsiTheme="minorEastAsia" w:cstheme="minorEastAsia"/>
          <w:b/>
          <w:bCs/>
          <w:sz w:val="21"/>
          <w:szCs w:val="21"/>
          <w:lang w:eastAsia="zh-CN"/>
        </w:rPr>
        <w:t>（</w:t>
      </w:r>
      <w:r>
        <w:rPr>
          <w:rFonts w:hint="eastAsia" w:asciiTheme="minorEastAsia" w:hAnsiTheme="minorEastAsia" w:cstheme="minorEastAsia"/>
          <w:b/>
          <w:bCs/>
          <w:sz w:val="21"/>
          <w:szCs w:val="21"/>
          <w:lang w:val="en-US" w:eastAsia="zh-CN"/>
        </w:rPr>
        <w:t>三</w:t>
      </w:r>
      <w:r>
        <w:rPr>
          <w:rFonts w:hint="eastAsia" w:asciiTheme="minorEastAsia" w:hAnsiTheme="minorEastAsia" w:cstheme="minorEastAsia"/>
          <w:b/>
          <w:bCs/>
          <w:sz w:val="21"/>
          <w:szCs w:val="21"/>
          <w:lang w:eastAsia="zh-CN"/>
        </w:rPr>
        <w:t>）</w:t>
      </w:r>
      <w:r>
        <w:rPr>
          <w:rFonts w:hint="eastAsia" w:asciiTheme="minorEastAsia" w:hAnsiTheme="minorEastAsia" w:eastAsiaTheme="minorEastAsia" w:cstheme="minorEastAsia"/>
          <w:b/>
          <w:bCs/>
          <w:sz w:val="21"/>
          <w:szCs w:val="21"/>
        </w:rPr>
        <w:t>牙科X射线机参数    品牌：八颗牙   型号：HyperLight</w:t>
      </w:r>
    </w:p>
    <w:p>
      <w:pPr>
        <w:pStyle w:val="27"/>
        <w:numPr>
          <w:ilvl w:val="0"/>
          <w:numId w:val="15"/>
        </w:numPr>
        <w:spacing w:line="0" w:lineRule="atLeast"/>
        <w:ind w:left="284" w:hanging="284"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整机性能参数</w:t>
      </w:r>
    </w:p>
    <w:tbl>
      <w:tblPr>
        <w:tblStyle w:val="18"/>
        <w:tblW w:w="8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gridCol w:w="5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5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制造商</w:t>
            </w:r>
          </w:p>
        </w:tc>
        <w:tc>
          <w:tcPr>
            <w:tcW w:w="50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常州赛乐医疗技术有限公司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5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型号</w:t>
            </w:r>
          </w:p>
        </w:tc>
        <w:tc>
          <w:tcPr>
            <w:tcW w:w="50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HyperLight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5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内部电源</w:t>
            </w:r>
          </w:p>
        </w:tc>
        <w:tc>
          <w:tcPr>
            <w:tcW w:w="50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锂电池:14.8V，2500mAh，±10%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5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适配器输入</w:t>
            </w:r>
          </w:p>
        </w:tc>
        <w:tc>
          <w:tcPr>
            <w:tcW w:w="50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单相，AC100～240V，±1%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5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适配器输出</w:t>
            </w:r>
          </w:p>
        </w:tc>
        <w:tc>
          <w:tcPr>
            <w:tcW w:w="50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24V 1.5A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5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额定频率</w:t>
            </w:r>
          </w:p>
        </w:tc>
        <w:tc>
          <w:tcPr>
            <w:tcW w:w="50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50/60Hz，±1Hz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5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输入功率</w:t>
            </w:r>
          </w:p>
        </w:tc>
        <w:tc>
          <w:tcPr>
            <w:tcW w:w="50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电源电阻</w:t>
            </w:r>
          </w:p>
        </w:tc>
        <w:tc>
          <w:tcPr>
            <w:tcW w:w="50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5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射线类型</w:t>
            </w:r>
          </w:p>
        </w:tc>
        <w:tc>
          <w:tcPr>
            <w:tcW w:w="50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X射线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5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剂量率</w:t>
            </w:r>
          </w:p>
        </w:tc>
        <w:tc>
          <w:tcPr>
            <w:tcW w:w="50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3mGy/sec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5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X射线管型号</w:t>
            </w:r>
          </w:p>
        </w:tc>
        <w:tc>
          <w:tcPr>
            <w:tcW w:w="50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KL11-0.4-70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5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X射线管电压</w:t>
            </w:r>
          </w:p>
        </w:tc>
        <w:tc>
          <w:tcPr>
            <w:tcW w:w="50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65kV(±10%)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5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X射线管电流</w:t>
            </w:r>
          </w:p>
        </w:tc>
        <w:tc>
          <w:tcPr>
            <w:tcW w:w="50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2.5mA(±20%)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5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加载时间调节范围</w:t>
            </w:r>
          </w:p>
        </w:tc>
        <w:tc>
          <w:tcPr>
            <w:tcW w:w="50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0.02-2.00s,±(10%+1ms)调节方式按R10系数选择。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5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标称电功率</w:t>
            </w:r>
          </w:p>
        </w:tc>
        <w:tc>
          <w:tcPr>
            <w:tcW w:w="50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0.163kW(65kV、2.5mA、0.10s)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5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导致最大输出电功率加载因素组合</w:t>
            </w:r>
          </w:p>
        </w:tc>
        <w:tc>
          <w:tcPr>
            <w:tcW w:w="50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65kV和2.5mA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5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附加滤过</w:t>
            </w:r>
          </w:p>
        </w:tc>
        <w:tc>
          <w:tcPr>
            <w:tcW w:w="50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1mmA1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5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总滤过</w:t>
            </w:r>
          </w:p>
        </w:tc>
        <w:tc>
          <w:tcPr>
            <w:tcW w:w="50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1.8mmA1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5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半价层</w:t>
            </w:r>
          </w:p>
        </w:tc>
        <w:tc>
          <w:tcPr>
            <w:tcW w:w="50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≥1.6mmA1(65kV)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5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负载循环</w:t>
            </w:r>
          </w:p>
        </w:tc>
        <w:tc>
          <w:tcPr>
            <w:tcW w:w="50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5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焦点至皮肤距离</w:t>
            </w:r>
          </w:p>
        </w:tc>
        <w:tc>
          <w:tcPr>
            <w:tcW w:w="50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20.5cm±0.5cm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X射线野</w:t>
            </w:r>
          </w:p>
        </w:tc>
        <w:tc>
          <w:tcPr>
            <w:tcW w:w="50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圆形，Φ5.7cm±0.3cm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5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表面泄露辐射</w:t>
            </w:r>
          </w:p>
        </w:tc>
        <w:tc>
          <w:tcPr>
            <w:tcW w:w="50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≤0.25mGy/h(65kV、2.5mA、2s，加载间隔 2s/60s)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5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防电击类型分类</w:t>
            </w:r>
          </w:p>
        </w:tc>
        <w:tc>
          <w:tcPr>
            <w:tcW w:w="50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充电时为Ⅱ类设备，工作时为内部电源供电设备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5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最大加载因素组合值</w:t>
            </w:r>
          </w:p>
        </w:tc>
        <w:tc>
          <w:tcPr>
            <w:tcW w:w="50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65kV、2.5mA、2.00s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5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防电击程度分类</w:t>
            </w:r>
          </w:p>
        </w:tc>
        <w:tc>
          <w:tcPr>
            <w:tcW w:w="50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B型应用部分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5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防进液程度分类</w:t>
            </w:r>
          </w:p>
        </w:tc>
        <w:tc>
          <w:tcPr>
            <w:tcW w:w="50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IPX0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5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AP/APG型设备</w:t>
            </w:r>
          </w:p>
        </w:tc>
        <w:tc>
          <w:tcPr>
            <w:tcW w:w="50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非AP/APG型设备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5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防除颤应用部分</w:t>
            </w:r>
          </w:p>
        </w:tc>
        <w:tc>
          <w:tcPr>
            <w:tcW w:w="50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5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运行模式</w:t>
            </w:r>
          </w:p>
        </w:tc>
        <w:tc>
          <w:tcPr>
            <w:tcW w:w="50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间歇运行，工作2s/停60s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5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使用环境条件</w:t>
            </w:r>
          </w:p>
        </w:tc>
        <w:tc>
          <w:tcPr>
            <w:tcW w:w="50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环境温度:10℃～40℃                                                       相对湿度:30%～75%                                                             大气压力:700hPa～1060hPa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5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ind w:right="-21" w:rightChars="-10"/>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运输和贮存条件</w:t>
            </w:r>
          </w:p>
        </w:tc>
        <w:tc>
          <w:tcPr>
            <w:tcW w:w="50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环境温度:-20℃～+55℃</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相对湿度:20%～80%                                                            大气压力:70KPa～106KPa</w:t>
            </w:r>
          </w:p>
        </w:tc>
      </w:tr>
    </w:tbl>
    <w:p>
      <w:pPr>
        <w:pStyle w:val="27"/>
        <w:numPr>
          <w:ilvl w:val="0"/>
          <w:numId w:val="15"/>
        </w:numPr>
        <w:spacing w:line="0" w:lineRule="atLeast"/>
        <w:ind w:left="142" w:hanging="142"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X射线管性能参数</w:t>
      </w:r>
    </w:p>
    <w:tbl>
      <w:tblPr>
        <w:tblStyle w:val="18"/>
        <w:tblW w:w="8606" w:type="dxa"/>
        <w:jc w:val="center"/>
        <w:tblLayout w:type="autofit"/>
        <w:tblCellMar>
          <w:top w:w="0" w:type="dxa"/>
          <w:left w:w="108" w:type="dxa"/>
          <w:bottom w:w="0" w:type="dxa"/>
          <w:right w:w="108" w:type="dxa"/>
        </w:tblCellMar>
      </w:tblPr>
      <w:tblGrid>
        <w:gridCol w:w="3539"/>
        <w:gridCol w:w="5067"/>
      </w:tblGrid>
      <w:tr>
        <w:tblPrEx>
          <w:tblCellMar>
            <w:top w:w="0" w:type="dxa"/>
            <w:left w:w="108" w:type="dxa"/>
            <w:bottom w:w="0" w:type="dxa"/>
            <w:right w:w="108" w:type="dxa"/>
          </w:tblCellMar>
        </w:tblPrEx>
        <w:trPr>
          <w:trHeight w:val="270" w:hRule="atLeast"/>
          <w:jc w:val="center"/>
        </w:trPr>
        <w:tc>
          <w:tcPr>
            <w:tcW w:w="35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灯丝电压</w:t>
            </w:r>
          </w:p>
        </w:tc>
        <w:tc>
          <w:tcPr>
            <w:tcW w:w="506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2.8-3.4V</w:t>
            </w:r>
          </w:p>
        </w:tc>
      </w:tr>
      <w:tr>
        <w:tblPrEx>
          <w:tblCellMar>
            <w:top w:w="0" w:type="dxa"/>
            <w:left w:w="108" w:type="dxa"/>
            <w:bottom w:w="0" w:type="dxa"/>
            <w:right w:w="108" w:type="dxa"/>
          </w:tblCellMar>
        </w:tblPrEx>
        <w:trPr>
          <w:trHeight w:val="270" w:hRule="atLeast"/>
          <w:jc w:val="center"/>
        </w:trPr>
        <w:tc>
          <w:tcPr>
            <w:tcW w:w="353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最大灯丝电流</w:t>
            </w:r>
          </w:p>
        </w:tc>
        <w:tc>
          <w:tcPr>
            <w:tcW w:w="50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3A</w:t>
            </w:r>
          </w:p>
        </w:tc>
      </w:tr>
      <w:tr>
        <w:tblPrEx>
          <w:tblCellMar>
            <w:top w:w="0" w:type="dxa"/>
            <w:left w:w="108" w:type="dxa"/>
            <w:bottom w:w="0" w:type="dxa"/>
            <w:right w:w="108" w:type="dxa"/>
          </w:tblCellMar>
        </w:tblPrEx>
        <w:trPr>
          <w:trHeight w:val="270" w:hRule="atLeast"/>
          <w:jc w:val="center"/>
        </w:trPr>
        <w:tc>
          <w:tcPr>
            <w:tcW w:w="353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标称电压</w:t>
            </w:r>
          </w:p>
        </w:tc>
        <w:tc>
          <w:tcPr>
            <w:tcW w:w="50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70kV</w:t>
            </w:r>
          </w:p>
        </w:tc>
      </w:tr>
      <w:tr>
        <w:tblPrEx>
          <w:tblCellMar>
            <w:top w:w="0" w:type="dxa"/>
            <w:left w:w="108" w:type="dxa"/>
            <w:bottom w:w="0" w:type="dxa"/>
            <w:right w:w="108" w:type="dxa"/>
          </w:tblCellMar>
        </w:tblPrEx>
        <w:trPr>
          <w:trHeight w:val="270" w:hRule="atLeast"/>
          <w:jc w:val="center"/>
        </w:trPr>
        <w:tc>
          <w:tcPr>
            <w:tcW w:w="353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阳极热容量</w:t>
            </w:r>
          </w:p>
        </w:tc>
        <w:tc>
          <w:tcPr>
            <w:tcW w:w="50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4500J</w:t>
            </w:r>
          </w:p>
        </w:tc>
      </w:tr>
      <w:tr>
        <w:tblPrEx>
          <w:tblCellMar>
            <w:top w:w="0" w:type="dxa"/>
            <w:left w:w="108" w:type="dxa"/>
            <w:bottom w:w="0" w:type="dxa"/>
            <w:right w:w="108" w:type="dxa"/>
          </w:tblCellMar>
        </w:tblPrEx>
        <w:trPr>
          <w:trHeight w:val="270" w:hRule="atLeast"/>
          <w:jc w:val="center"/>
        </w:trPr>
        <w:tc>
          <w:tcPr>
            <w:tcW w:w="353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阳极标称输入功率(在0.1秒时)</w:t>
            </w:r>
          </w:p>
        </w:tc>
        <w:tc>
          <w:tcPr>
            <w:tcW w:w="506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600W</w:t>
            </w:r>
          </w:p>
        </w:tc>
      </w:tr>
      <w:tr>
        <w:tblPrEx>
          <w:tblCellMar>
            <w:top w:w="0" w:type="dxa"/>
            <w:left w:w="108" w:type="dxa"/>
            <w:bottom w:w="0" w:type="dxa"/>
            <w:right w:w="108" w:type="dxa"/>
          </w:tblCellMar>
        </w:tblPrEx>
        <w:trPr>
          <w:trHeight w:val="270" w:hRule="atLeast"/>
          <w:jc w:val="center"/>
        </w:trPr>
        <w:tc>
          <w:tcPr>
            <w:tcW w:w="353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最大阳极散热率</w:t>
            </w:r>
          </w:p>
        </w:tc>
        <w:tc>
          <w:tcPr>
            <w:tcW w:w="50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110W</w:t>
            </w:r>
          </w:p>
        </w:tc>
      </w:tr>
      <w:tr>
        <w:tblPrEx>
          <w:tblCellMar>
            <w:top w:w="0" w:type="dxa"/>
            <w:left w:w="108" w:type="dxa"/>
            <w:bottom w:w="0" w:type="dxa"/>
            <w:right w:w="108" w:type="dxa"/>
          </w:tblCellMar>
        </w:tblPrEx>
        <w:trPr>
          <w:trHeight w:val="270" w:hRule="atLeast"/>
          <w:jc w:val="center"/>
        </w:trPr>
        <w:tc>
          <w:tcPr>
            <w:tcW w:w="353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靶材</w:t>
            </w:r>
          </w:p>
        </w:tc>
        <w:tc>
          <w:tcPr>
            <w:tcW w:w="50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钨</w:t>
            </w:r>
          </w:p>
        </w:tc>
      </w:tr>
      <w:tr>
        <w:tblPrEx>
          <w:tblCellMar>
            <w:top w:w="0" w:type="dxa"/>
            <w:left w:w="108" w:type="dxa"/>
            <w:bottom w:w="0" w:type="dxa"/>
            <w:right w:w="108" w:type="dxa"/>
          </w:tblCellMar>
        </w:tblPrEx>
        <w:trPr>
          <w:trHeight w:val="270" w:hRule="atLeast"/>
          <w:jc w:val="center"/>
        </w:trPr>
        <w:tc>
          <w:tcPr>
            <w:tcW w:w="353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靶角</w:t>
            </w:r>
          </w:p>
        </w:tc>
        <w:tc>
          <w:tcPr>
            <w:tcW w:w="50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12°</w:t>
            </w:r>
          </w:p>
        </w:tc>
      </w:tr>
      <w:tr>
        <w:tblPrEx>
          <w:tblCellMar>
            <w:top w:w="0" w:type="dxa"/>
            <w:left w:w="108" w:type="dxa"/>
            <w:bottom w:w="0" w:type="dxa"/>
            <w:right w:w="108" w:type="dxa"/>
          </w:tblCellMar>
        </w:tblPrEx>
        <w:trPr>
          <w:trHeight w:val="270" w:hRule="atLeast"/>
          <w:jc w:val="center"/>
        </w:trPr>
        <w:tc>
          <w:tcPr>
            <w:tcW w:w="353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固有滤过</w:t>
            </w:r>
          </w:p>
        </w:tc>
        <w:tc>
          <w:tcPr>
            <w:tcW w:w="50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0.8mmA1/75kV，YY/T 0062-2004</w:t>
            </w:r>
          </w:p>
        </w:tc>
      </w:tr>
      <w:tr>
        <w:tblPrEx>
          <w:tblCellMar>
            <w:top w:w="0" w:type="dxa"/>
            <w:left w:w="108" w:type="dxa"/>
            <w:bottom w:w="0" w:type="dxa"/>
            <w:right w:w="108" w:type="dxa"/>
          </w:tblCellMar>
        </w:tblPrEx>
        <w:trPr>
          <w:trHeight w:val="270" w:hRule="atLeast"/>
          <w:jc w:val="center"/>
        </w:trPr>
        <w:tc>
          <w:tcPr>
            <w:tcW w:w="353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射线焦点</w:t>
            </w:r>
          </w:p>
        </w:tc>
        <w:tc>
          <w:tcPr>
            <w:tcW w:w="50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0.4mm</w:t>
            </w:r>
          </w:p>
        </w:tc>
      </w:tr>
    </w:tbl>
    <w:p>
      <w:pPr>
        <w:pStyle w:val="27"/>
        <w:numPr>
          <w:ilvl w:val="0"/>
          <w:numId w:val="15"/>
        </w:numPr>
        <w:spacing w:line="0" w:lineRule="atLeast"/>
        <w:ind w:left="284" w:hanging="284"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装箱清单</w:t>
      </w:r>
    </w:p>
    <w:tbl>
      <w:tblPr>
        <w:tblStyle w:val="18"/>
        <w:tblW w:w="8604" w:type="dxa"/>
        <w:jc w:val="center"/>
        <w:tblLayout w:type="fixed"/>
        <w:tblCellMar>
          <w:top w:w="0" w:type="dxa"/>
          <w:left w:w="108" w:type="dxa"/>
          <w:bottom w:w="0" w:type="dxa"/>
          <w:right w:w="108" w:type="dxa"/>
        </w:tblCellMar>
      </w:tblPr>
      <w:tblGrid>
        <w:gridCol w:w="3556"/>
        <w:gridCol w:w="5048"/>
      </w:tblGrid>
      <w:tr>
        <w:tblPrEx>
          <w:tblCellMar>
            <w:top w:w="0" w:type="dxa"/>
            <w:left w:w="108" w:type="dxa"/>
            <w:bottom w:w="0" w:type="dxa"/>
            <w:right w:w="108" w:type="dxa"/>
          </w:tblCellMar>
        </w:tblPrEx>
        <w:trPr>
          <w:trHeight w:val="270" w:hRule="atLeast"/>
          <w:jc w:val="center"/>
        </w:trPr>
        <w:tc>
          <w:tcPr>
            <w:tcW w:w="35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主机</w:t>
            </w:r>
          </w:p>
        </w:tc>
        <w:tc>
          <w:tcPr>
            <w:tcW w:w="504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1个</w:t>
            </w:r>
          </w:p>
        </w:tc>
      </w:tr>
      <w:tr>
        <w:tblPrEx>
          <w:tblCellMar>
            <w:top w:w="0" w:type="dxa"/>
            <w:left w:w="108" w:type="dxa"/>
            <w:bottom w:w="0" w:type="dxa"/>
            <w:right w:w="108" w:type="dxa"/>
          </w:tblCellMar>
        </w:tblPrEx>
        <w:trPr>
          <w:trHeight w:val="27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电源适配器</w:t>
            </w:r>
          </w:p>
        </w:tc>
        <w:tc>
          <w:tcPr>
            <w:tcW w:w="504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1个</w:t>
            </w:r>
          </w:p>
        </w:tc>
      </w:tr>
      <w:tr>
        <w:tblPrEx>
          <w:tblCellMar>
            <w:top w:w="0" w:type="dxa"/>
            <w:left w:w="108" w:type="dxa"/>
            <w:bottom w:w="0" w:type="dxa"/>
            <w:right w:w="108" w:type="dxa"/>
          </w:tblCellMar>
        </w:tblPrEx>
        <w:trPr>
          <w:trHeight w:val="27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底座</w:t>
            </w:r>
          </w:p>
        </w:tc>
        <w:tc>
          <w:tcPr>
            <w:tcW w:w="50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1个</w:t>
            </w:r>
          </w:p>
        </w:tc>
      </w:tr>
      <w:tr>
        <w:tblPrEx>
          <w:tblCellMar>
            <w:top w:w="0" w:type="dxa"/>
            <w:left w:w="108" w:type="dxa"/>
            <w:bottom w:w="0" w:type="dxa"/>
            <w:right w:w="108" w:type="dxa"/>
          </w:tblCellMar>
        </w:tblPrEx>
        <w:trPr>
          <w:trHeight w:val="27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电源线</w:t>
            </w:r>
          </w:p>
        </w:tc>
        <w:tc>
          <w:tcPr>
            <w:tcW w:w="50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1个</w:t>
            </w:r>
          </w:p>
        </w:tc>
      </w:tr>
      <w:tr>
        <w:tblPrEx>
          <w:tblCellMar>
            <w:top w:w="0" w:type="dxa"/>
            <w:left w:w="108" w:type="dxa"/>
            <w:bottom w:w="0" w:type="dxa"/>
            <w:right w:w="108" w:type="dxa"/>
          </w:tblCellMar>
        </w:tblPrEx>
        <w:trPr>
          <w:trHeight w:val="27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防护板</w:t>
            </w:r>
          </w:p>
        </w:tc>
        <w:tc>
          <w:tcPr>
            <w:tcW w:w="50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1个</w:t>
            </w:r>
          </w:p>
        </w:tc>
      </w:tr>
    </w:tbl>
    <w:p>
      <w:pPr>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w:t>
      </w:r>
      <w:r>
        <w:rPr>
          <w:rFonts w:hint="eastAsia" w:asciiTheme="minorEastAsia" w:hAnsiTheme="minorEastAsia" w:cstheme="minorEastAsia"/>
          <w:b/>
          <w:bCs/>
          <w:sz w:val="21"/>
          <w:szCs w:val="21"/>
          <w:lang w:val="en-US" w:eastAsia="zh-CN"/>
        </w:rPr>
        <w:t>四</w:t>
      </w:r>
      <w:r>
        <w:rPr>
          <w:rFonts w:hint="eastAsia" w:asciiTheme="minorEastAsia" w:hAnsiTheme="minorEastAsia" w:cstheme="minorEastAsia"/>
          <w:b/>
          <w:bCs/>
          <w:sz w:val="21"/>
          <w:szCs w:val="21"/>
          <w:lang w:eastAsia="zh-CN"/>
        </w:rPr>
        <w:t>）</w:t>
      </w:r>
      <w:r>
        <w:rPr>
          <w:rFonts w:hint="eastAsia" w:asciiTheme="minorEastAsia" w:hAnsiTheme="minorEastAsia" w:eastAsiaTheme="minorEastAsia" w:cstheme="minorEastAsia"/>
          <w:b/>
          <w:bCs/>
          <w:sz w:val="21"/>
          <w:szCs w:val="21"/>
        </w:rPr>
        <w:t xml:space="preserve">口腔麻醉助推仪技术参数   品牌：索感   型号： Smart Ⅱ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整机笔式无任何管线，主机尺寸（长度x直径)：≤25mm x15.5mm，重量≤65g。</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点按注射键进行注射，再次点按注射键停止注射，双击点按注射键进行回吸，实体按键操作。</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阻力过大，会有提示。</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4. 三种注射模式，注射速度（1.8ml注射大约用时）：快速模式(快）≤1分钟 ；慢速模式（慢）≤2分钟；PDL牙周膜注射模式（P）≤4分钟</w:t>
      </w:r>
      <w:r>
        <w:rPr>
          <w:rFonts w:hint="eastAsia" w:asciiTheme="minorEastAsia" w:hAnsiTheme="minorEastAsia" w:cstheme="minorEastAsia"/>
          <w:sz w:val="21"/>
          <w:szCs w:val="21"/>
          <w:lang w:eastAsia="zh-CN"/>
        </w:rPr>
        <w:t>。</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 智能AI芯片，每次使用自动开启上次注射模式，记录累计注射次数等。</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 主机可无线充电。</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 主机采用实体按键组成，注射与回吸一键触控操作。</w:t>
      </w:r>
    </w:p>
    <w:p>
      <w:pPr>
        <w:numPr>
          <w:ilvl w:val="0"/>
          <w:numId w:val="16"/>
        </w:num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助推管长度约75mm,内径约10mm,重量≤3.5g有公制和英制两种，可高温高压灭菌重复使用。</w:t>
      </w:r>
    </w:p>
    <w:p>
      <w:pPr>
        <w:numPr>
          <w:ilvl w:val="0"/>
          <w:numId w:val="16"/>
        </w:num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屏幕类型：OLED。</w:t>
      </w:r>
    </w:p>
    <w:p>
      <w:pPr>
        <w:numPr>
          <w:ilvl w:val="0"/>
          <w:numId w:val="16"/>
        </w:num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药量显示：能够显示0.1ml-1.8ml,分辨率≥0.1ml。</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11.注射握持有两种把手可换：执笔式和传统注射器握持式。</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12.充电盒的电池容量1500mah，设备电池容量250mah。</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13.设备充满电快速模式下，可以注射150支麻药以上。</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14.麻醉仪充满电用时：2-3小时（受环境温度影响）。充电盒充满电用时：1-2小时（受环境温度影响）。满电充电盒可以充满1.5个设备左右（受环境因素影响）。</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口腔麻醉助推仪（Smart II）配置</w:t>
      </w:r>
    </w:p>
    <w:tbl>
      <w:tblPr>
        <w:tblStyle w:val="18"/>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4090"/>
        <w:gridCol w:w="3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190" w:type="dxa"/>
            <w:vAlign w:val="center"/>
          </w:tcPr>
          <w:p>
            <w:pPr>
              <w:widowControl/>
              <w:spacing w:line="30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000000"/>
                <w:kern w:val="0"/>
                <w:sz w:val="21"/>
                <w:szCs w:val="21"/>
              </w:rPr>
              <w:t>序号</w:t>
            </w:r>
          </w:p>
        </w:tc>
        <w:tc>
          <w:tcPr>
            <w:tcW w:w="4090" w:type="dxa"/>
            <w:vAlign w:val="center"/>
          </w:tcPr>
          <w:p>
            <w:pPr>
              <w:widowControl/>
              <w:spacing w:line="30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000000"/>
                <w:kern w:val="0"/>
                <w:sz w:val="21"/>
                <w:szCs w:val="21"/>
              </w:rPr>
              <w:t>组件名称</w:t>
            </w:r>
          </w:p>
        </w:tc>
        <w:tc>
          <w:tcPr>
            <w:tcW w:w="3590" w:type="dxa"/>
            <w:vAlign w:val="center"/>
          </w:tcPr>
          <w:p>
            <w:pPr>
              <w:widowControl/>
              <w:spacing w:line="30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000000"/>
                <w:kern w:val="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190" w:type="dxa"/>
            <w:vAlign w:val="center"/>
          </w:tcPr>
          <w:p>
            <w:pPr>
              <w:widowControl/>
              <w:spacing w:line="300" w:lineRule="atLeas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4090" w:type="dxa"/>
            <w:vAlign w:val="center"/>
          </w:tcPr>
          <w:p>
            <w:pPr>
              <w:widowControl/>
              <w:spacing w:line="300" w:lineRule="atLeas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口腔麻醉助推仪主机</w:t>
            </w:r>
          </w:p>
        </w:tc>
        <w:tc>
          <w:tcPr>
            <w:tcW w:w="3590" w:type="dxa"/>
            <w:vAlign w:val="center"/>
          </w:tcPr>
          <w:p>
            <w:pPr>
              <w:widowControl/>
              <w:spacing w:line="300" w:lineRule="atLeas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190" w:type="dxa"/>
            <w:vAlign w:val="center"/>
          </w:tcPr>
          <w:p>
            <w:pPr>
              <w:widowControl/>
              <w:spacing w:line="300" w:lineRule="atLeas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4090" w:type="dxa"/>
            <w:vAlign w:val="center"/>
          </w:tcPr>
          <w:p>
            <w:pPr>
              <w:widowControl/>
              <w:spacing w:line="300" w:lineRule="atLeas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充电盒</w:t>
            </w:r>
          </w:p>
        </w:tc>
        <w:tc>
          <w:tcPr>
            <w:tcW w:w="3590" w:type="dxa"/>
            <w:vAlign w:val="center"/>
          </w:tcPr>
          <w:p>
            <w:pPr>
              <w:widowControl/>
              <w:spacing w:line="300" w:lineRule="atLeas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190" w:type="dxa"/>
            <w:vAlign w:val="center"/>
          </w:tcPr>
          <w:p>
            <w:pPr>
              <w:widowControl/>
              <w:spacing w:line="300" w:lineRule="atLeas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w:t>
            </w:r>
          </w:p>
        </w:tc>
        <w:tc>
          <w:tcPr>
            <w:tcW w:w="4090" w:type="dxa"/>
            <w:vAlign w:val="center"/>
          </w:tcPr>
          <w:p>
            <w:pPr>
              <w:widowControl/>
              <w:spacing w:line="300" w:lineRule="atLeas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充电线</w:t>
            </w:r>
          </w:p>
        </w:tc>
        <w:tc>
          <w:tcPr>
            <w:tcW w:w="3590" w:type="dxa"/>
            <w:vAlign w:val="center"/>
          </w:tcPr>
          <w:p>
            <w:pPr>
              <w:widowControl/>
              <w:spacing w:line="300" w:lineRule="atLeas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190" w:type="dxa"/>
            <w:vAlign w:val="center"/>
          </w:tcPr>
          <w:p>
            <w:pPr>
              <w:widowControl/>
              <w:spacing w:line="300" w:lineRule="atLeas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w:t>
            </w:r>
          </w:p>
        </w:tc>
        <w:tc>
          <w:tcPr>
            <w:tcW w:w="4090" w:type="dxa"/>
            <w:vAlign w:val="center"/>
          </w:tcPr>
          <w:p>
            <w:pPr>
              <w:widowControl/>
              <w:spacing w:line="300" w:lineRule="atLeas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助推管</w:t>
            </w:r>
          </w:p>
        </w:tc>
        <w:tc>
          <w:tcPr>
            <w:tcW w:w="3590" w:type="dxa"/>
            <w:vAlign w:val="center"/>
          </w:tcPr>
          <w:p>
            <w:pPr>
              <w:widowControl/>
              <w:spacing w:line="300" w:lineRule="atLeas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190" w:type="dxa"/>
            <w:vAlign w:val="center"/>
          </w:tcPr>
          <w:p>
            <w:pPr>
              <w:widowControl/>
              <w:spacing w:line="300" w:lineRule="atLeas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w:t>
            </w:r>
          </w:p>
        </w:tc>
        <w:tc>
          <w:tcPr>
            <w:tcW w:w="4090" w:type="dxa"/>
            <w:vAlign w:val="center"/>
          </w:tcPr>
          <w:p>
            <w:pPr>
              <w:widowControl/>
              <w:spacing w:line="300" w:lineRule="atLeas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笔式把手</w:t>
            </w:r>
          </w:p>
        </w:tc>
        <w:tc>
          <w:tcPr>
            <w:tcW w:w="3590" w:type="dxa"/>
            <w:vAlign w:val="center"/>
          </w:tcPr>
          <w:p>
            <w:pPr>
              <w:widowControl/>
              <w:spacing w:line="300" w:lineRule="atLeas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190" w:type="dxa"/>
            <w:vAlign w:val="center"/>
          </w:tcPr>
          <w:p>
            <w:pPr>
              <w:widowControl/>
              <w:spacing w:line="300" w:lineRule="atLeas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6</w:t>
            </w:r>
          </w:p>
        </w:tc>
        <w:tc>
          <w:tcPr>
            <w:tcW w:w="4090" w:type="dxa"/>
            <w:vAlign w:val="center"/>
          </w:tcPr>
          <w:p>
            <w:pPr>
              <w:widowControl/>
              <w:spacing w:line="300" w:lineRule="atLeas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卡式把手</w:t>
            </w:r>
          </w:p>
        </w:tc>
        <w:tc>
          <w:tcPr>
            <w:tcW w:w="3590" w:type="dxa"/>
            <w:vAlign w:val="center"/>
          </w:tcPr>
          <w:p>
            <w:pPr>
              <w:widowControl/>
              <w:spacing w:line="300" w:lineRule="atLeas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190" w:type="dxa"/>
            <w:vAlign w:val="center"/>
          </w:tcPr>
          <w:p>
            <w:pPr>
              <w:widowControl/>
              <w:spacing w:line="300" w:lineRule="atLeas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7</w:t>
            </w:r>
          </w:p>
        </w:tc>
        <w:tc>
          <w:tcPr>
            <w:tcW w:w="4090" w:type="dxa"/>
            <w:vAlign w:val="center"/>
          </w:tcPr>
          <w:p>
            <w:pPr>
              <w:widowControl/>
              <w:spacing w:line="300" w:lineRule="atLeas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中文使用说明书、合格证</w:t>
            </w:r>
          </w:p>
        </w:tc>
        <w:tc>
          <w:tcPr>
            <w:tcW w:w="3590" w:type="dxa"/>
            <w:vAlign w:val="center"/>
          </w:tcPr>
          <w:p>
            <w:pPr>
              <w:widowControl/>
              <w:spacing w:line="300" w:lineRule="atLeas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90" w:type="dxa"/>
            <w:vAlign w:val="center"/>
          </w:tcPr>
          <w:p>
            <w:pPr>
              <w:widowControl/>
              <w:spacing w:line="300" w:lineRule="atLeas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8</w:t>
            </w:r>
          </w:p>
        </w:tc>
        <w:tc>
          <w:tcPr>
            <w:tcW w:w="4090" w:type="dxa"/>
            <w:vAlign w:val="center"/>
          </w:tcPr>
          <w:p>
            <w:pPr>
              <w:widowControl/>
              <w:spacing w:line="300" w:lineRule="atLeas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O型圈</w:t>
            </w:r>
          </w:p>
        </w:tc>
        <w:tc>
          <w:tcPr>
            <w:tcW w:w="3590" w:type="dxa"/>
            <w:vAlign w:val="center"/>
          </w:tcPr>
          <w:p>
            <w:pPr>
              <w:widowControl/>
              <w:spacing w:line="300" w:lineRule="atLeas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 个</w:t>
            </w:r>
          </w:p>
        </w:tc>
      </w:tr>
    </w:tbl>
    <w:p>
      <w:pPr>
        <w:pStyle w:val="27"/>
        <w:spacing w:line="0" w:lineRule="atLeast"/>
        <w:ind w:left="720"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五</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牙片宝影像板扫描仪</w:t>
      </w:r>
      <w:r>
        <w:rPr>
          <w:rFonts w:hint="eastAsia" w:asciiTheme="minorEastAsia" w:hAnsiTheme="minorEastAsia" w:eastAsiaTheme="minorEastAsia" w:cstheme="minorEastAsia"/>
          <w:b/>
          <w:bCs/>
          <w:sz w:val="21"/>
          <w:szCs w:val="21"/>
          <w:lang w:eastAsia="zh-CN"/>
        </w:rPr>
        <w:t>采购</w:t>
      </w:r>
      <w:r>
        <w:rPr>
          <w:rFonts w:hint="eastAsia" w:asciiTheme="minorEastAsia" w:hAnsiTheme="minorEastAsia" w:eastAsiaTheme="minorEastAsia" w:cstheme="minorEastAsia"/>
          <w:b/>
          <w:bCs/>
          <w:sz w:val="21"/>
          <w:szCs w:val="21"/>
        </w:rPr>
        <w:t>要求    品牌：菲森  型号F220</w:t>
      </w:r>
    </w:p>
    <w:tbl>
      <w:tblPr>
        <w:tblStyle w:val="18"/>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7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3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序号</w:t>
            </w:r>
          </w:p>
        </w:tc>
        <w:tc>
          <w:tcPr>
            <w:tcW w:w="77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3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一</w:t>
            </w:r>
          </w:p>
        </w:tc>
        <w:tc>
          <w:tcPr>
            <w:tcW w:w="77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3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1.1</w:t>
            </w:r>
          </w:p>
        </w:tc>
        <w:tc>
          <w:tcPr>
            <w:tcW w:w="77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具有先进性能和全面的功能，可以完成对X光片的扫描成像并进行诊断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3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1.2</w:t>
            </w:r>
          </w:p>
        </w:tc>
        <w:tc>
          <w:tcPr>
            <w:tcW w:w="77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3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二</w:t>
            </w:r>
          </w:p>
        </w:tc>
        <w:tc>
          <w:tcPr>
            <w:tcW w:w="77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3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2.1</w:t>
            </w:r>
          </w:p>
        </w:tc>
        <w:tc>
          <w:tcPr>
            <w:tcW w:w="77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扫描技术:CR技术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3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2.2</w:t>
            </w:r>
          </w:p>
        </w:tc>
        <w:tc>
          <w:tcPr>
            <w:tcW w:w="77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机身尺寸:243mm*129mm*250mm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3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2.3</w:t>
            </w:r>
          </w:p>
        </w:tc>
        <w:tc>
          <w:tcPr>
            <w:tcW w:w="77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重量≤ 5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3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2.4</w:t>
            </w:r>
          </w:p>
        </w:tc>
        <w:tc>
          <w:tcPr>
            <w:tcW w:w="77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电压:AC100-240V，50/60Hz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3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2.5</w:t>
            </w:r>
          </w:p>
        </w:tc>
        <w:tc>
          <w:tcPr>
            <w:tcW w:w="77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输出功率:≤63W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3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2.6</w:t>
            </w:r>
          </w:p>
        </w:tc>
        <w:tc>
          <w:tcPr>
            <w:tcW w:w="77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分辨率:≥14 LP/mm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3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2.7</w:t>
            </w:r>
          </w:p>
        </w:tc>
        <w:tc>
          <w:tcPr>
            <w:tcW w:w="77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传输方式:LAN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3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2.8</w:t>
            </w:r>
          </w:p>
        </w:tc>
        <w:tc>
          <w:tcPr>
            <w:tcW w:w="77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灰阶&gt; 14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3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2.9</w:t>
            </w:r>
          </w:p>
        </w:tc>
        <w:tc>
          <w:tcPr>
            <w:tcW w:w="77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扫描时间:约10S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3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2.10</w:t>
            </w:r>
          </w:p>
        </w:tc>
        <w:tc>
          <w:tcPr>
            <w:tcW w:w="77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内置清除装置:自动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3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2.11</w:t>
            </w:r>
          </w:p>
        </w:tc>
        <w:tc>
          <w:tcPr>
            <w:tcW w:w="77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兼容4种尺寸影像板:0#(21x30mm)、1#(23x39mm)、2#(31x41mm)、3#(27x54mm)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3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2.12</w:t>
            </w:r>
          </w:p>
        </w:tc>
        <w:tc>
          <w:tcPr>
            <w:tcW w:w="77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像素尺寸:35 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3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2.13</w:t>
            </w:r>
          </w:p>
        </w:tc>
        <w:tc>
          <w:tcPr>
            <w:tcW w:w="77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影像板放置方式:垂直放入，自动识别尺寸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3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2.14</w:t>
            </w:r>
          </w:p>
        </w:tc>
        <w:tc>
          <w:tcPr>
            <w:tcW w:w="77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软件功能:多种的图像处理工具，包括缩放、镜像、亮度和对比度调节、图像转换，强化边缘和定义尺寸等。具备网络发送、打印、归档等功能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3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三</w:t>
            </w:r>
          </w:p>
        </w:tc>
        <w:tc>
          <w:tcPr>
            <w:tcW w:w="77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3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3.1</w:t>
            </w:r>
          </w:p>
        </w:tc>
        <w:tc>
          <w:tcPr>
            <w:tcW w:w="77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影像板扫描仪主机:1台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3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3.2</w:t>
            </w:r>
          </w:p>
        </w:tc>
        <w:tc>
          <w:tcPr>
            <w:tcW w:w="77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口内影像板:1套(2#4块)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3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3.3</w:t>
            </w:r>
          </w:p>
        </w:tc>
        <w:tc>
          <w:tcPr>
            <w:tcW w:w="77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图像处理分析软件及说明书:1套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3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四</w:t>
            </w:r>
          </w:p>
        </w:tc>
        <w:tc>
          <w:tcPr>
            <w:tcW w:w="77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使用条件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3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4.1</w:t>
            </w:r>
          </w:p>
        </w:tc>
        <w:tc>
          <w:tcPr>
            <w:tcW w:w="77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室内工作温度:+10℃～+40℃C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3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4.2</w:t>
            </w:r>
          </w:p>
        </w:tc>
        <w:tc>
          <w:tcPr>
            <w:tcW w:w="77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工作相对湿度::30%～75%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3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4.3</w:t>
            </w:r>
          </w:p>
        </w:tc>
        <w:tc>
          <w:tcPr>
            <w:tcW w:w="77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大气压力:700hPa～1060hPa</w:t>
            </w:r>
          </w:p>
        </w:tc>
      </w:tr>
    </w:tbl>
    <w:p>
      <w:pPr>
        <w:spacing w:line="360" w:lineRule="auto"/>
        <w:rPr>
          <w:rFonts w:asciiTheme="minorEastAsia" w:hAnsiTheme="minorEastAsia"/>
          <w:b/>
          <w:color w:val="auto"/>
          <w:szCs w:val="21"/>
          <w:highlight w:val="none"/>
        </w:rPr>
      </w:pPr>
      <w:r>
        <w:rPr>
          <w:rFonts w:hint="eastAsia" w:asciiTheme="minorEastAsia" w:hAnsiTheme="minorEastAsia"/>
          <w:b/>
          <w:color w:val="auto"/>
          <w:szCs w:val="21"/>
          <w:highlight w:val="none"/>
        </w:rPr>
        <w:t>备注：以上价格包括税、运输费等一切费用。供应商报价须包含税费、运费等其它一切费用，不得另外收费；另所有货物需按交货期指定的时间内送货，如成交供应商达不到采购人要求的交货期，将取消成交资格。</w:t>
      </w:r>
    </w:p>
    <w:p>
      <w:pPr>
        <w:pStyle w:val="27"/>
        <w:numPr>
          <w:ilvl w:val="0"/>
          <w:numId w:val="14"/>
        </w:numPr>
        <w:tabs>
          <w:tab w:val="left" w:pos="426"/>
        </w:tabs>
        <w:spacing w:line="360" w:lineRule="auto"/>
        <w:ind w:firstLineChars="0"/>
        <w:rPr>
          <w:rFonts w:cs="微软雅黑" w:asciiTheme="minorEastAsia" w:hAnsiTheme="minorEastAsia" w:eastAsiaTheme="minorEastAsia"/>
          <w:b/>
          <w:color w:val="auto"/>
          <w:szCs w:val="21"/>
          <w:highlight w:val="none"/>
        </w:rPr>
      </w:pPr>
      <w:r>
        <w:rPr>
          <w:rFonts w:hint="eastAsia" w:cs="微软雅黑" w:asciiTheme="minorEastAsia" w:hAnsiTheme="minorEastAsia" w:eastAsiaTheme="minorEastAsia"/>
          <w:b/>
          <w:color w:val="auto"/>
          <w:szCs w:val="21"/>
          <w:highlight w:val="none"/>
        </w:rPr>
        <w:t>商务要求</w:t>
      </w:r>
    </w:p>
    <w:p>
      <w:pPr>
        <w:pStyle w:val="10"/>
        <w:numPr>
          <w:ilvl w:val="0"/>
          <w:numId w:val="17"/>
        </w:numPr>
        <w:tabs>
          <w:tab w:val="left" w:pos="425"/>
          <w:tab w:val="left" w:pos="540"/>
        </w:tabs>
        <w:adjustRightInd w:val="0"/>
        <w:snapToGrid w:val="0"/>
        <w:spacing w:before="50" w:line="360" w:lineRule="auto"/>
        <w:rPr>
          <w:rFonts w:cs="宋体" w:asciiTheme="minorEastAsia" w:hAnsiTheme="minorEastAsia"/>
          <w:color w:val="auto"/>
          <w:sz w:val="21"/>
          <w:highlight w:val="none"/>
        </w:rPr>
      </w:pPr>
      <w:r>
        <w:rPr>
          <w:rFonts w:hint="eastAsia" w:cs="宋体" w:asciiTheme="minorEastAsia" w:hAnsiTheme="minorEastAsia"/>
          <w:color w:val="auto"/>
          <w:sz w:val="21"/>
          <w:highlight w:val="none"/>
        </w:rPr>
        <w:t>产品应按其特性及相关规定要求进行包装并采用适当的运输方式运抵指定位置。交货期为</w:t>
      </w:r>
      <w:r>
        <w:rPr>
          <w:rFonts w:hint="eastAsia" w:asciiTheme="minorEastAsia" w:hAnsiTheme="minorEastAsia"/>
          <w:color w:val="auto"/>
          <w:sz w:val="21"/>
          <w:highlight w:val="none"/>
        </w:rPr>
        <w:t>签订合同后</w:t>
      </w:r>
      <w:r>
        <w:rPr>
          <w:rFonts w:hint="eastAsia" w:asciiTheme="minorEastAsia" w:hAnsiTheme="minorEastAsia"/>
          <w:color w:val="auto"/>
          <w:sz w:val="21"/>
          <w:highlight w:val="none"/>
          <w:lang w:val="en-US" w:eastAsia="zh-CN"/>
        </w:rPr>
        <w:t>30</w:t>
      </w:r>
      <w:r>
        <w:rPr>
          <w:rFonts w:hint="eastAsia" w:asciiTheme="minorEastAsia" w:hAnsiTheme="minorEastAsia"/>
          <w:color w:val="auto"/>
          <w:sz w:val="21"/>
          <w:highlight w:val="none"/>
        </w:rPr>
        <w:t>个日历日内交货</w:t>
      </w:r>
      <w:r>
        <w:rPr>
          <w:rFonts w:hint="eastAsia" w:cs="宋体" w:asciiTheme="minorEastAsia" w:hAnsiTheme="minorEastAsia"/>
          <w:color w:val="auto"/>
          <w:sz w:val="21"/>
          <w:highlight w:val="none"/>
        </w:rPr>
        <w:t>。成交供应商必须依照竞价文件技术参数的要求，将设备、系统安装并调试至正常运行的最佳状态。</w:t>
      </w:r>
    </w:p>
    <w:p>
      <w:pPr>
        <w:numPr>
          <w:ilvl w:val="0"/>
          <w:numId w:val="17"/>
        </w:numPr>
        <w:spacing w:before="120" w:beforeLines="50" w:line="36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供应商提供的货物须是全新的，各项技术参数须完全符合采购人提出的采购计划要求；若不符合要求，采购人有权拒收货物。</w:t>
      </w:r>
    </w:p>
    <w:p>
      <w:pPr>
        <w:numPr>
          <w:ilvl w:val="0"/>
          <w:numId w:val="17"/>
        </w:numPr>
        <w:spacing w:before="120" w:beforeLines="50" w:line="36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所有货物在开箱检验时必须完好，无破损。货物外观清洁，标记及字体清晰、明确。</w:t>
      </w:r>
    </w:p>
    <w:p>
      <w:pPr>
        <w:numPr>
          <w:ilvl w:val="0"/>
          <w:numId w:val="17"/>
        </w:numPr>
        <w:spacing w:before="120" w:beforeLines="50" w:line="36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供应商交货时须附货物清单，且必须提交货物出厂产品合格证和说明书。</w:t>
      </w:r>
    </w:p>
    <w:p>
      <w:pPr>
        <w:pStyle w:val="10"/>
        <w:numPr>
          <w:ilvl w:val="0"/>
          <w:numId w:val="17"/>
        </w:numPr>
        <w:tabs>
          <w:tab w:val="left" w:pos="425"/>
          <w:tab w:val="left" w:pos="2340"/>
        </w:tabs>
        <w:adjustRightInd w:val="0"/>
        <w:snapToGrid w:val="0"/>
        <w:spacing w:before="50" w:line="360" w:lineRule="auto"/>
        <w:rPr>
          <w:rFonts w:cs="宋体" w:asciiTheme="minorEastAsia" w:hAnsiTheme="minorEastAsia"/>
          <w:color w:val="auto"/>
          <w:sz w:val="21"/>
          <w:highlight w:val="none"/>
        </w:rPr>
      </w:pPr>
      <w:r>
        <w:rPr>
          <w:rFonts w:hint="eastAsia" w:cs="宋体" w:asciiTheme="minorEastAsia" w:hAnsiTheme="minorEastAsia"/>
          <w:color w:val="auto"/>
          <w:sz w:val="21"/>
          <w:highlight w:val="none"/>
        </w:rPr>
        <w:t>产品质量保证期为1年，质保期内成交供应商对所供货物实行包修、包换、包退、包维护保养。</w:t>
      </w:r>
    </w:p>
    <w:p>
      <w:pPr>
        <w:numPr>
          <w:ilvl w:val="0"/>
          <w:numId w:val="17"/>
        </w:numPr>
        <w:tabs>
          <w:tab w:val="left" w:pos="425"/>
        </w:tabs>
        <w:autoSpaceDE w:val="0"/>
        <w:autoSpaceDN w:val="0"/>
        <w:adjustRightInd w:val="0"/>
        <w:snapToGrid w:val="0"/>
        <w:spacing w:before="50" w:line="36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质保期内，如设备或零部件因非人为因素出现故障而造成短期停用时，则质保期和免费维修期相应顺延。如停用时间累计超过60天则质保期重新计算。</w:t>
      </w:r>
    </w:p>
    <w:p>
      <w:pPr>
        <w:numPr>
          <w:ilvl w:val="0"/>
          <w:numId w:val="17"/>
        </w:numPr>
        <w:tabs>
          <w:tab w:val="left" w:pos="425"/>
        </w:tabs>
        <w:autoSpaceDE w:val="0"/>
        <w:autoSpaceDN w:val="0"/>
        <w:adjustRightInd w:val="0"/>
        <w:snapToGrid w:val="0"/>
        <w:spacing w:before="50" w:line="36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对采购人的服务通知，成交供应商在接报后1小时内响应，4小时内到达现场，48小时内处理完毕。若在48小时内仍未能有效解决，成交供应商须免费提供同档次的设备予采购人临时使用。</w:t>
      </w:r>
    </w:p>
    <w:p>
      <w:pPr>
        <w:pStyle w:val="27"/>
        <w:numPr>
          <w:ilvl w:val="0"/>
          <w:numId w:val="14"/>
        </w:numPr>
        <w:tabs>
          <w:tab w:val="left" w:pos="426"/>
        </w:tabs>
        <w:spacing w:line="360" w:lineRule="auto"/>
        <w:ind w:firstLineChars="0"/>
        <w:rPr>
          <w:rFonts w:cs="微软雅黑" w:asciiTheme="minorEastAsia" w:hAnsiTheme="minorEastAsia" w:eastAsiaTheme="minorEastAsia"/>
          <w:b/>
          <w:color w:val="auto"/>
          <w:szCs w:val="21"/>
          <w:highlight w:val="none"/>
        </w:rPr>
      </w:pPr>
      <w:r>
        <w:rPr>
          <w:rFonts w:hint="eastAsia" w:cs="微软雅黑" w:asciiTheme="minorEastAsia" w:hAnsiTheme="minorEastAsia" w:eastAsiaTheme="minorEastAsia"/>
          <w:b/>
          <w:color w:val="auto"/>
          <w:szCs w:val="21"/>
          <w:highlight w:val="none"/>
        </w:rPr>
        <w:t>验收标准</w:t>
      </w:r>
    </w:p>
    <w:p>
      <w:pPr>
        <w:pStyle w:val="10"/>
        <w:numPr>
          <w:ilvl w:val="0"/>
          <w:numId w:val="18"/>
        </w:numPr>
        <w:tabs>
          <w:tab w:val="left" w:pos="540"/>
        </w:tabs>
        <w:adjustRightInd w:val="0"/>
        <w:snapToGrid w:val="0"/>
        <w:spacing w:before="50" w:line="360" w:lineRule="auto"/>
        <w:rPr>
          <w:rFonts w:cs="宋体" w:asciiTheme="minorEastAsia" w:hAnsiTheme="minorEastAsia"/>
          <w:color w:val="auto"/>
          <w:sz w:val="21"/>
          <w:highlight w:val="none"/>
        </w:rPr>
      </w:pPr>
      <w:r>
        <w:rPr>
          <w:rFonts w:hint="eastAsia" w:cs="宋体" w:asciiTheme="minorEastAsia" w:hAnsiTheme="minorEastAsia"/>
          <w:color w:val="auto"/>
          <w:sz w:val="21"/>
          <w:highlight w:val="none"/>
        </w:rPr>
        <w:t xml:space="preserve">货物若有国家标准按照国家标准验收，若无国家标准按行业标准验收，为原制造商制造的全新产品，整体无污染，无侵权行为、表面无划损、无任何缺陷隐患，在中国境内可依常规安全合法使用。 </w:t>
      </w:r>
    </w:p>
    <w:p>
      <w:pPr>
        <w:numPr>
          <w:ilvl w:val="0"/>
          <w:numId w:val="18"/>
        </w:numPr>
        <w:tabs>
          <w:tab w:val="left" w:pos="900"/>
        </w:tabs>
        <w:autoSpaceDE w:val="0"/>
        <w:autoSpaceDN w:val="0"/>
        <w:adjustRightInd w:val="0"/>
        <w:snapToGrid w:val="0"/>
        <w:spacing w:before="50" w:line="36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货物为原厂商未启封全新包装，具出厂合格证，序列号、包装箱号与出厂批号一致，并可追索查阅。所有随货物的附件必须齐全。</w:t>
      </w:r>
    </w:p>
    <w:p>
      <w:pPr>
        <w:numPr>
          <w:ilvl w:val="0"/>
          <w:numId w:val="18"/>
        </w:numPr>
        <w:tabs>
          <w:tab w:val="left" w:pos="900"/>
        </w:tabs>
        <w:autoSpaceDE w:val="0"/>
        <w:autoSpaceDN w:val="0"/>
        <w:adjustRightInd w:val="0"/>
        <w:snapToGrid w:val="0"/>
        <w:spacing w:before="50" w:line="360" w:lineRule="auto"/>
        <w:rPr>
          <w:rFonts w:cs="宋体" w:asciiTheme="minorEastAsia" w:hAnsiTheme="minorEastAsia"/>
          <w:color w:val="auto"/>
          <w:szCs w:val="21"/>
          <w:highlight w:val="none"/>
        </w:rPr>
      </w:pPr>
      <w:r>
        <w:rPr>
          <w:rFonts w:hint="eastAsia" w:cs="宋体" w:asciiTheme="minorEastAsia" w:hAnsiTheme="minorEastAsia"/>
          <w:color w:val="auto"/>
          <w:kern w:val="21"/>
          <w:szCs w:val="21"/>
          <w:highlight w:val="none"/>
        </w:rPr>
        <w:t>成交供应商</w:t>
      </w:r>
      <w:r>
        <w:rPr>
          <w:rFonts w:hint="eastAsia" w:cs="宋体" w:asciiTheme="minorEastAsia" w:hAnsiTheme="minorEastAsia"/>
          <w:color w:val="auto"/>
          <w:szCs w:val="21"/>
          <w:highlight w:val="none"/>
        </w:rPr>
        <w:t>应将关键货物的用户手册、保修手册、有关单证资料及配备件、随机工具等交付给采购人，使用操作及安全须知等重要资料应附有中文说明。</w:t>
      </w:r>
    </w:p>
    <w:p>
      <w:pPr>
        <w:numPr>
          <w:ilvl w:val="0"/>
          <w:numId w:val="18"/>
        </w:numPr>
        <w:tabs>
          <w:tab w:val="left" w:pos="900"/>
        </w:tabs>
        <w:autoSpaceDE w:val="0"/>
        <w:autoSpaceDN w:val="0"/>
        <w:adjustRightInd w:val="0"/>
        <w:snapToGrid w:val="0"/>
        <w:spacing w:before="50" w:line="36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w:t>
      </w:r>
      <w:r>
        <w:rPr>
          <w:rFonts w:hint="eastAsia" w:cs="宋体" w:asciiTheme="minorEastAsia" w:hAnsiTheme="minorEastAsia"/>
          <w:color w:val="auto"/>
          <w:kern w:val="21"/>
          <w:szCs w:val="21"/>
          <w:highlight w:val="none"/>
        </w:rPr>
        <w:t>成交供应商</w:t>
      </w:r>
      <w:r>
        <w:rPr>
          <w:rFonts w:hint="eastAsia" w:cs="宋体" w:asciiTheme="minorEastAsia" w:hAnsiTheme="minorEastAsia"/>
          <w:color w:val="auto"/>
          <w:szCs w:val="21"/>
          <w:highlight w:val="none"/>
        </w:rPr>
        <w:t>承担。</w:t>
      </w:r>
    </w:p>
    <w:p>
      <w:pPr>
        <w:pStyle w:val="27"/>
        <w:numPr>
          <w:ilvl w:val="0"/>
          <w:numId w:val="14"/>
        </w:numPr>
        <w:spacing w:before="120" w:beforeLines="50" w:line="360" w:lineRule="auto"/>
        <w:ind w:firstLineChars="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付款方式</w:t>
      </w:r>
    </w:p>
    <w:p>
      <w:pPr>
        <w:spacing w:before="50" w:line="360" w:lineRule="auto"/>
        <w:ind w:firstLine="420" w:firstLineChars="20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 xml:space="preserve">由采购人按下列程序付款： </w:t>
      </w:r>
    </w:p>
    <w:p>
      <w:pPr>
        <w:spacing w:before="50" w:line="360" w:lineRule="auto"/>
        <w:ind w:firstLine="420" w:firstLineChars="200"/>
        <w:jc w:val="lef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成交供应商安装调试后10个工作日内，凭验收合格单或验收合格报告，采购人在收到成交供应商提供的等额正式发票后15个工作日内向成交供应商支付至合同总价的100%。</w:t>
      </w:r>
    </w:p>
    <w:p>
      <w:pPr>
        <w:numPr>
          <w:ilvl w:val="0"/>
          <w:numId w:val="19"/>
        </w:numPr>
        <w:autoSpaceDE w:val="0"/>
        <w:autoSpaceDN w:val="0"/>
        <w:adjustRightInd w:val="0"/>
        <w:snapToGrid w:val="0"/>
        <w:spacing w:before="50" w:line="360" w:lineRule="auto"/>
        <w:jc w:val="left"/>
        <w:rPr>
          <w:rFonts w:cs="宋体" w:asciiTheme="minorEastAsia" w:hAnsiTheme="minorEastAsia"/>
          <w:color w:val="auto"/>
          <w:kern w:val="21"/>
          <w:szCs w:val="21"/>
          <w:highlight w:val="none"/>
        </w:rPr>
      </w:pPr>
      <w:r>
        <w:rPr>
          <w:rFonts w:hint="eastAsia" w:cs="宋体" w:asciiTheme="minorEastAsia" w:hAnsiTheme="minorEastAsia"/>
          <w:color w:val="auto"/>
          <w:kern w:val="21"/>
          <w:szCs w:val="21"/>
          <w:highlight w:val="none"/>
        </w:rPr>
        <w:t>成交供应商凭以下有效文件与采购人结算：</w:t>
      </w:r>
    </w:p>
    <w:p>
      <w:pPr>
        <w:adjustRightInd w:val="0"/>
        <w:snapToGrid w:val="0"/>
        <w:spacing w:before="50" w:line="360" w:lineRule="auto"/>
        <w:ind w:firstLine="315" w:firstLineChars="1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（1）合同；</w:t>
      </w:r>
    </w:p>
    <w:p>
      <w:pPr>
        <w:adjustRightInd w:val="0"/>
        <w:snapToGrid w:val="0"/>
        <w:spacing w:before="50" w:line="360" w:lineRule="auto"/>
        <w:ind w:firstLine="315" w:firstLineChars="1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（2）</w:t>
      </w:r>
      <w:r>
        <w:rPr>
          <w:rFonts w:hint="eastAsia" w:cs="宋体" w:asciiTheme="minorEastAsia" w:hAnsiTheme="minorEastAsia"/>
          <w:color w:val="auto"/>
          <w:kern w:val="21"/>
          <w:szCs w:val="21"/>
          <w:highlight w:val="none"/>
        </w:rPr>
        <w:t>成交供应商</w:t>
      </w:r>
      <w:r>
        <w:rPr>
          <w:rFonts w:hint="eastAsia" w:cs="宋体" w:asciiTheme="minorEastAsia" w:hAnsiTheme="minorEastAsia"/>
          <w:color w:val="auto"/>
          <w:szCs w:val="21"/>
          <w:highlight w:val="none"/>
        </w:rPr>
        <w:t>开具的正式发票；</w:t>
      </w:r>
    </w:p>
    <w:p>
      <w:pPr>
        <w:adjustRightInd w:val="0"/>
        <w:snapToGrid w:val="0"/>
        <w:spacing w:before="50" w:line="360" w:lineRule="auto"/>
        <w:ind w:firstLine="315" w:firstLineChars="1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（3）成交通知书；</w:t>
      </w:r>
    </w:p>
    <w:p>
      <w:pPr>
        <w:adjustRightInd w:val="0"/>
        <w:snapToGrid w:val="0"/>
        <w:spacing w:before="50" w:line="360" w:lineRule="auto"/>
        <w:ind w:firstLine="315" w:firstLineChars="1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（4）验收调试报告（加盖采购人公章）。</w:t>
      </w:r>
    </w:p>
    <w:p>
      <w:pPr>
        <w:pStyle w:val="27"/>
        <w:spacing w:before="120" w:beforeLines="50" w:line="360" w:lineRule="auto"/>
        <w:ind w:firstLine="0" w:firstLineChars="0"/>
        <w:rPr>
          <w:rFonts w:ascii="宋体" w:hAnsi="宋体" w:cs="宋体"/>
          <w:b/>
          <w:color w:val="auto"/>
          <w:szCs w:val="21"/>
          <w:highlight w:val="none"/>
        </w:rPr>
      </w:pPr>
    </w:p>
    <w:p>
      <w:pPr>
        <w:rPr>
          <w:rFonts w:ascii="宋体" w:hAnsi="宋体" w:eastAsia="宋体" w:cs="Times New Roman"/>
          <w:b/>
          <w:bCs/>
          <w:color w:val="auto"/>
          <w:kern w:val="44"/>
          <w:sz w:val="32"/>
          <w:szCs w:val="32"/>
          <w:highlight w:val="none"/>
        </w:rPr>
      </w:pPr>
      <w:r>
        <w:rPr>
          <w:rFonts w:hint="eastAsia" w:ascii="宋体" w:hAnsi="宋体" w:eastAsia="宋体" w:cs="Times New Roman"/>
          <w:b/>
          <w:bCs/>
          <w:color w:val="auto"/>
          <w:kern w:val="44"/>
          <w:sz w:val="32"/>
          <w:szCs w:val="32"/>
          <w:highlight w:val="none"/>
        </w:rPr>
        <w:br w:type="page"/>
      </w:r>
    </w:p>
    <w:p>
      <w:pPr>
        <w:keepNext/>
        <w:keepLines/>
        <w:spacing w:before="120" w:beforeLines="50" w:line="360" w:lineRule="auto"/>
        <w:jc w:val="center"/>
        <w:outlineLvl w:val="0"/>
        <w:rPr>
          <w:rFonts w:ascii="宋体" w:hAnsi="宋体" w:eastAsia="宋体" w:cs="Times New Roman"/>
          <w:b/>
          <w:bCs/>
          <w:color w:val="auto"/>
          <w:kern w:val="44"/>
          <w:sz w:val="32"/>
          <w:szCs w:val="32"/>
          <w:highlight w:val="none"/>
        </w:rPr>
        <w:sectPr>
          <w:pgSz w:w="11906" w:h="16838"/>
          <w:pgMar w:top="1701" w:right="1134" w:bottom="1134" w:left="1134" w:header="851" w:footer="992" w:gutter="0"/>
          <w:pgBorders>
            <w:top w:val="none" w:sz="0" w:space="0"/>
            <w:left w:val="none" w:sz="0" w:space="0"/>
            <w:bottom w:val="none" w:sz="0" w:space="0"/>
            <w:right w:val="none" w:sz="0" w:space="0"/>
          </w:pgBorders>
          <w:cols w:space="425" w:num="1"/>
          <w:titlePg/>
          <w:docGrid w:linePitch="312" w:charSpace="0"/>
        </w:sectPr>
      </w:pPr>
    </w:p>
    <w:p>
      <w:pPr>
        <w:keepNext/>
        <w:keepLines/>
        <w:spacing w:before="120" w:beforeLines="50" w:line="360" w:lineRule="auto"/>
        <w:jc w:val="center"/>
        <w:outlineLvl w:val="0"/>
        <w:rPr>
          <w:rFonts w:ascii="宋体" w:hAnsi="宋体" w:eastAsia="宋体" w:cs="宋体"/>
          <w:b/>
          <w:bCs/>
          <w:color w:val="auto"/>
          <w:kern w:val="0"/>
          <w:sz w:val="32"/>
          <w:szCs w:val="32"/>
          <w:highlight w:val="none"/>
        </w:rPr>
      </w:pPr>
      <w:r>
        <w:rPr>
          <w:rFonts w:hint="eastAsia" w:ascii="宋体" w:hAnsi="宋体" w:eastAsia="宋体" w:cs="Times New Roman"/>
          <w:b/>
          <w:bCs/>
          <w:color w:val="auto"/>
          <w:kern w:val="44"/>
          <w:sz w:val="32"/>
          <w:szCs w:val="32"/>
          <w:highlight w:val="none"/>
        </w:rPr>
        <w:t>第三章报价附件</w:t>
      </w:r>
    </w:p>
    <w:p>
      <w:pPr>
        <w:keepNext/>
        <w:keepLines/>
        <w:spacing w:before="120" w:beforeLines="50" w:line="360" w:lineRule="auto"/>
        <w:jc w:val="center"/>
        <w:outlineLvl w:val="1"/>
        <w:rPr>
          <w:rFonts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报价表</w:t>
      </w:r>
    </w:p>
    <w:tbl>
      <w:tblPr>
        <w:tblStyle w:val="19"/>
        <w:tblW w:w="10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265"/>
        <w:gridCol w:w="1005"/>
        <w:gridCol w:w="1410"/>
        <w:gridCol w:w="856"/>
        <w:gridCol w:w="808"/>
        <w:gridCol w:w="1093"/>
        <w:gridCol w:w="1217"/>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序号</w:t>
            </w:r>
          </w:p>
        </w:tc>
        <w:tc>
          <w:tcPr>
            <w:tcW w:w="2265"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产品名称</w:t>
            </w:r>
          </w:p>
        </w:tc>
        <w:tc>
          <w:tcPr>
            <w:tcW w:w="1005"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品牌</w:t>
            </w:r>
          </w:p>
        </w:tc>
        <w:tc>
          <w:tcPr>
            <w:tcW w:w="1410"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型号</w:t>
            </w:r>
          </w:p>
        </w:tc>
        <w:tc>
          <w:tcPr>
            <w:tcW w:w="856"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数量</w:t>
            </w:r>
          </w:p>
        </w:tc>
        <w:tc>
          <w:tcPr>
            <w:tcW w:w="808"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单位</w:t>
            </w:r>
          </w:p>
        </w:tc>
        <w:tc>
          <w:tcPr>
            <w:tcW w:w="1093"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单价报价（元）</w:t>
            </w:r>
          </w:p>
        </w:tc>
        <w:tc>
          <w:tcPr>
            <w:tcW w:w="1217"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小计报价（元）</w:t>
            </w:r>
          </w:p>
        </w:tc>
        <w:tc>
          <w:tcPr>
            <w:tcW w:w="750"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w:t>
            </w:r>
          </w:p>
        </w:tc>
        <w:tc>
          <w:tcPr>
            <w:tcW w:w="2265"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根尖定位仪</w:t>
            </w:r>
          </w:p>
        </w:tc>
        <w:tc>
          <w:tcPr>
            <w:tcW w:w="1005"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八颗牙</w:t>
            </w:r>
          </w:p>
        </w:tc>
        <w:tc>
          <w:tcPr>
            <w:tcW w:w="1410"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E-PEX</w:t>
            </w:r>
          </w:p>
        </w:tc>
        <w:tc>
          <w:tcPr>
            <w:tcW w:w="856"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0" w:leftChars="0"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台</w:t>
            </w:r>
          </w:p>
        </w:tc>
        <w:tc>
          <w:tcPr>
            <w:tcW w:w="808"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0" w:leftChars="0"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1</w:t>
            </w:r>
          </w:p>
        </w:tc>
        <w:tc>
          <w:tcPr>
            <w:tcW w:w="1093"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rPr>
            </w:pPr>
          </w:p>
        </w:tc>
        <w:tc>
          <w:tcPr>
            <w:tcW w:w="1217"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rPr>
            </w:pPr>
          </w:p>
        </w:tc>
        <w:tc>
          <w:tcPr>
            <w:tcW w:w="750"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w:t>
            </w:r>
          </w:p>
        </w:tc>
        <w:tc>
          <w:tcPr>
            <w:tcW w:w="2265"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根管马达</w:t>
            </w:r>
          </w:p>
        </w:tc>
        <w:tc>
          <w:tcPr>
            <w:tcW w:w="1005"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八颗牙</w:t>
            </w:r>
          </w:p>
        </w:tc>
        <w:tc>
          <w:tcPr>
            <w:tcW w:w="1410"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E-connect</w:t>
            </w:r>
          </w:p>
        </w:tc>
        <w:tc>
          <w:tcPr>
            <w:tcW w:w="85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left="0" w:leftChars="0"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台</w:t>
            </w:r>
          </w:p>
        </w:tc>
        <w:tc>
          <w:tcPr>
            <w:tcW w:w="808"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0" w:leftChars="0"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1</w:t>
            </w:r>
          </w:p>
        </w:tc>
        <w:tc>
          <w:tcPr>
            <w:tcW w:w="1093"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rPr>
            </w:pPr>
          </w:p>
        </w:tc>
        <w:tc>
          <w:tcPr>
            <w:tcW w:w="1217"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rPr>
            </w:pPr>
          </w:p>
        </w:tc>
        <w:tc>
          <w:tcPr>
            <w:tcW w:w="750"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w:t>
            </w:r>
          </w:p>
        </w:tc>
        <w:tc>
          <w:tcPr>
            <w:tcW w:w="2265"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牙科X射线机</w:t>
            </w:r>
          </w:p>
        </w:tc>
        <w:tc>
          <w:tcPr>
            <w:tcW w:w="1005"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八颗牙</w:t>
            </w:r>
          </w:p>
        </w:tc>
        <w:tc>
          <w:tcPr>
            <w:tcW w:w="1410"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HyperLight</w:t>
            </w:r>
          </w:p>
        </w:tc>
        <w:tc>
          <w:tcPr>
            <w:tcW w:w="85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left="0" w:leftChars="0"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台</w:t>
            </w:r>
          </w:p>
        </w:tc>
        <w:tc>
          <w:tcPr>
            <w:tcW w:w="808"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0" w:leftChars="0"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1</w:t>
            </w:r>
          </w:p>
        </w:tc>
        <w:tc>
          <w:tcPr>
            <w:tcW w:w="1093"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rPr>
            </w:pPr>
          </w:p>
        </w:tc>
        <w:tc>
          <w:tcPr>
            <w:tcW w:w="1217"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rPr>
            </w:pPr>
          </w:p>
        </w:tc>
        <w:tc>
          <w:tcPr>
            <w:tcW w:w="750"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4</w:t>
            </w:r>
          </w:p>
        </w:tc>
        <w:tc>
          <w:tcPr>
            <w:tcW w:w="2265"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口腔麻醉助推仪</w:t>
            </w:r>
          </w:p>
        </w:tc>
        <w:tc>
          <w:tcPr>
            <w:tcW w:w="1005"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索感</w:t>
            </w:r>
          </w:p>
        </w:tc>
        <w:tc>
          <w:tcPr>
            <w:tcW w:w="1410"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Smart</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rPr>
              <w:t>Ⅱ</w:t>
            </w:r>
          </w:p>
        </w:tc>
        <w:tc>
          <w:tcPr>
            <w:tcW w:w="85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left="0" w:leftChars="0"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台</w:t>
            </w:r>
          </w:p>
        </w:tc>
        <w:tc>
          <w:tcPr>
            <w:tcW w:w="808"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0" w:leftChars="0"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1</w:t>
            </w:r>
          </w:p>
        </w:tc>
        <w:tc>
          <w:tcPr>
            <w:tcW w:w="1093"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rPr>
            </w:pPr>
          </w:p>
        </w:tc>
        <w:tc>
          <w:tcPr>
            <w:tcW w:w="1217"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rPr>
            </w:pPr>
          </w:p>
        </w:tc>
        <w:tc>
          <w:tcPr>
            <w:tcW w:w="750"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5</w:t>
            </w:r>
          </w:p>
        </w:tc>
        <w:tc>
          <w:tcPr>
            <w:tcW w:w="2265"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牙片宝影像板扫描仪</w:t>
            </w:r>
          </w:p>
        </w:tc>
        <w:tc>
          <w:tcPr>
            <w:tcW w:w="1005"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菲森</w:t>
            </w:r>
          </w:p>
        </w:tc>
        <w:tc>
          <w:tcPr>
            <w:tcW w:w="1410"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F220</w:t>
            </w:r>
          </w:p>
        </w:tc>
        <w:tc>
          <w:tcPr>
            <w:tcW w:w="85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left="0" w:leftChars="0"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台</w:t>
            </w:r>
          </w:p>
        </w:tc>
        <w:tc>
          <w:tcPr>
            <w:tcW w:w="808"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0" w:leftChars="0"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1</w:t>
            </w:r>
          </w:p>
        </w:tc>
        <w:tc>
          <w:tcPr>
            <w:tcW w:w="1093"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rPr>
            </w:pPr>
          </w:p>
        </w:tc>
        <w:tc>
          <w:tcPr>
            <w:tcW w:w="1217"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rPr>
            </w:pPr>
          </w:p>
        </w:tc>
        <w:tc>
          <w:tcPr>
            <w:tcW w:w="750" w:type="dxa"/>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jc w:val="center"/>
              <w:textAlignment w:val="auto"/>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19" w:type="dxa"/>
            <w:gridSpan w:val="9"/>
            <w:vAlign w:val="center"/>
          </w:tcPr>
          <w:p>
            <w:pPr>
              <w:keepNext w:val="0"/>
              <w:keepLines w:val="0"/>
              <w:widowControl/>
              <w:suppressLineNumbers w:val="0"/>
              <w:spacing w:before="0" w:beforeAutospacing="0" w:after="0" w:afterAutospacing="0"/>
              <w:ind w:left="0" w:leftChars="0" w:right="0" w:rightChars="0"/>
              <w:rPr>
                <w:rFonts w:hint="eastAsia" w:ascii="宋体" w:hAnsi="宋体" w:eastAsia="宋体" w:cs="宋体"/>
                <w:b/>
                <w:kern w:val="0"/>
                <w:szCs w:val="21"/>
              </w:rPr>
            </w:pPr>
            <w:r>
              <w:rPr>
                <w:rFonts w:hint="eastAsia" w:ascii="宋体" w:hAnsi="宋体" w:eastAsia="宋体" w:cs="宋体"/>
                <w:b/>
                <w:kern w:val="0"/>
                <w:szCs w:val="21"/>
              </w:rPr>
              <w:t>合计（各项小计金额之和）：人民币</w:t>
            </w:r>
            <w:r>
              <w:rPr>
                <w:rFonts w:hint="eastAsia" w:ascii="宋体" w:hAnsi="宋体" w:eastAsia="宋体" w:cs="宋体"/>
                <w:b/>
                <w:kern w:val="0"/>
                <w:szCs w:val="21"/>
                <w:u w:val="single"/>
              </w:rPr>
              <w:t xml:space="preserve">    </w:t>
            </w:r>
            <w:r>
              <w:rPr>
                <w:rFonts w:hint="eastAsia" w:ascii="宋体" w:hAnsi="宋体" w:eastAsia="宋体" w:cs="宋体"/>
                <w:b/>
                <w:kern w:val="0"/>
                <w:szCs w:val="21"/>
              </w:rPr>
              <w:t>元</w:t>
            </w:r>
          </w:p>
        </w:tc>
      </w:tr>
    </w:tbl>
    <w:p>
      <w:pPr>
        <w:spacing w:line="360" w:lineRule="auto"/>
        <w:rPr>
          <w:rFonts w:hint="eastAsia" w:ascii="宋体" w:hAnsi="宋体" w:eastAsia="宋体" w:cs="Times New Roman"/>
          <w:b/>
          <w:color w:val="auto"/>
          <w:spacing w:val="4"/>
          <w:szCs w:val="21"/>
          <w:highlight w:val="none"/>
        </w:rPr>
      </w:pPr>
    </w:p>
    <w:p>
      <w:pPr>
        <w:spacing w:line="360" w:lineRule="auto"/>
        <w:rPr>
          <w:rFonts w:ascii="宋体" w:hAnsi="宋体" w:eastAsia="宋体" w:cs="Times New Roman"/>
          <w:b/>
          <w:color w:val="auto"/>
          <w:spacing w:val="4"/>
          <w:szCs w:val="21"/>
          <w:highlight w:val="none"/>
        </w:rPr>
      </w:pPr>
      <w:r>
        <w:rPr>
          <w:rFonts w:hint="eastAsia" w:ascii="宋体" w:hAnsi="宋体" w:eastAsia="宋体" w:cs="Times New Roman"/>
          <w:b/>
          <w:color w:val="auto"/>
          <w:spacing w:val="4"/>
          <w:szCs w:val="21"/>
          <w:highlight w:val="none"/>
        </w:rPr>
        <w:t>注：</w:t>
      </w:r>
    </w:p>
    <w:p>
      <w:pPr>
        <w:pStyle w:val="15"/>
        <w:numPr>
          <w:ilvl w:val="0"/>
          <w:numId w:val="20"/>
        </w:numPr>
        <w:shd w:val="clear" w:color="auto" w:fill="FFFFFF"/>
        <w:spacing w:before="0" w:beforeAutospacing="0" w:after="0" w:afterAutospacing="0" w:line="276" w:lineRule="auto"/>
        <w:rPr>
          <w:b/>
          <w:bCs/>
          <w:color w:val="auto"/>
          <w:sz w:val="21"/>
          <w:szCs w:val="21"/>
          <w:highlight w:val="none"/>
          <w:u w:val="single"/>
        </w:rPr>
      </w:pPr>
      <w:r>
        <w:rPr>
          <w:rFonts w:hint="eastAsia"/>
          <w:b/>
          <w:bCs/>
          <w:color w:val="auto"/>
          <w:sz w:val="21"/>
          <w:szCs w:val="21"/>
          <w:highlight w:val="none"/>
          <w:u w:val="single"/>
        </w:rPr>
        <w:t>供应商必须按报价表的格式填写，不得增加或删除表格内容。除单价、金额或项目要求填写的内容外，不得擅自改动报价表内容，否则将有可能影响成交结果，不推荐为成交候选人；</w:t>
      </w:r>
    </w:p>
    <w:p>
      <w:pPr>
        <w:pStyle w:val="15"/>
        <w:numPr>
          <w:ilvl w:val="0"/>
          <w:numId w:val="20"/>
        </w:numPr>
        <w:shd w:val="clear" w:color="auto" w:fill="FFFFFF"/>
        <w:spacing w:before="0" w:beforeAutospacing="0" w:after="0" w:afterAutospacing="0" w:line="276" w:lineRule="auto"/>
        <w:rPr>
          <w:b/>
          <w:color w:val="auto"/>
          <w:sz w:val="21"/>
          <w:szCs w:val="21"/>
          <w:highlight w:val="none"/>
        </w:rPr>
      </w:pPr>
      <w:r>
        <w:rPr>
          <w:rFonts w:hint="eastAsia"/>
          <w:b/>
          <w:color w:val="auto"/>
          <w:sz w:val="21"/>
          <w:szCs w:val="21"/>
          <w:highlight w:val="none"/>
        </w:rPr>
        <w:t>所有价格均系用人民币表示，单位为元，</w:t>
      </w:r>
      <w:r>
        <w:rPr>
          <w:rFonts w:hint="eastAsia"/>
          <w:b/>
          <w:bCs/>
          <w:color w:val="auto"/>
          <w:sz w:val="21"/>
          <w:szCs w:val="21"/>
          <w:highlight w:val="none"/>
        </w:rPr>
        <w:t>均为含税价</w:t>
      </w:r>
      <w:r>
        <w:rPr>
          <w:rFonts w:hint="eastAsia"/>
          <w:b/>
          <w:color w:val="auto"/>
          <w:sz w:val="21"/>
          <w:szCs w:val="21"/>
          <w:highlight w:val="none"/>
        </w:rPr>
        <w:t>；</w:t>
      </w:r>
    </w:p>
    <w:p>
      <w:pPr>
        <w:pStyle w:val="15"/>
        <w:numPr>
          <w:ilvl w:val="0"/>
          <w:numId w:val="20"/>
        </w:numPr>
        <w:shd w:val="clear" w:color="auto" w:fill="FFFFFF"/>
        <w:spacing w:before="0" w:beforeAutospacing="0" w:after="0" w:afterAutospacing="0" w:line="276" w:lineRule="auto"/>
        <w:rPr>
          <w:b/>
          <w:color w:val="auto"/>
          <w:sz w:val="21"/>
          <w:szCs w:val="21"/>
          <w:highlight w:val="none"/>
        </w:rPr>
      </w:pPr>
      <w:r>
        <w:rPr>
          <w:rFonts w:hint="eastAsia"/>
          <w:b/>
          <w:color w:val="auto"/>
          <w:sz w:val="21"/>
          <w:szCs w:val="21"/>
          <w:highlight w:val="none"/>
        </w:rPr>
        <w:t>平台上填报合计金额，平台报价与报价表合计不一致的，以报价表合计（经价格核准后的价格）为准。</w:t>
      </w:r>
    </w:p>
    <w:p>
      <w:pPr>
        <w:pStyle w:val="15"/>
        <w:numPr>
          <w:ilvl w:val="0"/>
          <w:numId w:val="20"/>
        </w:numPr>
        <w:shd w:val="clear" w:color="auto" w:fill="FFFFFF"/>
        <w:spacing w:before="0" w:beforeAutospacing="0" w:after="0" w:afterAutospacing="0" w:line="276" w:lineRule="auto"/>
        <w:rPr>
          <w:b/>
          <w:color w:val="auto"/>
          <w:szCs w:val="21"/>
          <w:highlight w:val="none"/>
        </w:rPr>
      </w:pPr>
      <w:r>
        <w:rPr>
          <w:rFonts w:hint="eastAsia"/>
          <w:b/>
          <w:color w:val="auto"/>
          <w:sz w:val="21"/>
          <w:szCs w:val="21"/>
          <w:highlight w:val="none"/>
        </w:rPr>
        <w:t>报价表必须加盖单位公章，否则视为无效报价。</w:t>
      </w:r>
    </w:p>
    <w:p>
      <w:pPr>
        <w:pStyle w:val="15"/>
        <w:numPr>
          <w:ilvl w:val="0"/>
          <w:numId w:val="0"/>
        </w:numPr>
        <w:shd w:val="clear" w:color="auto" w:fill="FFFFFF"/>
        <w:spacing w:before="0" w:beforeAutospacing="0" w:after="0" w:afterAutospacing="0" w:line="276" w:lineRule="auto"/>
        <w:ind w:leftChars="0"/>
        <w:rPr>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宋体" w:hAnsi="宋体" w:eastAsia="宋体" w:cs="Times New Roman"/>
          <w:color w:val="auto"/>
          <w:szCs w:val="21"/>
          <w:highlight w:val="none"/>
          <w:u w:val="single"/>
        </w:rPr>
      </w:pPr>
      <w:r>
        <w:rPr>
          <w:rFonts w:hint="eastAsia" w:ascii="宋体" w:hAnsi="宋体" w:eastAsia="宋体" w:cs="Times New Roman"/>
          <w:color w:val="auto"/>
          <w:spacing w:val="4"/>
          <w:szCs w:val="21"/>
          <w:highlight w:val="none"/>
        </w:rPr>
        <w:t>供应商名称（</w:t>
      </w:r>
      <w:r>
        <w:rPr>
          <w:rFonts w:hint="eastAsia" w:ascii="宋体" w:hAnsi="宋体" w:eastAsia="宋体" w:cs="Times New Roman"/>
          <w:color w:val="auto"/>
          <w:szCs w:val="21"/>
          <w:highlight w:val="none"/>
        </w:rPr>
        <w:t>单位盖</w:t>
      </w:r>
      <w:r>
        <w:rPr>
          <w:rFonts w:hint="eastAsia" w:ascii="宋体" w:hAnsi="宋体" w:eastAsia="宋体" w:cs="Times New Roman"/>
          <w:color w:val="auto"/>
          <w:spacing w:val="4"/>
          <w:szCs w:val="21"/>
          <w:highlight w:val="none"/>
        </w:rPr>
        <w:t>公章）：</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宋体" w:hAnsi="宋体" w:eastAsia="宋体" w:cs="Times New Roman"/>
          <w:color w:val="auto"/>
          <w:spacing w:val="4"/>
          <w:szCs w:val="21"/>
          <w:highlight w:val="none"/>
        </w:rPr>
      </w:pPr>
      <w:r>
        <w:rPr>
          <w:rFonts w:hint="eastAsia" w:ascii="宋体" w:hAnsi="宋体" w:eastAsia="宋体" w:cs="Times New Roman"/>
          <w:color w:val="auto"/>
          <w:spacing w:val="4"/>
          <w:szCs w:val="21"/>
          <w:highlight w:val="none"/>
        </w:rPr>
        <w:t>日期：</w:t>
      </w:r>
    </w:p>
    <w:p>
      <w:pPr>
        <w:keepNext w:val="0"/>
        <w:keepLines w:val="0"/>
        <w:pageBreakBefore w:val="0"/>
        <w:widowControl w:val="0"/>
        <w:kinsoku/>
        <w:wordWrap/>
        <w:overflowPunct/>
        <w:topLinePunct w:val="0"/>
        <w:autoSpaceDE/>
        <w:autoSpaceDN/>
        <w:bidi w:val="0"/>
        <w:adjustRightInd/>
        <w:snapToGrid/>
        <w:spacing w:line="360" w:lineRule="auto"/>
        <w:ind w:right="436"/>
        <w:jc w:val="right"/>
        <w:textAlignment w:val="auto"/>
        <w:rPr>
          <w:rFonts w:ascii="宋体" w:hAnsi="宋体" w:eastAsia="宋体" w:cs="Times New Roman"/>
          <w:color w:val="auto"/>
          <w:spacing w:val="4"/>
          <w:szCs w:val="21"/>
          <w:highlight w:val="none"/>
          <w:u w:val="single"/>
        </w:rPr>
        <w:sectPr>
          <w:pgSz w:w="11906" w:h="16838"/>
          <w:pgMar w:top="1701" w:right="1134" w:bottom="1134" w:left="1134" w:header="851" w:footer="992" w:gutter="0"/>
          <w:pgBorders>
            <w:top w:val="none" w:sz="0" w:space="0"/>
            <w:left w:val="none" w:sz="0" w:space="0"/>
            <w:bottom w:val="none" w:sz="0" w:space="0"/>
            <w:right w:val="none" w:sz="0" w:space="0"/>
          </w:pgBorders>
          <w:cols w:space="425" w:num="1"/>
          <w:titlePg/>
          <w:docGrid w:linePitch="312" w:charSpace="0"/>
        </w:sectPr>
      </w:pPr>
    </w:p>
    <w:p>
      <w:pPr>
        <w:pStyle w:val="4"/>
        <w:spacing w:before="120" w:beforeLines="50" w:after="0" w:line="360" w:lineRule="auto"/>
        <w:jc w:val="center"/>
        <w:rPr>
          <w:rFonts w:ascii="宋体" w:hAnsi="宋体" w:eastAsia="宋体"/>
          <w:color w:val="auto"/>
          <w:highlight w:val="none"/>
        </w:rPr>
      </w:pPr>
      <w:r>
        <w:rPr>
          <w:rFonts w:hint="eastAsia" w:ascii="宋体" w:hAnsi="宋体" w:eastAsia="宋体"/>
          <w:color w:val="auto"/>
          <w:highlight w:val="none"/>
        </w:rPr>
        <w:t>供应商资格声明函</w:t>
      </w:r>
    </w:p>
    <w:p>
      <w:pPr>
        <w:spacing w:before="120" w:beforeLines="50" w:line="360" w:lineRule="auto"/>
        <w:rPr>
          <w:rFonts w:ascii="宋体" w:hAnsi="宋体" w:eastAsia="宋体"/>
          <w:b/>
          <w:color w:val="auto"/>
          <w:szCs w:val="24"/>
          <w:highlight w:val="none"/>
        </w:rPr>
      </w:pPr>
      <w:r>
        <w:rPr>
          <w:rFonts w:hint="eastAsia" w:ascii="宋体" w:hAnsi="宋体" w:eastAsia="宋体"/>
          <w:b/>
          <w:color w:val="auto"/>
          <w:szCs w:val="21"/>
          <w:highlight w:val="none"/>
        </w:rPr>
        <w:t>致：</w:t>
      </w:r>
      <w:r>
        <w:rPr>
          <w:rFonts w:hint="eastAsia" w:ascii="宋体" w:hAnsi="宋体" w:eastAsia="宋体"/>
          <w:b/>
          <w:color w:val="auto"/>
          <w:szCs w:val="24"/>
          <w:highlight w:val="none"/>
          <w:lang w:eastAsia="zh-CN"/>
        </w:rPr>
        <w:t>潮州市湘桥区磷溪卫生院</w:t>
      </w:r>
      <w:r>
        <w:rPr>
          <w:rFonts w:hint="eastAsia" w:ascii="宋体" w:hAnsi="宋体" w:eastAsia="宋体"/>
          <w:b/>
          <w:color w:val="auto"/>
          <w:szCs w:val="24"/>
          <w:highlight w:val="none"/>
        </w:rPr>
        <w:t>、云采链（广州）信息科技有限公司：</w:t>
      </w:r>
    </w:p>
    <w:p>
      <w:pPr>
        <w:snapToGrid w:val="0"/>
        <w:spacing w:before="120" w:beforeLines="50" w:line="360" w:lineRule="auto"/>
        <w:ind w:firstLine="424" w:firstLineChars="202"/>
        <w:rPr>
          <w:rFonts w:ascii="宋体" w:hAnsi="宋体" w:eastAsia="宋体"/>
          <w:color w:val="auto"/>
          <w:szCs w:val="24"/>
          <w:highlight w:val="none"/>
        </w:rPr>
      </w:pPr>
      <w:r>
        <w:rPr>
          <w:rFonts w:hint="eastAsia" w:ascii="宋体" w:hAnsi="宋体" w:eastAsia="宋体"/>
          <w:color w:val="auto"/>
          <w:szCs w:val="24"/>
          <w:highlight w:val="none"/>
        </w:rPr>
        <w:t>关于</w:t>
      </w:r>
      <w:r>
        <w:rPr>
          <w:rFonts w:hint="eastAsia" w:ascii="宋体" w:hAnsi="宋体" w:eastAsia="宋体"/>
          <w:color w:val="auto"/>
          <w:szCs w:val="21"/>
          <w:highlight w:val="none"/>
        </w:rPr>
        <w:t>贵单位、贵司</w:t>
      </w:r>
      <w:r>
        <w:rPr>
          <w:rFonts w:hint="eastAsia" w:ascii="宋体" w:hAnsi="宋体" w:eastAsia="宋体"/>
          <w:color w:val="auto"/>
          <w:szCs w:val="24"/>
          <w:highlight w:val="none"/>
        </w:rPr>
        <w:t>发布</w:t>
      </w:r>
      <w:r>
        <w:rPr>
          <w:rFonts w:hint="eastAsia" w:ascii="宋体" w:hAnsi="宋体" w:eastAsia="宋体"/>
          <w:b/>
          <w:color w:val="auto"/>
          <w:szCs w:val="21"/>
          <w:highlight w:val="none"/>
          <w:u w:val="single"/>
          <w:lang w:eastAsia="zh-CN"/>
        </w:rPr>
        <w:t>潮州市湘桥区磷溪卫生院医疗设备采购项目</w:t>
      </w:r>
      <w:r>
        <w:rPr>
          <w:rFonts w:hint="eastAsia" w:ascii="宋体" w:hAnsi="宋体" w:eastAsia="宋体"/>
          <w:color w:val="auto"/>
          <w:szCs w:val="24"/>
          <w:highlight w:val="none"/>
        </w:rPr>
        <w:t>的采购公告，本公司（企业）愿意参加竞价，并声明：</w:t>
      </w:r>
    </w:p>
    <w:p>
      <w:pPr>
        <w:snapToGrid w:val="0"/>
        <w:spacing w:before="120" w:beforeLines="50" w:line="360" w:lineRule="auto"/>
        <w:ind w:firstLine="420" w:firstLineChars="200"/>
        <w:rPr>
          <w:rFonts w:ascii="宋体" w:hAnsi="宋体" w:eastAsia="宋体"/>
          <w:bCs/>
          <w:color w:val="auto"/>
          <w:szCs w:val="20"/>
          <w:highlight w:val="none"/>
        </w:rPr>
      </w:pPr>
      <w:r>
        <w:rPr>
          <w:rFonts w:hint="eastAsia" w:ascii="宋体" w:hAnsi="宋体" w:eastAsia="宋体"/>
          <w:color w:val="auto"/>
          <w:szCs w:val="24"/>
          <w:highlight w:val="none"/>
        </w:rPr>
        <w:t>一、本公司（企业）</w:t>
      </w:r>
      <w:r>
        <w:rPr>
          <w:rFonts w:hint="eastAsia" w:ascii="宋体" w:hAnsi="宋体" w:eastAsia="宋体"/>
          <w:bCs/>
          <w:color w:val="auto"/>
          <w:szCs w:val="20"/>
          <w:highlight w:val="none"/>
        </w:rPr>
        <w:t>具备《中华人民共和国政府采购法》第二十二条规定的条件：</w:t>
      </w:r>
    </w:p>
    <w:p>
      <w:pPr>
        <w:widowControl/>
        <w:spacing w:before="120" w:beforeLines="50" w:line="360" w:lineRule="auto"/>
        <w:ind w:firstLine="36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（一）具有独立承担民事责任的能力；</w:t>
      </w:r>
    </w:p>
    <w:p>
      <w:pPr>
        <w:widowControl/>
        <w:spacing w:before="120" w:beforeLines="50" w:line="360" w:lineRule="auto"/>
        <w:ind w:firstLine="36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（二）具有良好的商业信誉和健全的财务会计制度；</w:t>
      </w:r>
    </w:p>
    <w:p>
      <w:pPr>
        <w:widowControl/>
        <w:spacing w:before="120" w:beforeLines="50" w:line="360" w:lineRule="auto"/>
        <w:ind w:firstLine="36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（三）具有履行合同所必需的设备和专业技术能力；</w:t>
      </w:r>
    </w:p>
    <w:p>
      <w:pPr>
        <w:widowControl/>
        <w:spacing w:before="120" w:beforeLines="50" w:line="360" w:lineRule="auto"/>
        <w:ind w:firstLine="36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（四）有依法缴纳税收和社会保障资金的良好记录；</w:t>
      </w:r>
    </w:p>
    <w:p>
      <w:pPr>
        <w:widowControl/>
        <w:spacing w:before="120" w:beforeLines="50" w:line="360" w:lineRule="auto"/>
        <w:ind w:firstLine="36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（五）参加政府采购活动前三年内，在经营活动中没有重大违法记录；</w:t>
      </w:r>
    </w:p>
    <w:p>
      <w:pPr>
        <w:widowControl/>
        <w:spacing w:before="120" w:beforeLines="50" w:line="360" w:lineRule="auto"/>
        <w:ind w:firstLine="36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（六）法律、行政法规规定的其他条件。</w:t>
      </w:r>
    </w:p>
    <w:p>
      <w:pPr>
        <w:snapToGrid w:val="0"/>
        <w:spacing w:before="120" w:beforeLines="50" w:line="360" w:lineRule="auto"/>
        <w:ind w:firstLine="424" w:firstLineChars="202"/>
        <w:rPr>
          <w:rFonts w:ascii="宋体" w:hAnsi="宋体" w:eastAsia="宋体"/>
          <w:color w:val="auto"/>
          <w:szCs w:val="24"/>
          <w:highlight w:val="none"/>
        </w:rPr>
      </w:pPr>
      <w:r>
        <w:rPr>
          <w:rFonts w:hint="eastAsia" w:ascii="宋体" w:hAnsi="宋体" w:eastAsia="宋体"/>
          <w:color w:val="auto"/>
          <w:szCs w:val="24"/>
          <w:highlight w:val="none"/>
        </w:rPr>
        <w:t>二、本公司具有本次采购项目服务能力。</w:t>
      </w:r>
    </w:p>
    <w:p>
      <w:pPr>
        <w:snapToGrid w:val="0"/>
        <w:spacing w:before="120" w:beforeLines="50" w:line="360" w:lineRule="auto"/>
        <w:ind w:firstLine="424" w:firstLineChars="202"/>
        <w:rPr>
          <w:rFonts w:ascii="宋体" w:hAnsi="宋体" w:eastAsia="宋体"/>
          <w:color w:val="auto"/>
          <w:szCs w:val="24"/>
          <w:highlight w:val="none"/>
        </w:rPr>
      </w:pPr>
      <w:r>
        <w:rPr>
          <w:rFonts w:hint="eastAsia" w:ascii="宋体" w:hAnsi="宋体" w:eastAsia="宋体"/>
          <w:color w:val="auto"/>
          <w:szCs w:val="24"/>
          <w:highlight w:val="none"/>
        </w:rPr>
        <w:t>三、本公司有固定的经营场所，信誉良好、售后维护服务好，并且在经营活动中无严重违法记录。</w:t>
      </w:r>
    </w:p>
    <w:p>
      <w:pPr>
        <w:snapToGrid w:val="0"/>
        <w:spacing w:before="120" w:beforeLines="50" w:line="360" w:lineRule="auto"/>
        <w:ind w:firstLine="424" w:firstLineChars="202"/>
        <w:rPr>
          <w:rFonts w:ascii="宋体" w:hAnsi="宋体" w:eastAsia="宋体"/>
          <w:color w:val="auto"/>
          <w:highlight w:val="none"/>
        </w:rPr>
      </w:pPr>
      <w:r>
        <w:rPr>
          <w:rFonts w:hint="eastAsia" w:ascii="宋体" w:hAnsi="宋体" w:eastAsia="宋体"/>
          <w:color w:val="auto"/>
          <w:szCs w:val="24"/>
          <w:highlight w:val="none"/>
        </w:rPr>
        <w:t>四、</w:t>
      </w:r>
      <w:r>
        <w:rPr>
          <w:rFonts w:hint="eastAsia" w:ascii="宋体" w:hAnsi="宋体" w:eastAsia="宋体"/>
          <w:color w:val="auto"/>
          <w:highlight w:val="none"/>
        </w:rPr>
        <w:t>本公司在本项目中不转包不分包且不联合竞价。</w:t>
      </w:r>
    </w:p>
    <w:p>
      <w:pPr>
        <w:snapToGrid w:val="0"/>
        <w:spacing w:before="120" w:beforeLines="50" w:line="360" w:lineRule="auto"/>
        <w:ind w:firstLine="424" w:firstLineChars="202"/>
        <w:rPr>
          <w:rFonts w:ascii="宋体" w:hAnsi="宋体" w:eastAsia="宋体"/>
          <w:color w:val="auto"/>
          <w:szCs w:val="24"/>
          <w:highlight w:val="none"/>
        </w:rPr>
      </w:pPr>
      <w:r>
        <w:rPr>
          <w:rFonts w:hint="eastAsia" w:ascii="宋体" w:hAnsi="宋体" w:eastAsia="宋体"/>
          <w:color w:val="auto"/>
          <w:szCs w:val="24"/>
          <w:highlight w:val="none"/>
        </w:rPr>
        <w:t>本公司（企业）承诺在本次采购活动中，如有违法、违规</w:t>
      </w:r>
      <w:r>
        <w:rPr>
          <w:rFonts w:hint="eastAsia" w:ascii="宋体" w:hAnsi="宋体" w:eastAsia="宋体"/>
          <w:color w:val="auto"/>
          <w:szCs w:val="21"/>
          <w:highlight w:val="none"/>
        </w:rPr>
        <w:t>、</w:t>
      </w:r>
      <w:r>
        <w:rPr>
          <w:rFonts w:hint="eastAsia" w:ascii="宋体" w:hAnsi="宋体" w:eastAsia="宋体"/>
          <w:color w:val="auto"/>
          <w:szCs w:val="24"/>
          <w:highlight w:val="none"/>
        </w:rPr>
        <w:t>弄虚作假行为，所造成的损失、不良后果及法律责任，一律由我公司（企业）承担。</w:t>
      </w:r>
    </w:p>
    <w:p>
      <w:pPr>
        <w:spacing w:before="120" w:beforeLines="50" w:line="360" w:lineRule="auto"/>
        <w:ind w:firstLine="420"/>
        <w:rPr>
          <w:rFonts w:ascii="宋体" w:hAnsi="宋体" w:eastAsia="宋体"/>
          <w:color w:val="auto"/>
          <w:szCs w:val="24"/>
          <w:highlight w:val="none"/>
        </w:rPr>
      </w:pPr>
      <w:r>
        <w:rPr>
          <w:rFonts w:hint="eastAsia" w:ascii="宋体" w:hAnsi="宋体" w:eastAsia="宋体"/>
          <w:color w:val="auto"/>
          <w:szCs w:val="24"/>
          <w:highlight w:val="none"/>
        </w:rPr>
        <w:t>特此声明！</w:t>
      </w:r>
    </w:p>
    <w:p>
      <w:pPr>
        <w:autoSpaceDE w:val="0"/>
        <w:autoSpaceDN w:val="0"/>
        <w:adjustRightInd w:val="0"/>
        <w:spacing w:before="120" w:beforeLines="50" w:line="360" w:lineRule="auto"/>
        <w:ind w:firstLine="413" w:firstLineChars="196"/>
        <w:rPr>
          <w:rFonts w:ascii="宋体" w:hAnsi="宋体" w:eastAsia="宋体"/>
          <w:b/>
          <w:color w:val="auto"/>
          <w:highlight w:val="none"/>
        </w:rPr>
      </w:pPr>
      <w:r>
        <w:rPr>
          <w:rFonts w:hint="eastAsia" w:ascii="宋体" w:hAnsi="宋体" w:eastAsia="宋体"/>
          <w:b/>
          <w:color w:val="auto"/>
          <w:highlight w:val="none"/>
        </w:rPr>
        <w:t>备注：</w:t>
      </w:r>
    </w:p>
    <w:p>
      <w:pPr>
        <w:pStyle w:val="27"/>
        <w:numPr>
          <w:ilvl w:val="0"/>
          <w:numId w:val="21"/>
        </w:numPr>
        <w:autoSpaceDE w:val="0"/>
        <w:autoSpaceDN w:val="0"/>
        <w:adjustRightInd w:val="0"/>
        <w:spacing w:before="120" w:beforeLines="50" w:line="360" w:lineRule="auto"/>
        <w:ind w:firstLineChars="0"/>
        <w:rPr>
          <w:rFonts w:ascii="宋体" w:hAnsi="宋体"/>
          <w:color w:val="auto"/>
          <w:highlight w:val="none"/>
        </w:rPr>
      </w:pPr>
      <w:r>
        <w:rPr>
          <w:rFonts w:hint="eastAsia" w:ascii="宋体" w:hAnsi="宋体"/>
          <w:color w:val="auto"/>
          <w:highlight w:val="none"/>
        </w:rPr>
        <w:t>本声明函必须提供且内容不得擅自删改，否则视为响应无效。</w:t>
      </w:r>
    </w:p>
    <w:p>
      <w:pPr>
        <w:pStyle w:val="27"/>
        <w:numPr>
          <w:ilvl w:val="0"/>
          <w:numId w:val="21"/>
        </w:numPr>
        <w:snapToGrid w:val="0"/>
        <w:spacing w:before="120" w:beforeLines="50" w:line="360" w:lineRule="auto"/>
        <w:ind w:firstLineChars="0"/>
        <w:rPr>
          <w:rFonts w:ascii="宋体" w:hAnsi="宋体"/>
          <w:color w:val="auto"/>
          <w:szCs w:val="21"/>
          <w:highlight w:val="none"/>
        </w:rPr>
      </w:pPr>
      <w:r>
        <w:rPr>
          <w:rFonts w:hint="eastAsia" w:ascii="宋体" w:hAnsi="宋体"/>
          <w:color w:val="auto"/>
          <w:szCs w:val="21"/>
          <w:highlight w:val="none"/>
        </w:rPr>
        <w:t>本声明函如有虚假或与事实不符的，作无效报价处理。</w:t>
      </w:r>
    </w:p>
    <w:p>
      <w:pPr>
        <w:spacing w:before="120" w:beforeLines="50" w:line="360" w:lineRule="auto"/>
        <w:ind w:firstLine="420"/>
        <w:jc w:val="right"/>
        <w:rPr>
          <w:rFonts w:ascii="宋体" w:hAnsi="宋体" w:eastAsia="宋体"/>
          <w:color w:val="auto"/>
          <w:szCs w:val="24"/>
          <w:highlight w:val="none"/>
          <w:u w:val="single"/>
        </w:rPr>
      </w:pPr>
      <w:r>
        <w:rPr>
          <w:rFonts w:hint="eastAsia" w:ascii="宋体" w:hAnsi="宋体" w:eastAsia="宋体"/>
          <w:color w:val="auto"/>
          <w:szCs w:val="24"/>
          <w:highlight w:val="none"/>
        </w:rPr>
        <w:t>供应商名称（单位盖</w:t>
      </w:r>
      <w:r>
        <w:rPr>
          <w:rFonts w:hint="eastAsia" w:ascii="宋体" w:hAnsi="宋体" w:eastAsia="宋体"/>
          <w:color w:val="auto"/>
          <w:spacing w:val="4"/>
          <w:szCs w:val="24"/>
          <w:highlight w:val="none"/>
        </w:rPr>
        <w:t>公章</w:t>
      </w:r>
      <w:r>
        <w:rPr>
          <w:rFonts w:hint="eastAsia" w:ascii="宋体" w:hAnsi="宋体" w:eastAsia="宋体"/>
          <w:color w:val="auto"/>
          <w:szCs w:val="24"/>
          <w:highlight w:val="none"/>
        </w:rPr>
        <w:t>）：</w:t>
      </w:r>
    </w:p>
    <w:p>
      <w:pPr>
        <w:spacing w:before="120" w:beforeLines="50" w:line="360" w:lineRule="auto"/>
        <w:ind w:firstLine="420" w:firstLineChars="200"/>
        <w:jc w:val="right"/>
        <w:rPr>
          <w:rFonts w:ascii="宋体" w:hAnsi="宋体" w:eastAsia="宋体"/>
          <w:color w:val="auto"/>
          <w:szCs w:val="24"/>
          <w:highlight w:val="none"/>
          <w:u w:val="single"/>
        </w:rPr>
      </w:pPr>
      <w:r>
        <w:rPr>
          <w:rFonts w:hint="eastAsia" w:ascii="宋体" w:hAnsi="宋体" w:eastAsia="宋体"/>
          <w:color w:val="auto"/>
          <w:szCs w:val="24"/>
          <w:highlight w:val="none"/>
        </w:rPr>
        <w:t>日期：</w:t>
      </w:r>
    </w:p>
    <w:p>
      <w:pPr>
        <w:snapToGrid w:val="0"/>
        <w:spacing w:line="360" w:lineRule="auto"/>
        <w:jc w:val="center"/>
        <w:rPr>
          <w:rFonts w:ascii="宋体" w:hAnsi="宋体" w:eastAsia="宋体"/>
          <w:b/>
          <w:color w:val="auto"/>
          <w:highlight w:val="none"/>
        </w:rPr>
      </w:pPr>
    </w:p>
    <w:p>
      <w:pPr>
        <w:widowControl/>
        <w:jc w:val="left"/>
        <w:rPr>
          <w:rFonts w:ascii="宋体" w:hAnsi="宋体" w:eastAsia="宋体"/>
          <w:b/>
          <w:color w:val="auto"/>
          <w:highlight w:val="none"/>
        </w:rPr>
      </w:pPr>
      <w:r>
        <w:rPr>
          <w:rFonts w:ascii="宋体" w:hAnsi="宋体" w:eastAsia="宋体"/>
          <w:b/>
          <w:color w:val="auto"/>
          <w:highlight w:val="none"/>
        </w:rPr>
        <w:br w:type="page"/>
      </w:r>
    </w:p>
    <w:p>
      <w:pPr>
        <w:widowControl/>
        <w:jc w:val="left"/>
        <w:rPr>
          <w:rFonts w:ascii="宋体" w:hAnsi="宋体" w:eastAsia="宋体"/>
          <w:b/>
          <w:color w:val="auto"/>
          <w:highlight w:val="none"/>
        </w:rPr>
      </w:pPr>
    </w:p>
    <w:p>
      <w:pPr>
        <w:pStyle w:val="4"/>
        <w:keepLines w:val="0"/>
        <w:spacing w:before="120" w:beforeLines="50" w:after="240" w:line="360" w:lineRule="auto"/>
        <w:ind w:left="720" w:hanging="360"/>
        <w:jc w:val="center"/>
        <w:rPr>
          <w:rFonts w:ascii="宋体" w:hAnsi="宋体" w:eastAsia="宋体"/>
          <w:color w:val="auto"/>
          <w:highlight w:val="none"/>
        </w:rPr>
      </w:pPr>
      <w:r>
        <w:rPr>
          <w:rFonts w:hint="eastAsia" w:ascii="宋体" w:hAnsi="宋体" w:eastAsia="宋体"/>
          <w:color w:val="auto"/>
          <w:highlight w:val="none"/>
        </w:rPr>
        <w:t>用户需求书响应声明函</w:t>
      </w:r>
    </w:p>
    <w:p>
      <w:pPr>
        <w:spacing w:before="120" w:beforeLines="50" w:line="360" w:lineRule="auto"/>
        <w:rPr>
          <w:rFonts w:ascii="宋体" w:hAnsi="宋体" w:eastAsia="宋体"/>
          <w:b/>
          <w:color w:val="auto"/>
          <w:szCs w:val="21"/>
          <w:highlight w:val="none"/>
        </w:rPr>
      </w:pPr>
      <w:r>
        <w:rPr>
          <w:rFonts w:hint="eastAsia" w:ascii="宋体" w:hAnsi="宋体" w:eastAsia="宋体"/>
          <w:b/>
          <w:color w:val="auto"/>
          <w:szCs w:val="21"/>
          <w:highlight w:val="none"/>
        </w:rPr>
        <w:t>致：</w:t>
      </w:r>
      <w:r>
        <w:rPr>
          <w:rFonts w:hint="eastAsia" w:ascii="宋体" w:hAnsi="宋体" w:eastAsia="宋体"/>
          <w:b/>
          <w:color w:val="auto"/>
          <w:szCs w:val="24"/>
          <w:highlight w:val="none"/>
          <w:lang w:eastAsia="zh-CN"/>
        </w:rPr>
        <w:t>潮州市湘桥区磷溪卫生院</w:t>
      </w:r>
      <w:r>
        <w:rPr>
          <w:rFonts w:hint="eastAsia" w:ascii="宋体" w:hAnsi="宋体" w:eastAsia="宋体"/>
          <w:b/>
          <w:color w:val="auto"/>
          <w:szCs w:val="24"/>
          <w:highlight w:val="none"/>
        </w:rPr>
        <w:t>、云采链（广州）信息科技有限公司：</w:t>
      </w:r>
    </w:p>
    <w:p>
      <w:pPr>
        <w:snapToGrid w:val="0"/>
        <w:spacing w:before="120" w:beforeLines="50"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关于</w:t>
      </w:r>
      <w:bookmarkStart w:id="1" w:name="_Hlk28268855"/>
      <w:r>
        <w:rPr>
          <w:rFonts w:hint="eastAsia" w:ascii="宋体" w:hAnsi="宋体" w:eastAsia="宋体"/>
          <w:color w:val="auto"/>
          <w:szCs w:val="21"/>
          <w:highlight w:val="none"/>
        </w:rPr>
        <w:t>贵单位、贵司</w:t>
      </w:r>
      <w:bookmarkEnd w:id="1"/>
      <w:r>
        <w:rPr>
          <w:rFonts w:hint="eastAsia" w:ascii="宋体" w:hAnsi="宋体" w:eastAsia="宋体"/>
          <w:color w:val="auto"/>
          <w:szCs w:val="21"/>
          <w:highlight w:val="none"/>
        </w:rPr>
        <w:t>发布</w:t>
      </w:r>
      <w:r>
        <w:rPr>
          <w:rFonts w:hint="eastAsia" w:ascii="宋体" w:hAnsi="宋体" w:eastAsia="宋体"/>
          <w:b/>
          <w:color w:val="auto"/>
          <w:szCs w:val="21"/>
          <w:highlight w:val="none"/>
          <w:u w:val="single"/>
          <w:lang w:eastAsia="zh-CN"/>
        </w:rPr>
        <w:t>潮州市湘桥区磷溪卫生院医疗设备采购项目</w:t>
      </w:r>
      <w:r>
        <w:rPr>
          <w:rFonts w:hint="eastAsia" w:ascii="宋体" w:hAnsi="宋体" w:eastAsia="宋体"/>
          <w:color w:val="auto"/>
          <w:szCs w:val="21"/>
          <w:highlight w:val="none"/>
        </w:rPr>
        <w:t>的竞价公告，本公司（企业）愿意参加采购活动，并作出如下声明：</w:t>
      </w:r>
    </w:p>
    <w:p>
      <w:pPr>
        <w:pStyle w:val="40"/>
        <w:tabs>
          <w:tab w:val="left" w:pos="426"/>
        </w:tabs>
        <w:snapToGrid w:val="0"/>
        <w:spacing w:before="120" w:beforeLines="50" w:line="360" w:lineRule="auto"/>
        <w:ind w:firstLineChars="0"/>
        <w:rPr>
          <w:rFonts w:ascii="宋体" w:hAnsi="宋体"/>
          <w:color w:val="auto"/>
          <w:highlight w:val="none"/>
        </w:rPr>
      </w:pPr>
      <w:r>
        <w:rPr>
          <w:rFonts w:hint="eastAsia" w:ascii="宋体" w:hAnsi="宋体"/>
          <w:color w:val="auto"/>
          <w:highlight w:val="none"/>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pStyle w:val="40"/>
        <w:tabs>
          <w:tab w:val="left" w:pos="426"/>
        </w:tabs>
        <w:snapToGrid w:val="0"/>
        <w:spacing w:before="120" w:beforeLines="50" w:line="360" w:lineRule="auto"/>
        <w:ind w:firstLineChars="0"/>
        <w:rPr>
          <w:rFonts w:ascii="宋体" w:hAnsi="宋体" w:cs="宋体"/>
          <w:color w:val="auto"/>
          <w:highlight w:val="none"/>
        </w:rPr>
      </w:pPr>
      <w:r>
        <w:rPr>
          <w:rFonts w:hint="eastAsia" w:ascii="宋体" w:hAnsi="宋体" w:cs="宋体"/>
          <w:color w:val="auto"/>
          <w:highlight w:val="none"/>
        </w:rPr>
        <w:t>本公司（企业）承诺在本次采购活动中，如有违法、违规、弄虚作假行为，所造成的损失、不良后果及法律责任，一律由我公司（企业）承担。</w:t>
      </w:r>
    </w:p>
    <w:p>
      <w:pPr>
        <w:autoSpaceDE w:val="0"/>
        <w:autoSpaceDN w:val="0"/>
        <w:adjustRightInd w:val="0"/>
        <w:spacing w:before="120" w:beforeLines="50" w:line="360" w:lineRule="auto"/>
        <w:ind w:firstLine="413" w:firstLineChars="196"/>
        <w:rPr>
          <w:rFonts w:ascii="宋体" w:hAnsi="宋体" w:eastAsia="宋体"/>
          <w:b/>
          <w:color w:val="auto"/>
          <w:highlight w:val="none"/>
        </w:rPr>
      </w:pPr>
      <w:r>
        <w:rPr>
          <w:rFonts w:hint="eastAsia" w:ascii="宋体" w:hAnsi="宋体" w:eastAsia="宋体"/>
          <w:b/>
          <w:color w:val="auto"/>
          <w:highlight w:val="none"/>
        </w:rPr>
        <w:t>备注：</w:t>
      </w:r>
    </w:p>
    <w:p>
      <w:pPr>
        <w:pStyle w:val="27"/>
        <w:numPr>
          <w:ilvl w:val="0"/>
          <w:numId w:val="22"/>
        </w:numPr>
        <w:autoSpaceDE w:val="0"/>
        <w:autoSpaceDN w:val="0"/>
        <w:adjustRightInd w:val="0"/>
        <w:spacing w:before="120" w:beforeLines="50" w:line="360" w:lineRule="auto"/>
        <w:ind w:firstLineChars="0"/>
        <w:rPr>
          <w:rFonts w:ascii="宋体" w:hAnsi="宋体"/>
          <w:color w:val="auto"/>
          <w:highlight w:val="none"/>
        </w:rPr>
      </w:pPr>
      <w:r>
        <w:rPr>
          <w:rFonts w:hint="eastAsia" w:ascii="宋体" w:hAnsi="宋体"/>
          <w:color w:val="auto"/>
          <w:highlight w:val="none"/>
        </w:rPr>
        <w:t>本声明函必须提供且内容不得擅自删改，否则视为响应无效。</w:t>
      </w:r>
    </w:p>
    <w:p>
      <w:pPr>
        <w:pStyle w:val="27"/>
        <w:numPr>
          <w:ilvl w:val="0"/>
          <w:numId w:val="22"/>
        </w:numPr>
        <w:snapToGrid w:val="0"/>
        <w:spacing w:before="120" w:beforeLines="50" w:line="360" w:lineRule="auto"/>
        <w:ind w:firstLineChars="0"/>
        <w:rPr>
          <w:rFonts w:ascii="宋体" w:hAnsi="宋体"/>
          <w:color w:val="auto"/>
          <w:szCs w:val="21"/>
          <w:highlight w:val="none"/>
        </w:rPr>
      </w:pPr>
      <w:r>
        <w:rPr>
          <w:rFonts w:hint="eastAsia" w:ascii="宋体" w:hAnsi="宋体"/>
          <w:color w:val="auto"/>
          <w:szCs w:val="21"/>
          <w:highlight w:val="none"/>
        </w:rPr>
        <w:t>本声明函如有虚假或与事实不符的，作无效报价处理。</w:t>
      </w:r>
    </w:p>
    <w:p>
      <w:pPr>
        <w:widowControl/>
        <w:spacing w:before="120" w:beforeLines="50" w:line="360" w:lineRule="auto"/>
        <w:jc w:val="left"/>
        <w:rPr>
          <w:rFonts w:ascii="宋体" w:hAnsi="宋体" w:eastAsia="宋体"/>
          <w:b/>
          <w:bCs/>
          <w:color w:val="auto"/>
          <w:kern w:val="0"/>
          <w:sz w:val="32"/>
          <w:szCs w:val="32"/>
          <w:highlight w:val="none"/>
        </w:rPr>
      </w:pPr>
    </w:p>
    <w:p>
      <w:pPr>
        <w:spacing w:before="120" w:beforeLines="50" w:line="360" w:lineRule="auto"/>
        <w:jc w:val="right"/>
        <w:rPr>
          <w:rFonts w:ascii="宋体" w:hAnsi="宋体" w:eastAsia="宋体"/>
          <w:color w:val="auto"/>
          <w:szCs w:val="21"/>
          <w:highlight w:val="none"/>
          <w:u w:val="single"/>
        </w:rPr>
      </w:pPr>
      <w:r>
        <w:rPr>
          <w:rFonts w:hint="eastAsia" w:ascii="宋体" w:hAnsi="宋体" w:eastAsia="宋体"/>
          <w:color w:val="auto"/>
          <w:spacing w:val="4"/>
          <w:szCs w:val="21"/>
          <w:highlight w:val="none"/>
        </w:rPr>
        <w:t>供应商名称（</w:t>
      </w:r>
      <w:r>
        <w:rPr>
          <w:rFonts w:hint="eastAsia" w:ascii="宋体" w:hAnsi="宋体" w:eastAsia="宋体"/>
          <w:color w:val="auto"/>
          <w:szCs w:val="21"/>
          <w:highlight w:val="none"/>
        </w:rPr>
        <w:t>单位盖</w:t>
      </w:r>
      <w:r>
        <w:rPr>
          <w:rFonts w:hint="eastAsia" w:ascii="宋体" w:hAnsi="宋体" w:eastAsia="宋体"/>
          <w:color w:val="auto"/>
          <w:spacing w:val="4"/>
          <w:szCs w:val="21"/>
          <w:highlight w:val="none"/>
        </w:rPr>
        <w:t>公章）：</w:t>
      </w:r>
    </w:p>
    <w:p>
      <w:pPr>
        <w:spacing w:before="120" w:beforeLines="50" w:line="360" w:lineRule="auto"/>
        <w:jc w:val="right"/>
        <w:rPr>
          <w:rFonts w:ascii="宋体" w:hAnsi="宋体" w:eastAsia="宋体"/>
          <w:color w:val="auto"/>
          <w:szCs w:val="21"/>
          <w:highlight w:val="none"/>
          <w:u w:val="single"/>
        </w:rPr>
      </w:pPr>
      <w:r>
        <w:rPr>
          <w:rFonts w:hint="eastAsia" w:ascii="宋体" w:hAnsi="宋体" w:eastAsia="宋体"/>
          <w:color w:val="auto"/>
          <w:spacing w:val="4"/>
          <w:szCs w:val="21"/>
          <w:highlight w:val="none"/>
        </w:rPr>
        <w:t>日期：</w:t>
      </w:r>
    </w:p>
    <w:p>
      <w:pPr>
        <w:snapToGrid w:val="0"/>
        <w:spacing w:before="120" w:beforeLines="50" w:line="360" w:lineRule="auto"/>
        <w:jc w:val="center"/>
        <w:rPr>
          <w:rFonts w:ascii="宋体" w:hAnsi="宋体" w:eastAsia="宋体"/>
          <w:b/>
          <w:color w:val="auto"/>
          <w:highlight w:val="none"/>
        </w:rPr>
      </w:pPr>
    </w:p>
    <w:sectPr>
      <w:pgSz w:w="11906" w:h="16838"/>
      <w:pgMar w:top="1701" w:right="1134" w:bottom="1134" w:left="1134" w:header="851" w:footer="992" w:gutter="0"/>
      <w:pgBorders>
        <w:top w:val="none" w:sz="0" w:space="0"/>
        <w:left w:val="none" w:sz="0" w:space="0"/>
        <w:bottom w:val="none" w:sz="0" w:space="0"/>
        <w:right w:val="none" w:sz="0" w:space="0"/>
      </w:pgBorders>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Gulim">
    <w:altName w:val="Malgun Gothic"/>
    <w:panose1 w:val="020B0600000101010101"/>
    <w:charset w:val="81"/>
    <w:family w:val="roman"/>
    <w:pitch w:val="default"/>
    <w:sig w:usb0="00000000" w:usb1="00000000" w:usb2="00000010" w:usb3="00000000" w:csb0="0008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7813074"/>
    </w:sdtPr>
    <w:sdtContent>
      <w:sdt>
        <w:sdtPr>
          <w:id w:val="-1669238322"/>
        </w:sdtPr>
        <w:sdtContent>
          <w:p>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p>
        </w:sdtContent>
      </w:sdt>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1270559"/>
    </w:sdtPr>
    <w:sdtContent>
      <w:p>
        <w:pPr>
          <w:pStyle w:val="12"/>
          <w:jc w:val="center"/>
        </w:pPr>
        <w:r>
          <w:fldChar w:fldCharType="begin"/>
        </w:r>
        <w:r>
          <w:instrText xml:space="preserve">PAGE   \* MERGEFORMAT</w:instrText>
        </w:r>
        <w:r>
          <w:fldChar w:fldCharType="separate"/>
        </w:r>
        <w:r>
          <w:rPr>
            <w:lang w:val="zh-CN"/>
          </w:rPr>
          <w:t>6</w:t>
        </w:r>
        <w: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
    <w:nsid w:val="140A6B21"/>
    <w:multiLevelType w:val="multilevel"/>
    <w:tmpl w:val="140A6B2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
    <w:nsid w:val="196573AE"/>
    <w:multiLevelType w:val="multilevel"/>
    <w:tmpl w:val="196573A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27D41A0"/>
    <w:multiLevelType w:val="multilevel"/>
    <w:tmpl w:val="227D41A0"/>
    <w:lvl w:ilvl="0" w:tentative="0">
      <w:start w:val="1"/>
      <w:numFmt w:val="decimal"/>
      <w:suff w:val="nothing"/>
      <w:lvlText w:val="%1)"/>
      <w:lvlJc w:val="left"/>
      <w:pPr>
        <w:ind w:left="840" w:hanging="420"/>
      </w:pPr>
      <w:rPr>
        <w:rFonts w:hint="eastAsia" w:ascii="宋体" w:hAnsi="宋体" w:eastAsia="宋体"/>
        <w:b w:val="0"/>
        <w:sz w:val="21"/>
        <w:szCs w:val="21"/>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297CE9A3"/>
    <w:multiLevelType w:val="singleLevel"/>
    <w:tmpl w:val="297CE9A3"/>
    <w:lvl w:ilvl="0" w:tentative="0">
      <w:start w:val="8"/>
      <w:numFmt w:val="decimal"/>
      <w:lvlText w:val="%1."/>
      <w:lvlJc w:val="left"/>
      <w:pPr>
        <w:tabs>
          <w:tab w:val="left" w:pos="312"/>
        </w:tabs>
      </w:pPr>
    </w:lvl>
  </w:abstractNum>
  <w:abstractNum w:abstractNumId="6">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7">
    <w:nsid w:val="31C63541"/>
    <w:multiLevelType w:val="multilevel"/>
    <w:tmpl w:val="31C63541"/>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34433F59"/>
    <w:multiLevelType w:val="multilevel"/>
    <w:tmpl w:val="34433F59"/>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3A3E0B93"/>
    <w:multiLevelType w:val="multilevel"/>
    <w:tmpl w:val="3A3E0B93"/>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3CE44964"/>
    <w:multiLevelType w:val="multilevel"/>
    <w:tmpl w:val="3CE4496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85817B9"/>
    <w:multiLevelType w:val="multilevel"/>
    <w:tmpl w:val="485817B9"/>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4">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5">
    <w:nsid w:val="4F1EB162"/>
    <w:multiLevelType w:val="singleLevel"/>
    <w:tmpl w:val="4F1EB162"/>
    <w:lvl w:ilvl="0" w:tentative="0">
      <w:start w:val="1"/>
      <w:numFmt w:val="decimal"/>
      <w:lvlText w:val="%1."/>
      <w:lvlJc w:val="left"/>
      <w:pPr>
        <w:ind w:left="425" w:hanging="425"/>
      </w:pPr>
      <w:rPr>
        <w:rFonts w:hint="default"/>
      </w:rPr>
    </w:lvl>
  </w:abstractNum>
  <w:abstractNum w:abstractNumId="16">
    <w:nsid w:val="53DC66C2"/>
    <w:multiLevelType w:val="multilevel"/>
    <w:tmpl w:val="53DC66C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17">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8">
    <w:nsid w:val="61387087"/>
    <w:multiLevelType w:val="multilevel"/>
    <w:tmpl w:val="61387087"/>
    <w:lvl w:ilvl="0" w:tentative="0">
      <w:start w:val="1"/>
      <w:numFmt w:val="decimal"/>
      <w:lvlText w:val="%1."/>
      <w:lvlJc w:val="left"/>
      <w:pPr>
        <w:tabs>
          <w:tab w:val="left" w:pos="425"/>
        </w:tabs>
        <w:ind w:left="425" w:hanging="425"/>
      </w:pPr>
      <w:rPr>
        <w:b w:val="0"/>
        <w:sz w:val="21"/>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9">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6E92880"/>
    <w:multiLevelType w:val="multilevel"/>
    <w:tmpl w:val="76E92880"/>
    <w:lvl w:ilvl="0" w:tentative="0">
      <w:start w:val="1"/>
      <w:numFmt w:val="decimal"/>
      <w:suff w:val="nothing"/>
      <w:lvlText w:val="%1)"/>
      <w:lvlJc w:val="left"/>
      <w:pPr>
        <w:ind w:left="840" w:hanging="420"/>
      </w:pPr>
      <w:rPr>
        <w:rFonts w:hint="eastAsia"/>
        <w:b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19"/>
  </w:num>
  <w:num w:numId="2">
    <w:abstractNumId w:val="8"/>
  </w:num>
  <w:num w:numId="3">
    <w:abstractNumId w:val="10"/>
  </w:num>
  <w:num w:numId="4">
    <w:abstractNumId w:val="16"/>
  </w:num>
  <w:num w:numId="5">
    <w:abstractNumId w:val="21"/>
  </w:num>
  <w:num w:numId="6">
    <w:abstractNumId w:val="17"/>
  </w:num>
  <w:num w:numId="7">
    <w:abstractNumId w:val="0"/>
  </w:num>
  <w:num w:numId="8">
    <w:abstractNumId w:val="1"/>
  </w:num>
  <w:num w:numId="9">
    <w:abstractNumId w:val="11"/>
  </w:num>
  <w:num w:numId="10">
    <w:abstractNumId w:val="2"/>
  </w:num>
  <w:num w:numId="11">
    <w:abstractNumId w:val="9"/>
  </w:num>
  <w:num w:numId="12">
    <w:abstractNumId w:val="4"/>
  </w:num>
  <w:num w:numId="13">
    <w:abstractNumId w:val="12"/>
  </w:num>
  <w:num w:numId="14">
    <w:abstractNumId w:val="3"/>
  </w:num>
  <w:num w:numId="15">
    <w:abstractNumId w:val="7"/>
  </w:num>
  <w:num w:numId="16">
    <w:abstractNumId w:val="5"/>
  </w:num>
  <w:num w:numId="17">
    <w:abstractNumId w:val="15"/>
  </w:num>
  <w:num w:numId="18">
    <w:abstractNumId w:val="13"/>
  </w:num>
  <w:num w:numId="19">
    <w:abstractNumId w:val="18"/>
  </w:num>
  <w:num w:numId="20">
    <w:abstractNumId w:val="20"/>
  </w:num>
  <w:num w:numId="21">
    <w:abstractNumId w:val="1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kYmIyZTI1NmRhOWU4NTE3YjVhYTFmYTVkN2IwOGYifQ=="/>
  </w:docVars>
  <w:rsids>
    <w:rsidRoot w:val="00A15ADD"/>
    <w:rsid w:val="00001A63"/>
    <w:rsid w:val="00006F70"/>
    <w:rsid w:val="00021198"/>
    <w:rsid w:val="00026198"/>
    <w:rsid w:val="000317D5"/>
    <w:rsid w:val="00040439"/>
    <w:rsid w:val="0005097D"/>
    <w:rsid w:val="00050F5F"/>
    <w:rsid w:val="00055007"/>
    <w:rsid w:val="000573EF"/>
    <w:rsid w:val="00060CD7"/>
    <w:rsid w:val="000617FB"/>
    <w:rsid w:val="00063B3A"/>
    <w:rsid w:val="00072675"/>
    <w:rsid w:val="000770D3"/>
    <w:rsid w:val="00082BF9"/>
    <w:rsid w:val="000A0A77"/>
    <w:rsid w:val="000A6ED9"/>
    <w:rsid w:val="000A7A98"/>
    <w:rsid w:val="000B0E46"/>
    <w:rsid w:val="000B497E"/>
    <w:rsid w:val="000C519F"/>
    <w:rsid w:val="000C6AA8"/>
    <w:rsid w:val="000D110A"/>
    <w:rsid w:val="000E48C6"/>
    <w:rsid w:val="000E673A"/>
    <w:rsid w:val="000F0E4D"/>
    <w:rsid w:val="000F5240"/>
    <w:rsid w:val="000F6C50"/>
    <w:rsid w:val="001007E1"/>
    <w:rsid w:val="001043D8"/>
    <w:rsid w:val="00104F72"/>
    <w:rsid w:val="00107B00"/>
    <w:rsid w:val="00110E64"/>
    <w:rsid w:val="001116BD"/>
    <w:rsid w:val="0012186D"/>
    <w:rsid w:val="00127282"/>
    <w:rsid w:val="001514AC"/>
    <w:rsid w:val="00152DB0"/>
    <w:rsid w:val="0015507F"/>
    <w:rsid w:val="001557C7"/>
    <w:rsid w:val="00157219"/>
    <w:rsid w:val="00170457"/>
    <w:rsid w:val="00171CCF"/>
    <w:rsid w:val="00172242"/>
    <w:rsid w:val="00174891"/>
    <w:rsid w:val="001754D2"/>
    <w:rsid w:val="00181C44"/>
    <w:rsid w:val="00184C57"/>
    <w:rsid w:val="0019370B"/>
    <w:rsid w:val="0019525E"/>
    <w:rsid w:val="001967C9"/>
    <w:rsid w:val="001971F5"/>
    <w:rsid w:val="001A151B"/>
    <w:rsid w:val="001A41E8"/>
    <w:rsid w:val="001B2382"/>
    <w:rsid w:val="001B50D0"/>
    <w:rsid w:val="001B653C"/>
    <w:rsid w:val="001B70B3"/>
    <w:rsid w:val="001C3B3B"/>
    <w:rsid w:val="001D199D"/>
    <w:rsid w:val="001D39C3"/>
    <w:rsid w:val="001E41A8"/>
    <w:rsid w:val="001F4F84"/>
    <w:rsid w:val="001F7544"/>
    <w:rsid w:val="002033BE"/>
    <w:rsid w:val="00205D5B"/>
    <w:rsid w:val="0020774F"/>
    <w:rsid w:val="00211DA0"/>
    <w:rsid w:val="002134B8"/>
    <w:rsid w:val="002146B5"/>
    <w:rsid w:val="00214737"/>
    <w:rsid w:val="00217B53"/>
    <w:rsid w:val="002209CA"/>
    <w:rsid w:val="002212C5"/>
    <w:rsid w:val="002271D2"/>
    <w:rsid w:val="00242907"/>
    <w:rsid w:val="0025197D"/>
    <w:rsid w:val="002522E4"/>
    <w:rsid w:val="00254FE0"/>
    <w:rsid w:val="002677F8"/>
    <w:rsid w:val="00270AE9"/>
    <w:rsid w:val="00272E83"/>
    <w:rsid w:val="002764DE"/>
    <w:rsid w:val="00277545"/>
    <w:rsid w:val="00281002"/>
    <w:rsid w:val="002815B1"/>
    <w:rsid w:val="00282909"/>
    <w:rsid w:val="00292C4D"/>
    <w:rsid w:val="00297293"/>
    <w:rsid w:val="002A726E"/>
    <w:rsid w:val="002A799E"/>
    <w:rsid w:val="002A79E1"/>
    <w:rsid w:val="002B30CD"/>
    <w:rsid w:val="002C1C99"/>
    <w:rsid w:val="002C29C3"/>
    <w:rsid w:val="002D081C"/>
    <w:rsid w:val="002D435E"/>
    <w:rsid w:val="002E0CBC"/>
    <w:rsid w:val="002E19DE"/>
    <w:rsid w:val="002E6BE1"/>
    <w:rsid w:val="002E6CCA"/>
    <w:rsid w:val="002F6F9B"/>
    <w:rsid w:val="0031133E"/>
    <w:rsid w:val="003227C7"/>
    <w:rsid w:val="003404FC"/>
    <w:rsid w:val="00344D2E"/>
    <w:rsid w:val="00345F75"/>
    <w:rsid w:val="003510D1"/>
    <w:rsid w:val="00355E8F"/>
    <w:rsid w:val="0036055A"/>
    <w:rsid w:val="003715D3"/>
    <w:rsid w:val="003734FC"/>
    <w:rsid w:val="00382E2A"/>
    <w:rsid w:val="00396D9F"/>
    <w:rsid w:val="003A1214"/>
    <w:rsid w:val="003B1ADC"/>
    <w:rsid w:val="003B75B1"/>
    <w:rsid w:val="003C1DF2"/>
    <w:rsid w:val="003C1F7D"/>
    <w:rsid w:val="003C622C"/>
    <w:rsid w:val="003C67F8"/>
    <w:rsid w:val="003D0A59"/>
    <w:rsid w:val="003D12ED"/>
    <w:rsid w:val="003D2F6E"/>
    <w:rsid w:val="003D4B96"/>
    <w:rsid w:val="003E5E4A"/>
    <w:rsid w:val="003E6906"/>
    <w:rsid w:val="003F393B"/>
    <w:rsid w:val="003F43AC"/>
    <w:rsid w:val="0040795F"/>
    <w:rsid w:val="00413099"/>
    <w:rsid w:val="00420173"/>
    <w:rsid w:val="00421F1A"/>
    <w:rsid w:val="00424F8F"/>
    <w:rsid w:val="00425853"/>
    <w:rsid w:val="00446681"/>
    <w:rsid w:val="004476C4"/>
    <w:rsid w:val="00451C55"/>
    <w:rsid w:val="00454C19"/>
    <w:rsid w:val="004633E9"/>
    <w:rsid w:val="004812DE"/>
    <w:rsid w:val="00493F40"/>
    <w:rsid w:val="00494F40"/>
    <w:rsid w:val="00497963"/>
    <w:rsid w:val="004A5EFB"/>
    <w:rsid w:val="004B1AB2"/>
    <w:rsid w:val="004B31A3"/>
    <w:rsid w:val="004B4018"/>
    <w:rsid w:val="004C65B3"/>
    <w:rsid w:val="004D1811"/>
    <w:rsid w:val="004D37EA"/>
    <w:rsid w:val="004D638A"/>
    <w:rsid w:val="004E0DE4"/>
    <w:rsid w:val="004E5BD5"/>
    <w:rsid w:val="004E5BED"/>
    <w:rsid w:val="005033AE"/>
    <w:rsid w:val="00503AF0"/>
    <w:rsid w:val="00504572"/>
    <w:rsid w:val="005115C8"/>
    <w:rsid w:val="00517AFF"/>
    <w:rsid w:val="00524AD5"/>
    <w:rsid w:val="005267DE"/>
    <w:rsid w:val="00530C9D"/>
    <w:rsid w:val="00531FFF"/>
    <w:rsid w:val="00535EB8"/>
    <w:rsid w:val="00540CF2"/>
    <w:rsid w:val="005431D0"/>
    <w:rsid w:val="005458B0"/>
    <w:rsid w:val="005650E5"/>
    <w:rsid w:val="00565576"/>
    <w:rsid w:val="005743D1"/>
    <w:rsid w:val="00574695"/>
    <w:rsid w:val="00581A4F"/>
    <w:rsid w:val="005843F0"/>
    <w:rsid w:val="005871B8"/>
    <w:rsid w:val="005B353D"/>
    <w:rsid w:val="005B367D"/>
    <w:rsid w:val="005B3747"/>
    <w:rsid w:val="005D11A8"/>
    <w:rsid w:val="005D202C"/>
    <w:rsid w:val="005D2B02"/>
    <w:rsid w:val="005D60CF"/>
    <w:rsid w:val="005E1277"/>
    <w:rsid w:val="005E2531"/>
    <w:rsid w:val="005F7325"/>
    <w:rsid w:val="00613EA6"/>
    <w:rsid w:val="00615B80"/>
    <w:rsid w:val="00616529"/>
    <w:rsid w:val="006176AD"/>
    <w:rsid w:val="006208B7"/>
    <w:rsid w:val="00621AEE"/>
    <w:rsid w:val="00624277"/>
    <w:rsid w:val="00633259"/>
    <w:rsid w:val="00634C64"/>
    <w:rsid w:val="00635547"/>
    <w:rsid w:val="00645311"/>
    <w:rsid w:val="0064609E"/>
    <w:rsid w:val="00660EBB"/>
    <w:rsid w:val="0066187F"/>
    <w:rsid w:val="00676D10"/>
    <w:rsid w:val="006807E6"/>
    <w:rsid w:val="006836FB"/>
    <w:rsid w:val="00685FD7"/>
    <w:rsid w:val="0068650A"/>
    <w:rsid w:val="006902C9"/>
    <w:rsid w:val="006917D2"/>
    <w:rsid w:val="0069531B"/>
    <w:rsid w:val="00695B7F"/>
    <w:rsid w:val="006A54A2"/>
    <w:rsid w:val="006B433D"/>
    <w:rsid w:val="006C1932"/>
    <w:rsid w:val="006C56F4"/>
    <w:rsid w:val="006D7D7C"/>
    <w:rsid w:val="006E1871"/>
    <w:rsid w:val="006E26BD"/>
    <w:rsid w:val="006E4E6D"/>
    <w:rsid w:val="006E574E"/>
    <w:rsid w:val="006F2211"/>
    <w:rsid w:val="007026EE"/>
    <w:rsid w:val="007039F6"/>
    <w:rsid w:val="00704805"/>
    <w:rsid w:val="00704E0A"/>
    <w:rsid w:val="007073AC"/>
    <w:rsid w:val="00712000"/>
    <w:rsid w:val="007225F9"/>
    <w:rsid w:val="007268C3"/>
    <w:rsid w:val="007278FF"/>
    <w:rsid w:val="00732D9C"/>
    <w:rsid w:val="00740C98"/>
    <w:rsid w:val="00755EA1"/>
    <w:rsid w:val="00780EB7"/>
    <w:rsid w:val="00785788"/>
    <w:rsid w:val="00787343"/>
    <w:rsid w:val="0079162E"/>
    <w:rsid w:val="007956A8"/>
    <w:rsid w:val="00796208"/>
    <w:rsid w:val="007A2331"/>
    <w:rsid w:val="007C097A"/>
    <w:rsid w:val="007C155B"/>
    <w:rsid w:val="007C68F7"/>
    <w:rsid w:val="007C7EB1"/>
    <w:rsid w:val="007E0DEE"/>
    <w:rsid w:val="007E3313"/>
    <w:rsid w:val="007F7F71"/>
    <w:rsid w:val="008032C8"/>
    <w:rsid w:val="00806D4B"/>
    <w:rsid w:val="00813D23"/>
    <w:rsid w:val="008148C0"/>
    <w:rsid w:val="00820AA9"/>
    <w:rsid w:val="00830F19"/>
    <w:rsid w:val="0084528F"/>
    <w:rsid w:val="008464D8"/>
    <w:rsid w:val="008475A3"/>
    <w:rsid w:val="0085165F"/>
    <w:rsid w:val="008552F8"/>
    <w:rsid w:val="00855E1E"/>
    <w:rsid w:val="00866E3A"/>
    <w:rsid w:val="008769C2"/>
    <w:rsid w:val="00885DCB"/>
    <w:rsid w:val="0089622F"/>
    <w:rsid w:val="008A0686"/>
    <w:rsid w:val="008A2DCA"/>
    <w:rsid w:val="008A4594"/>
    <w:rsid w:val="008C1652"/>
    <w:rsid w:val="008D1924"/>
    <w:rsid w:val="008D1AA4"/>
    <w:rsid w:val="008E26B9"/>
    <w:rsid w:val="008E2D44"/>
    <w:rsid w:val="008E6BDC"/>
    <w:rsid w:val="008F28CD"/>
    <w:rsid w:val="008F582C"/>
    <w:rsid w:val="008F5FA9"/>
    <w:rsid w:val="00901CF4"/>
    <w:rsid w:val="0090689F"/>
    <w:rsid w:val="00906C7C"/>
    <w:rsid w:val="00907D5D"/>
    <w:rsid w:val="0091735E"/>
    <w:rsid w:val="009347DD"/>
    <w:rsid w:val="009363F3"/>
    <w:rsid w:val="009375FB"/>
    <w:rsid w:val="009431B3"/>
    <w:rsid w:val="009526B6"/>
    <w:rsid w:val="00954985"/>
    <w:rsid w:val="009551F2"/>
    <w:rsid w:val="00960F5B"/>
    <w:rsid w:val="0096281F"/>
    <w:rsid w:val="00974AE1"/>
    <w:rsid w:val="00975D14"/>
    <w:rsid w:val="009761AC"/>
    <w:rsid w:val="009A0114"/>
    <w:rsid w:val="009A4F77"/>
    <w:rsid w:val="009B0541"/>
    <w:rsid w:val="009B152E"/>
    <w:rsid w:val="009B68F4"/>
    <w:rsid w:val="009C15C1"/>
    <w:rsid w:val="009C4973"/>
    <w:rsid w:val="009D48B1"/>
    <w:rsid w:val="009D7EDA"/>
    <w:rsid w:val="009E0992"/>
    <w:rsid w:val="009F2284"/>
    <w:rsid w:val="00A036CE"/>
    <w:rsid w:val="00A13A2B"/>
    <w:rsid w:val="00A1423A"/>
    <w:rsid w:val="00A145F7"/>
    <w:rsid w:val="00A15ADD"/>
    <w:rsid w:val="00A2511F"/>
    <w:rsid w:val="00A346CC"/>
    <w:rsid w:val="00A41328"/>
    <w:rsid w:val="00A51DA3"/>
    <w:rsid w:val="00A63899"/>
    <w:rsid w:val="00A82F25"/>
    <w:rsid w:val="00A844BC"/>
    <w:rsid w:val="00A86CA9"/>
    <w:rsid w:val="00A94784"/>
    <w:rsid w:val="00AA521F"/>
    <w:rsid w:val="00AA67F1"/>
    <w:rsid w:val="00AB600B"/>
    <w:rsid w:val="00AC225B"/>
    <w:rsid w:val="00AD20E9"/>
    <w:rsid w:val="00AE0E33"/>
    <w:rsid w:val="00AE4FC5"/>
    <w:rsid w:val="00AF1238"/>
    <w:rsid w:val="00AF4A31"/>
    <w:rsid w:val="00B11F8C"/>
    <w:rsid w:val="00B12974"/>
    <w:rsid w:val="00B139E9"/>
    <w:rsid w:val="00B143DD"/>
    <w:rsid w:val="00B16044"/>
    <w:rsid w:val="00B2064D"/>
    <w:rsid w:val="00B327A1"/>
    <w:rsid w:val="00B32D69"/>
    <w:rsid w:val="00B4096F"/>
    <w:rsid w:val="00B44E79"/>
    <w:rsid w:val="00B563EE"/>
    <w:rsid w:val="00B566CC"/>
    <w:rsid w:val="00B571A8"/>
    <w:rsid w:val="00B629B5"/>
    <w:rsid w:val="00B62AD5"/>
    <w:rsid w:val="00B75B4B"/>
    <w:rsid w:val="00B826C9"/>
    <w:rsid w:val="00B86ACF"/>
    <w:rsid w:val="00B9422B"/>
    <w:rsid w:val="00B953CB"/>
    <w:rsid w:val="00BA11FA"/>
    <w:rsid w:val="00BA15A1"/>
    <w:rsid w:val="00BB676D"/>
    <w:rsid w:val="00BB758A"/>
    <w:rsid w:val="00BB7B93"/>
    <w:rsid w:val="00BC0DDA"/>
    <w:rsid w:val="00BC5C1E"/>
    <w:rsid w:val="00BC769A"/>
    <w:rsid w:val="00BD3DE4"/>
    <w:rsid w:val="00BD5627"/>
    <w:rsid w:val="00BE02FA"/>
    <w:rsid w:val="00BE26E0"/>
    <w:rsid w:val="00BF0EAF"/>
    <w:rsid w:val="00BF1748"/>
    <w:rsid w:val="00BF1B40"/>
    <w:rsid w:val="00BF3D0E"/>
    <w:rsid w:val="00BF7A0B"/>
    <w:rsid w:val="00BF7E2A"/>
    <w:rsid w:val="00C02B5B"/>
    <w:rsid w:val="00C0782C"/>
    <w:rsid w:val="00C22722"/>
    <w:rsid w:val="00C277D8"/>
    <w:rsid w:val="00C31D8C"/>
    <w:rsid w:val="00C346C9"/>
    <w:rsid w:val="00C44536"/>
    <w:rsid w:val="00C47093"/>
    <w:rsid w:val="00C47669"/>
    <w:rsid w:val="00C635C3"/>
    <w:rsid w:val="00C65C14"/>
    <w:rsid w:val="00C77BD9"/>
    <w:rsid w:val="00C800BA"/>
    <w:rsid w:val="00C84C0D"/>
    <w:rsid w:val="00C86956"/>
    <w:rsid w:val="00C97036"/>
    <w:rsid w:val="00CB1339"/>
    <w:rsid w:val="00CB4D85"/>
    <w:rsid w:val="00CB7B57"/>
    <w:rsid w:val="00CC293A"/>
    <w:rsid w:val="00CD32FD"/>
    <w:rsid w:val="00CE1114"/>
    <w:rsid w:val="00CF0FE0"/>
    <w:rsid w:val="00CF52E3"/>
    <w:rsid w:val="00D00F10"/>
    <w:rsid w:val="00D03AB9"/>
    <w:rsid w:val="00D04515"/>
    <w:rsid w:val="00D05149"/>
    <w:rsid w:val="00D1519E"/>
    <w:rsid w:val="00D2521B"/>
    <w:rsid w:val="00D25ED6"/>
    <w:rsid w:val="00D31AE4"/>
    <w:rsid w:val="00D31DD6"/>
    <w:rsid w:val="00D32D3F"/>
    <w:rsid w:val="00D52AA5"/>
    <w:rsid w:val="00D62550"/>
    <w:rsid w:val="00D63199"/>
    <w:rsid w:val="00D65CB1"/>
    <w:rsid w:val="00D7484D"/>
    <w:rsid w:val="00D90799"/>
    <w:rsid w:val="00D90F43"/>
    <w:rsid w:val="00DB67DB"/>
    <w:rsid w:val="00DC145F"/>
    <w:rsid w:val="00DC2150"/>
    <w:rsid w:val="00DE20A0"/>
    <w:rsid w:val="00DE7FB7"/>
    <w:rsid w:val="00E074AF"/>
    <w:rsid w:val="00E07E59"/>
    <w:rsid w:val="00E15A1F"/>
    <w:rsid w:val="00E16430"/>
    <w:rsid w:val="00E242D6"/>
    <w:rsid w:val="00E274E0"/>
    <w:rsid w:val="00E3015A"/>
    <w:rsid w:val="00E325E8"/>
    <w:rsid w:val="00E42F3C"/>
    <w:rsid w:val="00E5076F"/>
    <w:rsid w:val="00E52BA9"/>
    <w:rsid w:val="00E56DA0"/>
    <w:rsid w:val="00E77B77"/>
    <w:rsid w:val="00E81276"/>
    <w:rsid w:val="00E9163A"/>
    <w:rsid w:val="00E92A57"/>
    <w:rsid w:val="00E96D7A"/>
    <w:rsid w:val="00EA368B"/>
    <w:rsid w:val="00EA5BA1"/>
    <w:rsid w:val="00EB14BB"/>
    <w:rsid w:val="00EB6B03"/>
    <w:rsid w:val="00ED28C4"/>
    <w:rsid w:val="00ED7074"/>
    <w:rsid w:val="00EE4901"/>
    <w:rsid w:val="00EE4A5E"/>
    <w:rsid w:val="00EF08BC"/>
    <w:rsid w:val="00EF29CE"/>
    <w:rsid w:val="00EF4680"/>
    <w:rsid w:val="00F0133D"/>
    <w:rsid w:val="00F112B5"/>
    <w:rsid w:val="00F12C2C"/>
    <w:rsid w:val="00F1374A"/>
    <w:rsid w:val="00F146B5"/>
    <w:rsid w:val="00F1671D"/>
    <w:rsid w:val="00F24274"/>
    <w:rsid w:val="00F26B76"/>
    <w:rsid w:val="00F27328"/>
    <w:rsid w:val="00F32F9B"/>
    <w:rsid w:val="00F445F5"/>
    <w:rsid w:val="00F505CE"/>
    <w:rsid w:val="00F53CA9"/>
    <w:rsid w:val="00F611CA"/>
    <w:rsid w:val="00F649B8"/>
    <w:rsid w:val="00F77524"/>
    <w:rsid w:val="00F82604"/>
    <w:rsid w:val="00F8387A"/>
    <w:rsid w:val="00FB7146"/>
    <w:rsid w:val="00FC0E00"/>
    <w:rsid w:val="00FC29BF"/>
    <w:rsid w:val="00FD69B0"/>
    <w:rsid w:val="00FE0BD3"/>
    <w:rsid w:val="00FF01C6"/>
    <w:rsid w:val="00FF24CD"/>
    <w:rsid w:val="00FF3657"/>
    <w:rsid w:val="011C626C"/>
    <w:rsid w:val="014D7775"/>
    <w:rsid w:val="01993304"/>
    <w:rsid w:val="020A23A7"/>
    <w:rsid w:val="02BA5D3C"/>
    <w:rsid w:val="02BE21FF"/>
    <w:rsid w:val="04BB68D3"/>
    <w:rsid w:val="0580326D"/>
    <w:rsid w:val="06C64590"/>
    <w:rsid w:val="07FF503E"/>
    <w:rsid w:val="082716B5"/>
    <w:rsid w:val="09CE174C"/>
    <w:rsid w:val="0A6D7B38"/>
    <w:rsid w:val="0C24544C"/>
    <w:rsid w:val="0CD01591"/>
    <w:rsid w:val="0E527EDB"/>
    <w:rsid w:val="0F326059"/>
    <w:rsid w:val="0FEA7701"/>
    <w:rsid w:val="0FF07634"/>
    <w:rsid w:val="103543BA"/>
    <w:rsid w:val="11296D36"/>
    <w:rsid w:val="12445622"/>
    <w:rsid w:val="134B4EB6"/>
    <w:rsid w:val="159F12DF"/>
    <w:rsid w:val="16096967"/>
    <w:rsid w:val="16134822"/>
    <w:rsid w:val="170E166E"/>
    <w:rsid w:val="17D2722C"/>
    <w:rsid w:val="1A3366A8"/>
    <w:rsid w:val="1A624E75"/>
    <w:rsid w:val="1A6C67F7"/>
    <w:rsid w:val="1A903AFB"/>
    <w:rsid w:val="1B614FFC"/>
    <w:rsid w:val="1E990DAF"/>
    <w:rsid w:val="211D3C0E"/>
    <w:rsid w:val="212A5DC5"/>
    <w:rsid w:val="21FE6313"/>
    <w:rsid w:val="223C2480"/>
    <w:rsid w:val="242B41DF"/>
    <w:rsid w:val="24303C58"/>
    <w:rsid w:val="24CD46D7"/>
    <w:rsid w:val="24EC4AD1"/>
    <w:rsid w:val="25715A5F"/>
    <w:rsid w:val="25F14366"/>
    <w:rsid w:val="26EE5B08"/>
    <w:rsid w:val="27663517"/>
    <w:rsid w:val="278E13C2"/>
    <w:rsid w:val="2A0E67EA"/>
    <w:rsid w:val="2BCB361A"/>
    <w:rsid w:val="2BFE0311"/>
    <w:rsid w:val="2D6657D2"/>
    <w:rsid w:val="2F001048"/>
    <w:rsid w:val="2FBE7AFB"/>
    <w:rsid w:val="2FEF08A2"/>
    <w:rsid w:val="2FFA274A"/>
    <w:rsid w:val="301557F7"/>
    <w:rsid w:val="33103A05"/>
    <w:rsid w:val="334E4DC0"/>
    <w:rsid w:val="337363B6"/>
    <w:rsid w:val="33A030BF"/>
    <w:rsid w:val="33EF4F96"/>
    <w:rsid w:val="35092088"/>
    <w:rsid w:val="355372A0"/>
    <w:rsid w:val="35745911"/>
    <w:rsid w:val="35C977CC"/>
    <w:rsid w:val="37D81519"/>
    <w:rsid w:val="37E53104"/>
    <w:rsid w:val="37F45CD5"/>
    <w:rsid w:val="38F372D7"/>
    <w:rsid w:val="39DF785B"/>
    <w:rsid w:val="3BD908FE"/>
    <w:rsid w:val="3C491D08"/>
    <w:rsid w:val="3C7248DA"/>
    <w:rsid w:val="3E0810E2"/>
    <w:rsid w:val="3E0F3DE7"/>
    <w:rsid w:val="3EE120A5"/>
    <w:rsid w:val="3F275CA8"/>
    <w:rsid w:val="3F7A3D26"/>
    <w:rsid w:val="3FAA35A1"/>
    <w:rsid w:val="3FE43BEC"/>
    <w:rsid w:val="40387CC5"/>
    <w:rsid w:val="40BC19F5"/>
    <w:rsid w:val="40F93B7A"/>
    <w:rsid w:val="41067DC3"/>
    <w:rsid w:val="41CB0003"/>
    <w:rsid w:val="41F62D22"/>
    <w:rsid w:val="420F08E9"/>
    <w:rsid w:val="446B0C12"/>
    <w:rsid w:val="449376B5"/>
    <w:rsid w:val="44B07608"/>
    <w:rsid w:val="45A357E3"/>
    <w:rsid w:val="46210FE2"/>
    <w:rsid w:val="46D12A09"/>
    <w:rsid w:val="47B52C67"/>
    <w:rsid w:val="49547029"/>
    <w:rsid w:val="499329AF"/>
    <w:rsid w:val="4A122E3D"/>
    <w:rsid w:val="4B8009E9"/>
    <w:rsid w:val="4C7958ED"/>
    <w:rsid w:val="4D3F63CE"/>
    <w:rsid w:val="4E6C2486"/>
    <w:rsid w:val="4E794313"/>
    <w:rsid w:val="4F237A19"/>
    <w:rsid w:val="4F255EEA"/>
    <w:rsid w:val="4FED3B8C"/>
    <w:rsid w:val="500D2C85"/>
    <w:rsid w:val="507602B3"/>
    <w:rsid w:val="519B49F8"/>
    <w:rsid w:val="522665D3"/>
    <w:rsid w:val="533871D0"/>
    <w:rsid w:val="53DF7CBB"/>
    <w:rsid w:val="542E520F"/>
    <w:rsid w:val="555111B5"/>
    <w:rsid w:val="55874C08"/>
    <w:rsid w:val="57695EA9"/>
    <w:rsid w:val="5AA8282E"/>
    <w:rsid w:val="5C2F3E22"/>
    <w:rsid w:val="5D4634ED"/>
    <w:rsid w:val="5EB91D10"/>
    <w:rsid w:val="60087AAB"/>
    <w:rsid w:val="602F4252"/>
    <w:rsid w:val="6065645C"/>
    <w:rsid w:val="61BA4C83"/>
    <w:rsid w:val="62554F2A"/>
    <w:rsid w:val="630F26B0"/>
    <w:rsid w:val="63A800A2"/>
    <w:rsid w:val="64172E6D"/>
    <w:rsid w:val="64A14C29"/>
    <w:rsid w:val="64A25842"/>
    <w:rsid w:val="64E52D76"/>
    <w:rsid w:val="656C5B97"/>
    <w:rsid w:val="657F6782"/>
    <w:rsid w:val="65C81A07"/>
    <w:rsid w:val="67DD6B39"/>
    <w:rsid w:val="688B7FDC"/>
    <w:rsid w:val="68B44FCD"/>
    <w:rsid w:val="68D0418D"/>
    <w:rsid w:val="69184016"/>
    <w:rsid w:val="6A4F04B2"/>
    <w:rsid w:val="6B5F3B42"/>
    <w:rsid w:val="6B6F1F3D"/>
    <w:rsid w:val="6EC446DF"/>
    <w:rsid w:val="6F4D07E7"/>
    <w:rsid w:val="6FDC730C"/>
    <w:rsid w:val="727B4F16"/>
    <w:rsid w:val="72D935FB"/>
    <w:rsid w:val="72EB27F1"/>
    <w:rsid w:val="73304DF8"/>
    <w:rsid w:val="74CF0231"/>
    <w:rsid w:val="757A1C0A"/>
    <w:rsid w:val="75EE1C2F"/>
    <w:rsid w:val="763E51E9"/>
    <w:rsid w:val="77910151"/>
    <w:rsid w:val="77A77AE7"/>
    <w:rsid w:val="77DC02C7"/>
    <w:rsid w:val="77ED63B3"/>
    <w:rsid w:val="78347C93"/>
    <w:rsid w:val="78F303E4"/>
    <w:rsid w:val="79A5634E"/>
    <w:rsid w:val="7A8427AA"/>
    <w:rsid w:val="7AC262FC"/>
    <w:rsid w:val="7CBB2AA2"/>
    <w:rsid w:val="7CD92791"/>
    <w:rsid w:val="7D8033BD"/>
    <w:rsid w:val="7DE6619E"/>
    <w:rsid w:val="7FB16B71"/>
    <w:rsid w:val="7FEB5F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6"/>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autoRedefine/>
    <w:unhideWhenUsed/>
    <w:qFormat/>
    <w:uiPriority w:val="9"/>
    <w:pPr>
      <w:keepNext/>
      <w:keepLines/>
      <w:spacing w:before="260" w:after="260" w:line="416" w:lineRule="auto"/>
      <w:ind w:left="992" w:hanging="567"/>
      <w:outlineLvl w:val="1"/>
    </w:pPr>
    <w:rPr>
      <w:rFonts w:asciiTheme="majorHAnsi" w:hAnsiTheme="majorHAnsi" w:eastAsiaTheme="majorEastAsia" w:cstheme="majorBidi"/>
      <w:b/>
      <w:bCs/>
      <w:sz w:val="32"/>
      <w:szCs w:val="32"/>
    </w:rPr>
  </w:style>
  <w:style w:type="paragraph" w:styleId="5">
    <w:name w:val="heading 3"/>
    <w:basedOn w:val="1"/>
    <w:next w:val="1"/>
    <w:link w:val="34"/>
    <w:qFormat/>
    <w:uiPriority w:val="9"/>
    <w:pPr>
      <w:keepNext/>
      <w:keepLines/>
      <w:spacing w:before="260" w:after="260" w:line="416" w:lineRule="auto"/>
      <w:ind w:left="1418" w:hanging="567"/>
      <w:outlineLvl w:val="2"/>
    </w:pPr>
    <w:rPr>
      <w:b/>
      <w:bCs/>
      <w:sz w:val="32"/>
      <w:szCs w:val="32"/>
    </w:rPr>
  </w:style>
  <w:style w:type="paragraph" w:styleId="6">
    <w:name w:val="heading 4"/>
    <w:basedOn w:val="1"/>
    <w:next w:val="1"/>
    <w:link w:val="35"/>
    <w:autoRedefine/>
    <w:semiHidden/>
    <w:unhideWhenUsed/>
    <w:qFormat/>
    <w:uiPriority w:val="9"/>
    <w:pPr>
      <w:keepNext/>
      <w:keepLines/>
      <w:spacing w:before="280" w:after="290" w:line="376" w:lineRule="auto"/>
      <w:ind w:left="1984" w:hanging="708"/>
      <w:outlineLvl w:val="3"/>
    </w:pPr>
    <w:rPr>
      <w:rFonts w:asciiTheme="majorHAnsi" w:hAnsiTheme="majorHAnsi" w:eastAsiaTheme="majorEastAsia" w:cstheme="majorBidi"/>
      <w:b/>
      <w:bCs/>
      <w:sz w:val="28"/>
      <w:szCs w:val="28"/>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rPr>
      <w:szCs w:val="21"/>
    </w:rPr>
  </w:style>
  <w:style w:type="paragraph" w:styleId="7">
    <w:name w:val="annotation text"/>
    <w:basedOn w:val="1"/>
    <w:link w:val="30"/>
    <w:autoRedefine/>
    <w:unhideWhenUsed/>
    <w:qFormat/>
    <w:uiPriority w:val="99"/>
    <w:pPr>
      <w:jc w:val="left"/>
    </w:pPr>
    <w:rPr>
      <w:rFonts w:ascii="Times New Roman" w:hAnsi="Times New Roman" w:eastAsia="宋体" w:cs="Times New Roman"/>
      <w:szCs w:val="24"/>
    </w:rPr>
  </w:style>
  <w:style w:type="paragraph" w:styleId="8">
    <w:name w:val="Body Text"/>
    <w:basedOn w:val="1"/>
    <w:link w:val="36"/>
    <w:autoRedefine/>
    <w:qFormat/>
    <w:uiPriority w:val="0"/>
    <w:pPr>
      <w:adjustRightInd w:val="0"/>
      <w:spacing w:line="480" w:lineRule="atLeast"/>
      <w:jc w:val="left"/>
      <w:textAlignment w:val="baseline"/>
    </w:pPr>
    <w:rPr>
      <w:rFonts w:ascii="Times New Roman" w:hAnsi="Times New Roman" w:eastAsia="宋体" w:cs="Times New Roman"/>
      <w:kern w:val="0"/>
      <w:sz w:val="28"/>
      <w:szCs w:val="20"/>
    </w:rPr>
  </w:style>
  <w:style w:type="paragraph" w:styleId="9">
    <w:name w:val="Body Text Indent"/>
    <w:basedOn w:val="1"/>
    <w:link w:val="42"/>
    <w:autoRedefine/>
    <w:semiHidden/>
    <w:unhideWhenUsed/>
    <w:qFormat/>
    <w:uiPriority w:val="99"/>
    <w:pPr>
      <w:spacing w:after="120"/>
      <w:ind w:left="420" w:leftChars="200"/>
    </w:pPr>
  </w:style>
  <w:style w:type="paragraph" w:styleId="10">
    <w:name w:val="Plain Text"/>
    <w:basedOn w:val="1"/>
    <w:autoRedefine/>
    <w:qFormat/>
    <w:uiPriority w:val="0"/>
    <w:rPr>
      <w:rFonts w:ascii="宋体" w:hAnsi="Courier New"/>
      <w:kern w:val="0"/>
      <w:sz w:val="20"/>
      <w:szCs w:val="21"/>
    </w:rPr>
  </w:style>
  <w:style w:type="paragraph" w:styleId="11">
    <w:name w:val="Balloon Text"/>
    <w:basedOn w:val="1"/>
    <w:link w:val="31"/>
    <w:autoRedefine/>
    <w:semiHidden/>
    <w:unhideWhenUsed/>
    <w:qFormat/>
    <w:uiPriority w:val="99"/>
    <w:rPr>
      <w:sz w:val="18"/>
      <w:szCs w:val="18"/>
    </w:rPr>
  </w:style>
  <w:style w:type="paragraph" w:styleId="12">
    <w:name w:val="footer"/>
    <w:basedOn w:val="1"/>
    <w:link w:val="29"/>
    <w:autoRedefine/>
    <w:unhideWhenUsed/>
    <w:qFormat/>
    <w:uiPriority w:val="99"/>
    <w:pPr>
      <w:tabs>
        <w:tab w:val="center" w:pos="4153"/>
        <w:tab w:val="right" w:pos="8306"/>
      </w:tabs>
      <w:snapToGrid w:val="0"/>
      <w:jc w:val="left"/>
    </w:pPr>
    <w:rPr>
      <w:sz w:val="18"/>
      <w:szCs w:val="18"/>
    </w:rPr>
  </w:style>
  <w:style w:type="paragraph" w:styleId="13">
    <w:name w:val="header"/>
    <w:basedOn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tabs>
        <w:tab w:val="right" w:leader="dot" w:pos="8835"/>
      </w:tabs>
      <w:jc w:val="center"/>
    </w:pPr>
    <w:rPr>
      <w:rFonts w:ascii="宋体" w:hAnsi="宋体"/>
      <w:color w:val="000000"/>
      <w:spacing w:val="30"/>
      <w:sz w:val="24"/>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annotation subject"/>
    <w:basedOn w:val="7"/>
    <w:next w:val="7"/>
    <w:link w:val="32"/>
    <w:autoRedefine/>
    <w:semiHidden/>
    <w:unhideWhenUsed/>
    <w:qFormat/>
    <w:uiPriority w:val="99"/>
    <w:rPr>
      <w:rFonts w:asciiTheme="minorHAnsi" w:hAnsiTheme="minorHAnsi" w:eastAsiaTheme="minorEastAsia" w:cstheme="minorBidi"/>
      <w:b/>
      <w:bCs/>
      <w:szCs w:val="22"/>
    </w:rPr>
  </w:style>
  <w:style w:type="paragraph" w:styleId="17">
    <w:name w:val="Body Text First Indent 2"/>
    <w:basedOn w:val="9"/>
    <w:link w:val="41"/>
    <w:autoRedefine/>
    <w:qFormat/>
    <w:uiPriority w:val="0"/>
    <w:pPr>
      <w:ind w:firstLine="420" w:firstLineChars="200"/>
    </w:pPr>
    <w:rPr>
      <w:szCs w:val="24"/>
    </w:rPr>
  </w:style>
  <w:style w:type="table" w:styleId="19">
    <w:name w:val="Table Grid"/>
    <w:basedOn w:val="18"/>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autoRedefine/>
    <w:qFormat/>
    <w:uiPriority w:val="22"/>
    <w:rPr>
      <w:b/>
      <w:bCs/>
    </w:rPr>
  </w:style>
  <w:style w:type="character" w:styleId="22">
    <w:name w:val="Hyperlink"/>
    <w:basedOn w:val="20"/>
    <w:autoRedefine/>
    <w:semiHidden/>
    <w:unhideWhenUsed/>
    <w:qFormat/>
    <w:uiPriority w:val="99"/>
    <w:rPr>
      <w:color w:val="0000FF"/>
      <w:u w:val="single"/>
    </w:rPr>
  </w:style>
  <w:style w:type="character" w:styleId="23">
    <w:name w:val="annotation reference"/>
    <w:basedOn w:val="20"/>
    <w:autoRedefine/>
    <w:unhideWhenUsed/>
    <w:qFormat/>
    <w:uiPriority w:val="99"/>
    <w:rPr>
      <w:sz w:val="21"/>
      <w:szCs w:val="21"/>
    </w:rPr>
  </w:style>
  <w:style w:type="paragraph" w:customStyle="1" w:styleId="24">
    <w:name w:val="BodyText1I2"/>
    <w:basedOn w:val="25"/>
    <w:autoRedefine/>
    <w:qFormat/>
    <w:uiPriority w:val="0"/>
    <w:pPr>
      <w:spacing w:after="120" w:line="240" w:lineRule="auto"/>
      <w:ind w:left="420" w:leftChars="200" w:firstLine="420" w:firstLineChars="200"/>
    </w:pPr>
    <w:rPr>
      <w:rFonts w:ascii="Times New Roman"/>
      <w:sz w:val="21"/>
    </w:rPr>
  </w:style>
  <w:style w:type="paragraph" w:customStyle="1" w:styleId="25">
    <w:name w:val="BodyTextIndent"/>
    <w:basedOn w:val="1"/>
    <w:next w:val="24"/>
    <w:autoRedefine/>
    <w:qFormat/>
    <w:uiPriority w:val="0"/>
    <w:pPr>
      <w:spacing w:line="360" w:lineRule="auto"/>
      <w:ind w:firstLine="480"/>
      <w:textAlignment w:val="baseline"/>
    </w:pPr>
    <w:rPr>
      <w:rFonts w:ascii="宋体" w:hAnsi="宋体" w:eastAsia="仿宋_GB2312"/>
      <w:b/>
      <w:spacing w:val="4"/>
      <w:sz w:val="24"/>
      <w:szCs w:val="28"/>
    </w:rPr>
  </w:style>
  <w:style w:type="character" w:customStyle="1" w:styleId="26">
    <w:name w:val="标题 1 Char"/>
    <w:basedOn w:val="20"/>
    <w:link w:val="3"/>
    <w:autoRedefine/>
    <w:qFormat/>
    <w:uiPriority w:val="9"/>
    <w:rPr>
      <w:b/>
      <w:bCs/>
      <w:kern w:val="44"/>
      <w:sz w:val="44"/>
      <w:szCs w:val="44"/>
    </w:rPr>
  </w:style>
  <w:style w:type="paragraph" w:styleId="27">
    <w:name w:val="List Paragraph"/>
    <w:basedOn w:val="1"/>
    <w:link w:val="37"/>
    <w:autoRedefine/>
    <w:qFormat/>
    <w:uiPriority w:val="0"/>
    <w:pPr>
      <w:ind w:firstLine="420" w:firstLineChars="200"/>
    </w:pPr>
    <w:rPr>
      <w:rFonts w:ascii="Calibri" w:hAnsi="Calibri" w:eastAsia="宋体" w:cs="Times New Roman"/>
    </w:rPr>
  </w:style>
  <w:style w:type="character" w:customStyle="1" w:styleId="28">
    <w:name w:val="页眉 Char"/>
    <w:basedOn w:val="20"/>
    <w:link w:val="13"/>
    <w:autoRedefine/>
    <w:qFormat/>
    <w:uiPriority w:val="99"/>
    <w:rPr>
      <w:sz w:val="18"/>
      <w:szCs w:val="18"/>
    </w:rPr>
  </w:style>
  <w:style w:type="character" w:customStyle="1" w:styleId="29">
    <w:name w:val="页脚 Char"/>
    <w:basedOn w:val="20"/>
    <w:link w:val="12"/>
    <w:autoRedefine/>
    <w:qFormat/>
    <w:uiPriority w:val="99"/>
    <w:rPr>
      <w:sz w:val="18"/>
      <w:szCs w:val="18"/>
    </w:rPr>
  </w:style>
  <w:style w:type="character" w:customStyle="1" w:styleId="30">
    <w:name w:val="批注文字 Char"/>
    <w:basedOn w:val="20"/>
    <w:link w:val="7"/>
    <w:autoRedefine/>
    <w:qFormat/>
    <w:uiPriority w:val="99"/>
    <w:rPr>
      <w:rFonts w:ascii="Times New Roman" w:hAnsi="Times New Roman" w:eastAsia="宋体" w:cs="Times New Roman"/>
      <w:szCs w:val="24"/>
    </w:rPr>
  </w:style>
  <w:style w:type="character" w:customStyle="1" w:styleId="31">
    <w:name w:val="批注框文本 Char"/>
    <w:basedOn w:val="20"/>
    <w:link w:val="11"/>
    <w:autoRedefine/>
    <w:semiHidden/>
    <w:qFormat/>
    <w:uiPriority w:val="99"/>
    <w:rPr>
      <w:sz w:val="18"/>
      <w:szCs w:val="18"/>
    </w:rPr>
  </w:style>
  <w:style w:type="character" w:customStyle="1" w:styleId="32">
    <w:name w:val="批注主题 Char"/>
    <w:basedOn w:val="30"/>
    <w:link w:val="16"/>
    <w:autoRedefine/>
    <w:semiHidden/>
    <w:qFormat/>
    <w:uiPriority w:val="99"/>
    <w:rPr>
      <w:rFonts w:ascii="Times New Roman" w:hAnsi="Times New Roman" w:eastAsia="宋体" w:cs="Times New Roman"/>
      <w:b/>
      <w:bCs/>
      <w:szCs w:val="24"/>
    </w:rPr>
  </w:style>
  <w:style w:type="character" w:customStyle="1" w:styleId="33">
    <w:name w:val="标题 2 Char"/>
    <w:basedOn w:val="20"/>
    <w:link w:val="4"/>
    <w:autoRedefine/>
    <w:qFormat/>
    <w:uiPriority w:val="9"/>
    <w:rPr>
      <w:rFonts w:asciiTheme="majorHAnsi" w:hAnsiTheme="majorHAnsi" w:eastAsiaTheme="majorEastAsia" w:cstheme="majorBidi"/>
      <w:b/>
      <w:bCs/>
      <w:sz w:val="32"/>
      <w:szCs w:val="32"/>
    </w:rPr>
  </w:style>
  <w:style w:type="character" w:customStyle="1" w:styleId="34">
    <w:name w:val="标题 3 Char"/>
    <w:basedOn w:val="20"/>
    <w:link w:val="5"/>
    <w:autoRedefine/>
    <w:qFormat/>
    <w:uiPriority w:val="9"/>
    <w:rPr>
      <w:b/>
      <w:bCs/>
      <w:sz w:val="32"/>
      <w:szCs w:val="32"/>
    </w:rPr>
  </w:style>
  <w:style w:type="character" w:customStyle="1" w:styleId="35">
    <w:name w:val="标题 4 Char"/>
    <w:basedOn w:val="20"/>
    <w:link w:val="6"/>
    <w:autoRedefine/>
    <w:semiHidden/>
    <w:qFormat/>
    <w:uiPriority w:val="9"/>
    <w:rPr>
      <w:rFonts w:asciiTheme="majorHAnsi" w:hAnsiTheme="majorHAnsi" w:eastAsiaTheme="majorEastAsia" w:cstheme="majorBidi"/>
      <w:b/>
      <w:bCs/>
      <w:sz w:val="28"/>
      <w:szCs w:val="28"/>
    </w:rPr>
  </w:style>
  <w:style w:type="character" w:customStyle="1" w:styleId="36">
    <w:name w:val="正文文本 Char"/>
    <w:basedOn w:val="20"/>
    <w:link w:val="8"/>
    <w:autoRedefine/>
    <w:qFormat/>
    <w:uiPriority w:val="0"/>
    <w:rPr>
      <w:rFonts w:ascii="Times New Roman" w:hAnsi="Times New Roman" w:eastAsia="宋体" w:cs="Times New Roman"/>
      <w:kern w:val="0"/>
      <w:sz w:val="28"/>
      <w:szCs w:val="20"/>
    </w:rPr>
  </w:style>
  <w:style w:type="character" w:customStyle="1" w:styleId="37">
    <w:name w:val="列出段落 Char"/>
    <w:link w:val="27"/>
    <w:autoRedefine/>
    <w:qFormat/>
    <w:uiPriority w:val="99"/>
    <w:rPr>
      <w:rFonts w:ascii="Calibri" w:hAnsi="Calibri" w:eastAsia="宋体" w:cs="Times New Roman"/>
    </w:rPr>
  </w:style>
  <w:style w:type="table" w:customStyle="1" w:styleId="38">
    <w:name w:val="网格型1"/>
    <w:basedOn w:val="1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9">
    <w:name w:val="List Paragraph Char"/>
    <w:link w:val="40"/>
    <w:autoRedefine/>
    <w:qFormat/>
    <w:locked/>
    <w:uiPriority w:val="34"/>
    <w:rPr>
      <w:rFonts w:ascii="Calibri" w:hAnsi="Calibri" w:eastAsia="宋体" w:cs="Times New Roman"/>
      <w:szCs w:val="24"/>
    </w:rPr>
  </w:style>
  <w:style w:type="paragraph" w:customStyle="1" w:styleId="40">
    <w:name w:val="列出段落1"/>
    <w:basedOn w:val="1"/>
    <w:link w:val="39"/>
    <w:autoRedefine/>
    <w:qFormat/>
    <w:uiPriority w:val="34"/>
    <w:pPr>
      <w:widowControl/>
      <w:ind w:firstLine="420" w:firstLineChars="200"/>
      <w:jc w:val="left"/>
    </w:pPr>
    <w:rPr>
      <w:rFonts w:ascii="Calibri" w:hAnsi="Calibri" w:eastAsia="宋体" w:cs="Times New Roman"/>
      <w:szCs w:val="24"/>
    </w:rPr>
  </w:style>
  <w:style w:type="character" w:customStyle="1" w:styleId="41">
    <w:name w:val="正文首行缩进 2 Char"/>
    <w:basedOn w:val="42"/>
    <w:link w:val="17"/>
    <w:autoRedefine/>
    <w:qFormat/>
    <w:uiPriority w:val="0"/>
    <w:rPr>
      <w:szCs w:val="24"/>
    </w:rPr>
  </w:style>
  <w:style w:type="character" w:customStyle="1" w:styleId="42">
    <w:name w:val="正文文本缩进 Char"/>
    <w:basedOn w:val="20"/>
    <w:link w:val="9"/>
    <w:autoRedefine/>
    <w:semiHidden/>
    <w:qFormat/>
    <w:uiPriority w:val="99"/>
  </w:style>
  <w:style w:type="character" w:customStyle="1" w:styleId="43">
    <w:name w:val="正文文本首行缩进 2 字符1"/>
    <w:basedOn w:val="42"/>
    <w:autoRedefine/>
    <w:semiHidden/>
    <w:qFormat/>
    <w:uiPriority w:val="99"/>
  </w:style>
  <w:style w:type="character" w:customStyle="1" w:styleId="44">
    <w:name w:val="font01"/>
    <w:autoRedefine/>
    <w:qFormat/>
    <w:uiPriority w:val="0"/>
    <w:rPr>
      <w:rFonts w:hint="eastAsia" w:ascii="宋体" w:hAnsi="宋体" w:eastAsia="宋体" w:cs="宋体"/>
      <w:color w:val="000000"/>
      <w:sz w:val="22"/>
      <w:szCs w:val="22"/>
      <w:u w:val="none"/>
    </w:rPr>
  </w:style>
  <w:style w:type="character" w:customStyle="1" w:styleId="45">
    <w:name w:val="font21"/>
    <w:basedOn w:val="20"/>
    <w:autoRedefine/>
    <w:qFormat/>
    <w:uiPriority w:val="0"/>
    <w:rPr>
      <w:rFonts w:hint="eastAsia" w:ascii="宋体" w:hAnsi="宋体" w:eastAsia="宋体" w:cs="宋体"/>
      <w:color w:val="000000"/>
      <w:sz w:val="20"/>
      <w:szCs w:val="20"/>
      <w:u w:val="none"/>
    </w:rPr>
  </w:style>
  <w:style w:type="character" w:customStyle="1" w:styleId="46">
    <w:name w:val="font31"/>
    <w:basedOn w:val="20"/>
    <w:autoRedefine/>
    <w:qFormat/>
    <w:uiPriority w:val="0"/>
    <w:rPr>
      <w:rFonts w:hint="default" w:ascii="Times New Roman" w:hAnsi="Times New Roman" w:cs="Times New Roman"/>
      <w:color w:val="000000"/>
      <w:sz w:val="18"/>
      <w:szCs w:val="18"/>
      <w:u w:val="none"/>
    </w:rPr>
  </w:style>
  <w:style w:type="character" w:customStyle="1" w:styleId="47">
    <w:name w:val="font41"/>
    <w:basedOn w:val="20"/>
    <w:autoRedefine/>
    <w:qFormat/>
    <w:uiPriority w:val="0"/>
    <w:rPr>
      <w:rFonts w:hint="eastAsia" w:ascii="宋体" w:hAnsi="宋体" w:eastAsia="宋体" w:cs="宋体"/>
      <w:color w:val="000000"/>
      <w:sz w:val="18"/>
      <w:szCs w:val="18"/>
      <w:u w:val="none"/>
    </w:rPr>
  </w:style>
  <w:style w:type="character" w:customStyle="1" w:styleId="48">
    <w:name w:val="font11"/>
    <w:basedOn w:val="20"/>
    <w:autoRedefine/>
    <w:qFormat/>
    <w:uiPriority w:val="0"/>
    <w:rPr>
      <w:rFonts w:hint="eastAsia" w:ascii="宋体" w:hAnsi="宋体" w:eastAsia="宋体" w:cs="宋体"/>
      <w:color w:val="FF0000"/>
      <w:sz w:val="18"/>
      <w:szCs w:val="18"/>
      <w:u w:val="none"/>
    </w:rPr>
  </w:style>
  <w:style w:type="character" w:customStyle="1" w:styleId="49">
    <w:name w:val="列出段落 字符"/>
    <w:link w:val="50"/>
    <w:autoRedefine/>
    <w:qFormat/>
    <w:uiPriority w:val="34"/>
    <w:rPr>
      <w:rFonts w:ascii="Calibri" w:hAnsi="Calibri"/>
    </w:rPr>
  </w:style>
  <w:style w:type="paragraph" w:customStyle="1" w:styleId="50">
    <w:name w:val="_Style 49"/>
    <w:basedOn w:val="1"/>
    <w:next w:val="27"/>
    <w:link w:val="49"/>
    <w:autoRedefine/>
    <w:qFormat/>
    <w:uiPriority w:val="34"/>
    <w:pPr>
      <w:ind w:firstLine="420" w:firstLineChars="200"/>
    </w:pPr>
    <w:rPr>
      <w:rFonts w:ascii="Calibri" w:hAnsi="Calibri" w:eastAsia="宋体" w:cs="Times New Roman"/>
      <w:kern w:val="0"/>
      <w:sz w:val="20"/>
      <w:szCs w:val="20"/>
    </w:rPr>
  </w:style>
  <w:style w:type="character" w:customStyle="1" w:styleId="51">
    <w:name w:val="font71"/>
    <w:basedOn w:val="20"/>
    <w:autoRedefine/>
    <w:qFormat/>
    <w:uiPriority w:val="0"/>
    <w:rPr>
      <w:rFonts w:hint="eastAsia" w:ascii="宋体" w:hAnsi="宋体" w:eastAsia="宋体" w:cs="宋体"/>
      <w:color w:val="000000"/>
      <w:sz w:val="24"/>
      <w:szCs w:val="24"/>
      <w:u w:val="none"/>
    </w:rPr>
  </w:style>
  <w:style w:type="paragraph" w:customStyle="1" w:styleId="52">
    <w:name w:val="_Style 121"/>
    <w:basedOn w:val="1"/>
    <w:next w:val="27"/>
    <w:autoRedefine/>
    <w:qFormat/>
    <w:uiPriority w:val="34"/>
    <w:pPr>
      <w:ind w:firstLine="420" w:firstLineChars="200"/>
    </w:pPr>
    <w:rPr>
      <w:rFonts w:ascii="Calibri" w:hAnsi="Calibri" w:eastAsia="宋体" w:cs="Times New Roman"/>
    </w:rPr>
  </w:style>
  <w:style w:type="character" w:customStyle="1" w:styleId="53">
    <w:name w:val="font51"/>
    <w:basedOn w:val="20"/>
    <w:autoRedefine/>
    <w:qFormat/>
    <w:uiPriority w:val="0"/>
    <w:rPr>
      <w:rFonts w:hint="default" w:ascii="Times New Roman" w:hAnsi="Times New Roman" w:cs="Times New Roman"/>
      <w:color w:val="000000"/>
      <w:sz w:val="24"/>
      <w:szCs w:val="24"/>
      <w:u w:val="none"/>
    </w:rPr>
  </w:style>
  <w:style w:type="character" w:customStyle="1" w:styleId="54">
    <w:name w:val="font61"/>
    <w:basedOn w:val="20"/>
    <w:autoRedefine/>
    <w:qFormat/>
    <w:uiPriority w:val="0"/>
    <w:rPr>
      <w:rFonts w:hint="eastAsia" w:ascii="微软雅黑" w:hAnsi="微软雅黑" w:eastAsia="微软雅黑" w:cs="微软雅黑"/>
      <w:color w:val="000000"/>
      <w:sz w:val="24"/>
      <w:szCs w:val="24"/>
      <w:u w:val="none"/>
    </w:rPr>
  </w:style>
  <w:style w:type="character" w:customStyle="1" w:styleId="55">
    <w:name w:val="font81"/>
    <w:basedOn w:val="20"/>
    <w:autoRedefine/>
    <w:qFormat/>
    <w:uiPriority w:val="0"/>
    <w:rPr>
      <w:rFonts w:hint="eastAsia" w:ascii="宋体" w:hAnsi="宋体" w:eastAsia="宋体" w:cs="宋体"/>
      <w:color w:val="000000"/>
      <w:sz w:val="24"/>
      <w:szCs w:val="24"/>
      <w:u w:val="none"/>
    </w:rPr>
  </w:style>
  <w:style w:type="character" w:customStyle="1" w:styleId="56">
    <w:name w:val="font91"/>
    <w:basedOn w:val="20"/>
    <w:autoRedefine/>
    <w:qFormat/>
    <w:uiPriority w:val="0"/>
    <w:rPr>
      <w:rFonts w:ascii="Arial" w:hAnsi="Arial" w:cs="Arial"/>
      <w:color w:val="000000"/>
      <w:sz w:val="24"/>
      <w:szCs w:val="24"/>
      <w:u w:val="none"/>
    </w:rPr>
  </w:style>
  <w:style w:type="paragraph" w:customStyle="1" w:styleId="57">
    <w:name w:val="Default"/>
    <w:basedOn w:val="1"/>
    <w:autoRedefine/>
    <w:qFormat/>
    <w:uiPriority w:val="0"/>
    <w:pPr>
      <w:autoSpaceDE w:val="0"/>
      <w:autoSpaceDN w:val="0"/>
      <w:adjustRightInd w:val="0"/>
      <w:jc w:val="left"/>
    </w:pPr>
    <w:rPr>
      <w:rFonts w:ascii="宋体" w:hAnsi="宋体" w:eastAsia="宋体" w:cs="宋体"/>
      <w:color w:val="000000"/>
      <w:kern w:val="0"/>
      <w:sz w:val="24"/>
      <w:szCs w:val="24"/>
    </w:rPr>
  </w:style>
  <w:style w:type="character" w:customStyle="1" w:styleId="58">
    <w:name w:val="NormalCharacter"/>
    <w:autoRedefine/>
    <w:semiHidden/>
    <w:qFormat/>
    <w:uiPriority w:val="0"/>
    <w:rPr>
      <w:rFonts w:ascii="Calibri" w:hAnsi="Calibri" w:eastAsia="宋体" w:cs="Times New Roman"/>
      <w:kern w:val="2"/>
      <w:sz w:val="21"/>
      <w:szCs w:val="24"/>
      <w:lang w:val="en-US" w:eastAsia="zh-CN" w:bidi="ar-SA"/>
    </w:rPr>
  </w:style>
  <w:style w:type="character" w:customStyle="1" w:styleId="59">
    <w:name w:val="列出段落 Char1"/>
    <w:autoRedefine/>
    <w:qFormat/>
    <w:locked/>
    <w:uiPriority w:val="99"/>
    <w:rPr>
      <w:rFonts w:ascii="Times New Roman" w:hAnsi="Times New Roman" w:eastAsia="宋体" w:cs="Times New Roman"/>
      <w:szCs w:val="24"/>
    </w:rPr>
  </w:style>
  <w:style w:type="paragraph" w:customStyle="1" w:styleId="60">
    <w:name w:val="样式1"/>
    <w:basedOn w:val="14"/>
    <w:autoRedefine/>
    <w:qFormat/>
    <w:uiPriority w:val="0"/>
    <w:rPr>
      <w:rFonts w:ascii="Calibri" w:hAnsi="Calibri"/>
    </w:rPr>
  </w:style>
  <w:style w:type="paragraph" w:customStyle="1" w:styleId="61">
    <w:name w:val="List Paragraph1"/>
    <w:basedOn w:val="1"/>
    <w:autoRedefine/>
    <w:qFormat/>
    <w:uiPriority w:val="34"/>
    <w:pPr>
      <w:widowControl/>
      <w:spacing w:line="360" w:lineRule="auto"/>
      <w:ind w:firstLine="420" w:firstLineChars="200"/>
      <w:jc w:val="left"/>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91B46-8AFE-4998-AC68-6BAB635F110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6909</Words>
  <Characters>7138</Characters>
  <Lines>1</Lines>
  <Paragraphs>1</Paragraphs>
  <TotalTime>1</TotalTime>
  <ScaleCrop>false</ScaleCrop>
  <LinksUpToDate>false</LinksUpToDate>
  <CharactersWithSpaces>7583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2021-03-16T02:02:00Z</dcterms:created>
  <dc:creator>Windows 用户</dc:creator>
  <cp:lastModifiedBy>神经蛙</cp:lastModifiedBy>
  <cp:lastPrinted>2019-05-31T03:03:00Z</cp:lastPrinted>
  <dcterms:modified xsi:type="dcterms:W3CDTF">2024-04-03T09:57:30Z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41012F493E6549AD824BA6DABE6C1574</vt:lpwstr>
  </property>
</Properties>
</file>