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line="360" w:lineRule="auto"/>
        <w:jc w:val="center"/>
        <w:rPr>
          <w:rFonts w:ascii="宋体" w:hAnsi="宋体"/>
          <w:b/>
          <w:bCs/>
          <w:color w:val="000000"/>
          <w:sz w:val="84"/>
          <w:szCs w:val="84"/>
        </w:rPr>
      </w:pPr>
      <w:bookmarkStart w:id="1" w:name="_GoBack"/>
      <w:bookmarkEnd w:id="1"/>
      <w:r>
        <w:rPr>
          <w:rFonts w:hint="eastAsia" w:ascii="宋体" w:hAnsi="宋体"/>
          <w:b/>
          <w:color w:val="000000"/>
          <w:sz w:val="84"/>
          <w:szCs w:val="84"/>
        </w:rPr>
        <w:t>竞价文件</w:t>
      </w:r>
    </w:p>
    <w:p>
      <w:pPr>
        <w:spacing w:line="360" w:lineRule="auto"/>
        <w:jc w:val="center"/>
        <w:rPr>
          <w:rFonts w:ascii="宋体" w:hAnsi="宋体"/>
          <w:b/>
          <w:bCs/>
          <w:color w:val="000000"/>
          <w:sz w:val="24"/>
          <w:szCs w:val="24"/>
        </w:rPr>
      </w:pPr>
    </w:p>
    <w:p>
      <w:pPr>
        <w:spacing w:line="360" w:lineRule="auto"/>
        <w:rPr>
          <w:rFonts w:ascii="宋体" w:hAnsi="宋体"/>
          <w:color w:val="000000"/>
          <w:sz w:val="30"/>
          <w:szCs w:val="30"/>
        </w:rPr>
      </w:pPr>
    </w:p>
    <w:p>
      <w:pPr>
        <w:spacing w:line="360" w:lineRule="auto"/>
        <w:rPr>
          <w:rFonts w:ascii="宋体" w:hAnsi="宋体"/>
          <w:color w:val="000000"/>
          <w:sz w:val="30"/>
          <w:szCs w:val="30"/>
        </w:rPr>
      </w:pPr>
    </w:p>
    <w:p>
      <w:pPr>
        <w:spacing w:line="360" w:lineRule="auto"/>
        <w:rPr>
          <w:rFonts w:ascii="宋体" w:hAnsi="宋体"/>
          <w:color w:val="000000"/>
          <w:sz w:val="30"/>
          <w:szCs w:val="30"/>
        </w:rPr>
      </w:pPr>
    </w:p>
    <w:p>
      <w:pPr>
        <w:spacing w:line="360" w:lineRule="auto"/>
        <w:rPr>
          <w:rFonts w:ascii="宋体" w:hAnsi="宋体"/>
          <w:color w:val="000000"/>
          <w:sz w:val="30"/>
          <w:szCs w:val="30"/>
        </w:rPr>
      </w:pPr>
    </w:p>
    <w:p>
      <w:pPr>
        <w:spacing w:line="360" w:lineRule="auto"/>
        <w:jc w:val="left"/>
        <w:rPr>
          <w:rFonts w:ascii="宋体" w:hAnsi="宋体"/>
          <w:b/>
          <w:bCs/>
          <w:color w:val="000000"/>
          <w:sz w:val="28"/>
          <w:szCs w:val="32"/>
        </w:rPr>
      </w:pPr>
      <w:r>
        <w:rPr>
          <w:rFonts w:ascii="宋体" w:hAnsi="宋体"/>
          <w:b/>
          <w:bCs/>
          <w:color w:val="000000"/>
          <w:sz w:val="28"/>
          <w:szCs w:val="32"/>
        </w:rPr>
        <w:t>采购方式：</w:t>
      </w:r>
      <w:r>
        <w:rPr>
          <w:rFonts w:hint="eastAsia" w:ascii="宋体" w:hAnsi="宋体"/>
          <w:b/>
          <w:bCs/>
          <w:color w:val="000000"/>
          <w:sz w:val="28"/>
          <w:szCs w:val="32"/>
        </w:rPr>
        <w:t>线上</w:t>
      </w:r>
      <w:r>
        <w:rPr>
          <w:rFonts w:ascii="宋体" w:hAnsi="宋体"/>
          <w:b/>
          <w:bCs/>
          <w:color w:val="000000"/>
          <w:sz w:val="28"/>
          <w:szCs w:val="32"/>
        </w:rPr>
        <w:t>竞价</w:t>
      </w:r>
    </w:p>
    <w:p>
      <w:pPr>
        <w:rPr>
          <w:rFonts w:ascii="宋体" w:hAnsi="宋体" w:cs="宋体"/>
          <w:b/>
          <w:color w:val="000000"/>
          <w:szCs w:val="21"/>
        </w:rPr>
      </w:pPr>
      <w:r>
        <w:rPr>
          <w:rFonts w:ascii="宋体" w:hAnsi="宋体"/>
          <w:b/>
          <w:bCs/>
          <w:color w:val="000000"/>
          <w:sz w:val="28"/>
          <w:szCs w:val="32"/>
        </w:rPr>
        <w:t>项目</w:t>
      </w:r>
      <w:r>
        <w:rPr>
          <w:rFonts w:hint="eastAsia" w:ascii="宋体" w:hAnsi="宋体"/>
          <w:b/>
          <w:bCs/>
          <w:color w:val="000000"/>
          <w:sz w:val="28"/>
          <w:szCs w:val="32"/>
        </w:rPr>
        <w:t>名称</w:t>
      </w:r>
      <w:r>
        <w:rPr>
          <w:rFonts w:ascii="宋体" w:hAnsi="宋体"/>
          <w:b/>
          <w:bCs/>
          <w:color w:val="000000"/>
          <w:sz w:val="28"/>
          <w:szCs w:val="32"/>
        </w:rPr>
        <w:t>：</w:t>
      </w:r>
      <w:r>
        <w:rPr>
          <w:rFonts w:hint="eastAsia" w:ascii="宋体" w:hAnsi="宋体" w:cs="宋体"/>
          <w:b/>
          <w:bCs/>
          <w:sz w:val="28"/>
          <w:szCs w:val="28"/>
          <w:u w:val="single"/>
        </w:rPr>
        <w:t>广东省卫生健康委事务中心机房UPS维修和电池更换采购项目</w:t>
      </w:r>
    </w:p>
    <w:p>
      <w:pPr>
        <w:spacing w:line="360" w:lineRule="auto"/>
        <w:jc w:val="left"/>
        <w:rPr>
          <w:rFonts w:ascii="宋体" w:hAnsi="宋体"/>
          <w:b/>
          <w:bCs/>
          <w:color w:val="000000"/>
          <w:sz w:val="28"/>
          <w:szCs w:val="32"/>
        </w:rPr>
      </w:pPr>
    </w:p>
    <w:p>
      <w:pPr>
        <w:snapToGrid w:val="0"/>
        <w:spacing w:beforeLines="50" w:afterLines="50" w:line="360" w:lineRule="auto"/>
        <w:jc w:val="center"/>
        <w:rPr>
          <w:rFonts w:ascii="宋体" w:hAnsi="宋体" w:cs="华文中宋"/>
          <w:color w:val="000000"/>
          <w:sz w:val="30"/>
          <w:szCs w:val="30"/>
        </w:rPr>
      </w:pPr>
    </w:p>
    <w:p>
      <w:pPr>
        <w:autoSpaceDE w:val="0"/>
        <w:autoSpaceDN w:val="0"/>
        <w:adjustRightInd w:val="0"/>
        <w:snapToGrid w:val="0"/>
        <w:spacing w:beforeLines="50" w:afterLines="50" w:line="360" w:lineRule="auto"/>
        <w:jc w:val="center"/>
        <w:rPr>
          <w:rFonts w:ascii="宋体" w:hAnsi="宋体" w:cs="华文中宋"/>
          <w:color w:val="000000"/>
          <w:kern w:val="0"/>
          <w:sz w:val="30"/>
          <w:szCs w:val="30"/>
        </w:rPr>
      </w:pPr>
    </w:p>
    <w:p>
      <w:pPr>
        <w:autoSpaceDE w:val="0"/>
        <w:autoSpaceDN w:val="0"/>
        <w:adjustRightInd w:val="0"/>
        <w:snapToGrid w:val="0"/>
        <w:spacing w:beforeLines="50" w:afterLines="50" w:line="360" w:lineRule="auto"/>
        <w:jc w:val="left"/>
        <w:rPr>
          <w:rFonts w:ascii="宋体" w:hAnsi="宋体" w:cs="华文中宋"/>
          <w:color w:val="000000"/>
          <w:kern w:val="0"/>
          <w:sz w:val="30"/>
          <w:szCs w:val="30"/>
        </w:rPr>
      </w:pPr>
    </w:p>
    <w:p>
      <w:pPr>
        <w:spacing w:line="360" w:lineRule="auto"/>
        <w:jc w:val="center"/>
        <w:outlineLvl w:val="0"/>
        <w:rPr>
          <w:rFonts w:ascii="宋体" w:hAnsi="宋体"/>
          <w:b/>
          <w:bCs/>
          <w:color w:val="000000"/>
          <w:sz w:val="44"/>
          <w:szCs w:val="44"/>
        </w:rPr>
      </w:pPr>
      <w:r>
        <w:rPr>
          <w:rFonts w:hint="eastAsia" w:ascii="宋体" w:hAnsi="宋体"/>
          <w:b/>
          <w:bCs/>
          <w:color w:val="000000"/>
          <w:sz w:val="28"/>
          <w:szCs w:val="32"/>
        </w:rPr>
        <w:t>广东省卫生健康委员会事务中心</w:t>
      </w:r>
    </w:p>
    <w:p>
      <w:pPr>
        <w:autoSpaceDE w:val="0"/>
        <w:autoSpaceDN w:val="0"/>
        <w:adjustRightInd w:val="0"/>
        <w:snapToGrid w:val="0"/>
        <w:spacing w:line="360" w:lineRule="auto"/>
        <w:jc w:val="center"/>
        <w:outlineLvl w:val="0"/>
        <w:rPr>
          <w:rFonts w:ascii="宋体" w:hAnsi="宋体"/>
          <w:b/>
          <w:bCs/>
          <w:color w:val="000000"/>
          <w:sz w:val="28"/>
          <w:szCs w:val="32"/>
        </w:rPr>
      </w:pPr>
      <w:r>
        <w:rPr>
          <w:rFonts w:ascii="宋体" w:hAnsi="宋体"/>
          <w:b/>
          <w:bCs/>
          <w:color w:val="000000"/>
          <w:sz w:val="28"/>
          <w:szCs w:val="32"/>
        </w:rPr>
        <w:t>采联国际招标采购集团有限公司</w:t>
      </w:r>
    </w:p>
    <w:p>
      <w:pPr>
        <w:autoSpaceDE w:val="0"/>
        <w:autoSpaceDN w:val="0"/>
        <w:adjustRightInd w:val="0"/>
        <w:snapToGrid w:val="0"/>
        <w:spacing w:line="360" w:lineRule="auto"/>
        <w:jc w:val="center"/>
        <w:rPr>
          <w:rFonts w:ascii="宋体" w:hAnsi="宋体"/>
          <w:b/>
          <w:color w:val="000000"/>
          <w:sz w:val="28"/>
        </w:rPr>
      </w:pPr>
      <w:r>
        <w:rPr>
          <w:rFonts w:hint="eastAsia" w:ascii="宋体" w:hAnsi="宋体"/>
          <w:b/>
          <w:color w:val="000000"/>
          <w:sz w:val="28"/>
        </w:rPr>
        <w:t>二零二四年四</w:t>
      </w:r>
      <w:r>
        <w:rPr>
          <w:rFonts w:ascii="宋体" w:hAnsi="宋体"/>
          <w:b/>
          <w:color w:val="000000"/>
          <w:sz w:val="28"/>
        </w:rPr>
        <w:t>月</w:t>
      </w:r>
    </w:p>
    <w:p>
      <w:pPr>
        <w:spacing w:line="360" w:lineRule="auto"/>
        <w:rPr>
          <w:rFonts w:ascii="宋体" w:hAnsi="宋体"/>
          <w:color w:val="000000"/>
        </w:rPr>
      </w:pPr>
    </w:p>
    <w:p>
      <w:pPr>
        <w:widowControl/>
        <w:spacing w:line="360" w:lineRule="auto"/>
        <w:jc w:val="left"/>
        <w:rPr>
          <w:rFonts w:ascii="宋体" w:hAnsi="宋体"/>
          <w:color w:val="000000"/>
        </w:rPr>
      </w:pPr>
      <w:r>
        <w:rPr>
          <w:rFonts w:ascii="宋体" w:hAnsi="宋体"/>
          <w:color w:val="000000"/>
        </w:rPr>
        <w:br w:type="page"/>
      </w:r>
    </w:p>
    <w:p>
      <w:pPr>
        <w:pStyle w:val="10"/>
        <w:spacing w:before="0" w:after="0" w:line="360" w:lineRule="auto"/>
        <w:rPr>
          <w:rFonts w:ascii="宋体" w:hAnsi="宋体"/>
          <w:color w:val="000000"/>
        </w:rPr>
      </w:pPr>
      <w:r>
        <w:rPr>
          <w:rFonts w:hint="eastAsia" w:ascii="宋体" w:hAnsi="宋体"/>
          <w:color w:val="000000"/>
        </w:rPr>
        <w:t>第一章 竞价须知</w:t>
      </w:r>
    </w:p>
    <w:p>
      <w:pPr>
        <w:pStyle w:val="22"/>
        <w:numPr>
          <w:ilvl w:val="0"/>
          <w:numId w:val="2"/>
        </w:numPr>
        <w:spacing w:line="360" w:lineRule="auto"/>
        <w:ind w:firstLineChars="0"/>
        <w:rPr>
          <w:rFonts w:ascii="宋体" w:hAnsi="宋体"/>
          <w:color w:val="000000"/>
          <w:szCs w:val="21"/>
        </w:rPr>
      </w:pPr>
      <w:r>
        <w:rPr>
          <w:rFonts w:hint="eastAsia" w:ascii="宋体" w:hAnsi="宋体"/>
          <w:color w:val="000000"/>
          <w:szCs w:val="21"/>
        </w:rPr>
        <w:t>本项目通过云采链线上采购一体化平台进行竞价，参与竞价的供应商必须登录平台进行注册，注册成功后方可参与项目竞价。</w:t>
      </w:r>
    </w:p>
    <w:p>
      <w:pPr>
        <w:pStyle w:val="22"/>
        <w:numPr>
          <w:ilvl w:val="0"/>
          <w:numId w:val="2"/>
        </w:numPr>
        <w:spacing w:line="360" w:lineRule="auto"/>
        <w:ind w:firstLineChars="0"/>
        <w:outlineLvl w:val="9"/>
        <w:rPr>
          <w:rFonts w:ascii="宋体" w:hAnsi="宋体"/>
          <w:color w:val="000000"/>
          <w:szCs w:val="21"/>
        </w:rPr>
      </w:pPr>
      <w:r>
        <w:rPr>
          <w:rFonts w:ascii="宋体" w:hAnsi="宋体"/>
          <w:color w:val="000000"/>
        </w:rPr>
        <w:t>语言要求</w:t>
      </w:r>
    </w:p>
    <w:p>
      <w:pPr>
        <w:pStyle w:val="22"/>
        <w:spacing w:line="360" w:lineRule="auto"/>
        <w:ind w:left="420" w:leftChars="200" w:firstLine="0" w:firstLineChars="0"/>
        <w:jc w:val="left"/>
        <w:rPr>
          <w:rFonts w:ascii="宋体" w:hAnsi="宋体"/>
          <w:color w:val="000000"/>
          <w:szCs w:val="21"/>
        </w:rPr>
      </w:pPr>
      <w:r>
        <w:rPr>
          <w:rFonts w:ascii="宋体" w:hAnsi="宋体"/>
          <w:color w:val="000000"/>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r>
        <w:rPr>
          <w:rFonts w:hint="eastAsia" w:ascii="宋体" w:hAnsi="宋体"/>
          <w:color w:val="000000"/>
          <w:szCs w:val="21"/>
        </w:rPr>
        <w:t xml:space="preserve"> </w:t>
      </w:r>
      <w:r>
        <w:rPr>
          <w:rFonts w:ascii="宋体" w:hAnsi="宋体"/>
          <w:color w:val="000000"/>
          <w:szCs w:val="21"/>
        </w:rPr>
        <w:t xml:space="preserve"> </w:t>
      </w:r>
    </w:p>
    <w:p>
      <w:pPr>
        <w:pStyle w:val="22"/>
        <w:numPr>
          <w:ilvl w:val="0"/>
          <w:numId w:val="2"/>
        </w:numPr>
        <w:spacing w:line="360" w:lineRule="auto"/>
        <w:ind w:firstLineChars="0"/>
        <w:rPr>
          <w:rFonts w:ascii="宋体" w:hAnsi="宋体"/>
          <w:color w:val="000000"/>
        </w:rPr>
      </w:pPr>
      <w:r>
        <w:rPr>
          <w:rFonts w:hint="eastAsia" w:ascii="宋体" w:hAnsi="宋体"/>
          <w:color w:val="000000"/>
          <w:szCs w:val="21"/>
        </w:rPr>
        <w:t>在云采链平台参与项目竞价后放弃成交资格超过三次（含三次）的供应商连同该供应商同一法人名下所有公司将被列入平台黑名单，永久不得参与平台的项目竞价。</w:t>
      </w:r>
      <w:r>
        <w:rPr>
          <w:rFonts w:ascii="宋体" w:hAnsi="宋体"/>
          <w:color w:val="000000"/>
          <w:szCs w:val="21"/>
        </w:rPr>
        <w:t xml:space="preserve">  </w:t>
      </w:r>
    </w:p>
    <w:p>
      <w:pPr>
        <w:pStyle w:val="22"/>
        <w:numPr>
          <w:ilvl w:val="0"/>
          <w:numId w:val="2"/>
        </w:numPr>
        <w:spacing w:line="360" w:lineRule="auto"/>
        <w:ind w:firstLineChars="0"/>
        <w:outlineLvl w:val="9"/>
        <w:rPr>
          <w:rFonts w:ascii="宋体" w:hAnsi="宋体"/>
          <w:color w:val="000000"/>
        </w:rPr>
      </w:pPr>
      <w:r>
        <w:rPr>
          <w:rFonts w:hint="eastAsia" w:ascii="宋体" w:hAnsi="宋体"/>
          <w:color w:val="000000"/>
        </w:rPr>
        <w:t>竞价须知</w:t>
      </w:r>
    </w:p>
    <w:p>
      <w:pPr>
        <w:pStyle w:val="22"/>
        <w:numPr>
          <w:ilvl w:val="0"/>
          <w:numId w:val="3"/>
        </w:numPr>
        <w:spacing w:line="360" w:lineRule="auto"/>
        <w:ind w:firstLineChars="0"/>
        <w:outlineLvl w:val="9"/>
        <w:rPr>
          <w:rFonts w:ascii="宋体" w:hAnsi="宋体"/>
          <w:b/>
          <w:color w:val="000000"/>
        </w:rPr>
      </w:pPr>
      <w:r>
        <w:rPr>
          <w:rStyle w:val="15"/>
          <w:rFonts w:hint="eastAsia" w:ascii="宋体" w:hAnsi="宋体"/>
          <w:bCs w:val="0"/>
          <w:color w:val="000000"/>
        </w:rPr>
        <w:t>竞价说明</w:t>
      </w:r>
    </w:p>
    <w:p>
      <w:pPr>
        <w:pStyle w:val="22"/>
        <w:numPr>
          <w:ilvl w:val="0"/>
          <w:numId w:val="4"/>
        </w:numPr>
        <w:spacing w:line="360" w:lineRule="auto"/>
        <w:ind w:left="851" w:firstLineChars="0"/>
        <w:rPr>
          <w:rFonts w:ascii="宋体" w:hAnsi="宋体"/>
          <w:color w:val="000000"/>
        </w:rPr>
      </w:pPr>
      <w:r>
        <w:rPr>
          <w:rFonts w:hint="eastAsia" w:ascii="宋体" w:hAnsi="宋体"/>
          <w:color w:val="000000"/>
          <w:szCs w:val="21"/>
        </w:rPr>
        <w:t>参与竞价的供应商应承担所有与准备和参加竞价有关的费用</w:t>
      </w:r>
      <w:r>
        <w:rPr>
          <w:rFonts w:hint="eastAsia" w:ascii="宋体" w:hAnsi="宋体" w:cs="宋体"/>
          <w:color w:val="000000"/>
          <w:szCs w:val="21"/>
        </w:rPr>
        <w:t>，不</w:t>
      </w:r>
      <w:r>
        <w:rPr>
          <w:rFonts w:hint="eastAsia" w:ascii="宋体" w:hAnsi="宋体" w:cs="宋体"/>
          <w:color w:val="000000"/>
          <w:szCs w:val="21"/>
          <w:lang w:eastAsia="zh-TW"/>
        </w:rPr>
        <w:t>论</w:t>
      </w:r>
      <w:r>
        <w:rPr>
          <w:rFonts w:hint="eastAsia" w:ascii="宋体" w:hAnsi="宋体" w:cs="宋体"/>
          <w:color w:val="000000"/>
          <w:szCs w:val="21"/>
        </w:rPr>
        <w:t>竞价</w:t>
      </w:r>
      <w:r>
        <w:rPr>
          <w:rFonts w:hint="eastAsia" w:ascii="宋体" w:hAnsi="宋体" w:cs="宋体"/>
          <w:color w:val="000000"/>
          <w:szCs w:val="21"/>
          <w:lang w:eastAsia="zh-TW"/>
        </w:rPr>
        <w:t>的结果如何</w:t>
      </w:r>
      <w:r>
        <w:rPr>
          <w:rFonts w:hint="eastAsia" w:ascii="宋体" w:hAnsi="宋体" w:cs="宋体"/>
          <w:color w:val="000000"/>
          <w:szCs w:val="21"/>
        </w:rPr>
        <w:t>，采购</w:t>
      </w:r>
      <w:r>
        <w:rPr>
          <w:rFonts w:hint="eastAsia" w:ascii="宋体" w:hAnsi="宋体" w:cs="宋体"/>
          <w:color w:val="000000"/>
          <w:szCs w:val="21"/>
          <w:lang w:eastAsia="zh-TW"/>
        </w:rPr>
        <w:t>人</w:t>
      </w:r>
      <w:r>
        <w:rPr>
          <w:rFonts w:hint="eastAsia" w:ascii="宋体" w:hAnsi="宋体" w:cs="宋体"/>
          <w:color w:val="000000"/>
          <w:szCs w:val="21"/>
        </w:rPr>
        <w:t>和</w:t>
      </w:r>
      <w:r>
        <w:rPr>
          <w:rFonts w:hint="eastAsia" w:ascii="宋体" w:hAnsi="宋体" w:cs="宋体"/>
          <w:color w:val="000000"/>
          <w:szCs w:val="21"/>
          <w:lang w:eastAsia="zh-TW"/>
        </w:rPr>
        <w:t>代理机构均无义务和责任承担这些费用</w:t>
      </w:r>
      <w:r>
        <w:rPr>
          <w:rFonts w:hint="eastAsia" w:ascii="宋体" w:hAnsi="宋体" w:cs="宋体"/>
          <w:color w:val="000000"/>
          <w:szCs w:val="21"/>
        </w:rPr>
        <w:t>。</w:t>
      </w:r>
    </w:p>
    <w:p>
      <w:pPr>
        <w:pStyle w:val="22"/>
        <w:numPr>
          <w:ilvl w:val="0"/>
          <w:numId w:val="4"/>
        </w:numPr>
        <w:spacing w:line="360" w:lineRule="auto"/>
        <w:ind w:left="851" w:firstLineChars="0"/>
        <w:rPr>
          <w:rFonts w:ascii="宋体" w:hAnsi="宋体"/>
          <w:color w:val="000000"/>
        </w:rPr>
      </w:pPr>
      <w:r>
        <w:rPr>
          <w:rFonts w:hint="eastAsia" w:ascii="宋体" w:hAnsi="宋体"/>
          <w:color w:val="000000"/>
          <w:szCs w:val="21"/>
        </w:rPr>
        <w:t>参与竞价的</w:t>
      </w:r>
      <w:r>
        <w:rPr>
          <w:rFonts w:hint="eastAsia" w:ascii="宋体" w:hAnsi="宋体"/>
          <w:bCs/>
          <w:color w:val="000000"/>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22"/>
        <w:numPr>
          <w:ilvl w:val="0"/>
          <w:numId w:val="4"/>
        </w:numPr>
        <w:spacing w:line="360" w:lineRule="auto"/>
        <w:ind w:left="851" w:firstLineChars="0"/>
        <w:rPr>
          <w:rFonts w:ascii="宋体" w:hAnsi="宋体"/>
          <w:color w:val="000000"/>
        </w:rPr>
      </w:pPr>
      <w:r>
        <w:rPr>
          <w:rFonts w:hint="eastAsia" w:ascii="宋体" w:hAnsi="宋体"/>
          <w:color w:val="000000"/>
          <w:szCs w:val="21"/>
        </w:rPr>
        <w:t>参与竞价的</w:t>
      </w:r>
      <w:r>
        <w:rPr>
          <w:rFonts w:hint="eastAsia" w:ascii="宋体" w:hAnsi="宋体"/>
          <w:color w:val="000000"/>
          <w:szCs w:val="21"/>
          <w:lang w:val="zh-CN"/>
        </w:rPr>
        <w:t>供应商需对用户需求书的所有条款进行整体响应，用户需求书条款若有一条负偏离或不响应，</w:t>
      </w:r>
      <w:r>
        <w:rPr>
          <w:rFonts w:hint="eastAsia" w:ascii="宋体" w:hAnsi="宋体"/>
          <w:bCs/>
          <w:color w:val="000000"/>
          <w:szCs w:val="21"/>
        </w:rPr>
        <w:t>不推荐为成交候选人</w:t>
      </w:r>
      <w:r>
        <w:rPr>
          <w:rFonts w:hint="eastAsia" w:ascii="宋体" w:hAnsi="宋体"/>
          <w:color w:val="000000"/>
          <w:szCs w:val="21"/>
          <w:lang w:val="zh-CN"/>
        </w:rPr>
        <w:t>。</w:t>
      </w:r>
    </w:p>
    <w:p>
      <w:pPr>
        <w:pStyle w:val="22"/>
        <w:numPr>
          <w:ilvl w:val="0"/>
          <w:numId w:val="4"/>
        </w:numPr>
        <w:spacing w:line="360" w:lineRule="auto"/>
        <w:ind w:left="851" w:firstLineChars="0"/>
        <w:rPr>
          <w:rFonts w:ascii="宋体" w:hAnsi="宋体"/>
          <w:color w:val="000000"/>
        </w:rPr>
      </w:pPr>
      <w:r>
        <w:rPr>
          <w:rFonts w:hint="eastAsia" w:ascii="宋体" w:hAnsi="宋体"/>
          <w:color w:val="000000"/>
          <w:szCs w:val="21"/>
        </w:rPr>
        <w:t>若成交供应商自身原因无法完成本项目，则采购人有权利保留追究责任。</w:t>
      </w:r>
    </w:p>
    <w:p>
      <w:pPr>
        <w:pStyle w:val="22"/>
        <w:numPr>
          <w:ilvl w:val="0"/>
          <w:numId w:val="4"/>
        </w:numPr>
        <w:spacing w:line="360" w:lineRule="auto"/>
        <w:ind w:left="851" w:firstLineChars="0"/>
        <w:rPr>
          <w:rFonts w:ascii="宋体" w:hAnsi="宋体"/>
          <w:color w:val="000000"/>
        </w:rPr>
      </w:pPr>
      <w:r>
        <w:rPr>
          <w:rFonts w:hint="eastAsia" w:ascii="宋体" w:hAnsi="宋体"/>
          <w:color w:val="000000"/>
        </w:rPr>
        <w:t>成交供应商因自身原因被取消成交资格，采购人可重新启动采购或按竞价公告规定顺延推选符合要求的供应商作为成交人。</w:t>
      </w:r>
    </w:p>
    <w:p>
      <w:pPr>
        <w:pStyle w:val="22"/>
        <w:numPr>
          <w:ilvl w:val="0"/>
          <w:numId w:val="4"/>
        </w:numPr>
        <w:spacing w:line="360" w:lineRule="auto"/>
        <w:ind w:left="851" w:firstLineChars="0"/>
        <w:rPr>
          <w:rFonts w:ascii="宋体" w:hAnsi="宋体"/>
          <w:color w:val="000000"/>
        </w:rPr>
      </w:pPr>
      <w:r>
        <w:rPr>
          <w:rFonts w:hint="eastAsia" w:ascii="宋体" w:hAnsi="宋体"/>
          <w:color w:val="000000"/>
        </w:rPr>
        <w:t>若本项目竞价采购失败，采购人将重新采购，届时采购人有权根据项目具体情况，决定重新采购项目的采购方式。</w:t>
      </w:r>
    </w:p>
    <w:p>
      <w:pPr>
        <w:pStyle w:val="22"/>
        <w:numPr>
          <w:ilvl w:val="0"/>
          <w:numId w:val="4"/>
        </w:numPr>
        <w:spacing w:line="360" w:lineRule="auto"/>
        <w:ind w:left="851" w:firstLineChars="0"/>
        <w:rPr>
          <w:rFonts w:ascii="宋体" w:hAnsi="宋体"/>
          <w:color w:val="000000"/>
        </w:rPr>
      </w:pPr>
      <w:r>
        <w:rPr>
          <w:rFonts w:hint="eastAsia" w:ascii="宋体" w:hAnsi="宋体"/>
          <w:color w:val="000000"/>
        </w:rPr>
        <w:t>成交供应商若无正当理由恶意放弃成交资格，采购人有权将拒绝其参加本项目重新组织的竞价采购活动。</w:t>
      </w:r>
    </w:p>
    <w:p>
      <w:pPr>
        <w:pStyle w:val="22"/>
        <w:numPr>
          <w:ilvl w:val="0"/>
          <w:numId w:val="4"/>
        </w:numPr>
        <w:spacing w:line="360" w:lineRule="auto"/>
        <w:ind w:left="851" w:firstLineChars="0"/>
        <w:rPr>
          <w:rFonts w:ascii="宋体" w:hAnsi="宋体"/>
          <w:color w:val="000000"/>
        </w:rPr>
      </w:pPr>
      <w:r>
        <w:rPr>
          <w:rFonts w:hint="eastAsia" w:ascii="宋体" w:hAnsi="宋体"/>
          <w:color w:val="000000"/>
        </w:rPr>
        <w:t>如采购人或代理机构在审核或复核</w:t>
      </w:r>
      <w:r>
        <w:rPr>
          <w:rFonts w:hint="eastAsia" w:ascii="宋体" w:hAnsi="宋体"/>
          <w:color w:val="000000"/>
          <w:szCs w:val="21"/>
        </w:rPr>
        <w:t>参与竞价的</w:t>
      </w:r>
      <w:r>
        <w:rPr>
          <w:rFonts w:hint="eastAsia" w:ascii="宋体" w:hAnsi="宋体"/>
          <w:color w:val="000000"/>
        </w:rPr>
        <w:t>供应商所提交的竞价资料时，供应商须无条件配合；期间若发现存在弄虚作假或相关的失信记录或违反国家法律法规等相关的不良情形，采购人可取消其成交资格并保留追究责任的权力。</w:t>
      </w:r>
    </w:p>
    <w:p>
      <w:pPr>
        <w:pStyle w:val="22"/>
        <w:numPr>
          <w:ilvl w:val="0"/>
          <w:numId w:val="4"/>
        </w:numPr>
        <w:spacing w:line="360" w:lineRule="auto"/>
        <w:ind w:left="851" w:firstLineChars="0"/>
        <w:rPr>
          <w:rFonts w:ascii="宋体" w:hAnsi="宋体"/>
          <w:color w:val="000000"/>
        </w:rPr>
      </w:pPr>
      <w:r>
        <w:rPr>
          <w:rFonts w:hint="eastAsia" w:ascii="宋体" w:hAnsi="宋体" w:cs="宋体"/>
          <w:color w:val="000000"/>
          <w:szCs w:val="21"/>
        </w:rPr>
        <w:t>参与竞价的</w:t>
      </w:r>
      <w:r>
        <w:rPr>
          <w:rFonts w:hint="eastAsia" w:ascii="宋体" w:hAnsi="宋体" w:cs="宋体"/>
          <w:color w:val="000000"/>
          <w:szCs w:val="21"/>
          <w:lang w:eastAsia="zh-TW"/>
        </w:rPr>
        <w:t>供应商向我司咨询的有关项目事项，一切以</w:t>
      </w:r>
      <w:r>
        <w:rPr>
          <w:rFonts w:hint="eastAsia" w:ascii="宋体" w:hAnsi="宋体" w:cs="宋体"/>
          <w:color w:val="000000"/>
          <w:szCs w:val="21"/>
        </w:rPr>
        <w:t>竞价文件</w:t>
      </w:r>
      <w:r>
        <w:rPr>
          <w:rFonts w:hint="eastAsia" w:ascii="宋体" w:hAnsi="宋体" w:cs="宋体"/>
          <w:color w:val="000000"/>
          <w:szCs w:val="21"/>
          <w:lang w:eastAsia="zh-TW"/>
        </w:rPr>
        <w:t>规定</w:t>
      </w:r>
      <w:r>
        <w:rPr>
          <w:rFonts w:hint="eastAsia" w:ascii="宋体" w:hAnsi="宋体" w:cs="宋体"/>
          <w:color w:val="000000"/>
          <w:szCs w:val="21"/>
        </w:rPr>
        <w:t>和竞价公告规定以及</w:t>
      </w:r>
      <w:r>
        <w:rPr>
          <w:rFonts w:hint="eastAsia" w:ascii="宋体" w:hAnsi="宋体" w:cs="宋体"/>
          <w:color w:val="000000"/>
          <w:szCs w:val="21"/>
          <w:lang w:eastAsia="zh-TW"/>
        </w:rPr>
        <w:t>本公司</w:t>
      </w:r>
      <w:r>
        <w:rPr>
          <w:rFonts w:hint="eastAsia" w:ascii="宋体" w:hAnsi="宋体" w:cs="宋体"/>
          <w:color w:val="000000"/>
          <w:szCs w:val="21"/>
        </w:rPr>
        <w:t>的</w:t>
      </w:r>
      <w:r>
        <w:rPr>
          <w:rFonts w:hint="eastAsia" w:ascii="宋体" w:hAnsi="宋体" w:cs="宋体"/>
          <w:color w:val="000000"/>
          <w:szCs w:val="21"/>
          <w:lang w:eastAsia="zh-TW"/>
        </w:rPr>
        <w:t>书面答复为准，其他一切形式均为个人意见，不代表本公司的意见</w:t>
      </w:r>
      <w:r>
        <w:rPr>
          <w:rFonts w:hint="eastAsia" w:ascii="宋体" w:hAnsi="宋体" w:cs="宋体"/>
          <w:color w:val="000000"/>
          <w:szCs w:val="21"/>
        </w:rPr>
        <w:t>；</w:t>
      </w:r>
    </w:p>
    <w:p>
      <w:pPr>
        <w:pStyle w:val="22"/>
        <w:numPr>
          <w:ilvl w:val="0"/>
          <w:numId w:val="4"/>
        </w:numPr>
        <w:spacing w:line="360" w:lineRule="auto"/>
        <w:ind w:left="851" w:firstLineChars="0"/>
        <w:rPr>
          <w:rFonts w:ascii="宋体" w:hAnsi="宋体"/>
          <w:color w:val="000000"/>
        </w:rPr>
      </w:pPr>
      <w:r>
        <w:rPr>
          <w:rFonts w:hint="eastAsia" w:ascii="宋体" w:hAnsi="宋体"/>
          <w:color w:val="000000"/>
          <w:szCs w:val="21"/>
        </w:rPr>
        <w:t>参与竞价的供应商应认真阅读</w:t>
      </w:r>
      <w:r>
        <w:rPr>
          <w:rFonts w:hint="eastAsia" w:ascii="宋体" w:hAnsi="宋体" w:cs="宋体"/>
          <w:color w:val="000000"/>
          <w:szCs w:val="21"/>
          <w:lang w:eastAsia="zh-TW"/>
        </w:rPr>
        <w:t>、并充分理解</w:t>
      </w:r>
      <w:r>
        <w:rPr>
          <w:rFonts w:hint="eastAsia" w:ascii="宋体" w:hAnsi="宋体" w:cs="宋体"/>
          <w:color w:val="000000"/>
          <w:szCs w:val="21"/>
        </w:rPr>
        <w:t>竞价</w:t>
      </w:r>
      <w:r>
        <w:rPr>
          <w:rFonts w:hint="eastAsia" w:ascii="宋体" w:hAnsi="宋体" w:cs="宋体"/>
          <w:color w:val="000000"/>
          <w:szCs w:val="21"/>
          <w:lang w:eastAsia="zh-TW"/>
        </w:rPr>
        <w:t>文件的全部内容（包括所有的补充、修改内容重要事项、格式、条款</w:t>
      </w:r>
      <w:r>
        <w:rPr>
          <w:rFonts w:hint="eastAsia" w:ascii="宋体" w:hAnsi="宋体" w:cs="宋体"/>
          <w:color w:val="000000"/>
          <w:szCs w:val="21"/>
        </w:rPr>
        <w:t>、服务要求</w:t>
      </w:r>
      <w:r>
        <w:rPr>
          <w:rFonts w:hint="eastAsia" w:ascii="宋体" w:hAnsi="宋体" w:cs="宋体"/>
          <w:color w:val="000000"/>
          <w:szCs w:val="21"/>
          <w:lang w:eastAsia="zh-TW"/>
        </w:rPr>
        <w:t>和技术规范、参数及要求等）。</w:t>
      </w:r>
      <w:r>
        <w:rPr>
          <w:rFonts w:hint="eastAsia" w:ascii="宋体" w:hAnsi="宋体" w:cs="宋体"/>
          <w:color w:val="000000"/>
          <w:szCs w:val="21"/>
        </w:rPr>
        <w:t>供应商</w:t>
      </w:r>
      <w:r>
        <w:rPr>
          <w:rFonts w:hint="eastAsia" w:ascii="宋体" w:hAnsi="宋体" w:cs="宋体"/>
          <w:color w:val="000000"/>
          <w:szCs w:val="21"/>
          <w:lang w:eastAsia="zh-TW"/>
        </w:rPr>
        <w:t>没有按照</w:t>
      </w:r>
      <w:r>
        <w:rPr>
          <w:rFonts w:hint="eastAsia" w:ascii="宋体" w:hAnsi="宋体" w:cs="宋体"/>
          <w:color w:val="000000"/>
          <w:szCs w:val="21"/>
        </w:rPr>
        <w:t>竞价</w:t>
      </w:r>
      <w:r>
        <w:rPr>
          <w:rFonts w:hint="eastAsia" w:ascii="宋体" w:hAnsi="宋体" w:cs="宋体"/>
          <w:color w:val="000000"/>
          <w:szCs w:val="21"/>
          <w:lang w:eastAsia="zh-TW"/>
        </w:rPr>
        <w:t>文件要求提交全部资料，或者</w:t>
      </w:r>
      <w:r>
        <w:rPr>
          <w:rFonts w:hint="eastAsia" w:ascii="宋体" w:hAnsi="宋体" w:cs="宋体"/>
          <w:color w:val="000000"/>
          <w:szCs w:val="21"/>
        </w:rPr>
        <w:t>参与竞价所上传的</w:t>
      </w:r>
      <w:r>
        <w:rPr>
          <w:rFonts w:hint="eastAsia" w:ascii="宋体" w:hAnsi="宋体" w:cs="宋体"/>
          <w:color w:val="000000"/>
          <w:szCs w:val="21"/>
          <w:lang w:eastAsia="zh-TW"/>
        </w:rPr>
        <w:t>文件没有对</w:t>
      </w:r>
      <w:r>
        <w:rPr>
          <w:rFonts w:hint="eastAsia" w:ascii="宋体" w:hAnsi="宋体" w:cs="宋体"/>
          <w:color w:val="000000"/>
          <w:szCs w:val="21"/>
        </w:rPr>
        <w:t>竞价</w:t>
      </w:r>
      <w:r>
        <w:rPr>
          <w:rFonts w:hint="eastAsia" w:ascii="宋体" w:hAnsi="宋体" w:cs="宋体"/>
          <w:color w:val="000000"/>
          <w:szCs w:val="21"/>
          <w:lang w:eastAsia="zh-TW"/>
        </w:rPr>
        <w:t>文件在各方面都作出实质性响应是</w:t>
      </w:r>
      <w:r>
        <w:rPr>
          <w:rFonts w:hint="eastAsia" w:ascii="宋体" w:hAnsi="宋体" w:cs="宋体"/>
          <w:color w:val="000000"/>
          <w:szCs w:val="21"/>
        </w:rPr>
        <w:t>供应商</w:t>
      </w:r>
      <w:r>
        <w:rPr>
          <w:rFonts w:hint="eastAsia" w:ascii="宋体" w:hAnsi="宋体" w:cs="宋体"/>
          <w:color w:val="000000"/>
          <w:szCs w:val="21"/>
          <w:lang w:eastAsia="zh-TW"/>
        </w:rPr>
        <w:t>的风险，有可能导致其</w:t>
      </w:r>
      <w:r>
        <w:rPr>
          <w:rFonts w:hint="eastAsia" w:ascii="宋体" w:hAnsi="宋体" w:cs="宋体"/>
          <w:color w:val="000000"/>
          <w:szCs w:val="21"/>
        </w:rPr>
        <w:t>竞价</w:t>
      </w:r>
      <w:r>
        <w:rPr>
          <w:rFonts w:hint="eastAsia" w:ascii="宋体" w:hAnsi="宋体" w:cs="宋体"/>
          <w:color w:val="000000"/>
          <w:szCs w:val="21"/>
          <w:lang w:eastAsia="zh-TW"/>
        </w:rPr>
        <w:t>被拒绝，</w:t>
      </w:r>
      <w:r>
        <w:rPr>
          <w:rFonts w:hint="eastAsia" w:ascii="宋体" w:hAnsi="宋体"/>
          <w:color w:val="000000"/>
          <w:szCs w:val="21"/>
        </w:rPr>
        <w:t>或被认定为无效竞价。</w:t>
      </w:r>
    </w:p>
    <w:p>
      <w:pPr>
        <w:pStyle w:val="22"/>
        <w:numPr>
          <w:ilvl w:val="0"/>
          <w:numId w:val="4"/>
        </w:numPr>
        <w:spacing w:line="360" w:lineRule="auto"/>
        <w:ind w:left="851" w:firstLineChars="0"/>
        <w:rPr>
          <w:rFonts w:ascii="宋体" w:hAnsi="宋体"/>
          <w:color w:val="000000"/>
        </w:rPr>
      </w:pPr>
      <w:r>
        <w:rPr>
          <w:rFonts w:hint="eastAsia" w:ascii="宋体" w:hAnsi="宋体"/>
          <w:color w:val="000000"/>
          <w:kern w:val="0"/>
          <w:szCs w:val="21"/>
        </w:rPr>
        <w:t>采购人有权拒绝接受任何不合格的货物或服务，由此产生的费用及相关后果均由成交供应商自行承担；</w:t>
      </w:r>
    </w:p>
    <w:p>
      <w:pPr>
        <w:pStyle w:val="22"/>
        <w:numPr>
          <w:ilvl w:val="0"/>
          <w:numId w:val="4"/>
        </w:numPr>
        <w:spacing w:line="360" w:lineRule="auto"/>
        <w:ind w:left="851" w:firstLineChars="0"/>
        <w:rPr>
          <w:rFonts w:ascii="宋体" w:hAnsi="宋体"/>
          <w:color w:val="000000"/>
        </w:rPr>
      </w:pPr>
      <w:r>
        <w:rPr>
          <w:rFonts w:hint="eastAsia" w:ascii="宋体" w:hAnsi="宋体"/>
          <w:color w:val="000000"/>
        </w:rPr>
        <w:t>供应商认为竞价结果损害其权益的，应按照云采链平台相关指引在规定的时间内向采购人或代理机构提交书面质疑，不提交的视为无异议，</w:t>
      </w:r>
      <w:r>
        <w:rPr>
          <w:rFonts w:ascii="宋体" w:hAnsi="宋体"/>
          <w:color w:val="000000"/>
        </w:rPr>
        <w:t>逾期提交将不予受理</w:t>
      </w:r>
      <w:r>
        <w:rPr>
          <w:rFonts w:hint="eastAsia" w:ascii="宋体" w:hAnsi="宋体"/>
          <w:color w:val="000000"/>
        </w:rPr>
        <w:t>。</w:t>
      </w:r>
    </w:p>
    <w:p>
      <w:pPr>
        <w:pStyle w:val="22"/>
        <w:numPr>
          <w:ilvl w:val="0"/>
          <w:numId w:val="4"/>
        </w:numPr>
        <w:spacing w:line="360" w:lineRule="auto"/>
        <w:ind w:left="851" w:firstLineChars="0"/>
        <w:rPr>
          <w:rFonts w:ascii="宋体" w:hAnsi="宋体"/>
          <w:color w:val="000000"/>
        </w:rPr>
      </w:pPr>
      <w:r>
        <w:rPr>
          <w:rFonts w:hint="eastAsia" w:ascii="宋体" w:hAnsi="宋体"/>
          <w:color w:val="000000"/>
          <w:szCs w:val="21"/>
        </w:rPr>
        <w:t>本竞价公告和竞价文件的解释权归</w:t>
      </w:r>
      <w:r>
        <w:rPr>
          <w:rFonts w:hint="eastAsia" w:ascii="宋体" w:hAnsi="宋体" w:cs="宋体"/>
          <w:color w:val="000000"/>
          <w:szCs w:val="21"/>
          <w:lang w:eastAsia="zh-TW"/>
        </w:rPr>
        <w:t>“云采链</w:t>
      </w:r>
      <w:r>
        <w:rPr>
          <w:rFonts w:hint="eastAsia" w:ascii="宋体" w:hAnsi="宋体"/>
          <w:color w:val="000000"/>
        </w:rPr>
        <w:t>线上采购一体化平台</w:t>
      </w:r>
      <w:r>
        <w:rPr>
          <w:rFonts w:hint="eastAsia" w:ascii="宋体" w:hAnsi="宋体" w:cs="宋体"/>
          <w:color w:val="000000"/>
          <w:szCs w:val="21"/>
          <w:lang w:eastAsia="zh-TW"/>
        </w:rPr>
        <w:t>”所有。</w:t>
      </w:r>
    </w:p>
    <w:p>
      <w:pPr>
        <w:pStyle w:val="22"/>
        <w:numPr>
          <w:ilvl w:val="0"/>
          <w:numId w:val="3"/>
        </w:numPr>
        <w:spacing w:line="360" w:lineRule="auto"/>
        <w:ind w:firstLineChars="0"/>
        <w:outlineLvl w:val="9"/>
        <w:rPr>
          <w:rFonts w:ascii="宋体" w:hAnsi="宋体"/>
          <w:color w:val="000000"/>
        </w:rPr>
      </w:pPr>
      <w:r>
        <w:rPr>
          <w:rFonts w:hint="eastAsia" w:ascii="宋体" w:hAnsi="宋体"/>
          <w:b/>
          <w:color w:val="000000"/>
        </w:rPr>
        <w:t>竞价文件的澄清或修改</w:t>
      </w:r>
    </w:p>
    <w:p>
      <w:pPr>
        <w:pStyle w:val="22"/>
        <w:numPr>
          <w:ilvl w:val="1"/>
          <w:numId w:val="5"/>
        </w:numPr>
        <w:spacing w:line="360" w:lineRule="auto"/>
        <w:ind w:firstLineChars="0"/>
        <w:rPr>
          <w:rFonts w:ascii="宋体" w:hAnsi="宋体"/>
          <w:color w:val="000000"/>
        </w:rPr>
      </w:pPr>
      <w:r>
        <w:rPr>
          <w:rFonts w:hint="eastAsia" w:ascii="宋体" w:hAnsi="宋体"/>
          <w:color w:val="000000"/>
        </w:rPr>
        <w:t>采购人或者采购代理机构可以对已发出的竞价文件进行必要的澄清或者修改。澄清或者修改的内容将在云采链平台上发布澄清（更正/变更）公告。</w:t>
      </w:r>
    </w:p>
    <w:p>
      <w:pPr>
        <w:pStyle w:val="22"/>
        <w:numPr>
          <w:ilvl w:val="1"/>
          <w:numId w:val="5"/>
        </w:numPr>
        <w:spacing w:line="360" w:lineRule="auto"/>
        <w:ind w:firstLineChars="0"/>
        <w:rPr>
          <w:rFonts w:ascii="宋体" w:hAnsi="宋体"/>
          <w:color w:val="000000"/>
        </w:rPr>
      </w:pPr>
      <w:r>
        <w:rPr>
          <w:rFonts w:hint="eastAsia" w:ascii="宋体" w:hAnsi="宋体"/>
          <w:color w:val="000000"/>
        </w:rPr>
        <w:t>无论澄清或者修改的内容是否影响竞价，平台将以短信形式通知所有的报名供应商；报名供应商应按要求履行相应的义务；</w:t>
      </w:r>
      <w:r>
        <w:rPr>
          <w:rFonts w:hint="eastAsia" w:ascii="宋体" w:hAnsi="宋体" w:cs="宋体"/>
          <w:color w:val="000000"/>
          <w:szCs w:val="21"/>
        </w:rPr>
        <w:t>如报名</w:t>
      </w:r>
      <w:r>
        <w:rPr>
          <w:rFonts w:hint="eastAsia" w:ascii="宋体" w:hAnsi="宋体" w:cs="宋体"/>
          <w:color w:val="000000"/>
          <w:szCs w:val="21"/>
          <w:lang w:eastAsia="zh-TW"/>
        </w:rPr>
        <w:t>截止时间</w:t>
      </w:r>
      <w:r>
        <w:rPr>
          <w:rFonts w:hint="eastAsia" w:ascii="宋体" w:hAnsi="宋体" w:cs="宋体"/>
          <w:color w:val="000000"/>
          <w:szCs w:val="21"/>
        </w:rPr>
        <w:t>少于一个工作日的，</w:t>
      </w:r>
      <w:r>
        <w:rPr>
          <w:rFonts w:hint="eastAsia" w:ascii="宋体" w:hAnsi="宋体"/>
          <w:color w:val="000000"/>
        </w:rPr>
        <w:t>采购人或者采购代理机构应当相应顺延报名的截止时间。</w:t>
      </w:r>
    </w:p>
    <w:p>
      <w:pPr>
        <w:pStyle w:val="22"/>
        <w:numPr>
          <w:ilvl w:val="1"/>
          <w:numId w:val="5"/>
        </w:numPr>
        <w:spacing w:line="360" w:lineRule="auto"/>
        <w:ind w:firstLineChars="0"/>
        <w:rPr>
          <w:rStyle w:val="15"/>
          <w:rFonts w:ascii="宋体" w:hAnsi="宋体"/>
          <w:b w:val="0"/>
          <w:bCs w:val="0"/>
          <w:color w:val="000000"/>
        </w:rPr>
      </w:pPr>
      <w:r>
        <w:rPr>
          <w:rFonts w:hint="eastAsia" w:ascii="宋体" w:hAnsi="宋体"/>
          <w:color w:val="000000"/>
        </w:rPr>
        <w:t>采购人或者采购代理机构发出的澄清或修改（更正/变更）的内容为竞价文件的组成部分，并对供应商具有约束力。</w:t>
      </w:r>
    </w:p>
    <w:p>
      <w:pPr>
        <w:pStyle w:val="22"/>
        <w:numPr>
          <w:ilvl w:val="0"/>
          <w:numId w:val="3"/>
        </w:numPr>
        <w:spacing w:line="360" w:lineRule="auto"/>
        <w:ind w:firstLineChars="0"/>
        <w:rPr>
          <w:rStyle w:val="15"/>
          <w:rFonts w:ascii="宋体" w:hAnsi="宋体"/>
          <w:bCs w:val="0"/>
          <w:color w:val="000000"/>
        </w:rPr>
      </w:pPr>
      <w:r>
        <w:rPr>
          <w:rStyle w:val="15"/>
          <w:rFonts w:hint="eastAsia" w:ascii="宋体" w:hAnsi="宋体"/>
          <w:bCs w:val="0"/>
          <w:color w:val="000000"/>
        </w:rPr>
        <w:t>报名要求（</w:t>
      </w:r>
      <w:r>
        <w:rPr>
          <w:rFonts w:hint="eastAsia" w:ascii="宋体" w:hAnsi="宋体"/>
          <w:color w:val="000000"/>
          <w:szCs w:val="21"/>
        </w:rPr>
        <w:t>参与竞价的</w:t>
      </w:r>
      <w:r>
        <w:rPr>
          <w:rStyle w:val="15"/>
          <w:rFonts w:hint="eastAsia" w:ascii="宋体" w:hAnsi="宋体"/>
          <w:bCs w:val="0"/>
          <w:color w:val="000000"/>
        </w:rPr>
        <w:t>供应商资质要求:</w:t>
      </w:r>
      <w:r>
        <w:rPr>
          <w:rStyle w:val="15"/>
          <w:rFonts w:hint="eastAsia" w:ascii="宋体" w:hAnsi="宋体"/>
          <w:b w:val="0"/>
          <w:color w:val="000000"/>
          <w:szCs w:val="21"/>
        </w:rPr>
        <w:t xml:space="preserve"> 报名时需要提供以下</w:t>
      </w:r>
      <w:r>
        <w:rPr>
          <w:rStyle w:val="15"/>
          <w:rFonts w:hint="eastAsia" w:ascii="宋体" w:hAnsi="宋体"/>
          <w:color w:val="000000"/>
          <w:szCs w:val="21"/>
          <w:u w:val="double"/>
        </w:rPr>
        <w:t>盖章</w:t>
      </w:r>
      <w:r>
        <w:rPr>
          <w:rStyle w:val="15"/>
          <w:rFonts w:hint="eastAsia" w:ascii="宋体" w:hAnsi="宋体"/>
          <w:b w:val="0"/>
          <w:color w:val="000000"/>
          <w:szCs w:val="21"/>
        </w:rPr>
        <w:t>资料，</w:t>
      </w:r>
      <w:r>
        <w:rPr>
          <w:rFonts w:hint="eastAsia" w:ascii="宋体" w:hAnsi="宋体"/>
          <w:color w:val="000000"/>
          <w:szCs w:val="21"/>
        </w:rPr>
        <w:t>并对上传的报名文件资料承担责任</w:t>
      </w:r>
      <w:r>
        <w:rPr>
          <w:rStyle w:val="15"/>
          <w:rFonts w:hint="eastAsia" w:ascii="宋体" w:hAnsi="宋体"/>
          <w:bCs w:val="0"/>
          <w:color w:val="000000"/>
        </w:rPr>
        <w:t>）</w:t>
      </w:r>
    </w:p>
    <w:p>
      <w:pPr>
        <w:pStyle w:val="22"/>
        <w:widowControl/>
        <w:numPr>
          <w:ilvl w:val="0"/>
          <w:numId w:val="6"/>
        </w:numPr>
        <w:spacing w:line="360" w:lineRule="auto"/>
        <w:ind w:left="839" w:firstLineChars="0"/>
        <w:jc w:val="left"/>
        <w:rPr>
          <w:rFonts w:ascii="宋体" w:hAnsi="宋体" w:cs="宋体"/>
          <w:color w:val="000000"/>
        </w:rPr>
      </w:pPr>
      <w:r>
        <w:rPr>
          <w:rFonts w:hint="eastAsia" w:ascii="宋体" w:hAnsi="宋体" w:cs="宋体"/>
          <w:szCs w:val="21"/>
        </w:rPr>
        <w:t>提供在中华人民共和国境内注册的法人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22"/>
        <w:widowControl/>
        <w:numPr>
          <w:ilvl w:val="0"/>
          <w:numId w:val="6"/>
        </w:numPr>
        <w:spacing w:line="360" w:lineRule="auto"/>
        <w:ind w:left="851" w:firstLineChars="0"/>
        <w:jc w:val="left"/>
        <w:rPr>
          <w:rFonts w:ascii="宋体" w:hAnsi="宋体" w:cs="宋体"/>
          <w:color w:val="000000"/>
          <w:kern w:val="0"/>
          <w:szCs w:val="20"/>
        </w:rPr>
      </w:pPr>
      <w:r>
        <w:rPr>
          <w:rFonts w:hint="eastAsia" w:ascii="宋体" w:hAnsi="宋体" w:cs="宋体"/>
          <w:color w:val="000000"/>
          <w:kern w:val="0"/>
          <w:szCs w:val="21"/>
        </w:rPr>
        <w:t>供应商完全响应本项目用户需求的条款、内容及要求的，提供用户需求书响应声明函即可</w:t>
      </w:r>
      <w:r>
        <w:rPr>
          <w:rFonts w:hint="eastAsia" w:ascii="宋体" w:hAnsi="宋体" w:cs="宋体"/>
          <w:b/>
          <w:color w:val="000000"/>
          <w:kern w:val="0"/>
          <w:szCs w:val="21"/>
        </w:rPr>
        <w:t>，格式详见附件</w:t>
      </w:r>
      <w:r>
        <w:rPr>
          <w:rFonts w:hint="eastAsia" w:ascii="宋体" w:hAnsi="宋体" w:cs="宋体"/>
          <w:color w:val="000000"/>
          <w:kern w:val="0"/>
          <w:szCs w:val="21"/>
        </w:rPr>
        <w:t>；</w:t>
      </w:r>
      <w:r>
        <w:rPr>
          <w:rFonts w:ascii="宋体" w:hAnsi="宋体" w:cs="宋体"/>
          <w:color w:val="000000"/>
          <w:kern w:val="0"/>
          <w:szCs w:val="20"/>
        </w:rPr>
        <w:t xml:space="preserve"> </w:t>
      </w:r>
    </w:p>
    <w:p>
      <w:pPr>
        <w:pStyle w:val="22"/>
        <w:widowControl/>
        <w:numPr>
          <w:ilvl w:val="0"/>
          <w:numId w:val="6"/>
        </w:numPr>
        <w:spacing w:line="360" w:lineRule="auto"/>
        <w:ind w:left="851" w:hanging="425" w:firstLineChars="0"/>
        <w:jc w:val="left"/>
        <w:rPr>
          <w:rFonts w:ascii="仿宋_GB2312" w:hAnsi="仿宋_GB2312" w:eastAsia="仿宋_GB2312" w:cs="仿宋_GB2312"/>
          <w:sz w:val="32"/>
          <w:szCs w:val="32"/>
        </w:rPr>
      </w:pPr>
      <w:r>
        <w:rPr>
          <w:rFonts w:hint="eastAsia" w:ascii="宋体" w:hAnsi="宋体" w:cs="宋体"/>
          <w:color w:val="000000"/>
          <w:kern w:val="0"/>
          <w:szCs w:val="20"/>
        </w:rPr>
        <w:t>符合《中华人民共和国政府采购法》的第二十二条规定，本项目不允许分包，不接受联合竞价；提供供应商资格声明函，</w:t>
      </w:r>
      <w:r>
        <w:rPr>
          <w:rFonts w:hint="eastAsia" w:ascii="宋体" w:hAnsi="宋体" w:cs="宋体"/>
          <w:b/>
          <w:color w:val="000000"/>
          <w:kern w:val="0"/>
          <w:szCs w:val="20"/>
        </w:rPr>
        <w:t>格式详见附件；</w:t>
      </w:r>
    </w:p>
    <w:p>
      <w:pPr>
        <w:pStyle w:val="22"/>
        <w:widowControl/>
        <w:numPr>
          <w:ilvl w:val="0"/>
          <w:numId w:val="6"/>
        </w:numPr>
        <w:spacing w:line="360" w:lineRule="auto"/>
        <w:ind w:left="851" w:firstLineChars="0"/>
        <w:jc w:val="left"/>
        <w:rPr>
          <w:rFonts w:ascii="宋体" w:hAnsi="宋体" w:cs="宋体"/>
          <w:szCs w:val="21"/>
        </w:rPr>
      </w:pPr>
      <w:r>
        <w:rPr>
          <w:rFonts w:hint="eastAsia" w:ascii="宋体" w:hAnsi="宋体" w:cs="宋体"/>
          <w:szCs w:val="21"/>
        </w:rPr>
        <w:t>因本期UPS维修和电池更换购涉及拆除原旧设备，新购置电池安装部署于原箱体、不中断业务施工等内容，故需响应供应商进行现场勘查，制定采购人认可的实施方案。响应供应商须提供现场勘查证明文件（</w:t>
      </w:r>
      <w:r>
        <w:rPr>
          <w:rFonts w:hint="eastAsia" w:ascii="宋体" w:hAnsi="宋体" w:cs="宋体"/>
          <w:b/>
          <w:bCs/>
          <w:szCs w:val="21"/>
        </w:rPr>
        <w:t>现场勘查</w:t>
      </w:r>
      <w:r>
        <w:rPr>
          <w:rFonts w:hint="eastAsia" w:ascii="宋体" w:hAnsi="宋体" w:cs="宋体"/>
          <w:b/>
          <w:bCs/>
          <w:szCs w:val="21"/>
          <w:lang w:eastAsia="zh-CN"/>
        </w:rPr>
        <w:t>人员须出示电工证</w:t>
      </w:r>
      <w:r>
        <w:rPr>
          <w:rFonts w:hint="eastAsia" w:ascii="宋体" w:hAnsi="宋体" w:cs="宋体"/>
          <w:szCs w:val="21"/>
          <w:lang w:eastAsia="zh-CN"/>
        </w:rPr>
        <w:t>，证明</w:t>
      </w:r>
      <w:r>
        <w:rPr>
          <w:rFonts w:hint="eastAsia" w:ascii="宋体" w:hAnsi="宋体" w:cs="宋体"/>
          <w:szCs w:val="21"/>
        </w:rPr>
        <w:t>文件需加盖采购单位公章），否则作无效响应处理。</w:t>
      </w:r>
      <w:r>
        <w:rPr>
          <w:rFonts w:hint="eastAsia" w:ascii="宋体" w:hAnsi="宋体" w:cs="宋体"/>
          <w:color w:val="000000"/>
          <w:kern w:val="0"/>
          <w:szCs w:val="20"/>
        </w:rPr>
        <w:t>提供</w:t>
      </w:r>
      <w:r>
        <w:rPr>
          <w:rFonts w:hint="eastAsia" w:hAnsi="宋体"/>
        </w:rPr>
        <w:t>现场勘查委托函，</w:t>
      </w:r>
      <w:r>
        <w:rPr>
          <w:rFonts w:hint="eastAsia" w:ascii="宋体" w:hAnsi="宋体" w:cs="宋体"/>
          <w:b/>
          <w:color w:val="000000"/>
          <w:kern w:val="0"/>
          <w:szCs w:val="20"/>
        </w:rPr>
        <w:t>格式详见附件；（勘查时间：本项目报名期间；联系人：黄先生；联系方式：15989231450；勘查地址：广州市越秀区先烈南路17号 ）</w:t>
      </w:r>
    </w:p>
    <w:p>
      <w:pPr>
        <w:pStyle w:val="22"/>
        <w:widowControl/>
        <w:numPr>
          <w:ilvl w:val="0"/>
          <w:numId w:val="6"/>
        </w:numPr>
        <w:spacing w:line="360" w:lineRule="auto"/>
        <w:ind w:left="851" w:firstLineChars="0"/>
        <w:jc w:val="left"/>
        <w:outlineLvl w:val="9"/>
        <w:rPr>
          <w:rFonts w:ascii="宋体" w:hAnsi="宋体" w:cs="宋体"/>
          <w:szCs w:val="21"/>
        </w:rPr>
      </w:pPr>
      <w:r>
        <w:rPr>
          <w:rFonts w:hint="eastAsia" w:ascii="宋体" w:hAnsi="宋体" w:cs="宋体"/>
          <w:szCs w:val="21"/>
        </w:rPr>
        <w:t>提供现场实施工程师的高级电工证（复印件加盖公章）。</w:t>
      </w:r>
    </w:p>
    <w:p>
      <w:pPr>
        <w:pStyle w:val="22"/>
        <w:widowControl/>
        <w:numPr>
          <w:ilvl w:val="0"/>
          <w:numId w:val="6"/>
        </w:numPr>
        <w:spacing w:line="360" w:lineRule="auto"/>
        <w:ind w:left="851" w:firstLineChars="0"/>
        <w:jc w:val="left"/>
        <w:rPr>
          <w:rFonts w:ascii="宋体" w:hAnsi="宋体" w:cs="宋体"/>
          <w:szCs w:val="21"/>
        </w:rPr>
      </w:pPr>
      <w:r>
        <w:rPr>
          <w:rFonts w:ascii="宋体" w:hAnsi="宋体" w:cs="宋体"/>
          <w:color w:val="000000"/>
          <w:kern w:val="0"/>
          <w:szCs w:val="20"/>
        </w:rPr>
        <w:t>供应商</w:t>
      </w:r>
      <w:r>
        <w:rPr>
          <w:rFonts w:hint="eastAsia" w:ascii="宋体" w:hAnsi="宋体" w:cs="宋体"/>
          <w:szCs w:val="21"/>
        </w:rPr>
        <w:t>提供进场施工工程师意外伤害保险责任险（团体五类</w:t>
      </w:r>
      <w:r>
        <w:rPr>
          <w:rFonts w:hint="eastAsia" w:ascii="宋体" w:hAnsi="宋体" w:cs="宋体"/>
          <w:szCs w:val="21"/>
          <w:lang w:eastAsia="zh-CN"/>
        </w:rPr>
        <w:t>高风险</w:t>
      </w:r>
      <w:r>
        <w:rPr>
          <w:rFonts w:hint="eastAsia" w:ascii="宋体" w:hAnsi="宋体" w:cs="宋体"/>
          <w:szCs w:val="21"/>
        </w:rPr>
        <w:t>职业</w:t>
      </w:r>
      <w:r>
        <w:rPr>
          <w:rFonts w:hint="eastAsia" w:ascii="宋体" w:hAnsi="宋体" w:cs="宋体"/>
          <w:szCs w:val="21"/>
          <w:lang w:val="en-US" w:eastAsia="zh-CN"/>
        </w:rPr>
        <w:t>,保额不低于</w:t>
      </w:r>
      <w:r>
        <w:rPr>
          <w:rFonts w:hint="eastAsia" w:ascii="宋体" w:hAnsi="宋体" w:cs="宋体"/>
          <w:szCs w:val="21"/>
        </w:rPr>
        <w:t>60万</w:t>
      </w:r>
      <w:r>
        <w:rPr>
          <w:rFonts w:hint="eastAsia" w:ascii="宋体" w:hAnsi="宋体" w:cs="宋体"/>
          <w:szCs w:val="21"/>
          <w:lang w:eastAsia="zh-CN"/>
        </w:rPr>
        <w:t>元，承诺</w:t>
      </w:r>
      <w:r>
        <w:rPr>
          <w:rFonts w:hint="eastAsia" w:ascii="宋体" w:hAnsi="宋体" w:cs="宋体"/>
          <w:szCs w:val="21"/>
          <w:lang w:val="en-US" w:eastAsia="zh-CN"/>
        </w:rPr>
        <w:t>成交</w:t>
      </w:r>
      <w:r>
        <w:rPr>
          <w:rFonts w:hint="eastAsia" w:ascii="宋体" w:hAnsi="宋体" w:cs="宋体"/>
          <w:szCs w:val="21"/>
          <w:lang w:eastAsia="zh-CN"/>
        </w:rPr>
        <w:t>后提供，</w:t>
      </w:r>
      <w:r>
        <w:rPr>
          <w:rFonts w:ascii="宋体" w:hAnsi="宋体" w:cs="宋体"/>
          <w:color w:val="000000"/>
          <w:kern w:val="0"/>
          <w:szCs w:val="20"/>
        </w:rPr>
        <w:t>提供承诺函</w:t>
      </w:r>
      <w:r>
        <w:rPr>
          <w:rFonts w:hint="eastAsia" w:ascii="宋体" w:hAnsi="宋体" w:cs="宋体"/>
          <w:color w:val="000000"/>
          <w:kern w:val="0"/>
          <w:szCs w:val="20"/>
        </w:rPr>
        <w:t>，</w:t>
      </w:r>
      <w:r>
        <w:rPr>
          <w:rFonts w:ascii="宋体" w:hAnsi="宋体" w:cs="宋体"/>
          <w:b/>
          <w:color w:val="000000"/>
          <w:kern w:val="0"/>
          <w:szCs w:val="20"/>
        </w:rPr>
        <w:t>格式详见附件</w:t>
      </w:r>
      <w:r>
        <w:rPr>
          <w:rFonts w:hint="eastAsia" w:ascii="宋体" w:hAnsi="宋体" w:cs="宋体"/>
          <w:szCs w:val="21"/>
        </w:rPr>
        <w:t>）</w:t>
      </w:r>
    </w:p>
    <w:p>
      <w:pPr>
        <w:pStyle w:val="22"/>
        <w:widowControl/>
        <w:numPr>
          <w:ilvl w:val="0"/>
          <w:numId w:val="6"/>
        </w:numPr>
        <w:spacing w:line="360" w:lineRule="auto"/>
        <w:ind w:left="851" w:firstLineChars="0"/>
        <w:jc w:val="left"/>
        <w:rPr>
          <w:rFonts w:ascii="宋体" w:hAnsi="宋体" w:cs="宋体"/>
          <w:szCs w:val="21"/>
        </w:rPr>
      </w:pPr>
      <w:r>
        <w:rPr>
          <w:rFonts w:hint="eastAsia" w:ascii="宋体" w:hAnsi="宋体" w:cs="宋体"/>
          <w:szCs w:val="21"/>
        </w:rPr>
        <w:t>货物（电池）须提供以下证明：a.生产厂家为中小企业 ，供应商提供的货物须全部由中小企业生产且使用该中小企业商号或注册商标。b.具有排污许可证。C.泰尔认证（</w:t>
      </w:r>
      <w:r>
        <w:rPr>
          <w:rFonts w:hint="eastAsia" w:ascii="宋体" w:hAnsi="宋体" w:cs="宋体"/>
          <w:szCs w:val="21"/>
          <w:lang w:eastAsia="zh-CN"/>
        </w:rPr>
        <w:t>AGM+胶</w:t>
      </w:r>
      <w:r>
        <w:rPr>
          <w:rFonts w:hint="eastAsia" w:ascii="宋体" w:hAnsi="宋体" w:cs="宋体"/>
          <w:szCs w:val="21"/>
        </w:rPr>
        <w:t>）。</w:t>
      </w:r>
      <w:r>
        <w:rPr>
          <w:rFonts w:hint="eastAsia" w:ascii="宋体" w:hAnsi="宋体" w:cs="宋体"/>
          <w:szCs w:val="21"/>
          <w:lang w:val="en-US" w:eastAsia="zh-CN"/>
        </w:rPr>
        <w:t xml:space="preserve"> </w:t>
      </w:r>
    </w:p>
    <w:p>
      <w:pPr>
        <w:pStyle w:val="22"/>
        <w:numPr>
          <w:ilvl w:val="0"/>
          <w:numId w:val="3"/>
        </w:numPr>
        <w:spacing w:line="360" w:lineRule="auto"/>
        <w:ind w:firstLineChars="0"/>
        <w:outlineLvl w:val="9"/>
        <w:rPr>
          <w:rStyle w:val="15"/>
          <w:rFonts w:ascii="宋体" w:hAnsi="宋体"/>
          <w:bCs w:val="0"/>
          <w:color w:val="000000"/>
        </w:rPr>
      </w:pPr>
      <w:r>
        <w:rPr>
          <w:rStyle w:val="15"/>
          <w:rFonts w:hint="eastAsia" w:ascii="宋体" w:hAnsi="宋体"/>
          <w:bCs w:val="0"/>
          <w:color w:val="000000"/>
        </w:rPr>
        <w:t>报价要求</w:t>
      </w:r>
      <w:r>
        <w:rPr>
          <w:rStyle w:val="15"/>
          <w:rFonts w:hint="eastAsia" w:ascii="宋体" w:hAnsi="宋体"/>
          <w:color w:val="000000"/>
          <w:szCs w:val="21"/>
        </w:rPr>
        <w:t>（</w:t>
      </w:r>
      <w:r>
        <w:rPr>
          <w:rStyle w:val="15"/>
          <w:rFonts w:hint="eastAsia" w:ascii="宋体" w:hAnsi="宋体"/>
          <w:b w:val="0"/>
          <w:color w:val="000000"/>
          <w:szCs w:val="21"/>
        </w:rPr>
        <w:t>报价时需要提供以下</w:t>
      </w:r>
      <w:r>
        <w:rPr>
          <w:rStyle w:val="15"/>
          <w:rFonts w:hint="eastAsia" w:ascii="宋体" w:hAnsi="宋体"/>
          <w:color w:val="000000"/>
          <w:szCs w:val="21"/>
          <w:u w:val="double"/>
        </w:rPr>
        <w:t>盖章</w:t>
      </w:r>
      <w:r>
        <w:rPr>
          <w:rStyle w:val="15"/>
          <w:rFonts w:hint="eastAsia" w:ascii="宋体" w:hAnsi="宋体"/>
          <w:b w:val="0"/>
          <w:color w:val="000000"/>
          <w:szCs w:val="21"/>
        </w:rPr>
        <w:t>资料，</w:t>
      </w:r>
      <w:r>
        <w:rPr>
          <w:rFonts w:hint="eastAsia" w:ascii="宋体" w:hAnsi="宋体"/>
          <w:color w:val="000000"/>
          <w:szCs w:val="21"/>
        </w:rPr>
        <w:t>并对上传的竞价文件资料承担责任</w:t>
      </w:r>
      <w:r>
        <w:rPr>
          <w:rStyle w:val="15"/>
          <w:rFonts w:hint="eastAsia" w:ascii="宋体" w:hAnsi="宋体"/>
          <w:color w:val="000000"/>
          <w:szCs w:val="21"/>
        </w:rPr>
        <w:t>）</w:t>
      </w:r>
    </w:p>
    <w:p>
      <w:pPr>
        <w:pStyle w:val="22"/>
        <w:numPr>
          <w:ilvl w:val="0"/>
          <w:numId w:val="7"/>
        </w:numPr>
        <w:spacing w:line="360" w:lineRule="auto"/>
        <w:ind w:left="851" w:firstLineChars="0"/>
        <w:rPr>
          <w:rFonts w:ascii="宋体" w:hAnsi="宋体"/>
          <w:color w:val="000000"/>
        </w:rPr>
      </w:pPr>
      <w:r>
        <w:rPr>
          <w:rFonts w:hint="eastAsia" w:ascii="宋体" w:hAnsi="宋体"/>
          <w:color w:val="000000"/>
          <w:szCs w:val="21"/>
        </w:rPr>
        <w:t>通过报名供应商应根据本公告要求，在规定的竞价时间内对采购项目进行报价，同时按本公告要求完整</w:t>
      </w:r>
      <w:r>
        <w:rPr>
          <w:rFonts w:hint="eastAsia" w:ascii="宋体" w:hAnsi="宋体" w:cs="宋体"/>
          <w:color w:val="000000"/>
          <w:szCs w:val="21"/>
          <w:lang w:eastAsia="zh-TW"/>
        </w:rPr>
        <w:t>、真实、准确地</w:t>
      </w:r>
      <w:r>
        <w:rPr>
          <w:rFonts w:hint="eastAsia" w:ascii="宋体" w:hAnsi="宋体" w:cs="宋体"/>
          <w:color w:val="000000"/>
          <w:szCs w:val="21"/>
        </w:rPr>
        <w:t>填写并</w:t>
      </w:r>
      <w:r>
        <w:rPr>
          <w:rFonts w:hint="eastAsia" w:ascii="宋体" w:hAnsi="宋体"/>
          <w:color w:val="000000"/>
          <w:szCs w:val="21"/>
        </w:rPr>
        <w:t>上传相应</w:t>
      </w:r>
      <w:r>
        <w:rPr>
          <w:rFonts w:hint="eastAsia" w:ascii="宋体" w:hAnsi="宋体"/>
          <w:b/>
          <w:bCs/>
          <w:color w:val="000000"/>
          <w:szCs w:val="21"/>
        </w:rPr>
        <w:t>报价附件（报价表）</w:t>
      </w:r>
      <w:r>
        <w:rPr>
          <w:rFonts w:hint="eastAsia" w:ascii="宋体" w:hAnsi="宋体"/>
          <w:color w:val="000000"/>
          <w:szCs w:val="21"/>
        </w:rPr>
        <w:t>。</w:t>
      </w:r>
    </w:p>
    <w:p>
      <w:pPr>
        <w:pStyle w:val="22"/>
        <w:numPr>
          <w:ilvl w:val="0"/>
          <w:numId w:val="7"/>
        </w:numPr>
        <w:spacing w:line="360" w:lineRule="auto"/>
        <w:ind w:left="851" w:firstLineChars="0"/>
        <w:rPr>
          <w:rFonts w:ascii="宋体" w:hAnsi="宋体"/>
          <w:color w:val="000000"/>
        </w:rPr>
      </w:pPr>
      <w:r>
        <w:rPr>
          <w:rFonts w:hint="eastAsia" w:ascii="宋体" w:hAnsi="宋体"/>
          <w:b/>
          <w:color w:val="000000"/>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22"/>
        <w:numPr>
          <w:ilvl w:val="0"/>
          <w:numId w:val="3"/>
        </w:numPr>
        <w:spacing w:line="360" w:lineRule="auto"/>
        <w:ind w:firstLineChars="0"/>
        <w:outlineLvl w:val="9"/>
        <w:rPr>
          <w:rStyle w:val="15"/>
          <w:rFonts w:ascii="宋体" w:hAnsi="宋体"/>
          <w:bCs w:val="0"/>
          <w:color w:val="000000"/>
        </w:rPr>
      </w:pPr>
      <w:r>
        <w:rPr>
          <w:rStyle w:val="15"/>
          <w:rFonts w:hint="eastAsia" w:ascii="宋体" w:hAnsi="宋体"/>
          <w:bCs w:val="0"/>
          <w:color w:val="000000"/>
        </w:rPr>
        <w:t>确定成交候选人</w:t>
      </w:r>
    </w:p>
    <w:p>
      <w:pPr>
        <w:pStyle w:val="22"/>
        <w:numPr>
          <w:ilvl w:val="0"/>
          <w:numId w:val="8"/>
        </w:numPr>
        <w:spacing w:line="360" w:lineRule="auto"/>
        <w:ind w:firstLineChars="0"/>
        <w:rPr>
          <w:rFonts w:ascii="宋体" w:hAnsi="宋体"/>
          <w:color w:val="000000"/>
          <w:szCs w:val="21"/>
        </w:rPr>
      </w:pPr>
      <w:r>
        <w:rPr>
          <w:rFonts w:hint="eastAsia" w:ascii="宋体" w:hAnsi="宋体"/>
          <w:color w:val="000000"/>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pPr>
        <w:pStyle w:val="22"/>
        <w:numPr>
          <w:ilvl w:val="0"/>
          <w:numId w:val="3"/>
        </w:numPr>
        <w:spacing w:line="360" w:lineRule="auto"/>
        <w:ind w:firstLineChars="0"/>
        <w:outlineLvl w:val="9"/>
        <w:rPr>
          <w:rFonts w:ascii="宋体" w:hAnsi="宋体"/>
          <w:b/>
          <w:color w:val="000000"/>
          <w:szCs w:val="21"/>
        </w:rPr>
      </w:pPr>
      <w:r>
        <w:rPr>
          <w:rFonts w:hint="eastAsia" w:ascii="宋体" w:hAnsi="宋体"/>
          <w:b/>
          <w:color w:val="000000"/>
          <w:szCs w:val="21"/>
        </w:rPr>
        <w:t>无效报价</w:t>
      </w:r>
    </w:p>
    <w:p>
      <w:pPr>
        <w:pStyle w:val="22"/>
        <w:numPr>
          <w:ilvl w:val="0"/>
          <w:numId w:val="9"/>
        </w:numPr>
        <w:spacing w:line="360" w:lineRule="auto"/>
        <w:ind w:firstLineChars="0"/>
        <w:rPr>
          <w:rFonts w:ascii="宋体" w:hAnsi="宋体"/>
          <w:color w:val="000000"/>
          <w:szCs w:val="21"/>
        </w:rPr>
      </w:pPr>
      <w:r>
        <w:rPr>
          <w:rFonts w:hint="eastAsia" w:ascii="宋体" w:hAnsi="宋体"/>
          <w:color w:val="000000"/>
          <w:szCs w:val="21"/>
        </w:rPr>
        <w:t>参与竞价的</w:t>
      </w:r>
      <w:r>
        <w:rPr>
          <w:rFonts w:hint="eastAsia" w:ascii="宋体" w:hAnsi="宋体"/>
          <w:color w:val="000000"/>
        </w:rPr>
        <w:t>供应商报价超过最高限价或低于最低限价或超过项目对应产品单项最高限价的视为无效报价。</w:t>
      </w:r>
    </w:p>
    <w:p>
      <w:pPr>
        <w:pStyle w:val="22"/>
        <w:numPr>
          <w:ilvl w:val="0"/>
          <w:numId w:val="9"/>
        </w:numPr>
        <w:spacing w:line="360" w:lineRule="auto"/>
        <w:ind w:firstLineChars="0"/>
        <w:rPr>
          <w:rFonts w:ascii="宋体" w:hAnsi="宋体"/>
          <w:color w:val="000000"/>
          <w:szCs w:val="21"/>
        </w:rPr>
      </w:pPr>
      <w:r>
        <w:rPr>
          <w:rFonts w:hint="eastAsia" w:ascii="宋体" w:hAnsi="宋体"/>
          <w:color w:val="000000"/>
          <w:szCs w:val="21"/>
        </w:rPr>
        <w:t>参与竞价的</w:t>
      </w:r>
      <w:r>
        <w:rPr>
          <w:rFonts w:hint="eastAsia" w:ascii="宋体" w:hAnsi="宋体"/>
          <w:bCs/>
          <w:color w:val="000000"/>
          <w:szCs w:val="21"/>
        </w:rPr>
        <w:t>供应商须提供本项目要求的资质文件，如果不按公告规定或竞价文件要求等相关规定提供符合要求的资质文件，将被视为无效报价；</w:t>
      </w:r>
    </w:p>
    <w:p>
      <w:pPr>
        <w:pStyle w:val="22"/>
        <w:numPr>
          <w:ilvl w:val="0"/>
          <w:numId w:val="9"/>
        </w:numPr>
        <w:spacing w:line="360" w:lineRule="auto"/>
        <w:ind w:firstLineChars="0"/>
        <w:rPr>
          <w:rFonts w:ascii="宋体" w:hAnsi="宋体"/>
          <w:color w:val="000000"/>
          <w:szCs w:val="21"/>
        </w:rPr>
      </w:pPr>
      <w:r>
        <w:rPr>
          <w:rFonts w:hint="eastAsia" w:ascii="宋体" w:hAnsi="宋体"/>
          <w:color w:val="000000"/>
          <w:szCs w:val="21"/>
        </w:rPr>
        <w:t>参与竞价的</w:t>
      </w:r>
      <w:r>
        <w:rPr>
          <w:rFonts w:hint="eastAsia" w:ascii="宋体" w:hAnsi="宋体"/>
          <w:bCs/>
          <w:color w:val="000000"/>
          <w:szCs w:val="21"/>
        </w:rPr>
        <w:t>供应商须对本项目采购内容进行整体报价，任何只对其中一部分内容进行的报价都被视为无效报价。</w:t>
      </w:r>
    </w:p>
    <w:p>
      <w:pPr>
        <w:pStyle w:val="22"/>
        <w:numPr>
          <w:ilvl w:val="0"/>
          <w:numId w:val="9"/>
        </w:numPr>
        <w:spacing w:line="360" w:lineRule="auto"/>
        <w:ind w:firstLineChars="0"/>
        <w:rPr>
          <w:rFonts w:ascii="宋体" w:hAnsi="宋体"/>
          <w:color w:val="000000"/>
          <w:szCs w:val="21"/>
        </w:rPr>
      </w:pPr>
      <w:r>
        <w:rPr>
          <w:rFonts w:ascii="宋体" w:hAnsi="宋体"/>
          <w:color w:val="000000"/>
          <w:u w:val="double"/>
        </w:rPr>
        <w:t>报价表</w:t>
      </w:r>
      <w:r>
        <w:rPr>
          <w:rFonts w:hint="eastAsia" w:ascii="宋体" w:hAnsi="宋体"/>
          <w:color w:val="000000"/>
          <w:u w:val="double"/>
        </w:rPr>
        <w:t>以及有报价供应商落款的报价文件</w:t>
      </w:r>
      <w:r>
        <w:rPr>
          <w:rFonts w:ascii="宋体" w:hAnsi="宋体"/>
          <w:color w:val="000000"/>
          <w:u w:val="double"/>
        </w:rPr>
        <w:t>必须加盖</w:t>
      </w:r>
      <w:r>
        <w:rPr>
          <w:rFonts w:hint="eastAsia" w:ascii="宋体" w:hAnsi="宋体"/>
          <w:color w:val="000000"/>
          <w:u w:val="double"/>
        </w:rPr>
        <w:t>报价供应商</w:t>
      </w:r>
      <w:r>
        <w:rPr>
          <w:rFonts w:ascii="宋体" w:hAnsi="宋体"/>
          <w:color w:val="000000"/>
          <w:u w:val="double"/>
        </w:rPr>
        <w:t>公章，否则视为无效报价</w:t>
      </w:r>
      <w:r>
        <w:rPr>
          <w:rFonts w:hint="eastAsia" w:ascii="宋体" w:hAnsi="宋体"/>
          <w:color w:val="000000"/>
        </w:rPr>
        <w:t>；</w:t>
      </w:r>
    </w:p>
    <w:p>
      <w:pPr>
        <w:pStyle w:val="9"/>
        <w:numPr>
          <w:ilvl w:val="0"/>
          <w:numId w:val="0"/>
        </w:numPr>
        <w:shd w:val="clear" w:color="auto" w:fill="FFFFFF"/>
        <w:spacing w:before="0" w:beforeAutospacing="0" w:after="0" w:afterAutospacing="0" w:line="360" w:lineRule="auto"/>
        <w:ind w:left="426" w:leftChars="0" w:firstLine="420" w:firstLineChars="200"/>
        <w:rPr>
          <w:color w:val="000000"/>
          <w:sz w:val="21"/>
          <w:szCs w:val="21"/>
        </w:rPr>
      </w:pPr>
      <w:r>
        <w:rPr>
          <w:color w:val="000000"/>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b/>
          <w:color w:val="000000"/>
          <w:sz w:val="21"/>
          <w:szCs w:val="21"/>
        </w:rPr>
        <w:t>不接受总价优惠折扣形式的报价，供应商应将对项目的优惠直接在清单报价中体现出来</w:t>
      </w:r>
      <w:r>
        <w:rPr>
          <w:color w:val="000000"/>
          <w:sz w:val="21"/>
          <w:szCs w:val="21"/>
        </w:rPr>
        <w:t>。如果供应商不接受对其错误的更正，其报价将被视为无效报价；</w:t>
      </w:r>
    </w:p>
    <w:p>
      <w:pPr>
        <w:pStyle w:val="9"/>
        <w:numPr>
          <w:ilvl w:val="0"/>
          <w:numId w:val="9"/>
        </w:numPr>
        <w:shd w:val="clear" w:color="auto" w:fill="FFFFFF"/>
        <w:spacing w:before="0" w:beforeAutospacing="0" w:after="0" w:afterAutospacing="0" w:line="360" w:lineRule="auto"/>
        <w:rPr>
          <w:b/>
          <w:bCs/>
          <w:color w:val="000000"/>
          <w:sz w:val="21"/>
          <w:szCs w:val="21"/>
          <w:u w:val="double"/>
        </w:rPr>
      </w:pPr>
      <w:r>
        <w:rPr>
          <w:rFonts w:hint="eastAsia"/>
          <w:b/>
          <w:bCs/>
          <w:color w:val="000000"/>
          <w:sz w:val="21"/>
          <w:szCs w:val="21"/>
          <w:u w:val="double"/>
        </w:rPr>
        <w:t>按有关法律、法规、规章属于报价无效的。</w:t>
      </w:r>
    </w:p>
    <w:p>
      <w:pPr>
        <w:pStyle w:val="9"/>
        <w:numPr>
          <w:ilvl w:val="0"/>
          <w:numId w:val="9"/>
        </w:numPr>
        <w:shd w:val="clear" w:color="auto" w:fill="FFFFFF"/>
        <w:spacing w:before="0" w:beforeAutospacing="0" w:after="0" w:afterAutospacing="0" w:line="360" w:lineRule="auto"/>
        <w:rPr>
          <w:color w:val="000000"/>
          <w:sz w:val="21"/>
          <w:szCs w:val="21"/>
        </w:rPr>
      </w:pPr>
      <w:r>
        <w:rPr>
          <w:rFonts w:hint="eastAsia"/>
          <w:b/>
          <w:color w:val="000000"/>
          <w:sz w:val="21"/>
          <w:szCs w:val="21"/>
        </w:rPr>
        <w:t>有下列情形之一的，视为串通竞价，其报价无效：</w:t>
      </w:r>
    </w:p>
    <w:p>
      <w:pPr>
        <w:pStyle w:val="24"/>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存在单位负责人为同一人或存在控股、管理关系的不同单位参与同一竞价项目；</w:t>
      </w:r>
    </w:p>
    <w:p>
      <w:pPr>
        <w:pStyle w:val="22"/>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不同供应商的响应文件由同一单位或者个人编制；</w:t>
      </w:r>
    </w:p>
    <w:p>
      <w:pPr>
        <w:pStyle w:val="22"/>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不同供应商委托同一单位或者个人办理竞价事宜；</w:t>
      </w:r>
    </w:p>
    <w:p>
      <w:pPr>
        <w:pStyle w:val="22"/>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不同供应商使用同一IP地址参与竞价；</w:t>
      </w:r>
    </w:p>
    <w:p>
      <w:pPr>
        <w:pStyle w:val="22"/>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不同供应商的响应文件载明的项目管理成员或者联系人员为同一人；</w:t>
      </w:r>
    </w:p>
    <w:p>
      <w:pPr>
        <w:pStyle w:val="22"/>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不同供应商的响应文件异常一致或者报价呈规律性差异；</w:t>
      </w:r>
    </w:p>
    <w:p>
      <w:pPr>
        <w:pStyle w:val="22"/>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不同供应商的响应文件相互混淆；</w:t>
      </w:r>
    </w:p>
    <w:p>
      <w:pPr>
        <w:pStyle w:val="22"/>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不同供应商的平台使用费从同一单位或者个人的账户转出；</w:t>
      </w:r>
    </w:p>
    <w:p>
      <w:pPr>
        <w:pStyle w:val="22"/>
        <w:numPr>
          <w:ilvl w:val="0"/>
          <w:numId w:val="3"/>
        </w:numPr>
        <w:spacing w:line="360" w:lineRule="auto"/>
        <w:ind w:firstLineChars="0"/>
        <w:outlineLvl w:val="9"/>
        <w:rPr>
          <w:rFonts w:ascii="宋体" w:hAnsi="宋体"/>
          <w:color w:val="000000"/>
          <w:szCs w:val="21"/>
        </w:rPr>
      </w:pPr>
      <w:r>
        <w:rPr>
          <w:rFonts w:hint="eastAsia" w:ascii="宋体" w:hAnsi="宋体"/>
          <w:b/>
          <w:color w:val="000000"/>
          <w:szCs w:val="21"/>
        </w:rPr>
        <w:t>竞价活动失败</w:t>
      </w:r>
    </w:p>
    <w:p>
      <w:pPr>
        <w:pStyle w:val="22"/>
        <w:numPr>
          <w:ilvl w:val="0"/>
          <w:numId w:val="11"/>
        </w:numPr>
        <w:spacing w:line="360" w:lineRule="auto"/>
        <w:ind w:left="851" w:hanging="425" w:firstLineChars="0"/>
        <w:outlineLvl w:val="9"/>
        <w:rPr>
          <w:rFonts w:ascii="宋体" w:hAnsi="宋体"/>
          <w:color w:val="000000"/>
          <w:szCs w:val="21"/>
        </w:rPr>
      </w:pPr>
      <w:r>
        <w:rPr>
          <w:rFonts w:ascii="宋体" w:hAnsi="宋体" w:cs="Tahoma"/>
          <w:color w:val="000000"/>
          <w:szCs w:val="21"/>
        </w:rPr>
        <w:t>出现下列情况的，本次竞价活动失败：</w:t>
      </w:r>
    </w:p>
    <w:p>
      <w:pPr>
        <w:pStyle w:val="22"/>
        <w:spacing w:line="360" w:lineRule="auto"/>
        <w:ind w:left="851" w:firstLine="0" w:firstLineChars="0"/>
        <w:rPr>
          <w:rFonts w:ascii="宋体" w:hAnsi="宋体"/>
          <w:color w:val="000000"/>
          <w:szCs w:val="21"/>
        </w:rPr>
      </w:pPr>
      <w:r>
        <w:rPr>
          <w:rFonts w:hint="eastAsia" w:ascii="宋体" w:hAnsi="宋体" w:cs="Tahoma"/>
          <w:color w:val="000000"/>
          <w:szCs w:val="21"/>
        </w:rPr>
        <w:t>(</w:t>
      </w:r>
      <w:r>
        <w:rPr>
          <w:rFonts w:ascii="宋体" w:hAnsi="宋体" w:cs="Tahoma"/>
          <w:color w:val="000000"/>
          <w:szCs w:val="21"/>
        </w:rPr>
        <w:t>1)报名供应商不足3家；</w:t>
      </w:r>
    </w:p>
    <w:p>
      <w:pPr>
        <w:pStyle w:val="22"/>
        <w:spacing w:line="360" w:lineRule="auto"/>
        <w:ind w:left="851" w:firstLine="0" w:firstLineChars="0"/>
        <w:rPr>
          <w:rFonts w:ascii="宋体" w:hAnsi="宋体"/>
          <w:color w:val="000000"/>
          <w:szCs w:val="21"/>
        </w:rPr>
      </w:pPr>
      <w:r>
        <w:rPr>
          <w:rFonts w:ascii="宋体" w:hAnsi="宋体" w:cs="Tahoma"/>
          <w:color w:val="000000"/>
          <w:szCs w:val="21"/>
        </w:rPr>
        <w:t>(2)报价供应商不足3家；</w:t>
      </w:r>
    </w:p>
    <w:p>
      <w:pPr>
        <w:pStyle w:val="22"/>
        <w:numPr>
          <w:ilvl w:val="0"/>
          <w:numId w:val="11"/>
        </w:numPr>
        <w:spacing w:line="360" w:lineRule="auto"/>
        <w:ind w:left="851" w:firstLineChars="0"/>
        <w:rPr>
          <w:rFonts w:ascii="宋体" w:hAnsi="宋体"/>
          <w:color w:val="000000"/>
          <w:szCs w:val="21"/>
        </w:rPr>
      </w:pPr>
      <w:r>
        <w:rPr>
          <w:rFonts w:ascii="宋体" w:hAnsi="宋体"/>
          <w:color w:val="000000"/>
          <w:szCs w:val="21"/>
        </w:rPr>
        <w:t>出现影响采购公正的违法、违规行为的</w:t>
      </w:r>
      <w:r>
        <w:rPr>
          <w:rFonts w:hint="eastAsia" w:ascii="宋体" w:hAnsi="宋体"/>
          <w:color w:val="000000"/>
          <w:szCs w:val="21"/>
        </w:rPr>
        <w:t>；</w:t>
      </w:r>
    </w:p>
    <w:p>
      <w:pPr>
        <w:pStyle w:val="22"/>
        <w:numPr>
          <w:ilvl w:val="0"/>
          <w:numId w:val="11"/>
        </w:numPr>
        <w:spacing w:line="360" w:lineRule="auto"/>
        <w:ind w:left="851" w:firstLineChars="0"/>
        <w:rPr>
          <w:rFonts w:ascii="宋体" w:hAnsi="宋体"/>
          <w:color w:val="000000"/>
          <w:szCs w:val="21"/>
        </w:rPr>
      </w:pPr>
      <w:r>
        <w:rPr>
          <w:rFonts w:ascii="宋体" w:hAnsi="宋体"/>
          <w:color w:val="000000"/>
          <w:szCs w:val="21"/>
        </w:rPr>
        <w:t>因重大变故，采购任务取消的</w:t>
      </w:r>
      <w:r>
        <w:rPr>
          <w:rFonts w:hint="eastAsia" w:ascii="宋体" w:hAnsi="宋体"/>
          <w:color w:val="000000"/>
          <w:szCs w:val="21"/>
        </w:rPr>
        <w:t>；</w:t>
      </w:r>
    </w:p>
    <w:p>
      <w:pPr>
        <w:pStyle w:val="22"/>
        <w:numPr>
          <w:ilvl w:val="0"/>
          <w:numId w:val="3"/>
        </w:numPr>
        <w:spacing w:line="360" w:lineRule="auto"/>
        <w:ind w:firstLineChars="0"/>
        <w:outlineLvl w:val="9"/>
        <w:rPr>
          <w:rFonts w:ascii="宋体" w:hAnsi="宋体"/>
          <w:b/>
          <w:color w:val="000000"/>
          <w:szCs w:val="21"/>
        </w:rPr>
      </w:pPr>
      <w:r>
        <w:rPr>
          <w:rFonts w:hint="eastAsia" w:ascii="宋体" w:hAnsi="宋体"/>
          <w:b/>
          <w:color w:val="000000"/>
          <w:szCs w:val="21"/>
        </w:rPr>
        <w:t>使用费</w:t>
      </w:r>
    </w:p>
    <w:p>
      <w:pPr>
        <w:pStyle w:val="22"/>
        <w:numPr>
          <w:ilvl w:val="0"/>
          <w:numId w:val="12"/>
        </w:numPr>
        <w:spacing w:line="360" w:lineRule="auto"/>
        <w:ind w:left="851" w:firstLineChars="0"/>
        <w:rPr>
          <w:rFonts w:ascii="宋体" w:hAnsi="宋体"/>
          <w:color w:val="000000"/>
        </w:rPr>
      </w:pPr>
      <w:r>
        <w:rPr>
          <w:rFonts w:hint="eastAsia" w:ascii="宋体" w:hAnsi="宋体"/>
          <w:color w:val="000000"/>
        </w:rPr>
        <w:t>成交供应商须向平台服务商</w:t>
      </w:r>
      <w:r>
        <w:rPr>
          <w:rFonts w:hint="eastAsia" w:ascii="宋体" w:hAnsi="宋体" w:cs="宋体"/>
          <w:color w:val="000000"/>
          <w:szCs w:val="21"/>
          <w:lang w:eastAsia="zh-TW"/>
        </w:rPr>
        <w:t>云采链</w:t>
      </w:r>
      <w:r>
        <w:rPr>
          <w:rFonts w:hint="eastAsia" w:ascii="宋体" w:hAnsi="宋体"/>
          <w:color w:val="000000"/>
        </w:rPr>
        <w:t>线上采购一体化平台缴纳平台使用费，金额为成交金额的1.5%。</w:t>
      </w:r>
      <w:r>
        <w:rPr>
          <w:rFonts w:hint="eastAsia" w:ascii="宋体" w:hAnsi="宋体"/>
          <w:b/>
          <w:color w:val="000000"/>
        </w:rPr>
        <w:t>（小数点后面四舍五入取整数）</w:t>
      </w:r>
      <w:r>
        <w:rPr>
          <w:rFonts w:hint="eastAsia" w:ascii="宋体" w:hAnsi="宋体"/>
          <w:color w:val="000000"/>
        </w:rPr>
        <w:t>；</w:t>
      </w:r>
    </w:p>
    <w:p>
      <w:pPr>
        <w:pStyle w:val="22"/>
        <w:numPr>
          <w:ilvl w:val="0"/>
          <w:numId w:val="12"/>
        </w:numPr>
        <w:spacing w:line="360" w:lineRule="auto"/>
        <w:ind w:left="851" w:hanging="425" w:firstLineChars="0"/>
        <w:rPr>
          <w:rFonts w:ascii="宋体" w:hAnsi="宋体"/>
          <w:color w:val="000000"/>
        </w:rPr>
      </w:pPr>
      <w:r>
        <w:rPr>
          <w:rFonts w:hint="eastAsia" w:ascii="宋体" w:hAnsi="宋体"/>
          <w:color w:val="000000"/>
        </w:rPr>
        <w:t>成交供应商无正当理由放弃成交资格的必须按竞价公告等相关规定缴纳相应的平台使用费；</w:t>
      </w:r>
    </w:p>
    <w:p>
      <w:pPr>
        <w:pStyle w:val="22"/>
        <w:numPr>
          <w:ilvl w:val="0"/>
          <w:numId w:val="12"/>
        </w:numPr>
        <w:spacing w:line="360" w:lineRule="auto"/>
        <w:ind w:left="851" w:hanging="425" w:firstLineChars="0"/>
        <w:rPr>
          <w:rFonts w:ascii="宋体" w:hAnsi="宋体"/>
          <w:color w:val="000000"/>
        </w:rPr>
      </w:pPr>
      <w:r>
        <w:rPr>
          <w:rFonts w:hint="eastAsia" w:ascii="宋体" w:hAnsi="宋体"/>
          <w:color w:val="000000"/>
          <w:szCs w:val="21"/>
        </w:rPr>
        <w:t>如确实因不可抗力放弃成交资格的，应在不可抗力发生后三个工作日内予以通知采购代理机构并提供相关的证明；如逾期，采购代理机构不予退还平台使用费；</w:t>
      </w:r>
    </w:p>
    <w:p>
      <w:pPr>
        <w:pStyle w:val="22"/>
        <w:numPr>
          <w:ilvl w:val="0"/>
          <w:numId w:val="2"/>
        </w:numPr>
        <w:spacing w:line="360" w:lineRule="auto"/>
        <w:ind w:firstLineChars="0"/>
        <w:outlineLvl w:val="9"/>
        <w:rPr>
          <w:rFonts w:ascii="宋体" w:hAnsi="宋体"/>
          <w:color w:val="000000"/>
        </w:rPr>
      </w:pPr>
      <w:r>
        <w:rPr>
          <w:rFonts w:hint="eastAsia" w:ascii="宋体" w:hAnsi="宋体"/>
          <w:color w:val="000000"/>
        </w:rPr>
        <w:t>联系方式</w:t>
      </w:r>
    </w:p>
    <w:p>
      <w:pPr>
        <w:pStyle w:val="22"/>
        <w:widowControl/>
        <w:spacing w:line="360" w:lineRule="auto"/>
        <w:ind w:left="420" w:firstLine="0" w:firstLineChars="0"/>
        <w:jc w:val="left"/>
        <w:rPr>
          <w:rFonts w:ascii="宋体" w:hAnsi="宋体"/>
          <w:color w:val="000000"/>
        </w:rPr>
      </w:pPr>
      <w:r>
        <w:rPr>
          <w:rFonts w:ascii="宋体" w:hAnsi="宋体"/>
          <w:color w:val="000000"/>
        </w:rPr>
        <w:t>扫码关注微信公众号“云采链互联服务平台”，即可在线咨询相关事项</w:t>
      </w:r>
      <w:r>
        <w:rPr>
          <w:rFonts w:hint="eastAsia" w:ascii="宋体" w:hAnsi="宋体"/>
          <w:color w:val="000000"/>
        </w:rPr>
        <w:t>。</w:t>
      </w:r>
    </w:p>
    <w:p>
      <w:pPr>
        <w:spacing w:line="360" w:lineRule="auto"/>
        <w:jc w:val="center"/>
        <w:rPr>
          <w:rFonts w:ascii="宋体" w:hAnsi="宋体"/>
          <w:color w:val="000000"/>
        </w:rPr>
      </w:pPr>
      <w:r>
        <w:rPr>
          <w:rFonts w:ascii="宋体" w:hAnsi="宋体"/>
          <w:color w:val="000000"/>
        </w:rPr>
        <w:drawing>
          <wp:inline distT="0" distB="0" distL="0" distR="0">
            <wp:extent cx="1066800" cy="1066800"/>
            <wp:effectExtent l="0" t="0" r="0" b="0"/>
            <wp:docPr id="1026" name="图片 1" descr="C:\Users\ADMINI~1\AppData\Local\Temp\360zip$Temp\360$2\智采公众号8cm.jpg"/>
            <wp:cNvGraphicFramePr/>
            <a:graphic xmlns:a="http://schemas.openxmlformats.org/drawingml/2006/main">
              <a:graphicData uri="http://schemas.openxmlformats.org/drawingml/2006/picture">
                <pic:pic xmlns:pic="http://schemas.openxmlformats.org/drawingml/2006/picture">
                  <pic:nvPicPr>
                    <pic:cNvPr id="1026" name="图片 1" descr="C:\Users\ADMINI~1\AppData\Local\Temp\360zip$Temp\360$2\智采公众号8cm.jpg"/>
                    <pic:cNvPicPr/>
                  </pic:nvPicPr>
                  <pic:blipFill>
                    <a:blip r:embed="rId5" cstate="print"/>
                    <a:srcRect/>
                    <a:stretch>
                      <a:fillRect/>
                    </a:stretch>
                  </pic:blipFill>
                  <pic:spPr>
                    <a:xfrm>
                      <a:off x="0" y="0"/>
                      <a:ext cx="1066800" cy="1066800"/>
                    </a:xfrm>
                    <a:prstGeom prst="rect">
                      <a:avLst/>
                    </a:prstGeom>
                    <a:ln>
                      <a:noFill/>
                    </a:ln>
                  </pic:spPr>
                </pic:pic>
              </a:graphicData>
            </a:graphic>
          </wp:inline>
        </w:drawing>
      </w:r>
      <w:r>
        <w:rPr>
          <w:rFonts w:ascii="宋体" w:hAnsi="宋体"/>
          <w:color w:val="000000"/>
        </w:rPr>
        <w:br w:type="page"/>
      </w:r>
    </w:p>
    <w:p>
      <w:pPr>
        <w:pStyle w:val="10"/>
        <w:spacing w:before="0" w:after="0" w:line="360" w:lineRule="auto"/>
        <w:outlineLvl w:val="9"/>
        <w:rPr>
          <w:rFonts w:ascii="宋体" w:hAnsi="宋体"/>
          <w:color w:val="000000"/>
        </w:rPr>
        <w:sectPr>
          <w:footerReference r:id="rId3" w:type="default"/>
          <w:pgSz w:w="11906" w:h="16838"/>
          <w:pgMar w:top="1440" w:right="1800" w:bottom="1440" w:left="1800" w:header="851" w:footer="992" w:gutter="0"/>
          <w:cols w:space="425" w:num="1"/>
          <w:docGrid w:type="lines" w:linePitch="312" w:charSpace="0"/>
        </w:sectPr>
      </w:pPr>
    </w:p>
    <w:p>
      <w:pPr>
        <w:pStyle w:val="10"/>
        <w:spacing w:before="0" w:after="0" w:line="360" w:lineRule="auto"/>
        <w:rPr>
          <w:rFonts w:ascii="宋体" w:hAnsi="宋体"/>
          <w:color w:val="000000"/>
        </w:rPr>
      </w:pPr>
      <w:r>
        <w:rPr>
          <w:rFonts w:hint="eastAsia" w:ascii="宋体" w:hAnsi="宋体"/>
          <w:color w:val="000000"/>
        </w:rPr>
        <w:t>第二章 用户需求书</w:t>
      </w:r>
    </w:p>
    <w:p>
      <w:pPr>
        <w:snapToGrid w:val="0"/>
        <w:spacing w:beforeLines="50" w:line="360" w:lineRule="auto"/>
        <w:ind w:left="517" w:hanging="517" w:hangingChars="245"/>
        <w:rPr>
          <w:rFonts w:ascii="宋体" w:hAnsi="宋体" w:cs="宋体"/>
          <w:b/>
          <w:bCs/>
          <w:color w:val="000000"/>
          <w:szCs w:val="21"/>
        </w:rPr>
      </w:pPr>
      <w:r>
        <w:rPr>
          <w:rFonts w:hint="eastAsia" w:ascii="宋体" w:hAnsi="宋体" w:cs="宋体"/>
          <w:b/>
          <w:bCs/>
          <w:color w:val="000000"/>
          <w:szCs w:val="21"/>
        </w:rPr>
        <w:t>说明：响应供应商须对本项目进行整体响应，任何只对其中一部分进行的响应都被视为无效响应。</w:t>
      </w:r>
    </w:p>
    <w:p>
      <w:pPr>
        <w:pStyle w:val="5"/>
        <w:numPr>
          <w:ilvl w:val="0"/>
          <w:numId w:val="13"/>
        </w:numPr>
        <w:tabs>
          <w:tab w:val="left" w:pos="420"/>
          <w:tab w:val="left" w:pos="540"/>
        </w:tabs>
        <w:adjustRightInd w:val="0"/>
        <w:snapToGrid w:val="0"/>
        <w:spacing w:line="360" w:lineRule="auto"/>
        <w:rPr>
          <w:rFonts w:hAnsi="宋体"/>
          <w:b/>
          <w:bCs/>
          <w:color w:val="000000"/>
          <w:sz w:val="21"/>
        </w:rPr>
      </w:pPr>
      <w:r>
        <w:rPr>
          <w:rFonts w:hint="eastAsia" w:hAnsi="宋体"/>
          <w:b/>
          <w:bCs/>
          <w:color w:val="000000"/>
          <w:sz w:val="21"/>
        </w:rPr>
        <w:t>项目一览表</w:t>
      </w:r>
    </w:p>
    <w:tbl>
      <w:tblPr>
        <w:tblStyle w:val="1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042"/>
        <w:gridCol w:w="650"/>
        <w:gridCol w:w="3056"/>
        <w:gridCol w:w="17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784" w:type="pct"/>
            <w:shd w:val="clear" w:color="auto" w:fill="EEECE1"/>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项目名称</w:t>
            </w:r>
          </w:p>
        </w:tc>
        <w:tc>
          <w:tcPr>
            <w:tcW w:w="381" w:type="pct"/>
            <w:shd w:val="clear" w:color="auto" w:fill="EEECE1"/>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数量</w:t>
            </w:r>
          </w:p>
        </w:tc>
        <w:tc>
          <w:tcPr>
            <w:tcW w:w="1792" w:type="pct"/>
            <w:shd w:val="clear" w:color="auto" w:fill="EEECE1"/>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完成期</w:t>
            </w:r>
          </w:p>
        </w:tc>
        <w:tc>
          <w:tcPr>
            <w:tcW w:w="1042" w:type="pct"/>
            <w:shd w:val="clear" w:color="auto" w:fill="EEECE1"/>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最高限价（含税）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1784" w:type="pct"/>
            <w:vAlign w:val="center"/>
          </w:tcPr>
          <w:p>
            <w:pPr>
              <w:rPr>
                <w:rFonts w:ascii="宋体" w:hAnsi="宋体" w:cs="宋体"/>
                <w:bCs/>
                <w:color w:val="000000"/>
                <w:szCs w:val="21"/>
              </w:rPr>
            </w:pPr>
            <w:r>
              <w:rPr>
                <w:rFonts w:hint="eastAsia" w:ascii="宋体" w:hAnsi="宋体" w:cs="宋体"/>
                <w:bCs/>
                <w:szCs w:val="21"/>
              </w:rPr>
              <w:t>广东省卫生健康委事务中心机房UPS维修和电池更换采购项目</w:t>
            </w:r>
          </w:p>
        </w:tc>
        <w:tc>
          <w:tcPr>
            <w:tcW w:w="381" w:type="pct"/>
            <w:vAlign w:val="center"/>
          </w:tcPr>
          <w:p>
            <w:pPr>
              <w:keepNext/>
              <w:adjustRightInd w:val="0"/>
              <w:spacing w:line="360" w:lineRule="auto"/>
              <w:jc w:val="center"/>
              <w:textAlignment w:val="center"/>
              <w:rPr>
                <w:rFonts w:ascii="宋体" w:hAnsi="宋体" w:cs="宋体"/>
                <w:bCs/>
                <w:color w:val="000000"/>
                <w:szCs w:val="21"/>
              </w:rPr>
            </w:pPr>
            <w:r>
              <w:rPr>
                <w:rFonts w:hint="eastAsia" w:ascii="宋体" w:hAnsi="宋体" w:cs="宋体"/>
                <w:bCs/>
                <w:color w:val="000000"/>
                <w:szCs w:val="21"/>
              </w:rPr>
              <w:t>1项</w:t>
            </w:r>
          </w:p>
        </w:tc>
        <w:tc>
          <w:tcPr>
            <w:tcW w:w="1792" w:type="pct"/>
            <w:vAlign w:val="center"/>
          </w:tcPr>
          <w:p>
            <w:pPr>
              <w:spacing w:line="360" w:lineRule="auto"/>
              <w:jc w:val="center"/>
              <w:rPr>
                <w:rFonts w:ascii="宋体" w:hAnsi="宋体" w:cs="宋体"/>
                <w:bCs/>
                <w:color w:val="000000"/>
                <w:szCs w:val="21"/>
              </w:rPr>
            </w:pPr>
            <w:r>
              <w:rPr>
                <w:rFonts w:hint="eastAsia" w:ascii="宋体" w:hAnsi="宋体" w:cs="宋体"/>
                <w:bCs/>
                <w:szCs w:val="21"/>
              </w:rPr>
              <w:t>签订合同之日起1个月内完成全部服务内容并交付用户验收</w:t>
            </w:r>
            <w:r>
              <w:rPr>
                <w:rFonts w:hint="eastAsia" w:ascii="宋体" w:hAnsi="宋体" w:cs="宋体"/>
                <w:bCs/>
                <w:color w:val="000000"/>
                <w:szCs w:val="21"/>
              </w:rPr>
              <w:t>。</w:t>
            </w:r>
          </w:p>
        </w:tc>
        <w:tc>
          <w:tcPr>
            <w:tcW w:w="1042" w:type="pct"/>
            <w:vAlign w:val="center"/>
          </w:tcPr>
          <w:p>
            <w:pPr>
              <w:keepNext/>
              <w:adjustRightInd w:val="0"/>
              <w:spacing w:line="360" w:lineRule="auto"/>
              <w:jc w:val="center"/>
              <w:textAlignment w:val="center"/>
              <w:rPr>
                <w:rFonts w:ascii="宋体" w:hAnsi="宋体" w:cs="宋体"/>
                <w:bCs/>
                <w:color w:val="000000"/>
                <w:szCs w:val="21"/>
              </w:rPr>
            </w:pPr>
            <w:r>
              <w:rPr>
                <w:rFonts w:hint="eastAsia" w:ascii="宋体" w:hAnsi="宋体" w:cs="宋体"/>
                <w:bCs/>
                <w:color w:val="000000"/>
                <w:szCs w:val="21"/>
              </w:rPr>
              <w:t>人民币</w:t>
            </w:r>
            <w:r>
              <w:rPr>
                <w:rFonts w:hint="eastAsia" w:ascii="宋体" w:hAnsi="宋体" w:cs="宋体"/>
                <w:bCs/>
                <w:szCs w:val="21"/>
                <w:u w:val="single"/>
              </w:rPr>
              <w:t>180000</w:t>
            </w:r>
            <w:r>
              <w:rPr>
                <w:rFonts w:hint="eastAsia" w:ascii="宋体" w:hAnsi="宋体" w:cs="宋体"/>
                <w:bCs/>
                <w:color w:val="000000"/>
                <w:szCs w:val="21"/>
              </w:rPr>
              <w:t>元</w:t>
            </w:r>
          </w:p>
        </w:tc>
      </w:tr>
    </w:tbl>
    <w:p>
      <w:pPr>
        <w:pStyle w:val="5"/>
        <w:numPr>
          <w:ilvl w:val="0"/>
          <w:numId w:val="13"/>
        </w:numPr>
        <w:tabs>
          <w:tab w:val="left" w:pos="420"/>
          <w:tab w:val="left" w:pos="540"/>
        </w:tabs>
        <w:adjustRightInd w:val="0"/>
        <w:snapToGrid w:val="0"/>
        <w:spacing w:line="360" w:lineRule="auto"/>
        <w:rPr>
          <w:rFonts w:hAnsi="宋体" w:cs="宋体"/>
          <w:sz w:val="21"/>
        </w:rPr>
      </w:pPr>
      <w:bookmarkStart w:id="0" w:name="_Toc46251438"/>
      <w:r>
        <w:rPr>
          <w:rFonts w:hint="eastAsia" w:hAnsi="宋体" w:cs="宋体"/>
          <w:b/>
          <w:bCs/>
          <w:sz w:val="21"/>
          <w:lang w:val="en-US"/>
        </w:rPr>
        <w:t>相关背景</w:t>
      </w:r>
      <w:bookmarkEnd w:id="0"/>
    </w:p>
    <w:p>
      <w:pPr>
        <w:widowControl/>
        <w:spacing w:line="360" w:lineRule="auto"/>
        <w:ind w:firstLine="420" w:firstLineChars="200"/>
        <w:rPr>
          <w:rFonts w:ascii="宋体" w:hAnsi="宋体" w:cs="宋体"/>
          <w:szCs w:val="21"/>
        </w:rPr>
      </w:pPr>
      <w:r>
        <w:rPr>
          <w:rFonts w:hint="eastAsia" w:ascii="宋体" w:hAnsi="宋体" w:cs="宋体"/>
          <w:szCs w:val="21"/>
        </w:rPr>
        <w:t>广东省卫生健康委事务中心（采购人）承担机房在用一套UPS供电系统（品牌型号：GA-100KVA）为2008年建设，当前存在以下问题：一是2个功率模块出现故障（整机共10个模块）不能正常工作；二是在用的蓄电池组使用时间已超过8年，电池老化严重，电池存储电能无法支撑机房用电需求。为排除安全隐患，保障机房设备及应用系统正常运行，须对故障模块作修复处理，同时整体更换蓄电池组。</w:t>
      </w:r>
    </w:p>
    <w:p>
      <w:pPr>
        <w:pStyle w:val="5"/>
        <w:numPr>
          <w:ilvl w:val="0"/>
          <w:numId w:val="13"/>
        </w:numPr>
        <w:tabs>
          <w:tab w:val="left" w:pos="420"/>
          <w:tab w:val="left" w:pos="540"/>
        </w:tabs>
        <w:adjustRightInd w:val="0"/>
        <w:snapToGrid w:val="0"/>
        <w:spacing w:line="360" w:lineRule="auto"/>
        <w:outlineLvl w:val="1"/>
        <w:rPr>
          <w:rFonts w:hAnsi="宋体" w:cs="宋体"/>
          <w:b/>
          <w:bCs/>
          <w:sz w:val="21"/>
        </w:rPr>
      </w:pPr>
      <w:r>
        <w:rPr>
          <w:rFonts w:hint="eastAsia" w:hAnsi="宋体" w:cs="宋体"/>
          <w:b/>
          <w:bCs/>
          <w:sz w:val="21"/>
        </w:rPr>
        <w:t>采购内容及限价</w:t>
      </w:r>
    </w:p>
    <w:p>
      <w:pPr>
        <w:widowControl/>
        <w:numPr>
          <w:ilvl w:val="0"/>
          <w:numId w:val="14"/>
        </w:numPr>
        <w:spacing w:line="360" w:lineRule="auto"/>
        <w:outlineLvl w:val="2"/>
        <w:rPr>
          <w:rFonts w:ascii="宋体" w:hAnsi="宋体" w:cs="宋体"/>
          <w:b/>
          <w:bCs/>
          <w:szCs w:val="21"/>
        </w:rPr>
      </w:pPr>
      <w:r>
        <w:rPr>
          <w:rFonts w:hint="eastAsia" w:ascii="宋体" w:hAnsi="宋体" w:cs="宋体"/>
          <w:b/>
          <w:bCs/>
          <w:szCs w:val="21"/>
        </w:rPr>
        <w:t>采购内容</w:t>
      </w:r>
    </w:p>
    <w:p>
      <w:pPr>
        <w:widowControl/>
        <w:spacing w:line="360" w:lineRule="auto"/>
        <w:ind w:firstLine="420" w:firstLineChars="200"/>
        <w:rPr>
          <w:rFonts w:ascii="宋体" w:hAnsi="宋体" w:cs="宋体"/>
          <w:szCs w:val="21"/>
        </w:rPr>
      </w:pPr>
      <w:r>
        <w:rPr>
          <w:rFonts w:hint="eastAsia" w:ascii="宋体" w:hAnsi="宋体" w:cs="宋体"/>
          <w:szCs w:val="21"/>
        </w:rPr>
        <w:t>本项目采购内容包括以下2部分:</w:t>
      </w:r>
    </w:p>
    <w:p>
      <w:pPr>
        <w:widowControl/>
        <w:spacing w:line="360" w:lineRule="auto"/>
        <w:ind w:firstLine="420" w:firstLineChars="200"/>
        <w:rPr>
          <w:rFonts w:ascii="宋体" w:hAnsi="宋体" w:cs="宋体"/>
          <w:szCs w:val="21"/>
        </w:rPr>
      </w:pPr>
      <w:r>
        <w:rPr>
          <w:rFonts w:hint="eastAsia" w:ascii="宋体" w:hAnsi="宋体" w:cs="宋体"/>
          <w:szCs w:val="21"/>
        </w:rPr>
        <w:t>1、UPS故障模块维修。对2个故障模块（每个负载10KVA）作维修处理，确保维修后正常工作，并提供不少于6个月的免费维保服务。</w:t>
      </w:r>
    </w:p>
    <w:p>
      <w:pPr>
        <w:widowControl/>
        <w:spacing w:line="360" w:lineRule="auto"/>
        <w:ind w:firstLine="420" w:firstLineChars="200"/>
        <w:rPr>
          <w:rFonts w:ascii="宋体" w:hAnsi="宋体" w:cs="宋体"/>
          <w:szCs w:val="21"/>
        </w:rPr>
      </w:pPr>
      <w:r>
        <w:rPr>
          <w:rFonts w:hint="eastAsia" w:ascii="宋体" w:hAnsi="宋体" w:cs="宋体"/>
          <w:szCs w:val="21"/>
        </w:rPr>
        <w:t>2、更换蓄电池组。对蓄电池组128块电池作整体更换处理。按需求提供128块符合规格要求的蓄电池，并按用户要求完成安装部署，提供3年免费维保服务。</w:t>
      </w:r>
    </w:p>
    <w:p>
      <w:pPr>
        <w:widowControl/>
        <w:spacing w:line="360" w:lineRule="auto"/>
        <w:jc w:val="center"/>
        <w:rPr>
          <w:rFonts w:ascii="宋体" w:hAnsi="宋体" w:cs="宋体"/>
          <w:szCs w:val="21"/>
        </w:rPr>
      </w:pPr>
      <w:r>
        <w:rPr>
          <w:rFonts w:hint="eastAsia" w:ascii="宋体" w:hAnsi="宋体" w:cs="宋体"/>
          <w:szCs w:val="21"/>
        </w:rPr>
        <w:t>采购内容明细表</w:t>
      </w:r>
    </w:p>
    <w:tbl>
      <w:tblPr>
        <w:tblStyle w:val="12"/>
        <w:tblW w:w="8697"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2311"/>
        <w:gridCol w:w="1120"/>
        <w:gridCol w:w="911"/>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20" w:type="dxa"/>
            <w:tcBorders>
              <w:top w:val="single" w:color="auto" w:sz="6" w:space="0"/>
              <w:bottom w:val="single" w:color="auto" w:sz="6" w:space="0"/>
              <w:right w:val="single" w:color="auto" w:sz="6" w:space="0"/>
            </w:tcBorders>
            <w:shd w:val="clear" w:color="auto" w:fill="FFFFFF"/>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序 号</w:t>
            </w:r>
          </w:p>
        </w:tc>
        <w:tc>
          <w:tcPr>
            <w:tcW w:w="2311" w:type="dxa"/>
            <w:tcBorders>
              <w:top w:val="single" w:color="auto" w:sz="6" w:space="0"/>
              <w:left w:val="single" w:color="auto" w:sz="6" w:space="0"/>
              <w:bottom w:val="single" w:color="auto" w:sz="6" w:space="0"/>
              <w:right w:val="single" w:color="auto" w:sz="6" w:space="0"/>
            </w:tcBorders>
            <w:shd w:val="clear" w:color="auto" w:fill="FFFFFF"/>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项 目</w:t>
            </w:r>
          </w:p>
        </w:tc>
        <w:tc>
          <w:tcPr>
            <w:tcW w:w="1120" w:type="dxa"/>
            <w:tcBorders>
              <w:top w:val="single" w:color="auto" w:sz="6" w:space="0"/>
              <w:left w:val="single" w:color="auto" w:sz="6" w:space="0"/>
              <w:bottom w:val="single" w:color="auto" w:sz="6" w:space="0"/>
              <w:right w:val="single" w:color="auto" w:sz="6" w:space="0"/>
            </w:tcBorders>
            <w:shd w:val="clear" w:color="auto" w:fill="FFFFFF"/>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单 位</w:t>
            </w:r>
          </w:p>
        </w:tc>
        <w:tc>
          <w:tcPr>
            <w:tcW w:w="911" w:type="dxa"/>
            <w:tcBorders>
              <w:top w:val="single" w:color="auto" w:sz="6" w:space="0"/>
              <w:left w:val="single" w:color="auto" w:sz="6" w:space="0"/>
              <w:bottom w:val="single" w:color="auto" w:sz="6" w:space="0"/>
              <w:right w:val="single" w:color="auto" w:sz="6" w:space="0"/>
            </w:tcBorders>
            <w:shd w:val="clear" w:color="auto" w:fill="FFFFFF"/>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数 量</w:t>
            </w:r>
          </w:p>
        </w:tc>
        <w:tc>
          <w:tcPr>
            <w:tcW w:w="3135" w:type="dxa"/>
            <w:tcBorders>
              <w:top w:val="single" w:color="auto" w:sz="6" w:space="0"/>
              <w:left w:val="single" w:color="auto" w:sz="6" w:space="0"/>
              <w:bottom w:val="single" w:color="auto" w:sz="6" w:space="0"/>
              <w:right w:val="single" w:color="auto" w:sz="6" w:space="0"/>
            </w:tcBorders>
            <w:shd w:val="clear" w:color="auto" w:fill="FFFFFF"/>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20" w:type="dxa"/>
            <w:tcBorders>
              <w:top w:val="single" w:color="auto" w:sz="6" w:space="0"/>
              <w:right w:val="single" w:color="auto" w:sz="6" w:space="0"/>
            </w:tcBorders>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1</w:t>
            </w:r>
          </w:p>
        </w:tc>
        <w:tc>
          <w:tcPr>
            <w:tcW w:w="2311" w:type="dxa"/>
            <w:tcBorders>
              <w:top w:val="single" w:color="auto" w:sz="6" w:space="0"/>
              <w:left w:val="single" w:color="auto" w:sz="6" w:space="0"/>
              <w:right w:val="single" w:color="auto" w:sz="6" w:space="0"/>
            </w:tcBorders>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UPS功率模块维修</w:t>
            </w:r>
          </w:p>
        </w:tc>
        <w:tc>
          <w:tcPr>
            <w:tcW w:w="1120" w:type="dxa"/>
            <w:tcBorders>
              <w:top w:val="single" w:color="auto" w:sz="6" w:space="0"/>
              <w:left w:val="single" w:color="auto" w:sz="6" w:space="0"/>
              <w:right w:val="single" w:color="auto" w:sz="6" w:space="0"/>
            </w:tcBorders>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个</w:t>
            </w:r>
          </w:p>
        </w:tc>
        <w:tc>
          <w:tcPr>
            <w:tcW w:w="911" w:type="dxa"/>
            <w:tcBorders>
              <w:top w:val="single" w:color="auto" w:sz="6" w:space="0"/>
              <w:left w:val="single" w:color="auto" w:sz="6" w:space="0"/>
              <w:right w:val="single" w:color="auto" w:sz="6" w:space="0"/>
            </w:tcBorders>
            <w:vAlign w:val="center"/>
          </w:tcPr>
          <w:p>
            <w:pPr>
              <w:tabs>
                <w:tab w:val="left" w:pos="1575"/>
              </w:tabs>
              <w:spacing w:line="360" w:lineRule="auto"/>
              <w:ind w:firstLine="210" w:firstLineChars="100"/>
              <w:jc w:val="center"/>
              <w:rPr>
                <w:rFonts w:ascii="宋体" w:hAnsi="宋体" w:cs="宋体"/>
                <w:bCs/>
                <w:szCs w:val="21"/>
              </w:rPr>
            </w:pPr>
            <w:r>
              <w:rPr>
                <w:rFonts w:hint="eastAsia" w:ascii="宋体" w:hAnsi="宋体" w:cs="宋体"/>
                <w:bCs/>
                <w:szCs w:val="21"/>
              </w:rPr>
              <w:t>2</w:t>
            </w:r>
          </w:p>
        </w:tc>
        <w:tc>
          <w:tcPr>
            <w:tcW w:w="3135" w:type="dxa"/>
            <w:tcBorders>
              <w:top w:val="single" w:color="auto" w:sz="6" w:space="0"/>
              <w:left w:val="single" w:color="auto" w:sz="6" w:space="0"/>
              <w:right w:val="single" w:color="auto" w:sz="6" w:space="0"/>
            </w:tcBorders>
            <w:vAlign w:val="center"/>
          </w:tcPr>
          <w:p>
            <w:pPr>
              <w:tabs>
                <w:tab w:val="left" w:pos="1575"/>
              </w:tabs>
              <w:spacing w:line="360" w:lineRule="auto"/>
              <w:ind w:firstLine="210" w:firstLineChars="100"/>
              <w:jc w:val="center"/>
              <w:rPr>
                <w:rFonts w:ascii="宋体" w:hAnsi="宋体" w:cs="宋体"/>
                <w:bCs/>
                <w:szCs w:val="21"/>
              </w:rPr>
            </w:pPr>
            <w:r>
              <w:rPr>
                <w:rFonts w:hint="eastAsia" w:ascii="宋体" w:hAnsi="宋体" w:cs="宋体"/>
                <w:bCs/>
                <w:szCs w:val="21"/>
              </w:rPr>
              <w:t>提供6个月维保服务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20" w:type="dxa"/>
            <w:tcBorders>
              <w:top w:val="single" w:color="auto" w:sz="6" w:space="0"/>
              <w:right w:val="single" w:color="auto" w:sz="6" w:space="0"/>
            </w:tcBorders>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2</w:t>
            </w:r>
          </w:p>
        </w:tc>
        <w:tc>
          <w:tcPr>
            <w:tcW w:w="2311" w:type="dxa"/>
            <w:tcBorders>
              <w:top w:val="single" w:color="auto" w:sz="6" w:space="0"/>
              <w:left w:val="single" w:color="auto" w:sz="6" w:space="0"/>
              <w:right w:val="single" w:color="auto" w:sz="6" w:space="0"/>
            </w:tcBorders>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蓄电池</w:t>
            </w:r>
          </w:p>
        </w:tc>
        <w:tc>
          <w:tcPr>
            <w:tcW w:w="1120" w:type="dxa"/>
            <w:tcBorders>
              <w:top w:val="single" w:color="auto" w:sz="6" w:space="0"/>
              <w:left w:val="single" w:color="auto" w:sz="6" w:space="0"/>
              <w:right w:val="single" w:color="auto" w:sz="6" w:space="0"/>
            </w:tcBorders>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个</w:t>
            </w:r>
          </w:p>
        </w:tc>
        <w:tc>
          <w:tcPr>
            <w:tcW w:w="911" w:type="dxa"/>
            <w:tcBorders>
              <w:top w:val="single" w:color="auto" w:sz="6" w:space="0"/>
              <w:left w:val="single" w:color="auto" w:sz="6" w:space="0"/>
              <w:right w:val="single" w:color="auto" w:sz="6" w:space="0"/>
            </w:tcBorders>
            <w:vAlign w:val="center"/>
          </w:tcPr>
          <w:p>
            <w:pPr>
              <w:tabs>
                <w:tab w:val="left" w:pos="1575"/>
              </w:tabs>
              <w:spacing w:line="360" w:lineRule="auto"/>
              <w:ind w:firstLine="210" w:firstLineChars="100"/>
              <w:jc w:val="center"/>
              <w:rPr>
                <w:rFonts w:ascii="宋体" w:hAnsi="宋体" w:cs="宋体"/>
                <w:bCs/>
                <w:szCs w:val="21"/>
              </w:rPr>
            </w:pPr>
            <w:r>
              <w:rPr>
                <w:rFonts w:hint="eastAsia" w:ascii="宋体" w:hAnsi="宋体" w:cs="宋体"/>
                <w:bCs/>
                <w:szCs w:val="21"/>
              </w:rPr>
              <w:t>128</w:t>
            </w:r>
          </w:p>
        </w:tc>
        <w:tc>
          <w:tcPr>
            <w:tcW w:w="3135" w:type="dxa"/>
            <w:tcBorders>
              <w:top w:val="single" w:color="auto" w:sz="6" w:space="0"/>
              <w:left w:val="single" w:color="auto" w:sz="6" w:space="0"/>
              <w:right w:val="single" w:color="auto" w:sz="6" w:space="0"/>
            </w:tcBorders>
            <w:vAlign w:val="center"/>
          </w:tcPr>
          <w:p>
            <w:pPr>
              <w:tabs>
                <w:tab w:val="left" w:pos="1575"/>
              </w:tabs>
              <w:spacing w:line="360" w:lineRule="auto"/>
              <w:ind w:firstLine="210" w:firstLineChars="100"/>
              <w:jc w:val="center"/>
              <w:rPr>
                <w:rFonts w:ascii="宋体" w:hAnsi="宋体" w:cs="宋体"/>
                <w:bCs/>
                <w:szCs w:val="21"/>
              </w:rPr>
            </w:pPr>
            <w:r>
              <w:rPr>
                <w:rFonts w:hint="eastAsia" w:ascii="宋体" w:hAnsi="宋体" w:cs="宋体"/>
                <w:bCs/>
                <w:szCs w:val="21"/>
              </w:rPr>
              <w:t>提供3年维保服务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20" w:type="dxa"/>
            <w:tcBorders>
              <w:top w:val="single" w:color="auto" w:sz="6" w:space="0"/>
              <w:right w:val="single" w:color="auto" w:sz="6" w:space="0"/>
            </w:tcBorders>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3</w:t>
            </w:r>
          </w:p>
        </w:tc>
        <w:tc>
          <w:tcPr>
            <w:tcW w:w="2311" w:type="dxa"/>
            <w:tcBorders>
              <w:top w:val="single" w:color="auto" w:sz="6" w:space="0"/>
              <w:left w:val="single" w:color="auto" w:sz="6" w:space="0"/>
              <w:right w:val="single" w:color="auto" w:sz="6" w:space="0"/>
            </w:tcBorders>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安装调试</w:t>
            </w:r>
          </w:p>
        </w:tc>
        <w:tc>
          <w:tcPr>
            <w:tcW w:w="1120" w:type="dxa"/>
            <w:tcBorders>
              <w:top w:val="single" w:color="auto" w:sz="6" w:space="0"/>
              <w:left w:val="single" w:color="auto" w:sz="6" w:space="0"/>
              <w:right w:val="single" w:color="auto" w:sz="6" w:space="0"/>
            </w:tcBorders>
            <w:vAlign w:val="center"/>
          </w:tcPr>
          <w:p>
            <w:pPr>
              <w:tabs>
                <w:tab w:val="left" w:pos="1575"/>
              </w:tabs>
              <w:spacing w:line="360" w:lineRule="auto"/>
              <w:jc w:val="center"/>
              <w:rPr>
                <w:rFonts w:ascii="宋体" w:hAnsi="宋体" w:cs="宋体"/>
                <w:bCs/>
                <w:szCs w:val="21"/>
              </w:rPr>
            </w:pPr>
            <w:r>
              <w:rPr>
                <w:rFonts w:hint="eastAsia" w:ascii="宋体" w:hAnsi="宋体" w:cs="宋体"/>
                <w:bCs/>
                <w:szCs w:val="21"/>
              </w:rPr>
              <w:t>项</w:t>
            </w:r>
          </w:p>
        </w:tc>
        <w:tc>
          <w:tcPr>
            <w:tcW w:w="911" w:type="dxa"/>
            <w:tcBorders>
              <w:top w:val="single" w:color="auto" w:sz="6" w:space="0"/>
              <w:left w:val="single" w:color="auto" w:sz="6" w:space="0"/>
              <w:right w:val="single" w:color="auto" w:sz="6" w:space="0"/>
            </w:tcBorders>
            <w:vAlign w:val="center"/>
          </w:tcPr>
          <w:p>
            <w:pPr>
              <w:tabs>
                <w:tab w:val="left" w:pos="1575"/>
              </w:tabs>
              <w:spacing w:line="360" w:lineRule="auto"/>
              <w:ind w:firstLine="210" w:firstLineChars="100"/>
              <w:jc w:val="center"/>
              <w:rPr>
                <w:rFonts w:ascii="宋体" w:hAnsi="宋体" w:cs="宋体"/>
                <w:bCs/>
                <w:szCs w:val="21"/>
              </w:rPr>
            </w:pPr>
            <w:r>
              <w:rPr>
                <w:rFonts w:hint="eastAsia" w:ascii="宋体" w:hAnsi="宋体" w:cs="宋体"/>
                <w:bCs/>
                <w:szCs w:val="21"/>
              </w:rPr>
              <w:t>1</w:t>
            </w:r>
          </w:p>
        </w:tc>
        <w:tc>
          <w:tcPr>
            <w:tcW w:w="3135" w:type="dxa"/>
            <w:tcBorders>
              <w:top w:val="single" w:color="auto" w:sz="6" w:space="0"/>
              <w:left w:val="single" w:color="auto" w:sz="6" w:space="0"/>
              <w:right w:val="single" w:color="auto" w:sz="6" w:space="0"/>
            </w:tcBorders>
            <w:vAlign w:val="center"/>
          </w:tcPr>
          <w:p>
            <w:pPr>
              <w:tabs>
                <w:tab w:val="left" w:pos="1575"/>
              </w:tabs>
              <w:spacing w:line="360" w:lineRule="auto"/>
              <w:ind w:firstLine="210" w:firstLineChars="100"/>
              <w:jc w:val="center"/>
              <w:rPr>
                <w:rFonts w:ascii="宋体" w:hAnsi="宋体" w:cs="宋体"/>
                <w:bCs/>
                <w:szCs w:val="21"/>
              </w:rPr>
            </w:pPr>
          </w:p>
        </w:tc>
      </w:tr>
    </w:tbl>
    <w:p>
      <w:pPr>
        <w:widowControl/>
        <w:numPr>
          <w:ilvl w:val="0"/>
          <w:numId w:val="14"/>
        </w:numPr>
        <w:spacing w:line="360" w:lineRule="auto"/>
        <w:outlineLvl w:val="2"/>
        <w:rPr>
          <w:rFonts w:ascii="宋体" w:hAnsi="宋体" w:cs="宋体"/>
          <w:b/>
          <w:bCs/>
          <w:szCs w:val="21"/>
        </w:rPr>
      </w:pPr>
      <w:r>
        <w:rPr>
          <w:rFonts w:hint="eastAsia" w:ascii="宋体" w:hAnsi="宋体" w:cs="宋体"/>
          <w:b/>
          <w:bCs/>
          <w:szCs w:val="21"/>
        </w:rPr>
        <w:t>采购限价</w:t>
      </w:r>
    </w:p>
    <w:p>
      <w:pPr>
        <w:spacing w:line="360" w:lineRule="auto"/>
        <w:ind w:firstLine="420" w:firstLineChars="200"/>
        <w:rPr>
          <w:rFonts w:ascii="宋体" w:hAnsi="宋体" w:cs="宋体"/>
          <w:szCs w:val="21"/>
        </w:rPr>
      </w:pPr>
      <w:r>
        <w:rPr>
          <w:rFonts w:hint="eastAsia" w:ascii="宋体" w:hAnsi="宋体" w:cs="宋体"/>
          <w:szCs w:val="21"/>
        </w:rPr>
        <w:t>本项目货物及服务限价：</w:t>
      </w:r>
      <w:r>
        <w:rPr>
          <w:rFonts w:hint="eastAsia" w:ascii="宋体" w:hAnsi="宋体" w:cs="宋体"/>
          <w:b/>
          <w:bCs/>
          <w:szCs w:val="21"/>
          <w:u w:val="single"/>
        </w:rPr>
        <w:t>180000</w:t>
      </w:r>
      <w:r>
        <w:rPr>
          <w:rFonts w:hint="eastAsia" w:ascii="宋体" w:hAnsi="宋体" w:cs="宋体"/>
          <w:szCs w:val="21"/>
        </w:rPr>
        <w:t>元。包含电池组、UPS控制模块维修及设备更换安装调试服务等。</w:t>
      </w:r>
    </w:p>
    <w:p>
      <w:pPr>
        <w:widowControl/>
        <w:numPr>
          <w:ilvl w:val="0"/>
          <w:numId w:val="14"/>
        </w:numPr>
        <w:spacing w:line="360" w:lineRule="auto"/>
        <w:outlineLvl w:val="2"/>
        <w:rPr>
          <w:rFonts w:ascii="宋体" w:hAnsi="宋体" w:cs="宋体"/>
          <w:b/>
          <w:bCs/>
          <w:szCs w:val="21"/>
        </w:rPr>
      </w:pPr>
      <w:r>
        <w:rPr>
          <w:rFonts w:hint="eastAsia" w:ascii="宋体" w:hAnsi="宋体" w:cs="宋体"/>
          <w:b/>
          <w:bCs/>
          <w:szCs w:val="21"/>
        </w:rPr>
        <w:t>交付期限</w:t>
      </w:r>
    </w:p>
    <w:p>
      <w:pPr>
        <w:spacing w:line="360" w:lineRule="auto"/>
        <w:ind w:firstLine="420" w:firstLineChars="200"/>
        <w:rPr>
          <w:rFonts w:ascii="宋体" w:hAnsi="宋体" w:cs="宋体"/>
          <w:szCs w:val="21"/>
        </w:rPr>
      </w:pPr>
      <w:r>
        <w:rPr>
          <w:rFonts w:hint="eastAsia" w:ascii="宋体" w:hAnsi="宋体" w:cs="宋体"/>
          <w:szCs w:val="21"/>
        </w:rPr>
        <w:t>本项目须于签订合同之日起</w:t>
      </w:r>
      <w:r>
        <w:rPr>
          <w:rFonts w:hint="eastAsia" w:ascii="宋体" w:hAnsi="宋体" w:cs="宋体"/>
          <w:color w:val="000000" w:themeColor="text1"/>
          <w:szCs w:val="21"/>
          <w14:textFill>
            <w14:solidFill>
              <w14:schemeClr w14:val="tx1"/>
            </w14:solidFill>
          </w14:textFill>
        </w:rPr>
        <w:t>1</w:t>
      </w:r>
      <w:r>
        <w:rPr>
          <w:rFonts w:hint="eastAsia" w:ascii="宋体" w:hAnsi="宋体" w:cs="宋体"/>
          <w:szCs w:val="21"/>
        </w:rPr>
        <w:t>个月内完成全部服务内容并交付用户验收。</w:t>
      </w:r>
    </w:p>
    <w:p>
      <w:pPr>
        <w:pStyle w:val="5"/>
        <w:numPr>
          <w:ilvl w:val="0"/>
          <w:numId w:val="13"/>
        </w:numPr>
        <w:tabs>
          <w:tab w:val="left" w:pos="420"/>
          <w:tab w:val="left" w:pos="540"/>
        </w:tabs>
        <w:adjustRightInd w:val="0"/>
        <w:snapToGrid w:val="0"/>
        <w:spacing w:line="360" w:lineRule="auto"/>
        <w:outlineLvl w:val="1"/>
        <w:rPr>
          <w:rFonts w:hAnsi="宋体" w:cs="宋体"/>
          <w:b/>
          <w:bCs/>
          <w:sz w:val="21"/>
        </w:rPr>
      </w:pPr>
      <w:r>
        <w:rPr>
          <w:rFonts w:hint="eastAsia" w:hAnsi="宋体" w:cs="宋体"/>
          <w:b/>
          <w:bCs/>
          <w:sz w:val="21"/>
        </w:rPr>
        <w:t>货物技术参数与服务需求</w:t>
      </w:r>
    </w:p>
    <w:p>
      <w:pPr>
        <w:widowControl/>
        <w:numPr>
          <w:ilvl w:val="0"/>
          <w:numId w:val="15"/>
        </w:numPr>
        <w:spacing w:line="360" w:lineRule="auto"/>
        <w:ind w:firstLine="422" w:firstLineChars="200"/>
        <w:outlineLvl w:val="2"/>
      </w:pPr>
      <w:r>
        <w:rPr>
          <w:rFonts w:hint="eastAsia" w:ascii="宋体" w:hAnsi="宋体" w:cs="宋体"/>
          <w:b/>
          <w:bCs/>
          <w:szCs w:val="21"/>
        </w:rPr>
        <w:t>商务要求</w:t>
      </w:r>
    </w:p>
    <w:p>
      <w:pPr>
        <w:widowControl/>
        <w:spacing w:line="360" w:lineRule="auto"/>
        <w:ind w:firstLine="422" w:firstLineChars="200"/>
        <w:rPr>
          <w:rFonts w:ascii="宋体" w:hAnsi="宋体" w:cs="宋体"/>
          <w:b/>
          <w:bCs/>
          <w:szCs w:val="21"/>
        </w:rPr>
      </w:pPr>
      <w:r>
        <w:rPr>
          <w:rFonts w:hint="eastAsia" w:ascii="宋体" w:hAnsi="宋体" w:cs="宋体"/>
          <w:b/>
          <w:bCs/>
          <w:szCs w:val="21"/>
        </w:rPr>
        <w:t>1.</w:t>
      </w:r>
      <w:r>
        <w:rPr>
          <w:rFonts w:hint="eastAsia" w:ascii="仿宋_GB2312" w:hAnsi="仿宋_GB2312" w:eastAsia="仿宋_GB2312" w:cs="仿宋_GB2312"/>
          <w:b/>
          <w:bCs/>
          <w:szCs w:val="21"/>
          <w:lang w:val="en-US" w:eastAsia="zh-CN"/>
        </w:rPr>
        <w:t>★</w:t>
      </w:r>
      <w:r>
        <w:rPr>
          <w:rFonts w:hint="eastAsia" w:ascii="宋体" w:hAnsi="宋体" w:cs="宋体"/>
          <w:b/>
          <w:bCs/>
          <w:szCs w:val="21"/>
        </w:rPr>
        <w:t>电池生产厂家为中小企业 ，供应商提供的货物须全部由中小企业生产且使用该中小企业商号或注册商标。</w:t>
      </w:r>
    </w:p>
    <w:p>
      <w:pPr>
        <w:widowControl/>
        <w:spacing w:line="360" w:lineRule="auto"/>
        <w:ind w:firstLine="422" w:firstLineChars="200"/>
        <w:rPr>
          <w:rFonts w:ascii="宋体" w:hAnsi="宋体" w:cs="宋体"/>
          <w:b/>
          <w:bCs/>
          <w:szCs w:val="21"/>
        </w:rPr>
      </w:pPr>
      <w:r>
        <w:rPr>
          <w:rFonts w:hint="eastAsia" w:ascii="宋体" w:hAnsi="宋体" w:cs="宋体"/>
          <w:b/>
          <w:bCs/>
          <w:szCs w:val="21"/>
        </w:rPr>
        <w:t>2.</w:t>
      </w:r>
      <w:r>
        <w:rPr>
          <w:rFonts w:hint="eastAsia" w:ascii="仿宋_GB2312" w:hAnsi="仿宋_GB2312" w:eastAsia="仿宋_GB2312" w:cs="仿宋_GB2312"/>
          <w:b/>
          <w:bCs/>
          <w:szCs w:val="21"/>
          <w:lang w:val="en-US" w:eastAsia="zh-CN"/>
        </w:rPr>
        <w:t>★</w:t>
      </w:r>
      <w:r>
        <w:rPr>
          <w:rFonts w:hint="eastAsia" w:ascii="宋体" w:hAnsi="宋体" w:cs="宋体"/>
          <w:b/>
          <w:bCs/>
          <w:szCs w:val="21"/>
        </w:rPr>
        <w:t>具有排污许可证。</w:t>
      </w:r>
    </w:p>
    <w:p>
      <w:pPr>
        <w:widowControl/>
        <w:spacing w:line="360" w:lineRule="auto"/>
        <w:ind w:firstLine="422" w:firstLineChars="200"/>
        <w:rPr>
          <w:rFonts w:ascii="宋体" w:hAnsi="宋体" w:cs="宋体"/>
          <w:b/>
          <w:bCs/>
          <w:szCs w:val="21"/>
        </w:rPr>
      </w:pPr>
      <w:r>
        <w:rPr>
          <w:rFonts w:hint="eastAsia" w:ascii="宋体" w:hAnsi="宋体" w:cs="宋体"/>
          <w:b/>
          <w:bCs/>
          <w:szCs w:val="21"/>
        </w:rPr>
        <w:t>3.</w:t>
      </w:r>
      <w:r>
        <w:rPr>
          <w:rFonts w:hint="eastAsia" w:ascii="仿宋_GB2312" w:hAnsi="仿宋_GB2312" w:eastAsia="仿宋_GB2312" w:cs="仿宋_GB2312"/>
          <w:b/>
          <w:bCs/>
          <w:szCs w:val="21"/>
          <w:lang w:val="en-US" w:eastAsia="zh-CN"/>
        </w:rPr>
        <w:t>★</w:t>
      </w:r>
      <w:r>
        <w:rPr>
          <w:rFonts w:hint="eastAsia" w:ascii="宋体" w:hAnsi="宋体" w:cs="宋体"/>
          <w:b/>
          <w:bCs/>
          <w:szCs w:val="21"/>
        </w:rPr>
        <w:t>泰尔认证（</w:t>
      </w:r>
      <w:r>
        <w:rPr>
          <w:rFonts w:hint="eastAsia" w:ascii="宋体" w:hAnsi="宋体" w:cs="宋体"/>
          <w:b/>
          <w:bCs/>
          <w:szCs w:val="21"/>
          <w:lang w:eastAsia="zh-CN"/>
        </w:rPr>
        <w:t>AGM+胶</w:t>
      </w:r>
      <w:r>
        <w:rPr>
          <w:rFonts w:hint="eastAsia" w:ascii="宋体" w:hAnsi="宋体" w:cs="宋体"/>
          <w:b/>
          <w:bCs/>
          <w:szCs w:val="21"/>
        </w:rPr>
        <w:t>）。</w:t>
      </w:r>
    </w:p>
    <w:p>
      <w:pPr>
        <w:widowControl/>
        <w:spacing w:line="360" w:lineRule="auto"/>
        <w:ind w:firstLine="422" w:firstLineChars="200"/>
        <w:rPr>
          <w:rFonts w:ascii="宋体" w:hAnsi="宋体" w:cs="宋体"/>
          <w:b/>
          <w:bCs/>
          <w:szCs w:val="21"/>
        </w:rPr>
      </w:pPr>
      <w:r>
        <w:rPr>
          <w:rFonts w:hint="eastAsia" w:ascii="宋体" w:hAnsi="宋体" w:cs="宋体"/>
          <w:b/>
          <w:bCs/>
          <w:szCs w:val="21"/>
        </w:rPr>
        <w:t>4.</w:t>
      </w:r>
      <w:r>
        <w:rPr>
          <w:rFonts w:hint="eastAsia" w:ascii="仿宋_GB2312" w:hAnsi="仿宋_GB2312" w:eastAsia="仿宋_GB2312" w:cs="仿宋_GB2312"/>
          <w:b/>
          <w:bCs/>
          <w:szCs w:val="21"/>
          <w:lang w:val="en-US" w:eastAsia="zh-CN"/>
        </w:rPr>
        <w:t>★</w:t>
      </w:r>
      <w:r>
        <w:rPr>
          <w:rFonts w:hint="eastAsia" w:ascii="宋体" w:hAnsi="宋体" w:cs="宋体"/>
          <w:b/>
          <w:bCs/>
          <w:szCs w:val="21"/>
        </w:rPr>
        <w:t>不接受任何贴牌和 OEM 产品（竞价人进行响应）。</w:t>
      </w:r>
    </w:p>
    <w:p>
      <w:pPr>
        <w:widowControl/>
        <w:spacing w:line="360" w:lineRule="auto"/>
        <w:ind w:firstLine="422" w:firstLineChars="200"/>
        <w:outlineLvl w:val="2"/>
        <w:rPr>
          <w:rFonts w:ascii="宋体" w:hAnsi="宋体" w:cs="宋体"/>
          <w:szCs w:val="21"/>
        </w:rPr>
      </w:pPr>
      <w:r>
        <w:rPr>
          <w:rFonts w:hint="eastAsia" w:ascii="宋体" w:hAnsi="宋体" w:cs="宋体"/>
          <w:b/>
          <w:bCs/>
          <w:szCs w:val="21"/>
        </w:rPr>
        <w:t>（二）技术需求</w:t>
      </w:r>
    </w:p>
    <w:p>
      <w:pPr>
        <w:widowControl/>
        <w:spacing w:line="360" w:lineRule="auto"/>
        <w:ind w:firstLine="420" w:firstLineChars="200"/>
        <w:outlineLvl w:val="3"/>
        <w:rPr>
          <w:rFonts w:ascii="宋体" w:hAnsi="宋体" w:cs="宋体"/>
          <w:szCs w:val="21"/>
        </w:rPr>
      </w:pPr>
      <w:r>
        <w:rPr>
          <w:rFonts w:hint="eastAsia" w:ascii="宋体" w:hAnsi="宋体" w:cs="宋体"/>
          <w:szCs w:val="21"/>
        </w:rPr>
        <w:t>1.货物（蓄电池组）关键技术参数明细如下：</w:t>
      </w:r>
    </w:p>
    <w:p>
      <w:pPr>
        <w:jc w:val="center"/>
        <w:rPr>
          <w:rFonts w:ascii="宋体" w:hAnsi="宋体" w:cs="宋体"/>
          <w:b/>
          <w:bCs/>
          <w:szCs w:val="21"/>
        </w:rPr>
      </w:pPr>
      <w:r>
        <w:rPr>
          <w:rFonts w:hint="eastAsia" w:ascii="宋体" w:hAnsi="宋体" w:cs="宋体"/>
          <w:b/>
          <w:bCs/>
          <w:szCs w:val="21"/>
        </w:rPr>
        <w:t>蓄电池组技术参数</w:t>
      </w:r>
    </w:p>
    <w:tbl>
      <w:tblPr>
        <w:tblStyle w:val="12"/>
        <w:tblW w:w="7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1102"/>
        <w:gridCol w:w="2754"/>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5115" w:type="dxa"/>
            <w:gridSpan w:val="3"/>
            <w:vAlign w:val="center"/>
          </w:tcPr>
          <w:p>
            <w:pPr>
              <w:spacing w:line="360" w:lineRule="auto"/>
              <w:jc w:val="center"/>
              <w:rPr>
                <w:rFonts w:ascii="宋体" w:hAnsi="宋体" w:cs="宋体"/>
                <w:szCs w:val="21"/>
              </w:rPr>
            </w:pPr>
            <w:r>
              <w:rPr>
                <w:rFonts w:hint="eastAsia" w:ascii="宋体" w:hAnsi="宋体" w:cs="宋体"/>
                <w:szCs w:val="21"/>
              </w:rPr>
              <w:t>额定电压</w:t>
            </w:r>
          </w:p>
        </w:tc>
        <w:tc>
          <w:tcPr>
            <w:tcW w:w="282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5115" w:type="dxa"/>
            <w:gridSpan w:val="3"/>
            <w:vAlign w:val="center"/>
          </w:tcPr>
          <w:p>
            <w:pPr>
              <w:spacing w:line="360" w:lineRule="auto"/>
              <w:jc w:val="center"/>
              <w:rPr>
                <w:rFonts w:ascii="宋体" w:hAnsi="宋体" w:cs="宋体"/>
                <w:szCs w:val="21"/>
              </w:rPr>
            </w:pPr>
            <w:r>
              <w:rPr>
                <w:rFonts w:hint="eastAsia" w:ascii="宋体" w:hAnsi="宋体" w:cs="宋体"/>
                <w:szCs w:val="21"/>
              </w:rPr>
              <w:t>额定容量 (10小时率)</w:t>
            </w:r>
          </w:p>
        </w:tc>
        <w:tc>
          <w:tcPr>
            <w:tcW w:w="282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120Ah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2282" w:type="dxa"/>
            <w:gridSpan w:val="2"/>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容量</w:t>
            </w:r>
          </w:p>
          <w:p>
            <w:pPr>
              <w:spacing w:line="360" w:lineRule="auto"/>
              <w:jc w:val="center"/>
              <w:rPr>
                <w:rFonts w:ascii="宋体" w:hAnsi="宋体" w:cs="宋体"/>
                <w:szCs w:val="21"/>
              </w:rPr>
            </w:pPr>
            <w:r>
              <w:rPr>
                <w:rFonts w:hint="eastAsia" w:ascii="宋体" w:hAnsi="宋体" w:cs="宋体"/>
                <w:snapToGrid w:val="0"/>
                <w:kern w:val="0"/>
                <w:szCs w:val="21"/>
              </w:rPr>
              <w:t>25℃(77°F)</w:t>
            </w:r>
          </w:p>
        </w:tc>
        <w:tc>
          <w:tcPr>
            <w:tcW w:w="2833" w:type="dxa"/>
            <w:vAlign w:val="center"/>
          </w:tcPr>
          <w:p>
            <w:pPr>
              <w:adjustRightInd w:val="0"/>
              <w:snapToGrid w:val="0"/>
              <w:spacing w:line="360" w:lineRule="auto"/>
              <w:jc w:val="center"/>
              <w:rPr>
                <w:rFonts w:ascii="宋体" w:hAnsi="宋体" w:cs="宋体"/>
                <w:snapToGrid w:val="0"/>
                <w:color w:val="000000"/>
                <w:kern w:val="0"/>
                <w:szCs w:val="21"/>
              </w:rPr>
            </w:pPr>
            <w:r>
              <w:rPr>
                <w:rFonts w:hint="eastAsia" w:ascii="宋体" w:hAnsi="宋体" w:cs="宋体"/>
                <w:snapToGrid w:val="0"/>
                <w:color w:val="000000"/>
                <w:kern w:val="0"/>
                <w:szCs w:val="21"/>
              </w:rPr>
              <w:t>10小时率(10A)</w:t>
            </w:r>
          </w:p>
        </w:tc>
        <w:tc>
          <w:tcPr>
            <w:tcW w:w="2824"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120Ah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282" w:type="dxa"/>
            <w:gridSpan w:val="2"/>
            <w:vAlign w:val="center"/>
          </w:tcPr>
          <w:p>
            <w:pPr>
              <w:spacing w:line="360" w:lineRule="auto"/>
              <w:jc w:val="center"/>
              <w:rPr>
                <w:rFonts w:ascii="宋体" w:hAnsi="宋体" w:cs="宋体"/>
                <w:szCs w:val="21"/>
              </w:rPr>
            </w:pPr>
            <w:r>
              <w:rPr>
                <w:rFonts w:hint="eastAsia" w:ascii="宋体" w:hAnsi="宋体" w:cs="宋体"/>
                <w:snapToGrid w:val="0"/>
                <w:kern w:val="0"/>
                <w:szCs w:val="21"/>
              </w:rPr>
              <w:t>内阻</w:t>
            </w:r>
          </w:p>
        </w:tc>
        <w:tc>
          <w:tcPr>
            <w:tcW w:w="2833" w:type="dxa"/>
            <w:vAlign w:val="center"/>
          </w:tcPr>
          <w:p>
            <w:pPr>
              <w:spacing w:line="360" w:lineRule="auto"/>
              <w:jc w:val="center"/>
              <w:rPr>
                <w:rFonts w:ascii="宋体" w:hAnsi="宋体" w:cs="宋体"/>
                <w:szCs w:val="21"/>
              </w:rPr>
            </w:pPr>
            <w:r>
              <w:rPr>
                <w:rFonts w:hint="eastAsia" w:ascii="宋体" w:hAnsi="宋体" w:cs="宋体"/>
                <w:snapToGrid w:val="0"/>
                <w:kern w:val="0"/>
                <w:szCs w:val="21"/>
              </w:rPr>
              <w:t>充足电25℃(77°F)</w:t>
            </w:r>
          </w:p>
        </w:tc>
        <w:tc>
          <w:tcPr>
            <w:tcW w:w="2824"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≤6mΩ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282" w:type="dxa"/>
            <w:gridSpan w:val="2"/>
            <w:vAlign w:val="center"/>
          </w:tcPr>
          <w:p>
            <w:pPr>
              <w:spacing w:line="360" w:lineRule="auto"/>
              <w:jc w:val="center"/>
              <w:rPr>
                <w:rFonts w:ascii="宋体" w:hAnsi="宋体" w:cs="宋体"/>
                <w:szCs w:val="21"/>
              </w:rPr>
            </w:pPr>
            <w:r>
              <w:rPr>
                <w:rFonts w:hint="eastAsia" w:ascii="宋体" w:hAnsi="宋体" w:cs="宋体"/>
                <w:snapToGrid w:val="0"/>
                <w:kern w:val="0"/>
                <w:szCs w:val="21"/>
              </w:rPr>
              <w:t>循环寿命</w:t>
            </w:r>
          </w:p>
        </w:tc>
        <w:tc>
          <w:tcPr>
            <w:tcW w:w="2833"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50%(C</w:t>
            </w:r>
            <w:r>
              <w:rPr>
                <w:rFonts w:hint="eastAsia" w:ascii="宋体" w:hAnsi="宋体" w:cs="宋体"/>
                <w:snapToGrid w:val="0"/>
                <w:kern w:val="0"/>
                <w:szCs w:val="21"/>
                <w:vertAlign w:val="subscript"/>
              </w:rPr>
              <w:t>10</w:t>
            </w:r>
            <w:r>
              <w:rPr>
                <w:rFonts w:hint="eastAsia" w:ascii="宋体" w:hAnsi="宋体" w:cs="宋体"/>
                <w:snapToGrid w:val="0"/>
                <w:kern w:val="0"/>
                <w:szCs w:val="21"/>
              </w:rPr>
              <w:t>) 放电深度</w:t>
            </w:r>
          </w:p>
        </w:tc>
        <w:tc>
          <w:tcPr>
            <w:tcW w:w="2824"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600次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82" w:type="dxa"/>
            <w:gridSpan w:val="2"/>
            <w:vAlign w:val="center"/>
          </w:tcPr>
          <w:p>
            <w:pPr>
              <w:spacing w:line="360" w:lineRule="auto"/>
              <w:jc w:val="center"/>
              <w:rPr>
                <w:rFonts w:ascii="宋体" w:hAnsi="宋体" w:cs="宋体"/>
                <w:szCs w:val="21"/>
              </w:rPr>
            </w:pPr>
            <w:r>
              <w:rPr>
                <w:rFonts w:hint="eastAsia" w:ascii="宋体" w:hAnsi="宋体" w:cs="宋体"/>
                <w:snapToGrid w:val="0"/>
                <w:kern w:val="0"/>
                <w:szCs w:val="21"/>
              </w:rPr>
              <w:t>浮充寿命</w:t>
            </w:r>
          </w:p>
        </w:tc>
        <w:tc>
          <w:tcPr>
            <w:tcW w:w="2833"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25℃(77°F)浮充电压 13.8V</w:t>
            </w:r>
          </w:p>
        </w:tc>
        <w:tc>
          <w:tcPr>
            <w:tcW w:w="2824"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大约</w:t>
            </w:r>
          </w:p>
          <w:p>
            <w:pPr>
              <w:spacing w:line="360" w:lineRule="auto"/>
              <w:jc w:val="center"/>
              <w:rPr>
                <w:rFonts w:ascii="宋体" w:hAnsi="宋体" w:cs="宋体"/>
                <w:szCs w:val="21"/>
              </w:rPr>
            </w:pPr>
            <w:r>
              <w:rPr>
                <w:rFonts w:hint="eastAsia" w:ascii="宋体" w:hAnsi="宋体" w:cs="宋体"/>
                <w:szCs w:val="21"/>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282" w:type="dxa"/>
            <w:gridSpan w:val="2"/>
            <w:vMerge w:val="restart"/>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温度对容量的影响</w:t>
            </w:r>
          </w:p>
          <w:p>
            <w:pPr>
              <w:spacing w:line="360" w:lineRule="auto"/>
              <w:jc w:val="center"/>
              <w:rPr>
                <w:rFonts w:ascii="宋体" w:hAnsi="宋体" w:cs="宋体"/>
                <w:szCs w:val="21"/>
              </w:rPr>
            </w:pPr>
            <w:r>
              <w:rPr>
                <w:rFonts w:hint="eastAsia" w:ascii="宋体" w:hAnsi="宋体" w:cs="宋体"/>
                <w:snapToGrid w:val="0"/>
                <w:kern w:val="0"/>
                <w:szCs w:val="21"/>
              </w:rPr>
              <w:t>(10 小时率 )</w:t>
            </w:r>
          </w:p>
        </w:tc>
        <w:tc>
          <w:tcPr>
            <w:tcW w:w="2833"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40℃ (104°F)</w:t>
            </w:r>
          </w:p>
        </w:tc>
        <w:tc>
          <w:tcPr>
            <w:tcW w:w="2824"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282" w:type="dxa"/>
            <w:gridSpan w:val="2"/>
            <w:vMerge w:val="continue"/>
            <w:vAlign w:val="center"/>
          </w:tcPr>
          <w:p>
            <w:pPr>
              <w:spacing w:line="360" w:lineRule="auto"/>
              <w:jc w:val="center"/>
              <w:rPr>
                <w:rFonts w:ascii="宋体" w:hAnsi="宋体" w:cs="宋体"/>
                <w:szCs w:val="21"/>
              </w:rPr>
            </w:pPr>
          </w:p>
        </w:tc>
        <w:tc>
          <w:tcPr>
            <w:tcW w:w="2833"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25℃ (77°F)</w:t>
            </w:r>
          </w:p>
        </w:tc>
        <w:tc>
          <w:tcPr>
            <w:tcW w:w="2824"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282" w:type="dxa"/>
            <w:gridSpan w:val="2"/>
            <w:vMerge w:val="continue"/>
            <w:vAlign w:val="center"/>
          </w:tcPr>
          <w:p>
            <w:pPr>
              <w:spacing w:line="360" w:lineRule="auto"/>
              <w:jc w:val="center"/>
              <w:rPr>
                <w:rFonts w:ascii="宋体" w:hAnsi="宋体" w:cs="宋体"/>
                <w:szCs w:val="21"/>
              </w:rPr>
            </w:pPr>
          </w:p>
        </w:tc>
        <w:tc>
          <w:tcPr>
            <w:tcW w:w="2833"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0℃ (32°F)</w:t>
            </w:r>
          </w:p>
        </w:tc>
        <w:tc>
          <w:tcPr>
            <w:tcW w:w="2824"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282" w:type="dxa"/>
            <w:gridSpan w:val="2"/>
            <w:vMerge w:val="continue"/>
            <w:vAlign w:val="center"/>
          </w:tcPr>
          <w:p>
            <w:pPr>
              <w:spacing w:line="360" w:lineRule="auto"/>
              <w:jc w:val="center"/>
              <w:rPr>
                <w:rFonts w:ascii="宋体" w:hAnsi="宋体" w:cs="宋体"/>
                <w:szCs w:val="21"/>
              </w:rPr>
            </w:pPr>
          </w:p>
        </w:tc>
        <w:tc>
          <w:tcPr>
            <w:tcW w:w="2833"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-15℃ (5°F)</w:t>
            </w:r>
          </w:p>
        </w:tc>
        <w:tc>
          <w:tcPr>
            <w:tcW w:w="2824"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282" w:type="dxa"/>
            <w:gridSpan w:val="2"/>
            <w:vMerge w:val="restart"/>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自放电</w:t>
            </w:r>
          </w:p>
          <w:p>
            <w:pPr>
              <w:spacing w:line="360" w:lineRule="auto"/>
              <w:jc w:val="center"/>
              <w:rPr>
                <w:rFonts w:ascii="宋体" w:hAnsi="宋体" w:cs="宋体"/>
                <w:szCs w:val="21"/>
              </w:rPr>
            </w:pPr>
            <w:r>
              <w:rPr>
                <w:rFonts w:hint="eastAsia" w:ascii="宋体" w:hAnsi="宋体" w:cs="宋体"/>
                <w:snapToGrid w:val="0"/>
                <w:kern w:val="0"/>
                <w:szCs w:val="21"/>
              </w:rPr>
              <w:t>25℃(77°F)</w:t>
            </w:r>
          </w:p>
        </w:tc>
        <w:tc>
          <w:tcPr>
            <w:tcW w:w="2833"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贮存3个月后剩余容量</w:t>
            </w:r>
          </w:p>
        </w:tc>
        <w:tc>
          <w:tcPr>
            <w:tcW w:w="2824"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282" w:type="dxa"/>
            <w:gridSpan w:val="2"/>
            <w:vMerge w:val="continue"/>
            <w:vAlign w:val="center"/>
          </w:tcPr>
          <w:p>
            <w:pPr>
              <w:spacing w:line="360" w:lineRule="auto"/>
              <w:jc w:val="center"/>
              <w:rPr>
                <w:rFonts w:ascii="宋体" w:hAnsi="宋体" w:cs="宋体"/>
                <w:szCs w:val="21"/>
              </w:rPr>
            </w:pPr>
          </w:p>
        </w:tc>
        <w:tc>
          <w:tcPr>
            <w:tcW w:w="2833"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贮存6个月后剩余容量</w:t>
            </w:r>
          </w:p>
        </w:tc>
        <w:tc>
          <w:tcPr>
            <w:tcW w:w="2824"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282" w:type="dxa"/>
            <w:gridSpan w:val="2"/>
            <w:vMerge w:val="continue"/>
            <w:vAlign w:val="center"/>
          </w:tcPr>
          <w:p>
            <w:pPr>
              <w:spacing w:line="360" w:lineRule="auto"/>
              <w:jc w:val="center"/>
              <w:rPr>
                <w:rFonts w:ascii="宋体" w:hAnsi="宋体" w:cs="宋体"/>
                <w:szCs w:val="21"/>
              </w:rPr>
            </w:pPr>
          </w:p>
        </w:tc>
        <w:tc>
          <w:tcPr>
            <w:tcW w:w="2833"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贮存12个月后剩余容量</w:t>
            </w:r>
          </w:p>
        </w:tc>
        <w:tc>
          <w:tcPr>
            <w:tcW w:w="2824" w:type="dxa"/>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147" w:type="dxa"/>
            <w:vMerge w:val="restart"/>
            <w:vAlign w:val="center"/>
          </w:tcPr>
          <w:p>
            <w:pPr>
              <w:spacing w:line="360" w:lineRule="auto"/>
              <w:jc w:val="center"/>
              <w:rPr>
                <w:rFonts w:ascii="宋体" w:hAnsi="宋体" w:cs="宋体"/>
                <w:szCs w:val="21"/>
              </w:rPr>
            </w:pPr>
            <w:r>
              <w:rPr>
                <w:rFonts w:hint="eastAsia" w:ascii="宋体" w:hAnsi="宋体" w:cs="宋体"/>
                <w:snapToGrid w:val="0"/>
                <w:kern w:val="0"/>
                <w:szCs w:val="21"/>
              </w:rPr>
              <w:t>充电方法 25℃(77°F)</w:t>
            </w:r>
          </w:p>
        </w:tc>
        <w:tc>
          <w:tcPr>
            <w:tcW w:w="1135" w:type="dxa"/>
            <w:vAlign w:val="center"/>
          </w:tcPr>
          <w:p>
            <w:pPr>
              <w:spacing w:line="360" w:lineRule="auto"/>
              <w:jc w:val="center"/>
              <w:rPr>
                <w:rFonts w:ascii="宋体" w:hAnsi="宋体" w:cs="宋体"/>
                <w:szCs w:val="21"/>
              </w:rPr>
            </w:pPr>
            <w:r>
              <w:rPr>
                <w:rFonts w:hint="eastAsia" w:ascii="宋体" w:hAnsi="宋体" w:cs="宋体"/>
                <w:snapToGrid w:val="0"/>
                <w:kern w:val="0"/>
                <w:szCs w:val="21"/>
              </w:rPr>
              <w:t>循环</w:t>
            </w:r>
          </w:p>
        </w:tc>
        <w:tc>
          <w:tcPr>
            <w:tcW w:w="5657" w:type="dxa"/>
            <w:gridSpan w:val="2"/>
            <w:vAlign w:val="center"/>
          </w:tcPr>
          <w:p>
            <w:pPr>
              <w:adjustRightInd w:val="0"/>
              <w:snapToGrid w:val="0"/>
              <w:spacing w:line="360" w:lineRule="auto"/>
              <w:jc w:val="center"/>
              <w:rPr>
                <w:rFonts w:ascii="宋体" w:hAnsi="宋体" w:cs="宋体"/>
                <w:snapToGrid w:val="0"/>
                <w:kern w:val="0"/>
                <w:szCs w:val="21"/>
              </w:rPr>
            </w:pPr>
            <w:r>
              <w:rPr>
                <w:rFonts w:hint="eastAsia" w:ascii="宋体" w:hAnsi="宋体" w:cs="宋体"/>
                <w:snapToGrid w:val="0"/>
                <w:kern w:val="0"/>
                <w:szCs w:val="21"/>
              </w:rPr>
              <w:t>初始电流不大于30A</w:t>
            </w:r>
          </w:p>
          <w:p>
            <w:pPr>
              <w:spacing w:line="360" w:lineRule="auto"/>
              <w:jc w:val="center"/>
              <w:rPr>
                <w:rFonts w:ascii="宋体" w:hAnsi="宋体" w:cs="宋体"/>
                <w:szCs w:val="21"/>
              </w:rPr>
            </w:pPr>
            <w:r>
              <w:rPr>
                <w:rFonts w:hint="eastAsia" w:ascii="宋体" w:hAnsi="宋体" w:cs="宋体"/>
                <w:snapToGrid w:val="0"/>
                <w:kern w:val="0"/>
                <w:szCs w:val="21"/>
              </w:rPr>
              <w:t>恒压 14.4-15.0V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47" w:type="dxa"/>
            <w:vMerge w:val="continue"/>
            <w:vAlign w:val="center"/>
          </w:tcPr>
          <w:p>
            <w:pPr>
              <w:spacing w:line="360" w:lineRule="auto"/>
              <w:jc w:val="center"/>
              <w:rPr>
                <w:rFonts w:ascii="宋体" w:hAnsi="宋体" w:cs="宋体"/>
                <w:szCs w:val="21"/>
              </w:rPr>
            </w:pPr>
          </w:p>
        </w:tc>
        <w:tc>
          <w:tcPr>
            <w:tcW w:w="1135" w:type="dxa"/>
            <w:vAlign w:val="center"/>
          </w:tcPr>
          <w:p>
            <w:pPr>
              <w:spacing w:line="360" w:lineRule="auto"/>
              <w:jc w:val="center"/>
              <w:rPr>
                <w:rFonts w:ascii="宋体" w:hAnsi="宋体" w:cs="宋体"/>
                <w:szCs w:val="21"/>
              </w:rPr>
            </w:pPr>
            <w:r>
              <w:rPr>
                <w:rFonts w:hint="eastAsia" w:ascii="宋体" w:hAnsi="宋体" w:cs="宋体"/>
                <w:snapToGrid w:val="0"/>
                <w:kern w:val="0"/>
                <w:szCs w:val="21"/>
              </w:rPr>
              <w:t>浮充</w:t>
            </w:r>
          </w:p>
        </w:tc>
        <w:tc>
          <w:tcPr>
            <w:tcW w:w="5657" w:type="dxa"/>
            <w:gridSpan w:val="2"/>
            <w:vAlign w:val="center"/>
          </w:tcPr>
          <w:p>
            <w:pPr>
              <w:spacing w:line="360" w:lineRule="auto"/>
              <w:jc w:val="center"/>
              <w:rPr>
                <w:rFonts w:ascii="宋体" w:hAnsi="宋体" w:cs="宋体"/>
                <w:szCs w:val="21"/>
              </w:rPr>
            </w:pPr>
            <w:r>
              <w:rPr>
                <w:rFonts w:hint="eastAsia" w:ascii="宋体" w:hAnsi="宋体" w:cs="宋体"/>
                <w:snapToGrid w:val="0"/>
                <w:kern w:val="0"/>
                <w:szCs w:val="21"/>
              </w:rPr>
              <w:t>恒压 13.5-13.8V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47" w:type="dxa"/>
            <w:vMerge w:val="restart"/>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rPr>
              <w:t>电池尺寸</w:t>
            </w:r>
          </w:p>
          <w:p>
            <w:pPr>
              <w:spacing w:line="360" w:lineRule="auto"/>
              <w:jc w:val="center"/>
              <w:rPr>
                <w:rFonts w:ascii="宋体" w:hAnsi="宋体" w:cs="宋体"/>
                <w:szCs w:val="21"/>
              </w:rPr>
            </w:pPr>
            <w:r>
              <w:rPr>
                <w:rFonts w:hint="eastAsia" w:ascii="宋体" w:hAnsi="宋体" w:cs="宋体"/>
                <w:szCs w:val="21"/>
              </w:rPr>
              <w:t>(长×宽×高)</w:t>
            </w:r>
          </w:p>
        </w:tc>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kern w:val="0"/>
                <w:szCs w:val="21"/>
              </w:rPr>
            </w:pPr>
            <w:r>
              <w:rPr>
                <w:rFonts w:hint="eastAsia" w:ascii="宋体" w:hAnsi="宋体" w:cs="宋体"/>
                <w:snapToGrid w:val="0"/>
                <w:kern w:val="0"/>
                <w:szCs w:val="21"/>
              </w:rPr>
              <w:t>毫米±3</w:t>
            </w:r>
          </w:p>
        </w:tc>
        <w:tc>
          <w:tcPr>
            <w:tcW w:w="565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kern w:val="0"/>
                <w:szCs w:val="21"/>
              </w:rPr>
            </w:pPr>
            <w:r>
              <w:rPr>
                <w:rFonts w:hint="eastAsia" w:ascii="宋体" w:hAnsi="宋体" w:cs="宋体"/>
                <w:snapToGrid w:val="0"/>
                <w:kern w:val="0"/>
                <w:szCs w:val="21"/>
              </w:rPr>
              <w:t>407×172×236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47" w:type="dxa"/>
            <w:vMerge w:val="continue"/>
            <w:vAlign w:val="center"/>
          </w:tcPr>
          <w:p>
            <w:pPr>
              <w:spacing w:line="360" w:lineRule="auto"/>
              <w:jc w:val="center"/>
              <w:rPr>
                <w:rFonts w:ascii="宋体" w:hAnsi="宋体" w:cs="宋体"/>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kern w:val="0"/>
                <w:szCs w:val="21"/>
              </w:rPr>
            </w:pPr>
            <w:r>
              <w:rPr>
                <w:rFonts w:hint="eastAsia" w:ascii="宋体" w:hAnsi="宋体" w:cs="宋体"/>
                <w:snapToGrid w:val="0"/>
                <w:kern w:val="0"/>
                <w:szCs w:val="21"/>
              </w:rPr>
              <w:t>英寸</w:t>
            </w:r>
          </w:p>
        </w:tc>
        <w:tc>
          <w:tcPr>
            <w:tcW w:w="565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napToGrid w:val="0"/>
                <w:kern w:val="0"/>
                <w:szCs w:val="21"/>
              </w:rPr>
            </w:pPr>
            <w:r>
              <w:rPr>
                <w:rFonts w:hint="eastAsia" w:ascii="宋体" w:hAnsi="宋体" w:cs="宋体"/>
                <w:snapToGrid w:val="0"/>
                <w:kern w:val="0"/>
                <w:szCs w:val="21"/>
              </w:rPr>
              <w:t>16×6.7×9.4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282" w:type="dxa"/>
            <w:gridSpan w:val="2"/>
            <w:vAlign w:val="center"/>
          </w:tcPr>
          <w:p>
            <w:pPr>
              <w:spacing w:line="360" w:lineRule="auto"/>
              <w:jc w:val="center"/>
              <w:rPr>
                <w:rFonts w:ascii="宋体" w:hAnsi="宋体" w:cs="宋体"/>
                <w:szCs w:val="21"/>
              </w:rPr>
            </w:pPr>
            <w:r>
              <w:rPr>
                <w:rFonts w:hint="eastAsia" w:ascii="宋体" w:hAnsi="宋体" w:cs="宋体"/>
                <w:szCs w:val="21"/>
              </w:rPr>
              <w:t>每包装箱数量</w:t>
            </w:r>
          </w:p>
        </w:tc>
        <w:tc>
          <w:tcPr>
            <w:tcW w:w="5657" w:type="dxa"/>
            <w:gridSpan w:val="2"/>
            <w:vAlign w:val="center"/>
          </w:tcPr>
          <w:p>
            <w:pPr>
              <w:spacing w:line="360" w:lineRule="auto"/>
              <w:jc w:val="center"/>
              <w:rPr>
                <w:rFonts w:ascii="宋体" w:hAnsi="宋体" w:cs="宋体"/>
                <w:color w:val="000000"/>
                <w:szCs w:val="21"/>
              </w:rPr>
            </w:pPr>
            <w:r>
              <w:rPr>
                <w:rFonts w:hint="eastAsia" w:ascii="宋体" w:hAnsi="宋体" w:cs="宋体"/>
                <w:color w:val="000000"/>
                <w:szCs w:val="21"/>
              </w:rPr>
              <w:t>1 只装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282" w:type="dxa"/>
            <w:gridSpan w:val="2"/>
            <w:vAlign w:val="center"/>
          </w:tcPr>
          <w:p>
            <w:pPr>
              <w:spacing w:line="360" w:lineRule="auto"/>
              <w:jc w:val="center"/>
              <w:rPr>
                <w:rFonts w:ascii="宋体" w:hAnsi="宋体" w:cs="宋体"/>
                <w:szCs w:val="21"/>
              </w:rPr>
            </w:pPr>
            <w:r>
              <w:rPr>
                <w:rFonts w:hint="eastAsia" w:ascii="宋体" w:hAnsi="宋体" w:cs="宋体"/>
                <w:szCs w:val="21"/>
              </w:rPr>
              <w:t>每只电池净重</w:t>
            </w:r>
          </w:p>
        </w:tc>
        <w:tc>
          <w:tcPr>
            <w:tcW w:w="5657" w:type="dxa"/>
            <w:gridSpan w:val="2"/>
            <w:vAlign w:val="center"/>
          </w:tcPr>
          <w:p>
            <w:pPr>
              <w:spacing w:line="360" w:lineRule="auto"/>
              <w:jc w:val="center"/>
              <w:rPr>
                <w:rFonts w:ascii="宋体" w:hAnsi="宋体" w:cs="宋体"/>
                <w:szCs w:val="21"/>
              </w:rPr>
            </w:pPr>
            <w:r>
              <w:rPr>
                <w:rFonts w:hint="eastAsia" w:ascii="宋体" w:hAnsi="宋体" w:cs="宋体"/>
                <w:szCs w:val="21"/>
              </w:rPr>
              <w:t>33千克±500克</w:t>
            </w:r>
          </w:p>
        </w:tc>
      </w:tr>
    </w:tbl>
    <w:p>
      <w:pPr>
        <w:widowControl/>
        <w:spacing w:line="360" w:lineRule="auto"/>
        <w:rPr>
          <w:rFonts w:ascii="宋体" w:hAnsi="宋体" w:cs="宋体"/>
          <w:color w:val="FF0000"/>
          <w:szCs w:val="21"/>
        </w:rPr>
      </w:pPr>
    </w:p>
    <w:p>
      <w:pPr>
        <w:widowControl/>
        <w:spacing w:line="360" w:lineRule="auto"/>
        <w:ind w:firstLine="422" w:firstLineChars="200"/>
        <w:rPr>
          <w:rFonts w:ascii="宋体" w:hAnsi="宋体" w:cs="宋体"/>
          <w:b/>
          <w:bCs/>
          <w:szCs w:val="21"/>
        </w:rPr>
      </w:pPr>
    </w:p>
    <w:p>
      <w:pPr>
        <w:widowControl/>
        <w:spacing w:line="360" w:lineRule="auto"/>
        <w:outlineLvl w:val="3"/>
        <w:rPr>
          <w:rFonts w:ascii="宋体" w:hAnsi="宋体" w:cs="宋体"/>
          <w:szCs w:val="21"/>
        </w:rPr>
      </w:pPr>
      <w:r>
        <w:rPr>
          <w:rFonts w:hint="eastAsia" w:ascii="宋体" w:hAnsi="宋体" w:cs="宋体"/>
          <w:b/>
          <w:bCs/>
          <w:szCs w:val="21"/>
        </w:rPr>
        <w:t>2.电池关键参数及要求</w:t>
      </w:r>
    </w:p>
    <w:p>
      <w:pPr>
        <w:widowControl/>
        <w:spacing w:line="360" w:lineRule="auto"/>
        <w:ind w:firstLine="420" w:firstLineChars="200"/>
        <w:rPr>
          <w:rFonts w:ascii="宋体" w:hAnsi="宋体" w:cs="宋体"/>
          <w:szCs w:val="21"/>
        </w:rPr>
      </w:pPr>
      <w:r>
        <w:rPr>
          <w:rFonts w:hint="eastAsia" w:ascii="宋体" w:hAnsi="宋体" w:cs="宋体"/>
          <w:szCs w:val="21"/>
        </w:rPr>
        <w:t>额定电压：12V</w:t>
      </w:r>
    </w:p>
    <w:p>
      <w:pPr>
        <w:widowControl/>
        <w:spacing w:line="360" w:lineRule="auto"/>
        <w:ind w:firstLine="420" w:firstLineChars="200"/>
        <w:rPr>
          <w:rFonts w:ascii="宋体" w:hAnsi="宋体" w:cs="宋体"/>
          <w:szCs w:val="21"/>
        </w:rPr>
      </w:pPr>
      <w:r>
        <w:rPr>
          <w:rFonts w:hint="eastAsia" w:ascii="宋体" w:hAnsi="宋体" w:cs="宋体"/>
          <w:szCs w:val="21"/>
        </w:rPr>
        <w:t>额定容量(10小时率)：120Ah</w:t>
      </w:r>
    </w:p>
    <w:p>
      <w:pPr>
        <w:widowControl/>
        <w:spacing w:line="360" w:lineRule="auto"/>
        <w:ind w:firstLine="420" w:firstLineChars="200"/>
        <w:rPr>
          <w:rFonts w:ascii="宋体" w:hAnsi="宋体" w:cs="宋体"/>
          <w:szCs w:val="21"/>
        </w:rPr>
      </w:pPr>
      <w:r>
        <w:rPr>
          <w:rFonts w:hint="eastAsia" w:ascii="宋体" w:hAnsi="宋体" w:cs="宋体"/>
          <w:szCs w:val="21"/>
        </w:rPr>
        <w:t>电池尺寸(长×宽×高)毫米±3：407×172×236</w:t>
      </w:r>
    </w:p>
    <w:p>
      <w:pPr>
        <w:widowControl/>
        <w:spacing w:line="360" w:lineRule="auto"/>
        <w:outlineLvl w:val="3"/>
        <w:rPr>
          <w:rFonts w:ascii="宋体" w:hAnsi="宋体" w:cs="宋体"/>
          <w:b/>
          <w:bCs/>
          <w:szCs w:val="21"/>
        </w:rPr>
      </w:pPr>
      <w:r>
        <w:rPr>
          <w:rFonts w:hint="eastAsia" w:ascii="宋体" w:hAnsi="宋体" w:cs="宋体"/>
          <w:b/>
          <w:bCs/>
          <w:szCs w:val="21"/>
        </w:rPr>
        <w:t>3.蓄电池工艺</w:t>
      </w:r>
    </w:p>
    <w:p>
      <w:pPr>
        <w:widowControl/>
        <w:spacing w:line="360" w:lineRule="auto"/>
        <w:ind w:firstLine="420" w:firstLineChars="200"/>
        <w:rPr>
          <w:rFonts w:ascii="宋体" w:hAnsi="宋体" w:cs="宋体"/>
          <w:szCs w:val="21"/>
        </w:rPr>
      </w:pPr>
      <w:r>
        <w:rPr>
          <w:rFonts w:hint="eastAsia" w:ascii="宋体" w:hAnsi="宋体" w:cs="宋体"/>
          <w:szCs w:val="21"/>
        </w:rPr>
        <w:t xml:space="preserve">壳子盖子：符合UL94与UL94-0标准的ABS材料。  </w:t>
      </w:r>
    </w:p>
    <w:p>
      <w:pPr>
        <w:widowControl/>
        <w:spacing w:line="360" w:lineRule="auto"/>
        <w:ind w:firstLine="420" w:firstLineChars="200"/>
        <w:rPr>
          <w:rFonts w:ascii="宋体" w:hAnsi="宋体" w:cs="宋体"/>
          <w:szCs w:val="21"/>
        </w:rPr>
      </w:pPr>
      <w:r>
        <w:rPr>
          <w:rFonts w:hint="eastAsia" w:ascii="宋体" w:hAnsi="宋体" w:cs="宋体"/>
          <w:szCs w:val="21"/>
        </w:rPr>
        <w:t>负极板：采用独特的铅钙板栅，提高析氢电位，减少气体的析出。</w:t>
      </w:r>
    </w:p>
    <w:p>
      <w:pPr>
        <w:widowControl/>
        <w:spacing w:line="360" w:lineRule="auto"/>
        <w:ind w:firstLine="420" w:firstLineChars="200"/>
        <w:rPr>
          <w:rFonts w:ascii="宋体" w:hAnsi="宋体" w:cs="宋体"/>
          <w:szCs w:val="21"/>
        </w:rPr>
      </w:pPr>
      <w:r>
        <w:rPr>
          <w:rFonts w:hint="eastAsia" w:ascii="宋体" w:hAnsi="宋体" w:cs="宋体"/>
          <w:szCs w:val="21"/>
        </w:rPr>
        <w:t>隔板：优质AGM隔板。</w:t>
      </w:r>
    </w:p>
    <w:p>
      <w:pPr>
        <w:widowControl/>
        <w:spacing w:line="360" w:lineRule="auto"/>
        <w:ind w:firstLine="420" w:firstLineChars="200"/>
        <w:rPr>
          <w:rFonts w:ascii="宋体" w:hAnsi="宋体" w:cs="宋体"/>
          <w:szCs w:val="21"/>
        </w:rPr>
      </w:pPr>
      <w:r>
        <w:rPr>
          <w:rFonts w:hint="eastAsia" w:ascii="宋体" w:hAnsi="宋体" w:cs="宋体"/>
          <w:szCs w:val="21"/>
        </w:rPr>
        <w:t>正极板：采用独特的铅钙板栅，降低了板栅的腐蚀速度，延长电池的使用寿命。</w:t>
      </w:r>
    </w:p>
    <w:p>
      <w:pPr>
        <w:widowControl/>
        <w:spacing w:line="360" w:lineRule="auto"/>
        <w:ind w:firstLine="420" w:firstLineChars="200"/>
        <w:rPr>
          <w:rFonts w:ascii="宋体" w:hAnsi="宋体" w:cs="宋体"/>
          <w:szCs w:val="21"/>
        </w:rPr>
      </w:pPr>
      <w:r>
        <w:rPr>
          <w:rFonts w:hint="eastAsia" w:ascii="宋体" w:hAnsi="宋体" w:cs="宋体"/>
          <w:szCs w:val="21"/>
        </w:rPr>
        <w:t>端子：采用铜端子，优良的传导性和较高的耐磨性，增强大电流放电性能，瞬间起动电流显著提高。</w:t>
      </w:r>
    </w:p>
    <w:p>
      <w:pPr>
        <w:widowControl/>
        <w:spacing w:line="360" w:lineRule="auto"/>
        <w:ind w:firstLine="420" w:firstLineChars="200"/>
        <w:rPr>
          <w:rFonts w:ascii="宋体" w:hAnsi="宋体" w:cs="宋体"/>
          <w:szCs w:val="21"/>
        </w:rPr>
      </w:pPr>
      <w:r>
        <w:rPr>
          <w:rFonts w:hint="eastAsia" w:ascii="宋体" w:hAnsi="宋体" w:cs="宋体"/>
          <w:szCs w:val="21"/>
        </w:rPr>
        <w:t>6、安全阀：开闭阀灵敏，阻止外部空气浸入，释放多余气体保障安全，保持一定范围的气压促进气体复合。</w:t>
      </w:r>
    </w:p>
    <w:p>
      <w:pPr>
        <w:widowControl/>
        <w:spacing w:line="360" w:lineRule="auto"/>
        <w:outlineLvl w:val="3"/>
        <w:rPr>
          <w:rFonts w:ascii="宋体" w:hAnsi="宋体" w:cs="宋体"/>
          <w:b/>
          <w:bCs/>
          <w:szCs w:val="21"/>
        </w:rPr>
      </w:pPr>
      <w:r>
        <w:rPr>
          <w:rFonts w:hint="eastAsia" w:ascii="宋体" w:hAnsi="宋体" w:cs="宋体"/>
          <w:b/>
          <w:bCs/>
          <w:szCs w:val="21"/>
        </w:rPr>
        <w:t>4.蓄电池性能要求</w:t>
      </w:r>
    </w:p>
    <w:p>
      <w:pPr>
        <w:widowControl/>
        <w:spacing w:line="360" w:lineRule="auto"/>
        <w:ind w:firstLine="420" w:firstLineChars="200"/>
        <w:rPr>
          <w:rFonts w:ascii="宋体" w:hAnsi="宋体" w:cs="宋体"/>
          <w:szCs w:val="21"/>
        </w:rPr>
      </w:pPr>
      <w:r>
        <w:rPr>
          <w:rFonts w:hint="eastAsia" w:ascii="宋体" w:hAnsi="宋体" w:cs="宋体"/>
          <w:szCs w:val="21"/>
        </w:rPr>
        <w:t>安全性能好：正常使用下无电解液漏出，无电池膨胀。</w:t>
      </w:r>
    </w:p>
    <w:p>
      <w:pPr>
        <w:widowControl/>
        <w:spacing w:line="360" w:lineRule="auto"/>
        <w:ind w:firstLine="420" w:firstLineChars="200"/>
        <w:rPr>
          <w:rFonts w:ascii="宋体" w:hAnsi="宋体" w:cs="宋体"/>
          <w:szCs w:val="21"/>
        </w:rPr>
      </w:pPr>
      <w:r>
        <w:rPr>
          <w:rFonts w:hint="eastAsia" w:ascii="宋体" w:hAnsi="宋体" w:cs="宋体"/>
          <w:szCs w:val="21"/>
        </w:rPr>
        <w:t>放电性能好：防电电压平稳，放电平台平缓。</w:t>
      </w:r>
    </w:p>
    <w:p>
      <w:pPr>
        <w:widowControl/>
        <w:spacing w:line="360" w:lineRule="auto"/>
        <w:ind w:firstLine="420" w:firstLineChars="200"/>
        <w:rPr>
          <w:rFonts w:ascii="宋体" w:hAnsi="宋体" w:cs="宋体"/>
          <w:szCs w:val="21"/>
        </w:rPr>
      </w:pPr>
      <w:r>
        <w:rPr>
          <w:rFonts w:hint="eastAsia" w:ascii="宋体" w:hAnsi="宋体" w:cs="宋体"/>
          <w:szCs w:val="21"/>
        </w:rPr>
        <w:t>耐震动性好：完全充电状态的电池完全稳固，以4MM振幅，16.7HZ的频率振动1小时，无漏液，无电池膨胀及破裂。</w:t>
      </w:r>
    </w:p>
    <w:p>
      <w:pPr>
        <w:widowControl/>
        <w:spacing w:line="360" w:lineRule="auto"/>
        <w:ind w:firstLine="420" w:firstLineChars="200"/>
        <w:rPr>
          <w:rFonts w:ascii="宋体" w:hAnsi="宋体" w:cs="宋体"/>
          <w:szCs w:val="21"/>
        </w:rPr>
      </w:pPr>
      <w:r>
        <w:rPr>
          <w:rFonts w:hint="eastAsia" w:ascii="宋体" w:hAnsi="宋体" w:cs="宋体"/>
          <w:szCs w:val="21"/>
        </w:rPr>
        <w:t>耐冲击性好：完全充电状态的电池从20CM高处自然落到1CM厚的硬木板三次，无漏液，无电池膨胀及破裂，开路电压正常。</w:t>
      </w:r>
    </w:p>
    <w:p>
      <w:pPr>
        <w:widowControl/>
        <w:spacing w:line="360" w:lineRule="auto"/>
        <w:ind w:firstLine="420" w:firstLineChars="200"/>
        <w:rPr>
          <w:rFonts w:ascii="宋体" w:hAnsi="宋体" w:cs="宋体"/>
          <w:szCs w:val="21"/>
        </w:rPr>
      </w:pPr>
      <w:r>
        <w:rPr>
          <w:rFonts w:hint="eastAsia" w:ascii="宋体" w:hAnsi="宋体" w:cs="宋体"/>
          <w:szCs w:val="21"/>
        </w:rPr>
        <w:t>耐过充电性好：25摄氏度，完全充电状态的电池0.1CA充电48小时，无漏液，无电池膨胀及破裂，开路电压正常。</w:t>
      </w:r>
    </w:p>
    <w:p>
      <w:pPr>
        <w:widowControl/>
        <w:spacing w:line="360" w:lineRule="auto"/>
        <w:ind w:firstLine="420" w:firstLineChars="200"/>
        <w:rPr>
          <w:rFonts w:ascii="宋体" w:hAnsi="宋体" w:cs="宋体"/>
          <w:b/>
          <w:bCs/>
          <w:szCs w:val="21"/>
        </w:rPr>
      </w:pPr>
      <w:r>
        <w:rPr>
          <w:rFonts w:hint="eastAsia" w:ascii="宋体" w:hAnsi="宋体" w:cs="宋体"/>
          <w:szCs w:val="21"/>
        </w:rPr>
        <w:t>耐大电流性好：完全充电状态的电池2CA放电5分钟或10CA放电5秒钟，无导电部分溶断，无外观变形。</w:t>
      </w:r>
    </w:p>
    <w:p>
      <w:pPr>
        <w:pStyle w:val="3"/>
        <w:spacing w:before="0" w:after="0"/>
        <w:ind w:firstLine="422" w:firstLineChars="200"/>
        <w:outlineLvl w:val="2"/>
        <w:rPr>
          <w:rFonts w:ascii="宋体" w:hAnsi="宋体" w:eastAsia="宋体" w:cs="宋体"/>
          <w:sz w:val="21"/>
          <w:szCs w:val="21"/>
          <w:lang w:val="en-US"/>
        </w:rPr>
      </w:pPr>
      <w:r>
        <w:rPr>
          <w:rFonts w:hint="eastAsia" w:ascii="宋体" w:hAnsi="宋体" w:eastAsia="宋体" w:cs="宋体"/>
          <w:sz w:val="21"/>
          <w:szCs w:val="21"/>
        </w:rPr>
        <w:t>（</w:t>
      </w:r>
      <w:r>
        <w:rPr>
          <w:rFonts w:hint="eastAsia" w:ascii="宋体" w:hAnsi="宋体" w:eastAsia="宋体" w:cs="宋体"/>
          <w:sz w:val="21"/>
          <w:szCs w:val="21"/>
          <w:lang w:val="en-US"/>
        </w:rPr>
        <w:t>三</w:t>
      </w:r>
      <w:r>
        <w:rPr>
          <w:rFonts w:hint="eastAsia" w:ascii="宋体" w:hAnsi="宋体" w:eastAsia="宋体" w:cs="宋体"/>
          <w:sz w:val="21"/>
          <w:szCs w:val="21"/>
        </w:rPr>
        <w:t>）</w:t>
      </w:r>
      <w:r>
        <w:rPr>
          <w:rFonts w:hint="eastAsia" w:ascii="宋体" w:hAnsi="宋体" w:eastAsia="宋体" w:cs="宋体"/>
          <w:sz w:val="21"/>
          <w:szCs w:val="21"/>
          <w:lang w:val="en-US"/>
        </w:rPr>
        <w:t xml:space="preserve"> 服务需求</w:t>
      </w:r>
    </w:p>
    <w:p>
      <w:pPr>
        <w:spacing w:line="360" w:lineRule="auto"/>
        <w:ind w:firstLine="369" w:firstLineChars="176"/>
        <w:outlineLvl w:val="3"/>
        <w:rPr>
          <w:rFonts w:ascii="宋体" w:hAnsi="宋体" w:cs="宋体"/>
          <w:szCs w:val="21"/>
        </w:rPr>
      </w:pPr>
      <w:r>
        <w:rPr>
          <w:rFonts w:hint="eastAsia" w:ascii="宋体" w:hAnsi="宋体" w:cs="宋体"/>
          <w:szCs w:val="21"/>
        </w:rPr>
        <w:t>1.UPS控制模块维修</w:t>
      </w:r>
    </w:p>
    <w:p>
      <w:pPr>
        <w:spacing w:line="360" w:lineRule="auto"/>
        <w:ind w:firstLine="369" w:firstLineChars="176"/>
        <w:rPr>
          <w:rFonts w:ascii="宋体" w:hAnsi="宋体" w:cs="宋体"/>
          <w:szCs w:val="21"/>
        </w:rPr>
      </w:pPr>
      <w:r>
        <w:rPr>
          <w:rFonts w:hint="eastAsia" w:ascii="宋体" w:hAnsi="宋体" w:cs="宋体"/>
          <w:szCs w:val="21"/>
        </w:rPr>
        <w:t>需要维修的2个UPS控制模块型号为GA-10KVA。可能存在各种故障，包括但不限于电路故障、元件老化、软件故障等。维修须提供专业的技术团队，对控制器联网及全部模块进行全面检测，排查故障隐患。</w:t>
      </w:r>
    </w:p>
    <w:p>
      <w:pPr>
        <w:spacing w:line="360" w:lineRule="auto"/>
        <w:ind w:firstLine="369" w:firstLineChars="176"/>
        <w:outlineLvl w:val="3"/>
        <w:rPr>
          <w:rFonts w:ascii="宋体" w:hAnsi="宋体" w:cs="宋体"/>
          <w:szCs w:val="21"/>
        </w:rPr>
      </w:pPr>
      <w:r>
        <w:rPr>
          <w:rFonts w:hint="eastAsia" w:ascii="宋体" w:hAnsi="宋体" w:cs="宋体"/>
          <w:szCs w:val="21"/>
        </w:rPr>
        <w:t>2.培训与服务需求</w:t>
      </w:r>
    </w:p>
    <w:p>
      <w:pPr>
        <w:spacing w:line="360" w:lineRule="auto"/>
        <w:ind w:firstLine="369" w:firstLineChars="176"/>
        <w:rPr>
          <w:rFonts w:ascii="宋体" w:hAnsi="宋体" w:cs="宋体"/>
          <w:szCs w:val="21"/>
        </w:rPr>
      </w:pPr>
      <w:r>
        <w:rPr>
          <w:rFonts w:hint="eastAsia" w:ascii="宋体" w:hAnsi="宋体" w:cs="宋体"/>
          <w:szCs w:val="21"/>
        </w:rPr>
        <w:t>在UPS修复和电池组更换完毕，需要提供相关的培训课程和技术支持，确保相关工作人员能够熟练掌握UPS控制模块的日常维护和保养技能。同时，应提供7*24小时的服务热线和技术支持，以解决设备使用过程中遇到的问题。</w:t>
      </w:r>
    </w:p>
    <w:p>
      <w:pPr>
        <w:pStyle w:val="3"/>
        <w:spacing w:before="0" w:after="0" w:line="360" w:lineRule="auto"/>
        <w:ind w:firstLine="420" w:firstLineChars="200"/>
        <w:outlineLvl w:val="3"/>
        <w:rPr>
          <w:rFonts w:ascii="宋体" w:hAnsi="宋体" w:eastAsia="宋体" w:cs="宋体"/>
          <w:b w:val="0"/>
          <w:bCs w:val="0"/>
          <w:sz w:val="21"/>
          <w:szCs w:val="21"/>
        </w:rPr>
      </w:pPr>
      <w:r>
        <w:rPr>
          <w:rFonts w:hint="eastAsia" w:ascii="宋体" w:hAnsi="宋体" w:eastAsia="宋体" w:cs="宋体"/>
          <w:b w:val="0"/>
          <w:bCs w:val="0"/>
          <w:sz w:val="21"/>
          <w:szCs w:val="21"/>
        </w:rPr>
        <w:t>3.</w:t>
      </w:r>
      <w:r>
        <w:rPr>
          <w:rFonts w:hint="eastAsia" w:ascii="宋体" w:hAnsi="宋体" w:eastAsia="宋体" w:cs="宋体"/>
          <w:b w:val="0"/>
          <w:bCs w:val="0"/>
          <w:sz w:val="21"/>
          <w:szCs w:val="21"/>
          <w:lang w:val="en-US"/>
        </w:rPr>
        <w:t>施工</w:t>
      </w:r>
      <w:r>
        <w:rPr>
          <w:rFonts w:hint="eastAsia" w:ascii="宋体" w:hAnsi="宋体" w:eastAsia="宋体" w:cs="宋体"/>
          <w:b w:val="0"/>
          <w:bCs w:val="0"/>
          <w:sz w:val="21"/>
          <w:szCs w:val="21"/>
        </w:rPr>
        <w:t>安装</w:t>
      </w:r>
      <w:r>
        <w:rPr>
          <w:rFonts w:hint="eastAsia" w:ascii="宋体" w:hAnsi="宋体" w:eastAsia="宋体" w:cs="宋体"/>
          <w:b w:val="0"/>
          <w:bCs w:val="0"/>
          <w:sz w:val="21"/>
          <w:szCs w:val="21"/>
          <w:lang w:val="en-US"/>
        </w:rPr>
        <w:t>需</w:t>
      </w:r>
      <w:r>
        <w:rPr>
          <w:rFonts w:hint="eastAsia" w:ascii="宋体" w:hAnsi="宋体" w:eastAsia="宋体" w:cs="宋体"/>
          <w:b w:val="0"/>
          <w:bCs w:val="0"/>
          <w:sz w:val="21"/>
          <w:szCs w:val="21"/>
        </w:rPr>
        <w:t>求</w:t>
      </w:r>
    </w:p>
    <w:p>
      <w:pPr>
        <w:numPr>
          <w:ilvl w:val="0"/>
          <w:numId w:val="16"/>
        </w:numPr>
        <w:spacing w:line="360" w:lineRule="auto"/>
        <w:ind w:firstLine="369" w:firstLineChars="176"/>
        <w:outlineLvl w:val="4"/>
        <w:rPr>
          <w:rFonts w:ascii="宋体" w:hAnsi="宋体" w:cs="宋体"/>
          <w:szCs w:val="21"/>
        </w:rPr>
      </w:pPr>
      <w:r>
        <w:rPr>
          <w:rFonts w:hint="eastAsia" w:ascii="宋体" w:hAnsi="宋体" w:cs="宋体"/>
          <w:szCs w:val="21"/>
        </w:rPr>
        <w:t>施工前准备</w:t>
      </w:r>
    </w:p>
    <w:p>
      <w:pPr>
        <w:spacing w:line="360" w:lineRule="auto"/>
        <w:ind w:firstLine="420" w:firstLineChars="200"/>
        <w:rPr>
          <w:rFonts w:ascii="宋体" w:hAnsi="宋体" w:cs="宋体"/>
          <w:szCs w:val="21"/>
        </w:rPr>
      </w:pPr>
      <w:r>
        <w:rPr>
          <w:rFonts w:hint="eastAsia" w:ascii="宋体" w:hAnsi="宋体" w:cs="宋体"/>
          <w:szCs w:val="21"/>
        </w:rPr>
        <w:t>在开始UPS维修及电池组更换安装之前，须到现场勘查，进行充分的施工前准备。了解当前UPS状态、系统和电池的基本情况，包括工作原理、常见故障、应急预案及施工方案。仔细阅读并理解施工图纸和说明书，明确施工要求、步聚和注意事项。准备好所需的工具和材料，如螺丝刀、电缆剥线钳、电池等。确保施工现场安全，包括断电、隔离相关设备等措施。</w:t>
      </w:r>
    </w:p>
    <w:p>
      <w:pPr>
        <w:numPr>
          <w:ilvl w:val="0"/>
          <w:numId w:val="16"/>
        </w:numPr>
        <w:spacing w:line="360" w:lineRule="auto"/>
        <w:ind w:firstLine="369" w:firstLineChars="176"/>
        <w:outlineLvl w:val="4"/>
        <w:rPr>
          <w:rFonts w:ascii="宋体" w:hAnsi="宋体" w:cs="宋体"/>
          <w:szCs w:val="21"/>
        </w:rPr>
      </w:pPr>
      <w:r>
        <w:rPr>
          <w:rFonts w:hint="eastAsia" w:ascii="宋体" w:hAnsi="宋体" w:cs="宋体"/>
          <w:szCs w:val="21"/>
        </w:rPr>
        <w:t>设备检查</w:t>
      </w:r>
    </w:p>
    <w:p>
      <w:pPr>
        <w:spacing w:line="360" w:lineRule="auto"/>
        <w:ind w:firstLine="420" w:firstLineChars="200"/>
        <w:rPr>
          <w:rFonts w:ascii="宋体" w:hAnsi="宋体" w:cs="宋体"/>
          <w:szCs w:val="21"/>
        </w:rPr>
      </w:pPr>
      <w:r>
        <w:rPr>
          <w:rFonts w:hint="eastAsia" w:ascii="宋体" w:hAnsi="宋体" w:cs="宋体"/>
          <w:szCs w:val="21"/>
        </w:rPr>
        <w:t>在开始更换安装之前，须对UPS系统和电池进行全面检查。检查电池的外观是滞有损坏或异常，如破损、变形、渗漏等。检查电池的电压和容量是滞符合要求，如不符合要求则需要更换电池。检查UPS电源和负载是否正常，包括电压、电流、功率等参数。</w:t>
      </w:r>
    </w:p>
    <w:p>
      <w:pPr>
        <w:numPr>
          <w:ilvl w:val="0"/>
          <w:numId w:val="16"/>
        </w:numPr>
        <w:spacing w:line="360" w:lineRule="auto"/>
        <w:ind w:firstLine="369" w:firstLineChars="176"/>
        <w:outlineLvl w:val="4"/>
        <w:rPr>
          <w:rFonts w:ascii="宋体" w:hAnsi="宋体" w:cs="宋体"/>
          <w:szCs w:val="21"/>
        </w:rPr>
      </w:pPr>
      <w:r>
        <w:rPr>
          <w:rFonts w:hint="eastAsia" w:ascii="宋体" w:hAnsi="宋体" w:cs="宋体"/>
          <w:szCs w:val="21"/>
        </w:rPr>
        <w:t>电缆连接</w:t>
      </w:r>
    </w:p>
    <w:p>
      <w:pPr>
        <w:spacing w:line="360" w:lineRule="auto"/>
        <w:ind w:firstLine="420" w:firstLineChars="200"/>
        <w:rPr>
          <w:rFonts w:ascii="宋体" w:hAnsi="宋体" w:cs="宋体"/>
          <w:szCs w:val="21"/>
        </w:rPr>
      </w:pPr>
      <w:r>
        <w:rPr>
          <w:rFonts w:hint="eastAsia" w:ascii="宋体" w:hAnsi="宋体" w:cs="宋体"/>
          <w:szCs w:val="21"/>
        </w:rPr>
        <w:t>电缆连接是UPS维修及电池安装的关键步聚之一，必须认真进行。必须根据施工图纸和说明书的要求，选择合适的电缆和连接器。确保电缆的外观无损坏，导体无折断、短路等现象。</w:t>
      </w:r>
    </w:p>
    <w:p>
      <w:pPr>
        <w:pStyle w:val="5"/>
        <w:numPr>
          <w:ilvl w:val="0"/>
          <w:numId w:val="13"/>
        </w:numPr>
        <w:tabs>
          <w:tab w:val="left" w:pos="420"/>
          <w:tab w:val="left" w:pos="540"/>
        </w:tabs>
        <w:adjustRightInd w:val="0"/>
        <w:snapToGrid w:val="0"/>
        <w:spacing w:line="360" w:lineRule="auto"/>
        <w:outlineLvl w:val="1"/>
        <w:rPr>
          <w:rFonts w:hAnsi="宋体" w:cs="宋体"/>
          <w:b/>
          <w:bCs/>
          <w:sz w:val="21"/>
        </w:rPr>
      </w:pPr>
      <w:r>
        <w:rPr>
          <w:rFonts w:hint="eastAsia" w:hAnsi="宋体" w:cs="宋体"/>
          <w:b/>
          <w:bCs/>
          <w:sz w:val="21"/>
        </w:rPr>
        <w:t>实施服务</w:t>
      </w:r>
    </w:p>
    <w:p>
      <w:pPr>
        <w:pStyle w:val="3"/>
        <w:numPr>
          <w:ilvl w:val="0"/>
          <w:numId w:val="17"/>
        </w:numPr>
        <w:spacing w:before="0" w:after="0" w:line="360" w:lineRule="auto"/>
        <w:ind w:left="0" w:firstLine="420"/>
        <w:outlineLvl w:val="2"/>
        <w:rPr>
          <w:rFonts w:ascii="宋体" w:hAnsi="宋体" w:eastAsia="宋体" w:cs="宋体"/>
          <w:sz w:val="21"/>
          <w:szCs w:val="21"/>
        </w:rPr>
      </w:pPr>
      <w:r>
        <w:rPr>
          <w:rFonts w:hint="eastAsia" w:ascii="宋体" w:hAnsi="宋体" w:eastAsia="宋体" w:cs="宋体"/>
          <w:sz w:val="21"/>
          <w:szCs w:val="21"/>
        </w:rPr>
        <w:t>实施的时间和地点</w:t>
      </w:r>
    </w:p>
    <w:p>
      <w:pPr>
        <w:numPr>
          <w:ilvl w:val="0"/>
          <w:numId w:val="18"/>
        </w:numPr>
        <w:spacing w:line="360" w:lineRule="auto"/>
        <w:rPr>
          <w:rFonts w:ascii="宋体" w:hAnsi="宋体" w:cs="宋体"/>
          <w:szCs w:val="21"/>
        </w:rPr>
      </w:pPr>
      <w:r>
        <w:rPr>
          <w:rFonts w:hint="eastAsia" w:ascii="宋体" w:hAnsi="宋体" w:cs="宋体"/>
          <w:szCs w:val="21"/>
        </w:rPr>
        <w:t>交付的期限：合同签订后15个工作日内到货并完成设备安装调试。</w:t>
      </w:r>
    </w:p>
    <w:p>
      <w:pPr>
        <w:numPr>
          <w:ilvl w:val="0"/>
          <w:numId w:val="18"/>
        </w:numPr>
        <w:spacing w:line="360" w:lineRule="auto"/>
        <w:rPr>
          <w:rFonts w:ascii="宋体" w:hAnsi="宋体" w:cs="宋体"/>
          <w:szCs w:val="21"/>
        </w:rPr>
      </w:pPr>
      <w:r>
        <w:rPr>
          <w:rFonts w:hint="eastAsia" w:ascii="宋体" w:hAnsi="宋体" w:cs="宋体"/>
          <w:szCs w:val="21"/>
        </w:rPr>
        <w:t>交付的地点：广东省卫生健康委员会事务中心（广东省广州市越秀区先烈南路17号）</w:t>
      </w:r>
    </w:p>
    <w:p>
      <w:pPr>
        <w:numPr>
          <w:ilvl w:val="0"/>
          <w:numId w:val="18"/>
        </w:numPr>
        <w:spacing w:line="360" w:lineRule="auto"/>
        <w:rPr>
          <w:rFonts w:ascii="宋体" w:hAnsi="宋体" w:cs="宋体"/>
          <w:b/>
          <w:bCs/>
          <w:szCs w:val="21"/>
        </w:rPr>
      </w:pPr>
      <w:r>
        <w:rPr>
          <w:rFonts w:hint="eastAsia" w:ascii="仿宋_GB2312" w:hAnsi="仿宋_GB2312" w:eastAsia="仿宋_GB2312" w:cs="仿宋_GB2312"/>
          <w:b/>
          <w:bCs/>
          <w:szCs w:val="21"/>
          <w:lang w:val="en-US" w:eastAsia="zh-CN"/>
        </w:rPr>
        <w:t>★</w:t>
      </w:r>
      <w:r>
        <w:rPr>
          <w:rFonts w:hint="eastAsia" w:ascii="宋体" w:hAnsi="宋体" w:cs="宋体"/>
          <w:b/>
          <w:bCs/>
          <w:szCs w:val="21"/>
        </w:rPr>
        <w:t>现场实施工程师</w:t>
      </w:r>
      <w:r>
        <w:rPr>
          <w:rFonts w:hint="eastAsia" w:ascii="宋体" w:hAnsi="宋体" w:cs="宋体"/>
          <w:b/>
          <w:bCs/>
          <w:szCs w:val="21"/>
          <w:lang w:eastAsia="zh-CN"/>
        </w:rPr>
        <w:t>须</w:t>
      </w:r>
      <w:r>
        <w:rPr>
          <w:rFonts w:hint="eastAsia" w:ascii="宋体" w:hAnsi="宋体" w:cs="宋体"/>
          <w:b/>
          <w:bCs/>
          <w:szCs w:val="21"/>
        </w:rPr>
        <w:t>具备高级电工证。</w:t>
      </w:r>
    </w:p>
    <w:p>
      <w:pPr>
        <w:pageBreakBefore w:val="0"/>
        <w:widowControl w:val="0"/>
        <w:numPr>
          <w:ilvl w:val="0"/>
          <w:numId w:val="18"/>
        </w:numPr>
        <w:kinsoku/>
        <w:wordWrap/>
        <w:overflowPunct/>
        <w:topLinePunct w:val="0"/>
        <w:autoSpaceDE/>
        <w:autoSpaceDN/>
        <w:bidi w:val="0"/>
        <w:adjustRightInd/>
        <w:snapToGrid/>
        <w:spacing w:line="360" w:lineRule="auto"/>
        <w:textAlignment w:val="auto"/>
        <w:rPr>
          <w:rFonts w:ascii="宋体" w:hAnsi="宋体" w:cs="宋体"/>
          <w:color w:val="000000" w:themeColor="text1"/>
          <w:szCs w:val="21"/>
          <w14:textFill>
            <w14:solidFill>
              <w14:schemeClr w14:val="tx1"/>
            </w14:solidFill>
          </w14:textFill>
        </w:rPr>
      </w:pPr>
      <w:r>
        <w:rPr>
          <w:rFonts w:hint="eastAsia" w:ascii="仿宋_GB2312" w:hAnsi="仿宋_GB2312" w:eastAsia="仿宋_GB2312" w:cs="仿宋_GB2312"/>
          <w:b/>
          <w:bCs/>
          <w:szCs w:val="21"/>
          <w:lang w:val="en-US" w:eastAsia="zh-CN"/>
        </w:rPr>
        <w:t>★</w:t>
      </w:r>
      <w:r>
        <w:rPr>
          <w:rFonts w:hint="eastAsia" w:ascii="宋体" w:hAnsi="宋体" w:cs="宋体"/>
          <w:b/>
          <w:bCs/>
          <w:color w:val="000000" w:themeColor="text1"/>
          <w:szCs w:val="21"/>
          <w14:textFill>
            <w14:solidFill>
              <w14:schemeClr w14:val="tx1"/>
            </w14:solidFill>
          </w14:textFill>
        </w:rPr>
        <w:t>进场施工工程师</w:t>
      </w:r>
      <w:r>
        <w:rPr>
          <w:rFonts w:hint="eastAsia" w:ascii="宋体" w:hAnsi="宋体" w:cs="宋体"/>
          <w:b/>
          <w:bCs/>
          <w:color w:val="000000" w:themeColor="text1"/>
          <w:szCs w:val="21"/>
          <w:lang w:eastAsia="zh-CN"/>
          <w14:textFill>
            <w14:solidFill>
              <w14:schemeClr w14:val="tx1"/>
            </w14:solidFill>
          </w14:textFill>
        </w:rPr>
        <w:t>须具有</w:t>
      </w:r>
      <w:r>
        <w:rPr>
          <w:rFonts w:hint="eastAsia" w:ascii="宋体" w:hAnsi="宋体" w:cs="宋体"/>
          <w:b/>
          <w:bCs/>
          <w:color w:val="000000" w:themeColor="text1"/>
          <w:szCs w:val="21"/>
          <w14:textFill>
            <w14:solidFill>
              <w14:schemeClr w14:val="tx1"/>
            </w14:solidFill>
          </w14:textFill>
        </w:rPr>
        <w:t>意外伤害保险责任险（团体五类高风险职业,保额不低于60万元）</w:t>
      </w:r>
      <w:r>
        <w:rPr>
          <w:rFonts w:hint="eastAsia" w:ascii="宋体" w:hAnsi="宋体" w:cs="宋体"/>
          <w:color w:val="000000" w:themeColor="text1"/>
          <w:szCs w:val="21"/>
          <w:lang w:eastAsia="zh-CN"/>
          <w14:textFill>
            <w14:solidFill>
              <w14:schemeClr w14:val="tx1"/>
            </w14:solidFill>
          </w14:textFill>
        </w:rPr>
        <w:t>。</w:t>
      </w:r>
    </w:p>
    <w:p>
      <w:pPr>
        <w:pStyle w:val="3"/>
        <w:numPr>
          <w:ilvl w:val="0"/>
          <w:numId w:val="17"/>
        </w:numPr>
        <w:spacing w:before="0" w:after="0" w:line="360" w:lineRule="auto"/>
        <w:ind w:firstLine="420"/>
        <w:outlineLvl w:val="2"/>
        <w:rPr>
          <w:rFonts w:hint="eastAsia" w:ascii="宋体" w:hAnsi="宋体" w:eastAsia="宋体" w:cs="宋体"/>
          <w:b/>
          <w:bCs/>
          <w:sz w:val="21"/>
          <w:szCs w:val="21"/>
        </w:rPr>
      </w:pPr>
      <w:r>
        <w:rPr>
          <w:rFonts w:hint="eastAsia" w:ascii="宋体" w:hAnsi="宋体" w:eastAsia="宋体" w:cs="宋体"/>
          <w:b/>
          <w:bCs/>
          <w:sz w:val="21"/>
          <w:szCs w:val="21"/>
        </w:rPr>
        <w:t>设备到货验收</w:t>
      </w:r>
    </w:p>
    <w:p>
      <w:pPr>
        <w:pageBreakBefore w:val="0"/>
        <w:widowControl w:val="0"/>
        <w:numPr>
          <w:ilvl w:val="0"/>
          <w:numId w:val="19"/>
        </w:numPr>
        <w:kinsoku/>
        <w:wordWrap/>
        <w:overflowPunct/>
        <w:topLinePunct w:val="0"/>
        <w:autoSpaceDE/>
        <w:autoSpaceDN/>
        <w:bidi w:val="0"/>
        <w:adjustRightInd/>
        <w:snapToGrid/>
        <w:spacing w:line="360" w:lineRule="auto"/>
        <w:ind w:left="210" w:firstLine="0"/>
        <w:textAlignment w:val="auto"/>
        <w:rPr>
          <w:rFonts w:ascii="宋体" w:hAnsi="宋体" w:cs="宋体"/>
          <w:szCs w:val="21"/>
        </w:rPr>
      </w:pPr>
      <w:r>
        <w:rPr>
          <w:rFonts w:hint="eastAsia" w:ascii="宋体" w:hAnsi="宋体" w:cs="宋体"/>
          <w:szCs w:val="21"/>
        </w:rPr>
        <w:t>要求对全部设备、产品、型号、规格、数量、外型、外观、包装及资料、文件（如装箱单、保修单、随箱介质等）的验收。</w:t>
      </w:r>
    </w:p>
    <w:p>
      <w:pPr>
        <w:numPr>
          <w:ilvl w:val="0"/>
          <w:numId w:val="19"/>
        </w:numPr>
        <w:spacing w:line="360" w:lineRule="auto"/>
        <w:ind w:left="210" w:firstLine="0"/>
        <w:rPr>
          <w:rFonts w:ascii="宋体" w:hAnsi="宋体" w:cs="宋体"/>
          <w:szCs w:val="21"/>
        </w:rPr>
      </w:pPr>
      <w:r>
        <w:rPr>
          <w:rFonts w:hint="eastAsia" w:ascii="宋体" w:hAnsi="宋体" w:cs="宋体"/>
          <w:szCs w:val="21"/>
        </w:rPr>
        <w:t>凡列入《中华人民共和国实施强制性产品认证的产品目录》的产品在验收时出具 CCC 认证证书复印件，并以在产品外部加施认证标志作为验收依据之一。</w:t>
      </w:r>
    </w:p>
    <w:p>
      <w:pPr>
        <w:numPr>
          <w:ilvl w:val="0"/>
          <w:numId w:val="19"/>
        </w:numPr>
        <w:spacing w:line="360" w:lineRule="auto"/>
        <w:ind w:left="210" w:firstLine="0"/>
        <w:rPr>
          <w:rFonts w:ascii="宋体" w:hAnsi="宋体" w:cs="宋体"/>
          <w:szCs w:val="21"/>
        </w:rPr>
      </w:pPr>
      <w:r>
        <w:rPr>
          <w:rFonts w:hint="eastAsia" w:ascii="宋体" w:hAnsi="宋体" w:cs="宋体"/>
          <w:szCs w:val="21"/>
        </w:rPr>
        <w:t>供应商应负责在项目验收时将系统的全部有关产品说明书、原厂家安装手册、技术文件、资料、安装文档、电路图纸、验收报告等文档汇集成册交付采购人。</w:t>
      </w:r>
    </w:p>
    <w:p>
      <w:pPr>
        <w:pStyle w:val="3"/>
        <w:numPr>
          <w:ilvl w:val="0"/>
          <w:numId w:val="17"/>
        </w:numPr>
        <w:spacing w:before="0" w:after="0" w:line="360" w:lineRule="auto"/>
        <w:ind w:left="0" w:firstLine="420"/>
        <w:outlineLvl w:val="2"/>
        <w:rPr>
          <w:rFonts w:ascii="宋体" w:hAnsi="宋体" w:eastAsia="宋体" w:cs="宋体"/>
          <w:sz w:val="21"/>
          <w:szCs w:val="21"/>
        </w:rPr>
      </w:pPr>
      <w:r>
        <w:rPr>
          <w:rFonts w:hint="eastAsia" w:ascii="宋体" w:hAnsi="宋体" w:eastAsia="宋体" w:cs="宋体"/>
          <w:sz w:val="21"/>
          <w:szCs w:val="21"/>
        </w:rPr>
        <w:t>测试和整体验收</w:t>
      </w:r>
    </w:p>
    <w:p>
      <w:pPr>
        <w:spacing w:line="360" w:lineRule="auto"/>
        <w:ind w:firstLine="420" w:firstLineChars="200"/>
        <w:rPr>
          <w:rFonts w:ascii="宋体" w:hAnsi="宋体" w:cs="宋体"/>
          <w:szCs w:val="21"/>
        </w:rPr>
      </w:pPr>
      <w:r>
        <w:rPr>
          <w:rFonts w:hint="eastAsia" w:ascii="宋体" w:hAnsi="宋体" w:cs="宋体"/>
          <w:szCs w:val="21"/>
        </w:rPr>
        <w:t>设备安装完成后，供应商提出验收申请，由采购人组织验收，对设备性能、安装要求、功能等逐一检测，所有设备检测正常运行后，整体验收通过。</w:t>
      </w:r>
    </w:p>
    <w:p>
      <w:pPr>
        <w:pStyle w:val="3"/>
        <w:numPr>
          <w:ilvl w:val="0"/>
          <w:numId w:val="17"/>
        </w:numPr>
        <w:spacing w:before="0" w:after="0" w:line="360" w:lineRule="auto"/>
        <w:ind w:left="0" w:firstLine="420"/>
        <w:outlineLvl w:val="2"/>
        <w:rPr>
          <w:rFonts w:ascii="宋体" w:hAnsi="宋体" w:eastAsia="宋体" w:cs="宋体"/>
          <w:sz w:val="21"/>
          <w:szCs w:val="21"/>
        </w:rPr>
      </w:pPr>
      <w:r>
        <w:rPr>
          <w:rFonts w:hint="eastAsia" w:ascii="宋体" w:hAnsi="宋体" w:eastAsia="宋体" w:cs="宋体"/>
          <w:sz w:val="21"/>
          <w:szCs w:val="21"/>
        </w:rPr>
        <w:t>技术支持售后服务</w:t>
      </w:r>
    </w:p>
    <w:p>
      <w:pPr>
        <w:numPr>
          <w:ilvl w:val="0"/>
          <w:numId w:val="20"/>
        </w:numPr>
        <w:spacing w:line="360" w:lineRule="auto"/>
        <w:ind w:left="210" w:firstLine="0"/>
        <w:rPr>
          <w:rFonts w:ascii="宋体" w:hAnsi="宋体" w:cs="宋体"/>
          <w:szCs w:val="21"/>
        </w:rPr>
      </w:pPr>
      <w:r>
        <w:rPr>
          <w:rFonts w:hint="eastAsia" w:ascii="宋体" w:hAnsi="宋体" w:cs="宋体"/>
          <w:szCs w:val="21"/>
        </w:rPr>
        <w:t>供应商应设立相应的技术支持及售后服务网点，确保设备使用地点的用户能够得到及时优质的售后服务。</w:t>
      </w:r>
    </w:p>
    <w:p>
      <w:pPr>
        <w:numPr>
          <w:ilvl w:val="0"/>
          <w:numId w:val="20"/>
        </w:numPr>
        <w:spacing w:line="360" w:lineRule="auto"/>
        <w:ind w:left="210" w:firstLine="0"/>
        <w:rPr>
          <w:rFonts w:ascii="宋体" w:hAnsi="宋体" w:cs="宋体"/>
          <w:szCs w:val="21"/>
        </w:rPr>
      </w:pPr>
      <w:r>
        <w:rPr>
          <w:rFonts w:hint="eastAsia" w:ascii="宋体" w:hAnsi="宋体" w:cs="宋体"/>
          <w:szCs w:val="21"/>
        </w:rPr>
        <w:t>设备在安装调试、现场测试、试运行、终验后的保修期内及在保修期满后，因系统设计技术、设备质量等问题而影响系统正常运行或出现用户无法自行处理的问题，供应商必须提供及时的技术支持。</w:t>
      </w:r>
    </w:p>
    <w:p>
      <w:pPr>
        <w:numPr>
          <w:ilvl w:val="0"/>
          <w:numId w:val="20"/>
        </w:numPr>
        <w:spacing w:line="360" w:lineRule="auto"/>
        <w:ind w:left="210" w:firstLine="0"/>
        <w:rPr>
          <w:rFonts w:ascii="宋体" w:hAnsi="宋体" w:cs="宋体"/>
          <w:szCs w:val="21"/>
        </w:rPr>
      </w:pPr>
      <w:r>
        <w:rPr>
          <w:rFonts w:hint="eastAsia" w:ascii="宋体" w:hAnsi="宋体" w:cs="宋体"/>
          <w:szCs w:val="21"/>
        </w:rPr>
        <w:t>供应商应提供</w:t>
      </w:r>
      <w:r>
        <w:rPr>
          <w:rFonts w:hint="eastAsia" w:ascii="宋体" w:hAnsi="宋体" w:cs="宋体"/>
          <w:b/>
          <w:bCs/>
          <w:szCs w:val="21"/>
        </w:rPr>
        <w:t>3年</w:t>
      </w:r>
      <w:r>
        <w:rPr>
          <w:rFonts w:hint="eastAsia" w:ascii="宋体" w:hAnsi="宋体" w:cs="宋体"/>
          <w:szCs w:val="21"/>
        </w:rPr>
        <w:t>的保修期（从设备终验合格之日起）。保修期内电池出现质量问题免费更换。</w:t>
      </w:r>
      <w:r>
        <w:rPr>
          <w:rFonts w:hint="eastAsia" w:ascii="宋体" w:hAnsi="宋体" w:cs="宋体"/>
          <w:b/>
          <w:bCs/>
          <w:szCs w:val="21"/>
        </w:rPr>
        <w:t>3年</w:t>
      </w:r>
      <w:r>
        <w:rPr>
          <w:rFonts w:hint="eastAsia" w:ascii="宋体" w:hAnsi="宋体" w:cs="宋体"/>
          <w:szCs w:val="21"/>
        </w:rPr>
        <w:t>内每年提供</w:t>
      </w:r>
      <w:r>
        <w:rPr>
          <w:rFonts w:hint="eastAsia" w:ascii="宋体" w:hAnsi="宋体" w:cs="宋体"/>
          <w:b/>
          <w:bCs/>
          <w:szCs w:val="21"/>
        </w:rPr>
        <w:t>2次</w:t>
      </w:r>
      <w:r>
        <w:rPr>
          <w:rFonts w:hint="eastAsia" w:ascii="宋体" w:hAnsi="宋体" w:cs="宋体"/>
          <w:szCs w:val="21"/>
        </w:rPr>
        <w:t>巡检和保养，并提供报告。</w:t>
      </w:r>
    </w:p>
    <w:p>
      <w:pPr>
        <w:numPr>
          <w:ilvl w:val="0"/>
          <w:numId w:val="20"/>
        </w:numPr>
        <w:spacing w:line="360" w:lineRule="auto"/>
        <w:ind w:left="210" w:firstLine="0"/>
        <w:outlineLvl w:val="3"/>
        <w:rPr>
          <w:rFonts w:ascii="宋体" w:hAnsi="宋体" w:cs="宋体"/>
          <w:szCs w:val="21"/>
        </w:rPr>
      </w:pPr>
      <w:r>
        <w:rPr>
          <w:rFonts w:hint="eastAsia" w:ascii="宋体" w:hAnsi="宋体" w:cs="宋体"/>
          <w:szCs w:val="21"/>
        </w:rPr>
        <w:t>供应商在保修期内，应根据用户要求进行软件修改和版本更新。</w:t>
      </w:r>
    </w:p>
    <w:p>
      <w:pPr>
        <w:numPr>
          <w:ilvl w:val="0"/>
          <w:numId w:val="20"/>
        </w:numPr>
        <w:spacing w:line="360" w:lineRule="auto"/>
        <w:ind w:left="210" w:firstLine="0"/>
        <w:rPr>
          <w:rFonts w:ascii="宋体" w:hAnsi="宋体" w:cs="宋体"/>
          <w:szCs w:val="21"/>
        </w:rPr>
      </w:pPr>
      <w:r>
        <w:rPr>
          <w:rFonts w:hint="eastAsia" w:ascii="宋体" w:hAnsi="宋体" w:cs="宋体"/>
          <w:szCs w:val="21"/>
        </w:rPr>
        <w:t>在保修期内，提供7*24小时售后服务，系统设备如有重大故障，供应商接到用户故障电话后，必须在</w:t>
      </w:r>
      <w:r>
        <w:rPr>
          <w:rFonts w:hint="eastAsia" w:ascii="宋体" w:hAnsi="宋体" w:cs="宋体"/>
          <w:b/>
          <w:bCs/>
          <w:szCs w:val="21"/>
        </w:rPr>
        <w:t>2</w:t>
      </w:r>
      <w:r>
        <w:rPr>
          <w:rFonts w:hint="eastAsia" w:ascii="宋体" w:hAnsi="宋体" w:cs="宋体"/>
          <w:szCs w:val="21"/>
        </w:rPr>
        <w:t>小时内赶到现场并排除故障。</w:t>
      </w:r>
    </w:p>
    <w:p>
      <w:pPr>
        <w:pStyle w:val="3"/>
        <w:numPr>
          <w:ilvl w:val="0"/>
          <w:numId w:val="17"/>
        </w:numPr>
        <w:spacing w:before="0" w:after="0" w:line="360" w:lineRule="auto"/>
        <w:ind w:left="0" w:firstLine="420" w:firstLineChars="0"/>
        <w:outlineLvl w:val="2"/>
        <w:rPr>
          <w:rFonts w:ascii="宋体" w:hAnsi="宋体" w:eastAsia="宋体" w:cs="宋体"/>
          <w:sz w:val="21"/>
          <w:szCs w:val="21"/>
        </w:rPr>
      </w:pPr>
      <w:r>
        <w:rPr>
          <w:rFonts w:hint="eastAsia" w:ascii="宋体" w:hAnsi="宋体" w:eastAsia="宋体" w:cs="宋体"/>
          <w:sz w:val="21"/>
          <w:szCs w:val="21"/>
        </w:rPr>
        <w:t>技术培训</w:t>
      </w:r>
    </w:p>
    <w:p>
      <w:pPr>
        <w:spacing w:line="360" w:lineRule="auto"/>
        <w:ind w:firstLine="369" w:firstLineChars="176"/>
        <w:rPr>
          <w:rFonts w:ascii="宋体" w:hAnsi="宋体" w:cs="宋体"/>
          <w:szCs w:val="21"/>
        </w:rPr>
      </w:pPr>
      <w:r>
        <w:rPr>
          <w:rFonts w:hint="eastAsia" w:ascii="宋体" w:hAnsi="宋体" w:cs="宋体"/>
          <w:szCs w:val="21"/>
        </w:rPr>
        <w:t>为保证设备正常工作，供应商应负责培训用户维护人员，使维护工作人员能完全熟悉并掌握软硬件维护技能，及时排除一般的设备故障。培训内容包括以下几个方面：</w:t>
      </w:r>
    </w:p>
    <w:p>
      <w:pPr>
        <w:spacing w:line="360" w:lineRule="auto"/>
        <w:ind w:firstLine="369" w:firstLineChars="176"/>
        <w:rPr>
          <w:rFonts w:ascii="宋体" w:hAnsi="宋体" w:cs="宋体"/>
          <w:szCs w:val="21"/>
        </w:rPr>
      </w:pPr>
      <w:r>
        <w:rPr>
          <w:rFonts w:hint="eastAsia" w:ascii="宋体" w:hAnsi="宋体" w:cs="宋体"/>
          <w:szCs w:val="21"/>
        </w:rPr>
        <w:t>（1）为维护及安装工作所必须的相关文件的讲解。</w:t>
      </w:r>
    </w:p>
    <w:p>
      <w:pPr>
        <w:spacing w:line="360" w:lineRule="auto"/>
        <w:ind w:firstLine="369" w:firstLineChars="176"/>
        <w:rPr>
          <w:rFonts w:ascii="宋体" w:hAnsi="宋体" w:cs="宋体"/>
          <w:szCs w:val="21"/>
        </w:rPr>
      </w:pPr>
      <w:r>
        <w:rPr>
          <w:rFonts w:hint="eastAsia" w:ascii="宋体" w:hAnsi="宋体" w:cs="宋体"/>
          <w:szCs w:val="21"/>
        </w:rPr>
        <w:t>（2）设备的安装和测试。</w:t>
      </w:r>
    </w:p>
    <w:p>
      <w:pPr>
        <w:spacing w:line="360" w:lineRule="auto"/>
        <w:ind w:firstLine="369" w:firstLineChars="176"/>
        <w:rPr>
          <w:rFonts w:ascii="宋体" w:hAnsi="宋体" w:cs="宋体"/>
          <w:szCs w:val="21"/>
        </w:rPr>
      </w:pPr>
      <w:r>
        <w:rPr>
          <w:rFonts w:hint="eastAsia" w:ascii="宋体" w:hAnsi="宋体" w:cs="宋体"/>
          <w:szCs w:val="21"/>
        </w:rPr>
        <w:t>（3）设备的操作和维护。</w:t>
      </w:r>
    </w:p>
    <w:p>
      <w:pPr>
        <w:spacing w:line="360" w:lineRule="auto"/>
        <w:ind w:firstLine="369" w:firstLineChars="176"/>
        <w:rPr>
          <w:rFonts w:ascii="宋体" w:hAnsi="宋体" w:cs="宋体"/>
          <w:szCs w:val="21"/>
        </w:rPr>
      </w:pPr>
      <w:r>
        <w:rPr>
          <w:rFonts w:hint="eastAsia" w:ascii="宋体" w:hAnsi="宋体" w:cs="宋体"/>
          <w:szCs w:val="21"/>
        </w:rPr>
        <w:t>（4）硬件电路结构和原理。</w:t>
      </w:r>
    </w:p>
    <w:p>
      <w:pPr>
        <w:pStyle w:val="5"/>
        <w:numPr>
          <w:ilvl w:val="0"/>
          <w:numId w:val="13"/>
        </w:numPr>
        <w:tabs>
          <w:tab w:val="left" w:pos="420"/>
          <w:tab w:val="left" w:pos="540"/>
        </w:tabs>
        <w:adjustRightInd w:val="0"/>
        <w:snapToGrid w:val="0"/>
        <w:spacing w:line="360" w:lineRule="auto"/>
        <w:outlineLvl w:val="1"/>
        <w:rPr>
          <w:rFonts w:hAnsi="宋体" w:cs="宋体"/>
          <w:b/>
          <w:bCs/>
          <w:sz w:val="21"/>
        </w:rPr>
      </w:pPr>
      <w:r>
        <w:rPr>
          <w:rFonts w:hint="eastAsia" w:hAnsi="宋体" w:cs="宋体"/>
          <w:b/>
          <w:bCs/>
          <w:sz w:val="21"/>
        </w:rPr>
        <w:t>付款方式</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合同签订后，供应商提交支付申请，开具相当于合同总价</w:t>
      </w:r>
      <w:r>
        <w:rPr>
          <w:rFonts w:hint="eastAsia" w:ascii="宋体" w:hAnsi="宋体" w:cs="宋体"/>
          <w:szCs w:val="21"/>
          <w:lang w:val="en-US" w:eastAsia="zh-CN"/>
        </w:rPr>
        <w:t>90%</w:t>
      </w:r>
      <w:r>
        <w:rPr>
          <w:rFonts w:hint="eastAsia" w:ascii="宋体" w:hAnsi="宋体" w:cs="宋体"/>
          <w:szCs w:val="21"/>
        </w:rPr>
        <w:t>的增值税普通发票，采购人于10个工作日内向供应商支付</w:t>
      </w:r>
      <w:r>
        <w:rPr>
          <w:rFonts w:hint="eastAsia" w:ascii="宋体" w:hAnsi="宋体" w:cs="宋体"/>
          <w:szCs w:val="21"/>
          <w:lang w:eastAsia="zh-CN"/>
        </w:rPr>
        <w:t>相应金额的</w:t>
      </w:r>
      <w:r>
        <w:rPr>
          <w:rFonts w:hint="eastAsia" w:ascii="宋体" w:hAnsi="宋体" w:cs="宋体"/>
          <w:szCs w:val="21"/>
        </w:rPr>
        <w:t>合同款。</w:t>
      </w:r>
    </w:p>
    <w:p>
      <w:pPr>
        <w:numPr>
          <w:ins w:id="0" w:author="Jacky [2]" w:date=""/>
        </w:numPr>
        <w:spacing w:line="360" w:lineRule="auto"/>
      </w:pPr>
      <w:r>
        <w:rPr>
          <w:rFonts w:hint="eastAsia"/>
          <w:lang w:val="en-US" w:eastAsia="zh-CN"/>
        </w:rPr>
        <w:t xml:space="preserve">    2.项目实施结束并通过采购人组织的验收后，供应商提交支付申请，开具相当于合同总价10%的增值税普通发票，采购人于10个工作日内向供应商支付相应金额的合同款。</w:t>
      </w:r>
    </w:p>
    <w:p>
      <w:pPr>
        <w:spacing w:line="360" w:lineRule="auto"/>
        <w:rPr>
          <w:rFonts w:ascii="宋体" w:hAnsi="宋体"/>
          <w:color w:val="000000"/>
        </w:rPr>
      </w:pPr>
      <w:r>
        <w:rPr>
          <w:rFonts w:hint="eastAsia" w:ascii="宋体" w:hAnsi="宋体"/>
          <w:color w:val="000000"/>
        </w:rPr>
        <w:br w:type="page"/>
      </w:r>
    </w:p>
    <w:p>
      <w:pPr>
        <w:pStyle w:val="10"/>
        <w:spacing w:before="0" w:after="0" w:line="360" w:lineRule="auto"/>
        <w:rPr>
          <w:rFonts w:ascii="宋体" w:hAnsi="宋体"/>
          <w:color w:val="000000"/>
        </w:rPr>
      </w:pPr>
      <w:r>
        <w:rPr>
          <w:rFonts w:hint="eastAsia" w:ascii="宋体" w:hAnsi="宋体"/>
          <w:color w:val="000000"/>
        </w:rPr>
        <w:t>第三章 报价附件</w:t>
      </w:r>
    </w:p>
    <w:p>
      <w:pPr>
        <w:pStyle w:val="3"/>
        <w:spacing w:before="0" w:after="0" w:line="360" w:lineRule="auto"/>
        <w:jc w:val="center"/>
        <w:rPr>
          <w:rFonts w:ascii="宋体" w:hAnsi="宋体" w:eastAsia="宋体"/>
          <w:color w:val="000000"/>
        </w:rPr>
      </w:pPr>
      <w:r>
        <w:rPr>
          <w:rFonts w:hint="eastAsia" w:ascii="宋体" w:hAnsi="宋体" w:eastAsia="宋体"/>
          <w:color w:val="000000"/>
        </w:rPr>
        <w:t>报价表</w:t>
      </w:r>
    </w:p>
    <w:tbl>
      <w:tblPr>
        <w:tblStyle w:val="12"/>
        <w:tblW w:w="49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1"/>
        <w:gridCol w:w="770"/>
        <w:gridCol w:w="1919"/>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937" w:type="pct"/>
            <w:shd w:val="clear" w:color="auto" w:fill="auto"/>
            <w:vAlign w:val="center"/>
          </w:tcPr>
          <w:p>
            <w:pPr>
              <w:spacing w:line="360" w:lineRule="auto"/>
              <w:jc w:val="center"/>
              <w:rPr>
                <w:rFonts w:ascii="宋体" w:hAnsi="宋体"/>
                <w:b/>
                <w:szCs w:val="21"/>
              </w:rPr>
            </w:pPr>
            <w:r>
              <w:rPr>
                <w:rFonts w:hint="eastAsia" w:ascii="宋体" w:hAnsi="宋体"/>
                <w:b/>
                <w:szCs w:val="21"/>
              </w:rPr>
              <w:t>项目</w:t>
            </w:r>
          </w:p>
        </w:tc>
        <w:tc>
          <w:tcPr>
            <w:tcW w:w="456" w:type="pct"/>
            <w:shd w:val="clear" w:color="auto" w:fill="auto"/>
            <w:vAlign w:val="center"/>
          </w:tcPr>
          <w:p>
            <w:pPr>
              <w:spacing w:line="360" w:lineRule="auto"/>
              <w:jc w:val="center"/>
              <w:rPr>
                <w:rFonts w:ascii="宋体" w:hAnsi="宋体"/>
                <w:b/>
                <w:szCs w:val="21"/>
              </w:rPr>
            </w:pPr>
            <w:r>
              <w:rPr>
                <w:rFonts w:hint="eastAsia" w:ascii="宋体" w:hAnsi="宋体"/>
                <w:b/>
                <w:szCs w:val="21"/>
              </w:rPr>
              <w:t>数量</w:t>
            </w:r>
          </w:p>
        </w:tc>
        <w:tc>
          <w:tcPr>
            <w:tcW w:w="1137" w:type="pct"/>
            <w:shd w:val="clear" w:color="auto" w:fill="auto"/>
            <w:vAlign w:val="center"/>
          </w:tcPr>
          <w:p>
            <w:pPr>
              <w:spacing w:line="360" w:lineRule="auto"/>
              <w:jc w:val="center"/>
              <w:rPr>
                <w:rFonts w:ascii="宋体" w:hAnsi="宋体"/>
                <w:b/>
                <w:szCs w:val="21"/>
              </w:rPr>
            </w:pPr>
            <w:r>
              <w:rPr>
                <w:rFonts w:hint="eastAsia" w:ascii="宋体" w:hAnsi="宋体" w:cs="宋体"/>
                <w:b/>
                <w:color w:val="000000"/>
                <w:szCs w:val="21"/>
              </w:rPr>
              <w:t>最高限价（含税）</w:t>
            </w:r>
          </w:p>
        </w:tc>
        <w:tc>
          <w:tcPr>
            <w:tcW w:w="734" w:type="pct"/>
            <w:vAlign w:val="center"/>
          </w:tcPr>
          <w:p>
            <w:pPr>
              <w:spacing w:line="360" w:lineRule="auto"/>
              <w:jc w:val="center"/>
              <w:rPr>
                <w:rFonts w:ascii="宋体" w:hAnsi="宋体"/>
                <w:b/>
                <w:szCs w:val="21"/>
              </w:rPr>
            </w:pPr>
            <w:r>
              <w:rPr>
                <w:rFonts w:ascii="宋体" w:hAnsi="宋体"/>
                <w:b/>
                <w:szCs w:val="21"/>
              </w:rPr>
              <w:t>报价</w:t>
            </w:r>
            <w:r>
              <w:rPr>
                <w:rFonts w:hint="eastAsia" w:ascii="宋体" w:hAnsi="宋体"/>
                <w:b/>
                <w:szCs w:val="21"/>
              </w:rPr>
              <w:t>（元）</w:t>
            </w:r>
          </w:p>
        </w:tc>
        <w:tc>
          <w:tcPr>
            <w:tcW w:w="734" w:type="pct"/>
            <w:vAlign w:val="center"/>
          </w:tcPr>
          <w:p>
            <w:pPr>
              <w:spacing w:line="360" w:lineRule="auto"/>
              <w:jc w:val="center"/>
              <w:rPr>
                <w:rFonts w:ascii="宋体" w:hAnsi="宋体"/>
                <w:b/>
                <w:szCs w:val="21"/>
              </w:rPr>
            </w:pPr>
            <w:r>
              <w:rPr>
                <w:rFonts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937" w:type="pct"/>
            <w:shd w:val="clear" w:color="auto" w:fill="auto"/>
            <w:vAlign w:val="center"/>
          </w:tcPr>
          <w:p>
            <w:pPr>
              <w:spacing w:line="360" w:lineRule="auto"/>
              <w:jc w:val="center"/>
            </w:pPr>
            <w:r>
              <w:rPr>
                <w:rFonts w:hint="eastAsia" w:ascii="宋体" w:hAnsi="宋体" w:cs="宋体"/>
                <w:bCs/>
                <w:szCs w:val="21"/>
              </w:rPr>
              <w:t>UPS故障维修服务（2个故障模块）</w:t>
            </w:r>
          </w:p>
        </w:tc>
        <w:tc>
          <w:tcPr>
            <w:tcW w:w="456" w:type="pct"/>
            <w:shd w:val="clear" w:color="auto" w:fill="auto"/>
            <w:noWrap/>
            <w:vAlign w:val="center"/>
          </w:tcPr>
          <w:p>
            <w:pPr>
              <w:spacing w:line="360" w:lineRule="auto"/>
              <w:jc w:val="center"/>
              <w:rPr>
                <w:rFonts w:ascii="宋体" w:hAnsi="宋体"/>
                <w:szCs w:val="21"/>
              </w:rPr>
            </w:pPr>
            <w:r>
              <w:rPr>
                <w:rFonts w:hint="eastAsia" w:ascii="宋体" w:hAnsi="宋体"/>
                <w:szCs w:val="21"/>
              </w:rPr>
              <w:t>1项</w:t>
            </w:r>
          </w:p>
        </w:tc>
        <w:tc>
          <w:tcPr>
            <w:tcW w:w="1137" w:type="pct"/>
            <w:shd w:val="clear" w:color="auto" w:fill="auto"/>
            <w:vAlign w:val="center"/>
          </w:tcPr>
          <w:p>
            <w:pPr>
              <w:keepNext/>
              <w:adjustRightInd w:val="0"/>
              <w:spacing w:line="360" w:lineRule="auto"/>
              <w:jc w:val="center"/>
              <w:textAlignment w:val="center"/>
              <w:rPr>
                <w:rFonts w:ascii="宋体" w:hAnsi="宋体"/>
                <w:szCs w:val="21"/>
              </w:rPr>
            </w:pPr>
            <w:r>
              <w:rPr>
                <w:rFonts w:hint="eastAsia" w:ascii="宋体" w:hAnsi="宋体"/>
                <w:szCs w:val="21"/>
              </w:rPr>
              <w:t>--</w:t>
            </w:r>
          </w:p>
        </w:tc>
        <w:tc>
          <w:tcPr>
            <w:tcW w:w="734" w:type="pct"/>
            <w:vAlign w:val="center"/>
          </w:tcPr>
          <w:p>
            <w:pPr>
              <w:spacing w:line="360" w:lineRule="auto"/>
              <w:jc w:val="center"/>
              <w:rPr>
                <w:rFonts w:ascii="宋体" w:hAnsi="宋体"/>
                <w:szCs w:val="21"/>
              </w:rPr>
            </w:pPr>
          </w:p>
        </w:tc>
        <w:tc>
          <w:tcPr>
            <w:tcW w:w="734" w:type="pc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937" w:type="pct"/>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UPS电池(含3年保修服务）</w:t>
            </w:r>
          </w:p>
        </w:tc>
        <w:tc>
          <w:tcPr>
            <w:tcW w:w="456" w:type="pct"/>
            <w:shd w:val="clear" w:color="auto" w:fill="auto"/>
            <w:noWrap/>
            <w:vAlign w:val="center"/>
          </w:tcPr>
          <w:p>
            <w:pPr>
              <w:spacing w:line="360" w:lineRule="auto"/>
              <w:jc w:val="center"/>
              <w:rPr>
                <w:rFonts w:ascii="宋体" w:hAnsi="宋体"/>
                <w:szCs w:val="21"/>
              </w:rPr>
            </w:pPr>
            <w:r>
              <w:rPr>
                <w:rFonts w:hint="eastAsia" w:ascii="宋体" w:hAnsi="宋体"/>
                <w:szCs w:val="21"/>
              </w:rPr>
              <w:t>128块</w:t>
            </w:r>
          </w:p>
        </w:tc>
        <w:tc>
          <w:tcPr>
            <w:tcW w:w="1137" w:type="pct"/>
            <w:shd w:val="clear" w:color="auto" w:fill="auto"/>
            <w:vAlign w:val="center"/>
          </w:tcPr>
          <w:p>
            <w:pPr>
              <w:keepNext/>
              <w:adjustRightInd w:val="0"/>
              <w:spacing w:line="360" w:lineRule="auto"/>
              <w:jc w:val="center"/>
              <w:textAlignment w:val="center"/>
              <w:rPr>
                <w:rFonts w:ascii="宋体" w:hAnsi="宋体" w:cs="宋体"/>
                <w:bCs/>
                <w:color w:val="000000"/>
                <w:szCs w:val="21"/>
              </w:rPr>
            </w:pPr>
            <w:r>
              <w:rPr>
                <w:rFonts w:hint="eastAsia" w:ascii="宋体" w:hAnsi="宋体" w:cs="宋体"/>
                <w:bCs/>
                <w:color w:val="000000"/>
                <w:szCs w:val="21"/>
              </w:rPr>
              <w:t>--</w:t>
            </w:r>
          </w:p>
        </w:tc>
        <w:tc>
          <w:tcPr>
            <w:tcW w:w="734" w:type="pct"/>
            <w:vAlign w:val="center"/>
          </w:tcPr>
          <w:p>
            <w:pPr>
              <w:spacing w:line="360" w:lineRule="auto"/>
              <w:jc w:val="center"/>
              <w:rPr>
                <w:rFonts w:ascii="宋体" w:hAnsi="宋体"/>
                <w:szCs w:val="21"/>
              </w:rPr>
            </w:pPr>
          </w:p>
        </w:tc>
        <w:tc>
          <w:tcPr>
            <w:tcW w:w="734" w:type="pc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937" w:type="pct"/>
            <w:shd w:val="clear" w:color="auto" w:fill="auto"/>
            <w:vAlign w:val="center"/>
          </w:tcPr>
          <w:p>
            <w:pPr>
              <w:spacing w:line="360" w:lineRule="auto"/>
              <w:jc w:val="center"/>
              <w:rPr>
                <w:rFonts w:ascii="宋体" w:hAnsi="宋体" w:cs="宋体"/>
                <w:bCs/>
                <w:szCs w:val="21"/>
              </w:rPr>
            </w:pPr>
            <w:r>
              <w:rPr>
                <w:rFonts w:hint="eastAsia" w:ascii="宋体" w:hAnsi="宋体" w:cs="宋体"/>
                <w:bCs/>
                <w:szCs w:val="21"/>
              </w:rPr>
              <w:t>其他服务</w:t>
            </w:r>
          </w:p>
          <w:p>
            <w:pPr>
              <w:spacing w:line="360" w:lineRule="auto"/>
              <w:jc w:val="center"/>
              <w:rPr>
                <w:rFonts w:ascii="宋体" w:hAnsi="宋体" w:cs="宋体"/>
                <w:bCs/>
                <w:szCs w:val="21"/>
              </w:rPr>
            </w:pPr>
            <w:r>
              <w:rPr>
                <w:rFonts w:hint="eastAsia" w:ascii="宋体" w:hAnsi="宋体" w:cs="宋体"/>
                <w:bCs/>
                <w:szCs w:val="21"/>
              </w:rPr>
              <w:t>（运输、安装调试</w:t>
            </w:r>
            <w:r>
              <w:rPr>
                <w:rFonts w:hint="eastAsia" w:ascii="宋体" w:hAnsi="宋体" w:cs="宋体"/>
                <w:bCs/>
                <w:szCs w:val="21"/>
                <w:lang w:eastAsia="zh-CN"/>
              </w:rPr>
              <w:t>等</w:t>
            </w:r>
            <w:r>
              <w:rPr>
                <w:rFonts w:hint="eastAsia" w:ascii="宋体" w:hAnsi="宋体" w:cs="宋体"/>
                <w:bCs/>
                <w:szCs w:val="21"/>
              </w:rPr>
              <w:t>）</w:t>
            </w:r>
          </w:p>
        </w:tc>
        <w:tc>
          <w:tcPr>
            <w:tcW w:w="456" w:type="pct"/>
            <w:shd w:val="clear" w:color="auto" w:fill="auto"/>
            <w:noWrap/>
            <w:vAlign w:val="center"/>
          </w:tcPr>
          <w:p>
            <w:pPr>
              <w:spacing w:line="360" w:lineRule="auto"/>
              <w:jc w:val="center"/>
              <w:rPr>
                <w:rFonts w:ascii="宋体" w:hAnsi="宋体"/>
                <w:szCs w:val="21"/>
              </w:rPr>
            </w:pPr>
            <w:r>
              <w:rPr>
                <w:rFonts w:hint="eastAsia" w:ascii="宋体" w:hAnsi="宋体"/>
                <w:szCs w:val="21"/>
              </w:rPr>
              <w:t>1</w:t>
            </w:r>
          </w:p>
        </w:tc>
        <w:tc>
          <w:tcPr>
            <w:tcW w:w="1137" w:type="pct"/>
            <w:shd w:val="clear" w:color="auto" w:fill="auto"/>
            <w:vAlign w:val="center"/>
          </w:tcPr>
          <w:p>
            <w:pPr>
              <w:keepNext/>
              <w:adjustRightInd w:val="0"/>
              <w:spacing w:line="360" w:lineRule="auto"/>
              <w:jc w:val="center"/>
              <w:textAlignment w:val="center"/>
              <w:rPr>
                <w:rFonts w:ascii="宋体" w:hAnsi="宋体" w:cs="宋体"/>
                <w:bCs/>
                <w:color w:val="000000"/>
                <w:szCs w:val="21"/>
              </w:rPr>
            </w:pPr>
            <w:r>
              <w:rPr>
                <w:rFonts w:hint="eastAsia" w:ascii="宋体" w:hAnsi="宋体" w:cs="宋体"/>
                <w:bCs/>
                <w:color w:val="000000"/>
                <w:szCs w:val="21"/>
              </w:rPr>
              <w:t>--</w:t>
            </w:r>
          </w:p>
        </w:tc>
        <w:tc>
          <w:tcPr>
            <w:tcW w:w="734" w:type="pct"/>
            <w:vAlign w:val="center"/>
          </w:tcPr>
          <w:p>
            <w:pPr>
              <w:spacing w:line="360" w:lineRule="auto"/>
              <w:jc w:val="center"/>
              <w:rPr>
                <w:rFonts w:ascii="宋体" w:hAnsi="宋体"/>
                <w:szCs w:val="21"/>
              </w:rPr>
            </w:pPr>
          </w:p>
        </w:tc>
        <w:tc>
          <w:tcPr>
            <w:tcW w:w="734" w:type="pc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2393" w:type="pct"/>
            <w:gridSpan w:val="2"/>
            <w:shd w:val="clear" w:color="auto" w:fill="auto"/>
            <w:vAlign w:val="center"/>
          </w:tcPr>
          <w:p>
            <w:pPr>
              <w:spacing w:line="360" w:lineRule="auto"/>
              <w:jc w:val="center"/>
              <w:rPr>
                <w:rFonts w:ascii="宋体" w:hAnsi="宋体"/>
                <w:szCs w:val="21"/>
              </w:rPr>
            </w:pPr>
            <w:r>
              <w:rPr>
                <w:rFonts w:hint="eastAsia" w:ascii="宋体" w:hAnsi="宋体"/>
                <w:szCs w:val="21"/>
              </w:rPr>
              <w:t>合计</w:t>
            </w:r>
          </w:p>
        </w:tc>
        <w:tc>
          <w:tcPr>
            <w:tcW w:w="1137" w:type="pct"/>
            <w:shd w:val="clear" w:color="auto" w:fill="auto"/>
            <w:vAlign w:val="center"/>
          </w:tcPr>
          <w:p>
            <w:pPr>
              <w:keepNext/>
              <w:adjustRightInd w:val="0"/>
              <w:spacing w:line="360" w:lineRule="auto"/>
              <w:jc w:val="center"/>
              <w:textAlignment w:val="center"/>
              <w:rPr>
                <w:rFonts w:ascii="宋体" w:hAnsi="宋体"/>
                <w:szCs w:val="21"/>
              </w:rPr>
            </w:pPr>
            <w:r>
              <w:rPr>
                <w:rFonts w:hint="eastAsia" w:ascii="宋体" w:hAnsi="宋体" w:cs="宋体"/>
                <w:bCs/>
                <w:color w:val="000000"/>
                <w:szCs w:val="21"/>
              </w:rPr>
              <w:t>人民币</w:t>
            </w:r>
            <w:r>
              <w:rPr>
                <w:rFonts w:hint="eastAsia" w:ascii="宋体" w:hAnsi="宋体" w:cs="宋体"/>
                <w:bCs/>
                <w:szCs w:val="21"/>
                <w:u w:val="single"/>
              </w:rPr>
              <w:t>180000</w:t>
            </w:r>
            <w:r>
              <w:rPr>
                <w:rFonts w:hint="eastAsia" w:ascii="宋体" w:hAnsi="宋体" w:cs="宋体"/>
                <w:bCs/>
                <w:color w:val="000000"/>
                <w:szCs w:val="21"/>
              </w:rPr>
              <w:t>元</w:t>
            </w:r>
          </w:p>
        </w:tc>
        <w:tc>
          <w:tcPr>
            <w:tcW w:w="734" w:type="pct"/>
            <w:vAlign w:val="center"/>
          </w:tcPr>
          <w:p>
            <w:pPr>
              <w:spacing w:line="360" w:lineRule="auto"/>
              <w:jc w:val="center"/>
              <w:rPr>
                <w:rFonts w:ascii="宋体" w:hAnsi="宋体"/>
                <w:szCs w:val="21"/>
              </w:rPr>
            </w:pPr>
          </w:p>
        </w:tc>
        <w:tc>
          <w:tcPr>
            <w:tcW w:w="734" w:type="pct"/>
            <w:vAlign w:val="center"/>
          </w:tcPr>
          <w:p>
            <w:pPr>
              <w:spacing w:line="360" w:lineRule="auto"/>
              <w:jc w:val="center"/>
              <w:rPr>
                <w:rFonts w:ascii="宋体" w:hAnsi="宋体"/>
                <w:szCs w:val="21"/>
              </w:rPr>
            </w:pPr>
          </w:p>
        </w:tc>
      </w:tr>
    </w:tbl>
    <w:p>
      <w:pPr>
        <w:spacing w:line="360" w:lineRule="auto"/>
        <w:rPr>
          <w:rFonts w:ascii="宋体" w:hAnsi="宋体"/>
          <w:b/>
          <w:color w:val="000000"/>
          <w:spacing w:val="4"/>
          <w:szCs w:val="21"/>
        </w:rPr>
      </w:pPr>
    </w:p>
    <w:p>
      <w:pPr>
        <w:spacing w:line="360" w:lineRule="auto"/>
        <w:rPr>
          <w:rFonts w:ascii="宋体" w:hAnsi="宋体"/>
          <w:b/>
          <w:color w:val="000000"/>
          <w:spacing w:val="4"/>
          <w:szCs w:val="21"/>
        </w:rPr>
      </w:pPr>
      <w:r>
        <w:rPr>
          <w:rFonts w:hint="eastAsia" w:ascii="宋体" w:hAnsi="宋体"/>
          <w:b/>
          <w:color w:val="000000"/>
          <w:spacing w:val="4"/>
          <w:szCs w:val="21"/>
        </w:rPr>
        <w:t>注：</w:t>
      </w:r>
    </w:p>
    <w:p>
      <w:pPr>
        <w:pStyle w:val="9"/>
        <w:numPr>
          <w:ilvl w:val="0"/>
          <w:numId w:val="21"/>
        </w:numPr>
        <w:shd w:val="clear" w:color="auto" w:fill="FFFFFF"/>
        <w:spacing w:before="0" w:beforeAutospacing="0" w:after="0" w:afterAutospacing="0" w:line="360" w:lineRule="auto"/>
        <w:jc w:val="both"/>
        <w:rPr>
          <w:bCs/>
          <w:color w:val="000000"/>
          <w:sz w:val="21"/>
          <w:szCs w:val="21"/>
        </w:rPr>
      </w:pPr>
      <w:r>
        <w:rPr>
          <w:rFonts w:hint="eastAsia"/>
          <w:bCs/>
          <w:color w:val="000000"/>
          <w:sz w:val="21"/>
          <w:szCs w:val="21"/>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21"/>
        </w:numPr>
        <w:spacing w:line="360" w:lineRule="auto"/>
        <w:outlineLvl w:val="1"/>
        <w:rPr>
          <w:rFonts w:ascii="宋体" w:hAnsi="宋体"/>
          <w:bCs/>
          <w:color w:val="000000"/>
          <w:kern w:val="0"/>
        </w:rPr>
      </w:pPr>
      <w:r>
        <w:rPr>
          <w:rFonts w:hint="eastAsia" w:ascii="宋体" w:hAnsi="宋体" w:cs="宋体"/>
          <w:bCs/>
          <w:color w:val="000000"/>
          <w:kern w:val="0"/>
        </w:rPr>
        <w:t>所有价格均系用人民币表示，单位为元，均为含税价；</w:t>
      </w:r>
    </w:p>
    <w:p>
      <w:pPr>
        <w:widowControl/>
        <w:numPr>
          <w:ilvl w:val="0"/>
          <w:numId w:val="21"/>
        </w:numPr>
        <w:spacing w:line="360" w:lineRule="auto"/>
        <w:rPr>
          <w:rFonts w:ascii="宋体" w:hAnsi="宋体"/>
          <w:bCs/>
          <w:color w:val="000000"/>
          <w:kern w:val="0"/>
        </w:rPr>
      </w:pPr>
      <w:r>
        <w:rPr>
          <w:rFonts w:ascii="宋体" w:hAnsi="宋体" w:cs="宋体"/>
          <w:bCs/>
          <w:color w:val="000000"/>
          <w:kern w:val="0"/>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9"/>
        <w:numPr>
          <w:ilvl w:val="0"/>
          <w:numId w:val="21"/>
        </w:numPr>
        <w:shd w:val="clear" w:color="auto" w:fill="FFFFFF"/>
        <w:spacing w:before="0" w:beforeAutospacing="0" w:after="0" w:afterAutospacing="0" w:line="360" w:lineRule="auto"/>
        <w:jc w:val="both"/>
        <w:rPr>
          <w:color w:val="000000"/>
          <w:sz w:val="21"/>
          <w:szCs w:val="21"/>
        </w:rPr>
      </w:pPr>
      <w:r>
        <w:rPr>
          <w:rFonts w:hint="eastAsia"/>
          <w:color w:val="000000"/>
          <w:sz w:val="21"/>
          <w:szCs w:val="21"/>
        </w:rPr>
        <w:t>平台上报价与报价表合计不一致的，以报价表合计（经价格核准后的价格）为准。</w:t>
      </w:r>
    </w:p>
    <w:p>
      <w:pPr>
        <w:spacing w:line="360" w:lineRule="auto"/>
        <w:rPr>
          <w:rFonts w:ascii="宋体" w:hAnsi="宋体"/>
          <w:color w:val="000000"/>
          <w:spacing w:val="4"/>
          <w:szCs w:val="21"/>
        </w:rPr>
      </w:pPr>
    </w:p>
    <w:p>
      <w:pPr>
        <w:spacing w:line="360" w:lineRule="auto"/>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ascii="宋体" w:hAnsi="宋体"/>
          <w:color w:val="000000"/>
          <w:spacing w:val="4"/>
          <w:szCs w:val="21"/>
          <w:u w:val="single"/>
        </w:rPr>
        <w:t xml:space="preserve">                     </w:t>
      </w:r>
    </w:p>
    <w:p>
      <w:pPr>
        <w:spacing w:line="360" w:lineRule="auto"/>
        <w:ind w:firstLine="2125" w:firstLineChars="975"/>
        <w:rPr>
          <w:rFonts w:ascii="宋体" w:hAnsi="宋体"/>
          <w:color w:val="000000"/>
          <w:spacing w:val="4"/>
          <w:szCs w:val="21"/>
          <w:u w:val="single"/>
        </w:rPr>
      </w:pPr>
      <w:r>
        <w:rPr>
          <w:rFonts w:hint="eastAsia" w:ascii="宋体" w:hAnsi="宋体"/>
          <w:color w:val="000000"/>
          <w:spacing w:val="4"/>
          <w:szCs w:val="21"/>
        </w:rPr>
        <w:t>日期：</w:t>
      </w:r>
      <w:r>
        <w:rPr>
          <w:rFonts w:ascii="宋体" w:hAnsi="宋体"/>
          <w:color w:val="000000"/>
          <w:spacing w:val="4"/>
          <w:szCs w:val="21"/>
          <w:u w:val="single"/>
        </w:rPr>
        <w:t xml:space="preserve">  </w:t>
      </w:r>
      <w:r>
        <w:rPr>
          <w:rFonts w:hint="eastAsia" w:ascii="宋体" w:hAnsi="宋体"/>
          <w:color w:val="000000"/>
          <w:spacing w:val="4"/>
          <w:szCs w:val="21"/>
          <w:u w:val="single"/>
        </w:rPr>
        <w:t xml:space="preserve">                    </w:t>
      </w:r>
    </w:p>
    <w:p>
      <w:pPr>
        <w:pStyle w:val="3"/>
        <w:keepLines w:val="0"/>
        <w:spacing w:before="0" w:after="240" w:line="360" w:lineRule="auto"/>
        <w:jc w:val="center"/>
        <w:outlineLvl w:val="9"/>
        <w:rPr>
          <w:rFonts w:ascii="宋体" w:hAnsi="宋体" w:eastAsia="宋体"/>
          <w:color w:val="000000"/>
        </w:rPr>
        <w:sectPr>
          <w:pgSz w:w="11906" w:h="16838"/>
          <w:pgMar w:top="1440" w:right="1797" w:bottom="1440" w:left="1797" w:header="851" w:footer="992" w:gutter="0"/>
          <w:cols w:space="425" w:num="1"/>
          <w:docGrid w:linePitch="312" w:charSpace="0"/>
        </w:sectPr>
      </w:pPr>
    </w:p>
    <w:p>
      <w:pPr>
        <w:pStyle w:val="3"/>
        <w:keepLines w:val="0"/>
        <w:spacing w:before="0" w:after="240" w:line="360" w:lineRule="auto"/>
        <w:jc w:val="center"/>
        <w:outlineLvl w:val="2"/>
        <w:rPr>
          <w:rFonts w:ascii="宋体" w:hAnsi="宋体" w:eastAsia="宋体"/>
          <w:color w:val="000000"/>
        </w:rPr>
      </w:pPr>
      <w:r>
        <w:rPr>
          <w:rFonts w:hint="eastAsia" w:ascii="宋体" w:hAnsi="宋体" w:eastAsia="宋体"/>
          <w:color w:val="000000"/>
        </w:rPr>
        <w:t>用户需求书响应声明函</w:t>
      </w:r>
    </w:p>
    <w:p>
      <w:pPr>
        <w:autoSpaceDE w:val="0"/>
        <w:autoSpaceDN w:val="0"/>
        <w:adjustRightInd w:val="0"/>
        <w:spacing w:before="240" w:afterLines="100" w:line="360" w:lineRule="auto"/>
        <w:jc w:val="left"/>
        <w:rPr>
          <w:rFonts w:ascii="宋体" w:hAnsi="宋体"/>
          <w:b/>
          <w:kern w:val="0"/>
          <w:szCs w:val="21"/>
        </w:rPr>
      </w:pPr>
      <w:r>
        <w:rPr>
          <w:rFonts w:hint="eastAsia" w:ascii="宋体" w:hAnsi="宋体"/>
          <w:b/>
          <w:kern w:val="0"/>
          <w:szCs w:val="21"/>
        </w:rPr>
        <w:t>致：广东省卫生健康委员会事务中心、</w:t>
      </w:r>
      <w:r>
        <w:rPr>
          <w:rFonts w:ascii="宋体" w:hAnsi="宋体"/>
          <w:b/>
          <w:kern w:val="0"/>
          <w:szCs w:val="21"/>
        </w:rPr>
        <w:t>采联国际招标采购集团有限公司</w:t>
      </w:r>
    </w:p>
    <w:p>
      <w:pPr>
        <w:snapToGrid w:val="0"/>
        <w:spacing w:line="360" w:lineRule="auto"/>
        <w:ind w:firstLine="420" w:firstLineChars="200"/>
        <w:rPr>
          <w:rFonts w:ascii="宋体" w:hAnsi="宋体"/>
          <w:color w:val="000000"/>
          <w:szCs w:val="21"/>
        </w:rPr>
      </w:pPr>
      <w:r>
        <w:rPr>
          <w:rFonts w:hint="eastAsia" w:ascii="宋体" w:hAnsi="宋体"/>
          <w:color w:val="000000"/>
          <w:szCs w:val="21"/>
        </w:rPr>
        <w:t>关于贵单位、贵司发布</w:t>
      </w:r>
      <w:r>
        <w:rPr>
          <w:rFonts w:hint="eastAsia" w:ascii="宋体" w:hAnsi="宋体"/>
          <w:b/>
          <w:bCs/>
          <w:color w:val="000000"/>
          <w:szCs w:val="21"/>
          <w:u w:val="single"/>
        </w:rPr>
        <w:t xml:space="preserve"> </w:t>
      </w:r>
      <w:r>
        <w:rPr>
          <w:rFonts w:hint="eastAsia" w:ascii="宋体" w:hAnsi="宋体" w:cs="宋体"/>
          <w:b/>
          <w:bCs/>
          <w:szCs w:val="21"/>
          <w:u w:val="single"/>
        </w:rPr>
        <w:t>广东省卫生健康委事务中心机房UPS维修和电池更换采购项目</w:t>
      </w:r>
      <w:r>
        <w:rPr>
          <w:rFonts w:hint="eastAsia" w:ascii="宋体" w:hAnsi="宋体"/>
          <w:b/>
          <w:bCs/>
          <w:color w:val="000000"/>
          <w:szCs w:val="21"/>
          <w:u w:val="single"/>
        </w:rPr>
        <w:t xml:space="preserve"> </w:t>
      </w:r>
      <w:r>
        <w:rPr>
          <w:rFonts w:hint="eastAsia" w:ascii="宋体" w:hAnsi="宋体"/>
          <w:color w:val="000000"/>
          <w:szCs w:val="21"/>
        </w:rPr>
        <w:t>的竞价公告，本公司（企业）愿意参加采购活动，并作出如下声明：</w:t>
      </w:r>
    </w:p>
    <w:p>
      <w:pPr>
        <w:pStyle w:val="27"/>
        <w:tabs>
          <w:tab w:val="left" w:pos="426"/>
        </w:tabs>
        <w:snapToGrid w:val="0"/>
        <w:spacing w:line="360" w:lineRule="auto"/>
        <w:rPr>
          <w:rFonts w:ascii="宋体" w:hAnsi="宋体"/>
          <w:color w:val="000000"/>
        </w:rPr>
      </w:pPr>
      <w:r>
        <w:rPr>
          <w:rFonts w:hint="eastAsia" w:ascii="宋体" w:hAnsi="宋体"/>
          <w:color w:val="000000"/>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27"/>
        <w:tabs>
          <w:tab w:val="left" w:pos="426"/>
        </w:tabs>
        <w:snapToGrid w:val="0"/>
        <w:spacing w:line="360" w:lineRule="auto"/>
        <w:rPr>
          <w:rFonts w:ascii="宋体" w:hAnsi="宋体"/>
          <w:color w:val="000000"/>
        </w:rPr>
      </w:pPr>
      <w:r>
        <w:rPr>
          <w:rFonts w:hint="eastAsia" w:ascii="宋体" w:hAnsi="宋体"/>
          <w:color w:val="000000"/>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b/>
          <w:color w:val="000000"/>
        </w:rPr>
      </w:pPr>
    </w:p>
    <w:p>
      <w:pPr>
        <w:autoSpaceDE w:val="0"/>
        <w:autoSpaceDN w:val="0"/>
        <w:adjustRightInd w:val="0"/>
        <w:spacing w:line="360" w:lineRule="auto"/>
        <w:ind w:firstLine="413" w:firstLineChars="196"/>
        <w:rPr>
          <w:rFonts w:ascii="宋体" w:hAnsi="宋体"/>
          <w:b/>
          <w:color w:val="000000"/>
        </w:rPr>
      </w:pPr>
      <w:r>
        <w:rPr>
          <w:rFonts w:hint="eastAsia" w:ascii="宋体" w:hAnsi="宋体"/>
          <w:b/>
          <w:color w:val="000000"/>
        </w:rPr>
        <w:t>备注：</w:t>
      </w:r>
    </w:p>
    <w:p>
      <w:pPr>
        <w:pStyle w:val="22"/>
        <w:numPr>
          <w:ilvl w:val="0"/>
          <w:numId w:val="22"/>
        </w:numPr>
        <w:autoSpaceDE w:val="0"/>
        <w:autoSpaceDN w:val="0"/>
        <w:adjustRightInd w:val="0"/>
        <w:spacing w:line="360" w:lineRule="auto"/>
        <w:ind w:left="1196" w:hanging="357" w:firstLineChars="0"/>
        <w:rPr>
          <w:rFonts w:ascii="宋体" w:hAnsi="宋体"/>
          <w:color w:val="000000"/>
        </w:rPr>
      </w:pPr>
      <w:r>
        <w:rPr>
          <w:rFonts w:hint="eastAsia" w:ascii="宋体" w:hAnsi="宋体"/>
          <w:color w:val="000000"/>
        </w:rPr>
        <w:t>本声明函必须提供且内容不得擅自删改，否则视为响应无效。</w:t>
      </w:r>
    </w:p>
    <w:p>
      <w:pPr>
        <w:pStyle w:val="22"/>
        <w:numPr>
          <w:ilvl w:val="0"/>
          <w:numId w:val="22"/>
        </w:numPr>
        <w:snapToGrid w:val="0"/>
        <w:spacing w:line="360" w:lineRule="auto"/>
        <w:ind w:left="1196" w:hanging="357" w:firstLineChars="0"/>
        <w:rPr>
          <w:rFonts w:ascii="宋体" w:hAnsi="宋体"/>
          <w:color w:val="000000"/>
          <w:szCs w:val="21"/>
        </w:rPr>
      </w:pPr>
      <w:r>
        <w:rPr>
          <w:rFonts w:hint="eastAsia" w:ascii="宋体" w:hAnsi="宋体"/>
          <w:color w:val="000000"/>
          <w:szCs w:val="21"/>
        </w:rPr>
        <w:t>本声明函如有虚假或与事实不符的，作无效报价处理。</w:t>
      </w:r>
    </w:p>
    <w:p>
      <w:pPr>
        <w:widowControl/>
        <w:spacing w:line="360" w:lineRule="auto"/>
        <w:jc w:val="left"/>
        <w:rPr>
          <w:rFonts w:ascii="宋体" w:hAnsi="宋体"/>
          <w:b/>
          <w:bCs/>
          <w:color w:val="000000"/>
          <w:kern w:val="0"/>
          <w:sz w:val="32"/>
          <w:szCs w:val="32"/>
        </w:rPr>
      </w:pPr>
    </w:p>
    <w:p>
      <w:pPr>
        <w:wordWrap w:val="0"/>
        <w:spacing w:line="360" w:lineRule="auto"/>
        <w:jc w:val="right"/>
        <w:rPr>
          <w:rFonts w:ascii="宋体" w:hAnsi="宋体"/>
          <w:color w:val="000000"/>
          <w:szCs w:val="21"/>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ascii="宋体" w:hAnsi="宋体"/>
          <w:color w:val="000000"/>
          <w:spacing w:val="4"/>
          <w:szCs w:val="21"/>
          <w:u w:val="single"/>
        </w:rPr>
        <w:tab/>
      </w:r>
      <w:r>
        <w:rPr>
          <w:rFonts w:ascii="宋体" w:hAnsi="宋体"/>
          <w:color w:val="000000"/>
          <w:spacing w:val="4"/>
          <w:szCs w:val="21"/>
          <w:u w:val="single"/>
        </w:rPr>
        <w:tab/>
      </w:r>
      <w:r>
        <w:rPr>
          <w:rFonts w:ascii="宋体" w:hAnsi="宋体"/>
          <w:color w:val="000000"/>
          <w:spacing w:val="4"/>
          <w:szCs w:val="21"/>
          <w:u w:val="single"/>
        </w:rPr>
        <w:tab/>
      </w:r>
      <w:r>
        <w:rPr>
          <w:rFonts w:ascii="宋体" w:hAnsi="宋体"/>
          <w:color w:val="000000"/>
          <w:spacing w:val="4"/>
          <w:szCs w:val="21"/>
          <w:u w:val="single"/>
        </w:rPr>
        <w:tab/>
      </w:r>
    </w:p>
    <w:p>
      <w:pPr>
        <w:spacing w:line="360" w:lineRule="auto"/>
        <w:ind w:firstLine="105" w:firstLineChars="50"/>
        <w:jc w:val="right"/>
        <w:rPr>
          <w:rFonts w:ascii="宋体" w:hAnsi="宋体"/>
          <w:color w:val="000000"/>
          <w:szCs w:val="21"/>
          <w:u w:val="single"/>
        </w:rPr>
      </w:pPr>
    </w:p>
    <w:p>
      <w:pPr>
        <w:spacing w:line="360" w:lineRule="auto"/>
        <w:jc w:val="right"/>
        <w:rPr>
          <w:rFonts w:ascii="宋体" w:hAnsi="宋体"/>
          <w:color w:val="000000"/>
          <w:spacing w:val="4"/>
          <w:szCs w:val="21"/>
          <w:u w:val="single"/>
        </w:rPr>
      </w:pPr>
      <w:r>
        <w:rPr>
          <w:rFonts w:hint="eastAsia" w:ascii="宋体" w:hAnsi="宋体"/>
          <w:color w:val="000000"/>
          <w:spacing w:val="4"/>
          <w:szCs w:val="21"/>
        </w:rPr>
        <w:t>日期：</w:t>
      </w:r>
      <w:r>
        <w:rPr>
          <w:rFonts w:ascii="宋体" w:hAnsi="宋体"/>
          <w:color w:val="000000"/>
          <w:spacing w:val="4"/>
          <w:szCs w:val="21"/>
          <w:u w:val="single"/>
        </w:rPr>
        <w:tab/>
      </w:r>
      <w:r>
        <w:rPr>
          <w:rFonts w:ascii="宋体" w:hAnsi="宋体"/>
          <w:color w:val="000000"/>
          <w:spacing w:val="4"/>
          <w:szCs w:val="21"/>
          <w:u w:val="single"/>
        </w:rPr>
        <w:tab/>
      </w:r>
      <w:r>
        <w:rPr>
          <w:rFonts w:ascii="宋体" w:hAnsi="宋体"/>
          <w:color w:val="000000"/>
          <w:spacing w:val="4"/>
          <w:szCs w:val="21"/>
          <w:u w:val="single"/>
        </w:rPr>
        <w:tab/>
      </w:r>
      <w:r>
        <w:rPr>
          <w:rFonts w:ascii="宋体" w:hAnsi="宋体"/>
          <w:color w:val="000000"/>
          <w:spacing w:val="4"/>
          <w:szCs w:val="21"/>
          <w:u w:val="single"/>
        </w:rPr>
        <w:tab/>
      </w:r>
      <w:r>
        <w:rPr>
          <w:rFonts w:hint="eastAsia" w:ascii="宋体" w:hAnsi="宋体"/>
          <w:color w:val="000000"/>
          <w:spacing w:val="4"/>
          <w:szCs w:val="21"/>
          <w:u w:val="single"/>
        </w:rPr>
        <w:t xml:space="preserve">          </w:t>
      </w:r>
    </w:p>
    <w:p>
      <w:pPr>
        <w:widowControl/>
        <w:jc w:val="left"/>
        <w:rPr>
          <w:rFonts w:ascii="宋体" w:hAnsi="宋体"/>
          <w:szCs w:val="21"/>
        </w:rPr>
      </w:pPr>
      <w:r>
        <w:rPr>
          <w:rFonts w:ascii="宋体" w:hAnsi="宋体"/>
          <w:szCs w:val="21"/>
        </w:rPr>
        <w:br w:type="page"/>
      </w:r>
    </w:p>
    <w:p>
      <w:pPr>
        <w:keepNext/>
        <w:keepLines/>
        <w:spacing w:before="260" w:after="260" w:line="360" w:lineRule="auto"/>
        <w:jc w:val="center"/>
        <w:outlineLvl w:val="1"/>
        <w:rPr>
          <w:rFonts w:ascii="宋体" w:hAnsi="宋体"/>
          <w:szCs w:val="21"/>
          <w:u w:val="single"/>
        </w:rPr>
      </w:pPr>
      <w:r>
        <w:rPr>
          <w:rFonts w:hint="eastAsia" w:ascii="宋体" w:hAnsi="宋体"/>
          <w:b/>
          <w:bCs/>
          <w:sz w:val="32"/>
          <w:szCs w:val="32"/>
        </w:rPr>
        <w:t>供应商资格声明函</w:t>
      </w:r>
    </w:p>
    <w:p>
      <w:pPr>
        <w:autoSpaceDE w:val="0"/>
        <w:autoSpaceDN w:val="0"/>
        <w:adjustRightInd w:val="0"/>
        <w:spacing w:before="240" w:afterLines="100" w:line="360" w:lineRule="auto"/>
        <w:jc w:val="left"/>
        <w:rPr>
          <w:rFonts w:ascii="宋体" w:hAnsi="宋体"/>
          <w:b/>
          <w:kern w:val="0"/>
          <w:szCs w:val="21"/>
        </w:rPr>
      </w:pPr>
      <w:r>
        <w:rPr>
          <w:rFonts w:hint="eastAsia" w:ascii="宋体" w:hAnsi="宋体"/>
          <w:b/>
          <w:kern w:val="0"/>
          <w:szCs w:val="21"/>
        </w:rPr>
        <w:t>致：</w:t>
      </w:r>
      <w:r>
        <w:rPr>
          <w:rFonts w:hint="eastAsia" w:ascii="宋体" w:hAnsi="宋体"/>
          <w:b/>
          <w:color w:val="000000"/>
          <w:szCs w:val="21"/>
        </w:rPr>
        <w:t>广东省卫生健康委员会事务中心</w:t>
      </w:r>
      <w:r>
        <w:rPr>
          <w:rFonts w:hint="eastAsia" w:ascii="宋体" w:hAnsi="宋体"/>
          <w:b/>
          <w:kern w:val="0"/>
          <w:szCs w:val="21"/>
        </w:rPr>
        <w:t>、采联国际招标采购集团有限公司</w:t>
      </w:r>
    </w:p>
    <w:p>
      <w:pPr>
        <w:snapToGrid w:val="0"/>
        <w:spacing w:line="360" w:lineRule="auto"/>
        <w:ind w:firstLine="424" w:firstLineChars="202"/>
        <w:rPr>
          <w:rFonts w:ascii="宋体" w:hAnsi="宋体"/>
          <w:szCs w:val="21"/>
        </w:rPr>
      </w:pPr>
      <w:r>
        <w:rPr>
          <w:rFonts w:hint="eastAsia" w:ascii="宋体" w:hAnsi="宋体" w:cs="宋体"/>
          <w:szCs w:val="21"/>
        </w:rPr>
        <w:t>关于贵单位、贵司发布</w:t>
      </w:r>
      <w:r>
        <w:rPr>
          <w:rFonts w:hint="eastAsia" w:ascii="宋体" w:hAnsi="宋体" w:cs="宋体"/>
          <w:szCs w:val="21"/>
          <w:u w:val="single"/>
        </w:rPr>
        <w:t xml:space="preserve"> </w:t>
      </w:r>
      <w:r>
        <w:rPr>
          <w:rFonts w:hint="eastAsia" w:ascii="宋体" w:hAnsi="宋体"/>
          <w:b/>
          <w:bCs/>
          <w:color w:val="000000"/>
          <w:szCs w:val="21"/>
          <w:u w:val="single"/>
        </w:rPr>
        <w:t xml:space="preserve"> </w:t>
      </w:r>
      <w:r>
        <w:rPr>
          <w:rFonts w:hint="eastAsia" w:ascii="宋体" w:hAnsi="宋体" w:cs="宋体"/>
          <w:b/>
          <w:bCs/>
          <w:szCs w:val="21"/>
          <w:u w:val="single"/>
        </w:rPr>
        <w:t>广东省卫生健康委事务中心机房UPS维修和电池更换采购项目</w:t>
      </w:r>
      <w:r>
        <w:rPr>
          <w:rFonts w:hint="eastAsia" w:ascii="宋体" w:hAnsi="宋体"/>
          <w:b/>
          <w:bCs/>
          <w:color w:val="000000"/>
          <w:szCs w:val="21"/>
          <w:u w:val="single"/>
        </w:rPr>
        <w:t xml:space="preserve"> </w:t>
      </w:r>
      <w:r>
        <w:rPr>
          <w:rFonts w:hint="eastAsia" w:ascii="宋体" w:hAnsi="宋体"/>
          <w:bCs/>
          <w:szCs w:val="21"/>
        </w:rPr>
        <w:t>的</w:t>
      </w:r>
      <w:r>
        <w:rPr>
          <w:rFonts w:hint="eastAsia" w:ascii="宋体" w:hAnsi="宋体"/>
          <w:szCs w:val="21"/>
        </w:rPr>
        <w:t>采购公告，本公司（企业）愿意参加竞价，并声明：</w:t>
      </w:r>
    </w:p>
    <w:p>
      <w:pPr>
        <w:snapToGrid w:val="0"/>
        <w:spacing w:line="360" w:lineRule="auto"/>
        <w:ind w:firstLine="420" w:firstLineChars="200"/>
        <w:rPr>
          <w:rFonts w:ascii="宋体" w:hAnsi="宋体"/>
          <w:bCs/>
          <w:szCs w:val="21"/>
        </w:rPr>
      </w:pPr>
      <w:r>
        <w:rPr>
          <w:rFonts w:hint="eastAsia" w:ascii="宋体" w:hAnsi="宋体"/>
          <w:szCs w:val="21"/>
        </w:rPr>
        <w:t>一、本公司（企业）</w:t>
      </w:r>
      <w:r>
        <w:rPr>
          <w:rFonts w:hint="eastAsia" w:ascii="宋体" w:hAnsi="宋体"/>
          <w:bCs/>
          <w:szCs w:val="21"/>
        </w:rPr>
        <w:t>具备《中华人民共和国政府采购法》第二十二条规定的条件：</w:t>
      </w:r>
    </w:p>
    <w:p>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360"/>
        <w:rPr>
          <w:rFonts w:ascii="宋体" w:hAnsi="宋体" w:cs="宋体"/>
          <w:kern w:val="0"/>
          <w:szCs w:val="21"/>
        </w:rPr>
      </w:pPr>
      <w:r>
        <w:rPr>
          <w:rFonts w:hint="eastAsia" w:ascii="宋体" w:hAnsi="宋体" w:cs="宋体"/>
          <w:kern w:val="0"/>
          <w:szCs w:val="21"/>
        </w:rPr>
        <w:t>（二）具有良好的商业信誉和健全的财务会计制度；</w:t>
      </w:r>
      <w:r>
        <w:rPr>
          <w:rFonts w:ascii="宋体" w:hAnsi="宋体" w:cs="宋体"/>
          <w:kern w:val="0"/>
          <w:szCs w:val="21"/>
        </w:rPr>
        <w:t xml:space="preserve"> </w:t>
      </w:r>
    </w:p>
    <w:p>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360"/>
        <w:outlineLvl w:val="2"/>
        <w:rPr>
          <w:rFonts w:ascii="宋体" w:hAnsi="宋体" w:cs="宋体"/>
          <w:kern w:val="0"/>
          <w:szCs w:val="21"/>
        </w:rPr>
      </w:pPr>
      <w:r>
        <w:rPr>
          <w:rFonts w:hint="eastAsia" w:ascii="宋体" w:hAnsi="宋体" w:cs="宋体"/>
          <w:kern w:val="0"/>
          <w:szCs w:val="21"/>
        </w:rPr>
        <w:t>（六）法律、行政法规规定的其他条件。</w:t>
      </w:r>
    </w:p>
    <w:p>
      <w:pPr>
        <w:snapToGrid w:val="0"/>
        <w:spacing w:line="360" w:lineRule="auto"/>
        <w:ind w:firstLine="424" w:firstLineChars="202"/>
        <w:outlineLvl w:val="3"/>
        <w:rPr>
          <w:rFonts w:ascii="宋体" w:hAnsi="宋体"/>
          <w:szCs w:val="21"/>
        </w:rPr>
      </w:pPr>
      <w:r>
        <w:rPr>
          <w:rFonts w:hint="eastAsia" w:ascii="宋体" w:hAnsi="宋体"/>
          <w:szCs w:val="21"/>
        </w:rPr>
        <w:t>二、本公司具有本次采购项目服务能力。</w:t>
      </w:r>
    </w:p>
    <w:p>
      <w:pPr>
        <w:snapToGrid w:val="0"/>
        <w:spacing w:line="360" w:lineRule="auto"/>
        <w:ind w:firstLine="424" w:firstLineChars="202"/>
        <w:rPr>
          <w:rFonts w:ascii="宋体" w:hAnsi="宋体"/>
          <w:szCs w:val="21"/>
        </w:rPr>
      </w:pPr>
      <w:r>
        <w:rPr>
          <w:rFonts w:hint="eastAsia" w:ascii="宋体" w:hAnsi="宋体"/>
          <w:szCs w:val="21"/>
        </w:rPr>
        <w:t>三、本公司有固定的经营场所，信誉良好、售后维护服务好，并且在经营活动中无严重违法记录。</w:t>
      </w:r>
    </w:p>
    <w:p>
      <w:pPr>
        <w:snapToGrid w:val="0"/>
        <w:spacing w:line="360" w:lineRule="auto"/>
        <w:ind w:firstLine="424" w:firstLineChars="202"/>
        <w:outlineLvl w:val="3"/>
        <w:rPr>
          <w:rFonts w:ascii="宋体" w:hAnsi="宋体"/>
          <w:szCs w:val="21"/>
        </w:rPr>
      </w:pPr>
      <w:r>
        <w:rPr>
          <w:rFonts w:hint="eastAsia" w:ascii="宋体" w:hAnsi="宋体"/>
          <w:szCs w:val="21"/>
        </w:rPr>
        <w:t>四、本公司在本项目中不转包不分包且不联合竞价。</w:t>
      </w:r>
    </w:p>
    <w:p>
      <w:pPr>
        <w:snapToGrid w:val="0"/>
        <w:spacing w:line="360" w:lineRule="auto"/>
        <w:ind w:firstLine="424" w:firstLineChars="202"/>
        <w:rPr>
          <w:rFonts w:ascii="宋体" w:hAnsi="宋体"/>
          <w:szCs w:val="21"/>
        </w:rPr>
      </w:pPr>
      <w:r>
        <w:rPr>
          <w:rFonts w:hint="eastAsia" w:ascii="宋体" w:hAnsi="宋体"/>
          <w:szCs w:val="21"/>
        </w:rPr>
        <w:t>五、本公司（企业）不与所参投的本项目其他供应商存在隶属关系或同属一母公司或法人。</w:t>
      </w:r>
    </w:p>
    <w:p>
      <w:pPr>
        <w:snapToGrid w:val="0"/>
        <w:spacing w:line="360" w:lineRule="auto"/>
        <w:ind w:firstLine="424" w:firstLineChars="202"/>
        <w:rPr>
          <w:rFonts w:ascii="宋体" w:hAnsi="宋体"/>
          <w:szCs w:val="21"/>
        </w:rPr>
      </w:pPr>
      <w:r>
        <w:rPr>
          <w:rFonts w:hint="eastAsia" w:ascii="宋体" w:hAnsi="宋体"/>
          <w:szCs w:val="21"/>
        </w:rPr>
        <w:t>本公司（企业）承诺在本次采购活动中，如有违法、违规、弄虚作假行为，所造成的损失、不良后果及法律责任，一律由我公司（企业）承担。</w:t>
      </w:r>
    </w:p>
    <w:p>
      <w:pPr>
        <w:spacing w:line="360" w:lineRule="auto"/>
        <w:ind w:firstLine="420"/>
        <w:rPr>
          <w:rFonts w:ascii="宋体" w:hAnsi="宋体"/>
          <w:szCs w:val="21"/>
        </w:rPr>
      </w:pPr>
      <w:r>
        <w:rPr>
          <w:rFonts w:hint="eastAsia" w:ascii="宋体" w:hAnsi="宋体"/>
          <w:szCs w:val="21"/>
        </w:rPr>
        <w:t>特此声明！</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numPr>
          <w:ilvl w:val="0"/>
          <w:numId w:val="23"/>
        </w:numPr>
        <w:tabs>
          <w:tab w:val="left" w:pos="1200"/>
        </w:tabs>
        <w:autoSpaceDE w:val="0"/>
        <w:autoSpaceDN w:val="0"/>
        <w:adjustRightInd w:val="0"/>
        <w:spacing w:line="360" w:lineRule="auto"/>
        <w:rPr>
          <w:rFonts w:ascii="宋体" w:hAnsi="宋体"/>
          <w:szCs w:val="21"/>
        </w:rPr>
      </w:pPr>
      <w:r>
        <w:rPr>
          <w:rFonts w:hint="eastAsia" w:ascii="宋体" w:hAnsi="宋体"/>
          <w:szCs w:val="21"/>
        </w:rPr>
        <w:t>本声明函必须提供且内容不得擅自删改，否则视为响应无效。</w:t>
      </w:r>
    </w:p>
    <w:p>
      <w:pPr>
        <w:numPr>
          <w:ilvl w:val="0"/>
          <w:numId w:val="23"/>
        </w:numPr>
        <w:tabs>
          <w:tab w:val="left" w:pos="1200"/>
        </w:tabs>
        <w:snapToGrid w:val="0"/>
        <w:spacing w:line="360" w:lineRule="auto"/>
        <w:rPr>
          <w:rFonts w:ascii="宋体" w:hAnsi="宋体"/>
          <w:szCs w:val="21"/>
        </w:rPr>
      </w:pPr>
      <w:r>
        <w:rPr>
          <w:rFonts w:hint="eastAsia" w:ascii="宋体" w:hAnsi="宋体"/>
          <w:szCs w:val="21"/>
        </w:rPr>
        <w:t>本声明函如有虚假或与事实不符的，作无效报价处理。</w:t>
      </w:r>
    </w:p>
    <w:p>
      <w:pPr>
        <w:pStyle w:val="22"/>
        <w:spacing w:line="360" w:lineRule="auto"/>
      </w:pPr>
    </w:p>
    <w:p>
      <w:pPr>
        <w:spacing w:line="360" w:lineRule="auto"/>
        <w:jc w:val="right"/>
        <w:rPr>
          <w:rFonts w:ascii="宋体" w:hAnsi="宋体" w:cs="宋体"/>
          <w:spacing w:val="4"/>
          <w:szCs w:val="21"/>
          <w:u w:val="single"/>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hint="eastAsia" w:ascii="宋体" w:hAnsi="宋体" w:cs="宋体"/>
          <w:spacing w:val="4"/>
          <w:szCs w:val="21"/>
          <w:u w:val="single"/>
        </w:rPr>
        <w:t xml:space="preserve"> </w:t>
      </w:r>
      <w:r>
        <w:rPr>
          <w:rFonts w:ascii="宋体" w:hAnsi="宋体" w:cs="宋体"/>
          <w:spacing w:val="4"/>
          <w:szCs w:val="21"/>
          <w:u w:val="single"/>
        </w:rPr>
        <w:t xml:space="preserve">      </w:t>
      </w:r>
    </w:p>
    <w:p>
      <w:pPr>
        <w:spacing w:line="360" w:lineRule="auto"/>
        <w:jc w:val="right"/>
        <w:rPr>
          <w:rFonts w:ascii="宋体" w:hAnsi="宋体"/>
          <w:szCs w:val="21"/>
          <w:u w:val="single"/>
        </w:rPr>
      </w:pPr>
    </w:p>
    <w:p>
      <w:pPr>
        <w:widowControl/>
        <w:jc w:val="left"/>
        <w:rPr>
          <w:rFonts w:ascii="宋体" w:hAnsi="宋体" w:cs="宋体"/>
          <w:spacing w:val="4"/>
          <w:szCs w:val="21"/>
          <w:u w:val="single"/>
        </w:rPr>
      </w:pPr>
      <w:r>
        <w:rPr>
          <w:rFonts w:hint="eastAsia" w:ascii="宋体" w:hAnsi="宋体" w:cs="宋体"/>
          <w:spacing w:val="4"/>
          <w:szCs w:val="21"/>
        </w:rPr>
        <w:t xml:space="preserve"> </w:t>
      </w:r>
      <w:r>
        <w:rPr>
          <w:rFonts w:ascii="宋体" w:hAnsi="宋体" w:cs="宋体"/>
          <w:spacing w:val="4"/>
          <w:szCs w:val="21"/>
        </w:rPr>
        <w:t xml:space="preserve">  </w:t>
      </w:r>
      <w:r>
        <w:rPr>
          <w:rFonts w:hint="eastAsia" w:ascii="宋体" w:hAnsi="宋体" w:cs="宋体"/>
          <w:spacing w:val="4"/>
          <w:szCs w:val="21"/>
        </w:rPr>
        <w:t xml:space="preserve">                                                  日期：</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hint="eastAsia" w:ascii="宋体" w:hAnsi="宋体" w:cs="宋体"/>
          <w:spacing w:val="4"/>
          <w:szCs w:val="21"/>
          <w:u w:val="single"/>
        </w:rPr>
        <w:t xml:space="preserve">  </w:t>
      </w:r>
    </w:p>
    <w:p>
      <w:pPr>
        <w:widowControl/>
        <w:jc w:val="left"/>
        <w:rPr>
          <w:rFonts w:ascii="宋体" w:hAnsi="宋体" w:cs="宋体"/>
          <w:spacing w:val="4"/>
          <w:szCs w:val="21"/>
        </w:rPr>
      </w:pPr>
      <w:r>
        <w:rPr>
          <w:rFonts w:ascii="宋体" w:hAnsi="宋体" w:cs="宋体"/>
          <w:spacing w:val="4"/>
          <w:szCs w:val="21"/>
        </w:rPr>
        <w:br w:type="page"/>
      </w:r>
    </w:p>
    <w:p>
      <w:pPr>
        <w:jc w:val="center"/>
        <w:outlineLvl w:val="0"/>
      </w:pPr>
      <w:r>
        <w:rPr>
          <w:rFonts w:hint="eastAsia" w:ascii="黑体" w:hAnsi="黑体" w:eastAsia="黑体" w:cs="方正小标宋简体"/>
          <w:sz w:val="44"/>
          <w:szCs w:val="44"/>
        </w:rPr>
        <w:t>现场勘查委托函</w:t>
      </w:r>
    </w:p>
    <w:p>
      <w:pPr>
        <w:spacing w:afterLines="100" w:line="360" w:lineRule="auto"/>
        <w:rPr>
          <w:rFonts w:ascii="宋体" w:hAnsi="宋体" w:cs="仿宋_GB2312"/>
          <w:sz w:val="15"/>
          <w:szCs w:val="15"/>
        </w:rPr>
      </w:pPr>
    </w:p>
    <w:p>
      <w:pPr>
        <w:spacing w:afterLines="100" w:line="360" w:lineRule="auto"/>
        <w:rPr>
          <w:rFonts w:ascii="宋体" w:hAnsi="宋体" w:cs="仿宋_GB2312"/>
          <w:sz w:val="32"/>
          <w:szCs w:val="32"/>
        </w:rPr>
      </w:pPr>
      <w:r>
        <w:rPr>
          <w:rFonts w:hint="eastAsia" w:ascii="宋体" w:hAnsi="宋体" w:cs="仿宋_GB2312"/>
          <w:sz w:val="32"/>
          <w:szCs w:val="32"/>
        </w:rPr>
        <w:t>广东省卫生健康委员会事务中心：</w:t>
      </w:r>
    </w:p>
    <w:p>
      <w:pPr>
        <w:spacing w:line="360" w:lineRule="auto"/>
        <w:ind w:firstLine="926" w:firstLineChars="331"/>
        <w:rPr>
          <w:rFonts w:ascii="宋体" w:hAnsi="宋体" w:cs="仿宋_GB2312"/>
          <w:sz w:val="28"/>
          <w:szCs w:val="28"/>
        </w:rPr>
      </w:pPr>
      <w:r>
        <w:rPr>
          <w:rFonts w:hint="eastAsia" w:ascii="宋体" w:hAnsi="宋体" w:cs="宋体"/>
          <w:sz w:val="28"/>
          <w:szCs w:val="28"/>
        </w:rPr>
        <w:t>按照贵单位机房UPS维修及电池更换需求</w:t>
      </w:r>
      <w:r>
        <w:rPr>
          <w:rFonts w:hint="eastAsia" w:ascii="宋体" w:hAnsi="宋体" w:cs="仿宋_GB2312"/>
          <w:sz w:val="28"/>
          <w:szCs w:val="28"/>
        </w:rPr>
        <w:t>，我公司定于</w:t>
      </w:r>
      <w:r>
        <w:rPr>
          <w:rFonts w:hint="eastAsia" w:ascii="宋体" w:hAnsi="宋体" w:cs="仿宋_GB2312"/>
          <w:sz w:val="28"/>
          <w:szCs w:val="28"/>
          <w:u w:val="single"/>
        </w:rPr>
        <w:t>2024</w:t>
      </w:r>
      <w:r>
        <w:rPr>
          <w:rFonts w:hint="eastAsia" w:ascii="宋体" w:hAnsi="宋体" w:cs="仿宋_GB2312"/>
          <w:sz w:val="28"/>
          <w:szCs w:val="28"/>
        </w:rPr>
        <w:t>年</w:t>
      </w:r>
      <w:r>
        <w:rPr>
          <w:rFonts w:hint="eastAsia" w:ascii="宋体" w:hAnsi="宋体" w:cs="仿宋_GB2312"/>
          <w:sz w:val="28"/>
          <w:szCs w:val="28"/>
          <w:u w:val="single"/>
        </w:rPr>
        <w:t xml:space="preserve">   </w:t>
      </w:r>
      <w:r>
        <w:rPr>
          <w:rFonts w:hint="eastAsia" w:ascii="宋体" w:hAnsi="宋体" w:cs="仿宋_GB2312"/>
          <w:sz w:val="28"/>
          <w:szCs w:val="28"/>
        </w:rPr>
        <w:t>月</w:t>
      </w:r>
      <w:r>
        <w:rPr>
          <w:rFonts w:hint="eastAsia" w:ascii="宋体" w:hAnsi="宋体" w:cs="仿宋_GB2312"/>
          <w:sz w:val="28"/>
          <w:szCs w:val="28"/>
          <w:u w:val="single"/>
        </w:rPr>
        <w:t xml:space="preserve">   </w:t>
      </w:r>
      <w:r>
        <w:rPr>
          <w:rFonts w:hint="eastAsia" w:ascii="宋体" w:hAnsi="宋体" w:cs="仿宋_GB2312"/>
          <w:sz w:val="28"/>
          <w:szCs w:val="28"/>
        </w:rPr>
        <w:t>日委托员工（姓名）</w:t>
      </w:r>
      <w:r>
        <w:rPr>
          <w:rFonts w:hint="eastAsia" w:ascii="宋体" w:hAnsi="宋体" w:cs="仿宋_GB2312"/>
          <w:sz w:val="28"/>
          <w:szCs w:val="28"/>
          <w:u w:val="single"/>
        </w:rPr>
        <w:t xml:space="preserve">           </w:t>
      </w:r>
      <w:r>
        <w:rPr>
          <w:rFonts w:hint="eastAsia" w:ascii="宋体" w:hAnsi="宋体" w:cs="仿宋_GB2312"/>
          <w:sz w:val="28"/>
          <w:szCs w:val="28"/>
        </w:rPr>
        <w:t>，身份证号</w:t>
      </w:r>
      <w:r>
        <w:rPr>
          <w:rFonts w:hint="eastAsia" w:ascii="宋体" w:hAnsi="宋体" w:cs="仿宋_GB2312"/>
          <w:sz w:val="28"/>
          <w:szCs w:val="28"/>
          <w:u w:val="single"/>
        </w:rPr>
        <w:t xml:space="preserve">   </w:t>
      </w:r>
      <w:r>
        <w:rPr>
          <w:rFonts w:hint="eastAsia" w:ascii="宋体" w:hAnsi="宋体" w:cs="仿宋_GB2312"/>
          <w:sz w:val="28"/>
          <w:szCs w:val="28"/>
          <w:u w:val="single"/>
          <w:lang w:val="en-US" w:eastAsia="zh-CN"/>
        </w:rPr>
        <w:t xml:space="preserve">    </w:t>
      </w:r>
      <w:r>
        <w:rPr>
          <w:rFonts w:hint="eastAsia" w:ascii="宋体" w:hAnsi="宋体" w:cs="仿宋_GB2312"/>
          <w:sz w:val="28"/>
          <w:szCs w:val="28"/>
          <w:u w:val="single"/>
        </w:rPr>
        <w:t xml:space="preserve">              </w:t>
      </w:r>
      <w:r>
        <w:rPr>
          <w:rFonts w:hint="eastAsia" w:ascii="宋体" w:hAnsi="宋体" w:cs="仿宋_GB2312"/>
          <w:sz w:val="28"/>
          <w:szCs w:val="28"/>
        </w:rPr>
        <w:t>，</w:t>
      </w:r>
      <w:r>
        <w:rPr>
          <w:rFonts w:hint="eastAsia" w:ascii="宋体" w:hAnsi="宋体" w:cs="仿宋_GB2312"/>
          <w:sz w:val="28"/>
          <w:szCs w:val="28"/>
          <w:lang w:val="en-US" w:eastAsia="zh-CN"/>
        </w:rPr>
        <w:t xml:space="preserve"> 电工证号：</w:t>
      </w:r>
      <w:r>
        <w:rPr>
          <w:rFonts w:hint="eastAsia" w:ascii="宋体" w:hAnsi="宋体" w:cs="仿宋_GB2312"/>
          <w:sz w:val="28"/>
          <w:szCs w:val="28"/>
          <w:u w:val="single"/>
          <w:lang w:val="en-US" w:eastAsia="zh-CN"/>
        </w:rPr>
        <w:t xml:space="preserve">   </w:t>
      </w:r>
      <w:r>
        <w:rPr>
          <w:rFonts w:hint="eastAsia" w:ascii="宋体" w:hAnsi="宋体" w:cs="仿宋_GB2312"/>
          <w:sz w:val="28"/>
          <w:szCs w:val="28"/>
          <w:u w:val="single"/>
        </w:rPr>
        <w:t xml:space="preserve">        </w:t>
      </w:r>
      <w:r>
        <w:rPr>
          <w:rFonts w:hint="eastAsia" w:ascii="宋体" w:hAnsi="宋体" w:cs="仿宋_GB2312"/>
          <w:sz w:val="28"/>
          <w:szCs w:val="28"/>
          <w:lang w:val="en-US" w:eastAsia="zh-CN"/>
        </w:rPr>
        <w:t xml:space="preserve"> </w:t>
      </w:r>
      <w:r>
        <w:rPr>
          <w:rFonts w:hint="eastAsia" w:ascii="宋体" w:hAnsi="宋体" w:cs="仿宋_GB2312"/>
          <w:sz w:val="28"/>
          <w:szCs w:val="28"/>
        </w:rPr>
        <w:t>上门勘测现场。</w:t>
      </w:r>
    </w:p>
    <w:p>
      <w:pPr>
        <w:spacing w:line="360" w:lineRule="auto"/>
        <w:ind w:firstLine="426"/>
        <w:rPr>
          <w:rFonts w:ascii="宋体" w:hAnsi="宋体" w:cs="仿宋_GB2312"/>
          <w:sz w:val="28"/>
          <w:szCs w:val="28"/>
        </w:rPr>
      </w:pPr>
      <w:r>
        <w:rPr>
          <w:rFonts w:hint="eastAsia" w:ascii="宋体" w:hAnsi="宋体" w:cs="仿宋_GB2312"/>
          <w:sz w:val="28"/>
          <w:szCs w:val="28"/>
        </w:rPr>
        <w:t>特此声明。</w:t>
      </w:r>
    </w:p>
    <w:p>
      <w:pPr>
        <w:ind w:firstLine="640"/>
        <w:rPr>
          <w:rFonts w:ascii="宋体" w:hAnsi="宋体" w:cs="仿宋_GB2312"/>
          <w:sz w:val="28"/>
          <w:szCs w:val="28"/>
        </w:rPr>
      </w:pPr>
    </w:p>
    <w:p>
      <w:pPr>
        <w:ind w:left="4393" w:leftChars="2092"/>
        <w:rPr>
          <w:rFonts w:ascii="宋体" w:hAnsi="宋体" w:cs="仿宋_GB2312"/>
          <w:sz w:val="28"/>
          <w:szCs w:val="28"/>
        </w:rPr>
      </w:pPr>
      <w:r>
        <w:rPr>
          <w:rFonts w:hint="eastAsia" w:ascii="宋体" w:hAnsi="宋体" w:cs="仿宋_GB2312"/>
          <w:sz w:val="28"/>
          <w:szCs w:val="28"/>
        </w:rPr>
        <w:t xml:space="preserve">                         </w:t>
      </w:r>
    </w:p>
    <w:p>
      <w:pPr>
        <w:ind w:left="4389" w:leftChars="2090"/>
        <w:rPr>
          <w:rFonts w:ascii="宋体" w:hAnsi="宋体" w:cs="仿宋_GB2312"/>
          <w:sz w:val="28"/>
          <w:szCs w:val="28"/>
        </w:rPr>
      </w:pPr>
      <w:r>
        <w:rPr>
          <w:rFonts w:hint="eastAsia" w:ascii="宋体" w:hAnsi="宋体" w:cs="仿宋_GB2312"/>
          <w:sz w:val="28"/>
          <w:szCs w:val="28"/>
        </w:rPr>
        <w:t>供应商:（盖章）</w:t>
      </w:r>
    </w:p>
    <w:p>
      <w:pPr>
        <w:rPr>
          <w:rFonts w:ascii="宋体" w:hAnsi="宋体" w:cs="仿宋_GB2312"/>
          <w:sz w:val="28"/>
          <w:szCs w:val="28"/>
        </w:rPr>
      </w:pPr>
      <w:r>
        <w:rPr>
          <w:rFonts w:hint="eastAsia" w:ascii="宋体" w:hAnsi="宋体" w:cs="仿宋_GB2312"/>
          <w:sz w:val="28"/>
          <w:szCs w:val="28"/>
        </w:rPr>
        <w:t xml:space="preserve">                            时 间：202</w:t>
      </w:r>
      <w:r>
        <w:rPr>
          <w:rFonts w:hint="eastAsia" w:ascii="宋体" w:hAnsi="宋体" w:cs="仿宋_GB2312"/>
          <w:sz w:val="28"/>
          <w:szCs w:val="28"/>
          <w:lang w:val="en-US" w:eastAsia="zh-CN"/>
        </w:rPr>
        <w:t>4</w:t>
      </w:r>
      <w:r>
        <w:rPr>
          <w:rFonts w:hint="eastAsia" w:ascii="宋体" w:hAnsi="宋体" w:cs="仿宋_GB2312"/>
          <w:sz w:val="28"/>
          <w:szCs w:val="28"/>
        </w:rPr>
        <w:t>年   月  日</w:t>
      </w:r>
    </w:p>
    <w:p>
      <w:pPr>
        <w:rPr>
          <w:rFonts w:ascii="宋体" w:hAnsi="宋体" w:cs="仿宋_GB2312"/>
          <w:sz w:val="28"/>
          <w:szCs w:val="28"/>
        </w:rPr>
      </w:pPr>
    </w:p>
    <w:p>
      <w:pPr>
        <w:rPr>
          <w:rFonts w:ascii="宋体" w:hAnsi="宋体" w:cs="仿宋_GB2312"/>
          <w:sz w:val="28"/>
          <w:szCs w:val="28"/>
        </w:rPr>
      </w:pPr>
    </w:p>
    <w:p>
      <w:pPr>
        <w:rPr>
          <w:rFonts w:ascii="宋体" w:hAnsi="宋体" w:cs="仿宋_GB2312"/>
          <w:sz w:val="28"/>
          <w:szCs w:val="28"/>
        </w:rPr>
      </w:pPr>
    </w:p>
    <w:p>
      <w:pPr>
        <w:rPr>
          <w:rFonts w:ascii="宋体" w:hAnsi="宋体" w:cs="仿宋_GB2312"/>
          <w:sz w:val="28"/>
          <w:szCs w:val="28"/>
        </w:rPr>
      </w:pPr>
      <w:r>
        <w:rPr>
          <w:rFonts w:hint="eastAsia" w:ascii="宋体" w:hAnsi="宋体" w:cs="仿宋_GB2312"/>
          <w:sz w:val="28"/>
          <w:szCs w:val="28"/>
        </w:rPr>
        <w:t>----以下由广东省卫生健康委员会事务中心填写----</w:t>
      </w:r>
    </w:p>
    <w:p>
      <w:pPr>
        <w:rPr>
          <w:rFonts w:ascii="宋体" w:hAnsi="宋体" w:cs="仿宋_GB2312"/>
          <w:sz w:val="28"/>
          <w:szCs w:val="28"/>
        </w:rPr>
      </w:pPr>
    </w:p>
    <w:p>
      <w:pPr>
        <w:spacing w:line="360" w:lineRule="auto"/>
        <w:ind w:left="319" w:leftChars="152" w:firstLine="280" w:firstLineChars="100"/>
        <w:rPr>
          <w:rFonts w:ascii="宋体" w:hAnsi="宋体" w:cs="仿宋_GB2312"/>
          <w:sz w:val="28"/>
          <w:szCs w:val="28"/>
        </w:rPr>
      </w:pPr>
      <w:r>
        <w:rPr>
          <w:rFonts w:hint="eastAsia" w:ascii="宋体" w:hAnsi="宋体" w:cs="仿宋_GB2312"/>
          <w:sz w:val="28"/>
          <w:szCs w:val="28"/>
        </w:rPr>
        <w:t>供应商</w:t>
      </w:r>
      <w:r>
        <w:rPr>
          <w:rFonts w:hint="eastAsia" w:ascii="宋体" w:hAnsi="宋体" w:cs="仿宋_GB2312"/>
          <w:sz w:val="28"/>
          <w:szCs w:val="28"/>
          <w:u w:val="single"/>
        </w:rPr>
        <w:t xml:space="preserve">                          </w:t>
      </w:r>
      <w:r>
        <w:rPr>
          <w:rFonts w:hint="eastAsia" w:ascii="宋体" w:hAnsi="宋体" w:cs="仿宋_GB2312"/>
          <w:sz w:val="28"/>
          <w:szCs w:val="28"/>
        </w:rPr>
        <w:t>已于2024年</w:t>
      </w:r>
      <w:r>
        <w:rPr>
          <w:rFonts w:hint="eastAsia" w:ascii="宋体" w:hAnsi="宋体" w:cs="仿宋_GB2312"/>
          <w:sz w:val="28"/>
          <w:szCs w:val="28"/>
          <w:u w:val="single"/>
        </w:rPr>
        <w:t xml:space="preserve">  </w:t>
      </w:r>
      <w:r>
        <w:rPr>
          <w:rFonts w:hint="eastAsia" w:ascii="宋体" w:hAnsi="宋体" w:cs="仿宋_GB2312"/>
          <w:sz w:val="28"/>
          <w:szCs w:val="28"/>
        </w:rPr>
        <w:t>月</w:t>
      </w:r>
      <w:r>
        <w:rPr>
          <w:rFonts w:hint="eastAsia" w:ascii="宋体" w:hAnsi="宋体" w:cs="仿宋_GB2312"/>
          <w:sz w:val="28"/>
          <w:szCs w:val="28"/>
          <w:u w:val="single"/>
        </w:rPr>
        <w:t xml:space="preserve">   </w:t>
      </w:r>
      <w:r>
        <w:rPr>
          <w:rFonts w:hint="eastAsia" w:ascii="宋体" w:hAnsi="宋体" w:cs="仿宋_GB2312"/>
          <w:sz w:val="28"/>
          <w:szCs w:val="28"/>
        </w:rPr>
        <w:t>日安排人员上门完成本单位机房现场勘测。</w:t>
      </w:r>
    </w:p>
    <w:p>
      <w:pPr>
        <w:spacing w:line="360" w:lineRule="auto"/>
        <w:ind w:firstLine="640"/>
        <w:rPr>
          <w:rFonts w:ascii="宋体" w:hAnsi="宋体" w:cs="仿宋_GB2312"/>
          <w:sz w:val="28"/>
          <w:szCs w:val="28"/>
        </w:rPr>
      </w:pPr>
      <w:r>
        <w:rPr>
          <w:rFonts w:hint="eastAsia" w:ascii="宋体" w:hAnsi="宋体" w:cs="仿宋_GB2312"/>
          <w:sz w:val="28"/>
          <w:szCs w:val="28"/>
        </w:rPr>
        <w:t>特此证明。</w:t>
      </w:r>
    </w:p>
    <w:p>
      <w:pPr>
        <w:ind w:firstLine="640"/>
        <w:rPr>
          <w:rFonts w:ascii="宋体" w:hAnsi="宋体" w:cs="仿宋_GB2312"/>
          <w:sz w:val="28"/>
          <w:szCs w:val="28"/>
        </w:rPr>
      </w:pPr>
    </w:p>
    <w:p>
      <w:pPr>
        <w:rPr>
          <w:rFonts w:ascii="宋体" w:hAnsi="宋体" w:cs="仿宋_GB2312"/>
          <w:sz w:val="28"/>
          <w:szCs w:val="28"/>
        </w:rPr>
      </w:pPr>
    </w:p>
    <w:p>
      <w:pPr>
        <w:rPr>
          <w:rFonts w:ascii="宋体" w:hAnsi="宋体" w:cs="仿宋_GB2312"/>
          <w:sz w:val="28"/>
          <w:szCs w:val="28"/>
        </w:rPr>
      </w:pPr>
    </w:p>
    <w:p>
      <w:pPr>
        <w:rPr>
          <w:rFonts w:ascii="宋体" w:hAnsi="宋体" w:cs="仿宋_GB2312"/>
          <w:sz w:val="28"/>
          <w:szCs w:val="28"/>
        </w:rPr>
      </w:pPr>
    </w:p>
    <w:p>
      <w:pPr>
        <w:ind w:left="4389" w:leftChars="2090"/>
        <w:rPr>
          <w:rFonts w:ascii="宋体" w:hAnsi="宋体" w:cs="仿宋_GB2312"/>
          <w:sz w:val="28"/>
          <w:szCs w:val="28"/>
        </w:rPr>
      </w:pPr>
      <w:r>
        <w:rPr>
          <w:rFonts w:hint="eastAsia" w:ascii="宋体" w:hAnsi="宋体" w:cs="仿宋_GB2312"/>
          <w:sz w:val="28"/>
          <w:szCs w:val="28"/>
        </w:rPr>
        <w:t>采购人:（盖章）</w:t>
      </w:r>
    </w:p>
    <w:p>
      <w:pPr>
        <w:ind w:left="4393" w:leftChars="2092"/>
      </w:pPr>
      <w:r>
        <w:rPr>
          <w:rFonts w:hint="eastAsia" w:ascii="宋体" w:hAnsi="宋体" w:cs="仿宋_GB2312"/>
          <w:sz w:val="28"/>
          <w:szCs w:val="28"/>
        </w:rPr>
        <w:t xml:space="preserve">                            时 间：2024年   月  日</w:t>
      </w:r>
      <w:r>
        <w:br w:type="page"/>
      </w:r>
    </w:p>
    <w:p>
      <w:pPr>
        <w:jc w:val="center"/>
        <w:rPr>
          <w:rFonts w:ascii="宋体" w:hAnsi="宋体"/>
          <w:b/>
          <w:bCs/>
          <w:sz w:val="52"/>
          <w:szCs w:val="52"/>
        </w:rPr>
      </w:pPr>
      <w:r>
        <w:rPr>
          <w:rFonts w:hint="eastAsia" w:ascii="宋体" w:hAnsi="宋体"/>
          <w:b/>
          <w:bCs/>
          <w:sz w:val="52"/>
          <w:szCs w:val="52"/>
        </w:rPr>
        <w:t>承诺函</w:t>
      </w:r>
    </w:p>
    <w:p>
      <w:pPr>
        <w:spacing w:afterLines="150"/>
        <w:rPr>
          <w:rFonts w:hint="eastAsia" w:ascii="宋体" w:hAnsi="宋体"/>
          <w:b/>
          <w:szCs w:val="21"/>
        </w:rPr>
      </w:pPr>
    </w:p>
    <w:p>
      <w:pPr>
        <w:spacing w:afterLines="150"/>
        <w:rPr>
          <w:rFonts w:hint="eastAsia" w:ascii="宋体" w:hAnsi="宋体"/>
          <w:b/>
          <w:szCs w:val="21"/>
        </w:rPr>
      </w:pPr>
    </w:p>
    <w:p>
      <w:pPr>
        <w:spacing w:afterLines="150"/>
        <w:rPr>
          <w:rFonts w:ascii="宋体" w:hAnsi="宋体"/>
          <w:b/>
          <w:szCs w:val="21"/>
        </w:rPr>
      </w:pPr>
      <w:r>
        <w:rPr>
          <w:rFonts w:hint="eastAsia" w:ascii="宋体" w:hAnsi="宋体"/>
          <w:b/>
          <w:szCs w:val="21"/>
        </w:rPr>
        <w:t>致：</w:t>
      </w:r>
      <w:r>
        <w:rPr>
          <w:rFonts w:hint="eastAsia" w:ascii="宋体" w:hAnsi="宋体"/>
          <w:b/>
          <w:kern w:val="0"/>
          <w:szCs w:val="21"/>
        </w:rPr>
        <w:t>广东省卫生健康委员会事务中心、</w:t>
      </w:r>
      <w:r>
        <w:rPr>
          <w:rFonts w:ascii="宋体" w:hAnsi="宋体"/>
          <w:b/>
          <w:kern w:val="0"/>
          <w:szCs w:val="21"/>
        </w:rPr>
        <w:t>采联国际招标采购集团有限公司</w:t>
      </w:r>
    </w:p>
    <w:p>
      <w:pPr>
        <w:snapToGrid w:val="0"/>
        <w:spacing w:line="360" w:lineRule="auto"/>
        <w:ind w:firstLine="424" w:firstLineChars="202"/>
        <w:rPr>
          <w:rFonts w:ascii="宋体" w:hAnsi="宋体" w:cs="宋体"/>
          <w:szCs w:val="21"/>
        </w:rPr>
      </w:pPr>
      <w:r>
        <w:rPr>
          <w:rFonts w:hint="eastAsia" w:ascii="宋体" w:hAnsi="宋体" w:cs="宋体"/>
          <w:szCs w:val="21"/>
        </w:rPr>
        <w:t>关于贵单位、贵公司发布</w:t>
      </w:r>
      <w:r>
        <w:rPr>
          <w:rFonts w:hint="eastAsia" w:ascii="宋体" w:hAnsi="宋体" w:cs="宋体"/>
          <w:b/>
          <w:bCs/>
          <w:color w:val="000000"/>
          <w:szCs w:val="21"/>
          <w:u w:val="single"/>
        </w:rPr>
        <w:t xml:space="preserve"> </w:t>
      </w:r>
      <w:r>
        <w:rPr>
          <w:rFonts w:hint="eastAsia" w:ascii="宋体" w:hAnsi="宋体" w:cs="宋体"/>
          <w:b/>
          <w:bCs/>
          <w:szCs w:val="21"/>
          <w:u w:val="single"/>
        </w:rPr>
        <w:t>广东省卫生健康委事务中心机房UPS维修和电池更换采购项目</w:t>
      </w:r>
      <w:r>
        <w:rPr>
          <w:rFonts w:hint="eastAsia" w:ascii="宋体" w:hAnsi="宋体" w:cs="宋体"/>
          <w:szCs w:val="21"/>
          <w:u w:val="single"/>
        </w:rPr>
        <w:t xml:space="preserve"> </w:t>
      </w:r>
      <w:r>
        <w:rPr>
          <w:rFonts w:hint="eastAsia" w:ascii="宋体" w:hAnsi="宋体" w:cs="宋体"/>
          <w:szCs w:val="21"/>
        </w:rPr>
        <w:t>的竞价公告，本公司（企业）愿意参加竞价，并承诺：</w:t>
      </w:r>
    </w:p>
    <w:p>
      <w:pPr>
        <w:snapToGrid w:val="0"/>
        <w:spacing w:line="360" w:lineRule="auto"/>
        <w:ind w:firstLine="424" w:firstLineChars="202"/>
        <w:rPr>
          <w:rFonts w:ascii="宋体" w:hAnsi="宋体" w:cs="宋体"/>
          <w:szCs w:val="21"/>
        </w:rPr>
      </w:pPr>
      <w:r>
        <w:rPr>
          <w:rFonts w:hint="eastAsia" w:ascii="宋体" w:hAnsi="宋体" w:cs="宋体"/>
          <w:szCs w:val="21"/>
        </w:rPr>
        <w:t>本公司（企业）</w:t>
      </w:r>
      <w:r>
        <w:rPr>
          <w:rFonts w:hint="eastAsia" w:ascii="宋体" w:hAnsi="宋体" w:cs="宋体"/>
          <w:bCs/>
          <w:szCs w:val="21"/>
        </w:rPr>
        <w:t>具有履行合同所必需的设备和专业技术能力；</w:t>
      </w:r>
    </w:p>
    <w:p>
      <w:pPr>
        <w:snapToGrid w:val="0"/>
        <w:spacing w:line="360" w:lineRule="auto"/>
        <w:ind w:firstLine="424" w:firstLineChars="202"/>
        <w:rPr>
          <w:rFonts w:ascii="宋体" w:hAnsi="宋体" w:cs="宋体"/>
          <w:szCs w:val="21"/>
        </w:rPr>
      </w:pPr>
      <w:r>
        <w:rPr>
          <w:rFonts w:hint="eastAsia" w:ascii="宋体" w:hAnsi="宋体" w:cs="宋体"/>
          <w:szCs w:val="21"/>
        </w:rPr>
        <w:t>本公司（企业）的法定代表人或单位负责人与所参投的本项目其他供应商的法定代表人或单位负责人不为同一人且与其他供应商之间不存在直接控股、管理关系；</w:t>
      </w:r>
    </w:p>
    <w:p>
      <w:pPr>
        <w:snapToGrid w:val="0"/>
        <w:spacing w:line="360" w:lineRule="auto"/>
        <w:ind w:firstLine="424" w:firstLineChars="202"/>
        <w:rPr>
          <w:rFonts w:ascii="宋体" w:hAnsi="宋体" w:cs="宋体"/>
          <w:szCs w:val="21"/>
        </w:rPr>
      </w:pPr>
      <w:r>
        <w:rPr>
          <w:rFonts w:hint="eastAsia" w:ascii="宋体" w:hAnsi="宋体" w:cs="宋体"/>
          <w:szCs w:val="21"/>
        </w:rPr>
        <w:t>本公司（企业）提供的货物全部由中小企业生产且使用该中小企业商号或注册商标；提供有效期内的排污许可证、泰尔认证（</w:t>
      </w:r>
      <w:r>
        <w:rPr>
          <w:rFonts w:hint="eastAsia" w:ascii="宋体" w:hAnsi="宋体" w:cs="宋体"/>
          <w:szCs w:val="21"/>
          <w:lang w:eastAsia="zh-CN"/>
        </w:rPr>
        <w:t>AGM+胶</w:t>
      </w:r>
      <w:r>
        <w:rPr>
          <w:rFonts w:hint="eastAsia" w:ascii="宋体" w:hAnsi="宋体" w:cs="宋体"/>
          <w:szCs w:val="21"/>
        </w:rPr>
        <w:t>）；不提供任何贴牌和 OEM 产品；</w:t>
      </w:r>
    </w:p>
    <w:p>
      <w:pPr>
        <w:numPr>
          <w:ilvl w:val="-1"/>
          <w:numId w:val="0"/>
        </w:numPr>
        <w:snapToGrid w:val="0"/>
        <w:spacing w:line="360" w:lineRule="auto"/>
        <w:ind w:left="0" w:firstLine="420" w:firstLineChars="200"/>
        <w:rPr>
          <w:rFonts w:hint="eastAsia" w:ascii="宋体" w:hAnsi="宋体" w:cs="宋体"/>
          <w:szCs w:val="21"/>
        </w:rPr>
      </w:pPr>
      <w:r>
        <w:rPr>
          <w:rFonts w:hint="eastAsia" w:ascii="宋体" w:hAnsi="宋体" w:cs="宋体"/>
          <w:szCs w:val="21"/>
        </w:rPr>
        <w:t>本公司（企业）若有幸成交，成交后我司将提供原厂授权书、授权服务承诺书及原厂参数响应表并盖原厂公章。</w:t>
      </w:r>
    </w:p>
    <w:p>
      <w:pPr>
        <w:numPr>
          <w:ilvl w:val="-1"/>
          <w:numId w:val="0"/>
        </w:numPr>
        <w:snapToGrid w:val="0"/>
        <w:spacing w:line="360" w:lineRule="auto"/>
        <w:ind w:left="0" w:firstLine="420" w:firstLineChars="200"/>
        <w:rPr>
          <w:rFonts w:hint="eastAsia" w:ascii="宋体" w:hAnsi="宋体" w:eastAsia="宋体" w:cs="宋体"/>
          <w:szCs w:val="21"/>
          <w:lang w:eastAsia="zh-CN"/>
        </w:rPr>
      </w:pPr>
      <w:r>
        <w:rPr>
          <w:rFonts w:hint="eastAsia" w:ascii="宋体" w:hAnsi="宋体" w:cs="宋体"/>
          <w:szCs w:val="21"/>
        </w:rPr>
        <w:t>本公司（企业）若有幸成交</w:t>
      </w:r>
      <w:r>
        <w:rPr>
          <w:rFonts w:hint="eastAsia" w:ascii="宋体" w:hAnsi="宋体" w:cs="宋体"/>
          <w:szCs w:val="21"/>
          <w:lang w:eastAsia="zh-CN"/>
        </w:rPr>
        <w:t>，</w:t>
      </w:r>
      <w:r>
        <w:rPr>
          <w:rFonts w:hint="eastAsia" w:ascii="宋体" w:hAnsi="宋体" w:cs="宋体"/>
          <w:szCs w:val="21"/>
          <w:lang w:val="en-US" w:eastAsia="zh-CN"/>
        </w:rPr>
        <w:t>承诺成交后</w:t>
      </w:r>
      <w:r>
        <w:rPr>
          <w:rFonts w:hint="eastAsia" w:ascii="宋体" w:hAnsi="宋体" w:cs="宋体"/>
          <w:szCs w:val="21"/>
        </w:rPr>
        <w:t>提供进场施工工程师意外伤害保险责任险（团体五类高风险职业,保额不低于60万元）</w:t>
      </w:r>
      <w:r>
        <w:rPr>
          <w:rFonts w:hint="eastAsia" w:ascii="宋体" w:hAnsi="宋体" w:cs="宋体"/>
          <w:szCs w:val="21"/>
          <w:lang w:eastAsia="zh-CN"/>
        </w:rPr>
        <w:t>。</w:t>
      </w:r>
    </w:p>
    <w:p>
      <w:pPr>
        <w:numPr>
          <w:ilvl w:val="-1"/>
          <w:numId w:val="0"/>
        </w:numPr>
        <w:snapToGrid w:val="0"/>
        <w:spacing w:line="360" w:lineRule="auto"/>
        <w:ind w:left="0" w:firstLine="420" w:firstLineChars="200"/>
        <w:rPr>
          <w:rFonts w:ascii="宋体" w:hAnsi="宋体" w:cs="宋体"/>
          <w:szCs w:val="21"/>
        </w:rPr>
      </w:pPr>
    </w:p>
    <w:p>
      <w:pPr>
        <w:snapToGrid w:val="0"/>
        <w:spacing w:line="360" w:lineRule="auto"/>
        <w:ind w:firstLine="525" w:firstLineChars="250"/>
        <w:rPr>
          <w:rFonts w:ascii="宋体" w:hAnsi="宋体"/>
          <w:szCs w:val="21"/>
        </w:rPr>
      </w:pPr>
    </w:p>
    <w:p>
      <w:pPr>
        <w:snapToGrid w:val="0"/>
        <w:spacing w:line="360" w:lineRule="auto"/>
        <w:ind w:firstLine="525" w:firstLineChars="250"/>
        <w:rPr>
          <w:rFonts w:ascii="宋体" w:hAnsi="宋体"/>
          <w:szCs w:val="21"/>
        </w:rPr>
      </w:pPr>
      <w:r>
        <w:rPr>
          <w:rFonts w:hint="eastAsia" w:ascii="宋体" w:hAnsi="宋体"/>
          <w:szCs w:val="21"/>
        </w:rPr>
        <w:t>否则，由此所造成的损失、不良后果及法律责任，一律由我公司（企业）承担。</w:t>
      </w:r>
    </w:p>
    <w:p>
      <w:pPr>
        <w:snapToGrid w:val="0"/>
        <w:spacing w:line="360" w:lineRule="auto"/>
        <w:ind w:firstLine="525" w:firstLineChars="250"/>
        <w:rPr>
          <w:rFonts w:ascii="宋体" w:hAnsi="宋体"/>
          <w:szCs w:val="21"/>
        </w:rPr>
      </w:pPr>
    </w:p>
    <w:p>
      <w:pPr>
        <w:pStyle w:val="41"/>
        <w:wordWrap w:val="0"/>
        <w:spacing w:line="360" w:lineRule="auto"/>
        <w:ind w:left="1200" w:right="218" w:firstLine="0" w:firstLineChars="0"/>
        <w:jc w:val="righ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hint="eastAsia" w:ascii="宋体" w:hAnsi="宋体"/>
          <w:spacing w:val="4"/>
          <w:szCs w:val="21"/>
          <w:u w:val="single"/>
        </w:rPr>
        <w:t xml:space="preserve">          </w:t>
      </w:r>
    </w:p>
    <w:p>
      <w:pPr>
        <w:pStyle w:val="41"/>
        <w:spacing w:line="360" w:lineRule="auto"/>
        <w:ind w:left="1200" w:right="210" w:firstLine="0" w:firstLineChars="0"/>
        <w:jc w:val="right"/>
        <w:rPr>
          <w:rFonts w:ascii="宋体" w:hAnsi="宋体"/>
          <w:szCs w:val="21"/>
          <w:u w:val="single"/>
        </w:rPr>
      </w:pPr>
    </w:p>
    <w:p>
      <w:pPr>
        <w:wordWrap w:val="0"/>
        <w:spacing w:line="360" w:lineRule="auto"/>
        <w:ind w:left="840"/>
        <w:jc w:val="center"/>
        <w:rPr>
          <w:rFonts w:ascii="宋体" w:hAnsi="宋体"/>
          <w:szCs w:val="21"/>
          <w:u w:val="single"/>
        </w:rPr>
      </w:pPr>
      <w:r>
        <w:rPr>
          <w:rFonts w:hint="eastAsia" w:ascii="宋体" w:hAnsi="宋体"/>
          <w:spacing w:val="4"/>
          <w:szCs w:val="21"/>
        </w:rPr>
        <w:t xml:space="preserve">                                              日期：</w:t>
      </w:r>
      <w:r>
        <w:rPr>
          <w:rFonts w:hint="eastAsia" w:ascii="宋体" w:hAnsi="宋体"/>
          <w:spacing w:val="4"/>
          <w:szCs w:val="21"/>
          <w:u w:val="single"/>
        </w:rPr>
        <w:t xml:space="preserve">          </w:t>
      </w:r>
    </w:p>
    <w:p>
      <w:pPr>
        <w:widowControl/>
        <w:jc w:val="left"/>
        <w:rPr>
          <w:rFonts w:ascii="宋体" w:hAnsi="宋体"/>
          <w:szCs w:val="21"/>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20E42"/>
    <w:multiLevelType w:val="singleLevel"/>
    <w:tmpl w:val="84120E42"/>
    <w:lvl w:ilvl="0" w:tentative="0">
      <w:start w:val="1"/>
      <w:numFmt w:val="chineseCounting"/>
      <w:suff w:val="nothing"/>
      <w:lvlText w:val="（%1）"/>
      <w:lvlJc w:val="left"/>
      <w:pPr>
        <w:ind w:left="0" w:firstLine="420"/>
      </w:pPr>
      <w:rPr>
        <w:rFonts w:hint="eastAsia"/>
      </w:rPr>
    </w:lvl>
  </w:abstractNum>
  <w:abstractNum w:abstractNumId="1">
    <w:nsid w:val="BC8F0CBB"/>
    <w:multiLevelType w:val="singleLevel"/>
    <w:tmpl w:val="BC8F0CBB"/>
    <w:lvl w:ilvl="0" w:tentative="0">
      <w:start w:val="1"/>
      <w:numFmt w:val="chineseCounting"/>
      <w:suff w:val="nothing"/>
      <w:lvlText w:val="（%1）"/>
      <w:lvlJc w:val="left"/>
      <w:rPr>
        <w:rFonts w:hint="eastAsia"/>
      </w:rPr>
    </w:lvl>
  </w:abstractNum>
  <w:abstractNum w:abstractNumId="2">
    <w:nsid w:val="00000003"/>
    <w:multiLevelType w:val="multilevel"/>
    <w:tmpl w:val="00000003"/>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decimal"/>
      <w:lvlText w:val="%1."/>
      <w:lvlJc w:val="left"/>
      <w:pPr>
        <w:ind w:left="420" w:hanging="420"/>
      </w:pPr>
      <w:rPr>
        <w:rFonts w:hint="eastAsia"/>
      </w:rPr>
    </w:lvl>
    <w:lvl w:ilvl="1" w:tentative="0">
      <w:start w:val="1"/>
      <w:numFmt w:val="decimal"/>
      <w:lvlText w:val="%2."/>
      <w:lvlJc w:val="left"/>
      <w:pPr>
        <w:ind w:left="846" w:hanging="420"/>
      </w:pPr>
      <w:rPr>
        <w:rFonts w:hint="eastAsia"/>
      </w:rPr>
    </w:lvl>
    <w:lvl w:ilvl="2" w:tentative="0">
      <w:start w:val="1"/>
      <w:numFmt w:val="lowerRoman"/>
      <w:lvlText w:val="%3."/>
      <w:lvlJc w:val="right"/>
      <w:pPr>
        <w:ind w:left="1260" w:hanging="420"/>
      </w:pPr>
      <w:rPr>
        <w:rFonts w:hint="eastAsia"/>
      </w:rPr>
    </w:lvl>
    <w:lvl w:ilvl="3" w:tentative="0">
      <w:start w:val="4"/>
      <w:numFmt w:val="japaneseCounting"/>
      <w:lvlText w:val="%4、"/>
      <w:lvlJc w:val="left"/>
      <w:pPr>
        <w:ind w:left="862" w:hanging="720"/>
      </w:pPr>
      <w:rPr>
        <w:rFonts w:hint="default"/>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0000005"/>
    <w:multiLevelType w:val="multilevel"/>
    <w:tmpl w:val="00000005"/>
    <w:lvl w:ilvl="0" w:tentative="0">
      <w:start w:val="1"/>
      <w:numFmt w:val="decimal"/>
      <w:lvlText w:val="%1."/>
      <w:lvlJc w:val="left"/>
      <w:pPr>
        <w:ind w:left="420" w:hanging="420"/>
      </w:pPr>
      <w:rPr>
        <w:rFonts w:hint="eastAsia"/>
      </w:rPr>
    </w:lvl>
    <w:lvl w:ilvl="1" w:tentative="0">
      <w:start w:val="3"/>
      <w:numFmt w:val="japaneseCounting"/>
      <w:lvlText w:val="%2、"/>
      <w:lvlJc w:val="left"/>
      <w:pPr>
        <w:ind w:left="450" w:hanging="450"/>
      </w:pPr>
      <w:rPr>
        <w:rFonts w:hint="default"/>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00000008"/>
    <w:multiLevelType w:val="multilevel"/>
    <w:tmpl w:val="00000008"/>
    <w:lvl w:ilvl="0" w:tentative="0">
      <w:start w:val="1"/>
      <w:numFmt w:val="decimal"/>
      <w:suff w:val="nothing"/>
      <w:lvlText w:val="(%1)"/>
      <w:lvlJc w:val="left"/>
      <w:pPr>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6">
    <w:nsid w:val="00000009"/>
    <w:multiLevelType w:val="multilevel"/>
    <w:tmpl w:val="00000009"/>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000000A"/>
    <w:multiLevelType w:val="multilevel"/>
    <w:tmpl w:val="0000000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000000B"/>
    <w:multiLevelType w:val="multilevel"/>
    <w:tmpl w:val="0000000B"/>
    <w:lvl w:ilvl="0" w:tentative="0">
      <w:start w:val="1"/>
      <w:numFmt w:val="decimal"/>
      <w:lvlText w:val="%1."/>
      <w:lvlJc w:val="left"/>
      <w:pPr>
        <w:ind w:left="704" w:hanging="420"/>
      </w:pPr>
      <w:rPr>
        <w:rFonts w:hint="eastAsia"/>
      </w:rPr>
    </w:lvl>
    <w:lvl w:ilvl="1" w:tentative="0">
      <w:start w:val="1"/>
      <w:numFmt w:val="lowerLetter"/>
      <w:lvlText w:val="%2)"/>
      <w:lvlJc w:val="left"/>
      <w:pPr>
        <w:ind w:left="1544" w:hanging="420"/>
      </w:pPr>
      <w:rPr>
        <w:rFonts w:hint="eastAsia"/>
      </w:rPr>
    </w:lvl>
    <w:lvl w:ilvl="2" w:tentative="0">
      <w:start w:val="1"/>
      <w:numFmt w:val="lowerRoman"/>
      <w:lvlText w:val="%3."/>
      <w:lvlJc w:val="right"/>
      <w:pPr>
        <w:ind w:left="1964" w:hanging="420"/>
      </w:pPr>
      <w:rPr>
        <w:rFonts w:hint="eastAsia"/>
      </w:rPr>
    </w:lvl>
    <w:lvl w:ilvl="3" w:tentative="0">
      <w:start w:val="1"/>
      <w:numFmt w:val="decimal"/>
      <w:lvlText w:val="%4."/>
      <w:lvlJc w:val="left"/>
      <w:pPr>
        <w:ind w:left="2384" w:hanging="420"/>
      </w:pPr>
      <w:rPr>
        <w:rFonts w:hint="eastAsia"/>
      </w:rPr>
    </w:lvl>
    <w:lvl w:ilvl="4" w:tentative="0">
      <w:start w:val="1"/>
      <w:numFmt w:val="lowerLetter"/>
      <w:lvlText w:val="%5)"/>
      <w:lvlJc w:val="left"/>
      <w:pPr>
        <w:ind w:left="2804" w:hanging="420"/>
      </w:pPr>
      <w:rPr>
        <w:rFonts w:hint="eastAsia"/>
      </w:rPr>
    </w:lvl>
    <w:lvl w:ilvl="5" w:tentative="0">
      <w:start w:val="1"/>
      <w:numFmt w:val="lowerRoman"/>
      <w:lvlText w:val="%6."/>
      <w:lvlJc w:val="right"/>
      <w:pPr>
        <w:ind w:left="3224" w:hanging="420"/>
      </w:pPr>
      <w:rPr>
        <w:rFonts w:hint="eastAsia"/>
      </w:rPr>
    </w:lvl>
    <w:lvl w:ilvl="6" w:tentative="0">
      <w:start w:val="1"/>
      <w:numFmt w:val="decimal"/>
      <w:lvlText w:val="%7."/>
      <w:lvlJc w:val="left"/>
      <w:pPr>
        <w:ind w:left="3644" w:hanging="420"/>
      </w:pPr>
      <w:rPr>
        <w:rFonts w:hint="eastAsia"/>
      </w:rPr>
    </w:lvl>
    <w:lvl w:ilvl="7" w:tentative="0">
      <w:start w:val="1"/>
      <w:numFmt w:val="lowerLetter"/>
      <w:lvlText w:val="%8)"/>
      <w:lvlJc w:val="left"/>
      <w:pPr>
        <w:ind w:left="4064" w:hanging="420"/>
      </w:pPr>
      <w:rPr>
        <w:rFonts w:hint="eastAsia"/>
      </w:rPr>
    </w:lvl>
    <w:lvl w:ilvl="8" w:tentative="0">
      <w:start w:val="1"/>
      <w:numFmt w:val="lowerRoman"/>
      <w:lvlText w:val="%9."/>
      <w:lvlJc w:val="right"/>
      <w:pPr>
        <w:ind w:left="4484" w:hanging="420"/>
      </w:pPr>
      <w:rPr>
        <w:rFonts w:hint="eastAsia"/>
      </w:rPr>
    </w:lvl>
  </w:abstractNum>
  <w:abstractNum w:abstractNumId="9">
    <w:nsid w:val="0000000C"/>
    <w:multiLevelType w:val="multilevel"/>
    <w:tmpl w:val="0000000C"/>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00000011"/>
    <w:multiLevelType w:val="multilevel"/>
    <w:tmpl w:val="0000001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2"/>
    <w:multiLevelType w:val="multilevel"/>
    <w:tmpl w:val="00000012"/>
    <w:lvl w:ilvl="0" w:tentative="0">
      <w:start w:val="1"/>
      <w:numFmt w:val="decimal"/>
      <w:suff w:val="nothing"/>
      <w:lvlText w:val="(%1)"/>
      <w:lvlJc w:val="left"/>
      <w:pPr>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2">
    <w:nsid w:val="00000014"/>
    <w:multiLevelType w:val="multilevel"/>
    <w:tmpl w:val="00000014"/>
    <w:lvl w:ilvl="0" w:tentative="0">
      <w:start w:val="1"/>
      <w:numFmt w:val="decimal"/>
      <w:lvlText w:val="%1."/>
      <w:lvlJc w:val="left"/>
      <w:pPr>
        <w:ind w:left="987" w:hanging="420"/>
      </w:pPr>
      <w:rPr>
        <w:rFonts w:hint="eastAsia"/>
      </w:rPr>
    </w:lvl>
    <w:lvl w:ilvl="1" w:tentative="0">
      <w:start w:val="1"/>
      <w:numFmt w:val="lowerLetter"/>
      <w:lvlText w:val="%2)"/>
      <w:lvlJc w:val="left"/>
      <w:pPr>
        <w:ind w:left="1827" w:hanging="420"/>
      </w:pPr>
      <w:rPr>
        <w:rFonts w:hint="eastAsia"/>
      </w:rPr>
    </w:lvl>
    <w:lvl w:ilvl="2" w:tentative="0">
      <w:start w:val="1"/>
      <w:numFmt w:val="lowerRoman"/>
      <w:lvlText w:val="%3."/>
      <w:lvlJc w:val="right"/>
      <w:pPr>
        <w:ind w:left="2247" w:hanging="420"/>
      </w:pPr>
      <w:rPr>
        <w:rFonts w:hint="eastAsia"/>
      </w:rPr>
    </w:lvl>
    <w:lvl w:ilvl="3" w:tentative="0">
      <w:start w:val="1"/>
      <w:numFmt w:val="decimal"/>
      <w:lvlText w:val="%4."/>
      <w:lvlJc w:val="left"/>
      <w:pPr>
        <w:ind w:left="2667" w:hanging="420"/>
      </w:pPr>
      <w:rPr>
        <w:rFonts w:hint="eastAsia"/>
      </w:rPr>
    </w:lvl>
    <w:lvl w:ilvl="4" w:tentative="0">
      <w:start w:val="1"/>
      <w:numFmt w:val="lowerLetter"/>
      <w:lvlText w:val="%5)"/>
      <w:lvlJc w:val="left"/>
      <w:pPr>
        <w:ind w:left="3087" w:hanging="420"/>
      </w:pPr>
      <w:rPr>
        <w:rFonts w:hint="eastAsia"/>
      </w:rPr>
    </w:lvl>
    <w:lvl w:ilvl="5" w:tentative="0">
      <w:start w:val="1"/>
      <w:numFmt w:val="lowerRoman"/>
      <w:lvlText w:val="%6."/>
      <w:lvlJc w:val="right"/>
      <w:pPr>
        <w:ind w:left="3507" w:hanging="420"/>
      </w:pPr>
      <w:rPr>
        <w:rFonts w:hint="eastAsia"/>
      </w:rPr>
    </w:lvl>
    <w:lvl w:ilvl="6" w:tentative="0">
      <w:start w:val="1"/>
      <w:numFmt w:val="decimal"/>
      <w:lvlText w:val="%7."/>
      <w:lvlJc w:val="left"/>
      <w:pPr>
        <w:ind w:left="3927" w:hanging="420"/>
      </w:pPr>
      <w:rPr>
        <w:rFonts w:hint="eastAsia"/>
      </w:rPr>
    </w:lvl>
    <w:lvl w:ilvl="7" w:tentative="0">
      <w:start w:val="1"/>
      <w:numFmt w:val="lowerLetter"/>
      <w:lvlText w:val="%8)"/>
      <w:lvlJc w:val="left"/>
      <w:pPr>
        <w:ind w:left="4347" w:hanging="420"/>
      </w:pPr>
      <w:rPr>
        <w:rFonts w:hint="eastAsia"/>
      </w:rPr>
    </w:lvl>
    <w:lvl w:ilvl="8" w:tentative="0">
      <w:start w:val="1"/>
      <w:numFmt w:val="lowerRoman"/>
      <w:lvlText w:val="%9."/>
      <w:lvlJc w:val="right"/>
      <w:pPr>
        <w:ind w:left="4767" w:hanging="420"/>
      </w:pPr>
      <w:rPr>
        <w:rFonts w:hint="eastAsia"/>
      </w:rPr>
    </w:lvl>
  </w:abstractNum>
  <w:abstractNum w:abstractNumId="13">
    <w:nsid w:val="00000016"/>
    <w:multiLevelType w:val="multilevel"/>
    <w:tmpl w:val="00000016"/>
    <w:lvl w:ilvl="0" w:tentative="0">
      <w:start w:val="1"/>
      <w:numFmt w:val="decimal"/>
      <w:lvlText w:val="%1."/>
      <w:lvlJc w:val="left"/>
      <w:pPr>
        <w:ind w:left="420" w:hanging="420"/>
      </w:pPr>
      <w:rPr>
        <w:rFonts w:hint="eastAsia"/>
        <w:b w:val="0"/>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00000018"/>
    <w:multiLevelType w:val="multilevel"/>
    <w:tmpl w:val="00000018"/>
    <w:lvl w:ilvl="0" w:tentative="0">
      <w:start w:val="1"/>
      <w:numFmt w:val="decimal"/>
      <w:lvlText w:val="%1."/>
      <w:lvlJc w:val="left"/>
      <w:pPr>
        <w:ind w:left="987" w:hanging="420"/>
      </w:pPr>
      <w:rPr>
        <w:rFonts w:hint="default" w:ascii="宋体" w:hAnsi="宋体" w:eastAsia="宋体" w:cs="宋体"/>
        <w:b w:val="0"/>
        <w:bCs w:val="0"/>
        <w:color w:val="auto"/>
        <w:sz w:val="20"/>
        <w:szCs w:val="20"/>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5">
    <w:nsid w:val="00000019"/>
    <w:multiLevelType w:val="multilevel"/>
    <w:tmpl w:val="00000019"/>
    <w:lvl w:ilvl="0" w:tentative="0">
      <w:start w:val="1"/>
      <w:numFmt w:val="decimal"/>
      <w:lvlText w:val="%1."/>
      <w:lvlJc w:val="left"/>
      <w:pPr>
        <w:ind w:left="426" w:hanging="420"/>
      </w:pPr>
      <w:rPr>
        <w:rFonts w:hint="eastAsia"/>
      </w:rPr>
    </w:lvl>
    <w:lvl w:ilvl="1" w:tentative="0">
      <w:start w:val="1"/>
      <w:numFmt w:val="lowerLetter"/>
      <w:lvlText w:val="%2)"/>
      <w:lvlJc w:val="left"/>
      <w:pPr>
        <w:ind w:left="846" w:hanging="420"/>
      </w:pPr>
      <w:rPr>
        <w:rFonts w:hint="eastAsia"/>
      </w:rPr>
    </w:lvl>
    <w:lvl w:ilvl="2" w:tentative="0">
      <w:start w:val="1"/>
      <w:numFmt w:val="lowerRoman"/>
      <w:lvlText w:val="%3."/>
      <w:lvlJc w:val="right"/>
      <w:pPr>
        <w:ind w:left="1266" w:hanging="420"/>
      </w:pPr>
      <w:rPr>
        <w:rFonts w:hint="eastAsia"/>
      </w:rPr>
    </w:lvl>
    <w:lvl w:ilvl="3" w:tentative="0">
      <w:start w:val="1"/>
      <w:numFmt w:val="decimal"/>
      <w:lvlText w:val="%4."/>
      <w:lvlJc w:val="left"/>
      <w:pPr>
        <w:ind w:left="1686" w:hanging="420"/>
      </w:pPr>
      <w:rPr>
        <w:rFonts w:hint="eastAsia"/>
      </w:rPr>
    </w:lvl>
    <w:lvl w:ilvl="4" w:tentative="0">
      <w:start w:val="1"/>
      <w:numFmt w:val="lowerLetter"/>
      <w:lvlText w:val="%5)"/>
      <w:lvlJc w:val="left"/>
      <w:pPr>
        <w:ind w:left="2106" w:hanging="420"/>
      </w:pPr>
      <w:rPr>
        <w:rFonts w:hint="eastAsia"/>
      </w:rPr>
    </w:lvl>
    <w:lvl w:ilvl="5" w:tentative="0">
      <w:start w:val="1"/>
      <w:numFmt w:val="lowerRoman"/>
      <w:lvlText w:val="%6."/>
      <w:lvlJc w:val="right"/>
      <w:pPr>
        <w:ind w:left="2526" w:hanging="420"/>
      </w:pPr>
      <w:rPr>
        <w:rFonts w:hint="eastAsia"/>
      </w:rPr>
    </w:lvl>
    <w:lvl w:ilvl="6" w:tentative="0">
      <w:start w:val="1"/>
      <w:numFmt w:val="decimal"/>
      <w:lvlText w:val="%7."/>
      <w:lvlJc w:val="left"/>
      <w:pPr>
        <w:ind w:left="2946" w:hanging="420"/>
      </w:pPr>
      <w:rPr>
        <w:rFonts w:hint="eastAsia"/>
      </w:rPr>
    </w:lvl>
    <w:lvl w:ilvl="7" w:tentative="0">
      <w:start w:val="1"/>
      <w:numFmt w:val="lowerLetter"/>
      <w:lvlText w:val="%8)"/>
      <w:lvlJc w:val="left"/>
      <w:pPr>
        <w:ind w:left="3366" w:hanging="420"/>
      </w:pPr>
      <w:rPr>
        <w:rFonts w:hint="eastAsia"/>
      </w:rPr>
    </w:lvl>
    <w:lvl w:ilvl="8" w:tentative="0">
      <w:start w:val="1"/>
      <w:numFmt w:val="lowerRoman"/>
      <w:lvlText w:val="%9."/>
      <w:lvlJc w:val="right"/>
      <w:pPr>
        <w:ind w:left="3786" w:hanging="420"/>
      </w:pPr>
      <w:rPr>
        <w:rFonts w:hint="eastAsia"/>
      </w:rPr>
    </w:lvl>
  </w:abstractNum>
  <w:abstractNum w:abstractNumId="16">
    <w:nsid w:val="251E5ABF"/>
    <w:multiLevelType w:val="singleLevel"/>
    <w:tmpl w:val="251E5ABF"/>
    <w:lvl w:ilvl="0" w:tentative="0">
      <w:start w:val="1"/>
      <w:numFmt w:val="decimal"/>
      <w:suff w:val="nothing"/>
      <w:lvlText w:val="（%1）"/>
      <w:lvlJc w:val="left"/>
    </w:lvl>
  </w:abstractNum>
  <w:abstractNum w:abstractNumId="17">
    <w:nsid w:val="2EFD7C1B"/>
    <w:multiLevelType w:val="singleLevel"/>
    <w:tmpl w:val="2EFD7C1B"/>
    <w:lvl w:ilvl="0" w:tentative="0">
      <w:start w:val="1"/>
      <w:numFmt w:val="chineseCounting"/>
      <w:suff w:val="nothing"/>
      <w:lvlText w:val="（%1）"/>
      <w:lvlJc w:val="left"/>
      <w:pPr>
        <w:ind w:left="0" w:firstLine="420"/>
      </w:pPr>
      <w:rPr>
        <w:rFonts w:hint="eastAsia"/>
        <w:color w:val="auto"/>
      </w:rPr>
    </w:lvl>
  </w:abstractNum>
  <w:abstractNum w:abstractNumId="18">
    <w:nsid w:val="5FB0A2DB"/>
    <w:multiLevelType w:val="singleLevel"/>
    <w:tmpl w:val="5FB0A2DB"/>
    <w:lvl w:ilvl="0" w:tentative="0">
      <w:start w:val="1"/>
      <w:numFmt w:val="decimal"/>
      <w:suff w:val="space"/>
      <w:lvlText w:val="%1."/>
      <w:lvlJc w:val="left"/>
      <w:pPr>
        <w:ind w:left="635" w:hanging="425"/>
      </w:pPr>
      <w:rPr>
        <w:rFonts w:hint="default"/>
      </w:rPr>
    </w:lvl>
  </w:abstractNum>
  <w:abstractNum w:abstractNumId="19">
    <w:nsid w:val="69997308"/>
    <w:multiLevelType w:val="multilevel"/>
    <w:tmpl w:val="69997308"/>
    <w:lvl w:ilvl="0" w:tentative="0">
      <w:start w:val="1"/>
      <w:numFmt w:val="chineseCountingThousand"/>
      <w:pStyle w:val="2"/>
      <w:suff w:val="space"/>
      <w:lvlText w:val="%1、"/>
      <w:lvlJc w:val="left"/>
      <w:pPr>
        <w:ind w:left="642" w:hanging="432"/>
      </w:pPr>
      <w:rPr>
        <w:rFonts w:hint="eastAsia"/>
      </w:rPr>
    </w:lvl>
    <w:lvl w:ilvl="1" w:tentative="0">
      <w:start w:val="1"/>
      <w:numFmt w:val="decimal"/>
      <w:isLgl/>
      <w:suff w:val="space"/>
      <w:lvlText w:val="%1.%2"/>
      <w:lvlJc w:val="left"/>
      <w:pPr>
        <w:ind w:left="1064" w:hanging="576"/>
      </w:pPr>
      <w:rPr>
        <w:rFonts w:hint="eastAsia"/>
        <w:b/>
      </w:rPr>
    </w:lvl>
    <w:lvl w:ilvl="2" w:tentative="0">
      <w:start w:val="1"/>
      <w:numFmt w:val="decimal"/>
      <w:isLgl/>
      <w:suff w:val="space"/>
      <w:lvlText w:val="%1.%2.%3"/>
      <w:lvlJc w:val="left"/>
      <w:pPr>
        <w:ind w:left="788" w:hanging="720"/>
      </w:pPr>
      <w:rPr>
        <w:rFonts w:hint="eastAsia"/>
      </w:rPr>
    </w:lvl>
    <w:lvl w:ilvl="3" w:tentative="0">
      <w:start w:val="1"/>
      <w:numFmt w:val="decimal"/>
      <w:isLgl/>
      <w:suff w:val="space"/>
      <w:lvlText w:val="%1.%2.%3.%4"/>
      <w:lvlJc w:val="left"/>
      <w:pPr>
        <w:ind w:left="932" w:hanging="864"/>
      </w:pPr>
      <w:rPr>
        <w:rFonts w:hint="eastAsia"/>
      </w:rPr>
    </w:lvl>
    <w:lvl w:ilvl="4" w:tentative="0">
      <w:start w:val="1"/>
      <w:numFmt w:val="decimal"/>
      <w:isLgl/>
      <w:suff w:val="space"/>
      <w:lvlText w:val="%1.%2.%3.%4.%5"/>
      <w:lvlJc w:val="left"/>
      <w:pPr>
        <w:ind w:left="1076" w:hanging="1008"/>
      </w:pPr>
      <w:rPr>
        <w:rFonts w:hint="eastAsia"/>
      </w:rPr>
    </w:lvl>
    <w:lvl w:ilvl="5" w:tentative="0">
      <w:start w:val="1"/>
      <w:numFmt w:val="decimal"/>
      <w:isLgl/>
      <w:suff w:val="space"/>
      <w:lvlText w:val="%1.%2.%3.%4.%5.%6"/>
      <w:lvlJc w:val="left"/>
      <w:pPr>
        <w:ind w:left="1220" w:hanging="1152"/>
      </w:pPr>
      <w:rPr>
        <w:rFonts w:hint="eastAsia"/>
      </w:rPr>
    </w:lvl>
    <w:lvl w:ilvl="6" w:tentative="0">
      <w:start w:val="1"/>
      <w:numFmt w:val="decimal"/>
      <w:isLgl/>
      <w:suff w:val="space"/>
      <w:lvlText w:val="%1.%2.%3.%4.%5.%6.%7"/>
      <w:lvlJc w:val="left"/>
      <w:pPr>
        <w:ind w:left="1364" w:hanging="1296"/>
      </w:pPr>
      <w:rPr>
        <w:rFonts w:hint="eastAsia"/>
      </w:rPr>
    </w:lvl>
    <w:lvl w:ilvl="7" w:tentative="0">
      <w:start w:val="1"/>
      <w:numFmt w:val="decimal"/>
      <w:isLgl/>
      <w:suff w:val="space"/>
      <w:lvlText w:val="%1.%2.%3.%4.%5.%6.%7.%8"/>
      <w:lvlJc w:val="left"/>
      <w:pPr>
        <w:ind w:left="1508" w:hanging="1440"/>
      </w:pPr>
      <w:rPr>
        <w:rFonts w:hint="eastAsia"/>
      </w:rPr>
    </w:lvl>
    <w:lvl w:ilvl="8" w:tentative="0">
      <w:start w:val="1"/>
      <w:numFmt w:val="decimal"/>
      <w:isLgl/>
      <w:suff w:val="space"/>
      <w:lvlText w:val="%1.%2.%3.%4.%5.%6.%7.%8.%9"/>
      <w:lvlJc w:val="left"/>
      <w:pPr>
        <w:ind w:left="1652" w:hanging="1584"/>
      </w:pPr>
      <w:rPr>
        <w:rFonts w:hint="eastAsia"/>
      </w:rPr>
    </w:lvl>
  </w:abstractNum>
  <w:abstractNum w:abstractNumId="20">
    <w:nsid w:val="6B252088"/>
    <w:multiLevelType w:val="singleLevel"/>
    <w:tmpl w:val="6B252088"/>
    <w:lvl w:ilvl="0" w:tentative="0">
      <w:start w:val="1"/>
      <w:numFmt w:val="decimal"/>
      <w:suff w:val="space"/>
      <w:lvlText w:val="%1."/>
      <w:lvlJc w:val="left"/>
      <w:pPr>
        <w:ind w:left="635" w:hanging="425"/>
      </w:pPr>
      <w:rPr>
        <w:rFonts w:hint="default"/>
      </w:rPr>
    </w:lvl>
  </w:abstractNum>
  <w:abstractNum w:abstractNumId="21">
    <w:nsid w:val="6B3446AF"/>
    <w:multiLevelType w:val="singleLevel"/>
    <w:tmpl w:val="6B3446AF"/>
    <w:lvl w:ilvl="0" w:tentative="0">
      <w:start w:val="1"/>
      <w:numFmt w:val="decimal"/>
      <w:suff w:val="space"/>
      <w:lvlText w:val="%1."/>
      <w:lvlJc w:val="left"/>
      <w:pPr>
        <w:ind w:left="635" w:hanging="425"/>
      </w:pPr>
      <w:rPr>
        <w:rFonts w:hint="default"/>
      </w:rPr>
    </w:lvl>
  </w:abstractNum>
  <w:abstractNum w:abstractNumId="22">
    <w:nsid w:val="7F5943F0"/>
    <w:multiLevelType w:val="multilevel"/>
    <w:tmpl w:val="7F5943F0"/>
    <w:lvl w:ilvl="0" w:tentative="0">
      <w:start w:val="1"/>
      <w:numFmt w:val="decimal"/>
      <w:lvlText w:val="%1."/>
      <w:lvlJc w:val="left"/>
      <w:pPr>
        <w:ind w:left="846" w:hanging="420"/>
      </w:pPr>
      <w:rPr>
        <w:rFonts w:hint="eastAsia"/>
      </w:rPr>
    </w:lvl>
    <w:lvl w:ilvl="1" w:tentative="0">
      <w:start w:val="1"/>
      <w:numFmt w:val="lowerLetter"/>
      <w:lvlText w:val="%2)"/>
      <w:lvlJc w:val="left"/>
      <w:pPr>
        <w:ind w:left="1686" w:hanging="420"/>
      </w:pPr>
      <w:rPr>
        <w:rFonts w:hint="eastAsia"/>
      </w:rPr>
    </w:lvl>
    <w:lvl w:ilvl="2" w:tentative="0">
      <w:start w:val="1"/>
      <w:numFmt w:val="lowerRoman"/>
      <w:lvlText w:val="%3."/>
      <w:lvlJc w:val="right"/>
      <w:pPr>
        <w:ind w:left="2106" w:hanging="420"/>
      </w:pPr>
      <w:rPr>
        <w:rFonts w:hint="eastAsia"/>
      </w:rPr>
    </w:lvl>
    <w:lvl w:ilvl="3" w:tentative="0">
      <w:start w:val="1"/>
      <w:numFmt w:val="decimal"/>
      <w:lvlText w:val="%4."/>
      <w:lvlJc w:val="left"/>
      <w:pPr>
        <w:ind w:left="2526" w:hanging="420"/>
      </w:pPr>
      <w:rPr>
        <w:rFonts w:hint="eastAsia"/>
      </w:rPr>
    </w:lvl>
    <w:lvl w:ilvl="4" w:tentative="0">
      <w:start w:val="1"/>
      <w:numFmt w:val="lowerLetter"/>
      <w:lvlText w:val="%5)"/>
      <w:lvlJc w:val="left"/>
      <w:pPr>
        <w:ind w:left="2946" w:hanging="420"/>
      </w:pPr>
      <w:rPr>
        <w:rFonts w:hint="eastAsia"/>
      </w:rPr>
    </w:lvl>
    <w:lvl w:ilvl="5" w:tentative="0">
      <w:start w:val="1"/>
      <w:numFmt w:val="lowerRoman"/>
      <w:lvlText w:val="%6."/>
      <w:lvlJc w:val="right"/>
      <w:pPr>
        <w:ind w:left="3366" w:hanging="420"/>
      </w:pPr>
      <w:rPr>
        <w:rFonts w:hint="eastAsia"/>
      </w:rPr>
    </w:lvl>
    <w:lvl w:ilvl="6" w:tentative="0">
      <w:start w:val="1"/>
      <w:numFmt w:val="decimal"/>
      <w:lvlText w:val="%7."/>
      <w:lvlJc w:val="left"/>
      <w:pPr>
        <w:ind w:left="3786" w:hanging="420"/>
      </w:pPr>
      <w:rPr>
        <w:rFonts w:hint="eastAsia"/>
      </w:rPr>
    </w:lvl>
    <w:lvl w:ilvl="7" w:tentative="0">
      <w:start w:val="1"/>
      <w:numFmt w:val="lowerLetter"/>
      <w:lvlText w:val="%8)"/>
      <w:lvlJc w:val="left"/>
      <w:pPr>
        <w:ind w:left="4206" w:hanging="420"/>
      </w:pPr>
      <w:rPr>
        <w:rFonts w:hint="eastAsia"/>
      </w:rPr>
    </w:lvl>
    <w:lvl w:ilvl="8" w:tentative="0">
      <w:start w:val="1"/>
      <w:numFmt w:val="lowerRoman"/>
      <w:lvlText w:val="%9."/>
      <w:lvlJc w:val="right"/>
      <w:pPr>
        <w:ind w:left="4626" w:hanging="420"/>
      </w:pPr>
      <w:rPr>
        <w:rFonts w:hint="eastAsia"/>
      </w:rPr>
    </w:lvl>
  </w:abstractNum>
  <w:num w:numId="1">
    <w:abstractNumId w:val="19"/>
  </w:num>
  <w:num w:numId="2">
    <w:abstractNumId w:val="10"/>
  </w:num>
  <w:num w:numId="3">
    <w:abstractNumId w:val="6"/>
  </w:num>
  <w:num w:numId="4">
    <w:abstractNumId w:val="8"/>
  </w:num>
  <w:num w:numId="5">
    <w:abstractNumId w:val="3"/>
  </w:num>
  <w:num w:numId="6">
    <w:abstractNumId w:val="14"/>
  </w:num>
  <w:num w:numId="7">
    <w:abstractNumId w:val="12"/>
  </w:num>
  <w:num w:numId="8">
    <w:abstractNumId w:val="7"/>
  </w:num>
  <w:num w:numId="9">
    <w:abstractNumId w:val="22"/>
  </w:num>
  <w:num w:numId="10">
    <w:abstractNumId w:val="9"/>
  </w:num>
  <w:num w:numId="11">
    <w:abstractNumId w:val="15"/>
  </w:num>
  <w:num w:numId="12">
    <w:abstractNumId w:val="4"/>
  </w:num>
  <w:num w:numId="13">
    <w:abstractNumId w:val="2"/>
  </w:num>
  <w:num w:numId="14">
    <w:abstractNumId w:val="0"/>
  </w:num>
  <w:num w:numId="15">
    <w:abstractNumId w:val="1"/>
  </w:num>
  <w:num w:numId="16">
    <w:abstractNumId w:val="16"/>
  </w:num>
  <w:num w:numId="17">
    <w:abstractNumId w:val="17"/>
  </w:num>
  <w:num w:numId="18">
    <w:abstractNumId w:val="18"/>
  </w:num>
  <w:num w:numId="19">
    <w:abstractNumId w:val="21"/>
  </w:num>
  <w:num w:numId="20">
    <w:abstractNumId w:val="20"/>
  </w:num>
  <w:num w:numId="21">
    <w:abstractNumId w:val="13"/>
  </w:num>
  <w:num w:numId="22">
    <w:abstractNumId w:val="5"/>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acky [2]">
    <w15:presenceInfo w15:providerId="WPS Office" w15:userId="881912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4MjcxMmZjNzgyMDRkMGQ5ZjU1YmQ4NDI4NmMyNzgifQ=="/>
  </w:docVars>
  <w:rsids>
    <w:rsidRoot w:val="00A270E2"/>
    <w:rsid w:val="00012E08"/>
    <w:rsid w:val="00020641"/>
    <w:rsid w:val="00021E8E"/>
    <w:rsid w:val="00022821"/>
    <w:rsid w:val="0002452A"/>
    <w:rsid w:val="000255C6"/>
    <w:rsid w:val="00026755"/>
    <w:rsid w:val="00027651"/>
    <w:rsid w:val="000313AB"/>
    <w:rsid w:val="00040596"/>
    <w:rsid w:val="000425A4"/>
    <w:rsid w:val="000471C5"/>
    <w:rsid w:val="000539FC"/>
    <w:rsid w:val="00056AE6"/>
    <w:rsid w:val="000619BB"/>
    <w:rsid w:val="00066AE9"/>
    <w:rsid w:val="00067490"/>
    <w:rsid w:val="000751C9"/>
    <w:rsid w:val="00084880"/>
    <w:rsid w:val="00087B98"/>
    <w:rsid w:val="000934A9"/>
    <w:rsid w:val="00093B8D"/>
    <w:rsid w:val="00096754"/>
    <w:rsid w:val="000A008D"/>
    <w:rsid w:val="000A3966"/>
    <w:rsid w:val="000A66C3"/>
    <w:rsid w:val="000B2BC0"/>
    <w:rsid w:val="000B373B"/>
    <w:rsid w:val="000B4F3C"/>
    <w:rsid w:val="000C1AB4"/>
    <w:rsid w:val="000C34D4"/>
    <w:rsid w:val="000D56F8"/>
    <w:rsid w:val="000D747F"/>
    <w:rsid w:val="000F07C2"/>
    <w:rsid w:val="000F27EE"/>
    <w:rsid w:val="000F3D79"/>
    <w:rsid w:val="000F5C13"/>
    <w:rsid w:val="0010253E"/>
    <w:rsid w:val="00103D0E"/>
    <w:rsid w:val="001173D9"/>
    <w:rsid w:val="00117AC0"/>
    <w:rsid w:val="0012136B"/>
    <w:rsid w:val="001213BA"/>
    <w:rsid w:val="0012457F"/>
    <w:rsid w:val="001245E5"/>
    <w:rsid w:val="0013366A"/>
    <w:rsid w:val="00141087"/>
    <w:rsid w:val="0015082B"/>
    <w:rsid w:val="0017079B"/>
    <w:rsid w:val="00181386"/>
    <w:rsid w:val="00191748"/>
    <w:rsid w:val="0019470A"/>
    <w:rsid w:val="00194866"/>
    <w:rsid w:val="001A0B20"/>
    <w:rsid w:val="001A2A08"/>
    <w:rsid w:val="001A3D30"/>
    <w:rsid w:val="001B6128"/>
    <w:rsid w:val="001C1EBD"/>
    <w:rsid w:val="001C3457"/>
    <w:rsid w:val="001D4B18"/>
    <w:rsid w:val="001D5BBA"/>
    <w:rsid w:val="001E2704"/>
    <w:rsid w:val="001E6635"/>
    <w:rsid w:val="001F1B76"/>
    <w:rsid w:val="001F349E"/>
    <w:rsid w:val="00202FA2"/>
    <w:rsid w:val="002126D1"/>
    <w:rsid w:val="00216C47"/>
    <w:rsid w:val="00227CF7"/>
    <w:rsid w:val="002309BC"/>
    <w:rsid w:val="0024699F"/>
    <w:rsid w:val="00247639"/>
    <w:rsid w:val="002503DA"/>
    <w:rsid w:val="00256CD7"/>
    <w:rsid w:val="00263672"/>
    <w:rsid w:val="00270DF9"/>
    <w:rsid w:val="00272AEA"/>
    <w:rsid w:val="0027500D"/>
    <w:rsid w:val="002809B7"/>
    <w:rsid w:val="002878BA"/>
    <w:rsid w:val="00292162"/>
    <w:rsid w:val="00294EB9"/>
    <w:rsid w:val="002B7DCD"/>
    <w:rsid w:val="002C1E69"/>
    <w:rsid w:val="002D3CFA"/>
    <w:rsid w:val="002E6862"/>
    <w:rsid w:val="002F3935"/>
    <w:rsid w:val="002F4354"/>
    <w:rsid w:val="00301A9F"/>
    <w:rsid w:val="0030755D"/>
    <w:rsid w:val="003124F2"/>
    <w:rsid w:val="00312FF1"/>
    <w:rsid w:val="00314975"/>
    <w:rsid w:val="00316156"/>
    <w:rsid w:val="00336989"/>
    <w:rsid w:val="00354131"/>
    <w:rsid w:val="003601C8"/>
    <w:rsid w:val="00382535"/>
    <w:rsid w:val="00382C08"/>
    <w:rsid w:val="00390ED9"/>
    <w:rsid w:val="00396F5F"/>
    <w:rsid w:val="003970A6"/>
    <w:rsid w:val="003A0959"/>
    <w:rsid w:val="003A20B6"/>
    <w:rsid w:val="003A37F7"/>
    <w:rsid w:val="003B0556"/>
    <w:rsid w:val="003B2CE9"/>
    <w:rsid w:val="003B3391"/>
    <w:rsid w:val="003B4CA8"/>
    <w:rsid w:val="003C38E7"/>
    <w:rsid w:val="003D2F27"/>
    <w:rsid w:val="003D34B5"/>
    <w:rsid w:val="003D5A09"/>
    <w:rsid w:val="003F61C8"/>
    <w:rsid w:val="00403B10"/>
    <w:rsid w:val="00406115"/>
    <w:rsid w:val="00411476"/>
    <w:rsid w:val="00413079"/>
    <w:rsid w:val="00421480"/>
    <w:rsid w:val="00423F83"/>
    <w:rsid w:val="00424318"/>
    <w:rsid w:val="00424E01"/>
    <w:rsid w:val="004316C7"/>
    <w:rsid w:val="00432689"/>
    <w:rsid w:val="00434165"/>
    <w:rsid w:val="0043705A"/>
    <w:rsid w:val="004419C9"/>
    <w:rsid w:val="0044751C"/>
    <w:rsid w:val="00454EC0"/>
    <w:rsid w:val="004616FE"/>
    <w:rsid w:val="004658EC"/>
    <w:rsid w:val="0047557B"/>
    <w:rsid w:val="00476EEB"/>
    <w:rsid w:val="00483559"/>
    <w:rsid w:val="0048377E"/>
    <w:rsid w:val="00494AAC"/>
    <w:rsid w:val="00495515"/>
    <w:rsid w:val="004A1EF8"/>
    <w:rsid w:val="004A5140"/>
    <w:rsid w:val="004B3800"/>
    <w:rsid w:val="004B586B"/>
    <w:rsid w:val="004B680E"/>
    <w:rsid w:val="004C1E7E"/>
    <w:rsid w:val="004C7439"/>
    <w:rsid w:val="004E155C"/>
    <w:rsid w:val="004E5B0C"/>
    <w:rsid w:val="004E6921"/>
    <w:rsid w:val="004F5177"/>
    <w:rsid w:val="004F5B97"/>
    <w:rsid w:val="00501114"/>
    <w:rsid w:val="00515530"/>
    <w:rsid w:val="00525214"/>
    <w:rsid w:val="00526579"/>
    <w:rsid w:val="00530D44"/>
    <w:rsid w:val="0053186C"/>
    <w:rsid w:val="005417DC"/>
    <w:rsid w:val="00543C27"/>
    <w:rsid w:val="00567594"/>
    <w:rsid w:val="00567A7D"/>
    <w:rsid w:val="00567FF4"/>
    <w:rsid w:val="005714C5"/>
    <w:rsid w:val="00580804"/>
    <w:rsid w:val="0058745B"/>
    <w:rsid w:val="00590234"/>
    <w:rsid w:val="0059335F"/>
    <w:rsid w:val="00595741"/>
    <w:rsid w:val="005A5588"/>
    <w:rsid w:val="005B0543"/>
    <w:rsid w:val="005B3C22"/>
    <w:rsid w:val="005B7B89"/>
    <w:rsid w:val="005C544B"/>
    <w:rsid w:val="005C7CAA"/>
    <w:rsid w:val="005E1074"/>
    <w:rsid w:val="005E2BEF"/>
    <w:rsid w:val="005E497E"/>
    <w:rsid w:val="005E7AF4"/>
    <w:rsid w:val="005F00C9"/>
    <w:rsid w:val="005F2628"/>
    <w:rsid w:val="00600099"/>
    <w:rsid w:val="00601CAF"/>
    <w:rsid w:val="00602466"/>
    <w:rsid w:val="006073AC"/>
    <w:rsid w:val="006135AA"/>
    <w:rsid w:val="00616310"/>
    <w:rsid w:val="0062263A"/>
    <w:rsid w:val="006311D5"/>
    <w:rsid w:val="00633B63"/>
    <w:rsid w:val="006358D9"/>
    <w:rsid w:val="00636F98"/>
    <w:rsid w:val="0063792D"/>
    <w:rsid w:val="00644482"/>
    <w:rsid w:val="00644CCF"/>
    <w:rsid w:val="00650961"/>
    <w:rsid w:val="00651D25"/>
    <w:rsid w:val="0066068A"/>
    <w:rsid w:val="00676A76"/>
    <w:rsid w:val="00696D59"/>
    <w:rsid w:val="00697EBD"/>
    <w:rsid w:val="006A6E7E"/>
    <w:rsid w:val="006B3655"/>
    <w:rsid w:val="006B7F30"/>
    <w:rsid w:val="006C5250"/>
    <w:rsid w:val="006C6023"/>
    <w:rsid w:val="006D44A4"/>
    <w:rsid w:val="006D4F55"/>
    <w:rsid w:val="006E6EBE"/>
    <w:rsid w:val="006F042E"/>
    <w:rsid w:val="00700062"/>
    <w:rsid w:val="0071043E"/>
    <w:rsid w:val="00720644"/>
    <w:rsid w:val="007238E4"/>
    <w:rsid w:val="00724A67"/>
    <w:rsid w:val="00733D86"/>
    <w:rsid w:val="00734313"/>
    <w:rsid w:val="0074156A"/>
    <w:rsid w:val="00744AAA"/>
    <w:rsid w:val="00753839"/>
    <w:rsid w:val="00754408"/>
    <w:rsid w:val="007629A6"/>
    <w:rsid w:val="007677A4"/>
    <w:rsid w:val="00770E94"/>
    <w:rsid w:val="007714E3"/>
    <w:rsid w:val="00775435"/>
    <w:rsid w:val="007845CC"/>
    <w:rsid w:val="007876DE"/>
    <w:rsid w:val="007A0A31"/>
    <w:rsid w:val="007A0A55"/>
    <w:rsid w:val="007A0BB2"/>
    <w:rsid w:val="007A2D17"/>
    <w:rsid w:val="007A793E"/>
    <w:rsid w:val="007B081D"/>
    <w:rsid w:val="007C0112"/>
    <w:rsid w:val="007C080E"/>
    <w:rsid w:val="007C1133"/>
    <w:rsid w:val="007C1795"/>
    <w:rsid w:val="007C71B1"/>
    <w:rsid w:val="007C76B5"/>
    <w:rsid w:val="007D0E71"/>
    <w:rsid w:val="007D1DDC"/>
    <w:rsid w:val="007E5326"/>
    <w:rsid w:val="007E6F58"/>
    <w:rsid w:val="007F17A5"/>
    <w:rsid w:val="007F2455"/>
    <w:rsid w:val="007F5373"/>
    <w:rsid w:val="00804E20"/>
    <w:rsid w:val="00805F65"/>
    <w:rsid w:val="00810071"/>
    <w:rsid w:val="00817336"/>
    <w:rsid w:val="0082439A"/>
    <w:rsid w:val="008262DA"/>
    <w:rsid w:val="0083530B"/>
    <w:rsid w:val="008462D3"/>
    <w:rsid w:val="00846B10"/>
    <w:rsid w:val="00850505"/>
    <w:rsid w:val="00850F1F"/>
    <w:rsid w:val="00871840"/>
    <w:rsid w:val="00871C85"/>
    <w:rsid w:val="008725A7"/>
    <w:rsid w:val="008763A9"/>
    <w:rsid w:val="00893078"/>
    <w:rsid w:val="008939E1"/>
    <w:rsid w:val="0089406D"/>
    <w:rsid w:val="008B18AF"/>
    <w:rsid w:val="008B5399"/>
    <w:rsid w:val="008C3AF0"/>
    <w:rsid w:val="008D1C60"/>
    <w:rsid w:val="008D2FF7"/>
    <w:rsid w:val="008D43BB"/>
    <w:rsid w:val="008D510C"/>
    <w:rsid w:val="008E296C"/>
    <w:rsid w:val="008F4164"/>
    <w:rsid w:val="008F5F76"/>
    <w:rsid w:val="0090365B"/>
    <w:rsid w:val="0090421B"/>
    <w:rsid w:val="009055AE"/>
    <w:rsid w:val="0091058E"/>
    <w:rsid w:val="00910A15"/>
    <w:rsid w:val="0091361D"/>
    <w:rsid w:val="00913FDD"/>
    <w:rsid w:val="00930C56"/>
    <w:rsid w:val="00943ECE"/>
    <w:rsid w:val="00950F02"/>
    <w:rsid w:val="00974ACF"/>
    <w:rsid w:val="00976E08"/>
    <w:rsid w:val="00981C7B"/>
    <w:rsid w:val="009952E3"/>
    <w:rsid w:val="009A3DE0"/>
    <w:rsid w:val="009E5C43"/>
    <w:rsid w:val="009E667E"/>
    <w:rsid w:val="009F284C"/>
    <w:rsid w:val="009F6A0D"/>
    <w:rsid w:val="00A0686F"/>
    <w:rsid w:val="00A068FD"/>
    <w:rsid w:val="00A136CA"/>
    <w:rsid w:val="00A20A9D"/>
    <w:rsid w:val="00A22A2A"/>
    <w:rsid w:val="00A23BA2"/>
    <w:rsid w:val="00A23E2E"/>
    <w:rsid w:val="00A25BBB"/>
    <w:rsid w:val="00A270E2"/>
    <w:rsid w:val="00A3094C"/>
    <w:rsid w:val="00A40495"/>
    <w:rsid w:val="00A422C6"/>
    <w:rsid w:val="00A424AF"/>
    <w:rsid w:val="00A4636F"/>
    <w:rsid w:val="00A539AF"/>
    <w:rsid w:val="00A55959"/>
    <w:rsid w:val="00A55D8D"/>
    <w:rsid w:val="00A56A0E"/>
    <w:rsid w:val="00A6391D"/>
    <w:rsid w:val="00A647C2"/>
    <w:rsid w:val="00A66957"/>
    <w:rsid w:val="00A67175"/>
    <w:rsid w:val="00A70367"/>
    <w:rsid w:val="00A71EF1"/>
    <w:rsid w:val="00A774D2"/>
    <w:rsid w:val="00A81EC7"/>
    <w:rsid w:val="00A83B65"/>
    <w:rsid w:val="00A8681F"/>
    <w:rsid w:val="00A90455"/>
    <w:rsid w:val="00AB42FE"/>
    <w:rsid w:val="00AB721F"/>
    <w:rsid w:val="00AC50BA"/>
    <w:rsid w:val="00AD0208"/>
    <w:rsid w:val="00AD6AD2"/>
    <w:rsid w:val="00AD7054"/>
    <w:rsid w:val="00AD771C"/>
    <w:rsid w:val="00AE064D"/>
    <w:rsid w:val="00AE7B5B"/>
    <w:rsid w:val="00AE7D08"/>
    <w:rsid w:val="00B228F7"/>
    <w:rsid w:val="00B22EB2"/>
    <w:rsid w:val="00B25BA1"/>
    <w:rsid w:val="00B26D2A"/>
    <w:rsid w:val="00B317E3"/>
    <w:rsid w:val="00B320EE"/>
    <w:rsid w:val="00B357C4"/>
    <w:rsid w:val="00B41340"/>
    <w:rsid w:val="00B41DFF"/>
    <w:rsid w:val="00B42573"/>
    <w:rsid w:val="00B44AE3"/>
    <w:rsid w:val="00B51577"/>
    <w:rsid w:val="00B52BF4"/>
    <w:rsid w:val="00B53BC2"/>
    <w:rsid w:val="00B5681F"/>
    <w:rsid w:val="00B60C4E"/>
    <w:rsid w:val="00B64128"/>
    <w:rsid w:val="00B650AD"/>
    <w:rsid w:val="00B65F87"/>
    <w:rsid w:val="00B65FCF"/>
    <w:rsid w:val="00B724FC"/>
    <w:rsid w:val="00B73428"/>
    <w:rsid w:val="00B738ED"/>
    <w:rsid w:val="00B75EEC"/>
    <w:rsid w:val="00B83BCA"/>
    <w:rsid w:val="00B8452C"/>
    <w:rsid w:val="00BA30FB"/>
    <w:rsid w:val="00BB0264"/>
    <w:rsid w:val="00BC2E1C"/>
    <w:rsid w:val="00BD5A8E"/>
    <w:rsid w:val="00BD6705"/>
    <w:rsid w:val="00BE297B"/>
    <w:rsid w:val="00BE372E"/>
    <w:rsid w:val="00BE577A"/>
    <w:rsid w:val="00BE739C"/>
    <w:rsid w:val="00BF1AA1"/>
    <w:rsid w:val="00BF6085"/>
    <w:rsid w:val="00C01FE2"/>
    <w:rsid w:val="00C04704"/>
    <w:rsid w:val="00C20A36"/>
    <w:rsid w:val="00C20F23"/>
    <w:rsid w:val="00C22F50"/>
    <w:rsid w:val="00C23885"/>
    <w:rsid w:val="00C44D4A"/>
    <w:rsid w:val="00C44FDF"/>
    <w:rsid w:val="00C506F6"/>
    <w:rsid w:val="00C51349"/>
    <w:rsid w:val="00C63528"/>
    <w:rsid w:val="00C64AF9"/>
    <w:rsid w:val="00C658FC"/>
    <w:rsid w:val="00C66092"/>
    <w:rsid w:val="00C6799E"/>
    <w:rsid w:val="00C746D1"/>
    <w:rsid w:val="00C862A8"/>
    <w:rsid w:val="00C9160A"/>
    <w:rsid w:val="00C92B08"/>
    <w:rsid w:val="00C94B78"/>
    <w:rsid w:val="00CA6EAF"/>
    <w:rsid w:val="00CA7F2C"/>
    <w:rsid w:val="00CB45CA"/>
    <w:rsid w:val="00CB47C3"/>
    <w:rsid w:val="00CC00CC"/>
    <w:rsid w:val="00CC298C"/>
    <w:rsid w:val="00CC3363"/>
    <w:rsid w:val="00CC4F69"/>
    <w:rsid w:val="00CC6BA7"/>
    <w:rsid w:val="00CD27CD"/>
    <w:rsid w:val="00D14847"/>
    <w:rsid w:val="00D208B0"/>
    <w:rsid w:val="00D256AF"/>
    <w:rsid w:val="00D26D6F"/>
    <w:rsid w:val="00D42D8D"/>
    <w:rsid w:val="00D54525"/>
    <w:rsid w:val="00D56C43"/>
    <w:rsid w:val="00D64BF8"/>
    <w:rsid w:val="00D6561E"/>
    <w:rsid w:val="00D676E6"/>
    <w:rsid w:val="00D6795A"/>
    <w:rsid w:val="00D83BE6"/>
    <w:rsid w:val="00D87016"/>
    <w:rsid w:val="00D92E84"/>
    <w:rsid w:val="00DA0382"/>
    <w:rsid w:val="00DA0B25"/>
    <w:rsid w:val="00DA3373"/>
    <w:rsid w:val="00DA785A"/>
    <w:rsid w:val="00DC32EB"/>
    <w:rsid w:val="00DE5D93"/>
    <w:rsid w:val="00DE7134"/>
    <w:rsid w:val="00DF2A8E"/>
    <w:rsid w:val="00DF52C6"/>
    <w:rsid w:val="00E15286"/>
    <w:rsid w:val="00E30863"/>
    <w:rsid w:val="00E414CB"/>
    <w:rsid w:val="00E4238E"/>
    <w:rsid w:val="00E450C2"/>
    <w:rsid w:val="00E47F72"/>
    <w:rsid w:val="00E54C81"/>
    <w:rsid w:val="00E56014"/>
    <w:rsid w:val="00E613F8"/>
    <w:rsid w:val="00E6323B"/>
    <w:rsid w:val="00E64162"/>
    <w:rsid w:val="00E64D66"/>
    <w:rsid w:val="00E66437"/>
    <w:rsid w:val="00E66A31"/>
    <w:rsid w:val="00E73B17"/>
    <w:rsid w:val="00E815AD"/>
    <w:rsid w:val="00E92295"/>
    <w:rsid w:val="00EA1D91"/>
    <w:rsid w:val="00EA29D9"/>
    <w:rsid w:val="00EB2F33"/>
    <w:rsid w:val="00EB55C2"/>
    <w:rsid w:val="00EB768B"/>
    <w:rsid w:val="00EC3E6A"/>
    <w:rsid w:val="00EC4736"/>
    <w:rsid w:val="00EC7AB6"/>
    <w:rsid w:val="00ED7BA4"/>
    <w:rsid w:val="00EE1E25"/>
    <w:rsid w:val="00EF201A"/>
    <w:rsid w:val="00EF5640"/>
    <w:rsid w:val="00EF7E89"/>
    <w:rsid w:val="00F13C5B"/>
    <w:rsid w:val="00F14B9B"/>
    <w:rsid w:val="00F20766"/>
    <w:rsid w:val="00F35414"/>
    <w:rsid w:val="00F4440F"/>
    <w:rsid w:val="00F5075E"/>
    <w:rsid w:val="00F716CF"/>
    <w:rsid w:val="00F72BE6"/>
    <w:rsid w:val="00F829E6"/>
    <w:rsid w:val="00F942E3"/>
    <w:rsid w:val="00F9475A"/>
    <w:rsid w:val="00FB1E05"/>
    <w:rsid w:val="00FB6691"/>
    <w:rsid w:val="00FC1740"/>
    <w:rsid w:val="00FC1D92"/>
    <w:rsid w:val="00FC4178"/>
    <w:rsid w:val="00FC495E"/>
    <w:rsid w:val="00FD1353"/>
    <w:rsid w:val="00FD1B14"/>
    <w:rsid w:val="00FD1F65"/>
    <w:rsid w:val="00FD2739"/>
    <w:rsid w:val="00FD4663"/>
    <w:rsid w:val="00FD5316"/>
    <w:rsid w:val="00FE4E9F"/>
    <w:rsid w:val="00FE65C5"/>
    <w:rsid w:val="00FE710F"/>
    <w:rsid w:val="00FE791A"/>
    <w:rsid w:val="00FE7D5E"/>
    <w:rsid w:val="00FF1241"/>
    <w:rsid w:val="00FF3D36"/>
    <w:rsid w:val="00FF3E17"/>
    <w:rsid w:val="00FF484B"/>
    <w:rsid w:val="00FF69B2"/>
    <w:rsid w:val="01702746"/>
    <w:rsid w:val="048B2A85"/>
    <w:rsid w:val="0A6749FB"/>
    <w:rsid w:val="0B542123"/>
    <w:rsid w:val="11917AB4"/>
    <w:rsid w:val="139362CF"/>
    <w:rsid w:val="146F0359"/>
    <w:rsid w:val="17A74E4C"/>
    <w:rsid w:val="19BB1D67"/>
    <w:rsid w:val="1AE070FF"/>
    <w:rsid w:val="1D396439"/>
    <w:rsid w:val="1E4B3D67"/>
    <w:rsid w:val="1EEC6D25"/>
    <w:rsid w:val="1F022C12"/>
    <w:rsid w:val="23727364"/>
    <w:rsid w:val="248E60C2"/>
    <w:rsid w:val="2537676D"/>
    <w:rsid w:val="25552897"/>
    <w:rsid w:val="25B4220A"/>
    <w:rsid w:val="26E02954"/>
    <w:rsid w:val="26E56808"/>
    <w:rsid w:val="28C85261"/>
    <w:rsid w:val="28E32683"/>
    <w:rsid w:val="296765C1"/>
    <w:rsid w:val="298306B2"/>
    <w:rsid w:val="2A0B0F88"/>
    <w:rsid w:val="2AB93051"/>
    <w:rsid w:val="2CBA0563"/>
    <w:rsid w:val="30EF0A8C"/>
    <w:rsid w:val="37F76ED5"/>
    <w:rsid w:val="392732D9"/>
    <w:rsid w:val="394B1AAE"/>
    <w:rsid w:val="3AC5596B"/>
    <w:rsid w:val="3B1A77E6"/>
    <w:rsid w:val="3D010986"/>
    <w:rsid w:val="3FCC3560"/>
    <w:rsid w:val="41C674CC"/>
    <w:rsid w:val="41F56C46"/>
    <w:rsid w:val="437631BE"/>
    <w:rsid w:val="4DE90850"/>
    <w:rsid w:val="4E213B8C"/>
    <w:rsid w:val="52AB07CA"/>
    <w:rsid w:val="52BD2036"/>
    <w:rsid w:val="5B501149"/>
    <w:rsid w:val="5CFE6C1B"/>
    <w:rsid w:val="5D620742"/>
    <w:rsid w:val="60265F05"/>
    <w:rsid w:val="61177EB1"/>
    <w:rsid w:val="63DB4FFC"/>
    <w:rsid w:val="64E8140A"/>
    <w:rsid w:val="66267D6C"/>
    <w:rsid w:val="679A32F8"/>
    <w:rsid w:val="67A06CE3"/>
    <w:rsid w:val="720D24B0"/>
    <w:rsid w:val="72914E8F"/>
    <w:rsid w:val="75A44411"/>
    <w:rsid w:val="784B4A90"/>
    <w:rsid w:val="7A61596F"/>
    <w:rsid w:val="7C9816FB"/>
    <w:rsid w:val="7CE16A13"/>
    <w:rsid w:val="7FDA3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0"/>
    <w:pPr>
      <w:keepNext/>
      <w:keepLines/>
      <w:pageBreakBefore/>
      <w:numPr>
        <w:ilvl w:val="0"/>
        <w:numId w:val="1"/>
      </w:numPr>
      <w:outlineLvl w:val="0"/>
    </w:pPr>
    <w:rPr>
      <w:rFonts w:ascii="仿宋" w:hAnsi="仿宋"/>
      <w:b/>
      <w:bCs/>
      <w:kern w:val="44"/>
      <w:sz w:val="32"/>
      <w:szCs w:val="44"/>
    </w:rPr>
  </w:style>
  <w:style w:type="paragraph" w:styleId="3">
    <w:name w:val="heading 2"/>
    <w:basedOn w:val="1"/>
    <w:next w:val="1"/>
    <w:link w:val="28"/>
    <w:autoRedefine/>
    <w:qFormat/>
    <w:uiPriority w:val="0"/>
    <w:pPr>
      <w:keepNext/>
      <w:keepLines/>
      <w:spacing w:before="260" w:after="260" w:line="416" w:lineRule="auto"/>
      <w:outlineLvl w:val="1"/>
    </w:pPr>
    <w:rPr>
      <w:rFonts w:ascii="Arial" w:hAnsi="Arial" w:eastAsia="黑体"/>
      <w:b/>
      <w:bCs/>
      <w:kern w:val="0"/>
      <w:sz w:val="32"/>
      <w:szCs w:val="32"/>
      <w:lang w:val="zh-CN"/>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30"/>
    <w:autoRedefine/>
    <w:qFormat/>
    <w:uiPriority w:val="99"/>
    <w:pPr>
      <w:jc w:val="left"/>
    </w:pPr>
  </w:style>
  <w:style w:type="paragraph" w:styleId="5">
    <w:name w:val="Plain Text"/>
    <w:basedOn w:val="1"/>
    <w:link w:val="26"/>
    <w:autoRedefine/>
    <w:qFormat/>
    <w:uiPriority w:val="0"/>
    <w:rPr>
      <w:rFonts w:ascii="宋体" w:hAnsi="Courier New"/>
      <w:kern w:val="0"/>
      <w:sz w:val="20"/>
      <w:szCs w:val="21"/>
      <w:lang w:val="zh-CN"/>
    </w:rPr>
  </w:style>
  <w:style w:type="paragraph" w:styleId="6">
    <w:name w:val="Balloon Text"/>
    <w:basedOn w:val="1"/>
    <w:link w:val="25"/>
    <w:autoRedefine/>
    <w:qFormat/>
    <w:uiPriority w:val="99"/>
    <w:rPr>
      <w:sz w:val="18"/>
      <w:szCs w:val="18"/>
    </w:rPr>
  </w:style>
  <w:style w:type="paragraph" w:styleId="7">
    <w:name w:val="footer"/>
    <w:basedOn w:val="1"/>
    <w:link w:val="20"/>
    <w:autoRedefine/>
    <w:qFormat/>
    <w:uiPriority w:val="99"/>
    <w:pPr>
      <w:tabs>
        <w:tab w:val="center" w:pos="4153"/>
        <w:tab w:val="right" w:pos="8306"/>
      </w:tabs>
      <w:snapToGrid w:val="0"/>
      <w:jc w:val="left"/>
    </w:pPr>
    <w:rPr>
      <w:sz w:val="18"/>
      <w:szCs w:val="18"/>
    </w:rPr>
  </w:style>
  <w:style w:type="paragraph" w:styleId="8">
    <w:name w:val="header"/>
    <w:basedOn w:val="1"/>
    <w:link w:val="19"/>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21"/>
    <w:autoRedefine/>
    <w:qFormat/>
    <w:uiPriority w:val="10"/>
    <w:pPr>
      <w:spacing w:before="240" w:after="60"/>
      <w:jc w:val="center"/>
      <w:outlineLvl w:val="0"/>
    </w:pPr>
    <w:rPr>
      <w:rFonts w:ascii="Cambria" w:hAnsi="Cambria"/>
      <w:b/>
      <w:bCs/>
      <w:kern w:val="0"/>
      <w:sz w:val="32"/>
      <w:szCs w:val="32"/>
      <w:lang w:val="zh-CN"/>
    </w:rPr>
  </w:style>
  <w:style w:type="paragraph" w:styleId="11">
    <w:name w:val="annotation subject"/>
    <w:basedOn w:val="4"/>
    <w:next w:val="4"/>
    <w:link w:val="31"/>
    <w:autoRedefine/>
    <w:qFormat/>
    <w:uiPriority w:val="99"/>
    <w:rPr>
      <w:b/>
      <w:bCs/>
    </w:rPr>
  </w:style>
  <w:style w:type="table" w:styleId="13">
    <w:name w:val="Table Grid"/>
    <w:basedOn w:val="1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autoRedefine/>
    <w:qFormat/>
    <w:uiPriority w:val="22"/>
    <w:rPr>
      <w:b/>
      <w:bCs/>
    </w:rPr>
  </w:style>
  <w:style w:type="character" w:styleId="16">
    <w:name w:val="Emphasis"/>
    <w:basedOn w:val="14"/>
    <w:autoRedefine/>
    <w:qFormat/>
    <w:uiPriority w:val="0"/>
    <w:rPr>
      <w:i/>
      <w:iCs/>
    </w:rPr>
  </w:style>
  <w:style w:type="character" w:styleId="17">
    <w:name w:val="Hyperlink"/>
    <w:basedOn w:val="14"/>
    <w:autoRedefine/>
    <w:qFormat/>
    <w:uiPriority w:val="99"/>
    <w:rPr>
      <w:color w:val="0000FF"/>
      <w:u w:val="single"/>
    </w:rPr>
  </w:style>
  <w:style w:type="character" w:styleId="18">
    <w:name w:val="annotation reference"/>
    <w:basedOn w:val="14"/>
    <w:autoRedefine/>
    <w:qFormat/>
    <w:uiPriority w:val="99"/>
    <w:rPr>
      <w:sz w:val="21"/>
      <w:szCs w:val="21"/>
    </w:rPr>
  </w:style>
  <w:style w:type="character" w:customStyle="1" w:styleId="19">
    <w:name w:val="页眉 Char"/>
    <w:basedOn w:val="14"/>
    <w:link w:val="8"/>
    <w:autoRedefine/>
    <w:qFormat/>
    <w:uiPriority w:val="99"/>
    <w:rPr>
      <w:sz w:val="18"/>
      <w:szCs w:val="18"/>
    </w:rPr>
  </w:style>
  <w:style w:type="character" w:customStyle="1" w:styleId="20">
    <w:name w:val="页脚 Char"/>
    <w:basedOn w:val="14"/>
    <w:link w:val="7"/>
    <w:autoRedefine/>
    <w:qFormat/>
    <w:uiPriority w:val="99"/>
    <w:rPr>
      <w:sz w:val="18"/>
      <w:szCs w:val="18"/>
    </w:rPr>
  </w:style>
  <w:style w:type="character" w:customStyle="1" w:styleId="21">
    <w:name w:val="标题 Char"/>
    <w:basedOn w:val="14"/>
    <w:link w:val="10"/>
    <w:autoRedefine/>
    <w:qFormat/>
    <w:uiPriority w:val="10"/>
    <w:rPr>
      <w:rFonts w:ascii="Cambria" w:hAnsi="Cambria" w:eastAsia="宋体" w:cs="Times New Roman"/>
      <w:b/>
      <w:bCs/>
      <w:kern w:val="0"/>
      <w:sz w:val="32"/>
      <w:szCs w:val="32"/>
      <w:lang w:val="zh-CN" w:eastAsia="zh-CN"/>
    </w:rPr>
  </w:style>
  <w:style w:type="paragraph" w:customStyle="1" w:styleId="22">
    <w:name w:val="列出段落1"/>
    <w:basedOn w:val="1"/>
    <w:link w:val="23"/>
    <w:autoRedefine/>
    <w:qFormat/>
    <w:uiPriority w:val="34"/>
    <w:pPr>
      <w:ind w:firstLine="420" w:firstLineChars="200"/>
    </w:pPr>
  </w:style>
  <w:style w:type="character" w:customStyle="1" w:styleId="23">
    <w:name w:val="列出段落 Char"/>
    <w:link w:val="22"/>
    <w:autoRedefine/>
    <w:qFormat/>
    <w:uiPriority w:val="34"/>
    <w:rPr>
      <w:rFonts w:ascii="Times New Roman" w:hAnsi="Times New Roman" w:eastAsia="宋体" w:cs="Times New Roman"/>
    </w:rPr>
  </w:style>
  <w:style w:type="paragraph" w:customStyle="1" w:styleId="24">
    <w:name w:val="_Style 28"/>
    <w:basedOn w:val="1"/>
    <w:next w:val="22"/>
    <w:autoRedefine/>
    <w:qFormat/>
    <w:uiPriority w:val="99"/>
    <w:pPr>
      <w:ind w:firstLine="420" w:firstLineChars="200"/>
    </w:pPr>
  </w:style>
  <w:style w:type="character" w:customStyle="1" w:styleId="25">
    <w:name w:val="批注框文本 Char"/>
    <w:basedOn w:val="14"/>
    <w:link w:val="6"/>
    <w:autoRedefine/>
    <w:qFormat/>
    <w:uiPriority w:val="99"/>
    <w:rPr>
      <w:rFonts w:ascii="Times New Roman" w:hAnsi="Times New Roman" w:eastAsia="宋体" w:cs="Times New Roman"/>
      <w:sz w:val="18"/>
      <w:szCs w:val="18"/>
    </w:rPr>
  </w:style>
  <w:style w:type="character" w:customStyle="1" w:styleId="26">
    <w:name w:val="纯文本 Char"/>
    <w:basedOn w:val="14"/>
    <w:link w:val="5"/>
    <w:autoRedefine/>
    <w:qFormat/>
    <w:uiPriority w:val="0"/>
    <w:rPr>
      <w:rFonts w:ascii="宋体" w:hAnsi="Courier New" w:eastAsia="宋体" w:cs="Times New Roman"/>
      <w:kern w:val="0"/>
      <w:sz w:val="20"/>
      <w:szCs w:val="21"/>
      <w:lang w:val="zh-CN" w:eastAsia="zh-CN"/>
    </w:rPr>
  </w:style>
  <w:style w:type="paragraph" w:customStyle="1" w:styleId="27">
    <w:name w:val="列出段落11"/>
    <w:basedOn w:val="1"/>
    <w:link w:val="29"/>
    <w:autoRedefine/>
    <w:qFormat/>
    <w:uiPriority w:val="34"/>
    <w:pPr>
      <w:ind w:firstLine="420" w:firstLineChars="200"/>
    </w:pPr>
    <w:rPr>
      <w:rFonts w:ascii="Calibri" w:hAnsi="Calibri" w:cs="宋体"/>
    </w:rPr>
  </w:style>
  <w:style w:type="character" w:customStyle="1" w:styleId="28">
    <w:name w:val="标题 2 Char"/>
    <w:basedOn w:val="14"/>
    <w:link w:val="3"/>
    <w:autoRedefine/>
    <w:qFormat/>
    <w:uiPriority w:val="0"/>
    <w:rPr>
      <w:rFonts w:ascii="Arial" w:hAnsi="Arial" w:eastAsia="黑体" w:cs="Times New Roman"/>
      <w:b/>
      <w:bCs/>
      <w:kern w:val="0"/>
      <w:sz w:val="32"/>
      <w:szCs w:val="32"/>
      <w:lang w:val="zh-CN" w:eastAsia="zh-CN"/>
    </w:rPr>
  </w:style>
  <w:style w:type="character" w:customStyle="1" w:styleId="29">
    <w:name w:val="List Paragraph Char"/>
    <w:link w:val="27"/>
    <w:autoRedefine/>
    <w:qFormat/>
    <w:uiPriority w:val="0"/>
  </w:style>
  <w:style w:type="character" w:customStyle="1" w:styleId="30">
    <w:name w:val="批注文字 Char"/>
    <w:basedOn w:val="14"/>
    <w:link w:val="4"/>
    <w:autoRedefine/>
    <w:qFormat/>
    <w:uiPriority w:val="99"/>
    <w:rPr>
      <w:rFonts w:ascii="Times New Roman" w:hAnsi="Times New Roman" w:eastAsia="宋体" w:cs="Times New Roman"/>
    </w:rPr>
  </w:style>
  <w:style w:type="character" w:customStyle="1" w:styleId="31">
    <w:name w:val="批注主题 Char"/>
    <w:basedOn w:val="30"/>
    <w:link w:val="11"/>
    <w:autoRedefine/>
    <w:qFormat/>
    <w:uiPriority w:val="99"/>
    <w:rPr>
      <w:rFonts w:ascii="Times New Roman" w:hAnsi="Times New Roman" w:eastAsia="宋体" w:cs="Times New Roman"/>
      <w:b/>
      <w:bCs/>
    </w:rPr>
  </w:style>
  <w:style w:type="paragraph" w:customStyle="1" w:styleId="32">
    <w:name w:val="_Style 281"/>
    <w:basedOn w:val="1"/>
    <w:next w:val="22"/>
    <w:autoRedefine/>
    <w:qFormat/>
    <w:uiPriority w:val="34"/>
    <w:pPr>
      <w:ind w:firstLine="420" w:firstLineChars="200"/>
    </w:pPr>
    <w:rPr>
      <w:rFonts w:eastAsia="等线"/>
    </w:rPr>
  </w:style>
  <w:style w:type="paragraph" w:customStyle="1" w:styleId="3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4">
    <w:name w:val="_Style 30"/>
    <w:basedOn w:val="1"/>
    <w:next w:val="22"/>
    <w:link w:val="35"/>
    <w:autoRedefine/>
    <w:qFormat/>
    <w:uiPriority w:val="34"/>
    <w:pPr>
      <w:ind w:firstLine="420" w:firstLineChars="200"/>
    </w:pPr>
    <w:rPr>
      <w:rFonts w:ascii="Calibri" w:hAnsi="Calibri" w:cs="宋体"/>
    </w:rPr>
  </w:style>
  <w:style w:type="character" w:customStyle="1" w:styleId="35">
    <w:name w:val="列出段落 Char2"/>
    <w:link w:val="34"/>
    <w:autoRedefine/>
    <w:qFormat/>
    <w:uiPriority w:val="34"/>
    <w:rPr>
      <w:rFonts w:ascii="Calibri" w:hAnsi="Calibri"/>
      <w:kern w:val="2"/>
      <w:sz w:val="21"/>
      <w:szCs w:val="22"/>
    </w:rPr>
  </w:style>
  <w:style w:type="character" w:customStyle="1" w:styleId="36">
    <w:name w:val="批注文字 字符"/>
    <w:autoRedefine/>
    <w:qFormat/>
    <w:uiPriority w:val="0"/>
    <w:rPr>
      <w:kern w:val="2"/>
      <w:sz w:val="21"/>
      <w:szCs w:val="24"/>
    </w:rPr>
  </w:style>
  <w:style w:type="paragraph" w:customStyle="1" w:styleId="3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8">
    <w:name w:val="表格内文字"/>
    <w:basedOn w:val="1"/>
    <w:autoRedefine/>
    <w:qFormat/>
    <w:uiPriority w:val="0"/>
    <w:pPr>
      <w:spacing w:line="300" w:lineRule="atLeast"/>
      <w:ind w:left="60" w:leftChars="-10" w:hanging="81" w:hangingChars="45"/>
      <w:jc w:val="center"/>
    </w:pPr>
    <w:rPr>
      <w:rFonts w:ascii="Arial" w:hAnsi="Arial" w:eastAsia="仿宋_GB2312" w:cs="Arial"/>
      <w:bCs/>
      <w:kern w:val="0"/>
      <w:sz w:val="18"/>
      <w:szCs w:val="18"/>
    </w:rPr>
  </w:style>
  <w:style w:type="paragraph" w:customStyle="1" w:styleId="39">
    <w:name w:val="表头文字"/>
    <w:basedOn w:val="1"/>
    <w:autoRedefine/>
    <w:qFormat/>
    <w:uiPriority w:val="0"/>
    <w:pPr>
      <w:spacing w:line="300" w:lineRule="atLeast"/>
      <w:jc w:val="center"/>
    </w:pPr>
    <w:rPr>
      <w:rFonts w:eastAsia="仿宋_GB2312"/>
      <w:sz w:val="18"/>
      <w:szCs w:val="20"/>
    </w:rPr>
  </w:style>
  <w:style w:type="character" w:customStyle="1" w:styleId="40">
    <w:name w:val="列表段落 字符"/>
    <w:autoRedefine/>
    <w:qFormat/>
    <w:uiPriority w:val="0"/>
    <w:rPr>
      <w:kern w:val="2"/>
      <w:sz w:val="21"/>
      <w:szCs w:val="22"/>
    </w:rPr>
  </w:style>
  <w:style w:type="paragraph" w:styleId="41">
    <w:name w:val="List Paragraph"/>
    <w:basedOn w:val="1"/>
    <w:autoRedefine/>
    <w:qFormat/>
    <w:uiPriority w:val="34"/>
    <w:pPr>
      <w:ind w:firstLine="420" w:firstLineChars="200"/>
    </w:pPr>
  </w:style>
  <w:style w:type="character" w:customStyle="1" w:styleId="42">
    <w:name w:val="font21"/>
    <w:basedOn w:val="14"/>
    <w:autoRedefine/>
    <w:qFormat/>
    <w:uiPriority w:val="0"/>
    <w:rPr>
      <w:rFonts w:hint="eastAsia" w:ascii="宋体" w:hAnsi="宋体" w:eastAsia="宋体"/>
      <w:color w:val="000000"/>
      <w:sz w:val="24"/>
      <w:szCs w:val="24"/>
      <w:u w:val="none"/>
    </w:rPr>
  </w:style>
  <w:style w:type="character" w:customStyle="1" w:styleId="43">
    <w:name w:val="font01"/>
    <w:basedOn w:val="14"/>
    <w:autoRedefine/>
    <w:qFormat/>
    <w:uiPriority w:val="0"/>
    <w:rPr>
      <w:rFonts w:hint="eastAsia" w:ascii="宋体" w:hAnsi="宋体" w:eastAsia="宋体"/>
      <w:color w:val="000000"/>
      <w:sz w:val="28"/>
      <w:szCs w:val="28"/>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1451</Words>
  <Characters>8276</Characters>
  <Lines>68</Lines>
  <Paragraphs>19</Paragraphs>
  <TotalTime>31</TotalTime>
  <ScaleCrop>false</ScaleCrop>
  <LinksUpToDate>false</LinksUpToDate>
  <CharactersWithSpaces>9708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2022-10-09T16:37:00Z</dcterms:created>
  <dc:creator>Administrator</dc:creator>
  <cp:lastModifiedBy>云采链-清</cp:lastModifiedBy>
  <cp:lastPrinted>2023-05-06T00:26:00Z</cp:lastPrinted>
  <dcterms:modified xsi:type="dcterms:W3CDTF">2024-04-24T09:03:05Z</dcterms:modified>
  <cp:revision>659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F74716F6B5C14BA292678E282302F431_13</vt:lpwstr>
  </property>
</Properties>
</file>