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广东省东莞监狱2024年狱内绿化苗木维护与更新采购项目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二〇二四年三月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供应商应符合《中华人民共和国政府采购法》第二十二条规定；供应商应有固定的经营场所，</w:t>
      </w:r>
      <w:r>
        <w:rPr>
          <w:rFonts w:hint="eastAsia" w:ascii="宋体" w:hAnsi="宋体" w:cs="宋体"/>
          <w:color w:val="000000"/>
          <w:szCs w:val="21"/>
        </w:rPr>
        <w:t>资金雄厚、</w:t>
      </w:r>
      <w:r>
        <w:rPr>
          <w:rFonts w:hint="eastAsia" w:ascii="宋体" w:hAnsi="宋体" w:cs="宋体"/>
          <w:color w:val="000000"/>
          <w:kern w:val="0"/>
          <w:szCs w:val="21"/>
        </w:rPr>
        <w:t>信誉良好、售后维护服务好，</w:t>
      </w:r>
      <w:r>
        <w:rPr>
          <w:rFonts w:hint="eastAsia" w:ascii="宋体" w:hAnsi="宋体" w:cs="宋体"/>
          <w:color w:val="000000"/>
          <w:kern w:val="0"/>
          <w:szCs w:val="21"/>
          <w:lang w:val="en-US" w:eastAsia="zh-CN"/>
        </w:rPr>
        <w:t>具备本项目</w:t>
      </w:r>
      <w:r>
        <w:rPr>
          <w:rFonts w:hint="eastAsia" w:ascii="宋体" w:hAnsi="宋体" w:cs="宋体"/>
          <w:color w:val="000000"/>
          <w:kern w:val="0"/>
          <w:szCs w:val="21"/>
        </w:rPr>
        <w:t>所必须的设备和专业技术能力</w:t>
      </w:r>
      <w:r>
        <w:rPr>
          <w:rFonts w:hint="eastAsia" w:ascii="宋体" w:hAnsi="宋体" w:cs="宋体"/>
          <w:color w:val="000000"/>
          <w:kern w:val="0"/>
          <w:szCs w:val="21"/>
          <w:lang w:eastAsia="zh-CN"/>
        </w:rPr>
        <w:t>，</w:t>
      </w:r>
      <w:r>
        <w:rPr>
          <w:rFonts w:hint="eastAsia" w:ascii="宋体" w:hAnsi="宋体" w:cs="宋体"/>
          <w:color w:val="000000"/>
          <w:kern w:val="0"/>
          <w:szCs w:val="21"/>
        </w:rPr>
        <w:t>并且在经营活动中无严重违法记录；本项目不允许联合体参加竞价，成交供应商不得分包或转包；存在隶属关系或同属一母公司或法人的企业，仅能由一家企业参与竞价；</w:t>
      </w:r>
      <w:r>
        <w:rPr>
          <w:rFonts w:hint="eastAsia" w:ascii="宋体" w:hAnsi="宋体" w:cs="宋体"/>
          <w:b/>
          <w:bCs/>
          <w:color w:val="000000"/>
          <w:kern w:val="0"/>
          <w:szCs w:val="21"/>
        </w:rPr>
        <w:t>提供供应商资格声明函，格式见附件</w:t>
      </w:r>
      <w:r>
        <w:rPr>
          <w:rFonts w:hint="eastAsia" w:ascii="宋体" w:hAnsi="宋体" w:cs="宋体"/>
          <w:color w:val="000000"/>
          <w:kern w:val="0"/>
          <w:szCs w:val="21"/>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widowControl/>
        <w:numPr>
          <w:ilvl w:val="0"/>
          <w:numId w:val="7"/>
        </w:numPr>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kern w:val="0"/>
          <w:szCs w:val="21"/>
          <w:lang w:val="en-US" w:eastAsia="zh-CN"/>
        </w:rPr>
        <w:t>供应商报名时须提供</w:t>
      </w:r>
      <w:r>
        <w:rPr>
          <w:rFonts w:hint="eastAsia" w:ascii="宋体" w:hAnsi="宋体"/>
          <w:color w:val="000000"/>
          <w:szCs w:val="21"/>
          <w:lang w:val="en-US" w:eastAsia="zh-CN"/>
        </w:rPr>
        <w:t>售后服务承诺，</w:t>
      </w:r>
      <w:r>
        <w:rPr>
          <w:rFonts w:hint="eastAsia" w:ascii="宋体" w:hAnsi="宋体"/>
          <w:b/>
          <w:bCs/>
          <w:color w:val="000000"/>
          <w:szCs w:val="21"/>
          <w:lang w:val="en-US" w:eastAsia="zh-CN"/>
        </w:rPr>
        <w:t>提供售后服务承诺函，格式见附件。</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广东省东莞监狱2024年狱内绿化苗木维护与更新采购项目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1项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 </w:t>
            </w:r>
            <w:r>
              <w:rPr>
                <w:rFonts w:hint="eastAsia" w:ascii="宋体" w:hAnsi="宋体" w:cs="宋体"/>
                <w:bCs/>
                <w:color w:val="000000"/>
                <w:szCs w:val="21"/>
                <w:lang w:val="en-US" w:eastAsia="zh-CN"/>
              </w:rPr>
              <w:t>3个</w:t>
            </w:r>
            <w:r>
              <w:rPr>
                <w:rFonts w:hint="eastAsia" w:asciiTheme="minorEastAsia" w:hAnsiTheme="minorEastAsia" w:eastAsiaTheme="minorEastAsia"/>
                <w:sz w:val="21"/>
                <w:szCs w:val="21"/>
              </w:rPr>
              <w:t>工作日</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97370.93</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eastAsia="zh-CN"/>
          <w14:textFill>
            <w14:solidFill>
              <w14:schemeClr w14:val="tx1"/>
            </w14:solidFill>
          </w14:textFill>
        </w:rPr>
      </w:pPr>
      <w:r>
        <w:rPr>
          <w:rFonts w:hint="eastAsia" w:ascii="宋体" w:hAnsi="宋体" w:eastAsia="宋体" w:cs="宋体"/>
          <w:b/>
          <w:bCs/>
          <w:color w:val="000000" w:themeColor="text1"/>
          <w:szCs w:val="21"/>
          <w:lang w:val="zh-CN" w:eastAsia="zh-CN"/>
          <w14:textFill>
            <w14:solidFill>
              <w14:schemeClr w14:val="tx1"/>
            </w14:solidFill>
          </w14:textFill>
        </w:rPr>
        <w:t>项目</w:t>
      </w:r>
      <w:r>
        <w:rPr>
          <w:rFonts w:hint="eastAsia" w:ascii="宋体" w:hAnsi="宋体" w:cs="宋体"/>
          <w:b/>
          <w:bCs/>
          <w:color w:val="000000" w:themeColor="text1"/>
          <w:szCs w:val="21"/>
          <w:lang w:val="en-US" w:eastAsia="zh-CN"/>
          <w14:textFill>
            <w14:solidFill>
              <w14:schemeClr w14:val="tx1"/>
            </w14:solidFill>
          </w14:textFill>
        </w:rPr>
        <w:t>要求</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cs="Helvetica Neue"/>
          <w:color w:val="000000"/>
          <w:kern w:val="2"/>
          <w:sz w:val="21"/>
          <w:szCs w:val="21"/>
          <w:lang w:val="en-US" w:eastAsia="zh-CN" w:bidi="ar"/>
        </w:rPr>
        <w:t>响应供应商</w:t>
      </w:r>
      <w:r>
        <w:rPr>
          <w:rFonts w:hint="eastAsia" w:ascii="宋体" w:hAnsi="宋体" w:eastAsia="宋体" w:cs="Helvetica Neue"/>
          <w:color w:val="000000"/>
          <w:kern w:val="2"/>
          <w:sz w:val="21"/>
          <w:szCs w:val="21"/>
          <w:lang w:val="en-US" w:eastAsia="zh-CN" w:bidi="ar"/>
        </w:rPr>
        <w:t>必须承诺，完全满足采购过程发出所有文件的要求，必须具备履行本项目的能力。如在实施过程中，采购人发现有不符合要求的地方，采购人有权终止合同，一切费用由成交供应商承担，履约保证金不予退还。</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苗木在栽植过程中，除需要供应商自行种植的，其余苗木供应商必须现场提供技术指导（挖穴、消毒、苗木处理、埋土等）和免费提供相关材料（穴土消毒、苗木浸泡等所用物料）。</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养护期内，监狱会根据不同苗木的生长周期，通知成交供应商上门技术指导，包括病虫害防治、修剪、浇水、施肥等，所用设备及材料由供应商免费提供，上门技术指导次数养护期内应大于或等于四次。</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成交供应商要自行了解、悉知监狱场所的进出制度，然后无条件遵守。不得以监狱场所的进出制度麻烦、复杂、耗时从而以此要求增加费用及提出其他无理要求。</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成交供应商必须确保自身有足够的能力、实力开展上述工作，包含使用常规器械、大型机械设备、先进机械设备、高级专业人员等等。采购人也不会因工作方式、方法的改变或投入而再支付任何其他费用（进入监狱必经线路新洲小桥限重20吨）。</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应急工作要求</w:t>
      </w:r>
    </w:p>
    <w:p>
      <w:pPr>
        <w:keepNext w:val="0"/>
        <w:keepLines w:val="0"/>
        <w:widowControl w:val="0"/>
        <w:numPr>
          <w:ilvl w:val="0"/>
          <w:numId w:val="16"/>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在合同期内，成交供应商需全年（含春节、中秋、国庆等一切国家法定节假日及周六日）24小时在线，在收到采购人通知时，必须于三个自然日抵达监狱现场开展工作。具体操作方法：成交供应商在签订合同时，需提供一至两个全年24小时不停机、不关机并必须有人接听的手机号码。采购人在遇上应急工作的时候，拨通了成交供应商提供的手机号码，则视为通知到达。若无人接听或关机，采购人则编制短信内容：“请按合同约定前来维护”发至提供的手机号码后则视为通知到位。在开展服务过程中，若因成交供应商不能按规定的时间抵达现场开展工作或无法完成需求书的工作内容，采购人有权按照考核扣罚标准进行扣罚或解除合同。采购人行使合同权力时，通话记录、短信内容为已经履行通知的凭证。而监狱大门的视频监控内容则可证明成交方的工作人员是否有按时抵达监狱。由于施工场所特殊性，若出现不可抗力因素的情况，双方需在24小时内电话沟通，并在监狱相关工作规定和要求下开展现场工作。</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具体服务清单</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1236"/>
        <w:gridCol w:w="3250"/>
        <w:gridCol w:w="942"/>
        <w:gridCol w:w="788"/>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杨桃树苗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四季甜杨桃，主干直径3㎝以上，叶片浓绿，根系发达，无检疫性病虫害，带泥球。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eastAsia="zh-CN"/>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荔枝树苗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桂味荔枝，主干直径3㎝以上，叶片浓绿，根系发达，无检疫性病虫害，带泥球。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龙眼树苗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石硤龙眼，主干直径3㎝以上，叶片浓绿，根系发达，无检疫性病虫害，带泥球。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柠檬树苗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香水柠檬，主干直径2㎝以上，叶片浓绿，根系发达，无检疫性病虫害，带泥球。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金桔树苗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脆皮金桔，三年苗，树高90㎝以上，叶片浓绿，根系发达，无检疫性病虫害，带泥球。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三华李树苗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银妃三华李，主干直径3㎝以上，叶片浓绿，根系发达，无检疫性病虫害，带泥球。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台湾青枣树苗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主干直径2.5㎝以上，五年苗，叶片浓绿，根系发达，无检疫性病虫害，带泥球。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油柑树苗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柿饼甜油柑，主干直径3㎝以上，叶片浓绿，根系发达，无检疫性病虫害，带泥球。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巴蕉树苗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中蕉九号；叶片浓绿，根系发达，高90㎝以上，主干8cm,无检疫性病虫害，带泥球。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黄皮树苗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无核黄皮，主干直径3㎝以上，叶片浓绿，根系发达，嫁接口愈合良好，无检疫性病虫害，带泥球。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红心番石榴</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3年苗，高60cm以上，叶片浓绿，根系发达，无检疫性病虫害，带泥球。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沙田柚</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5年苗，高80cm以上，叶片浓绿，根系发达，无检疫性病虫害，带泥球。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紫荆花树（含种植、搭竹支架）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红花紫荆，主干直径12㎝以上，叶片浓绿，根系发达，无检疫性病虫害，带泥球。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草皮（含种植）</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马尼拉草，低矮浓密，无杂草，带泥。</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因该区域土质较差瓦砾较多，供货方需进行换土回填，换土深度为30CM，土质要求一类种植土。供应商负责种植。养护期为1年，养护期内苗木死亡的按原规格或升级规格进行更换。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白玉兰树苗（含种植、搭竹支架）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主干直径6㎝以上，树高200㎝以上，叶片浓绿，根系发达，无检疫性病虫害，带泥球。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桂花树苗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主干直径2㎝以上，树高110㎝以上，叶片浓绿，根系发达，无检疫性病虫害，带泥球。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种植面积长142米宽0.3米。监狱负责种植，供应商提供技术指导和免费提供相关材料，养护期为1年，养护期内苗木死亡的按原规格或升级规格进行更换。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种植面积长94米宽0.5米。监狱负责种植，供应商提供技术指导和免费提供相关材料，养护期为1年，养护期内苗木死亡的按原规格或升级规格进行更换。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龙船花苗（大叶）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龙船花苗（小叶）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剑麻</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冠幅90cm,高100cm,根系发达，无检疫性病虫害，带泥球。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伐大王椰树（大）</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树高15米左右，树干直径35厘米至41厘米不等</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秋枫（含种植、搭竹支架）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假植苗，主干直径18㎝以上，树高400㎝以上，根系发达，无检疫性病虫害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修剪香樟树枯枝</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r>
    </w:tbl>
    <w:p>
      <w:pPr>
        <w:pStyle w:val="62"/>
        <w:widowControl/>
        <w:snapToGrid w:val="0"/>
        <w:spacing w:line="360" w:lineRule="auto"/>
        <w:ind w:left="0" w:firstLine="0" w:firstLineChars="0"/>
        <w:jc w:val="left"/>
        <w:rPr>
          <w:rFonts w:hint="eastAsia" w:ascii="宋体" w:hAnsi="宋体" w:eastAsia="宋体" w:cs="宋体"/>
          <w:szCs w:val="21"/>
          <w:lang w:val="en-US"/>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商务要求</w:t>
      </w:r>
    </w:p>
    <w:p>
      <w:pPr>
        <w:keepNext w:val="0"/>
        <w:keepLines w:val="0"/>
        <w:widowControl/>
        <w:numPr>
          <w:ilvl w:val="0"/>
          <w:numId w:val="17"/>
        </w:numPr>
        <w:suppressLineNumbers w:val="0"/>
        <w:spacing w:line="360" w:lineRule="auto"/>
        <w:ind w:left="0" w:leftChars="0" w:firstLine="420" w:firstLineChars="0"/>
        <w:jc w:val="left"/>
        <w:rPr>
          <w:rFonts w:hint="eastAsia" w:ascii="宋体" w:hAnsi="宋体" w:eastAsia="宋体" w:cs="宋体"/>
          <w:sz w:val="21"/>
          <w:szCs w:val="21"/>
        </w:rPr>
      </w:pPr>
      <w:r>
        <w:rPr>
          <w:rFonts w:hint="eastAsia" w:ascii="宋体" w:hAnsi="宋体" w:eastAsia="宋体" w:cs="宋体"/>
          <w:b/>
          <w:bCs/>
          <w:sz w:val="21"/>
          <w:szCs w:val="21"/>
          <w:lang w:val="en-US" w:eastAsia="zh-CN"/>
        </w:rPr>
        <w:t>包装：</w:t>
      </w:r>
      <w:r>
        <w:rPr>
          <w:rFonts w:hint="eastAsia" w:ascii="宋体" w:hAnsi="宋体" w:eastAsia="宋体" w:cs="宋体"/>
          <w:sz w:val="21"/>
          <w:szCs w:val="21"/>
          <w:lang w:val="en-US" w:eastAsia="zh-CN"/>
        </w:rPr>
        <w:t>全部产品均应有良好的</w:t>
      </w:r>
      <w:r>
        <w:rPr>
          <w:rFonts w:hint="eastAsia" w:ascii="宋体" w:hAnsi="宋体" w:eastAsia="宋体" w:cs="宋体"/>
          <w:color w:val="000000" w:themeColor="text1"/>
          <w:sz w:val="21"/>
          <w:szCs w:val="21"/>
          <w:lang w:val="en-US" w:eastAsia="zh-CN"/>
          <w14:textFill>
            <w14:solidFill>
              <w14:schemeClr w14:val="tx1"/>
            </w14:solidFill>
          </w14:textFill>
        </w:rPr>
        <w:t>防护</w:t>
      </w:r>
      <w:r>
        <w:rPr>
          <w:rFonts w:hint="eastAsia" w:ascii="宋体" w:hAnsi="宋体" w:eastAsia="宋体" w:cs="宋体"/>
          <w:sz w:val="21"/>
          <w:szCs w:val="21"/>
          <w:lang w:val="en-US" w:eastAsia="zh-CN"/>
        </w:rPr>
        <w:t>措施。凡由于包装不良造成的损失和由此产生的费用均由供应商承担。</w:t>
      </w:r>
    </w:p>
    <w:p>
      <w:pPr>
        <w:keepNext w:val="0"/>
        <w:keepLines w:val="0"/>
        <w:widowControl/>
        <w:numPr>
          <w:ilvl w:val="0"/>
          <w:numId w:val="17"/>
        </w:numPr>
        <w:suppressLineNumbers w:val="0"/>
        <w:spacing w:line="360" w:lineRule="auto"/>
        <w:ind w:left="0" w:leftChars="0" w:firstLine="420" w:firstLineChars="0"/>
        <w:jc w:val="left"/>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监狱管理要求：</w:t>
      </w:r>
      <w:r>
        <w:rPr>
          <w:rFonts w:hint="eastAsia" w:ascii="宋体" w:hAnsi="宋体" w:eastAsia="宋体" w:cs="宋体"/>
          <w:b w:val="0"/>
          <w:bCs w:val="0"/>
          <w:sz w:val="21"/>
          <w:szCs w:val="21"/>
          <w:lang w:val="en-US" w:eastAsia="zh-CN"/>
        </w:rPr>
        <w:t>成交供应商及送货人员必须严格遵守监狱保密及相关管理规定，不得有监狱内建筑、场地、事项等进行拍照、录视频等行为，如发现供应商有违反监狱管理，采购人有权终止合同，重新选定成交供应商，履约保证金不予退回，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外来人员进出监管区要求</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由于监狱工作的特殊性，</w:t>
      </w:r>
      <w:r>
        <w:rPr>
          <w:rFonts w:hint="eastAsia" w:ascii="宋体" w:hAnsi="宋体" w:eastAsia="宋体" w:cs="宋体"/>
          <w:sz w:val="21"/>
          <w:szCs w:val="21"/>
          <w:lang w:val="en-US" w:eastAsia="zh-CN"/>
        </w:rPr>
        <w:t>供应商</w:t>
      </w:r>
      <w:r>
        <w:rPr>
          <w:rFonts w:hint="eastAsia" w:ascii="宋体" w:hAnsi="宋体" w:eastAsia="宋体" w:cs="宋体"/>
          <w:sz w:val="21"/>
          <w:szCs w:val="21"/>
        </w:rPr>
        <w:t>应认真教育本单位工作人员严格遵守监狱的相关管理规定。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（一）外来人员必须遵守法律法规，不得假借监狱名义从事有损监狱形象的行为。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（二）外来人员进入监管区应提高警惕，注意人身安全保护，加强自我防范意识；自觉与罪犯划清界线，防止被罪犯利用。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（三）外来人员进入监管区必须衣着整齐，举止文明；女士不得</w:t>
      </w:r>
      <w:r>
        <w:rPr>
          <w:rFonts w:hint="eastAsia" w:ascii="宋体" w:hAnsi="宋体" w:eastAsia="宋体" w:cs="宋体"/>
          <w:sz w:val="21"/>
          <w:szCs w:val="21"/>
          <w:lang w:val="en-US" w:eastAsia="zh-CN"/>
        </w:rPr>
        <w:t>入内</w:t>
      </w:r>
      <w:r>
        <w:rPr>
          <w:rFonts w:hint="eastAsia" w:ascii="宋体" w:hAnsi="宋体" w:eastAsia="宋体" w:cs="宋体"/>
          <w:sz w:val="21"/>
          <w:szCs w:val="21"/>
        </w:rPr>
        <w:t>。</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（四）凡需进入监管区的外来人员必须由合作方开具委派证明和身份证明原件，向狱方提出申请，经核准后办理相关手续。</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（五）外来车辆应凭审批手续并由监狱警察带领或监狱指定人员驾驶，方可进出监管区大门。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（六）所有进出监管区大门的人员、车辆和物品应接受监门警察和监门哨兵的检查，凭通行证件或经监狱审批的手续，人证相符、手续齐全方可进出监管区大门。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（七）外来人员进出监管区大门必须遵守《广东省监狱监管区大门管理规定（试行）》</w:t>
      </w:r>
      <w:r>
        <w:rPr>
          <w:rFonts w:hint="eastAsia" w:ascii="宋体" w:hAnsi="宋体" w:eastAsia="宋体" w:cs="宋体"/>
          <w:sz w:val="21"/>
          <w:szCs w:val="21"/>
          <w:lang w:eastAsia="zh-CN"/>
        </w:rPr>
        <w:t>，</w:t>
      </w:r>
      <w:r>
        <w:rPr>
          <w:rFonts w:hint="eastAsia" w:ascii="宋体" w:hAnsi="宋体" w:eastAsia="宋体" w:cs="宋体"/>
          <w:sz w:val="21"/>
          <w:szCs w:val="21"/>
        </w:rPr>
        <w:t>凭有效身份证件办理《外来人员通行证》或《外来人员临时通行证》，由监狱相关部门警察带入带出，并接受监门武警和值班警察的检查管理。</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（八）外来人员不得携带违禁品、违规品、危险品等可能影响监管安全的物品进入监管区，进入监管区时必须按规定将移动电话等物品保管在贮物箱。</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违禁品是指枪支弹药、通讯设备、现金、刀具、毒品、麻醉及精神药品、军警制服、便服、假发、反动、淫秽宣传制品等物品；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危险品是指钝器、攀高物、易燃易爆、剧毒、放射、腐蚀性等物品。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（九）外来人员进入监管区大门后，必须将《外来人员通行证》或《外来人员临时通行证》挂于胸前，并妥善保管。</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（十）外来人员在监管区内必须遵守监狱的下列规定：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不得擅自与罪犯接触，与罪犯认老乡、攀亲结友；</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不得为服刑人员传带、保管任何物品；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不得为罪犯邮寄信件、捎口信或替罪犯打电话；</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不得在监管区拍照、摄像或录音；</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不得在监管区内随意走动，非经许可不得进入监舍区；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不得与服刑人员交谈业务以外的内容；</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不得散布不利于服刑人员改造的言论；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不得干涉、干扰监狱对服刑人员的执法活动；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不得破坏监狱设施；</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患有传染性疾病的外来人员严禁进入监管区；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不得向无关人员谈及监狱工作秘密，或从事其它有碍监管安全的行为。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（十一）外来车辆应按指定位置停放并熄火，拔下钥匙，锁紧车门窗。所有车辆在当天</w:t>
      </w:r>
      <w:r>
        <w:rPr>
          <w:rFonts w:hint="eastAsia" w:ascii="宋体" w:hAnsi="宋体" w:eastAsia="宋体" w:cs="宋体"/>
          <w:sz w:val="21"/>
          <w:szCs w:val="21"/>
          <w:lang w:val="en-US" w:eastAsia="zh-CN"/>
        </w:rPr>
        <w:t>18</w:t>
      </w:r>
      <w:r>
        <w:rPr>
          <w:rFonts w:hint="eastAsia" w:ascii="宋体" w:hAnsi="宋体" w:eastAsia="宋体" w:cs="宋体"/>
          <w:sz w:val="21"/>
          <w:szCs w:val="21"/>
        </w:rPr>
        <w:t>时前应驶离监管区。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（十二）外来人员若违反本管理规定，监狱将责</w:t>
      </w:r>
      <w:r>
        <w:rPr>
          <w:rFonts w:hint="eastAsia" w:ascii="宋体" w:hAnsi="宋体" w:eastAsia="宋体" w:cs="宋体"/>
          <w:sz w:val="21"/>
          <w:szCs w:val="21"/>
          <w:lang w:val="en-US" w:eastAsia="zh-CN"/>
        </w:rPr>
        <w:t>成供应商</w:t>
      </w:r>
      <w:r>
        <w:rPr>
          <w:rFonts w:hint="eastAsia" w:ascii="宋体" w:hAnsi="宋体" w:eastAsia="宋体" w:cs="宋体"/>
          <w:sz w:val="21"/>
          <w:szCs w:val="21"/>
        </w:rPr>
        <w:t>将其解聘、辞退或调离，严禁其再次进入监管区，情节严重的将与</w:t>
      </w:r>
      <w:r>
        <w:rPr>
          <w:rFonts w:hint="eastAsia" w:ascii="宋体" w:hAnsi="宋体" w:eastAsia="宋体" w:cs="宋体"/>
          <w:sz w:val="21"/>
          <w:szCs w:val="21"/>
          <w:lang w:val="en-US" w:eastAsia="zh-CN"/>
        </w:rPr>
        <w:t>供应 商</w:t>
      </w:r>
      <w:r>
        <w:rPr>
          <w:rFonts w:hint="eastAsia" w:ascii="宋体" w:hAnsi="宋体" w:eastAsia="宋体" w:cs="宋体"/>
          <w:sz w:val="21"/>
          <w:szCs w:val="21"/>
        </w:rPr>
        <w:t>解除合同，有违法行为的送司法机关处理。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 xml:space="preserve">养护售后及违约责任 </w:t>
      </w:r>
    </w:p>
    <w:p>
      <w:pPr>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（一）免费</w:t>
      </w:r>
      <w:r>
        <w:rPr>
          <w:rFonts w:hint="eastAsia" w:ascii="宋体" w:hAnsi="宋体" w:eastAsia="宋体" w:cs="宋体"/>
          <w:b/>
          <w:sz w:val="21"/>
          <w:szCs w:val="21"/>
          <w:lang w:eastAsia="zh-CN"/>
        </w:rPr>
        <w:t>养护</w:t>
      </w:r>
      <w:r>
        <w:rPr>
          <w:rFonts w:hint="eastAsia" w:ascii="宋体" w:hAnsi="宋体" w:eastAsia="宋体" w:cs="宋体"/>
          <w:b/>
          <w:bCs/>
          <w:sz w:val="21"/>
          <w:szCs w:val="21"/>
          <w:lang w:val="en-US" w:eastAsia="zh-CN"/>
        </w:rPr>
        <w:t>期限：</w:t>
      </w:r>
      <w:r>
        <w:rPr>
          <w:rFonts w:hint="eastAsia" w:ascii="宋体" w:hAnsi="宋体" w:eastAsia="宋体" w:cs="宋体"/>
          <w:sz w:val="21"/>
          <w:szCs w:val="21"/>
          <w:lang w:val="en-US" w:eastAsia="zh-CN"/>
        </w:rPr>
        <w:t>一年，从本项目完成合同约定的全部验收合格之日起计。</w:t>
      </w:r>
    </w:p>
    <w:p>
      <w:pPr>
        <w:spacing w:line="360" w:lineRule="auto"/>
        <w:ind w:firstLine="422" w:firstLineChars="200"/>
        <w:rPr>
          <w:rFonts w:hint="eastAsia" w:ascii="宋体" w:hAnsi="宋体" w:eastAsia="宋体" w:cs="宋体"/>
          <w:sz w:val="21"/>
          <w:szCs w:val="21"/>
          <w:highlight w:val="yellow"/>
          <w:lang w:val="en-US" w:eastAsia="zh-CN"/>
        </w:rPr>
      </w:pPr>
      <w:r>
        <w:rPr>
          <w:rFonts w:hint="eastAsia" w:ascii="宋体" w:hAnsi="宋体" w:eastAsia="宋体" w:cs="宋体"/>
          <w:b/>
          <w:bCs/>
          <w:sz w:val="21"/>
          <w:szCs w:val="21"/>
          <w:lang w:val="en-US" w:eastAsia="zh-CN"/>
        </w:rPr>
        <w:t>（二）免费</w:t>
      </w:r>
      <w:r>
        <w:rPr>
          <w:rFonts w:hint="eastAsia" w:ascii="宋体" w:hAnsi="宋体" w:eastAsia="宋体" w:cs="宋体"/>
          <w:b/>
          <w:sz w:val="21"/>
          <w:szCs w:val="21"/>
          <w:lang w:eastAsia="zh-CN"/>
        </w:rPr>
        <w:t>养护</w:t>
      </w:r>
      <w:r>
        <w:rPr>
          <w:rFonts w:hint="eastAsia" w:ascii="宋体" w:hAnsi="宋体" w:eastAsia="宋体" w:cs="宋体"/>
          <w:b/>
          <w:bCs/>
          <w:sz w:val="21"/>
          <w:szCs w:val="21"/>
          <w:lang w:val="en-US" w:eastAsia="zh-CN"/>
        </w:rPr>
        <w:t>期内售后服务要求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1.成交供应商</w:t>
      </w:r>
      <w:r>
        <w:rPr>
          <w:rFonts w:hint="eastAsia" w:ascii="宋体" w:hAnsi="宋体" w:cs="宋体"/>
          <w:sz w:val="21"/>
          <w:szCs w:val="21"/>
          <w:lang w:val="en-US" w:eastAsia="zh-CN"/>
        </w:rPr>
        <w:t>提供</w:t>
      </w:r>
      <w:r>
        <w:rPr>
          <w:rFonts w:hint="eastAsia" w:ascii="宋体" w:hAnsi="宋体" w:eastAsia="宋体" w:cs="宋体"/>
          <w:sz w:val="21"/>
          <w:szCs w:val="21"/>
          <w:lang w:val="en-US" w:eastAsia="zh-CN"/>
        </w:rPr>
        <w:t>售后服务承诺应列明人员配置等内容。</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2.成交供应商负责对其提供的苗木进行养护，不再向采购人收取任何费用，苗木死亡的，按原规格或升级规格进行更换</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3.养护期内，响应时间：提供24小时×7技术支持热线，三个自然日响应。</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4.养护期内，监狱会根据不同苗木的生长周期，通知成交供应商上门技术指导，包括病虫害防治、修剪、浇水、施肥等，所用设备及材料由供应商免费提供，上门技术指导次数养护期内应大于或等于四次。</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5.成交供应商免费</w:t>
      </w:r>
      <w:r>
        <w:rPr>
          <w:rFonts w:hint="eastAsia" w:ascii="宋体" w:hAnsi="宋体" w:cs="宋体"/>
          <w:sz w:val="21"/>
          <w:szCs w:val="21"/>
          <w:lang w:val="en-US" w:eastAsia="zh-CN"/>
        </w:rPr>
        <w:t>养护</w:t>
      </w:r>
      <w:r>
        <w:rPr>
          <w:rFonts w:hint="eastAsia" w:ascii="宋体" w:hAnsi="宋体" w:eastAsia="宋体" w:cs="宋体"/>
          <w:sz w:val="21"/>
          <w:szCs w:val="21"/>
          <w:lang w:val="en-US" w:eastAsia="zh-CN"/>
        </w:rPr>
        <w:t>的范围包括</w:t>
      </w:r>
      <w:r>
        <w:rPr>
          <w:rFonts w:hint="eastAsia" w:ascii="宋体" w:hAnsi="宋体" w:cs="宋体"/>
          <w:sz w:val="21"/>
          <w:szCs w:val="21"/>
          <w:lang w:val="en-US" w:eastAsia="zh-CN"/>
        </w:rPr>
        <w:t>养护</w:t>
      </w:r>
      <w:r>
        <w:rPr>
          <w:rFonts w:hint="eastAsia" w:ascii="宋体" w:hAnsi="宋体" w:eastAsia="宋体" w:cs="宋体"/>
          <w:sz w:val="21"/>
          <w:szCs w:val="21"/>
          <w:lang w:val="en-US" w:eastAsia="zh-CN"/>
        </w:rPr>
        <w:t>的全部</w:t>
      </w:r>
      <w:r>
        <w:rPr>
          <w:rFonts w:hint="eastAsia" w:ascii="宋体" w:hAnsi="宋体" w:cs="宋体"/>
          <w:sz w:val="21"/>
          <w:szCs w:val="21"/>
          <w:lang w:val="en-US" w:eastAsia="zh-CN"/>
        </w:rPr>
        <w:t>树木以及养护的设备以及原料</w:t>
      </w:r>
      <w:r>
        <w:rPr>
          <w:rFonts w:hint="eastAsia" w:ascii="宋体" w:hAnsi="宋体" w:eastAsia="宋体" w:cs="宋体"/>
          <w:sz w:val="21"/>
          <w:szCs w:val="21"/>
          <w:lang w:val="en-US" w:eastAsia="zh-CN"/>
        </w:rPr>
        <w:t>。</w:t>
      </w:r>
    </w:p>
    <w:p>
      <w:pPr>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供应商违约责任</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种植）计划，确保按时供货（种植）完成验收（出现不可抗力因素情形时，经双方共同认可，供货期可以顺延），供货时间采购人提前三天通知成交供应商。如规定供货期内未能完成的，采购人有权按照履约保证金条款进行扣罚。规定供货期到期后，根据项目情况，若因为成交供应商主观因素，采购人认为成交供应商不能达到本项目要求的，采购人有权解除合同，并就采购人所发生的损失，追究成交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履约保证金条款</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领取</w:t>
      </w:r>
      <w:r>
        <w:rPr>
          <w:rFonts w:hint="eastAsia" w:ascii="宋体" w:hAnsi="宋体" w:eastAsia="宋体" w:cs="宋体"/>
          <w:sz w:val="21"/>
          <w:szCs w:val="21"/>
          <w:lang w:eastAsia="zh-CN"/>
        </w:rPr>
        <w:t>成交</w:t>
      </w:r>
      <w:r>
        <w:rPr>
          <w:rFonts w:hint="eastAsia" w:ascii="宋体" w:hAnsi="宋体" w:eastAsia="宋体" w:cs="宋体"/>
          <w:sz w:val="21"/>
          <w:szCs w:val="21"/>
        </w:rPr>
        <w:t>通知书</w:t>
      </w:r>
      <w:r>
        <w:rPr>
          <w:rFonts w:hint="eastAsia" w:ascii="宋体" w:hAnsi="宋体" w:eastAsia="宋体" w:cs="宋体"/>
          <w:sz w:val="21"/>
          <w:szCs w:val="21"/>
          <w:lang w:eastAsia="zh-CN"/>
        </w:rPr>
        <w:t>后五个工作日</w:t>
      </w:r>
      <w:r>
        <w:rPr>
          <w:rFonts w:hint="eastAsia" w:ascii="宋体" w:hAnsi="宋体" w:eastAsia="宋体" w:cs="宋体"/>
          <w:sz w:val="21"/>
          <w:szCs w:val="21"/>
        </w:rPr>
        <w:t>，</w:t>
      </w:r>
      <w:r>
        <w:rPr>
          <w:rFonts w:hint="eastAsia" w:ascii="宋体" w:hAnsi="宋体" w:eastAsia="宋体" w:cs="宋体"/>
          <w:sz w:val="21"/>
          <w:szCs w:val="21"/>
          <w:lang w:eastAsia="zh-CN"/>
        </w:rPr>
        <w:t>成交供应商</w:t>
      </w:r>
      <w:r>
        <w:rPr>
          <w:rFonts w:hint="eastAsia" w:ascii="宋体" w:hAnsi="宋体" w:eastAsia="宋体" w:cs="宋体"/>
          <w:sz w:val="21"/>
          <w:szCs w:val="21"/>
        </w:rPr>
        <w:t>需缴纳</w:t>
      </w:r>
      <w:r>
        <w:rPr>
          <w:rFonts w:hint="eastAsia" w:ascii="宋体" w:hAnsi="宋体" w:eastAsia="宋体" w:cs="宋体"/>
          <w:sz w:val="21"/>
          <w:szCs w:val="21"/>
          <w:lang w:eastAsia="zh-CN"/>
        </w:rPr>
        <w:t>成交</w:t>
      </w:r>
      <w:r>
        <w:rPr>
          <w:rFonts w:hint="eastAsia" w:ascii="宋体" w:hAnsi="宋体" w:eastAsia="宋体" w:cs="宋体"/>
          <w:sz w:val="21"/>
          <w:szCs w:val="21"/>
        </w:rPr>
        <w:t>价的5%作为履约保证金。如</w:t>
      </w:r>
      <w:r>
        <w:rPr>
          <w:rFonts w:hint="eastAsia" w:ascii="宋体" w:hAnsi="宋体" w:eastAsia="宋体" w:cs="宋体"/>
          <w:sz w:val="21"/>
          <w:szCs w:val="21"/>
          <w:lang w:eastAsia="zh-CN"/>
        </w:rPr>
        <w:t>成交</w:t>
      </w:r>
      <w:r>
        <w:rPr>
          <w:rFonts w:hint="eastAsia" w:ascii="宋体" w:hAnsi="宋体" w:eastAsia="宋体" w:cs="宋体"/>
          <w:sz w:val="21"/>
          <w:szCs w:val="21"/>
        </w:rPr>
        <w:t>供应商不按时签订合同或弃标的，履约保证金不予退回（不可抗力原因除外）。经验收合格后，</w:t>
      </w:r>
      <w:r>
        <w:rPr>
          <w:rFonts w:hint="eastAsia" w:ascii="宋体" w:hAnsi="宋体" w:eastAsia="宋体" w:cs="宋体"/>
          <w:sz w:val="21"/>
          <w:szCs w:val="21"/>
          <w:lang w:val="en-US" w:eastAsia="zh-CN"/>
        </w:rPr>
        <w:t>项目质保</w:t>
      </w:r>
      <w:r>
        <w:rPr>
          <w:rFonts w:hint="eastAsia" w:ascii="宋体" w:hAnsi="宋体" w:eastAsia="宋体" w:cs="宋体"/>
          <w:sz w:val="21"/>
          <w:szCs w:val="21"/>
        </w:rPr>
        <w:t>期</w:t>
      </w:r>
      <w:r>
        <w:rPr>
          <w:rFonts w:hint="eastAsia" w:ascii="宋体" w:hAnsi="宋体" w:eastAsia="宋体" w:cs="宋体"/>
          <w:sz w:val="21"/>
          <w:szCs w:val="21"/>
          <w:lang w:val="en-US" w:eastAsia="zh-CN"/>
        </w:rPr>
        <w:t>内视为项目履约期</w:t>
      </w:r>
      <w:r>
        <w:rPr>
          <w:rFonts w:hint="eastAsia" w:ascii="宋体" w:hAnsi="宋体" w:eastAsia="宋体" w:cs="宋体"/>
          <w:sz w:val="21"/>
          <w:szCs w:val="21"/>
        </w:rPr>
        <w:t>，如无发生扣款情形的，</w:t>
      </w:r>
      <w:r>
        <w:rPr>
          <w:rFonts w:hint="eastAsia" w:ascii="宋体" w:hAnsi="宋体" w:eastAsia="宋体" w:cs="宋体"/>
          <w:sz w:val="21"/>
          <w:szCs w:val="21"/>
          <w:lang w:val="en-US" w:eastAsia="zh-CN"/>
        </w:rPr>
        <w:t>履约保证金</w:t>
      </w:r>
      <w:r>
        <w:rPr>
          <w:rFonts w:hint="eastAsia" w:ascii="宋体" w:hAnsi="宋体" w:eastAsia="宋体" w:cs="宋体"/>
          <w:sz w:val="21"/>
          <w:szCs w:val="21"/>
        </w:rPr>
        <w:t>无息退回。采购人有权根据供应商的违约责任所造成的损失，从履约保</w:t>
      </w:r>
      <w:r>
        <w:rPr>
          <w:rFonts w:hint="eastAsia" w:ascii="宋体" w:hAnsi="宋体" w:eastAsia="宋体" w:cs="宋体"/>
          <w:sz w:val="21"/>
          <w:szCs w:val="21"/>
          <w:lang w:val="en-US" w:eastAsia="zh-CN"/>
        </w:rPr>
        <w:t>证</w:t>
      </w:r>
      <w:r>
        <w:rPr>
          <w:rFonts w:hint="eastAsia" w:ascii="宋体" w:hAnsi="宋体" w:eastAsia="宋体" w:cs="宋体"/>
          <w:sz w:val="21"/>
          <w:szCs w:val="21"/>
        </w:rPr>
        <w:t>金中扣除相关费用。如</w:t>
      </w:r>
      <w:r>
        <w:rPr>
          <w:rFonts w:hint="eastAsia" w:ascii="宋体" w:hAnsi="宋体" w:eastAsia="宋体" w:cs="宋体"/>
          <w:sz w:val="21"/>
          <w:szCs w:val="21"/>
          <w:lang w:eastAsia="zh-CN"/>
        </w:rPr>
        <w:t>履约保证金</w:t>
      </w:r>
      <w:r>
        <w:rPr>
          <w:rFonts w:hint="eastAsia" w:ascii="宋体" w:hAnsi="宋体" w:eastAsia="宋体" w:cs="宋体"/>
          <w:sz w:val="21"/>
          <w:szCs w:val="21"/>
        </w:rPr>
        <w:t>不能抵扣费用的，</w:t>
      </w:r>
      <w:r>
        <w:rPr>
          <w:rFonts w:hint="eastAsia" w:ascii="宋体" w:hAnsi="宋体" w:eastAsia="宋体" w:cs="宋体"/>
          <w:sz w:val="21"/>
          <w:szCs w:val="21"/>
          <w:lang w:eastAsia="zh-CN"/>
        </w:rPr>
        <w:t>成交</w:t>
      </w:r>
      <w:r>
        <w:rPr>
          <w:rFonts w:hint="eastAsia" w:ascii="宋体" w:hAnsi="宋体" w:eastAsia="宋体" w:cs="宋体"/>
          <w:sz w:val="21"/>
          <w:szCs w:val="21"/>
        </w:rPr>
        <w:t>人应全额赔偿</w:t>
      </w:r>
      <w:r>
        <w:rPr>
          <w:rFonts w:hint="eastAsia" w:ascii="宋体" w:hAnsi="宋体" w:cs="宋体"/>
          <w:sz w:val="21"/>
          <w:szCs w:val="21"/>
          <w:lang w:val="en-US" w:eastAsia="zh-CN"/>
        </w:rPr>
        <w:t>采购</w:t>
      </w:r>
      <w:r>
        <w:rPr>
          <w:rFonts w:hint="eastAsia" w:ascii="宋体" w:hAnsi="宋体" w:eastAsia="宋体" w:cs="宋体"/>
          <w:sz w:val="21"/>
          <w:szCs w:val="21"/>
        </w:rPr>
        <w:t>方损失。</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lang w:val="en-US" w:eastAsia="zh-CN"/>
        </w:rPr>
        <w:t>成交供应商须在</w:t>
      </w:r>
      <w:r>
        <w:rPr>
          <w:rFonts w:hint="eastAsia" w:ascii="宋体" w:hAnsi="宋体" w:eastAsia="宋体" w:cs="宋体"/>
          <w:sz w:val="21"/>
          <w:szCs w:val="21"/>
        </w:rPr>
        <w:t>监狱</w:t>
      </w:r>
      <w:r>
        <w:rPr>
          <w:rFonts w:hint="eastAsia" w:ascii="宋体" w:hAnsi="宋体" w:eastAsia="宋体" w:cs="宋体"/>
          <w:sz w:val="21"/>
          <w:szCs w:val="21"/>
          <w:lang w:val="en-US" w:eastAsia="zh-CN"/>
        </w:rPr>
        <w:t>确定成交供应商</w:t>
      </w:r>
      <w:r>
        <w:rPr>
          <w:rFonts w:hint="eastAsia" w:ascii="宋体" w:hAnsi="宋体" w:eastAsia="宋体" w:cs="宋体"/>
          <w:sz w:val="21"/>
          <w:szCs w:val="21"/>
        </w:rPr>
        <w:t>之日起十日内签订合同。</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（二）履约保证金以</w:t>
      </w:r>
      <w:r>
        <w:rPr>
          <w:rFonts w:hint="eastAsia" w:ascii="宋体" w:hAnsi="宋体" w:eastAsia="宋体" w:cs="宋体"/>
          <w:sz w:val="21"/>
          <w:szCs w:val="21"/>
          <w:lang w:eastAsia="zh-CN"/>
        </w:rPr>
        <w:t>银行转账</w:t>
      </w:r>
      <w:r>
        <w:rPr>
          <w:rFonts w:hint="eastAsia" w:ascii="宋体" w:hAnsi="宋体" w:eastAsia="宋体" w:cs="宋体"/>
          <w:sz w:val="21"/>
          <w:szCs w:val="21"/>
        </w:rPr>
        <w:t>非现金形式提交。</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（三）</w:t>
      </w:r>
      <w:r>
        <w:rPr>
          <w:rFonts w:hint="eastAsia" w:ascii="宋体" w:hAnsi="宋体" w:eastAsia="宋体" w:cs="宋体"/>
          <w:sz w:val="21"/>
          <w:szCs w:val="21"/>
          <w:lang w:eastAsia="zh-CN"/>
        </w:rPr>
        <w:t>发生以下情形之一、经调查属实的，</w:t>
      </w:r>
      <w:r>
        <w:rPr>
          <w:rFonts w:hint="eastAsia" w:ascii="宋体" w:hAnsi="宋体" w:eastAsia="宋体" w:cs="宋体"/>
          <w:sz w:val="21"/>
          <w:szCs w:val="21"/>
          <w:lang w:val="en-US" w:eastAsia="zh-CN"/>
        </w:rPr>
        <w:t>采购人</w:t>
      </w:r>
      <w:r>
        <w:rPr>
          <w:rFonts w:hint="eastAsia" w:ascii="宋体" w:hAnsi="宋体" w:eastAsia="宋体" w:cs="宋体"/>
          <w:sz w:val="21"/>
          <w:szCs w:val="21"/>
          <w:lang w:eastAsia="zh-CN"/>
        </w:rPr>
        <w:t>有权每次扣除10%履约保证金：</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）未做好现场扫尾清理工作的；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现场材料、工具随意堆放的；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乙方经营场所、联系人、联系方式变更，未及时通知甲方业务部门的。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（四）</w:t>
      </w:r>
      <w:r>
        <w:rPr>
          <w:rFonts w:hint="eastAsia" w:ascii="宋体" w:hAnsi="宋体" w:eastAsia="宋体" w:cs="宋体"/>
          <w:sz w:val="21"/>
          <w:szCs w:val="21"/>
        </w:rPr>
        <w:t>发生以下情形，经调查属实的，扣</w:t>
      </w:r>
      <w:r>
        <w:rPr>
          <w:rFonts w:hint="eastAsia" w:ascii="宋体" w:hAnsi="宋体" w:eastAsia="宋体" w:cs="宋体"/>
          <w:sz w:val="21"/>
          <w:szCs w:val="21"/>
          <w:highlight w:val="none"/>
        </w:rPr>
        <w:t>除</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w:t>
      </w:r>
      <w:r>
        <w:rPr>
          <w:rFonts w:hint="eastAsia" w:ascii="宋体" w:hAnsi="宋体" w:eastAsia="宋体" w:cs="宋体"/>
          <w:sz w:val="21"/>
          <w:szCs w:val="21"/>
        </w:rPr>
        <w:t>履约保证金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发生三次及以上的，采购人</w:t>
      </w:r>
      <w:r>
        <w:rPr>
          <w:rFonts w:hint="eastAsia" w:ascii="宋体" w:hAnsi="宋体" w:eastAsia="宋体" w:cs="宋体"/>
          <w:sz w:val="21"/>
          <w:szCs w:val="21"/>
          <w:lang w:eastAsia="zh-CN"/>
        </w:rPr>
        <w:t>有权解除本合同：</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eastAsia="zh-CN"/>
        </w:rPr>
        <w:t>供</w:t>
      </w:r>
      <w:r>
        <w:rPr>
          <w:rFonts w:hint="eastAsia" w:ascii="宋体" w:hAnsi="宋体" w:eastAsia="宋体" w:cs="宋体"/>
          <w:sz w:val="21"/>
          <w:szCs w:val="21"/>
          <w:lang w:val="zh-CN" w:eastAsia="zh-CN"/>
        </w:rPr>
        <w:t>应商不能按规定的时间抵达现场开展维护工作的。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未按要求随货提供相关票证；</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一个货物品种质量验收不合格，退货数量未超过50%（不含本数）的；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未按监狱指定秩序卸货；</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8.养护期内，</w:t>
      </w:r>
      <w:r>
        <w:rPr>
          <w:rFonts w:hint="eastAsia" w:ascii="宋体" w:hAnsi="宋体" w:eastAsia="宋体" w:cs="宋体"/>
          <w:sz w:val="21"/>
          <w:szCs w:val="21"/>
        </w:rPr>
        <w:t>未按监狱</w:t>
      </w:r>
      <w:r>
        <w:rPr>
          <w:rFonts w:hint="eastAsia" w:ascii="宋体" w:hAnsi="宋体" w:eastAsia="宋体" w:cs="宋体"/>
          <w:sz w:val="21"/>
          <w:szCs w:val="21"/>
          <w:lang w:eastAsia="zh-CN"/>
        </w:rPr>
        <w:t>要求进行养护的。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五</w:t>
      </w:r>
      <w:r>
        <w:rPr>
          <w:rFonts w:hint="eastAsia" w:ascii="宋体" w:hAnsi="宋体" w:eastAsia="宋体" w:cs="宋体"/>
          <w:sz w:val="21"/>
          <w:szCs w:val="21"/>
        </w:rPr>
        <w:t>）发生以下情形，经调查属实的，扣除</w:t>
      </w:r>
      <w:r>
        <w:rPr>
          <w:rFonts w:hint="eastAsia" w:ascii="宋体" w:hAnsi="宋体" w:eastAsia="宋体" w:cs="宋体"/>
          <w:sz w:val="21"/>
          <w:szCs w:val="21"/>
          <w:lang w:val="en-US" w:eastAsia="zh-CN"/>
        </w:rPr>
        <w:t>100</w:t>
      </w:r>
      <w:r>
        <w:rPr>
          <w:rFonts w:hint="eastAsia" w:ascii="宋体" w:hAnsi="宋体" w:eastAsia="宋体" w:cs="宋体"/>
          <w:sz w:val="21"/>
          <w:szCs w:val="21"/>
        </w:rPr>
        <w:t>%履约保证金</w:t>
      </w:r>
      <w:r>
        <w:rPr>
          <w:rFonts w:hint="eastAsia" w:ascii="宋体" w:hAnsi="宋体" w:eastAsia="宋体" w:cs="宋体"/>
          <w:sz w:val="21"/>
          <w:szCs w:val="21"/>
          <w:lang w:eastAsia="zh-CN"/>
        </w:rPr>
        <w:t>，并解除合同</w:t>
      </w:r>
      <w:r>
        <w:rPr>
          <w:rFonts w:hint="eastAsia" w:ascii="宋体" w:hAnsi="宋体" w:eastAsia="宋体" w:cs="宋体"/>
          <w:sz w:val="21"/>
          <w:szCs w:val="21"/>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1.供应商</w:t>
      </w:r>
      <w:r>
        <w:rPr>
          <w:rFonts w:hint="eastAsia" w:ascii="宋体" w:hAnsi="宋体" w:eastAsia="宋体" w:cs="宋体"/>
          <w:sz w:val="21"/>
          <w:szCs w:val="21"/>
        </w:rPr>
        <w:t>工作人员不遵守《外来人员进出监管区</w:t>
      </w:r>
      <w:r>
        <w:rPr>
          <w:rFonts w:hint="eastAsia" w:ascii="宋体" w:hAnsi="宋体" w:eastAsia="宋体" w:cs="宋体"/>
          <w:sz w:val="21"/>
          <w:szCs w:val="21"/>
          <w:lang w:val="en-US" w:eastAsia="zh-CN"/>
        </w:rPr>
        <w:t>要求</w:t>
      </w:r>
      <w:r>
        <w:rPr>
          <w:rFonts w:hint="eastAsia" w:ascii="宋体" w:hAnsi="宋体" w:eastAsia="宋体" w:cs="宋体"/>
          <w:sz w:val="21"/>
          <w:szCs w:val="21"/>
        </w:rPr>
        <w:t>》第十项所列事项的</w:t>
      </w:r>
      <w:r>
        <w:rPr>
          <w:rFonts w:hint="eastAsia" w:ascii="宋体" w:hAnsi="宋体" w:eastAsia="宋体" w:cs="宋体"/>
          <w:sz w:val="21"/>
          <w:szCs w:val="21"/>
          <w:lang w:eastAsia="zh-CN"/>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2.供应商</w:t>
      </w:r>
      <w:r>
        <w:rPr>
          <w:rFonts w:hint="eastAsia" w:ascii="宋体" w:hAnsi="宋体" w:eastAsia="宋体" w:cs="宋体"/>
          <w:sz w:val="21"/>
          <w:szCs w:val="21"/>
        </w:rPr>
        <w:t>工作人员为监狱服刑人员传带物品的；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3.供应商</w:t>
      </w:r>
      <w:r>
        <w:rPr>
          <w:rFonts w:hint="eastAsia" w:ascii="宋体" w:hAnsi="宋体" w:eastAsia="宋体" w:cs="宋体"/>
          <w:sz w:val="21"/>
          <w:szCs w:val="21"/>
        </w:rPr>
        <w:t>对货物检查把关不严，造成现金、绳索、利器等危险品、违禁品、违规品流入狱内，影响监管安全的；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若同时出现上述履约保证金扣除情形，则按扣除数额最大的情形执行，同时出现</w:t>
      </w:r>
      <w:r>
        <w:rPr>
          <w:rFonts w:hint="eastAsia" w:ascii="宋体" w:hAnsi="宋体" w:eastAsia="宋体" w:cs="宋体"/>
          <w:sz w:val="21"/>
          <w:szCs w:val="21"/>
          <w:lang w:val="en-US" w:eastAsia="zh-CN"/>
        </w:rPr>
        <w:t>多种扣除</w:t>
      </w:r>
      <w:r>
        <w:rPr>
          <w:rFonts w:hint="eastAsia" w:ascii="宋体" w:hAnsi="宋体" w:eastAsia="宋体" w:cs="宋体"/>
          <w:sz w:val="21"/>
          <w:szCs w:val="21"/>
        </w:rPr>
        <w:t>情形</w:t>
      </w:r>
      <w:r>
        <w:rPr>
          <w:rFonts w:hint="eastAsia" w:ascii="宋体" w:hAnsi="宋体" w:eastAsia="宋体" w:cs="宋体"/>
          <w:sz w:val="21"/>
          <w:szCs w:val="21"/>
          <w:lang w:val="en-US" w:eastAsia="zh-CN"/>
        </w:rPr>
        <w:t>的</w:t>
      </w:r>
      <w:r>
        <w:rPr>
          <w:rFonts w:hint="eastAsia" w:ascii="宋体" w:hAnsi="宋体" w:eastAsia="宋体" w:cs="宋体"/>
          <w:sz w:val="21"/>
          <w:szCs w:val="21"/>
        </w:rPr>
        <w:t>累计扣除履约保证金。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六</w:t>
      </w:r>
      <w:r>
        <w:rPr>
          <w:rFonts w:hint="eastAsia" w:ascii="宋体" w:hAnsi="宋体" w:eastAsia="宋体" w:cs="宋体"/>
          <w:sz w:val="21"/>
          <w:szCs w:val="21"/>
        </w:rPr>
        <w:t>）如在合同执行期间因</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违约导致履约保证金部分扣除，</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需在五个工作日内将扣除的履约保证金补齐。</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七</w:t>
      </w:r>
      <w:bookmarkStart w:id="0" w:name="_GoBack"/>
      <w:bookmarkEnd w:id="0"/>
      <w:r>
        <w:rPr>
          <w:rFonts w:hint="eastAsia" w:ascii="宋体" w:hAnsi="宋体" w:eastAsia="宋体" w:cs="宋体"/>
          <w:sz w:val="21"/>
          <w:szCs w:val="21"/>
        </w:rPr>
        <w:t>）如</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在合同执行过程需终止执行合同的，需提前六十天以书面形式告知监狱，否则按单方面终止执行合同处理，履约保证金不退还。</w:t>
      </w:r>
    </w:p>
    <w:p>
      <w:pPr>
        <w:pStyle w:val="53"/>
        <w:numPr>
          <w:ilvl w:val="0"/>
          <w:numId w:val="0"/>
        </w:numPr>
        <w:spacing w:line="360" w:lineRule="auto"/>
        <w:ind w:leftChars="0"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六、</w:t>
      </w:r>
      <w:r>
        <w:rPr>
          <w:rFonts w:hint="eastAsia" w:ascii="宋体" w:hAnsi="宋体" w:eastAsia="宋体" w:cs="宋体"/>
          <w:b/>
          <w:sz w:val="21"/>
          <w:szCs w:val="21"/>
        </w:rPr>
        <w:t>验收支付</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验收要求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由此产生的有关费用由成交供应商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2.如果合同产品运输和安装过程中因事故造成货物短缺、损坏，供应商应及时安排换货，以保证合同产品安装调试的成功完成。换货的相关费用由供应商承担。</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检测要求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并扣除供应商50%履约保证金。如连续两次检测均不合格，则扣除供应商全部履约保证金，且采购人有权解除合同，采购人因此产生的成本或损失，由供应商负责。</w:t>
      </w:r>
    </w:p>
    <w:p>
      <w:pPr>
        <w:numPr>
          <w:ilvl w:val="0"/>
          <w:numId w:val="0"/>
        </w:num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支付条款：</w:t>
      </w:r>
      <w:r>
        <w:rPr>
          <w:rFonts w:hint="eastAsia" w:ascii="宋体" w:hAnsi="宋体" w:eastAsia="宋体" w:cs="宋体"/>
          <w:sz w:val="21"/>
          <w:szCs w:val="21"/>
          <w:lang w:eastAsia="zh-CN"/>
        </w:rPr>
        <w:t>验收合格后支付，供应商需提交等额的发票</w:t>
      </w:r>
      <w:r>
        <w:rPr>
          <w:rFonts w:hint="eastAsia" w:ascii="宋体" w:hAnsi="宋体" w:eastAsia="宋体" w:cs="宋体"/>
          <w:sz w:val="21"/>
          <w:szCs w:val="21"/>
          <w:lang w:val="en-US" w:eastAsia="zh-CN"/>
        </w:rPr>
        <w:t>，具体条款以</w:t>
      </w:r>
      <w:r>
        <w:rPr>
          <w:rFonts w:hint="eastAsia" w:ascii="宋体" w:hAnsi="宋体" w:eastAsia="宋体" w:cs="宋体"/>
          <w:sz w:val="21"/>
          <w:szCs w:val="21"/>
        </w:rPr>
        <w:t>合同约定为准。</w:t>
      </w:r>
    </w:p>
    <w:p>
      <w:pPr>
        <w:pStyle w:val="62"/>
        <w:widowControl/>
        <w:numPr>
          <w:ilvl w:val="0"/>
          <w:numId w:val="0"/>
        </w:numPr>
        <w:snapToGrid w:val="0"/>
        <w:spacing w:line="360" w:lineRule="auto"/>
        <w:ind w:leftChars="0" w:right="0" w:rightChars="0" w:firstLine="422" w:firstLineChars="200"/>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（四）</w:t>
      </w:r>
      <w:r>
        <w:rPr>
          <w:rFonts w:hint="eastAsia" w:ascii="宋体" w:hAnsi="宋体" w:eastAsia="宋体" w:cs="宋体"/>
          <w:b w:val="0"/>
          <w:bCs/>
          <w:kern w:val="2"/>
          <w:sz w:val="21"/>
          <w:szCs w:val="21"/>
          <w:lang w:val="en-US" w:eastAsia="zh-CN" w:bidi="ar-SA"/>
        </w:rPr>
        <w:t>成交供应商凭以下有效文件与采购人结算：</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合同；</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成交供应商开具的</w:t>
      </w:r>
      <w:r>
        <w:rPr>
          <w:rFonts w:hint="eastAsia" w:ascii="宋体" w:hAnsi="宋体" w:eastAsia="宋体" w:cs="宋体"/>
          <w:b/>
          <w:bCs/>
          <w:kern w:val="2"/>
          <w:sz w:val="21"/>
          <w:szCs w:val="21"/>
          <w:u w:val="single"/>
          <w:lang w:val="en-US" w:eastAsia="zh-CN" w:bidi="ar"/>
        </w:rPr>
        <w:t>增值税普通发票</w:t>
      </w:r>
      <w:r>
        <w:rPr>
          <w:rFonts w:hint="eastAsia" w:ascii="宋体" w:hAnsi="宋体" w:eastAsia="宋体" w:cs="宋体"/>
          <w:kern w:val="2"/>
          <w:sz w:val="21"/>
          <w:szCs w:val="21"/>
          <w:lang w:val="en-US" w:eastAsia="zh-CN" w:bidi="ar"/>
        </w:rPr>
        <w:t>；</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成交通知书。</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验收合同报告。</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hint="eastAsia"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846"/>
        <w:gridCol w:w="1910"/>
        <w:gridCol w:w="636"/>
        <w:gridCol w:w="636"/>
        <w:gridCol w:w="2479"/>
        <w:gridCol w:w="1327"/>
        <w:gridCol w:w="1374"/>
      </w:tblGrid>
      <w:tr>
        <w:tblPrEx>
          <w:tblCellMar>
            <w:top w:w="0" w:type="dxa"/>
            <w:left w:w="108" w:type="dxa"/>
            <w:bottom w:w="0" w:type="dxa"/>
            <w:right w:w="108" w:type="dxa"/>
          </w:tblCellMar>
        </w:tblPrEx>
        <w:trPr>
          <w:trHeight w:val="6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单价（元/颗）</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杨桃树苗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四季甜杨桃，主干直径3㎝以上，叶片浓绿，根系发达，无检疫性病虫害，带泥球。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eastAsia="zh-CN"/>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荔枝树苗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桂味荔枝，主干直径3㎝以上，叶片浓绿，根系发达，无检疫性病虫害，带泥球。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龙眼树苗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石硤龙眼，主干直径3㎝以上，叶片浓绿，根系发达，无检疫性病虫害，带泥球。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柠檬树苗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香水柠檬，主干直径2㎝以上，叶片浓绿，根系发达，无检疫性病虫害，带泥球。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金桔树苗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脆皮金桔，三年苗，树高90㎝以上，叶片浓绿，根系发达，无检疫性病虫害，带泥球。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三华李树苗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银妃三华李，主干直径3㎝以上，叶片浓绿，根系发达，无检疫性病虫害，带泥球。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台湾青枣树苗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主干直径2.5㎝以上，五年苗，叶片浓绿，根系发达，无检疫性病虫害，带泥球。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油柑树苗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柿饼甜油柑，主干直径3㎝以上，叶片浓绿，根系发达，无检疫性病虫害，带泥球。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巴蕉树苗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中蕉九号；叶片浓绿，根系发达，高90㎝以上，主干8cm,无检疫性病虫害，带泥球。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黄皮树苗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无核黄皮，主干直径3㎝以上，叶片浓绿，根系发达，嫁接口愈合良好，无检疫性病虫害，带泥球。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红心番石榴</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3年苗，高60cm以上，叶片浓绿，根系发达，无检疫性病虫害，带泥球。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沙田柚</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5年苗，高80cm以上，叶片浓绿，根系发达，无检疫性病虫害，带泥球。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紫荆花树（含种植、搭竹支架）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红花紫荆，主干直径12㎝以上，叶片浓绿，根系发达，无检疫性病虫害，带泥球。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草皮（含种植）</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马尼拉草，低矮浓密，无杂草，带泥。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因该区域土质较差瓦砾较多，供货方需进行换土回填，换土深度为30CM，土质要求一类种植土。供应商负责种植。养护期为1年，养护期内苗木死亡的按原规格或升级规格进行更换。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白玉兰树苗（含种植、搭竹支架）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主干直径6㎝以上，树高200㎝以上，叶片浓绿，根系发达，无检疫性病虫害，带泥球。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桂花树苗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主干直径2㎝以上，树高110㎝以上，叶片浓绿，根系发达，无检疫性病虫害，带泥球。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42.6</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种植面积长142米宽0.3米。监狱负责种植，供应商提供技术指导和免费提供相关材料，养护期为1年，养护期内苗木死亡的按原规格或升级规格进行更换。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种植面积长94米宽0.5米。监狱负责种植，供应商提供技术指导和免费提供相关材料，养护期为1年，养护期内苗木死亡的按原规格或升级规格进行更换。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龙船花苗（大叶）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龙船花苗（小叶）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剑麻</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冠幅90cm,高100cm,根系发达，无检疫性病虫害，带泥球。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伐大王椰树（大）</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树高15米左右，树干直径35厘米至41厘米不等</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秋枫（含种植、搭竹支架）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假植苗，主干直径18㎝以上，树高400㎝以上，根系发达，无检疫性病虫害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修剪香樟树枯枝</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default" w:ascii="宋体" w:hAnsi="宋体" w:eastAsia="宋体" w:cs="宋体"/>
                <w:bCs/>
                <w:color w:val="000000"/>
                <w:szCs w:val="21"/>
                <w:u w:val="none"/>
                <w:lang w:val="en-US" w:eastAsia="zh-CN"/>
              </w:rPr>
            </w:pPr>
            <w:r>
              <w:rPr>
                <w:rFonts w:hint="eastAsia" w:ascii="宋体" w:hAnsi="宋体" w:eastAsia="宋体" w:cs="宋体"/>
                <w:bCs/>
                <w:color w:val="000000"/>
                <w:szCs w:val="21"/>
                <w:lang w:val="en-US" w:eastAsia="zh-CN"/>
              </w:rPr>
              <w:t>合计（各项小计之和）：</w:t>
            </w:r>
            <w:r>
              <w:rPr>
                <w:rFonts w:hint="eastAsia" w:ascii="宋体" w:hAnsi="宋体" w:eastAsia="宋体" w:cs="宋体"/>
                <w:bCs/>
                <w:color w:val="000000"/>
                <w:szCs w:val="21"/>
                <w:u w:val="single"/>
                <w:lang w:val="en-US" w:eastAsia="zh-CN"/>
              </w:rPr>
              <w:t xml:space="preserve">              </w:t>
            </w:r>
            <w:r>
              <w:rPr>
                <w:rFonts w:hint="eastAsia" w:ascii="宋体" w:hAnsi="宋体" w:eastAsia="宋体" w:cs="宋体"/>
                <w:bCs/>
                <w:color w:val="000000"/>
                <w:szCs w:val="21"/>
                <w:u w:val="none"/>
                <w:lang w:val="en-US" w:eastAsia="zh-CN"/>
              </w:rPr>
              <w:t>元</w:t>
            </w:r>
          </w:p>
        </w:tc>
      </w:tr>
    </w:tbl>
    <w:p>
      <w:pPr>
        <w:pStyle w:val="2"/>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广东省东莞监狱2024年狱内绿化苗木维护与更新采购项目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0"/>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0"/>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广东省东莞监狱2024年狱内绿化苗木维护与更新采购项目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本公司提供的商品和服务必须符合国家和行业的有关技术及安全标准，信誉良好、送货上门。</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2"/>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keepNext/>
        <w:keepLines/>
        <w:spacing w:line="360" w:lineRule="auto"/>
        <w:jc w:val="center"/>
        <w:outlineLvl w:val="1"/>
        <w:rPr>
          <w:rFonts w:hint="eastAsia" w:ascii="宋体" w:hAnsi="宋体" w:eastAsia="宋体" w:cs="Times New Roman"/>
          <w:b/>
          <w:bCs/>
          <w:color w:val="000000"/>
          <w:kern w:val="0"/>
          <w:sz w:val="32"/>
          <w:szCs w:val="32"/>
          <w:lang w:val="en-US" w:eastAsia="zh-CN"/>
        </w:rPr>
      </w:pPr>
      <w:r>
        <w:rPr>
          <w:rFonts w:hint="eastAsia" w:ascii="宋体" w:hAnsi="宋体" w:eastAsia="宋体" w:cs="Times New Roman"/>
          <w:b/>
          <w:bCs/>
          <w:color w:val="000000"/>
          <w:kern w:val="0"/>
          <w:sz w:val="32"/>
          <w:szCs w:val="32"/>
          <w:lang w:val="en-US" w:eastAsia="zh-CN"/>
        </w:rPr>
        <w:t>售后服务承诺函</w:t>
      </w:r>
    </w:p>
    <w:p>
      <w:pPr>
        <w:spacing w:line="360" w:lineRule="auto"/>
        <w:rPr>
          <w:rFonts w:ascii="宋体" w:hAnsi="宋体"/>
          <w:b/>
          <w:color w:val="000000"/>
        </w:rPr>
      </w:pPr>
      <w:r>
        <w:rPr>
          <w:rFonts w:hint="eastAsia" w:ascii="宋体" w:hAnsi="宋体"/>
          <w:b/>
          <w:color w:val="000000"/>
          <w:szCs w:val="21"/>
        </w:rPr>
        <w:t>致：</w:t>
      </w:r>
      <w:r>
        <w:rPr>
          <w:rFonts w:ascii="宋体" w:hAnsi="宋体"/>
          <w:b/>
          <w:bCs/>
          <w:color w:val="000000"/>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hint="eastAsia" w:ascii="宋体" w:hAnsi="宋体"/>
          <w:color w:val="000000"/>
        </w:rPr>
      </w:pPr>
      <w:r>
        <w:rPr>
          <w:rFonts w:hint="eastAsia" w:ascii="宋体" w:hAnsi="宋体"/>
          <w:color w:val="000000"/>
        </w:rPr>
        <w:t>关于贵单位、贵司发布</w:t>
      </w:r>
      <w:r>
        <w:rPr>
          <w:rFonts w:hint="eastAsia" w:ascii="宋体" w:hAnsi="宋体" w:eastAsia="宋体" w:cs="宋体"/>
          <w:b/>
          <w:bCs/>
          <w:color w:val="000000"/>
          <w:szCs w:val="21"/>
          <w:u w:val="single"/>
        </w:rPr>
        <w:t>广东省东莞监狱2024年狱内绿化苗木维护与更新采购项目</w:t>
      </w:r>
      <w:r>
        <w:rPr>
          <w:rFonts w:hint="eastAsia" w:ascii="宋体" w:hAnsi="宋体"/>
          <w:color w:val="000000"/>
        </w:rPr>
        <w:t>的竞价公告，本公司（企业）愿意参加竞价，并</w:t>
      </w:r>
      <w:r>
        <w:rPr>
          <w:rFonts w:hint="eastAsia" w:ascii="宋体" w:hAnsi="宋体"/>
          <w:color w:val="000000"/>
          <w:lang w:val="en-US" w:eastAsia="zh-CN"/>
        </w:rPr>
        <w:t>承诺</w:t>
      </w:r>
      <w:r>
        <w:rPr>
          <w:rFonts w:hint="eastAsia" w:ascii="宋体" w:hAnsi="宋体"/>
          <w:color w:val="000000"/>
        </w:rPr>
        <w:t>：</w:t>
      </w:r>
    </w:p>
    <w:p>
      <w:pPr>
        <w:tabs>
          <w:tab w:val="left" w:pos="420"/>
          <w:tab w:val="left" w:pos="540"/>
        </w:tabs>
        <w:spacing w:before="156" w:beforeLines="50" w:line="360" w:lineRule="auto"/>
        <w:ind w:firstLine="0"/>
        <w:outlineLvl w:val="9"/>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w:t>
      </w:r>
      <w:r>
        <w:rPr>
          <w:rFonts w:hint="default" w:ascii="宋体" w:hAnsi="宋体" w:eastAsia="宋体" w:cs="Times New Roman"/>
          <w:color w:val="000000"/>
          <w:szCs w:val="21"/>
          <w:lang w:val="en-US" w:eastAsia="zh-CN"/>
        </w:rPr>
        <w:t>免费</w:t>
      </w:r>
      <w:r>
        <w:rPr>
          <w:rFonts w:hint="eastAsia" w:ascii="宋体" w:hAnsi="宋体" w:eastAsia="宋体" w:cs="Times New Roman"/>
          <w:color w:val="000000"/>
          <w:szCs w:val="21"/>
          <w:lang w:val="en-US" w:eastAsia="zh-CN"/>
        </w:rPr>
        <w:t>养护期</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1年</w:t>
      </w:r>
      <w:r>
        <w:rPr>
          <w:rFonts w:hint="default" w:ascii="宋体" w:hAnsi="宋体" w:eastAsia="宋体" w:cs="Times New Roman"/>
          <w:color w:val="000000"/>
          <w:szCs w:val="21"/>
          <w:lang w:val="en-US" w:eastAsia="zh-CN"/>
        </w:rPr>
        <w:t>。</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Times New Roman"/>
          <w:color w:val="000000"/>
          <w:szCs w:val="21"/>
          <w:lang w:val="en-US" w:eastAsia="zh-CN"/>
        </w:rPr>
        <w:t>2、树木的养护期</w:t>
      </w:r>
      <w:r>
        <w:rPr>
          <w:rFonts w:hint="default" w:ascii="宋体" w:hAnsi="宋体" w:eastAsia="宋体" w:cs="Times New Roman"/>
          <w:color w:val="000000"/>
          <w:szCs w:val="21"/>
          <w:lang w:val="en-US" w:eastAsia="zh-CN"/>
        </w:rPr>
        <w:t>内，</w:t>
      </w:r>
      <w:r>
        <w:rPr>
          <w:rFonts w:hint="eastAsia" w:ascii="宋体" w:hAnsi="宋体" w:eastAsia="宋体" w:cs="宋体"/>
          <w:color w:val="000000"/>
          <w:sz w:val="21"/>
          <w:szCs w:val="21"/>
          <w:lang w:val="en-US" w:eastAsia="zh-CN"/>
        </w:rPr>
        <w:t>我司负责</w:t>
      </w:r>
      <w:r>
        <w:rPr>
          <w:rFonts w:hint="eastAsia" w:ascii="宋体" w:hAnsi="宋体" w:eastAsia="宋体" w:cs="宋体"/>
          <w:sz w:val="21"/>
          <w:szCs w:val="21"/>
          <w:lang w:val="en-US" w:eastAsia="zh-CN"/>
        </w:rPr>
        <w:t>对其提供的苗木进行养护</w:t>
      </w:r>
      <w:r>
        <w:rPr>
          <w:rFonts w:hint="eastAsia" w:ascii="宋体" w:hAnsi="宋体" w:eastAsia="宋体" w:cs="宋体"/>
          <w:color w:val="000000"/>
          <w:sz w:val="21"/>
          <w:szCs w:val="21"/>
          <w:lang w:val="en-US" w:eastAsia="zh-CN"/>
        </w:rPr>
        <w:t>，不再向采购人收取任何费用。</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3、我司负责对其提供的苗木进行养护，不再向采购人收取任何费用，苗木死亡的，按原规格或升级规格进行更换</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3.养护期内，响应时间：我司提供24小时×7技术支持热线，三个自然日响应。</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4.养护期内，监狱会根据不同苗木的生长周期，通知成交供应商上门技术指导，包括病虫害防治、修剪、浇水、施肥等，所用设备及材料由我司承诺免费提供，上门技术指导次数养护期内应大于或等于四次。</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5.成交供应商免费养护的范围包括养护的全部树木以及养护的设备以及原料。</w:t>
      </w:r>
    </w:p>
    <w:p>
      <w:pPr>
        <w:tabs>
          <w:tab w:val="left" w:pos="420"/>
          <w:tab w:val="left" w:pos="540"/>
        </w:tabs>
        <w:spacing w:before="156" w:beforeLines="50" w:line="360" w:lineRule="auto"/>
        <w:ind w:firstLine="0"/>
        <w:outlineLvl w:val="9"/>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6、我司提供售后配置服务人员</w:t>
      </w:r>
      <w:r>
        <w:rPr>
          <w:rFonts w:hint="eastAsia" w:ascii="宋体" w:hAnsi="宋体" w:eastAsia="宋体" w:cs="Times New Roman"/>
          <w:color w:val="000000"/>
          <w:szCs w:val="21"/>
          <w:u w:val="single"/>
          <w:lang w:val="en-US" w:eastAsia="zh-CN"/>
        </w:rPr>
        <w:t xml:space="preserve">         </w:t>
      </w:r>
      <w:r>
        <w:rPr>
          <w:rFonts w:hint="eastAsia" w:ascii="宋体" w:hAnsi="宋体" w:eastAsia="宋体" w:cs="Times New Roman"/>
          <w:color w:val="000000"/>
          <w:szCs w:val="21"/>
          <w:u w:val="none"/>
          <w:lang w:val="en-US" w:eastAsia="zh-CN"/>
        </w:rPr>
        <w:t>人，</w:t>
      </w:r>
      <w:r>
        <w:rPr>
          <w:rFonts w:hint="eastAsia" w:ascii="宋体" w:hAnsi="宋体" w:eastAsia="宋体" w:cs="Times New Roman"/>
          <w:color w:val="000000"/>
          <w:szCs w:val="21"/>
          <w:lang w:val="en-US" w:eastAsia="zh-CN"/>
        </w:rPr>
        <w:t>名单分别是：</w:t>
      </w:r>
    </w:p>
    <w:p>
      <w:pPr>
        <w:pStyle w:val="2"/>
        <w:rPr>
          <w:rFonts w:hint="eastAsia" w:ascii="宋体" w:hAnsi="宋体" w:eastAsia="宋体" w:cs="Times New Roman"/>
          <w:color w:val="000000"/>
          <w:szCs w:val="21"/>
          <w:lang w:val="en-US" w:eastAsia="zh-CN"/>
        </w:rPr>
      </w:pPr>
    </w:p>
    <w:p>
      <w:pPr>
        <w:pStyle w:val="2"/>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姓名：</w:t>
      </w:r>
    </w:p>
    <w:p>
      <w:pPr>
        <w:pStyle w:val="2"/>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联系电话：</w:t>
      </w:r>
    </w:p>
    <w:p>
      <w:pPr>
        <w:pStyle w:val="2"/>
        <w:rPr>
          <w:rFonts w:hint="eastAsia"/>
          <w:lang w:val="en-US" w:eastAsia="zh-CN"/>
        </w:rPr>
      </w:pPr>
    </w:p>
    <w:p>
      <w:pPr>
        <w:pStyle w:val="53"/>
        <w:spacing w:line="360" w:lineRule="auto"/>
        <w:ind w:left="1200" w:right="218" w:firstLine="0" w:firstLineChars="0"/>
        <w:jc w:val="right"/>
        <w:rPr>
          <w:rFonts w:hint="eastAsia" w:ascii="宋体" w:hAnsi="宋体"/>
          <w:color w:val="000000"/>
          <w:spacing w:val="4"/>
          <w:szCs w:val="21"/>
        </w:rPr>
      </w:pPr>
    </w:p>
    <w:p>
      <w:pPr>
        <w:pStyle w:val="53"/>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53"/>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hint="eastAsia"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pStyle w:val="2"/>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Helvetica Neue">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CF2C7"/>
    <w:multiLevelType w:val="multilevel"/>
    <w:tmpl w:val="950CF2C7"/>
    <w:lvl w:ilvl="0" w:tentative="0">
      <w:start w:val="1"/>
      <w:numFmt w:val="decimal"/>
      <w:lvlText w:val="(%1)"/>
      <w:lvlJc w:val="left"/>
      <w:pPr>
        <w:ind w:left="1475" w:hanging="425"/>
      </w:pPr>
      <w:rPr>
        <w:rFonts w:hint="default" w:ascii="宋体" w:hAnsi="宋体" w:eastAsia="宋体" w:cs="宋体"/>
        <w:sz w:val="21"/>
        <w:szCs w:val="21"/>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CC173313"/>
    <w:multiLevelType w:val="multilevel"/>
    <w:tmpl w:val="CC173313"/>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7">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0">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1">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6">
    <w:nsid w:val="12B5088F"/>
    <w:multiLevelType w:val="multilevel"/>
    <w:tmpl w:val="12B5088F"/>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9">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F47B89C"/>
    <w:multiLevelType w:val="singleLevel"/>
    <w:tmpl w:val="5F47B89C"/>
    <w:lvl w:ilvl="0" w:tentative="0">
      <w:start w:val="1"/>
      <w:numFmt w:val="chineseCounting"/>
      <w:suff w:val="nothing"/>
      <w:lvlText w:val="（%1）"/>
      <w:lvlJc w:val="left"/>
      <w:pPr>
        <w:ind w:left="0" w:firstLine="420"/>
      </w:pPr>
      <w:rPr>
        <w:rFonts w:hint="eastAsia"/>
      </w:rPr>
    </w:lvl>
  </w:abstractNum>
  <w:abstractNum w:abstractNumId="21">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21"/>
  </w:num>
  <w:num w:numId="3">
    <w:abstractNumId w:val="9"/>
  </w:num>
  <w:num w:numId="4">
    <w:abstractNumId w:val="19"/>
  </w:num>
  <w:num w:numId="5">
    <w:abstractNumId w:val="10"/>
  </w:num>
  <w:num w:numId="6">
    <w:abstractNumId w:val="17"/>
  </w:num>
  <w:num w:numId="7">
    <w:abstractNumId w:val="8"/>
  </w:num>
  <w:num w:numId="8">
    <w:abstractNumId w:val="6"/>
  </w:num>
  <w:num w:numId="9">
    <w:abstractNumId w:val="18"/>
  </w:num>
  <w:num w:numId="10">
    <w:abstractNumId w:val="12"/>
  </w:num>
  <w:num w:numId="11">
    <w:abstractNumId w:val="14"/>
  </w:num>
  <w:num w:numId="12">
    <w:abstractNumId w:val="15"/>
  </w:num>
  <w:num w:numId="13">
    <w:abstractNumId w:val="13"/>
  </w:num>
  <w:num w:numId="14">
    <w:abstractNumId w:val="1"/>
  </w:num>
  <w:num w:numId="15">
    <w:abstractNumId w:val="16"/>
  </w:num>
  <w:num w:numId="16">
    <w:abstractNumId w:val="3"/>
  </w:num>
  <w:num w:numId="17">
    <w:abstractNumId w:val="20"/>
  </w:num>
  <w:num w:numId="18">
    <w:abstractNumId w:val="0"/>
  </w:num>
  <w:num w:numId="19">
    <w:abstractNumId w:val="7"/>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115C6A77"/>
    <w:rsid w:val="12F55722"/>
    <w:rsid w:val="14442001"/>
    <w:rsid w:val="151F62A1"/>
    <w:rsid w:val="183A6D72"/>
    <w:rsid w:val="1A165567"/>
    <w:rsid w:val="25956469"/>
    <w:rsid w:val="2891360D"/>
    <w:rsid w:val="2AC61E4D"/>
    <w:rsid w:val="2BFB3D26"/>
    <w:rsid w:val="2DD97383"/>
    <w:rsid w:val="2FBE6265"/>
    <w:rsid w:val="343969A2"/>
    <w:rsid w:val="382E6C2E"/>
    <w:rsid w:val="38B943D7"/>
    <w:rsid w:val="3C7E335B"/>
    <w:rsid w:val="3E682B08"/>
    <w:rsid w:val="3E7404CD"/>
    <w:rsid w:val="42104915"/>
    <w:rsid w:val="437711A8"/>
    <w:rsid w:val="4627234D"/>
    <w:rsid w:val="47C36A0E"/>
    <w:rsid w:val="49666EA9"/>
    <w:rsid w:val="4A130F71"/>
    <w:rsid w:val="4B7778F3"/>
    <w:rsid w:val="4D0F2744"/>
    <w:rsid w:val="4E9D66F5"/>
    <w:rsid w:val="4ED44770"/>
    <w:rsid w:val="536873AD"/>
    <w:rsid w:val="59CA7788"/>
    <w:rsid w:val="5AE55038"/>
    <w:rsid w:val="605F5E18"/>
    <w:rsid w:val="627500D5"/>
    <w:rsid w:val="672B0CE6"/>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szCs w:val="21"/>
    </w:rPr>
  </w:style>
  <w:style w:type="paragraph" w:styleId="4">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5">
    <w:name w:val="annotation text"/>
    <w:basedOn w:val="1"/>
    <w:link w:val="28"/>
    <w:autoRedefine/>
    <w:qFormat/>
    <w:uiPriority w:val="99"/>
    <w:pPr>
      <w:jc w:val="left"/>
    </w:pPr>
  </w:style>
  <w:style w:type="paragraph" w:styleId="6">
    <w:name w:val="Body Text"/>
    <w:basedOn w:val="1"/>
    <w:link w:val="61"/>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qFormat/>
    <w:uiPriority w:val="0"/>
    <w:rPr>
      <w:kern w:val="2"/>
      <w:sz w:val="18"/>
      <w:szCs w:val="18"/>
    </w:rPr>
  </w:style>
  <w:style w:type="paragraph" w:customStyle="1" w:styleId="37">
    <w:name w:val="列表段落1"/>
    <w:basedOn w:val="1"/>
    <w:qFormat/>
    <w:uiPriority w:val="0"/>
    <w:pPr>
      <w:spacing w:line="240" w:lineRule="auto"/>
      <w:ind w:firstLine="420" w:firstLineChars="200"/>
    </w:pPr>
    <w:rPr>
      <w:rFonts w:ascii="Calibri" w:hAnsi="Calibri"/>
    </w:rPr>
  </w:style>
  <w:style w:type="character" w:customStyle="1" w:styleId="38">
    <w:name w:val="列表段落 字符2"/>
    <w:qFormat/>
    <w:uiPriority w:val="99"/>
  </w:style>
  <w:style w:type="table" w:customStyle="1" w:styleId="39">
    <w:name w:val="网格型1"/>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qFormat/>
    <w:uiPriority w:val="34"/>
    <w:pPr>
      <w:spacing w:line="240" w:lineRule="auto"/>
      <w:ind w:firstLine="420" w:firstLineChars="200"/>
    </w:pPr>
  </w:style>
  <w:style w:type="character" w:customStyle="1" w:styleId="41">
    <w:name w:val="font61"/>
    <w:basedOn w:val="16"/>
    <w:qFormat/>
    <w:uiPriority w:val="0"/>
    <w:rPr>
      <w:rFonts w:hint="eastAsia" w:ascii="宋体" w:hAnsi="宋体" w:eastAsia="宋体" w:cs="宋体"/>
      <w:color w:val="000000"/>
      <w:sz w:val="20"/>
      <w:szCs w:val="20"/>
      <w:u w:val="none"/>
    </w:rPr>
  </w:style>
  <w:style w:type="character" w:customStyle="1" w:styleId="42">
    <w:name w:val="纯文本 Char1"/>
    <w:qFormat/>
    <w:uiPriority w:val="0"/>
    <w:rPr>
      <w:rFonts w:ascii="宋体" w:hAnsi="Courier New" w:eastAsia="宋体" w:cs="Courier New"/>
      <w:szCs w:val="21"/>
    </w:rPr>
  </w:style>
  <w:style w:type="paragraph" w:customStyle="1" w:styleId="43">
    <w:name w:val="_Style 41"/>
    <w:basedOn w:val="1"/>
    <w:next w:val="1"/>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qFormat/>
    <w:uiPriority w:val="0"/>
    <w:rPr>
      <w:rFonts w:ascii="Cambria" w:hAnsi="Cambria"/>
      <w:b/>
      <w:bCs/>
      <w:sz w:val="32"/>
      <w:szCs w:val="32"/>
    </w:rPr>
  </w:style>
  <w:style w:type="paragraph" w:customStyle="1" w:styleId="4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qFormat/>
    <w:uiPriority w:val="99"/>
    <w:rPr>
      <w:rFonts w:ascii="宋体" w:hAnsi="Courier New" w:eastAsia="宋体" w:cs="Times New Roman"/>
      <w:kern w:val="0"/>
      <w:sz w:val="20"/>
      <w:szCs w:val="21"/>
    </w:rPr>
  </w:style>
  <w:style w:type="paragraph" w:customStyle="1" w:styleId="5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qFormat/>
    <w:uiPriority w:val="0"/>
    <w:rPr>
      <w:color w:val="FF0000"/>
    </w:rPr>
  </w:style>
  <w:style w:type="paragraph" w:styleId="53">
    <w:name w:val="List Paragraph"/>
    <w:basedOn w:val="1"/>
    <w:qFormat/>
    <w:uiPriority w:val="99"/>
    <w:pPr>
      <w:ind w:firstLine="420" w:firstLineChars="200"/>
    </w:pPr>
    <w:rPr>
      <w:lang w:val="zh-CN"/>
    </w:rPr>
  </w:style>
  <w:style w:type="paragraph" w:customStyle="1" w:styleId="5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qFormat/>
    <w:uiPriority w:val="34"/>
    <w:pPr>
      <w:spacing w:line="240" w:lineRule="auto"/>
      <w:ind w:firstLine="420" w:firstLineChars="200"/>
    </w:pPr>
    <w:rPr>
      <w:rFonts w:ascii="Calibri" w:hAnsi="Calibri"/>
      <w:szCs w:val="22"/>
    </w:rPr>
  </w:style>
  <w:style w:type="character" w:customStyle="1" w:styleId="56">
    <w:name w:val="页脚 字符"/>
    <w:basedOn w:val="16"/>
    <w:link w:val="9"/>
    <w:qFormat/>
    <w:uiPriority w:val="99"/>
    <w:rPr>
      <w:kern w:val="2"/>
      <w:sz w:val="18"/>
      <w:szCs w:val="18"/>
    </w:rPr>
  </w:style>
  <w:style w:type="paragraph" w:customStyle="1" w:styleId="57">
    <w:name w:val="列出段落"/>
    <w:basedOn w:val="1"/>
    <w:qFormat/>
    <w:uiPriority w:val="0"/>
    <w:pPr>
      <w:ind w:firstLine="420" w:firstLineChars="200"/>
    </w:pPr>
    <w:rPr>
      <w:szCs w:val="21"/>
    </w:rPr>
  </w:style>
  <w:style w:type="character" w:customStyle="1" w:styleId="58">
    <w:name w:val="font21"/>
    <w:basedOn w:val="16"/>
    <w:qFormat/>
    <w:uiPriority w:val="0"/>
    <w:rPr>
      <w:rFonts w:ascii="Arial" w:hAnsi="Arial" w:cs="Arial"/>
      <w:color w:val="000000"/>
      <w:sz w:val="18"/>
      <w:szCs w:val="18"/>
      <w:u w:val="none"/>
    </w:rPr>
  </w:style>
  <w:style w:type="paragraph" w:customStyle="1" w:styleId="59">
    <w:name w:val="List Paragraph1"/>
    <w:basedOn w:val="1"/>
    <w:qFormat/>
    <w:uiPriority w:val="0"/>
    <w:pPr>
      <w:spacing w:line="240" w:lineRule="auto"/>
      <w:ind w:firstLine="420" w:firstLineChars="200"/>
    </w:pPr>
    <w:rPr>
      <w:rFonts w:ascii="Calibri" w:hAnsi="Calibri"/>
      <w:szCs w:val="21"/>
    </w:rPr>
  </w:style>
  <w:style w:type="character" w:customStyle="1" w:styleId="60">
    <w:name w:val="15"/>
    <w:basedOn w:val="16"/>
    <w:qFormat/>
    <w:uiPriority w:val="0"/>
    <w:rPr>
      <w:rFonts w:hint="default" w:ascii="Times New Roman" w:hAnsi="Times New Roman" w:cs="Times New Roman"/>
      <w:b/>
      <w:bCs/>
    </w:rPr>
  </w:style>
  <w:style w:type="character" w:customStyle="1" w:styleId="61">
    <w:name w:val="正文文本 字符"/>
    <w:basedOn w:val="16"/>
    <w:link w:val="6"/>
    <w:uiPriority w:val="0"/>
    <w:rPr>
      <w:kern w:val="2"/>
      <w:sz w:val="21"/>
      <w:szCs w:val="24"/>
    </w:rPr>
  </w:style>
  <w:style w:type="paragraph" w:customStyle="1" w:styleId="62">
    <w:name w:val="msolistparagraph"/>
    <w:basedOn w:val="1"/>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16</Pages>
  <Words>1356</Words>
  <Characters>7734</Characters>
  <Lines>64</Lines>
  <Paragraphs>18</Paragraphs>
  <TotalTime>5</TotalTime>
  <ScaleCrop>false</ScaleCrop>
  <LinksUpToDate>false</LinksUpToDate>
  <CharactersWithSpaces>9072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Siva</cp:lastModifiedBy>
  <dcterms:modified xsi:type="dcterms:W3CDTF">2024-03-19T01:19:53Z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F8DC8CBCCD62401297F085C370D3CDA7_13</vt:lpwstr>
  </property>
</Properties>
</file>