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pPr>
        <w:spacing w:line="360" w:lineRule="auto"/>
        <w:jc w:val="center"/>
        <w:rPr>
          <w:rFonts w:ascii="宋体" w:hAnsi="宋体" w:eastAsia="宋体" w:cs="宋体"/>
          <w:b/>
          <w:bCs/>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pPr>
        <w:spacing w:line="360" w:lineRule="auto"/>
        <w:jc w:val="left"/>
        <w:rPr>
          <w:rFonts w:hint="eastAsia" w:ascii="宋体" w:hAnsi="宋体" w:eastAsia="宋体" w:cs="宋体"/>
          <w:b/>
          <w:bCs/>
          <w:color w:val="000000" w:themeColor="text1"/>
          <w:sz w:val="28"/>
          <w:szCs w:val="32"/>
          <w:lang w:eastAsia="zh-CN"/>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lang w:eastAsia="zh-CN"/>
          <w14:textFill>
            <w14:solidFill>
              <w14:schemeClr w14:val="tx1"/>
            </w14:solidFill>
          </w14:textFill>
        </w:rPr>
        <w:t>安备杀虫颗粒剂1%双硫磷等一批Q20240209002</w:t>
      </w:r>
    </w:p>
    <w:p>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广东省疾病预防控制中心</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云采链（广州）信息科技有限公司</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二〇二四年</w:t>
      </w:r>
      <w:r>
        <w:rPr>
          <w:rFonts w:hint="eastAsia" w:ascii="宋体" w:hAnsi="宋体" w:eastAsia="宋体" w:cs="宋体"/>
          <w:b/>
          <w:color w:val="000000" w:themeColor="text1"/>
          <w:sz w:val="28"/>
          <w:lang w:val="en-US" w:eastAsia="zh-CN"/>
          <w14:textFill>
            <w14:solidFill>
              <w14:schemeClr w14:val="tx1"/>
            </w14:solidFill>
          </w14:textFill>
        </w:rPr>
        <w:t>四</w:t>
      </w:r>
      <w:r>
        <w:rPr>
          <w:rFonts w:hint="eastAsia" w:ascii="宋体" w:hAnsi="宋体" w:eastAsia="宋体" w:cs="宋体"/>
          <w:b/>
          <w:color w:val="000000" w:themeColor="text1"/>
          <w:sz w:val="28"/>
          <w14:textFill>
            <w14:solidFill>
              <w14:schemeClr w14:val="tx1"/>
            </w14:solidFill>
          </w14:textFill>
        </w:rPr>
        <w:t>月</w:t>
      </w:r>
    </w:p>
    <w:p>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pPr>
        <w:pStyle w:val="19"/>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本项目通过云采链线上采购一体化平台进行竞价，参与竞价的供应商必须登录平台进行注册，注册成功后方可参与项目竞价。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pPr>
        <w:spacing w:line="360" w:lineRule="auto"/>
        <w:ind w:left="420" w:left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30"/>
        <w:numPr>
          <w:ilvl w:val="0"/>
          <w:numId w:val="2"/>
        </w:numPr>
        <w:spacing w:line="360" w:lineRule="auto"/>
        <w:ind w:firstLineChars="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pPr>
        <w:pStyle w:val="30"/>
        <w:numPr>
          <w:ilvl w:val="0"/>
          <w:numId w:val="2"/>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pPr>
        <w:pStyle w:val="30"/>
        <w:numPr>
          <w:ilvl w:val="0"/>
          <w:numId w:val="3"/>
        </w:numPr>
        <w:spacing w:line="360" w:lineRule="auto"/>
        <w:ind w:left="420" w:hanging="420" w:firstLineChars="0"/>
        <w:rPr>
          <w:rFonts w:ascii="宋体" w:hAnsi="宋体" w:eastAsia="宋体" w:cs="宋体"/>
          <w:b/>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竞价说明</w:t>
      </w:r>
    </w:p>
    <w:p>
      <w:pPr>
        <w:pStyle w:val="30"/>
        <w:numPr>
          <w:ilvl w:val="0"/>
          <w:numId w:val="4"/>
        </w:numPr>
        <w:tabs>
          <w:tab w:val="left" w:pos="851"/>
        </w:tabs>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eastAsia="宋体" w:cs="宋体"/>
          <w:color w:val="000000" w:themeColor="text1"/>
          <w:szCs w:val="21"/>
          <w:lang w:eastAsia="zh-TW"/>
          <w14:textFill>
            <w14:solidFill>
              <w14:schemeClr w14:val="tx1"/>
            </w14:solidFill>
          </w14:textFill>
        </w:rPr>
        <w:t>论</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的结果如何</w:t>
      </w:r>
      <w:r>
        <w:rPr>
          <w:rFonts w:hint="eastAsia" w:ascii="宋体" w:hAnsi="宋体" w:eastAsia="宋体" w:cs="宋体"/>
          <w:color w:val="000000" w:themeColor="text1"/>
          <w:szCs w:val="21"/>
          <w14:textFill>
            <w14:solidFill>
              <w14:schemeClr w14:val="tx1"/>
            </w14:solidFill>
          </w14:textFill>
        </w:rPr>
        <w:t>，采购</w:t>
      </w:r>
      <w:r>
        <w:rPr>
          <w:rFonts w:hint="eastAsia" w:ascii="宋体" w:hAnsi="宋体" w:eastAsia="宋体" w:cs="宋体"/>
          <w:color w:val="000000" w:themeColor="text1"/>
          <w:szCs w:val="21"/>
          <w:lang w:eastAsia="zh-TW"/>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和</w:t>
      </w:r>
      <w:r>
        <w:rPr>
          <w:rFonts w:hint="eastAsia" w:ascii="宋体" w:hAnsi="宋体" w:eastAsia="宋体" w:cs="宋体"/>
          <w:color w:val="000000" w:themeColor="text1"/>
          <w:szCs w:val="21"/>
          <w:lang w:eastAsia="zh-TW"/>
          <w14:textFill>
            <w14:solidFill>
              <w14:schemeClr w14:val="tx1"/>
            </w14:solidFill>
          </w14:textFill>
        </w:rPr>
        <w:t>代理机构均无义务和责任承担这些费用</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eastAsia="宋体" w:cs="宋体"/>
          <w:color w:val="000000" w:themeColor="text1"/>
          <w:szCs w:val="21"/>
          <w14:textFill>
            <w14:solidFill>
              <w14:schemeClr w14:val="tx1"/>
            </w14:solidFill>
          </w14:textFill>
        </w:rPr>
        <w:t>竞价文件</w:t>
      </w:r>
      <w:r>
        <w:rPr>
          <w:rFonts w:hint="eastAsia" w:ascii="宋体" w:hAnsi="宋体" w:eastAsia="宋体" w:cs="宋体"/>
          <w:color w:val="000000" w:themeColor="text1"/>
          <w:szCs w:val="21"/>
          <w:lang w:eastAsia="zh-TW"/>
          <w14:textFill>
            <w14:solidFill>
              <w14:schemeClr w14:val="tx1"/>
            </w14:solidFill>
          </w14:textFill>
        </w:rPr>
        <w:t>规定</w:t>
      </w:r>
      <w:r>
        <w:rPr>
          <w:rFonts w:hint="eastAsia" w:ascii="宋体" w:hAnsi="宋体" w:eastAsia="宋体" w:cs="宋体"/>
          <w:color w:val="000000" w:themeColor="text1"/>
          <w:szCs w:val="21"/>
          <w14:textFill>
            <w14:solidFill>
              <w14:schemeClr w14:val="tx1"/>
            </w14:solidFill>
          </w14:textFill>
        </w:rPr>
        <w:t>和竞价公告规定以及</w:t>
      </w:r>
      <w:r>
        <w:rPr>
          <w:rFonts w:hint="eastAsia" w:ascii="宋体" w:hAnsi="宋体" w:eastAsia="宋体" w:cs="宋体"/>
          <w:color w:val="000000" w:themeColor="text1"/>
          <w:szCs w:val="21"/>
          <w:lang w:eastAsia="zh-TW"/>
          <w14:textFill>
            <w14:solidFill>
              <w14:schemeClr w14:val="tx1"/>
            </w14:solidFill>
          </w14:textFill>
        </w:rPr>
        <w:t>本公司</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eastAsia="宋体" w:cs="宋体"/>
          <w:color w:val="000000" w:themeColor="text1"/>
          <w:szCs w:val="21"/>
          <w14:textFill>
            <w14:solidFill>
              <w14:schemeClr w14:val="tx1"/>
            </w14:solidFill>
          </w14:textFill>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w:t>
      </w:r>
      <w:r>
        <w:rPr>
          <w:rFonts w:hint="eastAsia" w:ascii="宋体" w:hAnsi="宋体" w:eastAsia="宋体" w:cs="宋体"/>
          <w:color w:val="000000" w:themeColor="text1"/>
          <w:szCs w:val="21"/>
          <w:lang w:eastAsia="zh-TW"/>
          <w14:textFill>
            <w14:solidFill>
              <w14:schemeClr w14:val="tx1"/>
            </w14:solidFill>
          </w14:textFill>
        </w:rPr>
        <w:t>、并充分理解</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eastAsia="宋体" w:cs="宋体"/>
          <w:color w:val="000000" w:themeColor="text1"/>
          <w:szCs w:val="21"/>
          <w14:textFill>
            <w14:solidFill>
              <w14:schemeClr w14:val="tx1"/>
            </w14:solidFill>
          </w14:textFill>
        </w:rPr>
        <w:t>、服务要求</w:t>
      </w:r>
      <w:r>
        <w:rPr>
          <w:rFonts w:hint="eastAsia" w:ascii="宋体" w:hAnsi="宋体" w:eastAsia="宋体" w:cs="宋体"/>
          <w:color w:val="000000" w:themeColor="text1"/>
          <w:szCs w:val="21"/>
          <w:lang w:eastAsia="zh-TW"/>
          <w14:textFill>
            <w14:solidFill>
              <w14:schemeClr w14:val="tx1"/>
            </w14:solidFill>
          </w14:textFill>
        </w:rPr>
        <w:t>和技术规范、参数及要求等）。</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没有按照</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文件要求提交全部资料，或者</w:t>
      </w:r>
      <w:r>
        <w:rPr>
          <w:rFonts w:hint="eastAsia" w:ascii="宋体" w:hAnsi="宋体" w:eastAsia="宋体" w:cs="宋体"/>
          <w:color w:val="000000" w:themeColor="text1"/>
          <w:szCs w:val="21"/>
          <w14:textFill>
            <w14:solidFill>
              <w14:schemeClr w14:val="tx1"/>
            </w14:solidFill>
          </w14:textFill>
        </w:rPr>
        <w:t>参与竞价所上传的</w:t>
      </w:r>
      <w:r>
        <w:rPr>
          <w:rFonts w:hint="eastAsia" w:ascii="宋体" w:hAnsi="宋体" w:eastAsia="宋体" w:cs="宋体"/>
          <w:color w:val="000000" w:themeColor="text1"/>
          <w:szCs w:val="21"/>
          <w:lang w:eastAsia="zh-TW"/>
          <w14:textFill>
            <w14:solidFill>
              <w14:schemeClr w14:val="tx1"/>
            </w14:solidFill>
          </w14:textFill>
        </w:rPr>
        <w:t>文件没有对</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文件在各方面都作出实质性响应是</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的风险，有可能导致其</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被拒绝，</w:t>
      </w:r>
      <w:r>
        <w:rPr>
          <w:rFonts w:hint="eastAsia" w:ascii="宋体" w:hAnsi="宋体" w:eastAsia="宋体" w:cs="宋体"/>
          <w:color w:val="000000" w:themeColor="text1"/>
          <w:szCs w:val="21"/>
          <w14:textFill>
            <w14:solidFill>
              <w14:schemeClr w14:val="tx1"/>
            </w14:solidFill>
          </w14:textFill>
        </w:rPr>
        <w:t>或被认定为无效竞价。</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104"/>
        <w:numPr>
          <w:ilvl w:val="0"/>
          <w:numId w:val="5"/>
        </w:numPr>
        <w:spacing w:line="360" w:lineRule="auto"/>
        <w:ind w:firstLineChars="0"/>
        <w:jc w:val="left"/>
        <w:rPr>
          <w:rFonts w:ascii="宋体" w:hAnsi="宋体"/>
        </w:rPr>
      </w:pPr>
      <w:r>
        <w:rPr>
          <w:rFonts w:hint="eastAsia" w:ascii="宋体" w:hAnsi="宋体"/>
        </w:rPr>
        <w:t>供应商认为竞价结果损害其权益的，应在结果公告发布之日起三个工作日内一次性向采购人或代理机构提交书面质疑函，不提交的视为无异议,逾期提交将不予受理。提出质疑的供应商应当是参与所质疑项目采购活动的供应商。不提交的视为无异议，</w:t>
      </w:r>
      <w:r>
        <w:t>逾期提交将不予</w:t>
      </w:r>
      <w:r>
        <w:rPr>
          <w:rFonts w:ascii="宋体" w:hAnsi="宋体"/>
        </w:rPr>
        <w:t>受理</w:t>
      </w:r>
      <w:r>
        <w:rPr>
          <w:rFonts w:hint="eastAsia" w:ascii="宋体" w:hAnsi="宋体"/>
        </w:rPr>
        <w:t>。（详见质疑指南：</w:t>
      </w:r>
      <w:r>
        <w:rPr>
          <w:rFonts w:ascii="宋体" w:hAnsi="宋体"/>
        </w:rPr>
        <w:t>http://www.choicelink.cn/channels/4814.html</w:t>
      </w:r>
      <w:r>
        <w:rPr>
          <w:rFonts w:hint="eastAsia" w:ascii="宋体" w:hAnsi="宋体"/>
        </w:rPr>
        <w:t>）</w:t>
      </w:r>
    </w:p>
    <w:p>
      <w:pPr>
        <w:pStyle w:val="3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w:t>
      </w:r>
      <w:r>
        <w:rPr>
          <w:rFonts w:hint="eastAsia" w:ascii="宋体" w:hAnsi="宋体" w:eastAsia="宋体" w:cs="宋体"/>
          <w:color w:val="000000" w:themeColor="text1"/>
          <w:szCs w:val="21"/>
          <w:lang w:eastAsia="zh-TW"/>
          <w14:textFill>
            <w14:solidFill>
              <w14:schemeClr w14:val="tx1"/>
            </w14:solidFill>
          </w14:textFill>
        </w:rPr>
        <w:t>“云采链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lang w:eastAsia="zh-TW"/>
          <w14:textFill>
            <w14:solidFill>
              <w14:schemeClr w14:val="tx1"/>
            </w14:solidFill>
          </w14:textFill>
        </w:rPr>
        <w:t>”所有。</w:t>
      </w:r>
    </w:p>
    <w:p>
      <w:pPr>
        <w:pStyle w:val="30"/>
        <w:numPr>
          <w:ilvl w:val="0"/>
          <w:numId w:val="3"/>
        </w:numPr>
        <w:spacing w:line="360" w:lineRule="auto"/>
        <w:ind w:left="42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pPr>
        <w:pStyle w:val="30"/>
        <w:numPr>
          <w:ilvl w:val="0"/>
          <w:numId w:val="6"/>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30"/>
        <w:numPr>
          <w:ilvl w:val="0"/>
          <w:numId w:val="6"/>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w:t>
      </w:r>
      <w:r>
        <w:rPr>
          <w:rFonts w:hint="eastAsia" w:ascii="宋体" w:hAnsi="宋体" w:eastAsia="宋体" w:cs="宋体"/>
          <w:color w:val="000000" w:themeColor="text1"/>
          <w:szCs w:val="21"/>
          <w:lang w:eastAsia="zh-TW"/>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pPr>
        <w:pStyle w:val="30"/>
        <w:numPr>
          <w:ilvl w:val="0"/>
          <w:numId w:val="6"/>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30"/>
        <w:numPr>
          <w:ilvl w:val="0"/>
          <w:numId w:val="3"/>
        </w:numPr>
        <w:spacing w:line="360" w:lineRule="auto"/>
        <w:ind w:left="420" w:hanging="420" w:firstLineChars="0"/>
        <w:rPr>
          <w:rFonts w:ascii="宋体" w:hAnsi="宋体" w:eastAsia="宋体" w:cs="宋体"/>
          <w:bCs/>
          <w:color w:val="000000"/>
          <w:szCs w:val="21"/>
        </w:rPr>
      </w:pPr>
      <w:r>
        <w:rPr>
          <w:rFonts w:hint="eastAsia" w:ascii="宋体" w:hAnsi="宋体" w:eastAsia="宋体" w:cs="宋体"/>
          <w:bCs/>
          <w:color w:val="000000"/>
          <w:szCs w:val="21"/>
          <w:lang w:bidi="ar"/>
        </w:rPr>
        <w:t>如有要求缴纳投标保证金的项目有下列任一情形发生时，投标保证金将不予退还：</w:t>
      </w:r>
    </w:p>
    <w:p>
      <w:pPr>
        <w:spacing w:line="360" w:lineRule="auto"/>
        <w:ind w:left="420"/>
        <w:rPr>
          <w:rFonts w:ascii="宋体" w:hAnsi="宋体" w:eastAsia="宋体" w:cs="宋体"/>
          <w:bCs/>
          <w:color w:val="000000"/>
          <w:szCs w:val="21"/>
        </w:rPr>
      </w:pPr>
      <w:r>
        <w:rPr>
          <w:rFonts w:hint="eastAsia" w:ascii="宋体" w:hAnsi="宋体" w:eastAsia="宋体" w:cs="宋体"/>
          <w:bCs/>
          <w:color w:val="000000"/>
          <w:szCs w:val="21"/>
          <w:lang w:bidi="ar"/>
        </w:rPr>
        <w:t>1.供应商在项目相关公告以及竞价文件等相关规定的报名报价有效期内撤销其报价的。</w:t>
      </w:r>
    </w:p>
    <w:p>
      <w:pPr>
        <w:spacing w:line="360" w:lineRule="auto"/>
        <w:ind w:left="420"/>
        <w:rPr>
          <w:rFonts w:ascii="宋体" w:hAnsi="宋体" w:eastAsia="宋体" w:cs="宋体"/>
          <w:bCs/>
          <w:color w:val="000000"/>
          <w:szCs w:val="21"/>
        </w:rPr>
      </w:pPr>
      <w:r>
        <w:rPr>
          <w:rFonts w:hint="eastAsia" w:ascii="宋体" w:hAnsi="宋体" w:eastAsia="宋体" w:cs="宋体"/>
          <w:bCs/>
          <w:color w:val="000000"/>
          <w:szCs w:val="21"/>
          <w:lang w:bidi="ar"/>
        </w:rPr>
        <w:t>2.获取成交资格后无正当理由放弃成交资格或成交人拒绝与采购人签订合同的。</w:t>
      </w:r>
    </w:p>
    <w:p>
      <w:pPr>
        <w:spacing w:line="360" w:lineRule="auto"/>
        <w:ind w:left="420"/>
        <w:rPr>
          <w:rFonts w:ascii="宋体" w:hAnsi="宋体" w:eastAsia="宋体" w:cs="宋体"/>
          <w:bCs/>
          <w:color w:val="000000"/>
          <w:szCs w:val="21"/>
        </w:rPr>
      </w:pPr>
      <w:r>
        <w:rPr>
          <w:rFonts w:hint="eastAsia" w:ascii="宋体" w:hAnsi="宋体" w:eastAsia="宋体" w:cs="宋体"/>
          <w:bCs/>
          <w:color w:val="000000"/>
          <w:szCs w:val="21"/>
          <w:lang w:bidi="ar"/>
        </w:rPr>
        <w:t>3.其他因成交人的原因被认定取消成交资格的。</w:t>
      </w:r>
    </w:p>
    <w:p>
      <w:pPr>
        <w:pStyle w:val="30"/>
        <w:numPr>
          <w:ilvl w:val="0"/>
          <w:numId w:val="3"/>
        </w:numPr>
        <w:spacing w:line="360" w:lineRule="auto"/>
        <w:ind w:left="420" w:hanging="420" w:firstLineChars="0"/>
        <w:rPr>
          <w:rStyle w:val="26"/>
          <w:rFonts w:ascii="宋体" w:hAnsi="宋体" w:eastAsia="宋体" w:cs="宋体"/>
          <w:b w:val="0"/>
        </w:rPr>
      </w:pPr>
      <w:r>
        <w:rPr>
          <w:rStyle w:val="26"/>
          <w:rFonts w:hint="eastAsia" w:ascii="宋体" w:hAnsi="宋体" w:eastAsia="宋体" w:cs="宋体"/>
          <w:bCs w:val="0"/>
        </w:rPr>
        <w:t>报名要求</w:t>
      </w:r>
      <w:r>
        <w:rPr>
          <w:rStyle w:val="26"/>
          <w:rFonts w:hint="eastAsia" w:ascii="宋体" w:hAnsi="宋体" w:eastAsia="宋体" w:cs="宋体"/>
          <w:b w:val="0"/>
        </w:rPr>
        <w:t>（供应商必须按要求同步提供备案资料方可进行项目报名）</w:t>
      </w:r>
    </w:p>
    <w:p>
      <w:pPr>
        <w:numPr>
          <w:ilvl w:val="0"/>
          <w:numId w:val="7"/>
        </w:numPr>
        <w:ind w:left="420"/>
        <w:rPr>
          <w:rFonts w:ascii="宋体" w:hAnsi="宋体" w:eastAsia="宋体" w:cs="宋体"/>
          <w:kern w:val="0"/>
        </w:rPr>
      </w:pPr>
      <w:r>
        <w:rPr>
          <w:rFonts w:hint="eastAsia" w:ascii="宋体" w:hAnsi="宋体" w:eastAsia="宋体" w:cs="宋体"/>
          <w:kern w:val="0"/>
        </w:rPr>
        <w:t>全公开。</w:t>
      </w:r>
    </w:p>
    <w:p>
      <w:pPr>
        <w:pStyle w:val="30"/>
        <w:numPr>
          <w:ilvl w:val="0"/>
          <w:numId w:val="3"/>
        </w:numPr>
        <w:spacing w:line="360" w:lineRule="auto"/>
        <w:ind w:left="420" w:hanging="420" w:firstLineChars="0"/>
        <w:rPr>
          <w:rStyle w:val="26"/>
          <w:rFonts w:ascii="宋体" w:hAnsi="宋体" w:eastAsia="宋体" w:cs="宋体"/>
          <w:bCs w:val="0"/>
          <w:color w:val="000000" w:themeColor="text1"/>
          <w14:textFill>
            <w14:solidFill>
              <w14:schemeClr w14:val="tx1"/>
            </w14:solidFill>
          </w14:textFill>
        </w:rPr>
      </w:pPr>
      <w:r>
        <w:rPr>
          <w:rStyle w:val="26"/>
          <w:rFonts w:hint="eastAsia" w:ascii="宋体" w:hAnsi="宋体" w:eastAsia="宋体" w:cs="宋体"/>
          <w:bCs w:val="0"/>
          <w:color w:val="000000" w:themeColor="text1"/>
          <w14:textFill>
            <w14:solidFill>
              <w14:schemeClr w14:val="tx1"/>
            </w14:solidFill>
          </w14:textFill>
        </w:rPr>
        <w:t>报价要求</w:t>
      </w:r>
      <w:r>
        <w:rPr>
          <w:rStyle w:val="26"/>
          <w:rFonts w:hint="eastAsia" w:ascii="宋体" w:hAnsi="宋体" w:eastAsia="宋体" w:cs="宋体"/>
          <w:color w:val="000000" w:themeColor="text1"/>
          <w:szCs w:val="21"/>
          <w14:textFill>
            <w14:solidFill>
              <w14:schemeClr w14:val="tx1"/>
            </w14:solidFill>
          </w14:textFill>
        </w:rPr>
        <w:t>（</w:t>
      </w:r>
      <w:r>
        <w:rPr>
          <w:rStyle w:val="26"/>
          <w:rFonts w:hint="eastAsia" w:ascii="宋体" w:hAnsi="宋体" w:eastAsia="宋体" w:cs="宋体"/>
          <w:b w:val="0"/>
          <w:color w:val="000000" w:themeColor="text1"/>
          <w:szCs w:val="21"/>
          <w14:textFill>
            <w14:solidFill>
              <w14:schemeClr w14:val="tx1"/>
            </w14:solidFill>
          </w14:textFill>
        </w:rPr>
        <w:t>报价时需要提供以下</w:t>
      </w:r>
      <w:r>
        <w:rPr>
          <w:rStyle w:val="26"/>
          <w:rFonts w:hint="eastAsia" w:ascii="宋体" w:hAnsi="宋体" w:eastAsia="宋体" w:cs="宋体"/>
          <w:color w:val="000000" w:themeColor="text1"/>
          <w:szCs w:val="21"/>
          <w:u w:val="double"/>
          <w14:textFill>
            <w14:solidFill>
              <w14:schemeClr w14:val="tx1"/>
            </w14:solidFill>
          </w14:textFill>
        </w:rPr>
        <w:t>盖章</w:t>
      </w:r>
      <w:r>
        <w:rPr>
          <w:rStyle w:val="26"/>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26"/>
          <w:rFonts w:hint="eastAsia" w:ascii="宋体" w:hAnsi="宋体" w:eastAsia="宋体" w:cs="宋体"/>
          <w:color w:val="000000" w:themeColor="text1"/>
          <w:szCs w:val="21"/>
          <w14:textFill>
            <w14:solidFill>
              <w14:schemeClr w14:val="tx1"/>
            </w14:solidFill>
          </w14:textFill>
        </w:rPr>
        <w:t>）</w:t>
      </w:r>
    </w:p>
    <w:p>
      <w:pPr>
        <w:pStyle w:val="30"/>
        <w:numPr>
          <w:ilvl w:val="0"/>
          <w:numId w:val="8"/>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14:textFill>
            <w14:solidFill>
              <w14:schemeClr w14:val="tx1"/>
            </w14:solidFill>
          </w14:textFill>
        </w:rPr>
        <w:t>、真实、准确地</w:t>
      </w:r>
      <w:r>
        <w:rPr>
          <w:rFonts w:hint="eastAsia" w:ascii="宋体" w:hAnsi="宋体" w:eastAsia="宋体" w:cs="宋体"/>
          <w:color w:val="000000" w:themeColor="text1"/>
          <w:szCs w:val="21"/>
          <w14:textFill>
            <w14:solidFill>
              <w14:schemeClr w14:val="tx1"/>
            </w14:solidFill>
          </w14:textFill>
        </w:rPr>
        <w:t>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lang w:bidi="ar"/>
        </w:rPr>
        <w:t>报价表</w:t>
      </w:r>
      <w:r>
        <w:rPr>
          <w:rFonts w:hint="eastAsia" w:ascii="宋体" w:hAnsi="宋体" w:eastAsia="宋体" w:cs="宋体"/>
          <w:b/>
          <w:bCs/>
          <w:color w:val="000000"/>
          <w:szCs w:val="21"/>
          <w:shd w:val="clear" w:color="auto" w:fill="FFFFFF"/>
          <w:lang w:bidi="ar"/>
        </w:rPr>
        <w:t>+</w:t>
      </w:r>
      <w:r>
        <w:rPr>
          <w:rFonts w:hint="eastAsia" w:ascii="宋体" w:hAnsi="宋体" w:eastAsia="宋体" w:cs="宋体"/>
          <w:b/>
          <w:bCs/>
          <w:szCs w:val="21"/>
          <w:shd w:val="clear" w:color="auto" w:fill="FFFFFF"/>
          <w:lang w:bidi="ar"/>
        </w:rPr>
        <w:t>报价单EXCLE表格</w:t>
      </w:r>
      <w:r>
        <w:rPr>
          <w:rFonts w:hint="eastAsia" w:ascii="宋体" w:hAnsi="宋体" w:eastAsia="宋体" w:cs="宋体"/>
          <w:b/>
          <w:lang w:bidi="ar"/>
        </w:rPr>
        <w:t>、供货承诺函和采购人要求的其他证明文件）。</w:t>
      </w:r>
    </w:p>
    <w:p>
      <w:pPr>
        <w:pStyle w:val="30"/>
        <w:numPr>
          <w:ilvl w:val="0"/>
          <w:numId w:val="8"/>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30"/>
        <w:numPr>
          <w:ilvl w:val="0"/>
          <w:numId w:val="3"/>
        </w:numPr>
        <w:spacing w:line="360" w:lineRule="auto"/>
        <w:ind w:left="420" w:hanging="420" w:firstLineChars="0"/>
        <w:rPr>
          <w:rFonts w:ascii="宋体" w:hAnsi="宋体" w:eastAsia="宋体" w:cs="宋体"/>
          <w:b/>
        </w:rPr>
      </w:pPr>
      <w:r>
        <w:rPr>
          <w:rStyle w:val="26"/>
          <w:rFonts w:hint="eastAsia" w:ascii="宋体" w:hAnsi="宋体" w:eastAsia="宋体" w:cs="宋体"/>
          <w:bCs w:val="0"/>
        </w:rPr>
        <w:t>确定成交候选人</w:t>
      </w:r>
    </w:p>
    <w:p>
      <w:pPr>
        <w:widowControl/>
        <w:spacing w:line="360" w:lineRule="auto"/>
        <w:ind w:left="420" w:firstLine="420" w:firstLineChars="200"/>
        <w:jc w:val="left"/>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szCs w:val="21"/>
          <w:lang w:bidi="ar"/>
        </w:rPr>
        <w:t>本项目采用“价格分+履约分”的计分方式确定成交供应商。价格分权重为80%，履约分权重为20%。项目总得分采用低价优先法计算，即满足竞价文件要求且报价最低的报价为基准价，其价格分为满分。已纳入中心外部供应商质量管理体系的既往供应商初始履约分均为8分；初次参与中心采购活动的新进供应商初始履约分均为7分，具体以外部供应商履约评分规则计算供应商履约分。最后由项目价格分与履约分之和最高的供应商推荐为第一成交候选人，若项目总得分相同的，按报价时间在前的为第一成交候选人；报价次低的为第二成交候选人，以此类推。</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供应商报价超过项目最高限价或低于最低限价视为无效报价。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pPr>
        <w:pStyle w:val="30"/>
        <w:numPr>
          <w:ilvl w:val="0"/>
          <w:numId w:val="9"/>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平台上报价与报价表合计不一致的，以报价表合计（经价格核准后的价格）为准；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8"/>
        <w:numPr>
          <w:ilvl w:val="0"/>
          <w:numId w:val="9"/>
        </w:numPr>
        <w:shd w:val="clear" w:color="auto" w:fill="FFFFFF"/>
        <w:spacing w:before="0" w:beforeAutospacing="0" w:after="0" w:afterAutospacing="0" w:line="360" w:lineRule="auto"/>
        <w:ind w:left="840" w:hanging="420"/>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pPr>
        <w:pStyle w:val="18"/>
        <w:numPr>
          <w:ilvl w:val="0"/>
          <w:numId w:val="9"/>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不同供应商使用同一IP地址参与竞价；</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pPr>
        <w:pStyle w:val="30"/>
        <w:widowControl/>
        <w:numPr>
          <w:ilvl w:val="0"/>
          <w:numId w:val="10"/>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pPr>
        <w:pStyle w:val="30"/>
        <w:numPr>
          <w:ilvl w:val="0"/>
          <w:numId w:val="3"/>
        </w:numPr>
        <w:spacing w:line="360" w:lineRule="auto"/>
        <w:ind w:left="42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pPr>
        <w:pStyle w:val="3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1.出现影响采购公正的违法、违规行为的。</w:t>
      </w:r>
    </w:p>
    <w:p>
      <w:pPr>
        <w:pStyle w:val="30"/>
        <w:spacing w:line="360" w:lineRule="auto"/>
        <w:ind w:left="840" w:leftChars="200" w:hanging="420" w:firstLineChars="0"/>
        <w:rPr>
          <w:rFonts w:hint="eastAsia" w:ascii="宋体" w:hAnsi="宋体" w:eastAsia="宋体" w:cs="宋体"/>
          <w:szCs w:val="21"/>
        </w:rPr>
      </w:pPr>
      <w:r>
        <w:rPr>
          <w:rFonts w:hint="eastAsia" w:ascii="宋体" w:hAnsi="宋体" w:eastAsia="宋体" w:cs="宋体"/>
          <w:szCs w:val="21"/>
        </w:rPr>
        <w:t>2.因重大变故，采购任务取消的。</w:t>
      </w:r>
    </w:p>
    <w:p>
      <w:pPr>
        <w:pStyle w:val="30"/>
        <w:numPr>
          <w:ilvl w:val="0"/>
          <w:numId w:val="3"/>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1.成交供应商须向平台服务商云采链线上采购一体化平台缴纳平台使用费，金额为成交金额的1.5%（四舍五入取整数）。</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pPr>
        <w:pStyle w:val="3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pPr>
        <w:pStyle w:val="30"/>
        <w:numPr>
          <w:ilvl w:val="0"/>
          <w:numId w:val="2"/>
        </w:numPr>
        <w:spacing w:line="360" w:lineRule="auto"/>
        <w:ind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pPr>
        <w:pStyle w:val="18"/>
        <w:spacing w:before="0" w:beforeAutospacing="0" w:after="0" w:afterAutospacing="0" w:line="360" w:lineRule="auto"/>
        <w:ind w:left="420"/>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扫码关注微信公众号“云采链互联服务平台”，即可在线咨询相关事项。</w:t>
      </w:r>
    </w:p>
    <w:p>
      <w:pPr>
        <w:pStyle w:val="30"/>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用户需求书</w:t>
      </w:r>
    </w:p>
    <w:p>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pPr>
        <w:numPr>
          <w:ilvl w:val="0"/>
          <w:numId w:val="11"/>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pPr>
        <w:pStyle w:val="10"/>
        <w:numPr>
          <w:ilvl w:val="0"/>
          <w:numId w:val="12"/>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项目一览表</w:t>
      </w:r>
    </w:p>
    <w:tbl>
      <w:tblPr>
        <w:tblStyle w:val="23"/>
        <w:tblW w:w="96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82"/>
        <w:gridCol w:w="1110"/>
        <w:gridCol w:w="4125"/>
        <w:gridCol w:w="1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682" w:type="dxa"/>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szCs w:val="21"/>
              </w:rPr>
              <w:t>项目名称</w:t>
            </w:r>
          </w:p>
        </w:tc>
        <w:tc>
          <w:tcPr>
            <w:tcW w:w="1110" w:type="dxa"/>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tc>
        <w:tc>
          <w:tcPr>
            <w:tcW w:w="4125" w:type="dxa"/>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rPr>
              <w:t>交货期</w:t>
            </w:r>
          </w:p>
        </w:tc>
        <w:tc>
          <w:tcPr>
            <w:tcW w:w="1780" w:type="dxa"/>
            <w:tcBorders>
              <w:top w:val="single" w:color="auto" w:sz="12" w:space="0"/>
              <w:bottom w:val="single" w:color="auto" w:sz="2" w:space="0"/>
            </w:tcBorders>
            <w:shd w:val="clear" w:color="auto" w:fill="EEECE1"/>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2682" w:type="dxa"/>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安备杀虫颗粒剂1%双硫磷等一批Q20240209002</w:t>
            </w:r>
          </w:p>
        </w:tc>
        <w:tc>
          <w:tcPr>
            <w:tcW w:w="1110" w:type="dxa"/>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1批</w:t>
            </w:r>
          </w:p>
        </w:tc>
        <w:tc>
          <w:tcPr>
            <w:tcW w:w="4125" w:type="dxa"/>
            <w:tcBorders>
              <w:top w:val="single" w:color="auto" w:sz="2" w:space="0"/>
              <w:bottom w:val="single" w:color="auto" w:sz="2" w:space="0"/>
            </w:tcBorders>
            <w:vAlign w:val="center"/>
          </w:tcPr>
          <w:p>
            <w:pPr>
              <w:pStyle w:val="37"/>
              <w:keepLines w:val="0"/>
              <w:suppressLineNumbers w:val="0"/>
              <w:spacing w:beforeAutospacing="0" w:afterAutospacing="0" w:line="360" w:lineRule="auto"/>
              <w:ind w:left="0" w:right="-82" w:rightChars="-39" w:hanging="54"/>
              <w:rPr>
                <w:rFonts w:hint="default" w:ascii="宋体" w:hAnsi="宋体" w:cs="宋体"/>
                <w:snapToGrid/>
                <w:color w:val="000000" w:themeColor="text1"/>
                <w:spacing w:val="0"/>
                <w:kern w:val="2"/>
                <w:sz w:val="21"/>
                <w:szCs w:val="24"/>
                <w14:textFill>
                  <w14:solidFill>
                    <w14:schemeClr w14:val="tx1"/>
                  </w14:solidFill>
                </w14:textFill>
              </w:rPr>
            </w:pPr>
            <w:r>
              <w:rPr>
                <w:rFonts w:hint="eastAsia" w:ascii="宋体" w:hAnsi="宋体" w:cs="宋体"/>
                <w:snapToGrid/>
                <w:spacing w:val="0"/>
                <w:kern w:val="2"/>
                <w:sz w:val="21"/>
                <w:szCs w:val="21"/>
              </w:rPr>
              <w:t>无货期需求时：进口产品90天内完成供货，国产产品15天内完成供货；有货期需求时：以采购人时间要求为准</w:t>
            </w:r>
          </w:p>
        </w:tc>
        <w:tc>
          <w:tcPr>
            <w:tcW w:w="1780" w:type="dxa"/>
            <w:tcBorders>
              <w:top w:val="single" w:color="auto" w:sz="2" w:space="0"/>
              <w:bottom w:val="single" w:color="auto" w:sz="2"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w:t>
            </w:r>
            <w:r>
              <w:rPr>
                <w:rFonts w:hint="eastAsia" w:ascii="宋体" w:hAnsi="宋体" w:eastAsia="宋体" w:cs="宋体"/>
                <w:color w:val="000000" w:themeColor="text1"/>
                <w:szCs w:val="21"/>
                <w:u w:val="single"/>
                <w14:textFill>
                  <w14:solidFill>
                    <w14:schemeClr w14:val="tx1"/>
                  </w14:solidFill>
                </w14:textFill>
              </w:rPr>
              <w:t>12360</w:t>
            </w:r>
            <w:r>
              <w:rPr>
                <w:rFonts w:hint="eastAsia" w:ascii="宋体" w:hAnsi="宋体" w:eastAsia="宋体" w:cs="宋体"/>
                <w:color w:val="000000" w:themeColor="text1"/>
                <w:szCs w:val="21"/>
                <w14:textFill>
                  <w14:solidFill>
                    <w14:schemeClr w14:val="tx1"/>
                  </w14:solidFill>
                </w14:textFill>
              </w:rPr>
              <w:t>元</w:t>
            </w:r>
          </w:p>
        </w:tc>
      </w:tr>
    </w:tbl>
    <w:p>
      <w:pPr>
        <w:pStyle w:val="10"/>
        <w:tabs>
          <w:tab w:val="left" w:pos="540"/>
        </w:tabs>
        <w:adjustRightInd w:val="0"/>
        <w:snapToGrid w:val="0"/>
        <w:spacing w:line="360" w:lineRule="auto"/>
        <w:rPr>
          <w:rFonts w:hAnsi="宋体" w:cs="宋体"/>
          <w:b/>
          <w:color w:val="000000" w:themeColor="text1"/>
          <w:sz w:val="21"/>
          <w14:textFill>
            <w14:solidFill>
              <w14:schemeClr w14:val="tx1"/>
            </w14:solidFill>
          </w14:textFill>
        </w:rPr>
      </w:pPr>
    </w:p>
    <w:p>
      <w:pPr>
        <w:pStyle w:val="10"/>
        <w:numPr>
          <w:ilvl w:val="0"/>
          <w:numId w:val="12"/>
        </w:numPr>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采购清单:</w:t>
      </w:r>
    </w:p>
    <w:p>
      <w:pPr>
        <w:rPr>
          <w:rFonts w:ascii="宋体" w:hAnsi="宋体" w:eastAsia="宋体" w:cs="宋体"/>
        </w:rPr>
      </w:pPr>
    </w:p>
    <w:tbl>
      <w:tblPr>
        <w:tblStyle w:val="23"/>
        <w:tblW w:w="10276" w:type="dxa"/>
        <w:jc w:val="center"/>
        <w:tblLayout w:type="fixed"/>
        <w:tblCellMar>
          <w:top w:w="0" w:type="dxa"/>
          <w:left w:w="108" w:type="dxa"/>
          <w:bottom w:w="0" w:type="dxa"/>
          <w:right w:w="108" w:type="dxa"/>
        </w:tblCellMar>
      </w:tblPr>
      <w:tblGrid>
        <w:gridCol w:w="600"/>
        <w:gridCol w:w="1171"/>
        <w:gridCol w:w="780"/>
        <w:gridCol w:w="1317"/>
        <w:gridCol w:w="705"/>
        <w:gridCol w:w="735"/>
        <w:gridCol w:w="885"/>
        <w:gridCol w:w="855"/>
        <w:gridCol w:w="808"/>
        <w:gridCol w:w="900"/>
        <w:gridCol w:w="791"/>
        <w:gridCol w:w="729"/>
      </w:tblGrid>
      <w:tr>
        <w:tblPrEx>
          <w:tblCellMar>
            <w:top w:w="0" w:type="dxa"/>
            <w:left w:w="108" w:type="dxa"/>
            <w:bottom w:w="0" w:type="dxa"/>
            <w:right w:w="108" w:type="dxa"/>
          </w:tblCellMar>
        </w:tblPrEx>
        <w:trPr>
          <w:trHeight w:val="480" w:hRule="atLeast"/>
          <w:jc w:val="center"/>
        </w:trPr>
        <w:tc>
          <w:tcPr>
            <w:tcW w:w="600" w:type="dxa"/>
            <w:tcBorders>
              <w:top w:val="single" w:color="A9A9A9" w:sz="4" w:space="0"/>
              <w:left w:val="single" w:color="A9A9A9" w:sz="4" w:space="0"/>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序号</w:t>
            </w:r>
          </w:p>
        </w:tc>
        <w:tc>
          <w:tcPr>
            <w:tcW w:w="1171"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材料名称</w:t>
            </w:r>
          </w:p>
        </w:tc>
        <w:tc>
          <w:tcPr>
            <w:tcW w:w="780"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参考品牌</w:t>
            </w:r>
          </w:p>
        </w:tc>
        <w:tc>
          <w:tcPr>
            <w:tcW w:w="1317"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型号规格/性能参数</w:t>
            </w:r>
          </w:p>
        </w:tc>
        <w:tc>
          <w:tcPr>
            <w:tcW w:w="705"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数量</w:t>
            </w:r>
          </w:p>
        </w:tc>
        <w:tc>
          <w:tcPr>
            <w:tcW w:w="735"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单位</w:t>
            </w:r>
          </w:p>
        </w:tc>
        <w:tc>
          <w:tcPr>
            <w:tcW w:w="885"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单价最高限价（元）</w:t>
            </w:r>
          </w:p>
        </w:tc>
        <w:tc>
          <w:tcPr>
            <w:tcW w:w="855"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单价（元）</w:t>
            </w:r>
          </w:p>
        </w:tc>
        <w:tc>
          <w:tcPr>
            <w:tcW w:w="808"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金额（元）</w:t>
            </w:r>
          </w:p>
        </w:tc>
        <w:tc>
          <w:tcPr>
            <w:tcW w:w="900"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所投品牌（规格/型号）</w:t>
            </w:r>
          </w:p>
        </w:tc>
        <w:tc>
          <w:tcPr>
            <w:tcW w:w="791"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送货时间</w:t>
            </w:r>
          </w:p>
        </w:tc>
        <w:tc>
          <w:tcPr>
            <w:tcW w:w="729" w:type="dxa"/>
            <w:tcBorders>
              <w:top w:val="single" w:color="A9A9A9" w:sz="4" w:space="0"/>
              <w:left w:val="single" w:color="A9A9A9" w:sz="4" w:space="0"/>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备注</w:t>
            </w:r>
          </w:p>
        </w:tc>
      </w:tr>
      <w:tr>
        <w:tblPrEx>
          <w:tblCellMar>
            <w:top w:w="0" w:type="dxa"/>
            <w:left w:w="108" w:type="dxa"/>
            <w:bottom w:w="0" w:type="dxa"/>
            <w:right w:w="108" w:type="dxa"/>
          </w:tblCellMar>
        </w:tblPrEx>
        <w:trPr>
          <w:trHeight w:val="717" w:hRule="atLeast"/>
          <w:jc w:val="center"/>
        </w:trPr>
        <w:tc>
          <w:tcPr>
            <w:tcW w:w="600"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3"/>
              </w:numPr>
              <w:suppressLineNumbers w:val="0"/>
              <w:spacing w:before="0" w:beforeAutospacing="0" w:after="0" w:afterAutospacing="0"/>
              <w:ind w:right="0"/>
              <w:jc w:val="center"/>
              <w:rPr>
                <w:rFonts w:hint="eastAsia" w:ascii="宋体" w:hAnsi="宋体" w:eastAsia="宋体" w:cs="宋体"/>
                <w:sz w:val="21"/>
                <w:szCs w:val="21"/>
              </w:rPr>
            </w:pPr>
          </w:p>
        </w:tc>
        <w:tc>
          <w:tcPr>
            <w:tcW w:w="117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安备杀虫颗粒剂1%双硫磷</w:t>
            </w:r>
          </w:p>
        </w:tc>
        <w:tc>
          <w:tcPr>
            <w:tcW w:w="78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1317"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巴斯夫,500克*20袋/箱,巴斯夫</w:t>
            </w:r>
          </w:p>
        </w:tc>
        <w:tc>
          <w:tcPr>
            <w:tcW w:w="70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120</w:t>
            </w:r>
          </w:p>
        </w:tc>
        <w:tc>
          <w:tcPr>
            <w:tcW w:w="73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袋</w:t>
            </w:r>
          </w:p>
        </w:tc>
        <w:tc>
          <w:tcPr>
            <w:tcW w:w="88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33.0</w:t>
            </w:r>
          </w:p>
        </w:tc>
        <w:tc>
          <w:tcPr>
            <w:tcW w:w="85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808"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900"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791"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729"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752" w:hRule="atLeast"/>
          <w:jc w:val="center"/>
        </w:trPr>
        <w:tc>
          <w:tcPr>
            <w:tcW w:w="600"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3"/>
              </w:numPr>
              <w:suppressLineNumbers w:val="0"/>
              <w:spacing w:before="0" w:beforeAutospacing="0" w:after="0" w:afterAutospacing="0"/>
              <w:ind w:right="0"/>
              <w:jc w:val="center"/>
              <w:rPr>
                <w:rFonts w:hint="eastAsia" w:ascii="宋体" w:hAnsi="宋体" w:eastAsia="宋体" w:cs="宋体"/>
                <w:sz w:val="21"/>
                <w:szCs w:val="21"/>
              </w:rPr>
            </w:pPr>
          </w:p>
        </w:tc>
        <w:tc>
          <w:tcPr>
            <w:tcW w:w="117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高效氯氟氰菊酯</w:t>
            </w:r>
          </w:p>
        </w:tc>
        <w:tc>
          <w:tcPr>
            <w:tcW w:w="78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1317"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功成,2.5%，500克/瓶,微囊悬浮剂</w:t>
            </w:r>
          </w:p>
        </w:tc>
        <w:tc>
          <w:tcPr>
            <w:tcW w:w="70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120</w:t>
            </w:r>
          </w:p>
        </w:tc>
        <w:tc>
          <w:tcPr>
            <w:tcW w:w="73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瓶</w:t>
            </w:r>
          </w:p>
        </w:tc>
        <w:tc>
          <w:tcPr>
            <w:tcW w:w="88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70.0</w:t>
            </w:r>
          </w:p>
        </w:tc>
        <w:tc>
          <w:tcPr>
            <w:tcW w:w="85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808"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900"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791"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729"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bl>
    <w:p>
      <w:pPr>
        <w:rPr>
          <w:rFonts w:ascii="宋体" w:hAnsi="宋体" w:eastAsia="宋体" w:cs="宋体"/>
        </w:rPr>
      </w:pPr>
    </w:p>
    <w:p>
      <w:pPr>
        <w:rPr>
          <w:rFonts w:ascii="宋体" w:hAnsi="宋体" w:eastAsia="宋体" w:cs="宋体"/>
        </w:rPr>
      </w:pPr>
      <w:r>
        <w:rPr>
          <w:rFonts w:hint="eastAsia" w:ascii="宋体" w:hAnsi="宋体" w:eastAsia="宋体" w:cs="宋体"/>
        </w:rPr>
        <w:t>发票抬头：广东省疾病预防控制中心</w:t>
      </w:r>
    </w:p>
    <w:p>
      <w:pPr>
        <w:pStyle w:val="10"/>
        <w:numPr>
          <w:ilvl w:val="0"/>
          <w:numId w:val="12"/>
        </w:numPr>
        <w:tabs>
          <w:tab w:val="left" w:pos="540"/>
        </w:tabs>
        <w:adjustRightInd w:val="0"/>
        <w:snapToGrid w:val="0"/>
        <w:spacing w:line="360" w:lineRule="auto"/>
        <w:rPr>
          <w:rFonts w:hAnsi="宋体" w:cs="宋体"/>
          <w:b/>
          <w:sz w:val="21"/>
        </w:rPr>
      </w:pPr>
      <w:r>
        <w:rPr>
          <w:rFonts w:hint="eastAsia" w:hAnsi="宋体" w:cs="宋体"/>
          <w:b/>
          <w:sz w:val="21"/>
        </w:rPr>
        <w:t>商务要求：</w:t>
      </w:r>
    </w:p>
    <w:p>
      <w:pPr>
        <w:pStyle w:val="10"/>
        <w:numPr>
          <w:ilvl w:val="0"/>
          <w:numId w:val="14"/>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采购单位要求</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0" w:firstLine="0"/>
        <w:textAlignment w:val="auto"/>
        <w:rPr>
          <w:rFonts w:ascii="宋体" w:hAnsi="宋体" w:eastAsia="宋体" w:cs="宋体"/>
          <w:b/>
          <w:bCs/>
          <w:color w:val="FF0000"/>
        </w:rPr>
      </w:pPr>
      <w:r>
        <w:rPr>
          <w:rFonts w:hint="eastAsia" w:ascii="宋体" w:hAnsi="宋体" w:eastAsia="宋体" w:cs="宋体"/>
          <w:b/>
          <w:bCs/>
          <w:color w:val="FF0000"/>
          <w:lang w:val="en-US" w:eastAsia="zh-CN" w:bidi="ar"/>
        </w:rPr>
        <w:t>送货计划：一次性送货。</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0" w:firstLine="0"/>
        <w:textAlignment w:val="auto"/>
        <w:rPr>
          <w:rFonts w:ascii="宋体" w:hAnsi="宋体" w:eastAsia="宋体" w:cs="宋体"/>
          <w:b/>
          <w:bCs/>
          <w:color w:val="FF0000"/>
        </w:rPr>
      </w:pPr>
      <w:r>
        <w:rPr>
          <w:rFonts w:hint="eastAsia" w:ascii="宋体" w:hAnsi="宋体" w:eastAsia="宋体" w:cs="宋体"/>
          <w:b/>
          <w:bCs/>
          <w:color w:val="FF0000"/>
          <w:lang w:bidi="ar"/>
        </w:rPr>
        <w:t>如项目有参数提供，报价时需同时提供项目参数响应表，否则将视为无效报价。</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0" w:firstLine="0"/>
        <w:textAlignment w:val="auto"/>
        <w:rPr>
          <w:rFonts w:ascii="宋体" w:hAnsi="宋体" w:eastAsia="宋体" w:cs="宋体"/>
          <w:b/>
          <w:bCs/>
          <w:color w:val="FF0000"/>
          <w:szCs w:val="21"/>
        </w:rPr>
      </w:pPr>
      <w:r>
        <w:rPr>
          <w:rFonts w:hint="eastAsia" w:ascii="宋体" w:hAnsi="宋体" w:eastAsia="宋体" w:cs="宋体"/>
          <w:b/>
          <w:bCs/>
          <w:color w:val="FF0000"/>
          <w:szCs w:val="21"/>
        </w:rPr>
        <w:t>送货时间必须明确时间节点或时间段，否则视为无效报价。</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0" w:firstLine="0"/>
        <w:textAlignment w:val="auto"/>
        <w:rPr>
          <w:rFonts w:ascii="宋体" w:hAnsi="宋体" w:eastAsia="宋体" w:cs="宋体"/>
          <w:b/>
          <w:bCs/>
          <w:color w:val="FF0000"/>
          <w:szCs w:val="21"/>
        </w:rPr>
      </w:pPr>
      <w:r>
        <w:rPr>
          <w:rFonts w:hint="eastAsia" w:ascii="宋体" w:hAnsi="宋体" w:eastAsia="宋体" w:cs="宋体"/>
          <w:b/>
          <w:bCs/>
          <w:color w:val="FF0000"/>
          <w:szCs w:val="21"/>
        </w:rPr>
        <w:t>报价时须同时提供报价单EXCLE表格电子版，报价以加盖公章的PDF为准，若有存在不一致的后果由供应商自负。</w:t>
      </w:r>
    </w:p>
    <w:p>
      <w:pPr>
        <w:keepNext w:val="0"/>
        <w:keepLines w:val="0"/>
        <w:pageBreakBefore w:val="0"/>
        <w:widowControl w:val="0"/>
        <w:numPr>
          <w:ilvl w:val="0"/>
          <w:numId w:val="15"/>
        </w:numPr>
        <w:kinsoku/>
        <w:wordWrap/>
        <w:overflowPunct/>
        <w:topLinePunct w:val="0"/>
        <w:autoSpaceDE/>
        <w:autoSpaceDN/>
        <w:bidi w:val="0"/>
        <w:adjustRightInd w:val="0"/>
        <w:snapToGrid w:val="0"/>
        <w:spacing w:line="360" w:lineRule="auto"/>
        <w:ind w:left="0" w:firstLine="0"/>
        <w:textAlignment w:val="auto"/>
        <w:rPr>
          <w:rFonts w:ascii="宋体" w:hAnsi="宋体" w:eastAsia="宋体" w:cs="宋体"/>
          <w:b/>
          <w:bCs/>
          <w:color w:val="000000"/>
          <w:szCs w:val="21"/>
        </w:rPr>
      </w:pPr>
      <w:r>
        <w:rPr>
          <w:rFonts w:hint="eastAsia" w:ascii="宋体" w:hAnsi="宋体" w:eastAsia="宋体" w:cs="宋体"/>
          <w:b/>
          <w:bCs/>
          <w:color w:val="000000"/>
          <w:szCs w:val="21"/>
        </w:rPr>
        <w:t>报价供应商在经营活动中没有违法记录。</w:t>
      </w:r>
    </w:p>
    <w:p>
      <w:pPr>
        <w:pStyle w:val="30"/>
        <w:keepNext w:val="0"/>
        <w:keepLines w:val="0"/>
        <w:pageBreakBefore w:val="0"/>
        <w:widowControl w:val="0"/>
        <w:numPr>
          <w:ilvl w:val="0"/>
          <w:numId w:val="15"/>
        </w:numPr>
        <w:kinsoku/>
        <w:wordWrap/>
        <w:overflowPunct/>
        <w:topLinePunct w:val="0"/>
        <w:autoSpaceDE/>
        <w:autoSpaceDN/>
        <w:bidi w:val="0"/>
        <w:spacing w:line="360" w:lineRule="auto"/>
        <w:ind w:left="0" w:firstLine="0" w:firstLineChars="0"/>
        <w:textAlignment w:val="auto"/>
        <w:rPr>
          <w:rFonts w:ascii="宋体" w:hAnsi="宋体" w:eastAsia="宋体" w:cs="宋体"/>
          <w:b/>
          <w:bCs/>
          <w:color w:val="FF0000"/>
          <w:szCs w:val="21"/>
        </w:rPr>
      </w:pPr>
      <w:r>
        <w:rPr>
          <w:rFonts w:hint="eastAsia" w:ascii="宋体" w:hAnsi="宋体" w:eastAsia="宋体" w:cs="宋体"/>
          <w:b/>
          <w:bCs/>
          <w:color w:val="000000"/>
          <w:szCs w:val="21"/>
        </w:rPr>
        <w:t>最新产品，保证质量，供应商报价时</w:t>
      </w:r>
      <w:r>
        <w:rPr>
          <w:rFonts w:hint="eastAsia" w:ascii="宋体" w:hAnsi="宋体" w:eastAsia="宋体" w:cs="宋体"/>
          <w:b/>
          <w:bCs/>
          <w:color w:val="FF0000"/>
          <w:szCs w:val="21"/>
        </w:rPr>
        <w:t>必须提供供货承诺函（格式见附件），若不提供将导致报价无效。</w:t>
      </w:r>
    </w:p>
    <w:p>
      <w:pPr>
        <w:pStyle w:val="30"/>
        <w:keepNext w:val="0"/>
        <w:keepLines w:val="0"/>
        <w:pageBreakBefore w:val="0"/>
        <w:widowControl w:val="0"/>
        <w:numPr>
          <w:ilvl w:val="0"/>
          <w:numId w:val="15"/>
        </w:numPr>
        <w:kinsoku/>
        <w:wordWrap/>
        <w:overflowPunct/>
        <w:topLinePunct w:val="0"/>
        <w:autoSpaceDE/>
        <w:autoSpaceDN/>
        <w:bidi w:val="0"/>
        <w:spacing w:line="360" w:lineRule="auto"/>
        <w:ind w:left="0" w:firstLine="0" w:firstLineChars="0"/>
        <w:textAlignment w:val="auto"/>
        <w:rPr>
          <w:rFonts w:ascii="宋体" w:hAnsi="宋体" w:eastAsia="宋体" w:cs="宋体"/>
          <w:b/>
          <w:bCs/>
          <w:color w:val="FF0000"/>
        </w:rPr>
      </w:pPr>
      <w:r>
        <w:rPr>
          <w:rFonts w:hint="eastAsia" w:ascii="宋体" w:hAnsi="宋体" w:eastAsia="宋体" w:cs="宋体"/>
          <w:b/>
          <w:bCs/>
          <w:color w:val="FF0000"/>
        </w:rPr>
        <w:t>若每张请购单的报价超过该单的预算金额，将导致整个项目报价无效。</w:t>
      </w:r>
    </w:p>
    <w:p>
      <w:pPr>
        <w:pStyle w:val="30"/>
        <w:keepNext w:val="0"/>
        <w:keepLines w:val="0"/>
        <w:pageBreakBefore w:val="0"/>
        <w:widowControl w:val="0"/>
        <w:numPr>
          <w:ilvl w:val="0"/>
          <w:numId w:val="15"/>
        </w:numPr>
        <w:kinsoku/>
        <w:wordWrap/>
        <w:overflowPunct/>
        <w:topLinePunct w:val="0"/>
        <w:autoSpaceDE/>
        <w:autoSpaceDN/>
        <w:bidi w:val="0"/>
        <w:spacing w:line="360" w:lineRule="auto"/>
        <w:ind w:left="0" w:firstLine="0" w:firstLineChars="0"/>
        <w:textAlignment w:val="auto"/>
        <w:rPr>
          <w:rFonts w:ascii="宋体" w:hAnsi="宋体" w:eastAsia="宋体" w:cs="宋体"/>
          <w:b/>
          <w:bCs/>
          <w:color w:val="000000" w:themeColor="text1"/>
          <w:highlight w:val="yellow"/>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供应商必须按报价表格式顺序填写单价、金额、所投品牌（规格、型号）、送货时间，不得增加或删除表格，不得擅自改动需求内容，与需求不一致的内容（如规格、数量等）注明于备注栏，否则将导致报价无效。</w:t>
      </w:r>
    </w:p>
    <w:p>
      <w:pPr>
        <w:pStyle w:val="30"/>
        <w:keepNext w:val="0"/>
        <w:keepLines w:val="0"/>
        <w:pageBreakBefore w:val="0"/>
        <w:widowControl w:val="0"/>
        <w:numPr>
          <w:ilvl w:val="0"/>
          <w:numId w:val="15"/>
        </w:numPr>
        <w:kinsoku/>
        <w:wordWrap/>
        <w:overflowPunct/>
        <w:topLinePunct w:val="0"/>
        <w:autoSpaceDE/>
        <w:autoSpaceDN/>
        <w:bidi w:val="0"/>
        <w:spacing w:line="360" w:lineRule="auto"/>
        <w:ind w:left="0" w:firstLine="0" w:firstLineChars="0"/>
        <w:textAlignment w:val="auto"/>
        <w:rPr>
          <w:rFonts w:ascii="宋体" w:hAnsi="宋体" w:eastAsia="宋体" w:cs="宋体"/>
          <w:b/>
          <w:bCs/>
          <w:color w:val="000000" w:themeColor="text1"/>
          <w:highlight w:val="yellow"/>
          <w14:textFill>
            <w14:solidFill>
              <w14:schemeClr w14:val="tx1"/>
            </w14:solidFill>
          </w14:textFill>
        </w:rPr>
      </w:pPr>
      <w:r>
        <w:rPr>
          <w:rFonts w:hint="eastAsia" w:ascii="宋体" w:hAnsi="宋体" w:eastAsia="宋体" w:cs="宋体"/>
          <w:b/>
          <w:bCs/>
          <w:color w:val="000000" w:themeColor="text1"/>
          <w:highlight w:val="yellow"/>
          <w14:textFill>
            <w14:solidFill>
              <w14:schemeClr w14:val="tx1"/>
            </w14:solidFill>
          </w14:textFill>
        </w:rPr>
        <w:t>需求参考品牌为2个或以上时，若所投产品是参考品牌，则需提供相应技术参数，若所投产品不是参考品牌，则需提供相应技术参数和承诺函（承诺所投产品的技术参数相当于或优于参考品牌，</w:t>
      </w:r>
      <w:r>
        <w:rPr>
          <w:rFonts w:hint="eastAsia" w:ascii="宋体" w:hAnsi="宋体" w:eastAsia="宋体" w:cs="宋体"/>
          <w:b/>
          <w:bCs/>
          <w:color w:val="FF0000"/>
          <w:highlight w:val="yellow"/>
        </w:rPr>
        <w:t>格式见附件</w:t>
      </w:r>
      <w:r>
        <w:rPr>
          <w:rFonts w:hint="eastAsia" w:ascii="宋体" w:hAnsi="宋体" w:eastAsia="宋体" w:cs="宋体"/>
          <w:b/>
          <w:bCs/>
          <w:color w:val="000000" w:themeColor="text1"/>
          <w:highlight w:val="yellow"/>
          <w14:textFill>
            <w14:solidFill>
              <w14:schemeClr w14:val="tx1"/>
            </w14:solidFill>
          </w14:textFill>
        </w:rPr>
        <w:t>），必要时还需提供样品，且提供样品所产生的费用由供应商自负，否则将不被推荐为成交候选人。所提供的技术参数应当</w:t>
      </w:r>
      <w:r>
        <w:rPr>
          <w:rFonts w:hint="eastAsia" w:ascii="宋体" w:hAnsi="宋体" w:eastAsia="宋体" w:cs="宋体"/>
          <w:b/>
          <w:bCs/>
          <w:color w:val="FF0000"/>
          <w:highlight w:val="yellow"/>
        </w:rPr>
        <w:t>完整、详细、清晰，</w:t>
      </w:r>
      <w:r>
        <w:rPr>
          <w:rFonts w:hint="eastAsia" w:ascii="宋体" w:hAnsi="宋体" w:eastAsia="宋体" w:cs="宋体"/>
          <w:b/>
          <w:bCs/>
          <w:color w:val="000000" w:themeColor="text1"/>
          <w:highlight w:val="yellow"/>
          <w14:textFill>
            <w14:solidFill>
              <w14:schemeClr w14:val="tx1"/>
            </w14:solidFill>
          </w14:textFill>
        </w:rPr>
        <w:t>并能反映所投产品的相应信息</w:t>
      </w:r>
      <w:r>
        <w:rPr>
          <w:rFonts w:hint="eastAsia" w:ascii="宋体" w:hAnsi="宋体" w:eastAsia="宋体" w:cs="宋体"/>
          <w:b/>
          <w:bCs/>
          <w:color w:val="FF0000"/>
          <w:highlight w:val="yellow"/>
        </w:rPr>
        <w:t>（含品牌型号、外观结构、主要性能等内容），应以产品彩页或相应技术参数的厂家使用说明书复印件作为技术证明材料，否则视相应技术参数响应不符合参数要求。（如厂家的产品使用说明为英文版，请同时提供中文版。）</w:t>
      </w:r>
    </w:p>
    <w:p>
      <w:pPr>
        <w:pStyle w:val="30"/>
        <w:keepNext w:val="0"/>
        <w:keepLines w:val="0"/>
        <w:pageBreakBefore w:val="0"/>
        <w:widowControl w:val="0"/>
        <w:numPr>
          <w:ilvl w:val="0"/>
          <w:numId w:val="15"/>
        </w:numPr>
        <w:kinsoku/>
        <w:wordWrap/>
        <w:overflowPunct/>
        <w:topLinePunct w:val="0"/>
        <w:autoSpaceDE/>
        <w:autoSpaceDN/>
        <w:bidi w:val="0"/>
        <w:spacing w:line="360" w:lineRule="auto"/>
        <w:ind w:left="0" w:firstLine="0" w:firstLineChars="0"/>
        <w:textAlignment w:val="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项目成交金额低于5万元的，凭成交通知书+报价单+货单送货。5万元或以上的，</w:t>
      </w:r>
      <w:r>
        <w:rPr>
          <w:rFonts w:hint="eastAsia" w:ascii="宋体" w:hAnsi="宋体" w:eastAsia="宋体" w:cs="宋体"/>
          <w:b/>
          <w:bCs/>
          <w:color w:val="FF0000"/>
        </w:rPr>
        <w:t>成交后需签订合同，设备类的合同必须附配置清单</w:t>
      </w:r>
      <w:r>
        <w:rPr>
          <w:rFonts w:hint="eastAsia" w:ascii="宋体" w:hAnsi="宋体" w:eastAsia="宋体" w:cs="宋体"/>
          <w:b/>
          <w:bCs/>
          <w:color w:val="000000" w:themeColor="text1"/>
          <w14:textFill>
            <w14:solidFill>
              <w14:schemeClr w14:val="tx1"/>
            </w14:solidFill>
          </w14:textFill>
        </w:rPr>
        <w:t>，凭成交通知书+合同+货单送货。需入资产的货物（单价1000元或以上的通用设备，单价1500元或以上的专用设备），还须附上仪器设备安装验收报告（格式见竞价公告附件），以及与合同一致的配置清单。资料不全的，将影响验收。</w:t>
      </w:r>
    </w:p>
    <w:p>
      <w:pPr>
        <w:pStyle w:val="30"/>
        <w:keepNext w:val="0"/>
        <w:keepLines w:val="0"/>
        <w:pageBreakBefore w:val="0"/>
        <w:widowControl w:val="0"/>
        <w:numPr>
          <w:ilvl w:val="0"/>
          <w:numId w:val="15"/>
        </w:numPr>
        <w:kinsoku/>
        <w:wordWrap/>
        <w:overflowPunct/>
        <w:topLinePunct w:val="0"/>
        <w:autoSpaceDE/>
        <w:autoSpaceDN/>
        <w:bidi w:val="0"/>
        <w:spacing w:line="360" w:lineRule="auto"/>
        <w:ind w:left="0" w:firstLine="0" w:firstLineChars="0"/>
        <w:textAlignment w:val="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货物须安排专人送至中心验收签字，不能邮寄。办公用品、试剂耗材送至中心仓库（分别联系：谢老师、张老师31051343）验收，设备联系采购经办人送至指定地点验收。</w:t>
      </w:r>
    </w:p>
    <w:p>
      <w:pPr>
        <w:pStyle w:val="30"/>
        <w:keepNext w:val="0"/>
        <w:keepLines w:val="0"/>
        <w:pageBreakBefore w:val="0"/>
        <w:widowControl w:val="0"/>
        <w:numPr>
          <w:ilvl w:val="0"/>
          <w:numId w:val="15"/>
        </w:numPr>
        <w:kinsoku/>
        <w:wordWrap/>
        <w:overflowPunct/>
        <w:topLinePunct w:val="0"/>
        <w:autoSpaceDE/>
        <w:autoSpaceDN/>
        <w:bidi w:val="0"/>
        <w:spacing w:line="360" w:lineRule="auto"/>
        <w:ind w:left="0" w:firstLine="0" w:firstLineChars="0"/>
        <w:textAlignment w:val="auto"/>
        <w:rPr>
          <w:rFonts w:ascii="宋体" w:hAnsi="宋体" w:eastAsia="宋体" w:cs="宋体"/>
          <w:b/>
          <w:bCs/>
          <w:color w:val="FF0000"/>
        </w:rPr>
      </w:pPr>
      <w:r>
        <w:rPr>
          <w:rFonts w:hint="eastAsia" w:ascii="宋体" w:hAnsi="宋体" w:eastAsia="宋体" w:cs="宋体"/>
          <w:b/>
          <w:bCs/>
          <w:color w:val="FF0000"/>
        </w:rPr>
        <w:t>项目相关货物的生产经营、流通运输，及相关服务的开展，必须符合国家有关法律法规的资质要求，报价须附上相关的资质证明，如《医疗器械生产/经营许可证》、《危险化学品经营许可证》等。</w:t>
      </w:r>
    </w:p>
    <w:p>
      <w:pPr>
        <w:pStyle w:val="10"/>
        <w:numPr>
          <w:ilvl w:val="0"/>
          <w:numId w:val="14"/>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包装、保险及发运、保管要求</w:t>
      </w:r>
    </w:p>
    <w:p>
      <w:pPr>
        <w:pStyle w:val="30"/>
        <w:numPr>
          <w:ilvl w:val="0"/>
          <w:numId w:val="16"/>
        </w:numPr>
        <w:spacing w:line="360" w:lineRule="auto"/>
        <w:ind w:firstLineChars="0"/>
        <w:rPr>
          <w:rFonts w:ascii="宋体" w:hAnsi="宋体" w:eastAsia="宋体" w:cs="宋体"/>
          <w:color w:val="000000"/>
          <w:szCs w:val="21"/>
        </w:rPr>
      </w:pPr>
      <w:r>
        <w:rPr>
          <w:rFonts w:hint="eastAsia" w:ascii="宋体" w:hAnsi="宋体" w:eastAsia="宋体" w:cs="宋体"/>
          <w:color w:val="000000"/>
          <w:szCs w:val="21"/>
        </w:rPr>
        <w:t>材料的包装必须是制造商原厂包装，其包装均应有良好的防湿、防锈、防潮、防雨、防腐及防碰撞的措施。凡由于包装不良造成的损失和由此产生的费用均由供应商承担。</w:t>
      </w:r>
    </w:p>
    <w:p>
      <w:pPr>
        <w:pStyle w:val="30"/>
        <w:numPr>
          <w:ilvl w:val="0"/>
          <w:numId w:val="16"/>
        </w:numPr>
        <w:spacing w:line="360" w:lineRule="auto"/>
        <w:ind w:left="357" w:hanging="357" w:firstLineChars="0"/>
        <w:rPr>
          <w:rFonts w:ascii="宋体" w:hAnsi="宋体" w:eastAsia="宋体" w:cs="宋体"/>
          <w:color w:val="000000"/>
          <w:szCs w:val="21"/>
        </w:rPr>
      </w:pPr>
      <w:r>
        <w:rPr>
          <w:rFonts w:hint="eastAsia" w:ascii="宋体" w:hAnsi="宋体" w:eastAsia="宋体" w:cs="宋体"/>
          <w:color w:val="000000"/>
          <w:szCs w:val="21"/>
        </w:rPr>
        <w:t>成交人负责将材料货到现场过程中的全部运输，包括装卸车、货物现场的搬运。</w:t>
      </w:r>
    </w:p>
    <w:p>
      <w:pPr>
        <w:pStyle w:val="30"/>
        <w:numPr>
          <w:ilvl w:val="0"/>
          <w:numId w:val="16"/>
        </w:numPr>
        <w:spacing w:line="360" w:lineRule="auto"/>
        <w:ind w:left="357" w:hanging="357" w:firstLineChars="0"/>
        <w:rPr>
          <w:rFonts w:ascii="宋体" w:hAnsi="宋体" w:eastAsia="宋体" w:cs="宋体"/>
          <w:color w:val="000000"/>
          <w:szCs w:val="21"/>
        </w:rPr>
      </w:pPr>
      <w:r>
        <w:rPr>
          <w:rFonts w:hint="eastAsia" w:ascii="宋体" w:hAnsi="宋体" w:eastAsia="宋体" w:cs="宋体"/>
          <w:color w:val="000000"/>
          <w:szCs w:val="21"/>
        </w:rPr>
        <w:t>各种材料必须提供装箱清单，按装箱清单验收货物。</w:t>
      </w:r>
    </w:p>
    <w:p>
      <w:pPr>
        <w:pStyle w:val="30"/>
        <w:numPr>
          <w:ilvl w:val="0"/>
          <w:numId w:val="16"/>
        </w:numPr>
        <w:spacing w:line="360" w:lineRule="auto"/>
        <w:ind w:left="357" w:hanging="357" w:firstLineChars="0"/>
        <w:rPr>
          <w:rFonts w:ascii="宋体" w:hAnsi="宋体" w:eastAsia="宋体" w:cs="宋体"/>
          <w:color w:val="000000"/>
          <w:szCs w:val="21"/>
        </w:rPr>
      </w:pPr>
      <w:r>
        <w:rPr>
          <w:rFonts w:hint="eastAsia" w:ascii="宋体" w:hAnsi="宋体" w:eastAsia="宋体" w:cs="宋体"/>
          <w:color w:val="000000"/>
          <w:szCs w:val="21"/>
        </w:rPr>
        <w:t>货物在现场的保管由成交人负责，直至项目安装、验收完毕。</w:t>
      </w:r>
    </w:p>
    <w:p>
      <w:pPr>
        <w:pStyle w:val="30"/>
        <w:numPr>
          <w:ilvl w:val="0"/>
          <w:numId w:val="16"/>
        </w:numPr>
        <w:spacing w:line="360" w:lineRule="auto"/>
        <w:ind w:left="357" w:hanging="357" w:firstLineChars="0"/>
        <w:rPr>
          <w:rFonts w:ascii="宋体" w:hAnsi="宋体" w:eastAsia="宋体" w:cs="宋体"/>
          <w:color w:val="000000"/>
          <w:szCs w:val="21"/>
        </w:rPr>
      </w:pPr>
      <w:r>
        <w:rPr>
          <w:rFonts w:hint="eastAsia" w:ascii="宋体" w:hAnsi="宋体" w:eastAsia="宋体" w:cs="宋体"/>
          <w:color w:val="000000"/>
          <w:szCs w:val="21"/>
        </w:rPr>
        <w:t>货物至采购人指定的使用现场的包装、保险及发运等环节和费用均由成交人负责。</w:t>
      </w:r>
    </w:p>
    <w:p>
      <w:pPr>
        <w:pStyle w:val="10"/>
        <w:numPr>
          <w:ilvl w:val="0"/>
          <w:numId w:val="14"/>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安装、调试与验收</w:t>
      </w:r>
    </w:p>
    <w:p>
      <w:pPr>
        <w:pStyle w:val="30"/>
        <w:numPr>
          <w:ilvl w:val="0"/>
          <w:numId w:val="17"/>
        </w:numPr>
        <w:spacing w:line="360" w:lineRule="auto"/>
        <w:ind w:firstLineChars="0"/>
        <w:rPr>
          <w:rFonts w:ascii="宋体" w:hAnsi="宋体" w:eastAsia="宋体" w:cs="宋体"/>
          <w:color w:val="000000"/>
          <w:szCs w:val="21"/>
        </w:rPr>
      </w:pPr>
      <w:r>
        <w:rPr>
          <w:rFonts w:hint="eastAsia" w:ascii="宋体" w:hAnsi="宋体" w:eastAsia="宋体" w:cs="宋体"/>
          <w:color w:val="000000"/>
          <w:szCs w:val="21"/>
        </w:rPr>
        <w:t>货物若有国家标准按照国家标准验收，若无国家标准按行业标准验收，为原制造商制造的全新产品，无污染，无侵权行为、表面无划损、无任何缺陷隐患，在中国境内可依常规安全合法使用。</w:t>
      </w:r>
    </w:p>
    <w:p>
      <w:pPr>
        <w:pStyle w:val="30"/>
        <w:numPr>
          <w:ilvl w:val="0"/>
          <w:numId w:val="17"/>
        </w:numPr>
        <w:spacing w:line="360" w:lineRule="auto"/>
        <w:ind w:left="357" w:hanging="357" w:firstLineChars="0"/>
        <w:rPr>
          <w:rFonts w:ascii="宋体" w:hAnsi="宋体" w:eastAsia="宋体" w:cs="宋体"/>
          <w:color w:val="000000"/>
          <w:szCs w:val="21"/>
        </w:rPr>
      </w:pPr>
      <w:r>
        <w:rPr>
          <w:rFonts w:hint="eastAsia" w:ascii="宋体" w:hAnsi="宋体" w:eastAsia="宋体" w:cs="宋体"/>
          <w:color w:val="000000"/>
          <w:szCs w:val="21"/>
        </w:rPr>
        <w:t>货物为原厂商未启封全新包装，具有出厂合格证，序列号、包装箱号与出厂批号一致，并可追索查阅。</w:t>
      </w:r>
    </w:p>
    <w:p>
      <w:pPr>
        <w:pStyle w:val="30"/>
        <w:numPr>
          <w:ilvl w:val="0"/>
          <w:numId w:val="17"/>
        </w:numPr>
        <w:spacing w:line="360" w:lineRule="auto"/>
        <w:ind w:left="357" w:hanging="357" w:firstLineChars="0"/>
        <w:rPr>
          <w:rFonts w:ascii="宋体" w:hAnsi="宋体" w:eastAsia="宋体" w:cs="宋体"/>
          <w:color w:val="000000"/>
          <w:szCs w:val="21"/>
        </w:rPr>
      </w:pPr>
      <w:r>
        <w:rPr>
          <w:rFonts w:hint="eastAsia" w:ascii="宋体" w:hAnsi="宋体" w:eastAsia="宋体" w:cs="宋体"/>
          <w:color w:val="000000"/>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pPr>
        <w:pStyle w:val="10"/>
        <w:numPr>
          <w:ilvl w:val="0"/>
          <w:numId w:val="14"/>
        </w:numPr>
        <w:tabs>
          <w:tab w:val="left" w:pos="540"/>
        </w:tabs>
        <w:adjustRightInd w:val="0"/>
        <w:snapToGrid w:val="0"/>
        <w:spacing w:line="360" w:lineRule="auto"/>
        <w:rPr>
          <w:rFonts w:hAnsi="宋体" w:cs="宋体"/>
          <w:b/>
          <w:bCs/>
          <w:color w:val="000000"/>
          <w:sz w:val="21"/>
        </w:rPr>
      </w:pPr>
      <w:r>
        <w:rPr>
          <w:rFonts w:hint="eastAsia" w:hAnsi="宋体" w:cs="宋体"/>
          <w:b/>
          <w:bCs/>
          <w:color w:val="000000"/>
          <w:sz w:val="21"/>
        </w:rPr>
        <w:t>付款方式：</w:t>
      </w:r>
      <w:r>
        <w:rPr>
          <w:rFonts w:hint="eastAsia" w:hAnsi="宋体" w:cs="宋体"/>
          <w:sz w:val="21"/>
        </w:rPr>
        <w:t>按采购人要求为准。</w:t>
      </w:r>
    </w:p>
    <w:p>
      <w:pPr>
        <w:rPr>
          <w:rFonts w:ascii="宋体" w:hAnsi="宋体" w:eastAsia="宋体" w:cs="宋体"/>
          <w:b/>
          <w:bCs/>
          <w:color w:val="000000" w:themeColor="text1"/>
          <w:sz w:val="28"/>
          <w:szCs w:val="28"/>
          <w14:textFill>
            <w14:solidFill>
              <w14:schemeClr w14:val="tx1"/>
            </w14:solidFill>
          </w14:textFill>
        </w:rPr>
      </w:pPr>
    </w:p>
    <w:p>
      <w:pPr>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br w:type="page"/>
      </w:r>
    </w:p>
    <w:p>
      <w:pPr>
        <w:pStyle w:val="2"/>
        <w:spacing w:before="0" w:after="0"/>
        <w:jc w:val="center"/>
        <w:rPr>
          <w:rFonts w:ascii="宋体" w:hAnsi="宋体" w:cs="宋体"/>
          <w:sz w:val="32"/>
          <w:szCs w:val="32"/>
          <w:lang w:val="zh-CN"/>
        </w:rPr>
      </w:pPr>
      <w:r>
        <w:rPr>
          <w:rFonts w:hint="eastAsia" w:ascii="宋体" w:hAnsi="宋体" w:cs="宋体"/>
          <w:sz w:val="32"/>
          <w:szCs w:val="32"/>
          <w:lang w:val="zh-CN"/>
        </w:rPr>
        <w:t>Q20240209002报价表</w:t>
      </w:r>
    </w:p>
    <w:p>
      <w:pPr>
        <w:rPr>
          <w:rFonts w:ascii="宋体" w:hAnsi="宋体" w:eastAsia="宋体" w:cs="宋体"/>
        </w:rPr>
      </w:pPr>
    </w:p>
    <w:tbl>
      <w:tblPr>
        <w:tblStyle w:val="23"/>
        <w:tblW w:w="10276" w:type="dxa"/>
        <w:jc w:val="center"/>
        <w:tblLayout w:type="fixed"/>
        <w:tblCellMar>
          <w:top w:w="0" w:type="dxa"/>
          <w:left w:w="108" w:type="dxa"/>
          <w:bottom w:w="0" w:type="dxa"/>
          <w:right w:w="108" w:type="dxa"/>
        </w:tblCellMar>
      </w:tblPr>
      <w:tblGrid>
        <w:gridCol w:w="600"/>
        <w:gridCol w:w="1171"/>
        <w:gridCol w:w="780"/>
        <w:gridCol w:w="1317"/>
        <w:gridCol w:w="705"/>
        <w:gridCol w:w="735"/>
        <w:gridCol w:w="885"/>
        <w:gridCol w:w="855"/>
        <w:gridCol w:w="808"/>
        <w:gridCol w:w="900"/>
        <w:gridCol w:w="791"/>
        <w:gridCol w:w="729"/>
      </w:tblGrid>
      <w:tr>
        <w:tblPrEx>
          <w:tblCellMar>
            <w:top w:w="0" w:type="dxa"/>
            <w:left w:w="108" w:type="dxa"/>
            <w:bottom w:w="0" w:type="dxa"/>
            <w:right w:w="108" w:type="dxa"/>
          </w:tblCellMar>
        </w:tblPrEx>
        <w:trPr>
          <w:trHeight w:val="480" w:hRule="atLeast"/>
          <w:jc w:val="center"/>
        </w:trPr>
        <w:tc>
          <w:tcPr>
            <w:tcW w:w="600" w:type="dxa"/>
            <w:tcBorders>
              <w:top w:val="single" w:color="A9A9A9" w:sz="4" w:space="0"/>
              <w:left w:val="single" w:color="A9A9A9" w:sz="4" w:space="0"/>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序号</w:t>
            </w:r>
          </w:p>
        </w:tc>
        <w:tc>
          <w:tcPr>
            <w:tcW w:w="1171"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材料名称</w:t>
            </w:r>
          </w:p>
        </w:tc>
        <w:tc>
          <w:tcPr>
            <w:tcW w:w="780"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参考品牌</w:t>
            </w:r>
          </w:p>
        </w:tc>
        <w:tc>
          <w:tcPr>
            <w:tcW w:w="1317"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型号规格/性能参数</w:t>
            </w:r>
          </w:p>
        </w:tc>
        <w:tc>
          <w:tcPr>
            <w:tcW w:w="705"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数量</w:t>
            </w:r>
          </w:p>
        </w:tc>
        <w:tc>
          <w:tcPr>
            <w:tcW w:w="735"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单位</w:t>
            </w:r>
          </w:p>
        </w:tc>
        <w:tc>
          <w:tcPr>
            <w:tcW w:w="885"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单价最高限价（元）</w:t>
            </w:r>
          </w:p>
        </w:tc>
        <w:tc>
          <w:tcPr>
            <w:tcW w:w="855"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单价（元）</w:t>
            </w:r>
          </w:p>
        </w:tc>
        <w:tc>
          <w:tcPr>
            <w:tcW w:w="808"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金额（元）</w:t>
            </w:r>
          </w:p>
        </w:tc>
        <w:tc>
          <w:tcPr>
            <w:tcW w:w="900"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所投品牌（规格/型号）</w:t>
            </w:r>
          </w:p>
        </w:tc>
        <w:tc>
          <w:tcPr>
            <w:tcW w:w="791" w:type="dxa"/>
            <w:tcBorders>
              <w:top w:val="single" w:color="A9A9A9" w:sz="4" w:space="0"/>
              <w:left w:val="nil"/>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送货时间</w:t>
            </w:r>
          </w:p>
        </w:tc>
        <w:tc>
          <w:tcPr>
            <w:tcW w:w="729" w:type="dxa"/>
            <w:tcBorders>
              <w:top w:val="single" w:color="A9A9A9" w:sz="4" w:space="0"/>
              <w:left w:val="single" w:color="A9A9A9" w:sz="4" w:space="0"/>
              <w:bottom w:val="single" w:color="A9A9A9" w:sz="4" w:space="0"/>
              <w:right w:val="single" w:color="A9A9A9" w:sz="4" w:space="0"/>
            </w:tcBorders>
            <w:shd w:val="clear" w:color="000000" w:fill="80808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FFFFFF"/>
                <w:kern w:val="0"/>
                <w:sz w:val="21"/>
                <w:szCs w:val="21"/>
              </w:rPr>
            </w:pPr>
            <w:r>
              <w:rPr>
                <w:rFonts w:hint="eastAsia" w:ascii="宋体" w:hAnsi="宋体" w:eastAsia="宋体" w:cs="宋体"/>
                <w:color w:val="FFFFFF"/>
                <w:kern w:val="0"/>
                <w:sz w:val="21"/>
                <w:szCs w:val="21"/>
              </w:rPr>
              <w:t>备注</w:t>
            </w:r>
          </w:p>
        </w:tc>
      </w:tr>
      <w:tr>
        <w:tblPrEx>
          <w:tblCellMar>
            <w:top w:w="0" w:type="dxa"/>
            <w:left w:w="108" w:type="dxa"/>
            <w:bottom w:w="0" w:type="dxa"/>
            <w:right w:w="108" w:type="dxa"/>
          </w:tblCellMar>
        </w:tblPrEx>
        <w:trPr>
          <w:trHeight w:val="717" w:hRule="atLeast"/>
          <w:jc w:val="center"/>
        </w:trPr>
        <w:tc>
          <w:tcPr>
            <w:tcW w:w="600"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8"/>
              </w:numPr>
              <w:suppressLineNumbers w:val="0"/>
              <w:spacing w:before="0" w:beforeAutospacing="0" w:after="0" w:afterAutospacing="0"/>
              <w:ind w:right="0"/>
              <w:jc w:val="center"/>
              <w:rPr>
                <w:rFonts w:hint="eastAsia" w:ascii="宋体" w:hAnsi="宋体" w:eastAsia="宋体" w:cs="宋体"/>
                <w:sz w:val="21"/>
                <w:szCs w:val="21"/>
              </w:rPr>
            </w:pPr>
          </w:p>
        </w:tc>
        <w:tc>
          <w:tcPr>
            <w:tcW w:w="117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安备杀虫颗粒剂1%双硫磷</w:t>
            </w:r>
          </w:p>
        </w:tc>
        <w:tc>
          <w:tcPr>
            <w:tcW w:w="78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1317"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巴斯夫,500克*20袋/箱,巴斯夫</w:t>
            </w:r>
          </w:p>
        </w:tc>
        <w:tc>
          <w:tcPr>
            <w:tcW w:w="70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120</w:t>
            </w:r>
          </w:p>
        </w:tc>
        <w:tc>
          <w:tcPr>
            <w:tcW w:w="73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袋</w:t>
            </w:r>
          </w:p>
        </w:tc>
        <w:tc>
          <w:tcPr>
            <w:tcW w:w="88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33.0</w:t>
            </w:r>
          </w:p>
        </w:tc>
        <w:tc>
          <w:tcPr>
            <w:tcW w:w="85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808"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900"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791"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729"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r>
        <w:tblPrEx>
          <w:tblCellMar>
            <w:top w:w="0" w:type="dxa"/>
            <w:left w:w="108" w:type="dxa"/>
            <w:bottom w:w="0" w:type="dxa"/>
            <w:right w:w="108" w:type="dxa"/>
          </w:tblCellMar>
        </w:tblPrEx>
        <w:trPr>
          <w:trHeight w:val="752" w:hRule="atLeast"/>
          <w:jc w:val="center"/>
        </w:trPr>
        <w:tc>
          <w:tcPr>
            <w:tcW w:w="600" w:type="dxa"/>
            <w:tcBorders>
              <w:top w:val="single" w:color="A9A9A9" w:sz="4" w:space="0"/>
              <w:left w:val="single" w:color="A9A9A9" w:sz="4" w:space="0"/>
              <w:bottom w:val="single" w:color="A9A9A9" w:sz="4" w:space="0"/>
              <w:right w:val="single" w:color="A9A9A9" w:sz="4" w:space="0"/>
            </w:tcBorders>
            <w:vAlign w:val="center"/>
          </w:tcPr>
          <w:p>
            <w:pPr>
              <w:pStyle w:val="18"/>
              <w:keepNext w:val="0"/>
              <w:keepLines w:val="0"/>
              <w:widowControl w:val="0"/>
              <w:numPr>
                <w:ilvl w:val="0"/>
                <w:numId w:val="18"/>
              </w:numPr>
              <w:suppressLineNumbers w:val="0"/>
              <w:spacing w:before="0" w:beforeAutospacing="0" w:after="0" w:afterAutospacing="0"/>
              <w:ind w:right="0"/>
              <w:jc w:val="center"/>
              <w:rPr>
                <w:rFonts w:hint="eastAsia" w:ascii="宋体" w:hAnsi="宋体" w:eastAsia="宋体" w:cs="宋体"/>
                <w:sz w:val="21"/>
                <w:szCs w:val="21"/>
              </w:rPr>
            </w:pPr>
          </w:p>
        </w:tc>
        <w:tc>
          <w:tcPr>
            <w:tcW w:w="1171"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高效氯氟氰菊酯</w:t>
            </w:r>
          </w:p>
        </w:tc>
        <w:tc>
          <w:tcPr>
            <w:tcW w:w="780"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1317"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lang w:val="en-US"/>
              </w:rPr>
            </w:pPr>
            <w:r>
              <w:rPr>
                <w:rFonts w:hint="eastAsia" w:ascii="宋体" w:hAnsi="宋体" w:eastAsia="宋体" w:cs="宋体"/>
                <w:i w:val="0"/>
                <w:iCs w:val="0"/>
                <w:color w:val="000000"/>
                <w:kern w:val="0"/>
                <w:sz w:val="21"/>
                <w:szCs w:val="21"/>
                <w:u w:val="none"/>
                <w:lang w:val="en-US" w:eastAsia="zh-CN" w:bidi="ar"/>
              </w:rPr>
              <w:t>功成,2.5%，500克/瓶,微囊悬浮剂</w:t>
            </w:r>
          </w:p>
        </w:tc>
        <w:tc>
          <w:tcPr>
            <w:tcW w:w="70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120</w:t>
            </w:r>
          </w:p>
        </w:tc>
        <w:tc>
          <w:tcPr>
            <w:tcW w:w="73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瓶</w:t>
            </w:r>
          </w:p>
        </w:tc>
        <w:tc>
          <w:tcPr>
            <w:tcW w:w="88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21"/>
                <w:szCs w:val="21"/>
              </w:rPr>
            </w:pPr>
            <w:r>
              <w:rPr>
                <w:rFonts w:hint="eastAsia" w:ascii="宋体" w:hAnsi="宋体" w:eastAsia="宋体" w:cs="宋体"/>
                <w:i w:val="0"/>
                <w:iCs w:val="0"/>
                <w:color w:val="000000"/>
                <w:kern w:val="0"/>
                <w:sz w:val="21"/>
                <w:szCs w:val="21"/>
                <w:u w:val="none"/>
                <w:lang w:val="en-US" w:eastAsia="zh-CN" w:bidi="ar"/>
              </w:rPr>
              <w:t>70.0</w:t>
            </w:r>
          </w:p>
        </w:tc>
        <w:tc>
          <w:tcPr>
            <w:tcW w:w="855" w:type="dxa"/>
            <w:tcBorders>
              <w:top w:val="single" w:color="A9A9A9" w:sz="4" w:space="0"/>
              <w:left w:val="nil"/>
              <w:bottom w:val="single" w:color="A9A9A9" w:sz="4" w:space="0"/>
              <w:right w:val="single" w:color="A9A9A9"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808"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900"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791" w:type="dxa"/>
            <w:tcBorders>
              <w:top w:val="single" w:color="A9A9A9" w:sz="4" w:space="0"/>
              <w:left w:val="nil"/>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c>
          <w:tcPr>
            <w:tcW w:w="729" w:type="dxa"/>
            <w:tcBorders>
              <w:top w:val="single" w:color="A9A9A9" w:sz="4" w:space="0"/>
              <w:left w:val="single" w:color="A9A9A9" w:sz="4" w:space="0"/>
              <w:bottom w:val="single" w:color="A9A9A9" w:sz="4" w:space="0"/>
              <w:right w:val="single" w:color="A9A9A9"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sz w:val="21"/>
                <w:szCs w:val="21"/>
              </w:rPr>
            </w:pPr>
          </w:p>
        </w:tc>
      </w:tr>
    </w:tbl>
    <w:p>
      <w:pPr>
        <w:rPr>
          <w:rFonts w:ascii="宋体" w:hAnsi="宋体" w:eastAsia="宋体" w:cs="宋体"/>
        </w:rPr>
      </w:pPr>
    </w:p>
    <w:p>
      <w:pPr>
        <w:rPr>
          <w:rFonts w:ascii="宋体" w:hAnsi="宋体" w:eastAsia="宋体" w:cs="宋体"/>
        </w:rPr>
      </w:pPr>
      <w:r>
        <w:rPr>
          <w:rFonts w:hint="eastAsia" w:ascii="宋体" w:hAnsi="宋体" w:eastAsia="宋体" w:cs="宋体"/>
        </w:rPr>
        <w:t>发票抬头：广东省疾病预防控制中心</w:t>
      </w:r>
    </w:p>
    <w:p>
      <w:pPr>
        <w:rPr>
          <w:rFonts w:ascii="宋体" w:hAnsi="宋体" w:eastAsia="宋体" w:cs="宋体"/>
        </w:rPr>
      </w:pPr>
    </w:p>
    <w:p>
      <w:pPr>
        <w:spacing w:line="360" w:lineRule="auto"/>
        <w:rPr>
          <w:rFonts w:ascii="宋体" w:hAnsi="宋体" w:eastAsia="宋体" w:cs="宋体"/>
          <w:b/>
          <w:spacing w:val="4"/>
          <w:szCs w:val="21"/>
        </w:rPr>
      </w:pPr>
      <w:r>
        <w:rPr>
          <w:rFonts w:hint="eastAsia" w:ascii="宋体" w:hAnsi="宋体" w:eastAsia="宋体" w:cs="宋体"/>
          <w:b/>
          <w:spacing w:val="4"/>
          <w:szCs w:val="21"/>
        </w:rPr>
        <w:t>注：</w:t>
      </w:r>
    </w:p>
    <w:p>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left="0" w:firstLine="0"/>
        <w:textAlignment w:val="auto"/>
        <w:rPr>
          <w:rFonts w:ascii="宋体" w:hAnsi="宋体" w:eastAsia="宋体" w:cs="宋体"/>
          <w:b/>
          <w:bCs/>
          <w:color w:val="FF0000"/>
        </w:rPr>
      </w:pPr>
      <w:r>
        <w:rPr>
          <w:rFonts w:hint="eastAsia" w:ascii="宋体" w:hAnsi="宋体" w:eastAsia="宋体" w:cs="宋体"/>
          <w:b/>
          <w:bCs/>
          <w:color w:val="FF0000"/>
          <w:szCs w:val="21"/>
        </w:rPr>
        <w:t>送货时间必须明确时间节点或时间段，否则视为无效报价。</w:t>
      </w:r>
    </w:p>
    <w:p>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left="0" w:firstLine="0"/>
        <w:textAlignment w:val="auto"/>
        <w:rPr>
          <w:rFonts w:ascii="宋体" w:hAnsi="宋体" w:eastAsia="宋体" w:cs="宋体"/>
          <w:b/>
          <w:bCs/>
          <w:color w:val="FF0000"/>
          <w:szCs w:val="21"/>
        </w:rPr>
      </w:pPr>
      <w:r>
        <w:rPr>
          <w:rFonts w:hint="eastAsia" w:ascii="宋体" w:hAnsi="宋体" w:eastAsia="宋体" w:cs="宋体"/>
          <w:b/>
          <w:bCs/>
          <w:color w:val="FF0000"/>
          <w:lang w:bidi="ar"/>
        </w:rPr>
        <w:t>如项目有参数提供，报价时需同时提供项目参数响应表，否则将视为无效报价。</w:t>
      </w:r>
    </w:p>
    <w:p>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left="0" w:firstLine="0"/>
        <w:textAlignment w:val="auto"/>
        <w:rPr>
          <w:rFonts w:ascii="宋体" w:hAnsi="宋体" w:eastAsia="宋体" w:cs="宋体"/>
          <w:b/>
          <w:bCs/>
          <w:color w:val="FF0000"/>
          <w:szCs w:val="21"/>
        </w:rPr>
      </w:pPr>
      <w:r>
        <w:rPr>
          <w:rFonts w:hint="eastAsia" w:ascii="宋体" w:hAnsi="宋体" w:eastAsia="宋体" w:cs="宋体"/>
          <w:b/>
          <w:bCs/>
          <w:color w:val="FF0000"/>
          <w:szCs w:val="21"/>
        </w:rPr>
        <w:t>报价时须同时提供报价单EXCLE表格电子版，报价以加盖公章的PDF为准，若有存在不一致的后果由供应商自负。</w:t>
      </w:r>
    </w:p>
    <w:p>
      <w:pPr>
        <w:keepNext w:val="0"/>
        <w:keepLines w:val="0"/>
        <w:pageBreakBefore w:val="0"/>
        <w:widowControl w:val="0"/>
        <w:numPr>
          <w:ilvl w:val="0"/>
          <w:numId w:val="19"/>
        </w:numPr>
        <w:kinsoku/>
        <w:wordWrap/>
        <w:overflowPunct/>
        <w:topLinePunct w:val="0"/>
        <w:autoSpaceDE/>
        <w:autoSpaceDN/>
        <w:bidi w:val="0"/>
        <w:adjustRightInd w:val="0"/>
        <w:snapToGrid w:val="0"/>
        <w:spacing w:line="360" w:lineRule="auto"/>
        <w:ind w:left="0" w:firstLine="0"/>
        <w:textAlignment w:val="auto"/>
        <w:rPr>
          <w:rFonts w:ascii="宋体" w:hAnsi="宋体" w:eastAsia="宋体" w:cs="宋体"/>
          <w:b/>
          <w:bCs/>
          <w:color w:val="000000"/>
          <w:szCs w:val="21"/>
        </w:rPr>
      </w:pPr>
      <w:r>
        <w:rPr>
          <w:rFonts w:hint="eastAsia" w:ascii="宋体" w:hAnsi="宋体" w:eastAsia="宋体" w:cs="宋体"/>
          <w:b/>
          <w:bCs/>
          <w:color w:val="000000"/>
          <w:szCs w:val="21"/>
        </w:rPr>
        <w:t>报价供应商在经营活动中没有违法记录。</w:t>
      </w:r>
    </w:p>
    <w:p>
      <w:pPr>
        <w:pStyle w:val="30"/>
        <w:keepNext w:val="0"/>
        <w:keepLines w:val="0"/>
        <w:pageBreakBefore w:val="0"/>
        <w:widowControl w:val="0"/>
        <w:numPr>
          <w:ilvl w:val="0"/>
          <w:numId w:val="19"/>
        </w:numPr>
        <w:kinsoku/>
        <w:wordWrap/>
        <w:overflowPunct/>
        <w:topLinePunct w:val="0"/>
        <w:autoSpaceDE/>
        <w:autoSpaceDN/>
        <w:bidi w:val="0"/>
        <w:spacing w:line="360" w:lineRule="auto"/>
        <w:ind w:left="0" w:firstLine="0" w:firstLineChars="0"/>
        <w:textAlignment w:val="auto"/>
        <w:rPr>
          <w:rFonts w:ascii="宋体" w:hAnsi="宋体" w:eastAsia="宋体" w:cs="宋体"/>
          <w:b/>
          <w:bCs/>
          <w:color w:val="FF0000"/>
          <w:szCs w:val="21"/>
        </w:rPr>
      </w:pPr>
      <w:r>
        <w:rPr>
          <w:rFonts w:hint="eastAsia" w:ascii="宋体" w:hAnsi="宋体" w:eastAsia="宋体" w:cs="宋体"/>
          <w:b/>
          <w:bCs/>
          <w:color w:val="000000"/>
          <w:szCs w:val="21"/>
        </w:rPr>
        <w:t>最新产品，保证质量，供应商报价时</w:t>
      </w:r>
      <w:r>
        <w:rPr>
          <w:rFonts w:hint="eastAsia" w:ascii="宋体" w:hAnsi="宋体" w:eastAsia="宋体" w:cs="宋体"/>
          <w:b/>
          <w:bCs/>
          <w:color w:val="FF0000"/>
          <w:szCs w:val="21"/>
        </w:rPr>
        <w:t>必须提供供货承诺函（格式见附件），若不提供将导致报价无效。</w:t>
      </w:r>
    </w:p>
    <w:p>
      <w:pPr>
        <w:pStyle w:val="30"/>
        <w:keepNext w:val="0"/>
        <w:keepLines w:val="0"/>
        <w:pageBreakBefore w:val="0"/>
        <w:widowControl w:val="0"/>
        <w:numPr>
          <w:ilvl w:val="0"/>
          <w:numId w:val="19"/>
        </w:numPr>
        <w:kinsoku/>
        <w:wordWrap/>
        <w:overflowPunct/>
        <w:topLinePunct w:val="0"/>
        <w:autoSpaceDE/>
        <w:autoSpaceDN/>
        <w:bidi w:val="0"/>
        <w:spacing w:line="360" w:lineRule="auto"/>
        <w:ind w:left="0" w:firstLine="0" w:firstLineChars="0"/>
        <w:textAlignment w:val="auto"/>
        <w:rPr>
          <w:rFonts w:ascii="宋体" w:hAnsi="宋体" w:eastAsia="宋体" w:cs="宋体"/>
          <w:b/>
          <w:bCs/>
          <w:color w:val="FF0000"/>
        </w:rPr>
      </w:pPr>
      <w:r>
        <w:rPr>
          <w:rFonts w:hint="eastAsia" w:ascii="宋体" w:hAnsi="宋体" w:eastAsia="宋体" w:cs="宋体"/>
          <w:b/>
          <w:bCs/>
          <w:color w:val="FF0000"/>
        </w:rPr>
        <w:t>若每张请购单的报价超过该单的预算金额，将导致整个项目报价无效。</w:t>
      </w:r>
    </w:p>
    <w:p>
      <w:pPr>
        <w:pStyle w:val="30"/>
        <w:keepNext w:val="0"/>
        <w:keepLines w:val="0"/>
        <w:pageBreakBefore w:val="0"/>
        <w:widowControl w:val="0"/>
        <w:numPr>
          <w:ilvl w:val="0"/>
          <w:numId w:val="19"/>
        </w:numPr>
        <w:kinsoku/>
        <w:wordWrap/>
        <w:overflowPunct/>
        <w:topLinePunct w:val="0"/>
        <w:autoSpaceDE/>
        <w:autoSpaceDN/>
        <w:bidi w:val="0"/>
        <w:spacing w:line="360" w:lineRule="auto"/>
        <w:ind w:left="0" w:firstLine="0" w:firstLineChars="0"/>
        <w:textAlignment w:val="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供应商必须按报价表格式顺序填写单价、金额、所投品牌（规格、型号）、送货时间，不得增加或删除表格，不得擅自改动需求内容，与需求不一致的内容（如规格、数量等）注明于备注栏，否则将导致报价无效。</w:t>
      </w:r>
    </w:p>
    <w:p>
      <w:pPr>
        <w:pStyle w:val="30"/>
        <w:keepNext w:val="0"/>
        <w:keepLines w:val="0"/>
        <w:pageBreakBefore w:val="0"/>
        <w:widowControl w:val="0"/>
        <w:numPr>
          <w:ilvl w:val="0"/>
          <w:numId w:val="15"/>
        </w:numPr>
        <w:kinsoku/>
        <w:wordWrap/>
        <w:overflowPunct/>
        <w:topLinePunct w:val="0"/>
        <w:autoSpaceDE/>
        <w:autoSpaceDN/>
        <w:bidi w:val="0"/>
        <w:spacing w:line="360" w:lineRule="auto"/>
        <w:ind w:left="0" w:firstLine="0" w:firstLineChars="0"/>
        <w:textAlignment w:val="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highlight w:val="yellow"/>
          <w14:textFill>
            <w14:solidFill>
              <w14:schemeClr w14:val="tx1"/>
            </w14:solidFill>
          </w14:textFill>
        </w:rPr>
        <w:t>需求参考品牌为2个或以上时，若所投产品是参考品牌，则需提供相应技术参数，若所投产品不是参考品牌，则需提供相应技术参数和承诺函（承诺所投产品的技术参数相当于或优于参考品牌，</w:t>
      </w:r>
      <w:r>
        <w:rPr>
          <w:rFonts w:hint="eastAsia" w:ascii="宋体" w:hAnsi="宋体" w:eastAsia="宋体" w:cs="宋体"/>
          <w:b/>
          <w:bCs/>
          <w:color w:val="FF0000"/>
          <w:highlight w:val="yellow"/>
        </w:rPr>
        <w:t>格式见附件</w:t>
      </w:r>
      <w:r>
        <w:rPr>
          <w:rFonts w:hint="eastAsia" w:ascii="宋体" w:hAnsi="宋体" w:eastAsia="宋体" w:cs="宋体"/>
          <w:b/>
          <w:bCs/>
          <w:color w:val="000000" w:themeColor="text1"/>
          <w:highlight w:val="yellow"/>
          <w14:textFill>
            <w14:solidFill>
              <w14:schemeClr w14:val="tx1"/>
            </w14:solidFill>
          </w14:textFill>
        </w:rPr>
        <w:t>），必要时还需提供样品，且提供样品所产生的费用由供应商自负，否则将不被推荐为成交候选人。所提供的技术参数应当</w:t>
      </w:r>
      <w:r>
        <w:rPr>
          <w:rFonts w:hint="eastAsia" w:ascii="宋体" w:hAnsi="宋体" w:eastAsia="宋体" w:cs="宋体"/>
          <w:b/>
          <w:bCs/>
          <w:color w:val="FF0000"/>
          <w:highlight w:val="yellow"/>
        </w:rPr>
        <w:t>完整、详细、清晰，</w:t>
      </w:r>
      <w:r>
        <w:rPr>
          <w:rFonts w:hint="eastAsia" w:ascii="宋体" w:hAnsi="宋体" w:eastAsia="宋体" w:cs="宋体"/>
          <w:b/>
          <w:bCs/>
          <w:color w:val="000000" w:themeColor="text1"/>
          <w:highlight w:val="yellow"/>
          <w14:textFill>
            <w14:solidFill>
              <w14:schemeClr w14:val="tx1"/>
            </w14:solidFill>
          </w14:textFill>
        </w:rPr>
        <w:t>并能反映所投产品的相应信息</w:t>
      </w:r>
      <w:r>
        <w:rPr>
          <w:rFonts w:hint="eastAsia" w:ascii="宋体" w:hAnsi="宋体" w:eastAsia="宋体" w:cs="宋体"/>
          <w:b/>
          <w:bCs/>
          <w:color w:val="FF0000"/>
          <w:highlight w:val="yellow"/>
        </w:rPr>
        <w:t>（含品牌型号、外观结构、主要性能等内容），应以产品彩页或相应技术参数的厂家使用说明书复印件作为技术证明材料，否则视相应技术参数响应不符合参数要求。（如厂家的产品使用说明为英文版，请同时提供中文版。）</w:t>
      </w:r>
    </w:p>
    <w:p>
      <w:pPr>
        <w:pStyle w:val="30"/>
        <w:keepNext w:val="0"/>
        <w:keepLines w:val="0"/>
        <w:pageBreakBefore w:val="0"/>
        <w:widowControl w:val="0"/>
        <w:numPr>
          <w:ilvl w:val="0"/>
          <w:numId w:val="15"/>
        </w:numPr>
        <w:kinsoku/>
        <w:wordWrap/>
        <w:overflowPunct/>
        <w:topLinePunct w:val="0"/>
        <w:autoSpaceDE/>
        <w:autoSpaceDN/>
        <w:bidi w:val="0"/>
        <w:spacing w:line="360" w:lineRule="auto"/>
        <w:ind w:left="0" w:firstLine="0" w:firstLineChars="0"/>
        <w:textAlignment w:val="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项目成交金额低于5万元的，凭成交通知书+报价单+货单送货。5万元或以上的，</w:t>
      </w:r>
      <w:r>
        <w:rPr>
          <w:rFonts w:hint="eastAsia" w:ascii="宋体" w:hAnsi="宋体" w:eastAsia="宋体" w:cs="宋体"/>
          <w:b/>
          <w:bCs/>
          <w:color w:val="FF0000"/>
        </w:rPr>
        <w:t>成交后需签订合同，设备类的合同必须附配置清单</w:t>
      </w:r>
      <w:r>
        <w:rPr>
          <w:rFonts w:hint="eastAsia" w:ascii="宋体" w:hAnsi="宋体" w:eastAsia="宋体" w:cs="宋体"/>
          <w:b/>
          <w:bCs/>
          <w:color w:val="000000" w:themeColor="text1"/>
          <w14:textFill>
            <w14:solidFill>
              <w14:schemeClr w14:val="tx1"/>
            </w14:solidFill>
          </w14:textFill>
        </w:rPr>
        <w:t>，凭成交通知书+合同+货单送货。需入资产的货物（单价1000元或以上的通用设备，单价1500元或以上的专用设备），还须附上仪器设备安装验收报告（格式见竞价公告附件），以及与合同一致的配置清单。资料不全的，将影响验收。</w:t>
      </w:r>
    </w:p>
    <w:p>
      <w:pPr>
        <w:pStyle w:val="30"/>
        <w:keepNext w:val="0"/>
        <w:keepLines w:val="0"/>
        <w:pageBreakBefore w:val="0"/>
        <w:widowControl w:val="0"/>
        <w:numPr>
          <w:ilvl w:val="0"/>
          <w:numId w:val="15"/>
        </w:numPr>
        <w:kinsoku/>
        <w:wordWrap/>
        <w:overflowPunct/>
        <w:topLinePunct w:val="0"/>
        <w:autoSpaceDE/>
        <w:autoSpaceDN/>
        <w:bidi w:val="0"/>
        <w:spacing w:line="360" w:lineRule="auto"/>
        <w:ind w:left="0" w:firstLine="0" w:firstLineChars="0"/>
        <w:textAlignment w:val="auto"/>
        <w:rPr>
          <w:rFonts w:ascii="宋体" w:hAnsi="宋体" w:eastAsia="宋体" w:cs="宋体"/>
          <w:b/>
          <w:bCs/>
          <w:color w:val="FF0000"/>
        </w:rPr>
      </w:pPr>
      <w:r>
        <w:rPr>
          <w:rFonts w:hint="eastAsia" w:ascii="宋体" w:hAnsi="宋体" w:eastAsia="宋体" w:cs="宋体"/>
          <w:b/>
          <w:bCs/>
          <w:color w:val="000000" w:themeColor="text1"/>
          <w14:textFill>
            <w14:solidFill>
              <w14:schemeClr w14:val="tx1"/>
            </w14:solidFill>
          </w14:textFill>
        </w:rPr>
        <w:t>货物须安排专人送至中心验收签字，不能邮寄。办公用品、试剂耗材送至中心仓库（分别联系：谢老师、张老师31051343）验收，设备联系采购经办人送至指定地点验收。</w:t>
      </w:r>
    </w:p>
    <w:p>
      <w:pPr>
        <w:pStyle w:val="30"/>
        <w:keepNext w:val="0"/>
        <w:keepLines w:val="0"/>
        <w:pageBreakBefore w:val="0"/>
        <w:widowControl w:val="0"/>
        <w:numPr>
          <w:ilvl w:val="0"/>
          <w:numId w:val="15"/>
        </w:numPr>
        <w:kinsoku/>
        <w:wordWrap/>
        <w:overflowPunct/>
        <w:topLinePunct w:val="0"/>
        <w:autoSpaceDE/>
        <w:autoSpaceDN/>
        <w:bidi w:val="0"/>
        <w:spacing w:line="360" w:lineRule="auto"/>
        <w:ind w:left="0" w:firstLine="0" w:firstLineChars="0"/>
        <w:textAlignment w:val="auto"/>
        <w:rPr>
          <w:rFonts w:ascii="宋体" w:hAnsi="宋体" w:eastAsia="宋体" w:cs="宋体"/>
          <w:b/>
          <w:bCs/>
          <w:color w:val="FF0000"/>
        </w:rPr>
      </w:pPr>
      <w:r>
        <w:rPr>
          <w:rFonts w:hint="eastAsia" w:ascii="宋体" w:hAnsi="宋体" w:eastAsia="宋体" w:cs="宋体"/>
          <w:b/>
          <w:bCs/>
          <w:color w:val="FF0000"/>
        </w:rPr>
        <w:t>项目相关货物的生产经营、流通运输，及相关服务的开展，必须符合国家有关法律法规的资质要求，报价须附上相关的资质证明，如《医疗器械生产/经营许可证》、《危险化学品经营许可证》等。</w:t>
      </w:r>
    </w:p>
    <w:p>
      <w:pPr>
        <w:rPr>
          <w:rFonts w:ascii="宋体" w:hAnsi="宋体" w:eastAsia="宋体" w:cs="宋体"/>
          <w:b/>
          <w:bCs/>
          <w:color w:val="000000"/>
          <w:sz w:val="24"/>
          <w:szCs w:val="24"/>
          <w:u w:val="single"/>
        </w:rPr>
      </w:pPr>
      <w:r>
        <w:rPr>
          <w:rFonts w:hint="eastAsia" w:ascii="宋体" w:hAnsi="宋体" w:eastAsia="宋体" w:cs="宋体"/>
          <w:b/>
          <w:bCs/>
          <w:color w:val="000000"/>
          <w:sz w:val="24"/>
          <w:szCs w:val="24"/>
        </w:rPr>
        <w:t>报价总价（人民币）：小写                大写</w:t>
      </w:r>
    </w:p>
    <w:p>
      <w:pPr>
        <w:spacing w:line="380" w:lineRule="exact"/>
        <w:rPr>
          <w:rFonts w:ascii="宋体" w:hAnsi="宋体" w:eastAsia="宋体" w:cs="宋体"/>
          <w:b/>
          <w:bCs/>
          <w:color w:val="000000"/>
          <w:szCs w:val="21"/>
        </w:rPr>
      </w:pPr>
      <w:r>
        <w:rPr>
          <w:rFonts w:hint="eastAsia" w:ascii="宋体" w:hAnsi="宋体" w:eastAsia="宋体" w:cs="宋体"/>
          <w:b/>
          <w:bCs/>
          <w:color w:val="000000"/>
          <w:szCs w:val="21"/>
        </w:rPr>
        <w:t>报价说明：</w:t>
      </w:r>
    </w:p>
    <w:p>
      <w:pPr>
        <w:spacing w:line="380" w:lineRule="exact"/>
        <w:rPr>
          <w:rFonts w:ascii="宋体" w:hAnsi="宋体" w:eastAsia="宋体" w:cs="宋体"/>
          <w:b/>
          <w:bCs/>
          <w:color w:val="000000"/>
          <w:szCs w:val="21"/>
        </w:rPr>
      </w:pPr>
      <w:r>
        <w:rPr>
          <w:rFonts w:hint="eastAsia" w:ascii="宋体" w:hAnsi="宋体" w:eastAsia="宋体" w:cs="宋体"/>
          <w:b/>
          <w:bCs/>
          <w:color w:val="000000"/>
          <w:szCs w:val="21"/>
        </w:rPr>
        <w:t>（一）本次报价为总价承包，包括但不限于：</w:t>
      </w:r>
    </w:p>
    <w:p>
      <w:pPr>
        <w:spacing w:line="380" w:lineRule="exact"/>
        <w:rPr>
          <w:rFonts w:ascii="宋体" w:hAnsi="宋体" w:eastAsia="宋体" w:cs="宋体"/>
          <w:color w:val="000000"/>
          <w:szCs w:val="21"/>
        </w:rPr>
      </w:pPr>
      <w:r>
        <w:rPr>
          <w:rFonts w:hint="eastAsia" w:ascii="宋体" w:hAnsi="宋体" w:eastAsia="宋体" w:cs="宋体"/>
          <w:color w:val="000000"/>
          <w:szCs w:val="21"/>
        </w:rPr>
        <w:t>1.项目过程中涉及的人工、交通、食宿、安全及保险、项目税费、合理利润。</w:t>
      </w:r>
    </w:p>
    <w:p>
      <w:pPr>
        <w:spacing w:line="380" w:lineRule="exact"/>
        <w:rPr>
          <w:rFonts w:ascii="宋体" w:hAnsi="宋体" w:eastAsia="宋体" w:cs="宋体"/>
          <w:color w:val="000000"/>
          <w:szCs w:val="21"/>
        </w:rPr>
      </w:pPr>
      <w:r>
        <w:rPr>
          <w:rFonts w:hint="eastAsia" w:ascii="宋体" w:hAnsi="宋体" w:eastAsia="宋体" w:cs="宋体"/>
          <w:color w:val="000000"/>
          <w:szCs w:val="21"/>
        </w:rPr>
        <w:t>2.其他完成本项目相关的直接及间接费用。</w:t>
      </w:r>
    </w:p>
    <w:p>
      <w:pPr>
        <w:spacing w:line="380" w:lineRule="exact"/>
        <w:rPr>
          <w:rFonts w:ascii="宋体" w:hAnsi="宋体" w:eastAsia="宋体" w:cs="宋体"/>
          <w:b/>
          <w:bCs/>
          <w:color w:val="000000"/>
          <w:szCs w:val="21"/>
        </w:rPr>
      </w:pPr>
      <w:r>
        <w:rPr>
          <w:rFonts w:hint="eastAsia" w:ascii="宋体" w:hAnsi="宋体" w:eastAsia="宋体" w:cs="宋体"/>
          <w:b/>
          <w:bCs/>
          <w:color w:val="000000"/>
          <w:szCs w:val="21"/>
        </w:rPr>
        <w:t>（二）我司同意按平台发出的采购需求的要求供货。</w:t>
      </w:r>
    </w:p>
    <w:p>
      <w:pPr>
        <w:spacing w:line="380" w:lineRule="exact"/>
        <w:rPr>
          <w:rFonts w:ascii="宋体" w:hAnsi="宋体" w:eastAsia="宋体" w:cs="宋体"/>
          <w:b/>
          <w:bCs/>
          <w:color w:val="000000"/>
          <w:szCs w:val="21"/>
        </w:rPr>
      </w:pPr>
    </w:p>
    <w:p>
      <w:pPr>
        <w:pStyle w:val="10"/>
        <w:spacing w:line="360" w:lineRule="auto"/>
        <w:jc w:val="left"/>
        <w:rPr>
          <w:rFonts w:hAnsi="宋体" w:cs="宋体"/>
          <w:b/>
          <w:bCs/>
          <w:color w:val="000000"/>
          <w:sz w:val="21"/>
        </w:rPr>
      </w:pPr>
      <w:r>
        <w:rPr>
          <w:rFonts w:hint="eastAsia" w:hAnsi="宋体" w:cs="宋体"/>
          <w:b/>
          <w:bCs/>
          <w:color w:val="000000"/>
          <w:sz w:val="21"/>
        </w:rPr>
        <w:t>联系人：                          联系电话：</w:t>
      </w:r>
    </w:p>
    <w:p>
      <w:pPr>
        <w:pStyle w:val="10"/>
        <w:spacing w:line="360" w:lineRule="auto"/>
        <w:jc w:val="left"/>
        <w:rPr>
          <w:rFonts w:hAnsi="宋体" w:cs="宋体"/>
          <w:b/>
          <w:bCs/>
          <w:color w:val="000000"/>
          <w:sz w:val="21"/>
        </w:rPr>
      </w:pPr>
      <w:r>
        <w:rPr>
          <w:rFonts w:hint="eastAsia" w:hAnsi="宋体" w:cs="宋体"/>
          <w:b/>
          <w:bCs/>
          <w:color w:val="000000"/>
          <w:sz w:val="21"/>
        </w:rPr>
        <w:t>联系地址：</w:t>
      </w:r>
    </w:p>
    <w:p>
      <w:pPr>
        <w:spacing w:line="360" w:lineRule="auto"/>
        <w:jc w:val="left"/>
        <w:rPr>
          <w:rFonts w:ascii="宋体" w:hAnsi="宋体" w:eastAsia="宋体" w:cs="宋体"/>
          <w:szCs w:val="21"/>
          <w:u w:val="single"/>
        </w:rPr>
      </w:pPr>
      <w:r>
        <w:rPr>
          <w:rFonts w:hint="eastAsia" w:ascii="宋体" w:hAnsi="宋体" w:eastAsia="宋体" w:cs="宋体"/>
          <w:b/>
          <w:bCs/>
          <w:color w:val="000000"/>
          <w:szCs w:val="21"/>
          <w:lang w:val="zh-CN"/>
        </w:rPr>
        <w:t>报价人：（公章）</w:t>
      </w:r>
    </w:p>
    <w:p>
      <w:pPr>
        <w:widowControl/>
        <w:jc w:val="left"/>
        <w:rPr>
          <w:rFonts w:ascii="宋体" w:hAnsi="宋体" w:eastAsia="宋体" w:cs="宋体"/>
          <w:b/>
          <w:bCs/>
        </w:rPr>
      </w:pPr>
      <w:r>
        <w:rPr>
          <w:rFonts w:hint="eastAsia" w:ascii="宋体" w:hAnsi="宋体" w:eastAsia="宋体" w:cs="宋体"/>
          <w:b/>
          <w:bCs/>
        </w:rPr>
        <w:br w:type="page"/>
      </w:r>
    </w:p>
    <w:p>
      <w:pPr>
        <w:spacing w:line="360" w:lineRule="auto"/>
        <w:jc w:val="center"/>
        <w:rPr>
          <w:rFonts w:ascii="宋体" w:hAnsi="宋体" w:eastAsia="宋体" w:cs="宋体"/>
          <w:spacing w:val="4"/>
          <w:szCs w:val="21"/>
          <w:u w:val="single"/>
        </w:rPr>
      </w:pPr>
      <w:r>
        <w:rPr>
          <w:rFonts w:hint="eastAsia" w:ascii="宋体" w:hAnsi="宋体" w:eastAsia="宋体" w:cs="宋体"/>
          <w:b/>
          <w:bCs/>
          <w:sz w:val="32"/>
          <w:szCs w:val="32"/>
          <w:lang w:val="zh-CN"/>
        </w:rPr>
        <w:t>供货承诺函</w:t>
      </w:r>
    </w:p>
    <w:p>
      <w:pPr>
        <w:widowControl/>
        <w:wordWrap w:val="0"/>
        <w:spacing w:line="360" w:lineRule="auto"/>
        <w:rPr>
          <w:rFonts w:ascii="宋体" w:hAnsi="宋体" w:eastAsia="宋体" w:cs="宋体"/>
          <w:b/>
          <w:kern w:val="0"/>
          <w:szCs w:val="21"/>
        </w:rPr>
      </w:pPr>
      <w:r>
        <w:rPr>
          <w:rFonts w:hint="eastAsia" w:ascii="宋体" w:hAnsi="宋体" w:eastAsia="宋体" w:cs="宋体"/>
          <w:b/>
          <w:kern w:val="0"/>
          <w:szCs w:val="21"/>
        </w:rPr>
        <w:t>广东省疾病预防控制中心:</w:t>
      </w:r>
    </w:p>
    <w:p>
      <w:pPr>
        <w:widowControl/>
        <w:wordWrap w:val="0"/>
        <w:spacing w:line="360" w:lineRule="auto"/>
        <w:ind w:firstLine="420"/>
        <w:rPr>
          <w:rFonts w:ascii="宋体" w:hAnsi="宋体" w:eastAsia="宋体" w:cs="宋体"/>
          <w:kern w:val="0"/>
          <w:szCs w:val="21"/>
        </w:rPr>
      </w:pPr>
      <w:r>
        <w:rPr>
          <w:rFonts w:hint="eastAsia" w:ascii="宋体" w:hAnsi="宋体" w:eastAsia="宋体" w:cs="宋体"/>
          <w:kern w:val="0"/>
          <w:szCs w:val="21"/>
        </w:rPr>
        <w:t>关于贵单位发布的</w:t>
      </w:r>
      <w:bookmarkStart w:id="0" w:name="_GoBack"/>
      <w:r>
        <w:rPr>
          <w:rFonts w:hint="eastAsia" w:ascii="宋体" w:hAnsi="宋体" w:eastAsia="宋体" w:cs="宋体"/>
          <w:b/>
          <w:bCs/>
          <w:kern w:val="0"/>
          <w:szCs w:val="21"/>
          <w:u w:val="single"/>
          <w:lang w:eastAsia="zh-CN"/>
        </w:rPr>
        <w:t>安备杀虫颗粒剂1%双硫磷等一批Q20240209002</w:t>
      </w:r>
      <w:bookmarkEnd w:id="0"/>
      <w:r>
        <w:rPr>
          <w:rFonts w:hint="eastAsia" w:ascii="宋体" w:hAnsi="宋体" w:eastAsia="宋体" w:cs="宋体"/>
          <w:kern w:val="0"/>
          <w:szCs w:val="21"/>
        </w:rPr>
        <w:t>竞价公告，本公司愿意参加竞价，在此承诺：我司完全响应本项目用户需求所有内容，如我司中标将完全按照报价文件提供保证质量的产品，</w:t>
      </w:r>
      <w:r>
        <w:rPr>
          <w:rFonts w:hint="eastAsia" w:ascii="宋体" w:hAnsi="宋体" w:eastAsia="宋体" w:cs="宋体"/>
          <w:b/>
        </w:rPr>
        <w:t>按照约定时间完成供货。</w:t>
      </w:r>
      <w:r>
        <w:rPr>
          <w:rFonts w:hint="eastAsia" w:ascii="宋体" w:hAnsi="宋体" w:eastAsia="宋体" w:cs="宋体"/>
          <w:kern w:val="0"/>
          <w:szCs w:val="21"/>
        </w:rPr>
        <w:t>如有违法、违规、弄虚作假行为，所造成的损失、不良后果及法律责任，一律由我公司（企业）承担。</w:t>
      </w:r>
    </w:p>
    <w:p>
      <w:pPr>
        <w:widowControl/>
        <w:tabs>
          <w:tab w:val="left" w:pos="540"/>
        </w:tabs>
        <w:wordWrap w:val="0"/>
        <w:snapToGrid w:val="0"/>
        <w:spacing w:line="360" w:lineRule="auto"/>
        <w:ind w:left="420"/>
        <w:rPr>
          <w:rFonts w:ascii="宋体" w:hAnsi="宋体" w:eastAsia="宋体" w:cs="宋体"/>
          <w:b/>
          <w:kern w:val="0"/>
          <w:szCs w:val="21"/>
        </w:rPr>
      </w:pPr>
    </w:p>
    <w:p>
      <w:pPr>
        <w:spacing w:line="360" w:lineRule="auto"/>
        <w:ind w:firstLine="420"/>
        <w:jc w:val="left"/>
        <w:rPr>
          <w:rFonts w:ascii="宋体" w:hAnsi="宋体" w:eastAsia="宋体" w:cs="宋体"/>
          <w:u w:val="single"/>
        </w:rPr>
      </w:pPr>
      <w:r>
        <w:rPr>
          <w:rFonts w:hint="eastAsia" w:ascii="宋体" w:hAnsi="宋体" w:eastAsia="宋体" w:cs="宋体"/>
        </w:rPr>
        <w:t>供应商名称（单位盖</w:t>
      </w:r>
      <w:r>
        <w:rPr>
          <w:rFonts w:hint="eastAsia" w:ascii="宋体" w:hAnsi="宋体" w:eastAsia="宋体" w:cs="宋体"/>
          <w:spacing w:val="4"/>
        </w:rPr>
        <w:t>公章</w:t>
      </w:r>
      <w:r>
        <w:rPr>
          <w:rFonts w:hint="eastAsia" w:ascii="宋体" w:hAnsi="宋体" w:eastAsia="宋体" w:cs="宋体"/>
        </w:rPr>
        <w:t>）：</w:t>
      </w:r>
    </w:p>
    <w:p>
      <w:pPr>
        <w:spacing w:line="360" w:lineRule="auto"/>
        <w:ind w:firstLine="420"/>
        <w:jc w:val="left"/>
        <w:rPr>
          <w:rFonts w:ascii="宋体" w:hAnsi="宋体" w:eastAsia="宋体" w:cs="宋体"/>
          <w:u w:val="single"/>
        </w:rPr>
      </w:pPr>
      <w:r>
        <w:rPr>
          <w:rFonts w:hint="eastAsia" w:ascii="宋体" w:hAnsi="宋体" w:eastAsia="宋体" w:cs="宋体"/>
        </w:rPr>
        <w:t>电话：</w:t>
      </w:r>
    </w:p>
    <w:p>
      <w:pPr>
        <w:spacing w:line="360" w:lineRule="auto"/>
        <w:ind w:firstLine="420"/>
        <w:jc w:val="left"/>
        <w:rPr>
          <w:rFonts w:ascii="宋体" w:hAnsi="宋体" w:eastAsia="宋体" w:cs="宋体"/>
        </w:rPr>
      </w:pPr>
      <w:r>
        <w:rPr>
          <w:rFonts w:hint="eastAsia" w:ascii="宋体" w:hAnsi="宋体" w:eastAsia="宋体" w:cs="宋体"/>
        </w:rPr>
        <w:t>联系人：</w:t>
      </w:r>
    </w:p>
    <w:p>
      <w:pPr>
        <w:spacing w:line="360" w:lineRule="auto"/>
        <w:ind w:firstLine="420"/>
        <w:jc w:val="left"/>
        <w:rPr>
          <w:rFonts w:ascii="宋体" w:hAnsi="宋体" w:eastAsia="宋体" w:cs="宋体"/>
        </w:rPr>
      </w:pPr>
      <w:r>
        <w:rPr>
          <w:rFonts w:hint="eastAsia" w:ascii="宋体" w:hAnsi="宋体" w:eastAsia="宋体" w:cs="宋体"/>
        </w:rPr>
        <w:t>日期：</w:t>
      </w:r>
    </w:p>
    <w:p>
      <w:pPr>
        <w:pStyle w:val="3"/>
        <w:spacing w:before="0" w:after="0"/>
        <w:jc w:val="center"/>
        <w:rPr>
          <w:rFonts w:ascii="宋体" w:hAnsi="宋体" w:eastAsia="宋体" w:cs="宋体"/>
          <w:lang w:val="zh-CN"/>
        </w:rPr>
      </w:pPr>
      <w:r>
        <w:rPr>
          <w:rFonts w:hint="eastAsia" w:ascii="宋体" w:hAnsi="宋体" w:eastAsia="宋体" w:cs="宋体"/>
        </w:rPr>
        <w:br w:type="page"/>
      </w:r>
      <w:r>
        <w:rPr>
          <w:rFonts w:hint="eastAsia" w:ascii="宋体" w:hAnsi="宋体" w:eastAsia="宋体" w:cs="宋体"/>
        </w:rPr>
        <w:t>非参考品牌产品技术参数</w:t>
      </w:r>
      <w:r>
        <w:rPr>
          <w:rFonts w:hint="eastAsia" w:ascii="宋体" w:hAnsi="宋体" w:eastAsia="宋体" w:cs="宋体"/>
          <w:lang w:val="zh-CN"/>
        </w:rPr>
        <w:t>承诺函</w:t>
      </w:r>
    </w:p>
    <w:p>
      <w:pPr>
        <w:rPr>
          <w:rFonts w:ascii="宋体" w:hAnsi="宋体" w:eastAsia="宋体" w:cs="宋体"/>
          <w:lang w:val="zh-CN"/>
        </w:rPr>
      </w:pPr>
    </w:p>
    <w:p>
      <w:pPr>
        <w:widowControl/>
        <w:wordWrap w:val="0"/>
        <w:spacing w:line="360" w:lineRule="auto"/>
        <w:rPr>
          <w:rFonts w:ascii="宋体" w:hAnsi="宋体" w:eastAsia="宋体" w:cs="宋体"/>
          <w:b/>
          <w:kern w:val="0"/>
          <w:szCs w:val="21"/>
        </w:rPr>
      </w:pPr>
      <w:r>
        <w:rPr>
          <w:rFonts w:hint="eastAsia" w:ascii="宋体" w:hAnsi="宋体" w:eastAsia="宋体" w:cs="宋体"/>
          <w:b/>
          <w:kern w:val="0"/>
          <w:szCs w:val="21"/>
        </w:rPr>
        <w:t>广东省疾病预防控制中心:</w:t>
      </w:r>
    </w:p>
    <w:p>
      <w:pPr>
        <w:widowControl/>
        <w:wordWrap w:val="0"/>
        <w:spacing w:line="360" w:lineRule="auto"/>
        <w:ind w:firstLine="420"/>
        <w:rPr>
          <w:rFonts w:ascii="宋体" w:hAnsi="宋体" w:eastAsia="宋体" w:cs="宋体"/>
        </w:rPr>
      </w:pPr>
      <w:r>
        <w:rPr>
          <w:rFonts w:hint="eastAsia" w:ascii="宋体" w:hAnsi="宋体" w:eastAsia="宋体" w:cs="宋体"/>
          <w:kern w:val="0"/>
          <w:szCs w:val="21"/>
        </w:rPr>
        <w:t>关于贵单位发布的</w:t>
      </w:r>
      <w:r>
        <w:rPr>
          <w:rFonts w:hint="eastAsia" w:ascii="宋体" w:hAnsi="宋体" w:eastAsia="宋体" w:cs="宋体"/>
          <w:b/>
          <w:bCs/>
          <w:szCs w:val="21"/>
          <w:u w:val="single"/>
        </w:rPr>
        <w:t xml:space="preserve"> </w:t>
      </w:r>
      <w:r>
        <w:rPr>
          <w:rFonts w:hint="eastAsia" w:ascii="宋体" w:hAnsi="宋体" w:eastAsia="宋体" w:cs="宋体"/>
          <w:b/>
          <w:bCs/>
          <w:kern w:val="0"/>
          <w:szCs w:val="21"/>
          <w:u w:val="single"/>
          <w:lang w:eastAsia="zh-CN"/>
        </w:rPr>
        <w:t>安备杀虫颗粒剂1%双硫磷等一批Q20240209002</w:t>
      </w:r>
      <w:r>
        <w:rPr>
          <w:rFonts w:hint="eastAsia" w:ascii="宋体" w:hAnsi="宋体" w:eastAsia="宋体" w:cs="宋体"/>
          <w:kern w:val="0"/>
          <w:szCs w:val="21"/>
        </w:rPr>
        <w:t>竞价公告，本公司愿意参加竞价，</w:t>
      </w:r>
      <w:r>
        <w:rPr>
          <w:rFonts w:hint="eastAsia" w:ascii="宋体" w:hAnsi="宋体" w:eastAsia="宋体" w:cs="宋体"/>
        </w:rPr>
        <w:t>在此承诺：我司所投报的品牌产品技术参数相当于或优于参考品牌产品，</w:t>
      </w:r>
      <w:r>
        <w:rPr>
          <w:rFonts w:hint="eastAsia" w:ascii="宋体" w:hAnsi="宋体" w:eastAsia="宋体" w:cs="宋体"/>
          <w:b/>
          <w:color w:val="000000"/>
        </w:rPr>
        <w:t>能完全满足本项目用户需求</w:t>
      </w:r>
      <w:r>
        <w:rPr>
          <w:rFonts w:hint="eastAsia" w:ascii="宋体" w:hAnsi="宋体" w:eastAsia="宋体" w:cs="宋体"/>
        </w:rPr>
        <w:t>。如有违法、违规、弄虚作假行为，所造成的损失、不良后果及法律责任，一律由我公司（企业）承担。</w:t>
      </w:r>
    </w:p>
    <w:p>
      <w:pPr>
        <w:spacing w:line="360" w:lineRule="auto"/>
        <w:ind w:firstLine="420"/>
        <w:jc w:val="left"/>
        <w:rPr>
          <w:rFonts w:ascii="宋体" w:hAnsi="宋体" w:eastAsia="宋体" w:cs="宋体"/>
        </w:rPr>
      </w:pPr>
    </w:p>
    <w:p>
      <w:pPr>
        <w:spacing w:line="360" w:lineRule="auto"/>
        <w:ind w:firstLine="420"/>
        <w:jc w:val="left"/>
        <w:rPr>
          <w:rFonts w:ascii="宋体" w:hAnsi="宋体" w:eastAsia="宋体" w:cs="宋体"/>
        </w:rPr>
      </w:pPr>
    </w:p>
    <w:p>
      <w:pPr>
        <w:spacing w:line="360" w:lineRule="auto"/>
        <w:ind w:firstLine="420"/>
        <w:jc w:val="left"/>
        <w:rPr>
          <w:rFonts w:ascii="宋体" w:hAnsi="宋体" w:eastAsia="宋体" w:cs="宋体"/>
          <w:u w:val="single"/>
        </w:rPr>
      </w:pPr>
      <w:r>
        <w:rPr>
          <w:rFonts w:hint="eastAsia" w:ascii="宋体" w:hAnsi="宋体" w:eastAsia="宋体" w:cs="宋体"/>
        </w:rPr>
        <w:t>供应商名称（单位盖</w:t>
      </w:r>
      <w:r>
        <w:rPr>
          <w:rFonts w:hint="eastAsia" w:ascii="宋体" w:hAnsi="宋体" w:eastAsia="宋体" w:cs="宋体"/>
          <w:spacing w:val="4"/>
        </w:rPr>
        <w:t>公章</w:t>
      </w:r>
      <w:r>
        <w:rPr>
          <w:rFonts w:hint="eastAsia" w:ascii="宋体" w:hAnsi="宋体" w:eastAsia="宋体" w:cs="宋体"/>
        </w:rPr>
        <w:t>）：</w:t>
      </w:r>
    </w:p>
    <w:p>
      <w:pPr>
        <w:spacing w:line="360" w:lineRule="auto"/>
        <w:ind w:firstLine="420"/>
        <w:jc w:val="left"/>
        <w:rPr>
          <w:rFonts w:ascii="宋体" w:hAnsi="宋体" w:eastAsia="宋体" w:cs="宋体"/>
          <w:u w:val="single"/>
        </w:rPr>
      </w:pPr>
      <w:r>
        <w:rPr>
          <w:rFonts w:hint="eastAsia" w:ascii="宋体" w:hAnsi="宋体" w:eastAsia="宋体" w:cs="宋体"/>
        </w:rPr>
        <w:t>电话：</w:t>
      </w:r>
    </w:p>
    <w:p>
      <w:pPr>
        <w:spacing w:line="360" w:lineRule="auto"/>
        <w:ind w:firstLine="420"/>
        <w:jc w:val="left"/>
        <w:rPr>
          <w:rFonts w:ascii="宋体" w:hAnsi="宋体" w:eastAsia="宋体" w:cs="宋体"/>
        </w:rPr>
      </w:pPr>
      <w:r>
        <w:rPr>
          <w:rFonts w:hint="eastAsia" w:ascii="宋体" w:hAnsi="宋体" w:eastAsia="宋体" w:cs="宋体"/>
        </w:rPr>
        <w:t>联系人：</w:t>
      </w:r>
    </w:p>
    <w:p>
      <w:pPr>
        <w:ind w:firstLine="420" w:firstLineChars="200"/>
        <w:rPr>
          <w:rFonts w:ascii="宋体" w:hAnsi="宋体" w:eastAsia="宋体" w:cs="宋体"/>
        </w:rPr>
      </w:pPr>
      <w:r>
        <w:rPr>
          <w:rFonts w:hint="eastAsia" w:ascii="宋体" w:hAnsi="宋体" w:eastAsia="宋体" w:cs="宋体"/>
        </w:rPr>
        <w:t>日期：</w:t>
      </w:r>
    </w:p>
    <w:p>
      <w:pPr>
        <w:rPr>
          <w:rFonts w:ascii="宋体" w:hAnsi="宋体" w:eastAsia="宋体" w:cs="宋体"/>
        </w:rPr>
      </w:pPr>
      <w:r>
        <w:rPr>
          <w:rFonts w:hint="eastAsia" w:ascii="宋体" w:hAnsi="宋体" w:eastAsia="宋体" w:cs="宋体"/>
        </w:rPr>
        <w:br w:type="page"/>
      </w:r>
    </w:p>
    <w:p>
      <w:pPr>
        <w:pStyle w:val="3"/>
        <w:widowControl/>
        <w:spacing w:line="360" w:lineRule="auto"/>
        <w:jc w:val="center"/>
        <w:rPr>
          <w:rFonts w:ascii="宋体" w:hAnsi="宋体" w:eastAsia="宋体" w:cs="宋体"/>
        </w:rPr>
      </w:pPr>
      <w:r>
        <w:rPr>
          <w:rFonts w:hint="eastAsia" w:ascii="宋体" w:hAnsi="宋体" w:eastAsia="宋体" w:cs="宋体"/>
        </w:rPr>
        <w:t>项目参数响应表</w:t>
      </w:r>
    </w:p>
    <w:tbl>
      <w:tblPr>
        <w:tblStyle w:val="23"/>
        <w:tblW w:w="5258"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56"/>
        <w:gridCol w:w="2404"/>
        <w:gridCol w:w="2497"/>
        <w:gridCol w:w="1701"/>
        <w:gridCol w:w="14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533" w:type="pct"/>
            <w:tcBorders>
              <w:top w:val="single" w:color="auto" w:sz="12" w:space="0"/>
              <w:left w:val="single" w:color="auto" w:sz="12" w:space="0"/>
              <w:bottom w:val="single" w:color="auto" w:sz="6" w:space="0"/>
              <w:right w:val="single" w:color="auto" w:sz="6" w:space="0"/>
            </w:tcBorders>
            <w:shd w:val="clear" w:color="auto" w:fill="auto"/>
            <w:vAlign w:val="center"/>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b/>
                <w:szCs w:val="21"/>
              </w:rPr>
            </w:pPr>
            <w:r>
              <w:rPr>
                <w:rFonts w:hint="eastAsia" w:ascii="宋体" w:hAnsi="宋体" w:eastAsia="宋体" w:cs="宋体"/>
                <w:b/>
                <w:szCs w:val="21"/>
                <w:lang w:bidi="ar"/>
              </w:rPr>
              <w:t>序号</w:t>
            </w:r>
          </w:p>
        </w:tc>
        <w:tc>
          <w:tcPr>
            <w:tcW w:w="1341" w:type="pct"/>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b/>
                <w:szCs w:val="21"/>
              </w:rPr>
            </w:pPr>
            <w:r>
              <w:rPr>
                <w:rFonts w:hint="eastAsia" w:ascii="宋体" w:hAnsi="宋体" w:eastAsia="宋体" w:cs="宋体"/>
                <w:b/>
                <w:szCs w:val="21"/>
                <w:lang w:bidi="ar"/>
              </w:rPr>
              <w:t>项目参数要求</w:t>
            </w:r>
          </w:p>
        </w:tc>
        <w:tc>
          <w:tcPr>
            <w:tcW w:w="1393" w:type="pct"/>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b/>
                <w:szCs w:val="21"/>
              </w:rPr>
            </w:pPr>
            <w:r>
              <w:rPr>
                <w:rFonts w:hint="eastAsia" w:ascii="宋体" w:hAnsi="宋体" w:eastAsia="宋体" w:cs="宋体"/>
                <w:b/>
                <w:szCs w:val="21"/>
                <w:lang w:bidi="ar"/>
              </w:rPr>
              <w:t>实际响应参数</w:t>
            </w:r>
          </w:p>
        </w:tc>
        <w:tc>
          <w:tcPr>
            <w:tcW w:w="949" w:type="pct"/>
            <w:tcBorders>
              <w:top w:val="single" w:color="auto" w:sz="12" w:space="0"/>
              <w:left w:val="single" w:color="auto" w:sz="6" w:space="0"/>
              <w:bottom w:val="single" w:color="auto" w:sz="6" w:space="0"/>
              <w:right w:val="single" w:color="auto" w:sz="6" w:space="0"/>
            </w:tcBorders>
            <w:shd w:val="clear" w:color="auto" w:fill="auto"/>
            <w:vAlign w:val="center"/>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b/>
                <w:szCs w:val="21"/>
              </w:rPr>
            </w:pPr>
            <w:r>
              <w:rPr>
                <w:rFonts w:hint="eastAsia" w:ascii="宋体" w:hAnsi="宋体" w:eastAsia="宋体" w:cs="宋体"/>
                <w:b/>
                <w:szCs w:val="21"/>
                <w:lang w:bidi="ar"/>
              </w:rPr>
              <w:t>偏离情况</w:t>
            </w:r>
          </w:p>
        </w:tc>
        <w:tc>
          <w:tcPr>
            <w:tcW w:w="783" w:type="pct"/>
            <w:tcBorders>
              <w:top w:val="single" w:color="auto" w:sz="12" w:space="0"/>
              <w:left w:val="single" w:color="auto" w:sz="6" w:space="0"/>
              <w:bottom w:val="single" w:color="auto" w:sz="6" w:space="0"/>
              <w:right w:val="single" w:color="auto" w:sz="12" w:space="0"/>
            </w:tcBorders>
            <w:shd w:val="clear" w:color="auto" w:fill="auto"/>
            <w:vAlign w:val="center"/>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b/>
                <w:szCs w:val="21"/>
              </w:rPr>
            </w:pPr>
            <w:r>
              <w:rPr>
                <w:rFonts w:hint="eastAsia" w:ascii="宋体" w:hAnsi="宋体" w:eastAsia="宋体" w:cs="宋体"/>
                <w:b/>
                <w:szCs w:val="21"/>
                <w:lang w:bidi="ar"/>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53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numPr>
                <w:ilvl w:val="0"/>
                <w:numId w:val="20"/>
              </w:numPr>
              <w:suppressLineNumbers w:val="0"/>
              <w:adjustRightInd w:val="0"/>
              <w:snapToGrid w:val="0"/>
              <w:spacing w:before="0" w:beforeAutospacing="0" w:after="0" w:afterAutospacing="0" w:line="264" w:lineRule="auto"/>
              <w:ind w:right="0"/>
              <w:jc w:val="center"/>
              <w:textAlignment w:val="baseline"/>
              <w:rPr>
                <w:rFonts w:hint="default" w:ascii="宋体" w:hAnsi="宋体" w:eastAsia="宋体" w:cs="宋体"/>
                <w:sz w:val="24"/>
              </w:rPr>
            </w:pPr>
          </w:p>
        </w:tc>
        <w:tc>
          <w:tcPr>
            <w:tcW w:w="1341" w:type="pct"/>
            <w:tcBorders>
              <w:top w:val="single" w:color="auto" w:sz="6" w:space="0"/>
              <w:left w:val="single" w:color="auto" w:sz="6" w:space="0"/>
              <w:bottom w:val="single" w:color="auto" w:sz="6"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left"/>
              <w:rPr>
                <w:rFonts w:hint="default" w:ascii="宋体" w:hAnsi="宋体" w:eastAsia="宋体" w:cs="宋体"/>
                <w:szCs w:val="21"/>
              </w:rPr>
            </w:pPr>
          </w:p>
        </w:tc>
        <w:tc>
          <w:tcPr>
            <w:tcW w:w="1393" w:type="pct"/>
            <w:tcBorders>
              <w:top w:val="single" w:color="auto" w:sz="6" w:space="0"/>
              <w:left w:val="single" w:color="auto" w:sz="6" w:space="0"/>
              <w:bottom w:val="single" w:color="auto" w:sz="6"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c>
          <w:tcPr>
            <w:tcW w:w="949" w:type="pct"/>
            <w:tcBorders>
              <w:top w:val="single" w:color="auto" w:sz="6" w:space="0"/>
              <w:left w:val="single" w:color="auto" w:sz="6" w:space="0"/>
              <w:bottom w:val="single" w:color="auto" w:sz="6"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c>
          <w:tcPr>
            <w:tcW w:w="783" w:type="pct"/>
            <w:tcBorders>
              <w:top w:val="single" w:color="auto" w:sz="6" w:space="0"/>
              <w:left w:val="single" w:color="auto" w:sz="6" w:space="0"/>
              <w:bottom w:val="single" w:color="auto" w:sz="6" w:space="0"/>
              <w:right w:val="single" w:color="auto" w:sz="12"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53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numPr>
                <w:ilvl w:val="0"/>
                <w:numId w:val="20"/>
              </w:numPr>
              <w:suppressLineNumbers w:val="0"/>
              <w:adjustRightInd w:val="0"/>
              <w:snapToGrid w:val="0"/>
              <w:spacing w:before="0" w:beforeAutospacing="0" w:after="0" w:afterAutospacing="0" w:line="264" w:lineRule="auto"/>
              <w:ind w:right="0"/>
              <w:jc w:val="center"/>
              <w:textAlignment w:val="baseline"/>
              <w:rPr>
                <w:rFonts w:hint="default" w:ascii="宋体" w:hAnsi="宋体" w:eastAsia="宋体" w:cs="宋体"/>
                <w:sz w:val="24"/>
              </w:rPr>
            </w:pPr>
          </w:p>
        </w:tc>
        <w:tc>
          <w:tcPr>
            <w:tcW w:w="1341" w:type="pct"/>
            <w:tcBorders>
              <w:top w:val="single" w:color="auto" w:sz="6" w:space="0"/>
              <w:left w:val="single" w:color="auto" w:sz="6" w:space="0"/>
              <w:bottom w:val="single" w:color="auto" w:sz="6"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left"/>
              <w:rPr>
                <w:rFonts w:hint="default" w:ascii="宋体" w:hAnsi="宋体" w:eastAsia="宋体" w:cs="宋体"/>
                <w:szCs w:val="21"/>
              </w:rPr>
            </w:pPr>
          </w:p>
        </w:tc>
        <w:tc>
          <w:tcPr>
            <w:tcW w:w="1393" w:type="pct"/>
            <w:tcBorders>
              <w:top w:val="single" w:color="auto" w:sz="6" w:space="0"/>
              <w:left w:val="single" w:color="auto" w:sz="6" w:space="0"/>
              <w:bottom w:val="single" w:color="auto" w:sz="6"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c>
          <w:tcPr>
            <w:tcW w:w="949" w:type="pct"/>
            <w:tcBorders>
              <w:top w:val="single" w:color="auto" w:sz="6" w:space="0"/>
              <w:left w:val="single" w:color="auto" w:sz="6" w:space="0"/>
              <w:bottom w:val="single" w:color="auto" w:sz="6"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c>
          <w:tcPr>
            <w:tcW w:w="783" w:type="pct"/>
            <w:tcBorders>
              <w:top w:val="single" w:color="auto" w:sz="6" w:space="0"/>
              <w:left w:val="single" w:color="auto" w:sz="6" w:space="0"/>
              <w:bottom w:val="single" w:color="auto" w:sz="6" w:space="0"/>
              <w:right w:val="single" w:color="auto" w:sz="12"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533" w:type="pct"/>
            <w:tcBorders>
              <w:top w:val="single" w:color="auto" w:sz="6" w:space="0"/>
              <w:left w:val="single" w:color="auto" w:sz="12" w:space="0"/>
              <w:bottom w:val="single" w:color="auto" w:sz="6" w:space="0"/>
              <w:right w:val="single" w:color="auto" w:sz="6" w:space="0"/>
            </w:tcBorders>
            <w:shd w:val="clear" w:color="auto" w:fill="auto"/>
            <w:vAlign w:val="center"/>
          </w:tcPr>
          <w:p>
            <w:pPr>
              <w:keepNext w:val="0"/>
              <w:keepLines w:val="0"/>
              <w:numPr>
                <w:ilvl w:val="0"/>
                <w:numId w:val="20"/>
              </w:numPr>
              <w:suppressLineNumbers w:val="0"/>
              <w:adjustRightInd w:val="0"/>
              <w:snapToGrid w:val="0"/>
              <w:spacing w:before="0" w:beforeAutospacing="0" w:after="0" w:afterAutospacing="0" w:line="264" w:lineRule="auto"/>
              <w:ind w:right="0"/>
              <w:jc w:val="center"/>
              <w:textAlignment w:val="baseline"/>
              <w:rPr>
                <w:rFonts w:hint="default" w:ascii="宋体" w:hAnsi="宋体" w:eastAsia="宋体" w:cs="宋体"/>
                <w:sz w:val="24"/>
              </w:rPr>
            </w:pPr>
          </w:p>
        </w:tc>
        <w:tc>
          <w:tcPr>
            <w:tcW w:w="1341" w:type="pct"/>
            <w:tcBorders>
              <w:top w:val="single" w:color="auto" w:sz="6" w:space="0"/>
              <w:left w:val="single" w:color="auto" w:sz="6" w:space="0"/>
              <w:bottom w:val="single" w:color="auto" w:sz="6"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left"/>
              <w:rPr>
                <w:rFonts w:hint="default" w:ascii="宋体" w:hAnsi="宋体" w:eastAsia="宋体" w:cs="宋体"/>
                <w:szCs w:val="21"/>
              </w:rPr>
            </w:pPr>
          </w:p>
        </w:tc>
        <w:tc>
          <w:tcPr>
            <w:tcW w:w="1393" w:type="pct"/>
            <w:tcBorders>
              <w:top w:val="single" w:color="auto" w:sz="6" w:space="0"/>
              <w:left w:val="single" w:color="auto" w:sz="6" w:space="0"/>
              <w:bottom w:val="single" w:color="auto" w:sz="6"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c>
          <w:tcPr>
            <w:tcW w:w="949" w:type="pct"/>
            <w:tcBorders>
              <w:top w:val="single" w:color="auto" w:sz="6" w:space="0"/>
              <w:left w:val="single" w:color="auto" w:sz="6" w:space="0"/>
              <w:bottom w:val="single" w:color="auto" w:sz="6"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c>
          <w:tcPr>
            <w:tcW w:w="783" w:type="pct"/>
            <w:tcBorders>
              <w:top w:val="single" w:color="auto" w:sz="6" w:space="0"/>
              <w:left w:val="single" w:color="auto" w:sz="6" w:space="0"/>
              <w:bottom w:val="single" w:color="auto" w:sz="6" w:space="0"/>
              <w:right w:val="single" w:color="auto" w:sz="12"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62" w:hRule="atLeast"/>
          <w:jc w:val="center"/>
        </w:trPr>
        <w:tc>
          <w:tcPr>
            <w:tcW w:w="533" w:type="pct"/>
            <w:tcBorders>
              <w:top w:val="single" w:color="auto" w:sz="6" w:space="0"/>
              <w:left w:val="single" w:color="auto" w:sz="12" w:space="0"/>
              <w:bottom w:val="single" w:color="auto" w:sz="12" w:space="0"/>
              <w:right w:val="single" w:color="auto" w:sz="6" w:space="0"/>
            </w:tcBorders>
            <w:shd w:val="clear" w:color="auto" w:fill="auto"/>
            <w:vAlign w:val="center"/>
          </w:tcPr>
          <w:p>
            <w:pPr>
              <w:keepNext w:val="0"/>
              <w:keepLines w:val="0"/>
              <w:numPr>
                <w:ilvl w:val="0"/>
                <w:numId w:val="20"/>
              </w:numPr>
              <w:suppressLineNumbers w:val="0"/>
              <w:adjustRightInd w:val="0"/>
              <w:snapToGrid w:val="0"/>
              <w:spacing w:before="0" w:beforeAutospacing="0" w:after="0" w:afterAutospacing="0" w:line="264" w:lineRule="auto"/>
              <w:ind w:right="0"/>
              <w:jc w:val="center"/>
              <w:textAlignment w:val="baseline"/>
              <w:rPr>
                <w:rFonts w:hint="default" w:ascii="宋体" w:hAnsi="宋体" w:eastAsia="宋体" w:cs="宋体"/>
                <w:sz w:val="24"/>
              </w:rPr>
            </w:pPr>
          </w:p>
        </w:tc>
        <w:tc>
          <w:tcPr>
            <w:tcW w:w="1341" w:type="pct"/>
            <w:tcBorders>
              <w:top w:val="single" w:color="auto" w:sz="6" w:space="0"/>
              <w:left w:val="single" w:color="auto" w:sz="6" w:space="0"/>
              <w:bottom w:val="single" w:color="auto" w:sz="12"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left"/>
              <w:rPr>
                <w:rFonts w:hint="default" w:ascii="宋体" w:hAnsi="宋体" w:eastAsia="宋体" w:cs="宋体"/>
                <w:szCs w:val="21"/>
              </w:rPr>
            </w:pPr>
          </w:p>
        </w:tc>
        <w:tc>
          <w:tcPr>
            <w:tcW w:w="1393" w:type="pct"/>
            <w:tcBorders>
              <w:top w:val="single" w:color="auto" w:sz="6" w:space="0"/>
              <w:left w:val="single" w:color="auto" w:sz="6" w:space="0"/>
              <w:bottom w:val="single" w:color="auto" w:sz="12"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c>
          <w:tcPr>
            <w:tcW w:w="949" w:type="pct"/>
            <w:tcBorders>
              <w:top w:val="single" w:color="auto" w:sz="6" w:space="0"/>
              <w:left w:val="single" w:color="auto" w:sz="6" w:space="0"/>
              <w:bottom w:val="single" w:color="auto" w:sz="12" w:space="0"/>
              <w:right w:val="single" w:color="auto" w:sz="6"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c>
          <w:tcPr>
            <w:tcW w:w="783" w:type="pct"/>
            <w:tcBorders>
              <w:top w:val="single" w:color="auto" w:sz="6" w:space="0"/>
              <w:left w:val="single" w:color="auto" w:sz="6" w:space="0"/>
              <w:bottom w:val="single" w:color="auto" w:sz="12" w:space="0"/>
              <w:right w:val="single" w:color="auto" w:sz="12" w:space="0"/>
            </w:tcBorders>
            <w:shd w:val="clear" w:color="auto" w:fill="auto"/>
          </w:tcPr>
          <w:p>
            <w:pPr>
              <w:keepNext w:val="0"/>
              <w:keepLines w:val="0"/>
              <w:suppressLineNumbers w:val="0"/>
              <w:snapToGrid w:val="0"/>
              <w:spacing w:before="0" w:beforeAutospacing="0" w:after="0" w:afterAutospacing="0" w:line="264" w:lineRule="auto"/>
              <w:ind w:left="0" w:right="0"/>
              <w:jc w:val="center"/>
              <w:rPr>
                <w:rFonts w:hint="default" w:ascii="宋体" w:hAnsi="宋体" w:eastAsia="宋体" w:cs="宋体"/>
                <w:szCs w:val="20"/>
              </w:rPr>
            </w:pPr>
          </w:p>
        </w:tc>
      </w:tr>
    </w:tbl>
    <w:p>
      <w:pPr>
        <w:pStyle w:val="18"/>
        <w:widowControl w:val="0"/>
        <w:spacing w:before="0" w:beforeAutospacing="0" w:after="0" w:afterAutospacing="0"/>
        <w:rPr>
          <w:lang w:val="zh-CN"/>
        </w:rPr>
      </w:pPr>
      <w:r>
        <w:rPr>
          <w:rFonts w:hint="eastAsia"/>
          <w:kern w:val="2"/>
          <w:sz w:val="21"/>
          <w:lang w:val="zh-CN" w:bidi="ar"/>
        </w:rPr>
        <w:t>注：1、</w:t>
      </w:r>
      <w:r>
        <w:rPr>
          <w:rFonts w:hint="eastAsia"/>
          <w:b/>
          <w:bCs/>
          <w:kern w:val="2"/>
          <w:sz w:val="21"/>
          <w:lang w:val="zh-CN" w:bidi="ar"/>
        </w:rPr>
        <w:t>项目参数要求</w:t>
      </w:r>
      <w:r>
        <w:rPr>
          <w:rFonts w:hint="eastAsia"/>
          <w:kern w:val="2"/>
          <w:sz w:val="21"/>
          <w:lang w:val="zh-CN" w:bidi="ar"/>
        </w:rPr>
        <w:t>内容按项目参数内容填写;</w:t>
      </w:r>
      <w:r>
        <w:rPr>
          <w:rFonts w:hint="eastAsia"/>
          <w:b/>
          <w:bCs/>
          <w:kern w:val="2"/>
          <w:sz w:val="21"/>
          <w:lang w:val="zh-CN" w:bidi="ar"/>
        </w:rPr>
        <w:t>2、实际响应参数</w:t>
      </w:r>
      <w:r>
        <w:rPr>
          <w:rFonts w:hint="eastAsia"/>
          <w:kern w:val="2"/>
          <w:sz w:val="21"/>
          <w:lang w:val="zh-CN" w:bidi="ar"/>
        </w:rPr>
        <w:t>内容根据实际数据填写，</w:t>
      </w:r>
      <w:r>
        <w:rPr>
          <w:rFonts w:hint="eastAsia" w:ascii="宋体" w:hAnsi="宋体" w:eastAsia="宋体"/>
          <w:b/>
          <w:color w:val="FF0000"/>
          <w:sz w:val="21"/>
          <w:szCs w:val="21"/>
        </w:rPr>
        <w:t>必须具体、明确；含糊不清、不确切、直接复制采购文件中技术规格或参数要求的，或伪造、变造证明材料的，按照不完全响应或完全不响应处理</w:t>
      </w:r>
      <w:r>
        <w:rPr>
          <w:rFonts w:hint="eastAsia" w:ascii="宋体" w:hAnsi="宋体" w:eastAsia="宋体"/>
          <w:b/>
          <w:color w:val="FF0000"/>
          <w:szCs w:val="21"/>
        </w:rPr>
        <w:t>；</w:t>
      </w:r>
      <w:r>
        <w:rPr>
          <w:rFonts w:hint="eastAsia"/>
          <w:b/>
          <w:bCs/>
          <w:kern w:val="2"/>
          <w:sz w:val="21"/>
          <w:lang w:val="zh-CN" w:bidi="ar"/>
        </w:rPr>
        <w:t>;3、偏离情况</w:t>
      </w:r>
      <w:r>
        <w:rPr>
          <w:rFonts w:hint="eastAsia"/>
          <w:kern w:val="2"/>
          <w:sz w:val="21"/>
          <w:lang w:val="zh-CN" w:bidi="ar"/>
        </w:rPr>
        <w:t>内容填“正偏离”、“完全响应”“负偏离”，不填则认为不响应。</w:t>
      </w:r>
    </w:p>
    <w:p>
      <w:pPr>
        <w:rPr>
          <w:rFonts w:ascii="宋体" w:hAnsi="宋体" w:eastAsia="宋体" w:cs="宋体"/>
          <w:color w:val="000000"/>
          <w:szCs w:val="21"/>
          <w:lang w:val="zh-CN" w:bidi="ar"/>
        </w:rPr>
      </w:pPr>
    </w:p>
    <w:sectPr>
      <w:headerReference r:id="rId4" w:type="first"/>
      <w:headerReference r:id="rId3" w:type="default"/>
      <w:type w:val="continuous"/>
      <w:pgSz w:w="11906" w:h="16838"/>
      <w:pgMar w:top="1417" w:right="1800" w:bottom="1417" w:left="1800" w:header="720" w:footer="72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702B46"/>
    <w:multiLevelType w:val="multilevel"/>
    <w:tmpl w:val="CA702B46"/>
    <w:lvl w:ilvl="0" w:tentative="0">
      <w:start w:val="1"/>
      <w:numFmt w:val="decimal"/>
      <w:suff w:val="nothing"/>
      <w:lvlText w:val="%1"/>
      <w:lvlJc w:val="left"/>
      <w:pPr>
        <w:ind w:left="420" w:hanging="420"/>
      </w:pPr>
      <w:rPr>
        <w:rFonts w:hint="default" w:ascii="宋体" w:hAnsi="宋体" w:eastAsia="宋体" w:cs="宋体"/>
        <w:sz w:val="21"/>
        <w:szCs w:val="21"/>
      </w:rPr>
    </w:lvl>
    <w:lvl w:ilvl="1" w:tentative="0">
      <w:start w:val="1"/>
      <w:numFmt w:val="lowerLetter"/>
      <w:lvlText w:val="%2)"/>
      <w:lvlJc w:val="left"/>
      <w:pPr>
        <w:ind w:left="861" w:hanging="420"/>
      </w:pPr>
    </w:lvl>
    <w:lvl w:ilvl="2" w:tentative="0">
      <w:start w:val="1"/>
      <w:numFmt w:val="lowerRoman"/>
      <w:lvlText w:val="%3."/>
      <w:lvlJc w:val="right"/>
      <w:pPr>
        <w:ind w:left="1281" w:hanging="420"/>
      </w:pPr>
    </w:lvl>
    <w:lvl w:ilvl="3" w:tentative="0">
      <w:start w:val="1"/>
      <w:numFmt w:val="decimal"/>
      <w:lvlText w:val="%4."/>
      <w:lvlJc w:val="left"/>
      <w:pPr>
        <w:ind w:left="1702" w:hanging="420"/>
      </w:pPr>
    </w:lvl>
    <w:lvl w:ilvl="4" w:tentative="0">
      <w:start w:val="1"/>
      <w:numFmt w:val="lowerLetter"/>
      <w:lvlText w:val="%5)"/>
      <w:lvlJc w:val="left"/>
      <w:pPr>
        <w:ind w:left="2121" w:hanging="420"/>
      </w:pPr>
    </w:lvl>
    <w:lvl w:ilvl="5" w:tentative="0">
      <w:start w:val="1"/>
      <w:numFmt w:val="lowerRoman"/>
      <w:lvlText w:val="%6."/>
      <w:lvlJc w:val="right"/>
      <w:pPr>
        <w:ind w:left="2541" w:hanging="420"/>
      </w:pPr>
    </w:lvl>
    <w:lvl w:ilvl="6" w:tentative="0">
      <w:start w:val="1"/>
      <w:numFmt w:val="decimal"/>
      <w:lvlText w:val="%7."/>
      <w:lvlJc w:val="left"/>
      <w:pPr>
        <w:ind w:left="2961" w:hanging="420"/>
      </w:pPr>
    </w:lvl>
    <w:lvl w:ilvl="7" w:tentative="0">
      <w:start w:val="1"/>
      <w:numFmt w:val="lowerLetter"/>
      <w:lvlText w:val="%8)"/>
      <w:lvlJc w:val="left"/>
      <w:pPr>
        <w:ind w:left="3381" w:hanging="420"/>
      </w:pPr>
    </w:lvl>
    <w:lvl w:ilvl="8" w:tentative="0">
      <w:start w:val="1"/>
      <w:numFmt w:val="lowerRoman"/>
      <w:lvlText w:val="%9."/>
      <w:lvlJc w:val="right"/>
      <w:pPr>
        <w:ind w:left="3801" w:hanging="420"/>
      </w:pPr>
    </w:lvl>
  </w:abstractNum>
  <w:abstractNum w:abstractNumId="1">
    <w:nsid w:val="D5A3FE34"/>
    <w:multiLevelType w:val="multilevel"/>
    <w:tmpl w:val="D5A3FE34"/>
    <w:lvl w:ilvl="0" w:tentative="0">
      <w:start w:val="1"/>
      <w:numFmt w:val="decimal"/>
      <w:suff w:val="nothing"/>
      <w:lvlText w:val="%1."/>
      <w:lvlJc w:val="left"/>
      <w:pPr>
        <w:ind w:left="420" w:hanging="420"/>
      </w:pPr>
      <w:rPr>
        <w:rFonts w:hint="eastAsia" w:ascii="宋体" w:hAnsi="宋体" w:eastAsia="宋体" w:cs="宋体"/>
        <w:b w:val="0"/>
        <w:color w:val="auto"/>
        <w:sz w:val="21"/>
        <w:szCs w:val="21"/>
      </w:rPr>
    </w:lvl>
    <w:lvl w:ilvl="1" w:tentative="0">
      <w:start w:val="1"/>
      <w:numFmt w:val="lowerLetter"/>
      <w:lvlText w:val="%2)"/>
      <w:lvlJc w:val="left"/>
      <w:pPr>
        <w:ind w:left="556" w:hanging="420"/>
      </w:pPr>
    </w:lvl>
    <w:lvl w:ilvl="2" w:tentative="0">
      <w:start w:val="1"/>
      <w:numFmt w:val="lowerRoman"/>
      <w:lvlText w:val="%3."/>
      <w:lvlJc w:val="right"/>
      <w:pPr>
        <w:ind w:left="976" w:hanging="420"/>
      </w:pPr>
    </w:lvl>
    <w:lvl w:ilvl="3" w:tentative="0">
      <w:start w:val="1"/>
      <w:numFmt w:val="decimal"/>
      <w:lvlText w:val="%4."/>
      <w:lvlJc w:val="left"/>
      <w:pPr>
        <w:ind w:left="1396" w:hanging="420"/>
      </w:pPr>
    </w:lvl>
    <w:lvl w:ilvl="4" w:tentative="0">
      <w:start w:val="1"/>
      <w:numFmt w:val="lowerLetter"/>
      <w:lvlText w:val="%5)"/>
      <w:lvlJc w:val="left"/>
      <w:pPr>
        <w:ind w:left="1816" w:hanging="420"/>
      </w:pPr>
    </w:lvl>
    <w:lvl w:ilvl="5" w:tentative="0">
      <w:start w:val="1"/>
      <w:numFmt w:val="lowerRoman"/>
      <w:lvlText w:val="%6."/>
      <w:lvlJc w:val="right"/>
      <w:pPr>
        <w:ind w:left="2236" w:hanging="420"/>
      </w:pPr>
    </w:lvl>
    <w:lvl w:ilvl="6" w:tentative="0">
      <w:start w:val="1"/>
      <w:numFmt w:val="decimal"/>
      <w:lvlText w:val="%7."/>
      <w:lvlJc w:val="left"/>
      <w:pPr>
        <w:ind w:left="2656" w:hanging="420"/>
      </w:pPr>
    </w:lvl>
    <w:lvl w:ilvl="7" w:tentative="0">
      <w:start w:val="1"/>
      <w:numFmt w:val="lowerLetter"/>
      <w:lvlText w:val="%8)"/>
      <w:lvlJc w:val="left"/>
      <w:pPr>
        <w:ind w:left="3076" w:hanging="420"/>
      </w:pPr>
    </w:lvl>
    <w:lvl w:ilvl="8" w:tentative="0">
      <w:start w:val="1"/>
      <w:numFmt w:val="lowerRoman"/>
      <w:lvlText w:val="%9."/>
      <w:lvlJc w:val="right"/>
      <w:pPr>
        <w:ind w:left="3496" w:hanging="420"/>
      </w:pPr>
    </w:lvl>
  </w:abstractNum>
  <w:abstractNum w:abstractNumId="2">
    <w:nsid w:val="F09CFC33"/>
    <w:multiLevelType w:val="singleLevel"/>
    <w:tmpl w:val="F09CFC33"/>
    <w:lvl w:ilvl="0" w:tentative="0">
      <w:start w:val="1"/>
      <w:numFmt w:val="decimal"/>
      <w:lvlText w:val="(%1)"/>
      <w:lvlJc w:val="left"/>
      <w:pPr>
        <w:ind w:left="425" w:hanging="425"/>
      </w:pPr>
      <w:rPr>
        <w:rFonts w:hint="default" w:ascii="宋体" w:hAnsi="宋体" w:eastAsia="宋体" w:cs="宋体"/>
        <w:sz w:val="21"/>
        <w:szCs w:val="21"/>
      </w:rPr>
    </w:lvl>
  </w:abstractNum>
  <w:abstractNum w:abstractNumId="3">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4">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9"/>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6BA16EC"/>
    <w:multiLevelType w:val="singleLevel"/>
    <w:tmpl w:val="06BA16EC"/>
    <w:lvl w:ilvl="0" w:tentative="0">
      <w:start w:val="1"/>
      <w:numFmt w:val="decimal"/>
      <w:lvlText w:val="%1."/>
      <w:lvlJc w:val="left"/>
      <w:pPr>
        <w:tabs>
          <w:tab w:val="left" w:pos="312"/>
        </w:tabs>
      </w:pPr>
    </w:lvl>
  </w:abstractNum>
  <w:abstractNum w:abstractNumId="6">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7">
    <w:nsid w:val="1AC113D8"/>
    <w:multiLevelType w:val="multilevel"/>
    <w:tmpl w:val="1AC113D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9">
    <w:nsid w:val="25AC778E"/>
    <w:multiLevelType w:val="multilevel"/>
    <w:tmpl w:val="25AC778E"/>
    <w:lvl w:ilvl="0" w:tentative="0">
      <w:start w:val="1"/>
      <w:numFmt w:val="chineseCountingThousand"/>
      <w:lvlText w:val="%1、"/>
      <w:lvlJc w:val="left"/>
      <w:pPr>
        <w:tabs>
          <w:tab w:val="left" w:pos="420"/>
        </w:tabs>
        <w:ind w:left="420" w:hanging="420"/>
      </w:pPr>
      <w:rPr>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1">
    <w:nsid w:val="3F5862CA"/>
    <w:multiLevelType w:val="multilevel"/>
    <w:tmpl w:val="3F5862CA"/>
    <w:lvl w:ilvl="0" w:tentative="0">
      <w:start w:val="1"/>
      <w:numFmt w:val="decimal"/>
      <w:lvlText w:val="%1."/>
      <w:lvlJc w:val="left"/>
      <w:pPr>
        <w:tabs>
          <w:tab w:val="left" w:pos="360"/>
        </w:tabs>
        <w:ind w:left="360" w:hanging="360"/>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4501719F"/>
    <w:multiLevelType w:val="multilevel"/>
    <w:tmpl w:val="4501719F"/>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C755C9F"/>
    <w:multiLevelType w:val="multilevel"/>
    <w:tmpl w:val="4C755C9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5">
    <w:nsid w:val="61EDC6BB"/>
    <w:multiLevelType w:val="multilevel"/>
    <w:tmpl w:val="61EDC6BB"/>
    <w:lvl w:ilvl="0" w:tentative="0">
      <w:start w:val="1"/>
      <w:numFmt w:val="decimal"/>
      <w:suff w:val="nothing"/>
      <w:lvlText w:val="%1"/>
      <w:lvlJc w:val="left"/>
      <w:pPr>
        <w:ind w:left="420" w:hanging="420"/>
      </w:pPr>
      <w:rPr>
        <w:rFonts w:hint="default" w:ascii="宋体" w:hAnsi="宋体" w:eastAsia="宋体" w:cs="宋体"/>
        <w:sz w:val="21"/>
        <w:szCs w:val="21"/>
      </w:rPr>
    </w:lvl>
    <w:lvl w:ilvl="1" w:tentative="0">
      <w:start w:val="1"/>
      <w:numFmt w:val="lowerLetter"/>
      <w:lvlText w:val="%2)"/>
      <w:lvlJc w:val="left"/>
      <w:pPr>
        <w:ind w:left="861" w:hanging="420"/>
      </w:pPr>
    </w:lvl>
    <w:lvl w:ilvl="2" w:tentative="0">
      <w:start w:val="1"/>
      <w:numFmt w:val="lowerRoman"/>
      <w:lvlText w:val="%3."/>
      <w:lvlJc w:val="right"/>
      <w:pPr>
        <w:ind w:left="1281" w:hanging="420"/>
      </w:pPr>
    </w:lvl>
    <w:lvl w:ilvl="3" w:tentative="0">
      <w:start w:val="1"/>
      <w:numFmt w:val="decimal"/>
      <w:lvlText w:val="%4."/>
      <w:lvlJc w:val="left"/>
      <w:pPr>
        <w:ind w:left="1702" w:hanging="420"/>
      </w:pPr>
    </w:lvl>
    <w:lvl w:ilvl="4" w:tentative="0">
      <w:start w:val="1"/>
      <w:numFmt w:val="lowerLetter"/>
      <w:lvlText w:val="%5)"/>
      <w:lvlJc w:val="left"/>
      <w:pPr>
        <w:ind w:left="2121" w:hanging="420"/>
      </w:pPr>
    </w:lvl>
    <w:lvl w:ilvl="5" w:tentative="0">
      <w:start w:val="1"/>
      <w:numFmt w:val="lowerRoman"/>
      <w:lvlText w:val="%6."/>
      <w:lvlJc w:val="right"/>
      <w:pPr>
        <w:ind w:left="2541" w:hanging="420"/>
      </w:pPr>
    </w:lvl>
    <w:lvl w:ilvl="6" w:tentative="0">
      <w:start w:val="1"/>
      <w:numFmt w:val="decimal"/>
      <w:lvlText w:val="%7."/>
      <w:lvlJc w:val="left"/>
      <w:pPr>
        <w:ind w:left="2961" w:hanging="420"/>
      </w:pPr>
    </w:lvl>
    <w:lvl w:ilvl="7" w:tentative="0">
      <w:start w:val="1"/>
      <w:numFmt w:val="lowerLetter"/>
      <w:lvlText w:val="%8)"/>
      <w:lvlJc w:val="left"/>
      <w:pPr>
        <w:ind w:left="3381" w:hanging="420"/>
      </w:pPr>
    </w:lvl>
    <w:lvl w:ilvl="8" w:tentative="0">
      <w:start w:val="1"/>
      <w:numFmt w:val="lowerRoman"/>
      <w:lvlText w:val="%9."/>
      <w:lvlJc w:val="right"/>
      <w:pPr>
        <w:ind w:left="3801" w:hanging="420"/>
      </w:pPr>
    </w:lvl>
  </w:abstractNum>
  <w:abstractNum w:abstractNumId="16">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5B6D299"/>
    <w:multiLevelType w:val="multilevel"/>
    <w:tmpl w:val="65B6D299"/>
    <w:lvl w:ilvl="0" w:tentative="0">
      <w:start w:val="1"/>
      <w:numFmt w:val="decimal"/>
      <w:lvlText w:val="%1."/>
      <w:lvlJc w:val="left"/>
      <w:pPr>
        <w:tabs>
          <w:tab w:val="left" w:pos="360"/>
        </w:tabs>
        <w:ind w:left="360" w:hanging="360"/>
      </w:pPr>
      <w:rPr>
        <w:rFonts w:hint="default"/>
        <w:b w:val="0"/>
        <w:color w:val="000000" w:themeColor="text1"/>
        <w14:textFill>
          <w14:solidFill>
            <w14:schemeClr w14:val="tx1"/>
          </w14:solidFill>
        </w14:textFill>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72AE5F84"/>
    <w:multiLevelType w:val="multilevel"/>
    <w:tmpl w:val="72AE5F84"/>
    <w:lvl w:ilvl="0" w:tentative="0">
      <w:start w:val="1"/>
      <w:numFmt w:val="chineseCountingThousand"/>
      <w:lvlText w:val="(%1)"/>
      <w:lvlJc w:val="left"/>
      <w:pPr>
        <w:ind w:left="286" w:hanging="420"/>
      </w:pPr>
    </w:lvl>
    <w:lvl w:ilvl="1" w:tentative="0">
      <w:start w:val="1"/>
      <w:numFmt w:val="lowerLetter"/>
      <w:lvlText w:val="%2)"/>
      <w:lvlJc w:val="left"/>
      <w:pPr>
        <w:ind w:left="706" w:hanging="420"/>
      </w:pPr>
    </w:lvl>
    <w:lvl w:ilvl="2" w:tentative="0">
      <w:start w:val="1"/>
      <w:numFmt w:val="lowerRoman"/>
      <w:lvlText w:val="%3."/>
      <w:lvlJc w:val="right"/>
      <w:pPr>
        <w:ind w:left="1126" w:hanging="420"/>
      </w:pPr>
    </w:lvl>
    <w:lvl w:ilvl="3" w:tentative="0">
      <w:start w:val="1"/>
      <w:numFmt w:val="decimal"/>
      <w:lvlText w:val="%4."/>
      <w:lvlJc w:val="left"/>
      <w:pPr>
        <w:ind w:left="1546" w:hanging="420"/>
      </w:pPr>
    </w:lvl>
    <w:lvl w:ilvl="4" w:tentative="0">
      <w:start w:val="1"/>
      <w:numFmt w:val="lowerLetter"/>
      <w:lvlText w:val="%5)"/>
      <w:lvlJc w:val="left"/>
      <w:pPr>
        <w:ind w:left="1966" w:hanging="420"/>
      </w:pPr>
    </w:lvl>
    <w:lvl w:ilvl="5" w:tentative="0">
      <w:start w:val="1"/>
      <w:numFmt w:val="lowerRoman"/>
      <w:lvlText w:val="%6."/>
      <w:lvlJc w:val="right"/>
      <w:pPr>
        <w:ind w:left="2386" w:hanging="420"/>
      </w:pPr>
    </w:lvl>
    <w:lvl w:ilvl="6" w:tentative="0">
      <w:start w:val="1"/>
      <w:numFmt w:val="decimal"/>
      <w:lvlText w:val="%7."/>
      <w:lvlJc w:val="left"/>
      <w:pPr>
        <w:ind w:left="2806" w:hanging="420"/>
      </w:pPr>
    </w:lvl>
    <w:lvl w:ilvl="7" w:tentative="0">
      <w:start w:val="1"/>
      <w:numFmt w:val="lowerLetter"/>
      <w:lvlText w:val="%8)"/>
      <w:lvlJc w:val="left"/>
      <w:pPr>
        <w:ind w:left="3226" w:hanging="420"/>
      </w:pPr>
    </w:lvl>
    <w:lvl w:ilvl="8" w:tentative="0">
      <w:start w:val="1"/>
      <w:numFmt w:val="lowerRoman"/>
      <w:lvlText w:val="%9."/>
      <w:lvlJc w:val="right"/>
      <w:pPr>
        <w:ind w:left="3646" w:hanging="420"/>
      </w:pPr>
    </w:lvl>
  </w:abstractNum>
  <w:abstractNum w:abstractNumId="19">
    <w:nsid w:val="7D7E8A6E"/>
    <w:multiLevelType w:val="singleLevel"/>
    <w:tmpl w:val="7D7E8A6E"/>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num w:numId="1">
    <w:abstractNumId w:val="4"/>
  </w:num>
  <w:num w:numId="2">
    <w:abstractNumId w:val="16"/>
  </w:num>
  <w:num w:numId="3">
    <w:abstractNumId w:val="3"/>
  </w:num>
  <w:num w:numId="4">
    <w:abstractNumId w:val="14"/>
  </w:num>
  <w:num w:numId="5">
    <w:abstractNumId w:val="10"/>
  </w:num>
  <w:num w:numId="6">
    <w:abstractNumId w:val="19"/>
  </w:num>
  <w:num w:numId="7">
    <w:abstractNumId w:val="5"/>
  </w:num>
  <w:num w:numId="8">
    <w:abstractNumId w:val="6"/>
  </w:num>
  <w:num w:numId="9">
    <w:abstractNumId w:val="8"/>
  </w:num>
  <w:num w:numId="10">
    <w:abstractNumId w:val="2"/>
  </w:num>
  <w:num w:numId="11">
    <w:abstractNumId w:val="12"/>
  </w:num>
  <w:num w:numId="12">
    <w:abstractNumId w:val="9"/>
  </w:num>
  <w:num w:numId="13">
    <w:abstractNumId w:val="15"/>
  </w:num>
  <w:num w:numId="14">
    <w:abstractNumId w:val="18"/>
  </w:num>
  <w:num w:numId="15">
    <w:abstractNumId w:val="11"/>
  </w:num>
  <w:num w:numId="16">
    <w:abstractNumId w:val="13"/>
  </w:num>
  <w:num w:numId="17">
    <w:abstractNumId w:val="7"/>
  </w:num>
  <w:num w:numId="18">
    <w:abstractNumId w:val="0"/>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mFjMmIyNDEwNGY0ZDIzZGVkMDkzY2Y2ODk0YWMifQ=="/>
  </w:docVars>
  <w:rsids>
    <w:rsidRoot w:val="00603670"/>
    <w:rsid w:val="0000298A"/>
    <w:rsid w:val="00011A82"/>
    <w:rsid w:val="000163AB"/>
    <w:rsid w:val="00027036"/>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5ABD"/>
    <w:rsid w:val="000E1199"/>
    <w:rsid w:val="000E2971"/>
    <w:rsid w:val="000E4C42"/>
    <w:rsid w:val="000F1249"/>
    <w:rsid w:val="000F423D"/>
    <w:rsid w:val="00107E2D"/>
    <w:rsid w:val="0011556A"/>
    <w:rsid w:val="00116EDF"/>
    <w:rsid w:val="00123BEA"/>
    <w:rsid w:val="001304CF"/>
    <w:rsid w:val="00140AD2"/>
    <w:rsid w:val="00143DFC"/>
    <w:rsid w:val="00145AE8"/>
    <w:rsid w:val="0016171E"/>
    <w:rsid w:val="00175ECB"/>
    <w:rsid w:val="001775AE"/>
    <w:rsid w:val="00182BE9"/>
    <w:rsid w:val="001863E0"/>
    <w:rsid w:val="001A0DDF"/>
    <w:rsid w:val="001A769F"/>
    <w:rsid w:val="001B0A70"/>
    <w:rsid w:val="001B74DB"/>
    <w:rsid w:val="001C071E"/>
    <w:rsid w:val="001C3D61"/>
    <w:rsid w:val="001C43C7"/>
    <w:rsid w:val="001C6BE3"/>
    <w:rsid w:val="001D1026"/>
    <w:rsid w:val="001D33E6"/>
    <w:rsid w:val="001D3E3B"/>
    <w:rsid w:val="001E48AC"/>
    <w:rsid w:val="001E5C33"/>
    <w:rsid w:val="001F3F8C"/>
    <w:rsid w:val="002056C6"/>
    <w:rsid w:val="00220312"/>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5F86"/>
    <w:rsid w:val="002E61D3"/>
    <w:rsid w:val="002E66A9"/>
    <w:rsid w:val="002F352E"/>
    <w:rsid w:val="002F4A33"/>
    <w:rsid w:val="002F5E67"/>
    <w:rsid w:val="0031356B"/>
    <w:rsid w:val="00327C22"/>
    <w:rsid w:val="00332AF3"/>
    <w:rsid w:val="00336F07"/>
    <w:rsid w:val="00342E19"/>
    <w:rsid w:val="00355F34"/>
    <w:rsid w:val="00361074"/>
    <w:rsid w:val="00366797"/>
    <w:rsid w:val="003818F2"/>
    <w:rsid w:val="00383905"/>
    <w:rsid w:val="00384761"/>
    <w:rsid w:val="00392847"/>
    <w:rsid w:val="00393D24"/>
    <w:rsid w:val="00394537"/>
    <w:rsid w:val="00395A64"/>
    <w:rsid w:val="00395C9C"/>
    <w:rsid w:val="00396F62"/>
    <w:rsid w:val="003B0A20"/>
    <w:rsid w:val="003B48C0"/>
    <w:rsid w:val="003B5D20"/>
    <w:rsid w:val="003C419C"/>
    <w:rsid w:val="003D2DE8"/>
    <w:rsid w:val="003D3C42"/>
    <w:rsid w:val="003E273C"/>
    <w:rsid w:val="003F38D5"/>
    <w:rsid w:val="00403AB2"/>
    <w:rsid w:val="00412749"/>
    <w:rsid w:val="004211A3"/>
    <w:rsid w:val="00425F66"/>
    <w:rsid w:val="00431BF0"/>
    <w:rsid w:val="00431DBE"/>
    <w:rsid w:val="00433B9F"/>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521A5"/>
    <w:rsid w:val="00555B34"/>
    <w:rsid w:val="00565168"/>
    <w:rsid w:val="005656FE"/>
    <w:rsid w:val="005678E8"/>
    <w:rsid w:val="00577172"/>
    <w:rsid w:val="00585A83"/>
    <w:rsid w:val="00591BC0"/>
    <w:rsid w:val="00593C7A"/>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6532"/>
    <w:rsid w:val="00616AE3"/>
    <w:rsid w:val="00620F2C"/>
    <w:rsid w:val="00627F1C"/>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764E"/>
    <w:rsid w:val="006D213E"/>
    <w:rsid w:val="006D5FC6"/>
    <w:rsid w:val="006D7E04"/>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61C9A"/>
    <w:rsid w:val="00762179"/>
    <w:rsid w:val="00766BD6"/>
    <w:rsid w:val="00772ED2"/>
    <w:rsid w:val="00781170"/>
    <w:rsid w:val="00781957"/>
    <w:rsid w:val="00783B9B"/>
    <w:rsid w:val="00786D28"/>
    <w:rsid w:val="00793437"/>
    <w:rsid w:val="0079465B"/>
    <w:rsid w:val="007B645B"/>
    <w:rsid w:val="007C5792"/>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1257"/>
    <w:rsid w:val="00882269"/>
    <w:rsid w:val="008A5110"/>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4D41"/>
    <w:rsid w:val="009C2904"/>
    <w:rsid w:val="009C2D78"/>
    <w:rsid w:val="009C51EA"/>
    <w:rsid w:val="009D0859"/>
    <w:rsid w:val="009D4FC9"/>
    <w:rsid w:val="009E5075"/>
    <w:rsid w:val="009E5F7B"/>
    <w:rsid w:val="009F22AA"/>
    <w:rsid w:val="00A042E3"/>
    <w:rsid w:val="00A0472A"/>
    <w:rsid w:val="00A13934"/>
    <w:rsid w:val="00A16824"/>
    <w:rsid w:val="00A16C1A"/>
    <w:rsid w:val="00A202CE"/>
    <w:rsid w:val="00A258AD"/>
    <w:rsid w:val="00A30C64"/>
    <w:rsid w:val="00A35A63"/>
    <w:rsid w:val="00A444BF"/>
    <w:rsid w:val="00A45A6D"/>
    <w:rsid w:val="00A82740"/>
    <w:rsid w:val="00AA2719"/>
    <w:rsid w:val="00AA4A01"/>
    <w:rsid w:val="00AB6105"/>
    <w:rsid w:val="00AC2AF9"/>
    <w:rsid w:val="00AD08E8"/>
    <w:rsid w:val="00AD3C05"/>
    <w:rsid w:val="00AD6219"/>
    <w:rsid w:val="00AE270A"/>
    <w:rsid w:val="00AE2F48"/>
    <w:rsid w:val="00AF1D6C"/>
    <w:rsid w:val="00AF4372"/>
    <w:rsid w:val="00B0099A"/>
    <w:rsid w:val="00B06AE0"/>
    <w:rsid w:val="00B141DC"/>
    <w:rsid w:val="00B16927"/>
    <w:rsid w:val="00B4687C"/>
    <w:rsid w:val="00B5406D"/>
    <w:rsid w:val="00B617FE"/>
    <w:rsid w:val="00B85FC9"/>
    <w:rsid w:val="00B9732A"/>
    <w:rsid w:val="00BA1245"/>
    <w:rsid w:val="00BA578C"/>
    <w:rsid w:val="00BB45E3"/>
    <w:rsid w:val="00BB566D"/>
    <w:rsid w:val="00BB5881"/>
    <w:rsid w:val="00BB67EB"/>
    <w:rsid w:val="00BC4505"/>
    <w:rsid w:val="00BC697C"/>
    <w:rsid w:val="00BD3301"/>
    <w:rsid w:val="00BD4CD9"/>
    <w:rsid w:val="00BF04FE"/>
    <w:rsid w:val="00BF568B"/>
    <w:rsid w:val="00C00098"/>
    <w:rsid w:val="00C02598"/>
    <w:rsid w:val="00C2026A"/>
    <w:rsid w:val="00C21B82"/>
    <w:rsid w:val="00C31252"/>
    <w:rsid w:val="00C368FE"/>
    <w:rsid w:val="00C40805"/>
    <w:rsid w:val="00C455DD"/>
    <w:rsid w:val="00C476C2"/>
    <w:rsid w:val="00C541C5"/>
    <w:rsid w:val="00C56A1C"/>
    <w:rsid w:val="00C65789"/>
    <w:rsid w:val="00C776A4"/>
    <w:rsid w:val="00C83E6E"/>
    <w:rsid w:val="00C90DA1"/>
    <w:rsid w:val="00CA090A"/>
    <w:rsid w:val="00CA0CCB"/>
    <w:rsid w:val="00CA0FD7"/>
    <w:rsid w:val="00CC17D4"/>
    <w:rsid w:val="00CD143C"/>
    <w:rsid w:val="00CD57F2"/>
    <w:rsid w:val="00CE71FC"/>
    <w:rsid w:val="00CF2666"/>
    <w:rsid w:val="00CF59AA"/>
    <w:rsid w:val="00D002F2"/>
    <w:rsid w:val="00D015A2"/>
    <w:rsid w:val="00D10E67"/>
    <w:rsid w:val="00D2020D"/>
    <w:rsid w:val="00D221F4"/>
    <w:rsid w:val="00D24487"/>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D1F0C"/>
    <w:rsid w:val="00DD2C2A"/>
    <w:rsid w:val="00DD3557"/>
    <w:rsid w:val="00DD4221"/>
    <w:rsid w:val="00E01F9F"/>
    <w:rsid w:val="00E06F98"/>
    <w:rsid w:val="00E07AB9"/>
    <w:rsid w:val="00E127FA"/>
    <w:rsid w:val="00E255DD"/>
    <w:rsid w:val="00E300EB"/>
    <w:rsid w:val="00E33E2A"/>
    <w:rsid w:val="00E3421A"/>
    <w:rsid w:val="00E34EB3"/>
    <w:rsid w:val="00E4552F"/>
    <w:rsid w:val="00E456ED"/>
    <w:rsid w:val="00E52B0C"/>
    <w:rsid w:val="00E63355"/>
    <w:rsid w:val="00E70313"/>
    <w:rsid w:val="00E81F84"/>
    <w:rsid w:val="00E84F37"/>
    <w:rsid w:val="00E94445"/>
    <w:rsid w:val="00E96562"/>
    <w:rsid w:val="00EA08B8"/>
    <w:rsid w:val="00EA1D68"/>
    <w:rsid w:val="00EA6C46"/>
    <w:rsid w:val="00EB3E5D"/>
    <w:rsid w:val="00EC6A4D"/>
    <w:rsid w:val="00EC6B71"/>
    <w:rsid w:val="00ED5181"/>
    <w:rsid w:val="00EE154B"/>
    <w:rsid w:val="00EE203B"/>
    <w:rsid w:val="00EE22B8"/>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A5D03"/>
    <w:rsid w:val="00FC353C"/>
    <w:rsid w:val="00FD12C6"/>
    <w:rsid w:val="00FD56B9"/>
    <w:rsid w:val="00FE1170"/>
    <w:rsid w:val="00FE3A2F"/>
    <w:rsid w:val="00FF04E2"/>
    <w:rsid w:val="00FF0ED7"/>
    <w:rsid w:val="00FF424F"/>
    <w:rsid w:val="016A6C79"/>
    <w:rsid w:val="01702465"/>
    <w:rsid w:val="02181129"/>
    <w:rsid w:val="02CE4282"/>
    <w:rsid w:val="02E42FCA"/>
    <w:rsid w:val="033112BB"/>
    <w:rsid w:val="03316E9F"/>
    <w:rsid w:val="03C24A06"/>
    <w:rsid w:val="03E70928"/>
    <w:rsid w:val="03F3121B"/>
    <w:rsid w:val="04375C44"/>
    <w:rsid w:val="052B2EF5"/>
    <w:rsid w:val="05ED15B8"/>
    <w:rsid w:val="05FB2573"/>
    <w:rsid w:val="062251E4"/>
    <w:rsid w:val="06327957"/>
    <w:rsid w:val="067C1BC2"/>
    <w:rsid w:val="06A03941"/>
    <w:rsid w:val="06B56F6B"/>
    <w:rsid w:val="06BA455D"/>
    <w:rsid w:val="06FD3346"/>
    <w:rsid w:val="07560F7E"/>
    <w:rsid w:val="08210B4F"/>
    <w:rsid w:val="08380D9F"/>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C1448E"/>
    <w:rsid w:val="0DE83E06"/>
    <w:rsid w:val="0E317E14"/>
    <w:rsid w:val="0E46090A"/>
    <w:rsid w:val="0E6D18B9"/>
    <w:rsid w:val="0EB2188B"/>
    <w:rsid w:val="0ED75C3A"/>
    <w:rsid w:val="0EDD0C64"/>
    <w:rsid w:val="0FF313FF"/>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D0019E"/>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4D6759"/>
    <w:rsid w:val="1F5C2EF4"/>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B453FA"/>
    <w:rsid w:val="24BE3ED8"/>
    <w:rsid w:val="24DC02C5"/>
    <w:rsid w:val="251D5715"/>
    <w:rsid w:val="2547449C"/>
    <w:rsid w:val="259D1B90"/>
    <w:rsid w:val="25BF29AE"/>
    <w:rsid w:val="25C76443"/>
    <w:rsid w:val="25F767DC"/>
    <w:rsid w:val="26496A09"/>
    <w:rsid w:val="26525F4D"/>
    <w:rsid w:val="26A91D83"/>
    <w:rsid w:val="26E1050A"/>
    <w:rsid w:val="26FF2829"/>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50487A"/>
    <w:rsid w:val="3DB54D85"/>
    <w:rsid w:val="3E7616F0"/>
    <w:rsid w:val="3EE37DED"/>
    <w:rsid w:val="3F025588"/>
    <w:rsid w:val="3F5B3E28"/>
    <w:rsid w:val="40552625"/>
    <w:rsid w:val="40AB0D42"/>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3A21D4"/>
    <w:rsid w:val="485C305E"/>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386DDC"/>
    <w:rsid w:val="5C390560"/>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5360FC"/>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097E38"/>
    <w:rsid w:val="7C491C89"/>
    <w:rsid w:val="7C9469C9"/>
    <w:rsid w:val="7CED21F4"/>
    <w:rsid w:val="7CEF62FD"/>
    <w:rsid w:val="7D0761B8"/>
    <w:rsid w:val="7D31799A"/>
    <w:rsid w:val="7D78565E"/>
    <w:rsid w:val="7DBF3442"/>
    <w:rsid w:val="7DC23320"/>
    <w:rsid w:val="7DFD6003"/>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5"/>
    <w:autoRedefine/>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85"/>
    <w:autoRedefine/>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61"/>
    <w:autoRedefine/>
    <w:semiHidden/>
    <w:unhideWhenUsed/>
    <w:qFormat/>
    <w:uiPriority w:val="9"/>
    <w:pPr>
      <w:keepNext/>
      <w:keepLines/>
      <w:spacing w:before="260" w:after="260" w:line="413" w:lineRule="auto"/>
      <w:outlineLvl w:val="2"/>
    </w:pPr>
    <w:rPr>
      <w:b/>
      <w:sz w:val="32"/>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autoRedefine/>
    <w:semiHidden/>
    <w:unhideWhenUsed/>
    <w:qFormat/>
    <w:uiPriority w:val="99"/>
    <w:pPr>
      <w:spacing w:line="60" w:lineRule="auto"/>
      <w:ind w:firstLine="420" w:firstLineChars="200"/>
    </w:pPr>
    <w:rPr>
      <w:rFonts w:ascii="Times New Roman" w:hAnsi="Times New Roman" w:eastAsia="宋体" w:cs="Times New Roman"/>
      <w:szCs w:val="24"/>
    </w:rPr>
  </w:style>
  <w:style w:type="paragraph" w:styleId="6">
    <w:name w:val="annotation text"/>
    <w:basedOn w:val="1"/>
    <w:link w:val="86"/>
    <w:autoRedefine/>
    <w:unhideWhenUsed/>
    <w:qFormat/>
    <w:uiPriority w:val="0"/>
    <w:pPr>
      <w:jc w:val="left"/>
    </w:pPr>
    <w:rPr>
      <w:rFonts w:ascii="Times New Roman" w:hAnsi="Times New Roman" w:eastAsia="宋体" w:cs="Times New Roman"/>
      <w:szCs w:val="24"/>
    </w:rPr>
  </w:style>
  <w:style w:type="paragraph" w:styleId="7">
    <w:name w:val="Body Text"/>
    <w:basedOn w:val="1"/>
    <w:link w:val="91"/>
    <w:autoRedefine/>
    <w:semiHidden/>
    <w:unhideWhenUsed/>
    <w:qFormat/>
    <w:uiPriority w:val="99"/>
    <w:pPr>
      <w:spacing w:after="120"/>
    </w:pPr>
  </w:style>
  <w:style w:type="paragraph" w:styleId="8">
    <w:name w:val="Body Text Indent"/>
    <w:basedOn w:val="1"/>
    <w:next w:val="9"/>
    <w:link w:val="88"/>
    <w:autoRedefine/>
    <w:semiHidden/>
    <w:unhideWhenUsed/>
    <w:qFormat/>
    <w:uiPriority w:val="99"/>
    <w:pPr>
      <w:spacing w:after="120"/>
      <w:ind w:left="420" w:leftChars="200"/>
    </w:pPr>
  </w:style>
  <w:style w:type="paragraph" w:styleId="9">
    <w:name w:val="envelope return"/>
    <w:basedOn w:val="1"/>
    <w:autoRedefine/>
    <w:qFormat/>
    <w:uiPriority w:val="0"/>
    <w:pPr>
      <w:snapToGrid w:val="0"/>
    </w:pPr>
    <w:rPr>
      <w:rFonts w:ascii="Arial" w:hAnsi="Arial"/>
    </w:rPr>
  </w:style>
  <w:style w:type="paragraph" w:styleId="10">
    <w:name w:val="Plain Text"/>
    <w:basedOn w:val="1"/>
    <w:link w:val="60"/>
    <w:autoRedefine/>
    <w:qFormat/>
    <w:uiPriority w:val="0"/>
    <w:rPr>
      <w:rFonts w:ascii="宋体" w:hAnsi="Courier New" w:eastAsia="宋体" w:cs="Times New Roman"/>
      <w:kern w:val="0"/>
      <w:sz w:val="20"/>
      <w:szCs w:val="21"/>
    </w:rPr>
  </w:style>
  <w:style w:type="paragraph" w:styleId="11">
    <w:name w:val="Balloon Text"/>
    <w:basedOn w:val="1"/>
    <w:link w:val="32"/>
    <w:autoRedefine/>
    <w:semiHidden/>
    <w:unhideWhenUsed/>
    <w:qFormat/>
    <w:uiPriority w:val="99"/>
    <w:rPr>
      <w:sz w:val="18"/>
      <w:szCs w:val="18"/>
    </w:rPr>
  </w:style>
  <w:style w:type="paragraph" w:styleId="12">
    <w:name w:val="footer"/>
    <w:basedOn w:val="1"/>
    <w:link w:val="56"/>
    <w:autoRedefine/>
    <w:unhideWhenUsed/>
    <w:qFormat/>
    <w:uiPriority w:val="99"/>
    <w:pPr>
      <w:tabs>
        <w:tab w:val="center" w:pos="4153"/>
        <w:tab w:val="right" w:pos="8306"/>
      </w:tabs>
      <w:snapToGrid w:val="0"/>
      <w:jc w:val="left"/>
    </w:pPr>
    <w:rPr>
      <w:sz w:val="18"/>
      <w:szCs w:val="18"/>
    </w:rPr>
  </w:style>
  <w:style w:type="paragraph" w:styleId="13">
    <w:name w:val="header"/>
    <w:basedOn w:val="1"/>
    <w:link w:val="10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semiHidden/>
    <w:unhideWhenUsed/>
    <w:qFormat/>
    <w:uiPriority w:val="39"/>
    <w:pPr>
      <w:spacing w:line="400" w:lineRule="exact"/>
      <w:jc w:val="center"/>
    </w:pPr>
    <w:rPr>
      <w:rFonts w:hint="eastAsia" w:ascii="宋体" w:hAnsi="宋体" w:eastAsia="宋体" w:cs="Times New Roman"/>
      <w:b/>
      <w:bCs/>
    </w:rPr>
  </w:style>
  <w:style w:type="paragraph" w:styleId="15">
    <w:name w:val="footnote text"/>
    <w:basedOn w:val="1"/>
    <w:link w:val="73"/>
    <w:autoRedefine/>
    <w:semiHidden/>
    <w:unhideWhenUsed/>
    <w:qFormat/>
    <w:uiPriority w:val="99"/>
    <w:pPr>
      <w:snapToGrid w:val="0"/>
      <w:jc w:val="left"/>
    </w:pPr>
    <w:rPr>
      <w:sz w:val="18"/>
    </w:rPr>
  </w:style>
  <w:style w:type="paragraph" w:styleId="16">
    <w:name w:val="Body Text Indent 3"/>
    <w:basedOn w:val="1"/>
    <w:link w:val="93"/>
    <w:autoRedefine/>
    <w:semiHidden/>
    <w:unhideWhenUsed/>
    <w:qFormat/>
    <w:uiPriority w:val="99"/>
    <w:pPr>
      <w:spacing w:after="120"/>
      <w:ind w:left="420" w:leftChars="200"/>
    </w:pPr>
    <w:rPr>
      <w:rFonts w:hint="eastAsia" w:ascii="等线" w:hAnsi="等线" w:eastAsia="等线" w:cs="Times New Roman"/>
      <w:sz w:val="16"/>
      <w:szCs w:val="16"/>
    </w:rPr>
  </w:style>
  <w:style w:type="paragraph" w:styleId="17">
    <w:name w:val="toc 2"/>
    <w:basedOn w:val="1"/>
    <w:next w:val="1"/>
    <w:autoRedefine/>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8">
    <w:name w:val="Normal (Web)"/>
    <w:basedOn w:val="1"/>
    <w:link w:val="87"/>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72"/>
    <w:autoRedefine/>
    <w:qFormat/>
    <w:uiPriority w:val="0"/>
    <w:pPr>
      <w:spacing w:before="240" w:after="60"/>
      <w:jc w:val="center"/>
      <w:outlineLvl w:val="0"/>
    </w:pPr>
    <w:rPr>
      <w:rFonts w:eastAsia="宋体" w:asciiTheme="majorHAnsi" w:hAnsiTheme="majorHAnsi" w:cstheme="majorBidi"/>
      <w:b/>
      <w:bCs/>
      <w:sz w:val="32"/>
      <w:szCs w:val="32"/>
    </w:rPr>
  </w:style>
  <w:style w:type="paragraph" w:styleId="20">
    <w:name w:val="annotation subject"/>
    <w:basedOn w:val="6"/>
    <w:next w:val="6"/>
    <w:link w:val="33"/>
    <w:autoRedefine/>
    <w:semiHidden/>
    <w:unhideWhenUsed/>
    <w:qFormat/>
    <w:uiPriority w:val="99"/>
    <w:rPr>
      <w:b/>
      <w:bCs/>
    </w:rPr>
  </w:style>
  <w:style w:type="paragraph" w:styleId="21">
    <w:name w:val="Body Text First Indent"/>
    <w:basedOn w:val="7"/>
    <w:link w:val="94"/>
    <w:autoRedefine/>
    <w:semiHidden/>
    <w:unhideWhenUsed/>
    <w:qFormat/>
    <w:uiPriority w:val="99"/>
    <w:pPr>
      <w:ind w:firstLine="420" w:firstLineChars="100"/>
    </w:pPr>
    <w:rPr>
      <w:rFonts w:ascii="Calibri" w:hAnsi="Calibri" w:eastAsia="宋体" w:cs="Times New Roman"/>
    </w:rPr>
  </w:style>
  <w:style w:type="paragraph" w:styleId="22">
    <w:name w:val="Body Text First Indent 2"/>
    <w:basedOn w:val="8"/>
    <w:next w:val="1"/>
    <w:link w:val="47"/>
    <w:autoRedefine/>
    <w:semiHidden/>
    <w:unhideWhenUsed/>
    <w:qFormat/>
    <w:uiPriority w:val="99"/>
    <w:pPr>
      <w:ind w:firstLine="420" w:firstLineChars="200"/>
    </w:pPr>
  </w:style>
  <w:style w:type="table" w:styleId="24">
    <w:name w:val="Table Grid"/>
    <w:basedOn w:val="2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autoRedefine/>
    <w:qFormat/>
    <w:uiPriority w:val="22"/>
    <w:rPr>
      <w:b/>
      <w:bCs/>
    </w:rPr>
  </w:style>
  <w:style w:type="character" w:styleId="27">
    <w:name w:val="annotation reference"/>
    <w:basedOn w:val="25"/>
    <w:autoRedefine/>
    <w:unhideWhenUsed/>
    <w:qFormat/>
    <w:uiPriority w:val="0"/>
    <w:rPr>
      <w:sz w:val="21"/>
      <w:szCs w:val="21"/>
    </w:rPr>
  </w:style>
  <w:style w:type="character" w:customStyle="1" w:styleId="28">
    <w:name w:val="页眉 字符"/>
    <w:basedOn w:val="25"/>
    <w:autoRedefine/>
    <w:qFormat/>
    <w:uiPriority w:val="99"/>
    <w:rPr>
      <w:sz w:val="18"/>
      <w:szCs w:val="18"/>
    </w:rPr>
  </w:style>
  <w:style w:type="character" w:customStyle="1" w:styleId="29">
    <w:name w:val="页脚 字符"/>
    <w:basedOn w:val="25"/>
    <w:autoRedefine/>
    <w:qFormat/>
    <w:uiPriority w:val="99"/>
    <w:rPr>
      <w:sz w:val="18"/>
      <w:szCs w:val="18"/>
    </w:rPr>
  </w:style>
  <w:style w:type="paragraph" w:styleId="30">
    <w:name w:val="List Paragraph"/>
    <w:basedOn w:val="1"/>
    <w:link w:val="38"/>
    <w:autoRedefine/>
    <w:qFormat/>
    <w:uiPriority w:val="34"/>
    <w:pPr>
      <w:ind w:firstLine="420" w:firstLineChars="200"/>
    </w:pPr>
  </w:style>
  <w:style w:type="character" w:customStyle="1" w:styleId="31">
    <w:name w:val="批注文字 字符"/>
    <w:basedOn w:val="25"/>
    <w:autoRedefine/>
    <w:qFormat/>
    <w:uiPriority w:val="0"/>
  </w:style>
  <w:style w:type="character" w:customStyle="1" w:styleId="32">
    <w:name w:val="批注框文本 字符"/>
    <w:basedOn w:val="25"/>
    <w:link w:val="11"/>
    <w:autoRedefine/>
    <w:semiHidden/>
    <w:qFormat/>
    <w:uiPriority w:val="99"/>
    <w:rPr>
      <w:sz w:val="18"/>
      <w:szCs w:val="18"/>
    </w:rPr>
  </w:style>
  <w:style w:type="character" w:customStyle="1" w:styleId="33">
    <w:name w:val="批注主题 字符"/>
    <w:basedOn w:val="31"/>
    <w:link w:val="20"/>
    <w:autoRedefine/>
    <w:semiHidden/>
    <w:qFormat/>
    <w:uiPriority w:val="99"/>
    <w:rPr>
      <w:b/>
      <w:bCs/>
    </w:rPr>
  </w:style>
  <w:style w:type="character" w:customStyle="1" w:styleId="34">
    <w:name w:val="标题 Char"/>
    <w:basedOn w:val="25"/>
    <w:autoRedefine/>
    <w:qFormat/>
    <w:uiPriority w:val="0"/>
    <w:rPr>
      <w:rFonts w:eastAsia="宋体" w:asciiTheme="majorHAnsi" w:hAnsiTheme="majorHAnsi" w:cstheme="majorBidi"/>
      <w:b/>
      <w:bCs/>
      <w:sz w:val="32"/>
      <w:szCs w:val="32"/>
    </w:rPr>
  </w:style>
  <w:style w:type="character" w:customStyle="1" w:styleId="35">
    <w:name w:val="标题 2 字符"/>
    <w:basedOn w:val="25"/>
    <w:autoRedefine/>
    <w:qFormat/>
    <w:uiPriority w:val="0"/>
    <w:rPr>
      <w:rFonts w:ascii="Arial" w:hAnsi="Arial" w:eastAsia="黑体" w:cs="Times New Roman"/>
      <w:b/>
      <w:bCs/>
      <w:sz w:val="32"/>
      <w:szCs w:val="32"/>
    </w:rPr>
  </w:style>
  <w:style w:type="character" w:customStyle="1" w:styleId="36">
    <w:name w:val="纯文本 字符"/>
    <w:basedOn w:val="25"/>
    <w:autoRedefine/>
    <w:qFormat/>
    <w:uiPriority w:val="0"/>
    <w:rPr>
      <w:rFonts w:ascii="宋体" w:hAnsi="Courier New" w:eastAsia="宋体" w:cs="Times New Roman"/>
      <w:kern w:val="0"/>
      <w:sz w:val="20"/>
      <w:szCs w:val="21"/>
    </w:rPr>
  </w:style>
  <w:style w:type="paragraph" w:customStyle="1" w:styleId="37">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8">
    <w:name w:val="列表段落 字符4"/>
    <w:link w:val="30"/>
    <w:autoRedefine/>
    <w:qFormat/>
    <w:uiPriority w:val="99"/>
  </w:style>
  <w:style w:type="paragraph" w:customStyle="1" w:styleId="39">
    <w:name w:val="样式4"/>
    <w:basedOn w:val="1"/>
    <w:autoRedefine/>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0">
    <w:name w:val="列出段落1"/>
    <w:basedOn w:val="1"/>
    <w:link w:val="41"/>
    <w:autoRedefine/>
    <w:qFormat/>
    <w:uiPriority w:val="99"/>
    <w:pPr>
      <w:ind w:firstLine="420" w:firstLineChars="200"/>
    </w:pPr>
    <w:rPr>
      <w:rFonts w:ascii="Times New Roman" w:hAnsi="Times New Roman" w:eastAsia="宋体" w:cs="Times New Roman"/>
      <w:szCs w:val="21"/>
    </w:rPr>
  </w:style>
  <w:style w:type="character" w:customStyle="1" w:styleId="41">
    <w:name w:val="List Paragraph Char"/>
    <w:link w:val="40"/>
    <w:autoRedefine/>
    <w:qFormat/>
    <w:locked/>
    <w:uiPriority w:val="99"/>
    <w:rPr>
      <w:rFonts w:ascii="Times New Roman" w:hAnsi="Times New Roman" w:eastAsia="宋体" w:cs="Times New Roman"/>
      <w:szCs w:val="21"/>
    </w:rPr>
  </w:style>
  <w:style w:type="paragraph" w:customStyle="1" w:styleId="42">
    <w:name w:val="_Style 121"/>
    <w:basedOn w:val="1"/>
    <w:next w:val="30"/>
    <w:autoRedefine/>
    <w:qFormat/>
    <w:uiPriority w:val="34"/>
    <w:pPr>
      <w:ind w:firstLine="420" w:firstLineChars="200"/>
    </w:pPr>
    <w:rPr>
      <w:rFonts w:ascii="Calibri" w:hAnsi="Calibri" w:eastAsia="宋体" w:cs="Times New Roman"/>
    </w:rPr>
  </w:style>
  <w:style w:type="paragraph" w:customStyle="1" w:styleId="43">
    <w:name w:val="start-font-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4">
    <w:name w:val="start-font-3"/>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5">
    <w:name w:val="纯文本 Char1"/>
    <w:autoRedefine/>
    <w:qFormat/>
    <w:uiPriority w:val="0"/>
    <w:rPr>
      <w:rFonts w:ascii="宋体" w:hAnsi="Courier New" w:eastAsia="宋体" w:cs="Times New Roman"/>
      <w:kern w:val="0"/>
      <w:sz w:val="20"/>
      <w:szCs w:val="21"/>
    </w:rPr>
  </w:style>
  <w:style w:type="character" w:customStyle="1" w:styleId="46">
    <w:name w:val="正文文本缩进 字符"/>
    <w:basedOn w:val="25"/>
    <w:autoRedefine/>
    <w:qFormat/>
    <w:uiPriority w:val="0"/>
    <w:rPr>
      <w:kern w:val="2"/>
      <w:sz w:val="21"/>
      <w:szCs w:val="24"/>
    </w:rPr>
  </w:style>
  <w:style w:type="character" w:customStyle="1" w:styleId="47">
    <w:name w:val="正文文本首行缩进 2 字符"/>
    <w:basedOn w:val="46"/>
    <w:link w:val="22"/>
    <w:autoRedefine/>
    <w:qFormat/>
    <w:uiPriority w:val="0"/>
    <w:rPr>
      <w:kern w:val="2"/>
      <w:sz w:val="21"/>
      <w:szCs w:val="24"/>
    </w:rPr>
  </w:style>
  <w:style w:type="paragraph" w:customStyle="1" w:styleId="48">
    <w:name w:val="msolistparagraph"/>
    <w:basedOn w:val="1"/>
    <w:autoRedefine/>
    <w:qFormat/>
    <w:uiPriority w:val="0"/>
    <w:pPr>
      <w:ind w:firstLine="420" w:firstLineChars="200"/>
    </w:pPr>
    <w:rPr>
      <w:rFonts w:ascii="Times New Roman" w:hAnsi="Times New Roman" w:eastAsia="宋体" w:cs="Times New Roman"/>
    </w:rPr>
  </w:style>
  <w:style w:type="character" w:customStyle="1" w:styleId="49">
    <w:name w:val="列出段落 Char"/>
    <w:basedOn w:val="25"/>
    <w:autoRedefine/>
    <w:qFormat/>
    <w:uiPriority w:val="0"/>
    <w:rPr>
      <w:kern w:val="2"/>
      <w:sz w:val="21"/>
      <w:szCs w:val="22"/>
    </w:rPr>
  </w:style>
  <w:style w:type="character" w:customStyle="1" w:styleId="50">
    <w:name w:val="正文文本 字符"/>
    <w:basedOn w:val="25"/>
    <w:autoRedefine/>
    <w:qFormat/>
    <w:uiPriority w:val="0"/>
    <w:rPr>
      <w:rFonts w:hint="default" w:ascii="Calibri" w:hAnsi="Calibri" w:eastAsia="宋体" w:cs="Times New Roman"/>
      <w:kern w:val="2"/>
      <w:sz w:val="21"/>
      <w:szCs w:val="22"/>
    </w:rPr>
  </w:style>
  <w:style w:type="character" w:customStyle="1" w:styleId="51">
    <w:name w:val="纯文本 Char"/>
    <w:basedOn w:val="25"/>
    <w:autoRedefine/>
    <w:qFormat/>
    <w:uiPriority w:val="0"/>
    <w:rPr>
      <w:rFonts w:hint="eastAsia" w:ascii="宋体" w:hAnsi="Courier New" w:eastAsia="宋体" w:cs="宋体"/>
      <w:szCs w:val="21"/>
    </w:rPr>
  </w:style>
  <w:style w:type="paragraph" w:customStyle="1" w:styleId="52">
    <w:name w:val="_Style 116"/>
    <w:basedOn w:val="1"/>
    <w:next w:val="30"/>
    <w:autoRedefine/>
    <w:qFormat/>
    <w:uiPriority w:val="99"/>
    <w:pPr>
      <w:ind w:firstLine="420" w:firstLineChars="200"/>
    </w:pPr>
    <w:rPr>
      <w:kern w:val="0"/>
      <w:sz w:val="20"/>
      <w:szCs w:val="20"/>
    </w:rPr>
  </w:style>
  <w:style w:type="character" w:customStyle="1" w:styleId="53">
    <w:name w:val="普通(网站) 字符"/>
    <w:basedOn w:val="25"/>
    <w:autoRedefine/>
    <w:qFormat/>
    <w:uiPriority w:val="0"/>
    <w:rPr>
      <w:rFonts w:hint="eastAsia" w:ascii="宋体" w:hAnsi="宋体" w:eastAsia="宋体" w:cs="宋体"/>
      <w:sz w:val="24"/>
      <w:szCs w:val="24"/>
    </w:rPr>
  </w:style>
  <w:style w:type="character" w:customStyle="1" w:styleId="54">
    <w:name w:val="批注文字 Char"/>
    <w:basedOn w:val="25"/>
    <w:autoRedefine/>
    <w:qFormat/>
    <w:uiPriority w:val="0"/>
    <w:rPr>
      <w:kern w:val="2"/>
      <w:sz w:val="21"/>
      <w:szCs w:val="24"/>
    </w:rPr>
  </w:style>
  <w:style w:type="character" w:customStyle="1" w:styleId="55">
    <w:name w:val="标题 1 字符"/>
    <w:basedOn w:val="25"/>
    <w:link w:val="2"/>
    <w:autoRedefine/>
    <w:qFormat/>
    <w:uiPriority w:val="0"/>
    <w:rPr>
      <w:b/>
      <w:bCs/>
      <w:kern w:val="44"/>
      <w:sz w:val="44"/>
      <w:szCs w:val="44"/>
    </w:rPr>
  </w:style>
  <w:style w:type="character" w:customStyle="1" w:styleId="56">
    <w:name w:val="页脚 字符1"/>
    <w:basedOn w:val="25"/>
    <w:link w:val="12"/>
    <w:autoRedefine/>
    <w:qFormat/>
    <w:uiPriority w:val="0"/>
    <w:rPr>
      <w:kern w:val="2"/>
      <w:sz w:val="18"/>
      <w:szCs w:val="18"/>
    </w:rPr>
  </w:style>
  <w:style w:type="character" w:customStyle="1" w:styleId="57">
    <w:name w:val="页眉 字符1"/>
    <w:basedOn w:val="25"/>
    <w:autoRedefine/>
    <w:qFormat/>
    <w:uiPriority w:val="0"/>
    <w:rPr>
      <w:kern w:val="2"/>
      <w:sz w:val="18"/>
      <w:szCs w:val="18"/>
    </w:rPr>
  </w:style>
  <w:style w:type="character" w:customStyle="1" w:styleId="58">
    <w:name w:val="标题 2 字符1"/>
    <w:basedOn w:val="25"/>
    <w:autoRedefine/>
    <w:qFormat/>
    <w:uiPriority w:val="0"/>
    <w:rPr>
      <w:rFonts w:hint="default" w:ascii="Cambria" w:hAnsi="Cambria" w:eastAsia="Cambria" w:cs="Cambria"/>
      <w:b/>
      <w:bCs/>
      <w:kern w:val="2"/>
      <w:sz w:val="32"/>
      <w:szCs w:val="32"/>
    </w:rPr>
  </w:style>
  <w:style w:type="character" w:customStyle="1" w:styleId="59">
    <w:name w:val="列出段落 Char1"/>
    <w:basedOn w:val="25"/>
    <w:autoRedefine/>
    <w:qFormat/>
    <w:uiPriority w:val="0"/>
    <w:rPr>
      <w:rFonts w:hint="default" w:ascii="Calibri" w:hAnsi="Calibri" w:cs="Calibri"/>
      <w:kern w:val="2"/>
      <w:sz w:val="21"/>
      <w:szCs w:val="22"/>
    </w:rPr>
  </w:style>
  <w:style w:type="character" w:customStyle="1" w:styleId="60">
    <w:name w:val="纯文本 字符2"/>
    <w:basedOn w:val="25"/>
    <w:link w:val="10"/>
    <w:autoRedefine/>
    <w:qFormat/>
    <w:uiPriority w:val="0"/>
    <w:rPr>
      <w:rFonts w:hint="eastAsia" w:ascii="宋体" w:hAnsi="Courier New" w:eastAsia="宋体" w:cs="宋体"/>
      <w:szCs w:val="21"/>
      <w:lang w:val="zh-CN"/>
    </w:rPr>
  </w:style>
  <w:style w:type="character" w:customStyle="1" w:styleId="61">
    <w:name w:val="标题 3 字符"/>
    <w:basedOn w:val="25"/>
    <w:link w:val="4"/>
    <w:autoRedefine/>
    <w:qFormat/>
    <w:uiPriority w:val="0"/>
    <w:rPr>
      <w:b/>
      <w:bCs/>
      <w:kern w:val="2"/>
      <w:sz w:val="32"/>
      <w:szCs w:val="32"/>
    </w:rPr>
  </w:style>
  <w:style w:type="paragraph" w:customStyle="1" w:styleId="62">
    <w:name w:val="列表段落2"/>
    <w:basedOn w:val="1"/>
    <w:autoRedefine/>
    <w:qFormat/>
    <w:uiPriority w:val="0"/>
    <w:pPr>
      <w:ind w:firstLine="420" w:firstLineChars="200"/>
    </w:pPr>
    <w:rPr>
      <w:rFonts w:ascii="Times New Roman" w:hAnsi="Times New Roman" w:eastAsia="宋体" w:cs="Times New Roman"/>
      <w:szCs w:val="24"/>
    </w:rPr>
  </w:style>
  <w:style w:type="character" w:customStyle="1" w:styleId="63">
    <w:name w:val="正文文本首行缩进 字符"/>
    <w:autoRedefine/>
    <w:qFormat/>
    <w:uiPriority w:val="0"/>
    <w:rPr>
      <w:rFonts w:hint="default" w:ascii="Calibri" w:hAnsi="Calibri" w:eastAsia="宋体" w:cs="Times New Roman"/>
      <w:kern w:val="2"/>
      <w:sz w:val="21"/>
      <w:szCs w:val="22"/>
    </w:rPr>
  </w:style>
  <w:style w:type="paragraph" w:customStyle="1" w:styleId="64">
    <w:name w:val="p0"/>
    <w:basedOn w:val="1"/>
    <w:autoRedefine/>
    <w:qFormat/>
    <w:uiPriority w:val="0"/>
    <w:pPr>
      <w:widowControl/>
    </w:pPr>
    <w:rPr>
      <w:rFonts w:ascii="Calibri" w:hAnsi="Calibri" w:eastAsia="宋体" w:cs="Times New Roman"/>
      <w:kern w:val="0"/>
      <w:szCs w:val="21"/>
    </w:rPr>
  </w:style>
  <w:style w:type="character" w:customStyle="1" w:styleId="65">
    <w:name w:val="font51"/>
    <w:basedOn w:val="25"/>
    <w:autoRedefine/>
    <w:qFormat/>
    <w:uiPriority w:val="0"/>
    <w:rPr>
      <w:rFonts w:hint="eastAsia" w:ascii="宋体" w:hAnsi="宋体" w:eastAsia="宋体" w:cs="宋体"/>
      <w:color w:val="000000"/>
      <w:sz w:val="21"/>
      <w:szCs w:val="21"/>
      <w:u w:val="none"/>
    </w:rPr>
  </w:style>
  <w:style w:type="character" w:customStyle="1" w:styleId="66">
    <w:name w:val="列表段落 字符2"/>
    <w:basedOn w:val="25"/>
    <w:autoRedefine/>
    <w:qFormat/>
    <w:uiPriority w:val="0"/>
  </w:style>
  <w:style w:type="character" w:customStyle="1" w:styleId="67">
    <w:name w:val="NormalCharacter"/>
    <w:basedOn w:val="25"/>
    <w:autoRedefine/>
    <w:qFormat/>
    <w:uiPriority w:val="0"/>
  </w:style>
  <w:style w:type="character" w:customStyle="1" w:styleId="68">
    <w:name w:val="font31"/>
    <w:basedOn w:val="25"/>
    <w:autoRedefine/>
    <w:qFormat/>
    <w:uiPriority w:val="0"/>
    <w:rPr>
      <w:rFonts w:hint="default" w:ascii="Times New Roman" w:hAnsi="Times New Roman" w:cs="Times New Roman"/>
      <w:color w:val="000000"/>
      <w:sz w:val="21"/>
      <w:szCs w:val="21"/>
      <w:u w:val="none"/>
    </w:rPr>
  </w:style>
  <w:style w:type="character" w:customStyle="1" w:styleId="69">
    <w:name w:val="font21"/>
    <w:basedOn w:val="25"/>
    <w:autoRedefine/>
    <w:qFormat/>
    <w:uiPriority w:val="0"/>
    <w:rPr>
      <w:rFonts w:hint="eastAsia" w:ascii="宋体" w:hAnsi="宋体" w:eastAsia="宋体" w:cs="宋体"/>
      <w:color w:val="000000"/>
      <w:sz w:val="24"/>
      <w:szCs w:val="24"/>
      <w:u w:val="none"/>
    </w:rPr>
  </w:style>
  <w:style w:type="character" w:customStyle="1" w:styleId="70">
    <w:name w:val="font11"/>
    <w:basedOn w:val="25"/>
    <w:autoRedefine/>
    <w:qFormat/>
    <w:uiPriority w:val="0"/>
    <w:rPr>
      <w:rFonts w:hint="eastAsia" w:ascii="宋体" w:hAnsi="宋体" w:eastAsia="宋体" w:cs="宋体"/>
      <w:color w:val="000000"/>
      <w:sz w:val="21"/>
      <w:szCs w:val="21"/>
      <w:u w:val="none"/>
    </w:rPr>
  </w:style>
  <w:style w:type="character" w:customStyle="1" w:styleId="71">
    <w:name w:val="纯文本 字符1"/>
    <w:basedOn w:val="25"/>
    <w:autoRedefine/>
    <w:qFormat/>
    <w:uiPriority w:val="0"/>
    <w:rPr>
      <w:rFonts w:hint="eastAsia" w:ascii="宋体" w:hAnsi="Courier New" w:eastAsia="宋体" w:cs="宋体"/>
      <w:szCs w:val="21"/>
    </w:rPr>
  </w:style>
  <w:style w:type="character" w:customStyle="1" w:styleId="72">
    <w:name w:val="标题 字符"/>
    <w:basedOn w:val="25"/>
    <w:link w:val="19"/>
    <w:autoRedefine/>
    <w:qFormat/>
    <w:uiPriority w:val="0"/>
    <w:rPr>
      <w:rFonts w:hint="default" w:ascii="Cambria" w:hAnsi="Cambria" w:eastAsia="Cambria" w:cs="Times New Roman"/>
      <w:b/>
      <w:bCs/>
      <w:kern w:val="2"/>
      <w:sz w:val="32"/>
      <w:szCs w:val="32"/>
    </w:rPr>
  </w:style>
  <w:style w:type="character" w:customStyle="1" w:styleId="73">
    <w:name w:val="脚注文本 字符"/>
    <w:basedOn w:val="25"/>
    <w:link w:val="15"/>
    <w:autoRedefine/>
    <w:qFormat/>
    <w:uiPriority w:val="0"/>
    <w:rPr>
      <w:rFonts w:hint="eastAsia" w:ascii="宋体" w:hAnsi="宋体" w:eastAsia="宋体" w:cs="Times New Roman"/>
      <w:kern w:val="2"/>
      <w:sz w:val="24"/>
      <w:szCs w:val="18"/>
    </w:rPr>
  </w:style>
  <w:style w:type="character" w:customStyle="1" w:styleId="74">
    <w:name w:val="脚注文本 Char1"/>
    <w:basedOn w:val="25"/>
    <w:autoRedefine/>
    <w:qFormat/>
    <w:uiPriority w:val="0"/>
    <w:rPr>
      <w:rFonts w:hint="default" w:ascii="Calibri" w:hAnsi="Calibri" w:eastAsia="宋体" w:cs="Times New Roman"/>
      <w:kern w:val="2"/>
      <w:sz w:val="18"/>
      <w:szCs w:val="18"/>
    </w:rPr>
  </w:style>
  <w:style w:type="character" w:customStyle="1" w:styleId="75">
    <w:name w:val="列表段落 字符1"/>
    <w:basedOn w:val="25"/>
    <w:autoRedefine/>
    <w:qFormat/>
    <w:uiPriority w:val="0"/>
  </w:style>
  <w:style w:type="paragraph" w:customStyle="1" w:styleId="76">
    <w:name w:val="Table Paragraph"/>
    <w:basedOn w:val="1"/>
    <w:autoRedefine/>
    <w:qFormat/>
    <w:uiPriority w:val="0"/>
    <w:rPr>
      <w:rFonts w:hint="eastAsia" w:ascii="宋体" w:hAnsi="宋体" w:eastAsia="宋体" w:cs="Times New Roman"/>
      <w:szCs w:val="24"/>
    </w:rPr>
  </w:style>
  <w:style w:type="character" w:customStyle="1" w:styleId="77">
    <w:name w:val="font41"/>
    <w:basedOn w:val="25"/>
    <w:autoRedefine/>
    <w:qFormat/>
    <w:uiPriority w:val="0"/>
    <w:rPr>
      <w:rFonts w:hint="eastAsia" w:ascii="宋体" w:hAnsi="宋体" w:eastAsia="宋体" w:cs="宋体"/>
      <w:color w:val="FF0000"/>
      <w:sz w:val="24"/>
      <w:szCs w:val="24"/>
      <w:u w:val="none"/>
    </w:rPr>
  </w:style>
  <w:style w:type="character" w:customStyle="1" w:styleId="78">
    <w:name w:val="font91"/>
    <w:basedOn w:val="25"/>
    <w:autoRedefine/>
    <w:qFormat/>
    <w:uiPriority w:val="0"/>
    <w:rPr>
      <w:rFonts w:hint="default" w:ascii="Times New Roman" w:hAnsi="Times New Roman" w:cs="Times New Roman"/>
      <w:color w:val="000000"/>
      <w:sz w:val="21"/>
      <w:szCs w:val="21"/>
      <w:u w:val="none"/>
    </w:rPr>
  </w:style>
  <w:style w:type="paragraph" w:customStyle="1" w:styleId="79">
    <w:name w:val="正文_0_0"/>
    <w:basedOn w:val="1"/>
    <w:autoRedefine/>
    <w:qFormat/>
    <w:uiPriority w:val="0"/>
    <w:rPr>
      <w:rFonts w:ascii="Calibri" w:hAnsi="Calibri" w:eastAsia="宋体" w:cs="Times New Roman"/>
    </w:rPr>
  </w:style>
  <w:style w:type="character" w:customStyle="1" w:styleId="80">
    <w:name w:val="批注文字 字符1"/>
    <w:basedOn w:val="25"/>
    <w:autoRedefine/>
    <w:qFormat/>
    <w:uiPriority w:val="0"/>
    <w:rPr>
      <w:szCs w:val="24"/>
    </w:rPr>
  </w:style>
  <w:style w:type="character" w:customStyle="1" w:styleId="81">
    <w:name w:val="列表段落 字符"/>
    <w:basedOn w:val="25"/>
    <w:autoRedefine/>
    <w:qFormat/>
    <w:uiPriority w:val="0"/>
    <w:rPr>
      <w:rFonts w:hint="default" w:ascii="Calibri" w:hAnsi="Calibri" w:cs="Calibri"/>
      <w:kern w:val="2"/>
      <w:sz w:val="21"/>
      <w:szCs w:val="22"/>
    </w:rPr>
  </w:style>
  <w:style w:type="paragraph" w:customStyle="1" w:styleId="82">
    <w:name w:val="_Style 24"/>
    <w:basedOn w:val="1"/>
    <w:autoRedefine/>
    <w:qFormat/>
    <w:uiPriority w:val="0"/>
    <w:pPr>
      <w:ind w:firstLine="420" w:firstLineChars="200"/>
    </w:pPr>
    <w:rPr>
      <w:rFonts w:ascii="Calibri" w:hAnsi="Calibri" w:eastAsia="宋体" w:cs="Times New Roman"/>
    </w:rPr>
  </w:style>
  <w:style w:type="character" w:customStyle="1" w:styleId="83">
    <w:name w:val="列表段落 字符3"/>
    <w:basedOn w:val="25"/>
    <w:autoRedefine/>
    <w:qFormat/>
    <w:uiPriority w:val="0"/>
    <w:rPr>
      <w:rFonts w:hint="default" w:ascii="Calibri" w:hAnsi="Calibri" w:eastAsia="宋体" w:cs="Times New Roman"/>
      <w:kern w:val="2"/>
      <w:sz w:val="21"/>
      <w:szCs w:val="22"/>
    </w:rPr>
  </w:style>
  <w:style w:type="character" w:customStyle="1" w:styleId="84">
    <w:name w:val="列出段落 Char2"/>
    <w:basedOn w:val="25"/>
    <w:autoRedefine/>
    <w:qFormat/>
    <w:uiPriority w:val="0"/>
    <w:rPr>
      <w:rFonts w:hint="default" w:ascii="Calibri" w:hAnsi="Calibri" w:eastAsia="宋体" w:cs="Times New Roman"/>
      <w:kern w:val="2"/>
      <w:sz w:val="21"/>
      <w:szCs w:val="22"/>
    </w:rPr>
  </w:style>
  <w:style w:type="character" w:customStyle="1" w:styleId="85">
    <w:name w:val="标题 2 字符2"/>
    <w:basedOn w:val="25"/>
    <w:link w:val="3"/>
    <w:autoRedefine/>
    <w:qFormat/>
    <w:uiPriority w:val="0"/>
    <w:rPr>
      <w:rFonts w:hint="default" w:ascii="Arial" w:hAnsi="Arial" w:eastAsia="黑体" w:cs="Arial"/>
      <w:b/>
      <w:bCs/>
      <w:kern w:val="2"/>
      <w:sz w:val="32"/>
      <w:szCs w:val="32"/>
    </w:rPr>
  </w:style>
  <w:style w:type="character" w:customStyle="1" w:styleId="86">
    <w:name w:val="批注文字 字符2"/>
    <w:basedOn w:val="25"/>
    <w:link w:val="6"/>
    <w:autoRedefine/>
    <w:qFormat/>
    <w:uiPriority w:val="0"/>
    <w:rPr>
      <w:kern w:val="2"/>
      <w:sz w:val="21"/>
      <w:szCs w:val="24"/>
    </w:rPr>
  </w:style>
  <w:style w:type="character" w:customStyle="1" w:styleId="87">
    <w:name w:val="普通(网站) 字符1"/>
    <w:basedOn w:val="25"/>
    <w:link w:val="18"/>
    <w:autoRedefine/>
    <w:qFormat/>
    <w:uiPriority w:val="0"/>
    <w:rPr>
      <w:rFonts w:hint="eastAsia" w:ascii="宋体" w:hAnsi="宋体" w:eastAsia="宋体" w:cs="宋体"/>
      <w:sz w:val="24"/>
      <w:szCs w:val="24"/>
    </w:rPr>
  </w:style>
  <w:style w:type="character" w:customStyle="1" w:styleId="88">
    <w:name w:val="正文文本缩进 字符1"/>
    <w:basedOn w:val="25"/>
    <w:link w:val="8"/>
    <w:autoRedefine/>
    <w:qFormat/>
    <w:uiPriority w:val="0"/>
    <w:rPr>
      <w:kern w:val="2"/>
      <w:sz w:val="21"/>
      <w:szCs w:val="22"/>
    </w:rPr>
  </w:style>
  <w:style w:type="paragraph" w:customStyle="1" w:styleId="89">
    <w:name w:val="正文文本首行缩进 21"/>
    <w:basedOn w:val="8"/>
    <w:autoRedefine/>
    <w:qFormat/>
    <w:uiPriority w:val="0"/>
    <w:pPr>
      <w:ind w:firstLine="420" w:firstLineChars="200"/>
    </w:pPr>
    <w:rPr>
      <w:rFonts w:ascii="Times New Roman" w:hAnsi="Times New Roman" w:eastAsia="宋体" w:cs="Times New Roman"/>
      <w:kern w:val="0"/>
      <w:sz w:val="20"/>
      <w:szCs w:val="20"/>
    </w:rPr>
  </w:style>
  <w:style w:type="paragraph" w:customStyle="1" w:styleId="90">
    <w:name w:val="_Style 5"/>
    <w:basedOn w:val="1"/>
    <w:next w:val="1"/>
    <w:autoRedefine/>
    <w:qFormat/>
    <w:uiPriority w:val="0"/>
    <w:pPr>
      <w:ind w:firstLine="420" w:firstLineChars="200"/>
    </w:pPr>
    <w:rPr>
      <w:rFonts w:ascii="Times New Roman" w:hAnsi="Times New Roman" w:eastAsia="宋体" w:cs="Times New Roman"/>
    </w:rPr>
  </w:style>
  <w:style w:type="character" w:customStyle="1" w:styleId="91">
    <w:name w:val="正文文本 字符1"/>
    <w:basedOn w:val="25"/>
    <w:link w:val="7"/>
    <w:autoRedefine/>
    <w:qFormat/>
    <w:uiPriority w:val="0"/>
    <w:rPr>
      <w:rFonts w:hint="default" w:ascii="Calibri" w:hAnsi="Calibri" w:eastAsia="宋体" w:cs="Times New Roman"/>
      <w:kern w:val="2"/>
      <w:sz w:val="21"/>
      <w:szCs w:val="22"/>
    </w:rPr>
  </w:style>
  <w:style w:type="paragraph" w:customStyle="1" w:styleId="92">
    <w:name w:val="列表段落1"/>
    <w:basedOn w:val="1"/>
    <w:autoRedefine/>
    <w:qFormat/>
    <w:uiPriority w:val="0"/>
    <w:pPr>
      <w:ind w:firstLine="420" w:firstLineChars="200"/>
    </w:pPr>
    <w:rPr>
      <w:rFonts w:hint="eastAsia" w:ascii="等线" w:hAnsi="等线" w:eastAsia="等线" w:cs="Times New Roman"/>
    </w:rPr>
  </w:style>
  <w:style w:type="character" w:customStyle="1" w:styleId="93">
    <w:name w:val="正文文本缩进 3 字符"/>
    <w:basedOn w:val="25"/>
    <w:link w:val="16"/>
    <w:autoRedefine/>
    <w:qFormat/>
    <w:uiPriority w:val="0"/>
    <w:rPr>
      <w:rFonts w:hint="eastAsia" w:ascii="等线" w:hAnsi="等线" w:eastAsia="等线" w:cs="等线"/>
      <w:kern w:val="2"/>
      <w:sz w:val="16"/>
      <w:szCs w:val="16"/>
    </w:rPr>
  </w:style>
  <w:style w:type="character" w:customStyle="1" w:styleId="94">
    <w:name w:val="正文文本首行缩进 字符1"/>
    <w:link w:val="21"/>
    <w:autoRedefine/>
    <w:qFormat/>
    <w:uiPriority w:val="0"/>
    <w:rPr>
      <w:rFonts w:hint="default" w:ascii="Calibri" w:hAnsi="Calibri" w:eastAsia="楷体_GB2312" w:cs="Calibri"/>
      <w:kern w:val="2"/>
      <w:sz w:val="32"/>
      <w:szCs w:val="22"/>
    </w:rPr>
  </w:style>
  <w:style w:type="character" w:customStyle="1" w:styleId="95">
    <w:name w:val="表格文字 Char"/>
    <w:basedOn w:val="25"/>
    <w:link w:val="96"/>
    <w:autoRedefine/>
    <w:qFormat/>
    <w:uiPriority w:val="0"/>
    <w:rPr>
      <w:bCs/>
      <w:spacing w:val="10"/>
      <w:sz w:val="24"/>
    </w:rPr>
  </w:style>
  <w:style w:type="paragraph" w:customStyle="1" w:styleId="96">
    <w:name w:val="表格文字"/>
    <w:basedOn w:val="1"/>
    <w:link w:val="95"/>
    <w:autoRedefine/>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7">
    <w:name w:val="_Style 3"/>
    <w:basedOn w:val="1"/>
    <w:autoRedefine/>
    <w:qFormat/>
    <w:uiPriority w:val="0"/>
    <w:rPr>
      <w:rFonts w:ascii="Times New Roman" w:hAnsi="Times New Roman" w:eastAsia="宋体" w:cs="Times New Roman"/>
    </w:rPr>
  </w:style>
  <w:style w:type="paragraph" w:customStyle="1" w:styleId="98">
    <w:name w:val="列表段落3"/>
    <w:basedOn w:val="1"/>
    <w:autoRedefine/>
    <w:qFormat/>
    <w:uiPriority w:val="0"/>
    <w:pPr>
      <w:ind w:firstLine="420" w:firstLineChars="200"/>
    </w:pPr>
    <w:rPr>
      <w:rFonts w:ascii="Calibri" w:hAnsi="Calibri" w:eastAsia="宋体" w:cs="Times New Roman"/>
    </w:rPr>
  </w:style>
  <w:style w:type="character" w:customStyle="1" w:styleId="99">
    <w:name w:val="15"/>
    <w:basedOn w:val="25"/>
    <w:autoRedefine/>
    <w:qFormat/>
    <w:uiPriority w:val="0"/>
    <w:rPr>
      <w:rFonts w:hint="default" w:ascii="Times New Roman" w:hAnsi="Times New Roman" w:cs="Times New Roman"/>
      <w:b/>
      <w:bCs/>
    </w:rPr>
  </w:style>
  <w:style w:type="character" w:customStyle="1" w:styleId="100">
    <w:name w:val="正文首行缩进 2 Char1"/>
    <w:basedOn w:val="25"/>
    <w:autoRedefine/>
    <w:qFormat/>
    <w:uiPriority w:val="0"/>
  </w:style>
  <w:style w:type="character" w:customStyle="1" w:styleId="101">
    <w:name w:val="页眉 字符2"/>
    <w:basedOn w:val="25"/>
    <w:link w:val="13"/>
    <w:autoRedefine/>
    <w:qFormat/>
    <w:uiPriority w:val="0"/>
    <w:rPr>
      <w:sz w:val="18"/>
      <w:szCs w:val="18"/>
    </w:rPr>
  </w:style>
  <w:style w:type="character" w:customStyle="1" w:styleId="102">
    <w:name w:val="页眉 Char1"/>
    <w:autoRedefine/>
    <w:qFormat/>
    <w:uiPriority w:val="99"/>
    <w:rPr>
      <w:sz w:val="18"/>
      <w:szCs w:val="18"/>
      <w:lang w:val="zh-CN" w:eastAsia="zh-CN"/>
    </w:rPr>
  </w:style>
  <w:style w:type="character" w:customStyle="1" w:styleId="103">
    <w:name w:val="标题 2 Char"/>
    <w:basedOn w:val="25"/>
    <w:autoRedefine/>
    <w:qFormat/>
    <w:uiPriority w:val="0"/>
    <w:rPr>
      <w:rFonts w:ascii="Arial" w:hAnsi="Arial" w:eastAsia="黑体" w:cs="Times New Roman"/>
      <w:b/>
      <w:bCs/>
      <w:sz w:val="32"/>
      <w:szCs w:val="32"/>
    </w:rPr>
  </w:style>
  <w:style w:type="paragraph" w:customStyle="1" w:styleId="104">
    <w:name w:val="_Style 39"/>
    <w:basedOn w:val="1"/>
    <w:next w:val="30"/>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19170</Words>
  <Characters>109275</Characters>
  <Lines>1</Lines>
  <Paragraphs>1</Paragraphs>
  <TotalTime>8</TotalTime>
  <ScaleCrop>false</ScaleCrop>
  <LinksUpToDate>false</LinksUpToDate>
  <CharactersWithSpaces>128189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2023-05-23T09:07:00Z</dcterms:created>
  <dc:creator>dreamsummit</dc:creator>
  <cp:lastModifiedBy>云采链</cp:lastModifiedBy>
  <cp:lastPrinted>2018-10-16T04:01:00Z</cp:lastPrinted>
  <dcterms:modified xsi:type="dcterms:W3CDTF">2024-04-09T10:09:32Z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F703C8FA6FC644EEBABA688EC1FB24EA_13</vt:lpwstr>
  </property>
</Properties>
</file>