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F8" w:rsidRDefault="008639E2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手术室用具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EA66F8" w:rsidRDefault="00EA66F8">
      <w:pPr>
        <w:tabs>
          <w:tab w:val="left" w:pos="1140"/>
        </w:tabs>
        <w:spacing w:line="360" w:lineRule="auto"/>
        <w:ind w:firstLineChars="200" w:firstLine="803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EA66F8" w:rsidRDefault="008639E2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广州医科大学附属番禺中心医院现对</w:t>
      </w:r>
      <w:r>
        <w:rPr>
          <w:rFonts w:ascii="宋体" w:hAnsi="宋体" w:cs="宋体" w:hint="eastAsia"/>
          <w:sz w:val="24"/>
        </w:rPr>
        <w:t>手术室用具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EA66F8" w:rsidRDefault="008639E2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9515" w:type="dxa"/>
        <w:jc w:val="center"/>
        <w:tblLook w:val="04A0" w:firstRow="1" w:lastRow="0" w:firstColumn="1" w:lastColumn="0" w:noHBand="0" w:noVBand="1"/>
      </w:tblPr>
      <w:tblGrid>
        <w:gridCol w:w="902"/>
        <w:gridCol w:w="2968"/>
        <w:gridCol w:w="751"/>
        <w:gridCol w:w="4894"/>
      </w:tblGrid>
      <w:tr w:rsidR="00EA66F8">
        <w:trPr>
          <w:jc w:val="center"/>
        </w:trPr>
        <w:tc>
          <w:tcPr>
            <w:tcW w:w="902" w:type="dxa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751" w:type="dxa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4894" w:type="dxa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EA66F8">
        <w:trPr>
          <w:jc w:val="center"/>
        </w:trPr>
        <w:tc>
          <w:tcPr>
            <w:tcW w:w="902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手术体位托脚架</w:t>
            </w:r>
          </w:p>
        </w:tc>
        <w:tc>
          <w:tcPr>
            <w:tcW w:w="751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4894" w:type="dxa"/>
            <w:vMerge w:val="restart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手术过程中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病人体位固定及摆放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</w:t>
            </w:r>
          </w:p>
        </w:tc>
      </w:tr>
      <w:tr w:rsidR="00EA66F8">
        <w:trPr>
          <w:jc w:val="center"/>
        </w:trPr>
        <w:tc>
          <w:tcPr>
            <w:tcW w:w="902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手术通用体位流体垫</w:t>
            </w:r>
          </w:p>
        </w:tc>
        <w:tc>
          <w:tcPr>
            <w:tcW w:w="751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4894" w:type="dxa"/>
            <w:vMerge/>
            <w:vAlign w:val="center"/>
          </w:tcPr>
          <w:p w:rsidR="00EA66F8" w:rsidRDefault="00EA66F8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</w:p>
        </w:tc>
      </w:tr>
      <w:tr w:rsidR="00EA66F8">
        <w:trPr>
          <w:trHeight w:hRule="exact" w:val="850"/>
          <w:jc w:val="center"/>
        </w:trPr>
        <w:tc>
          <w:tcPr>
            <w:tcW w:w="902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68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手术体位垫</w:t>
            </w:r>
          </w:p>
        </w:tc>
        <w:tc>
          <w:tcPr>
            <w:tcW w:w="751" w:type="dxa"/>
            <w:vAlign w:val="center"/>
          </w:tcPr>
          <w:p w:rsidR="00EA66F8" w:rsidRDefault="008639E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套</w:t>
            </w:r>
          </w:p>
        </w:tc>
        <w:tc>
          <w:tcPr>
            <w:tcW w:w="4894" w:type="dxa"/>
            <w:vMerge/>
            <w:vAlign w:val="center"/>
          </w:tcPr>
          <w:p w:rsidR="00EA66F8" w:rsidRDefault="00EA66F8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  <w:lang w:bidi="ar"/>
              </w:rPr>
            </w:pPr>
          </w:p>
        </w:tc>
      </w:tr>
    </w:tbl>
    <w:p w:rsidR="00EA66F8" w:rsidRDefault="00EA66F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EA66F8" w:rsidRDefault="008639E2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9050" w:type="dxa"/>
        <w:tblInd w:w="-479" w:type="dxa"/>
        <w:tblLook w:val="04A0" w:firstRow="1" w:lastRow="0" w:firstColumn="1" w:lastColumn="0" w:noHBand="0" w:noVBand="1"/>
      </w:tblPr>
      <w:tblGrid>
        <w:gridCol w:w="2423"/>
        <w:gridCol w:w="4770"/>
        <w:gridCol w:w="1857"/>
      </w:tblGrid>
      <w:tr w:rsidR="00EA66F8">
        <w:trPr>
          <w:trHeight w:val="802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EA66F8">
        <w:trPr>
          <w:trHeight w:val="1538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手术体位托脚架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功能：</w:t>
            </w:r>
            <w:r>
              <w:rPr>
                <w:rFonts w:ascii="宋体" w:hAnsi="宋体" w:cs="宋体" w:hint="eastAsia"/>
                <w:sz w:val="24"/>
              </w:rPr>
              <w:t>主要适用于手术患者需要部分特定体位时，协助固定患者时使用。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脚架主体支撑结构材质应为不锈钢材质。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接触病人部分材质应为发泡</w:t>
            </w:r>
            <w:r>
              <w:rPr>
                <w:rFonts w:ascii="宋体" w:hAnsi="宋体" w:cs="宋体" w:hint="eastAsia"/>
                <w:sz w:val="24"/>
              </w:rPr>
              <w:t>PU</w:t>
            </w:r>
            <w:r>
              <w:rPr>
                <w:rFonts w:ascii="宋体" w:hAnsi="宋体" w:cs="宋体" w:hint="eastAsia"/>
                <w:sz w:val="24"/>
              </w:rPr>
              <w:t>材质，轻便且无接驳口，易清洁。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需适配我院现使用手术床且可快速安装，托腿架接触病人部分尺寸可根据手术床尺寸进行定制。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EA66F8">
        <w:trPr>
          <w:trHeight w:val="1538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lastRenderedPageBreak/>
              <w:t>手术通用体位流体垫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lang w:val="zh-CN"/>
              </w:rPr>
              <w:t>主要是用于手术中</w:t>
            </w:r>
            <w:r>
              <w:rPr>
                <w:rFonts w:ascii="宋体" w:hAnsi="宋体" w:cs="宋体" w:hint="eastAsia"/>
                <w:sz w:val="24"/>
              </w:rPr>
              <w:t>病人体位放置及固定，最大限度暴露术野，最大限度分散压力，减少压疮的发生和神经损伤</w:t>
            </w:r>
            <w:r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材质：高分子凝胶体位垫。有良好的柔软性和减震抗压性能。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绝缘不导电，有良好的耐候性。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防水，清洗消毒方便，可水洗和酒精消毒。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不含硅胶，乳胶，对人体无不良反应，本身不支持细菌生长。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垫子可透过</w:t>
            </w:r>
            <w:r>
              <w:rPr>
                <w:rFonts w:ascii="宋体" w:hAnsi="宋体" w:cs="宋体" w:hint="eastAsia"/>
                <w:sz w:val="24"/>
              </w:rPr>
              <w:t xml:space="preserve"> X </w:t>
            </w:r>
            <w:r>
              <w:rPr>
                <w:rFonts w:ascii="宋体" w:hAnsi="宋体" w:cs="宋体" w:hint="eastAsia"/>
                <w:sz w:val="24"/>
              </w:rPr>
              <w:t>光等放射线。</w:t>
            </w:r>
          </w:p>
          <w:p w:rsidR="00EA66F8" w:rsidRDefault="008639E2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具有良好的组织相容性。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EA66F8">
        <w:trPr>
          <w:trHeight w:val="1193"/>
        </w:trPr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A66F8" w:rsidRDefault="008639E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手术体位垫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lang w:val="zh-CN"/>
              </w:rPr>
              <w:t>用于手术过程中病人</w:t>
            </w:r>
            <w:r>
              <w:rPr>
                <w:rFonts w:ascii="宋体" w:hAnsi="宋体" w:cs="宋体" w:hint="eastAsia"/>
                <w:sz w:val="24"/>
              </w:rPr>
              <w:t>头部</w:t>
            </w:r>
            <w:r>
              <w:rPr>
                <w:rFonts w:ascii="宋体" w:hAnsi="宋体" w:cs="宋体" w:hint="eastAsia"/>
                <w:sz w:val="24"/>
                <w:lang w:val="zh-CN"/>
              </w:rPr>
              <w:t>体位的放置及固定。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材质：高分子凝胶体或记忆棉材质。有良好的柔软性和减震抗压性能。</w:t>
            </w:r>
          </w:p>
          <w:p w:rsidR="00EA66F8" w:rsidRDefault="008639E2">
            <w:pPr>
              <w:pStyle w:val="ae"/>
              <w:tabs>
                <w:tab w:val="left" w:pos="1252"/>
                <w:tab w:val="left" w:pos="1253"/>
              </w:tabs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垫子可根据实际情况上下调节高度。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垫子底部需具备镜子，可在麻醉中实时观察患者情况。</w:t>
            </w:r>
          </w:p>
          <w:p w:rsidR="00EA66F8" w:rsidRDefault="008639E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垫子绝缘不导电，有良好的耐候性。</w:t>
            </w:r>
          </w:p>
          <w:p w:rsidR="00EA66F8" w:rsidRDefault="008639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整体防水，清洗消毒方便，可水洗和酒精消毒。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A66F8" w:rsidRDefault="008639E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EA66F8" w:rsidRDefault="00EA66F8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EA66F8" w:rsidRDefault="008639E2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EA66F8" w:rsidRDefault="008639E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EA66F8" w:rsidRDefault="008639E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EA66F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6F8" w:rsidRDefault="00863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EA66F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66F8" w:rsidRDefault="00EA66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EA66F8" w:rsidRDefault="008639E2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EA66F8" w:rsidRDefault="008639E2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★设备使用年限多少年。</w:t>
      </w:r>
    </w:p>
    <w:p w:rsidR="00EA66F8" w:rsidRDefault="008639E2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6817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545"/>
      </w:tblGrid>
      <w:tr w:rsidR="00EA66F8">
        <w:tc>
          <w:tcPr>
            <w:tcW w:w="627" w:type="dxa"/>
          </w:tcPr>
          <w:p w:rsidR="00EA66F8" w:rsidRDefault="008639E2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EA66F8" w:rsidRDefault="008639E2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EA66F8" w:rsidRDefault="008639E2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EA66F8" w:rsidRDefault="008639E2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EA66F8" w:rsidRDefault="008639E2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EA66F8" w:rsidRDefault="008639E2">
            <w:r>
              <w:rPr>
                <w:rFonts w:hint="eastAsia"/>
              </w:rPr>
              <w:t>注册证号</w:t>
            </w:r>
          </w:p>
        </w:tc>
        <w:tc>
          <w:tcPr>
            <w:tcW w:w="545" w:type="dxa"/>
          </w:tcPr>
          <w:p w:rsidR="00EA66F8" w:rsidRDefault="008639E2">
            <w:r>
              <w:rPr>
                <w:rFonts w:hint="eastAsia"/>
              </w:rPr>
              <w:t>备注</w:t>
            </w:r>
          </w:p>
        </w:tc>
      </w:tr>
      <w:tr w:rsidR="00EA66F8">
        <w:tc>
          <w:tcPr>
            <w:tcW w:w="627" w:type="dxa"/>
          </w:tcPr>
          <w:p w:rsidR="00EA66F8" w:rsidRDefault="00EA66F8"/>
        </w:tc>
        <w:tc>
          <w:tcPr>
            <w:tcW w:w="1432" w:type="dxa"/>
          </w:tcPr>
          <w:p w:rsidR="00EA66F8" w:rsidRDefault="00EA66F8"/>
        </w:tc>
        <w:tc>
          <w:tcPr>
            <w:tcW w:w="1241" w:type="dxa"/>
          </w:tcPr>
          <w:p w:rsidR="00EA66F8" w:rsidRDefault="00EA66F8"/>
        </w:tc>
        <w:tc>
          <w:tcPr>
            <w:tcW w:w="845" w:type="dxa"/>
          </w:tcPr>
          <w:p w:rsidR="00EA66F8" w:rsidRDefault="00EA66F8"/>
        </w:tc>
        <w:tc>
          <w:tcPr>
            <w:tcW w:w="968" w:type="dxa"/>
          </w:tcPr>
          <w:p w:rsidR="00EA66F8" w:rsidRDefault="00EA66F8"/>
        </w:tc>
        <w:tc>
          <w:tcPr>
            <w:tcW w:w="1159" w:type="dxa"/>
          </w:tcPr>
          <w:p w:rsidR="00EA66F8" w:rsidRDefault="00EA66F8"/>
        </w:tc>
        <w:tc>
          <w:tcPr>
            <w:tcW w:w="545" w:type="dxa"/>
          </w:tcPr>
          <w:p w:rsidR="00EA66F8" w:rsidRDefault="00EA66F8"/>
        </w:tc>
      </w:tr>
    </w:tbl>
    <w:p w:rsidR="00EA66F8" w:rsidRDefault="00863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EA66F8" w:rsidRDefault="008639E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EA66F8" w:rsidRDefault="008639E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EA66F8" w:rsidRDefault="00863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EA66F8" w:rsidRDefault="008639E2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EA66F8" w:rsidRDefault="00863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EA66F8" w:rsidRDefault="00863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EA66F8" w:rsidRDefault="008639E2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EA66F8" w:rsidRDefault="008639E2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EA66F8" w:rsidRDefault="008639E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EA66F8" w:rsidRDefault="008639E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EA66F8" w:rsidRDefault="008639E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</w:t>
      </w:r>
      <w:r w:rsidR="003D3CED">
        <w:rPr>
          <w:rFonts w:ascii="宋体" w:hAnsi="宋体" w:cs="宋体"/>
          <w:szCs w:val="21"/>
          <w:shd w:val="clear" w:color="auto" w:fill="FFFFFF"/>
        </w:rPr>
        <w:t>2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3D3CED">
        <w:rPr>
          <w:rFonts w:ascii="宋体" w:hAnsi="宋体" w:cs="宋体" w:hint="eastAsia"/>
          <w:szCs w:val="21"/>
          <w:shd w:val="clear" w:color="auto" w:fill="FFFFFF"/>
        </w:rPr>
        <w:t>2</w:t>
      </w:r>
      <w:r w:rsidR="003D3CED">
        <w:rPr>
          <w:rFonts w:ascii="宋体" w:hAnsi="宋体" w:cs="宋体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EA66F8" w:rsidRDefault="008639E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纸质材料一式六份（一正五副），先寄一份正本纸质材料到医院地点。</w:t>
      </w:r>
    </w:p>
    <w:p w:rsidR="00EA66F8" w:rsidRDefault="008639E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EA66F8" w:rsidRDefault="008639E2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EA66F8" w:rsidRDefault="008639E2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（四）医院联系方式</w:t>
      </w:r>
    </w:p>
    <w:p w:rsidR="00EA66F8" w:rsidRDefault="00863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番禺中心医院设备科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戴</w:t>
      </w:r>
      <w:r>
        <w:rPr>
          <w:rFonts w:ascii="宋体" w:hAnsi="宋体" w:hint="eastAsia"/>
          <w:szCs w:val="21"/>
        </w:rPr>
        <w:t>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EA66F8" w:rsidRDefault="008639E2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EA66F8" w:rsidRDefault="00EA66F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EA66F8" w:rsidRDefault="008639E2">
      <w:pPr>
        <w:tabs>
          <w:tab w:val="left" w:pos="114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</w:t>
      </w:r>
      <w:r>
        <w:rPr>
          <w:rFonts w:ascii="宋体" w:hAnsi="宋体" w:hint="eastAsia"/>
          <w:szCs w:val="21"/>
        </w:rPr>
        <w:t>广州医科大学附属番禺中心医院</w:t>
      </w:r>
      <w:r>
        <w:rPr>
          <w:rFonts w:ascii="宋体" w:hAnsi="宋体" w:hint="eastAsia"/>
          <w:szCs w:val="21"/>
        </w:rPr>
        <w:t>手术室用具</w:t>
      </w:r>
      <w:r>
        <w:rPr>
          <w:rFonts w:ascii="宋体" w:hAnsi="宋体" w:hint="eastAsia"/>
          <w:szCs w:val="21"/>
        </w:rPr>
        <w:t>采购项目市场调查公告</w:t>
      </w:r>
    </w:p>
    <w:p w:rsidR="00EA66F8" w:rsidRDefault="00EA66F8">
      <w:pPr>
        <w:tabs>
          <w:tab w:val="left" w:pos="1140"/>
        </w:tabs>
        <w:spacing w:line="360" w:lineRule="auto"/>
        <w:rPr>
          <w:rFonts w:ascii="宋体" w:hAnsi="宋体"/>
          <w:szCs w:val="21"/>
        </w:rPr>
      </w:pPr>
    </w:p>
    <w:p w:rsidR="00EA66F8" w:rsidRDefault="008639E2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广州医科大学附属番禺中心医院</w:t>
      </w:r>
    </w:p>
    <w:p w:rsidR="00EA66F8" w:rsidRDefault="008639E2" w:rsidP="00FD1EA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3D3CED">
        <w:rPr>
          <w:rFonts w:ascii="宋体" w:hAnsi="宋体" w:hint="eastAsia"/>
          <w:sz w:val="24"/>
        </w:rPr>
        <w:t>2</w:t>
      </w:r>
      <w:r w:rsidR="003D3CED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EA66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2" w:rsidRDefault="008639E2">
      <w:r>
        <w:separator/>
      </w:r>
    </w:p>
  </w:endnote>
  <w:endnote w:type="continuationSeparator" w:id="0">
    <w:p w:rsidR="008639E2" w:rsidRDefault="0086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F8" w:rsidRDefault="008639E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6F8" w:rsidRDefault="008639E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1E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66F8" w:rsidRDefault="008639E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1E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2" w:rsidRDefault="008639E2">
      <w:r>
        <w:separator/>
      </w:r>
    </w:p>
  </w:footnote>
  <w:footnote w:type="continuationSeparator" w:id="0">
    <w:p w:rsidR="008639E2" w:rsidRDefault="0086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DFAEA33"/>
    <w:rsid w:val="AEF7A110"/>
    <w:rsid w:val="AF5C4425"/>
    <w:rsid w:val="BFFB2198"/>
    <w:rsid w:val="F6BBE296"/>
    <w:rsid w:val="F7EF55FD"/>
    <w:rsid w:val="F9B957F6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A25FE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55A8"/>
    <w:rsid w:val="0033074F"/>
    <w:rsid w:val="00330B8B"/>
    <w:rsid w:val="00352EAB"/>
    <w:rsid w:val="003778EF"/>
    <w:rsid w:val="003A5E09"/>
    <w:rsid w:val="003B12A7"/>
    <w:rsid w:val="003B2233"/>
    <w:rsid w:val="003D3CED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639E2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2543F"/>
    <w:rsid w:val="00D37831"/>
    <w:rsid w:val="00D64C80"/>
    <w:rsid w:val="00D7654A"/>
    <w:rsid w:val="00D8378C"/>
    <w:rsid w:val="00D85ADF"/>
    <w:rsid w:val="00D957BF"/>
    <w:rsid w:val="00DB7EDB"/>
    <w:rsid w:val="00DC2CA9"/>
    <w:rsid w:val="00DD52BC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A66F8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1EAD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195FA1"/>
    <w:rsid w:val="0B4739EB"/>
    <w:rsid w:val="0BA856D3"/>
    <w:rsid w:val="0BD75B02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390E1A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1FFFE2A0"/>
    <w:rsid w:val="203076BF"/>
    <w:rsid w:val="20362A4E"/>
    <w:rsid w:val="203D586C"/>
    <w:rsid w:val="203F6F0E"/>
    <w:rsid w:val="20857CD3"/>
    <w:rsid w:val="20CF13CE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150DD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9A7FFB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49C2D91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DF64C20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3FA6E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B10BAF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D76E8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3BA80D"/>
    <w:rsid w:val="7D7E216A"/>
    <w:rsid w:val="7DAE2D99"/>
    <w:rsid w:val="7DF72E77"/>
    <w:rsid w:val="7E202B6D"/>
    <w:rsid w:val="7E3A63DB"/>
    <w:rsid w:val="7E792FCF"/>
    <w:rsid w:val="7E981BDD"/>
    <w:rsid w:val="7EBF30AE"/>
    <w:rsid w:val="7F3E04DE"/>
    <w:rsid w:val="7F7F1206"/>
    <w:rsid w:val="7F871AF4"/>
    <w:rsid w:val="7F949A04"/>
    <w:rsid w:val="7F97DFAC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3F366"/>
  <w15:docId w15:val="{10A17BB4-64BE-4501-9C9E-8371E54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4</cp:revision>
  <dcterms:created xsi:type="dcterms:W3CDTF">2024-04-12T23:39:00Z</dcterms:created>
  <dcterms:modified xsi:type="dcterms:W3CDTF">2025-08-22T06:42:00Z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0C0F38FFF0F643FEB6DB86C37A67118A_13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