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cs="宋体"/>
          <w:b/>
          <w:sz w:val="84"/>
          <w:szCs w:val="84"/>
        </w:rPr>
      </w:pPr>
    </w:p>
    <w:p>
      <w:pPr>
        <w:snapToGrid w:val="0"/>
        <w:spacing w:before="156" w:beforeLines="50"/>
        <w:jc w:val="center"/>
        <w:rPr>
          <w:rFonts w:ascii="宋体" w:hAnsi="宋体" w:cs="宋体"/>
          <w:b/>
          <w:bCs/>
          <w:sz w:val="84"/>
          <w:szCs w:val="84"/>
        </w:rPr>
      </w:pPr>
      <w:r>
        <w:rPr>
          <w:rFonts w:hint="eastAsia" w:ascii="宋体" w:hAnsi="宋体" w:cs="宋体"/>
          <w:b/>
          <w:sz w:val="84"/>
          <w:szCs w:val="84"/>
        </w:rPr>
        <w:t>综合评审文件</w:t>
      </w:r>
    </w:p>
    <w:p>
      <w:pPr>
        <w:spacing w:line="360" w:lineRule="auto"/>
        <w:jc w:val="center"/>
        <w:rPr>
          <w:rFonts w:ascii="宋体" w:hAnsi="宋体" w:cs="宋体"/>
          <w:b/>
          <w:bCs/>
          <w:sz w:val="24"/>
          <w:szCs w:val="24"/>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r>
        <w:rPr>
          <w:rFonts w:hint="eastAsia" w:ascii="宋体" w:hAnsi="宋体" w:cs="宋体"/>
          <w:b/>
          <w:bCs/>
          <w:sz w:val="28"/>
          <w:szCs w:val="32"/>
        </w:rPr>
        <w:t>采购方式：综合评审</w:t>
      </w:r>
    </w:p>
    <w:p>
      <w:pPr>
        <w:spacing w:line="360" w:lineRule="auto"/>
        <w:ind w:left="1405" w:hanging="1405" w:hangingChars="500"/>
        <w:jc w:val="left"/>
        <w:rPr>
          <w:rFonts w:ascii="宋体" w:hAnsi="宋体" w:cs="宋体"/>
          <w:b/>
          <w:bCs/>
          <w:sz w:val="28"/>
          <w:szCs w:val="32"/>
        </w:rPr>
      </w:pPr>
      <w:r>
        <w:rPr>
          <w:rFonts w:hint="eastAsia" w:ascii="宋体" w:hAnsi="宋体" w:cs="宋体"/>
          <w:b/>
          <w:bCs/>
          <w:sz w:val="28"/>
          <w:szCs w:val="32"/>
        </w:rPr>
        <w:t>项目名称：肇庆市第三人民医院放射、B超类维保项目</w:t>
      </w:r>
    </w:p>
    <w:p>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肇庆市第三人民医院</w:t>
      </w:r>
    </w:p>
    <w:p>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云采链（广州）信息科技有限公司</w:t>
      </w:r>
    </w:p>
    <w:p>
      <w:pPr>
        <w:autoSpaceDE w:val="0"/>
        <w:autoSpaceDN w:val="0"/>
        <w:adjustRightInd w:val="0"/>
        <w:snapToGrid w:val="0"/>
        <w:spacing w:line="360" w:lineRule="auto"/>
        <w:ind w:left="420" w:firstLine="420"/>
        <w:jc w:val="center"/>
        <w:rPr>
          <w:rFonts w:ascii="宋体" w:hAnsi="宋体" w:cs="宋体"/>
          <w:sz w:val="28"/>
        </w:rPr>
      </w:pPr>
      <w:r>
        <w:rPr>
          <w:rFonts w:hint="eastAsia" w:ascii="宋体" w:hAnsi="宋体" w:cs="宋体"/>
          <w:b/>
          <w:sz w:val="28"/>
        </w:rPr>
        <w:t>二〇二四年三月</w:t>
      </w:r>
    </w:p>
    <w:p>
      <w:pPr>
        <w:autoSpaceDE w:val="0"/>
        <w:autoSpaceDN w:val="0"/>
        <w:adjustRightInd w:val="0"/>
        <w:snapToGrid w:val="0"/>
        <w:spacing w:line="360" w:lineRule="auto"/>
        <w:ind w:left="420" w:firstLine="420"/>
        <w:jc w:val="center"/>
        <w:rPr>
          <w:rFonts w:ascii="宋体" w:hAnsi="宋体" w:cs="宋体"/>
          <w:b/>
          <w:bCs/>
          <w:sz w:val="28"/>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9"/>
        <w:spacing w:before="0" w:after="0"/>
        <w:rPr>
          <w:rFonts w:ascii="宋体" w:hAnsi="宋体" w:cs="宋体"/>
        </w:rPr>
      </w:pPr>
      <w:r>
        <w:rPr>
          <w:rFonts w:hint="eastAsia" w:ascii="宋体" w:hAnsi="宋体" w:cs="宋体"/>
        </w:rPr>
        <w:t>第一章 线上评审须知</w:t>
      </w:r>
    </w:p>
    <w:p>
      <w:pPr>
        <w:pStyle w:val="50"/>
        <w:numPr>
          <w:ilvl w:val="0"/>
          <w:numId w:val="2"/>
        </w:numPr>
        <w:spacing w:line="360" w:lineRule="auto"/>
        <w:ind w:firstLineChars="0"/>
        <w:rPr>
          <w:rFonts w:ascii="宋体" w:hAnsi="宋体" w:cs="宋体"/>
        </w:rPr>
      </w:pPr>
      <w:r>
        <w:rPr>
          <w:rFonts w:hint="eastAsia" w:ascii="宋体" w:hAnsi="宋体" w:cs="宋体"/>
          <w:szCs w:val="21"/>
        </w:rPr>
        <w:t>本项目通过云采链线上采购一体化平台发布综合评审，响应供应商必须登录平台进行注册，注册成功后方可参与项目。</w:t>
      </w:r>
    </w:p>
    <w:p>
      <w:pPr>
        <w:pStyle w:val="50"/>
        <w:numPr>
          <w:ilvl w:val="0"/>
          <w:numId w:val="2"/>
        </w:numPr>
        <w:spacing w:line="360" w:lineRule="auto"/>
        <w:ind w:firstLineChars="0"/>
        <w:rPr>
          <w:rFonts w:ascii="宋体" w:hAnsi="宋体" w:cs="宋体"/>
        </w:rPr>
      </w:pPr>
      <w:r>
        <w:rPr>
          <w:rFonts w:hint="eastAsia" w:ascii="宋体" w:hAnsi="宋体" w:cs="宋体"/>
        </w:rPr>
        <w:t>语言要求</w:t>
      </w:r>
    </w:p>
    <w:p>
      <w:pPr>
        <w:spacing w:line="360" w:lineRule="auto"/>
        <w:ind w:left="420" w:leftChars="200"/>
        <w:rPr>
          <w:rFonts w:ascii="宋体" w:hAnsi="宋体" w:cs="宋体"/>
        </w:rPr>
      </w:pPr>
      <w:r>
        <w:rPr>
          <w:rFonts w:hint="eastAsia" w:ascii="宋体" w:hAnsi="宋体" w:cs="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0"/>
        <w:numPr>
          <w:ilvl w:val="0"/>
          <w:numId w:val="2"/>
        </w:numPr>
        <w:spacing w:line="360" w:lineRule="auto"/>
        <w:ind w:firstLineChars="0"/>
        <w:rPr>
          <w:rFonts w:ascii="宋体" w:hAnsi="宋体" w:cs="宋体"/>
          <w:b/>
          <w:bCs/>
        </w:rPr>
      </w:pPr>
      <w:r>
        <w:rPr>
          <w:rFonts w:hint="eastAsia" w:ascii="宋体" w:hAnsi="宋体" w:cs="宋体"/>
          <w:b/>
          <w:bCs/>
          <w:szCs w:val="21"/>
        </w:rPr>
        <w:t>在云采链平台参与项目响应后放弃成交资格超过三次（含三次）的供应商连同该供应商同一法人名下所有公司将被列入平台黑名单，永久不得参与平台的项目。</w:t>
      </w:r>
    </w:p>
    <w:p>
      <w:pPr>
        <w:pStyle w:val="50"/>
        <w:numPr>
          <w:ilvl w:val="0"/>
          <w:numId w:val="2"/>
        </w:numPr>
        <w:spacing w:line="360" w:lineRule="auto"/>
        <w:ind w:firstLineChars="0"/>
        <w:rPr>
          <w:rFonts w:ascii="宋体" w:hAnsi="宋体" w:cs="宋体"/>
        </w:rPr>
      </w:pPr>
      <w:r>
        <w:rPr>
          <w:rFonts w:hint="eastAsia" w:ascii="宋体" w:hAnsi="宋体" w:cs="宋体"/>
        </w:rPr>
        <w:t>综合评审须知</w:t>
      </w:r>
    </w:p>
    <w:p>
      <w:pPr>
        <w:pStyle w:val="50"/>
        <w:numPr>
          <w:ilvl w:val="0"/>
          <w:numId w:val="3"/>
        </w:numPr>
        <w:spacing w:line="360" w:lineRule="auto"/>
        <w:ind w:firstLineChars="0"/>
        <w:rPr>
          <w:rFonts w:ascii="宋体" w:hAnsi="宋体" w:cs="宋体"/>
          <w:b/>
        </w:rPr>
      </w:pPr>
      <w:r>
        <w:rPr>
          <w:rStyle w:val="25"/>
          <w:rFonts w:hint="eastAsia" w:ascii="宋体" w:hAnsi="宋体" w:cs="宋体"/>
        </w:rPr>
        <w:t>综合评审说明</w:t>
      </w:r>
    </w:p>
    <w:p>
      <w:pPr>
        <w:pStyle w:val="50"/>
        <w:numPr>
          <w:ilvl w:val="0"/>
          <w:numId w:val="4"/>
        </w:numPr>
        <w:tabs>
          <w:tab w:val="left" w:pos="851"/>
        </w:tabs>
        <w:spacing w:line="360" w:lineRule="auto"/>
        <w:ind w:firstLineChars="0"/>
        <w:rPr>
          <w:rFonts w:ascii="宋体" w:hAnsi="宋体" w:cs="宋体"/>
        </w:rPr>
      </w:pPr>
      <w:r>
        <w:rPr>
          <w:rFonts w:hint="eastAsia" w:ascii="宋体" w:hAnsi="宋体" w:cs="宋体"/>
          <w:szCs w:val="21"/>
        </w:rPr>
        <w:t>参与综合评审的供应商应承担所有与准备和参加项目有关的费用，不</w:t>
      </w:r>
      <w:r>
        <w:rPr>
          <w:rFonts w:hint="eastAsia" w:ascii="宋体" w:hAnsi="宋体" w:cs="宋体"/>
          <w:szCs w:val="21"/>
          <w:lang w:eastAsia="zh-TW"/>
        </w:rPr>
        <w:t>论</w:t>
      </w:r>
      <w:r>
        <w:rPr>
          <w:rFonts w:hint="eastAsia" w:ascii="宋体" w:hAnsi="宋体" w:cs="宋体"/>
          <w:szCs w:val="21"/>
        </w:rPr>
        <w:t>综合评审</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50"/>
        <w:numPr>
          <w:ilvl w:val="0"/>
          <w:numId w:val="4"/>
        </w:numPr>
        <w:spacing w:line="360" w:lineRule="auto"/>
        <w:ind w:firstLineChars="0"/>
        <w:rPr>
          <w:rFonts w:ascii="宋体" w:hAnsi="宋体" w:cs="宋体"/>
        </w:rPr>
      </w:pPr>
      <w:r>
        <w:rPr>
          <w:rFonts w:hint="eastAsia" w:ascii="宋体" w:hAnsi="宋体" w:cs="宋体"/>
          <w:szCs w:val="21"/>
        </w:rPr>
        <w:t>参与综合评审的</w:t>
      </w:r>
      <w:r>
        <w:rPr>
          <w:rFonts w:hint="eastAsia" w:ascii="宋体" w:hAnsi="宋体" w:cs="宋体"/>
          <w:bCs/>
          <w:szCs w:val="21"/>
        </w:rPr>
        <w:t>供应商必须按</w:t>
      </w:r>
      <w:r>
        <w:rPr>
          <w:rFonts w:hint="eastAsia" w:ascii="宋体" w:hAnsi="宋体" w:cs="宋体"/>
          <w:szCs w:val="21"/>
        </w:rPr>
        <w:t>综合评审</w:t>
      </w:r>
      <w:r>
        <w:rPr>
          <w:rFonts w:hint="eastAsia" w:ascii="宋体" w:hAnsi="宋体" w:cs="宋体"/>
          <w:bCs/>
          <w:szCs w:val="21"/>
        </w:rPr>
        <w:t>附件的格式填写，不得随意增加或删除表格内容。除单价、金额或项目要求填写的内容外，不得擅自改动</w:t>
      </w:r>
      <w:r>
        <w:rPr>
          <w:rFonts w:hint="eastAsia" w:ascii="宋体" w:hAnsi="宋体" w:cs="宋体"/>
          <w:szCs w:val="21"/>
        </w:rPr>
        <w:t>综合评审</w:t>
      </w:r>
      <w:r>
        <w:rPr>
          <w:rFonts w:hint="eastAsia" w:ascii="宋体" w:hAnsi="宋体" w:cs="宋体"/>
          <w:bCs/>
          <w:szCs w:val="21"/>
        </w:rPr>
        <w:t>附件内容，否则将有可能影响成交结果，不推荐为成交候选人。</w:t>
      </w:r>
    </w:p>
    <w:p>
      <w:pPr>
        <w:pStyle w:val="50"/>
        <w:numPr>
          <w:ilvl w:val="0"/>
          <w:numId w:val="4"/>
        </w:numPr>
        <w:spacing w:line="360" w:lineRule="auto"/>
        <w:ind w:firstLineChars="0"/>
        <w:rPr>
          <w:rFonts w:ascii="宋体" w:hAnsi="宋体" w:cs="宋体"/>
        </w:rPr>
      </w:pPr>
      <w:r>
        <w:rPr>
          <w:rFonts w:hint="eastAsia" w:ascii="宋体" w:hAnsi="宋体" w:cs="宋体"/>
          <w:szCs w:val="21"/>
        </w:rPr>
        <w:t>若成交供应商自身原因无法完成本项目，则采购人有权利保留追究责任。</w:t>
      </w:r>
    </w:p>
    <w:p>
      <w:pPr>
        <w:pStyle w:val="50"/>
        <w:numPr>
          <w:ilvl w:val="0"/>
          <w:numId w:val="4"/>
        </w:numPr>
        <w:spacing w:line="360" w:lineRule="auto"/>
        <w:ind w:firstLineChars="0"/>
        <w:rPr>
          <w:rFonts w:ascii="宋体" w:hAnsi="宋体" w:cs="宋体"/>
        </w:rPr>
      </w:pPr>
      <w:r>
        <w:rPr>
          <w:rFonts w:hint="eastAsia" w:ascii="宋体" w:hAnsi="宋体" w:cs="宋体"/>
        </w:rPr>
        <w:t>成交供应商因自身原因被取消成交资格，采购人可重新启动采购或按</w:t>
      </w:r>
      <w:r>
        <w:rPr>
          <w:rFonts w:hint="eastAsia" w:ascii="宋体" w:hAnsi="宋体" w:cs="宋体"/>
          <w:szCs w:val="21"/>
        </w:rPr>
        <w:t>综合评审</w:t>
      </w:r>
      <w:r>
        <w:rPr>
          <w:rFonts w:hint="eastAsia" w:ascii="宋体" w:hAnsi="宋体" w:cs="宋体"/>
        </w:rPr>
        <w:t>公告规定顺延推选符合要求的供应商作为成交人。</w:t>
      </w:r>
    </w:p>
    <w:p>
      <w:pPr>
        <w:pStyle w:val="50"/>
        <w:numPr>
          <w:ilvl w:val="0"/>
          <w:numId w:val="4"/>
        </w:numPr>
        <w:spacing w:line="360" w:lineRule="auto"/>
        <w:ind w:firstLineChars="0"/>
        <w:rPr>
          <w:rFonts w:ascii="宋体" w:hAnsi="宋体" w:cs="宋体"/>
        </w:rPr>
      </w:pPr>
      <w:r>
        <w:rPr>
          <w:rFonts w:hint="eastAsia" w:ascii="宋体" w:hAnsi="宋体" w:cs="宋体"/>
        </w:rPr>
        <w:t>若本项目</w:t>
      </w:r>
      <w:r>
        <w:rPr>
          <w:rFonts w:hint="eastAsia" w:ascii="宋体" w:hAnsi="宋体" w:cs="宋体"/>
          <w:szCs w:val="21"/>
        </w:rPr>
        <w:t>综合评审</w:t>
      </w:r>
      <w:r>
        <w:rPr>
          <w:rFonts w:hint="eastAsia" w:ascii="宋体" w:hAnsi="宋体" w:cs="宋体"/>
        </w:rPr>
        <w:t>采购失败，采购人将重新采购，届时采购人有权根据项目具体情况，决定重新采购项目的采购方式。</w:t>
      </w:r>
    </w:p>
    <w:p>
      <w:pPr>
        <w:pStyle w:val="50"/>
        <w:numPr>
          <w:ilvl w:val="0"/>
          <w:numId w:val="4"/>
        </w:numPr>
        <w:spacing w:line="360" w:lineRule="auto"/>
        <w:ind w:firstLineChars="0"/>
        <w:rPr>
          <w:rFonts w:ascii="宋体" w:hAnsi="宋体" w:cs="宋体"/>
        </w:rPr>
      </w:pPr>
      <w:r>
        <w:rPr>
          <w:rFonts w:hint="eastAsia" w:ascii="宋体" w:hAnsi="宋体" w:cs="宋体"/>
        </w:rPr>
        <w:t>成交供应商若无正当理由恶意放弃成交资格，采购人有权将拒绝其参加本项目重新组织的</w:t>
      </w:r>
      <w:r>
        <w:rPr>
          <w:rFonts w:hint="eastAsia" w:ascii="宋体" w:hAnsi="宋体" w:cs="宋体"/>
          <w:szCs w:val="21"/>
        </w:rPr>
        <w:t>综合评审</w:t>
      </w:r>
      <w:r>
        <w:rPr>
          <w:rFonts w:hint="eastAsia" w:ascii="宋体" w:hAnsi="宋体" w:cs="宋体"/>
        </w:rPr>
        <w:t>采购活动。</w:t>
      </w:r>
    </w:p>
    <w:p>
      <w:pPr>
        <w:pStyle w:val="50"/>
        <w:numPr>
          <w:ilvl w:val="0"/>
          <w:numId w:val="4"/>
        </w:numPr>
        <w:spacing w:line="360" w:lineRule="auto"/>
        <w:ind w:firstLineChars="0"/>
        <w:rPr>
          <w:rFonts w:ascii="宋体" w:hAnsi="宋体" w:cs="宋体"/>
        </w:rPr>
      </w:pPr>
      <w:r>
        <w:rPr>
          <w:rFonts w:hint="eastAsia" w:ascii="宋体" w:hAnsi="宋体" w:cs="宋体"/>
        </w:rPr>
        <w:t>如采购人或代理机构在审核或复核</w:t>
      </w:r>
      <w:r>
        <w:rPr>
          <w:rFonts w:hint="eastAsia" w:ascii="宋体" w:hAnsi="宋体" w:cs="宋体"/>
          <w:szCs w:val="21"/>
        </w:rPr>
        <w:t>参与综合评审的</w:t>
      </w:r>
      <w:r>
        <w:rPr>
          <w:rFonts w:hint="eastAsia" w:ascii="宋体" w:hAnsi="宋体" w:cs="宋体"/>
        </w:rPr>
        <w:t>供应商所提交的</w:t>
      </w:r>
      <w:r>
        <w:rPr>
          <w:rFonts w:hint="eastAsia" w:ascii="宋体" w:hAnsi="宋体" w:cs="宋体"/>
          <w:szCs w:val="21"/>
        </w:rPr>
        <w:t>综合评审</w:t>
      </w:r>
      <w:r>
        <w:rPr>
          <w:rFonts w:hint="eastAsia" w:ascii="宋体" w:hAnsi="宋体" w:cs="宋体"/>
        </w:rPr>
        <w:t>资料时，供应商须无条件配合；期间若发现存在弄虚作假或相关的失信记录或违反国家法律法规等相关的不良情形，采购人可取消其成交资格并保留追究责任的权力。</w:t>
      </w:r>
    </w:p>
    <w:p>
      <w:pPr>
        <w:pStyle w:val="50"/>
        <w:numPr>
          <w:ilvl w:val="0"/>
          <w:numId w:val="4"/>
        </w:numPr>
        <w:spacing w:line="360" w:lineRule="auto"/>
        <w:ind w:firstLineChars="0"/>
        <w:rPr>
          <w:rFonts w:ascii="宋体" w:hAnsi="宋体" w:cs="宋体"/>
        </w:rPr>
      </w:pPr>
      <w:r>
        <w:rPr>
          <w:rFonts w:hint="eastAsia" w:ascii="宋体" w:hAnsi="宋体" w:cs="宋体"/>
          <w:szCs w:val="21"/>
        </w:rPr>
        <w:t>参与综合评审的</w:t>
      </w:r>
      <w:r>
        <w:rPr>
          <w:rFonts w:hint="eastAsia" w:ascii="宋体" w:hAnsi="宋体" w:cs="宋体"/>
          <w:szCs w:val="21"/>
          <w:lang w:eastAsia="zh-TW"/>
        </w:rPr>
        <w:t>供应商向我司咨询的有关项目事项，一切以综合评审</w:t>
      </w:r>
      <w:r>
        <w:rPr>
          <w:rFonts w:hint="eastAsia" w:ascii="宋体" w:hAnsi="宋体" w:cs="宋体"/>
          <w:szCs w:val="21"/>
        </w:rPr>
        <w:t>文件</w:t>
      </w:r>
      <w:r>
        <w:rPr>
          <w:rFonts w:hint="eastAsia" w:ascii="宋体" w:hAnsi="宋体" w:cs="宋体"/>
          <w:szCs w:val="21"/>
          <w:lang w:eastAsia="zh-TW"/>
        </w:rPr>
        <w:t>规定</w:t>
      </w:r>
      <w:r>
        <w:rPr>
          <w:rFonts w:hint="eastAsia" w:ascii="宋体" w:hAnsi="宋体" w:cs="宋体"/>
          <w:szCs w:val="21"/>
        </w:rPr>
        <w:t>和综合评审公告规定以及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50"/>
        <w:numPr>
          <w:ilvl w:val="0"/>
          <w:numId w:val="4"/>
        </w:numPr>
        <w:spacing w:line="360" w:lineRule="auto"/>
        <w:ind w:firstLineChars="0"/>
        <w:rPr>
          <w:rFonts w:ascii="宋体" w:hAnsi="宋体" w:cs="宋体"/>
        </w:rPr>
      </w:pPr>
      <w:r>
        <w:rPr>
          <w:rFonts w:hint="eastAsia" w:ascii="宋体" w:hAnsi="宋体" w:cs="宋体"/>
          <w:szCs w:val="21"/>
        </w:rPr>
        <w:t>参与本次综合评审的供应商应认真阅读</w:t>
      </w:r>
      <w:r>
        <w:rPr>
          <w:rFonts w:hint="eastAsia" w:ascii="宋体" w:hAnsi="宋体" w:cs="宋体"/>
          <w:szCs w:val="21"/>
          <w:lang w:eastAsia="zh-TW"/>
        </w:rPr>
        <w:t>、并充分理解</w:t>
      </w:r>
      <w:r>
        <w:rPr>
          <w:rFonts w:hint="eastAsia" w:ascii="宋体" w:hAnsi="宋体" w:cs="宋体"/>
          <w:szCs w:val="21"/>
        </w:rPr>
        <w:t>综合评审</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没有按照综合评审文件要求提交全部资料，或者</w:t>
      </w:r>
      <w:r>
        <w:rPr>
          <w:rFonts w:hint="eastAsia" w:ascii="宋体" w:hAnsi="宋体" w:cs="宋体"/>
          <w:szCs w:val="21"/>
        </w:rPr>
        <w:t>参与项目所上传的</w:t>
      </w:r>
      <w:r>
        <w:rPr>
          <w:rFonts w:hint="eastAsia" w:ascii="宋体" w:hAnsi="宋体" w:cs="宋体"/>
          <w:szCs w:val="21"/>
          <w:lang w:eastAsia="zh-TW"/>
        </w:rPr>
        <w:t>文件没有对综合评审文件在各方面都作出实质性响应是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的风险，有可能导致其参与评审项目被拒绝，</w:t>
      </w:r>
      <w:r>
        <w:rPr>
          <w:rFonts w:hint="eastAsia" w:ascii="宋体" w:hAnsi="宋体" w:cs="宋体"/>
          <w:szCs w:val="21"/>
        </w:rPr>
        <w:t>或被认定为无效响应。</w:t>
      </w:r>
    </w:p>
    <w:p>
      <w:pPr>
        <w:pStyle w:val="50"/>
        <w:numPr>
          <w:ilvl w:val="0"/>
          <w:numId w:val="4"/>
        </w:numPr>
        <w:spacing w:line="360" w:lineRule="auto"/>
        <w:ind w:firstLineChars="0"/>
        <w:rPr>
          <w:rFonts w:ascii="宋体" w:hAnsi="宋体" w:cs="宋体"/>
        </w:rPr>
      </w:pPr>
      <w:r>
        <w:rPr>
          <w:rFonts w:hint="eastAsia" w:ascii="宋体" w:hAnsi="宋体" w:cs="宋体"/>
          <w:kern w:val="0"/>
          <w:szCs w:val="21"/>
        </w:rPr>
        <w:t>采购人有权拒绝接受任何不合格的货物或服务，由此产生的费用及相关后果均由成交供应商自行承担。</w:t>
      </w:r>
    </w:p>
    <w:p>
      <w:pPr>
        <w:pStyle w:val="50"/>
        <w:numPr>
          <w:ilvl w:val="0"/>
          <w:numId w:val="4"/>
        </w:numPr>
        <w:spacing w:line="360" w:lineRule="auto"/>
        <w:ind w:firstLineChars="0"/>
        <w:rPr>
          <w:rFonts w:ascii="宋体" w:hAnsi="宋体" w:cs="宋体"/>
        </w:rPr>
      </w:pPr>
      <w:r>
        <w:rPr>
          <w:rFonts w:hint="eastAsia" w:ascii="宋体" w:hAnsi="宋体" w:cs="宋体"/>
        </w:rPr>
        <w:t>供应商认为评审结果损害其权益的，应按照云采链平台相关指引在规定的时间内向采购人或代理机构提交书面质疑，不提交的视为无异议，逾期提交将不予受理。</w:t>
      </w:r>
    </w:p>
    <w:p>
      <w:pPr>
        <w:pStyle w:val="50"/>
        <w:numPr>
          <w:ilvl w:val="0"/>
          <w:numId w:val="4"/>
        </w:numPr>
        <w:spacing w:line="360" w:lineRule="auto"/>
        <w:ind w:firstLineChars="0"/>
        <w:rPr>
          <w:rFonts w:ascii="宋体" w:hAnsi="宋体" w:cs="宋体"/>
        </w:rPr>
      </w:pPr>
      <w:r>
        <w:rPr>
          <w:rFonts w:hint="eastAsia" w:ascii="宋体" w:hAnsi="宋体" w:cs="宋体"/>
          <w:szCs w:val="21"/>
        </w:rPr>
        <w:t>本综合评审公告和综合评审文件的解释权归</w:t>
      </w:r>
      <w:r>
        <w:rPr>
          <w:rFonts w:hint="eastAsia" w:ascii="宋体" w:hAnsi="宋体" w:cs="宋体"/>
          <w:szCs w:val="21"/>
          <w:lang w:eastAsia="zh-TW"/>
        </w:rPr>
        <w:t>“</w:t>
      </w:r>
      <w:r>
        <w:rPr>
          <w:rFonts w:hint="eastAsia" w:ascii="宋体" w:hAnsi="宋体" w:cs="宋体"/>
        </w:rPr>
        <w:t>云采链线上采购一体化平台</w:t>
      </w:r>
      <w:r>
        <w:rPr>
          <w:rFonts w:hint="eastAsia" w:ascii="宋体" w:hAnsi="宋体" w:cs="宋体"/>
          <w:szCs w:val="21"/>
          <w:lang w:eastAsia="zh-TW"/>
        </w:rPr>
        <w:t>”所有。</w:t>
      </w:r>
    </w:p>
    <w:p>
      <w:pPr>
        <w:pStyle w:val="50"/>
        <w:numPr>
          <w:ilvl w:val="0"/>
          <w:numId w:val="3"/>
        </w:numPr>
        <w:spacing w:line="360" w:lineRule="auto"/>
        <w:ind w:firstLineChars="0"/>
        <w:rPr>
          <w:rFonts w:ascii="宋体" w:hAnsi="宋体" w:cs="宋体"/>
        </w:rPr>
      </w:pPr>
      <w:r>
        <w:rPr>
          <w:rFonts w:hint="eastAsia" w:ascii="宋体" w:hAnsi="宋体" w:cs="宋体"/>
          <w:b/>
        </w:rPr>
        <w:t>综合评审文件的澄清或修改</w:t>
      </w:r>
    </w:p>
    <w:p>
      <w:pPr>
        <w:pStyle w:val="50"/>
        <w:numPr>
          <w:ilvl w:val="0"/>
          <w:numId w:val="5"/>
        </w:numPr>
        <w:spacing w:line="360" w:lineRule="auto"/>
        <w:ind w:firstLineChars="0"/>
        <w:rPr>
          <w:rFonts w:ascii="宋体" w:hAnsi="宋体" w:cs="宋体"/>
        </w:rPr>
      </w:pPr>
      <w:r>
        <w:rPr>
          <w:rFonts w:hint="eastAsia" w:ascii="宋体" w:hAnsi="宋体" w:cs="宋体"/>
        </w:rPr>
        <w:t>采购人或者采购代理机构可以对已发出的</w:t>
      </w:r>
      <w:r>
        <w:rPr>
          <w:rFonts w:hint="eastAsia" w:ascii="宋体" w:hAnsi="宋体" w:cs="宋体"/>
          <w:szCs w:val="21"/>
        </w:rPr>
        <w:t>综合评审</w:t>
      </w:r>
      <w:r>
        <w:rPr>
          <w:rFonts w:hint="eastAsia" w:ascii="宋体" w:hAnsi="宋体" w:cs="宋体"/>
        </w:rPr>
        <w:t>文件进行必要的澄清或者修改。澄清或者修改的内容将在云采链平台上发布澄清（更正/变更）公告。</w:t>
      </w:r>
    </w:p>
    <w:p>
      <w:pPr>
        <w:pStyle w:val="50"/>
        <w:numPr>
          <w:ilvl w:val="0"/>
          <w:numId w:val="5"/>
        </w:numPr>
        <w:spacing w:line="360" w:lineRule="auto"/>
        <w:ind w:firstLineChars="0"/>
        <w:rPr>
          <w:rFonts w:ascii="宋体" w:hAnsi="宋体" w:cs="宋体"/>
        </w:rPr>
      </w:pPr>
      <w:r>
        <w:rPr>
          <w:rFonts w:hint="eastAsia" w:ascii="宋体" w:hAnsi="宋体" w:cs="宋体"/>
        </w:rPr>
        <w:t>无论澄清或者修改的内容是否影响</w:t>
      </w:r>
      <w:r>
        <w:rPr>
          <w:rFonts w:hint="eastAsia" w:ascii="宋体" w:hAnsi="宋体" w:cs="宋体"/>
          <w:szCs w:val="21"/>
        </w:rPr>
        <w:t>综合评审</w:t>
      </w:r>
      <w:r>
        <w:rPr>
          <w:rFonts w:hint="eastAsia" w:ascii="宋体" w:hAnsi="宋体" w:cs="宋体"/>
        </w:rPr>
        <w:t>，平台将以短信形式通知所有的报名供应商；报名供应商应按要求履行相应的义务；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cs="宋体"/>
        </w:rPr>
        <w:t>采购人或者采购代理机构应当相应顺延报名的截止时间。</w:t>
      </w:r>
    </w:p>
    <w:p>
      <w:pPr>
        <w:pStyle w:val="50"/>
        <w:numPr>
          <w:ilvl w:val="0"/>
          <w:numId w:val="5"/>
        </w:numPr>
        <w:spacing w:line="360" w:lineRule="auto"/>
        <w:ind w:firstLineChars="0"/>
        <w:rPr>
          <w:rFonts w:ascii="宋体" w:hAnsi="宋体" w:cs="宋体"/>
        </w:rPr>
      </w:pPr>
      <w:r>
        <w:rPr>
          <w:rFonts w:hint="eastAsia" w:ascii="宋体" w:hAnsi="宋体" w:cs="宋体"/>
        </w:rPr>
        <w:t>采购人或者采购代理机构发出的澄清或修改（更正/变更）的内容为</w:t>
      </w:r>
      <w:r>
        <w:rPr>
          <w:rFonts w:hint="eastAsia" w:ascii="宋体" w:hAnsi="宋体" w:cs="宋体"/>
          <w:szCs w:val="21"/>
        </w:rPr>
        <w:t>综合评审</w:t>
      </w:r>
      <w:r>
        <w:rPr>
          <w:rFonts w:hint="eastAsia" w:ascii="宋体" w:hAnsi="宋体" w:cs="宋体"/>
        </w:rPr>
        <w:t>文件的组成部分，并对供应商具有约束力。</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报名要求（</w:t>
      </w:r>
      <w:r>
        <w:rPr>
          <w:rFonts w:hint="eastAsia" w:ascii="宋体" w:hAnsi="宋体" w:cs="宋体"/>
          <w:szCs w:val="21"/>
        </w:rPr>
        <w:t>参与综合评审的</w:t>
      </w:r>
      <w:r>
        <w:rPr>
          <w:rStyle w:val="25"/>
          <w:rFonts w:hint="eastAsia" w:ascii="宋体" w:hAnsi="宋体" w:cs="宋体"/>
          <w:bCs w:val="0"/>
        </w:rPr>
        <w:t>供应商资质要求:</w:t>
      </w:r>
      <w:r>
        <w:rPr>
          <w:rStyle w:val="25"/>
          <w:rFonts w:hint="eastAsia" w:ascii="宋体" w:hAnsi="宋体" w:cs="宋体"/>
          <w:b w:val="0"/>
          <w:szCs w:val="21"/>
        </w:rPr>
        <w:t xml:space="preserve"> 报名时需要提供以下</w:t>
      </w:r>
      <w:r>
        <w:rPr>
          <w:rStyle w:val="25"/>
          <w:rFonts w:hint="eastAsia" w:ascii="宋体" w:hAnsi="宋体" w:cs="宋体"/>
          <w:szCs w:val="21"/>
          <w:u w:val="double"/>
        </w:rPr>
        <w:t>盖章</w:t>
      </w:r>
      <w:r>
        <w:rPr>
          <w:rStyle w:val="25"/>
          <w:rFonts w:hint="eastAsia" w:ascii="宋体" w:hAnsi="宋体" w:cs="宋体"/>
          <w:b w:val="0"/>
          <w:szCs w:val="21"/>
        </w:rPr>
        <w:t>资料，</w:t>
      </w:r>
      <w:r>
        <w:rPr>
          <w:rFonts w:hint="eastAsia" w:ascii="宋体" w:hAnsi="宋体" w:cs="宋体"/>
          <w:szCs w:val="21"/>
        </w:rPr>
        <w:t>并对上传的报名文件资料承担责任</w:t>
      </w:r>
      <w:r>
        <w:rPr>
          <w:rStyle w:val="25"/>
          <w:rFonts w:hint="eastAsia" w:ascii="宋体" w:hAnsi="宋体" w:cs="宋体"/>
          <w:bCs w:val="0"/>
        </w:rPr>
        <w:t>）</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满足《中华人民共和国政府采购法》第二十二条规定；本项目不允许联合参与评审；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w:t>
      </w:r>
      <w:r>
        <w:rPr>
          <w:rFonts w:hint="eastAsia" w:ascii="宋体" w:hAnsi="宋体" w:cs="宋体"/>
          <w:b/>
          <w:kern w:val="0"/>
          <w:szCs w:val="21"/>
        </w:rPr>
        <w:t>格式见附件</w:t>
      </w:r>
      <w:r>
        <w:rPr>
          <w:rFonts w:hint="eastAsia" w:ascii="宋体" w:hAnsi="宋体" w:cs="宋体"/>
          <w:bCs/>
          <w:kern w:val="0"/>
          <w:szCs w:val="21"/>
        </w:rPr>
        <w:t>）；</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报价要求</w:t>
      </w:r>
      <w:r>
        <w:rPr>
          <w:rStyle w:val="25"/>
          <w:rFonts w:hint="eastAsia" w:ascii="宋体" w:hAnsi="宋体" w:cs="宋体"/>
          <w:szCs w:val="21"/>
        </w:rPr>
        <w:t>（</w:t>
      </w:r>
      <w:r>
        <w:rPr>
          <w:rStyle w:val="25"/>
          <w:rFonts w:hint="eastAsia" w:ascii="宋体" w:hAnsi="宋体" w:cs="宋体"/>
          <w:b w:val="0"/>
          <w:szCs w:val="21"/>
        </w:rPr>
        <w:t>报价时需要提供以下</w:t>
      </w:r>
      <w:r>
        <w:rPr>
          <w:rStyle w:val="25"/>
          <w:rFonts w:hint="eastAsia" w:ascii="宋体" w:hAnsi="宋体" w:cs="宋体"/>
          <w:szCs w:val="21"/>
          <w:u w:val="double"/>
        </w:rPr>
        <w:t>盖章</w:t>
      </w:r>
      <w:r>
        <w:rPr>
          <w:rStyle w:val="25"/>
          <w:rFonts w:hint="eastAsia" w:ascii="宋体" w:hAnsi="宋体" w:cs="宋体"/>
          <w:b w:val="0"/>
          <w:szCs w:val="21"/>
        </w:rPr>
        <w:t>资料，</w:t>
      </w:r>
      <w:r>
        <w:rPr>
          <w:rFonts w:hint="eastAsia" w:ascii="宋体" w:hAnsi="宋体" w:cs="宋体"/>
          <w:szCs w:val="21"/>
        </w:rPr>
        <w:t>并对上传的响应文件资料承担责任</w:t>
      </w:r>
      <w:r>
        <w:rPr>
          <w:rStyle w:val="25"/>
          <w:rFonts w:hint="eastAsia" w:ascii="宋体" w:hAnsi="宋体" w:cs="宋体"/>
          <w:szCs w:val="21"/>
        </w:rPr>
        <w:t>）</w:t>
      </w:r>
    </w:p>
    <w:p>
      <w:pPr>
        <w:pStyle w:val="67"/>
        <w:widowControl/>
        <w:numPr>
          <w:ilvl w:val="0"/>
          <w:numId w:val="7"/>
        </w:numPr>
        <w:spacing w:line="360" w:lineRule="auto"/>
        <w:ind w:firstLineChars="0"/>
        <w:rPr>
          <w:rFonts w:ascii="宋体" w:hAnsi="宋体" w:cs="宋体"/>
        </w:rPr>
      </w:pPr>
      <w:r>
        <w:rPr>
          <w:rFonts w:hint="eastAsia" w:ascii="宋体" w:hAnsi="宋体" w:cs="宋体"/>
          <w:szCs w:val="21"/>
        </w:rPr>
        <w:t>通过报名供应商应根据本公告要求，在规定的时间内对采购项目进行响应，同时按本公告要求完整</w:t>
      </w:r>
      <w:r>
        <w:rPr>
          <w:rFonts w:hint="eastAsia" w:ascii="宋体" w:hAnsi="宋体" w:cs="宋体"/>
          <w:szCs w:val="21"/>
          <w:lang w:eastAsia="zh-TW"/>
        </w:rPr>
        <w:t>、真实、准确地</w:t>
      </w:r>
      <w:r>
        <w:rPr>
          <w:rFonts w:hint="eastAsia" w:ascii="宋体" w:hAnsi="宋体" w:cs="宋体"/>
          <w:szCs w:val="21"/>
        </w:rPr>
        <w:t>填写并上传相应报价附件（</w:t>
      </w:r>
      <w:r>
        <w:rPr>
          <w:rFonts w:hint="eastAsia" w:ascii="宋体" w:hAnsi="宋体" w:cs="宋体"/>
          <w:b/>
          <w:szCs w:val="21"/>
        </w:rPr>
        <w:t>上传</w:t>
      </w:r>
      <w:r>
        <w:rPr>
          <w:rFonts w:hint="eastAsia" w:ascii="宋体" w:hAnsi="宋体" w:cs="宋体"/>
          <w:b/>
        </w:rPr>
        <w:t>报价表、</w:t>
      </w:r>
      <w:r>
        <w:rPr>
          <w:rFonts w:hint="eastAsia" w:ascii="宋体" w:hAnsi="宋体" w:cs="宋体"/>
          <w:b/>
          <w:kern w:val="0"/>
          <w:szCs w:val="21"/>
          <w:lang w:bidi="ar"/>
        </w:rPr>
        <w:t>响应文件和评分标准</w:t>
      </w:r>
      <w:r>
        <w:rPr>
          <w:rFonts w:hint="eastAsia" w:ascii="宋体" w:hAnsi="宋体" w:cs="宋体"/>
          <w:b/>
          <w:szCs w:val="21"/>
        </w:rPr>
        <w:t>提及的相关证明材料等</w:t>
      </w:r>
      <w:r>
        <w:rPr>
          <w:rFonts w:hint="eastAsia" w:ascii="宋体" w:hAnsi="宋体" w:cs="宋体"/>
          <w:szCs w:val="21"/>
        </w:rPr>
        <w:t>）。</w:t>
      </w:r>
    </w:p>
    <w:p>
      <w:pPr>
        <w:pStyle w:val="67"/>
        <w:widowControl/>
        <w:numPr>
          <w:ilvl w:val="0"/>
          <w:numId w:val="7"/>
        </w:numPr>
        <w:spacing w:line="360" w:lineRule="auto"/>
        <w:ind w:firstLineChars="0"/>
        <w:rPr>
          <w:rFonts w:ascii="宋体" w:hAnsi="宋体" w:cs="宋体"/>
        </w:rPr>
      </w:pPr>
      <w:r>
        <w:rPr>
          <w:rFonts w:hint="eastAsia" w:ascii="宋体" w:hAnsi="宋体" w:cs="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确定成交候选人（</w:t>
      </w:r>
      <w:r>
        <w:rPr>
          <w:rStyle w:val="25"/>
          <w:rFonts w:hint="eastAsia" w:ascii="宋体" w:hAnsi="宋体" w:cs="宋体"/>
          <w:bCs w:val="0"/>
          <w:u w:val="double"/>
        </w:rPr>
        <w:t>供应商须在系统报价环节上传响应文件并报价，响应文件请按照本文件第三章响应文件模板进行编制后打印，每页加盖公章后扫描成一个PDF上传即可</w:t>
      </w:r>
      <w:r>
        <w:rPr>
          <w:rStyle w:val="25"/>
          <w:rFonts w:hint="eastAsia" w:ascii="宋体" w:hAnsi="宋体" w:cs="宋体"/>
          <w:bCs w:val="0"/>
        </w:rPr>
        <w:t>）</w:t>
      </w:r>
    </w:p>
    <w:p>
      <w:pPr>
        <w:pStyle w:val="50"/>
        <w:numPr>
          <w:ilvl w:val="0"/>
          <w:numId w:val="8"/>
        </w:numPr>
        <w:spacing w:line="360" w:lineRule="auto"/>
        <w:ind w:left="839" w:firstLineChars="0"/>
        <w:rPr>
          <w:rFonts w:ascii="宋体" w:hAnsi="宋体" w:cs="宋体"/>
          <w:szCs w:val="21"/>
        </w:rPr>
      </w:pPr>
      <w:r>
        <w:rPr>
          <w:rFonts w:hint="eastAsia" w:ascii="宋体" w:hAnsi="宋体" w:cs="宋体"/>
          <w:szCs w:val="21"/>
        </w:rPr>
        <w:t>本项目以综合评分法确定成交供应商，参与评审的专家按照评分标准以及权重分配的规定就各个响应供应商的技术状况、商务状况及其对综合评审文件要求的响应情况进行评议和比较，评出其技术评分和商务评分、价格评分相加得出其综合得分，推荐综合得分排名第一的响应供应商为第一成交候选人，排名第二的响应供应商为第二成交候选人，以此类推。</w:t>
      </w:r>
    </w:p>
    <w:p>
      <w:pPr>
        <w:pStyle w:val="50"/>
        <w:numPr>
          <w:ilvl w:val="0"/>
          <w:numId w:val="3"/>
        </w:numPr>
        <w:spacing w:line="360" w:lineRule="auto"/>
        <w:ind w:firstLineChars="0"/>
        <w:rPr>
          <w:rFonts w:ascii="宋体" w:hAnsi="宋体" w:cs="宋体"/>
          <w:b/>
          <w:szCs w:val="21"/>
        </w:rPr>
      </w:pPr>
      <w:r>
        <w:rPr>
          <w:rFonts w:hint="eastAsia" w:ascii="宋体" w:hAnsi="宋体" w:cs="宋体"/>
          <w:b/>
          <w:szCs w:val="21"/>
        </w:rPr>
        <w:t>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响应供应商报价超过最高限价或低于最低限价或超过项目对应产品单项最高限价的视为无效响应。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参与综合评审的</w:t>
      </w:r>
      <w:r>
        <w:rPr>
          <w:rFonts w:hint="eastAsia" w:ascii="宋体" w:hAnsi="宋体" w:cs="宋体"/>
          <w:bCs/>
          <w:szCs w:val="21"/>
        </w:rPr>
        <w:t>供应商须提供本项目要求的资质文件，如果不按公告规定或</w:t>
      </w:r>
      <w:r>
        <w:rPr>
          <w:rFonts w:hint="eastAsia" w:ascii="宋体" w:hAnsi="宋体" w:cs="宋体"/>
          <w:szCs w:val="21"/>
        </w:rPr>
        <w:t>综合评审</w:t>
      </w:r>
      <w:r>
        <w:rPr>
          <w:rFonts w:hint="eastAsia" w:ascii="宋体" w:hAnsi="宋体" w:cs="宋体"/>
          <w:bCs/>
          <w:szCs w:val="21"/>
        </w:rPr>
        <w:t>文件要求等相关规定提供符合要求的资质文件，将被视为无效响应。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参与综合评审的</w:t>
      </w:r>
      <w:r>
        <w:rPr>
          <w:rFonts w:hint="eastAsia" w:ascii="宋体" w:hAnsi="宋体" w:cs="宋体"/>
          <w:bCs/>
          <w:szCs w:val="21"/>
        </w:rPr>
        <w:t>供应商须对本项目采购内容进行整体响应，任何只对其中一部分内容进行的响应都被视为无效响应。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u w:val="double"/>
        </w:rPr>
        <w:t>所有参与评审提供的响应文件，供应商落款的文件必须加盖供应商公章，否则视为无效响应。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cs="宋体"/>
          <w:color w:val="000000" w:themeColor="text1"/>
          <w:szCs w:val="21"/>
          <w14:textFill>
            <w14:solidFill>
              <w14:schemeClr w14:val="tx1"/>
            </w14:solidFill>
          </w14:textFill>
        </w:rPr>
        <w:t>不接受总价优惠折扣形式的报价，供应商应将对项目的优惠直接在清单报价中体现出来。</w:t>
      </w:r>
      <w:r>
        <w:rPr>
          <w:rFonts w:hint="eastAsia" w:ascii="宋体" w:hAnsi="宋体" w:cs="宋体"/>
        </w:rPr>
        <w:t>如果供应商不接受对其错误的更正，其报价将被视为无效报价。</w:t>
      </w:r>
    </w:p>
    <w:p>
      <w:pPr>
        <w:pStyle w:val="50"/>
        <w:numPr>
          <w:ilvl w:val="0"/>
          <w:numId w:val="9"/>
        </w:numPr>
        <w:spacing w:line="360" w:lineRule="auto"/>
        <w:ind w:left="839" w:firstLineChars="0"/>
        <w:rPr>
          <w:rFonts w:ascii="宋体" w:hAnsi="宋体" w:cs="宋体"/>
          <w:szCs w:val="21"/>
        </w:rPr>
      </w:pPr>
      <w:r>
        <w:rPr>
          <w:rFonts w:hint="eastAsia" w:ascii="宋体" w:hAnsi="宋体" w:cs="宋体"/>
          <w:b/>
          <w:bCs/>
          <w:u w:val="double"/>
        </w:rPr>
        <w:t>按有关法律、法规、规章属于响应无效的。</w:t>
      </w:r>
    </w:p>
    <w:p>
      <w:pPr>
        <w:pStyle w:val="50"/>
        <w:numPr>
          <w:ilvl w:val="0"/>
          <w:numId w:val="9"/>
        </w:numPr>
        <w:spacing w:line="360" w:lineRule="auto"/>
        <w:ind w:left="839" w:firstLineChars="0"/>
        <w:rPr>
          <w:rFonts w:ascii="宋体" w:hAnsi="宋体" w:cs="宋体"/>
          <w:szCs w:val="21"/>
        </w:rPr>
      </w:pPr>
      <w:r>
        <w:rPr>
          <w:rFonts w:hint="eastAsia" w:ascii="宋体" w:hAnsi="宋体" w:cs="宋体"/>
          <w:b/>
          <w:szCs w:val="21"/>
        </w:rPr>
        <w:t>有下列情形之一的，视为串通参与项目，其响应无效：</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存在单位负责人为同一人或存在控股、管理关系的不同单位参与同一综合评审项目；</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不同供应商的响应文件由同一单位或者个人编制；</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不同供应商委托同一单位或者个人办理综合评审事宜；</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不同供应商使用同一IP地址参与综合评审；</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不同供应商的响应文件载明的项目管理成员或者联系人员为同一人；</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不同供应商的响应文件异常一致或者报价呈规律性差异；</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不同供应商的响应文件相互混淆；</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不同供应商的平台使用费从同一单位或者个人的账户转出。</w:t>
      </w:r>
    </w:p>
    <w:p>
      <w:pPr>
        <w:pStyle w:val="50"/>
        <w:numPr>
          <w:ilvl w:val="0"/>
          <w:numId w:val="3"/>
        </w:numPr>
        <w:spacing w:line="360" w:lineRule="auto"/>
        <w:ind w:firstLineChars="0"/>
        <w:rPr>
          <w:rFonts w:ascii="宋体" w:hAnsi="宋体" w:cs="宋体"/>
          <w:szCs w:val="21"/>
        </w:rPr>
      </w:pPr>
      <w:r>
        <w:rPr>
          <w:rFonts w:hint="eastAsia" w:ascii="宋体" w:hAnsi="宋体" w:cs="宋体"/>
          <w:b/>
          <w:szCs w:val="21"/>
        </w:rPr>
        <w:t>综合评审活动失败</w:t>
      </w:r>
    </w:p>
    <w:p>
      <w:pPr>
        <w:pStyle w:val="50"/>
        <w:numPr>
          <w:ilvl w:val="0"/>
          <w:numId w:val="11"/>
        </w:numPr>
        <w:spacing w:line="360" w:lineRule="auto"/>
        <w:ind w:left="420" w:leftChars="200" w:firstLineChars="0"/>
        <w:rPr>
          <w:rFonts w:ascii="宋体" w:hAnsi="宋体" w:cs="宋体"/>
          <w:color w:val="000000"/>
        </w:rPr>
      </w:pPr>
      <w:r>
        <w:rPr>
          <w:rFonts w:hint="eastAsia" w:ascii="宋体" w:hAnsi="宋体" w:cs="宋体"/>
          <w:color w:val="000000"/>
          <w:szCs w:val="21"/>
        </w:rPr>
        <w:t>出现下列情况的，本项目综合评审活动失败：</w:t>
      </w:r>
    </w:p>
    <w:p>
      <w:pPr>
        <w:pStyle w:val="50"/>
        <w:numPr>
          <w:ilvl w:val="0"/>
          <w:numId w:val="12"/>
        </w:numPr>
        <w:spacing w:line="360" w:lineRule="auto"/>
        <w:ind w:left="1260" w:leftChars="600" w:firstLineChars="0"/>
        <w:rPr>
          <w:rFonts w:ascii="宋体" w:hAnsi="宋体" w:cs="宋体"/>
          <w:color w:val="000000"/>
        </w:rPr>
      </w:pPr>
      <w:r>
        <w:rPr>
          <w:rFonts w:hint="eastAsia" w:ascii="宋体" w:hAnsi="宋体" w:cs="宋体"/>
          <w:color w:val="000000"/>
        </w:rPr>
        <w:t>报名供应商不足3家；</w:t>
      </w:r>
    </w:p>
    <w:p>
      <w:pPr>
        <w:pStyle w:val="50"/>
        <w:numPr>
          <w:ilvl w:val="0"/>
          <w:numId w:val="12"/>
        </w:numPr>
        <w:spacing w:line="360" w:lineRule="auto"/>
        <w:ind w:left="1260" w:leftChars="600" w:firstLineChars="0"/>
        <w:rPr>
          <w:rFonts w:ascii="宋体" w:hAnsi="宋体" w:cs="宋体"/>
          <w:color w:val="000000"/>
          <w:szCs w:val="21"/>
        </w:rPr>
      </w:pPr>
      <w:r>
        <w:rPr>
          <w:rFonts w:hint="eastAsia" w:ascii="宋体" w:hAnsi="宋体" w:cs="宋体"/>
          <w:color w:val="000000"/>
        </w:rPr>
        <w:t>有效参与评审的供应商不足3家。</w:t>
      </w:r>
    </w:p>
    <w:p>
      <w:pPr>
        <w:pStyle w:val="50"/>
        <w:spacing w:line="360" w:lineRule="auto"/>
        <w:ind w:left="420" w:leftChars="200" w:firstLine="0" w:firstLineChars="0"/>
        <w:rPr>
          <w:rFonts w:ascii="宋体" w:hAnsi="宋体" w:cs="宋体"/>
          <w:szCs w:val="21"/>
        </w:rPr>
      </w:pPr>
      <w:r>
        <w:rPr>
          <w:rFonts w:hint="eastAsia" w:ascii="宋体" w:hAnsi="宋体" w:cs="宋体"/>
          <w:szCs w:val="21"/>
        </w:rPr>
        <w:t>2.出现影响采购公正的违法、违规行为的；</w:t>
      </w:r>
    </w:p>
    <w:p>
      <w:pPr>
        <w:pStyle w:val="50"/>
        <w:spacing w:line="360" w:lineRule="auto"/>
        <w:ind w:left="420" w:leftChars="200" w:firstLine="0" w:firstLineChars="0"/>
        <w:rPr>
          <w:rFonts w:ascii="宋体" w:hAnsi="宋体" w:cs="宋体"/>
          <w:szCs w:val="21"/>
        </w:rPr>
      </w:pPr>
      <w:r>
        <w:rPr>
          <w:rFonts w:hint="eastAsia" w:ascii="宋体" w:hAnsi="宋体" w:cs="宋体"/>
          <w:szCs w:val="21"/>
        </w:rPr>
        <w:t>3.因重大变故，采购任务取消的；</w:t>
      </w:r>
    </w:p>
    <w:p>
      <w:pPr>
        <w:pStyle w:val="50"/>
        <w:numPr>
          <w:ilvl w:val="0"/>
          <w:numId w:val="3"/>
        </w:numPr>
        <w:spacing w:line="360" w:lineRule="auto"/>
        <w:ind w:firstLineChars="0"/>
        <w:rPr>
          <w:rFonts w:ascii="宋体" w:hAnsi="宋体" w:cs="宋体"/>
          <w:b/>
          <w:szCs w:val="21"/>
        </w:rPr>
      </w:pPr>
      <w:r>
        <w:rPr>
          <w:rFonts w:hint="eastAsia" w:ascii="宋体" w:hAnsi="宋体" w:cs="宋体"/>
          <w:b/>
          <w:szCs w:val="21"/>
        </w:rPr>
        <w:t>使用费</w:t>
      </w:r>
    </w:p>
    <w:p>
      <w:pPr>
        <w:pStyle w:val="50"/>
        <w:spacing w:line="360" w:lineRule="auto"/>
        <w:ind w:left="839" w:hanging="420" w:firstLineChars="0"/>
        <w:rPr>
          <w:rFonts w:ascii="宋体" w:hAnsi="宋体" w:cs="宋体"/>
          <w:szCs w:val="21"/>
        </w:rPr>
      </w:pPr>
      <w:r>
        <w:rPr>
          <w:rFonts w:hint="eastAsia" w:ascii="宋体" w:hAnsi="宋体" w:cs="宋体"/>
          <w:szCs w:val="21"/>
        </w:rPr>
        <w:t>1.成交供应商须向平台服务商云采链线上采购一体化平台缴纳平台使用费，金额为成交金额的1.5%（四舍五入取整数）。</w:t>
      </w:r>
    </w:p>
    <w:p>
      <w:pPr>
        <w:pStyle w:val="50"/>
        <w:spacing w:line="360" w:lineRule="auto"/>
        <w:ind w:left="839" w:hanging="420" w:firstLineChars="0"/>
        <w:rPr>
          <w:rFonts w:ascii="宋体" w:hAnsi="宋体" w:cs="宋体"/>
          <w:szCs w:val="21"/>
        </w:rPr>
      </w:pPr>
      <w:r>
        <w:rPr>
          <w:rFonts w:hint="eastAsia" w:ascii="宋体" w:hAnsi="宋体" w:cs="宋体"/>
          <w:szCs w:val="21"/>
        </w:rPr>
        <w:t>2.成交供应商无正当理由放弃成交资格的必须按综合评审公告等相关规定缴纳相应的平台使用费。</w:t>
      </w:r>
    </w:p>
    <w:p>
      <w:pPr>
        <w:pStyle w:val="50"/>
        <w:spacing w:line="360" w:lineRule="auto"/>
        <w:ind w:left="839" w:hanging="420" w:firstLineChars="0"/>
        <w:rPr>
          <w:rFonts w:ascii="宋体" w:hAnsi="宋体" w:cs="宋体"/>
          <w:szCs w:val="21"/>
        </w:rPr>
      </w:pPr>
      <w:r>
        <w:rPr>
          <w:rFonts w:hint="eastAsia" w:ascii="宋体" w:hAnsi="宋体" w:cs="宋体"/>
          <w:szCs w:val="21"/>
        </w:rPr>
        <w:t>3.如确实因不可抗力放弃成交资格的，应在不可抗力发生后三个工作日内予以通知采购代理机构并提供相关的证明；如逾期，采购代理机构不予退还平台使用费。</w:t>
      </w:r>
    </w:p>
    <w:p>
      <w:pPr>
        <w:pStyle w:val="50"/>
        <w:widowControl/>
        <w:numPr>
          <w:ilvl w:val="0"/>
          <w:numId w:val="2"/>
        </w:numPr>
        <w:spacing w:line="360" w:lineRule="auto"/>
        <w:ind w:firstLineChars="0"/>
        <w:jc w:val="left"/>
        <w:rPr>
          <w:rFonts w:ascii="宋体" w:hAnsi="宋体" w:cs="宋体"/>
          <w:b/>
        </w:rPr>
      </w:pPr>
      <w:r>
        <w:rPr>
          <w:rFonts w:hint="eastAsia" w:ascii="宋体" w:hAnsi="宋体" w:cs="宋体"/>
          <w:b/>
        </w:rPr>
        <w:t>联系方式</w:t>
      </w:r>
    </w:p>
    <w:p>
      <w:pPr>
        <w:pStyle w:val="50"/>
        <w:widowControl/>
        <w:spacing w:line="360" w:lineRule="auto"/>
        <w:ind w:left="420" w:firstLine="0" w:firstLineChars="0"/>
        <w:jc w:val="left"/>
        <w:rPr>
          <w:rFonts w:ascii="宋体" w:hAnsi="宋体" w:cs="宋体"/>
        </w:rPr>
      </w:pPr>
      <w:r>
        <w:rPr>
          <w:rFonts w:hint="eastAsia" w:ascii="宋体" w:hAnsi="宋体" w:cs="宋体"/>
        </w:rPr>
        <w:t>扫码关注微信公众号“云采链互联服务平台”，即可在线咨询相关事项。</w:t>
      </w:r>
    </w:p>
    <w:p>
      <w:pPr>
        <w:pStyle w:val="50"/>
        <w:widowControl/>
        <w:spacing w:line="360" w:lineRule="auto"/>
        <w:ind w:left="420" w:firstLine="0" w:firstLineChars="0"/>
        <w:jc w:val="center"/>
        <w:rPr>
          <w:rFonts w:ascii="宋体" w:hAnsi="宋体" w:cs="宋体"/>
          <w:b/>
        </w:rPr>
      </w:pPr>
      <w:r>
        <w:rPr>
          <w:rFonts w:hint="eastAsia" w:ascii="宋体" w:hAnsi="宋体" w:cs="宋体"/>
        </w:rPr>
        <w:drawing>
          <wp:inline distT="0" distB="0" distL="114300" distR="114300">
            <wp:extent cx="1390650" cy="1390650"/>
            <wp:effectExtent l="0" t="0" r="11430" b="11430"/>
            <wp:docPr id="1"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ADMINI~1\AppData\Local\Temp\360zip$Temp\360$2\智采公众号8cm.jpg"/>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p>
    <w:p>
      <w:r>
        <w:br w:type="page"/>
      </w:r>
    </w:p>
    <w:p>
      <w:pPr>
        <w:pStyle w:val="19"/>
        <w:spacing w:before="0" w:after="0"/>
        <w:rPr>
          <w:rFonts w:ascii="宋体" w:hAnsi="宋体" w:cs="宋体"/>
        </w:rPr>
      </w:pPr>
      <w:r>
        <w:rPr>
          <w:rFonts w:hint="eastAsia" w:ascii="宋体" w:hAnsi="宋体" w:cs="宋体"/>
          <w:kern w:val="0"/>
          <w:lang w:val="zh-CN"/>
        </w:rPr>
        <w:t>第二章</w:t>
      </w:r>
      <w:r>
        <w:rPr>
          <w:rFonts w:hint="eastAsia" w:ascii="宋体" w:hAnsi="宋体" w:cs="宋体"/>
          <w:kern w:val="0"/>
        </w:rPr>
        <w:t xml:space="preserve"> </w:t>
      </w:r>
      <w:r>
        <w:rPr>
          <w:rFonts w:hint="eastAsia" w:ascii="宋体" w:hAnsi="宋体" w:cs="宋体"/>
          <w:kern w:val="0"/>
          <w:lang w:val="zh-CN"/>
        </w:rPr>
        <w:t>用户需求书</w:t>
      </w:r>
    </w:p>
    <w:p>
      <w:pPr>
        <w:spacing w:before="156" w:beforeLines="50" w:line="360" w:lineRule="auto"/>
        <w:ind w:left="517" w:hanging="517"/>
        <w:rPr>
          <w:rFonts w:ascii="宋体" w:hAnsi="宋体" w:cs="宋体"/>
          <w:b/>
          <w:bCs/>
          <w:szCs w:val="21"/>
        </w:rPr>
      </w:pPr>
      <w:r>
        <w:rPr>
          <w:rFonts w:hint="eastAsia" w:ascii="宋体" w:hAnsi="宋体" w:cs="宋体"/>
          <w:b/>
          <w:bCs/>
          <w:szCs w:val="21"/>
        </w:rPr>
        <w:t>说明：</w:t>
      </w:r>
    </w:p>
    <w:p>
      <w:pPr>
        <w:numPr>
          <w:ilvl w:val="0"/>
          <w:numId w:val="13"/>
        </w:numPr>
        <w:snapToGrid w:val="0"/>
        <w:spacing w:line="360" w:lineRule="auto"/>
        <w:rPr>
          <w:rFonts w:ascii="宋体" w:hAnsi="宋体" w:cs="宋体"/>
          <w:b/>
          <w:bCs/>
          <w:szCs w:val="21"/>
        </w:rPr>
      </w:pPr>
      <w:r>
        <w:rPr>
          <w:rFonts w:hint="eastAsia" w:ascii="宋体" w:hAnsi="宋体" w:cs="宋体"/>
          <w:b/>
          <w:bCs/>
          <w:szCs w:val="21"/>
          <w:lang w:bidi="ar"/>
        </w:rPr>
        <w:t>用户需求书中打“★”号条款为实质性条款，有任何一条负偏离则导致无效响应。</w:t>
      </w:r>
    </w:p>
    <w:p>
      <w:pPr>
        <w:numPr>
          <w:ilvl w:val="0"/>
          <w:numId w:val="13"/>
        </w:numPr>
        <w:snapToGrid w:val="0"/>
        <w:spacing w:line="360" w:lineRule="auto"/>
        <w:rPr>
          <w:rFonts w:ascii="宋体" w:hAnsi="宋体" w:cs="宋体"/>
          <w:b/>
          <w:bCs/>
          <w:szCs w:val="21"/>
        </w:rPr>
      </w:pPr>
      <w:r>
        <w:rPr>
          <w:rFonts w:hint="eastAsia" w:ascii="宋体" w:hAnsi="宋体" w:cs="宋体"/>
          <w:b/>
          <w:bCs/>
          <w:szCs w:val="21"/>
          <w:lang w:bidi="ar"/>
        </w:rPr>
        <w:t>用户需求书中打“▲”号条款为重要技术参数，但不作为无效响应条款。</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项目一览表</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1224"/>
        <w:gridCol w:w="2374"/>
        <w:gridCol w:w="25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388" w:type="pct"/>
            <w:shd w:val="clear" w:color="auto" w:fill="EEECE1"/>
            <w:vAlign w:val="center"/>
          </w:tcPr>
          <w:p>
            <w:pPr>
              <w:jc w:val="center"/>
              <w:rPr>
                <w:rFonts w:ascii="宋体" w:hAnsi="宋体" w:cs="宋体"/>
                <w:b/>
                <w:szCs w:val="21"/>
              </w:rPr>
            </w:pPr>
            <w:r>
              <w:rPr>
                <w:rFonts w:hint="eastAsia" w:ascii="宋体" w:hAnsi="宋体" w:cs="宋体"/>
                <w:b/>
                <w:szCs w:val="21"/>
              </w:rPr>
              <w:t>项目名称</w:t>
            </w:r>
          </w:p>
        </w:tc>
        <w:tc>
          <w:tcPr>
            <w:tcW w:w="718" w:type="pct"/>
            <w:shd w:val="clear" w:color="auto" w:fill="EEECE1"/>
            <w:vAlign w:val="center"/>
          </w:tcPr>
          <w:p>
            <w:pPr>
              <w:jc w:val="center"/>
              <w:rPr>
                <w:rFonts w:ascii="宋体" w:hAnsi="宋体" w:cs="宋体"/>
                <w:b/>
                <w:szCs w:val="21"/>
              </w:rPr>
            </w:pPr>
            <w:r>
              <w:rPr>
                <w:rFonts w:hint="eastAsia" w:ascii="宋体" w:hAnsi="宋体" w:cs="宋体"/>
                <w:b/>
                <w:szCs w:val="21"/>
              </w:rPr>
              <w:t>数量</w:t>
            </w:r>
          </w:p>
        </w:tc>
        <w:tc>
          <w:tcPr>
            <w:tcW w:w="1393" w:type="pct"/>
            <w:shd w:val="clear" w:color="auto" w:fill="EEECE1"/>
            <w:vAlign w:val="center"/>
          </w:tcPr>
          <w:p>
            <w:pPr>
              <w:pStyle w:val="60"/>
              <w:spacing w:before="99" w:line="360" w:lineRule="auto"/>
              <w:ind w:left="51" w:right="38"/>
              <w:jc w:val="center"/>
              <w:rPr>
                <w:rFonts w:ascii="宋体" w:hAnsi="宋体" w:cs="宋体"/>
                <w:b/>
                <w:szCs w:val="21"/>
              </w:rPr>
            </w:pPr>
            <w:r>
              <w:rPr>
                <w:rFonts w:hint="eastAsia" w:ascii="宋体" w:hAnsi="宋体" w:cs="宋体"/>
                <w:b/>
                <w:color w:val="000000"/>
              </w:rPr>
              <w:t>服务期</w:t>
            </w:r>
          </w:p>
        </w:tc>
        <w:tc>
          <w:tcPr>
            <w:tcW w:w="1500" w:type="pct"/>
            <w:shd w:val="clear" w:color="auto" w:fill="EEECE1"/>
            <w:vAlign w:val="center"/>
          </w:tcPr>
          <w:p>
            <w:pPr>
              <w:pStyle w:val="60"/>
              <w:spacing w:before="99" w:line="360" w:lineRule="auto"/>
              <w:ind w:left="64" w:right="54"/>
              <w:jc w:val="center"/>
              <w:rPr>
                <w:rFonts w:ascii="宋体" w:hAnsi="宋体" w:cs="宋体"/>
                <w:b/>
                <w:szCs w:val="21"/>
              </w:rPr>
            </w:pPr>
            <w:r>
              <w:rPr>
                <w:rFonts w:hint="eastAsia" w:ascii="宋体" w:hAnsi="宋体" w:cs="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388" w:type="pct"/>
            <w:vAlign w:val="center"/>
          </w:tcPr>
          <w:p>
            <w:pPr>
              <w:jc w:val="center"/>
              <w:rPr>
                <w:rFonts w:ascii="宋体" w:hAnsi="宋体" w:cs="宋体"/>
              </w:rPr>
            </w:pPr>
            <w:r>
              <w:rPr>
                <w:rFonts w:hint="eastAsia" w:ascii="宋体" w:hAnsi="宋体" w:cs="宋体"/>
                <w:szCs w:val="21"/>
              </w:rPr>
              <w:t>肇庆市第三人民医院放射、B超类维保项目</w:t>
            </w:r>
          </w:p>
        </w:tc>
        <w:tc>
          <w:tcPr>
            <w:tcW w:w="718" w:type="pct"/>
            <w:vAlign w:val="center"/>
          </w:tcPr>
          <w:p>
            <w:pPr>
              <w:keepNext/>
              <w:widowControl/>
              <w:adjustRightInd w:val="0"/>
              <w:spacing w:before="156" w:beforeLines="50" w:after="60"/>
              <w:ind w:right="105" w:rightChars="50"/>
              <w:jc w:val="center"/>
              <w:textAlignment w:val="center"/>
              <w:rPr>
                <w:rFonts w:ascii="宋体" w:hAnsi="宋体" w:cs="宋体"/>
                <w:szCs w:val="21"/>
              </w:rPr>
            </w:pPr>
            <w:r>
              <w:rPr>
                <w:rFonts w:hint="eastAsia" w:ascii="宋体" w:hAnsi="宋体" w:cs="宋体"/>
                <w:szCs w:val="21"/>
              </w:rPr>
              <w:t>1项</w:t>
            </w:r>
          </w:p>
        </w:tc>
        <w:tc>
          <w:tcPr>
            <w:tcW w:w="1393" w:type="pct"/>
            <w:vAlign w:val="center"/>
          </w:tcPr>
          <w:p>
            <w:pPr>
              <w:widowControl/>
              <w:spacing w:before="156" w:beforeLines="50"/>
              <w:ind w:right="105" w:rightChars="50"/>
              <w:jc w:val="center"/>
              <w:rPr>
                <w:rFonts w:ascii="宋体" w:hAnsi="宋体" w:cs="宋体"/>
                <w:szCs w:val="21"/>
              </w:rPr>
            </w:pPr>
            <w:r>
              <w:rPr>
                <w:rFonts w:hint="eastAsia" w:ascii="宋体" w:hAnsi="宋体" w:cs="宋体"/>
                <w:szCs w:val="21"/>
              </w:rPr>
              <w:t>一年</w:t>
            </w:r>
          </w:p>
        </w:tc>
        <w:tc>
          <w:tcPr>
            <w:tcW w:w="1500" w:type="pct"/>
            <w:vAlign w:val="center"/>
          </w:tcPr>
          <w:p>
            <w:pPr>
              <w:widowControl/>
              <w:spacing w:before="156" w:beforeLines="50"/>
              <w:ind w:right="105" w:rightChars="50"/>
              <w:jc w:val="center"/>
              <w:rPr>
                <w:rFonts w:ascii="宋体" w:hAnsi="宋体" w:cs="宋体"/>
                <w:szCs w:val="21"/>
              </w:rPr>
            </w:pPr>
            <w:r>
              <w:rPr>
                <w:rFonts w:hint="eastAsia" w:ascii="宋体" w:hAnsi="宋体" w:cs="宋体"/>
                <w:szCs w:val="21"/>
              </w:rPr>
              <w:t>人民币</w:t>
            </w:r>
            <w:r>
              <w:rPr>
                <w:rFonts w:hint="eastAsia" w:ascii="宋体" w:hAnsi="宋体" w:cs="宋体"/>
                <w:szCs w:val="21"/>
                <w:u w:val="single"/>
                <w:lang w:val="en-US" w:eastAsia="zh-CN"/>
              </w:rPr>
              <w:t>248000</w:t>
            </w:r>
            <w:r>
              <w:rPr>
                <w:rFonts w:hint="eastAsia" w:ascii="宋体" w:hAnsi="宋体" w:cs="宋体"/>
                <w:szCs w:val="21"/>
              </w:rPr>
              <w:t>元</w:t>
            </w:r>
          </w:p>
        </w:tc>
      </w:tr>
    </w:tbl>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维保设备清单</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2875"/>
        <w:gridCol w:w="2412"/>
        <w:gridCol w:w="130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lang w:bidi="ar"/>
              </w:rPr>
              <w:t>序号</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lang w:bidi="ar"/>
              </w:rPr>
              <w:t>设备名称</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lang w:bidi="ar"/>
              </w:rPr>
              <w:t>型号</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lang w:bidi="ar"/>
              </w:rPr>
              <w:t>使用日期</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超声诊断系统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ACUSON X300</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2013</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16排CT</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Optima CT520Pro</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2013</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3</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全数字彩色多普勒超声诊断系统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DD70</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2021</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4</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数字化X射线透视摄影系统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SONIAL VISION</w:t>
            </w:r>
          </w:p>
          <w:p>
            <w:pPr>
              <w:jc w:val="center"/>
              <w:rPr>
                <w:rFonts w:ascii="宋体" w:hAnsi="宋体" w:cs="宋体"/>
                <w:szCs w:val="21"/>
              </w:rPr>
            </w:pPr>
            <w:r>
              <w:rPr>
                <w:rFonts w:hint="eastAsia" w:ascii="宋体" w:hAnsi="宋体" w:cs="宋体"/>
                <w:szCs w:val="21"/>
                <w:lang w:bidi="ar"/>
              </w:rPr>
              <w:t>C200</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2021</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5</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磁共振成像系统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uMR 586</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2021</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6</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移动数字化X射线摄影系统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7200C</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2023</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7</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便携式彩色多普勒超声系统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MX7S</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2023</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8</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数字X线摄影系统</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HGYX-11I-DR</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2012</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9</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便携彩超</w:t>
            </w:r>
          </w:p>
        </w:tc>
        <w:tc>
          <w:tcPr>
            <w:tcW w:w="14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InnoSigh</w:t>
            </w:r>
          </w:p>
        </w:tc>
        <w:tc>
          <w:tcPr>
            <w:tcW w:w="7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2022</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1套</w:t>
            </w:r>
          </w:p>
        </w:tc>
      </w:tr>
    </w:tbl>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维保服务基本需求</w:t>
      </w:r>
    </w:p>
    <w:p>
      <w:pPr>
        <w:numPr>
          <w:ilvl w:val="0"/>
          <w:numId w:val="15"/>
        </w:numPr>
        <w:spacing w:line="360" w:lineRule="auto"/>
        <w:rPr>
          <w:rFonts w:ascii="宋体" w:hAnsi="宋体" w:cs="宋体"/>
        </w:rPr>
      </w:pPr>
      <w:r>
        <w:rPr>
          <w:rFonts w:hint="eastAsia" w:ascii="宋体" w:hAnsi="宋体" w:cs="宋体"/>
          <w:szCs w:val="24"/>
          <w:lang w:bidi="ar"/>
        </w:rPr>
        <w:t>服务期限为一年。</w:t>
      </w:r>
    </w:p>
    <w:p>
      <w:pPr>
        <w:numPr>
          <w:ilvl w:val="0"/>
          <w:numId w:val="15"/>
        </w:numPr>
        <w:spacing w:line="360" w:lineRule="auto"/>
        <w:rPr>
          <w:rFonts w:ascii="宋体" w:hAnsi="宋体" w:cs="宋体"/>
        </w:rPr>
      </w:pPr>
      <w:r>
        <w:rPr>
          <w:rFonts w:hint="eastAsia" w:ascii="宋体" w:hAnsi="宋体" w:cs="宋体"/>
          <w:szCs w:val="24"/>
          <w:lang w:bidi="ar"/>
        </w:rPr>
        <w:t>服务期内需对签订设备进行每两个月的定期到院维护，包括但不限于对设备制定检测计划，对设备的机械、电气安全进行检测检测、设备基础校准等相关能保证设备运行的事项，并能出具相关保养报告及记录。</w:t>
      </w:r>
    </w:p>
    <w:p>
      <w:pPr>
        <w:numPr>
          <w:ilvl w:val="0"/>
          <w:numId w:val="15"/>
        </w:numPr>
        <w:spacing w:line="360" w:lineRule="auto"/>
        <w:rPr>
          <w:rFonts w:ascii="宋体" w:hAnsi="宋体" w:cs="宋体"/>
        </w:rPr>
      </w:pPr>
      <w:r>
        <w:rPr>
          <w:rFonts w:hint="eastAsia" w:ascii="宋体" w:hAnsi="宋体" w:cs="宋体"/>
          <w:szCs w:val="24"/>
          <w:lang w:bidi="ar"/>
        </w:rPr>
        <w:t>维修响应时间为半小时内电话响应，故障停机情况下12小时内到场处理。</w:t>
      </w:r>
    </w:p>
    <w:p>
      <w:pPr>
        <w:numPr>
          <w:ilvl w:val="0"/>
          <w:numId w:val="15"/>
        </w:numPr>
        <w:spacing w:line="360" w:lineRule="auto"/>
        <w:rPr>
          <w:rFonts w:ascii="宋体" w:hAnsi="宋体" w:cs="宋体"/>
        </w:rPr>
      </w:pPr>
      <w:r>
        <w:rPr>
          <w:rFonts w:hint="eastAsia" w:ascii="宋体" w:hAnsi="宋体" w:cs="宋体"/>
          <w:szCs w:val="24"/>
          <w:lang w:bidi="ar"/>
        </w:rPr>
        <w:t>维保公司需对签订设备进行年检服务(第三方机构)，并出具报告。</w:t>
      </w:r>
    </w:p>
    <w:p>
      <w:pPr>
        <w:numPr>
          <w:ilvl w:val="0"/>
          <w:numId w:val="15"/>
        </w:numPr>
        <w:spacing w:line="360" w:lineRule="auto"/>
        <w:rPr>
          <w:rFonts w:ascii="宋体" w:hAnsi="宋体" w:cs="宋体"/>
        </w:rPr>
      </w:pPr>
      <w:r>
        <w:rPr>
          <w:rFonts w:hint="eastAsia" w:ascii="宋体" w:hAnsi="宋体" w:cs="宋体"/>
          <w:szCs w:val="24"/>
          <w:lang w:bidi="ar"/>
        </w:rPr>
        <w:t>此次维保服务为人工服务，调研报价应需包含差旅费、上门服务费、工时费等。</w:t>
      </w:r>
    </w:p>
    <w:p>
      <w:pPr>
        <w:numPr>
          <w:ilvl w:val="0"/>
          <w:numId w:val="15"/>
        </w:numPr>
        <w:spacing w:line="360" w:lineRule="auto"/>
        <w:rPr>
          <w:rFonts w:ascii="宋体" w:hAnsi="宋体" w:cs="宋体"/>
          <w:b/>
          <w:bCs/>
        </w:rPr>
      </w:pPr>
      <w:r>
        <w:rPr>
          <w:rFonts w:hint="eastAsia" w:ascii="宋体" w:hAnsi="宋体" w:cs="宋体"/>
          <w:szCs w:val="24"/>
          <w:lang w:bidi="ar"/>
        </w:rPr>
        <w:t>此次维保服务设备均不含相关配件。服务合同期间，如需更换配件，只收取相关配件费用，且配件费用不得高于市面价格。</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具体要求</w:t>
      </w:r>
    </w:p>
    <w:p>
      <w:pPr>
        <w:pStyle w:val="18"/>
        <w:widowControl w:val="0"/>
        <w:numPr>
          <w:ilvl w:val="0"/>
          <w:numId w:val="16"/>
        </w:numPr>
        <w:tabs>
          <w:tab w:val="left" w:pos="540"/>
        </w:tabs>
        <w:adjustRightInd w:val="0"/>
        <w:snapToGrid w:val="0"/>
        <w:spacing w:before="0" w:beforeAutospacing="0" w:after="0" w:afterAutospacing="0" w:line="360" w:lineRule="auto"/>
        <w:jc w:val="both"/>
        <w:rPr>
          <w:b/>
          <w:color w:val="000000"/>
          <w:sz w:val="21"/>
          <w:szCs w:val="21"/>
        </w:rPr>
      </w:pPr>
      <w:r>
        <w:rPr>
          <w:rFonts w:hint="eastAsia"/>
          <w:b/>
          <w:color w:val="000000"/>
          <w:sz w:val="21"/>
          <w:szCs w:val="21"/>
        </w:rPr>
        <w:t>服务要求</w:t>
      </w:r>
    </w:p>
    <w:p>
      <w:pPr>
        <w:numPr>
          <w:ilvl w:val="0"/>
          <w:numId w:val="17"/>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保证向采购人提供合格的服务，无正当理由不得拒绝接受委托项目。已接受委托的项目，成交人必须按照协议要求按时按质完成任务。不得拒绝接受委托的服务项目，否则采购人有权中止委托合同。未经采购人书面同意，不得擅自将受委托项目转委托给第三方承担。</w:t>
      </w:r>
    </w:p>
    <w:p>
      <w:pPr>
        <w:numPr>
          <w:ilvl w:val="0"/>
          <w:numId w:val="17"/>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为保证按时按质按量完成受委托的项目，成交人须提供充裕的人力、物力及相应的软件、硬件支持，不能以上述原因为理由延误项目的委托任务。若采购人对所完成的委托服务项目的质量及时间不满意，则有权发出警告信给受委托方，或停止委托，若发出第二封警告信给受委托方，则取消受委托资格。</w:t>
      </w:r>
    </w:p>
    <w:p>
      <w:pPr>
        <w:numPr>
          <w:ilvl w:val="0"/>
          <w:numId w:val="17"/>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成交人须指定专人负责联系委托事宜。需在接到委托后2个工作日内与采购人联系。</w:t>
      </w:r>
    </w:p>
    <w:p>
      <w:pPr>
        <w:numPr>
          <w:ilvl w:val="0"/>
          <w:numId w:val="17"/>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完成项目审核的时间要求：成交人应按采购人规定的时间及时完成项目。</w:t>
      </w:r>
    </w:p>
    <w:p>
      <w:pPr>
        <w:pStyle w:val="18"/>
        <w:widowControl w:val="0"/>
        <w:numPr>
          <w:ilvl w:val="0"/>
          <w:numId w:val="16"/>
        </w:numPr>
        <w:tabs>
          <w:tab w:val="left" w:pos="540"/>
        </w:tabs>
        <w:adjustRightInd w:val="0"/>
        <w:snapToGrid w:val="0"/>
        <w:spacing w:before="0" w:beforeAutospacing="0" w:after="0" w:afterAutospacing="0" w:line="360" w:lineRule="auto"/>
        <w:jc w:val="both"/>
        <w:rPr>
          <w:b/>
          <w:color w:val="000000"/>
          <w:sz w:val="21"/>
          <w:szCs w:val="21"/>
        </w:rPr>
      </w:pPr>
      <w:r>
        <w:rPr>
          <w:rFonts w:hint="eastAsia"/>
          <w:b/>
          <w:color w:val="000000"/>
          <w:sz w:val="21"/>
          <w:szCs w:val="21"/>
        </w:rPr>
        <w:t>其他相关要求</w:t>
      </w:r>
    </w:p>
    <w:p>
      <w:pPr>
        <w:numPr>
          <w:ilvl w:val="0"/>
          <w:numId w:val="18"/>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成交人须遵守采购人提出的各项规章制度和廉政纪律要求。</w:t>
      </w:r>
    </w:p>
    <w:p>
      <w:pPr>
        <w:numPr>
          <w:ilvl w:val="0"/>
          <w:numId w:val="18"/>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成交人应有健全的组织机构的内部管理制度，有完善的质量保证体系和技术经济档案管理制度，有良好的服务态度的较好的社会信誉。应提出保证项目审核质量和进度的措施。</w:t>
      </w:r>
    </w:p>
    <w:p>
      <w:pPr>
        <w:numPr>
          <w:ilvl w:val="0"/>
          <w:numId w:val="18"/>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成交人明确拟派工作人员必须有相当经验，能充分胜任从事工程服务工作，中标后未经采购人同意，不得随意更换项目负责人。如成交人派出工作人员不能胜任工作，采购人保留更换人员及成交人的权利。</w:t>
      </w:r>
    </w:p>
    <w:p>
      <w:pPr>
        <w:numPr>
          <w:ilvl w:val="0"/>
          <w:numId w:val="18"/>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所投产品必须是正规厂家生产，产品符合国家质量标准，有相应的合格产品证明标签。</w:t>
      </w:r>
    </w:p>
    <w:p>
      <w:pPr>
        <w:numPr>
          <w:ilvl w:val="0"/>
          <w:numId w:val="18"/>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对成交人执行协议情况的监督管理</w:t>
      </w:r>
    </w:p>
    <w:p>
      <w:pPr>
        <w:numPr>
          <w:ilvl w:val="0"/>
          <w:numId w:val="19"/>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为保证项目工作质量，采购人将于协议期内对成交人执行协议情况进行跟踪核查；</w:t>
      </w:r>
    </w:p>
    <w:p>
      <w:pPr>
        <w:numPr>
          <w:ilvl w:val="0"/>
          <w:numId w:val="19"/>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成交人在协议执行期内如被发现以下问题，通过有关部门查实，采购人有权终止服务协议，采购人保留停止支付或追回已支付的费用和追究其法律责任的权利，并将有关情况向建设行政主管部门反映：</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违反有关法律、法规和政策规定，造成采购人及相关单位损失；</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通过提供虚假信息、误导或欺骗等方式，以谋取非法利益的；</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采用非法手段进行不正当竞争，构成恶劣影响的；</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无正当理由拒绝委托或未经采购人同意擅自将受委托项目转委托给第三方的；</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违反保密规定的；</w:t>
      </w:r>
    </w:p>
    <w:p>
      <w:pPr>
        <w:pStyle w:val="50"/>
        <w:numPr>
          <w:ilvl w:val="0"/>
          <w:numId w:val="20"/>
        </w:numPr>
        <w:spacing w:line="360" w:lineRule="auto"/>
        <w:ind w:firstLineChars="0"/>
        <w:rPr>
          <w:rFonts w:ascii="宋体" w:hAnsi="宋体" w:cs="宋体"/>
          <w:bCs/>
          <w:szCs w:val="21"/>
        </w:rPr>
      </w:pPr>
      <w:r>
        <w:rPr>
          <w:rFonts w:hint="eastAsia" w:ascii="宋体" w:hAnsi="宋体" w:cs="宋体"/>
          <w:bCs/>
          <w:szCs w:val="21"/>
        </w:rPr>
        <w:t>拒绝接受采购人跟踪核查的。</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付款方式</w:t>
      </w:r>
    </w:p>
    <w:p>
      <w:pPr>
        <w:widowControl/>
        <w:spacing w:line="360" w:lineRule="auto"/>
        <w:jc w:val="left"/>
        <w:rPr>
          <w:rFonts w:ascii="宋体" w:hAnsi="宋体" w:cs="宋体"/>
          <w:b/>
          <w:color w:val="000000"/>
          <w:szCs w:val="21"/>
        </w:rPr>
      </w:pPr>
      <w:r>
        <w:rPr>
          <w:rFonts w:hint="eastAsia" w:ascii="宋体" w:hAnsi="宋体" w:cs="宋体"/>
          <w:b/>
          <w:color w:val="000000"/>
          <w:szCs w:val="21"/>
          <w:lang w:bidi="ar"/>
        </w:rPr>
        <w:t>由采购人按下列程序付款：</w:t>
      </w:r>
    </w:p>
    <w:p>
      <w:pPr>
        <w:widowControl/>
        <w:tabs>
          <w:tab w:val="left" w:pos="425"/>
        </w:tabs>
        <w:spacing w:line="360" w:lineRule="auto"/>
        <w:jc w:val="left"/>
        <w:rPr>
          <w:rFonts w:ascii="宋体" w:hAnsi="宋体" w:cs="宋体"/>
          <w:color w:val="000000"/>
          <w:szCs w:val="21"/>
        </w:rPr>
      </w:pPr>
      <w:r>
        <w:rPr>
          <w:rFonts w:hint="eastAsia" w:ascii="宋体" w:hAnsi="宋体" w:cs="宋体"/>
          <w:color w:val="000000"/>
          <w:szCs w:val="21"/>
          <w:lang w:bidi="ar"/>
        </w:rPr>
        <w:t>（一）验收合格后</w:t>
      </w:r>
      <w:r>
        <w:rPr>
          <w:rFonts w:hint="eastAsia" w:ascii="宋体" w:hAnsi="宋体" w:cs="宋体"/>
          <w:color w:val="000000"/>
          <w:szCs w:val="21"/>
          <w:lang w:val="en-US" w:eastAsia="zh-CN" w:bidi="ar"/>
        </w:rPr>
        <w:t>按季度付款，每个季度支付25%</w:t>
      </w:r>
      <w:bookmarkStart w:id="0" w:name="_GoBack"/>
      <w:bookmarkEnd w:id="0"/>
      <w:r>
        <w:rPr>
          <w:rFonts w:hint="eastAsia" w:ascii="宋体" w:hAnsi="宋体" w:cs="宋体"/>
          <w:color w:val="000000"/>
          <w:szCs w:val="21"/>
          <w:lang w:bidi="ar"/>
        </w:rPr>
        <w:t>。</w:t>
      </w:r>
    </w:p>
    <w:p>
      <w:pPr>
        <w:widowControl/>
        <w:spacing w:line="360" w:lineRule="auto"/>
        <w:jc w:val="left"/>
        <w:rPr>
          <w:rFonts w:ascii="宋体" w:hAnsi="宋体" w:cs="宋体"/>
          <w:color w:val="000000"/>
          <w:szCs w:val="21"/>
        </w:rPr>
      </w:pPr>
      <w:r>
        <w:rPr>
          <w:rFonts w:hint="eastAsia" w:ascii="宋体" w:hAnsi="宋体" w:cs="宋体"/>
          <w:color w:val="000000"/>
          <w:szCs w:val="21"/>
          <w:lang w:bidi="ar"/>
        </w:rPr>
        <w:t>（二）成交人凭以下有效文件与采购人结算：</w:t>
      </w:r>
    </w:p>
    <w:p>
      <w:pPr>
        <w:widowControl/>
        <w:numPr>
          <w:ilvl w:val="0"/>
          <w:numId w:val="21"/>
        </w:numPr>
        <w:spacing w:line="360" w:lineRule="auto"/>
        <w:ind w:left="0" w:firstLine="0"/>
        <w:jc w:val="left"/>
        <w:rPr>
          <w:rFonts w:ascii="宋体" w:hAnsi="宋体" w:cs="宋体"/>
          <w:color w:val="000000"/>
          <w:szCs w:val="21"/>
        </w:rPr>
      </w:pPr>
      <w:r>
        <w:rPr>
          <w:rFonts w:hint="eastAsia" w:ascii="宋体" w:hAnsi="宋体" w:cs="宋体"/>
          <w:color w:val="000000"/>
          <w:szCs w:val="21"/>
          <w:lang w:bidi="ar"/>
        </w:rPr>
        <w:t>合同</w:t>
      </w:r>
    </w:p>
    <w:p>
      <w:pPr>
        <w:widowControl/>
        <w:numPr>
          <w:ilvl w:val="0"/>
          <w:numId w:val="21"/>
        </w:numPr>
        <w:spacing w:line="360" w:lineRule="auto"/>
        <w:ind w:left="0" w:firstLine="0"/>
        <w:jc w:val="left"/>
        <w:rPr>
          <w:rFonts w:ascii="宋体" w:hAnsi="宋体" w:cs="宋体"/>
          <w:color w:val="000000"/>
          <w:szCs w:val="21"/>
        </w:rPr>
      </w:pPr>
      <w:r>
        <w:rPr>
          <w:rFonts w:hint="eastAsia" w:ascii="宋体" w:hAnsi="宋体" w:cs="宋体"/>
          <w:color w:val="000000"/>
          <w:szCs w:val="21"/>
          <w:lang w:bidi="ar"/>
        </w:rPr>
        <w:t>成交人开具的正式发票</w:t>
      </w:r>
    </w:p>
    <w:p>
      <w:pPr>
        <w:numPr>
          <w:ilvl w:val="0"/>
          <w:numId w:val="21"/>
        </w:numPr>
        <w:spacing w:line="360" w:lineRule="auto"/>
        <w:ind w:left="420"/>
        <w:rPr>
          <w:rFonts w:ascii="宋体" w:hAnsi="宋体" w:cs="宋体"/>
          <w:color w:val="000000"/>
          <w:szCs w:val="21"/>
        </w:rPr>
      </w:pPr>
      <w:r>
        <w:rPr>
          <w:rFonts w:hint="eastAsia" w:ascii="宋体" w:hAnsi="宋体" w:cs="宋体"/>
          <w:color w:val="000000"/>
          <w:szCs w:val="21"/>
          <w:lang w:bidi="ar"/>
        </w:rPr>
        <w:t xml:space="preserve">采购人与成交人的成交通知书 </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评分标准：</w:t>
      </w:r>
    </w:p>
    <w:p>
      <w:pPr>
        <w:spacing w:line="360" w:lineRule="auto"/>
        <w:rPr>
          <w:rFonts w:ascii="宋体" w:hAnsi="宋体" w:cs="宋体"/>
        </w:rPr>
      </w:pPr>
      <w:r>
        <w:rPr>
          <w:rFonts w:hint="eastAsia" w:ascii="宋体" w:hAnsi="宋体" w:cs="宋体"/>
          <w:b/>
          <w:bCs/>
          <w:szCs w:val="21"/>
        </w:rPr>
        <w:t>本次采用综合评分法。评审以文件规定的条件为依据。评分比重构成如下：</w:t>
      </w:r>
    </w:p>
    <w:tbl>
      <w:tblPr>
        <w:tblStyle w:val="22"/>
        <w:tblW w:w="83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876"/>
        <w:gridCol w:w="2337"/>
        <w:gridCol w:w="2226"/>
        <w:gridCol w:w="1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876"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评分项目</w:t>
            </w:r>
          </w:p>
        </w:tc>
        <w:tc>
          <w:tcPr>
            <w:tcW w:w="233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技术部分</w:t>
            </w:r>
          </w:p>
        </w:tc>
        <w:tc>
          <w:tcPr>
            <w:tcW w:w="2226"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商务部分</w:t>
            </w:r>
          </w:p>
        </w:tc>
        <w:tc>
          <w:tcPr>
            <w:tcW w:w="189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876"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分值</w:t>
            </w:r>
          </w:p>
        </w:tc>
        <w:tc>
          <w:tcPr>
            <w:tcW w:w="233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60分</w:t>
            </w:r>
          </w:p>
        </w:tc>
        <w:tc>
          <w:tcPr>
            <w:tcW w:w="2226"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30分</w:t>
            </w:r>
          </w:p>
        </w:tc>
        <w:tc>
          <w:tcPr>
            <w:tcW w:w="189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10分</w:t>
            </w:r>
          </w:p>
        </w:tc>
      </w:tr>
    </w:tbl>
    <w:p>
      <w:pPr>
        <w:pStyle w:val="21"/>
        <w:ind w:left="0" w:leftChars="0" w:firstLine="0" w:firstLineChars="0"/>
        <w:rPr>
          <w:rFonts w:ascii="宋体" w:hAnsi="宋体" w:cs="宋体"/>
        </w:rPr>
      </w:pPr>
    </w:p>
    <w:tbl>
      <w:tblPr>
        <w:tblStyle w:val="22"/>
        <w:tblW w:w="8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36"/>
        <w:gridCol w:w="1303"/>
        <w:gridCol w:w="4861"/>
        <w:gridCol w:w="822"/>
        <w:gridCol w:w="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671" w:type="dxa"/>
            <w:gridSpan w:val="2"/>
            <w:tcBorders>
              <w:top w:val="single" w:color="auto" w:sz="12"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序号</w:t>
            </w:r>
          </w:p>
        </w:tc>
        <w:tc>
          <w:tcPr>
            <w:tcW w:w="1303" w:type="dxa"/>
            <w:tcBorders>
              <w:top w:val="single" w:color="auto" w:sz="12"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评分因素</w:t>
            </w:r>
          </w:p>
        </w:tc>
        <w:tc>
          <w:tcPr>
            <w:tcW w:w="4861" w:type="dxa"/>
            <w:tcBorders>
              <w:top w:val="single" w:color="auto" w:sz="12"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评分准则</w:t>
            </w:r>
          </w:p>
        </w:tc>
        <w:tc>
          <w:tcPr>
            <w:tcW w:w="822" w:type="dxa"/>
            <w:tcBorders>
              <w:top w:val="single" w:color="auto" w:sz="12"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权重（%）</w:t>
            </w:r>
          </w:p>
        </w:tc>
        <w:tc>
          <w:tcPr>
            <w:tcW w:w="983" w:type="dxa"/>
            <w:tcBorders>
              <w:top w:val="single" w:color="auto" w:sz="12"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rPr>
                <w:rFonts w:cs="宋体"/>
                <w:sz w:val="21"/>
                <w:szCs w:val="21"/>
              </w:rPr>
            </w:pPr>
            <w:r>
              <w:rPr>
                <w:rFonts w:hint="eastAsia" w:cs="宋体"/>
                <w:sz w:val="21"/>
                <w:szCs w:val="21"/>
              </w:rPr>
              <w:t>分数（分）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8640" w:type="dxa"/>
            <w:gridSpan w:val="6"/>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一、技术部分（60分）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2" w:hRule="atLeast"/>
          <w:jc w:val="center"/>
        </w:trPr>
        <w:tc>
          <w:tcPr>
            <w:tcW w:w="671" w:type="dxa"/>
            <w:gridSpan w:val="2"/>
            <w:tcBorders>
              <w:top w:val="single" w:color="auto" w:sz="6" w:space="0"/>
              <w:left w:val="single" w:color="auto" w:sz="6" w:space="0"/>
              <w:bottom w:val="single" w:color="auto" w:sz="6" w:space="0"/>
              <w:right w:val="single" w:color="auto" w:sz="6" w:space="0"/>
            </w:tcBorders>
            <w:vAlign w:val="center"/>
          </w:tcPr>
          <w:p>
            <w:pPr>
              <w:pStyle w:val="64"/>
              <w:numPr>
                <w:ilvl w:val="0"/>
                <w:numId w:val="22"/>
              </w:numPr>
              <w:tabs>
                <w:tab w:val="left" w:pos="993"/>
                <w:tab w:val="left" w:pos="1134"/>
              </w:tabs>
              <w:spacing w:line="360" w:lineRule="auto"/>
              <w:jc w:val="center"/>
              <w:rPr>
                <w:rFonts w:cs="宋体"/>
                <w:sz w:val="21"/>
                <w:szCs w:val="21"/>
              </w:rPr>
            </w:pPr>
          </w:p>
        </w:tc>
        <w:tc>
          <w:tcPr>
            <w:tcW w:w="1303" w:type="dxa"/>
            <w:vMerge w:val="restart"/>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整体工作方案</w:t>
            </w:r>
          </w:p>
        </w:tc>
        <w:tc>
          <w:tcPr>
            <w:tcW w:w="4861"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rPr>
                <w:rFonts w:cs="宋体"/>
                <w:b w:val="0"/>
                <w:bCs/>
                <w:sz w:val="21"/>
                <w:szCs w:val="21"/>
              </w:rPr>
            </w:pPr>
            <w:r>
              <w:rPr>
                <w:rFonts w:hint="eastAsia" w:cs="宋体"/>
                <w:b w:val="0"/>
                <w:bCs/>
                <w:sz w:val="21"/>
                <w:szCs w:val="21"/>
              </w:rPr>
              <w:t>针对本项目的需求提供整体工作方案。</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评审内容：</w:t>
            </w:r>
          </w:p>
          <w:p>
            <w:pPr>
              <w:pStyle w:val="64"/>
              <w:tabs>
                <w:tab w:val="left" w:pos="993"/>
                <w:tab w:val="left" w:pos="1134"/>
              </w:tabs>
              <w:spacing w:line="360" w:lineRule="auto"/>
              <w:rPr>
                <w:rFonts w:cs="宋体"/>
                <w:b w:val="0"/>
                <w:bCs/>
                <w:sz w:val="21"/>
                <w:szCs w:val="21"/>
              </w:rPr>
            </w:pPr>
            <w:r>
              <w:rPr>
                <w:rFonts w:hint="eastAsia" w:cs="宋体"/>
                <w:b w:val="0"/>
                <w:bCs/>
                <w:sz w:val="21"/>
                <w:szCs w:val="21"/>
              </w:rPr>
              <w:t>（1）工作方案内容全面；</w:t>
            </w:r>
          </w:p>
          <w:p>
            <w:pPr>
              <w:pStyle w:val="64"/>
              <w:tabs>
                <w:tab w:val="left" w:pos="993"/>
                <w:tab w:val="left" w:pos="1134"/>
              </w:tabs>
              <w:spacing w:line="360" w:lineRule="auto"/>
              <w:rPr>
                <w:rFonts w:cs="宋体"/>
                <w:b w:val="0"/>
                <w:bCs/>
                <w:sz w:val="21"/>
                <w:szCs w:val="21"/>
              </w:rPr>
            </w:pPr>
            <w:r>
              <w:rPr>
                <w:rFonts w:hint="eastAsia" w:cs="宋体"/>
                <w:b w:val="0"/>
                <w:bCs/>
                <w:sz w:val="21"/>
                <w:szCs w:val="21"/>
              </w:rPr>
              <w:t>（2）工作方案内容具体，表达清晰、完整、严谨；</w:t>
            </w:r>
          </w:p>
          <w:p>
            <w:pPr>
              <w:pStyle w:val="64"/>
              <w:tabs>
                <w:tab w:val="left" w:pos="993"/>
                <w:tab w:val="left" w:pos="1134"/>
              </w:tabs>
              <w:spacing w:line="360" w:lineRule="auto"/>
              <w:rPr>
                <w:rFonts w:cs="宋体"/>
                <w:b w:val="0"/>
                <w:bCs/>
                <w:sz w:val="21"/>
                <w:szCs w:val="21"/>
              </w:rPr>
            </w:pPr>
            <w:r>
              <w:rPr>
                <w:rFonts w:hint="eastAsia" w:cs="宋体"/>
                <w:b w:val="0"/>
                <w:bCs/>
                <w:sz w:val="21"/>
                <w:szCs w:val="21"/>
              </w:rPr>
              <w:t>（3）工作方案内容针对性强；</w:t>
            </w:r>
          </w:p>
          <w:p>
            <w:pPr>
              <w:pStyle w:val="64"/>
              <w:tabs>
                <w:tab w:val="left" w:pos="993"/>
                <w:tab w:val="left" w:pos="1134"/>
              </w:tabs>
              <w:spacing w:line="360" w:lineRule="auto"/>
              <w:rPr>
                <w:rFonts w:cs="宋体"/>
                <w:b w:val="0"/>
                <w:bCs/>
                <w:sz w:val="21"/>
                <w:szCs w:val="21"/>
              </w:rPr>
            </w:pPr>
            <w:r>
              <w:rPr>
                <w:rFonts w:hint="eastAsia" w:cs="宋体"/>
                <w:b w:val="0"/>
                <w:bCs/>
                <w:sz w:val="21"/>
                <w:szCs w:val="21"/>
              </w:rPr>
              <w:t>（4）工作方案内容先进，科学合理；</w:t>
            </w:r>
          </w:p>
          <w:p>
            <w:pPr>
              <w:pStyle w:val="64"/>
              <w:tabs>
                <w:tab w:val="left" w:pos="993"/>
                <w:tab w:val="left" w:pos="1134"/>
              </w:tabs>
              <w:spacing w:line="360" w:lineRule="auto"/>
              <w:rPr>
                <w:rFonts w:cs="宋体"/>
                <w:b w:val="0"/>
                <w:bCs/>
                <w:sz w:val="21"/>
                <w:szCs w:val="21"/>
              </w:rPr>
            </w:pPr>
            <w:r>
              <w:rPr>
                <w:rFonts w:hint="eastAsia" w:cs="宋体"/>
                <w:b w:val="0"/>
                <w:bCs/>
                <w:sz w:val="21"/>
                <w:szCs w:val="21"/>
              </w:rPr>
              <w:t>（5）工作方案内容可操作性强；</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评分标准：</w:t>
            </w:r>
          </w:p>
          <w:p>
            <w:pPr>
              <w:pStyle w:val="64"/>
              <w:tabs>
                <w:tab w:val="left" w:pos="993"/>
                <w:tab w:val="left" w:pos="1134"/>
              </w:tabs>
              <w:spacing w:line="360" w:lineRule="auto"/>
              <w:rPr>
                <w:rFonts w:cs="宋体"/>
                <w:b w:val="0"/>
                <w:bCs/>
                <w:sz w:val="21"/>
                <w:szCs w:val="21"/>
              </w:rPr>
            </w:pPr>
            <w:r>
              <w:rPr>
                <w:rFonts w:hint="eastAsia" w:cs="宋体"/>
                <w:b w:val="0"/>
                <w:bCs/>
                <w:sz w:val="21"/>
                <w:szCs w:val="21"/>
              </w:rPr>
              <w:t>满足以上五项要求，得25分</w:t>
            </w:r>
          </w:p>
          <w:p>
            <w:pPr>
              <w:pStyle w:val="64"/>
              <w:tabs>
                <w:tab w:val="left" w:pos="993"/>
                <w:tab w:val="left" w:pos="1134"/>
              </w:tabs>
              <w:spacing w:line="360" w:lineRule="auto"/>
              <w:rPr>
                <w:rFonts w:cs="宋体"/>
                <w:b w:val="0"/>
                <w:bCs/>
                <w:sz w:val="21"/>
                <w:szCs w:val="21"/>
              </w:rPr>
            </w:pPr>
            <w:r>
              <w:rPr>
                <w:rFonts w:hint="eastAsia" w:cs="宋体"/>
                <w:b w:val="0"/>
                <w:bCs/>
                <w:sz w:val="21"/>
                <w:szCs w:val="21"/>
              </w:rPr>
              <w:t>满足以上四项要求，得20分； 满足以上三项要求得15分； 满足以上两项要求10分； 满足以上一项要求得5分； 其它情况不得分。 证明材料：供应商须提供“整体工作方案”并加盖供应商公章（格式自拟）。未提供本项不得分。</w:t>
            </w:r>
          </w:p>
        </w:tc>
        <w:tc>
          <w:tcPr>
            <w:tcW w:w="822"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25</w:t>
            </w:r>
          </w:p>
        </w:tc>
        <w:tc>
          <w:tcPr>
            <w:tcW w:w="983" w:type="dxa"/>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2" w:hRule="atLeast"/>
          <w:jc w:val="center"/>
        </w:trPr>
        <w:tc>
          <w:tcPr>
            <w:tcW w:w="671" w:type="dxa"/>
            <w:gridSpan w:val="2"/>
            <w:tcBorders>
              <w:top w:val="single" w:color="auto" w:sz="6" w:space="0"/>
              <w:left w:val="single" w:color="auto" w:sz="6" w:space="0"/>
              <w:bottom w:val="single" w:color="auto" w:sz="6" w:space="0"/>
              <w:right w:val="single" w:color="auto" w:sz="6" w:space="0"/>
            </w:tcBorders>
            <w:vAlign w:val="center"/>
          </w:tcPr>
          <w:p>
            <w:pPr>
              <w:pStyle w:val="64"/>
              <w:numPr>
                <w:ilvl w:val="0"/>
                <w:numId w:val="22"/>
              </w:numPr>
              <w:tabs>
                <w:tab w:val="left" w:pos="993"/>
                <w:tab w:val="left" w:pos="1134"/>
              </w:tabs>
              <w:spacing w:line="360" w:lineRule="auto"/>
              <w:jc w:val="center"/>
              <w:rPr>
                <w:rFonts w:cs="宋体"/>
                <w:sz w:val="21"/>
                <w:szCs w:val="21"/>
              </w:rPr>
            </w:pPr>
          </w:p>
        </w:tc>
        <w:tc>
          <w:tcPr>
            <w:tcW w:w="1303" w:type="dxa"/>
            <w:vMerge w:val="restart"/>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质量保障措施及方案</w:t>
            </w:r>
          </w:p>
        </w:tc>
        <w:tc>
          <w:tcPr>
            <w:tcW w:w="4861"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rPr>
                <w:rFonts w:cs="宋体"/>
                <w:b w:val="0"/>
                <w:bCs/>
                <w:sz w:val="21"/>
                <w:szCs w:val="21"/>
              </w:rPr>
            </w:pPr>
            <w:r>
              <w:rPr>
                <w:rFonts w:hint="eastAsia" w:cs="宋体"/>
                <w:b w:val="0"/>
                <w:bCs/>
                <w:sz w:val="21"/>
                <w:szCs w:val="21"/>
              </w:rPr>
              <w:t>评审内容：</w:t>
            </w:r>
          </w:p>
          <w:p>
            <w:pPr>
              <w:pStyle w:val="64"/>
              <w:tabs>
                <w:tab w:val="left" w:pos="993"/>
                <w:tab w:val="left" w:pos="1134"/>
              </w:tabs>
              <w:spacing w:line="360" w:lineRule="auto"/>
              <w:rPr>
                <w:rFonts w:cs="宋体"/>
                <w:b w:val="0"/>
                <w:bCs/>
                <w:sz w:val="21"/>
                <w:szCs w:val="21"/>
              </w:rPr>
            </w:pPr>
            <w:r>
              <w:rPr>
                <w:rFonts w:hint="eastAsia" w:cs="宋体"/>
                <w:b w:val="0"/>
                <w:bCs/>
                <w:sz w:val="21"/>
                <w:szCs w:val="21"/>
              </w:rPr>
              <w:t>响应文件中对项目的质量保障措施内容包括：质量保障的措施、质量保障的实施方案、完成的时间：</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评分标准：</w:t>
            </w:r>
          </w:p>
          <w:p>
            <w:pPr>
              <w:pStyle w:val="64"/>
              <w:tabs>
                <w:tab w:val="left" w:pos="993"/>
                <w:tab w:val="left" w:pos="1134"/>
              </w:tabs>
              <w:spacing w:line="360" w:lineRule="auto"/>
              <w:rPr>
                <w:rFonts w:cs="宋体"/>
                <w:b w:val="0"/>
                <w:bCs/>
                <w:sz w:val="21"/>
                <w:szCs w:val="21"/>
              </w:rPr>
            </w:pPr>
            <w:r>
              <w:rPr>
                <w:rFonts w:hint="eastAsia" w:cs="宋体"/>
                <w:b w:val="0"/>
                <w:bCs/>
                <w:sz w:val="21"/>
                <w:szCs w:val="21"/>
              </w:rPr>
              <w:t>1.评审内容全部包含且可行性较强，得15分；</w:t>
            </w:r>
          </w:p>
          <w:p>
            <w:pPr>
              <w:pStyle w:val="64"/>
              <w:tabs>
                <w:tab w:val="left" w:pos="993"/>
                <w:tab w:val="left" w:pos="1134"/>
              </w:tabs>
              <w:spacing w:line="360" w:lineRule="auto"/>
              <w:rPr>
                <w:rFonts w:cs="宋体"/>
                <w:b w:val="0"/>
                <w:bCs/>
                <w:sz w:val="21"/>
                <w:szCs w:val="21"/>
              </w:rPr>
            </w:pPr>
            <w:r>
              <w:rPr>
                <w:rFonts w:hint="eastAsia" w:cs="宋体"/>
                <w:b w:val="0"/>
                <w:bCs/>
                <w:sz w:val="21"/>
                <w:szCs w:val="21"/>
              </w:rPr>
              <w:t>2.评审内容全部包含且可行性一般或者缺少一个，得10分；</w:t>
            </w:r>
          </w:p>
          <w:p>
            <w:pPr>
              <w:pStyle w:val="64"/>
              <w:tabs>
                <w:tab w:val="left" w:pos="993"/>
                <w:tab w:val="left" w:pos="1134"/>
              </w:tabs>
              <w:spacing w:line="360" w:lineRule="auto"/>
              <w:rPr>
                <w:rFonts w:cs="宋体"/>
                <w:b w:val="0"/>
                <w:bCs/>
                <w:sz w:val="21"/>
                <w:szCs w:val="21"/>
              </w:rPr>
            </w:pPr>
            <w:r>
              <w:rPr>
                <w:rFonts w:hint="eastAsia" w:cs="宋体"/>
                <w:b w:val="0"/>
                <w:bCs/>
                <w:sz w:val="21"/>
                <w:szCs w:val="21"/>
              </w:rPr>
              <w:t>3.评审内容全部包含且可行性较差或缺少两个，得5分；</w:t>
            </w:r>
          </w:p>
          <w:p>
            <w:pPr>
              <w:pStyle w:val="64"/>
              <w:tabs>
                <w:tab w:val="left" w:pos="993"/>
                <w:tab w:val="left" w:pos="1134"/>
              </w:tabs>
              <w:spacing w:line="360" w:lineRule="auto"/>
              <w:rPr>
                <w:rFonts w:cs="宋体"/>
                <w:b w:val="0"/>
                <w:bCs/>
                <w:sz w:val="21"/>
                <w:szCs w:val="21"/>
              </w:rPr>
            </w:pPr>
            <w:r>
              <w:rPr>
                <w:rFonts w:hint="eastAsia" w:cs="宋体"/>
                <w:b w:val="0"/>
                <w:bCs/>
                <w:sz w:val="21"/>
                <w:szCs w:val="21"/>
              </w:rPr>
              <w:t>4.未提供或提供方案内容未包含以上内容的不得分。</w:t>
            </w:r>
          </w:p>
          <w:p>
            <w:pPr>
              <w:pStyle w:val="64"/>
              <w:tabs>
                <w:tab w:val="left" w:pos="993"/>
                <w:tab w:val="left" w:pos="1134"/>
              </w:tabs>
              <w:spacing w:line="360" w:lineRule="auto"/>
              <w:rPr>
                <w:rFonts w:cs="宋体"/>
                <w:b w:val="0"/>
                <w:bCs/>
                <w:sz w:val="21"/>
                <w:szCs w:val="21"/>
              </w:rPr>
            </w:pPr>
            <w:r>
              <w:rPr>
                <w:rFonts w:hint="eastAsia" w:cs="宋体"/>
                <w:b w:val="0"/>
                <w:bCs/>
                <w:sz w:val="21"/>
                <w:szCs w:val="21"/>
              </w:rPr>
              <w:t>证明材料：供应商须提供“质量保障措施及方案”并加盖供应商公章（格式自拟）。未提供本项不得分。</w:t>
            </w:r>
          </w:p>
        </w:tc>
        <w:tc>
          <w:tcPr>
            <w:tcW w:w="822"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15</w:t>
            </w:r>
          </w:p>
        </w:tc>
        <w:tc>
          <w:tcPr>
            <w:tcW w:w="983" w:type="dxa"/>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2" w:hRule="atLeast"/>
          <w:jc w:val="center"/>
        </w:trPr>
        <w:tc>
          <w:tcPr>
            <w:tcW w:w="671" w:type="dxa"/>
            <w:gridSpan w:val="2"/>
            <w:tcBorders>
              <w:top w:val="single" w:color="auto" w:sz="6" w:space="0"/>
              <w:left w:val="single" w:color="auto" w:sz="6" w:space="0"/>
              <w:bottom w:val="single" w:color="auto" w:sz="6" w:space="0"/>
              <w:right w:val="single" w:color="auto" w:sz="6" w:space="0"/>
            </w:tcBorders>
            <w:vAlign w:val="center"/>
          </w:tcPr>
          <w:p>
            <w:pPr>
              <w:pStyle w:val="64"/>
              <w:numPr>
                <w:ilvl w:val="0"/>
                <w:numId w:val="22"/>
              </w:numPr>
              <w:tabs>
                <w:tab w:val="left" w:pos="993"/>
                <w:tab w:val="left" w:pos="1134"/>
              </w:tabs>
              <w:spacing w:line="360" w:lineRule="auto"/>
              <w:jc w:val="center"/>
              <w:rPr>
                <w:rFonts w:cs="宋体"/>
                <w:sz w:val="21"/>
                <w:szCs w:val="21"/>
              </w:rPr>
            </w:pPr>
          </w:p>
        </w:tc>
        <w:tc>
          <w:tcPr>
            <w:tcW w:w="1303" w:type="dxa"/>
            <w:vMerge w:val="restart"/>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项目完成的服务承诺</w:t>
            </w:r>
          </w:p>
        </w:tc>
        <w:tc>
          <w:tcPr>
            <w:tcW w:w="4861"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rPr>
                <w:rFonts w:cs="宋体"/>
                <w:b w:val="0"/>
                <w:bCs/>
                <w:sz w:val="21"/>
                <w:szCs w:val="21"/>
              </w:rPr>
            </w:pPr>
            <w:r>
              <w:rPr>
                <w:rFonts w:hint="eastAsia" w:cs="宋体"/>
                <w:b w:val="0"/>
                <w:bCs/>
                <w:sz w:val="21"/>
                <w:szCs w:val="21"/>
              </w:rPr>
              <w:t>评审内容：</w:t>
            </w:r>
          </w:p>
          <w:p>
            <w:pPr>
              <w:pStyle w:val="64"/>
              <w:tabs>
                <w:tab w:val="left" w:pos="993"/>
                <w:tab w:val="left" w:pos="1134"/>
              </w:tabs>
              <w:spacing w:line="360" w:lineRule="auto"/>
              <w:rPr>
                <w:rFonts w:cs="宋体"/>
                <w:b w:val="0"/>
                <w:bCs/>
                <w:sz w:val="21"/>
                <w:szCs w:val="21"/>
              </w:rPr>
            </w:pPr>
            <w:r>
              <w:rPr>
                <w:rFonts w:hint="eastAsia" w:cs="宋体"/>
                <w:b w:val="0"/>
                <w:bCs/>
                <w:sz w:val="21"/>
                <w:szCs w:val="21"/>
              </w:rPr>
              <w:t>响应文件中对项目服务承诺等的论述内容包括：</w:t>
            </w:r>
          </w:p>
          <w:p>
            <w:pPr>
              <w:pStyle w:val="64"/>
              <w:tabs>
                <w:tab w:val="left" w:pos="993"/>
                <w:tab w:val="left" w:pos="1134"/>
              </w:tabs>
              <w:spacing w:line="360" w:lineRule="auto"/>
              <w:rPr>
                <w:rFonts w:cs="宋体"/>
                <w:b w:val="0"/>
                <w:bCs/>
                <w:sz w:val="21"/>
                <w:szCs w:val="21"/>
              </w:rPr>
            </w:pPr>
            <w:r>
              <w:rPr>
                <w:rFonts w:hint="eastAsia" w:cs="宋体"/>
                <w:b w:val="0"/>
                <w:bCs/>
                <w:sz w:val="21"/>
                <w:szCs w:val="21"/>
              </w:rPr>
              <w:t>（1）服务承诺内容全面；</w:t>
            </w:r>
          </w:p>
          <w:p>
            <w:pPr>
              <w:pStyle w:val="64"/>
              <w:tabs>
                <w:tab w:val="left" w:pos="993"/>
                <w:tab w:val="left" w:pos="1134"/>
              </w:tabs>
              <w:spacing w:line="360" w:lineRule="auto"/>
              <w:rPr>
                <w:rFonts w:cs="宋体"/>
                <w:b w:val="0"/>
                <w:bCs/>
                <w:sz w:val="21"/>
                <w:szCs w:val="21"/>
              </w:rPr>
            </w:pPr>
            <w:r>
              <w:rPr>
                <w:rFonts w:hint="eastAsia" w:cs="宋体"/>
                <w:b w:val="0"/>
                <w:bCs/>
                <w:sz w:val="21"/>
                <w:szCs w:val="21"/>
              </w:rPr>
              <w:t>（2）服务承诺内容具体；</w:t>
            </w:r>
          </w:p>
          <w:p>
            <w:pPr>
              <w:pStyle w:val="64"/>
              <w:tabs>
                <w:tab w:val="left" w:pos="993"/>
                <w:tab w:val="left" w:pos="1134"/>
              </w:tabs>
              <w:spacing w:line="360" w:lineRule="auto"/>
              <w:rPr>
                <w:rFonts w:cs="宋体"/>
                <w:b w:val="0"/>
                <w:bCs/>
                <w:sz w:val="21"/>
                <w:szCs w:val="21"/>
              </w:rPr>
            </w:pPr>
            <w:r>
              <w:rPr>
                <w:rFonts w:hint="eastAsia" w:cs="宋体"/>
                <w:b w:val="0"/>
                <w:bCs/>
                <w:sz w:val="21"/>
                <w:szCs w:val="21"/>
              </w:rPr>
              <w:t>（3）服务承诺内容科学合理；</w:t>
            </w:r>
          </w:p>
          <w:p>
            <w:pPr>
              <w:pStyle w:val="64"/>
              <w:tabs>
                <w:tab w:val="left" w:pos="993"/>
                <w:tab w:val="left" w:pos="1134"/>
              </w:tabs>
              <w:spacing w:line="360" w:lineRule="auto"/>
              <w:rPr>
                <w:rFonts w:cs="宋体"/>
                <w:b w:val="0"/>
                <w:bCs/>
                <w:sz w:val="21"/>
                <w:szCs w:val="21"/>
              </w:rPr>
            </w:pPr>
            <w:r>
              <w:rPr>
                <w:rFonts w:hint="eastAsia" w:cs="宋体"/>
                <w:b w:val="0"/>
                <w:bCs/>
                <w:sz w:val="21"/>
                <w:szCs w:val="21"/>
              </w:rPr>
              <w:t>（4）服务承诺内容针对性强且可操作性强。</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评分标准：</w:t>
            </w:r>
          </w:p>
          <w:p>
            <w:pPr>
              <w:pStyle w:val="64"/>
              <w:tabs>
                <w:tab w:val="left" w:pos="993"/>
                <w:tab w:val="left" w:pos="1134"/>
              </w:tabs>
              <w:spacing w:line="360" w:lineRule="auto"/>
              <w:rPr>
                <w:rFonts w:cs="宋体"/>
                <w:b w:val="0"/>
                <w:bCs/>
                <w:sz w:val="21"/>
                <w:szCs w:val="21"/>
              </w:rPr>
            </w:pPr>
            <w:r>
              <w:rPr>
                <w:rFonts w:hint="eastAsia" w:cs="宋体"/>
                <w:b w:val="0"/>
                <w:bCs/>
                <w:sz w:val="21"/>
                <w:szCs w:val="21"/>
              </w:rPr>
              <w:t>满足以上4项要求，评价为优，得10分； 满足以上任意3项要求，评价为良，得8分； 满足以上任意2项要求，评价为中，得5分； 其他情况不得分。 证明材料：供应商须提供“项目完成的服务承诺”并加盖供应商公章（格式自拟）。未提供本项不得分。</w:t>
            </w:r>
          </w:p>
        </w:tc>
        <w:tc>
          <w:tcPr>
            <w:tcW w:w="822"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10</w:t>
            </w:r>
          </w:p>
        </w:tc>
        <w:tc>
          <w:tcPr>
            <w:tcW w:w="983" w:type="dxa"/>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2" w:hRule="atLeast"/>
          <w:jc w:val="center"/>
        </w:trPr>
        <w:tc>
          <w:tcPr>
            <w:tcW w:w="671" w:type="dxa"/>
            <w:gridSpan w:val="2"/>
            <w:tcBorders>
              <w:top w:val="single" w:color="auto" w:sz="6" w:space="0"/>
              <w:left w:val="single" w:color="auto" w:sz="6" w:space="0"/>
              <w:bottom w:val="single" w:color="auto" w:sz="6" w:space="0"/>
              <w:right w:val="single" w:color="auto" w:sz="6" w:space="0"/>
            </w:tcBorders>
            <w:vAlign w:val="center"/>
          </w:tcPr>
          <w:p>
            <w:pPr>
              <w:pStyle w:val="64"/>
              <w:numPr>
                <w:ilvl w:val="0"/>
                <w:numId w:val="22"/>
              </w:numPr>
              <w:tabs>
                <w:tab w:val="left" w:pos="993"/>
                <w:tab w:val="left" w:pos="1134"/>
              </w:tabs>
              <w:spacing w:line="360" w:lineRule="auto"/>
              <w:jc w:val="center"/>
              <w:rPr>
                <w:rFonts w:cs="宋体"/>
                <w:sz w:val="21"/>
                <w:szCs w:val="21"/>
              </w:rPr>
            </w:pPr>
          </w:p>
        </w:tc>
        <w:tc>
          <w:tcPr>
            <w:tcW w:w="1303" w:type="dxa"/>
            <w:vMerge w:val="restart"/>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违约承诺</w:t>
            </w:r>
          </w:p>
        </w:tc>
        <w:tc>
          <w:tcPr>
            <w:tcW w:w="4861"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rPr>
                <w:rFonts w:cs="宋体"/>
                <w:b w:val="0"/>
                <w:bCs/>
                <w:sz w:val="21"/>
                <w:szCs w:val="21"/>
              </w:rPr>
            </w:pPr>
            <w:r>
              <w:rPr>
                <w:rFonts w:hint="eastAsia" w:cs="宋体"/>
                <w:b w:val="0"/>
                <w:bCs/>
                <w:sz w:val="21"/>
                <w:szCs w:val="21"/>
              </w:rPr>
              <w:t>评审内容：</w:t>
            </w:r>
          </w:p>
          <w:p>
            <w:pPr>
              <w:pStyle w:val="64"/>
              <w:tabs>
                <w:tab w:val="left" w:pos="993"/>
                <w:tab w:val="left" w:pos="1134"/>
              </w:tabs>
              <w:spacing w:line="360" w:lineRule="auto"/>
              <w:rPr>
                <w:rFonts w:cs="宋体"/>
                <w:b w:val="0"/>
                <w:bCs/>
                <w:sz w:val="21"/>
                <w:szCs w:val="21"/>
              </w:rPr>
            </w:pPr>
            <w:r>
              <w:rPr>
                <w:rFonts w:hint="eastAsia" w:cs="宋体"/>
                <w:b w:val="0"/>
                <w:bCs/>
                <w:sz w:val="21"/>
                <w:szCs w:val="21"/>
              </w:rPr>
              <w:t>响应文件中对项目违约承诺等的论述内容。</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评审标准：</w:t>
            </w:r>
          </w:p>
          <w:p>
            <w:pPr>
              <w:pStyle w:val="64"/>
              <w:tabs>
                <w:tab w:val="left" w:pos="993"/>
                <w:tab w:val="left" w:pos="1134"/>
              </w:tabs>
              <w:spacing w:line="360" w:lineRule="auto"/>
              <w:rPr>
                <w:rFonts w:cs="宋体"/>
                <w:b w:val="0"/>
                <w:bCs/>
                <w:sz w:val="21"/>
                <w:szCs w:val="21"/>
              </w:rPr>
            </w:pPr>
            <w:r>
              <w:rPr>
                <w:rFonts w:hint="eastAsia" w:cs="宋体"/>
                <w:b w:val="0"/>
                <w:bCs/>
                <w:sz w:val="21"/>
                <w:szCs w:val="21"/>
              </w:rPr>
              <w:t>（1）违约承诺内容全面；</w:t>
            </w:r>
          </w:p>
          <w:p>
            <w:pPr>
              <w:pStyle w:val="64"/>
              <w:tabs>
                <w:tab w:val="left" w:pos="993"/>
                <w:tab w:val="left" w:pos="1134"/>
              </w:tabs>
              <w:spacing w:line="360" w:lineRule="auto"/>
              <w:rPr>
                <w:rFonts w:cs="宋体"/>
                <w:b w:val="0"/>
                <w:bCs/>
                <w:sz w:val="21"/>
                <w:szCs w:val="21"/>
              </w:rPr>
            </w:pPr>
            <w:r>
              <w:rPr>
                <w:rFonts w:hint="eastAsia" w:cs="宋体"/>
                <w:b w:val="0"/>
                <w:bCs/>
                <w:sz w:val="21"/>
                <w:szCs w:val="21"/>
              </w:rPr>
              <w:t>（2）违约承诺内容具体；</w:t>
            </w:r>
          </w:p>
          <w:p>
            <w:pPr>
              <w:pStyle w:val="64"/>
              <w:tabs>
                <w:tab w:val="left" w:pos="993"/>
                <w:tab w:val="left" w:pos="1134"/>
              </w:tabs>
              <w:spacing w:line="360" w:lineRule="auto"/>
              <w:rPr>
                <w:rFonts w:cs="宋体"/>
                <w:b w:val="0"/>
                <w:bCs/>
                <w:sz w:val="21"/>
                <w:szCs w:val="21"/>
              </w:rPr>
            </w:pPr>
            <w:r>
              <w:rPr>
                <w:rFonts w:hint="eastAsia" w:cs="宋体"/>
                <w:b w:val="0"/>
                <w:bCs/>
                <w:sz w:val="21"/>
                <w:szCs w:val="21"/>
              </w:rPr>
              <w:t>（3）违约承诺内容科学合理；</w:t>
            </w:r>
          </w:p>
          <w:p>
            <w:pPr>
              <w:pStyle w:val="64"/>
              <w:tabs>
                <w:tab w:val="left" w:pos="993"/>
                <w:tab w:val="left" w:pos="1134"/>
              </w:tabs>
              <w:spacing w:line="360" w:lineRule="auto"/>
              <w:rPr>
                <w:rFonts w:cs="宋体"/>
                <w:b w:val="0"/>
                <w:bCs/>
                <w:sz w:val="21"/>
                <w:szCs w:val="21"/>
              </w:rPr>
            </w:pPr>
            <w:r>
              <w:rPr>
                <w:rFonts w:hint="eastAsia" w:cs="宋体"/>
                <w:b w:val="0"/>
                <w:bCs/>
                <w:sz w:val="21"/>
                <w:szCs w:val="21"/>
              </w:rPr>
              <w:t>（4）违约承诺内容针对性强且可操作性强。</w:t>
            </w:r>
          </w:p>
          <w:p>
            <w:pPr>
              <w:pStyle w:val="64"/>
              <w:tabs>
                <w:tab w:val="left" w:pos="993"/>
                <w:tab w:val="left" w:pos="1134"/>
              </w:tabs>
              <w:spacing w:line="360" w:lineRule="auto"/>
              <w:rPr>
                <w:rFonts w:cs="宋体"/>
                <w:b w:val="0"/>
                <w:bCs/>
                <w:sz w:val="21"/>
                <w:szCs w:val="21"/>
              </w:rPr>
            </w:pPr>
            <w:r>
              <w:rPr>
                <w:rFonts w:hint="eastAsia" w:cs="宋体"/>
                <w:b w:val="0"/>
                <w:bCs/>
                <w:sz w:val="21"/>
                <w:szCs w:val="21"/>
              </w:rPr>
              <w:t>评分标准：</w:t>
            </w:r>
          </w:p>
          <w:p>
            <w:pPr>
              <w:pStyle w:val="64"/>
              <w:tabs>
                <w:tab w:val="left" w:pos="993"/>
                <w:tab w:val="left" w:pos="1134"/>
              </w:tabs>
              <w:spacing w:line="360" w:lineRule="auto"/>
              <w:rPr>
                <w:rFonts w:cs="宋体"/>
                <w:b w:val="0"/>
                <w:bCs/>
                <w:sz w:val="21"/>
                <w:szCs w:val="21"/>
              </w:rPr>
            </w:pPr>
            <w:r>
              <w:rPr>
                <w:rFonts w:hint="eastAsia" w:cs="宋体"/>
                <w:b w:val="0"/>
                <w:bCs/>
                <w:sz w:val="21"/>
                <w:szCs w:val="21"/>
              </w:rPr>
              <w:t>满足以上4项要求，评价为优，得10分； 满足以上任意3项要求，评价为良，得6分； 满足以上任意2项要求，评价为中，得2分； 其他情况不得分。 证明材料：供应商须提供“违约承诺”并加盖供应商公章（格式自拟）。未提供本项不得分。</w:t>
            </w:r>
          </w:p>
        </w:tc>
        <w:tc>
          <w:tcPr>
            <w:tcW w:w="822" w:type="dxa"/>
            <w:tcBorders>
              <w:top w:val="single" w:color="auto" w:sz="6" w:space="0"/>
              <w:left w:val="single" w:color="auto" w:sz="6" w:space="0"/>
              <w:bottom w:val="single" w:color="auto" w:sz="6" w:space="0"/>
              <w:right w:val="single" w:color="auto" w:sz="6"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10</w:t>
            </w:r>
          </w:p>
        </w:tc>
        <w:tc>
          <w:tcPr>
            <w:tcW w:w="983" w:type="dxa"/>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b w:val="0"/>
                <w:bCs/>
                <w:sz w:val="21"/>
                <w:szCs w:val="21"/>
              </w:rPr>
            </w:pPr>
            <w:r>
              <w:rPr>
                <w:rFonts w:hint="eastAsia" w:cs="宋体"/>
                <w:b w:val="0"/>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8640" w:type="dxa"/>
            <w:gridSpan w:val="6"/>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二、商务部分（30分）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5" w:type="dxa"/>
            <w:tcBorders>
              <w:top w:val="single" w:color="auto" w:sz="6" w:space="0"/>
              <w:left w:val="single" w:color="auto" w:sz="6" w:space="0"/>
              <w:bottom w:val="single" w:color="auto" w:sz="6" w:space="0"/>
              <w:right w:val="single" w:color="auto" w:sz="6" w:space="0"/>
            </w:tcBorders>
            <w:vAlign w:val="center"/>
          </w:tcPr>
          <w:p>
            <w:pPr>
              <w:pStyle w:val="64"/>
              <w:numPr>
                <w:ilvl w:val="0"/>
                <w:numId w:val="23"/>
              </w:numPr>
              <w:tabs>
                <w:tab w:val="left" w:pos="993"/>
                <w:tab w:val="left" w:pos="1134"/>
              </w:tabs>
              <w:spacing w:line="360" w:lineRule="auto"/>
              <w:jc w:val="center"/>
              <w:rPr>
                <w:rFonts w:cs="宋体"/>
                <w:sz w:val="21"/>
                <w:szCs w:val="21"/>
              </w:rPr>
            </w:pPr>
          </w:p>
        </w:tc>
        <w:tc>
          <w:tcPr>
            <w:tcW w:w="1339"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同类业绩经验情况</w:t>
            </w:r>
          </w:p>
        </w:tc>
        <w:tc>
          <w:tcPr>
            <w:tcW w:w="48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bCs/>
                <w:szCs w:val="21"/>
                <w:lang w:val="zh-CN"/>
              </w:rPr>
            </w:pPr>
            <w:r>
              <w:rPr>
                <w:rFonts w:hint="eastAsia" w:ascii="宋体" w:hAnsi="宋体" w:cs="宋体"/>
                <w:bCs/>
                <w:szCs w:val="21"/>
                <w:lang w:val="zh-CN"/>
              </w:rPr>
              <w:t>（一）评分内容：</w:t>
            </w:r>
          </w:p>
          <w:p>
            <w:pPr>
              <w:spacing w:line="360" w:lineRule="auto"/>
              <w:rPr>
                <w:rFonts w:ascii="宋体" w:hAnsi="宋体" w:cs="宋体"/>
                <w:bCs/>
                <w:szCs w:val="21"/>
                <w:lang w:val="zh-CN"/>
              </w:rPr>
            </w:pPr>
            <w:r>
              <w:rPr>
                <w:rFonts w:hint="eastAsia" w:ascii="宋体" w:hAnsi="宋体" w:cs="宋体"/>
                <w:bCs/>
                <w:szCs w:val="21"/>
                <w:lang w:val="zh-CN"/>
              </w:rPr>
              <w:t>供应商自2020年1月1日至本项目报名截止之日（以合同签订时间为准），具有同类项目业绩的，每提供1个业绩得</w:t>
            </w:r>
            <w:r>
              <w:rPr>
                <w:rFonts w:hint="eastAsia" w:ascii="宋体" w:hAnsi="宋体" w:cs="宋体"/>
                <w:bCs/>
                <w:szCs w:val="21"/>
              </w:rPr>
              <w:t>3</w:t>
            </w:r>
            <w:r>
              <w:rPr>
                <w:rFonts w:hint="eastAsia" w:ascii="宋体" w:hAnsi="宋体" w:cs="宋体"/>
                <w:bCs/>
                <w:szCs w:val="21"/>
                <w:lang w:val="zh-CN"/>
              </w:rPr>
              <w:t>分，最高得15分。</w:t>
            </w:r>
          </w:p>
          <w:p>
            <w:pPr>
              <w:spacing w:line="360" w:lineRule="auto"/>
              <w:rPr>
                <w:rFonts w:ascii="宋体" w:hAnsi="宋体" w:cs="宋体"/>
                <w:bCs/>
                <w:szCs w:val="21"/>
                <w:lang w:val="zh-CN"/>
              </w:rPr>
            </w:pPr>
            <w:r>
              <w:rPr>
                <w:rFonts w:hint="eastAsia" w:ascii="宋体" w:hAnsi="宋体" w:cs="宋体"/>
                <w:bCs/>
                <w:szCs w:val="21"/>
                <w:lang w:val="zh-CN"/>
              </w:rPr>
              <w:t>（二）证明材料：</w:t>
            </w:r>
          </w:p>
          <w:p>
            <w:pPr>
              <w:spacing w:line="360" w:lineRule="auto"/>
              <w:rPr>
                <w:rFonts w:ascii="宋体" w:hAnsi="宋体" w:cs="宋体"/>
                <w:bCs/>
                <w:szCs w:val="21"/>
                <w:lang w:val="zh-CN"/>
              </w:rPr>
            </w:pPr>
            <w:r>
              <w:rPr>
                <w:rFonts w:hint="eastAsia" w:ascii="宋体" w:hAnsi="宋体" w:cs="宋体"/>
                <w:bCs/>
                <w:szCs w:val="21"/>
                <w:lang w:val="zh-CN"/>
              </w:rPr>
              <w:t>提供合同关键页（含签订合同双方的单位名称、合同项目名称与含签订合同双方的落款盖章、签订日期的关键页）复印件加盖供应商公章，未提供或提供的不符合或提供不清晰导致无法判断的均不得分。</w:t>
            </w:r>
          </w:p>
        </w:tc>
        <w:tc>
          <w:tcPr>
            <w:tcW w:w="82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98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5" w:type="dxa"/>
            <w:tcBorders>
              <w:top w:val="single" w:color="auto" w:sz="6" w:space="0"/>
              <w:left w:val="single" w:color="auto" w:sz="6" w:space="0"/>
              <w:bottom w:val="single" w:color="auto" w:sz="6" w:space="0"/>
              <w:right w:val="single" w:color="auto" w:sz="6" w:space="0"/>
            </w:tcBorders>
            <w:vAlign w:val="center"/>
          </w:tcPr>
          <w:p>
            <w:pPr>
              <w:pStyle w:val="64"/>
              <w:numPr>
                <w:ilvl w:val="0"/>
                <w:numId w:val="23"/>
              </w:numPr>
              <w:tabs>
                <w:tab w:val="left" w:pos="993"/>
                <w:tab w:val="left" w:pos="1134"/>
              </w:tabs>
              <w:spacing w:line="360" w:lineRule="auto"/>
              <w:jc w:val="center"/>
              <w:rPr>
                <w:rFonts w:cs="宋体"/>
                <w:sz w:val="21"/>
                <w:szCs w:val="21"/>
              </w:rPr>
            </w:pPr>
          </w:p>
        </w:tc>
        <w:tc>
          <w:tcPr>
            <w:tcW w:w="1339"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履约评价</w:t>
            </w:r>
          </w:p>
        </w:tc>
        <w:tc>
          <w:tcPr>
            <w:tcW w:w="48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bCs/>
                <w:szCs w:val="21"/>
                <w:lang w:val="zh-CN"/>
              </w:rPr>
            </w:pPr>
            <w:r>
              <w:rPr>
                <w:rFonts w:hint="eastAsia" w:ascii="宋体" w:hAnsi="宋体" w:cs="宋体"/>
                <w:bCs/>
                <w:szCs w:val="21"/>
                <w:lang w:val="zh-CN"/>
              </w:rPr>
              <w:t>供应商近三年（2020年1月1日至本项目报名截止之日止，以合同签订日期为准）有同类项目的履约情况评价，且履约评价为“优秀”或“满意”或“合格”的相关证明文件加盖合同甲方公章（业务章）。证明文件的内容包括但不仅限于合同的项目名称、总体履约评价结果、出具证明的签署日期等相关内容,如提交的证明文件其评价结果没有结论而仅是打分的（比如打100分、98分、95分、85分等的）不计分。提供1个得</w:t>
            </w:r>
            <w:r>
              <w:rPr>
                <w:rFonts w:hint="eastAsia" w:ascii="宋体" w:hAnsi="宋体" w:cs="宋体"/>
                <w:bCs/>
                <w:szCs w:val="21"/>
              </w:rPr>
              <w:t>5</w:t>
            </w:r>
            <w:r>
              <w:rPr>
                <w:rFonts w:hint="eastAsia" w:ascii="宋体" w:hAnsi="宋体" w:cs="宋体"/>
                <w:bCs/>
                <w:szCs w:val="21"/>
                <w:lang w:val="zh-CN"/>
              </w:rPr>
              <w:t>分，该项最高得</w:t>
            </w:r>
            <w:r>
              <w:rPr>
                <w:rFonts w:hint="eastAsia" w:ascii="宋体" w:hAnsi="宋体" w:cs="宋体"/>
                <w:bCs/>
                <w:szCs w:val="21"/>
              </w:rPr>
              <w:t>5</w:t>
            </w:r>
            <w:r>
              <w:rPr>
                <w:rFonts w:hint="eastAsia" w:ascii="宋体" w:hAnsi="宋体" w:cs="宋体"/>
                <w:bCs/>
                <w:szCs w:val="21"/>
                <w:lang w:val="zh-CN"/>
              </w:rPr>
              <w:t>分。</w:t>
            </w:r>
          </w:p>
        </w:tc>
        <w:tc>
          <w:tcPr>
            <w:tcW w:w="82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98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5" w:type="dxa"/>
            <w:tcBorders>
              <w:top w:val="single" w:color="auto" w:sz="6" w:space="0"/>
              <w:left w:val="single" w:color="auto" w:sz="6" w:space="0"/>
              <w:bottom w:val="single" w:color="auto" w:sz="6" w:space="0"/>
              <w:right w:val="single" w:color="auto" w:sz="6" w:space="0"/>
            </w:tcBorders>
            <w:vAlign w:val="center"/>
          </w:tcPr>
          <w:p>
            <w:pPr>
              <w:pStyle w:val="64"/>
              <w:numPr>
                <w:ilvl w:val="0"/>
                <w:numId w:val="23"/>
              </w:numPr>
              <w:tabs>
                <w:tab w:val="left" w:pos="993"/>
                <w:tab w:val="left" w:pos="1134"/>
              </w:tabs>
              <w:spacing w:line="360" w:lineRule="auto"/>
              <w:jc w:val="center"/>
              <w:rPr>
                <w:rFonts w:cs="宋体"/>
                <w:sz w:val="21"/>
                <w:szCs w:val="21"/>
              </w:rPr>
            </w:pPr>
          </w:p>
        </w:tc>
        <w:tc>
          <w:tcPr>
            <w:tcW w:w="1339"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诚信评价</w:t>
            </w:r>
          </w:p>
        </w:tc>
        <w:tc>
          <w:tcPr>
            <w:tcW w:w="48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bCs/>
                <w:szCs w:val="21"/>
                <w:lang w:val="zh-CN"/>
              </w:rPr>
            </w:pPr>
            <w:r>
              <w:rPr>
                <w:rFonts w:hint="eastAsia" w:ascii="宋体" w:hAnsi="宋体" w:cs="宋体"/>
                <w:bCs/>
                <w:szCs w:val="21"/>
                <w:lang w:val="zh-CN"/>
              </w:rPr>
              <w:t>供应商在参与政府采购活动中出现诚信相关问题且在相关主管部门处理措施实施期限内的本项不得分，否则得满分。（须提供“诚信承诺函”，并加盖供应商公章（格式见附件）。不提供不得分。如被认定提供的陈述与事实不符的，依法追究其责任。</w:t>
            </w:r>
          </w:p>
        </w:tc>
        <w:tc>
          <w:tcPr>
            <w:tcW w:w="82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98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8640" w:type="dxa"/>
            <w:gridSpan w:val="6"/>
            <w:tcBorders>
              <w:top w:val="single" w:color="auto" w:sz="6" w:space="0"/>
              <w:left w:val="single" w:color="auto" w:sz="6" w:space="0"/>
              <w:bottom w:val="single" w:color="auto" w:sz="6" w:space="0"/>
              <w:right w:val="single" w:color="auto" w:sz="12" w:space="0"/>
            </w:tcBorders>
            <w:vAlign w:val="center"/>
          </w:tcPr>
          <w:p>
            <w:pPr>
              <w:pStyle w:val="64"/>
              <w:tabs>
                <w:tab w:val="left" w:pos="993"/>
                <w:tab w:val="left" w:pos="1134"/>
              </w:tabs>
              <w:spacing w:line="360" w:lineRule="auto"/>
              <w:jc w:val="center"/>
              <w:rPr>
                <w:rFonts w:cs="宋体"/>
                <w:sz w:val="21"/>
                <w:szCs w:val="21"/>
              </w:rPr>
            </w:pPr>
            <w:r>
              <w:rPr>
                <w:rFonts w:hint="eastAsia" w:cs="宋体"/>
                <w:sz w:val="21"/>
                <w:szCs w:val="21"/>
              </w:rPr>
              <w:t>三、价格部分（</w:t>
            </w:r>
            <w:r>
              <w:rPr>
                <w:rFonts w:hint="eastAsia" w:cs="宋体"/>
                <w:bCs/>
                <w:sz w:val="21"/>
                <w:szCs w:val="21"/>
              </w:rPr>
              <w:t>10分</w:t>
            </w:r>
            <w:r>
              <w:rPr>
                <w:rFonts w:hint="eastAsia"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0" w:hRule="atLeast"/>
          <w:jc w:val="center"/>
        </w:trPr>
        <w:tc>
          <w:tcPr>
            <w:tcW w:w="635" w:type="dxa"/>
            <w:tcBorders>
              <w:top w:val="single" w:color="auto" w:sz="6" w:space="0"/>
              <w:left w:val="single" w:color="auto" w:sz="6" w:space="0"/>
              <w:bottom w:val="single" w:color="auto" w:sz="6" w:space="0"/>
              <w:right w:val="single" w:color="auto" w:sz="6" w:space="0"/>
            </w:tcBorders>
            <w:vAlign w:val="center"/>
          </w:tcPr>
          <w:p>
            <w:pPr>
              <w:pStyle w:val="64"/>
              <w:numPr>
                <w:ilvl w:val="0"/>
                <w:numId w:val="24"/>
              </w:numPr>
              <w:tabs>
                <w:tab w:val="left" w:pos="993"/>
                <w:tab w:val="left" w:pos="1134"/>
              </w:tabs>
              <w:spacing w:line="360" w:lineRule="auto"/>
              <w:jc w:val="center"/>
              <w:rPr>
                <w:rFonts w:cs="宋体"/>
                <w:sz w:val="21"/>
                <w:szCs w:val="21"/>
              </w:rPr>
            </w:pPr>
          </w:p>
        </w:tc>
        <w:tc>
          <w:tcPr>
            <w:tcW w:w="1339" w:type="dxa"/>
            <w:gridSpan w:val="2"/>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宋体" w:hAnsi="宋体" w:cs="宋体"/>
                <w:bCs/>
                <w:szCs w:val="21"/>
              </w:rPr>
            </w:pPr>
            <w:r>
              <w:rPr>
                <w:rFonts w:hint="eastAsia" w:ascii="宋体" w:hAnsi="宋体" w:cs="宋体"/>
                <w:bCs/>
                <w:szCs w:val="21"/>
              </w:rPr>
              <w:t>响应报价</w:t>
            </w:r>
          </w:p>
        </w:tc>
        <w:tc>
          <w:tcPr>
            <w:tcW w:w="4861" w:type="dxa"/>
            <w:tcBorders>
              <w:top w:val="single" w:color="auto" w:sz="6" w:space="0"/>
              <w:left w:val="single" w:color="auto" w:sz="6" w:space="0"/>
              <w:bottom w:val="single" w:color="auto" w:sz="6" w:space="0"/>
              <w:right w:val="single" w:color="auto" w:sz="6" w:space="0"/>
            </w:tcBorders>
            <w:vAlign w:val="center"/>
          </w:tcPr>
          <w:p>
            <w:pPr>
              <w:spacing w:line="276" w:lineRule="auto"/>
              <w:rPr>
                <w:rFonts w:ascii="宋体" w:hAnsi="宋体" w:cs="宋体"/>
                <w:bCs/>
                <w:szCs w:val="21"/>
              </w:rPr>
            </w:pPr>
            <w:r>
              <w:rPr>
                <w:rFonts w:hint="eastAsia" w:ascii="宋体" w:hAnsi="宋体" w:cs="宋体"/>
                <w:bCs/>
                <w:szCs w:val="21"/>
              </w:rPr>
              <w:t>价格分统一采用低价优先法计算，即满足综合评审文件要求且报价最低的报价为基准价，其价格分为满分。其他响应供应商的价格分统一按照下列公式计算：</w:t>
            </w:r>
          </w:p>
          <w:p>
            <w:pPr>
              <w:spacing w:line="276" w:lineRule="auto"/>
              <w:rPr>
                <w:rFonts w:ascii="宋体" w:hAnsi="宋体" w:cs="宋体"/>
                <w:bCs/>
                <w:szCs w:val="21"/>
              </w:rPr>
            </w:pPr>
            <w:r>
              <w:rPr>
                <w:rFonts w:hint="eastAsia" w:ascii="宋体" w:hAnsi="宋体" w:cs="宋体"/>
                <w:bCs/>
                <w:szCs w:val="21"/>
              </w:rPr>
              <w:t>报价得分=(基准价／最后报价)×100×价格权重</w:t>
            </w:r>
          </w:p>
          <w:p>
            <w:pPr>
              <w:spacing w:line="276" w:lineRule="auto"/>
              <w:rPr>
                <w:rFonts w:ascii="宋体" w:hAnsi="宋体" w:cs="宋体"/>
                <w:bCs/>
                <w:szCs w:val="21"/>
              </w:rPr>
            </w:pPr>
            <w:r>
              <w:rPr>
                <w:rFonts w:hint="eastAsia" w:ascii="宋体" w:hAnsi="宋体" w:cs="宋体"/>
                <w:bCs/>
                <w:szCs w:val="21"/>
              </w:rPr>
              <w:t>备注：</w:t>
            </w:r>
          </w:p>
          <w:p>
            <w:pPr>
              <w:spacing w:line="276" w:lineRule="auto"/>
              <w:rPr>
                <w:rFonts w:ascii="宋体" w:hAnsi="宋体" w:cs="宋体"/>
                <w:bCs/>
                <w:szCs w:val="21"/>
              </w:rPr>
            </w:pPr>
            <w:r>
              <w:rPr>
                <w:rFonts w:hint="eastAsia" w:ascii="宋体" w:hAnsi="宋体" w:cs="宋体"/>
                <w:bCs/>
                <w:szCs w:val="21"/>
              </w:rPr>
              <w:t>1.报价得分四舍五入后，小数点后保留两位有效数；</w:t>
            </w:r>
          </w:p>
          <w:p>
            <w:pPr>
              <w:spacing w:line="276" w:lineRule="auto"/>
              <w:rPr>
                <w:rFonts w:ascii="宋体" w:hAnsi="宋体" w:cs="宋体"/>
                <w:bCs/>
                <w:szCs w:val="21"/>
              </w:rPr>
            </w:pPr>
            <w:r>
              <w:rPr>
                <w:rFonts w:hint="eastAsia" w:ascii="宋体" w:hAnsi="宋体" w:cs="宋体"/>
                <w:bCs/>
                <w:szCs w:val="21"/>
              </w:rPr>
              <w:t>2.供应商的报价明显低于其他供应商报价，有可能影响项目质量或者不能诚信履约的，平台将要求其在合理的时间内提供书面说明，必要时提交相关证明材料；供应商不能证明其报价合理性的，评审委员会应当将其作为无效响应处理，取消其继续参与评审的资格。</w:t>
            </w:r>
          </w:p>
        </w:tc>
        <w:tc>
          <w:tcPr>
            <w:tcW w:w="822"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宋体" w:hAnsi="宋体" w:cs="宋体"/>
                <w:bCs/>
                <w:szCs w:val="21"/>
              </w:rPr>
            </w:pPr>
            <w:r>
              <w:rPr>
                <w:rFonts w:hint="eastAsia" w:ascii="宋体" w:hAnsi="宋体" w:cs="宋体"/>
                <w:bCs/>
                <w:szCs w:val="21"/>
              </w:rPr>
              <w:t>10</w:t>
            </w:r>
          </w:p>
        </w:tc>
        <w:tc>
          <w:tcPr>
            <w:tcW w:w="983"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rFonts w:ascii="宋体" w:hAnsi="宋体" w:cs="宋体"/>
                <w:bCs/>
                <w:szCs w:val="21"/>
              </w:rPr>
            </w:pPr>
            <w:r>
              <w:rPr>
                <w:rFonts w:hint="eastAsia" w:ascii="宋体" w:hAnsi="宋体" w:cs="宋体"/>
                <w:bCs/>
                <w:szCs w:val="21"/>
              </w:rPr>
              <w:t>10</w:t>
            </w:r>
          </w:p>
        </w:tc>
      </w:tr>
    </w:tbl>
    <w:p>
      <w:pPr>
        <w:rPr>
          <w:rFonts w:ascii="宋体" w:hAnsi="宋体" w:cs="宋体"/>
          <w:b/>
          <w:color w:val="000000"/>
          <w:szCs w:val="21"/>
          <w:lang w:bidi="ar"/>
        </w:rPr>
      </w:pPr>
    </w:p>
    <w:p>
      <w:pPr>
        <w:rPr>
          <w:rFonts w:ascii="宋体" w:hAnsi="宋体" w:cs="宋体"/>
          <w:b/>
          <w:bCs/>
          <w:szCs w:val="21"/>
        </w:rPr>
      </w:pPr>
      <w:r>
        <w:rPr>
          <w:rFonts w:hint="eastAsia" w:ascii="宋体" w:hAnsi="宋体" w:cs="宋体"/>
          <w:b/>
          <w:color w:val="000000"/>
          <w:szCs w:val="21"/>
          <w:lang w:bidi="ar"/>
        </w:rPr>
        <w:br w:type="page"/>
      </w:r>
    </w:p>
    <w:p>
      <w:pPr>
        <w:widowControl/>
        <w:jc w:val="center"/>
        <w:outlineLvl w:val="0"/>
        <w:rPr>
          <w:rFonts w:ascii="宋体" w:hAnsi="宋体" w:cs="宋体"/>
          <w:b/>
          <w:bCs/>
          <w:sz w:val="44"/>
          <w:szCs w:val="44"/>
          <w:lang w:val="zh-CN"/>
        </w:rPr>
      </w:pPr>
      <w:r>
        <w:rPr>
          <w:rFonts w:hint="eastAsia" w:ascii="宋体" w:hAnsi="宋体" w:cs="宋体"/>
          <w:b/>
          <w:bCs/>
          <w:sz w:val="44"/>
          <w:szCs w:val="44"/>
          <w:lang w:val="zh-CN"/>
        </w:rPr>
        <w:t>第三章 响应文件附件</w:t>
      </w:r>
    </w:p>
    <w:p>
      <w:pPr>
        <w:pStyle w:val="19"/>
        <w:spacing w:before="0" w:after="0"/>
        <w:rPr>
          <w:rFonts w:ascii="宋体" w:hAnsi="宋体" w:cs="宋体"/>
          <w:lang w:val="zh-CN"/>
        </w:rPr>
      </w:pPr>
      <w:r>
        <w:rPr>
          <w:rFonts w:hint="eastAsia" w:ascii="宋体" w:hAnsi="宋体" w:cs="宋体"/>
        </w:rPr>
        <w:t>响应文件封面参考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jc w:val="center"/>
        </w:trPr>
        <w:tc>
          <w:tcPr>
            <w:tcW w:w="9018" w:type="dxa"/>
          </w:tcPr>
          <w:p>
            <w:pPr>
              <w:pStyle w:val="10"/>
              <w:spacing w:line="360" w:lineRule="auto"/>
              <w:ind w:firstLine="482" w:firstLineChars="150"/>
              <w:rPr>
                <w:rFonts w:ascii="宋体" w:hAnsi="宋体" w:cs="宋体"/>
                <w:b/>
                <w:sz w:val="32"/>
              </w:rPr>
            </w:pPr>
          </w:p>
          <w:p>
            <w:pPr>
              <w:pStyle w:val="10"/>
              <w:spacing w:line="360" w:lineRule="auto"/>
              <w:rPr>
                <w:rFonts w:ascii="宋体" w:hAnsi="宋体" w:cs="宋体"/>
                <w:b/>
                <w:sz w:val="72"/>
                <w:szCs w:val="72"/>
              </w:rPr>
            </w:pPr>
          </w:p>
          <w:p>
            <w:pPr>
              <w:pStyle w:val="10"/>
              <w:spacing w:line="360" w:lineRule="auto"/>
              <w:ind w:firstLine="31"/>
              <w:jc w:val="center"/>
              <w:rPr>
                <w:rFonts w:ascii="宋体" w:hAnsi="宋体" w:cs="宋体"/>
                <w:b/>
                <w:sz w:val="72"/>
                <w:szCs w:val="72"/>
              </w:rPr>
            </w:pPr>
            <w:r>
              <w:rPr>
                <w:rFonts w:hint="eastAsia" w:ascii="宋体" w:hAnsi="宋体" w:cs="宋体"/>
                <w:b/>
                <w:sz w:val="72"/>
                <w:szCs w:val="72"/>
              </w:rPr>
              <w:t>响 应 文 件</w:t>
            </w:r>
          </w:p>
          <w:p>
            <w:pPr>
              <w:pStyle w:val="10"/>
              <w:spacing w:line="360" w:lineRule="auto"/>
              <w:ind w:firstLine="2091" w:firstLineChars="651"/>
              <w:rPr>
                <w:rFonts w:ascii="宋体" w:hAnsi="宋体" w:cs="宋体"/>
                <w:b/>
                <w:sz w:val="32"/>
              </w:rPr>
            </w:pPr>
          </w:p>
          <w:p>
            <w:pPr>
              <w:pStyle w:val="10"/>
              <w:spacing w:line="360" w:lineRule="auto"/>
              <w:ind w:firstLine="643"/>
              <w:rPr>
                <w:rFonts w:ascii="宋体" w:hAnsi="宋体" w:cs="宋体"/>
                <w:b/>
                <w:sz w:val="32"/>
              </w:rPr>
            </w:pPr>
          </w:p>
          <w:p>
            <w:pPr>
              <w:pStyle w:val="10"/>
              <w:spacing w:line="400" w:lineRule="exact"/>
              <w:rPr>
                <w:rFonts w:ascii="宋体" w:hAnsi="宋体" w:cs="宋体"/>
                <w:b/>
                <w:sz w:val="28"/>
                <w:szCs w:val="28"/>
              </w:rPr>
            </w:pPr>
            <w:r>
              <w:rPr>
                <w:rFonts w:hint="eastAsia" w:ascii="宋体" w:hAnsi="宋体" w:cs="宋体"/>
                <w:b/>
                <w:sz w:val="28"/>
                <w:szCs w:val="28"/>
              </w:rPr>
              <w:t xml:space="preserve">项目编号： </w:t>
            </w:r>
          </w:p>
          <w:p>
            <w:pPr>
              <w:ind w:left="1405" w:hanging="1405" w:hangingChars="500"/>
              <w:rPr>
                <w:rFonts w:ascii="宋体" w:hAnsi="宋体" w:cs="宋体"/>
                <w:szCs w:val="21"/>
              </w:rPr>
            </w:pPr>
            <w:r>
              <w:rPr>
                <w:rFonts w:hint="eastAsia" w:ascii="宋体" w:hAnsi="宋体" w:cs="宋体"/>
                <w:b/>
                <w:sz w:val="28"/>
                <w:szCs w:val="28"/>
              </w:rPr>
              <w:t>项目名称：</w:t>
            </w:r>
            <w:r>
              <w:rPr>
                <w:rFonts w:hint="eastAsia" w:ascii="宋体" w:hAnsi="宋体" w:cs="宋体"/>
                <w:b/>
                <w:kern w:val="0"/>
                <w:sz w:val="28"/>
                <w:szCs w:val="28"/>
              </w:rPr>
              <w:t>肇庆市第三人民医院放射、B超类维保项目</w:t>
            </w:r>
          </w:p>
          <w:p>
            <w:pPr>
              <w:pStyle w:val="10"/>
              <w:spacing w:line="400" w:lineRule="exact"/>
              <w:rPr>
                <w:rFonts w:ascii="宋体" w:hAnsi="宋体" w:cs="宋体"/>
                <w:b/>
                <w:sz w:val="28"/>
                <w:szCs w:val="28"/>
              </w:rPr>
            </w:pPr>
            <w:r>
              <w:rPr>
                <w:rFonts w:hint="eastAsia" w:ascii="宋体" w:hAnsi="宋体" w:cs="宋体"/>
                <w:b/>
                <w:sz w:val="28"/>
                <w:szCs w:val="28"/>
              </w:rPr>
              <w:t>供应商名称：</w:t>
            </w:r>
          </w:p>
          <w:p>
            <w:pPr>
              <w:pStyle w:val="10"/>
              <w:spacing w:line="400" w:lineRule="exact"/>
              <w:rPr>
                <w:rFonts w:ascii="宋体" w:hAnsi="宋体" w:cs="宋体"/>
                <w:b/>
                <w:sz w:val="28"/>
                <w:szCs w:val="28"/>
              </w:rPr>
            </w:pPr>
            <w:r>
              <w:rPr>
                <w:rFonts w:hint="eastAsia" w:ascii="宋体" w:hAnsi="宋体" w:cs="宋体"/>
                <w:b/>
                <w:sz w:val="28"/>
                <w:szCs w:val="28"/>
              </w:rPr>
              <w:t>供应商地址：</w:t>
            </w:r>
          </w:p>
          <w:p>
            <w:pPr>
              <w:pStyle w:val="10"/>
              <w:spacing w:line="400" w:lineRule="exact"/>
              <w:ind w:firstLine="1028" w:firstLineChars="320"/>
              <w:rPr>
                <w:rFonts w:ascii="宋体" w:hAnsi="宋体" w:cs="宋体"/>
                <w:b/>
                <w:sz w:val="32"/>
              </w:rPr>
            </w:pPr>
          </w:p>
        </w:tc>
      </w:tr>
    </w:tbl>
    <w:p>
      <w:pPr>
        <w:pStyle w:val="13"/>
        <w:rPr>
          <w:rStyle w:val="26"/>
          <w:rFonts w:hAnsi="宋体" w:cs="宋体"/>
        </w:rPr>
      </w:pPr>
    </w:p>
    <w:p>
      <w:r>
        <w:br w:type="page"/>
      </w:r>
    </w:p>
    <w:p>
      <w:pPr>
        <w:pStyle w:val="56"/>
        <w:ind w:firstLine="0" w:firstLineChars="0"/>
        <w:rPr>
          <w:rFonts w:ascii="宋体" w:hAnsi="宋体" w:cs="宋体"/>
          <w:color w:val="000000"/>
        </w:rPr>
      </w:pPr>
    </w:p>
    <w:p>
      <w:pPr>
        <w:pStyle w:val="3"/>
        <w:spacing w:line="360" w:lineRule="auto"/>
        <w:jc w:val="center"/>
        <w:rPr>
          <w:rFonts w:ascii="宋体" w:hAnsi="宋体" w:eastAsia="宋体" w:cs="宋体"/>
          <w:color w:val="000000"/>
        </w:rPr>
      </w:pPr>
      <w:r>
        <w:rPr>
          <w:rFonts w:hint="eastAsia" w:ascii="宋体" w:hAnsi="宋体" w:eastAsia="宋体" w:cs="宋体"/>
          <w:color w:val="000000"/>
        </w:rPr>
        <w:t>报名报价响应文件目录</w:t>
      </w:r>
    </w:p>
    <w:tbl>
      <w:tblPr>
        <w:tblStyle w:val="22"/>
        <w:tblW w:w="91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4"/>
        <w:gridCol w:w="175"/>
        <w:gridCol w:w="4115"/>
        <w:gridCol w:w="1456"/>
        <w:gridCol w:w="456"/>
        <w:gridCol w:w="2411"/>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504"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序号</w:t>
            </w:r>
          </w:p>
        </w:tc>
        <w:tc>
          <w:tcPr>
            <w:tcW w:w="4290"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评审因素</w:t>
            </w:r>
          </w:p>
        </w:tc>
        <w:tc>
          <w:tcPr>
            <w:tcW w:w="1912"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提交内容</w:t>
            </w:r>
          </w:p>
        </w:tc>
        <w:tc>
          <w:tcPr>
            <w:tcW w:w="2418"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9124" w:type="dxa"/>
            <w:gridSpan w:val="7"/>
            <w:vAlign w:val="center"/>
          </w:tcPr>
          <w:p>
            <w:pPr>
              <w:snapToGrid w:val="0"/>
              <w:spacing w:line="264" w:lineRule="auto"/>
              <w:jc w:val="center"/>
              <w:rPr>
                <w:rFonts w:ascii="宋体" w:hAnsi="宋体" w:cs="宋体"/>
                <w:b/>
                <w:bCs/>
                <w:color w:val="000000"/>
                <w:szCs w:val="21"/>
              </w:rPr>
            </w:pPr>
            <w:r>
              <w:rPr>
                <w:rFonts w:hint="eastAsia" w:ascii="宋体" w:hAnsi="宋体" w:cs="宋体"/>
                <w:b/>
                <w:bCs/>
                <w:color w:val="000000"/>
                <w:szCs w:val="21"/>
              </w:rPr>
              <w:t>报名条件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5"/>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50"/>
              <w:widowControl/>
              <w:spacing w:line="360" w:lineRule="auto"/>
              <w:ind w:firstLine="0" w:firstLineChars="0"/>
              <w:jc w:val="left"/>
              <w:rPr>
                <w:rFonts w:ascii="宋体" w:hAnsi="宋体" w:cs="宋体"/>
                <w:bCs/>
                <w:kern w:val="0"/>
                <w:szCs w:val="21"/>
              </w:rPr>
            </w:pPr>
            <w:r>
              <w:rPr>
                <w:rFonts w:hint="eastAsia" w:ascii="宋体" w:hAnsi="宋体" w:cs="宋体"/>
                <w:bCs/>
                <w:kern w:val="0"/>
                <w:szCs w:val="21"/>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912" w:type="dxa"/>
            <w:gridSpan w:val="2"/>
            <w:vAlign w:val="center"/>
          </w:tcPr>
          <w:p>
            <w:pPr>
              <w:jc w:val="center"/>
              <w:rPr>
                <w:rFonts w:ascii="宋体" w:hAnsi="宋体" w:cs="宋体"/>
                <w:color w:val="000000"/>
                <w:szCs w:val="21"/>
              </w:rPr>
            </w:pPr>
            <w:r>
              <w:rPr>
                <w:rFonts w:hint="eastAsia" w:ascii="宋体" w:hAnsi="宋体" w:cs="宋体"/>
                <w:color w:val="000000"/>
                <w:kern w:val="0"/>
                <w:szCs w:val="21"/>
              </w:rPr>
              <w:t>提供营业执照</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5"/>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50"/>
              <w:widowControl/>
              <w:spacing w:line="360" w:lineRule="auto"/>
              <w:ind w:firstLine="0" w:firstLineChars="0"/>
              <w:jc w:val="left"/>
              <w:rPr>
                <w:rFonts w:ascii="宋体" w:hAnsi="宋体" w:cs="宋体"/>
                <w:bCs/>
                <w:kern w:val="0"/>
                <w:szCs w:val="21"/>
              </w:rPr>
            </w:pPr>
            <w:r>
              <w:rPr>
                <w:rFonts w:hint="eastAsia" w:ascii="宋体" w:hAnsi="宋体" w:cs="宋体"/>
                <w:bCs/>
                <w:kern w:val="0"/>
                <w:szCs w:val="21"/>
              </w:rPr>
              <w:t>满足《中华人民共和国政府采购法》第二十二条规定；本项目不允许联合参与评审；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w:t>
            </w:r>
            <w:r>
              <w:rPr>
                <w:rFonts w:hint="eastAsia" w:ascii="宋体" w:hAnsi="宋体" w:cs="宋体"/>
                <w:b/>
                <w:kern w:val="0"/>
                <w:szCs w:val="21"/>
              </w:rPr>
              <w:t>格式见附件</w:t>
            </w:r>
            <w:r>
              <w:rPr>
                <w:rFonts w:hint="eastAsia" w:ascii="宋体" w:hAnsi="宋体" w:cs="宋体"/>
                <w:bCs/>
                <w:kern w:val="0"/>
                <w:szCs w:val="21"/>
              </w:rPr>
              <w:t>）；</w:t>
            </w:r>
          </w:p>
        </w:tc>
        <w:tc>
          <w:tcPr>
            <w:tcW w:w="1912" w:type="dxa"/>
            <w:gridSpan w:val="2"/>
            <w:vAlign w:val="center"/>
          </w:tcPr>
          <w:p>
            <w:pPr>
              <w:jc w:val="center"/>
              <w:rPr>
                <w:rFonts w:ascii="宋体" w:hAnsi="宋体" w:cs="宋体"/>
                <w:color w:val="000000"/>
                <w:kern w:val="0"/>
                <w:szCs w:val="21"/>
              </w:rPr>
            </w:pPr>
            <w:r>
              <w:rPr>
                <w:rFonts w:hint="eastAsia" w:ascii="宋体" w:hAnsi="宋体" w:cs="宋体"/>
                <w:color w:val="000000"/>
                <w:kern w:val="0"/>
                <w:szCs w:val="21"/>
              </w:rPr>
              <w:t>提供供应商资格声明函</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560" w:hRule="atLeast"/>
          <w:jc w:val="center"/>
        </w:trPr>
        <w:tc>
          <w:tcPr>
            <w:tcW w:w="9117" w:type="dxa"/>
            <w:gridSpan w:val="6"/>
            <w:tcBorders>
              <w:top w:val="single" w:color="auto" w:sz="12" w:space="0"/>
              <w:left w:val="single" w:color="auto" w:sz="12" w:space="0"/>
              <w:bottom w:val="single" w:color="auto" w:sz="6" w:space="0"/>
              <w:right w:val="single" w:color="auto" w:sz="12" w:space="0"/>
            </w:tcBorders>
            <w:vAlign w:val="center"/>
          </w:tcPr>
          <w:p>
            <w:pPr>
              <w:adjustRightInd w:val="0"/>
              <w:snapToGrid w:val="0"/>
              <w:spacing w:line="360" w:lineRule="auto"/>
              <w:jc w:val="center"/>
              <w:textAlignment w:val="baseline"/>
              <w:rPr>
                <w:rFonts w:ascii="宋体" w:hAnsi="宋体" w:cs="宋体"/>
                <w:b/>
                <w:color w:val="000000"/>
                <w:szCs w:val="21"/>
              </w:rPr>
            </w:pPr>
            <w:r>
              <w:rPr>
                <w:rFonts w:hint="eastAsia" w:ascii="宋体" w:hAnsi="宋体" w:cs="宋体"/>
                <w:b/>
                <w:color w:val="000000"/>
                <w:szCs w:val="21"/>
              </w:rPr>
              <w:t>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542" w:hRule="atLeast"/>
          <w:jc w:val="center"/>
        </w:trPr>
        <w:tc>
          <w:tcPr>
            <w:tcW w:w="679"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64" w:lineRule="auto"/>
              <w:ind w:left="-88" w:leftChars="-42" w:right="-82" w:rightChars="-39"/>
              <w:jc w:val="center"/>
              <w:rPr>
                <w:rFonts w:ascii="宋体" w:hAnsi="宋体" w:cs="宋体"/>
                <w:b/>
                <w:color w:val="000000"/>
                <w:szCs w:val="21"/>
              </w:rPr>
            </w:pPr>
            <w:r>
              <w:rPr>
                <w:rFonts w:hint="eastAsia" w:ascii="宋体" w:hAnsi="宋体" w:cs="宋体"/>
                <w:b/>
                <w:color w:val="000000"/>
                <w:szCs w:val="21"/>
              </w:rPr>
              <w:t>序号</w:t>
            </w:r>
          </w:p>
        </w:tc>
        <w:tc>
          <w:tcPr>
            <w:tcW w:w="5571"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文件要求</w:t>
            </w:r>
          </w:p>
        </w:tc>
        <w:tc>
          <w:tcPr>
            <w:tcW w:w="286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444" w:hRule="atLeast"/>
          <w:jc w:val="center"/>
        </w:trPr>
        <w:tc>
          <w:tcPr>
            <w:tcW w:w="679"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264" w:lineRule="auto"/>
              <w:jc w:val="center"/>
              <w:textAlignment w:val="baseline"/>
              <w:rPr>
                <w:rFonts w:ascii="宋体" w:hAnsi="宋体" w:cs="宋体"/>
                <w:color w:val="000000"/>
                <w:szCs w:val="21"/>
              </w:rPr>
            </w:pPr>
            <w:r>
              <w:rPr>
                <w:rFonts w:hint="eastAsia" w:ascii="宋体" w:hAnsi="宋体" w:cs="宋体"/>
                <w:color w:val="000000"/>
                <w:szCs w:val="21"/>
              </w:rPr>
              <w:t>1.</w:t>
            </w:r>
          </w:p>
        </w:tc>
        <w:tc>
          <w:tcPr>
            <w:tcW w:w="5571"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64" w:lineRule="auto"/>
              <w:rPr>
                <w:rFonts w:ascii="宋体" w:hAnsi="宋体" w:cs="宋体"/>
                <w:color w:val="000000"/>
                <w:szCs w:val="21"/>
              </w:rPr>
            </w:pPr>
            <w:r>
              <w:rPr>
                <w:rFonts w:hint="eastAsia" w:ascii="宋体" w:hAnsi="宋体" w:cs="宋体"/>
                <w:color w:val="000000"/>
                <w:szCs w:val="21"/>
              </w:rPr>
              <w:t>报价表</w:t>
            </w:r>
          </w:p>
        </w:tc>
        <w:tc>
          <w:tcPr>
            <w:tcW w:w="2867"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第（）页</w:t>
            </w:r>
          </w:p>
        </w:tc>
      </w:tr>
    </w:tbl>
    <w:p>
      <w:pPr>
        <w:pStyle w:val="3"/>
        <w:spacing w:line="360" w:lineRule="auto"/>
        <w:jc w:val="center"/>
        <w:rPr>
          <w:rFonts w:ascii="宋体" w:hAnsi="宋体" w:eastAsia="宋体" w:cs="宋体"/>
          <w:color w:val="000000"/>
        </w:rPr>
      </w:pPr>
      <w:r>
        <w:rPr>
          <w:rFonts w:hint="eastAsia" w:ascii="宋体" w:hAnsi="宋体" w:eastAsia="宋体" w:cs="宋体"/>
          <w:color w:val="000000"/>
        </w:rPr>
        <w:t>技术、商务评审目录</w:t>
      </w:r>
    </w:p>
    <w:tbl>
      <w:tblPr>
        <w:tblStyle w:val="22"/>
        <w:tblW w:w="91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235"/>
        <w:gridCol w:w="3300"/>
        <w:gridCol w:w="2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2" w:hRule="atLeast"/>
          <w:jc w:val="center"/>
        </w:trPr>
        <w:tc>
          <w:tcPr>
            <w:tcW w:w="739"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序号</w:t>
            </w:r>
          </w:p>
        </w:tc>
        <w:tc>
          <w:tcPr>
            <w:tcW w:w="2235"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评审因素</w:t>
            </w:r>
          </w:p>
        </w:tc>
        <w:tc>
          <w:tcPr>
            <w:tcW w:w="3300"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提交内容</w:t>
            </w:r>
          </w:p>
        </w:tc>
        <w:tc>
          <w:tcPr>
            <w:tcW w:w="2909"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3" w:type="dxa"/>
            <w:gridSpan w:val="4"/>
            <w:vAlign w:val="center"/>
          </w:tcPr>
          <w:p>
            <w:pPr>
              <w:snapToGrid w:val="0"/>
              <w:spacing w:line="264" w:lineRule="auto"/>
              <w:jc w:val="center"/>
              <w:rPr>
                <w:rFonts w:ascii="宋体" w:hAnsi="宋体" w:cs="宋体"/>
                <w:b/>
                <w:bCs/>
                <w:color w:val="000000"/>
                <w:szCs w:val="21"/>
              </w:rPr>
            </w:pPr>
            <w:r>
              <w:rPr>
                <w:rFonts w:hint="eastAsia" w:ascii="宋体" w:hAnsi="宋体" w:cs="宋体"/>
                <w:b/>
                <w:bCs/>
                <w:color w:val="000000"/>
                <w:szCs w:val="21"/>
              </w:rPr>
              <w:t>技术评审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6"/>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jc w:val="center"/>
              <w:rPr>
                <w:rFonts w:ascii="宋体" w:hAnsi="宋体" w:cs="宋体"/>
                <w:kern w:val="0"/>
                <w:szCs w:val="21"/>
              </w:rPr>
            </w:pPr>
            <w:r>
              <w:rPr>
                <w:rFonts w:hint="eastAsia" w:ascii="宋体" w:hAnsi="宋体" w:cs="宋体"/>
                <w:kern w:val="0"/>
                <w:szCs w:val="21"/>
              </w:rPr>
              <w:t>整体工作方案</w:t>
            </w:r>
          </w:p>
        </w:tc>
        <w:tc>
          <w:tcPr>
            <w:tcW w:w="3300" w:type="dxa"/>
            <w:vAlign w:val="center"/>
          </w:tcPr>
          <w:p>
            <w:pPr>
              <w:jc w:val="center"/>
              <w:rPr>
                <w:rFonts w:ascii="宋体" w:hAnsi="宋体" w:cs="宋体"/>
                <w:color w:val="000000"/>
                <w:szCs w:val="21"/>
                <w:highlight w:val="yellow"/>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6"/>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jc w:val="center"/>
              <w:rPr>
                <w:rFonts w:ascii="宋体" w:hAnsi="宋体" w:cs="宋体"/>
                <w:kern w:val="0"/>
                <w:szCs w:val="21"/>
              </w:rPr>
            </w:pPr>
            <w:r>
              <w:rPr>
                <w:rFonts w:hint="eastAsia" w:ascii="宋体" w:hAnsi="宋体" w:cs="宋体"/>
                <w:kern w:val="0"/>
                <w:szCs w:val="21"/>
              </w:rPr>
              <w:t>质量保障措施及方案</w:t>
            </w:r>
          </w:p>
        </w:tc>
        <w:tc>
          <w:tcPr>
            <w:tcW w:w="3300" w:type="dxa"/>
            <w:vAlign w:val="center"/>
          </w:tcPr>
          <w:p>
            <w:pPr>
              <w:jc w:val="center"/>
              <w:rPr>
                <w:rFonts w:ascii="宋体" w:hAnsi="宋体" w:cs="宋体"/>
                <w:color w:val="000000"/>
                <w:szCs w:val="21"/>
                <w:highlight w:val="yellow"/>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6"/>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jc w:val="center"/>
              <w:rPr>
                <w:rFonts w:ascii="宋体" w:hAnsi="宋体" w:cs="宋体"/>
                <w:kern w:val="0"/>
                <w:szCs w:val="21"/>
              </w:rPr>
            </w:pPr>
            <w:r>
              <w:rPr>
                <w:rFonts w:hint="eastAsia" w:ascii="宋体" w:hAnsi="宋体" w:cs="宋体"/>
                <w:kern w:val="0"/>
                <w:szCs w:val="21"/>
              </w:rPr>
              <w:t>项目完成的服务承诺</w:t>
            </w:r>
          </w:p>
        </w:tc>
        <w:tc>
          <w:tcPr>
            <w:tcW w:w="3300" w:type="dxa"/>
            <w:vAlign w:val="center"/>
          </w:tcPr>
          <w:p>
            <w:pPr>
              <w:jc w:val="center"/>
              <w:rPr>
                <w:rFonts w:ascii="宋体" w:hAnsi="宋体" w:cs="宋体"/>
                <w:color w:val="000000"/>
                <w:szCs w:val="21"/>
                <w:highlight w:val="yellow"/>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6"/>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jc w:val="center"/>
              <w:rPr>
                <w:rFonts w:ascii="宋体" w:hAnsi="宋体" w:cs="宋体"/>
                <w:kern w:val="0"/>
                <w:szCs w:val="21"/>
              </w:rPr>
            </w:pPr>
            <w:r>
              <w:rPr>
                <w:rFonts w:hint="eastAsia" w:ascii="宋体" w:hAnsi="宋体" w:cs="宋体"/>
                <w:kern w:val="0"/>
                <w:szCs w:val="21"/>
              </w:rPr>
              <w:t>违约承诺</w:t>
            </w:r>
          </w:p>
        </w:tc>
        <w:tc>
          <w:tcPr>
            <w:tcW w:w="3300" w:type="dxa"/>
            <w:vAlign w:val="center"/>
          </w:tcPr>
          <w:p>
            <w:pPr>
              <w:jc w:val="center"/>
              <w:rPr>
                <w:rFonts w:ascii="宋体" w:hAnsi="宋体" w:cs="宋体"/>
                <w:color w:val="000000"/>
                <w:szCs w:val="21"/>
                <w:highlight w:val="yellow"/>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183" w:type="dxa"/>
            <w:gridSpan w:val="4"/>
            <w:vAlign w:val="center"/>
          </w:tcPr>
          <w:p>
            <w:pPr>
              <w:snapToGrid w:val="0"/>
              <w:spacing w:line="264" w:lineRule="auto"/>
              <w:jc w:val="center"/>
              <w:rPr>
                <w:rFonts w:ascii="宋体" w:hAnsi="宋体" w:cs="宋体"/>
                <w:color w:val="000000"/>
                <w:szCs w:val="21"/>
                <w:highlight w:val="yellow"/>
              </w:rPr>
            </w:pPr>
            <w:r>
              <w:rPr>
                <w:rFonts w:hint="eastAsia" w:ascii="宋体" w:hAnsi="宋体" w:cs="宋体"/>
                <w:b/>
                <w:color w:val="000000"/>
                <w:szCs w:val="21"/>
              </w:rPr>
              <w:t>商务评审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7"/>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spacing w:line="360" w:lineRule="exact"/>
              <w:jc w:val="center"/>
              <w:rPr>
                <w:rFonts w:ascii="宋体" w:hAnsi="宋体" w:cs="宋体"/>
                <w:color w:val="000000"/>
                <w:szCs w:val="21"/>
                <w:lang w:val="zh-CN"/>
              </w:rPr>
            </w:pPr>
            <w:r>
              <w:rPr>
                <w:rFonts w:hint="eastAsia" w:ascii="宋体" w:hAnsi="宋体" w:cs="宋体"/>
                <w:color w:val="000000"/>
                <w:szCs w:val="21"/>
                <w:lang w:val="zh-CN"/>
              </w:rPr>
              <w:t>同类业绩经验情况</w:t>
            </w:r>
          </w:p>
        </w:tc>
        <w:tc>
          <w:tcPr>
            <w:tcW w:w="3300" w:type="dxa"/>
            <w:vAlign w:val="center"/>
          </w:tcPr>
          <w:p>
            <w:pPr>
              <w:jc w:val="center"/>
              <w:rPr>
                <w:rFonts w:ascii="宋体" w:hAnsi="宋体" w:cs="宋体"/>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7"/>
              </w:numPr>
              <w:adjustRightInd w:val="0"/>
              <w:snapToGrid w:val="0"/>
              <w:spacing w:line="264" w:lineRule="auto"/>
              <w:jc w:val="center"/>
              <w:textAlignment w:val="baseline"/>
              <w:rPr>
                <w:rFonts w:ascii="宋体" w:hAnsi="宋体" w:cs="宋体"/>
                <w:color w:val="000000"/>
                <w:szCs w:val="21"/>
              </w:rPr>
            </w:pPr>
          </w:p>
        </w:tc>
        <w:tc>
          <w:tcPr>
            <w:tcW w:w="2235" w:type="dxa"/>
            <w:vMerge w:val="restart"/>
            <w:vAlign w:val="center"/>
          </w:tcPr>
          <w:p>
            <w:pPr>
              <w:spacing w:line="360" w:lineRule="exact"/>
              <w:jc w:val="center"/>
              <w:rPr>
                <w:rFonts w:ascii="宋体" w:hAnsi="宋体" w:cs="宋体"/>
                <w:color w:val="000000"/>
                <w:szCs w:val="21"/>
                <w:lang w:val="zh-CN"/>
              </w:rPr>
            </w:pPr>
            <w:r>
              <w:rPr>
                <w:rFonts w:hint="eastAsia" w:ascii="宋体" w:hAnsi="宋体" w:cs="宋体"/>
                <w:color w:val="000000"/>
                <w:szCs w:val="21"/>
                <w:lang w:val="zh-CN"/>
              </w:rPr>
              <w:t>履约评价</w:t>
            </w:r>
          </w:p>
        </w:tc>
        <w:tc>
          <w:tcPr>
            <w:tcW w:w="3300" w:type="dxa"/>
            <w:vAlign w:val="center"/>
          </w:tcPr>
          <w:p>
            <w:pPr>
              <w:jc w:val="center"/>
              <w:rPr>
                <w:rFonts w:ascii="宋体" w:hAnsi="宋体" w:cs="宋体"/>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39" w:type="dxa"/>
            <w:vAlign w:val="center"/>
          </w:tcPr>
          <w:p>
            <w:pPr>
              <w:numPr>
                <w:ilvl w:val="0"/>
                <w:numId w:val="27"/>
              </w:numPr>
              <w:adjustRightInd w:val="0"/>
              <w:snapToGrid w:val="0"/>
              <w:spacing w:line="264" w:lineRule="auto"/>
              <w:jc w:val="center"/>
              <w:textAlignment w:val="baseline"/>
              <w:rPr>
                <w:rFonts w:ascii="宋体" w:hAnsi="宋体" w:cs="宋体"/>
                <w:color w:val="000000"/>
                <w:szCs w:val="21"/>
              </w:rPr>
            </w:pPr>
          </w:p>
        </w:tc>
        <w:tc>
          <w:tcPr>
            <w:tcW w:w="2235" w:type="dxa"/>
            <w:vAlign w:val="center"/>
          </w:tcPr>
          <w:p>
            <w:pPr>
              <w:spacing w:line="360" w:lineRule="exact"/>
              <w:jc w:val="center"/>
              <w:rPr>
                <w:rFonts w:ascii="宋体" w:hAnsi="宋体" w:cs="宋体"/>
                <w:color w:val="000000"/>
                <w:szCs w:val="21"/>
                <w:lang w:val="zh-CN"/>
              </w:rPr>
            </w:pPr>
            <w:r>
              <w:rPr>
                <w:rFonts w:hint="eastAsia" w:ascii="宋体" w:hAnsi="宋体" w:cs="宋体"/>
                <w:color w:val="000000"/>
                <w:szCs w:val="21"/>
                <w:lang w:val="zh-CN"/>
              </w:rPr>
              <w:t>诚信评价</w:t>
            </w:r>
          </w:p>
        </w:tc>
        <w:tc>
          <w:tcPr>
            <w:tcW w:w="3300" w:type="dxa"/>
            <w:vAlign w:val="center"/>
          </w:tcPr>
          <w:p>
            <w:pPr>
              <w:jc w:val="center"/>
              <w:rPr>
                <w:rFonts w:ascii="宋体" w:hAnsi="宋体" w:cs="宋体"/>
              </w:rPr>
            </w:pPr>
            <w:r>
              <w:rPr>
                <w:rFonts w:hint="eastAsia" w:ascii="宋体" w:hAnsi="宋体" w:cs="宋体"/>
                <w:color w:val="000000"/>
                <w:szCs w:val="21"/>
              </w:rPr>
              <w:t>请根据本综合评审文件提交相关内容</w:t>
            </w:r>
          </w:p>
        </w:tc>
        <w:tc>
          <w:tcPr>
            <w:tcW w:w="2909" w:type="dxa"/>
            <w:vAlign w:val="center"/>
          </w:tcPr>
          <w:p>
            <w:pPr>
              <w:snapToGrid w:val="0"/>
              <w:spacing w:line="264" w:lineRule="auto"/>
              <w:jc w:val="center"/>
              <w:rPr>
                <w:rFonts w:ascii="宋体" w:hAnsi="宋体" w:cs="宋体"/>
                <w:color w:val="000000"/>
                <w:szCs w:val="21"/>
              </w:rPr>
            </w:pPr>
            <w:r>
              <w:rPr>
                <w:rFonts w:hint="eastAsia" w:ascii="宋体" w:hAnsi="宋体" w:cs="宋体"/>
                <w:color w:val="000000"/>
                <w:szCs w:val="21"/>
              </w:rPr>
              <w:t>第（ ）页-（ ）页</w:t>
            </w:r>
          </w:p>
        </w:tc>
      </w:tr>
    </w:tbl>
    <w:p>
      <w:pPr>
        <w:pStyle w:val="9"/>
        <w:rPr>
          <w:rFonts w:ascii="宋体" w:hAnsi="宋体" w:cs="宋体"/>
          <w:color w:val="000000"/>
          <w:lang w:val="zh-CN"/>
        </w:rPr>
      </w:pPr>
    </w:p>
    <w:p>
      <w:pPr>
        <w:pStyle w:val="9"/>
        <w:rPr>
          <w:rFonts w:ascii="宋体" w:hAnsi="宋体" w:cs="宋体"/>
        </w:rPr>
      </w:pPr>
      <w:r>
        <w:rPr>
          <w:rFonts w:hint="eastAsia" w:ascii="宋体" w:hAnsi="宋体" w:cs="宋体"/>
          <w:color w:val="000000"/>
          <w:lang w:val="zh-CN"/>
        </w:rPr>
        <w:t>以上内容与用户需求的综合评分表内容不一致的，以用户需求内容为准。</w:t>
      </w:r>
    </w:p>
    <w:p>
      <w:pPr>
        <w:widowControl/>
        <w:jc w:val="left"/>
        <w:rPr>
          <w:rFonts w:ascii="宋体" w:hAnsi="宋体" w:cs="宋体"/>
          <w:b/>
          <w:bCs/>
          <w:sz w:val="32"/>
          <w:szCs w:val="32"/>
        </w:rPr>
      </w:pPr>
      <w:r>
        <w:rPr>
          <w:rFonts w:hint="eastAsia" w:ascii="宋体" w:hAnsi="宋体" w:cs="宋体"/>
          <w:b/>
          <w:bCs/>
          <w:sz w:val="32"/>
          <w:szCs w:val="32"/>
        </w:rPr>
        <w:br w:type="page"/>
      </w:r>
    </w:p>
    <w:p>
      <w:pPr>
        <w:pStyle w:val="13"/>
        <w:tabs>
          <w:tab w:val="left" w:pos="540"/>
        </w:tabs>
        <w:adjustRightInd w:val="0"/>
        <w:snapToGrid w:val="0"/>
        <w:spacing w:line="360" w:lineRule="auto"/>
        <w:rPr>
          <w:rFonts w:hAnsi="宋体" w:cs="宋体"/>
          <w:b/>
          <w:bCs/>
          <w:sz w:val="21"/>
        </w:rPr>
      </w:pPr>
    </w:p>
    <w:p>
      <w:pPr>
        <w:pStyle w:val="3"/>
        <w:spacing w:before="156" w:beforeLines="50" w:after="0" w:line="360" w:lineRule="auto"/>
        <w:jc w:val="center"/>
        <w:rPr>
          <w:rFonts w:ascii="宋体" w:hAnsi="宋体" w:eastAsia="宋体" w:cs="宋体"/>
        </w:rPr>
      </w:pPr>
      <w:r>
        <w:rPr>
          <w:rFonts w:hint="eastAsia" w:ascii="宋体" w:hAnsi="宋体" w:eastAsia="宋体" w:cs="宋体"/>
        </w:rPr>
        <w:t>报价表</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022"/>
        <w:gridCol w:w="997"/>
        <w:gridCol w:w="2155"/>
        <w:gridCol w:w="2351"/>
        <w:gridCol w:w="99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1186" w:type="pct"/>
            <w:tcBorders>
              <w:tl2br w:val="nil"/>
              <w:tr2bl w:val="nil"/>
            </w:tcBorders>
            <w:shd w:val="clear" w:color="auto" w:fill="auto"/>
            <w:vAlign w:val="center"/>
          </w:tcPr>
          <w:p>
            <w:pPr>
              <w:shd w:val="clear" w:color="auto" w:fill="FFFFFF"/>
              <w:snapToGrid w:val="0"/>
              <w:jc w:val="center"/>
              <w:rPr>
                <w:rFonts w:ascii="宋体" w:hAnsi="宋体" w:cs="宋体"/>
                <w:b/>
                <w:szCs w:val="24"/>
                <w:shd w:val="clear" w:color="auto" w:fill="FFFFFF"/>
              </w:rPr>
            </w:pPr>
            <w:r>
              <w:rPr>
                <w:rFonts w:hint="eastAsia" w:ascii="宋体" w:hAnsi="宋体" w:cs="宋体"/>
                <w:b/>
                <w:szCs w:val="24"/>
                <w:shd w:val="clear" w:color="auto" w:fill="FFFFFF"/>
              </w:rPr>
              <w:t>采购内容</w:t>
            </w:r>
          </w:p>
        </w:tc>
        <w:tc>
          <w:tcPr>
            <w:tcW w:w="585" w:type="pct"/>
            <w:tcBorders>
              <w:tl2br w:val="nil"/>
              <w:tr2bl w:val="nil"/>
            </w:tcBorders>
            <w:shd w:val="clear" w:color="auto" w:fill="auto"/>
            <w:vAlign w:val="center"/>
          </w:tcPr>
          <w:p>
            <w:pPr>
              <w:shd w:val="clear" w:color="auto" w:fill="FFFFFF"/>
              <w:snapToGrid w:val="0"/>
              <w:jc w:val="center"/>
              <w:rPr>
                <w:rFonts w:ascii="宋体" w:hAnsi="宋体" w:cs="宋体"/>
                <w:b/>
                <w:szCs w:val="24"/>
                <w:shd w:val="clear" w:color="auto" w:fill="FFFFFF"/>
                <w:lang w:bidi="ar"/>
              </w:rPr>
            </w:pPr>
            <w:r>
              <w:rPr>
                <w:rFonts w:hint="eastAsia" w:ascii="宋体" w:hAnsi="宋体" w:cs="宋体"/>
                <w:b/>
                <w:szCs w:val="24"/>
                <w:shd w:val="clear" w:color="auto" w:fill="FFFFFF"/>
                <w:lang w:bidi="ar"/>
              </w:rPr>
              <w:t>数量</w:t>
            </w:r>
          </w:p>
        </w:tc>
        <w:tc>
          <w:tcPr>
            <w:tcW w:w="1264" w:type="pct"/>
            <w:tcBorders>
              <w:tl2br w:val="nil"/>
              <w:tr2bl w:val="nil"/>
            </w:tcBorders>
            <w:shd w:val="clear" w:color="auto" w:fill="auto"/>
            <w:vAlign w:val="center"/>
          </w:tcPr>
          <w:p>
            <w:pPr>
              <w:shd w:val="clear" w:color="auto" w:fill="FFFFFF"/>
              <w:snapToGrid w:val="0"/>
              <w:jc w:val="center"/>
              <w:rPr>
                <w:rFonts w:ascii="宋体" w:hAnsi="宋体" w:cs="宋体"/>
                <w:b/>
                <w:szCs w:val="24"/>
                <w:shd w:val="clear" w:color="auto" w:fill="FFFFFF"/>
                <w:lang w:bidi="ar"/>
              </w:rPr>
            </w:pPr>
            <w:r>
              <w:rPr>
                <w:rFonts w:hint="eastAsia" w:ascii="宋体" w:hAnsi="宋体" w:cs="宋体"/>
                <w:b/>
                <w:szCs w:val="24"/>
                <w:shd w:val="clear" w:color="auto" w:fill="FFFFFF"/>
                <w:lang w:bidi="ar"/>
              </w:rPr>
              <w:t>服务期</w:t>
            </w:r>
          </w:p>
        </w:tc>
        <w:tc>
          <w:tcPr>
            <w:tcW w:w="1379" w:type="pct"/>
            <w:tcBorders>
              <w:tl2br w:val="nil"/>
              <w:tr2bl w:val="nil"/>
            </w:tcBorders>
            <w:shd w:val="clear" w:color="auto" w:fill="auto"/>
            <w:vAlign w:val="center"/>
          </w:tcPr>
          <w:p>
            <w:pPr>
              <w:shd w:val="clear" w:color="auto" w:fill="FFFFFF"/>
              <w:snapToGrid w:val="0"/>
              <w:jc w:val="center"/>
              <w:rPr>
                <w:rFonts w:ascii="宋体" w:hAnsi="宋体" w:cs="宋体"/>
                <w:b/>
                <w:szCs w:val="24"/>
                <w:shd w:val="clear" w:color="auto" w:fill="FFFFFF"/>
              </w:rPr>
            </w:pPr>
            <w:r>
              <w:rPr>
                <w:rFonts w:hint="eastAsia" w:ascii="宋体" w:hAnsi="宋体" w:cs="宋体"/>
                <w:b/>
                <w:szCs w:val="24"/>
                <w:shd w:val="clear" w:color="auto" w:fill="FFFFFF"/>
                <w:lang w:bidi="ar"/>
              </w:rPr>
              <w:t>报价（人民币 元）</w:t>
            </w:r>
          </w:p>
        </w:tc>
        <w:tc>
          <w:tcPr>
            <w:tcW w:w="583" w:type="pct"/>
            <w:tcBorders>
              <w:tl2br w:val="nil"/>
              <w:tr2bl w:val="nil"/>
            </w:tcBorders>
            <w:shd w:val="clear" w:color="auto" w:fill="auto"/>
            <w:vAlign w:val="center"/>
          </w:tcPr>
          <w:p>
            <w:pPr>
              <w:shd w:val="clear" w:color="auto" w:fill="FFFFFF"/>
              <w:snapToGrid w:val="0"/>
              <w:jc w:val="center"/>
              <w:rPr>
                <w:rFonts w:ascii="宋体" w:hAnsi="宋体" w:cs="宋体"/>
                <w:b/>
                <w:szCs w:val="24"/>
                <w:shd w:val="clear" w:color="auto" w:fill="FFFFFF"/>
              </w:rPr>
            </w:pPr>
            <w:r>
              <w:rPr>
                <w:rFonts w:hint="eastAsia" w:ascii="宋体" w:hAnsi="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1186" w:type="pct"/>
            <w:tcBorders>
              <w:tl2br w:val="nil"/>
              <w:tr2bl w:val="nil"/>
            </w:tcBorders>
            <w:shd w:val="clear" w:color="auto" w:fill="auto"/>
            <w:vAlign w:val="center"/>
          </w:tcPr>
          <w:p>
            <w:pPr>
              <w:shd w:val="clear" w:color="auto" w:fill="FFFFFF"/>
              <w:spacing w:before="156" w:after="156"/>
              <w:jc w:val="center"/>
              <w:rPr>
                <w:rFonts w:ascii="宋体" w:hAnsi="宋体" w:cs="宋体"/>
                <w:szCs w:val="24"/>
                <w:shd w:val="clear" w:color="auto" w:fill="FFFFFF"/>
              </w:rPr>
            </w:pPr>
            <w:r>
              <w:rPr>
                <w:rFonts w:hint="eastAsia" w:ascii="宋体" w:hAnsi="宋体" w:cs="宋体"/>
                <w:szCs w:val="24"/>
                <w:shd w:val="clear" w:color="auto" w:fill="FFFFFF"/>
                <w:lang w:bidi="ar"/>
              </w:rPr>
              <w:t>肇庆市第三人民医院放射、B超类维保项目</w:t>
            </w:r>
          </w:p>
        </w:tc>
        <w:tc>
          <w:tcPr>
            <w:tcW w:w="585" w:type="pct"/>
            <w:tcBorders>
              <w:tl2br w:val="nil"/>
              <w:tr2bl w:val="nil"/>
            </w:tcBorders>
            <w:shd w:val="clear" w:color="auto" w:fill="auto"/>
            <w:vAlign w:val="center"/>
          </w:tcPr>
          <w:p>
            <w:pPr>
              <w:shd w:val="clear" w:color="auto" w:fill="FFFFFF"/>
              <w:spacing w:before="156" w:after="156"/>
              <w:jc w:val="center"/>
              <w:rPr>
                <w:rFonts w:ascii="宋体" w:hAnsi="宋体" w:cs="宋体"/>
                <w:szCs w:val="24"/>
                <w:shd w:val="clear" w:color="auto" w:fill="FFFFFF"/>
              </w:rPr>
            </w:pPr>
            <w:r>
              <w:rPr>
                <w:rFonts w:hint="eastAsia" w:ascii="宋体" w:hAnsi="宋体" w:cs="宋体"/>
                <w:szCs w:val="24"/>
                <w:shd w:val="clear" w:color="auto" w:fill="FFFFFF"/>
              </w:rPr>
              <w:t>1项</w:t>
            </w:r>
          </w:p>
        </w:tc>
        <w:tc>
          <w:tcPr>
            <w:tcW w:w="1264" w:type="pct"/>
            <w:tcBorders>
              <w:tl2br w:val="nil"/>
              <w:tr2bl w:val="nil"/>
            </w:tcBorders>
            <w:shd w:val="clear" w:color="auto" w:fill="auto"/>
            <w:vAlign w:val="center"/>
          </w:tcPr>
          <w:p>
            <w:pPr>
              <w:shd w:val="clear" w:color="auto" w:fill="FFFFFF"/>
              <w:spacing w:before="156" w:after="156"/>
              <w:jc w:val="center"/>
              <w:rPr>
                <w:rFonts w:ascii="宋体" w:hAnsi="宋体" w:cs="宋体"/>
                <w:szCs w:val="24"/>
                <w:shd w:val="clear" w:color="auto" w:fill="FFFFFF"/>
              </w:rPr>
            </w:pPr>
            <w:r>
              <w:rPr>
                <w:rFonts w:hint="eastAsia" w:ascii="宋体" w:hAnsi="宋体" w:cs="宋体"/>
                <w:szCs w:val="24"/>
                <w:shd w:val="clear" w:color="auto" w:fill="FFFFFF"/>
              </w:rPr>
              <w:t>一年</w:t>
            </w:r>
          </w:p>
        </w:tc>
        <w:tc>
          <w:tcPr>
            <w:tcW w:w="1379" w:type="pct"/>
            <w:tcBorders>
              <w:tl2br w:val="nil"/>
              <w:tr2bl w:val="nil"/>
            </w:tcBorders>
            <w:shd w:val="clear" w:color="auto" w:fill="auto"/>
            <w:vAlign w:val="center"/>
          </w:tcPr>
          <w:p>
            <w:pPr>
              <w:shd w:val="clear" w:color="auto" w:fill="FFFFFF"/>
              <w:spacing w:before="156" w:after="156"/>
              <w:jc w:val="center"/>
              <w:rPr>
                <w:rFonts w:ascii="宋体" w:hAnsi="宋体" w:cs="宋体"/>
                <w:szCs w:val="24"/>
                <w:shd w:val="clear" w:color="auto" w:fill="FFFFFF"/>
              </w:rPr>
            </w:pPr>
          </w:p>
        </w:tc>
        <w:tc>
          <w:tcPr>
            <w:tcW w:w="583" w:type="pct"/>
            <w:tcBorders>
              <w:tl2br w:val="nil"/>
              <w:tr2bl w:val="nil"/>
            </w:tcBorders>
            <w:shd w:val="clear" w:color="auto" w:fill="auto"/>
            <w:vAlign w:val="center"/>
          </w:tcPr>
          <w:p>
            <w:pPr>
              <w:shd w:val="clear" w:color="auto" w:fill="FFFFFF"/>
              <w:spacing w:before="156" w:after="156"/>
              <w:jc w:val="center"/>
              <w:rPr>
                <w:rFonts w:ascii="宋体" w:hAnsi="宋体" w:cs="宋体"/>
                <w:szCs w:val="24"/>
                <w:shd w:val="clear" w:color="auto" w:fill="FFFFFF"/>
              </w:rPr>
            </w:pPr>
          </w:p>
        </w:tc>
      </w:tr>
    </w:tbl>
    <w:p>
      <w:pPr>
        <w:pStyle w:val="7"/>
        <w:ind w:firstLine="0"/>
        <w:rPr>
          <w:rFonts w:ascii="宋体" w:hAnsi="宋体" w:cs="宋体"/>
        </w:rPr>
      </w:pPr>
    </w:p>
    <w:p>
      <w:pPr>
        <w:spacing w:line="500" w:lineRule="exact"/>
        <w:rPr>
          <w:rFonts w:ascii="宋体" w:hAnsi="宋体" w:cs="宋体"/>
          <w:b/>
          <w:spacing w:val="4"/>
          <w:szCs w:val="21"/>
        </w:rPr>
      </w:pPr>
      <w:r>
        <w:rPr>
          <w:rFonts w:hint="eastAsia" w:ascii="宋体" w:hAnsi="宋体" w:cs="宋体"/>
          <w:b/>
          <w:spacing w:val="4"/>
          <w:szCs w:val="21"/>
        </w:rPr>
        <w:t>注：</w:t>
      </w:r>
    </w:p>
    <w:p>
      <w:pPr>
        <w:pStyle w:val="50"/>
        <w:numPr>
          <w:ilvl w:val="0"/>
          <w:numId w:val="28"/>
        </w:numPr>
        <w:spacing w:line="360" w:lineRule="auto"/>
        <w:ind w:left="422" w:hanging="422" w:hangingChars="200"/>
        <w:rPr>
          <w:rFonts w:ascii="宋体" w:hAnsi="宋体" w:cs="宋体"/>
          <w:b/>
          <w:bCs/>
          <w:kern w:val="0"/>
          <w:szCs w:val="21"/>
          <w:u w:val="single"/>
        </w:rPr>
      </w:pPr>
      <w:r>
        <w:rPr>
          <w:rFonts w:hint="eastAsia" w:ascii="宋体" w:hAnsi="宋体" w:cs="宋体"/>
          <w:b/>
          <w:bCs/>
          <w:kern w:val="0"/>
          <w:szCs w:val="21"/>
          <w:u w:val="single"/>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8"/>
        </w:numPr>
        <w:spacing w:line="360" w:lineRule="auto"/>
        <w:ind w:left="438" w:hanging="438" w:hangingChars="200"/>
        <w:rPr>
          <w:rFonts w:ascii="宋体" w:hAnsi="宋体" w:cs="宋体"/>
          <w:b/>
          <w:bCs/>
          <w:kern w:val="0"/>
          <w:szCs w:val="21"/>
          <w:u w:val="single"/>
        </w:rPr>
      </w:pPr>
      <w:r>
        <w:rPr>
          <w:rFonts w:hint="eastAsia" w:ascii="宋体" w:hAnsi="宋体" w:cs="宋体"/>
          <w:b/>
          <w:color w:val="000000"/>
          <w:spacing w:val="4"/>
          <w:szCs w:val="21"/>
        </w:rPr>
        <w:t>所有价格均系用人民币表示，单位为元，均为含税价；</w:t>
      </w:r>
    </w:p>
    <w:p>
      <w:pPr>
        <w:widowControl/>
        <w:numPr>
          <w:ilvl w:val="0"/>
          <w:numId w:val="28"/>
        </w:numPr>
        <w:spacing w:line="360" w:lineRule="auto"/>
        <w:ind w:left="422" w:hanging="422" w:hangingChars="200"/>
        <w:rPr>
          <w:rFonts w:ascii="宋体" w:hAnsi="宋体" w:cs="宋体"/>
          <w:b/>
          <w:bCs/>
          <w:kern w:val="0"/>
          <w:szCs w:val="21"/>
          <w:u w:val="single"/>
        </w:rPr>
      </w:pPr>
      <w:r>
        <w:rPr>
          <w:rFonts w:hint="eastAsia" w:ascii="宋体" w:hAnsi="宋体" w:cs="宋体"/>
          <w:b/>
          <w:bCs/>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8"/>
        </w:numPr>
        <w:spacing w:line="360" w:lineRule="auto"/>
        <w:ind w:left="438" w:hanging="438" w:hangingChars="200"/>
        <w:rPr>
          <w:rFonts w:ascii="宋体" w:hAnsi="宋体" w:cs="宋体"/>
          <w:b/>
          <w:bCs/>
          <w:kern w:val="0"/>
          <w:szCs w:val="21"/>
          <w:u w:val="single"/>
        </w:rPr>
      </w:pPr>
      <w:r>
        <w:rPr>
          <w:rFonts w:hint="eastAsia" w:ascii="宋体" w:hAnsi="宋体" w:cs="宋体"/>
          <w:b/>
          <w:color w:val="000000"/>
          <w:spacing w:val="4"/>
          <w:szCs w:val="21"/>
        </w:rPr>
        <w:t>平台上报价与上表合计不一致的，以报价表合计（经价格核准后的价格）为准。</w:t>
      </w:r>
    </w:p>
    <w:p>
      <w:pPr>
        <w:widowControl/>
        <w:numPr>
          <w:ilvl w:val="0"/>
          <w:numId w:val="28"/>
        </w:numPr>
        <w:spacing w:line="360" w:lineRule="auto"/>
        <w:ind w:left="438" w:hanging="438" w:hangingChars="200"/>
        <w:rPr>
          <w:rFonts w:ascii="宋体" w:hAnsi="宋体" w:cs="宋体"/>
          <w:b/>
          <w:bCs/>
          <w:kern w:val="0"/>
          <w:szCs w:val="21"/>
          <w:u w:val="single"/>
        </w:rPr>
      </w:pPr>
      <w:r>
        <w:rPr>
          <w:rFonts w:hint="eastAsia" w:ascii="宋体" w:hAnsi="宋体" w:cs="宋体"/>
          <w:b/>
          <w:color w:val="000000"/>
          <w:spacing w:val="4"/>
          <w:szCs w:val="21"/>
        </w:rPr>
        <w:t>供应商报价表必须加盖公章，否则视作无效报价。</w:t>
      </w:r>
    </w:p>
    <w:p>
      <w:pPr>
        <w:pStyle w:val="18"/>
        <w:shd w:val="clear" w:color="auto" w:fill="FFFFFF"/>
        <w:spacing w:before="0" w:beforeAutospacing="0" w:after="0" w:afterAutospacing="0" w:line="276" w:lineRule="auto"/>
        <w:ind w:left="420"/>
        <w:rPr>
          <w:b/>
          <w:sz w:val="21"/>
          <w:szCs w:val="21"/>
        </w:rPr>
      </w:pPr>
    </w:p>
    <w:p>
      <w:pPr>
        <w:spacing w:line="360" w:lineRule="auto"/>
        <w:rPr>
          <w:rFonts w:ascii="宋体" w:hAnsi="宋体" w:cs="宋体"/>
          <w:spacing w:val="4"/>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pPr>
        <w:pStyle w:val="21"/>
        <w:ind w:left="0" w:leftChars="0" w:firstLine="0" w:firstLineChars="0"/>
        <w:rPr>
          <w:rFonts w:ascii="宋体" w:hAnsi="宋体" w:cs="宋体"/>
        </w:rPr>
      </w:pPr>
      <w:r>
        <w:rPr>
          <w:rFonts w:hint="eastAsia" w:ascii="宋体" w:hAnsi="宋体" w:cs="宋体"/>
        </w:rPr>
        <w:t>日期：</w:t>
      </w:r>
    </w:p>
    <w:p>
      <w:pPr>
        <w:rPr>
          <w:rFonts w:ascii="宋体" w:hAnsi="宋体" w:cs="宋体"/>
        </w:rPr>
      </w:pPr>
      <w:r>
        <w:rPr>
          <w:rFonts w:hint="eastAsia" w:ascii="宋体" w:hAnsi="宋体" w:cs="宋体"/>
        </w:rPr>
        <w:br w:type="page"/>
      </w:r>
    </w:p>
    <w:p>
      <w:pPr>
        <w:pStyle w:val="3"/>
        <w:spacing w:before="156" w:beforeLines="50" w:after="0" w:line="360" w:lineRule="auto"/>
        <w:jc w:val="center"/>
        <w:rPr>
          <w:rFonts w:ascii="宋体" w:hAnsi="宋体" w:eastAsia="宋体" w:cs="宋体"/>
        </w:rPr>
      </w:pPr>
      <w:r>
        <w:rPr>
          <w:rFonts w:hint="eastAsia" w:ascii="宋体" w:hAnsi="宋体" w:eastAsia="宋体" w:cs="宋体"/>
        </w:rPr>
        <w:t>供应商资格声明函</w:t>
      </w:r>
    </w:p>
    <w:p>
      <w:pPr>
        <w:autoSpaceDE w:val="0"/>
        <w:autoSpaceDN w:val="0"/>
        <w:adjustRightInd w:val="0"/>
        <w:spacing w:before="156" w:beforeLines="50" w:after="312" w:afterLines="100" w:line="360" w:lineRule="auto"/>
        <w:jc w:val="left"/>
        <w:rPr>
          <w:rFonts w:ascii="宋体" w:hAnsi="宋体" w:cs="宋体"/>
          <w:b/>
          <w:kern w:val="0"/>
          <w:szCs w:val="21"/>
        </w:rPr>
      </w:pPr>
      <w:r>
        <w:rPr>
          <w:rFonts w:hint="eastAsia" w:ascii="宋体" w:hAnsi="宋体" w:cs="宋体"/>
          <w:b/>
          <w:kern w:val="0"/>
          <w:szCs w:val="21"/>
        </w:rPr>
        <w:t>致： 肇庆市第三人民医院、云采链（广州）信息科技有限公司</w:t>
      </w:r>
    </w:p>
    <w:p>
      <w:pPr>
        <w:snapToGrid w:val="0"/>
        <w:spacing w:line="360" w:lineRule="auto"/>
        <w:ind w:firstLine="424" w:firstLineChars="202"/>
        <w:rPr>
          <w:rFonts w:ascii="宋体" w:hAnsi="宋体" w:cs="宋体"/>
        </w:rPr>
      </w:pPr>
      <w:r>
        <w:rPr>
          <w:rFonts w:hint="eastAsia" w:ascii="宋体" w:hAnsi="宋体" w:cs="宋体"/>
          <w:szCs w:val="21"/>
        </w:rPr>
        <w:t>关于贵单位、贵司发布</w:t>
      </w:r>
      <w:r>
        <w:rPr>
          <w:rFonts w:hint="eastAsia" w:ascii="宋体" w:hAnsi="宋体" w:cs="宋体"/>
          <w:b/>
          <w:szCs w:val="21"/>
          <w:u w:val="single"/>
        </w:rPr>
        <w:t>肇庆市第三人民医院放射、B超类维保项目</w:t>
      </w:r>
      <w:r>
        <w:rPr>
          <w:rFonts w:hint="eastAsia" w:ascii="宋体" w:hAnsi="宋体" w:cs="宋体"/>
          <w:szCs w:val="24"/>
        </w:rPr>
        <w:t>的采购公告</w:t>
      </w:r>
      <w:r>
        <w:rPr>
          <w:rFonts w:hint="eastAsia" w:ascii="宋体" w:hAnsi="宋体" w:cs="宋体"/>
        </w:rPr>
        <w:t>，本公司（企业）愿意参加综合评审，并声明：</w:t>
      </w:r>
    </w:p>
    <w:p>
      <w:pPr>
        <w:numPr>
          <w:ilvl w:val="0"/>
          <w:numId w:val="29"/>
        </w:numPr>
        <w:snapToGrid w:val="0"/>
        <w:spacing w:line="360" w:lineRule="auto"/>
        <w:rPr>
          <w:rFonts w:ascii="宋体" w:hAnsi="宋体" w:cs="宋体"/>
          <w:bCs/>
          <w:szCs w:val="20"/>
        </w:rPr>
      </w:pPr>
      <w:r>
        <w:rPr>
          <w:rFonts w:hint="eastAsia" w:ascii="宋体" w:hAnsi="宋体" w:cs="宋体"/>
        </w:rPr>
        <w:t>本公司（企业）</w:t>
      </w:r>
      <w:r>
        <w:rPr>
          <w:rFonts w:hint="eastAsia" w:ascii="宋体" w:hAnsi="宋体" w:cs="宋体"/>
          <w:bCs/>
          <w:szCs w:val="20"/>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（二）具有良好的商业信誉和健全的财务会计制度；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numPr>
          <w:ilvl w:val="0"/>
          <w:numId w:val="29"/>
        </w:numPr>
        <w:snapToGrid w:val="0"/>
        <w:spacing w:line="360" w:lineRule="auto"/>
        <w:rPr>
          <w:rFonts w:ascii="宋体" w:hAnsi="宋体" w:cs="宋体"/>
        </w:rPr>
      </w:pPr>
      <w:r>
        <w:rPr>
          <w:rFonts w:hint="eastAsia" w:ascii="宋体" w:hAnsi="宋体" w:cs="宋体"/>
        </w:rPr>
        <w:t>本公司（企业）具有本次采购项目服务能力。</w:t>
      </w:r>
    </w:p>
    <w:p>
      <w:pPr>
        <w:numPr>
          <w:ilvl w:val="0"/>
          <w:numId w:val="29"/>
        </w:numPr>
        <w:snapToGrid w:val="0"/>
        <w:spacing w:line="360" w:lineRule="auto"/>
        <w:rPr>
          <w:rFonts w:ascii="宋体" w:hAnsi="宋体" w:cs="宋体"/>
        </w:rPr>
      </w:pPr>
      <w:r>
        <w:rPr>
          <w:rFonts w:hint="eastAsia" w:ascii="宋体" w:hAnsi="宋体" w:cs="宋体"/>
        </w:rPr>
        <w:t>本公司（企业）有固定的经营场所，信誉良好、售后维护服务好，并且在经营活动中无不良信用信息记录。</w:t>
      </w:r>
    </w:p>
    <w:p>
      <w:pPr>
        <w:numPr>
          <w:ilvl w:val="0"/>
          <w:numId w:val="29"/>
        </w:numPr>
        <w:snapToGrid w:val="0"/>
        <w:spacing w:line="360" w:lineRule="auto"/>
        <w:rPr>
          <w:rFonts w:ascii="宋体" w:hAnsi="宋体" w:cs="宋体"/>
        </w:rPr>
      </w:pPr>
      <w:r>
        <w:rPr>
          <w:rFonts w:hint="eastAsia" w:ascii="宋体" w:hAnsi="宋体" w:cs="宋体"/>
        </w:rPr>
        <w:t>本公司（企业）在本项目中不转包分包且不联合参与评审。</w:t>
      </w:r>
    </w:p>
    <w:p>
      <w:pPr>
        <w:numPr>
          <w:ilvl w:val="0"/>
          <w:numId w:val="29"/>
        </w:numPr>
        <w:snapToGrid w:val="0"/>
        <w:spacing w:line="360" w:lineRule="auto"/>
        <w:rPr>
          <w:rFonts w:ascii="宋体" w:hAnsi="宋体" w:cs="宋体"/>
        </w:rPr>
      </w:pPr>
      <w:r>
        <w:rPr>
          <w:rFonts w:hint="eastAsia" w:ascii="宋体" w:hAnsi="宋体" w:cs="宋体"/>
        </w:rPr>
        <w:t>本公司（企业）没有为采购项目同一合同项下提供整体设计、规范编制或者项目管理、监理、检测等服务。</w:t>
      </w:r>
    </w:p>
    <w:p>
      <w:pPr>
        <w:numPr>
          <w:ilvl w:val="0"/>
          <w:numId w:val="29"/>
        </w:numPr>
        <w:snapToGrid w:val="0"/>
        <w:spacing w:line="360" w:lineRule="auto"/>
        <w:rPr>
          <w:rFonts w:ascii="宋体" w:hAnsi="宋体" w:cs="宋体"/>
        </w:rPr>
      </w:pPr>
      <w:r>
        <w:rPr>
          <w:rFonts w:hint="eastAsia" w:ascii="宋体" w:hAnsi="宋体" w:cs="宋体"/>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cs="宋体"/>
        </w:rPr>
      </w:pPr>
      <w:r>
        <w:rPr>
          <w:rFonts w:hint="eastAsia" w:ascii="宋体" w:hAnsi="宋体" w:cs="宋体"/>
        </w:rPr>
        <w:t>本公司（企业）承诺在本次采购活动中，如有违法、违规</w:t>
      </w:r>
      <w:r>
        <w:rPr>
          <w:rFonts w:hint="eastAsia" w:ascii="宋体" w:hAnsi="宋体" w:cs="宋体"/>
          <w:szCs w:val="21"/>
        </w:rPr>
        <w:t>、</w:t>
      </w:r>
      <w:r>
        <w:rPr>
          <w:rFonts w:hint="eastAsia" w:ascii="宋体" w:hAnsi="宋体" w:cs="宋体"/>
        </w:rPr>
        <w:t>弄虚作假行为，所造成的损失、不良后果及法律责任，一律由我公司（企业）承担。</w:t>
      </w:r>
    </w:p>
    <w:p>
      <w:pPr>
        <w:spacing w:line="360" w:lineRule="auto"/>
        <w:ind w:firstLine="420"/>
        <w:rPr>
          <w:rFonts w:ascii="宋体" w:hAnsi="宋体" w:cs="宋体"/>
        </w:rPr>
      </w:pPr>
      <w:r>
        <w:rPr>
          <w:rFonts w:hint="eastAsia" w:ascii="宋体" w:hAnsi="宋体" w:cs="宋体"/>
        </w:rPr>
        <w:t>特此声明！</w:t>
      </w:r>
    </w:p>
    <w:p>
      <w:pPr>
        <w:autoSpaceDE w:val="0"/>
        <w:autoSpaceDN w:val="0"/>
        <w:adjustRightInd w:val="0"/>
        <w:spacing w:line="360" w:lineRule="auto"/>
        <w:ind w:firstLine="413" w:firstLineChars="196"/>
        <w:rPr>
          <w:rFonts w:ascii="宋体" w:hAnsi="宋体" w:cs="宋体"/>
          <w:b/>
        </w:rPr>
      </w:pPr>
      <w:r>
        <w:rPr>
          <w:rFonts w:hint="eastAsia" w:ascii="宋体" w:hAnsi="宋体" w:cs="宋体"/>
          <w:b/>
        </w:rPr>
        <w:t>备注：</w:t>
      </w:r>
    </w:p>
    <w:p>
      <w:pPr>
        <w:pStyle w:val="50"/>
        <w:numPr>
          <w:ilvl w:val="0"/>
          <w:numId w:val="30"/>
        </w:numPr>
        <w:autoSpaceDE w:val="0"/>
        <w:autoSpaceDN w:val="0"/>
        <w:adjustRightInd w:val="0"/>
        <w:spacing w:before="156" w:beforeLines="50" w:line="360" w:lineRule="auto"/>
        <w:ind w:firstLineChars="0"/>
        <w:rPr>
          <w:rFonts w:ascii="宋体" w:hAnsi="宋体" w:cs="宋体"/>
        </w:rPr>
      </w:pPr>
      <w:r>
        <w:rPr>
          <w:rFonts w:hint="eastAsia" w:ascii="宋体" w:hAnsi="宋体" w:cs="宋体"/>
        </w:rPr>
        <w:t>本声明函必须提供且内容不得擅自删改，否则视为响应无效。</w:t>
      </w:r>
    </w:p>
    <w:p>
      <w:pPr>
        <w:pStyle w:val="50"/>
        <w:numPr>
          <w:ilvl w:val="0"/>
          <w:numId w:val="30"/>
        </w:numPr>
        <w:snapToGrid w:val="0"/>
        <w:spacing w:before="156" w:beforeLines="50"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spacing w:line="360" w:lineRule="auto"/>
        <w:ind w:firstLine="5040" w:firstLineChars="2400"/>
        <w:rPr>
          <w:rFonts w:ascii="宋体" w:hAnsi="宋体" w:cs="宋体"/>
          <w:u w:val="single"/>
        </w:rPr>
      </w:pPr>
      <w:r>
        <w:rPr>
          <w:rFonts w:hint="eastAsia" w:ascii="宋体" w:hAnsi="宋体" w:cs="宋体"/>
        </w:rPr>
        <w:t>供应商名称（单位盖</w:t>
      </w:r>
      <w:r>
        <w:rPr>
          <w:rFonts w:hint="eastAsia" w:ascii="宋体" w:hAnsi="宋体" w:cs="宋体"/>
          <w:spacing w:val="4"/>
        </w:rPr>
        <w:t>公章</w:t>
      </w:r>
      <w:r>
        <w:rPr>
          <w:rFonts w:hint="eastAsia" w:ascii="宋体" w:hAnsi="宋体" w:cs="宋体"/>
        </w:rPr>
        <w:t>）：</w:t>
      </w:r>
      <w:r>
        <w:rPr>
          <w:rFonts w:hint="eastAsia" w:ascii="宋体" w:hAnsi="宋体" w:cs="宋体"/>
          <w:u w:val="single"/>
        </w:rPr>
        <w:t xml:space="preserve"> </w:t>
      </w:r>
    </w:p>
    <w:p>
      <w:pPr>
        <w:spacing w:line="360" w:lineRule="auto"/>
        <w:ind w:firstLine="5040" w:firstLineChars="2400"/>
        <w:rPr>
          <w:rFonts w:ascii="宋体" w:hAnsi="宋体" w:cs="宋体"/>
        </w:rPr>
      </w:pPr>
      <w:r>
        <w:rPr>
          <w:rFonts w:hint="eastAsia" w:ascii="宋体" w:hAnsi="宋体" w:cs="宋体"/>
        </w:rPr>
        <w:t xml:space="preserve">日期： </w:t>
      </w:r>
    </w:p>
    <w:p>
      <w:pPr>
        <w:rPr>
          <w:rFonts w:ascii="宋体" w:hAnsi="宋体" w:cs="宋体"/>
          <w:color w:val="000000" w:themeColor="text1"/>
          <w14:textFill>
            <w14:solidFill>
              <w14:schemeClr w14:val="tx1"/>
            </w14:solidFill>
          </w14:textFill>
        </w:rPr>
      </w:pPr>
      <w:r>
        <w:br w:type="page"/>
      </w:r>
    </w:p>
    <w:p>
      <w:pPr>
        <w:pStyle w:val="3"/>
        <w:spacing w:line="240" w:lineRule="auto"/>
        <w:jc w:val="center"/>
        <w:rPr>
          <w:rFonts w:ascii="宋体" w:hAnsi="宋体" w:eastAsia="宋体" w:cs="宋体"/>
          <w:sz w:val="30"/>
          <w:szCs w:val="30"/>
        </w:rPr>
      </w:pPr>
      <w:r>
        <w:rPr>
          <w:rFonts w:hint="eastAsia" w:ascii="宋体" w:hAnsi="宋体" w:eastAsia="宋体" w:cs="宋体"/>
          <w:sz w:val="30"/>
          <w:szCs w:val="30"/>
        </w:rPr>
        <w:t>诚信承诺函</w:t>
      </w:r>
    </w:p>
    <w:p>
      <w:pPr>
        <w:spacing w:line="276" w:lineRule="auto"/>
        <w:ind w:firstLine="420" w:firstLineChars="200"/>
        <w:rPr>
          <w:rFonts w:ascii="宋体" w:hAnsi="宋体" w:cs="宋体"/>
          <w:szCs w:val="21"/>
        </w:rPr>
      </w:pPr>
    </w:p>
    <w:p>
      <w:pPr>
        <w:rPr>
          <w:rFonts w:ascii="宋体" w:hAnsi="宋体" w:cs="宋体"/>
          <w:b/>
          <w:bCs/>
        </w:rPr>
      </w:pPr>
      <w:r>
        <w:rPr>
          <w:rFonts w:hint="eastAsia" w:ascii="宋体" w:hAnsi="宋体" w:cs="宋体"/>
          <w:b/>
          <w:bCs/>
        </w:rPr>
        <w:t>致：</w:t>
      </w:r>
      <w:r>
        <w:rPr>
          <w:rFonts w:hint="eastAsia" w:ascii="宋体" w:hAnsi="宋体" w:cs="宋体"/>
          <w:b/>
          <w:kern w:val="0"/>
          <w:szCs w:val="21"/>
        </w:rPr>
        <w:t>肇庆市第三人民医院、云采链（广州）信息科技有限公司</w:t>
      </w:r>
      <w:r>
        <w:rPr>
          <w:rFonts w:hint="eastAsia" w:ascii="宋体" w:hAnsi="宋体" w:cs="宋体"/>
          <w:b/>
          <w:bCs/>
        </w:rPr>
        <w:t>：</w:t>
      </w:r>
    </w:p>
    <w:p>
      <w:pPr>
        <w:spacing w:line="276"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我公司承诺：</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我公司本综合评审项目所提供的货物或服务未侵犯知识产权。</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我公司参与本项目响应前三年内，在经营活动中没有重大违法记录。</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我公司参与本项目采购活动时不存在被有关部门禁止参与政府采购活动且在有效期内的情况。</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我公司具备《中华人民共和国政府采购法》第二十二条第一款的条件。</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我公司未被列入失信被执行人、重大税收违法案件当事人名单、政府采购严重违法失信行为记录名单。</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我公司参与该项目报名及报价，严格遵循公平竞争的原则，不恶意串通，不妨碍其他供应商的竞争行为，不损害采购人或者其他供应商的合法权益。我公司已清楚，如违反上述要求，将作无效响应处理。</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我公司如果成交，做到守信，不偷工减料，依照本项目综合评审文件需求内容、签署的采购合同及本公司在响应中所作的一切承诺履约。</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已认真核实了响应文件的全部内容，所有资料均为真实资料。我公司对响应文件中全部资料的真实性负责，如被证实我公司的响应文件中存在虚假资料的，则视为我公司隐瞒真实情况、提供虚假资料，我公司愿意接受主管部门作出的行政处罚。</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我公司承诺不非法转包、分包。</w:t>
      </w:r>
    </w:p>
    <w:p>
      <w:pPr>
        <w:numPr>
          <w:ilvl w:val="0"/>
          <w:numId w:val="31"/>
        </w:numPr>
        <w:spacing w:line="360" w:lineRule="auto"/>
        <w:ind w:left="0" w:firstLine="420" w:firstLineChars="200"/>
        <w:rPr>
          <w:rFonts w:ascii="宋体" w:hAnsi="宋体" w:cs="宋体"/>
          <w:szCs w:val="21"/>
        </w:rPr>
      </w:pPr>
      <w:r>
        <w:rPr>
          <w:rFonts w:hint="eastAsia" w:ascii="宋体" w:hAnsi="宋体" w:cs="宋体"/>
          <w:szCs w:val="21"/>
        </w:rPr>
        <w:t>我公司为独立报名报价,非联合体。</w:t>
      </w:r>
    </w:p>
    <w:p>
      <w:pPr>
        <w:wordWrap w:val="0"/>
        <w:spacing w:line="360" w:lineRule="auto"/>
        <w:ind w:left="840"/>
        <w:jc w:val="right"/>
        <w:rPr>
          <w:rFonts w:ascii="宋体" w:hAnsi="宋体" w:cs="宋体"/>
          <w:szCs w:val="21"/>
          <w:u w:val="single"/>
        </w:rPr>
      </w:pPr>
      <w:r>
        <w:rPr>
          <w:rFonts w:hint="eastAsia" w:ascii="宋体" w:hAnsi="宋体" w:cs="宋体"/>
        </w:rPr>
        <w:t xml:space="preserve">  </w:t>
      </w: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pPr>
        <w:spacing w:line="360" w:lineRule="auto"/>
        <w:ind w:left="840"/>
        <w:jc w:val="right"/>
        <w:rPr>
          <w:rFonts w:ascii="宋体" w:hAnsi="宋体" w:cs="宋体"/>
          <w:szCs w:val="21"/>
          <w:u w:val="single"/>
        </w:rPr>
      </w:pPr>
    </w:p>
    <w:p>
      <w:pPr>
        <w:spacing w:line="500" w:lineRule="exact"/>
        <w:ind w:firstLine="6540" w:firstLineChars="3000"/>
        <w:rPr>
          <w:rFonts w:ascii="宋体" w:hAnsi="宋体" w:cs="宋体"/>
          <w:szCs w:val="21"/>
        </w:rPr>
      </w:pPr>
      <w:r>
        <w:rPr>
          <w:rFonts w:hint="eastAsia" w:ascii="宋体" w:hAnsi="宋体" w:cs="宋体"/>
          <w:spacing w:val="4"/>
          <w:szCs w:val="21"/>
        </w:rPr>
        <w:t>日期：</w:t>
      </w:r>
      <w:r>
        <w:rPr>
          <w:rFonts w:hint="eastAsia" w:ascii="宋体" w:hAnsi="宋体" w:cs="宋体"/>
          <w:spacing w:val="4"/>
          <w:szCs w:val="21"/>
          <w:u w:val="single"/>
        </w:rPr>
        <w:t xml:space="preserve">          </w:t>
      </w:r>
    </w:p>
    <w:p>
      <w:pPr>
        <w:rPr>
          <w:rFonts w:ascii="宋体" w:hAnsi="宋体" w:cs="宋体"/>
        </w:rPr>
      </w:pPr>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swiss"/>
    <w:pitch w:val="default"/>
    <w:sig w:usb0="00000000" w:usb1="00000000" w:usb2="00000000" w:usb3="00000000" w:csb0="00040000" w:csb1="00000000"/>
  </w:font>
  <w:font w:name="长城仿宋">
    <w:altName w:val="微软雅黑"/>
    <w:panose1 w:val="00000000000000000000"/>
    <w:charset w:val="86"/>
    <w:family w:val="modern"/>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82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C738F"/>
    <w:multiLevelType w:val="multilevel"/>
    <w:tmpl w:val="876C738F"/>
    <w:lvl w:ilvl="0" w:tentative="0">
      <w:start w:val="1"/>
      <w:numFmt w:val="decimal"/>
      <w:suff w:val="nothing"/>
      <w:lvlText w:val="%1."/>
      <w:lvlJc w:val="left"/>
      <w:pPr>
        <w:ind w:left="738" w:hanging="420"/>
      </w:p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
    <w:nsid w:val="B1BD4C62"/>
    <w:multiLevelType w:val="singleLevel"/>
    <w:tmpl w:val="B1BD4C62"/>
    <w:lvl w:ilvl="0" w:tentative="0">
      <w:start w:val="1"/>
      <w:numFmt w:val="decimal"/>
      <w:suff w:val="nothing"/>
      <w:lvlText w:val="%1."/>
      <w:lvlJc w:val="left"/>
      <w:pPr>
        <w:ind w:left="454" w:hanging="454"/>
      </w:pPr>
      <w:rPr>
        <w:rFonts w:hint="default"/>
      </w:rPr>
    </w:lvl>
  </w:abstractNum>
  <w:abstractNum w:abstractNumId="2">
    <w:nsid w:val="BC4931AD"/>
    <w:multiLevelType w:val="singleLevel"/>
    <w:tmpl w:val="BC4931AD"/>
    <w:lvl w:ilvl="0" w:tentative="0">
      <w:start w:val="1"/>
      <w:numFmt w:val="decimal"/>
      <w:suff w:val="nothing"/>
      <w:lvlText w:val="%1."/>
      <w:lvlJc w:val="left"/>
      <w:pPr>
        <w:ind w:left="454" w:hanging="454"/>
      </w:pPr>
      <w:rPr>
        <w:rFonts w:hint="default" w:ascii="宋体" w:hAnsi="宋体" w:eastAsia="宋体" w:cs="宋体"/>
        <w:b w:val="0"/>
        <w:bCs w:val="0"/>
        <w:sz w:val="21"/>
        <w:szCs w:val="21"/>
      </w:rPr>
    </w:lvl>
  </w:abstractNum>
  <w:abstractNum w:abstractNumId="3">
    <w:nsid w:val="CDF96C46"/>
    <w:multiLevelType w:val="multilevel"/>
    <w:tmpl w:val="CDF96C46"/>
    <w:lvl w:ilvl="0" w:tentative="0">
      <w:start w:val="1"/>
      <w:numFmt w:val="decimal"/>
      <w:lvlText w:val="%1."/>
      <w:lvlJc w:val="left"/>
      <w:pPr>
        <w:tabs>
          <w:tab w:val="left" w:pos="425"/>
        </w:tabs>
        <w:ind w:left="425" w:hanging="425"/>
      </w:pPr>
      <w:rPr>
        <w:rFonts w:hint="default"/>
        <w:b w:val="0"/>
        <w:bCs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CE876343"/>
    <w:multiLevelType w:val="singleLevel"/>
    <w:tmpl w:val="CE876343"/>
    <w:lvl w:ilvl="0" w:tentative="0">
      <w:start w:val="1"/>
      <w:numFmt w:val="lowerLetter"/>
      <w:lvlText w:val="%1."/>
      <w:lvlJc w:val="left"/>
      <w:pPr>
        <w:ind w:left="425" w:hanging="425"/>
      </w:pPr>
      <w:rPr>
        <w:rFonts w:hint="default"/>
      </w:rPr>
    </w:lvl>
  </w:abstractNum>
  <w:abstractNum w:abstractNumId="5">
    <w:nsid w:val="D0D035F8"/>
    <w:multiLevelType w:val="multilevel"/>
    <w:tmpl w:val="D0D035F8"/>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6">
    <w:nsid w:val="D162C88D"/>
    <w:multiLevelType w:val="singleLevel"/>
    <w:tmpl w:val="D162C88D"/>
    <w:lvl w:ilvl="0" w:tentative="0">
      <w:start w:val="1"/>
      <w:numFmt w:val="decimal"/>
      <w:suff w:val="nothing"/>
      <w:lvlText w:val="%1."/>
      <w:lvlJc w:val="left"/>
      <w:pPr>
        <w:ind w:left="454" w:hanging="454"/>
      </w:pPr>
      <w:rPr>
        <w:rFonts w:hint="default" w:ascii="宋体" w:hAnsi="宋体" w:eastAsia="宋体" w:cs="宋体"/>
        <w:b w:val="0"/>
        <w:bCs w:val="0"/>
        <w:sz w:val="21"/>
        <w:szCs w:val="21"/>
      </w:rPr>
    </w:lvl>
  </w:abstractNum>
  <w:abstractNum w:abstractNumId="7">
    <w:nsid w:val="D55336AE"/>
    <w:multiLevelType w:val="multilevel"/>
    <w:tmpl w:val="D55336AE"/>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8">
    <w:nsid w:val="DD132875"/>
    <w:multiLevelType w:val="multilevel"/>
    <w:tmpl w:val="DD13287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DEE88401"/>
    <w:multiLevelType w:val="multilevel"/>
    <w:tmpl w:val="DEE88401"/>
    <w:lvl w:ilvl="0" w:tentative="0">
      <w:start w:val="1"/>
      <w:numFmt w:val="decimal"/>
      <w:suff w:val="nothing"/>
      <w:lvlText w:val="%1."/>
      <w:lvlJc w:val="left"/>
      <w:pPr>
        <w:ind w:left="840" w:hanging="420"/>
      </w:pPr>
      <w:rPr>
        <w:rFonts w:hint="default" w:ascii="宋体" w:hAnsi="宋体" w:eastAsia="宋体" w:cstheme="minorEastAsia"/>
        <w:sz w:val="21"/>
        <w:szCs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DF557281"/>
    <w:multiLevelType w:val="singleLevel"/>
    <w:tmpl w:val="DF557281"/>
    <w:lvl w:ilvl="0" w:tentative="0">
      <w:start w:val="1"/>
      <w:numFmt w:val="chineseCounting"/>
      <w:suff w:val="nothing"/>
      <w:lvlText w:val="%1、"/>
      <w:lvlJc w:val="left"/>
      <w:pPr>
        <w:ind w:left="0" w:firstLine="420"/>
      </w:pPr>
      <w:rPr>
        <w:rFonts w:hint="eastAsia"/>
      </w:rPr>
    </w:lvl>
  </w:abstractNum>
  <w:abstractNum w:abstractNumId="11">
    <w:nsid w:val="E0FB7D94"/>
    <w:multiLevelType w:val="multilevel"/>
    <w:tmpl w:val="E0FB7D94"/>
    <w:lvl w:ilvl="0" w:tentative="0">
      <w:start w:val="1"/>
      <w:numFmt w:val="decimal"/>
      <w:lvlText w:val="%1."/>
      <w:lvlJc w:val="left"/>
      <w:pPr>
        <w:tabs>
          <w:tab w:val="left" w:pos="425"/>
        </w:tabs>
        <w:ind w:left="425" w:hanging="425"/>
      </w:pPr>
      <w:rPr>
        <w:rFonts w:hint="default"/>
        <w:b w:val="0"/>
        <w:bCs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FBEDEB9F"/>
    <w:multiLevelType w:val="singleLevel"/>
    <w:tmpl w:val="FBEDEB9F"/>
    <w:lvl w:ilvl="0" w:tentative="0">
      <w:start w:val="1"/>
      <w:numFmt w:val="decimal"/>
      <w:lvlText w:val="%1."/>
      <w:lvlJc w:val="left"/>
      <w:pPr>
        <w:ind w:left="425" w:hanging="425"/>
      </w:pPr>
      <w:rPr>
        <w:rFonts w:hint="default"/>
      </w:rPr>
    </w:lvl>
  </w:abstractNum>
  <w:abstractNum w:abstractNumId="13">
    <w:nsid w:val="FC257B30"/>
    <w:multiLevelType w:val="singleLevel"/>
    <w:tmpl w:val="FC257B30"/>
    <w:lvl w:ilvl="0" w:tentative="0">
      <w:start w:val="1"/>
      <w:numFmt w:val="decimal"/>
      <w:suff w:val="nothing"/>
      <w:lvlText w:val="%1."/>
      <w:lvlJc w:val="left"/>
      <w:pPr>
        <w:ind w:left="454" w:hanging="454"/>
      </w:pPr>
      <w:rPr>
        <w:rFonts w:hint="default"/>
      </w:rPr>
    </w:lvl>
  </w:abstractNum>
  <w:abstractNum w:abstractNumId="14">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53"/>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04AD10DA"/>
    <w:multiLevelType w:val="multilevel"/>
    <w:tmpl w:val="04AD10DA"/>
    <w:lvl w:ilvl="0" w:tentative="0">
      <w:start w:val="1"/>
      <w:numFmt w:val="decimal"/>
      <w:lvlText w:val="(%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6">
    <w:nsid w:val="0585361B"/>
    <w:multiLevelType w:val="singleLevel"/>
    <w:tmpl w:val="0585361B"/>
    <w:lvl w:ilvl="0" w:tentative="0">
      <w:start w:val="1"/>
      <w:numFmt w:val="decimal"/>
      <w:lvlText w:val="(%1)"/>
      <w:lvlJc w:val="left"/>
      <w:pPr>
        <w:ind w:left="425" w:hanging="425"/>
      </w:pPr>
      <w:rPr>
        <w:rFonts w:hint="default" w:ascii="宋体" w:hAnsi="宋体" w:eastAsia="宋体" w:cs="宋体"/>
        <w:b w:val="0"/>
        <w:bCs w:val="0"/>
        <w:sz w:val="21"/>
        <w:szCs w:val="21"/>
      </w:rPr>
    </w:lvl>
  </w:abstractNum>
  <w:abstractNum w:abstractNumId="17">
    <w:nsid w:val="125214F2"/>
    <w:multiLevelType w:val="multilevel"/>
    <w:tmpl w:val="125214F2"/>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8">
    <w:nsid w:val="140A6B21"/>
    <w:multiLevelType w:val="multilevel"/>
    <w:tmpl w:val="140A6B21"/>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9">
    <w:nsid w:val="206B1BBA"/>
    <w:multiLevelType w:val="singleLevel"/>
    <w:tmpl w:val="206B1BBA"/>
    <w:lvl w:ilvl="0" w:tentative="0">
      <w:start w:val="1"/>
      <w:numFmt w:val="decimal"/>
      <w:lvlText w:val="%1."/>
      <w:lvlJc w:val="left"/>
      <w:pPr>
        <w:ind w:left="425" w:hanging="425"/>
      </w:pPr>
      <w:rPr>
        <w:rFonts w:hint="default" w:ascii="宋体" w:hAnsi="宋体" w:eastAsia="宋体" w:cs="宋体"/>
        <w:sz w:val="21"/>
        <w:szCs w:val="21"/>
      </w:rPr>
    </w:lvl>
  </w:abstractNum>
  <w:abstractNum w:abstractNumId="20">
    <w:nsid w:val="2CB96FCE"/>
    <w:multiLevelType w:val="multilevel"/>
    <w:tmpl w:val="2CB96FCE"/>
    <w:lvl w:ilvl="0" w:tentative="0">
      <w:start w:val="1"/>
      <w:numFmt w:val="chineseCountingThousand"/>
      <w:lvlText w:val="%1、"/>
      <w:lvlJc w:val="left"/>
      <w:pPr>
        <w:ind w:left="450" w:hanging="45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4433F59"/>
    <w:multiLevelType w:val="multilevel"/>
    <w:tmpl w:val="34433F59"/>
    <w:lvl w:ilvl="0" w:tentative="0">
      <w:start w:val="1"/>
      <w:numFmt w:val="chineseCountingThousand"/>
      <w:suff w:val="nothing"/>
      <w:lvlText w:val="(%1)"/>
      <w:lvlJc w:val="left"/>
      <w:pPr>
        <w:ind w:left="420" w:hanging="420"/>
      </w:pPr>
      <w:rPr>
        <w:rFonts w:hint="eastAsia" w:ascii="宋体" w:hAnsi="宋体" w:eastAsia="宋体" w:cs="宋体"/>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19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40C6313D"/>
    <w:multiLevelType w:val="multilevel"/>
    <w:tmpl w:val="40C6313D"/>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A35656B"/>
    <w:multiLevelType w:val="singleLevel"/>
    <w:tmpl w:val="4A35656B"/>
    <w:lvl w:ilvl="0" w:tentative="0">
      <w:start w:val="1"/>
      <w:numFmt w:val="decimal"/>
      <w:suff w:val="nothing"/>
      <w:lvlText w:val="%1."/>
      <w:lvlJc w:val="left"/>
      <w:pPr>
        <w:ind w:left="454" w:hanging="454"/>
      </w:pPr>
      <w:rPr>
        <w:rFonts w:hint="default"/>
      </w:rPr>
    </w:lvl>
  </w:abstractNum>
  <w:abstractNum w:abstractNumId="2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7">
    <w:nsid w:val="51832818"/>
    <w:multiLevelType w:val="singleLevel"/>
    <w:tmpl w:val="51832818"/>
    <w:lvl w:ilvl="0" w:tentative="0">
      <w:start w:val="1"/>
      <w:numFmt w:val="decimal"/>
      <w:suff w:val="nothing"/>
      <w:lvlText w:val="%1."/>
      <w:lvlJc w:val="left"/>
      <w:pPr>
        <w:ind w:left="454" w:hanging="454"/>
      </w:pPr>
      <w:rPr>
        <w:rFonts w:hint="default" w:ascii="宋体" w:hAnsi="宋体" w:eastAsia="宋体" w:cs="宋体"/>
        <w:b w:val="0"/>
        <w:bCs w:val="0"/>
        <w:sz w:val="21"/>
        <w:szCs w:val="21"/>
      </w:rPr>
    </w:lvl>
  </w:abstractNum>
  <w:abstractNum w:abstractNumId="28">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29">
    <w:nsid w:val="63784A10"/>
    <w:multiLevelType w:val="multilevel"/>
    <w:tmpl w:val="63784A10"/>
    <w:lvl w:ilvl="0" w:tentative="0">
      <w:start w:val="1"/>
      <w:numFmt w:val="chineseCountingThousand"/>
      <w:suff w:val="nothing"/>
      <w:lvlText w:val="%1、"/>
      <w:lvlJc w:val="left"/>
      <w:pPr>
        <w:ind w:left="420" w:hanging="420"/>
      </w:pPr>
      <w:rPr>
        <w:rFonts w:hint="eastAsia" w:ascii="宋体" w:hAnsi="宋体" w:eastAsia="宋体" w:cs="宋体"/>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6E92880"/>
    <w:multiLevelType w:val="multilevel"/>
    <w:tmpl w:val="76E92880"/>
    <w:lvl w:ilvl="0" w:tentative="0">
      <w:start w:val="1"/>
      <w:numFmt w:val="decimal"/>
      <w:suff w:val="nothing"/>
      <w:lvlText w:val="%1."/>
      <w:lvlJc w:val="left"/>
      <w:pPr>
        <w:ind w:left="420" w:hanging="420"/>
      </w:pPr>
      <w:rPr>
        <w:rFonts w:hint="default" w:ascii="宋体" w:hAnsi="宋体" w:eastAsia="宋体"/>
        <w:b w:val="0"/>
        <w:bCs w:val="0"/>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14"/>
  </w:num>
  <w:num w:numId="2">
    <w:abstractNumId w:val="29"/>
  </w:num>
  <w:num w:numId="3">
    <w:abstractNumId w:val="21"/>
  </w:num>
  <w:num w:numId="4">
    <w:abstractNumId w:val="22"/>
  </w:num>
  <w:num w:numId="5">
    <w:abstractNumId w:val="28"/>
  </w:num>
  <w:num w:numId="6">
    <w:abstractNumId w:val="30"/>
  </w:num>
  <w:num w:numId="7">
    <w:abstractNumId w:val="9"/>
  </w:num>
  <w:num w:numId="8">
    <w:abstractNumId w:val="17"/>
  </w:num>
  <w:num w:numId="9">
    <w:abstractNumId w:val="7"/>
  </w:num>
  <w:num w:numId="10">
    <w:abstractNumId w:val="23"/>
  </w:num>
  <w:num w:numId="11">
    <w:abstractNumId w:val="18"/>
  </w:num>
  <w:num w:numId="12">
    <w:abstractNumId w:val="15"/>
  </w:num>
  <w:num w:numId="13">
    <w:abstractNumId w:val="8"/>
  </w:num>
  <w:num w:numId="14">
    <w:abstractNumId w:val="20"/>
  </w:num>
  <w:num w:numId="15">
    <w:abstractNumId w:val="19"/>
  </w:num>
  <w:num w:numId="16">
    <w:abstractNumId w:val="5"/>
  </w:num>
  <w:num w:numId="17">
    <w:abstractNumId w:val="11"/>
  </w:num>
  <w:num w:numId="18">
    <w:abstractNumId w:val="3"/>
  </w:num>
  <w:num w:numId="19">
    <w:abstractNumId w:val="16"/>
  </w:num>
  <w:num w:numId="20">
    <w:abstractNumId w:val="4"/>
  </w:num>
  <w:num w:numId="21">
    <w:abstractNumId w:val="0"/>
  </w:num>
  <w:num w:numId="22">
    <w:abstractNumId w:val="2"/>
  </w:num>
  <w:num w:numId="23">
    <w:abstractNumId w:val="6"/>
  </w:num>
  <w:num w:numId="24">
    <w:abstractNumId w:val="27"/>
  </w:num>
  <w:num w:numId="25">
    <w:abstractNumId w:val="12"/>
  </w:num>
  <w:num w:numId="26">
    <w:abstractNumId w:val="25"/>
  </w:num>
  <w:num w:numId="27">
    <w:abstractNumId w:val="1"/>
  </w:num>
  <w:num w:numId="28">
    <w:abstractNumId w:val="24"/>
  </w:num>
  <w:num w:numId="29">
    <w:abstractNumId w:val="10"/>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TMzMGFmZDU3N2E2OTgxMzI3ZWIyZWQ1MDI2NWYifQ=="/>
  </w:docVars>
  <w:rsids>
    <w:rsidRoot w:val="139100A5"/>
    <w:rsid w:val="00000682"/>
    <w:rsid w:val="000020B3"/>
    <w:rsid w:val="000037D9"/>
    <w:rsid w:val="00005AD0"/>
    <w:rsid w:val="00007A08"/>
    <w:rsid w:val="00027B08"/>
    <w:rsid w:val="00027EC0"/>
    <w:rsid w:val="00027F8F"/>
    <w:rsid w:val="000303B9"/>
    <w:rsid w:val="000325BC"/>
    <w:rsid w:val="0003302F"/>
    <w:rsid w:val="00035902"/>
    <w:rsid w:val="00041647"/>
    <w:rsid w:val="00041704"/>
    <w:rsid w:val="0004722E"/>
    <w:rsid w:val="00050814"/>
    <w:rsid w:val="00051B4E"/>
    <w:rsid w:val="00052AEC"/>
    <w:rsid w:val="0005305C"/>
    <w:rsid w:val="00053C13"/>
    <w:rsid w:val="00053E65"/>
    <w:rsid w:val="00055EB9"/>
    <w:rsid w:val="000572C2"/>
    <w:rsid w:val="00057C10"/>
    <w:rsid w:val="00060489"/>
    <w:rsid w:val="00061471"/>
    <w:rsid w:val="00061C96"/>
    <w:rsid w:val="00062192"/>
    <w:rsid w:val="00062B58"/>
    <w:rsid w:val="0006454B"/>
    <w:rsid w:val="000658A7"/>
    <w:rsid w:val="000704D1"/>
    <w:rsid w:val="00070FFC"/>
    <w:rsid w:val="00077E7C"/>
    <w:rsid w:val="00085652"/>
    <w:rsid w:val="0008750B"/>
    <w:rsid w:val="000A0168"/>
    <w:rsid w:val="000A03BA"/>
    <w:rsid w:val="000A2071"/>
    <w:rsid w:val="000A42C5"/>
    <w:rsid w:val="000B7F82"/>
    <w:rsid w:val="000C0003"/>
    <w:rsid w:val="000C1D92"/>
    <w:rsid w:val="000C30F6"/>
    <w:rsid w:val="000C384F"/>
    <w:rsid w:val="000C607A"/>
    <w:rsid w:val="000C7C94"/>
    <w:rsid w:val="000C7D59"/>
    <w:rsid w:val="000D3629"/>
    <w:rsid w:val="000D4CC9"/>
    <w:rsid w:val="000D6202"/>
    <w:rsid w:val="000D6308"/>
    <w:rsid w:val="000D6E7D"/>
    <w:rsid w:val="000E2962"/>
    <w:rsid w:val="000E649F"/>
    <w:rsid w:val="000F21C0"/>
    <w:rsid w:val="000F253A"/>
    <w:rsid w:val="000F4673"/>
    <w:rsid w:val="000F4AD5"/>
    <w:rsid w:val="0010166B"/>
    <w:rsid w:val="00101C32"/>
    <w:rsid w:val="0010493A"/>
    <w:rsid w:val="0011022C"/>
    <w:rsid w:val="0011060D"/>
    <w:rsid w:val="00114213"/>
    <w:rsid w:val="0012083E"/>
    <w:rsid w:val="0012415D"/>
    <w:rsid w:val="00127188"/>
    <w:rsid w:val="001341AB"/>
    <w:rsid w:val="00136AE9"/>
    <w:rsid w:val="00137C10"/>
    <w:rsid w:val="00142F9B"/>
    <w:rsid w:val="00145917"/>
    <w:rsid w:val="00150C8D"/>
    <w:rsid w:val="00150E08"/>
    <w:rsid w:val="00155252"/>
    <w:rsid w:val="0015796A"/>
    <w:rsid w:val="00162267"/>
    <w:rsid w:val="0016767D"/>
    <w:rsid w:val="001707C3"/>
    <w:rsid w:val="00175922"/>
    <w:rsid w:val="00181480"/>
    <w:rsid w:val="001844AC"/>
    <w:rsid w:val="00192079"/>
    <w:rsid w:val="0019340E"/>
    <w:rsid w:val="001958DE"/>
    <w:rsid w:val="00197D7A"/>
    <w:rsid w:val="001A254E"/>
    <w:rsid w:val="001A6334"/>
    <w:rsid w:val="001A722D"/>
    <w:rsid w:val="001B1F40"/>
    <w:rsid w:val="001B2441"/>
    <w:rsid w:val="001B5B1B"/>
    <w:rsid w:val="001D1833"/>
    <w:rsid w:val="001D3DAE"/>
    <w:rsid w:val="001D48BE"/>
    <w:rsid w:val="001D5DE7"/>
    <w:rsid w:val="001E05CA"/>
    <w:rsid w:val="001E2C05"/>
    <w:rsid w:val="001E5DCB"/>
    <w:rsid w:val="001F3153"/>
    <w:rsid w:val="002021C5"/>
    <w:rsid w:val="00205DD7"/>
    <w:rsid w:val="00211750"/>
    <w:rsid w:val="00220C23"/>
    <w:rsid w:val="00222B6D"/>
    <w:rsid w:val="00222FFB"/>
    <w:rsid w:val="002315FB"/>
    <w:rsid w:val="00235B33"/>
    <w:rsid w:val="00236D8B"/>
    <w:rsid w:val="002413B3"/>
    <w:rsid w:val="00241D8A"/>
    <w:rsid w:val="002437B9"/>
    <w:rsid w:val="00243894"/>
    <w:rsid w:val="00243969"/>
    <w:rsid w:val="00244F46"/>
    <w:rsid w:val="00252156"/>
    <w:rsid w:val="00252B95"/>
    <w:rsid w:val="002624B8"/>
    <w:rsid w:val="00262F19"/>
    <w:rsid w:val="00266717"/>
    <w:rsid w:val="00271205"/>
    <w:rsid w:val="00271B82"/>
    <w:rsid w:val="002834E3"/>
    <w:rsid w:val="00283571"/>
    <w:rsid w:val="00283A25"/>
    <w:rsid w:val="0028686B"/>
    <w:rsid w:val="00286EC0"/>
    <w:rsid w:val="00293248"/>
    <w:rsid w:val="00293AF1"/>
    <w:rsid w:val="0029636E"/>
    <w:rsid w:val="00297DE4"/>
    <w:rsid w:val="002A052F"/>
    <w:rsid w:val="002B3743"/>
    <w:rsid w:val="002B596E"/>
    <w:rsid w:val="002C1ADC"/>
    <w:rsid w:val="002D42C1"/>
    <w:rsid w:val="002D658E"/>
    <w:rsid w:val="002E2594"/>
    <w:rsid w:val="002F01E7"/>
    <w:rsid w:val="002F157D"/>
    <w:rsid w:val="002F1D02"/>
    <w:rsid w:val="002F39C4"/>
    <w:rsid w:val="002F755B"/>
    <w:rsid w:val="003061FA"/>
    <w:rsid w:val="00312BA0"/>
    <w:rsid w:val="00322397"/>
    <w:rsid w:val="00325B3A"/>
    <w:rsid w:val="00327A65"/>
    <w:rsid w:val="00331B8E"/>
    <w:rsid w:val="003324A5"/>
    <w:rsid w:val="003345D8"/>
    <w:rsid w:val="0033630E"/>
    <w:rsid w:val="00337CB4"/>
    <w:rsid w:val="00341A0C"/>
    <w:rsid w:val="003429B3"/>
    <w:rsid w:val="00347A1D"/>
    <w:rsid w:val="00351854"/>
    <w:rsid w:val="00351CE1"/>
    <w:rsid w:val="003535F0"/>
    <w:rsid w:val="003535F8"/>
    <w:rsid w:val="0035464B"/>
    <w:rsid w:val="00356DBF"/>
    <w:rsid w:val="00363083"/>
    <w:rsid w:val="00366398"/>
    <w:rsid w:val="00367FA3"/>
    <w:rsid w:val="00371B52"/>
    <w:rsid w:val="00371CFB"/>
    <w:rsid w:val="0037524D"/>
    <w:rsid w:val="00377D66"/>
    <w:rsid w:val="00380115"/>
    <w:rsid w:val="00383095"/>
    <w:rsid w:val="00384053"/>
    <w:rsid w:val="003840A5"/>
    <w:rsid w:val="0038428E"/>
    <w:rsid w:val="0038477F"/>
    <w:rsid w:val="00385FD9"/>
    <w:rsid w:val="00386F6E"/>
    <w:rsid w:val="00393AE4"/>
    <w:rsid w:val="00394C4F"/>
    <w:rsid w:val="0039577C"/>
    <w:rsid w:val="003958AA"/>
    <w:rsid w:val="00397064"/>
    <w:rsid w:val="003A2108"/>
    <w:rsid w:val="003A3871"/>
    <w:rsid w:val="003A41A1"/>
    <w:rsid w:val="003A4CB0"/>
    <w:rsid w:val="003A53F4"/>
    <w:rsid w:val="003B2081"/>
    <w:rsid w:val="003B2269"/>
    <w:rsid w:val="003B4CB1"/>
    <w:rsid w:val="003C3514"/>
    <w:rsid w:val="003C390F"/>
    <w:rsid w:val="003D00D4"/>
    <w:rsid w:val="003D0D30"/>
    <w:rsid w:val="003D4DE6"/>
    <w:rsid w:val="003F5C01"/>
    <w:rsid w:val="003F6EC1"/>
    <w:rsid w:val="003F76CF"/>
    <w:rsid w:val="004004E8"/>
    <w:rsid w:val="00407EA5"/>
    <w:rsid w:val="00415631"/>
    <w:rsid w:val="00417136"/>
    <w:rsid w:val="0042292F"/>
    <w:rsid w:val="00423FF9"/>
    <w:rsid w:val="004309D8"/>
    <w:rsid w:val="00430F50"/>
    <w:rsid w:val="00431A6B"/>
    <w:rsid w:val="0043695F"/>
    <w:rsid w:val="00437D29"/>
    <w:rsid w:val="004404CC"/>
    <w:rsid w:val="0044457E"/>
    <w:rsid w:val="004578F3"/>
    <w:rsid w:val="00464C82"/>
    <w:rsid w:val="004679AA"/>
    <w:rsid w:val="0047152D"/>
    <w:rsid w:val="00476A55"/>
    <w:rsid w:val="004802CF"/>
    <w:rsid w:val="0048106F"/>
    <w:rsid w:val="00482B42"/>
    <w:rsid w:val="00482E9F"/>
    <w:rsid w:val="00483B44"/>
    <w:rsid w:val="00484E78"/>
    <w:rsid w:val="00485F2C"/>
    <w:rsid w:val="00492FFA"/>
    <w:rsid w:val="004B1863"/>
    <w:rsid w:val="004B2737"/>
    <w:rsid w:val="004B78B2"/>
    <w:rsid w:val="004C193B"/>
    <w:rsid w:val="004D059A"/>
    <w:rsid w:val="004D4E1E"/>
    <w:rsid w:val="004D5C4B"/>
    <w:rsid w:val="004E1817"/>
    <w:rsid w:val="004E1A62"/>
    <w:rsid w:val="004E3665"/>
    <w:rsid w:val="004E3CC3"/>
    <w:rsid w:val="004E50AD"/>
    <w:rsid w:val="004E7BBF"/>
    <w:rsid w:val="004F003F"/>
    <w:rsid w:val="004F008E"/>
    <w:rsid w:val="004F0D8F"/>
    <w:rsid w:val="004F1BF3"/>
    <w:rsid w:val="0050278C"/>
    <w:rsid w:val="00503D24"/>
    <w:rsid w:val="00504695"/>
    <w:rsid w:val="0051089F"/>
    <w:rsid w:val="00510EE4"/>
    <w:rsid w:val="00511845"/>
    <w:rsid w:val="0051397C"/>
    <w:rsid w:val="00522C50"/>
    <w:rsid w:val="0052630E"/>
    <w:rsid w:val="00526C41"/>
    <w:rsid w:val="00530F04"/>
    <w:rsid w:val="005333ED"/>
    <w:rsid w:val="00551D04"/>
    <w:rsid w:val="005541CC"/>
    <w:rsid w:val="00554C2C"/>
    <w:rsid w:val="0055664B"/>
    <w:rsid w:val="005570CA"/>
    <w:rsid w:val="005611F8"/>
    <w:rsid w:val="00562B8A"/>
    <w:rsid w:val="00565A83"/>
    <w:rsid w:val="00566094"/>
    <w:rsid w:val="00572828"/>
    <w:rsid w:val="0058378A"/>
    <w:rsid w:val="00584537"/>
    <w:rsid w:val="005920F2"/>
    <w:rsid w:val="00592455"/>
    <w:rsid w:val="00595E59"/>
    <w:rsid w:val="00596D67"/>
    <w:rsid w:val="0059717B"/>
    <w:rsid w:val="005972AD"/>
    <w:rsid w:val="00597F49"/>
    <w:rsid w:val="005A4B10"/>
    <w:rsid w:val="005A52D2"/>
    <w:rsid w:val="005A5BB2"/>
    <w:rsid w:val="005A75B4"/>
    <w:rsid w:val="005B0A79"/>
    <w:rsid w:val="005B0D73"/>
    <w:rsid w:val="005B1DE3"/>
    <w:rsid w:val="005B2F34"/>
    <w:rsid w:val="005C33A9"/>
    <w:rsid w:val="005C71F1"/>
    <w:rsid w:val="005D04E0"/>
    <w:rsid w:val="005D0AEA"/>
    <w:rsid w:val="005D3D63"/>
    <w:rsid w:val="005F0665"/>
    <w:rsid w:val="005F1A43"/>
    <w:rsid w:val="005F5D32"/>
    <w:rsid w:val="005F694A"/>
    <w:rsid w:val="00602B59"/>
    <w:rsid w:val="00602B61"/>
    <w:rsid w:val="00602F3D"/>
    <w:rsid w:val="006116ED"/>
    <w:rsid w:val="00614D40"/>
    <w:rsid w:val="00623EEA"/>
    <w:rsid w:val="00625DC1"/>
    <w:rsid w:val="00626C65"/>
    <w:rsid w:val="0063615D"/>
    <w:rsid w:val="00636EB3"/>
    <w:rsid w:val="00637144"/>
    <w:rsid w:val="00637242"/>
    <w:rsid w:val="006409EE"/>
    <w:rsid w:val="00641E04"/>
    <w:rsid w:val="00645338"/>
    <w:rsid w:val="00647E28"/>
    <w:rsid w:val="00655697"/>
    <w:rsid w:val="0066018E"/>
    <w:rsid w:val="00665178"/>
    <w:rsid w:val="0066531B"/>
    <w:rsid w:val="00666A22"/>
    <w:rsid w:val="00667A43"/>
    <w:rsid w:val="006723DB"/>
    <w:rsid w:val="0067347A"/>
    <w:rsid w:val="00674E76"/>
    <w:rsid w:val="00677405"/>
    <w:rsid w:val="00681262"/>
    <w:rsid w:val="00686717"/>
    <w:rsid w:val="00686BF2"/>
    <w:rsid w:val="006871AB"/>
    <w:rsid w:val="006912D6"/>
    <w:rsid w:val="0069227A"/>
    <w:rsid w:val="00692407"/>
    <w:rsid w:val="00692D4D"/>
    <w:rsid w:val="00692FD6"/>
    <w:rsid w:val="006934D2"/>
    <w:rsid w:val="00695867"/>
    <w:rsid w:val="0069716C"/>
    <w:rsid w:val="00697631"/>
    <w:rsid w:val="006A11EB"/>
    <w:rsid w:val="006A3C2D"/>
    <w:rsid w:val="006A444B"/>
    <w:rsid w:val="006A7E72"/>
    <w:rsid w:val="006B15AF"/>
    <w:rsid w:val="006B2ACB"/>
    <w:rsid w:val="006B6BC0"/>
    <w:rsid w:val="006B744F"/>
    <w:rsid w:val="006C262B"/>
    <w:rsid w:val="006C61C6"/>
    <w:rsid w:val="006D6E77"/>
    <w:rsid w:val="006E07C1"/>
    <w:rsid w:val="006E453D"/>
    <w:rsid w:val="006E4DB7"/>
    <w:rsid w:val="006E5471"/>
    <w:rsid w:val="006E60C2"/>
    <w:rsid w:val="006F5C4A"/>
    <w:rsid w:val="006F734C"/>
    <w:rsid w:val="006F7B71"/>
    <w:rsid w:val="00707753"/>
    <w:rsid w:val="00707AFA"/>
    <w:rsid w:val="00713D18"/>
    <w:rsid w:val="00726A30"/>
    <w:rsid w:val="00734961"/>
    <w:rsid w:val="007364CF"/>
    <w:rsid w:val="00736E42"/>
    <w:rsid w:val="00737EB3"/>
    <w:rsid w:val="007448A9"/>
    <w:rsid w:val="00744CC6"/>
    <w:rsid w:val="00751D6C"/>
    <w:rsid w:val="00754F1A"/>
    <w:rsid w:val="00764333"/>
    <w:rsid w:val="00765D39"/>
    <w:rsid w:val="0076700B"/>
    <w:rsid w:val="00767DD7"/>
    <w:rsid w:val="00772F5C"/>
    <w:rsid w:val="00781718"/>
    <w:rsid w:val="0078253E"/>
    <w:rsid w:val="00786B73"/>
    <w:rsid w:val="007877EB"/>
    <w:rsid w:val="00790252"/>
    <w:rsid w:val="007925D5"/>
    <w:rsid w:val="007938A9"/>
    <w:rsid w:val="00797300"/>
    <w:rsid w:val="007A2C23"/>
    <w:rsid w:val="007B3BD0"/>
    <w:rsid w:val="007B5F30"/>
    <w:rsid w:val="007C28EC"/>
    <w:rsid w:val="007C515B"/>
    <w:rsid w:val="007C64C3"/>
    <w:rsid w:val="007C779F"/>
    <w:rsid w:val="007D0AB0"/>
    <w:rsid w:val="007D1CD3"/>
    <w:rsid w:val="007D251F"/>
    <w:rsid w:val="007D33F9"/>
    <w:rsid w:val="007D576F"/>
    <w:rsid w:val="007D595B"/>
    <w:rsid w:val="007D73C5"/>
    <w:rsid w:val="007D74AB"/>
    <w:rsid w:val="007D753D"/>
    <w:rsid w:val="007E1CB7"/>
    <w:rsid w:val="007E1E5D"/>
    <w:rsid w:val="007E2A49"/>
    <w:rsid w:val="007E4617"/>
    <w:rsid w:val="007F0FDE"/>
    <w:rsid w:val="007F2E1E"/>
    <w:rsid w:val="007F56A7"/>
    <w:rsid w:val="007F7403"/>
    <w:rsid w:val="007F7D70"/>
    <w:rsid w:val="008010E4"/>
    <w:rsid w:val="00805C1D"/>
    <w:rsid w:val="00813399"/>
    <w:rsid w:val="00813E23"/>
    <w:rsid w:val="008161F7"/>
    <w:rsid w:val="0081688C"/>
    <w:rsid w:val="00816D19"/>
    <w:rsid w:val="00817DFB"/>
    <w:rsid w:val="00825522"/>
    <w:rsid w:val="008348C0"/>
    <w:rsid w:val="008422AE"/>
    <w:rsid w:val="00844F48"/>
    <w:rsid w:val="008453C8"/>
    <w:rsid w:val="00846A34"/>
    <w:rsid w:val="008504C4"/>
    <w:rsid w:val="00854E4A"/>
    <w:rsid w:val="00855BB9"/>
    <w:rsid w:val="00856734"/>
    <w:rsid w:val="00857D2F"/>
    <w:rsid w:val="00862775"/>
    <w:rsid w:val="00866AB8"/>
    <w:rsid w:val="00866B18"/>
    <w:rsid w:val="008670FB"/>
    <w:rsid w:val="008671B5"/>
    <w:rsid w:val="00867E20"/>
    <w:rsid w:val="00867ED3"/>
    <w:rsid w:val="008715E8"/>
    <w:rsid w:val="00875E22"/>
    <w:rsid w:val="008765E7"/>
    <w:rsid w:val="008775A2"/>
    <w:rsid w:val="008816A3"/>
    <w:rsid w:val="0088183F"/>
    <w:rsid w:val="0088442A"/>
    <w:rsid w:val="0088547C"/>
    <w:rsid w:val="008914D4"/>
    <w:rsid w:val="0089324A"/>
    <w:rsid w:val="00894CE0"/>
    <w:rsid w:val="008A2613"/>
    <w:rsid w:val="008A334C"/>
    <w:rsid w:val="008A53A5"/>
    <w:rsid w:val="008A5E2A"/>
    <w:rsid w:val="008A6A9D"/>
    <w:rsid w:val="008B1062"/>
    <w:rsid w:val="008B36BC"/>
    <w:rsid w:val="008B7599"/>
    <w:rsid w:val="008B7E34"/>
    <w:rsid w:val="008C600A"/>
    <w:rsid w:val="008D0B40"/>
    <w:rsid w:val="008D2AF2"/>
    <w:rsid w:val="008D6258"/>
    <w:rsid w:val="008D63D2"/>
    <w:rsid w:val="008D7CC0"/>
    <w:rsid w:val="008E07DB"/>
    <w:rsid w:val="008E0D39"/>
    <w:rsid w:val="008F0616"/>
    <w:rsid w:val="008F0A14"/>
    <w:rsid w:val="008F1571"/>
    <w:rsid w:val="008F5171"/>
    <w:rsid w:val="0090691F"/>
    <w:rsid w:val="00910875"/>
    <w:rsid w:val="00910C11"/>
    <w:rsid w:val="00914900"/>
    <w:rsid w:val="009250B3"/>
    <w:rsid w:val="0092691A"/>
    <w:rsid w:val="00931299"/>
    <w:rsid w:val="00933603"/>
    <w:rsid w:val="00934BF8"/>
    <w:rsid w:val="00943753"/>
    <w:rsid w:val="009459AF"/>
    <w:rsid w:val="00946B9A"/>
    <w:rsid w:val="009475DE"/>
    <w:rsid w:val="00955402"/>
    <w:rsid w:val="00956E23"/>
    <w:rsid w:val="00957AAD"/>
    <w:rsid w:val="00961834"/>
    <w:rsid w:val="0097005F"/>
    <w:rsid w:val="00971A96"/>
    <w:rsid w:val="00972426"/>
    <w:rsid w:val="009757C8"/>
    <w:rsid w:val="00976F70"/>
    <w:rsid w:val="009774DC"/>
    <w:rsid w:val="00985C1D"/>
    <w:rsid w:val="0098791F"/>
    <w:rsid w:val="00990F8C"/>
    <w:rsid w:val="009915B5"/>
    <w:rsid w:val="00991820"/>
    <w:rsid w:val="0099223E"/>
    <w:rsid w:val="009A2301"/>
    <w:rsid w:val="009A2C3A"/>
    <w:rsid w:val="009A3174"/>
    <w:rsid w:val="009A57BE"/>
    <w:rsid w:val="009A5859"/>
    <w:rsid w:val="009A6666"/>
    <w:rsid w:val="009A6A3D"/>
    <w:rsid w:val="009B0357"/>
    <w:rsid w:val="009B4E27"/>
    <w:rsid w:val="009C0498"/>
    <w:rsid w:val="009C08D9"/>
    <w:rsid w:val="009C0F3B"/>
    <w:rsid w:val="009C3B2D"/>
    <w:rsid w:val="009D29AF"/>
    <w:rsid w:val="009E0452"/>
    <w:rsid w:val="009E2C8D"/>
    <w:rsid w:val="009E3766"/>
    <w:rsid w:val="009E7931"/>
    <w:rsid w:val="009E7D30"/>
    <w:rsid w:val="009F09A9"/>
    <w:rsid w:val="009F237B"/>
    <w:rsid w:val="009F2E0F"/>
    <w:rsid w:val="009F564C"/>
    <w:rsid w:val="009F5892"/>
    <w:rsid w:val="00A04530"/>
    <w:rsid w:val="00A109F8"/>
    <w:rsid w:val="00A140F9"/>
    <w:rsid w:val="00A176C9"/>
    <w:rsid w:val="00A269EC"/>
    <w:rsid w:val="00A3337C"/>
    <w:rsid w:val="00A37377"/>
    <w:rsid w:val="00A426F9"/>
    <w:rsid w:val="00A44E01"/>
    <w:rsid w:val="00A46F69"/>
    <w:rsid w:val="00A50686"/>
    <w:rsid w:val="00A53FC8"/>
    <w:rsid w:val="00A553FB"/>
    <w:rsid w:val="00A5788F"/>
    <w:rsid w:val="00A57F82"/>
    <w:rsid w:val="00A63B5E"/>
    <w:rsid w:val="00A665E7"/>
    <w:rsid w:val="00A67B94"/>
    <w:rsid w:val="00A74689"/>
    <w:rsid w:val="00A76AF1"/>
    <w:rsid w:val="00A802FE"/>
    <w:rsid w:val="00A83006"/>
    <w:rsid w:val="00A87027"/>
    <w:rsid w:val="00A90431"/>
    <w:rsid w:val="00A90E4F"/>
    <w:rsid w:val="00A9192D"/>
    <w:rsid w:val="00A92F38"/>
    <w:rsid w:val="00A95F2F"/>
    <w:rsid w:val="00AA080E"/>
    <w:rsid w:val="00AA1983"/>
    <w:rsid w:val="00AA5A88"/>
    <w:rsid w:val="00AB0712"/>
    <w:rsid w:val="00AB3AB0"/>
    <w:rsid w:val="00AB598A"/>
    <w:rsid w:val="00AB59BB"/>
    <w:rsid w:val="00AB7684"/>
    <w:rsid w:val="00AC35DF"/>
    <w:rsid w:val="00AC5D8D"/>
    <w:rsid w:val="00AD6ED5"/>
    <w:rsid w:val="00AE0050"/>
    <w:rsid w:val="00AE3C4B"/>
    <w:rsid w:val="00AE4A6E"/>
    <w:rsid w:val="00AE5C4E"/>
    <w:rsid w:val="00AE729D"/>
    <w:rsid w:val="00AF3169"/>
    <w:rsid w:val="00AF3654"/>
    <w:rsid w:val="00AF37AA"/>
    <w:rsid w:val="00B03E98"/>
    <w:rsid w:val="00B04395"/>
    <w:rsid w:val="00B063BA"/>
    <w:rsid w:val="00B06BFE"/>
    <w:rsid w:val="00B10AF3"/>
    <w:rsid w:val="00B121DA"/>
    <w:rsid w:val="00B17E1C"/>
    <w:rsid w:val="00B20BC5"/>
    <w:rsid w:val="00B23611"/>
    <w:rsid w:val="00B23D74"/>
    <w:rsid w:val="00B25F94"/>
    <w:rsid w:val="00B31CB1"/>
    <w:rsid w:val="00B3216F"/>
    <w:rsid w:val="00B35965"/>
    <w:rsid w:val="00B37995"/>
    <w:rsid w:val="00B437ED"/>
    <w:rsid w:val="00B43A4D"/>
    <w:rsid w:val="00B516DB"/>
    <w:rsid w:val="00B53A82"/>
    <w:rsid w:val="00B5668B"/>
    <w:rsid w:val="00B62DCD"/>
    <w:rsid w:val="00B65F57"/>
    <w:rsid w:val="00B66C17"/>
    <w:rsid w:val="00B705C0"/>
    <w:rsid w:val="00B71D2B"/>
    <w:rsid w:val="00B7467D"/>
    <w:rsid w:val="00B8046F"/>
    <w:rsid w:val="00B82585"/>
    <w:rsid w:val="00B83F70"/>
    <w:rsid w:val="00B86130"/>
    <w:rsid w:val="00B905CE"/>
    <w:rsid w:val="00BA1BB4"/>
    <w:rsid w:val="00BA3284"/>
    <w:rsid w:val="00BA3AC0"/>
    <w:rsid w:val="00BA3CFB"/>
    <w:rsid w:val="00BA4901"/>
    <w:rsid w:val="00BB1C39"/>
    <w:rsid w:val="00BB4425"/>
    <w:rsid w:val="00BC12AC"/>
    <w:rsid w:val="00BC4CF2"/>
    <w:rsid w:val="00BC571F"/>
    <w:rsid w:val="00BC769E"/>
    <w:rsid w:val="00BD0F2B"/>
    <w:rsid w:val="00BD16A4"/>
    <w:rsid w:val="00BD3294"/>
    <w:rsid w:val="00BD5D7F"/>
    <w:rsid w:val="00BE4D61"/>
    <w:rsid w:val="00BE567E"/>
    <w:rsid w:val="00BE6372"/>
    <w:rsid w:val="00BE6627"/>
    <w:rsid w:val="00BF0CDC"/>
    <w:rsid w:val="00BF137B"/>
    <w:rsid w:val="00BF27A3"/>
    <w:rsid w:val="00BF4688"/>
    <w:rsid w:val="00BF474B"/>
    <w:rsid w:val="00BF6E8B"/>
    <w:rsid w:val="00BF713D"/>
    <w:rsid w:val="00C03BD1"/>
    <w:rsid w:val="00C048DF"/>
    <w:rsid w:val="00C07180"/>
    <w:rsid w:val="00C075DD"/>
    <w:rsid w:val="00C11DA7"/>
    <w:rsid w:val="00C1531B"/>
    <w:rsid w:val="00C257FA"/>
    <w:rsid w:val="00C263FA"/>
    <w:rsid w:val="00C311D1"/>
    <w:rsid w:val="00C35DD3"/>
    <w:rsid w:val="00C40016"/>
    <w:rsid w:val="00C43075"/>
    <w:rsid w:val="00C43432"/>
    <w:rsid w:val="00C44787"/>
    <w:rsid w:val="00C52215"/>
    <w:rsid w:val="00C53A15"/>
    <w:rsid w:val="00C53EBB"/>
    <w:rsid w:val="00C5549C"/>
    <w:rsid w:val="00C55C59"/>
    <w:rsid w:val="00C61AB3"/>
    <w:rsid w:val="00C67353"/>
    <w:rsid w:val="00C6797E"/>
    <w:rsid w:val="00C739F1"/>
    <w:rsid w:val="00C7673A"/>
    <w:rsid w:val="00C905B6"/>
    <w:rsid w:val="00C929EC"/>
    <w:rsid w:val="00C93766"/>
    <w:rsid w:val="00C953EF"/>
    <w:rsid w:val="00C95A5F"/>
    <w:rsid w:val="00C96EB6"/>
    <w:rsid w:val="00CA10F2"/>
    <w:rsid w:val="00CA654E"/>
    <w:rsid w:val="00CA774B"/>
    <w:rsid w:val="00CA7ACE"/>
    <w:rsid w:val="00CB34AE"/>
    <w:rsid w:val="00CB7F2A"/>
    <w:rsid w:val="00CC412F"/>
    <w:rsid w:val="00CD327C"/>
    <w:rsid w:val="00CD379F"/>
    <w:rsid w:val="00CD7262"/>
    <w:rsid w:val="00CD73FD"/>
    <w:rsid w:val="00CE0591"/>
    <w:rsid w:val="00CE193B"/>
    <w:rsid w:val="00CE6023"/>
    <w:rsid w:val="00CE6ED7"/>
    <w:rsid w:val="00CE726B"/>
    <w:rsid w:val="00CF0770"/>
    <w:rsid w:val="00CF0C7D"/>
    <w:rsid w:val="00CF11BB"/>
    <w:rsid w:val="00CF1509"/>
    <w:rsid w:val="00CF3C3D"/>
    <w:rsid w:val="00CF40C7"/>
    <w:rsid w:val="00CF431B"/>
    <w:rsid w:val="00D01CF8"/>
    <w:rsid w:val="00D02A8C"/>
    <w:rsid w:val="00D02FAF"/>
    <w:rsid w:val="00D0369D"/>
    <w:rsid w:val="00D03A05"/>
    <w:rsid w:val="00D04E9D"/>
    <w:rsid w:val="00D06F2B"/>
    <w:rsid w:val="00D10668"/>
    <w:rsid w:val="00D119F0"/>
    <w:rsid w:val="00D11D79"/>
    <w:rsid w:val="00D13DB6"/>
    <w:rsid w:val="00D16480"/>
    <w:rsid w:val="00D167C6"/>
    <w:rsid w:val="00D213FB"/>
    <w:rsid w:val="00D23678"/>
    <w:rsid w:val="00D2783E"/>
    <w:rsid w:val="00D3017E"/>
    <w:rsid w:val="00D31BF8"/>
    <w:rsid w:val="00D32813"/>
    <w:rsid w:val="00D37A03"/>
    <w:rsid w:val="00D41C74"/>
    <w:rsid w:val="00D44CFF"/>
    <w:rsid w:val="00D4621D"/>
    <w:rsid w:val="00D57CB8"/>
    <w:rsid w:val="00D604B8"/>
    <w:rsid w:val="00D60E01"/>
    <w:rsid w:val="00D62177"/>
    <w:rsid w:val="00D62D28"/>
    <w:rsid w:val="00D64BD0"/>
    <w:rsid w:val="00D652AD"/>
    <w:rsid w:val="00D65786"/>
    <w:rsid w:val="00D70EBC"/>
    <w:rsid w:val="00D71402"/>
    <w:rsid w:val="00D71812"/>
    <w:rsid w:val="00D7223C"/>
    <w:rsid w:val="00D7236F"/>
    <w:rsid w:val="00D766D7"/>
    <w:rsid w:val="00D851CA"/>
    <w:rsid w:val="00D86C14"/>
    <w:rsid w:val="00D87616"/>
    <w:rsid w:val="00D9055F"/>
    <w:rsid w:val="00D94B77"/>
    <w:rsid w:val="00DA000D"/>
    <w:rsid w:val="00DA58F6"/>
    <w:rsid w:val="00DA65B7"/>
    <w:rsid w:val="00DB00C5"/>
    <w:rsid w:val="00DB20DE"/>
    <w:rsid w:val="00DC0C40"/>
    <w:rsid w:val="00DC21DA"/>
    <w:rsid w:val="00DC3684"/>
    <w:rsid w:val="00DC5DB3"/>
    <w:rsid w:val="00DD3FE9"/>
    <w:rsid w:val="00DD45FD"/>
    <w:rsid w:val="00DD48E4"/>
    <w:rsid w:val="00DD74C4"/>
    <w:rsid w:val="00DE06D6"/>
    <w:rsid w:val="00DE115C"/>
    <w:rsid w:val="00DE3C7C"/>
    <w:rsid w:val="00DF4676"/>
    <w:rsid w:val="00DF5E97"/>
    <w:rsid w:val="00DF5F66"/>
    <w:rsid w:val="00DF5F6C"/>
    <w:rsid w:val="00DF7BD9"/>
    <w:rsid w:val="00DF7CC7"/>
    <w:rsid w:val="00E00D91"/>
    <w:rsid w:val="00E0293A"/>
    <w:rsid w:val="00E0389B"/>
    <w:rsid w:val="00E052B0"/>
    <w:rsid w:val="00E11F75"/>
    <w:rsid w:val="00E12920"/>
    <w:rsid w:val="00E23795"/>
    <w:rsid w:val="00E24AB9"/>
    <w:rsid w:val="00E32119"/>
    <w:rsid w:val="00E36962"/>
    <w:rsid w:val="00E4122E"/>
    <w:rsid w:val="00E426F5"/>
    <w:rsid w:val="00E42C0A"/>
    <w:rsid w:val="00E4324A"/>
    <w:rsid w:val="00E455C7"/>
    <w:rsid w:val="00E50C4C"/>
    <w:rsid w:val="00E559D8"/>
    <w:rsid w:val="00E564EE"/>
    <w:rsid w:val="00E5700B"/>
    <w:rsid w:val="00E603B4"/>
    <w:rsid w:val="00E65E66"/>
    <w:rsid w:val="00E670A1"/>
    <w:rsid w:val="00E67ED6"/>
    <w:rsid w:val="00E7163D"/>
    <w:rsid w:val="00E717DA"/>
    <w:rsid w:val="00E7308E"/>
    <w:rsid w:val="00E733C6"/>
    <w:rsid w:val="00E7505F"/>
    <w:rsid w:val="00E75715"/>
    <w:rsid w:val="00E75BC7"/>
    <w:rsid w:val="00E85543"/>
    <w:rsid w:val="00E8667F"/>
    <w:rsid w:val="00E86877"/>
    <w:rsid w:val="00E919DF"/>
    <w:rsid w:val="00E9791C"/>
    <w:rsid w:val="00E97DBC"/>
    <w:rsid w:val="00EA2A3A"/>
    <w:rsid w:val="00EA3B55"/>
    <w:rsid w:val="00EA3DBA"/>
    <w:rsid w:val="00EB2F47"/>
    <w:rsid w:val="00EB58B5"/>
    <w:rsid w:val="00EB7472"/>
    <w:rsid w:val="00EC0F7F"/>
    <w:rsid w:val="00EC4601"/>
    <w:rsid w:val="00EC62D3"/>
    <w:rsid w:val="00EC735A"/>
    <w:rsid w:val="00ED0CAF"/>
    <w:rsid w:val="00ED2013"/>
    <w:rsid w:val="00ED2398"/>
    <w:rsid w:val="00ED2F74"/>
    <w:rsid w:val="00ED744A"/>
    <w:rsid w:val="00ED7FE9"/>
    <w:rsid w:val="00EE329B"/>
    <w:rsid w:val="00EE4A8A"/>
    <w:rsid w:val="00EE5717"/>
    <w:rsid w:val="00EF00F2"/>
    <w:rsid w:val="00EF159C"/>
    <w:rsid w:val="00EF2A2E"/>
    <w:rsid w:val="00EF2AE3"/>
    <w:rsid w:val="00F0119C"/>
    <w:rsid w:val="00F04D37"/>
    <w:rsid w:val="00F04E75"/>
    <w:rsid w:val="00F10E93"/>
    <w:rsid w:val="00F1173A"/>
    <w:rsid w:val="00F14149"/>
    <w:rsid w:val="00F14887"/>
    <w:rsid w:val="00F1635E"/>
    <w:rsid w:val="00F20BBB"/>
    <w:rsid w:val="00F22D89"/>
    <w:rsid w:val="00F25F70"/>
    <w:rsid w:val="00F26169"/>
    <w:rsid w:val="00F278B3"/>
    <w:rsid w:val="00F30E40"/>
    <w:rsid w:val="00F31981"/>
    <w:rsid w:val="00F32B86"/>
    <w:rsid w:val="00F4134D"/>
    <w:rsid w:val="00F422F9"/>
    <w:rsid w:val="00F43942"/>
    <w:rsid w:val="00F4603C"/>
    <w:rsid w:val="00F51702"/>
    <w:rsid w:val="00F55963"/>
    <w:rsid w:val="00F574D6"/>
    <w:rsid w:val="00F627E4"/>
    <w:rsid w:val="00F6377E"/>
    <w:rsid w:val="00F63F8E"/>
    <w:rsid w:val="00F652F0"/>
    <w:rsid w:val="00F66B07"/>
    <w:rsid w:val="00F766CC"/>
    <w:rsid w:val="00F77535"/>
    <w:rsid w:val="00F85B6D"/>
    <w:rsid w:val="00FA15EE"/>
    <w:rsid w:val="00FA7091"/>
    <w:rsid w:val="00FA731D"/>
    <w:rsid w:val="00FC1ADB"/>
    <w:rsid w:val="00FC1BD9"/>
    <w:rsid w:val="00FC2734"/>
    <w:rsid w:val="00FC4ABF"/>
    <w:rsid w:val="00FC705B"/>
    <w:rsid w:val="00FD6FFF"/>
    <w:rsid w:val="00FE6128"/>
    <w:rsid w:val="00FF0B54"/>
    <w:rsid w:val="00FF0D48"/>
    <w:rsid w:val="00FF2EA8"/>
    <w:rsid w:val="00FF40C8"/>
    <w:rsid w:val="00FF43E1"/>
    <w:rsid w:val="00FF6F8C"/>
    <w:rsid w:val="015E0223"/>
    <w:rsid w:val="017B2F92"/>
    <w:rsid w:val="018605C8"/>
    <w:rsid w:val="01F114A6"/>
    <w:rsid w:val="022C6BFD"/>
    <w:rsid w:val="02CB1CF7"/>
    <w:rsid w:val="02F86E50"/>
    <w:rsid w:val="031E1CD6"/>
    <w:rsid w:val="03C86237"/>
    <w:rsid w:val="0402799B"/>
    <w:rsid w:val="041F498B"/>
    <w:rsid w:val="05015EA4"/>
    <w:rsid w:val="054E09BE"/>
    <w:rsid w:val="05544114"/>
    <w:rsid w:val="05920982"/>
    <w:rsid w:val="06103B1C"/>
    <w:rsid w:val="06125EF8"/>
    <w:rsid w:val="065B2377"/>
    <w:rsid w:val="06816112"/>
    <w:rsid w:val="06D47025"/>
    <w:rsid w:val="07265417"/>
    <w:rsid w:val="08086FD9"/>
    <w:rsid w:val="080D4392"/>
    <w:rsid w:val="09811B61"/>
    <w:rsid w:val="09C17B5A"/>
    <w:rsid w:val="0A065D32"/>
    <w:rsid w:val="0A3B3F26"/>
    <w:rsid w:val="0A611BF8"/>
    <w:rsid w:val="0AAB2D53"/>
    <w:rsid w:val="0C4E72D9"/>
    <w:rsid w:val="0D3368D8"/>
    <w:rsid w:val="0D821B4C"/>
    <w:rsid w:val="0E1E0FBF"/>
    <w:rsid w:val="0E8E019B"/>
    <w:rsid w:val="0E976B30"/>
    <w:rsid w:val="0F0412FE"/>
    <w:rsid w:val="0F483F12"/>
    <w:rsid w:val="10703CAE"/>
    <w:rsid w:val="11317B11"/>
    <w:rsid w:val="12916B05"/>
    <w:rsid w:val="132F2F09"/>
    <w:rsid w:val="1331518B"/>
    <w:rsid w:val="13631AD8"/>
    <w:rsid w:val="138F1705"/>
    <w:rsid w:val="139100A5"/>
    <w:rsid w:val="13D70E28"/>
    <w:rsid w:val="13D71183"/>
    <w:rsid w:val="14017C96"/>
    <w:rsid w:val="14CA0061"/>
    <w:rsid w:val="14CB202B"/>
    <w:rsid w:val="15BA4FC5"/>
    <w:rsid w:val="16557DFE"/>
    <w:rsid w:val="16677B31"/>
    <w:rsid w:val="16D675DC"/>
    <w:rsid w:val="17030DB9"/>
    <w:rsid w:val="173206F1"/>
    <w:rsid w:val="17932C71"/>
    <w:rsid w:val="17D4177E"/>
    <w:rsid w:val="17D66332"/>
    <w:rsid w:val="18057602"/>
    <w:rsid w:val="182934AF"/>
    <w:rsid w:val="1A4421DD"/>
    <w:rsid w:val="1AFD3BB0"/>
    <w:rsid w:val="1B2028FE"/>
    <w:rsid w:val="1B895053"/>
    <w:rsid w:val="1CBC73CE"/>
    <w:rsid w:val="1D0A21C5"/>
    <w:rsid w:val="1E6E0DF3"/>
    <w:rsid w:val="1EB76530"/>
    <w:rsid w:val="1FC22C61"/>
    <w:rsid w:val="1FE12520"/>
    <w:rsid w:val="20D1106D"/>
    <w:rsid w:val="20D2101F"/>
    <w:rsid w:val="212D3A88"/>
    <w:rsid w:val="21337C4D"/>
    <w:rsid w:val="2190618E"/>
    <w:rsid w:val="21944694"/>
    <w:rsid w:val="21B952E7"/>
    <w:rsid w:val="21D55BFC"/>
    <w:rsid w:val="22D15D8C"/>
    <w:rsid w:val="23046E34"/>
    <w:rsid w:val="24016AA8"/>
    <w:rsid w:val="252C08C4"/>
    <w:rsid w:val="25786DC9"/>
    <w:rsid w:val="25902B17"/>
    <w:rsid w:val="265D07B3"/>
    <w:rsid w:val="269336DA"/>
    <w:rsid w:val="26BF0015"/>
    <w:rsid w:val="274C5493"/>
    <w:rsid w:val="27637EA1"/>
    <w:rsid w:val="27962024"/>
    <w:rsid w:val="296C416D"/>
    <w:rsid w:val="29A16A53"/>
    <w:rsid w:val="2A3C1343"/>
    <w:rsid w:val="2A6D0022"/>
    <w:rsid w:val="2B5E690F"/>
    <w:rsid w:val="2B6F1D08"/>
    <w:rsid w:val="2BBA0ABA"/>
    <w:rsid w:val="2C424529"/>
    <w:rsid w:val="2D35408E"/>
    <w:rsid w:val="2D5B3C82"/>
    <w:rsid w:val="2E2747C2"/>
    <w:rsid w:val="2EB2380A"/>
    <w:rsid w:val="2ED94AA6"/>
    <w:rsid w:val="2F7421E8"/>
    <w:rsid w:val="2FB96D04"/>
    <w:rsid w:val="302D6B7D"/>
    <w:rsid w:val="30DD0CC4"/>
    <w:rsid w:val="31A12389"/>
    <w:rsid w:val="33185FE3"/>
    <w:rsid w:val="33456600"/>
    <w:rsid w:val="346C3430"/>
    <w:rsid w:val="34C73392"/>
    <w:rsid w:val="35867971"/>
    <w:rsid w:val="35F965A0"/>
    <w:rsid w:val="36033620"/>
    <w:rsid w:val="374F3D14"/>
    <w:rsid w:val="37553C89"/>
    <w:rsid w:val="38034893"/>
    <w:rsid w:val="387B72E9"/>
    <w:rsid w:val="38992D84"/>
    <w:rsid w:val="38AC17E4"/>
    <w:rsid w:val="39587A49"/>
    <w:rsid w:val="3A1727D8"/>
    <w:rsid w:val="3BBC7B80"/>
    <w:rsid w:val="3BED2703"/>
    <w:rsid w:val="3C4A30C0"/>
    <w:rsid w:val="3CA91A21"/>
    <w:rsid w:val="3D041F85"/>
    <w:rsid w:val="3DC83C6D"/>
    <w:rsid w:val="3DF37A29"/>
    <w:rsid w:val="3E2F44CC"/>
    <w:rsid w:val="3EB13B0E"/>
    <w:rsid w:val="3EBD644A"/>
    <w:rsid w:val="3ECA3A3B"/>
    <w:rsid w:val="3FC364C0"/>
    <w:rsid w:val="3FE8128C"/>
    <w:rsid w:val="40392451"/>
    <w:rsid w:val="403D6FCA"/>
    <w:rsid w:val="40EF4A1C"/>
    <w:rsid w:val="40F550CA"/>
    <w:rsid w:val="417C09B1"/>
    <w:rsid w:val="447F2366"/>
    <w:rsid w:val="452A73EA"/>
    <w:rsid w:val="45433394"/>
    <w:rsid w:val="458A65E5"/>
    <w:rsid w:val="45F329B6"/>
    <w:rsid w:val="464078D3"/>
    <w:rsid w:val="465C606C"/>
    <w:rsid w:val="46BF122B"/>
    <w:rsid w:val="46EA3D2C"/>
    <w:rsid w:val="4754598B"/>
    <w:rsid w:val="47D76015"/>
    <w:rsid w:val="48072BD5"/>
    <w:rsid w:val="482254E2"/>
    <w:rsid w:val="49547BE5"/>
    <w:rsid w:val="498A3CD8"/>
    <w:rsid w:val="49D95435"/>
    <w:rsid w:val="4A1B0BA9"/>
    <w:rsid w:val="4A453053"/>
    <w:rsid w:val="4B3B6A90"/>
    <w:rsid w:val="4BB81C37"/>
    <w:rsid w:val="4BD96800"/>
    <w:rsid w:val="4C653BF0"/>
    <w:rsid w:val="4CB638DA"/>
    <w:rsid w:val="4CCD0192"/>
    <w:rsid w:val="4D2C0BB1"/>
    <w:rsid w:val="4D8F05CA"/>
    <w:rsid w:val="4E727FFC"/>
    <w:rsid w:val="4EDB7A25"/>
    <w:rsid w:val="4F17499D"/>
    <w:rsid w:val="4F3B447E"/>
    <w:rsid w:val="4F7223AC"/>
    <w:rsid w:val="4F764366"/>
    <w:rsid w:val="4FA47C16"/>
    <w:rsid w:val="4FEC5A6F"/>
    <w:rsid w:val="50510A8B"/>
    <w:rsid w:val="50B500BB"/>
    <w:rsid w:val="513E0EB3"/>
    <w:rsid w:val="514476F1"/>
    <w:rsid w:val="51D8251F"/>
    <w:rsid w:val="52470FC5"/>
    <w:rsid w:val="534E7AD3"/>
    <w:rsid w:val="53BF237A"/>
    <w:rsid w:val="54EB3100"/>
    <w:rsid w:val="54FF2488"/>
    <w:rsid w:val="572D7A00"/>
    <w:rsid w:val="576F626A"/>
    <w:rsid w:val="578856A2"/>
    <w:rsid w:val="57A06424"/>
    <w:rsid w:val="57A51EF7"/>
    <w:rsid w:val="580F1D5A"/>
    <w:rsid w:val="58167FAD"/>
    <w:rsid w:val="596C5F73"/>
    <w:rsid w:val="59F37EAD"/>
    <w:rsid w:val="5A4A2A6D"/>
    <w:rsid w:val="5A817694"/>
    <w:rsid w:val="5A927E0B"/>
    <w:rsid w:val="5AAB5BF8"/>
    <w:rsid w:val="5AB74A27"/>
    <w:rsid w:val="5ADF7263"/>
    <w:rsid w:val="5BE623AA"/>
    <w:rsid w:val="5BE663CF"/>
    <w:rsid w:val="5C141416"/>
    <w:rsid w:val="5CAD46A1"/>
    <w:rsid w:val="5CAF0E58"/>
    <w:rsid w:val="5CEB382D"/>
    <w:rsid w:val="5D943EC6"/>
    <w:rsid w:val="5DB70E56"/>
    <w:rsid w:val="5DF349AE"/>
    <w:rsid w:val="5DFD71D0"/>
    <w:rsid w:val="5E011217"/>
    <w:rsid w:val="5E562035"/>
    <w:rsid w:val="5E781F9E"/>
    <w:rsid w:val="5ED03A14"/>
    <w:rsid w:val="5EE42CE2"/>
    <w:rsid w:val="5F1957A0"/>
    <w:rsid w:val="5F855B9D"/>
    <w:rsid w:val="60254A1C"/>
    <w:rsid w:val="60CB24E1"/>
    <w:rsid w:val="63290C53"/>
    <w:rsid w:val="633914DA"/>
    <w:rsid w:val="639F3A33"/>
    <w:rsid w:val="63B472ED"/>
    <w:rsid w:val="63BD05A6"/>
    <w:rsid w:val="63DC4FB9"/>
    <w:rsid w:val="63E60BAF"/>
    <w:rsid w:val="64740D42"/>
    <w:rsid w:val="64F34037"/>
    <w:rsid w:val="65884D22"/>
    <w:rsid w:val="65C57F70"/>
    <w:rsid w:val="662B5A52"/>
    <w:rsid w:val="66407A06"/>
    <w:rsid w:val="666024CC"/>
    <w:rsid w:val="666E3875"/>
    <w:rsid w:val="67252D95"/>
    <w:rsid w:val="674053B4"/>
    <w:rsid w:val="68500709"/>
    <w:rsid w:val="685328D2"/>
    <w:rsid w:val="696E63A6"/>
    <w:rsid w:val="69A0397D"/>
    <w:rsid w:val="69CE7382"/>
    <w:rsid w:val="6A546A81"/>
    <w:rsid w:val="6AAD5669"/>
    <w:rsid w:val="6B2D1F57"/>
    <w:rsid w:val="6BC90267"/>
    <w:rsid w:val="6C5D382A"/>
    <w:rsid w:val="6C664248"/>
    <w:rsid w:val="6D4C4D39"/>
    <w:rsid w:val="6DEF5C2B"/>
    <w:rsid w:val="6DF90490"/>
    <w:rsid w:val="6E4F6056"/>
    <w:rsid w:val="6E797E0F"/>
    <w:rsid w:val="6FAC3760"/>
    <w:rsid w:val="6FCE2708"/>
    <w:rsid w:val="70985873"/>
    <w:rsid w:val="70C04C9E"/>
    <w:rsid w:val="710F6A23"/>
    <w:rsid w:val="7132393E"/>
    <w:rsid w:val="716623A6"/>
    <w:rsid w:val="7168503D"/>
    <w:rsid w:val="71D24B33"/>
    <w:rsid w:val="73474017"/>
    <w:rsid w:val="73C60B68"/>
    <w:rsid w:val="744F5002"/>
    <w:rsid w:val="75764812"/>
    <w:rsid w:val="7593263E"/>
    <w:rsid w:val="76350FB7"/>
    <w:rsid w:val="76944F4E"/>
    <w:rsid w:val="76EE28B0"/>
    <w:rsid w:val="771A0A72"/>
    <w:rsid w:val="7795055F"/>
    <w:rsid w:val="783F1245"/>
    <w:rsid w:val="78C10F9A"/>
    <w:rsid w:val="790370A9"/>
    <w:rsid w:val="79352A18"/>
    <w:rsid w:val="7A4E14A8"/>
    <w:rsid w:val="7AD76B4E"/>
    <w:rsid w:val="7BAB59E9"/>
    <w:rsid w:val="7C1320FB"/>
    <w:rsid w:val="7C6C0A70"/>
    <w:rsid w:val="7C964471"/>
    <w:rsid w:val="7CA11C62"/>
    <w:rsid w:val="7DC4364F"/>
    <w:rsid w:val="7E5366B9"/>
    <w:rsid w:val="7E95670C"/>
    <w:rsid w:val="7F2D53D8"/>
    <w:rsid w:val="7F67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7"/>
    <w:autoRedefine/>
    <w:qFormat/>
    <w:uiPriority w:val="0"/>
    <w:pPr>
      <w:keepNext/>
      <w:keepLines/>
      <w:spacing w:line="360" w:lineRule="auto"/>
      <w:outlineLvl w:val="0"/>
    </w:pPr>
    <w:rPr>
      <w:rFonts w:ascii="Calibri" w:hAnsi="Calibri"/>
      <w:b/>
      <w:kern w:val="44"/>
      <w:sz w:val="44"/>
    </w:rPr>
  </w:style>
  <w:style w:type="paragraph" w:styleId="3">
    <w:name w:val="heading 2"/>
    <w:basedOn w:val="1"/>
    <w:next w:val="1"/>
    <w:link w:val="7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autoRedefine/>
    <w:qFormat/>
    <w:uiPriority w:val="0"/>
    <w:pPr>
      <w:keepNext/>
      <w:keepLines/>
      <w:spacing w:before="260" w:after="260" w:line="416" w:lineRule="auto"/>
      <w:outlineLvl w:val="2"/>
    </w:pPr>
    <w:rPr>
      <w:rFonts w:eastAsia="仿宋"/>
      <w:b/>
      <w:bCs/>
      <w:sz w:val="32"/>
      <w:szCs w:val="32"/>
    </w:rPr>
  </w:style>
  <w:style w:type="paragraph" w:styleId="5">
    <w:name w:val="heading 4"/>
    <w:basedOn w:val="1"/>
    <w:next w:val="1"/>
    <w:link w:val="30"/>
    <w:autoRedefine/>
    <w:qFormat/>
    <w:uiPriority w:val="0"/>
    <w:pPr>
      <w:keepNext/>
      <w:keepLines/>
      <w:spacing w:before="280" w:after="290" w:line="376" w:lineRule="auto"/>
      <w:outlineLvl w:val="3"/>
    </w:pPr>
    <w:rPr>
      <w:rFonts w:ascii="Cambria" w:hAnsi="Cambria"/>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uiPriority w:val="99"/>
    <w:tblPr>
      <w:tblCellMar>
        <w:top w:w="0" w:type="dxa"/>
        <w:left w:w="108" w:type="dxa"/>
        <w:bottom w:w="0" w:type="dxa"/>
        <w:right w:w="108" w:type="dxa"/>
      </w:tblCellMar>
    </w:tblPr>
  </w:style>
  <w:style w:type="paragraph" w:styleId="6">
    <w:name w:val="table of authorities"/>
    <w:basedOn w:val="1"/>
    <w:next w:val="1"/>
    <w:autoRedefine/>
    <w:qFormat/>
    <w:uiPriority w:val="0"/>
    <w:pPr>
      <w:spacing w:line="360" w:lineRule="auto"/>
      <w:ind w:left="420" w:leftChars="200"/>
    </w:pPr>
    <w:rPr>
      <w:rFonts w:ascii="Plotter" w:hAnsi="Plotter"/>
      <w:szCs w:val="21"/>
    </w:rPr>
  </w:style>
  <w:style w:type="paragraph" w:styleId="7">
    <w:name w:val="Normal Indent"/>
    <w:basedOn w:val="1"/>
    <w:link w:val="31"/>
    <w:autoRedefine/>
    <w:qFormat/>
    <w:uiPriority w:val="99"/>
    <w:pPr>
      <w:ind w:firstLine="420"/>
    </w:pPr>
    <w:rPr>
      <w:kern w:val="0"/>
      <w:sz w:val="20"/>
      <w:szCs w:val="20"/>
    </w:rPr>
  </w:style>
  <w:style w:type="paragraph" w:styleId="8">
    <w:name w:val="Document Map"/>
    <w:basedOn w:val="1"/>
    <w:autoRedefine/>
    <w:semiHidden/>
    <w:qFormat/>
    <w:uiPriority w:val="0"/>
    <w:pPr>
      <w:shd w:val="clear" w:color="auto" w:fill="000080"/>
    </w:pPr>
    <w:rPr>
      <w:sz w:val="44"/>
    </w:rPr>
  </w:style>
  <w:style w:type="paragraph" w:styleId="9">
    <w:name w:val="annotation text"/>
    <w:basedOn w:val="1"/>
    <w:link w:val="72"/>
    <w:autoRedefine/>
    <w:unhideWhenUsed/>
    <w:qFormat/>
    <w:uiPriority w:val="0"/>
    <w:pPr>
      <w:jc w:val="left"/>
    </w:pPr>
    <w:rPr>
      <w:rFonts w:ascii="Calibri" w:hAnsi="Calibri"/>
    </w:rPr>
  </w:style>
  <w:style w:type="paragraph" w:styleId="10">
    <w:name w:val="Body Text"/>
    <w:basedOn w:val="1"/>
    <w:link w:val="33"/>
    <w:autoRedefine/>
    <w:qFormat/>
    <w:uiPriority w:val="0"/>
    <w:pPr>
      <w:adjustRightInd w:val="0"/>
      <w:spacing w:after="120" w:line="360" w:lineRule="atLeast"/>
      <w:textAlignment w:val="baseline"/>
    </w:pPr>
    <w:rPr>
      <w:kern w:val="0"/>
      <w:sz w:val="20"/>
      <w:szCs w:val="24"/>
    </w:rPr>
  </w:style>
  <w:style w:type="paragraph" w:styleId="11">
    <w:name w:val="Body Text Indent"/>
    <w:basedOn w:val="1"/>
    <w:next w:val="12"/>
    <w:link w:val="76"/>
    <w:autoRedefine/>
    <w:unhideWhenUsed/>
    <w:qFormat/>
    <w:uiPriority w:val="0"/>
    <w:pPr>
      <w:spacing w:after="120"/>
      <w:ind w:left="420" w:leftChars="200"/>
    </w:pPr>
  </w:style>
  <w:style w:type="paragraph" w:styleId="12">
    <w:name w:val="envelope return"/>
    <w:basedOn w:val="1"/>
    <w:autoRedefine/>
    <w:qFormat/>
    <w:uiPriority w:val="0"/>
    <w:pPr>
      <w:snapToGrid w:val="0"/>
    </w:pPr>
    <w:rPr>
      <w:rFonts w:ascii="Arial" w:hAnsi="Arial"/>
    </w:rPr>
  </w:style>
  <w:style w:type="paragraph" w:styleId="13">
    <w:name w:val="Plain Text"/>
    <w:basedOn w:val="1"/>
    <w:link w:val="34"/>
    <w:autoRedefine/>
    <w:qFormat/>
    <w:uiPriority w:val="0"/>
    <w:rPr>
      <w:rFonts w:ascii="宋体" w:hAnsi="Courier New"/>
      <w:kern w:val="0"/>
      <w:sz w:val="20"/>
      <w:szCs w:val="21"/>
    </w:rPr>
  </w:style>
  <w:style w:type="paragraph" w:styleId="14">
    <w:name w:val="Balloon Text"/>
    <w:basedOn w:val="1"/>
    <w:link w:val="35"/>
    <w:autoRedefine/>
    <w:qFormat/>
    <w:uiPriority w:val="99"/>
    <w:rPr>
      <w:sz w:val="18"/>
      <w:szCs w:val="18"/>
    </w:rPr>
  </w:style>
  <w:style w:type="paragraph" w:styleId="15">
    <w:name w:val="footer"/>
    <w:basedOn w:val="1"/>
    <w:link w:val="36"/>
    <w:autoRedefine/>
    <w:qFormat/>
    <w:uiPriority w:val="0"/>
    <w:pPr>
      <w:tabs>
        <w:tab w:val="center" w:pos="4153"/>
        <w:tab w:val="right" w:pos="8306"/>
      </w:tabs>
      <w:snapToGrid w:val="0"/>
      <w:jc w:val="left"/>
    </w:pPr>
    <w:rPr>
      <w:sz w:val="18"/>
      <w:szCs w:val="18"/>
    </w:rPr>
  </w:style>
  <w:style w:type="paragraph" w:styleId="16">
    <w:name w:val="header"/>
    <w:basedOn w:val="1"/>
    <w:link w:val="7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Normal (Web)"/>
    <w:basedOn w:val="1"/>
    <w:link w:val="37"/>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autoRedefine/>
    <w:qFormat/>
    <w:uiPriority w:val="0"/>
    <w:pPr>
      <w:spacing w:before="240" w:after="60"/>
      <w:jc w:val="center"/>
      <w:outlineLvl w:val="0"/>
    </w:pPr>
    <w:rPr>
      <w:rFonts w:ascii="Calibri Light" w:hAnsi="Calibri Light"/>
      <w:b/>
      <w:bCs/>
      <w:sz w:val="32"/>
      <w:szCs w:val="32"/>
    </w:rPr>
  </w:style>
  <w:style w:type="paragraph" w:styleId="20">
    <w:name w:val="annotation subject"/>
    <w:basedOn w:val="9"/>
    <w:next w:val="9"/>
    <w:link w:val="38"/>
    <w:autoRedefine/>
    <w:qFormat/>
    <w:uiPriority w:val="0"/>
    <w:rPr>
      <w:b/>
      <w:bCs/>
    </w:rPr>
  </w:style>
  <w:style w:type="paragraph" w:styleId="21">
    <w:name w:val="Body Text First Indent 2"/>
    <w:basedOn w:val="11"/>
    <w:next w:val="1"/>
    <w:autoRedefine/>
    <w:unhideWhenUsed/>
    <w:qFormat/>
    <w:uiPriority w:val="0"/>
    <w:pPr>
      <w:ind w:firstLine="420" w:firstLineChars="200"/>
    </w:pPr>
  </w:style>
  <w:style w:type="table" w:styleId="23">
    <w:name w:val="Table Grid"/>
    <w:basedOn w:val="22"/>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5">
    <w:name w:val="Strong"/>
    <w:autoRedefine/>
    <w:qFormat/>
    <w:uiPriority w:val="22"/>
    <w:rPr>
      <w:b/>
      <w:bCs/>
    </w:rPr>
  </w:style>
  <w:style w:type="character" w:styleId="26">
    <w:name w:val="annotation reference"/>
    <w:autoRedefine/>
    <w:unhideWhenUsed/>
    <w:qFormat/>
    <w:uiPriority w:val="0"/>
    <w:rPr>
      <w:sz w:val="21"/>
      <w:szCs w:val="21"/>
    </w:rPr>
  </w:style>
  <w:style w:type="character" w:customStyle="1" w:styleId="27">
    <w:name w:val="标题 1 字符"/>
    <w:link w:val="2"/>
    <w:autoRedefine/>
    <w:qFormat/>
    <w:uiPriority w:val="0"/>
    <w:rPr>
      <w:rFonts w:ascii="Calibri" w:hAnsi="Calibri"/>
      <w:b/>
      <w:kern w:val="44"/>
      <w:sz w:val="44"/>
      <w:szCs w:val="22"/>
    </w:rPr>
  </w:style>
  <w:style w:type="character" w:customStyle="1" w:styleId="28">
    <w:name w:val="标题 2 字符1"/>
    <w:autoRedefine/>
    <w:qFormat/>
    <w:uiPriority w:val="0"/>
    <w:rPr>
      <w:rFonts w:ascii="Arial" w:hAnsi="Arial" w:eastAsia="黑体"/>
      <w:b/>
      <w:bCs/>
      <w:kern w:val="2"/>
      <w:sz w:val="32"/>
      <w:szCs w:val="32"/>
    </w:rPr>
  </w:style>
  <w:style w:type="character" w:customStyle="1" w:styleId="29">
    <w:name w:val="标题 3 字符"/>
    <w:link w:val="4"/>
    <w:autoRedefine/>
    <w:qFormat/>
    <w:uiPriority w:val="0"/>
    <w:rPr>
      <w:rFonts w:ascii="Times New Roman" w:hAnsi="Times New Roman" w:eastAsia="仿宋"/>
      <w:b/>
      <w:bCs/>
      <w:kern w:val="2"/>
      <w:sz w:val="32"/>
      <w:szCs w:val="32"/>
    </w:rPr>
  </w:style>
  <w:style w:type="character" w:customStyle="1" w:styleId="30">
    <w:name w:val="标题 4 字符"/>
    <w:link w:val="5"/>
    <w:autoRedefine/>
    <w:qFormat/>
    <w:uiPriority w:val="0"/>
    <w:rPr>
      <w:rFonts w:ascii="Cambria" w:hAnsi="Cambria" w:eastAsia="宋体" w:cs="Times New Roman"/>
      <w:b/>
      <w:bCs/>
      <w:kern w:val="2"/>
      <w:sz w:val="28"/>
      <w:szCs w:val="28"/>
    </w:rPr>
  </w:style>
  <w:style w:type="character" w:customStyle="1" w:styleId="31">
    <w:name w:val="正文缩进 字符"/>
    <w:link w:val="7"/>
    <w:qFormat/>
    <w:uiPriority w:val="0"/>
    <w:rPr>
      <w:rFonts w:ascii="Times New Roman" w:hAnsi="Times New Roman"/>
    </w:rPr>
  </w:style>
  <w:style w:type="character" w:customStyle="1" w:styleId="32">
    <w:name w:val="批注文字 字符"/>
    <w:autoRedefine/>
    <w:qFormat/>
    <w:uiPriority w:val="0"/>
    <w:rPr>
      <w:kern w:val="2"/>
      <w:sz w:val="21"/>
      <w:szCs w:val="22"/>
    </w:rPr>
  </w:style>
  <w:style w:type="character" w:customStyle="1" w:styleId="33">
    <w:name w:val="正文文本 字符"/>
    <w:link w:val="10"/>
    <w:autoRedefine/>
    <w:qFormat/>
    <w:uiPriority w:val="0"/>
    <w:rPr>
      <w:rFonts w:ascii="Times New Roman" w:hAnsi="Times New Roman"/>
      <w:szCs w:val="24"/>
    </w:rPr>
  </w:style>
  <w:style w:type="character" w:customStyle="1" w:styleId="34">
    <w:name w:val="纯文本 字符"/>
    <w:link w:val="13"/>
    <w:autoRedefine/>
    <w:qFormat/>
    <w:uiPriority w:val="0"/>
    <w:rPr>
      <w:rFonts w:ascii="宋体" w:hAnsi="Courier New"/>
      <w:szCs w:val="21"/>
    </w:rPr>
  </w:style>
  <w:style w:type="character" w:customStyle="1" w:styleId="35">
    <w:name w:val="批注框文本 字符"/>
    <w:link w:val="14"/>
    <w:autoRedefine/>
    <w:qFormat/>
    <w:uiPriority w:val="99"/>
    <w:rPr>
      <w:kern w:val="2"/>
      <w:sz w:val="18"/>
      <w:szCs w:val="18"/>
    </w:rPr>
  </w:style>
  <w:style w:type="character" w:customStyle="1" w:styleId="36">
    <w:name w:val="页脚 字符"/>
    <w:link w:val="15"/>
    <w:autoRedefine/>
    <w:qFormat/>
    <w:uiPriority w:val="0"/>
    <w:rPr>
      <w:kern w:val="2"/>
      <w:sz w:val="18"/>
      <w:szCs w:val="18"/>
    </w:rPr>
  </w:style>
  <w:style w:type="character" w:customStyle="1" w:styleId="37">
    <w:name w:val="普通(网站) 字符"/>
    <w:link w:val="18"/>
    <w:autoRedefine/>
    <w:qFormat/>
    <w:uiPriority w:val="99"/>
    <w:rPr>
      <w:rFonts w:ascii="宋体" w:hAnsi="宋体" w:eastAsia="宋体" w:cs="宋体"/>
      <w:kern w:val="0"/>
      <w:sz w:val="24"/>
      <w:szCs w:val="24"/>
    </w:rPr>
  </w:style>
  <w:style w:type="character" w:customStyle="1" w:styleId="38">
    <w:name w:val="批注主题 字符"/>
    <w:link w:val="20"/>
    <w:autoRedefine/>
    <w:qFormat/>
    <w:uiPriority w:val="0"/>
    <w:rPr>
      <w:b/>
      <w:bCs/>
      <w:kern w:val="2"/>
      <w:sz w:val="21"/>
      <w:szCs w:val="22"/>
    </w:rPr>
  </w:style>
  <w:style w:type="character" w:customStyle="1" w:styleId="39">
    <w:name w:val="标题 2 字符"/>
    <w:autoRedefine/>
    <w:semiHidden/>
    <w:qFormat/>
    <w:uiPriority w:val="9"/>
    <w:rPr>
      <w:rFonts w:ascii="等线 Light" w:hAnsi="等线 Light" w:eastAsia="等线 Light" w:cs="Times New Roman"/>
      <w:b/>
      <w:bCs/>
      <w:kern w:val="2"/>
      <w:sz w:val="32"/>
      <w:szCs w:val="32"/>
    </w:rPr>
  </w:style>
  <w:style w:type="character" w:customStyle="1" w:styleId="40">
    <w:name w:val="普通(网站) Char"/>
    <w:autoRedefine/>
    <w:qFormat/>
    <w:uiPriority w:val="99"/>
    <w:rPr>
      <w:rFonts w:ascii="宋体" w:hAnsi="宋体" w:cs="宋体"/>
      <w:sz w:val="24"/>
      <w:szCs w:val="24"/>
    </w:rPr>
  </w:style>
  <w:style w:type="character" w:customStyle="1" w:styleId="41">
    <w:name w:val="纯文本 字符2"/>
    <w:autoRedefine/>
    <w:qFormat/>
    <w:uiPriority w:val="0"/>
    <w:rPr>
      <w:rFonts w:ascii="宋体" w:hAnsi="Courier New"/>
      <w:szCs w:val="21"/>
      <w:lang w:val="zh-CN"/>
    </w:rPr>
  </w:style>
  <w:style w:type="character" w:customStyle="1" w:styleId="42">
    <w:name w:val="List Paragraph Char"/>
    <w:link w:val="43"/>
    <w:autoRedefine/>
    <w:qFormat/>
    <w:locked/>
    <w:uiPriority w:val="99"/>
    <w:rPr>
      <w:rFonts w:cs="Calibri"/>
      <w:kern w:val="2"/>
      <w:sz w:val="21"/>
      <w:szCs w:val="21"/>
    </w:rPr>
  </w:style>
  <w:style w:type="paragraph" w:customStyle="1" w:styleId="43">
    <w:name w:val="列出段落1"/>
    <w:basedOn w:val="1"/>
    <w:link w:val="42"/>
    <w:autoRedefine/>
    <w:qFormat/>
    <w:uiPriority w:val="99"/>
    <w:pPr>
      <w:ind w:firstLine="420" w:firstLineChars="200"/>
    </w:pPr>
    <w:rPr>
      <w:rFonts w:cs="Calibri"/>
      <w:szCs w:val="21"/>
    </w:rPr>
  </w:style>
  <w:style w:type="character" w:customStyle="1" w:styleId="44">
    <w:name w:val="NormalCharacter"/>
    <w:autoRedefine/>
    <w:qFormat/>
    <w:uiPriority w:val="0"/>
    <w:rPr>
      <w:kern w:val="2"/>
      <w:sz w:val="21"/>
      <w:szCs w:val="22"/>
      <w:lang w:val="en-US" w:eastAsia="zh-CN" w:bidi="ar-SA"/>
    </w:rPr>
  </w:style>
  <w:style w:type="character" w:customStyle="1" w:styleId="45">
    <w:name w:val="正文缩进2格 Char"/>
    <w:link w:val="46"/>
    <w:autoRedefine/>
    <w:qFormat/>
    <w:uiPriority w:val="0"/>
    <w:rPr>
      <w:rFonts w:ascii="仿宋_GB2312" w:hAnsi="宋体" w:eastAsia="仿宋_GB2312"/>
      <w:kern w:val="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批注文字 Char1"/>
    <w:autoRedefine/>
    <w:qFormat/>
    <w:uiPriority w:val="0"/>
    <w:rPr>
      <w:szCs w:val="24"/>
    </w:rPr>
  </w:style>
  <w:style w:type="character" w:customStyle="1" w:styleId="48">
    <w:name w:val="列出段落 Char2"/>
    <w:autoRedefine/>
    <w:qFormat/>
    <w:uiPriority w:val="99"/>
    <w:rPr>
      <w:kern w:val="2"/>
      <w:sz w:val="21"/>
      <w:szCs w:val="22"/>
    </w:rPr>
  </w:style>
  <w:style w:type="character" w:customStyle="1" w:styleId="49">
    <w:name w:val="列表段落 字符"/>
    <w:link w:val="50"/>
    <w:autoRedefine/>
    <w:qFormat/>
    <w:uiPriority w:val="34"/>
    <w:rPr>
      <w:kern w:val="2"/>
      <w:sz w:val="21"/>
      <w:szCs w:val="22"/>
    </w:rPr>
  </w:style>
  <w:style w:type="paragraph" w:styleId="50">
    <w:name w:val="List Paragraph"/>
    <w:basedOn w:val="1"/>
    <w:link w:val="49"/>
    <w:autoRedefine/>
    <w:qFormat/>
    <w:uiPriority w:val="34"/>
    <w:pPr>
      <w:ind w:firstLine="420" w:firstLineChars="200"/>
    </w:pPr>
  </w:style>
  <w:style w:type="paragraph" w:customStyle="1" w:styleId="51">
    <w:name w:val="_Style 5"/>
    <w:basedOn w:val="1"/>
    <w:next w:val="50"/>
    <w:autoRedefine/>
    <w:qFormat/>
    <w:uiPriority w:val="34"/>
    <w:pPr>
      <w:ind w:firstLine="420" w:firstLineChars="200"/>
    </w:pPr>
  </w:style>
  <w:style w:type="paragraph" w:customStyle="1" w:styleId="52">
    <w:name w:val="List Paragraph1"/>
    <w:basedOn w:val="1"/>
    <w:autoRedefine/>
    <w:qFormat/>
    <w:uiPriority w:val="0"/>
    <w:pPr>
      <w:spacing w:line="360" w:lineRule="auto"/>
      <w:ind w:firstLine="420" w:firstLineChars="200"/>
    </w:pPr>
  </w:style>
  <w:style w:type="paragraph" w:customStyle="1" w:styleId="53">
    <w:name w:val="样式4"/>
    <w:basedOn w:val="1"/>
    <w:autoRedefine/>
    <w:qFormat/>
    <w:uiPriority w:val="0"/>
    <w:pPr>
      <w:numPr>
        <w:ilvl w:val="3"/>
        <w:numId w:val="1"/>
      </w:numPr>
      <w:tabs>
        <w:tab w:val="left" w:pos="425"/>
        <w:tab w:val="left" w:pos="1984"/>
        <w:tab w:val="clear" w:pos="851"/>
      </w:tabs>
    </w:pPr>
    <w:rPr>
      <w:szCs w:val="24"/>
    </w:rPr>
  </w:style>
  <w:style w:type="paragraph" w:customStyle="1" w:styleId="54">
    <w:name w:val="保留正文"/>
    <w:basedOn w:val="10"/>
    <w:autoRedefine/>
    <w:qFormat/>
    <w:uiPriority w:val="0"/>
    <w:pPr>
      <w:keepNext/>
      <w:adjustRightInd/>
      <w:spacing w:after="160" w:line="240" w:lineRule="auto"/>
      <w:textAlignment w:val="auto"/>
    </w:pPr>
    <w:rPr>
      <w:rFonts w:hAnsi="Calibri"/>
      <w:kern w:val="2"/>
      <w:sz w:val="21"/>
      <w:szCs w:val="22"/>
    </w:rPr>
  </w:style>
  <w:style w:type="paragraph" w:customStyle="1" w:styleId="5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56">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paragraph" w:customStyle="1" w:styleId="57">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58">
    <w:name w:val="_Style 57"/>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59">
    <w:name w:val="样式 首行缩进:  2 字符"/>
    <w:basedOn w:val="1"/>
    <w:autoRedefine/>
    <w:qFormat/>
    <w:uiPriority w:val="99"/>
    <w:pPr>
      <w:spacing w:line="360" w:lineRule="auto"/>
      <w:ind w:firstLine="480" w:firstLineChars="200"/>
      <w:jc w:val="left"/>
    </w:pPr>
    <w:rPr>
      <w:rFonts w:ascii="??" w:hAnsi="??" w:cs="??"/>
      <w:color w:val="000000"/>
      <w:sz w:val="24"/>
      <w:szCs w:val="20"/>
    </w:rPr>
  </w:style>
  <w:style w:type="paragraph" w:customStyle="1" w:styleId="60">
    <w:name w:val="Table Paragraph"/>
    <w:basedOn w:val="1"/>
    <w:autoRedefine/>
    <w:qFormat/>
    <w:uiPriority w:val="1"/>
  </w:style>
  <w:style w:type="paragraph" w:customStyle="1" w:styleId="61">
    <w:name w:val="Default"/>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62">
    <w:name w:val="列出段落11"/>
    <w:basedOn w:val="1"/>
    <w:autoRedefine/>
    <w:qFormat/>
    <w:uiPriority w:val="34"/>
    <w:pPr>
      <w:ind w:firstLine="420" w:firstLineChars="200"/>
    </w:pPr>
    <w:rPr>
      <w:kern w:val="0"/>
      <w:sz w:val="20"/>
      <w:szCs w:val="20"/>
    </w:rPr>
  </w:style>
  <w:style w:type="paragraph" w:customStyle="1" w:styleId="63">
    <w:name w:val="Body text|1"/>
    <w:basedOn w:val="1"/>
    <w:autoRedefine/>
    <w:qFormat/>
    <w:uiPriority w:val="0"/>
    <w:pPr>
      <w:spacing w:line="386" w:lineRule="auto"/>
      <w:ind w:firstLine="400"/>
    </w:pPr>
    <w:rPr>
      <w:rFonts w:ascii="宋体" w:hAnsi="宋体" w:cs="宋体"/>
      <w:lang w:val="zh-TW" w:eastAsia="zh-TW" w:bidi="zh-TW"/>
    </w:rPr>
  </w:style>
  <w:style w:type="paragraph" w:customStyle="1" w:styleId="64">
    <w:name w:val="USE 1"/>
    <w:basedOn w:val="1"/>
    <w:autoRedefine/>
    <w:qFormat/>
    <w:uiPriority w:val="0"/>
    <w:pPr>
      <w:spacing w:line="200" w:lineRule="atLeast"/>
      <w:jc w:val="left"/>
    </w:pPr>
    <w:rPr>
      <w:rFonts w:ascii="宋体" w:hAnsi="宋体"/>
      <w:b/>
      <w:sz w:val="24"/>
      <w:szCs w:val="28"/>
    </w:rPr>
  </w:style>
  <w:style w:type="character" w:customStyle="1" w:styleId="65">
    <w:name w:val="cf01"/>
    <w:autoRedefine/>
    <w:qFormat/>
    <w:uiPriority w:val="0"/>
    <w:rPr>
      <w:rFonts w:hint="eastAsia" w:ascii="Microsoft YaHei UI" w:hAnsi="Microsoft YaHei UI" w:eastAsia="Microsoft YaHei UI"/>
      <w:sz w:val="18"/>
      <w:szCs w:val="18"/>
    </w:rPr>
  </w:style>
  <w:style w:type="paragraph" w:customStyle="1" w:styleId="66">
    <w:name w:val="列出段落2"/>
    <w:basedOn w:val="1"/>
    <w:next w:val="50"/>
    <w:autoRedefine/>
    <w:qFormat/>
    <w:uiPriority w:val="34"/>
    <w:pPr>
      <w:ind w:firstLine="420" w:firstLineChars="200"/>
    </w:pPr>
    <w:rPr>
      <w:rFonts w:ascii="Calibri" w:hAnsi="Calibri" w:eastAsia="黑体"/>
      <w:bCs/>
      <w:sz w:val="30"/>
      <w:szCs w:val="30"/>
    </w:rPr>
  </w:style>
  <w:style w:type="paragraph" w:customStyle="1" w:styleId="67">
    <w:name w:val="msolistparagraph"/>
    <w:basedOn w:val="1"/>
    <w:autoRedefine/>
    <w:qFormat/>
    <w:uiPriority w:val="0"/>
    <w:pPr>
      <w:ind w:firstLine="420" w:firstLineChars="200"/>
    </w:pPr>
    <w:rPr>
      <w:rFonts w:ascii="Calibri" w:hAnsi="Calibri"/>
    </w:rPr>
  </w:style>
  <w:style w:type="paragraph" w:customStyle="1" w:styleId="68">
    <w:name w:val="_Style 143"/>
    <w:basedOn w:val="1"/>
    <w:next w:val="50"/>
    <w:autoRedefine/>
    <w:qFormat/>
    <w:uiPriority w:val="99"/>
    <w:pPr>
      <w:ind w:firstLine="420" w:firstLineChars="200"/>
    </w:pPr>
    <w:rPr>
      <w:kern w:val="0"/>
      <w:sz w:val="20"/>
      <w:szCs w:val="20"/>
    </w:rPr>
  </w:style>
  <w:style w:type="character" w:customStyle="1" w:styleId="69">
    <w:name w:val="列表段落 字符3"/>
    <w:basedOn w:val="24"/>
    <w:autoRedefine/>
    <w:qFormat/>
    <w:uiPriority w:val="0"/>
    <w:rPr>
      <w:rFonts w:hint="default" w:ascii="Calibri" w:hAnsi="Calibri" w:eastAsia="宋体" w:cs="Times New Roman"/>
      <w:kern w:val="2"/>
      <w:sz w:val="21"/>
      <w:szCs w:val="22"/>
    </w:rPr>
  </w:style>
  <w:style w:type="character" w:customStyle="1" w:styleId="70">
    <w:name w:val="列出段落 Char"/>
    <w:basedOn w:val="24"/>
    <w:autoRedefine/>
    <w:qFormat/>
    <w:uiPriority w:val="0"/>
    <w:rPr>
      <w:kern w:val="2"/>
      <w:sz w:val="21"/>
      <w:szCs w:val="22"/>
    </w:rPr>
  </w:style>
  <w:style w:type="character" w:customStyle="1" w:styleId="71">
    <w:name w:val="标题 2 字符2"/>
    <w:basedOn w:val="24"/>
    <w:link w:val="3"/>
    <w:autoRedefine/>
    <w:qFormat/>
    <w:uiPriority w:val="0"/>
    <w:rPr>
      <w:rFonts w:hint="default" w:ascii="Arial" w:hAnsi="Arial" w:eastAsia="黑体" w:cs="Times New Roman"/>
      <w:b/>
      <w:bCs/>
      <w:kern w:val="2"/>
      <w:sz w:val="32"/>
      <w:szCs w:val="32"/>
    </w:rPr>
  </w:style>
  <w:style w:type="character" w:customStyle="1" w:styleId="72">
    <w:name w:val="批注文字 字符1"/>
    <w:basedOn w:val="24"/>
    <w:link w:val="9"/>
    <w:autoRedefine/>
    <w:qFormat/>
    <w:uiPriority w:val="0"/>
    <w:rPr>
      <w:kern w:val="2"/>
      <w:sz w:val="21"/>
      <w:szCs w:val="22"/>
    </w:rPr>
  </w:style>
  <w:style w:type="character" w:customStyle="1" w:styleId="73">
    <w:name w:val="列表段落 字符4"/>
    <w:basedOn w:val="24"/>
    <w:autoRedefine/>
    <w:qFormat/>
    <w:uiPriority w:val="0"/>
    <w:rPr>
      <w:rFonts w:hint="default" w:ascii="Calibri" w:hAnsi="Calibri" w:cs="Calibri"/>
      <w:kern w:val="2"/>
      <w:sz w:val="21"/>
      <w:szCs w:val="22"/>
    </w:rPr>
  </w:style>
  <w:style w:type="paragraph" w:customStyle="1" w:styleId="74">
    <w:name w:val="列表段落1"/>
    <w:basedOn w:val="1"/>
    <w:autoRedefine/>
    <w:qFormat/>
    <w:uiPriority w:val="0"/>
    <w:pPr>
      <w:ind w:firstLine="420" w:firstLineChars="200"/>
    </w:pPr>
    <w:rPr>
      <w:rFonts w:ascii="Calibri" w:hAnsi="Calibri"/>
    </w:rPr>
  </w:style>
  <w:style w:type="character" w:customStyle="1" w:styleId="75">
    <w:name w:val="正文文本首行缩进 2 字符"/>
    <w:basedOn w:val="76"/>
    <w:autoRedefine/>
    <w:qFormat/>
    <w:uiPriority w:val="0"/>
    <w:rPr>
      <w:rFonts w:hint="default" w:ascii="Times New Roman" w:hAnsi="Times New Roman" w:cs="Times New Roman"/>
      <w:kern w:val="2"/>
      <w:sz w:val="21"/>
      <w:szCs w:val="22"/>
    </w:rPr>
  </w:style>
  <w:style w:type="character" w:customStyle="1" w:styleId="76">
    <w:name w:val="正文文本缩进 字符"/>
    <w:basedOn w:val="24"/>
    <w:link w:val="11"/>
    <w:autoRedefine/>
    <w:qFormat/>
    <w:uiPriority w:val="0"/>
    <w:rPr>
      <w:rFonts w:hint="default" w:ascii="Times New Roman" w:hAnsi="Times New Roman" w:cs="Times New Roman"/>
      <w:kern w:val="2"/>
      <w:sz w:val="21"/>
      <w:szCs w:val="22"/>
    </w:rPr>
  </w:style>
  <w:style w:type="character" w:customStyle="1" w:styleId="77">
    <w:name w:val="页眉 字符"/>
    <w:basedOn w:val="24"/>
    <w:link w:val="16"/>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18</Pages>
  <Words>1394</Words>
  <Characters>7949</Characters>
  <Lines>66</Lines>
  <Paragraphs>18</Paragraphs>
  <TotalTime>115</TotalTime>
  <ScaleCrop>false</ScaleCrop>
  <LinksUpToDate>false</LinksUpToDate>
  <CharactersWithSpaces>9325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2023-04-14T04:14:00Z</dcterms:created>
  <dc:creator>ZZD</dc:creator>
  <cp:lastModifiedBy>云采链</cp:lastModifiedBy>
  <dcterms:modified xsi:type="dcterms:W3CDTF">2024-03-25T04:31:52Z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A5B526B5DF834C358A2C703AF2DBEDFB_13</vt:lpwstr>
  </property>
</Properties>
</file>