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pPr>
        <w:autoSpaceDE w:val="0"/>
        <w:autoSpaceDN w:val="0"/>
        <w:adjustRightInd w:val="0"/>
        <w:snapToGrid w:val="0"/>
        <w:spacing w:line="360" w:lineRule="auto"/>
        <w:ind w:left="1605" w:leftChars="229" w:hanging="1124" w:hangingChars="400"/>
        <w:rPr>
          <w:rFonts w:hint="eastAsia" w:ascii="宋体" w:hAnsi="宋体" w:eastAsia="宋体"/>
          <w:b/>
          <w:bCs/>
          <w:color w:val="000000" w:themeColor="text1"/>
          <w:sz w:val="28"/>
          <w:szCs w:val="28"/>
          <w:u w:val="single"/>
          <w:shd w:val="clear" w:color="auto" w:fill="FFC000"/>
          <w:lang w:eastAsia="zh-CN"/>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cs="宋体"/>
          <w:b/>
          <w:bCs/>
          <w:color w:val="000000"/>
          <w:sz w:val="28"/>
          <w:szCs w:val="28"/>
          <w:u w:val="single"/>
          <w:lang w:eastAsia="zh-CN"/>
        </w:rPr>
        <w:t>广东省广裕集团东莞兴龙实业有限公司1-7厂、8-9厂货梯轿厢壁及操作面板金属板更换项目（第二次）</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广东省广裕集团东莞兴龙实业有限公司</w:t>
      </w: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二〇二四年五月</w:t>
      </w:r>
    </w:p>
    <w:p>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br w:type="page"/>
      </w:r>
    </w:p>
    <w:p>
      <w:pPr>
        <w:spacing w:line="360" w:lineRule="auto"/>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第一章 竞价须知</w:t>
      </w:r>
    </w:p>
    <w:p>
      <w:pPr>
        <w:pStyle w:val="21"/>
        <w:numPr>
          <w:ilvl w:val="0"/>
          <w:numId w:val="1"/>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21"/>
        <w:numPr>
          <w:ilvl w:val="0"/>
          <w:numId w:val="1"/>
        </w:numPr>
        <w:spacing w:line="360" w:lineRule="auto"/>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语言要求</w:t>
      </w:r>
    </w:p>
    <w:p>
      <w:pPr>
        <w:spacing w:line="360" w:lineRule="auto"/>
        <w:ind w:left="420" w:leftChars="200"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提交的响应文件以及</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与采购人或平台就有关项目的所有来往函电均应使用中文书写。</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u w:val="single"/>
          <w14:textFill>
            <w14:solidFill>
              <w14:schemeClr w14:val="tx1"/>
            </w14:solidFill>
          </w14:textFill>
        </w:rPr>
        <w:t>如本项目竞价失败重新启动竞价则不允许已经成功报名参与本项目却未报价的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再次报名参与竞价。为避免恶性竞争，参与采购人竞价项目的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连续或累计3次成功报名未报价的将列入采购人黑名单，1年内不得参与采购人的所有竞价项目。</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1"/>
        <w:spacing w:line="360" w:lineRule="auto"/>
        <w:ind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七、竞价须知</w:t>
      </w:r>
    </w:p>
    <w:p>
      <w:pPr>
        <w:pStyle w:val="21"/>
        <w:numPr>
          <w:ilvl w:val="0"/>
          <w:numId w:val="2"/>
        </w:numPr>
        <w:spacing w:line="360" w:lineRule="auto"/>
        <w:ind w:firstLineChars="0"/>
        <w:rPr>
          <w:rFonts w:ascii="宋体" w:hAnsi="宋体"/>
          <w:b/>
          <w:color w:val="000000" w:themeColor="text1"/>
          <w14:textFill>
            <w14:solidFill>
              <w14:schemeClr w14:val="tx1"/>
            </w14:solidFill>
          </w14:textFill>
        </w:rPr>
      </w:pPr>
      <w:r>
        <w:rPr>
          <w:rStyle w:val="17"/>
          <w:rFonts w:hint="eastAsia" w:ascii="宋体" w:hAnsi="宋体"/>
          <w:color w:val="000000" w:themeColor="text1"/>
          <w14:textFill>
            <w14:solidFill>
              <w14:schemeClr w14:val="tx1"/>
            </w14:solidFill>
          </w14:textFill>
        </w:rPr>
        <w:t>竞价说明</w:t>
      </w:r>
    </w:p>
    <w:p>
      <w:pPr>
        <w:pStyle w:val="21"/>
        <w:numPr>
          <w:ilvl w:val="0"/>
          <w:numId w:val="3"/>
        </w:numPr>
        <w:tabs>
          <w:tab w:val="left" w:pos="851"/>
        </w:tabs>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olor w:val="000000" w:themeColor="text1"/>
          <w:szCs w:val="21"/>
          <w:lang w:eastAsia="zh-TW"/>
          <w14:textFill>
            <w14:solidFill>
              <w14:schemeClr w14:val="tx1"/>
            </w14:solidFill>
          </w14:textFill>
        </w:rPr>
        <w:t>论</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的结果如何</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TW"/>
          <w14:textFill>
            <w14:solidFill>
              <w14:schemeClr w14:val="tx1"/>
            </w14:solidFill>
          </w14:textFill>
        </w:rPr>
        <w:t>人</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eastAsia="zh-TW"/>
          <w14:textFill>
            <w14:solidFill>
              <w14:schemeClr w14:val="tx1"/>
            </w14:solidFill>
          </w14:textFill>
        </w:rPr>
        <w:t>代理机构均无义务和责任承担这些费用</w:t>
      </w:r>
      <w:r>
        <w:rPr>
          <w:rFonts w:hint="eastAsia" w:ascii="宋体" w:hAnsi="宋体"/>
          <w:color w:val="000000" w:themeColor="text1"/>
          <w:szCs w:val="21"/>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若成交供应商自身原因无法完成本项目，则采购人有权利保留追究责任。</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如采购人或代理机构在审核或复核</w:t>
      </w: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w:t>
      </w:r>
      <w:r>
        <w:rPr>
          <w:rFonts w:hint="eastAsia" w:ascii="宋体" w:hAnsi="宋体"/>
          <w:color w:val="000000" w:themeColor="text1"/>
          <w:szCs w:val="21"/>
          <w:lang w:eastAsia="zh-TW"/>
          <w14:textFill>
            <w14:solidFill>
              <w14:schemeClr w14:val="tx1"/>
            </w14:solidFill>
          </w14:textFill>
        </w:rPr>
        <w:t>向我司咨询的有关项目事项，一切以</w:t>
      </w:r>
      <w:r>
        <w:rPr>
          <w:rFonts w:hint="eastAsia" w:ascii="宋体" w:hAnsi="宋体"/>
          <w:color w:val="000000" w:themeColor="text1"/>
          <w:szCs w:val="21"/>
          <w14:textFill>
            <w14:solidFill>
              <w14:schemeClr w14:val="tx1"/>
            </w14:solidFill>
          </w14:textFill>
        </w:rPr>
        <w:t>竞价文件</w:t>
      </w:r>
      <w:r>
        <w:rPr>
          <w:rFonts w:hint="eastAsia" w:ascii="宋体" w:hAnsi="宋体"/>
          <w:color w:val="000000" w:themeColor="text1"/>
          <w:szCs w:val="21"/>
          <w:lang w:eastAsia="zh-TW"/>
          <w14:textFill>
            <w14:solidFill>
              <w14:schemeClr w14:val="tx1"/>
            </w14:solidFill>
          </w14:textFill>
        </w:rPr>
        <w:t>规定</w:t>
      </w:r>
      <w:r>
        <w:rPr>
          <w:rFonts w:hint="eastAsia" w:ascii="宋体" w:hAnsi="宋体"/>
          <w:color w:val="000000" w:themeColor="text1"/>
          <w:szCs w:val="21"/>
          <w14:textFill>
            <w14:solidFill>
              <w14:schemeClr w14:val="tx1"/>
            </w14:solidFill>
          </w14:textFill>
        </w:rPr>
        <w:t>和竞价公告规定以及</w:t>
      </w:r>
      <w:r>
        <w:rPr>
          <w:rFonts w:hint="eastAsia" w:ascii="宋体" w:hAnsi="宋体"/>
          <w:color w:val="000000" w:themeColor="text1"/>
          <w:szCs w:val="21"/>
          <w:lang w:eastAsia="zh-TW"/>
          <w14:textFill>
            <w14:solidFill>
              <w14:schemeClr w14:val="tx1"/>
            </w14:solidFill>
          </w14:textFill>
        </w:rPr>
        <w:t>本公司</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olor w:val="000000" w:themeColor="text1"/>
          <w:szCs w:val="21"/>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参与竞价的供应商应认真阅读</w:t>
      </w:r>
      <w:r>
        <w:rPr>
          <w:rFonts w:hint="eastAsia" w:ascii="宋体" w:hAnsi="宋体"/>
          <w:color w:val="000000" w:themeColor="text1"/>
          <w:szCs w:val="21"/>
          <w:lang w:eastAsia="zh-TW"/>
          <w14:textFill>
            <w14:solidFill>
              <w14:schemeClr w14:val="tx1"/>
            </w14:solidFill>
          </w14:textFill>
        </w:rPr>
        <w:t>、并充分理解</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olor w:val="000000" w:themeColor="text1"/>
          <w:szCs w:val="21"/>
          <w14:textFill>
            <w14:solidFill>
              <w14:schemeClr w14:val="tx1"/>
            </w14:solidFill>
          </w14:textFill>
        </w:rPr>
        <w:t>、服务要求</w:t>
      </w:r>
      <w:r>
        <w:rPr>
          <w:rFonts w:hint="eastAsia" w:ascii="宋体" w:hAnsi="宋体"/>
          <w:color w:val="000000" w:themeColor="text1"/>
          <w:szCs w:val="21"/>
          <w:lang w:eastAsia="zh-TW"/>
          <w14:textFill>
            <w14:solidFill>
              <w14:schemeClr w14:val="tx1"/>
            </w14:solidFill>
          </w14:textFill>
        </w:rPr>
        <w:t>和技术规范、参数及要求等）。</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没有按照</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文件要求提交全部资料，或者</w:t>
      </w:r>
      <w:r>
        <w:rPr>
          <w:rFonts w:hint="eastAsia" w:ascii="宋体" w:hAnsi="宋体"/>
          <w:color w:val="000000" w:themeColor="text1"/>
          <w:szCs w:val="21"/>
          <w14:textFill>
            <w14:solidFill>
              <w14:schemeClr w14:val="tx1"/>
            </w14:solidFill>
          </w14:textFill>
        </w:rPr>
        <w:t>参与竞价所上传的</w:t>
      </w:r>
      <w:r>
        <w:rPr>
          <w:rFonts w:hint="eastAsia" w:ascii="宋体" w:hAnsi="宋体"/>
          <w:color w:val="000000" w:themeColor="text1"/>
          <w:szCs w:val="21"/>
          <w:lang w:eastAsia="zh-TW"/>
          <w14:textFill>
            <w14:solidFill>
              <w14:schemeClr w14:val="tx1"/>
            </w14:solidFill>
          </w14:textFill>
        </w:rPr>
        <w:t>文件没有对</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文件在各方面都作出实质性响应是</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的风险，有可能导致其</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被拒绝，</w:t>
      </w:r>
      <w:r>
        <w:rPr>
          <w:rFonts w:hint="eastAsia" w:ascii="宋体" w:hAnsi="宋体"/>
          <w:color w:val="000000" w:themeColor="text1"/>
          <w:szCs w:val="21"/>
          <w14:textFill>
            <w14:solidFill>
              <w14:schemeClr w14:val="tx1"/>
            </w14:solidFill>
          </w14:textFill>
        </w:rPr>
        <w:t>或被认定为无效竞价。</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color w:val="000000" w:themeColor="text1"/>
          <w14:textFill>
            <w14:solidFill>
              <w14:schemeClr w14:val="tx1"/>
            </w14:solidFill>
          </w14:textFill>
        </w:rPr>
        <w:t>逾期提交将不予受理</w:t>
      </w:r>
      <w:r>
        <w:rPr>
          <w:rFonts w:hint="eastAsia" w:ascii="宋体" w:hAnsi="宋体"/>
          <w:color w:val="000000" w:themeColor="text1"/>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本竞价公告和竞价文件的解释权归</w:t>
      </w:r>
      <w:r>
        <w:rPr>
          <w:rFonts w:hint="eastAsia" w:ascii="宋体" w:hAnsi="宋体"/>
          <w:color w:val="000000" w:themeColor="text1"/>
          <w:szCs w:val="21"/>
          <w:lang w:eastAsia="zh-TW"/>
          <w14:textFill>
            <w14:solidFill>
              <w14:schemeClr w14:val="tx1"/>
            </w14:solidFill>
          </w14:textFill>
        </w:rPr>
        <w:t>“</w:t>
      </w:r>
      <w:r>
        <w:rPr>
          <w:rFonts w:ascii="宋体" w:hAnsi="宋体"/>
          <w:color w:val="000000" w:themeColor="text1"/>
          <w14:textFill>
            <w14:solidFill>
              <w14:schemeClr w14:val="tx1"/>
            </w14:solidFill>
          </w14:textFill>
        </w:rPr>
        <w:t>云采链</w:t>
      </w:r>
      <w:r>
        <w:rPr>
          <w:rFonts w:hint="eastAsia" w:ascii="宋体" w:hAnsi="宋体"/>
          <w:color w:val="000000" w:themeColor="text1"/>
          <w14:textFill>
            <w14:solidFill>
              <w14:schemeClr w14:val="tx1"/>
            </w14:solidFill>
          </w14:textFill>
        </w:rPr>
        <w:t>线上采购一体化平台</w:t>
      </w:r>
      <w:r>
        <w:rPr>
          <w:rFonts w:hint="eastAsia" w:ascii="宋体" w:hAnsi="宋体"/>
          <w:color w:val="000000" w:themeColor="text1"/>
          <w:szCs w:val="21"/>
          <w:lang w:eastAsia="zh-TW"/>
          <w14:textFill>
            <w14:solidFill>
              <w14:schemeClr w14:val="tx1"/>
            </w14:solidFill>
          </w14:textFill>
        </w:rPr>
        <w:t>”所有。</w:t>
      </w:r>
    </w:p>
    <w:p>
      <w:pPr>
        <w:pStyle w:val="21"/>
        <w:numPr>
          <w:ilvl w:val="0"/>
          <w:numId w:val="4"/>
        </w:numPr>
        <w:spacing w:line="360" w:lineRule="auto"/>
        <w:ind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pStyle w:val="21"/>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1"/>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olor w:val="000000" w:themeColor="text1"/>
          <w:szCs w:val="21"/>
          <w14:textFill>
            <w14:solidFill>
              <w14:schemeClr w14:val="tx1"/>
            </w14:solidFill>
          </w14:textFill>
        </w:rPr>
        <w:t>如报名</w:t>
      </w:r>
      <w:r>
        <w:rPr>
          <w:rFonts w:hint="eastAsia" w:ascii="宋体" w:hAnsi="宋体"/>
          <w:color w:val="000000" w:themeColor="text1"/>
          <w:szCs w:val="21"/>
          <w:lang w:eastAsia="zh-TW"/>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pStyle w:val="21"/>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报名要求（</w:t>
      </w:r>
      <w:r>
        <w:rPr>
          <w:rFonts w:hint="eastAsia" w:ascii="宋体" w:hAnsi="宋体"/>
          <w:color w:val="000000" w:themeColor="text1"/>
          <w:sz w:val="21"/>
          <w:szCs w:val="21"/>
          <w14:textFill>
            <w14:solidFill>
              <w14:schemeClr w14:val="tx1"/>
            </w14:solidFill>
          </w14:textFill>
        </w:rPr>
        <w:t>参与竞价的</w:t>
      </w:r>
      <w:r>
        <w:rPr>
          <w:rFonts w:hint="eastAsia" w:ascii="宋体" w:hAnsi="宋体"/>
          <w:b/>
          <w:color w:val="000000" w:themeColor="text1"/>
          <w:sz w:val="21"/>
          <w:szCs w:val="21"/>
          <w14:textFill>
            <w14:solidFill>
              <w14:schemeClr w14:val="tx1"/>
            </w14:solidFill>
          </w14:textFill>
        </w:rPr>
        <w:t>供应商资质要求:</w:t>
      </w:r>
      <w:r>
        <w:rPr>
          <w:rFonts w:hint="eastAsia" w:ascii="宋体" w:hAnsi="宋体"/>
          <w:bCs/>
          <w:color w:val="000000" w:themeColor="text1"/>
          <w:sz w:val="21"/>
          <w:szCs w:val="21"/>
          <w14:textFill>
            <w14:solidFill>
              <w14:schemeClr w14:val="tx1"/>
            </w14:solidFill>
          </w14:textFill>
        </w:rPr>
        <w:t xml:space="preserve"> 报名时需要提供以下</w:t>
      </w:r>
      <w:r>
        <w:rPr>
          <w:rFonts w:hint="eastAsia" w:ascii="宋体" w:hAnsi="宋体"/>
          <w:b/>
          <w:bCs/>
          <w:color w:val="000000" w:themeColor="text1"/>
          <w:sz w:val="21"/>
          <w:szCs w:val="21"/>
          <w:u w:val="double"/>
          <w14:textFill>
            <w14:solidFill>
              <w14:schemeClr w14:val="tx1"/>
            </w14:solidFill>
          </w14:textFill>
        </w:rPr>
        <w:t>盖章</w:t>
      </w:r>
      <w:r>
        <w:rPr>
          <w:rFonts w:hint="eastAsia" w:ascii="宋体" w:hAnsi="宋体"/>
          <w:bCs/>
          <w:color w:val="000000" w:themeColor="text1"/>
          <w:sz w:val="21"/>
          <w:szCs w:val="21"/>
          <w14:textFill>
            <w14:solidFill>
              <w14:schemeClr w14:val="tx1"/>
            </w14:solidFill>
          </w14:textFill>
        </w:rPr>
        <w:t>资料，</w:t>
      </w:r>
      <w:r>
        <w:rPr>
          <w:rFonts w:hint="eastAsia" w:ascii="宋体" w:hAnsi="宋体"/>
          <w:color w:val="000000" w:themeColor="text1"/>
          <w:sz w:val="21"/>
          <w:szCs w:val="21"/>
          <w14:textFill>
            <w14:solidFill>
              <w14:schemeClr w14:val="tx1"/>
            </w14:solidFill>
          </w14:textFill>
        </w:rPr>
        <w:t>并对上传的报名文件资料承担责任</w:t>
      </w:r>
      <w:r>
        <w:rPr>
          <w:rFonts w:hint="eastAsia" w:ascii="宋体" w:hAnsi="宋体"/>
          <w:b/>
          <w:color w:val="000000" w:themeColor="text1"/>
          <w:sz w:val="21"/>
          <w:szCs w:val="21"/>
          <w14:textFill>
            <w14:solidFill>
              <w14:schemeClr w14:val="tx1"/>
            </w14:solidFill>
          </w14:textFill>
        </w:rPr>
        <w:t>）</w:t>
      </w:r>
    </w:p>
    <w:p>
      <w:pPr>
        <w:pStyle w:val="21"/>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w:t>
      </w:r>
      <w:r>
        <w:rPr>
          <w:rFonts w:hint="eastAsia" w:ascii="宋体" w:hAnsi="宋体" w:cs="宋体"/>
          <w:color w:val="000000" w:themeColor="text1"/>
          <w:kern w:val="0"/>
          <w:szCs w:val="21"/>
          <w14:textFill>
            <w14:solidFill>
              <w14:schemeClr w14:val="tx1"/>
            </w14:solidFill>
          </w14:textFill>
        </w:rPr>
        <w:t>应符合《中华人民共和国政府采购法》第二十二条规定；供应商应有固定的经营场所，</w:t>
      </w:r>
      <w:r>
        <w:rPr>
          <w:rFonts w:hint="eastAsia" w:ascii="宋体" w:hAnsi="宋体" w:cs="宋体"/>
          <w:color w:val="000000" w:themeColor="text1"/>
          <w:szCs w:val="21"/>
          <w14:textFill>
            <w14:solidFill>
              <w14:schemeClr w14:val="tx1"/>
            </w14:solidFill>
          </w14:textFill>
        </w:rPr>
        <w:t>资金雄厚、</w:t>
      </w:r>
      <w:r>
        <w:rPr>
          <w:rFonts w:hint="eastAsia" w:ascii="宋体" w:hAnsi="宋体" w:cs="宋体"/>
          <w:color w:val="000000" w:themeColor="text1"/>
          <w:kern w:val="0"/>
          <w:szCs w:val="21"/>
          <w14:textFill>
            <w14:solidFill>
              <w14:schemeClr w14:val="tx1"/>
            </w14:solidFill>
          </w14:textFill>
        </w:rPr>
        <w:t>信誉良好、售后维护服务好，并且在经营活动中无严重违法记录；本项目不允许联合体参加竞价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成交供应商不得分包或转包；存在隶属关系或同属一母公司或法人的企业，仅能由一家企业参与竞价；</w:t>
      </w:r>
      <w:r>
        <w:rPr>
          <w:rFonts w:hint="eastAsia" w:ascii="宋体" w:hAnsi="宋体" w:cs="宋体"/>
          <w:b/>
          <w:bCs/>
          <w:color w:val="000000" w:themeColor="text1"/>
          <w:kern w:val="0"/>
          <w:szCs w:val="21"/>
          <w14:textFill>
            <w14:solidFill>
              <w14:schemeClr w14:val="tx1"/>
            </w14:solidFill>
          </w14:textFill>
        </w:rPr>
        <w:t>提供供应商资格声明函，格式见附件</w:t>
      </w:r>
      <w:r>
        <w:rPr>
          <w:rFonts w:hint="eastAsia" w:ascii="宋体" w:hAnsi="宋体" w:cs="宋体"/>
          <w:color w:val="000000" w:themeColor="text1"/>
          <w:kern w:val="0"/>
          <w:szCs w:val="21"/>
          <w14:textFill>
            <w14:solidFill>
              <w14:schemeClr w14:val="tx1"/>
            </w14:solidFill>
          </w14:textFill>
        </w:rPr>
        <w:t>；</w:t>
      </w:r>
    </w:p>
    <w:p>
      <w:pPr>
        <w:pStyle w:val="21"/>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w:t>
      </w:r>
      <w:r>
        <w:rPr>
          <w:rFonts w:hint="eastAsia" w:ascii="宋体" w:hAnsi="宋体" w:cs="宋体"/>
          <w:color w:val="000000" w:themeColor="text1"/>
          <w:kern w:val="0"/>
          <w:szCs w:val="21"/>
          <w14:textFill>
            <w14:solidFill>
              <w14:schemeClr w14:val="tx1"/>
            </w14:solidFill>
          </w14:textFill>
        </w:rPr>
        <w:t>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53"/>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pPr>
        <w:pStyle w:val="21"/>
        <w:widowControl/>
        <w:numPr>
          <w:ilvl w:val="0"/>
          <w:numId w:val="7"/>
        </w:numPr>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w:t>
      </w:r>
      <w:r>
        <w:rPr>
          <w:rFonts w:hint="eastAsia" w:ascii="宋体" w:hAnsi="宋体" w:cs="宋体"/>
          <w:color w:val="000000" w:themeColor="text1"/>
          <w:kern w:val="0"/>
          <w:szCs w:val="21"/>
          <w:lang w:val="en-US" w:eastAsia="zh-CN"/>
          <w14:textFill>
            <w14:solidFill>
              <w14:schemeClr w14:val="tx1"/>
            </w14:solidFill>
          </w14:textFill>
        </w:rPr>
        <w:t>须具有广东省市场监督管理局核发的特种设备生产许可证，许可项目包含曳引驱动载货电梯和曳引驱动乘客电梯安装和修理，报名时提供许可证复印件。</w:t>
      </w:r>
    </w:p>
    <w:p>
      <w:pPr>
        <w:pStyle w:val="53"/>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left"/>
        <w:rPr>
          <w:rFonts w:hint="eastAsia" w:ascii="宋体" w:hAnsi="宋体" w:eastAsia="宋体" w:cs="宋体"/>
          <w:color w:val="000000"/>
          <w:szCs w:val="21"/>
        </w:rPr>
      </w:pPr>
    </w:p>
    <w:p>
      <w:pPr>
        <w:widowControl/>
        <w:spacing w:line="360" w:lineRule="auto"/>
        <w:ind w:firstLine="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报价要求（报价时需要提供以下盖章资料，并对上传的竞价文件资料承担责任）</w:t>
      </w:r>
    </w:p>
    <w:p>
      <w:pPr>
        <w:pStyle w:val="53"/>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firstLineChars="0"/>
        <w:textAlignment w:val="auto"/>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w:t>
      </w:r>
      <w:r>
        <w:rPr>
          <w:rFonts w:hint="eastAsia" w:ascii="宋体" w:hAnsi="宋体"/>
          <w:color w:val="000000" w:themeColor="text1"/>
          <w:szCs w:val="21"/>
          <w14:textFill>
            <w14:solidFill>
              <w14:schemeClr w14:val="tx1"/>
            </w14:solidFill>
          </w14:textFill>
        </w:rPr>
        <w:t>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w:t>
      </w:r>
      <w:r>
        <w:rPr>
          <w:rFonts w:hint="eastAsia" w:ascii="宋体" w:hAnsi="宋体"/>
          <w:color w:val="000000" w:themeColor="text1"/>
          <w:szCs w:val="21"/>
          <w14:textFill>
            <w14:solidFill>
              <w14:schemeClr w14:val="tx1"/>
            </w14:solidFill>
          </w14:textFill>
        </w:rPr>
        <w:t>上传相应报价附件（</w:t>
      </w:r>
      <w:r>
        <w:rPr>
          <w:rFonts w:hint="eastAsia" w:ascii="宋体" w:hAnsi="宋体"/>
          <w:b/>
          <w:bCs/>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p>
    <w:p>
      <w:pPr>
        <w:spacing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确定成交候选人</w:t>
      </w:r>
    </w:p>
    <w:p>
      <w:pPr>
        <w:pStyle w:val="53"/>
        <w:numPr>
          <w:ilvl w:val="0"/>
          <w:numId w:val="9"/>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spacing w:line="360" w:lineRule="auto"/>
        <w:ind w:firstLine="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无效报价</w:t>
      </w:r>
    </w:p>
    <w:p>
      <w:pPr>
        <w:pStyle w:val="21"/>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供应商报价超过最高限价或低于最低限价或超过项目对应产品单项最高限价的视为无效报价。</w:t>
      </w:r>
    </w:p>
    <w:p>
      <w:pPr>
        <w:pStyle w:val="21"/>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3"/>
        <w:keepNext w:val="0"/>
        <w:keepLines w:val="0"/>
        <w:pageBreakBefore w:val="0"/>
        <w:numPr>
          <w:ilvl w:val="0"/>
          <w:numId w:val="10"/>
        </w:numPr>
        <w:kinsoku/>
        <w:wordWrap/>
        <w:overflowPunct/>
        <w:topLinePunct w:val="0"/>
        <w:autoSpaceDE/>
        <w:autoSpaceDN/>
        <w:bidi w:val="0"/>
        <w:adjustRightInd/>
        <w:snapToGrid/>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参与竞价的供应商须对本项目采购内容进行整体报价，任何只对其中一部分内容进行的报价都被视为无效报价。</w:t>
      </w:r>
    </w:p>
    <w:p>
      <w:pPr>
        <w:pStyle w:val="21"/>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r>
        <w:rPr>
          <w:rFonts w:hint="eastAsia" w:ascii="宋体" w:hAnsi="宋体"/>
          <w:color w:val="000000" w:themeColor="text1"/>
          <w14:textFill>
            <w14:solidFill>
              <w14:schemeClr w14:val="tx1"/>
            </w14:solidFill>
          </w14:textFill>
        </w:rPr>
        <w:t>；</w:t>
      </w:r>
    </w:p>
    <w:p>
      <w:pPr>
        <w:pStyle w:val="11"/>
        <w:numPr>
          <w:ilvl w:val="0"/>
          <w:numId w:val="10"/>
        </w:numPr>
        <w:shd w:val="clear" w:color="auto" w:fill="FFFFFF"/>
        <w:spacing w:before="0" w:beforeAutospacing="0" w:after="0" w:afterAutospacing="0" w:line="360"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1"/>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应将对项目的优惠直接在清单报价中体现出来。如果</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不接受对其错误的更正，其报价将被视为无效报价；</w:t>
      </w:r>
    </w:p>
    <w:p>
      <w:pPr>
        <w:pStyle w:val="11"/>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不同供应商的响应文件由同一单位或者个人编制；</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不同供应商委托同一单位或者个人办理竞价事宜；</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不同供应商使用同一IP地址参与竞价；</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不同供应商的响应文件载明的项目管理成员或者联系人员为同一人；</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不同供应商的响应文件异常一致或者报价呈规律性差异；</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不同供应商的响应文件相互混淆；</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不同供应商的平台使用费从同一单位或者个人的账户转出；</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竞价活动失败</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1.</w:t>
      </w:r>
      <w:r>
        <w:rPr>
          <w:rFonts w:hint="eastAsia" w:ascii="宋体" w:hAnsi="宋体" w:eastAsia="宋体" w:cs="宋体"/>
          <w:color w:val="000000"/>
          <w:lang w:val="en-US" w:eastAsia="zh-CN"/>
        </w:rPr>
        <w:t>出现下列情况的，本次竞价活动失败：</w:t>
      </w:r>
    </w:p>
    <w:p>
      <w:pPr>
        <w:pStyle w:val="2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val="en-US"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报名</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pStyle w:val="2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val="en-US"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报价</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出现影响采购公正的违法、违规行为的；</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3.</w:t>
      </w:r>
      <w:r>
        <w:rPr>
          <w:rFonts w:hint="eastAsia" w:ascii="宋体" w:hAnsi="宋体" w:eastAsia="宋体" w:cs="宋体"/>
          <w:color w:val="000000"/>
          <w:lang w:val="en-US" w:eastAsia="zh-CN"/>
        </w:rPr>
        <w:t>因重大变故，采购任务取消的；</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服务费</w:t>
      </w:r>
    </w:p>
    <w:p>
      <w:pPr>
        <w:spacing w:line="360"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1．成交供应商须向平台服务商云采链线上采购一体化平台缴纳平台使用费，金额为成交金额的1.5%（四舍五入取整数）。</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成交供应商无正当理由放弃成交资格的必须按竞价公告等相关规定缴纳相应的平台使用费；</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如确实因不可抗力放弃成交资格的，应在不可抗力发生后三个工作日内予以通知采购代理机构并提供相关的证明；如逾期，采购代理机构不予退还平台使用费；</w:t>
      </w:r>
    </w:p>
    <w:p>
      <w:pPr>
        <w:pStyle w:val="21"/>
        <w:numPr>
          <w:ilvl w:val="1"/>
          <w:numId w:val="13"/>
        </w:numPr>
        <w:spacing w:line="360" w:lineRule="auto"/>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widowControl/>
        <w:spacing w:line="360" w:lineRule="auto"/>
        <w:ind w:left="42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扫码关注微信公众号“云采链互联服务平台”，即可在线咨询相关事项</w:t>
      </w:r>
      <w:r>
        <w:rPr>
          <w:rFonts w:hint="eastAsia" w:ascii="宋体" w:hAnsi="宋体"/>
          <w:color w:val="000000" w:themeColor="text1"/>
          <w14:textFill>
            <w14:solidFill>
              <w14:schemeClr w14:val="tx1"/>
            </w14:solidFill>
          </w14:textFill>
        </w:rPr>
        <w:t>。</w:t>
      </w:r>
    </w:p>
    <w:p>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pPr>
        <w:spacing w:before="156" w:beforeLines="50" w:line="360" w:lineRule="auto"/>
        <w:ind w:left="517" w:hanging="517"/>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tabs>
          <w:tab w:val="left" w:pos="420"/>
        </w:tabs>
        <w:spacing w:before="156" w:beforeLines="50" w:line="360" w:lineRule="auto"/>
        <w:ind w:left="420" w:hanging="42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响应供应商须对本项目进行整体响应，任何只对其中一部分进行的响应都被视为无效响应。</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14"/>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992"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977"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完成期</w:t>
            </w:r>
          </w:p>
        </w:tc>
        <w:tc>
          <w:tcPr>
            <w:tcW w:w="2650" w:type="dxa"/>
            <w:tcBorders>
              <w:bottom w:val="single" w:color="auto" w:sz="4" w:space="0"/>
            </w:tcBorders>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eastAsia="宋体" w:cs="宋体"/>
                <w:b/>
                <w:color w:val="000000"/>
                <w:szCs w:val="21"/>
              </w:rPr>
              <w:t>最高</w:t>
            </w:r>
            <w:r>
              <w:rPr>
                <w:rFonts w:hint="eastAsia" w:ascii="宋体" w:hAnsi="宋体" w:cs="宋体"/>
                <w:b/>
                <w:color w:val="000000"/>
                <w:szCs w:val="21"/>
                <w:lang w:val="en-US" w:eastAsia="zh-CN"/>
              </w:rPr>
              <w:t>限价</w:t>
            </w:r>
            <w:r>
              <w:rPr>
                <w:rFonts w:hint="eastAsia" w:ascii="宋体" w:hAnsi="宋体" w:eastAsia="宋体" w:cs="宋体"/>
                <w:b/>
                <w:color w:val="000000"/>
                <w:szCs w:val="21"/>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bCs/>
                <w:color w:val="000000" w:themeColor="text1"/>
                <w:szCs w:val="21"/>
                <w:lang w:eastAsia="zh-CN"/>
                <w14:textFill>
                  <w14:solidFill>
                    <w14:schemeClr w14:val="tx1"/>
                  </w14:solidFill>
                </w14:textFill>
              </w:rPr>
            </w:pPr>
            <w:bookmarkStart w:id="0" w:name="_GoBack"/>
            <w:bookmarkEnd w:id="0"/>
            <w:r>
              <w:rPr>
                <w:rFonts w:hint="eastAsia" w:ascii="宋体" w:hAnsi="宋体" w:cs="宋体"/>
                <w:bCs/>
                <w:color w:val="000000"/>
                <w:szCs w:val="21"/>
                <w:lang w:eastAsia="zh-CN"/>
              </w:rPr>
              <w:t>广东省广裕集团东莞兴龙实业有限公司1-7厂、8-9厂货梯轿厢壁及操作面板金属板更换项目（第二次）</w:t>
            </w:r>
          </w:p>
        </w:tc>
        <w:tc>
          <w:tcPr>
            <w:tcW w:w="992"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lang w:val="en-US" w:eastAsia="zh-CN"/>
              </w:rPr>
              <w:t>1批</w:t>
            </w:r>
          </w:p>
        </w:tc>
        <w:tc>
          <w:tcPr>
            <w:tcW w:w="2977"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rPr>
            </w:pPr>
            <w:r>
              <w:rPr>
                <w:rFonts w:hint="eastAsia" w:ascii="宋体" w:hAnsi="宋体" w:eastAsia="宋体" w:cs="宋体"/>
                <w:bCs/>
                <w:color w:val="000000"/>
                <w:szCs w:val="21"/>
                <w:lang w:val="en-US" w:eastAsia="zh-CN"/>
              </w:rPr>
              <w:t xml:space="preserve"> 15个</w:t>
            </w:r>
            <w:r>
              <w:rPr>
                <w:rFonts w:hint="eastAsia" w:ascii="宋体" w:hAnsi="宋体" w:eastAsia="宋体" w:cs="宋体"/>
                <w:bCs/>
                <w:color w:val="000000"/>
                <w:szCs w:val="21"/>
              </w:rPr>
              <w:t>工作日</w:t>
            </w:r>
          </w:p>
        </w:tc>
        <w:tc>
          <w:tcPr>
            <w:tcW w:w="2650" w:type="dxa"/>
            <w:tcBorders>
              <w:top w:val="single" w:color="auto" w:sz="4" w:space="0"/>
              <w:bottom w:val="single" w:color="auto" w:sz="12"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rPr>
            </w:pPr>
            <w:r>
              <w:rPr>
                <w:rFonts w:hint="eastAsia" w:ascii="宋体" w:hAnsi="宋体" w:eastAsia="宋体" w:cs="宋体"/>
                <w:bCs/>
                <w:color w:val="000000"/>
                <w:szCs w:val="21"/>
              </w:rPr>
              <w:t>人民币</w:t>
            </w:r>
            <w:r>
              <w:rPr>
                <w:rFonts w:hint="eastAsia" w:ascii="宋体" w:hAnsi="宋体" w:eastAsia="宋体" w:cs="宋体"/>
                <w:bCs/>
                <w:color w:val="000000"/>
                <w:szCs w:val="21"/>
                <w:lang w:val="en-US" w:eastAsia="zh-CN"/>
              </w:rPr>
              <w:t>33120</w:t>
            </w:r>
            <w:r>
              <w:rPr>
                <w:rFonts w:hint="eastAsia" w:ascii="宋体" w:hAnsi="宋体" w:eastAsia="宋体" w:cs="宋体"/>
                <w:bCs/>
                <w:color w:val="000000"/>
                <w:szCs w:val="21"/>
              </w:rPr>
              <w:t>元</w:t>
            </w:r>
          </w:p>
        </w:tc>
      </w:tr>
    </w:tbl>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项目概述</w:t>
      </w:r>
      <w:r>
        <w:rPr>
          <w:rFonts w:hint="eastAsia" w:ascii="宋体" w:hAnsi="宋体" w:cs="宋体"/>
          <w:b/>
          <w:bCs/>
          <w:color w:val="000000" w:themeColor="text1"/>
          <w:szCs w:val="21"/>
          <w14:textFill>
            <w14:solidFill>
              <w14:schemeClr w14:val="tx1"/>
            </w14:solidFill>
          </w14:textFill>
        </w:rPr>
        <w:t>以及清单</w:t>
      </w:r>
    </w:p>
    <w:p>
      <w:pPr>
        <w:keepNext w:val="0"/>
        <w:keepLines w:val="0"/>
        <w:pageBreakBefore w:val="0"/>
        <w:widowControl w:val="0"/>
        <w:numPr>
          <w:ilvl w:val="0"/>
          <w:numId w:val="15"/>
        </w:numPr>
        <w:kinsoku/>
        <w:wordWrap/>
        <w:overflowPunct/>
        <w:topLinePunct w:val="0"/>
        <w:bidi w:val="0"/>
        <w:spacing w:line="360" w:lineRule="auto"/>
        <w:textAlignment w:val="auto"/>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广东省广裕集团东莞兴龙实业有限公司1-7厂、8-9厂货梯轿厢壁及操作面板金属板更换项目（第二次）</w:t>
      </w:r>
      <w:r>
        <w:rPr>
          <w:rFonts w:hint="eastAsia" w:ascii="宋体" w:hAnsi="宋体" w:cs="宋体"/>
          <w:szCs w:val="21"/>
        </w:rPr>
        <w:t xml:space="preserve">         </w:t>
      </w:r>
    </w:p>
    <w:p>
      <w:pPr>
        <w:keepNext w:val="0"/>
        <w:keepLines w:val="0"/>
        <w:pageBreakBefore w:val="0"/>
        <w:widowControl w:val="0"/>
        <w:numPr>
          <w:ilvl w:val="0"/>
          <w:numId w:val="15"/>
        </w:numPr>
        <w:kinsoku/>
        <w:wordWrap/>
        <w:overflowPunct/>
        <w:topLinePunct w:val="0"/>
        <w:bidi w:val="0"/>
        <w:spacing w:line="360" w:lineRule="auto"/>
        <w:textAlignment w:val="auto"/>
        <w:rPr>
          <w:rFonts w:hint="eastAsia" w:ascii="宋体" w:hAnsi="宋体" w:cs="宋体"/>
          <w:szCs w:val="21"/>
        </w:rPr>
      </w:pPr>
      <w:r>
        <w:rPr>
          <w:rFonts w:hint="eastAsia" w:ascii="宋体" w:hAnsi="宋体" w:cs="宋体"/>
          <w:szCs w:val="21"/>
        </w:rPr>
        <w:t xml:space="preserve">最高限价：¥ </w:t>
      </w:r>
      <w:r>
        <w:rPr>
          <w:rFonts w:hint="eastAsia" w:ascii="宋体" w:hAnsi="宋体" w:cs="宋体"/>
          <w:szCs w:val="21"/>
          <w:lang w:val="en-US" w:eastAsia="zh-CN"/>
        </w:rPr>
        <w:t>33120.00</w:t>
      </w:r>
      <w:r>
        <w:rPr>
          <w:rFonts w:hint="eastAsia" w:ascii="宋体" w:hAnsi="宋体" w:cs="宋体"/>
          <w:szCs w:val="21"/>
        </w:rPr>
        <w:t xml:space="preserve"> 元（大写人民币 </w:t>
      </w:r>
      <w:r>
        <w:rPr>
          <w:rFonts w:hint="eastAsia" w:ascii="宋体" w:hAnsi="宋体" w:cs="宋体"/>
          <w:szCs w:val="21"/>
          <w:lang w:val="en-US" w:eastAsia="zh-CN"/>
        </w:rPr>
        <w:t>叁万叁仟壹佰贰拾元整</w:t>
      </w:r>
      <w:r>
        <w:rPr>
          <w:rFonts w:hint="eastAsia" w:ascii="宋体" w:hAnsi="宋体" w:cs="宋体"/>
          <w:szCs w:val="21"/>
        </w:rPr>
        <w:t xml:space="preserve"> ，包含完成项目所有相关费用（包括但不限于设计、制作、运输、安装、税费等费用）</w:t>
      </w:r>
    </w:p>
    <w:p>
      <w:pPr>
        <w:keepNext w:val="0"/>
        <w:keepLines w:val="0"/>
        <w:pageBreakBefore w:val="0"/>
        <w:widowControl w:val="0"/>
        <w:numPr>
          <w:ilvl w:val="0"/>
          <w:numId w:val="15"/>
        </w:numPr>
        <w:kinsoku/>
        <w:wordWrap/>
        <w:overflowPunct/>
        <w:topLinePunct w:val="0"/>
        <w:bidi w:val="0"/>
        <w:spacing w:line="360" w:lineRule="auto"/>
        <w:textAlignment w:val="auto"/>
        <w:rPr>
          <w:rFonts w:hint="eastAsia" w:ascii="宋体" w:hAnsi="宋体" w:cs="宋体"/>
          <w:szCs w:val="21"/>
          <w:lang w:val="en-US" w:eastAsia="zh-CN"/>
        </w:rPr>
      </w:pPr>
      <w:r>
        <w:rPr>
          <w:rFonts w:hint="eastAsia" w:ascii="宋体" w:hAnsi="宋体" w:cs="宋体"/>
          <w:szCs w:val="21"/>
        </w:rPr>
        <w:t>供货期及供货地点：</w:t>
      </w:r>
      <w:r>
        <w:rPr>
          <w:rFonts w:hint="eastAsia" w:ascii="宋体" w:hAnsi="宋体" w:cs="宋体"/>
          <w:szCs w:val="21"/>
          <w:lang w:val="en-US" w:eastAsia="zh-CN"/>
        </w:rPr>
        <w:t>15个</w:t>
      </w:r>
      <w:r>
        <w:rPr>
          <w:rFonts w:hint="eastAsia" w:ascii="宋体" w:hAnsi="宋体" w:cs="宋体"/>
          <w:szCs w:val="21"/>
        </w:rPr>
        <w:t>工作日</w:t>
      </w:r>
      <w:r>
        <w:rPr>
          <w:rFonts w:hint="eastAsia" w:ascii="宋体" w:hAnsi="宋体" w:cs="宋体"/>
          <w:szCs w:val="21"/>
          <w:lang w:eastAsia="zh-CN"/>
        </w:rPr>
        <w:t>，</w:t>
      </w:r>
      <w:r>
        <w:rPr>
          <w:rFonts w:hint="eastAsia" w:ascii="宋体" w:hAnsi="宋体" w:cs="宋体"/>
          <w:szCs w:val="21"/>
        </w:rPr>
        <w:t>东莞市石</w:t>
      </w:r>
      <w:r>
        <w:rPr>
          <w:rFonts w:hint="eastAsia" w:ascii="宋体" w:hAnsi="宋体" w:cs="宋体"/>
          <w:szCs w:val="21"/>
          <w:lang w:eastAsia="zh-CN"/>
        </w:rPr>
        <w:t>龙</w:t>
      </w:r>
      <w:r>
        <w:rPr>
          <w:rFonts w:hint="eastAsia" w:ascii="宋体" w:hAnsi="宋体" w:cs="宋体"/>
          <w:szCs w:val="21"/>
        </w:rPr>
        <w:t>镇新洲</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成交供应商必须承诺，完全满足采购过程发出所有文件的要求，必须具备履行本项目的能力。如在实施过程中，采购人发现有不符合要求的地方，采购人有权终止合同，一切费用由成交供应商承担，履约保证金不予退还。</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采购清单：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2"/>
        <w:gridCol w:w="1104"/>
        <w:gridCol w:w="2244"/>
        <w:gridCol w:w="648"/>
        <w:gridCol w:w="731"/>
        <w:gridCol w:w="336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序号</w:t>
            </w:r>
          </w:p>
        </w:tc>
        <w:tc>
          <w:tcPr>
            <w:tcW w:w="57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品名</w:t>
            </w:r>
          </w:p>
        </w:tc>
        <w:tc>
          <w:tcPr>
            <w:tcW w:w="116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规格、型号</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单位</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数量</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图片（仅供参考请以实际情况为准）</w:t>
            </w:r>
          </w:p>
        </w:tc>
        <w:tc>
          <w:tcPr>
            <w:tcW w:w="40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w:t>
            </w:r>
          </w:p>
        </w:tc>
        <w:tc>
          <w:tcPr>
            <w:tcW w:w="57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rPr>
            </w:pPr>
            <w:r>
              <w:rPr>
                <w:rFonts w:hint="eastAsia" w:ascii="宋体" w:hAnsi="宋体" w:eastAsia="宋体" w:cs="宋体"/>
                <w:bCs/>
                <w:color w:val="000000"/>
                <w:szCs w:val="21"/>
                <w:lang w:val="en-US" w:eastAsia="zh-CN"/>
              </w:rPr>
              <w:t>轿厢壁</w:t>
            </w:r>
          </w:p>
        </w:tc>
        <w:tc>
          <w:tcPr>
            <w:tcW w:w="116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rPr>
            </w:pPr>
            <w:r>
              <w:rPr>
                <w:rFonts w:hint="eastAsia" w:ascii="宋体" w:hAnsi="宋体" w:eastAsia="宋体" w:cs="宋体"/>
                <w:bCs/>
                <w:color w:val="000000"/>
                <w:szCs w:val="21"/>
                <w:lang w:val="en-US" w:eastAsia="zh-CN"/>
              </w:rPr>
              <w:t>2200mm*250mm*2mm</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9</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default"/>
              </w:rPr>
              <w:drawing>
                <wp:inline distT="0" distB="0" distL="114300" distR="114300">
                  <wp:extent cx="1572895" cy="1179830"/>
                  <wp:effectExtent l="0" t="0" r="1206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72895" cy="1179830"/>
                          </a:xfrm>
                          <a:prstGeom prst="rect">
                            <a:avLst/>
                          </a:prstGeom>
                          <a:noFill/>
                          <a:ln>
                            <a:noFill/>
                          </a:ln>
                        </pic:spPr>
                      </pic:pic>
                    </a:graphicData>
                  </a:graphic>
                </wp:inline>
              </w:drawing>
            </w:r>
          </w:p>
        </w:tc>
        <w:tc>
          <w:tcPr>
            <w:tcW w:w="400" w:type="pct"/>
            <w:vMerge w:val="restar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8-9厂货梯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w:t>
            </w:r>
          </w:p>
        </w:tc>
        <w:tc>
          <w:tcPr>
            <w:tcW w:w="57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轿厢操作面板（定做金属板）</w:t>
            </w:r>
          </w:p>
        </w:tc>
        <w:tc>
          <w:tcPr>
            <w:tcW w:w="116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860mm*180mm</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default"/>
              </w:rPr>
              <w:drawing>
                <wp:inline distT="0" distB="0" distL="114300" distR="114300">
                  <wp:extent cx="1016635" cy="135636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016635" cy="1356360"/>
                          </a:xfrm>
                          <a:prstGeom prst="rect">
                            <a:avLst/>
                          </a:prstGeom>
                          <a:noFill/>
                          <a:ln>
                            <a:noFill/>
                          </a:ln>
                        </pic:spPr>
                      </pic:pic>
                    </a:graphicData>
                  </a:graphic>
                </wp:inline>
              </w:drawing>
            </w:r>
          </w:p>
        </w:tc>
        <w:tc>
          <w:tcPr>
            <w:tcW w:w="400"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57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轿厢防撞条</w:t>
            </w:r>
          </w:p>
        </w:tc>
        <w:tc>
          <w:tcPr>
            <w:tcW w:w="116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1700mm*70mm</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条</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w:t>
            </w:r>
          </w:p>
        </w:tc>
        <w:tc>
          <w:tcPr>
            <w:tcW w:w="400"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w:t>
            </w:r>
          </w:p>
        </w:tc>
        <w:tc>
          <w:tcPr>
            <w:tcW w:w="57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轿厢壁</w:t>
            </w:r>
          </w:p>
        </w:tc>
        <w:tc>
          <w:tcPr>
            <w:tcW w:w="116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2200mm*250mm*2mm</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7</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default"/>
              </w:rPr>
              <w:drawing>
                <wp:inline distT="0" distB="0" distL="114300" distR="114300">
                  <wp:extent cx="2105660" cy="1184910"/>
                  <wp:effectExtent l="0" t="0" r="1270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105660" cy="1184910"/>
                          </a:xfrm>
                          <a:prstGeom prst="rect">
                            <a:avLst/>
                          </a:prstGeom>
                          <a:noFill/>
                          <a:ln>
                            <a:noFill/>
                          </a:ln>
                        </pic:spPr>
                      </pic:pic>
                    </a:graphicData>
                  </a:graphic>
                </wp:inline>
              </w:drawing>
            </w:r>
          </w:p>
        </w:tc>
        <w:tc>
          <w:tcPr>
            <w:tcW w:w="400" w:type="pct"/>
            <w:vMerge w:val="restar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1-7厂货梯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57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轿厢操作面板（定做金属板）</w:t>
            </w:r>
          </w:p>
        </w:tc>
        <w:tc>
          <w:tcPr>
            <w:tcW w:w="116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860mm*180mm</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default"/>
              </w:rPr>
              <w:drawing>
                <wp:inline distT="0" distB="0" distL="114300" distR="114300">
                  <wp:extent cx="1323975" cy="1765300"/>
                  <wp:effectExtent l="0" t="0" r="190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1323975" cy="1765300"/>
                          </a:xfrm>
                          <a:prstGeom prst="rect">
                            <a:avLst/>
                          </a:prstGeom>
                          <a:noFill/>
                          <a:ln>
                            <a:noFill/>
                          </a:ln>
                        </pic:spPr>
                      </pic:pic>
                    </a:graphicData>
                  </a:graphic>
                </wp:inline>
              </w:drawing>
            </w:r>
            <w:r>
              <w:rPr>
                <w:rFonts w:hint="default"/>
              </w:rPr>
              <w:drawing>
                <wp:inline distT="0" distB="0" distL="114300" distR="114300">
                  <wp:extent cx="2105660" cy="1184910"/>
                  <wp:effectExtent l="0" t="0" r="1270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105660" cy="1184910"/>
                          </a:xfrm>
                          <a:prstGeom prst="rect">
                            <a:avLst/>
                          </a:prstGeom>
                          <a:noFill/>
                          <a:ln>
                            <a:noFill/>
                          </a:ln>
                        </pic:spPr>
                      </pic:pic>
                    </a:graphicData>
                  </a:graphic>
                </wp:inline>
              </w:drawing>
            </w:r>
          </w:p>
        </w:tc>
        <w:tc>
          <w:tcPr>
            <w:tcW w:w="400"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6</w:t>
            </w:r>
          </w:p>
        </w:tc>
        <w:tc>
          <w:tcPr>
            <w:tcW w:w="57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轿厢防撞条</w:t>
            </w:r>
          </w:p>
        </w:tc>
        <w:tc>
          <w:tcPr>
            <w:tcW w:w="1160"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1700mm*70mm</w:t>
            </w:r>
          </w:p>
        </w:tc>
        <w:tc>
          <w:tcPr>
            <w:tcW w:w="335"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条</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1740"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w:t>
            </w:r>
          </w:p>
        </w:tc>
        <w:tc>
          <w:tcPr>
            <w:tcW w:w="400"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bl>
    <w:p>
      <w:pPr>
        <w:pStyle w:val="4"/>
        <w:keepNext w:val="0"/>
        <w:keepLines w:val="0"/>
        <w:pageBreakBefore w:val="0"/>
        <w:widowControl w:val="0"/>
        <w:kinsoku/>
        <w:wordWrap/>
        <w:overflowPunct/>
        <w:topLinePunct w:val="0"/>
        <w:bidi w:val="0"/>
        <w:spacing w:line="360" w:lineRule="auto"/>
        <w:ind w:firstLine="0" w:firstLineChars="0"/>
        <w:textAlignment w:val="auto"/>
        <w:rPr>
          <w:rFonts w:ascii="宋体" w:hAnsi="宋体" w:cs="仿宋"/>
        </w:rPr>
      </w:pP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商务要求</w:t>
      </w:r>
    </w:p>
    <w:p>
      <w:pPr>
        <w:keepNext w:val="0"/>
        <w:keepLines w:val="0"/>
        <w:pageBreakBefore w:val="0"/>
        <w:widowControl/>
        <w:numPr>
          <w:ilvl w:val="0"/>
          <w:numId w:val="16"/>
        </w:numPr>
        <w:suppressLineNumbers w:val="0"/>
        <w:kinsoku/>
        <w:overflowPunct/>
        <w:topLinePunct w:val="0"/>
        <w:autoSpaceDE/>
        <w:autoSpaceDN/>
        <w:bidi w:val="0"/>
        <w:adjustRightInd w:val="0"/>
        <w:snapToGrid w:val="0"/>
        <w:spacing w:line="360" w:lineRule="auto"/>
        <w:ind w:left="0" w:leftChars="0" w:firstLine="42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质量要求：</w:t>
      </w:r>
      <w:r>
        <w:rPr>
          <w:rFonts w:hint="eastAsia" w:ascii="宋体" w:hAnsi="宋体" w:eastAsia="宋体" w:cs="宋体"/>
          <w:b w:val="0"/>
          <w:bCs w:val="0"/>
          <w:sz w:val="21"/>
          <w:szCs w:val="21"/>
          <w:lang w:val="en-US" w:eastAsia="zh-CN"/>
        </w:rPr>
        <w:t>所供应的器材、辅料必须正规渠道进货，产品质量达到国家标准；货物牌标识内容清晰、有出厂合格证。产品质量应符合中华人民共和国国家安全质量标准、环保标准、行业标准等；凡属于《中华人民共和国实施强制性产品认证的产品目录》的产品，须在交货时提供该产品的《中国强制认证》（CCC认证）。</w:t>
      </w:r>
    </w:p>
    <w:p>
      <w:pPr>
        <w:keepNext w:val="0"/>
        <w:keepLines w:val="0"/>
        <w:pageBreakBefore w:val="0"/>
        <w:widowControl/>
        <w:numPr>
          <w:ilvl w:val="0"/>
          <w:numId w:val="16"/>
        </w:numPr>
        <w:suppressLineNumbers w:val="0"/>
        <w:kinsoku/>
        <w:overflowPunct/>
        <w:topLinePunct w:val="0"/>
        <w:autoSpaceDE/>
        <w:autoSpaceDN/>
        <w:bidi w:val="0"/>
        <w:adjustRightInd w:val="0"/>
        <w:snapToGrid w:val="0"/>
        <w:spacing w:line="360" w:lineRule="auto"/>
        <w:ind w:left="0" w:leftChars="0" w:firstLine="42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包装：</w:t>
      </w:r>
      <w:r>
        <w:rPr>
          <w:rFonts w:hint="eastAsia" w:ascii="宋体" w:hAnsi="宋体" w:eastAsia="宋体" w:cs="宋体"/>
          <w:sz w:val="21"/>
          <w:szCs w:val="21"/>
          <w:lang w:val="en-US" w:eastAsia="zh-CN"/>
        </w:rPr>
        <w:t>全部产品均应有良好的防湿、防锈、防潮、防雨、防腐及防碰撞的措施。凡由于包装不良造成的损失和由此产生的费用均由供应商承担。</w:t>
      </w:r>
    </w:p>
    <w:p>
      <w:pPr>
        <w:keepNext w:val="0"/>
        <w:keepLines w:val="0"/>
        <w:pageBreakBefore w:val="0"/>
        <w:widowControl/>
        <w:numPr>
          <w:ilvl w:val="0"/>
          <w:numId w:val="16"/>
        </w:numPr>
        <w:kinsoku/>
        <w:overflowPunct/>
        <w:topLinePunct w:val="0"/>
        <w:autoSpaceDE/>
        <w:autoSpaceDN/>
        <w:bidi w:val="0"/>
        <w:adjustRightInd w:val="0"/>
        <w:snapToGrid w:val="0"/>
        <w:spacing w:line="360" w:lineRule="auto"/>
        <w:ind w:left="0" w:leftChars="0" w:firstLine="420" w:firstLineChars="0"/>
        <w:textAlignment w:val="auto"/>
        <w:rPr>
          <w:rFonts w:hint="eastAsia" w:ascii="宋体" w:hAnsi="宋体" w:eastAsia="宋体" w:cs="宋体"/>
          <w:b/>
          <w:sz w:val="21"/>
          <w:szCs w:val="21"/>
        </w:rPr>
      </w:pPr>
      <w:r>
        <w:rPr>
          <w:rFonts w:hint="eastAsia" w:ascii="宋体" w:hAnsi="宋体" w:eastAsia="宋体" w:cs="宋体"/>
          <w:b/>
          <w:sz w:val="21"/>
          <w:szCs w:val="21"/>
        </w:rPr>
        <w:t>管理要求：</w:t>
      </w:r>
    </w:p>
    <w:p>
      <w:pPr>
        <w:keepNext w:val="0"/>
        <w:keepLines w:val="0"/>
        <w:pageBreakBefore w:val="0"/>
        <w:widowControl/>
        <w:numPr>
          <w:ilvl w:val="0"/>
          <w:numId w:val="16"/>
        </w:numPr>
        <w:kinsoku/>
        <w:overflowPunct/>
        <w:topLinePunct w:val="0"/>
        <w:autoSpaceDE/>
        <w:autoSpaceDN/>
        <w:bidi w:val="0"/>
        <w:adjustRightInd w:val="0"/>
        <w:snapToGrid w:val="0"/>
        <w:spacing w:line="360" w:lineRule="auto"/>
        <w:ind w:left="0" w:leftChars="0" w:firstLine="420" w:firstLineChars="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及送货人员必须严格遵守监狱保密及相关管理规定，不得</w:t>
      </w:r>
      <w:r>
        <w:rPr>
          <w:rFonts w:hint="eastAsia" w:ascii="宋体" w:hAnsi="宋体" w:eastAsia="宋体" w:cs="宋体"/>
          <w:sz w:val="21"/>
          <w:szCs w:val="21"/>
          <w:lang w:val="en-US" w:eastAsia="zh-CN"/>
        </w:rPr>
        <w:t>在</w:t>
      </w:r>
      <w:r>
        <w:rPr>
          <w:rFonts w:hint="eastAsia" w:ascii="宋体" w:hAnsi="宋体" w:eastAsia="宋体" w:cs="宋体"/>
          <w:sz w:val="21"/>
          <w:szCs w:val="21"/>
        </w:rPr>
        <w:t>监狱内建筑、场地、事项等进行拍照、录视频等，如发现供应商有违反监狱管理，</w:t>
      </w:r>
      <w:r>
        <w:rPr>
          <w:rFonts w:hint="eastAsia" w:ascii="宋体" w:hAnsi="宋体" w:eastAsia="宋体" w:cs="宋体"/>
          <w:sz w:val="21"/>
          <w:szCs w:val="21"/>
          <w:highlight w:val="none"/>
          <w:u w:val="single"/>
        </w:rPr>
        <w:t>采购人有权</w:t>
      </w:r>
      <w:r>
        <w:rPr>
          <w:rFonts w:hint="eastAsia" w:ascii="宋体" w:hAnsi="宋体" w:eastAsia="宋体" w:cs="宋体"/>
          <w:sz w:val="21"/>
          <w:szCs w:val="21"/>
          <w:highlight w:val="none"/>
          <w:u w:val="single"/>
          <w:lang w:val="en-US" w:eastAsia="zh-CN"/>
        </w:rPr>
        <w:t>终止</w:t>
      </w:r>
      <w:r>
        <w:rPr>
          <w:rFonts w:hint="eastAsia" w:ascii="宋体" w:hAnsi="宋体" w:eastAsia="宋体" w:cs="宋体"/>
          <w:sz w:val="21"/>
          <w:szCs w:val="21"/>
          <w:highlight w:val="none"/>
          <w:u w:val="single"/>
          <w:lang w:eastAsia="zh-CN"/>
        </w:rPr>
        <w:t>合同，</w:t>
      </w:r>
      <w:r>
        <w:rPr>
          <w:rFonts w:hint="eastAsia" w:ascii="宋体" w:hAnsi="宋体" w:eastAsia="宋体" w:cs="宋体"/>
          <w:sz w:val="21"/>
          <w:szCs w:val="21"/>
          <w:highlight w:val="none"/>
          <w:u w:val="single"/>
        </w:rPr>
        <w:t>重新选定</w:t>
      </w:r>
      <w:r>
        <w:rPr>
          <w:rFonts w:hint="eastAsia" w:ascii="宋体" w:hAnsi="宋体" w:eastAsia="宋体" w:cs="宋体"/>
          <w:sz w:val="21"/>
          <w:szCs w:val="21"/>
          <w:highlight w:val="none"/>
          <w:u w:val="single"/>
          <w:lang w:val="en-US" w:eastAsia="zh-CN"/>
        </w:rPr>
        <w:t>其他</w:t>
      </w:r>
      <w:r>
        <w:rPr>
          <w:rFonts w:hint="eastAsia" w:ascii="宋体" w:hAnsi="宋体" w:eastAsia="宋体" w:cs="宋体"/>
          <w:sz w:val="21"/>
          <w:szCs w:val="21"/>
          <w:highlight w:val="none"/>
          <w:u w:val="single"/>
          <w:lang w:eastAsia="zh-CN"/>
        </w:rPr>
        <w:t>供应商</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履约保证金不予退回，</w:t>
      </w:r>
      <w:r>
        <w:rPr>
          <w:rFonts w:hint="eastAsia" w:ascii="宋体" w:hAnsi="宋体" w:eastAsia="宋体" w:cs="宋体"/>
          <w:sz w:val="21"/>
          <w:szCs w:val="21"/>
          <w:highlight w:val="none"/>
          <w:u w:val="single"/>
        </w:rPr>
        <w:t>并追究供应商责任。</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质保售后</w:t>
      </w:r>
      <w:r>
        <w:rPr>
          <w:rFonts w:hint="eastAsia" w:ascii="宋体" w:hAnsi="宋体" w:cs="宋体"/>
          <w:b/>
          <w:bCs/>
          <w:color w:val="000000" w:themeColor="text1"/>
          <w:szCs w:val="21"/>
          <w:lang w:val="en-US" w:eastAsia="zh-CN"/>
          <w14:textFill>
            <w14:solidFill>
              <w14:schemeClr w14:val="tx1"/>
            </w14:solidFill>
          </w14:textFill>
        </w:rPr>
        <w:t>及违约责任</w:t>
      </w:r>
      <w:r>
        <w:rPr>
          <w:rFonts w:hint="eastAsia" w:ascii="宋体" w:hAnsi="宋体" w:cs="宋体"/>
          <w:b/>
          <w:bCs/>
          <w:color w:val="000000" w:themeColor="text1"/>
          <w:szCs w:val="21"/>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w:t>
      </w:r>
      <w:r>
        <w:rPr>
          <w:rFonts w:hint="eastAsia" w:ascii="宋体" w:hAnsi="宋体" w:eastAsia="宋体" w:cs="宋体"/>
          <w:sz w:val="21"/>
          <w:szCs w:val="21"/>
          <w:lang w:val="en-US" w:eastAsia="zh-CN"/>
        </w:rPr>
        <w:t>免费质保期限：1年。</w:t>
      </w:r>
    </w:p>
    <w:p>
      <w:pPr>
        <w:keepNext w:val="0"/>
        <w:keepLines w:val="0"/>
        <w:pageBreakBefore w:val="0"/>
        <w:widowControl/>
        <w:kinsoku/>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供应商违约责任</w:t>
      </w:r>
    </w:p>
    <w:p>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①成交供应商必须根据采购人供货期要求，科学合理拟定送货（安装）计划，确保按时供货（安装）完成验收（出现不可抗力因素情形时，经双方共同认可，供货期可以顺延）。</w:t>
      </w:r>
    </w:p>
    <w:p>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规定供货期内未能完成的，每超出规定供货期一个工作日，采购人有权扣除成交供应商合同金额的1%，最高不超过合同金额的5%。规定供货期到期后，根据项目情况，若因为成交供应商主观因素，采购人认为成交供应商不能达到本项目要求的，采购人有权解除合同，并就采购人所发生的损失，追究成交供应商责任。</w:t>
      </w:r>
    </w:p>
    <w:p>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如成交供应商存在以次充好情况，经采购人发现警告后拒不整改的，采购人有权单方解除本合同，并要求成交供应商承担相应的违约责任，如因此造成采购人或成交供应商工作人员及任意第三人人身或财产损害的，由成交供应商承担一切赔偿责任。</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验收支付</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验收要求</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验收按有关的规定、规范进行。验收时如发现所交付的产品有短装、损坏等情况，采购人现场进行详尽记录，或由采购人和供应商双方签署备忘录。此现场记录或备忘录可用作补充、缺失和更换损坏部件的有效证据。由此产生的有关费用由成交供应商承担。</w:t>
      </w:r>
    </w:p>
    <w:p>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2.如果合同产品运输和安装过程中因事故造成货物短缺、损坏，供应商应及时安排换货，以保证合同产品安装调试的成功完成。换货的相关费用由供应商承担。</w:t>
      </w:r>
    </w:p>
    <w:p>
      <w:pPr>
        <w:keepNext w:val="0"/>
        <w:keepLines w:val="0"/>
        <w:pageBreakBefore w:val="0"/>
        <w:widowControl/>
        <w:kinsoku/>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检测要求</w:t>
      </w:r>
    </w:p>
    <w:p>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在进行货物验收时，有权随机抽取部分货物到第三方正规机构进行相关检测，如检测结果合格，则由采购人负责检测费用；如检测不合格，检测费用由供应商负责，且必须无条件更换达标货物，并扣除供应商50%履约保证金。如连续两次检测均不合格，则扣除供应商全部履约保证金，且采购人有权解除合同，采购人因此产生的成本或损失，由供应商负责。</w:t>
      </w:r>
    </w:p>
    <w:p>
      <w:pPr>
        <w:keepNext w:val="0"/>
        <w:keepLines w:val="0"/>
        <w:pageBreakBefore w:val="0"/>
        <w:widowControl/>
        <w:numPr>
          <w:ilvl w:val="0"/>
          <w:numId w:val="17"/>
        </w:numPr>
        <w:kinsoku/>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支付条款：</w:t>
      </w:r>
    </w:p>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360" w:lineRule="auto"/>
        <w:jc w:val="left"/>
        <w:textAlignment w:val="auto"/>
      </w:pPr>
      <w:r>
        <w:rPr>
          <w:rFonts w:hint="eastAsia" w:ascii="宋体" w:hAnsi="宋体"/>
          <w:kern w:val="21"/>
          <w:szCs w:val="21"/>
          <w:lang w:eastAsia="zh-CN"/>
        </w:rPr>
        <w:t>验收合格后支付，供应商需提交等额的</w:t>
      </w:r>
      <w:r>
        <w:rPr>
          <w:rFonts w:hint="eastAsia" w:ascii="宋体" w:hAnsi="宋体"/>
          <w:kern w:val="21"/>
          <w:szCs w:val="21"/>
          <w:lang w:val="en-US" w:eastAsia="zh-CN"/>
        </w:rPr>
        <w:t>增值税专用</w:t>
      </w:r>
      <w:r>
        <w:rPr>
          <w:rFonts w:hint="eastAsia" w:ascii="宋体" w:hAnsi="宋体"/>
          <w:kern w:val="21"/>
          <w:szCs w:val="21"/>
          <w:lang w:eastAsia="zh-CN"/>
        </w:rPr>
        <w:t>发票</w:t>
      </w:r>
      <w:r>
        <w:rPr>
          <w:rFonts w:hint="eastAsia" w:ascii="宋体" w:hAnsi="宋体"/>
          <w:kern w:val="21"/>
          <w:szCs w:val="21"/>
          <w:lang w:val="en-US" w:eastAsia="zh-CN"/>
        </w:rPr>
        <w:t>，采购人收到发票后，30天内办理支付手续，如遇节假日顺延。</w:t>
      </w:r>
    </w:p>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360" w:lineRule="auto"/>
        <w:jc w:val="left"/>
        <w:textAlignment w:val="auto"/>
        <w:rPr>
          <w:rFonts w:ascii="宋体" w:hAnsi="宋体"/>
          <w:kern w:val="21"/>
          <w:szCs w:val="21"/>
        </w:rPr>
      </w:pPr>
      <w:r>
        <w:rPr>
          <w:rFonts w:hint="eastAsia" w:ascii="宋体" w:hAnsi="宋体"/>
          <w:kern w:val="21"/>
          <w:szCs w:val="21"/>
        </w:rPr>
        <w:t>成交供应商凭以下有效文件与采购人结算：</w:t>
      </w:r>
    </w:p>
    <w:p>
      <w:pPr>
        <w:keepNext w:val="0"/>
        <w:keepLines w:val="0"/>
        <w:pageBreakBefore w:val="0"/>
        <w:widowControl w:val="0"/>
        <w:numPr>
          <w:ilvl w:val="0"/>
          <w:numId w:val="19"/>
        </w:numPr>
        <w:kinsoku/>
        <w:wordWrap/>
        <w:overflowPunct/>
        <w:topLinePunct w:val="0"/>
        <w:bidi w:val="0"/>
        <w:adjustRightInd w:val="0"/>
        <w:snapToGrid w:val="0"/>
        <w:spacing w:line="360" w:lineRule="auto"/>
        <w:textAlignment w:val="auto"/>
        <w:rPr>
          <w:rFonts w:ascii="宋体" w:hAnsi="宋体"/>
          <w:szCs w:val="21"/>
        </w:rPr>
      </w:pPr>
      <w:r>
        <w:rPr>
          <w:rFonts w:ascii="宋体" w:hAnsi="宋体"/>
          <w:szCs w:val="21"/>
        </w:rPr>
        <w:t>合同；</w:t>
      </w:r>
    </w:p>
    <w:p>
      <w:pPr>
        <w:keepNext w:val="0"/>
        <w:keepLines w:val="0"/>
        <w:pageBreakBefore w:val="0"/>
        <w:widowControl w:val="0"/>
        <w:numPr>
          <w:ilvl w:val="0"/>
          <w:numId w:val="19"/>
        </w:numPr>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szCs w:val="21"/>
        </w:rPr>
        <w:t>成交供应商</w:t>
      </w:r>
      <w:r>
        <w:rPr>
          <w:rFonts w:ascii="宋体" w:hAnsi="宋体"/>
          <w:szCs w:val="21"/>
        </w:rPr>
        <w:t>开具的</w:t>
      </w:r>
      <w:r>
        <w:rPr>
          <w:rFonts w:hint="eastAsia" w:ascii="宋体" w:hAnsi="宋体" w:cs="宋体"/>
          <w:b/>
          <w:bCs/>
          <w:kern w:val="0"/>
          <w:szCs w:val="21"/>
          <w:lang w:bidi="ar"/>
        </w:rPr>
        <w:t>增值税专用发票</w:t>
      </w:r>
      <w:r>
        <w:rPr>
          <w:rFonts w:ascii="宋体" w:hAnsi="宋体"/>
          <w:szCs w:val="21"/>
        </w:rPr>
        <w:t>；</w:t>
      </w:r>
    </w:p>
    <w:p>
      <w:pPr>
        <w:keepNext w:val="0"/>
        <w:keepLines w:val="0"/>
        <w:pageBreakBefore w:val="0"/>
        <w:widowControl w:val="0"/>
        <w:numPr>
          <w:ilvl w:val="0"/>
          <w:numId w:val="19"/>
        </w:numPr>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szCs w:val="21"/>
        </w:rPr>
        <w:t>成交</w:t>
      </w:r>
      <w:r>
        <w:rPr>
          <w:rFonts w:ascii="宋体" w:hAnsi="宋体"/>
          <w:szCs w:val="21"/>
        </w:rPr>
        <w:t>通知书。</w:t>
      </w:r>
    </w:p>
    <w:p>
      <w:pP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pPr>
        <w:jc w:val="center"/>
        <w:outlineLvl w:val="1"/>
        <w:rPr>
          <w:rFonts w:hint="eastAsia"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7"/>
        <w:gridCol w:w="1958"/>
        <w:gridCol w:w="2140"/>
        <w:gridCol w:w="729"/>
        <w:gridCol w:w="832"/>
        <w:gridCol w:w="1081"/>
        <w:gridCol w:w="108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序号</w:t>
            </w:r>
          </w:p>
        </w:tc>
        <w:tc>
          <w:tcPr>
            <w:tcW w:w="1014"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品名</w:t>
            </w:r>
          </w:p>
        </w:tc>
        <w:tc>
          <w:tcPr>
            <w:tcW w:w="110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规格、型号</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单位</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数量</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单价（元）</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小计（元）</w:t>
            </w:r>
          </w:p>
        </w:tc>
        <w:tc>
          <w:tcPr>
            <w:tcW w:w="5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w:t>
            </w:r>
          </w:p>
        </w:tc>
        <w:tc>
          <w:tcPr>
            <w:tcW w:w="1014"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rPr>
            </w:pPr>
            <w:r>
              <w:rPr>
                <w:rFonts w:hint="eastAsia" w:ascii="宋体" w:hAnsi="宋体" w:eastAsia="宋体" w:cs="宋体"/>
                <w:bCs/>
                <w:color w:val="000000"/>
                <w:szCs w:val="21"/>
                <w:lang w:val="en-US" w:eastAsia="zh-CN"/>
              </w:rPr>
              <w:t>轿厢壁</w:t>
            </w:r>
          </w:p>
        </w:tc>
        <w:tc>
          <w:tcPr>
            <w:tcW w:w="1108"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rPr>
            </w:pPr>
            <w:r>
              <w:rPr>
                <w:rFonts w:hint="eastAsia" w:ascii="宋体" w:hAnsi="宋体" w:eastAsia="宋体" w:cs="宋体"/>
                <w:bCs/>
                <w:color w:val="000000"/>
                <w:szCs w:val="21"/>
                <w:lang w:val="en-US" w:eastAsia="zh-CN"/>
              </w:rPr>
              <w:t>2200mm*250mm*2mm</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9</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31" w:type="pct"/>
            <w:vMerge w:val="restar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8-9厂货梯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w:t>
            </w:r>
          </w:p>
        </w:tc>
        <w:tc>
          <w:tcPr>
            <w:tcW w:w="1014"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轿厢操作面板（定做金属板）</w:t>
            </w:r>
          </w:p>
        </w:tc>
        <w:tc>
          <w:tcPr>
            <w:tcW w:w="1108"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860mm*180mm</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31"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1014"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轿厢防撞条</w:t>
            </w:r>
          </w:p>
        </w:tc>
        <w:tc>
          <w:tcPr>
            <w:tcW w:w="1108"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1700mm*70mm</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条</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31"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w:t>
            </w:r>
          </w:p>
        </w:tc>
        <w:tc>
          <w:tcPr>
            <w:tcW w:w="1014"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轿厢壁</w:t>
            </w:r>
          </w:p>
        </w:tc>
        <w:tc>
          <w:tcPr>
            <w:tcW w:w="1108"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2200mm*250mm*2mm</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7</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31" w:type="pct"/>
            <w:vMerge w:val="restar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1-7厂货梯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1014"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轿厢操作面板（定做金属板）</w:t>
            </w:r>
          </w:p>
        </w:tc>
        <w:tc>
          <w:tcPr>
            <w:tcW w:w="1108"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860mm*180mm</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块</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31"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41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6</w:t>
            </w:r>
          </w:p>
        </w:tc>
        <w:tc>
          <w:tcPr>
            <w:tcW w:w="1014"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轿厢防撞条</w:t>
            </w:r>
          </w:p>
        </w:tc>
        <w:tc>
          <w:tcPr>
            <w:tcW w:w="1108" w:type="pct"/>
            <w:noWrap w:val="0"/>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不锈钢，</w:t>
            </w: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1700mm*70mm</w:t>
            </w:r>
          </w:p>
        </w:tc>
        <w:tc>
          <w:tcPr>
            <w:tcW w:w="37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条</w:t>
            </w:r>
          </w:p>
        </w:tc>
        <w:tc>
          <w:tcPr>
            <w:tcW w:w="431"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58" w:type="pct"/>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531" w:type="pct"/>
            <w:vMerge w:val="continue"/>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000" w:type="pct"/>
            <w:gridSpan w:val="8"/>
            <w:noWrap/>
            <w:tcMar>
              <w:top w:w="15" w:type="dxa"/>
              <w:left w:w="15" w:type="dxa"/>
              <w:right w:w="15" w:type="dxa"/>
            </w:tcMar>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cs="宋体"/>
                <w:b/>
                <w:bCs w:val="0"/>
                <w:color w:val="000000"/>
                <w:szCs w:val="21"/>
                <w:u w:val="none"/>
                <w:lang w:val="en-US" w:eastAsia="zh-CN"/>
              </w:rPr>
            </w:pPr>
            <w:r>
              <w:rPr>
                <w:rFonts w:hint="eastAsia" w:ascii="宋体" w:hAnsi="宋体" w:cs="宋体"/>
                <w:b/>
                <w:bCs w:val="0"/>
                <w:color w:val="000000"/>
                <w:szCs w:val="21"/>
                <w:lang w:val="en-US" w:eastAsia="zh-CN"/>
              </w:rPr>
              <w:t>合计（各项小计之和）：</w:t>
            </w:r>
            <w:r>
              <w:rPr>
                <w:rFonts w:hint="eastAsia" w:ascii="宋体" w:hAnsi="宋体" w:cs="宋体"/>
                <w:b/>
                <w:bCs w:val="0"/>
                <w:color w:val="000000"/>
                <w:szCs w:val="21"/>
                <w:u w:val="single"/>
                <w:lang w:val="en-US" w:eastAsia="zh-CN"/>
              </w:rPr>
              <w:t xml:space="preserve">           </w:t>
            </w:r>
            <w:r>
              <w:rPr>
                <w:rFonts w:hint="eastAsia" w:ascii="宋体" w:hAnsi="宋体" w:cs="宋体"/>
                <w:b/>
                <w:bCs w:val="0"/>
                <w:color w:val="000000"/>
                <w:szCs w:val="21"/>
                <w:u w:val="none"/>
                <w:lang w:val="en-US" w:eastAsia="zh-CN"/>
              </w:rPr>
              <w:t>元，</w:t>
            </w:r>
          </w:p>
          <w:p>
            <w:pPr>
              <w:keepNext w:val="0"/>
              <w:keepLines w:val="0"/>
              <w:suppressLineNumbers w:val="0"/>
              <w:spacing w:before="156" w:beforeLines="50" w:beforeAutospacing="0" w:after="0" w:afterAutospacing="0" w:line="360" w:lineRule="auto"/>
              <w:ind w:left="0" w:leftChars="0" w:right="0" w:rightChars="0" w:firstLine="0" w:firstLineChars="0"/>
              <w:jc w:val="left"/>
              <w:rPr>
                <w:rFonts w:hint="default" w:ascii="宋体" w:hAnsi="宋体" w:eastAsia="宋体" w:cs="宋体"/>
                <w:bCs/>
                <w:color w:val="000000"/>
                <w:szCs w:val="21"/>
                <w:u w:val="none"/>
                <w:lang w:val="en-US" w:eastAsia="zh-CN"/>
              </w:rPr>
            </w:pPr>
            <w:r>
              <w:rPr>
                <w:rFonts w:hint="eastAsia" w:ascii="宋体" w:hAnsi="宋体" w:cs="宋体"/>
                <w:b/>
                <w:bCs w:val="0"/>
                <w:color w:val="000000"/>
                <w:szCs w:val="21"/>
                <w:u w:val="none"/>
                <w:lang w:val="en-US" w:eastAsia="zh-CN"/>
              </w:rPr>
              <w:t>报价包含完成项目所有相关费用（包括但不限于设计、制作、运输、安装、税费等费用）</w:t>
            </w:r>
          </w:p>
        </w:tc>
      </w:tr>
    </w:tbl>
    <w:p>
      <w:pPr>
        <w:pStyle w:val="4"/>
        <w:ind w:firstLine="0" w:firstLineChars="0"/>
        <w:rPr>
          <w:lang w:val="zh-CN"/>
        </w:rPr>
      </w:pPr>
    </w:p>
    <w:p>
      <w:pPr>
        <w:ind w:firstLine="0"/>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供应商报价表必须加盖公章，否则视作无效报价。</w:t>
      </w:r>
    </w:p>
    <w:p>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ind w:firstLine="0"/>
        <w:jc w:val="right"/>
        <w:rPr>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color w:val="000000" w:themeColor="text1"/>
          <w:szCs w:val="22"/>
          <w14:textFill>
            <w14:solidFill>
              <w14:schemeClr w14:val="tx1"/>
            </w14:solidFill>
          </w14:textFill>
        </w:rPr>
        <w:t>日期</w:t>
      </w:r>
    </w:p>
    <w:p>
      <w:pPr>
        <w:keepNext/>
        <w:keepLines/>
        <w:spacing w:line="360" w:lineRule="auto"/>
        <w:jc w:val="center"/>
        <w:outlineLvl w:val="1"/>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用户需求书响应声明函</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致：</w:t>
      </w:r>
      <w:r>
        <w:rPr>
          <w:rFonts w:hint="eastAsia" w:ascii="宋体" w:hAnsi="宋体" w:eastAsia="宋体" w:cs="宋体"/>
          <w:b/>
          <w:bCs/>
          <w:color w:val="000000"/>
        </w:rPr>
        <w:t>广东省广裕集团东莞兴龙实业有限公司</w:t>
      </w:r>
      <w:r>
        <w:rPr>
          <w:rFonts w:hint="eastAsia" w:ascii="宋体" w:hAnsi="宋体" w:cs="宋体"/>
          <w:b/>
          <w:bCs/>
          <w:color w:val="000000"/>
          <w:lang w:eastAsia="zh-CN"/>
        </w:rPr>
        <w:t>、</w:t>
      </w:r>
      <w:r>
        <w:rPr>
          <w:rFonts w:hint="eastAsia" w:ascii="宋体" w:hAnsi="宋体" w:eastAsia="宋体" w:cs="宋体"/>
          <w:b/>
          <w:color w:val="000000"/>
          <w:szCs w:val="21"/>
        </w:rPr>
        <w:t>云采链（广州）信息科技有限公司</w:t>
      </w:r>
    </w:p>
    <w:p>
      <w:pPr>
        <w:spacing w:line="360" w:lineRule="auto"/>
        <w:rPr>
          <w:rFonts w:hint="eastAsia" w:ascii="宋体" w:hAnsi="宋体" w:eastAsia="宋体" w:cs="宋体"/>
          <w:color w:val="000000"/>
          <w:szCs w:val="22"/>
          <w:lang w:val="zh-CN"/>
        </w:rPr>
      </w:pP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关于贵单位、贵司发布</w:t>
      </w:r>
      <w:r>
        <w:rPr>
          <w:rFonts w:hint="eastAsia" w:ascii="宋体" w:hAnsi="宋体" w:cs="宋体"/>
          <w:b/>
          <w:bCs/>
          <w:color w:val="000000"/>
          <w:szCs w:val="21"/>
          <w:u w:val="single"/>
          <w:lang w:eastAsia="zh-CN"/>
        </w:rPr>
        <w:t>广东省广裕集团东莞兴龙实业有限公司1-7厂、8-9厂货梯轿厢壁及操作面板金属板更换项目（第二次）</w:t>
      </w:r>
      <w:r>
        <w:rPr>
          <w:rFonts w:hint="eastAsia" w:ascii="宋体" w:hAnsi="宋体" w:eastAsia="宋体" w:cs="宋体"/>
          <w:color w:val="000000"/>
          <w:szCs w:val="21"/>
        </w:rPr>
        <w:t>的竞价公告，本公司（企业）愿意参加采购活动，并作出如下声明：</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cs="宋体"/>
          <w:b/>
          <w:color w:val="000000"/>
          <w:szCs w:val="22"/>
        </w:rPr>
      </w:pPr>
      <w:r>
        <w:rPr>
          <w:rFonts w:hint="eastAsia" w:ascii="宋体" w:hAnsi="宋体" w:eastAsia="宋体" w:cs="宋体"/>
          <w:b/>
          <w:color w:val="000000"/>
          <w:szCs w:val="22"/>
        </w:rPr>
        <w:t>备注：</w:t>
      </w:r>
    </w:p>
    <w:p>
      <w:pPr>
        <w:numPr>
          <w:ilvl w:val="0"/>
          <w:numId w:val="21"/>
        </w:numPr>
        <w:autoSpaceDE w:val="0"/>
        <w:autoSpaceDN w:val="0"/>
        <w:adjustRightInd w:val="0"/>
        <w:spacing w:line="360" w:lineRule="auto"/>
        <w:rPr>
          <w:rFonts w:hint="eastAsia" w:ascii="宋体" w:hAnsi="宋体" w:eastAsia="宋体" w:cs="宋体"/>
          <w:color w:val="000000"/>
          <w:szCs w:val="22"/>
        </w:rPr>
      </w:pPr>
      <w:r>
        <w:rPr>
          <w:rFonts w:hint="eastAsia" w:ascii="宋体" w:hAnsi="宋体" w:eastAsia="宋体" w:cs="宋体"/>
          <w:color w:val="000000"/>
          <w:szCs w:val="22"/>
        </w:rPr>
        <w:t>本声明函必须提供且内容不得擅自删改，否则视为响应无效。</w:t>
      </w:r>
    </w:p>
    <w:p>
      <w:pPr>
        <w:numPr>
          <w:ilvl w:val="0"/>
          <w:numId w:val="21"/>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pPr>
        <w:widowControl/>
        <w:spacing w:line="360" w:lineRule="auto"/>
        <w:jc w:val="left"/>
        <w:rPr>
          <w:rFonts w:hint="eastAsia" w:ascii="宋体" w:hAnsi="宋体" w:eastAsia="宋体" w:cs="宋体"/>
          <w:b/>
          <w:bCs/>
          <w:color w:val="000000"/>
          <w:kern w:val="0"/>
          <w:sz w:val="32"/>
          <w:szCs w:val="32"/>
        </w:rPr>
      </w:pPr>
    </w:p>
    <w:p>
      <w:pPr>
        <w:pStyle w:val="53"/>
        <w:wordWrap w:val="0"/>
        <w:spacing w:line="360" w:lineRule="auto"/>
        <w:ind w:left="1200" w:right="218" w:firstLine="0" w:firstLineChars="0"/>
        <w:jc w:val="right"/>
        <w:rPr>
          <w:rFonts w:hint="eastAsia" w:ascii="宋体" w:hAnsi="宋体" w:eastAsia="宋体" w:cs="宋体"/>
          <w:color w:val="000000"/>
          <w:szCs w:val="21"/>
          <w:u w:val="single"/>
          <w:lang w:val="en-US" w:eastAsia="zh-CN"/>
        </w:rPr>
      </w:pPr>
      <w:r>
        <w:rPr>
          <w:rFonts w:hint="eastAsia" w:ascii="宋体" w:hAnsi="宋体" w:eastAsia="宋体" w:cs="宋体"/>
          <w:color w:val="000000"/>
          <w:spacing w:val="4"/>
          <w:szCs w:val="21"/>
        </w:rPr>
        <w:t>供应商名称（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kern w:val="2"/>
          <w:sz w:val="21"/>
          <w:szCs w:val="21"/>
          <w:u w:val="single"/>
          <w:lang w:val="en-US" w:eastAsia="zh-CN" w:bidi="ar-SA"/>
        </w:rPr>
        <w:t xml:space="preserve">          </w:t>
      </w:r>
    </w:p>
    <w:p>
      <w:pPr>
        <w:pStyle w:val="53"/>
        <w:spacing w:line="360" w:lineRule="auto"/>
        <w:ind w:left="1200" w:right="210" w:firstLine="0" w:firstLineChars="0"/>
        <w:jc w:val="right"/>
        <w:rPr>
          <w:rFonts w:hint="eastAsia" w:ascii="宋体" w:hAnsi="宋体" w:eastAsia="宋体" w:cs="宋体"/>
          <w:color w:val="000000"/>
          <w:szCs w:val="21"/>
          <w:u w:val="single"/>
        </w:rPr>
      </w:pPr>
    </w:p>
    <w:p>
      <w:pPr>
        <w:spacing w:line="360" w:lineRule="auto"/>
        <w:ind w:firstLine="7688" w:firstLineChars="3527"/>
        <w:rPr>
          <w:rFonts w:hint="eastAsia" w:ascii="宋体" w:hAnsi="宋体" w:eastAsia="宋体" w:cs="宋体"/>
          <w:color w:val="000000"/>
          <w:spacing w:val="4"/>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p>
      <w:pPr>
        <w:rPr>
          <w:rFonts w:hint="eastAsia" w:ascii="宋体" w:hAnsi="宋体" w:eastAsia="宋体" w:cs="宋体"/>
          <w:color w:val="000000"/>
          <w:spacing w:val="4"/>
          <w:szCs w:val="21"/>
          <w:u w:val="single"/>
        </w:rPr>
      </w:pPr>
      <w:r>
        <w:rPr>
          <w:rFonts w:hint="eastAsia" w:ascii="宋体" w:hAnsi="宋体" w:eastAsia="宋体" w:cs="宋体"/>
          <w:color w:val="000000"/>
          <w:spacing w:val="4"/>
          <w:szCs w:val="21"/>
          <w:u w:val="single"/>
        </w:rPr>
        <w:br w:type="page"/>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广东省广裕集团东莞兴龙实业有限公司</w:t>
      </w:r>
      <w:r>
        <w:rPr>
          <w:rFonts w:hint="eastAsia" w:ascii="宋体" w:hAnsi="宋体" w:cs="宋体"/>
          <w:b/>
          <w:bCs/>
          <w:color w:val="000000"/>
          <w:lang w:eastAsia="zh-CN"/>
        </w:rPr>
        <w:t>、</w:t>
      </w:r>
      <w:r>
        <w:rPr>
          <w:rFonts w:hint="eastAsia" w:ascii="宋体" w:hAnsi="宋体" w:eastAsia="宋体" w:cs="宋体"/>
          <w:b/>
          <w:color w:val="000000"/>
        </w:rPr>
        <w:t>云采链（广州）信息科技有限公司</w:t>
      </w:r>
      <w:r>
        <w:rPr>
          <w:rFonts w:hint="eastAsia" w:ascii="宋体" w:hAnsi="宋体"/>
          <w:b/>
          <w:color w:val="000000" w:themeColor="text1"/>
          <w14:textFill>
            <w14:solidFill>
              <w14:schemeClr w14:val="tx1"/>
            </w14:solidFill>
          </w14:textFill>
        </w:rPr>
        <w:t>：</w:t>
      </w:r>
    </w:p>
    <w:p>
      <w:pPr>
        <w:rPr>
          <w:rFonts w:ascii="宋体" w:hAnsi="宋体"/>
          <w:b/>
          <w:color w:val="000000" w:themeColor="text1"/>
          <w14:textFill>
            <w14:solidFill>
              <w14:schemeClr w14:val="tx1"/>
            </w14:solidFill>
          </w14:textFill>
        </w:rPr>
      </w:pPr>
    </w:p>
    <w:p>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cs="宋体"/>
          <w:b/>
          <w:bCs/>
          <w:color w:val="000000"/>
          <w:szCs w:val="21"/>
          <w:u w:val="single"/>
          <w:lang w:eastAsia="zh-CN"/>
        </w:rPr>
        <w:t>广东省广裕集团东莞兴龙实业有限公司1-7厂、8-9厂货梯轿厢壁及操作面板金属板更换项目（第二次）</w:t>
      </w:r>
      <w:r>
        <w:rPr>
          <w:rFonts w:hint="eastAsia" w:ascii="宋体" w:hAnsi="宋体"/>
          <w:color w:val="000000" w:themeColor="text1"/>
          <w14:textFill>
            <w14:solidFill>
              <w14:schemeClr w14:val="tx1"/>
            </w14:solidFill>
          </w14:textFill>
        </w:rPr>
        <w:t>的竞价公告，本公司（企业）愿意参加竞价，并声明：</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本公司具有本次采购项目服务能力。</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本公司有固定的经营场所，资金雄厚、信誉良好、售后维护服务好，并且在经营活动中无严重违法记录。</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本公司在本项目中不转包分包且不联合竞价。</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本公司若存在隶属关系或同属一母公司或法人的企业，仅由一家企业参与竞价。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3"/>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3"/>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1"/>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1"/>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sectPr>
      <w:footerReference r:id="rId6" w:type="default"/>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13</w:t>
    </w:r>
    <w:r>
      <w:rPr>
        <w:lang w:val="zh-CN"/>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1">
    <w:nsid w:val="BCE16E17"/>
    <w:multiLevelType w:val="singleLevel"/>
    <w:tmpl w:val="BCE16E17"/>
    <w:lvl w:ilvl="0" w:tentative="0">
      <w:start w:val="1"/>
      <w:numFmt w:val="decimal"/>
      <w:lvlText w:val="(%1)"/>
      <w:lvlJc w:val="left"/>
      <w:pPr>
        <w:ind w:left="635" w:hanging="425"/>
      </w:pPr>
      <w:rPr>
        <w:rFonts w:hint="default" w:ascii="宋体" w:hAnsi="宋体" w:eastAsia="宋体" w:cs="宋体"/>
        <w:sz w:val="21"/>
        <w:szCs w:val="21"/>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C83C79DD"/>
    <w:multiLevelType w:val="singleLevel"/>
    <w:tmpl w:val="C83C79DD"/>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7">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0">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1">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3">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6">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06E3FE"/>
    <w:multiLevelType w:val="singleLevel"/>
    <w:tmpl w:val="2706E3FE"/>
    <w:lvl w:ilvl="0" w:tentative="0">
      <w:start w:val="3"/>
      <w:numFmt w:val="chineseCounting"/>
      <w:suff w:val="nothing"/>
      <w:lvlText w:val="（%1）"/>
      <w:lvlJc w:val="left"/>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387087"/>
    <w:multiLevelType w:val="multilevel"/>
    <w:tmpl w:val="61387087"/>
    <w:lvl w:ilvl="0" w:tentative="0">
      <w:start w:val="1"/>
      <w:numFmt w:val="decimal"/>
      <w:lvlText w:val="%1."/>
      <w:lvlJc w:val="left"/>
      <w:pPr>
        <w:tabs>
          <w:tab w:val="left" w:pos="425"/>
        </w:tabs>
        <w:ind w:left="425" w:hanging="425"/>
      </w:pPr>
      <w:rPr>
        <w:rFonts w:hint="default" w:ascii="宋体" w:hAnsi="宋体" w:eastAsia="宋体" w:cs="宋体"/>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F1CA374"/>
    <w:multiLevelType w:val="singleLevel"/>
    <w:tmpl w:val="7F1CA374"/>
    <w:lvl w:ilvl="0" w:tentative="0">
      <w:start w:val="1"/>
      <w:numFmt w:val="chineseCounting"/>
      <w:suff w:val="nothing"/>
      <w:lvlText w:val="（%1）"/>
      <w:lvlJc w:val="left"/>
      <w:pPr>
        <w:ind w:left="0" w:firstLine="420"/>
      </w:pPr>
      <w:rPr>
        <w:rFonts w:hint="eastAsia"/>
      </w:rPr>
    </w:lvl>
  </w:abstractNum>
  <w:num w:numId="1">
    <w:abstractNumId w:val="11"/>
  </w:num>
  <w:num w:numId="2">
    <w:abstractNumId w:val="21"/>
  </w:num>
  <w:num w:numId="3">
    <w:abstractNumId w:val="9"/>
  </w:num>
  <w:num w:numId="4">
    <w:abstractNumId w:val="19"/>
  </w:num>
  <w:num w:numId="5">
    <w:abstractNumId w:val="10"/>
  </w:num>
  <w:num w:numId="6">
    <w:abstractNumId w:val="16"/>
  </w:num>
  <w:num w:numId="7">
    <w:abstractNumId w:val="8"/>
  </w:num>
  <w:num w:numId="8">
    <w:abstractNumId w:val="6"/>
  </w:num>
  <w:num w:numId="9">
    <w:abstractNumId w:val="18"/>
  </w:num>
  <w:num w:numId="10">
    <w:abstractNumId w:val="12"/>
  </w:num>
  <w:num w:numId="11">
    <w:abstractNumId w:val="14"/>
  </w:num>
  <w:num w:numId="12">
    <w:abstractNumId w:val="15"/>
  </w:num>
  <w:num w:numId="13">
    <w:abstractNumId w:val="13"/>
  </w:num>
  <w:num w:numId="14">
    <w:abstractNumId w:val="0"/>
  </w:num>
  <w:num w:numId="15">
    <w:abstractNumId w:val="3"/>
  </w:num>
  <w:num w:numId="16">
    <w:abstractNumId w:val="22"/>
  </w:num>
  <w:num w:numId="17">
    <w:abstractNumId w:val="17"/>
  </w:num>
  <w:num w:numId="18">
    <w:abstractNumId w:val="20"/>
  </w:num>
  <w:num w:numId="19">
    <w:abstractNumId w:val="1"/>
  </w:num>
  <w:num w:numId="20">
    <w:abstractNumId w:val="7"/>
  </w:num>
  <w:num w:numId="21">
    <w:abstractNumId w:val="4"/>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8E658B"/>
    <w:rsid w:val="00007441"/>
    <w:rsid w:val="0004244B"/>
    <w:rsid w:val="00125281"/>
    <w:rsid w:val="00127FC1"/>
    <w:rsid w:val="00144F21"/>
    <w:rsid w:val="00166F8E"/>
    <w:rsid w:val="00172702"/>
    <w:rsid w:val="001D6690"/>
    <w:rsid w:val="001E7592"/>
    <w:rsid w:val="00262739"/>
    <w:rsid w:val="00291F0F"/>
    <w:rsid w:val="003B0C75"/>
    <w:rsid w:val="003B2AE4"/>
    <w:rsid w:val="003B7344"/>
    <w:rsid w:val="003D49BF"/>
    <w:rsid w:val="003E1F40"/>
    <w:rsid w:val="003F4369"/>
    <w:rsid w:val="00435C49"/>
    <w:rsid w:val="00437D5A"/>
    <w:rsid w:val="00451312"/>
    <w:rsid w:val="0046610B"/>
    <w:rsid w:val="0047055A"/>
    <w:rsid w:val="00477F31"/>
    <w:rsid w:val="004A157A"/>
    <w:rsid w:val="004B641A"/>
    <w:rsid w:val="00504B4D"/>
    <w:rsid w:val="00516848"/>
    <w:rsid w:val="0052532F"/>
    <w:rsid w:val="00564860"/>
    <w:rsid w:val="00677AF3"/>
    <w:rsid w:val="0069271F"/>
    <w:rsid w:val="00695E83"/>
    <w:rsid w:val="006E45E4"/>
    <w:rsid w:val="00757F59"/>
    <w:rsid w:val="00763000"/>
    <w:rsid w:val="008316C7"/>
    <w:rsid w:val="008E658B"/>
    <w:rsid w:val="00970704"/>
    <w:rsid w:val="00A2454F"/>
    <w:rsid w:val="00A62462"/>
    <w:rsid w:val="00A741ED"/>
    <w:rsid w:val="00A90D7E"/>
    <w:rsid w:val="00AA1751"/>
    <w:rsid w:val="00AF4358"/>
    <w:rsid w:val="00B35248"/>
    <w:rsid w:val="00BB6EA9"/>
    <w:rsid w:val="00BC2B71"/>
    <w:rsid w:val="00C129D9"/>
    <w:rsid w:val="00C50570"/>
    <w:rsid w:val="00CA56EA"/>
    <w:rsid w:val="00DB262C"/>
    <w:rsid w:val="00DE4337"/>
    <w:rsid w:val="00E74125"/>
    <w:rsid w:val="00EB20B3"/>
    <w:rsid w:val="00F458EE"/>
    <w:rsid w:val="00F6761C"/>
    <w:rsid w:val="00F71D4B"/>
    <w:rsid w:val="00F80D17"/>
    <w:rsid w:val="00F90A8C"/>
    <w:rsid w:val="00FA27A6"/>
    <w:rsid w:val="00FE49DE"/>
    <w:rsid w:val="019D7E34"/>
    <w:rsid w:val="022F303B"/>
    <w:rsid w:val="047F71B0"/>
    <w:rsid w:val="0A560A40"/>
    <w:rsid w:val="115C6A77"/>
    <w:rsid w:val="12F55722"/>
    <w:rsid w:val="14442001"/>
    <w:rsid w:val="151F62A1"/>
    <w:rsid w:val="183A6D72"/>
    <w:rsid w:val="1A165567"/>
    <w:rsid w:val="1C9B7496"/>
    <w:rsid w:val="25956469"/>
    <w:rsid w:val="2891360D"/>
    <w:rsid w:val="2AC61E4D"/>
    <w:rsid w:val="2BFB3D26"/>
    <w:rsid w:val="2DD97383"/>
    <w:rsid w:val="2FBE6265"/>
    <w:rsid w:val="343969A2"/>
    <w:rsid w:val="382E6C2E"/>
    <w:rsid w:val="3C7E335B"/>
    <w:rsid w:val="3E682B08"/>
    <w:rsid w:val="3E7404CD"/>
    <w:rsid w:val="42104915"/>
    <w:rsid w:val="437711A8"/>
    <w:rsid w:val="4627234D"/>
    <w:rsid w:val="47C36A0E"/>
    <w:rsid w:val="4A130F71"/>
    <w:rsid w:val="4B7778F3"/>
    <w:rsid w:val="4D0F2744"/>
    <w:rsid w:val="4E9D66F5"/>
    <w:rsid w:val="4ED44770"/>
    <w:rsid w:val="536873AD"/>
    <w:rsid w:val="5875165E"/>
    <w:rsid w:val="59CA7788"/>
    <w:rsid w:val="5AE55038"/>
    <w:rsid w:val="605F5E18"/>
    <w:rsid w:val="627500D5"/>
    <w:rsid w:val="672B0CE6"/>
    <w:rsid w:val="6B655DB6"/>
    <w:rsid w:val="6E4678CD"/>
    <w:rsid w:val="6FBB4290"/>
    <w:rsid w:val="718443CB"/>
    <w:rsid w:val="71BE59CD"/>
    <w:rsid w:val="73957960"/>
    <w:rsid w:val="73CB7772"/>
    <w:rsid w:val="74497A62"/>
    <w:rsid w:val="75E4267A"/>
    <w:rsid w:val="75EB1D15"/>
    <w:rsid w:val="78DE5607"/>
    <w:rsid w:val="7A196B3B"/>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spacing w:before="260" w:after="260" w:line="415" w:lineRule="auto"/>
      <w:ind w:firstLine="0"/>
      <w:outlineLvl w:val="1"/>
    </w:pPr>
    <w:rPr>
      <w:rFonts w:ascii="Cambria" w:hAnsi="Cambria" w:cs="宋体"/>
      <w:b/>
      <w:bCs/>
      <w:sz w:val="32"/>
      <w:szCs w:val="32"/>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7"/>
    <w:basedOn w:val="1"/>
    <w:next w:val="1"/>
    <w:autoRedefine/>
    <w:qFormat/>
    <w:uiPriority w:val="0"/>
    <w:pPr>
      <w:spacing w:line="240" w:lineRule="auto"/>
      <w:ind w:left="1260" w:firstLine="0"/>
      <w:jc w:val="left"/>
    </w:pPr>
    <w:rPr>
      <w:rFonts w:ascii="Calibri" w:hAnsi="Calibri" w:cs="Calibri"/>
      <w:sz w:val="18"/>
      <w:szCs w:val="18"/>
    </w:rPr>
  </w:style>
  <w:style w:type="paragraph" w:styleId="4">
    <w:name w:val="Normal Indent"/>
    <w:basedOn w:val="1"/>
    <w:autoRedefine/>
    <w:qFormat/>
    <w:uiPriority w:val="0"/>
    <w:pPr>
      <w:ind w:firstLine="420" w:firstLineChars="200"/>
    </w:pPr>
    <w:rPr>
      <w:szCs w:val="21"/>
    </w:rPr>
  </w:style>
  <w:style w:type="paragraph" w:styleId="5">
    <w:name w:val="annotation text"/>
    <w:basedOn w:val="1"/>
    <w:link w:val="28"/>
    <w:autoRedefine/>
    <w:qFormat/>
    <w:uiPriority w:val="99"/>
    <w:pPr>
      <w:jc w:val="left"/>
    </w:pPr>
  </w:style>
  <w:style w:type="paragraph" w:styleId="6">
    <w:name w:val="Body Text"/>
    <w:basedOn w:val="1"/>
    <w:link w:val="61"/>
    <w:semiHidden/>
    <w:unhideWhenUsed/>
    <w:qFormat/>
    <w:uiPriority w:val="0"/>
    <w:pPr>
      <w:keepNext w:val="0"/>
      <w:keepLines w:val="0"/>
      <w:widowControl w:val="0"/>
      <w:suppressLineNumbers w:val="0"/>
      <w:spacing w:before="0" w:beforeAutospacing="0" w:after="120" w:afterAutospacing="0" w:line="60" w:lineRule="auto"/>
      <w:ind w:left="0" w:right="0" w:firstLine="482"/>
      <w:jc w:val="both"/>
    </w:pPr>
    <w:rPr>
      <w:rFonts w:hint="default" w:ascii="Times New Roman" w:hAnsi="Times New Roman" w:eastAsia="宋体" w:cs="Times New Roman"/>
      <w:kern w:val="2"/>
      <w:sz w:val="21"/>
      <w:szCs w:val="24"/>
      <w:lang w:val="en-US" w:eastAsia="zh-CN" w:bidi="ar"/>
    </w:rPr>
  </w:style>
  <w:style w:type="paragraph" w:styleId="7">
    <w:name w:val="Plain Text"/>
    <w:basedOn w:val="1"/>
    <w:link w:val="35"/>
    <w:qFormat/>
    <w:uiPriority w:val="99"/>
    <w:pPr>
      <w:spacing w:line="240" w:lineRule="auto"/>
      <w:ind w:firstLine="0"/>
    </w:pPr>
    <w:rPr>
      <w:rFonts w:ascii="宋体" w:hAnsi="Courier New"/>
      <w:kern w:val="0"/>
      <w:sz w:val="20"/>
      <w:szCs w:val="21"/>
    </w:rPr>
  </w:style>
  <w:style w:type="paragraph" w:styleId="8">
    <w:name w:val="Balloon Text"/>
    <w:basedOn w:val="1"/>
    <w:link w:val="36"/>
    <w:autoRedefine/>
    <w:qFormat/>
    <w:uiPriority w:val="0"/>
    <w:pPr>
      <w:spacing w:line="240" w:lineRule="auto"/>
    </w:pPr>
    <w:rPr>
      <w:sz w:val="18"/>
      <w:szCs w:val="18"/>
    </w:rPr>
  </w:style>
  <w:style w:type="paragraph" w:styleId="9">
    <w:name w:val="footer"/>
    <w:basedOn w:val="1"/>
    <w:link w:val="56"/>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4"/>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autoRedefine/>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2">
    <w:name w:val="Title"/>
    <w:basedOn w:val="1"/>
    <w:next w:val="1"/>
    <w:link w:val="47"/>
    <w:autoRedefine/>
    <w:qFormat/>
    <w:uiPriority w:val="0"/>
    <w:pPr>
      <w:spacing w:before="240" w:after="60" w:line="240" w:lineRule="auto"/>
      <w:ind w:firstLine="0"/>
      <w:jc w:val="center"/>
      <w:outlineLvl w:val="0"/>
    </w:pPr>
    <w:rPr>
      <w:rFonts w:ascii="Cambria" w:hAnsi="Cambria"/>
      <w:b/>
      <w:bCs/>
      <w:kern w:val="0"/>
      <w:sz w:val="32"/>
      <w:szCs w:val="32"/>
    </w:rPr>
  </w:style>
  <w:style w:type="paragraph" w:styleId="13">
    <w:name w:val="annotation subject"/>
    <w:basedOn w:val="5"/>
    <w:next w:val="5"/>
    <w:link w:val="29"/>
    <w:qFormat/>
    <w:uiPriority w:val="99"/>
    <w:rPr>
      <w:b/>
      <w:bCs/>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Emphasis"/>
    <w:basedOn w:val="16"/>
    <w:autoRedefine/>
    <w:qFormat/>
    <w:uiPriority w:val="0"/>
    <w:rPr>
      <w:i/>
    </w:rPr>
  </w:style>
  <w:style w:type="character" w:styleId="19">
    <w:name w:val="Hyperlink"/>
    <w:basedOn w:val="16"/>
    <w:qFormat/>
    <w:uiPriority w:val="0"/>
    <w:rPr>
      <w:color w:val="0563C1"/>
      <w:u w:val="single"/>
    </w:rPr>
  </w:style>
  <w:style w:type="character" w:styleId="20">
    <w:name w:val="annotation reference"/>
    <w:basedOn w:val="16"/>
    <w:autoRedefine/>
    <w:qFormat/>
    <w:uiPriority w:val="99"/>
    <w:rPr>
      <w:sz w:val="21"/>
      <w:szCs w:val="21"/>
    </w:rPr>
  </w:style>
  <w:style w:type="paragraph" w:customStyle="1" w:styleId="21">
    <w:name w:val="列出段落1"/>
    <w:basedOn w:val="1"/>
    <w:link w:val="31"/>
    <w:qFormat/>
    <w:uiPriority w:val="34"/>
    <w:pPr>
      <w:ind w:firstLine="420" w:firstLineChars="200"/>
    </w:pPr>
  </w:style>
  <w:style w:type="paragraph" w:customStyle="1" w:styleId="22">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3">
    <w:name w:val="cf01"/>
    <w:basedOn w:val="16"/>
    <w:autoRedefine/>
    <w:qFormat/>
    <w:uiPriority w:val="0"/>
    <w:rPr>
      <w:rFonts w:hint="eastAsia" w:ascii="Microsoft YaHei UI" w:hAnsi="Microsoft YaHei UI" w:eastAsia="Microsoft YaHei UI"/>
      <w:sz w:val="18"/>
      <w:szCs w:val="18"/>
    </w:rPr>
  </w:style>
  <w:style w:type="character" w:customStyle="1" w:styleId="24">
    <w:name w:val="页眉 字符"/>
    <w:basedOn w:val="16"/>
    <w:link w:val="10"/>
    <w:autoRedefine/>
    <w:qFormat/>
    <w:uiPriority w:val="0"/>
    <w:rPr>
      <w:kern w:val="2"/>
      <w:sz w:val="18"/>
      <w:szCs w:val="18"/>
    </w:rPr>
  </w:style>
  <w:style w:type="character" w:customStyle="1" w:styleId="25">
    <w:name w:val="font01"/>
    <w:basedOn w:val="16"/>
    <w:autoRedefine/>
    <w:qFormat/>
    <w:uiPriority w:val="0"/>
    <w:rPr>
      <w:rFonts w:hint="eastAsia" w:ascii="宋体" w:hAnsi="宋体" w:eastAsia="宋体" w:cs="宋体"/>
      <w:color w:val="000000"/>
      <w:sz w:val="24"/>
      <w:szCs w:val="24"/>
      <w:u w:val="none"/>
    </w:rPr>
  </w:style>
  <w:style w:type="character" w:customStyle="1" w:styleId="26">
    <w:name w:val="font11"/>
    <w:basedOn w:val="16"/>
    <w:autoRedefine/>
    <w:qFormat/>
    <w:uiPriority w:val="0"/>
    <w:rPr>
      <w:rFonts w:hint="eastAsia" w:ascii="宋体" w:hAnsi="宋体" w:eastAsia="宋体" w:cs="宋体"/>
      <w:color w:val="000000"/>
      <w:sz w:val="24"/>
      <w:szCs w:val="24"/>
      <w:u w:val="none"/>
      <w:vertAlign w:val="superscript"/>
    </w:rPr>
  </w:style>
  <w:style w:type="paragraph" w:customStyle="1" w:styleId="2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批注文字 字符"/>
    <w:basedOn w:val="16"/>
    <w:link w:val="5"/>
    <w:autoRedefine/>
    <w:qFormat/>
    <w:uiPriority w:val="99"/>
    <w:rPr>
      <w:kern w:val="2"/>
      <w:sz w:val="21"/>
      <w:szCs w:val="24"/>
    </w:rPr>
  </w:style>
  <w:style w:type="character" w:customStyle="1" w:styleId="29">
    <w:name w:val="批注主题 字符"/>
    <w:basedOn w:val="28"/>
    <w:link w:val="13"/>
    <w:autoRedefine/>
    <w:qFormat/>
    <w:uiPriority w:val="99"/>
    <w:rPr>
      <w:b/>
      <w:bCs/>
      <w:kern w:val="2"/>
      <w:sz w:val="21"/>
      <w:szCs w:val="24"/>
    </w:rPr>
  </w:style>
  <w:style w:type="character" w:customStyle="1" w:styleId="30">
    <w:name w:val="cf11"/>
    <w:basedOn w:val="16"/>
    <w:autoRedefine/>
    <w:qFormat/>
    <w:uiPriority w:val="0"/>
    <w:rPr>
      <w:rFonts w:hint="eastAsia" w:ascii="Microsoft YaHei UI" w:hAnsi="Microsoft YaHei UI" w:eastAsia="Microsoft YaHei UI"/>
      <w:sz w:val="18"/>
      <w:szCs w:val="18"/>
    </w:rPr>
  </w:style>
  <w:style w:type="character" w:customStyle="1" w:styleId="31">
    <w:name w:val="列出段落 Char1"/>
    <w:link w:val="21"/>
    <w:autoRedefine/>
    <w:qFormat/>
    <w:uiPriority w:val="99"/>
    <w:rPr>
      <w:kern w:val="2"/>
      <w:sz w:val="21"/>
      <w:szCs w:val="24"/>
    </w:rPr>
  </w:style>
  <w:style w:type="character" w:customStyle="1" w:styleId="32">
    <w:name w:val="列出段落 Char"/>
    <w:link w:val="33"/>
    <w:qFormat/>
    <w:uiPriority w:val="99"/>
    <w:rPr>
      <w:kern w:val="2"/>
      <w:sz w:val="21"/>
      <w:szCs w:val="24"/>
    </w:rPr>
  </w:style>
  <w:style w:type="paragraph" w:customStyle="1" w:styleId="33">
    <w:name w:val="_Style 27"/>
    <w:basedOn w:val="1"/>
    <w:next w:val="21"/>
    <w:link w:val="32"/>
    <w:autoRedefine/>
    <w:qFormat/>
    <w:uiPriority w:val="34"/>
    <w:pPr>
      <w:spacing w:line="240" w:lineRule="auto"/>
      <w:ind w:firstLine="420" w:firstLineChars="200"/>
    </w:pPr>
  </w:style>
  <w:style w:type="character" w:customStyle="1" w:styleId="34">
    <w:name w:val="未处理的提及1"/>
    <w:basedOn w:val="16"/>
    <w:autoRedefine/>
    <w:qFormat/>
    <w:uiPriority w:val="99"/>
    <w:rPr>
      <w:color w:val="605E5C"/>
      <w:shd w:val="clear" w:color="auto" w:fill="E1DFDD"/>
    </w:rPr>
  </w:style>
  <w:style w:type="character" w:customStyle="1" w:styleId="35">
    <w:name w:val="纯文本 字符"/>
    <w:basedOn w:val="16"/>
    <w:link w:val="7"/>
    <w:autoRedefine/>
    <w:qFormat/>
    <w:uiPriority w:val="99"/>
    <w:rPr>
      <w:rFonts w:ascii="宋体" w:hAnsi="Courier New"/>
      <w:szCs w:val="21"/>
    </w:rPr>
  </w:style>
  <w:style w:type="character" w:customStyle="1" w:styleId="36">
    <w:name w:val="批注框文本 字符"/>
    <w:basedOn w:val="16"/>
    <w:link w:val="8"/>
    <w:autoRedefine/>
    <w:qFormat/>
    <w:uiPriority w:val="0"/>
    <w:rPr>
      <w:kern w:val="2"/>
      <w:sz w:val="18"/>
      <w:szCs w:val="18"/>
    </w:rPr>
  </w:style>
  <w:style w:type="paragraph" w:customStyle="1" w:styleId="37">
    <w:name w:val="列表段落1"/>
    <w:basedOn w:val="1"/>
    <w:qFormat/>
    <w:uiPriority w:val="0"/>
    <w:pPr>
      <w:spacing w:line="240" w:lineRule="auto"/>
      <w:ind w:firstLine="420" w:firstLineChars="200"/>
    </w:pPr>
    <w:rPr>
      <w:rFonts w:ascii="Calibri" w:hAnsi="Calibri"/>
    </w:rPr>
  </w:style>
  <w:style w:type="character" w:customStyle="1" w:styleId="38">
    <w:name w:val="列表段落 字符2"/>
    <w:qFormat/>
    <w:uiPriority w:val="99"/>
  </w:style>
  <w:style w:type="table" w:customStyle="1" w:styleId="39">
    <w:name w:val="网格型1"/>
    <w:basedOn w:val="1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_Style 36"/>
    <w:basedOn w:val="1"/>
    <w:next w:val="21"/>
    <w:autoRedefine/>
    <w:qFormat/>
    <w:uiPriority w:val="34"/>
    <w:pPr>
      <w:spacing w:line="240" w:lineRule="auto"/>
      <w:ind w:firstLine="420" w:firstLineChars="200"/>
    </w:pPr>
  </w:style>
  <w:style w:type="character" w:customStyle="1" w:styleId="41">
    <w:name w:val="font61"/>
    <w:basedOn w:val="16"/>
    <w:qFormat/>
    <w:uiPriority w:val="0"/>
    <w:rPr>
      <w:rFonts w:hint="eastAsia" w:ascii="宋体" w:hAnsi="宋体" w:eastAsia="宋体" w:cs="宋体"/>
      <w:color w:val="000000"/>
      <w:sz w:val="20"/>
      <w:szCs w:val="20"/>
      <w:u w:val="none"/>
    </w:rPr>
  </w:style>
  <w:style w:type="character" w:customStyle="1" w:styleId="42">
    <w:name w:val="纯文本 Char1"/>
    <w:autoRedefine/>
    <w:qFormat/>
    <w:uiPriority w:val="0"/>
    <w:rPr>
      <w:rFonts w:ascii="宋体" w:hAnsi="Courier New" w:eastAsia="宋体" w:cs="Courier New"/>
      <w:szCs w:val="21"/>
    </w:rPr>
  </w:style>
  <w:style w:type="paragraph" w:customStyle="1" w:styleId="43">
    <w:name w:val="_Style 41"/>
    <w:basedOn w:val="1"/>
    <w:next w:val="1"/>
    <w:autoRedefine/>
    <w:qFormat/>
    <w:uiPriority w:val="34"/>
    <w:pPr>
      <w:spacing w:line="240" w:lineRule="auto"/>
      <w:ind w:firstLine="420" w:firstLineChars="200"/>
    </w:pPr>
    <w:rPr>
      <w:rFonts w:ascii="Calibri" w:hAnsi="Calibri" w:eastAsiaTheme="minorEastAsia" w:cstheme="minorBidi"/>
      <w:szCs w:val="22"/>
    </w:rPr>
  </w:style>
  <w:style w:type="paragraph" w:customStyle="1" w:styleId="44">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5">
    <w:name w:val="表格文字"/>
    <w:basedOn w:val="1"/>
    <w:next w:val="1"/>
    <w:autoRedefine/>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标题 字符"/>
    <w:basedOn w:val="16"/>
    <w:link w:val="12"/>
    <w:autoRedefine/>
    <w:qFormat/>
    <w:uiPriority w:val="0"/>
    <w:rPr>
      <w:rFonts w:ascii="Cambria" w:hAnsi="Cambria"/>
      <w:b/>
      <w:bCs/>
      <w:sz w:val="32"/>
      <w:szCs w:val="32"/>
    </w:rPr>
  </w:style>
  <w:style w:type="paragraph" w:customStyle="1" w:styleId="48">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9">
    <w:name w:val="纯文本 字符1"/>
    <w:autoRedefine/>
    <w:qFormat/>
    <w:uiPriority w:val="99"/>
    <w:rPr>
      <w:rFonts w:ascii="宋体" w:hAnsi="Courier New" w:eastAsia="宋体" w:cs="Times New Roman"/>
      <w:kern w:val="0"/>
      <w:sz w:val="20"/>
      <w:szCs w:val="21"/>
    </w:rPr>
  </w:style>
  <w:style w:type="paragraph" w:customStyle="1" w:styleId="50">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2">
    <w:name w:val="red1"/>
    <w:autoRedefine/>
    <w:qFormat/>
    <w:uiPriority w:val="0"/>
    <w:rPr>
      <w:color w:val="FF0000"/>
    </w:rPr>
  </w:style>
  <w:style w:type="paragraph" w:styleId="53">
    <w:name w:val="List Paragraph"/>
    <w:basedOn w:val="1"/>
    <w:autoRedefine/>
    <w:qFormat/>
    <w:uiPriority w:val="99"/>
    <w:pPr>
      <w:ind w:firstLine="420" w:firstLineChars="200"/>
    </w:pPr>
    <w:rPr>
      <w:lang w:val="zh-CN"/>
    </w:rPr>
  </w:style>
  <w:style w:type="paragraph" w:customStyle="1" w:styleId="54">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_Style 121"/>
    <w:basedOn w:val="1"/>
    <w:next w:val="53"/>
    <w:autoRedefine/>
    <w:qFormat/>
    <w:uiPriority w:val="34"/>
    <w:pPr>
      <w:spacing w:line="240" w:lineRule="auto"/>
      <w:ind w:firstLine="420" w:firstLineChars="200"/>
    </w:pPr>
    <w:rPr>
      <w:rFonts w:ascii="Calibri" w:hAnsi="Calibri"/>
      <w:szCs w:val="22"/>
    </w:rPr>
  </w:style>
  <w:style w:type="character" w:customStyle="1" w:styleId="56">
    <w:name w:val="页脚 字符"/>
    <w:basedOn w:val="16"/>
    <w:link w:val="9"/>
    <w:autoRedefine/>
    <w:qFormat/>
    <w:uiPriority w:val="99"/>
    <w:rPr>
      <w:kern w:val="2"/>
      <w:sz w:val="18"/>
      <w:szCs w:val="18"/>
    </w:rPr>
  </w:style>
  <w:style w:type="paragraph" w:customStyle="1" w:styleId="57">
    <w:name w:val="列出段落"/>
    <w:basedOn w:val="1"/>
    <w:autoRedefine/>
    <w:qFormat/>
    <w:uiPriority w:val="0"/>
    <w:pPr>
      <w:ind w:firstLine="420" w:firstLineChars="200"/>
    </w:pPr>
    <w:rPr>
      <w:szCs w:val="21"/>
    </w:rPr>
  </w:style>
  <w:style w:type="character" w:customStyle="1" w:styleId="58">
    <w:name w:val="font21"/>
    <w:basedOn w:val="16"/>
    <w:autoRedefine/>
    <w:qFormat/>
    <w:uiPriority w:val="0"/>
    <w:rPr>
      <w:rFonts w:ascii="Arial" w:hAnsi="Arial" w:cs="Arial"/>
      <w:color w:val="000000"/>
      <w:sz w:val="18"/>
      <w:szCs w:val="18"/>
      <w:u w:val="none"/>
    </w:rPr>
  </w:style>
  <w:style w:type="paragraph" w:customStyle="1" w:styleId="59">
    <w:name w:val="List Paragraph1"/>
    <w:basedOn w:val="1"/>
    <w:qFormat/>
    <w:uiPriority w:val="0"/>
    <w:pPr>
      <w:spacing w:line="240" w:lineRule="auto"/>
      <w:ind w:firstLine="420" w:firstLineChars="200"/>
    </w:pPr>
    <w:rPr>
      <w:rFonts w:ascii="Calibri" w:hAnsi="Calibri"/>
      <w:szCs w:val="21"/>
    </w:rPr>
  </w:style>
  <w:style w:type="character" w:customStyle="1" w:styleId="60">
    <w:name w:val="15"/>
    <w:basedOn w:val="16"/>
    <w:autoRedefine/>
    <w:qFormat/>
    <w:uiPriority w:val="0"/>
    <w:rPr>
      <w:rFonts w:hint="default" w:ascii="Times New Roman" w:hAnsi="Times New Roman" w:cs="Times New Roman"/>
      <w:b/>
      <w:bCs/>
    </w:rPr>
  </w:style>
  <w:style w:type="character" w:customStyle="1" w:styleId="61">
    <w:name w:val="正文文本 字符"/>
    <w:basedOn w:val="16"/>
    <w:link w:val="6"/>
    <w:autoRedefine/>
    <w:qFormat/>
    <w:uiPriority w:val="0"/>
    <w:rPr>
      <w:kern w:val="2"/>
      <w:sz w:val="21"/>
      <w:szCs w:val="24"/>
    </w:rPr>
  </w:style>
  <w:style w:type="paragraph" w:customStyle="1" w:styleId="62">
    <w:name w:val="msolistparagraph"/>
    <w:basedOn w:val="1"/>
    <w:qFormat/>
    <w:uiPriority w:val="0"/>
    <w:pPr>
      <w:keepNext w:val="0"/>
      <w:keepLines w:val="0"/>
      <w:widowControl w:val="0"/>
      <w:suppressLineNumbers w:val="0"/>
      <w:spacing w:before="0" w:beforeAutospacing="0" w:after="0" w:afterAutospacing="0" w:line="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63">
    <w:name w:val="列表段落 字符"/>
    <w:basedOn w:val="1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18CE-FD7F-41CC-A30B-FDA417FFA325}">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14</Pages>
  <Words>6681</Words>
  <Characters>6937</Characters>
  <Lines>64</Lines>
  <Paragraphs>18</Paragraphs>
  <TotalTime>5</TotalTime>
  <ScaleCrop>false</ScaleCrop>
  <LinksUpToDate>false</LinksUpToDate>
  <CharactersWithSpaces>7013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2022-03-10T03:21:00Z</dcterms:created>
  <dc:creator>罗金城</dc:creator>
  <cp:lastModifiedBy>云采链</cp:lastModifiedBy>
  <dcterms:modified xsi:type="dcterms:W3CDTF">2024-05-24T04:10:50Z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F8DC8CBCCD62401297F085C370D3CDA7_13</vt:lpwstr>
  </property>
</Properties>
</file>