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before="156" w:beforeLines="50"/>
        <w:jc w:val="center"/>
        <w:rPr>
          <w:rFonts w:ascii="宋体" w:hAnsi="宋体" w:cs="宋体"/>
          <w:b/>
          <w:color w:val="000000" w:themeColor="text1"/>
          <w:sz w:val="84"/>
          <w:szCs w:val="84"/>
          <w14:textFill>
            <w14:solidFill>
              <w14:schemeClr w14:val="tx1"/>
            </w14:solidFill>
          </w14:textFill>
        </w:rPr>
      </w:pPr>
      <w:bookmarkStart w:id="0" w:name="_Hlk21427976"/>
      <w:bookmarkStart w:id="1" w:name="_Toc503340605"/>
    </w:p>
    <w:p>
      <w:pPr>
        <w:snapToGrid w:val="0"/>
        <w:spacing w:before="156" w:beforeLines="50"/>
        <w:jc w:val="center"/>
        <w:rPr>
          <w:rFonts w:ascii="宋体" w:hAnsi="宋体" w:cs="宋体"/>
          <w:b/>
          <w:color w:val="000000" w:themeColor="text1"/>
          <w:sz w:val="84"/>
          <w:szCs w:val="84"/>
          <w14:textFill>
            <w14:solidFill>
              <w14:schemeClr w14:val="tx1"/>
            </w14:solidFill>
          </w14:textFill>
        </w:rPr>
      </w:pPr>
    </w:p>
    <w:p>
      <w:pPr>
        <w:snapToGrid w:val="0"/>
        <w:spacing w:before="156" w:beforeLines="50"/>
        <w:jc w:val="center"/>
        <w:rPr>
          <w:rFonts w:hint="eastAsia" w:ascii="宋体" w:hAnsi="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cs="宋体"/>
          <w:b/>
          <w:bCs/>
          <w:color w:val="000000" w:themeColor="text1"/>
          <w:sz w:val="84"/>
          <w:szCs w:val="84"/>
          <w14:textFill>
            <w14:solidFill>
              <w14:schemeClr w14:val="tx1"/>
            </w14:solidFill>
          </w14:textFill>
        </w:rPr>
      </w:pPr>
      <w:r>
        <w:rPr>
          <w:rFonts w:hint="eastAsia" w:ascii="宋体" w:hAnsi="宋体" w:cs="宋体"/>
          <w:b/>
          <w:color w:val="000000" w:themeColor="text1"/>
          <w:sz w:val="84"/>
          <w:szCs w:val="84"/>
          <w14:textFill>
            <w14:solidFill>
              <w14:schemeClr w14:val="tx1"/>
            </w14:solidFill>
          </w14:textFill>
        </w:rPr>
        <w:t>竞价文件</w:t>
      </w:r>
    </w:p>
    <w:p>
      <w:pPr>
        <w:spacing w:line="360" w:lineRule="auto"/>
        <w:jc w:val="center"/>
        <w:rPr>
          <w:rFonts w:ascii="宋体" w:hAnsi="宋体" w:cs="宋体"/>
          <w:b/>
          <w:bCs/>
          <w:color w:val="000000" w:themeColor="text1"/>
          <w:sz w:val="24"/>
          <w14:textFill>
            <w14:solidFill>
              <w14:schemeClr w14:val="tx1"/>
            </w14:solidFill>
          </w14:textFill>
        </w:rPr>
      </w:pPr>
    </w:p>
    <w:p>
      <w:pPr>
        <w:spacing w:line="360" w:lineRule="auto"/>
        <w:rPr>
          <w:rFonts w:ascii="宋体" w:hAnsi="宋体" w:cs="宋体"/>
          <w:color w:val="000000" w:themeColor="text1"/>
          <w:sz w:val="30"/>
          <w:szCs w:val="30"/>
          <w14:textFill>
            <w14:solidFill>
              <w14:schemeClr w14:val="tx1"/>
            </w14:solidFill>
          </w14:textFill>
        </w:rPr>
      </w:pPr>
    </w:p>
    <w:p>
      <w:pPr>
        <w:spacing w:line="360" w:lineRule="auto"/>
        <w:rPr>
          <w:rFonts w:ascii="宋体" w:hAnsi="宋体" w:cs="宋体"/>
          <w:color w:val="000000" w:themeColor="text1"/>
          <w:sz w:val="30"/>
          <w:szCs w:val="30"/>
          <w14:textFill>
            <w14:solidFill>
              <w14:schemeClr w14:val="tx1"/>
            </w14:solidFill>
          </w14:textFill>
        </w:rPr>
      </w:pPr>
    </w:p>
    <w:p>
      <w:pPr>
        <w:spacing w:line="360" w:lineRule="auto"/>
        <w:rPr>
          <w:rFonts w:ascii="宋体" w:hAnsi="宋体" w:cs="宋体"/>
          <w:color w:val="000000" w:themeColor="text1"/>
          <w:sz w:val="30"/>
          <w:szCs w:val="30"/>
          <w14:textFill>
            <w14:solidFill>
              <w14:schemeClr w14:val="tx1"/>
            </w14:solidFill>
          </w14:textFill>
        </w:rPr>
      </w:pPr>
    </w:p>
    <w:p>
      <w:pPr>
        <w:spacing w:line="360" w:lineRule="auto"/>
        <w:rPr>
          <w:rFonts w:ascii="宋体" w:hAnsi="宋体" w:cs="宋体"/>
          <w:color w:val="000000" w:themeColor="text1"/>
          <w:sz w:val="30"/>
          <w:szCs w:val="30"/>
          <w14:textFill>
            <w14:solidFill>
              <w14:schemeClr w14:val="tx1"/>
            </w14:solidFill>
          </w14:textFill>
        </w:rPr>
      </w:pPr>
    </w:p>
    <w:p>
      <w:pPr>
        <w:spacing w:line="360" w:lineRule="auto"/>
        <w:jc w:val="left"/>
        <w:rPr>
          <w:rFonts w:hint="eastAsia" w:ascii="宋体" w:hAnsi="宋体" w:cs="宋体"/>
          <w:b/>
          <w:bCs/>
          <w:color w:val="000000" w:themeColor="text1"/>
          <w:sz w:val="28"/>
          <w:szCs w:val="32"/>
          <w14:textFill>
            <w14:solidFill>
              <w14:schemeClr w14:val="tx1"/>
            </w14:solidFill>
          </w14:textFill>
        </w:rPr>
      </w:pPr>
    </w:p>
    <w:p>
      <w:pPr>
        <w:spacing w:line="360" w:lineRule="auto"/>
        <w:jc w:val="left"/>
        <w:rPr>
          <w:rFonts w:hint="eastAsia" w:ascii="宋体" w:hAnsi="宋体" w:cs="宋体"/>
          <w:b/>
          <w:bCs/>
          <w:color w:val="000000" w:themeColor="text1"/>
          <w:sz w:val="28"/>
          <w:szCs w:val="32"/>
          <w14:textFill>
            <w14:solidFill>
              <w14:schemeClr w14:val="tx1"/>
            </w14:solidFill>
          </w14:textFill>
        </w:rPr>
      </w:pPr>
    </w:p>
    <w:p>
      <w:pPr>
        <w:spacing w:line="360" w:lineRule="auto"/>
        <w:jc w:val="left"/>
        <w:rPr>
          <w:rFonts w:ascii="宋体" w:hAnsi="宋体" w:cs="宋体"/>
          <w:b/>
          <w:bCs/>
          <w:color w:val="000000" w:themeColor="text1"/>
          <w:sz w:val="28"/>
          <w:szCs w:val="32"/>
          <w14:textFill>
            <w14:solidFill>
              <w14:schemeClr w14:val="tx1"/>
            </w14:solidFill>
          </w14:textFill>
        </w:rPr>
      </w:pPr>
      <w:r>
        <w:rPr>
          <w:rFonts w:hint="eastAsia" w:ascii="宋体" w:hAnsi="宋体" w:cs="宋体"/>
          <w:b/>
          <w:bCs/>
          <w:color w:val="000000" w:themeColor="text1"/>
          <w:sz w:val="28"/>
          <w:szCs w:val="32"/>
          <w14:textFill>
            <w14:solidFill>
              <w14:schemeClr w14:val="tx1"/>
            </w14:solidFill>
          </w14:textFill>
        </w:rPr>
        <w:t>采购方式：线上竞价</w:t>
      </w:r>
    </w:p>
    <w:p>
      <w:pPr>
        <w:spacing w:line="360" w:lineRule="auto"/>
        <w:ind w:left="1405" w:hanging="1405" w:hangingChars="500"/>
        <w:jc w:val="left"/>
        <w:rPr>
          <w:rFonts w:hint="eastAsia" w:ascii="宋体" w:hAnsi="宋体" w:eastAsia="宋体" w:cs="宋体"/>
          <w:b/>
          <w:bCs/>
          <w:color w:val="000000" w:themeColor="text1"/>
          <w:sz w:val="28"/>
          <w:szCs w:val="32"/>
          <w:lang w:eastAsia="zh-CN"/>
          <w14:textFill>
            <w14:solidFill>
              <w14:schemeClr w14:val="tx1"/>
            </w14:solidFill>
          </w14:textFill>
        </w:rPr>
      </w:pPr>
      <w:r>
        <w:rPr>
          <w:rFonts w:hint="eastAsia" w:ascii="宋体" w:hAnsi="宋体" w:cs="宋体"/>
          <w:b/>
          <w:bCs/>
          <w:color w:val="000000" w:themeColor="text1"/>
          <w:sz w:val="28"/>
          <w:szCs w:val="32"/>
          <w14:textFill>
            <w14:solidFill>
              <w14:schemeClr w14:val="tx1"/>
            </w14:solidFill>
          </w14:textFill>
        </w:rPr>
        <w:t>项目名称：</w:t>
      </w:r>
      <w:r>
        <w:rPr>
          <w:rFonts w:hint="eastAsia" w:ascii="宋体" w:hAnsi="宋体" w:cs="宋体"/>
          <w:b/>
          <w:bCs w:val="0"/>
          <w:sz w:val="30"/>
          <w:szCs w:val="30"/>
          <w:u w:val="single"/>
          <w:lang w:eastAsia="zh-CN"/>
        </w:rPr>
        <w:t>东源县黄村镇中心幼儿园设备采购</w:t>
      </w:r>
    </w:p>
    <w:p>
      <w:pPr>
        <w:spacing w:line="360" w:lineRule="auto"/>
        <w:jc w:val="left"/>
        <w:rPr>
          <w:rFonts w:ascii="宋体" w:hAnsi="宋体" w:cs="宋体"/>
          <w:b/>
          <w:color w:val="000000" w:themeColor="text1"/>
          <w:sz w:val="28"/>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cs="宋体"/>
          <w:b/>
          <w:color w:val="000000" w:themeColor="text1"/>
          <w:sz w:val="28"/>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cs="宋体"/>
          <w:b/>
          <w:color w:val="000000" w:themeColor="text1"/>
          <w:sz w:val="28"/>
          <w14:textFill>
            <w14:solidFill>
              <w14:schemeClr w14:val="tx1"/>
            </w14:solidFill>
          </w14:textFill>
        </w:rPr>
      </w:pPr>
      <w:r>
        <w:rPr>
          <w:rFonts w:hint="eastAsia" w:ascii="宋体" w:hAnsi="宋体" w:cs="宋体"/>
          <w:b/>
          <w:color w:val="000000" w:themeColor="text1"/>
          <w:sz w:val="28"/>
          <w:lang w:eastAsia="zh-CN"/>
          <w14:textFill>
            <w14:solidFill>
              <w14:schemeClr w14:val="tx1"/>
            </w14:solidFill>
          </w14:textFill>
        </w:rPr>
        <w:t>东源县教育局</w:t>
      </w:r>
      <w:r>
        <w:rPr>
          <w:rFonts w:hint="eastAsia" w:ascii="宋体" w:hAnsi="宋体" w:cs="宋体"/>
          <w:b/>
          <w:color w:val="000000" w:themeColor="text1"/>
          <w:sz w:val="28"/>
          <w14:textFill>
            <w14:solidFill>
              <w14:schemeClr w14:val="tx1"/>
            </w14:solidFill>
          </w14:textFill>
        </w:rPr>
        <w:t xml:space="preserve"> </w:t>
      </w:r>
    </w:p>
    <w:p>
      <w:pPr>
        <w:autoSpaceDE w:val="0"/>
        <w:autoSpaceDN w:val="0"/>
        <w:adjustRightInd w:val="0"/>
        <w:snapToGrid w:val="0"/>
        <w:spacing w:line="360" w:lineRule="auto"/>
        <w:ind w:left="420" w:firstLine="420"/>
        <w:jc w:val="center"/>
        <w:rPr>
          <w:rFonts w:ascii="宋体" w:hAnsi="宋体" w:cs="宋体"/>
          <w:b/>
          <w:color w:val="000000" w:themeColor="text1"/>
          <w:sz w:val="28"/>
          <w14:textFill>
            <w14:solidFill>
              <w14:schemeClr w14:val="tx1"/>
            </w14:solidFill>
          </w14:textFill>
        </w:rPr>
      </w:pPr>
      <w:r>
        <w:rPr>
          <w:rFonts w:hint="eastAsia" w:ascii="宋体" w:hAnsi="宋体" w:cs="宋体"/>
          <w:b/>
          <w:color w:val="000000" w:themeColor="text1"/>
          <w:sz w:val="28"/>
          <w14:textFill>
            <w14:solidFill>
              <w14:schemeClr w14:val="tx1"/>
            </w14:solidFill>
          </w14:textFill>
        </w:rPr>
        <w:t>云采链（广州）信息科技有限公司</w:t>
      </w:r>
    </w:p>
    <w:p>
      <w:pPr>
        <w:autoSpaceDE w:val="0"/>
        <w:autoSpaceDN w:val="0"/>
        <w:adjustRightInd w:val="0"/>
        <w:snapToGrid w:val="0"/>
        <w:spacing w:line="360" w:lineRule="auto"/>
        <w:ind w:left="420" w:firstLine="420"/>
        <w:jc w:val="center"/>
        <w:rPr>
          <w:rFonts w:ascii="宋体" w:hAnsi="宋体" w:cs="宋体"/>
          <w:b/>
          <w:color w:val="000000" w:themeColor="text1"/>
          <w:sz w:val="28"/>
          <w14:textFill>
            <w14:solidFill>
              <w14:schemeClr w14:val="tx1"/>
            </w14:solidFill>
          </w14:textFill>
        </w:rPr>
      </w:pPr>
      <w:r>
        <w:rPr>
          <w:rFonts w:hint="eastAsia" w:ascii="宋体" w:hAnsi="宋体" w:cs="宋体"/>
          <w:b/>
          <w:color w:val="000000" w:themeColor="text1"/>
          <w:sz w:val="28"/>
          <w14:textFill>
            <w14:solidFill>
              <w14:schemeClr w14:val="tx1"/>
            </w14:solidFill>
          </w14:textFill>
        </w:rPr>
        <w:t>二零二</w:t>
      </w:r>
      <w:r>
        <w:rPr>
          <w:rFonts w:hint="eastAsia" w:ascii="宋体" w:hAnsi="宋体" w:cs="宋体"/>
          <w:b/>
          <w:color w:val="000000" w:themeColor="text1"/>
          <w:sz w:val="28"/>
          <w:lang w:val="en-US" w:eastAsia="zh-CN"/>
          <w14:textFill>
            <w14:solidFill>
              <w14:schemeClr w14:val="tx1"/>
            </w14:solidFill>
          </w14:textFill>
        </w:rPr>
        <w:t>四</w:t>
      </w:r>
      <w:r>
        <w:rPr>
          <w:rFonts w:hint="eastAsia" w:ascii="宋体" w:hAnsi="宋体" w:cs="宋体"/>
          <w:b/>
          <w:color w:val="000000" w:themeColor="text1"/>
          <w:sz w:val="28"/>
          <w14:textFill>
            <w14:solidFill>
              <w14:schemeClr w14:val="tx1"/>
            </w14:solidFill>
          </w14:textFill>
        </w:rPr>
        <w:t>年</w:t>
      </w:r>
      <w:r>
        <w:rPr>
          <w:rFonts w:hint="eastAsia" w:ascii="宋体" w:hAnsi="宋体" w:cs="宋体"/>
          <w:b/>
          <w:color w:val="000000" w:themeColor="text1"/>
          <w:sz w:val="28"/>
          <w:lang w:val="en-US" w:eastAsia="zh-CN"/>
          <w14:textFill>
            <w14:solidFill>
              <w14:schemeClr w14:val="tx1"/>
            </w14:solidFill>
          </w14:textFill>
        </w:rPr>
        <w:t>六</w:t>
      </w:r>
      <w:r>
        <w:rPr>
          <w:rFonts w:hint="eastAsia" w:ascii="宋体" w:hAnsi="宋体" w:cs="宋体"/>
          <w:b/>
          <w:color w:val="000000" w:themeColor="text1"/>
          <w:sz w:val="28"/>
          <w14:textFill>
            <w14:solidFill>
              <w14:schemeClr w14:val="tx1"/>
            </w14:solidFill>
          </w14:textFill>
        </w:rPr>
        <w:t>月</w:t>
      </w:r>
    </w:p>
    <w:bookmarkEnd w:id="0"/>
    <w:p>
      <w:pPr>
        <w:autoSpaceDE w:val="0"/>
        <w:autoSpaceDN w:val="0"/>
        <w:adjustRightInd w:val="0"/>
        <w:snapToGrid w:val="0"/>
        <w:spacing w:line="360" w:lineRule="auto"/>
        <w:ind w:left="420" w:firstLine="420"/>
        <w:jc w:val="center"/>
        <w:rPr>
          <w:rFonts w:ascii="宋体" w:hAnsi="宋体" w:cs="宋体"/>
          <w:b/>
          <w:color w:val="000000" w:themeColor="text1"/>
          <w:sz w:val="28"/>
          <w14:textFill>
            <w14:solidFill>
              <w14:schemeClr w14:val="tx1"/>
            </w14:solidFill>
          </w14:textFill>
        </w:rPr>
      </w:pPr>
    </w:p>
    <w:p>
      <w:pPr>
        <w:autoSpaceDE w:val="0"/>
        <w:autoSpaceDN w:val="0"/>
        <w:adjustRightInd w:val="0"/>
        <w:jc w:val="center"/>
        <w:outlineLvl w:val="0"/>
        <w:rPr>
          <w:rFonts w:ascii="宋体" w:hAnsi="宋体" w:cs="宋体"/>
          <w:b/>
          <w:bCs/>
          <w:color w:val="000000" w:themeColor="text1"/>
          <w:sz w:val="32"/>
          <w:szCs w:val="32"/>
          <w14:textFill>
            <w14:solidFill>
              <w14:schemeClr w14:val="tx1"/>
            </w14:solidFill>
          </w14:textFill>
        </w:rPr>
        <w:sectPr>
          <w:pgSz w:w="11906" w:h="16838"/>
          <w:pgMar w:top="1440" w:right="1416"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numPr>
          <w:ilvl w:val="0"/>
          <w:numId w:val="1"/>
        </w:numPr>
        <w:autoSpaceDE w:val="0"/>
        <w:autoSpaceDN w:val="0"/>
        <w:adjustRightInd w:val="0"/>
        <w:jc w:val="center"/>
        <w:outlineLvl w:val="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竞价须知</w:t>
      </w:r>
    </w:p>
    <w:p>
      <w:pPr>
        <w:autoSpaceDE w:val="0"/>
        <w:autoSpaceDN w:val="0"/>
        <w:adjustRightInd w:val="0"/>
        <w:spacing w:line="360" w:lineRule="auto"/>
        <w:jc w:val="left"/>
        <w:rPr>
          <w:rFonts w:ascii="宋体" w:hAnsi="宋体" w:cs="宋体"/>
          <w:color w:val="000000" w:themeColor="text1"/>
          <w:kern w:val="0"/>
          <w:highlight w:val="none"/>
          <w14:textFill>
            <w14:solidFill>
              <w14:schemeClr w14:val="tx1"/>
            </w14:solidFill>
          </w14:textFill>
        </w:rPr>
      </w:pPr>
      <w:bookmarkStart w:id="2" w:name="_Hlk21526609"/>
      <w:bookmarkStart w:id="3" w:name="_Hlk21526798"/>
      <w:bookmarkStart w:id="4" w:name="_Hlk21526831"/>
      <w:r>
        <w:rPr>
          <w:rFonts w:hint="eastAsia" w:ascii="宋体" w:hAnsi="宋体" w:cs="宋体"/>
          <w:color w:val="000000" w:themeColor="text1"/>
          <w:kern w:val="0"/>
          <w:highlight w:val="none"/>
          <w14:textFill>
            <w14:solidFill>
              <w14:schemeClr w14:val="tx1"/>
            </w14:solidFill>
          </w14:textFill>
        </w:rPr>
        <w:t>一、本项目采用邀请供应商竞价的方式进行竞价采购，不接受邀请名单之外的供应商参与竞价。</w:t>
      </w:r>
    </w:p>
    <w:p>
      <w:pPr>
        <w:autoSpaceDE w:val="0"/>
        <w:autoSpaceDN w:val="0"/>
        <w:adjustRightInd w:val="0"/>
        <w:spacing w:line="360" w:lineRule="auto"/>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二、本项目通过</w:t>
      </w:r>
      <w:r>
        <w:rPr>
          <w:rFonts w:hint="eastAsia" w:ascii="宋体" w:hAnsi="宋体" w:cs="宋体"/>
          <w:color w:val="000000" w:themeColor="text1"/>
          <w14:textFill>
            <w14:solidFill>
              <w14:schemeClr w14:val="tx1"/>
            </w14:solidFill>
          </w14:textFill>
        </w:rPr>
        <w:t>云采链线上采购一体化平台进行公开</w:t>
      </w:r>
      <w:r>
        <w:rPr>
          <w:rFonts w:hint="eastAsia" w:ascii="宋体" w:hAnsi="宋体" w:cs="宋体"/>
          <w:color w:val="000000" w:themeColor="text1"/>
          <w:kern w:val="0"/>
          <w14:textFill>
            <w14:solidFill>
              <w14:schemeClr w14:val="tx1"/>
            </w14:solidFill>
          </w14:textFill>
        </w:rPr>
        <w:t>竞价，参与竞价的供应商必须登陆交易平台进行注册，注册成功后方可参与项目竞价。</w:t>
      </w:r>
    </w:p>
    <w:p>
      <w:pPr>
        <w:pStyle w:val="56"/>
        <w:spacing w:line="360" w:lineRule="auto"/>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三、语言要求</w:t>
      </w:r>
    </w:p>
    <w:p>
      <w:pPr>
        <w:autoSpaceDE w:val="0"/>
        <w:autoSpaceDN w:val="0"/>
        <w:adjustRightIn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r>
        <w:rPr>
          <w:rFonts w:hint="eastAsia" w:ascii="宋体" w:hAnsi="宋体" w:cs="宋体"/>
          <w:color w:val="000000" w:themeColor="text1"/>
          <w:szCs w:val="21"/>
          <w14:textFill>
            <w14:solidFill>
              <w14:schemeClr w14:val="tx1"/>
            </w14:solidFill>
          </w14:textFill>
        </w:rPr>
        <w:t xml:space="preserve">  </w:t>
      </w:r>
    </w:p>
    <w:p>
      <w:pPr>
        <w:autoSpaceDE w:val="0"/>
        <w:autoSpaceDN w:val="0"/>
        <w:adjustRightIn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四、在云采链平台参与项目竞价后放弃成交资格超过三次（含三次）的供应商连同该供应商同一法人名下所有公司将被列入平台黑名单，永久不得参与平台的项目竞价。 </w:t>
      </w:r>
    </w:p>
    <w:p>
      <w:pPr>
        <w:autoSpaceDE w:val="0"/>
        <w:autoSpaceDN w:val="0"/>
        <w:adjustRightInd w:val="0"/>
        <w:spacing w:line="360" w:lineRule="auto"/>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五、竞价须知</w:t>
      </w:r>
    </w:p>
    <w:p>
      <w:pPr>
        <w:numPr>
          <w:ilvl w:val="0"/>
          <w:numId w:val="2"/>
        </w:numPr>
        <w:autoSpaceDE w:val="0"/>
        <w:autoSpaceDN w:val="0"/>
        <w:adjustRightInd w:val="0"/>
        <w:spacing w:line="360"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竞价说明</w:t>
      </w:r>
    </w:p>
    <w:p>
      <w:pPr>
        <w:numPr>
          <w:ilvl w:val="0"/>
          <w:numId w:val="3"/>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参与竞价的供应商应承担所有与准备和参加竞价有关的费用，不</w:t>
      </w:r>
      <w:r>
        <w:rPr>
          <w:rFonts w:hint="eastAsia" w:ascii="宋体" w:hAnsi="宋体" w:cs="宋体"/>
          <w:color w:val="000000" w:themeColor="text1"/>
          <w:kern w:val="0"/>
          <w:szCs w:val="21"/>
          <w:lang w:eastAsia="zh-TW"/>
          <w14:textFill>
            <w14:solidFill>
              <w14:schemeClr w14:val="tx1"/>
            </w14:solidFill>
          </w14:textFill>
        </w:rPr>
        <w:t>论</w:t>
      </w:r>
      <w:r>
        <w:rPr>
          <w:rFonts w:hint="eastAsia" w:ascii="宋体" w:hAnsi="宋体" w:cs="宋体"/>
          <w:color w:val="000000" w:themeColor="text1"/>
          <w:kern w:val="0"/>
          <w:szCs w:val="21"/>
          <w14:textFill>
            <w14:solidFill>
              <w14:schemeClr w14:val="tx1"/>
            </w14:solidFill>
          </w14:textFill>
        </w:rPr>
        <w:t>竞价</w:t>
      </w:r>
      <w:r>
        <w:rPr>
          <w:rFonts w:hint="eastAsia" w:ascii="宋体" w:hAnsi="宋体" w:cs="宋体"/>
          <w:color w:val="000000" w:themeColor="text1"/>
          <w:kern w:val="0"/>
          <w:szCs w:val="21"/>
          <w:lang w:eastAsia="zh-TW"/>
          <w14:textFill>
            <w14:solidFill>
              <w14:schemeClr w14:val="tx1"/>
            </w14:solidFill>
          </w14:textFill>
        </w:rPr>
        <w:t>的结果如何</w:t>
      </w:r>
      <w:r>
        <w:rPr>
          <w:rFonts w:hint="eastAsia" w:ascii="宋体" w:hAnsi="宋体" w:cs="宋体"/>
          <w:color w:val="000000" w:themeColor="text1"/>
          <w:kern w:val="0"/>
          <w:szCs w:val="21"/>
          <w14:textFill>
            <w14:solidFill>
              <w14:schemeClr w14:val="tx1"/>
            </w14:solidFill>
          </w14:textFill>
        </w:rPr>
        <w:t>，采购</w:t>
      </w:r>
      <w:r>
        <w:rPr>
          <w:rFonts w:hint="eastAsia" w:ascii="宋体" w:hAnsi="宋体" w:cs="宋体"/>
          <w:color w:val="000000" w:themeColor="text1"/>
          <w:kern w:val="0"/>
          <w:szCs w:val="21"/>
          <w:lang w:eastAsia="zh-TW"/>
          <w14:textFill>
            <w14:solidFill>
              <w14:schemeClr w14:val="tx1"/>
            </w14:solidFill>
          </w14:textFill>
        </w:rPr>
        <w:t>人</w:t>
      </w:r>
      <w:r>
        <w:rPr>
          <w:rFonts w:hint="eastAsia" w:ascii="宋体" w:hAnsi="宋体" w:cs="宋体"/>
          <w:color w:val="000000" w:themeColor="text1"/>
          <w:kern w:val="0"/>
          <w:szCs w:val="21"/>
          <w14:textFill>
            <w14:solidFill>
              <w14:schemeClr w14:val="tx1"/>
            </w14:solidFill>
          </w14:textFill>
        </w:rPr>
        <w:t>和</w:t>
      </w:r>
      <w:r>
        <w:rPr>
          <w:rFonts w:hint="eastAsia" w:ascii="宋体" w:hAnsi="宋体" w:cs="宋体"/>
          <w:color w:val="000000" w:themeColor="text1"/>
          <w:kern w:val="0"/>
          <w:szCs w:val="21"/>
          <w:lang w:eastAsia="zh-TW"/>
          <w14:textFill>
            <w14:solidFill>
              <w14:schemeClr w14:val="tx1"/>
            </w14:solidFill>
          </w14:textFill>
        </w:rPr>
        <w:t>代理机构均无义务和责任承担这些费用</w:t>
      </w:r>
      <w:r>
        <w:rPr>
          <w:rFonts w:hint="eastAsia" w:ascii="宋体" w:hAnsi="宋体" w:cs="宋体"/>
          <w:color w:val="000000" w:themeColor="text1"/>
          <w:kern w:val="0"/>
          <w:szCs w:val="21"/>
          <w14:textFill>
            <w14:solidFill>
              <w14:schemeClr w14:val="tx1"/>
            </w14:solidFill>
          </w14:textFill>
        </w:rPr>
        <w:t>。</w:t>
      </w:r>
    </w:p>
    <w:p>
      <w:pPr>
        <w:numPr>
          <w:ilvl w:val="0"/>
          <w:numId w:val="3"/>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参与竞价的</w:t>
      </w:r>
      <w:r>
        <w:rPr>
          <w:rFonts w:hint="eastAsia" w:ascii="宋体" w:hAnsi="宋体" w:cs="宋体"/>
          <w:bCs/>
          <w:color w:val="000000" w:themeColor="text1"/>
          <w:kern w:val="0"/>
          <w:szCs w:val="21"/>
          <w14:textFill>
            <w14:solidFill>
              <w14:schemeClr w14:val="tx1"/>
            </w14:solidFill>
          </w14:textFill>
        </w:rPr>
        <w:t>供应商必须按竞价附件的格式填写，不得</w:t>
      </w:r>
      <w:r>
        <w:rPr>
          <w:rFonts w:hint="eastAsia" w:ascii="宋体" w:hAnsi="宋体" w:cs="宋体"/>
          <w:bCs/>
          <w:color w:val="000000" w:themeColor="text1"/>
          <w:szCs w:val="21"/>
          <w14:textFill>
            <w14:solidFill>
              <w14:schemeClr w14:val="tx1"/>
            </w14:solidFill>
          </w14:textFill>
        </w:rPr>
        <w:t>随意</w:t>
      </w:r>
      <w:r>
        <w:rPr>
          <w:rFonts w:hint="eastAsia" w:ascii="宋体" w:hAnsi="宋体" w:cs="宋体"/>
          <w:bCs/>
          <w:color w:val="000000" w:themeColor="text1"/>
          <w:kern w:val="0"/>
          <w:szCs w:val="21"/>
          <w14:textFill>
            <w14:solidFill>
              <w14:schemeClr w14:val="tx1"/>
            </w14:solidFill>
          </w14:textFill>
        </w:rPr>
        <w:t>增加或删除表格内容。除单价、金额或项目要求填写的内容外，不得擅自改动竞价附件内容，否则将有可能影响成交结果，不推荐为成交候选人。</w:t>
      </w:r>
    </w:p>
    <w:p>
      <w:pPr>
        <w:numPr>
          <w:ilvl w:val="0"/>
          <w:numId w:val="3"/>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参与竞价的</w:t>
      </w:r>
      <w:r>
        <w:rPr>
          <w:rFonts w:hint="eastAsia" w:ascii="宋体" w:hAnsi="宋体" w:cs="宋体"/>
          <w:color w:val="000000" w:themeColor="text1"/>
          <w:kern w:val="0"/>
          <w:szCs w:val="21"/>
          <w:lang w:val="zh-CN"/>
          <w14:textFill>
            <w14:solidFill>
              <w14:schemeClr w14:val="tx1"/>
            </w14:solidFill>
          </w14:textFill>
        </w:rPr>
        <w:t>供应商需对用户需求书的所有条款进行整体响应，用户需求书条款若有一条负偏离或不响应，</w:t>
      </w:r>
      <w:r>
        <w:rPr>
          <w:rFonts w:hint="eastAsia" w:ascii="宋体" w:hAnsi="宋体" w:cs="宋体"/>
          <w:bCs/>
          <w:color w:val="000000" w:themeColor="text1"/>
          <w:kern w:val="0"/>
          <w:szCs w:val="21"/>
          <w14:textFill>
            <w14:solidFill>
              <w14:schemeClr w14:val="tx1"/>
            </w14:solidFill>
          </w14:textFill>
        </w:rPr>
        <w:t>不推荐为成交候选人</w:t>
      </w:r>
      <w:r>
        <w:rPr>
          <w:rFonts w:hint="eastAsia" w:ascii="宋体" w:hAnsi="宋体" w:cs="宋体"/>
          <w:color w:val="000000" w:themeColor="text1"/>
          <w:kern w:val="0"/>
          <w:szCs w:val="21"/>
          <w:lang w:val="zh-CN"/>
          <w14:textFill>
            <w14:solidFill>
              <w14:schemeClr w14:val="tx1"/>
            </w14:solidFill>
          </w14:textFill>
        </w:rPr>
        <w:t>。</w:t>
      </w:r>
    </w:p>
    <w:p>
      <w:pPr>
        <w:numPr>
          <w:ilvl w:val="0"/>
          <w:numId w:val="3"/>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若成交供应商自身原因无法完成本项目，则采购人有权利保留追究责任。</w:t>
      </w:r>
    </w:p>
    <w:p>
      <w:pPr>
        <w:numPr>
          <w:ilvl w:val="0"/>
          <w:numId w:val="3"/>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成交供应商因自身原因被取消成交资格，采购人可重新启动采购或按竞价公告规定顺延推选符合要求的供应商作为成交人。</w:t>
      </w:r>
    </w:p>
    <w:p>
      <w:pPr>
        <w:numPr>
          <w:ilvl w:val="0"/>
          <w:numId w:val="3"/>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若本项目竞价采购失败，采购人将重新采购，届时采购人有权根据项目具体情况，决定重新采购项目的采购方式。</w:t>
      </w:r>
    </w:p>
    <w:p>
      <w:pPr>
        <w:numPr>
          <w:ilvl w:val="0"/>
          <w:numId w:val="3"/>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成交供应商若无正当理由恶意放弃成交资格，采购人有权将拒绝其参加本项目重新组织的竞价采购活动。</w:t>
      </w:r>
    </w:p>
    <w:p>
      <w:pPr>
        <w:pStyle w:val="57"/>
        <w:numPr>
          <w:ilvl w:val="0"/>
          <w:numId w:val="3"/>
        </w:numPr>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如采购人或代理机构在审核或复核</w:t>
      </w:r>
      <w:r>
        <w:rPr>
          <w:rFonts w:hint="eastAsia" w:ascii="宋体" w:hAnsi="宋体" w:cs="宋体"/>
          <w:color w:val="000000" w:themeColor="text1"/>
          <w:szCs w:val="21"/>
          <w14:textFill>
            <w14:solidFill>
              <w14:schemeClr w14:val="tx1"/>
            </w14:solidFill>
          </w14:textFill>
        </w:rPr>
        <w:t>参与竞价的</w:t>
      </w:r>
      <w:r>
        <w:rPr>
          <w:rFonts w:hint="eastAsia" w:ascii="宋体" w:hAnsi="宋体" w:cs="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pPr>
        <w:numPr>
          <w:ilvl w:val="0"/>
          <w:numId w:val="3"/>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参与竞价的</w:t>
      </w:r>
      <w:r>
        <w:rPr>
          <w:rFonts w:hint="eastAsia" w:ascii="宋体" w:hAnsi="宋体" w:cs="宋体"/>
          <w:color w:val="000000" w:themeColor="text1"/>
          <w:kern w:val="0"/>
          <w:szCs w:val="21"/>
          <w:lang w:eastAsia="zh-TW"/>
          <w14:textFill>
            <w14:solidFill>
              <w14:schemeClr w14:val="tx1"/>
            </w14:solidFill>
          </w14:textFill>
        </w:rPr>
        <w:t>供应商向我司咨询的有关项目事项，一切以</w:t>
      </w:r>
      <w:r>
        <w:rPr>
          <w:rFonts w:hint="eastAsia" w:ascii="宋体" w:hAnsi="宋体" w:cs="宋体"/>
          <w:color w:val="000000" w:themeColor="text1"/>
          <w:kern w:val="0"/>
          <w:szCs w:val="21"/>
          <w14:textFill>
            <w14:solidFill>
              <w14:schemeClr w14:val="tx1"/>
            </w14:solidFill>
          </w14:textFill>
        </w:rPr>
        <w:t>竞价文件</w:t>
      </w:r>
      <w:r>
        <w:rPr>
          <w:rFonts w:hint="eastAsia" w:ascii="宋体" w:hAnsi="宋体" w:cs="宋体"/>
          <w:color w:val="000000" w:themeColor="text1"/>
          <w:kern w:val="0"/>
          <w:szCs w:val="21"/>
          <w:lang w:eastAsia="zh-TW"/>
          <w14:textFill>
            <w14:solidFill>
              <w14:schemeClr w14:val="tx1"/>
            </w14:solidFill>
          </w14:textFill>
        </w:rPr>
        <w:t>规定</w:t>
      </w:r>
      <w:r>
        <w:rPr>
          <w:rFonts w:hint="eastAsia" w:ascii="宋体" w:hAnsi="宋体" w:cs="宋体"/>
          <w:color w:val="000000" w:themeColor="text1"/>
          <w:kern w:val="0"/>
          <w:szCs w:val="21"/>
          <w14:textFill>
            <w14:solidFill>
              <w14:schemeClr w14:val="tx1"/>
            </w14:solidFill>
          </w14:textFill>
        </w:rPr>
        <w:t>和竞价公告规定以及</w:t>
      </w:r>
      <w:r>
        <w:rPr>
          <w:rFonts w:hint="eastAsia" w:ascii="宋体" w:hAnsi="宋体" w:cs="宋体"/>
          <w:color w:val="000000" w:themeColor="text1"/>
          <w:kern w:val="0"/>
          <w:szCs w:val="21"/>
          <w:lang w:eastAsia="zh-TW"/>
          <w14:textFill>
            <w14:solidFill>
              <w14:schemeClr w14:val="tx1"/>
            </w14:solidFill>
          </w14:textFill>
        </w:rPr>
        <w:t>本公司</w:t>
      </w:r>
      <w:r>
        <w:rPr>
          <w:rFonts w:hint="eastAsia" w:ascii="宋体" w:hAnsi="宋体" w:cs="宋体"/>
          <w:color w:val="000000" w:themeColor="text1"/>
          <w:kern w:val="0"/>
          <w:szCs w:val="21"/>
          <w14:textFill>
            <w14:solidFill>
              <w14:schemeClr w14:val="tx1"/>
            </w14:solidFill>
          </w14:textFill>
        </w:rPr>
        <w:t>的</w:t>
      </w:r>
      <w:r>
        <w:rPr>
          <w:rFonts w:hint="eastAsia" w:ascii="宋体" w:hAnsi="宋体" w:cs="宋体"/>
          <w:color w:val="000000" w:themeColor="text1"/>
          <w:kern w:val="0"/>
          <w:szCs w:val="21"/>
          <w:lang w:eastAsia="zh-TW"/>
          <w14:textFill>
            <w14:solidFill>
              <w14:schemeClr w14:val="tx1"/>
            </w14:solidFill>
          </w14:textFill>
        </w:rPr>
        <w:t>书面答复为准，其他一切形式均为个人意见，不代表本公司的意见</w:t>
      </w:r>
      <w:r>
        <w:rPr>
          <w:rFonts w:hint="eastAsia" w:ascii="宋体" w:hAnsi="宋体" w:cs="宋体"/>
          <w:color w:val="000000" w:themeColor="text1"/>
          <w:kern w:val="0"/>
          <w:szCs w:val="21"/>
          <w14:textFill>
            <w14:solidFill>
              <w14:schemeClr w14:val="tx1"/>
            </w14:solidFill>
          </w14:textFill>
        </w:rPr>
        <w:t>。</w:t>
      </w:r>
    </w:p>
    <w:p>
      <w:pPr>
        <w:numPr>
          <w:ilvl w:val="0"/>
          <w:numId w:val="3"/>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参与竞价的供应商应认真阅读</w:t>
      </w:r>
      <w:r>
        <w:rPr>
          <w:rFonts w:hint="eastAsia" w:ascii="宋体" w:hAnsi="宋体" w:cs="宋体"/>
          <w:color w:val="000000" w:themeColor="text1"/>
          <w:kern w:val="0"/>
          <w:szCs w:val="21"/>
          <w:lang w:eastAsia="zh-TW"/>
          <w14:textFill>
            <w14:solidFill>
              <w14:schemeClr w14:val="tx1"/>
            </w14:solidFill>
          </w14:textFill>
        </w:rPr>
        <w:t>、并充分理解</w:t>
      </w:r>
      <w:r>
        <w:rPr>
          <w:rFonts w:hint="eastAsia" w:ascii="宋体" w:hAnsi="宋体" w:cs="宋体"/>
          <w:color w:val="000000" w:themeColor="text1"/>
          <w:kern w:val="0"/>
          <w:szCs w:val="21"/>
          <w14:textFill>
            <w14:solidFill>
              <w14:schemeClr w14:val="tx1"/>
            </w14:solidFill>
          </w14:textFill>
        </w:rPr>
        <w:t>竞价</w:t>
      </w:r>
      <w:r>
        <w:rPr>
          <w:rFonts w:hint="eastAsia" w:ascii="宋体" w:hAnsi="宋体" w:cs="宋体"/>
          <w:color w:val="000000" w:themeColor="text1"/>
          <w:kern w:val="0"/>
          <w:szCs w:val="21"/>
          <w:lang w:eastAsia="zh-TW"/>
          <w14:textFill>
            <w14:solidFill>
              <w14:schemeClr w14:val="tx1"/>
            </w14:solidFill>
          </w14:textFill>
        </w:rPr>
        <w:t>文件的全部内容（包括所有的补充、修改内容重要事项、格式、条款</w:t>
      </w:r>
      <w:r>
        <w:rPr>
          <w:rFonts w:hint="eastAsia" w:ascii="宋体" w:hAnsi="宋体" w:cs="宋体"/>
          <w:color w:val="000000" w:themeColor="text1"/>
          <w:kern w:val="0"/>
          <w:szCs w:val="21"/>
          <w14:textFill>
            <w14:solidFill>
              <w14:schemeClr w14:val="tx1"/>
            </w14:solidFill>
          </w14:textFill>
        </w:rPr>
        <w:t>、服务要求</w:t>
      </w:r>
      <w:r>
        <w:rPr>
          <w:rFonts w:hint="eastAsia" w:ascii="宋体" w:hAnsi="宋体" w:cs="宋体"/>
          <w:color w:val="000000" w:themeColor="text1"/>
          <w:kern w:val="0"/>
          <w:szCs w:val="21"/>
          <w:lang w:eastAsia="zh-TW"/>
          <w14:textFill>
            <w14:solidFill>
              <w14:schemeClr w14:val="tx1"/>
            </w14:solidFill>
          </w14:textFill>
        </w:rPr>
        <w:t>和技术规范、参数及要求等）。</w:t>
      </w:r>
      <w:r>
        <w:rPr>
          <w:rFonts w:hint="eastAsia" w:ascii="宋体" w:hAnsi="宋体" w:cs="宋体"/>
          <w:color w:val="000000" w:themeColor="text1"/>
          <w:kern w:val="0"/>
          <w:szCs w:val="21"/>
          <w14:textFill>
            <w14:solidFill>
              <w14:schemeClr w14:val="tx1"/>
            </w14:solidFill>
          </w14:textFill>
        </w:rPr>
        <w:t>供应商</w:t>
      </w:r>
      <w:r>
        <w:rPr>
          <w:rFonts w:hint="eastAsia" w:ascii="宋体" w:hAnsi="宋体" w:cs="宋体"/>
          <w:color w:val="000000" w:themeColor="text1"/>
          <w:kern w:val="0"/>
          <w:szCs w:val="21"/>
          <w:lang w:eastAsia="zh-TW"/>
          <w14:textFill>
            <w14:solidFill>
              <w14:schemeClr w14:val="tx1"/>
            </w14:solidFill>
          </w14:textFill>
        </w:rPr>
        <w:t>没有按照</w:t>
      </w:r>
      <w:r>
        <w:rPr>
          <w:rFonts w:hint="eastAsia" w:ascii="宋体" w:hAnsi="宋体" w:cs="宋体"/>
          <w:color w:val="000000" w:themeColor="text1"/>
          <w:kern w:val="0"/>
          <w:szCs w:val="21"/>
          <w14:textFill>
            <w14:solidFill>
              <w14:schemeClr w14:val="tx1"/>
            </w14:solidFill>
          </w14:textFill>
        </w:rPr>
        <w:t>竞价</w:t>
      </w:r>
      <w:r>
        <w:rPr>
          <w:rFonts w:hint="eastAsia" w:ascii="宋体" w:hAnsi="宋体" w:cs="宋体"/>
          <w:color w:val="000000" w:themeColor="text1"/>
          <w:kern w:val="0"/>
          <w:szCs w:val="21"/>
          <w:lang w:eastAsia="zh-TW"/>
          <w14:textFill>
            <w14:solidFill>
              <w14:schemeClr w14:val="tx1"/>
            </w14:solidFill>
          </w14:textFill>
        </w:rPr>
        <w:t>文件要求提交全部资料，或者</w:t>
      </w:r>
      <w:r>
        <w:rPr>
          <w:rFonts w:hint="eastAsia" w:ascii="宋体" w:hAnsi="宋体" w:cs="宋体"/>
          <w:color w:val="000000" w:themeColor="text1"/>
          <w:kern w:val="0"/>
          <w:szCs w:val="21"/>
          <w14:textFill>
            <w14:solidFill>
              <w14:schemeClr w14:val="tx1"/>
            </w14:solidFill>
          </w14:textFill>
        </w:rPr>
        <w:t>参与竞价所上传的</w:t>
      </w:r>
      <w:r>
        <w:rPr>
          <w:rFonts w:hint="eastAsia" w:ascii="宋体" w:hAnsi="宋体" w:cs="宋体"/>
          <w:color w:val="000000" w:themeColor="text1"/>
          <w:kern w:val="0"/>
          <w:szCs w:val="21"/>
          <w:lang w:eastAsia="zh-TW"/>
          <w14:textFill>
            <w14:solidFill>
              <w14:schemeClr w14:val="tx1"/>
            </w14:solidFill>
          </w14:textFill>
        </w:rPr>
        <w:t>文件没有对</w:t>
      </w:r>
      <w:r>
        <w:rPr>
          <w:rFonts w:hint="eastAsia" w:ascii="宋体" w:hAnsi="宋体" w:cs="宋体"/>
          <w:color w:val="000000" w:themeColor="text1"/>
          <w:kern w:val="0"/>
          <w:szCs w:val="21"/>
          <w14:textFill>
            <w14:solidFill>
              <w14:schemeClr w14:val="tx1"/>
            </w14:solidFill>
          </w14:textFill>
        </w:rPr>
        <w:t>竞价</w:t>
      </w:r>
      <w:r>
        <w:rPr>
          <w:rFonts w:hint="eastAsia" w:ascii="宋体" w:hAnsi="宋体" w:cs="宋体"/>
          <w:color w:val="000000" w:themeColor="text1"/>
          <w:kern w:val="0"/>
          <w:szCs w:val="21"/>
          <w:lang w:eastAsia="zh-TW"/>
          <w14:textFill>
            <w14:solidFill>
              <w14:schemeClr w14:val="tx1"/>
            </w14:solidFill>
          </w14:textFill>
        </w:rPr>
        <w:t>文件在各方面都作出实质性响应是</w:t>
      </w:r>
      <w:r>
        <w:rPr>
          <w:rFonts w:hint="eastAsia" w:ascii="宋体" w:hAnsi="宋体" w:cs="宋体"/>
          <w:color w:val="000000" w:themeColor="text1"/>
          <w:kern w:val="0"/>
          <w:szCs w:val="21"/>
          <w14:textFill>
            <w14:solidFill>
              <w14:schemeClr w14:val="tx1"/>
            </w14:solidFill>
          </w14:textFill>
        </w:rPr>
        <w:t>供应商</w:t>
      </w:r>
      <w:r>
        <w:rPr>
          <w:rFonts w:hint="eastAsia" w:ascii="宋体" w:hAnsi="宋体" w:cs="宋体"/>
          <w:color w:val="000000" w:themeColor="text1"/>
          <w:kern w:val="0"/>
          <w:szCs w:val="21"/>
          <w:lang w:eastAsia="zh-TW"/>
          <w14:textFill>
            <w14:solidFill>
              <w14:schemeClr w14:val="tx1"/>
            </w14:solidFill>
          </w14:textFill>
        </w:rPr>
        <w:t>的风险，有可能导致其</w:t>
      </w:r>
      <w:r>
        <w:rPr>
          <w:rFonts w:hint="eastAsia" w:ascii="宋体" w:hAnsi="宋体" w:cs="宋体"/>
          <w:color w:val="000000" w:themeColor="text1"/>
          <w:kern w:val="0"/>
          <w:szCs w:val="21"/>
          <w14:textFill>
            <w14:solidFill>
              <w14:schemeClr w14:val="tx1"/>
            </w14:solidFill>
          </w14:textFill>
        </w:rPr>
        <w:t>竞价</w:t>
      </w:r>
      <w:r>
        <w:rPr>
          <w:rFonts w:hint="eastAsia" w:ascii="宋体" w:hAnsi="宋体" w:cs="宋体"/>
          <w:color w:val="000000" w:themeColor="text1"/>
          <w:kern w:val="0"/>
          <w:szCs w:val="21"/>
          <w:lang w:eastAsia="zh-TW"/>
          <w14:textFill>
            <w14:solidFill>
              <w14:schemeClr w14:val="tx1"/>
            </w14:solidFill>
          </w14:textFill>
        </w:rPr>
        <w:t>被拒绝，</w:t>
      </w:r>
      <w:r>
        <w:rPr>
          <w:rFonts w:hint="eastAsia" w:ascii="宋体" w:hAnsi="宋体" w:cs="宋体"/>
          <w:color w:val="000000" w:themeColor="text1"/>
          <w:kern w:val="0"/>
          <w:szCs w:val="21"/>
          <w14:textFill>
            <w14:solidFill>
              <w14:schemeClr w14:val="tx1"/>
            </w14:solidFill>
          </w14:textFill>
        </w:rPr>
        <w:t>或被认定为无效竞价。</w:t>
      </w:r>
    </w:p>
    <w:p>
      <w:pPr>
        <w:numPr>
          <w:ilvl w:val="0"/>
          <w:numId w:val="3"/>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pPr>
        <w:numPr>
          <w:ilvl w:val="0"/>
          <w:numId w:val="3"/>
        </w:num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pPr>
        <w:numPr>
          <w:ilvl w:val="0"/>
          <w:numId w:val="3"/>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本竞价公告和竞价文件的解释权归</w:t>
      </w:r>
      <w:r>
        <w:rPr>
          <w:rFonts w:hint="eastAsia" w:ascii="宋体" w:hAnsi="宋体" w:cs="宋体"/>
          <w:color w:val="000000" w:themeColor="text1"/>
          <w:kern w:val="0"/>
          <w:szCs w:val="21"/>
          <w:lang w:eastAsia="zh-TW"/>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云采链线上采购一体化平台</w:t>
      </w:r>
      <w:r>
        <w:rPr>
          <w:rFonts w:hint="eastAsia" w:ascii="宋体" w:hAnsi="宋体" w:cs="宋体"/>
          <w:color w:val="000000" w:themeColor="text1"/>
          <w:kern w:val="0"/>
          <w:szCs w:val="21"/>
          <w:lang w:eastAsia="zh-TW"/>
          <w14:textFill>
            <w14:solidFill>
              <w14:schemeClr w14:val="tx1"/>
            </w14:solidFill>
          </w14:textFill>
        </w:rPr>
        <w:t>”所有。</w:t>
      </w:r>
    </w:p>
    <w:p>
      <w:pPr>
        <w:pStyle w:val="57"/>
        <w:numPr>
          <w:ilvl w:val="0"/>
          <w:numId w:val="2"/>
        </w:numPr>
        <w:spacing w:line="360" w:lineRule="auto"/>
        <w:ind w:firstLineChars="0"/>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竞价文件的澄清或修改</w:t>
      </w:r>
    </w:p>
    <w:p>
      <w:pPr>
        <w:pStyle w:val="57"/>
        <w:numPr>
          <w:ilvl w:val="1"/>
          <w:numId w:val="4"/>
        </w:numPr>
        <w:spacing w:line="360" w:lineRule="auto"/>
        <w:ind w:firstLineChars="0"/>
        <w:rPr>
          <w:rFonts w:ascii="宋体" w:hAnsi="宋体" w:cs="宋体"/>
          <w:color w:val="000000" w:themeColor="text1"/>
          <w:kern w:val="0"/>
          <w:szCs w:val="21"/>
          <w:lang w:eastAsia="zh-TW"/>
          <w14:textFill>
            <w14:solidFill>
              <w14:schemeClr w14:val="tx1"/>
            </w14:solidFill>
          </w14:textFill>
        </w:rPr>
      </w:pPr>
      <w:r>
        <w:rPr>
          <w:rFonts w:hint="eastAsia" w:ascii="宋体" w:hAnsi="宋体" w:cs="宋体"/>
          <w:color w:val="000000" w:themeColor="text1"/>
          <w:kern w:val="0"/>
          <w:szCs w:val="21"/>
          <w:lang w:eastAsia="zh-TW"/>
          <w14:textFill>
            <w14:solidFill>
              <w14:schemeClr w14:val="tx1"/>
            </w14:solidFill>
          </w14:textFill>
        </w:rPr>
        <w:t>采购人或者采购代理机构可以对已发出的竞价文件进行必要的澄清或者修改。澄清或者修改的内容将在云采链平台上发布澄清（更正/变更）公告。</w:t>
      </w:r>
    </w:p>
    <w:p>
      <w:pPr>
        <w:pStyle w:val="57"/>
        <w:numPr>
          <w:ilvl w:val="1"/>
          <w:numId w:val="4"/>
        </w:numPr>
        <w:spacing w:line="360" w:lineRule="auto"/>
        <w:ind w:firstLineChars="0"/>
        <w:rPr>
          <w:rFonts w:ascii="宋体" w:hAnsi="宋体" w:cs="宋体"/>
          <w:color w:val="000000" w:themeColor="text1"/>
          <w:kern w:val="0"/>
          <w:szCs w:val="21"/>
          <w:lang w:eastAsia="zh-TW"/>
          <w14:textFill>
            <w14:solidFill>
              <w14:schemeClr w14:val="tx1"/>
            </w14:solidFill>
          </w14:textFill>
        </w:rPr>
      </w:pPr>
      <w:r>
        <w:rPr>
          <w:rFonts w:hint="eastAsia" w:ascii="宋体" w:hAnsi="宋体" w:cs="宋体"/>
          <w:color w:val="000000" w:themeColor="text1"/>
          <w:kern w:val="0"/>
          <w:szCs w:val="21"/>
          <w:lang w:eastAsia="zh-TW"/>
          <w14:textFill>
            <w14:solidFill>
              <w14:schemeClr w14:val="tx1"/>
            </w14:solidFill>
          </w14:textFill>
        </w:rPr>
        <w:t>无论澄清或者修改的内容是否影响竞价，平台将以短信形式通知所有的报名供应商；报名供应商应按要求履行相应的义务；如报名截止时间少于一个工作日的，采购人或者采购代理机构应当相应顺延报名的截止时间。</w:t>
      </w:r>
    </w:p>
    <w:p>
      <w:pPr>
        <w:pStyle w:val="57"/>
        <w:numPr>
          <w:ilvl w:val="1"/>
          <w:numId w:val="4"/>
        </w:numPr>
        <w:spacing w:line="360" w:lineRule="auto"/>
        <w:ind w:firstLineChars="0"/>
        <w:rPr>
          <w:rFonts w:ascii="宋体" w:hAnsi="宋体" w:cs="宋体"/>
          <w:color w:val="000000" w:themeColor="text1"/>
          <w:kern w:val="0"/>
          <w:szCs w:val="21"/>
          <w:lang w:eastAsia="zh-TW"/>
          <w14:textFill>
            <w14:solidFill>
              <w14:schemeClr w14:val="tx1"/>
            </w14:solidFill>
          </w14:textFill>
        </w:rPr>
      </w:pPr>
      <w:r>
        <w:rPr>
          <w:rFonts w:hint="eastAsia" w:ascii="宋体" w:hAnsi="宋体" w:cs="宋体"/>
          <w:color w:val="000000" w:themeColor="text1"/>
          <w:kern w:val="0"/>
          <w:szCs w:val="21"/>
          <w:lang w:eastAsia="zh-TW"/>
          <w14:textFill>
            <w14:solidFill>
              <w14:schemeClr w14:val="tx1"/>
            </w14:solidFill>
          </w14:textFill>
        </w:rPr>
        <w:t>采购人或者采购代理机构发出的澄清或修改（更正/变更）的内容为竞价文件的组成部分，并对供应商具有约束力。</w:t>
      </w:r>
    </w:p>
    <w:p>
      <w:pPr>
        <w:numPr>
          <w:ilvl w:val="0"/>
          <w:numId w:val="2"/>
        </w:numPr>
        <w:autoSpaceDE w:val="0"/>
        <w:autoSpaceDN w:val="0"/>
        <w:adjustRightInd w:val="0"/>
        <w:spacing w:line="360"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报名要求（</w:t>
      </w:r>
      <w:r>
        <w:rPr>
          <w:rFonts w:hint="eastAsia" w:ascii="宋体" w:hAnsi="宋体" w:cs="宋体"/>
          <w:color w:val="000000" w:themeColor="text1"/>
          <w:kern w:val="0"/>
          <w:szCs w:val="21"/>
          <w14:textFill>
            <w14:solidFill>
              <w14:schemeClr w14:val="tx1"/>
            </w14:solidFill>
          </w14:textFill>
        </w:rPr>
        <w:t>参与竞价的</w:t>
      </w:r>
      <w:r>
        <w:rPr>
          <w:rFonts w:hint="eastAsia" w:ascii="宋体" w:hAnsi="宋体" w:cs="宋体"/>
          <w:b/>
          <w:bCs/>
          <w:color w:val="000000" w:themeColor="text1"/>
          <w:kern w:val="0"/>
          <w:szCs w:val="21"/>
          <w14:textFill>
            <w14:solidFill>
              <w14:schemeClr w14:val="tx1"/>
            </w14:solidFill>
          </w14:textFill>
        </w:rPr>
        <w:t>供应商资质要求: 报名时需要提供以下盖章资料，</w:t>
      </w:r>
      <w:r>
        <w:rPr>
          <w:rFonts w:hint="eastAsia" w:ascii="宋体" w:hAnsi="宋体" w:cs="宋体"/>
          <w:color w:val="000000" w:themeColor="text1"/>
          <w:kern w:val="0"/>
          <w:szCs w:val="21"/>
          <w14:textFill>
            <w14:solidFill>
              <w14:schemeClr w14:val="tx1"/>
            </w14:solidFill>
          </w14:textFill>
        </w:rPr>
        <w:t>并对上传的报名文件资料承担责任</w:t>
      </w:r>
      <w:r>
        <w:rPr>
          <w:rFonts w:hint="eastAsia" w:ascii="宋体" w:hAnsi="宋体" w:cs="宋体"/>
          <w:b/>
          <w:bCs/>
          <w:color w:val="000000" w:themeColor="text1"/>
          <w:kern w:val="0"/>
          <w:szCs w:val="21"/>
          <w14:textFill>
            <w14:solidFill>
              <w14:schemeClr w14:val="tx1"/>
            </w14:solidFill>
          </w14:textFill>
        </w:rPr>
        <w:t>）</w:t>
      </w:r>
    </w:p>
    <w:p>
      <w:pPr>
        <w:pStyle w:val="57"/>
        <w:widowControl/>
        <w:numPr>
          <w:ilvl w:val="0"/>
          <w:numId w:val="5"/>
        </w:numPr>
        <w:spacing w:before="156" w:beforeLines="50" w:line="360" w:lineRule="auto"/>
        <w:ind w:firstLineChars="0"/>
        <w:jc w:val="left"/>
        <w:rPr>
          <w:rFonts w:ascii="宋体" w:hAnsi="宋体" w:cs="宋体"/>
          <w:b/>
          <w:color w:val="000000" w:themeColor="text1"/>
          <w:kern w:val="0"/>
          <w:szCs w:val="21"/>
          <w14:textFill>
            <w14:solidFill>
              <w14:schemeClr w14:val="tx1"/>
            </w14:solidFill>
          </w14:textFill>
        </w:rPr>
      </w:pPr>
      <w:r>
        <w:rPr>
          <w:rFonts w:hint="eastAsia" w:ascii="宋体" w:hAnsi="宋体"/>
          <w:bCs/>
          <w:szCs w:val="20"/>
        </w:rPr>
        <w:t>提供在中华人民共和国境内注册的法人或其他组织的营业执照或事业单位法人证书或社会团体法人登记证书复印件，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57"/>
        <w:widowControl/>
        <w:numPr>
          <w:ilvl w:val="0"/>
          <w:numId w:val="5"/>
        </w:numPr>
        <w:spacing w:before="156" w:beforeLines="50" w:line="360" w:lineRule="auto"/>
        <w:ind w:firstLineChars="0"/>
        <w:jc w:val="left"/>
        <w:rPr>
          <w:rFonts w:ascii="宋体" w:hAnsi="宋体" w:cs="宋体"/>
          <w:b/>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供应商完全响应本项目用户需求的条款、内容及要求的，提供用户需求书响应声明函即可</w:t>
      </w:r>
      <w:r>
        <w:rPr>
          <w:rFonts w:hint="eastAsia" w:ascii="宋体" w:hAnsi="宋体" w:cs="宋体"/>
          <w:b/>
          <w:color w:val="000000" w:themeColor="text1"/>
          <w:kern w:val="0"/>
          <w:szCs w:val="21"/>
          <w14:textFill>
            <w14:solidFill>
              <w14:schemeClr w14:val="tx1"/>
            </w14:solidFill>
          </w14:textFill>
        </w:rPr>
        <w:t>，格式详见附件；</w:t>
      </w:r>
    </w:p>
    <w:p>
      <w:pPr>
        <w:pStyle w:val="57"/>
        <w:widowControl/>
        <w:numPr>
          <w:ilvl w:val="0"/>
          <w:numId w:val="5"/>
        </w:numPr>
        <w:spacing w:before="156" w:beforeLines="50" w:line="360" w:lineRule="auto"/>
        <w:ind w:firstLineChars="0"/>
        <w:jc w:val="left"/>
        <w:rPr>
          <w:rFonts w:ascii="宋体" w:hAnsi="宋体" w:cs="宋体"/>
          <w:b/>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报名供应商须具备《政府采购法》第二十二条所规定的条件；本项目不接受联合体竞价；</w:t>
      </w:r>
      <w:r>
        <w:rPr>
          <w:rFonts w:hint="eastAsia" w:ascii="宋体" w:hAnsi="宋体" w:cs="宋体"/>
          <w:b/>
          <w:color w:val="000000" w:themeColor="text1"/>
          <w:kern w:val="0"/>
          <w:szCs w:val="21"/>
          <w14:textFill>
            <w14:solidFill>
              <w14:schemeClr w14:val="tx1"/>
            </w14:solidFill>
          </w14:textFill>
        </w:rPr>
        <w:t>提供供应商资格声明函，格式详见附件；</w:t>
      </w:r>
    </w:p>
    <w:p>
      <w:pPr>
        <w:widowControl/>
        <w:numPr>
          <w:ilvl w:val="0"/>
          <w:numId w:val="2"/>
        </w:numPr>
        <w:autoSpaceDE w:val="0"/>
        <w:autoSpaceDN w:val="0"/>
        <w:adjustRightInd w:val="0"/>
        <w:snapToGrid w:val="0"/>
        <w:spacing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报价要求（报价时需要提供以下盖章资料，</w:t>
      </w:r>
      <w:r>
        <w:rPr>
          <w:rFonts w:hint="eastAsia" w:ascii="宋体" w:hAnsi="宋体" w:cs="宋体"/>
          <w:color w:val="000000" w:themeColor="text1"/>
          <w:kern w:val="0"/>
          <w:szCs w:val="21"/>
          <w14:textFill>
            <w14:solidFill>
              <w14:schemeClr w14:val="tx1"/>
            </w14:solidFill>
          </w14:textFill>
        </w:rPr>
        <w:t>并对上传的竞价文件资料承担责任</w:t>
      </w:r>
      <w:r>
        <w:rPr>
          <w:rFonts w:hint="eastAsia" w:ascii="宋体" w:hAnsi="宋体" w:cs="宋体"/>
          <w:b/>
          <w:bCs/>
          <w:color w:val="000000" w:themeColor="text1"/>
          <w:kern w:val="0"/>
          <w:szCs w:val="2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通过报名供应商应根据本公告要求，在规定的竞价时间内对采购项目进行报价，同时按本公告要求完整</w:t>
      </w:r>
      <w:r>
        <w:rPr>
          <w:rFonts w:hint="eastAsia" w:ascii="宋体" w:hAnsi="宋体" w:cs="宋体"/>
          <w:color w:val="000000" w:themeColor="text1"/>
          <w:kern w:val="0"/>
          <w:szCs w:val="21"/>
          <w:lang w:eastAsia="zh-TW"/>
          <w14:textFill>
            <w14:solidFill>
              <w14:schemeClr w14:val="tx1"/>
            </w14:solidFill>
          </w14:textFill>
        </w:rPr>
        <w:t>、真实、准确地</w:t>
      </w:r>
      <w:r>
        <w:rPr>
          <w:rFonts w:hint="eastAsia" w:ascii="宋体" w:hAnsi="宋体" w:cs="宋体"/>
          <w:color w:val="000000" w:themeColor="text1"/>
          <w:kern w:val="0"/>
          <w:szCs w:val="21"/>
          <w14:textFill>
            <w14:solidFill>
              <w14:schemeClr w14:val="tx1"/>
            </w14:solidFill>
          </w14:textFill>
        </w:rPr>
        <w:t>填写并上传相应报价附件</w:t>
      </w:r>
      <w:r>
        <w:rPr>
          <w:rFonts w:hint="eastAsia" w:asciiTheme="minorEastAsia" w:hAnsiTheme="minorEastAsia"/>
          <w:szCs w:val="21"/>
        </w:rPr>
        <w:t>（报价表）</w:t>
      </w:r>
      <w:r>
        <w:rPr>
          <w:rFonts w:hint="eastAsia" w:ascii="宋体" w:hAnsi="宋体" w:cs="宋体"/>
          <w:color w:val="000000" w:themeColor="text1"/>
          <w:kern w:val="0"/>
          <w:szCs w:val="21"/>
          <w14:textFill>
            <w14:solidFill>
              <w14:schemeClr w14:val="tx1"/>
            </w14:solidFill>
          </w14:textFill>
        </w:rPr>
        <w:t>。</w:t>
      </w:r>
    </w:p>
    <w:p>
      <w:pPr>
        <w:pStyle w:val="57"/>
        <w:numPr>
          <w:ilvl w:val="0"/>
          <w:numId w:val="6"/>
        </w:numPr>
        <w:spacing w:line="360" w:lineRule="auto"/>
        <w:ind w:firstLineChars="0"/>
        <w:rPr>
          <w:rFonts w:ascii="宋体" w:hAnsi="宋体" w:cs="宋体"/>
          <w:b/>
          <w:color w:val="000000" w:themeColor="text1"/>
          <w:u w:val="double"/>
          <w14:textFill>
            <w14:solidFill>
              <w14:schemeClr w14:val="tx1"/>
            </w14:solidFill>
          </w14:textFill>
        </w:rPr>
      </w:pPr>
      <w:r>
        <w:rPr>
          <w:rFonts w:hint="eastAsia" w:ascii="宋体" w:hAnsi="宋体" w:cs="宋体"/>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numPr>
          <w:ilvl w:val="0"/>
          <w:numId w:val="2"/>
        </w:numPr>
        <w:autoSpaceDE w:val="0"/>
        <w:autoSpaceDN w:val="0"/>
        <w:adjustRightInd w:val="0"/>
        <w:spacing w:line="360" w:lineRule="auto"/>
        <w:jc w:val="left"/>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确定成交候选人</w:t>
      </w:r>
    </w:p>
    <w:p>
      <w:pPr>
        <w:numPr>
          <w:ilvl w:val="0"/>
          <w:numId w:val="7"/>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pPr>
        <w:pStyle w:val="57"/>
        <w:numPr>
          <w:ilvl w:val="0"/>
          <w:numId w:val="2"/>
        </w:numPr>
        <w:autoSpaceDE w:val="0"/>
        <w:autoSpaceDN w:val="0"/>
        <w:adjustRightInd w:val="0"/>
        <w:spacing w:line="360" w:lineRule="auto"/>
        <w:ind w:firstLineChars="0"/>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无效报价</w:t>
      </w:r>
    </w:p>
    <w:p>
      <w:pPr>
        <w:numPr>
          <w:ilvl w:val="0"/>
          <w:numId w:val="8"/>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参与竞价的供应商报价超过最高限价或低于最低限价或超过项目对应产品单项最高限价的视为无效报价；</w:t>
      </w:r>
    </w:p>
    <w:p>
      <w:pPr>
        <w:numPr>
          <w:ilvl w:val="0"/>
          <w:numId w:val="8"/>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参与竞价的</w:t>
      </w:r>
      <w:r>
        <w:rPr>
          <w:rFonts w:hint="eastAsia" w:ascii="宋体" w:hAnsi="宋体" w:cs="宋体"/>
          <w:bCs/>
          <w:color w:val="000000" w:themeColor="text1"/>
          <w:kern w:val="0"/>
          <w:szCs w:val="21"/>
          <w14:textFill>
            <w14:solidFill>
              <w14:schemeClr w14:val="tx1"/>
            </w14:solidFill>
          </w14:textFill>
        </w:rPr>
        <w:t>供应商须提供本项目要求的资质文件，如果不按公告规定或竞价文件要求等相关规定提供符合要求的资质文件，将被视为无效报价；</w:t>
      </w:r>
    </w:p>
    <w:p>
      <w:pPr>
        <w:numPr>
          <w:ilvl w:val="0"/>
          <w:numId w:val="8"/>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参与竞价的</w:t>
      </w:r>
      <w:r>
        <w:rPr>
          <w:rFonts w:hint="eastAsia" w:ascii="宋体" w:hAnsi="宋体" w:cs="宋体"/>
          <w:bCs/>
          <w:color w:val="000000" w:themeColor="text1"/>
          <w:kern w:val="0"/>
          <w:szCs w:val="21"/>
          <w14:textFill>
            <w14:solidFill>
              <w14:schemeClr w14:val="tx1"/>
            </w14:solidFill>
          </w14:textFill>
        </w:rPr>
        <w:t>供应商须对本项目采购内容进行整体报价，任何只对其中一部分内容进行的报价都被视为无效报价；</w:t>
      </w:r>
    </w:p>
    <w:p>
      <w:pPr>
        <w:widowControl/>
        <w:numPr>
          <w:ilvl w:val="0"/>
          <w:numId w:val="8"/>
        </w:numPr>
        <w:shd w:val="clear" w:color="auto" w:fill="FFFFFF"/>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报价表以及有报价供应商落款的报价文件必须加盖报价供应商公章，否则视为无效报价；</w:t>
      </w:r>
    </w:p>
    <w:p>
      <w:pPr>
        <w:widowControl/>
        <w:numPr>
          <w:ilvl w:val="0"/>
          <w:numId w:val="8"/>
        </w:numPr>
        <w:shd w:val="clear" w:color="auto" w:fill="FFFFFF"/>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bCs/>
          <w:color w:val="000000" w:themeColor="text1"/>
          <w:szCs w:val="21"/>
          <w:shd w:val="clear" w:color="auto" w:fill="FFFFFF"/>
          <w14:textFill>
            <w14:solidFill>
              <w14:schemeClr w14:val="tx1"/>
            </w14:solidFill>
          </w14:textFill>
        </w:rPr>
        <w:t>不接受总价优惠折扣形式的报价，供应商应将对项目的优惠直接在清单报价中体现出来。</w:t>
      </w:r>
      <w:r>
        <w:rPr>
          <w:rFonts w:hint="eastAsia" w:ascii="宋体" w:hAnsi="宋体" w:cs="宋体"/>
          <w:color w:val="000000" w:themeColor="text1"/>
          <w:kern w:val="0"/>
          <w:szCs w:val="21"/>
          <w14:textFill>
            <w14:solidFill>
              <w14:schemeClr w14:val="tx1"/>
            </w14:solidFill>
          </w14:textFill>
        </w:rPr>
        <w:t>如果供应商不接受对其错误的更正，其报价将被视为无效报价。</w:t>
      </w:r>
    </w:p>
    <w:p>
      <w:pPr>
        <w:widowControl/>
        <w:numPr>
          <w:ilvl w:val="0"/>
          <w:numId w:val="8"/>
        </w:numPr>
        <w:shd w:val="clear" w:color="auto" w:fill="FFFFFF"/>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)按有关法律、法规、规章属于报价无效的。</w:t>
      </w:r>
    </w:p>
    <w:p>
      <w:pPr>
        <w:widowControl/>
        <w:numPr>
          <w:ilvl w:val="0"/>
          <w:numId w:val="8"/>
        </w:numPr>
        <w:shd w:val="clear" w:color="auto" w:fill="FFFFFF"/>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有下列情形之一的，视为串通竞价，其报价无效：</w:t>
      </w:r>
    </w:p>
    <w:p>
      <w:pPr>
        <w:widowControl/>
        <w:numPr>
          <w:ilvl w:val="2"/>
          <w:numId w:val="9"/>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存在单位负责人为同一人或存在控股、管理关系的不同单位参与同一竞价项目；</w:t>
      </w:r>
    </w:p>
    <w:p>
      <w:pPr>
        <w:widowControl/>
        <w:numPr>
          <w:ilvl w:val="2"/>
          <w:numId w:val="9"/>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不同供应商的响应文件由同一单位或者个人编制；</w:t>
      </w:r>
    </w:p>
    <w:p>
      <w:pPr>
        <w:widowControl/>
        <w:numPr>
          <w:ilvl w:val="2"/>
          <w:numId w:val="9"/>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不同供应商委托同一单位或者个人办理竞价事宜；</w:t>
      </w:r>
    </w:p>
    <w:p>
      <w:pPr>
        <w:widowControl/>
        <w:numPr>
          <w:ilvl w:val="2"/>
          <w:numId w:val="9"/>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不同供应商使用同一IP地址参与竞价；</w:t>
      </w:r>
    </w:p>
    <w:p>
      <w:pPr>
        <w:widowControl/>
        <w:numPr>
          <w:ilvl w:val="2"/>
          <w:numId w:val="9"/>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不同供应商的响应文件载明的项目管理成员或者联系人员为同一人；</w:t>
      </w:r>
    </w:p>
    <w:p>
      <w:pPr>
        <w:widowControl/>
        <w:numPr>
          <w:ilvl w:val="2"/>
          <w:numId w:val="9"/>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不同供应商的响应文件异常一致或者报价呈规律性差异；</w:t>
      </w:r>
    </w:p>
    <w:p>
      <w:pPr>
        <w:widowControl/>
        <w:numPr>
          <w:ilvl w:val="2"/>
          <w:numId w:val="9"/>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不同供应商的响应文件相互混淆；</w:t>
      </w:r>
    </w:p>
    <w:p>
      <w:pPr>
        <w:widowControl/>
        <w:numPr>
          <w:ilvl w:val="2"/>
          <w:numId w:val="9"/>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不同供应商的平台使用费从同一单位或者个人的账户转出。</w:t>
      </w:r>
    </w:p>
    <w:p>
      <w:pPr>
        <w:numPr>
          <w:ilvl w:val="0"/>
          <w:numId w:val="2"/>
        </w:numPr>
        <w:autoSpaceDE w:val="0"/>
        <w:autoSpaceDN w:val="0"/>
        <w:adjustRightInd w:val="0"/>
        <w:spacing w:line="360"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竞价活动失败</w:t>
      </w:r>
    </w:p>
    <w:p>
      <w:pPr>
        <w:pStyle w:val="57"/>
        <w:numPr>
          <w:ilvl w:val="0"/>
          <w:numId w:val="10"/>
        </w:numPr>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出现下列情况的，本次竞价活动失败：</w:t>
      </w:r>
    </w:p>
    <w:p>
      <w:pPr>
        <w:pStyle w:val="57"/>
        <w:numPr>
          <w:ilvl w:val="0"/>
          <w:numId w:val="11"/>
        </w:numPr>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报名供应商不足3家；</w:t>
      </w:r>
    </w:p>
    <w:p>
      <w:pPr>
        <w:pStyle w:val="57"/>
        <w:numPr>
          <w:ilvl w:val="0"/>
          <w:numId w:val="11"/>
        </w:numPr>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报价供应商不足3家；</w:t>
      </w:r>
    </w:p>
    <w:p>
      <w:pPr>
        <w:pStyle w:val="57"/>
        <w:numPr>
          <w:ilvl w:val="0"/>
          <w:numId w:val="10"/>
        </w:numPr>
        <w:spacing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出现影响采购公正的违法、违规行为的；</w:t>
      </w:r>
    </w:p>
    <w:p>
      <w:pPr>
        <w:numPr>
          <w:ilvl w:val="0"/>
          <w:numId w:val="10"/>
        </w:numPr>
        <w:autoSpaceDE w:val="0"/>
        <w:autoSpaceDN w:val="0"/>
        <w:adjustRightInd w:val="0"/>
        <w:spacing w:line="360"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因重大变故，采购任务取消的。</w:t>
      </w:r>
    </w:p>
    <w:p>
      <w:pPr>
        <w:numPr>
          <w:ilvl w:val="0"/>
          <w:numId w:val="2"/>
        </w:numPr>
        <w:autoSpaceDE w:val="0"/>
        <w:autoSpaceDN w:val="0"/>
        <w:adjustRightInd w:val="0"/>
        <w:spacing w:line="360"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使用费</w:t>
      </w:r>
    </w:p>
    <w:p>
      <w:pPr>
        <w:pStyle w:val="57"/>
        <w:numPr>
          <w:ilvl w:val="0"/>
          <w:numId w:val="12"/>
        </w:numPr>
        <w:spacing w:line="36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成交供应商须向平台服务商云采链线上采购一体化平台缴纳平台使用费，金额为成交金额的1.5%（四舍五入取整数）</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sz w:val="21"/>
          <w:szCs w:val="21"/>
        </w:rPr>
        <w:t>不足人民币1000元的，按人民币1000元收取</w:t>
      </w:r>
      <w:r>
        <w:rPr>
          <w:rFonts w:hint="eastAsia" w:ascii="宋体" w:hAnsi="宋体" w:eastAsia="宋体" w:cs="宋体"/>
          <w:color w:val="000000" w:themeColor="text1"/>
          <w:sz w:val="21"/>
          <w:szCs w:val="21"/>
          <w14:textFill>
            <w14:solidFill>
              <w14:schemeClr w14:val="tx1"/>
            </w14:solidFill>
          </w14:textFill>
        </w:rPr>
        <w:t>。</w:t>
      </w:r>
    </w:p>
    <w:p>
      <w:pPr>
        <w:numPr>
          <w:ilvl w:val="0"/>
          <w:numId w:val="12"/>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成交供应商无正当理由放弃成交资格的必须按竞价公告等相关规定缴纳相应的平台使用费。</w:t>
      </w:r>
    </w:p>
    <w:p>
      <w:pPr>
        <w:numPr>
          <w:ilvl w:val="0"/>
          <w:numId w:val="12"/>
        </w:numPr>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如确实因不可抗力放弃成交资格的，应在不可抗力发生后三个工作日内予以通知采购代理机构并提供相关的证明；如逾期，采购代理机构不予退还平台使用费。</w:t>
      </w:r>
    </w:p>
    <w:p>
      <w:pPr>
        <w:widowControl/>
        <w:numPr>
          <w:ilvl w:val="0"/>
          <w:numId w:val="2"/>
        </w:numPr>
        <w:autoSpaceDE w:val="0"/>
        <w:autoSpaceDN w:val="0"/>
        <w:adjustRightInd w:val="0"/>
        <w:spacing w:line="360"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联系方式</w:t>
      </w:r>
    </w:p>
    <w:p>
      <w:pPr>
        <w:widowControl/>
        <w:autoSpaceDE w:val="0"/>
        <w:autoSpaceDN w:val="0"/>
        <w:adjustRightInd w:val="0"/>
        <w:spacing w:line="360" w:lineRule="auto"/>
        <w:ind w:left="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扫码关注微信公众号“云采链互联服务平台”，即可在线咨询相关事项</w:t>
      </w:r>
      <w:bookmarkEnd w:id="2"/>
      <w:r>
        <w:rPr>
          <w:rFonts w:hint="eastAsia" w:ascii="宋体" w:hAnsi="宋体" w:cs="宋体"/>
          <w:color w:val="000000" w:themeColor="text1"/>
          <w:kern w:val="0"/>
          <w:szCs w:val="21"/>
          <w14:textFill>
            <w14:solidFill>
              <w14:schemeClr w14:val="tx1"/>
            </w14:solidFill>
          </w14:textFill>
        </w:rPr>
        <w:t>。</w:t>
      </w:r>
    </w:p>
    <w:bookmarkEnd w:id="3"/>
    <w:p>
      <w:pPr>
        <w:widowControl/>
        <w:autoSpaceDE w:val="0"/>
        <w:autoSpaceDN w:val="0"/>
        <w:adjustRightInd w:val="0"/>
        <w:spacing w:line="360" w:lineRule="auto"/>
        <w:ind w:left="420"/>
        <w:jc w:val="center"/>
        <w:rPr>
          <w:rFonts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drawing>
          <wp:inline distT="0" distB="0" distL="114300" distR="114300">
            <wp:extent cx="1181735" cy="1181735"/>
            <wp:effectExtent l="0" t="0" r="18415" b="18415"/>
            <wp:docPr id="1" name="图片 1" descr="说明: 说明: 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说明: C:\Users\ADMINI~1\AppData\Local\Temp\360zip$Temp\360$2\智采公众号8cm.jpg"/>
                    <pic:cNvPicPr>
                      <a:picLocks noChangeAspect="1"/>
                    </pic:cNvPicPr>
                  </pic:nvPicPr>
                  <pic:blipFill>
                    <a:blip r:embed="rId6"/>
                    <a:stretch>
                      <a:fillRect/>
                    </a:stretch>
                  </pic:blipFill>
                  <pic:spPr>
                    <a:xfrm>
                      <a:off x="0" y="0"/>
                      <a:ext cx="1181735" cy="1181735"/>
                    </a:xfrm>
                    <a:prstGeom prst="rect">
                      <a:avLst/>
                    </a:prstGeom>
                    <a:noFill/>
                    <a:ln>
                      <a:noFill/>
                    </a:ln>
                  </pic:spPr>
                </pic:pic>
              </a:graphicData>
            </a:graphic>
          </wp:inline>
        </w:drawing>
      </w:r>
    </w:p>
    <w:p>
      <w:pPr>
        <w:spacing w:before="156" w:beforeLines="50" w:after="156" w:afterLines="50" w:line="360" w:lineRule="auto"/>
        <w:jc w:val="center"/>
        <w:outlineLvl w:val="0"/>
        <w:rPr>
          <w:rFonts w:ascii="宋体" w:hAnsi="宋体" w:cs="宋体"/>
          <w:b/>
          <w:bCs/>
          <w:color w:val="000000" w:themeColor="text1"/>
          <w:sz w:val="30"/>
          <w:szCs w:val="30"/>
          <w14:textFill>
            <w14:solidFill>
              <w14:schemeClr w14:val="tx1"/>
            </w14:solidFill>
          </w14:textFill>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bookmarkEnd w:id="4"/>
    <w:p>
      <w:pPr>
        <w:pStyle w:val="57"/>
        <w:numPr>
          <w:ilvl w:val="0"/>
          <w:numId w:val="1"/>
        </w:numPr>
        <w:spacing w:before="156" w:beforeLines="50" w:after="156" w:afterLines="50" w:line="360" w:lineRule="auto"/>
        <w:ind w:firstLineChars="0"/>
        <w:jc w:val="center"/>
        <w:outlineLvl w:val="0"/>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用户需求书</w:t>
      </w:r>
      <w:bookmarkEnd w:id="1"/>
    </w:p>
    <w:p>
      <w:pPr>
        <w:pStyle w:val="30"/>
        <w:ind w:left="1120" w:firstLine="422"/>
        <w:jc w:val="left"/>
        <w:rPr>
          <w:rFonts w:ascii="宋体" w:hAnsi="宋体"/>
          <w:b/>
        </w:rPr>
      </w:pPr>
      <w:r>
        <w:rPr>
          <w:rFonts w:hint="eastAsia" w:ascii="宋体" w:hAnsi="宋体"/>
          <w:b/>
        </w:rPr>
        <w:t>说明：</w:t>
      </w:r>
    </w:p>
    <w:p>
      <w:pPr>
        <w:pStyle w:val="30"/>
        <w:jc w:val="left"/>
        <w:rPr>
          <w:rFonts w:ascii="宋体" w:hAnsi="宋体"/>
          <w:b/>
        </w:rPr>
      </w:pPr>
      <w:r>
        <w:rPr>
          <w:rFonts w:hint="eastAsia" w:ascii="宋体" w:hAnsi="宋体"/>
          <w:b/>
        </w:rPr>
        <w:t>1.响应供应商须对本项目进行整体响应，任何只对其中一部分进行的响应都被视为无效响应。</w:t>
      </w:r>
    </w:p>
    <w:p>
      <w:pPr>
        <w:pStyle w:val="13"/>
        <w:numPr>
          <w:ilvl w:val="0"/>
          <w:numId w:val="13"/>
        </w:numPr>
        <w:ind w:left="-210" w:leftChars="0" w:firstLine="420" w:firstLineChars="0"/>
        <w:rPr>
          <w:b/>
          <w:sz w:val="21"/>
        </w:rPr>
      </w:pPr>
      <w:r>
        <w:rPr>
          <w:rFonts w:hint="eastAsia"/>
          <w:b/>
          <w:sz w:val="21"/>
        </w:rPr>
        <w:t>项目一览表</w:t>
      </w:r>
    </w:p>
    <w:tbl>
      <w:tblPr>
        <w:tblStyle w:val="23"/>
        <w:tblW w:w="47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9"/>
        <w:gridCol w:w="1210"/>
        <w:gridCol w:w="3069"/>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402" w:type="pct"/>
            <w:tcBorders>
              <w:top w:val="single" w:color="auto" w:sz="4" w:space="0"/>
              <w:left w:val="single" w:color="auto" w:sz="4" w:space="0"/>
              <w:bottom w:val="single" w:color="auto" w:sz="4" w:space="0"/>
              <w:right w:val="single" w:color="auto" w:sz="4" w:space="0"/>
            </w:tcBorders>
            <w:shd w:val="clear" w:color="auto" w:fill="EEECE1"/>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项目内容</w:t>
            </w:r>
          </w:p>
        </w:tc>
        <w:tc>
          <w:tcPr>
            <w:tcW w:w="638" w:type="pct"/>
            <w:tcBorders>
              <w:top w:val="single" w:color="auto" w:sz="4" w:space="0"/>
              <w:left w:val="single" w:color="auto" w:sz="4" w:space="0"/>
              <w:bottom w:val="single" w:color="auto" w:sz="4" w:space="0"/>
              <w:right w:val="single" w:color="auto" w:sz="4" w:space="0"/>
            </w:tcBorders>
            <w:shd w:val="clear" w:color="auto" w:fill="EEECE1"/>
            <w:vAlign w:val="center"/>
          </w:tcPr>
          <w:p>
            <w:pPr>
              <w:spacing w:before="156" w:beforeLines="50" w:line="360" w:lineRule="auto"/>
              <w:jc w:val="center"/>
              <w:rPr>
                <w:rStyle w:val="33"/>
                <w:rFonts w:ascii="宋体" w:hAnsi="宋体"/>
                <w:color w:val="000000" w:themeColor="text1"/>
                <w:sz w:val="21"/>
                <w:szCs w:val="21"/>
                <w14:textFill>
                  <w14:solidFill>
                    <w14:schemeClr w14:val="tx1"/>
                  </w14:solidFill>
                </w14:textFill>
              </w:rPr>
            </w:pPr>
            <w:r>
              <w:rPr>
                <w:rStyle w:val="33"/>
                <w:rFonts w:hint="eastAsia" w:ascii="宋体" w:hAnsi="宋体"/>
                <w:color w:val="000000" w:themeColor="text1"/>
                <w:sz w:val="21"/>
                <w:szCs w:val="21"/>
                <w14:textFill>
                  <w14:solidFill>
                    <w14:schemeClr w14:val="tx1"/>
                  </w14:solidFill>
                </w14:textFill>
              </w:rPr>
              <w:t>数量</w:t>
            </w:r>
          </w:p>
        </w:tc>
        <w:tc>
          <w:tcPr>
            <w:tcW w:w="1618" w:type="pct"/>
            <w:tcBorders>
              <w:top w:val="single" w:color="auto" w:sz="4" w:space="0"/>
              <w:left w:val="single" w:color="auto" w:sz="4" w:space="0"/>
              <w:bottom w:val="single" w:color="auto" w:sz="4" w:space="0"/>
              <w:right w:val="single" w:color="auto" w:sz="4" w:space="0"/>
            </w:tcBorders>
            <w:shd w:val="clear" w:color="auto" w:fill="EEECE1"/>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Style w:val="33"/>
                <w:rFonts w:hint="eastAsia" w:ascii="宋体" w:hAnsi="宋体"/>
                <w:color w:val="000000" w:themeColor="text1"/>
                <w:sz w:val="21"/>
                <w:szCs w:val="21"/>
                <w:lang w:val="en-US" w:eastAsia="zh-CN"/>
                <w14:textFill>
                  <w14:solidFill>
                    <w14:schemeClr w14:val="tx1"/>
                  </w14:solidFill>
                </w14:textFill>
              </w:rPr>
              <w:t>交货</w:t>
            </w:r>
            <w:r>
              <w:rPr>
                <w:rStyle w:val="33"/>
                <w:rFonts w:hint="eastAsia" w:ascii="宋体" w:hAnsi="宋体"/>
                <w:color w:val="000000" w:themeColor="text1"/>
                <w:sz w:val="21"/>
                <w:szCs w:val="21"/>
                <w14:textFill>
                  <w14:solidFill>
                    <w14:schemeClr w14:val="tx1"/>
                  </w14:solidFill>
                </w14:textFill>
              </w:rPr>
              <w:t>期</w:t>
            </w:r>
          </w:p>
        </w:tc>
        <w:tc>
          <w:tcPr>
            <w:tcW w:w="1341" w:type="pct"/>
            <w:tcBorders>
              <w:top w:val="single" w:color="auto" w:sz="4" w:space="0"/>
              <w:left w:val="single" w:color="auto" w:sz="4" w:space="0"/>
              <w:bottom w:val="single" w:color="auto" w:sz="4" w:space="0"/>
              <w:right w:val="single" w:color="auto" w:sz="4" w:space="0"/>
            </w:tcBorders>
            <w:shd w:val="clear" w:color="auto" w:fill="EEECE1"/>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采购预算（含税）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1402" w:type="pct"/>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b w:val="0"/>
                <w:bCs/>
                <w:sz w:val="21"/>
                <w:szCs w:val="21"/>
                <w:u w:val="none"/>
                <w:lang w:eastAsia="zh-CN"/>
              </w:rPr>
              <w:t>东源县黄村镇中心幼儿园设备采购</w:t>
            </w:r>
          </w:p>
        </w:tc>
        <w:tc>
          <w:tcPr>
            <w:tcW w:w="638" w:type="pct"/>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批</w:t>
            </w:r>
          </w:p>
        </w:tc>
        <w:tc>
          <w:tcPr>
            <w:tcW w:w="1618" w:type="pct"/>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hint="default" w:ascii="宋体" w:hAnsi="宋体" w:eastAsia="宋体" w:cs="宋体"/>
                <w:bCs/>
                <w:color w:val="000000" w:themeColor="text1"/>
                <w:szCs w:val="21"/>
                <w:lang w:val="en-US" w:eastAsia="zh-CN"/>
                <w14:textFill>
                  <w14:solidFill>
                    <w14:schemeClr w14:val="tx1"/>
                  </w14:solidFill>
                </w14:textFill>
              </w:rPr>
            </w:pPr>
            <w:r>
              <w:rPr>
                <w:rFonts w:hint="default" w:ascii="宋体" w:hAnsi="宋体" w:eastAsia="宋体" w:cs="宋体"/>
                <w:bCs/>
                <w:color w:val="000000" w:themeColor="text1"/>
                <w:szCs w:val="21"/>
                <w:lang w:val="en-US" w:eastAsia="zh-CN"/>
                <w14:textFill>
                  <w14:solidFill>
                    <w14:schemeClr w14:val="tx1"/>
                  </w14:solidFill>
                </w14:textFill>
              </w:rPr>
              <w:t>自合同签订之日起45日历天</w:t>
            </w:r>
          </w:p>
        </w:tc>
        <w:tc>
          <w:tcPr>
            <w:tcW w:w="1341" w:type="pct"/>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auto"/>
                <w:szCs w:val="21"/>
                <w:highlight w:val="none"/>
              </w:rPr>
              <w:t>人民币</w:t>
            </w:r>
            <w:r>
              <w:rPr>
                <w:rFonts w:hint="eastAsia" w:ascii="宋体" w:hAnsi="宋体" w:cs="宋体"/>
                <w:color w:val="auto"/>
                <w:szCs w:val="21"/>
                <w:highlight w:val="none"/>
                <w:lang w:val="en-US" w:eastAsia="zh-CN"/>
              </w:rPr>
              <w:t>476019.65</w:t>
            </w:r>
            <w:r>
              <w:rPr>
                <w:rFonts w:hint="eastAsia" w:ascii="宋体" w:hAnsi="宋体" w:cs="宋体"/>
                <w:color w:val="auto"/>
                <w:szCs w:val="21"/>
                <w:highlight w:val="none"/>
              </w:rPr>
              <w:t>元</w:t>
            </w:r>
          </w:p>
        </w:tc>
      </w:tr>
    </w:tbl>
    <w:p>
      <w:pPr>
        <w:pStyle w:val="13"/>
        <w:numPr>
          <w:ilvl w:val="0"/>
          <w:numId w:val="13"/>
        </w:numPr>
        <w:ind w:left="-210" w:leftChars="0" w:firstLine="420" w:firstLineChars="0"/>
        <w:rPr>
          <w:rFonts w:hint="eastAsia"/>
          <w:b/>
          <w:sz w:val="21"/>
        </w:rPr>
      </w:pPr>
      <w:r>
        <w:rPr>
          <w:rFonts w:hint="eastAsia"/>
          <w:b/>
          <w:sz w:val="21"/>
        </w:rPr>
        <w:t>项目内容</w:t>
      </w:r>
      <w:r>
        <w:rPr>
          <w:rFonts w:hint="eastAsia"/>
          <w:b/>
          <w:sz w:val="21"/>
          <w:lang w:eastAsia="zh-CN"/>
        </w:rPr>
        <w:t>（</w:t>
      </w:r>
      <w:r>
        <w:rPr>
          <w:rFonts w:hint="eastAsia"/>
          <w:b/>
          <w:sz w:val="21"/>
          <w:lang w:val="en-US" w:eastAsia="zh-CN"/>
        </w:rPr>
        <w:t>具体参数及规格请下载清单查看</w:t>
      </w:r>
      <w:r>
        <w:rPr>
          <w:rFonts w:hint="eastAsia"/>
          <w:b/>
          <w:sz w:val="21"/>
          <w:lang w:eastAsia="zh-CN"/>
        </w:rPr>
        <w:t>）</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78"/>
        <w:gridCol w:w="2939"/>
        <w:gridCol w:w="1136"/>
        <w:gridCol w:w="1136"/>
        <w:gridCol w:w="1851"/>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5000" w:type="pct"/>
            <w:gridSpan w:val="6"/>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教育教学设施设备及家具部分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000" w:type="pct"/>
            <w:gridSpan w:val="6"/>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一、教育教学设施设备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441"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475"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货品名称</w:t>
            </w:r>
          </w:p>
        </w:tc>
        <w:tc>
          <w:tcPr>
            <w:tcW w:w="570"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570"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28"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1014"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单反相机</w:t>
            </w:r>
          </w:p>
        </w:tc>
        <w:tc>
          <w:tcPr>
            <w:tcW w:w="11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w:t>
            </w:r>
          </w:p>
        </w:tc>
        <w:tc>
          <w:tcPr>
            <w:tcW w:w="11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台</w:t>
            </w:r>
          </w:p>
        </w:tc>
        <w:tc>
          <w:tcPr>
            <w:tcW w:w="9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7741.02</w:t>
            </w:r>
          </w:p>
        </w:tc>
        <w:tc>
          <w:tcPr>
            <w:tcW w:w="101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7741.02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无线键鼠</w:t>
            </w:r>
          </w:p>
        </w:tc>
        <w:tc>
          <w:tcPr>
            <w:tcW w:w="11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w:t>
            </w:r>
          </w:p>
        </w:tc>
        <w:tc>
          <w:tcPr>
            <w:tcW w:w="11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套</w:t>
            </w:r>
          </w:p>
        </w:tc>
        <w:tc>
          <w:tcPr>
            <w:tcW w:w="9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94.00</w:t>
            </w:r>
          </w:p>
        </w:tc>
        <w:tc>
          <w:tcPr>
            <w:tcW w:w="101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4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课室网络</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音箱</w:t>
            </w:r>
          </w:p>
        </w:tc>
        <w:tc>
          <w:tcPr>
            <w:tcW w:w="11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w:t>
            </w:r>
          </w:p>
        </w:tc>
        <w:tc>
          <w:tcPr>
            <w:tcW w:w="11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套</w:t>
            </w:r>
          </w:p>
        </w:tc>
        <w:tc>
          <w:tcPr>
            <w:tcW w:w="9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1038.00</w:t>
            </w:r>
          </w:p>
        </w:tc>
        <w:tc>
          <w:tcPr>
            <w:tcW w:w="101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7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二龙饮水平台</w:t>
            </w:r>
          </w:p>
        </w:tc>
        <w:tc>
          <w:tcPr>
            <w:tcW w:w="11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11</w:t>
            </w:r>
          </w:p>
        </w:tc>
        <w:tc>
          <w:tcPr>
            <w:tcW w:w="11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台</w:t>
            </w:r>
          </w:p>
        </w:tc>
        <w:tc>
          <w:tcPr>
            <w:tcW w:w="9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9052.67</w:t>
            </w:r>
          </w:p>
        </w:tc>
        <w:tc>
          <w:tcPr>
            <w:tcW w:w="101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99579.37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7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消毒柜</w:t>
            </w:r>
          </w:p>
        </w:tc>
        <w:tc>
          <w:tcPr>
            <w:tcW w:w="11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w:t>
            </w:r>
          </w:p>
        </w:tc>
        <w:tc>
          <w:tcPr>
            <w:tcW w:w="11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台</w:t>
            </w:r>
          </w:p>
        </w:tc>
        <w:tc>
          <w:tcPr>
            <w:tcW w:w="9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6144.60</w:t>
            </w:r>
          </w:p>
        </w:tc>
        <w:tc>
          <w:tcPr>
            <w:tcW w:w="101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6144.60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7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留样雪柜</w:t>
            </w:r>
          </w:p>
        </w:tc>
        <w:tc>
          <w:tcPr>
            <w:tcW w:w="11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w:t>
            </w:r>
          </w:p>
        </w:tc>
        <w:tc>
          <w:tcPr>
            <w:tcW w:w="11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台</w:t>
            </w:r>
          </w:p>
        </w:tc>
        <w:tc>
          <w:tcPr>
            <w:tcW w:w="9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1202.50</w:t>
            </w:r>
          </w:p>
        </w:tc>
        <w:tc>
          <w:tcPr>
            <w:tcW w:w="101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9" w:hRule="atLeast"/>
        </w:trPr>
        <w:tc>
          <w:tcPr>
            <w:tcW w:w="4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7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安装调试费</w:t>
            </w:r>
          </w:p>
        </w:tc>
        <w:tc>
          <w:tcPr>
            <w:tcW w:w="570" w:type="pct"/>
            <w:shd w:val="clear" w:color="auto" w:fill="auto"/>
            <w:vAlign w:val="center"/>
          </w:tcPr>
          <w:p>
            <w:pPr>
              <w:jc w:val="center"/>
              <w:rPr>
                <w:rFonts w:hint="eastAsia" w:ascii="宋体" w:hAnsi="宋体" w:eastAsia="宋体" w:cs="宋体"/>
                <w:i w:val="0"/>
                <w:iCs w:val="0"/>
                <w:color w:val="000000"/>
                <w:sz w:val="21"/>
                <w:szCs w:val="21"/>
                <w:u w:val="none"/>
              </w:rPr>
            </w:pPr>
          </w:p>
        </w:tc>
        <w:tc>
          <w:tcPr>
            <w:tcW w:w="570" w:type="pct"/>
            <w:shd w:val="clear" w:color="auto" w:fill="auto"/>
            <w:vAlign w:val="center"/>
          </w:tcPr>
          <w:p>
            <w:pPr>
              <w:jc w:val="center"/>
              <w:rPr>
                <w:rFonts w:hint="eastAsia" w:ascii="宋体" w:hAnsi="宋体" w:eastAsia="宋体" w:cs="宋体"/>
                <w:i w:val="0"/>
                <w:iCs w:val="0"/>
                <w:color w:val="000000"/>
                <w:sz w:val="21"/>
                <w:szCs w:val="21"/>
                <w:u w:val="none"/>
              </w:rPr>
            </w:pPr>
          </w:p>
        </w:tc>
        <w:tc>
          <w:tcPr>
            <w:tcW w:w="928" w:type="pct"/>
            <w:shd w:val="clear" w:color="auto" w:fill="auto"/>
            <w:vAlign w:val="center"/>
          </w:tcPr>
          <w:p>
            <w:pPr>
              <w:jc w:val="center"/>
              <w:rPr>
                <w:rFonts w:hint="eastAsia" w:ascii="宋体" w:hAnsi="宋体" w:eastAsia="宋体" w:cs="宋体"/>
                <w:i w:val="0"/>
                <w:iCs w:val="0"/>
                <w:color w:val="000000"/>
                <w:sz w:val="21"/>
                <w:szCs w:val="21"/>
                <w:u w:val="none"/>
              </w:rPr>
            </w:pPr>
          </w:p>
        </w:tc>
        <w:tc>
          <w:tcPr>
            <w:tcW w:w="101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5903.17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985" w:type="pct"/>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w:t>
            </w:r>
          </w:p>
        </w:tc>
        <w:tc>
          <w:tcPr>
            <w:tcW w:w="1014"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123966.66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000" w:type="pct"/>
            <w:gridSpan w:val="6"/>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二、家具部分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0" w:hRule="atLeast"/>
        </w:trPr>
        <w:tc>
          <w:tcPr>
            <w:tcW w:w="4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47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定制书包柜鞋柜A</w:t>
            </w:r>
          </w:p>
        </w:tc>
        <w:tc>
          <w:tcPr>
            <w:tcW w:w="11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11</w:t>
            </w:r>
          </w:p>
        </w:tc>
        <w:tc>
          <w:tcPr>
            <w:tcW w:w="11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个</w:t>
            </w:r>
          </w:p>
        </w:tc>
        <w:tc>
          <w:tcPr>
            <w:tcW w:w="9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4115.42</w:t>
            </w:r>
          </w:p>
        </w:tc>
        <w:tc>
          <w:tcPr>
            <w:tcW w:w="101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45269.62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47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水杯架</w:t>
            </w:r>
          </w:p>
        </w:tc>
        <w:tc>
          <w:tcPr>
            <w:tcW w:w="11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11</w:t>
            </w:r>
          </w:p>
        </w:tc>
        <w:tc>
          <w:tcPr>
            <w:tcW w:w="11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个</w:t>
            </w:r>
          </w:p>
        </w:tc>
        <w:tc>
          <w:tcPr>
            <w:tcW w:w="9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585.90</w:t>
            </w:r>
          </w:p>
        </w:tc>
        <w:tc>
          <w:tcPr>
            <w:tcW w:w="101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6444.90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47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休息床</w:t>
            </w:r>
          </w:p>
        </w:tc>
        <w:tc>
          <w:tcPr>
            <w:tcW w:w="11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25</w:t>
            </w:r>
          </w:p>
        </w:tc>
        <w:tc>
          <w:tcPr>
            <w:tcW w:w="11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张</w:t>
            </w:r>
          </w:p>
        </w:tc>
        <w:tc>
          <w:tcPr>
            <w:tcW w:w="9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1973.33</w:t>
            </w:r>
          </w:p>
        </w:tc>
        <w:tc>
          <w:tcPr>
            <w:tcW w:w="101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49333.25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47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棕垫</w:t>
            </w:r>
          </w:p>
        </w:tc>
        <w:tc>
          <w:tcPr>
            <w:tcW w:w="11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25</w:t>
            </w:r>
          </w:p>
        </w:tc>
        <w:tc>
          <w:tcPr>
            <w:tcW w:w="11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张</w:t>
            </w:r>
          </w:p>
        </w:tc>
        <w:tc>
          <w:tcPr>
            <w:tcW w:w="9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312.00</w:t>
            </w:r>
          </w:p>
        </w:tc>
        <w:tc>
          <w:tcPr>
            <w:tcW w:w="101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47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课室教师办公区办公椅</w:t>
            </w:r>
          </w:p>
        </w:tc>
        <w:tc>
          <w:tcPr>
            <w:tcW w:w="11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10</w:t>
            </w:r>
          </w:p>
        </w:tc>
        <w:tc>
          <w:tcPr>
            <w:tcW w:w="11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张</w:t>
            </w:r>
          </w:p>
        </w:tc>
        <w:tc>
          <w:tcPr>
            <w:tcW w:w="9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334.80</w:t>
            </w:r>
          </w:p>
        </w:tc>
        <w:tc>
          <w:tcPr>
            <w:tcW w:w="101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4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47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大班椅</w:t>
            </w:r>
          </w:p>
        </w:tc>
        <w:tc>
          <w:tcPr>
            <w:tcW w:w="11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1</w:t>
            </w:r>
          </w:p>
        </w:tc>
        <w:tc>
          <w:tcPr>
            <w:tcW w:w="113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0"/>
                <w:szCs w:val="20"/>
                <w:u w:val="none"/>
                <w:lang w:val="en-US" w:eastAsia="zh-CN" w:bidi="ar"/>
              </w:rPr>
              <w:t>张</w:t>
            </w:r>
          </w:p>
        </w:tc>
        <w:tc>
          <w:tcPr>
            <w:tcW w:w="92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554.00</w:t>
            </w:r>
          </w:p>
        </w:tc>
        <w:tc>
          <w:tcPr>
            <w:tcW w:w="101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3985" w:type="pct"/>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w:t>
            </w:r>
          </w:p>
        </w:tc>
        <w:tc>
          <w:tcPr>
            <w:tcW w:w="1014"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112749.77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3985" w:type="pct"/>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1014"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236716.43</w:t>
            </w:r>
          </w:p>
        </w:tc>
      </w:tr>
    </w:tbl>
    <w:p>
      <w:pPr>
        <w:pStyle w:val="13"/>
        <w:widowControl w:val="0"/>
        <w:numPr>
          <w:ilvl w:val="0"/>
          <w:numId w:val="0"/>
        </w:numPr>
        <w:jc w:val="both"/>
        <w:rPr>
          <w:rFonts w:hint="eastAsia"/>
          <w:b/>
          <w:sz w:val="21"/>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74"/>
        <w:gridCol w:w="2226"/>
        <w:gridCol w:w="1066"/>
        <w:gridCol w:w="988"/>
        <w:gridCol w:w="1905"/>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5000" w:type="pct"/>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区域玩具及户外运动设施设备部分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000" w:type="pct"/>
            <w:gridSpan w:val="6"/>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一、生活劳作区配套(功能场室配套)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序号</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名称</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数量</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单位</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单价（元）</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教师围裙</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35.42</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1416.80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电动打蛋器</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100.00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多功能瓶子</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55.00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汤饭勺</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擀面杖</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15.68</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烘焙工具</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328.02</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328.02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果蔬模型</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150.00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姜葱鱼肉饺模型</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155.00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6"/>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音乐教室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序号</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名称</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数量</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单位</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单价（元）</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4寸三角铁</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副</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4.48</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碰钟</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对</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3.08</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铜指镲</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副</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26.00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方木梆子</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副</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36.00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龙口梆子</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副</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36.00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小单响筒</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副</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10.08</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小双响筒</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副</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11.06</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442.40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双响筒</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副</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木制圆舞板</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对</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儿童打棒</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8.12</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324.80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八音钟</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26.00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手摇铃</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14.14</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565.60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6寸铃圈</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12.04</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塑料砂棰</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对</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3.22</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塑料砂蛋沙球</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对</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8寸手鼓</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13.02</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8寸铃鼓</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15.12</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604.80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邦戈鼓</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161.00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海鼓</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卡巴撒</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40.32</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铝板琴</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副</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223.00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铝板琴</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副</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223.00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23</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铝板琴</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副</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223.00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棒铃</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25</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小鱼蛙刮胡   G0-1</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对</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18.06</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26</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原木砂棰</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对</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27</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大鼓（军鼓）</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330.00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2640.00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000" w:type="pct"/>
            <w:gridSpan w:val="6"/>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建构区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序号</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名称</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数量</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单位</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单价（元）</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原木积木世界</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130.00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炭烧积木</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232.00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窗口积木</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柔丽砖积木</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166.00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童才塑料拼插管道积木</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斤</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火箭子弹头</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斤</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35.00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中号齿轮</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斤</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43.00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数字雪花片</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斤</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43.00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几何雪花片积木</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斤</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43.00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螺丝碰对</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斤</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数字插块</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斤</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魔术棒积木塑料拼装</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斤</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39.00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磁力积木大套 4盒装（实色)</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130.00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粉兰四彩-多米诺4系列</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45.22</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452.20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磁力拼图</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000" w:type="pct"/>
            <w:gridSpan w:val="6"/>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角色区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序号</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名称</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数量</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单位</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单价（元）</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托盘</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工字绕线轴</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篮子</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6.02</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调味套装</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18.06</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270.90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蔬果沥干篮（小）</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蔬果沥干篮（大）</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8.82</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保鲜盒</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54</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35.00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塑料刀</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把</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削果刀</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把</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砧板</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围裙</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件</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手动打蛋器</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把</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7.84</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油刷</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把</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牙齿模型</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39.90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花花魔法编制器</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23.10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346.50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串项链</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儿童织布机</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26.00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食物组合</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盒</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130.00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电饭煲组合</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合</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180.00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冰箱组合</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盒</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150.00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音乐煤气炉餐具组合</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盒</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150.00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语音ATM存钱罐</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160.00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23</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面包机餐具组合</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200.00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开锁教具</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55.00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25</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系鞋带</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17.78</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266.70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26</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医生工具套装</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盒</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55.00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27</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煤气炉餐具组合</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盒</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156.94</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470.82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29</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原木水果面包切</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盒</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245.56</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736.68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娃娃推车</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420.00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大小圆扣穿线</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43.00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32</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理发工具</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160.00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33</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忙碌版蒙氏教玩具</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34.16</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000" w:type="pct"/>
            <w:gridSpan w:val="6"/>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科学区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序号</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名称</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数量</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单位</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单价（元）</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趣味光栅设计</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26.00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量杯套装－常规形状</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垃圾分类</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15.12</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植物昆虫观察镜</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旋转万花筒</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板上钉钉</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电子积木—拼装118种电路</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盒</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108.00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平衡鸟</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5.04</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小蝌蚪长大了</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5.60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爬坡的小球</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33.00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恐龙十二款</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120.00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机械齿轮动转观察</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镜像拼图</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26.00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1-10立体积木创意</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28.00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蒙氏拧螺丝钉玩具</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36.00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蒙氏几何分割</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影子配对形状对应</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28.00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多彩放大镜</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33.00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3D手印克隆模型</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实景水晶万花筒</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25.00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变脸--开心男孩</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变脸--开心狗</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000" w:type="pct"/>
            <w:gridSpan w:val="6"/>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美工区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序号</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名称</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数量</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单位</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单价（元）</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彩色pvc胶片</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张</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手工操作盒</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35.00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剪刀</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把</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颜料刷</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15.12</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涂鸦画板</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毛绒球</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袋</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彩色纸绳编制材料包</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包</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仿真砖</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85.00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圆形海绵刷</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45.00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活动眼睛拼盘</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盒</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扭扭棒</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袋</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白色纸盘</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自然小木片干树枝</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油画布框</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魔法玉米粒</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包</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55.00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压花器</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蛋糕碟</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500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团扇</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54</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吸管</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包</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衣夹</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包</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雪糕棒</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包</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纽扣</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包</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23</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超轻粘土</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包</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丙烯</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25</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毛笔架套装</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35.00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26</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透明磨砂桌垫</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张</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27</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四脚画架</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316.00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28</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挂衣钩</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组</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67.00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29</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小画架</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实木笔筒</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组</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69.00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桌面材料盒</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组</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50.00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32</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水粉颜料</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瓶</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35.00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33</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调色盘</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组</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34</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护衣</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件</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35</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排笔</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组</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36</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涮笔桶</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组</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000" w:type="pct"/>
            <w:gridSpan w:val="6"/>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表演区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序号</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名称</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数量</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单位</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单价（元）</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各种职业类、cosplay类表演服</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58.00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2610.00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小丑发套</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各种小动物表演服</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69.00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各类动物头饰（帽子款）</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袋装手指偶（15款/袋）</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袋</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61.00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000" w:type="pct"/>
            <w:gridSpan w:val="6"/>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语言区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序号</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名称</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数量</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单位</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单价（元）</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布书</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本</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各种动物手偶</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手控张嘴手偶</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儿童故事拼图</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盒</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38.00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蒙氏砂笔画</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副</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35.00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会说话的象形识字</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57.00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手指点读书</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份</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43.00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蒙氏语言识字拼图</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盒</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35.00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6"/>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益智区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序号</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名称</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数量</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单位</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单价（元）</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俄罗斯方块拼图</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25.00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跳棋</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飞行棋</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27.00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围棋</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28.00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象棋</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28.00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军棋</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28.00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魔方</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火柴排图游戏</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智力游戏拼图1</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69.00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智力游戏拼图2</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65.00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走迷宫</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件</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脑力井字棋</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七巧板</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猜猜乐猜图游戏</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蘑菇钉早教桥板</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叠叠杯</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3D立体拼图积木</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48.00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数字时钟认知玩具</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六合拼图</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75.00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磁铁</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195.00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彩虹多米诺</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二阶段几何形体12系列</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36.00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23</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三形世界</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91.00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2730.00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动物拼板</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95.00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2850.00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25</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教学对数板</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盒</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52.00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26</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多功能数学插板</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合</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104.00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27</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一阶段几何形体12系列</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28</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昆虫，动物，植物拼图13系列（带图框）</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29</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综合配对8系列B</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84.00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606" w:type="pct"/>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小计：</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126937.22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5000" w:type="pct"/>
            <w:gridSpan w:val="6"/>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二、户外运动设施设备购置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序号</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品名</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数量</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单位</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单价（元）</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滑滑梯</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89,866.00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89,866.00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48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11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户外安吉收纳箱</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个</w:t>
            </w: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1500.00</w:t>
            </w: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06" w:type="pct"/>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小计：</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112366.00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606" w:type="pct"/>
            <w:gridSpan w:val="2"/>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合计：</w:t>
            </w:r>
          </w:p>
        </w:tc>
        <w:tc>
          <w:tcPr>
            <w:tcW w:w="53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49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9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14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239303.22</w:t>
            </w:r>
          </w:p>
        </w:tc>
      </w:tr>
    </w:tbl>
    <w:p>
      <w:pPr>
        <w:pStyle w:val="13"/>
        <w:numPr>
          <w:ilvl w:val="0"/>
          <w:numId w:val="13"/>
        </w:numPr>
        <w:ind w:left="-210" w:leftChars="0" w:firstLine="420" w:firstLineChars="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服务标准</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本项目所涉及的货物必须为合法制造商制造的全新产品，整体无污染，表面无划损，无任何缺</w:t>
      </w:r>
      <w:r>
        <w:rPr>
          <w:rFonts w:hint="eastAsia" w:ascii="宋体" w:hAnsi="宋体" w:eastAsia="宋体" w:cs="宋体"/>
          <w:sz w:val="21"/>
          <w:szCs w:val="21"/>
          <w:lang w:eastAsia="zh-CN"/>
        </w:rPr>
        <w:t>陷隐患，</w:t>
      </w:r>
      <w:r>
        <w:rPr>
          <w:rFonts w:hint="eastAsia" w:ascii="宋体" w:hAnsi="宋体" w:eastAsia="宋体" w:cs="宋体"/>
          <w:sz w:val="21"/>
          <w:szCs w:val="21"/>
        </w:rPr>
        <w:t>必须符合国家有关部门的质量</w:t>
      </w:r>
      <w:r>
        <w:rPr>
          <w:rFonts w:hint="eastAsia" w:ascii="宋体" w:hAnsi="宋体" w:eastAsia="宋体" w:cs="宋体"/>
          <w:sz w:val="21"/>
          <w:szCs w:val="21"/>
          <w:lang w:eastAsia="zh-CN"/>
        </w:rPr>
        <w:t>要求，并按厂家提供的标准执行售后服务。</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供应商</w:t>
      </w:r>
      <w:r>
        <w:rPr>
          <w:rFonts w:hint="eastAsia" w:ascii="宋体" w:hAnsi="宋体" w:eastAsia="宋体" w:cs="宋体"/>
          <w:sz w:val="21"/>
          <w:szCs w:val="21"/>
        </w:rPr>
        <w:t>须严格按商品的名称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品牌、</w:t>
      </w:r>
      <w:r>
        <w:rPr>
          <w:rFonts w:hint="eastAsia" w:ascii="宋体" w:hAnsi="宋体" w:eastAsia="宋体" w:cs="宋体"/>
          <w:sz w:val="21"/>
          <w:szCs w:val="21"/>
        </w:rPr>
        <w:t>规格型号、</w:t>
      </w:r>
      <w:r>
        <w:rPr>
          <w:rFonts w:hint="eastAsia" w:ascii="宋体" w:hAnsi="宋体" w:eastAsia="宋体" w:cs="宋体"/>
          <w:sz w:val="21"/>
          <w:szCs w:val="21"/>
          <w:lang w:val="en-US" w:eastAsia="zh-CN"/>
        </w:rPr>
        <w:t>成交</w:t>
      </w:r>
      <w:r>
        <w:rPr>
          <w:rFonts w:hint="eastAsia" w:ascii="宋体" w:hAnsi="宋体" w:eastAsia="宋体" w:cs="宋体"/>
          <w:sz w:val="21"/>
          <w:szCs w:val="21"/>
        </w:rPr>
        <w:t>单价供货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并配合到货验收</w:t>
      </w:r>
      <w:r>
        <w:rPr>
          <w:rFonts w:hint="eastAsia" w:ascii="宋体" w:hAnsi="宋体" w:eastAsia="宋体" w:cs="宋体"/>
          <w:sz w:val="21"/>
          <w:szCs w:val="21"/>
          <w:lang w:eastAsia="zh-CN"/>
        </w:rPr>
        <w:t>。</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如供货商品的生产厂家停止生产该商品，供应商应提前告知采购人，并提供相关证明，经采购人同意后方可更换同等品牌加固的货物。</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含运输费、人工费、税费及其它不可预见的费用。</w:t>
      </w:r>
    </w:p>
    <w:p>
      <w:pPr>
        <w:pStyle w:val="13"/>
        <w:numPr>
          <w:ilvl w:val="0"/>
          <w:numId w:val="13"/>
        </w:numPr>
        <w:ind w:left="-210" w:leftChars="0" w:firstLine="420"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售后保障</w:t>
      </w:r>
    </w:p>
    <w:p>
      <w:pPr>
        <w:pStyle w:val="75"/>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b w:val="0"/>
          <w:bCs/>
          <w:kern w:val="2"/>
          <w:sz w:val="21"/>
          <w:szCs w:val="21"/>
          <w:lang w:val="en-US" w:eastAsia="zh-CN" w:bidi="ar-SA"/>
        </w:rPr>
        <w:t>供货商所提供的产品质保期一年，质保期内如出现故障等质量问题三个工作日包换。</w:t>
      </w:r>
    </w:p>
    <w:p>
      <w:pPr>
        <w:pStyle w:val="13"/>
        <w:numPr>
          <w:ilvl w:val="0"/>
          <w:numId w:val="13"/>
        </w:numPr>
        <w:ind w:left="-210" w:leftChars="0" w:firstLine="420"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验收标准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采购</w:t>
      </w:r>
      <w:r>
        <w:rPr>
          <w:rFonts w:hint="eastAsia" w:ascii="宋体" w:hAnsi="宋体" w:cs="宋体"/>
          <w:sz w:val="21"/>
          <w:szCs w:val="21"/>
          <w:lang w:val="en-US" w:eastAsia="zh-CN"/>
        </w:rPr>
        <w:t>人</w:t>
      </w:r>
      <w:r>
        <w:rPr>
          <w:rFonts w:hint="eastAsia" w:ascii="宋体" w:hAnsi="宋体" w:eastAsia="宋体" w:cs="宋体"/>
          <w:sz w:val="21"/>
          <w:szCs w:val="21"/>
          <w:lang w:eastAsia="zh-CN"/>
        </w:rPr>
        <w:t>根据有关国家行业所列标准及规范、规定、</w:t>
      </w:r>
      <w:r>
        <w:rPr>
          <w:rFonts w:hint="eastAsia" w:ascii="宋体" w:hAnsi="宋体" w:eastAsia="宋体" w:cs="宋体"/>
          <w:sz w:val="21"/>
          <w:szCs w:val="21"/>
          <w:lang w:val="en-US" w:eastAsia="zh-CN"/>
        </w:rPr>
        <w:t>核对采购文件、到货发票等材料</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采购项目品牌、规格、数量、质量等均符合要求。</w:t>
      </w:r>
    </w:p>
    <w:p>
      <w:pPr>
        <w:pStyle w:val="13"/>
        <w:numPr>
          <w:ilvl w:val="0"/>
          <w:numId w:val="13"/>
        </w:numPr>
        <w:ind w:left="-210" w:leftChars="0" w:firstLine="420" w:firstLineChars="0"/>
        <w:rPr>
          <w:rFonts w:hint="eastAsia" w:ascii="宋体" w:hAnsi="宋体" w:eastAsia="宋体" w:cs="宋体"/>
          <w:b/>
          <w:bCs/>
          <w:highlight w:val="none"/>
        </w:rPr>
      </w:pPr>
      <w:r>
        <w:rPr>
          <w:rFonts w:hint="eastAsia" w:ascii="宋体" w:hAnsi="宋体" w:eastAsia="宋体" w:cs="宋体"/>
          <w:b/>
          <w:bCs/>
          <w:highlight w:val="none"/>
        </w:rPr>
        <w:t>付款方式</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0"/>
        <w:textAlignment w:val="auto"/>
        <w:rPr>
          <w:color w:val="000000" w:themeColor="text1"/>
          <w:sz w:val="21"/>
          <w:szCs w:val="21"/>
          <w14:textFill>
            <w14:solidFill>
              <w14:schemeClr w14:val="tx1"/>
            </w14:solidFill>
          </w14:textFill>
        </w:rPr>
      </w:pPr>
      <w:r>
        <w:rPr>
          <w:rFonts w:ascii="宋体" w:hAnsi="宋体" w:eastAsia="宋体" w:cs="宋体"/>
          <w:sz w:val="21"/>
          <w:szCs w:val="21"/>
        </w:rPr>
        <w:t>1期：支付比例</w:t>
      </w:r>
      <w:r>
        <w:rPr>
          <w:rFonts w:hint="eastAsia" w:ascii="宋体" w:hAnsi="宋体" w:cs="宋体"/>
          <w:sz w:val="21"/>
          <w:szCs w:val="21"/>
          <w:lang w:val="en-US" w:eastAsia="zh-CN"/>
        </w:rPr>
        <w:t>3</w:t>
      </w:r>
      <w:r>
        <w:rPr>
          <w:rFonts w:ascii="宋体" w:hAnsi="宋体" w:eastAsia="宋体" w:cs="宋体"/>
          <w:sz w:val="21"/>
          <w:szCs w:val="21"/>
        </w:rPr>
        <w:t>0%,签订合同后10个工作日内采购人支付合同总金额的</w:t>
      </w:r>
      <w:r>
        <w:rPr>
          <w:rFonts w:hint="eastAsia" w:ascii="宋体" w:hAnsi="宋体" w:cs="宋体"/>
          <w:sz w:val="21"/>
          <w:szCs w:val="21"/>
          <w:lang w:val="en-US" w:eastAsia="zh-CN"/>
        </w:rPr>
        <w:t>3</w:t>
      </w:r>
      <w:r>
        <w:rPr>
          <w:rFonts w:ascii="宋体" w:hAnsi="宋体" w:eastAsia="宋体" w:cs="宋体"/>
          <w:sz w:val="21"/>
          <w:szCs w:val="21"/>
        </w:rPr>
        <w:t>0%作为项目预付</w:t>
      </w:r>
      <w:r>
        <w:rPr>
          <w:rFonts w:hint="eastAsia" w:ascii="宋体" w:hAnsi="宋体" w:eastAsia="宋体" w:cs="宋体"/>
          <w:sz w:val="21"/>
          <w:szCs w:val="21"/>
          <w:lang w:eastAsia="zh-CN"/>
        </w:rPr>
        <w:t>；</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0"/>
        <w:textAlignment w:val="auto"/>
        <w:rPr>
          <w:color w:val="000000" w:themeColor="text1"/>
          <w:sz w:val="21"/>
          <w:szCs w:val="21"/>
          <w14:textFill>
            <w14:solidFill>
              <w14:schemeClr w14:val="tx1"/>
            </w14:solidFill>
          </w14:textFill>
        </w:rPr>
      </w:pPr>
      <w:r>
        <w:rPr>
          <w:rFonts w:ascii="宋体" w:hAnsi="宋体" w:eastAsia="宋体" w:cs="宋体"/>
          <w:sz w:val="21"/>
          <w:szCs w:val="21"/>
        </w:rPr>
        <w:t>2期：支付比例50%,在项目总量完成70%后10个工作日内支付合同总金额的50%作为进度款</w:t>
      </w:r>
      <w:r>
        <w:rPr>
          <w:rFonts w:hint="eastAsia" w:ascii="宋体" w:hAnsi="宋体" w:cs="宋体"/>
          <w:sz w:val="21"/>
          <w:szCs w:val="21"/>
          <w:lang w:eastAsia="zh-CN"/>
        </w:rPr>
        <w:t>；</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0"/>
        <w:textAlignment w:val="auto"/>
        <w:rPr>
          <w:color w:val="000000" w:themeColor="text1"/>
          <w:sz w:val="21"/>
          <w:szCs w:val="21"/>
          <w14:textFill>
            <w14:solidFill>
              <w14:schemeClr w14:val="tx1"/>
            </w14:solidFill>
          </w14:textFill>
        </w:rPr>
      </w:pPr>
      <w:r>
        <w:rPr>
          <w:rFonts w:ascii="宋体" w:hAnsi="宋体" w:eastAsia="宋体" w:cs="宋体"/>
          <w:sz w:val="21"/>
          <w:szCs w:val="21"/>
        </w:rPr>
        <w:t>3期：支付比例</w:t>
      </w:r>
      <w:r>
        <w:rPr>
          <w:rFonts w:hint="eastAsia" w:ascii="宋体" w:hAnsi="宋体" w:cs="宋体"/>
          <w:sz w:val="21"/>
          <w:szCs w:val="21"/>
          <w:lang w:val="en-US" w:eastAsia="zh-CN"/>
        </w:rPr>
        <w:t>2</w:t>
      </w:r>
      <w:r>
        <w:rPr>
          <w:rFonts w:ascii="宋体" w:hAnsi="宋体" w:eastAsia="宋体" w:cs="宋体"/>
          <w:sz w:val="21"/>
          <w:szCs w:val="21"/>
        </w:rPr>
        <w:t>0%,项目验收合格后并交付给采购人后10个工作日内支付合同总金额的</w:t>
      </w:r>
      <w:r>
        <w:rPr>
          <w:rFonts w:hint="eastAsia" w:ascii="宋体" w:hAnsi="宋体" w:cs="宋体"/>
          <w:sz w:val="21"/>
          <w:szCs w:val="21"/>
          <w:lang w:val="en-US" w:eastAsia="zh-CN"/>
        </w:rPr>
        <w:t>2</w:t>
      </w:r>
      <w:r>
        <w:rPr>
          <w:rFonts w:ascii="宋体" w:hAnsi="宋体" w:eastAsia="宋体" w:cs="宋体"/>
          <w:sz w:val="21"/>
          <w:szCs w:val="21"/>
        </w:rPr>
        <w:t>0%。（备注：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0"/>
        <w:textAlignment w:val="auto"/>
        <w:rPr>
          <w:color w:val="000000" w:themeColor="text1"/>
          <w:sz w:val="21"/>
          <w:szCs w:val="21"/>
          <w14:textFill>
            <w14:solidFill>
              <w14:schemeClr w14:val="tx1"/>
            </w14:solidFill>
          </w14:textFill>
        </w:rPr>
      </w:pPr>
      <w:r>
        <w:rPr>
          <w:rFonts w:hint="eastAsia" w:ascii="宋体" w:hAnsi="宋体" w:eastAsia="宋体" w:cs="宋体"/>
          <w:sz w:val="21"/>
          <w:szCs w:val="21"/>
          <w:lang w:eastAsia="zh-CN"/>
        </w:rPr>
        <w:t>成交人</w:t>
      </w:r>
      <w:r>
        <w:rPr>
          <w:rFonts w:ascii="宋体" w:hAnsi="宋体" w:eastAsia="宋体" w:cs="宋体"/>
          <w:sz w:val="21"/>
          <w:szCs w:val="21"/>
        </w:rPr>
        <w:t>凭以下有效文件与采购人结算： </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leftChars="0" w:hanging="425" w:firstLineChars="0"/>
        <w:textAlignment w:val="auto"/>
        <w:rPr>
          <w:rFonts w:ascii="宋体" w:hAnsi="宋体" w:eastAsia="宋体" w:cs="宋体"/>
          <w:sz w:val="21"/>
          <w:szCs w:val="21"/>
        </w:rPr>
      </w:pPr>
      <w:r>
        <w:rPr>
          <w:rFonts w:ascii="宋体" w:hAnsi="宋体" w:eastAsia="宋体" w:cs="宋体"/>
          <w:sz w:val="21"/>
          <w:szCs w:val="21"/>
        </w:rPr>
        <w:t>合同； </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leftChars="0" w:hanging="425" w:firstLineChars="0"/>
        <w:textAlignment w:val="auto"/>
        <w:rPr>
          <w:color w:val="000000" w:themeColor="text1"/>
          <w:sz w:val="21"/>
          <w:szCs w:val="21"/>
          <w14:textFill>
            <w14:solidFill>
              <w14:schemeClr w14:val="tx1"/>
            </w14:solidFill>
          </w14:textFill>
        </w:rPr>
      </w:pPr>
      <w:r>
        <w:rPr>
          <w:rFonts w:hint="eastAsia" w:ascii="宋体" w:hAnsi="宋体" w:eastAsia="宋体" w:cs="宋体"/>
          <w:sz w:val="21"/>
          <w:szCs w:val="21"/>
          <w:lang w:val="en-US" w:eastAsia="zh-CN"/>
        </w:rPr>
        <w:t>成交</w:t>
      </w:r>
      <w:r>
        <w:rPr>
          <w:rFonts w:ascii="宋体" w:hAnsi="宋体" w:eastAsia="宋体" w:cs="宋体"/>
          <w:sz w:val="21"/>
          <w:szCs w:val="21"/>
        </w:rPr>
        <w:t>通知书； </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leftChars="0" w:hanging="425" w:firstLineChars="0"/>
        <w:textAlignment w:val="auto"/>
        <w:rPr>
          <w:color w:val="000000" w:themeColor="text1"/>
          <w:sz w:val="21"/>
          <w:szCs w:val="21"/>
          <w14:textFill>
            <w14:solidFill>
              <w14:schemeClr w14:val="tx1"/>
            </w14:solidFill>
          </w14:textFill>
        </w:rPr>
      </w:pPr>
      <w:r>
        <w:rPr>
          <w:rFonts w:ascii="宋体" w:hAnsi="宋体" w:eastAsia="宋体" w:cs="宋体"/>
          <w:sz w:val="21"/>
          <w:szCs w:val="21"/>
        </w:rPr>
        <w:t>采购人出具的验收报告； </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leftChars="0" w:hanging="425" w:firstLineChars="0"/>
        <w:textAlignment w:val="auto"/>
        <w:rPr>
          <w:color w:val="000000" w:themeColor="text1"/>
          <w:sz w:val="21"/>
          <w:szCs w:val="21"/>
          <w14:textFill>
            <w14:solidFill>
              <w14:schemeClr w14:val="tx1"/>
            </w14:solidFill>
          </w14:textFill>
        </w:rPr>
      </w:pPr>
      <w:r>
        <w:rPr>
          <w:rFonts w:hint="eastAsia" w:ascii="宋体" w:hAnsi="宋体" w:eastAsia="宋体" w:cs="宋体"/>
          <w:sz w:val="21"/>
          <w:szCs w:val="21"/>
          <w:lang w:eastAsia="zh-CN"/>
        </w:rPr>
        <w:t>成交人</w:t>
      </w:r>
      <w:r>
        <w:rPr>
          <w:rFonts w:ascii="宋体" w:hAnsi="宋体" w:eastAsia="宋体" w:cs="宋体"/>
          <w:sz w:val="21"/>
          <w:szCs w:val="21"/>
        </w:rPr>
        <w:t>开具的正式发票。注：收款方、出具发票方、合同卖方均必须与</w:t>
      </w:r>
      <w:r>
        <w:rPr>
          <w:rFonts w:hint="eastAsia" w:ascii="宋体" w:hAnsi="宋体" w:eastAsia="宋体" w:cs="宋体"/>
          <w:sz w:val="21"/>
          <w:szCs w:val="21"/>
          <w:lang w:eastAsia="zh-CN"/>
        </w:rPr>
        <w:t>成交人</w:t>
      </w:r>
      <w:r>
        <w:rPr>
          <w:rFonts w:ascii="宋体" w:hAnsi="宋体" w:eastAsia="宋体" w:cs="宋体"/>
          <w:sz w:val="21"/>
          <w:szCs w:val="21"/>
        </w:rPr>
        <w:t>名称一致。）</w:t>
      </w:r>
    </w:p>
    <w:p>
      <w:pPr>
        <w:rPr>
          <w:rFonts w:hint="eastAsia"/>
          <w:b/>
          <w:bCs/>
          <w:sz w:val="32"/>
          <w:szCs w:val="32"/>
          <w:lang w:val="en-US" w:eastAsia="zh-CN"/>
        </w:rPr>
      </w:pPr>
      <w:r>
        <w:rPr>
          <w:rFonts w:hint="eastAsia"/>
          <w:b/>
          <w:bCs/>
          <w:sz w:val="32"/>
          <w:szCs w:val="32"/>
          <w:lang w:val="en-US" w:eastAsia="zh-CN"/>
        </w:rPr>
        <w:br w:type="page"/>
      </w:r>
    </w:p>
    <w:p>
      <w:pPr>
        <w:jc w:val="center"/>
        <w:outlineLvl w:val="0"/>
        <w:rPr>
          <w:rFonts w:hint="default" w:eastAsia="宋体"/>
          <w:b/>
          <w:bCs/>
          <w:sz w:val="32"/>
          <w:szCs w:val="32"/>
          <w:lang w:val="en-US" w:eastAsia="zh-CN"/>
        </w:rPr>
      </w:pPr>
      <w:r>
        <w:rPr>
          <w:rFonts w:hint="eastAsia"/>
          <w:b/>
          <w:bCs/>
          <w:sz w:val="32"/>
          <w:szCs w:val="32"/>
          <w:lang w:val="en-US" w:eastAsia="zh-CN"/>
        </w:rPr>
        <w:t>第三章报价附件</w:t>
      </w:r>
    </w:p>
    <w:p>
      <w:pPr>
        <w:pStyle w:val="5"/>
        <w:spacing w:before="0" w:after="0"/>
        <w:jc w:val="center"/>
        <w:rPr>
          <w:sz w:val="36"/>
          <w:szCs w:val="36"/>
          <w:lang w:val="zh-CN"/>
        </w:rPr>
      </w:pPr>
      <w:r>
        <w:rPr>
          <w:rFonts w:hint="eastAsia"/>
          <w:lang w:val="zh-CN"/>
        </w:rPr>
        <w:t>报 价 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1"/>
        <w:gridCol w:w="1878"/>
        <w:gridCol w:w="1022"/>
        <w:gridCol w:w="956"/>
        <w:gridCol w:w="2111"/>
        <w:gridCol w:w="1078"/>
        <w:gridCol w:w="1444"/>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00" w:type="pct"/>
            <w:gridSpan w:val="8"/>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教育教学设施设备及家具部分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00" w:type="pct"/>
            <w:gridSpan w:val="8"/>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一、教育教学设施设备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40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货品名称</w:t>
            </w:r>
          </w:p>
        </w:tc>
        <w:tc>
          <w:tcPr>
            <w:tcW w:w="512"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数量</w:t>
            </w:r>
          </w:p>
        </w:tc>
        <w:tc>
          <w:tcPr>
            <w:tcW w:w="479"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最高单价限价（元）</w:t>
            </w:r>
          </w:p>
        </w:tc>
        <w:tc>
          <w:tcPr>
            <w:tcW w:w="5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72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小计（元）</w:t>
            </w:r>
          </w:p>
        </w:tc>
        <w:tc>
          <w:tcPr>
            <w:tcW w:w="3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单反相机</w:t>
            </w:r>
          </w:p>
        </w:tc>
        <w:tc>
          <w:tcPr>
            <w:tcW w:w="51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w:t>
            </w:r>
          </w:p>
        </w:tc>
        <w:tc>
          <w:tcPr>
            <w:tcW w:w="47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台</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7741.02</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无线键鼠</w:t>
            </w:r>
          </w:p>
        </w:tc>
        <w:tc>
          <w:tcPr>
            <w:tcW w:w="51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w:t>
            </w:r>
          </w:p>
        </w:tc>
        <w:tc>
          <w:tcPr>
            <w:tcW w:w="47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课室网络</w:t>
            </w:r>
          </w:p>
        </w:tc>
        <w:tc>
          <w:tcPr>
            <w:tcW w:w="51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w:t>
            </w:r>
          </w:p>
        </w:tc>
        <w:tc>
          <w:tcPr>
            <w:tcW w:w="47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1038</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二龙饮水平台</w:t>
            </w:r>
          </w:p>
        </w:tc>
        <w:tc>
          <w:tcPr>
            <w:tcW w:w="51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11</w:t>
            </w:r>
          </w:p>
        </w:tc>
        <w:tc>
          <w:tcPr>
            <w:tcW w:w="47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台</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9052.67</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消毒柜</w:t>
            </w:r>
          </w:p>
        </w:tc>
        <w:tc>
          <w:tcPr>
            <w:tcW w:w="51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w:t>
            </w:r>
          </w:p>
        </w:tc>
        <w:tc>
          <w:tcPr>
            <w:tcW w:w="47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台</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6144.6</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留样雪柜</w:t>
            </w:r>
          </w:p>
        </w:tc>
        <w:tc>
          <w:tcPr>
            <w:tcW w:w="51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w:t>
            </w:r>
          </w:p>
        </w:tc>
        <w:tc>
          <w:tcPr>
            <w:tcW w:w="47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台</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1202.5</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安装调试费</w:t>
            </w:r>
          </w:p>
        </w:tc>
        <w:tc>
          <w:tcPr>
            <w:tcW w:w="51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47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5903.17</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3942" w:type="pct"/>
            <w:gridSpan w:val="6"/>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合计（每项小计之和）</w:t>
            </w: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5000" w:type="pct"/>
            <w:gridSpan w:val="8"/>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二、家具部分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40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货品名称</w:t>
            </w:r>
          </w:p>
        </w:tc>
        <w:tc>
          <w:tcPr>
            <w:tcW w:w="512"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数量</w:t>
            </w:r>
          </w:p>
        </w:tc>
        <w:tc>
          <w:tcPr>
            <w:tcW w:w="479"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最高单价限价（元）</w:t>
            </w:r>
          </w:p>
        </w:tc>
        <w:tc>
          <w:tcPr>
            <w:tcW w:w="5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72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小计（元）</w:t>
            </w:r>
          </w:p>
        </w:tc>
        <w:tc>
          <w:tcPr>
            <w:tcW w:w="3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定制书包柜鞋柜A</w:t>
            </w:r>
          </w:p>
        </w:tc>
        <w:tc>
          <w:tcPr>
            <w:tcW w:w="51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11</w:t>
            </w:r>
          </w:p>
        </w:tc>
        <w:tc>
          <w:tcPr>
            <w:tcW w:w="47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个</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4115.42</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水杯架</w:t>
            </w:r>
          </w:p>
        </w:tc>
        <w:tc>
          <w:tcPr>
            <w:tcW w:w="51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11</w:t>
            </w:r>
          </w:p>
        </w:tc>
        <w:tc>
          <w:tcPr>
            <w:tcW w:w="47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个</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585.9</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休息床</w:t>
            </w:r>
          </w:p>
        </w:tc>
        <w:tc>
          <w:tcPr>
            <w:tcW w:w="51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25</w:t>
            </w:r>
          </w:p>
        </w:tc>
        <w:tc>
          <w:tcPr>
            <w:tcW w:w="47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张</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1973.33</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棕垫</w:t>
            </w:r>
          </w:p>
        </w:tc>
        <w:tc>
          <w:tcPr>
            <w:tcW w:w="51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25</w:t>
            </w:r>
          </w:p>
        </w:tc>
        <w:tc>
          <w:tcPr>
            <w:tcW w:w="47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张</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312</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0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课室教师办公区办公椅</w:t>
            </w:r>
          </w:p>
        </w:tc>
        <w:tc>
          <w:tcPr>
            <w:tcW w:w="51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w:t>
            </w:r>
          </w:p>
        </w:tc>
        <w:tc>
          <w:tcPr>
            <w:tcW w:w="47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张</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334.8</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大班椅</w:t>
            </w:r>
          </w:p>
        </w:tc>
        <w:tc>
          <w:tcPr>
            <w:tcW w:w="51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w:t>
            </w:r>
          </w:p>
        </w:tc>
        <w:tc>
          <w:tcPr>
            <w:tcW w:w="47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张</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554</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3942" w:type="pct"/>
            <w:gridSpan w:val="6"/>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合计（每项小计之和）</w:t>
            </w: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3942" w:type="pct"/>
            <w:gridSpan w:val="6"/>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总计（两项合计之和）</w:t>
            </w: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5000" w:type="pct"/>
            <w:gridSpan w:val="8"/>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区域玩具及户外运动设施设备部分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5000" w:type="pct"/>
            <w:gridSpan w:val="8"/>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一、生活劳作区配套(功能场室配套)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货品名称</w:t>
            </w:r>
          </w:p>
        </w:tc>
        <w:tc>
          <w:tcPr>
            <w:tcW w:w="51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数量</w:t>
            </w:r>
          </w:p>
        </w:tc>
        <w:tc>
          <w:tcPr>
            <w:tcW w:w="47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最高单价限价（元）</w:t>
            </w:r>
          </w:p>
        </w:tc>
        <w:tc>
          <w:tcPr>
            <w:tcW w:w="5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72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小计（元）</w:t>
            </w:r>
          </w:p>
        </w:tc>
        <w:tc>
          <w:tcPr>
            <w:tcW w:w="3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教师围裙</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35.42</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电动打蛋器</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多功能瓶子</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汤饭勺</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擀面杖</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15.68</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烘焙工具</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328.02</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果蔬模型</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姜葱鱼肉饺模型</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5000" w:type="pct"/>
            <w:gridSpan w:val="8"/>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音乐教室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货品名称</w:t>
            </w:r>
          </w:p>
        </w:tc>
        <w:tc>
          <w:tcPr>
            <w:tcW w:w="51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数量</w:t>
            </w:r>
          </w:p>
        </w:tc>
        <w:tc>
          <w:tcPr>
            <w:tcW w:w="47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最高单价限价（元）</w:t>
            </w:r>
          </w:p>
        </w:tc>
        <w:tc>
          <w:tcPr>
            <w:tcW w:w="5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72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小计（元）</w:t>
            </w:r>
          </w:p>
        </w:tc>
        <w:tc>
          <w:tcPr>
            <w:tcW w:w="3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4寸三角铁</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4.48</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碰钟</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3.08</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铜指镲</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方木梆子</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龙口梆子</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小单响筒</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10.08</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小双响筒</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11.06</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双响筒</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木制圆舞板</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儿童打棒</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8.12</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八音钟</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手摇铃</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14.14</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6寸铃圈</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12.04</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塑料砂棰</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3.22</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塑料砂蛋沙球</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8寸手鼓</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13.02</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8寸铃鼓</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15.12</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邦戈鼓</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海鼓</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卡巴撒</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40.32</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铝板琴</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铝板琴</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铝板琴</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棒铃</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小鱼蛙刮胡   G0-1</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18.06</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原木砂棰</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大鼓（军鼓）</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00" w:type="pct"/>
            <w:gridSpan w:val="8"/>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货品名称</w:t>
            </w:r>
          </w:p>
        </w:tc>
        <w:tc>
          <w:tcPr>
            <w:tcW w:w="51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数量</w:t>
            </w:r>
          </w:p>
        </w:tc>
        <w:tc>
          <w:tcPr>
            <w:tcW w:w="47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最高单价限价（元）</w:t>
            </w:r>
          </w:p>
        </w:tc>
        <w:tc>
          <w:tcPr>
            <w:tcW w:w="5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72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小计（元）</w:t>
            </w:r>
          </w:p>
        </w:tc>
        <w:tc>
          <w:tcPr>
            <w:tcW w:w="3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原木积木世界</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炭烧积木</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窗口积木</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柔丽砖积木</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童才塑料拼插管道积木</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火箭子弹头</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中号齿轮</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数字雪花片</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几何雪花片积木</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螺丝碰对</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数字插块</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魔术棒积木塑料拼装</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斤</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磁力积木大套 4盒装（实色)</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粉兰四彩-多米诺4系列</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45.22</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磁力拼图</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00" w:type="pct"/>
            <w:gridSpan w:val="8"/>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角色区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货品名称</w:t>
            </w:r>
          </w:p>
        </w:tc>
        <w:tc>
          <w:tcPr>
            <w:tcW w:w="51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数量</w:t>
            </w:r>
          </w:p>
        </w:tc>
        <w:tc>
          <w:tcPr>
            <w:tcW w:w="47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最高单价限价（元）</w:t>
            </w:r>
          </w:p>
        </w:tc>
        <w:tc>
          <w:tcPr>
            <w:tcW w:w="5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72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小计（元）</w:t>
            </w:r>
          </w:p>
        </w:tc>
        <w:tc>
          <w:tcPr>
            <w:tcW w:w="3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托盘</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工字绕线轴</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篮子</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6.02</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调味套装</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18.06</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蔬果沥干篮（小）</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蔬果沥干篮（大）</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8.82</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保鲜盒</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塑料刀</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削果刀</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砧板</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围裙</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手动打蛋器</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7.84</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油刷</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牙齿模型</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39.9</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花花魔法编制器</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串项链</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儿童织布机</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食物组合</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电饭煲组合</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冰箱组合</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音乐煤气炉餐具组合</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语音ATM存钱罐</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面包机餐具组合</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开锁教具</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系鞋带</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17.78</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医生工具套装</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煤气炉餐具组合</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156.94</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原木水果面包切</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245.56</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娃娃推车</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大小圆扣穿线</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理发工具</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忙碌版蒙氏教玩具</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34.16</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00" w:type="pct"/>
            <w:gridSpan w:val="8"/>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科学区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货品名称</w:t>
            </w:r>
          </w:p>
        </w:tc>
        <w:tc>
          <w:tcPr>
            <w:tcW w:w="51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数量</w:t>
            </w:r>
          </w:p>
        </w:tc>
        <w:tc>
          <w:tcPr>
            <w:tcW w:w="47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最高单价限价（元）</w:t>
            </w:r>
          </w:p>
        </w:tc>
        <w:tc>
          <w:tcPr>
            <w:tcW w:w="5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72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小计（元）</w:t>
            </w:r>
          </w:p>
        </w:tc>
        <w:tc>
          <w:tcPr>
            <w:tcW w:w="3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趣味光栅设计</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量杯套装－常规形状</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垃圾分类</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15.12</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植物昆虫观察镜</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旋转万花筒</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板上钉钉</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电子积木—拼装118种电路</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平衡鸟</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5.04</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小蝌蚪长大了</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爬坡的小球</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恐龙十二款</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机械齿轮动转观察</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镜像拼图</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1-10立体积木创意</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蒙氏拧螺丝钉玩具</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蒙氏几何分割</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影子配对形状对应</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多彩放大镜</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3D手印克隆模型</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实景水晶万花筒</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变脸--开心男孩</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变脸--开心狗</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00" w:type="pct"/>
            <w:gridSpan w:val="8"/>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货品名称</w:t>
            </w:r>
          </w:p>
        </w:tc>
        <w:tc>
          <w:tcPr>
            <w:tcW w:w="51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数量</w:t>
            </w:r>
          </w:p>
        </w:tc>
        <w:tc>
          <w:tcPr>
            <w:tcW w:w="47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最高单价限价（元）</w:t>
            </w:r>
          </w:p>
        </w:tc>
        <w:tc>
          <w:tcPr>
            <w:tcW w:w="5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72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小计（元）</w:t>
            </w:r>
          </w:p>
        </w:tc>
        <w:tc>
          <w:tcPr>
            <w:tcW w:w="3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彩色pvc胶片</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手工操作盒</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剪刀</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颜料刷</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15.12</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涂鸦画板</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毛绒球</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彩色纸绳编制材料包</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仿真砖</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圆形海绵刷</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活动眼睛拼盘</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扭扭棒</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白色纸盘</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自然小木片干树枝</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油画布框</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魔法玉米粒</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压花器</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蛋糕碟</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团扇</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吸管</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衣夹</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雪糕棒</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纽扣</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超轻粘土</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丙烯</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毛笔架套装</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透明磨砂桌垫</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四脚画架</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挂衣钩</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小画架</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实木笔筒</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桌面材料盒</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水粉颜料</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调色盘</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护衣</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排笔</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涮笔桶</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00" w:type="pct"/>
            <w:gridSpan w:val="8"/>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表演区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货品名称</w:t>
            </w:r>
          </w:p>
        </w:tc>
        <w:tc>
          <w:tcPr>
            <w:tcW w:w="51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数量</w:t>
            </w:r>
          </w:p>
        </w:tc>
        <w:tc>
          <w:tcPr>
            <w:tcW w:w="47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最高单价限价（元）</w:t>
            </w:r>
          </w:p>
        </w:tc>
        <w:tc>
          <w:tcPr>
            <w:tcW w:w="5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72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小计（元）</w:t>
            </w:r>
          </w:p>
        </w:tc>
        <w:tc>
          <w:tcPr>
            <w:tcW w:w="3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各种职业类、cosplay类表演服</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小丑发套</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各种小动物表演服</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各类动物头饰（帽子款）</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袋装手指偶（15款/袋）</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5000" w:type="pct"/>
            <w:gridSpan w:val="8"/>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语言区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货品名称</w:t>
            </w:r>
          </w:p>
        </w:tc>
        <w:tc>
          <w:tcPr>
            <w:tcW w:w="51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数量</w:t>
            </w:r>
          </w:p>
        </w:tc>
        <w:tc>
          <w:tcPr>
            <w:tcW w:w="47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最高单价限价（元）</w:t>
            </w:r>
          </w:p>
        </w:tc>
        <w:tc>
          <w:tcPr>
            <w:tcW w:w="5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72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小计（元）</w:t>
            </w:r>
          </w:p>
        </w:tc>
        <w:tc>
          <w:tcPr>
            <w:tcW w:w="3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布书</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各种动物手偶</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手控张嘴手偶</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儿童故事拼图</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蒙氏砂笔画</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会说话的象形识字</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手指点读书</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份</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蒙氏语言识字拼图</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5000" w:type="pct"/>
            <w:gridSpan w:val="8"/>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益智区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货品名称</w:t>
            </w:r>
          </w:p>
        </w:tc>
        <w:tc>
          <w:tcPr>
            <w:tcW w:w="51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数量</w:t>
            </w:r>
          </w:p>
        </w:tc>
        <w:tc>
          <w:tcPr>
            <w:tcW w:w="47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最高单价限价（元）</w:t>
            </w:r>
          </w:p>
        </w:tc>
        <w:tc>
          <w:tcPr>
            <w:tcW w:w="5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72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小计（元）</w:t>
            </w:r>
          </w:p>
        </w:tc>
        <w:tc>
          <w:tcPr>
            <w:tcW w:w="3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俄罗斯方块拼图</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跳棋</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飞行棋</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围棋</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象棋</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军棋</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魔方</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火柴排图游戏</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智力游戏拼图1</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智力游戏拼图2</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走迷宫</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脑力井字棋</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七巧板</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猜猜乐猜图游戏</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蘑菇钉早教桥板</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叠叠杯</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3D立体拼图积木</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数字时钟认知玩具</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六合拼图</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磁铁</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彩虹多米诺</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二阶段几何形体12系列</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三形世界</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动物拼板</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教学对数板</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多功能数学插板</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一阶段几何形体12系列</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昆虫，动物，植物拼图13系列（带图框）</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综合配对8系列B</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942" w:type="pct"/>
            <w:gridSpan w:val="6"/>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合计（每项小计之和）</w:t>
            </w: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5000" w:type="pct"/>
            <w:gridSpan w:val="8"/>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二、户外运动设施设备购置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货品名称</w:t>
            </w:r>
          </w:p>
        </w:tc>
        <w:tc>
          <w:tcPr>
            <w:tcW w:w="51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数量</w:t>
            </w:r>
          </w:p>
        </w:tc>
        <w:tc>
          <w:tcPr>
            <w:tcW w:w="47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最高单价限价（元）</w:t>
            </w:r>
          </w:p>
        </w:tc>
        <w:tc>
          <w:tcPr>
            <w:tcW w:w="5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72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小计（元）</w:t>
            </w:r>
          </w:p>
        </w:tc>
        <w:tc>
          <w:tcPr>
            <w:tcW w:w="3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滑滑梯</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89,866.00</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0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4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户外安吉收纳箱</w:t>
            </w:r>
          </w:p>
        </w:tc>
        <w:tc>
          <w:tcPr>
            <w:tcW w:w="51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54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3942" w:type="pct"/>
            <w:gridSpan w:val="6"/>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合计（每项小计之和）</w:t>
            </w: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3942" w:type="pct"/>
            <w:gridSpan w:val="6"/>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总计（两项合计之和）</w:t>
            </w: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trPr>
        <w:tc>
          <w:tcPr>
            <w:tcW w:w="3942" w:type="pct"/>
            <w:gridSpan w:val="6"/>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总报价（所有小计之和）</w:t>
            </w:r>
          </w:p>
        </w:tc>
        <w:tc>
          <w:tcPr>
            <w:tcW w:w="72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c>
          <w:tcPr>
            <w:tcW w:w="33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u w:val="none"/>
              </w:rPr>
            </w:pPr>
          </w:p>
        </w:tc>
      </w:tr>
    </w:tbl>
    <w:p>
      <w:pPr>
        <w:spacing w:line="500" w:lineRule="exact"/>
        <w:rPr>
          <w:rFonts w:asciiTheme="minorEastAsia" w:hAnsiTheme="minorEastAsia"/>
          <w:b/>
          <w:spacing w:val="4"/>
          <w:szCs w:val="21"/>
        </w:rPr>
      </w:pPr>
      <w:r>
        <w:rPr>
          <w:rFonts w:hint="eastAsia" w:asciiTheme="minorEastAsia" w:hAnsiTheme="minorEastAsia"/>
          <w:b/>
          <w:spacing w:val="4"/>
          <w:szCs w:val="21"/>
        </w:rPr>
        <w:t>注：</w:t>
      </w:r>
    </w:p>
    <w:p>
      <w:pPr>
        <w:pStyle w:val="21"/>
        <w:keepNext w:val="0"/>
        <w:keepLines w:val="0"/>
        <w:pageBreakBefore w:val="0"/>
        <w:widowControl/>
        <w:numPr>
          <w:ilvl w:val="0"/>
          <w:numId w:val="17"/>
        </w:numPr>
        <w:shd w:val="clear" w:color="auto" w:fill="FFFFFF"/>
        <w:kinsoku/>
        <w:wordWrap/>
        <w:overflowPunct/>
        <w:topLinePunct w:val="0"/>
        <w:autoSpaceDE/>
        <w:autoSpaceDN/>
        <w:bidi w:val="0"/>
        <w:adjustRightInd/>
        <w:snapToGrid/>
        <w:spacing w:before="0" w:beforeAutospacing="0" w:after="0" w:afterAutospacing="0" w:line="360" w:lineRule="auto"/>
        <w:ind w:left="420" w:hanging="420"/>
        <w:textAlignment w:val="auto"/>
        <w:rPr>
          <w:rFonts w:asciiTheme="minorEastAsia" w:hAnsiTheme="minorEastAsia" w:eastAsiaTheme="minorEastAsia"/>
          <w:b/>
          <w:bCs/>
          <w:sz w:val="21"/>
          <w:szCs w:val="21"/>
          <w:u w:val="single"/>
        </w:rPr>
      </w:pPr>
      <w:r>
        <w:rPr>
          <w:rFonts w:hint="eastAsia" w:asciiTheme="minorEastAsia" w:hAnsiTheme="minorEastAsia" w:eastAsiaTheme="minorEastAsia"/>
          <w:b/>
          <w:bCs/>
          <w:sz w:val="21"/>
          <w:szCs w:val="21"/>
          <w:u w:val="single"/>
        </w:rPr>
        <w:t>供应商必须按报价表的格式填写，不得增加或删除表格内容。除单价、金额或项目要求填写的内容外，不得擅自改动报价表内容，</w:t>
      </w:r>
      <w:r>
        <w:rPr>
          <w:rFonts w:hint="eastAsia" w:asciiTheme="minorEastAsia" w:hAnsiTheme="minorEastAsia"/>
          <w:b/>
          <w:bCs/>
          <w:sz w:val="21"/>
          <w:szCs w:val="21"/>
        </w:rPr>
        <w:t>否则将有可能影响成交结果，不推荐为成交候选人</w:t>
      </w:r>
      <w:r>
        <w:rPr>
          <w:rFonts w:hint="eastAsia" w:asciiTheme="minorEastAsia" w:hAnsiTheme="minorEastAsia" w:eastAsiaTheme="minorEastAsia"/>
          <w:b/>
          <w:bCs/>
          <w:sz w:val="21"/>
          <w:szCs w:val="21"/>
          <w:u w:val="single"/>
        </w:rPr>
        <w:t>；</w:t>
      </w:r>
    </w:p>
    <w:p>
      <w:pPr>
        <w:pStyle w:val="21"/>
        <w:keepNext w:val="0"/>
        <w:keepLines w:val="0"/>
        <w:pageBreakBefore w:val="0"/>
        <w:widowControl/>
        <w:numPr>
          <w:ilvl w:val="0"/>
          <w:numId w:val="17"/>
        </w:numPr>
        <w:shd w:val="clear" w:color="auto" w:fill="FFFFFF"/>
        <w:kinsoku/>
        <w:wordWrap/>
        <w:overflowPunct/>
        <w:topLinePunct w:val="0"/>
        <w:autoSpaceDE/>
        <w:autoSpaceDN/>
        <w:bidi w:val="0"/>
        <w:adjustRightInd/>
        <w:snapToGrid/>
        <w:spacing w:before="0" w:beforeAutospacing="0" w:after="0" w:afterAutospacing="0" w:line="360" w:lineRule="auto"/>
        <w:ind w:left="420" w:hanging="420"/>
        <w:textAlignment w:val="auto"/>
        <w:rPr>
          <w:rFonts w:asciiTheme="minorEastAsia" w:hAnsiTheme="minorEastAsia" w:eastAsiaTheme="minorEastAsia"/>
          <w:b/>
          <w:sz w:val="21"/>
          <w:szCs w:val="21"/>
        </w:rPr>
      </w:pPr>
      <w:r>
        <w:rPr>
          <w:rFonts w:hint="eastAsia" w:asciiTheme="minorEastAsia" w:hAnsiTheme="minorEastAsia" w:eastAsiaTheme="minorEastAsia"/>
          <w:b/>
          <w:sz w:val="21"/>
          <w:szCs w:val="21"/>
        </w:rPr>
        <w:t>所有价格均系用人民币表示，单位为元，</w:t>
      </w:r>
      <w:r>
        <w:rPr>
          <w:rFonts w:hint="eastAsia" w:asciiTheme="minorEastAsia" w:hAnsiTheme="minorEastAsia" w:eastAsiaTheme="minorEastAsia"/>
          <w:b/>
          <w:bCs/>
          <w:sz w:val="21"/>
          <w:szCs w:val="21"/>
        </w:rPr>
        <w:t>均为含税价</w:t>
      </w:r>
      <w:r>
        <w:rPr>
          <w:rFonts w:hint="eastAsia" w:asciiTheme="minorEastAsia" w:hAnsiTheme="minorEastAsia" w:eastAsiaTheme="minorEastAsia"/>
          <w:b/>
          <w:sz w:val="21"/>
          <w:szCs w:val="21"/>
        </w:rPr>
        <w:t>；</w:t>
      </w:r>
    </w:p>
    <w:p>
      <w:pPr>
        <w:pStyle w:val="21"/>
        <w:keepNext w:val="0"/>
        <w:keepLines w:val="0"/>
        <w:pageBreakBefore w:val="0"/>
        <w:widowControl/>
        <w:numPr>
          <w:ilvl w:val="0"/>
          <w:numId w:val="17"/>
        </w:numPr>
        <w:shd w:val="clear" w:color="auto" w:fill="FFFFFF"/>
        <w:kinsoku/>
        <w:wordWrap/>
        <w:overflowPunct/>
        <w:topLinePunct w:val="0"/>
        <w:autoSpaceDE/>
        <w:autoSpaceDN/>
        <w:bidi w:val="0"/>
        <w:adjustRightInd/>
        <w:snapToGrid/>
        <w:spacing w:before="0" w:beforeAutospacing="0" w:after="0" w:afterAutospacing="0" w:line="360" w:lineRule="auto"/>
        <w:ind w:left="420" w:hanging="420"/>
        <w:textAlignment w:val="auto"/>
        <w:rPr>
          <w:b/>
          <w:sz w:val="21"/>
          <w:szCs w:val="21"/>
        </w:rPr>
      </w:pPr>
      <w:r>
        <w:rPr>
          <w:rFonts w:hint="eastAsia"/>
          <w:b/>
          <w:sz w:val="21"/>
          <w:szCs w:val="21"/>
        </w:rPr>
        <w:t>平台上报价与报价表合计不一致的，以报价表合计（经价格核准后的价格）为准。</w:t>
      </w:r>
    </w:p>
    <w:p>
      <w:pPr>
        <w:spacing w:before="156" w:beforeLines="50" w:line="360" w:lineRule="auto"/>
        <w:ind w:firstLine="42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供应商名称（单位盖</w:t>
      </w:r>
      <w:r>
        <w:rPr>
          <w:rFonts w:hint="eastAsia" w:ascii="宋体" w:hAnsi="宋体" w:cs="宋体"/>
          <w:color w:val="000000" w:themeColor="text1"/>
          <w:spacing w:val="4"/>
          <w14:textFill>
            <w14:solidFill>
              <w14:schemeClr w14:val="tx1"/>
            </w14:solidFill>
          </w14:textFill>
        </w:rPr>
        <w:t>公章</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u w:val="single"/>
          <w14:textFill>
            <w14:solidFill>
              <w14:schemeClr w14:val="tx1"/>
            </w14:solidFill>
          </w14:textFill>
        </w:rPr>
        <w:t xml:space="preserve">                          </w:t>
      </w:r>
    </w:p>
    <w:p>
      <w:pPr>
        <w:spacing w:before="156" w:beforeLines="5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hint="eastAsia" w:ascii="宋体" w:hAnsi="宋体" w:cs="宋体"/>
          <w:color w:val="000000" w:themeColor="text1"/>
          <w:u w:val="single"/>
          <w14:textFill>
            <w14:solidFill>
              <w14:schemeClr w14:val="tx1"/>
            </w14:solidFill>
          </w14:textFill>
        </w:rPr>
        <w:t xml:space="preserve">   </w:t>
      </w:r>
    </w:p>
    <w:p>
      <w:pPr>
        <w:pStyle w:val="30"/>
        <w:ind w:left="1120" w:firstLine="0" w:firstLineChars="0"/>
      </w:pPr>
      <w:bookmarkStart w:id="8" w:name="_GoBack"/>
      <w:bookmarkEnd w:id="8"/>
    </w:p>
    <w:p>
      <w:pPr>
        <w:pStyle w:val="30"/>
        <w:ind w:left="1120" w:firstLine="0" w:firstLineChars="0"/>
      </w:pPr>
      <w:r>
        <w:br w:type="page"/>
      </w:r>
    </w:p>
    <w:p>
      <w:pPr>
        <w:pStyle w:val="30"/>
        <w:ind w:left="1120" w:firstLine="0" w:firstLineChars="0"/>
      </w:pPr>
    </w:p>
    <w:p>
      <w:pPr>
        <w:keepNext/>
        <w:keepLines/>
        <w:spacing w:line="360" w:lineRule="auto"/>
        <w:jc w:val="center"/>
        <w:outlineLvl w:val="1"/>
        <w:rPr>
          <w:rFonts w:ascii="宋体" w:hAnsi="宋体" w:cs="宋体"/>
          <w:b/>
          <w:bCs/>
          <w:color w:val="000000" w:themeColor="text1"/>
          <w:sz w:val="32"/>
          <w:szCs w:val="32"/>
          <w14:textFill>
            <w14:solidFill>
              <w14:schemeClr w14:val="tx1"/>
            </w14:solidFill>
          </w14:textFill>
        </w:rPr>
      </w:pPr>
      <w:bookmarkStart w:id="5" w:name="_Toc435514863"/>
      <w:bookmarkStart w:id="6" w:name="_Toc435515303"/>
      <w:r>
        <w:rPr>
          <w:rFonts w:hint="eastAsia" w:ascii="宋体" w:hAnsi="宋体" w:cs="宋体"/>
          <w:b/>
          <w:bCs/>
          <w:color w:val="000000" w:themeColor="text1"/>
          <w:sz w:val="32"/>
          <w:szCs w:val="32"/>
          <w14:textFill>
            <w14:solidFill>
              <w14:schemeClr w14:val="tx1"/>
            </w14:solidFill>
          </w14:textFill>
        </w:rPr>
        <w:t>用户需求书响应声明函</w:t>
      </w:r>
    </w:p>
    <w:p>
      <w:pPr>
        <w:autoSpaceDE w:val="0"/>
        <w:autoSpaceDN w:val="0"/>
        <w:adjustRightInd w:val="0"/>
        <w:spacing w:before="156" w:beforeLines="50" w:after="312" w:afterLines="100" w:line="360" w:lineRule="auto"/>
        <w:jc w:val="left"/>
        <w:rPr>
          <w:rFonts w:ascii="宋体" w:hAnsi="宋体" w:cs="宋体"/>
          <w:b/>
          <w:color w:val="000000" w:themeColor="text1"/>
          <w:kern w:val="0"/>
          <w:szCs w:val="21"/>
          <w14:textFill>
            <w14:solidFill>
              <w14:schemeClr w14:val="tx1"/>
            </w14:solidFill>
          </w14:textFill>
        </w:rPr>
      </w:pPr>
      <w:bookmarkStart w:id="7" w:name="_Hlk43888449"/>
      <w:r>
        <w:rPr>
          <w:rFonts w:hint="eastAsia" w:ascii="宋体" w:hAnsi="宋体" w:cs="宋体"/>
          <w:b/>
          <w:color w:val="000000" w:themeColor="text1"/>
          <w:kern w:val="0"/>
          <w:szCs w:val="21"/>
          <w14:textFill>
            <w14:solidFill>
              <w14:schemeClr w14:val="tx1"/>
            </w14:solidFill>
          </w14:textFill>
        </w:rPr>
        <w:t xml:space="preserve">致： </w:t>
      </w:r>
      <w:r>
        <w:rPr>
          <w:rFonts w:hint="eastAsia" w:ascii="宋体" w:hAnsi="宋体" w:cs="宋体"/>
          <w:b/>
          <w:color w:val="000000" w:themeColor="text1"/>
          <w:kern w:val="0"/>
          <w:szCs w:val="21"/>
          <w:lang w:eastAsia="zh-CN"/>
          <w14:textFill>
            <w14:solidFill>
              <w14:schemeClr w14:val="tx1"/>
            </w14:solidFill>
          </w14:textFill>
        </w:rPr>
        <w:t>东源县教育局</w:t>
      </w:r>
      <w:r>
        <w:rPr>
          <w:rFonts w:hint="eastAsia" w:ascii="宋体" w:hAnsi="宋体" w:cs="宋体"/>
          <w:b/>
          <w:color w:val="000000" w:themeColor="text1"/>
          <w:kern w:val="0"/>
          <w:szCs w:val="21"/>
          <w14:textFill>
            <w14:solidFill>
              <w14:schemeClr w14:val="tx1"/>
            </w14:solidFill>
          </w14:textFill>
        </w:rPr>
        <w:t>、云采链（广州）信息科技有限公司</w:t>
      </w:r>
    </w:p>
    <w:p>
      <w:pPr>
        <w:tabs>
          <w:tab w:val="left" w:pos="6237"/>
        </w:tabs>
        <w:snapToGrid w:val="0"/>
        <w:spacing w:before="156" w:beforeLines="5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w:t>
      </w:r>
      <w:r>
        <w:rPr>
          <w:rFonts w:hint="eastAsia" w:ascii="宋体" w:hAnsi="宋体" w:cs="宋体"/>
          <w:color w:val="000000" w:themeColor="text1"/>
          <w:szCs w:val="21"/>
          <w:highlight w:val="none"/>
          <w14:textFill>
            <w14:solidFill>
              <w14:schemeClr w14:val="tx1"/>
            </w14:solidFill>
          </w14:textFill>
        </w:rPr>
        <w:t>于贵单位、贵司发布</w:t>
      </w:r>
      <w:r>
        <w:rPr>
          <w:rFonts w:hint="eastAsia" w:ascii="宋体" w:hAnsi="宋体" w:cs="宋体"/>
          <w:b/>
          <w:bCs w:val="0"/>
          <w:sz w:val="21"/>
          <w:szCs w:val="21"/>
          <w:u w:val="single"/>
          <w:lang w:eastAsia="zh-CN"/>
        </w:rPr>
        <w:t>东源县黄村镇中心幼儿园设备采购</w:t>
      </w:r>
      <w:r>
        <w:rPr>
          <w:rFonts w:hint="eastAsia" w:ascii="宋体" w:hAnsi="宋体" w:cs="宋体"/>
          <w:color w:val="000000" w:themeColor="text1"/>
          <w:szCs w:val="21"/>
          <w:highlight w:val="none"/>
          <w14:textFill>
            <w14:solidFill>
              <w14:schemeClr w14:val="tx1"/>
            </w14:solidFill>
          </w14:textFill>
        </w:rPr>
        <w:t>的</w:t>
      </w:r>
      <w:bookmarkEnd w:id="7"/>
      <w:r>
        <w:rPr>
          <w:rFonts w:hint="eastAsia" w:ascii="宋体" w:hAnsi="宋体" w:cs="宋体"/>
          <w:color w:val="000000" w:themeColor="text1"/>
          <w:szCs w:val="21"/>
          <w14:textFill>
            <w14:solidFill>
              <w14:schemeClr w14:val="tx1"/>
            </w14:solidFill>
          </w14:textFill>
        </w:rPr>
        <w:t>竞价公告，本公司（企业）愿意参加采购活动，并作出如下声明：</w:t>
      </w:r>
    </w:p>
    <w:p>
      <w:pPr>
        <w:tabs>
          <w:tab w:val="left" w:pos="426"/>
        </w:tabs>
        <w:snapToGrid w:val="0"/>
        <w:spacing w:before="156" w:beforeLines="50"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tabs>
          <w:tab w:val="left" w:pos="426"/>
        </w:tabs>
        <w:snapToGrid w:val="0"/>
        <w:spacing w:before="156" w:beforeLines="50"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本公司（企业）承诺在本次采购活动中，如有违法、违规、弄虚作假行为，所造成的损失、不良后果及法律责任，一律由我公司（企业）承担。</w:t>
      </w:r>
    </w:p>
    <w:p>
      <w:pPr>
        <w:widowControl/>
        <w:spacing w:before="156" w:beforeLines="50" w:line="360" w:lineRule="auto"/>
        <w:jc w:val="left"/>
        <w:rPr>
          <w:rFonts w:ascii="宋体" w:hAnsi="宋体" w:cs="宋体"/>
          <w:b/>
          <w:bCs/>
          <w:color w:val="000000" w:themeColor="text1"/>
          <w:kern w:val="0"/>
          <w:sz w:val="32"/>
          <w:szCs w:val="32"/>
          <w14:textFill>
            <w14:solidFill>
              <w14:schemeClr w14:val="tx1"/>
            </w14:solidFill>
          </w14:textFill>
        </w:rPr>
      </w:pPr>
    </w:p>
    <w:p>
      <w:pPr>
        <w:spacing w:before="156" w:beforeLines="50" w:line="360" w:lineRule="auto"/>
        <w:ind w:firstLine="4796" w:firstLineChars="2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pacing w:val="4"/>
          <w:szCs w:val="21"/>
          <w14:textFill>
            <w14:solidFill>
              <w14:schemeClr w14:val="tx1"/>
            </w14:solidFill>
          </w14:textFill>
        </w:rPr>
        <w:t>供应商名称（</w:t>
      </w:r>
      <w:r>
        <w:rPr>
          <w:rFonts w:hint="eastAsia" w:ascii="宋体" w:hAnsi="宋体" w:cs="宋体"/>
          <w:color w:val="000000" w:themeColor="text1"/>
          <w:szCs w:val="21"/>
          <w14:textFill>
            <w14:solidFill>
              <w14:schemeClr w14:val="tx1"/>
            </w14:solidFill>
          </w14:textFill>
        </w:rPr>
        <w:t>单位盖</w:t>
      </w:r>
      <w:r>
        <w:rPr>
          <w:rFonts w:hint="eastAsia" w:ascii="宋体" w:hAnsi="宋体" w:cs="宋体"/>
          <w:color w:val="000000" w:themeColor="text1"/>
          <w:spacing w:val="4"/>
          <w:szCs w:val="21"/>
          <w14:textFill>
            <w14:solidFill>
              <w14:schemeClr w14:val="tx1"/>
            </w14:solidFill>
          </w14:textFill>
        </w:rPr>
        <w:t>公章）：</w:t>
      </w:r>
      <w:r>
        <w:rPr>
          <w:rFonts w:hint="eastAsia" w:ascii="宋体" w:hAnsi="宋体" w:cs="宋体"/>
          <w:color w:val="000000" w:themeColor="text1"/>
          <w:spacing w:val="4"/>
          <w:szCs w:val="21"/>
          <w:u w:val="single"/>
          <w14:textFill>
            <w14:solidFill>
              <w14:schemeClr w14:val="tx1"/>
            </w14:solidFill>
          </w14:textFill>
        </w:rPr>
        <w:t xml:space="preserve">          </w:t>
      </w:r>
    </w:p>
    <w:p>
      <w:pPr>
        <w:spacing w:before="156" w:beforeLines="50" w:line="360" w:lineRule="auto"/>
        <w:jc w:val="center"/>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pacing w:val="4"/>
          <w:szCs w:val="21"/>
          <w14:textFill>
            <w14:solidFill>
              <w14:schemeClr w14:val="tx1"/>
            </w14:solidFill>
          </w14:textFill>
        </w:rPr>
        <w:t xml:space="preserve">     日期：</w:t>
      </w:r>
      <w:r>
        <w:rPr>
          <w:rFonts w:hint="eastAsia" w:ascii="宋体" w:hAnsi="宋体" w:cs="宋体"/>
          <w:color w:val="000000" w:themeColor="text1"/>
          <w:spacing w:val="4"/>
          <w:szCs w:val="21"/>
          <w:u w:val="single"/>
          <w14:textFill>
            <w14:solidFill>
              <w14:schemeClr w14:val="tx1"/>
            </w14:solidFill>
          </w14:textFill>
        </w:rPr>
        <w:t xml:space="preserve">          </w:t>
      </w:r>
    </w:p>
    <w:bookmarkEnd w:id="5"/>
    <w:bookmarkEnd w:id="6"/>
    <w:p>
      <w:pPr>
        <w:pStyle w:val="5"/>
        <w:spacing w:before="156" w:beforeLines="50" w:after="0"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供应商资格声明函</w:t>
      </w:r>
    </w:p>
    <w:p>
      <w:pPr>
        <w:autoSpaceDE w:val="0"/>
        <w:autoSpaceDN w:val="0"/>
        <w:adjustRightInd w:val="0"/>
        <w:spacing w:before="156" w:beforeLines="50" w:after="312" w:afterLines="100" w:line="360"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 xml:space="preserve">致： </w:t>
      </w:r>
      <w:r>
        <w:rPr>
          <w:rFonts w:hint="eastAsia" w:ascii="宋体" w:hAnsi="宋体" w:cs="宋体"/>
          <w:b/>
          <w:color w:val="000000" w:themeColor="text1"/>
          <w:kern w:val="0"/>
          <w:szCs w:val="21"/>
          <w:lang w:eastAsia="zh-CN"/>
          <w14:textFill>
            <w14:solidFill>
              <w14:schemeClr w14:val="tx1"/>
            </w14:solidFill>
          </w14:textFill>
        </w:rPr>
        <w:t>东源县教育局</w:t>
      </w:r>
      <w:r>
        <w:rPr>
          <w:rFonts w:hint="eastAsia" w:ascii="宋体" w:hAnsi="宋体" w:cs="宋体"/>
          <w:b/>
          <w:color w:val="000000" w:themeColor="text1"/>
          <w:kern w:val="0"/>
          <w:szCs w:val="21"/>
          <w14:textFill>
            <w14:solidFill>
              <w14:schemeClr w14:val="tx1"/>
            </w14:solidFill>
          </w14:textFill>
        </w:rPr>
        <w:t>、云采链（广州）信息科技有限公司</w:t>
      </w:r>
    </w:p>
    <w:p>
      <w:pPr>
        <w:snapToGrid w:val="0"/>
        <w:spacing w:before="156" w:beforeLines="50" w:line="360" w:lineRule="auto"/>
        <w:ind w:firstLine="424" w:firstLineChars="202"/>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关于贵单位、</w:t>
      </w:r>
      <w:r>
        <w:rPr>
          <w:rFonts w:hint="eastAsia" w:ascii="宋体" w:hAnsi="宋体" w:cs="宋体"/>
          <w:color w:val="000000" w:themeColor="text1"/>
          <w:szCs w:val="21"/>
          <w:highlight w:val="none"/>
          <w14:textFill>
            <w14:solidFill>
              <w14:schemeClr w14:val="tx1"/>
            </w14:solidFill>
          </w14:textFill>
        </w:rPr>
        <w:t>贵司发布</w:t>
      </w:r>
      <w:r>
        <w:rPr>
          <w:rFonts w:hint="eastAsia" w:ascii="宋体" w:hAnsi="宋体" w:cs="宋体"/>
          <w:b/>
          <w:bCs w:val="0"/>
          <w:sz w:val="21"/>
          <w:szCs w:val="21"/>
          <w:u w:val="single"/>
          <w:lang w:eastAsia="zh-CN"/>
        </w:rPr>
        <w:t>东源县黄村镇中心幼儿园设备采购</w:t>
      </w:r>
      <w:r>
        <w:rPr>
          <w:rFonts w:hint="eastAsia" w:ascii="宋体" w:hAnsi="宋体" w:cs="宋体"/>
          <w:color w:val="000000" w:themeColor="text1"/>
          <w:szCs w:val="21"/>
          <w:highlight w:val="none"/>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竞价公告</w:t>
      </w:r>
      <w:r>
        <w:rPr>
          <w:rFonts w:hint="eastAsia" w:ascii="宋体" w:hAnsi="宋体" w:cs="宋体"/>
          <w:color w:val="000000" w:themeColor="text1"/>
          <w14:textFill>
            <w14:solidFill>
              <w14:schemeClr w14:val="tx1"/>
            </w14:solidFill>
          </w14:textFill>
        </w:rPr>
        <w:t>，本公司（企业）愿意参加竞价，并声明：</w:t>
      </w:r>
    </w:p>
    <w:p>
      <w:pPr>
        <w:snapToGrid w:val="0"/>
        <w:spacing w:before="156" w:beforeLines="50" w:line="360" w:lineRule="auto"/>
        <w:ind w:firstLine="420" w:firstLineChars="200"/>
        <w:rPr>
          <w:rFonts w:ascii="宋体" w:hAnsi="宋体" w:cs="宋体"/>
          <w:bCs/>
          <w:color w:val="000000" w:themeColor="text1"/>
          <w:szCs w:val="20"/>
          <w14:textFill>
            <w14:solidFill>
              <w14:schemeClr w14:val="tx1"/>
            </w14:solidFill>
          </w14:textFill>
        </w:rPr>
      </w:pPr>
      <w:r>
        <w:rPr>
          <w:rFonts w:hint="eastAsia" w:ascii="宋体" w:hAnsi="宋体" w:cs="宋体"/>
          <w:color w:val="000000" w:themeColor="text1"/>
          <w14:textFill>
            <w14:solidFill>
              <w14:schemeClr w14:val="tx1"/>
            </w14:solidFill>
          </w14:textFill>
        </w:rPr>
        <w:t>一、本公司（企业）</w:t>
      </w:r>
      <w:r>
        <w:rPr>
          <w:rFonts w:hint="eastAsia" w:ascii="宋体" w:hAnsi="宋体" w:cs="宋体"/>
          <w:bCs/>
          <w:color w:val="000000" w:themeColor="text1"/>
          <w:szCs w:val="20"/>
          <w14:textFill>
            <w14:solidFill>
              <w14:schemeClr w14:val="tx1"/>
            </w14:solidFill>
          </w14:textFill>
        </w:rPr>
        <w:t>具备《中华人民共和国政府采购法》第二十二条规定的条件：</w:t>
      </w:r>
    </w:p>
    <w:p>
      <w:pPr>
        <w:widowControl/>
        <w:spacing w:before="156" w:beforeLines="50"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（一）具有独立承担民事责任的能力；</w:t>
      </w:r>
    </w:p>
    <w:p>
      <w:pPr>
        <w:widowControl/>
        <w:spacing w:before="156" w:beforeLines="50"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（二）具有良好的商业信誉和健全的财务会计制度； </w:t>
      </w:r>
    </w:p>
    <w:p>
      <w:pPr>
        <w:widowControl/>
        <w:spacing w:before="156" w:beforeLines="50"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（三）具有履行合同所必需的设备和专业技术能力；</w:t>
      </w:r>
    </w:p>
    <w:p>
      <w:pPr>
        <w:widowControl/>
        <w:spacing w:before="156" w:beforeLines="50"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（四）有依法缴纳税收和社会保障资金的良好记录；</w:t>
      </w:r>
    </w:p>
    <w:p>
      <w:pPr>
        <w:widowControl/>
        <w:spacing w:before="156" w:beforeLines="50"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（五）参加政府采购活动前三年内，在经营活动中没有重大违法记录；</w:t>
      </w:r>
    </w:p>
    <w:p>
      <w:pPr>
        <w:widowControl/>
        <w:spacing w:before="156" w:beforeLines="50" w:line="360" w:lineRule="auto"/>
        <w:ind w:firstLine="36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（六）法律、行政法规规定的其他条件。</w:t>
      </w:r>
    </w:p>
    <w:p>
      <w:pPr>
        <w:snapToGrid w:val="0"/>
        <w:spacing w:before="156" w:beforeLines="50" w:line="360" w:lineRule="auto"/>
        <w:ind w:firstLine="424" w:firstLineChars="20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二、本公司（企业）具有本次采购项目服务能力。</w:t>
      </w:r>
    </w:p>
    <w:p>
      <w:pPr>
        <w:snapToGrid w:val="0"/>
        <w:spacing w:before="156" w:beforeLines="50" w:line="360" w:lineRule="auto"/>
        <w:ind w:firstLine="424" w:firstLineChars="20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三、本公司（企业）有固定的经营场所，信誉良好、售后维护服务好，并且在经营活动中无严重违法记录。</w:t>
      </w:r>
    </w:p>
    <w:p>
      <w:pPr>
        <w:snapToGrid w:val="0"/>
        <w:spacing w:line="360" w:lineRule="auto"/>
        <w:ind w:firstLine="424" w:firstLineChars="20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四、本公司（企业）在本项目中不转包且不联合竞价。</w:t>
      </w:r>
    </w:p>
    <w:p>
      <w:pPr>
        <w:snapToGrid w:val="0"/>
        <w:spacing w:line="360" w:lineRule="auto"/>
        <w:ind w:firstLine="424" w:firstLineChars="20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14:textFill>
            <w14:solidFill>
              <w14:schemeClr w14:val="tx1"/>
            </w14:solidFill>
          </w14:textFill>
        </w:rPr>
        <w:t>弄虚作假行为，所造成的损失、不良后果及法律责任，一律由我公司（企业）承担。</w:t>
      </w:r>
    </w:p>
    <w:p>
      <w:pPr>
        <w:spacing w:before="156" w:beforeLines="50" w:line="360" w:lineRule="auto"/>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特此声明！</w:t>
      </w:r>
    </w:p>
    <w:p>
      <w:pPr>
        <w:autoSpaceDE w:val="0"/>
        <w:autoSpaceDN w:val="0"/>
        <w:adjustRightInd w:val="0"/>
        <w:spacing w:before="156" w:beforeLines="50" w:line="360" w:lineRule="auto"/>
        <w:ind w:firstLine="413" w:firstLineChars="196"/>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备注：</w:t>
      </w:r>
    </w:p>
    <w:p>
      <w:pPr>
        <w:pStyle w:val="57"/>
        <w:numPr>
          <w:ilvl w:val="0"/>
          <w:numId w:val="18"/>
        </w:numPr>
        <w:autoSpaceDE w:val="0"/>
        <w:autoSpaceDN w:val="0"/>
        <w:adjustRightInd w:val="0"/>
        <w:spacing w:before="156" w:beforeLines="50"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本声明函必须提供且内容不得擅自删改，否则视为响应无效。</w:t>
      </w:r>
    </w:p>
    <w:p>
      <w:pPr>
        <w:pStyle w:val="57"/>
        <w:numPr>
          <w:ilvl w:val="0"/>
          <w:numId w:val="18"/>
        </w:numPr>
        <w:snapToGrid w:val="0"/>
        <w:spacing w:before="156" w:beforeLines="50" w:line="360" w:lineRule="auto"/>
        <w:ind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本声明函如有虚假或与事实不符的，作无效报价处理。</w:t>
      </w:r>
    </w:p>
    <w:p>
      <w:pPr>
        <w:tabs>
          <w:tab w:val="left" w:pos="426"/>
        </w:tabs>
        <w:adjustRightInd w:val="0"/>
        <w:snapToGrid w:val="0"/>
        <w:spacing w:before="156" w:beforeLines="50" w:line="360" w:lineRule="auto"/>
        <w:rPr>
          <w:rFonts w:ascii="宋体" w:hAnsi="宋体" w:cs="宋体"/>
          <w:bCs/>
          <w:color w:val="000000" w:themeColor="text1"/>
          <w:szCs w:val="20"/>
          <w14:textFill>
            <w14:solidFill>
              <w14:schemeClr w14:val="tx1"/>
            </w14:solidFill>
          </w14:textFill>
        </w:rPr>
      </w:pPr>
    </w:p>
    <w:p>
      <w:pPr>
        <w:spacing w:before="156" w:beforeLines="50" w:line="360" w:lineRule="auto"/>
        <w:ind w:firstLine="42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供应商名称（单位盖</w:t>
      </w:r>
      <w:r>
        <w:rPr>
          <w:rFonts w:hint="eastAsia" w:ascii="宋体" w:hAnsi="宋体" w:cs="宋体"/>
          <w:color w:val="000000" w:themeColor="text1"/>
          <w:spacing w:val="4"/>
          <w14:textFill>
            <w14:solidFill>
              <w14:schemeClr w14:val="tx1"/>
            </w14:solidFill>
          </w14:textFill>
        </w:rPr>
        <w:t>公章</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u w:val="single"/>
          <w14:textFill>
            <w14:solidFill>
              <w14:schemeClr w14:val="tx1"/>
            </w14:solidFill>
          </w14:textFill>
        </w:rPr>
        <w:t xml:space="preserve">                          </w:t>
      </w:r>
    </w:p>
    <w:p>
      <w:pPr>
        <w:spacing w:before="156" w:beforeLines="5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hint="eastAsia" w:ascii="宋体" w:hAnsi="宋体" w:cs="宋体"/>
          <w:color w:val="000000" w:themeColor="text1"/>
          <w:u w:val="single"/>
          <w14:textFill>
            <w14:solidFill>
              <w14:schemeClr w14:val="tx1"/>
            </w14:solidFill>
          </w14:textFill>
        </w:rPr>
        <w:t xml:space="preserve">   </w:t>
      </w:r>
    </w:p>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4320" w:firstLineChars="24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78DF7C"/>
    <w:multiLevelType w:val="singleLevel"/>
    <w:tmpl w:val="C578DF7C"/>
    <w:lvl w:ilvl="0" w:tentative="0">
      <w:start w:val="1"/>
      <w:numFmt w:val="decimal"/>
      <w:suff w:val="space"/>
      <w:lvlText w:val="%1."/>
      <w:lvlJc w:val="left"/>
      <w:pPr>
        <w:ind w:left="425" w:hanging="425"/>
      </w:pPr>
      <w:rPr>
        <w:rFonts w:hint="default"/>
      </w:rPr>
    </w:lvl>
  </w:abstractNum>
  <w:abstractNum w:abstractNumId="1">
    <w:nsid w:val="FF92503E"/>
    <w:multiLevelType w:val="singleLevel"/>
    <w:tmpl w:val="FF92503E"/>
    <w:lvl w:ilvl="0" w:tentative="0">
      <w:start w:val="1"/>
      <w:numFmt w:val="chineseCounting"/>
      <w:suff w:val="nothing"/>
      <w:lvlText w:val="（%1）"/>
      <w:lvlJc w:val="left"/>
      <w:pPr>
        <w:ind w:left="0" w:firstLine="420"/>
      </w:pPr>
      <w:rPr>
        <w:rFonts w:hint="eastAsia"/>
      </w:rPr>
    </w:lvl>
  </w:abstractNum>
  <w:abstractNum w:abstractNumId="2">
    <w:nsid w:val="04AD10DA"/>
    <w:multiLevelType w:val="multilevel"/>
    <w:tmpl w:val="04AD10DA"/>
    <w:lvl w:ilvl="0" w:tentative="0">
      <w:start w:val="1"/>
      <w:numFmt w:val="lowerLetter"/>
      <w:suff w:val="nothing"/>
      <w:lvlText w:val="%1)"/>
      <w:lvlJc w:val="left"/>
      <w:pPr>
        <w:ind w:left="1260" w:hanging="420"/>
      </w:pPr>
      <w:rPr>
        <w:rFonts w:hint="eastAsia"/>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3">
    <w:nsid w:val="0CCF056D"/>
    <w:multiLevelType w:val="multilevel"/>
    <w:tmpl w:val="0CCF056D"/>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140A6B21"/>
    <w:multiLevelType w:val="multilevel"/>
    <w:tmpl w:val="140A6B21"/>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2"/>
      <w:numFmt w:val="japaneseCounting"/>
      <w:lvlText w:val="%3、"/>
      <w:lvlJc w:val="left"/>
      <w:pPr>
        <w:ind w:left="1290" w:hanging="450"/>
      </w:pPr>
      <w:rPr>
        <w:rFonts w:hint="default"/>
      </w:rPr>
    </w:lvl>
    <w:lvl w:ilvl="3" w:tentative="0">
      <w:start w:val="12"/>
      <w:numFmt w:val="upperLetter"/>
      <w:lvlText w:val="%4、"/>
      <w:lvlJc w:val="left"/>
      <w:pPr>
        <w:ind w:left="1620" w:hanging="360"/>
      </w:pPr>
      <w:rPr>
        <w:rFonts w:hint="default"/>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8">
    <w:nsid w:val="34433F59"/>
    <w:multiLevelType w:val="multilevel"/>
    <w:tmpl w:val="34433F59"/>
    <w:lvl w:ilvl="0" w:tentative="0">
      <w:start w:val="1"/>
      <w:numFmt w:val="decimal"/>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3A838C0B"/>
    <w:multiLevelType w:val="singleLevel"/>
    <w:tmpl w:val="3A838C0B"/>
    <w:lvl w:ilvl="0" w:tentative="0">
      <w:start w:val="1"/>
      <w:numFmt w:val="chineseCounting"/>
      <w:suff w:val="nothing"/>
      <w:lvlText w:val="%1、"/>
      <w:lvlJc w:val="left"/>
      <w:pPr>
        <w:ind w:left="-210" w:firstLine="420"/>
      </w:pPr>
      <w:rPr>
        <w:rFonts w:hint="eastAsia"/>
      </w:rPr>
    </w:lvl>
  </w:abstractNum>
  <w:abstractNum w:abstractNumId="10">
    <w:nsid w:val="3CE44964"/>
    <w:multiLevelType w:val="multilevel"/>
    <w:tmpl w:val="3CE44964"/>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3">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62C74B3B"/>
    <w:multiLevelType w:val="multilevel"/>
    <w:tmpl w:val="62C74B3B"/>
    <w:lvl w:ilvl="0" w:tentative="0">
      <w:start w:val="1"/>
      <w:numFmt w:val="japaneseCounting"/>
      <w:lvlText w:val="第%1章"/>
      <w:lvlJc w:val="left"/>
      <w:pPr>
        <w:ind w:left="1120" w:hanging="1120"/>
      </w:pPr>
    </w:lvl>
    <w:lvl w:ilvl="1" w:tentative="0">
      <w:start w:val="1"/>
      <w:numFmt w:val="japaneseCounting"/>
      <w:lvlText w:val="%2、"/>
      <w:lvlJc w:val="left"/>
      <w:pPr>
        <w:ind w:left="840" w:hanging="420"/>
      </w:pPr>
      <w:rPr>
        <w:rFonts w:hint="default" w:ascii="宋体" w:hAnsi="宋体" w:cs="Times New Roman"/>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45C6A57"/>
    <w:multiLevelType w:val="singleLevel"/>
    <w:tmpl w:val="645C6A57"/>
    <w:lvl w:ilvl="0" w:tentative="0">
      <w:start w:val="1"/>
      <w:numFmt w:val="chineseCounting"/>
      <w:suff w:val="nothing"/>
      <w:lvlText w:val="（%1）"/>
      <w:lvlJc w:val="left"/>
      <w:pPr>
        <w:ind w:left="0" w:firstLine="420"/>
      </w:pPr>
      <w:rPr>
        <w:rFonts w:hint="eastAsia"/>
      </w:rPr>
    </w:lvl>
  </w:abstractNum>
  <w:abstractNum w:abstractNumId="16">
    <w:nsid w:val="6E19083E"/>
    <w:multiLevelType w:val="multilevel"/>
    <w:tmpl w:val="6E19083E"/>
    <w:lvl w:ilvl="0" w:tentative="0">
      <w:start w:val="1"/>
      <w:numFmt w:val="decimal"/>
      <w:lvlText w:val="%1."/>
      <w:lvlJc w:val="left"/>
      <w:pPr>
        <w:ind w:left="420" w:hanging="420"/>
      </w:pPr>
      <w:rPr>
        <w:rFonts w:ascii="宋体" w:hAnsi="宋体" w:eastAsia="宋体"/>
        <w:b/>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6E92880"/>
    <w:multiLevelType w:val="multilevel"/>
    <w:tmpl w:val="76E92880"/>
    <w:lvl w:ilvl="0" w:tentative="0">
      <w:start w:val="1"/>
      <w:numFmt w:val="decimal"/>
      <w:suff w:val="nothing"/>
      <w:lvlText w:val="%1)"/>
      <w:lvlJc w:val="left"/>
      <w:pPr>
        <w:ind w:left="840" w:hanging="420"/>
      </w:pPr>
      <w:rPr>
        <w:rFonts w:hint="eastAsia"/>
        <w:b w:val="0"/>
        <w:bCs/>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num w:numId="1">
    <w:abstractNumId w:val="14"/>
  </w:num>
  <w:num w:numId="2">
    <w:abstractNumId w:val="8"/>
  </w:num>
  <w:num w:numId="3">
    <w:abstractNumId w:val="10"/>
  </w:num>
  <w:num w:numId="4">
    <w:abstractNumId w:val="6"/>
  </w:num>
  <w:num w:numId="5">
    <w:abstractNumId w:val="17"/>
  </w:num>
  <w:num w:numId="6">
    <w:abstractNumId w:val="13"/>
  </w:num>
  <w:num w:numId="7">
    <w:abstractNumId w:val="3"/>
  </w:num>
  <w:num w:numId="8">
    <w:abstractNumId w:val="4"/>
  </w:num>
  <w:num w:numId="9">
    <w:abstractNumId w:val="11"/>
  </w:num>
  <w:num w:numId="10">
    <w:abstractNumId w:val="5"/>
  </w:num>
  <w:num w:numId="11">
    <w:abstractNumId w:val="2"/>
  </w:num>
  <w:num w:numId="12">
    <w:abstractNumId w:val="7"/>
  </w:num>
  <w:num w:numId="13">
    <w:abstractNumId w:val="9"/>
  </w:num>
  <w:num w:numId="14">
    <w:abstractNumId w:val="15"/>
  </w:num>
  <w:num w:numId="15">
    <w:abstractNumId w:val="1"/>
  </w:num>
  <w:num w:numId="16">
    <w:abstractNumId w:val="0"/>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YmRjYzJhOWExYzgyZjhkOTA0NjMzMjFhZDRlM2EifQ=="/>
  </w:docVars>
  <w:rsids>
    <w:rsidRoot w:val="00172A27"/>
    <w:rsid w:val="00002875"/>
    <w:rsid w:val="000047BB"/>
    <w:rsid w:val="00004CA2"/>
    <w:rsid w:val="00011804"/>
    <w:rsid w:val="00013F16"/>
    <w:rsid w:val="00014569"/>
    <w:rsid w:val="00016258"/>
    <w:rsid w:val="0002422D"/>
    <w:rsid w:val="00024B88"/>
    <w:rsid w:val="00033431"/>
    <w:rsid w:val="00037B46"/>
    <w:rsid w:val="00045504"/>
    <w:rsid w:val="00045AA3"/>
    <w:rsid w:val="000477E3"/>
    <w:rsid w:val="00050475"/>
    <w:rsid w:val="00050A79"/>
    <w:rsid w:val="000526EC"/>
    <w:rsid w:val="00053414"/>
    <w:rsid w:val="00057617"/>
    <w:rsid w:val="00062916"/>
    <w:rsid w:val="0006331D"/>
    <w:rsid w:val="00066419"/>
    <w:rsid w:val="000703A1"/>
    <w:rsid w:val="00072631"/>
    <w:rsid w:val="00072FE6"/>
    <w:rsid w:val="000826DF"/>
    <w:rsid w:val="000828EA"/>
    <w:rsid w:val="00082A54"/>
    <w:rsid w:val="00085E43"/>
    <w:rsid w:val="00090BDE"/>
    <w:rsid w:val="00090CC1"/>
    <w:rsid w:val="00091A56"/>
    <w:rsid w:val="00092EAD"/>
    <w:rsid w:val="000949A1"/>
    <w:rsid w:val="000979D5"/>
    <w:rsid w:val="000A4287"/>
    <w:rsid w:val="000A59EC"/>
    <w:rsid w:val="000B2445"/>
    <w:rsid w:val="000B4E2D"/>
    <w:rsid w:val="000B68D9"/>
    <w:rsid w:val="000B6D13"/>
    <w:rsid w:val="000B72ED"/>
    <w:rsid w:val="000D19E2"/>
    <w:rsid w:val="000D2411"/>
    <w:rsid w:val="000D417C"/>
    <w:rsid w:val="000D540F"/>
    <w:rsid w:val="000D6F22"/>
    <w:rsid w:val="000E7D3C"/>
    <w:rsid w:val="000F167E"/>
    <w:rsid w:val="000F3FA0"/>
    <w:rsid w:val="000F55D9"/>
    <w:rsid w:val="00111AEC"/>
    <w:rsid w:val="0011744D"/>
    <w:rsid w:val="00120227"/>
    <w:rsid w:val="0012281D"/>
    <w:rsid w:val="00122DED"/>
    <w:rsid w:val="00127356"/>
    <w:rsid w:val="00131035"/>
    <w:rsid w:val="00132BBD"/>
    <w:rsid w:val="00134043"/>
    <w:rsid w:val="00135F70"/>
    <w:rsid w:val="00136C24"/>
    <w:rsid w:val="00137405"/>
    <w:rsid w:val="001412BA"/>
    <w:rsid w:val="00147460"/>
    <w:rsid w:val="00157EB5"/>
    <w:rsid w:val="00161E77"/>
    <w:rsid w:val="00165072"/>
    <w:rsid w:val="00172A27"/>
    <w:rsid w:val="00173A57"/>
    <w:rsid w:val="00180DE6"/>
    <w:rsid w:val="00183E04"/>
    <w:rsid w:val="00183EF1"/>
    <w:rsid w:val="00184DB9"/>
    <w:rsid w:val="00187602"/>
    <w:rsid w:val="00187CBB"/>
    <w:rsid w:val="0019182D"/>
    <w:rsid w:val="001968BB"/>
    <w:rsid w:val="00197B47"/>
    <w:rsid w:val="001A2E2C"/>
    <w:rsid w:val="001A6FE8"/>
    <w:rsid w:val="001B0636"/>
    <w:rsid w:val="001B1D1E"/>
    <w:rsid w:val="001B559E"/>
    <w:rsid w:val="001B6DAD"/>
    <w:rsid w:val="001C1355"/>
    <w:rsid w:val="001C1CB1"/>
    <w:rsid w:val="001C54B8"/>
    <w:rsid w:val="001D133B"/>
    <w:rsid w:val="001D1F61"/>
    <w:rsid w:val="001D2A2E"/>
    <w:rsid w:val="001D2AF2"/>
    <w:rsid w:val="001D742E"/>
    <w:rsid w:val="001D760E"/>
    <w:rsid w:val="001E198B"/>
    <w:rsid w:val="001E4FB8"/>
    <w:rsid w:val="001F2030"/>
    <w:rsid w:val="001F2388"/>
    <w:rsid w:val="001F4DBE"/>
    <w:rsid w:val="001F715D"/>
    <w:rsid w:val="0020775C"/>
    <w:rsid w:val="0021163D"/>
    <w:rsid w:val="002207EF"/>
    <w:rsid w:val="00222F6F"/>
    <w:rsid w:val="00223EA8"/>
    <w:rsid w:val="002243B8"/>
    <w:rsid w:val="00230A35"/>
    <w:rsid w:val="002334C4"/>
    <w:rsid w:val="00233B9F"/>
    <w:rsid w:val="002408FE"/>
    <w:rsid w:val="00243B08"/>
    <w:rsid w:val="00250EFD"/>
    <w:rsid w:val="00251438"/>
    <w:rsid w:val="0025448D"/>
    <w:rsid w:val="002546A0"/>
    <w:rsid w:val="00254D8C"/>
    <w:rsid w:val="00255EE3"/>
    <w:rsid w:val="00261E56"/>
    <w:rsid w:val="00266B56"/>
    <w:rsid w:val="0026774A"/>
    <w:rsid w:val="00270493"/>
    <w:rsid w:val="0027114C"/>
    <w:rsid w:val="002751E7"/>
    <w:rsid w:val="00276EAE"/>
    <w:rsid w:val="00280B17"/>
    <w:rsid w:val="00280B89"/>
    <w:rsid w:val="00283624"/>
    <w:rsid w:val="00284FC1"/>
    <w:rsid w:val="00290393"/>
    <w:rsid w:val="00292D11"/>
    <w:rsid w:val="00293CEA"/>
    <w:rsid w:val="002952DD"/>
    <w:rsid w:val="002974D3"/>
    <w:rsid w:val="002A5223"/>
    <w:rsid w:val="002A5BC9"/>
    <w:rsid w:val="002B2D4B"/>
    <w:rsid w:val="002B4E86"/>
    <w:rsid w:val="002B4EF3"/>
    <w:rsid w:val="002C1810"/>
    <w:rsid w:val="002C3EB4"/>
    <w:rsid w:val="002C7C92"/>
    <w:rsid w:val="002D1B13"/>
    <w:rsid w:val="002D46B9"/>
    <w:rsid w:val="002D50B8"/>
    <w:rsid w:val="002D7F7D"/>
    <w:rsid w:val="002E0A98"/>
    <w:rsid w:val="002E1DAB"/>
    <w:rsid w:val="002E2987"/>
    <w:rsid w:val="002E2B19"/>
    <w:rsid w:val="002E4E9F"/>
    <w:rsid w:val="002F1439"/>
    <w:rsid w:val="002F595F"/>
    <w:rsid w:val="00304910"/>
    <w:rsid w:val="0030507A"/>
    <w:rsid w:val="003147EF"/>
    <w:rsid w:val="00315B01"/>
    <w:rsid w:val="00316972"/>
    <w:rsid w:val="0031736A"/>
    <w:rsid w:val="00317A01"/>
    <w:rsid w:val="00326966"/>
    <w:rsid w:val="00330575"/>
    <w:rsid w:val="00333D8B"/>
    <w:rsid w:val="00336612"/>
    <w:rsid w:val="00337958"/>
    <w:rsid w:val="003405CB"/>
    <w:rsid w:val="003409C1"/>
    <w:rsid w:val="00346793"/>
    <w:rsid w:val="003474BF"/>
    <w:rsid w:val="0035095E"/>
    <w:rsid w:val="00351545"/>
    <w:rsid w:val="00355588"/>
    <w:rsid w:val="003565C2"/>
    <w:rsid w:val="003566B7"/>
    <w:rsid w:val="003614C0"/>
    <w:rsid w:val="003754CA"/>
    <w:rsid w:val="0038240E"/>
    <w:rsid w:val="003835E3"/>
    <w:rsid w:val="00383C76"/>
    <w:rsid w:val="003848C6"/>
    <w:rsid w:val="003904C1"/>
    <w:rsid w:val="00392A95"/>
    <w:rsid w:val="00395A7A"/>
    <w:rsid w:val="00395C18"/>
    <w:rsid w:val="003A4268"/>
    <w:rsid w:val="003A63B6"/>
    <w:rsid w:val="003B6474"/>
    <w:rsid w:val="003C0156"/>
    <w:rsid w:val="003C0EB1"/>
    <w:rsid w:val="003D0103"/>
    <w:rsid w:val="003D1B9D"/>
    <w:rsid w:val="003D1CAF"/>
    <w:rsid w:val="003D57A0"/>
    <w:rsid w:val="003D58C9"/>
    <w:rsid w:val="003D7949"/>
    <w:rsid w:val="003E3E45"/>
    <w:rsid w:val="003E7AE8"/>
    <w:rsid w:val="003F0D03"/>
    <w:rsid w:val="003F5649"/>
    <w:rsid w:val="003F5847"/>
    <w:rsid w:val="003F7750"/>
    <w:rsid w:val="004177DD"/>
    <w:rsid w:val="0042220D"/>
    <w:rsid w:val="00431ABC"/>
    <w:rsid w:val="00442C44"/>
    <w:rsid w:val="004449F2"/>
    <w:rsid w:val="0044597A"/>
    <w:rsid w:val="00447663"/>
    <w:rsid w:val="00447BC5"/>
    <w:rsid w:val="004616AD"/>
    <w:rsid w:val="00465005"/>
    <w:rsid w:val="00474194"/>
    <w:rsid w:val="0047628A"/>
    <w:rsid w:val="0048189D"/>
    <w:rsid w:val="004854A9"/>
    <w:rsid w:val="0048632C"/>
    <w:rsid w:val="004864A6"/>
    <w:rsid w:val="004877C9"/>
    <w:rsid w:val="00487BA6"/>
    <w:rsid w:val="0049111A"/>
    <w:rsid w:val="00491E8F"/>
    <w:rsid w:val="00496293"/>
    <w:rsid w:val="00497C3D"/>
    <w:rsid w:val="00497EEA"/>
    <w:rsid w:val="004A076F"/>
    <w:rsid w:val="004A1F77"/>
    <w:rsid w:val="004A613B"/>
    <w:rsid w:val="004A7340"/>
    <w:rsid w:val="004A7F18"/>
    <w:rsid w:val="004B0A89"/>
    <w:rsid w:val="004B6F8B"/>
    <w:rsid w:val="004C1509"/>
    <w:rsid w:val="004C6A37"/>
    <w:rsid w:val="004D091B"/>
    <w:rsid w:val="004D3A3A"/>
    <w:rsid w:val="004D6364"/>
    <w:rsid w:val="004D64A4"/>
    <w:rsid w:val="004E076E"/>
    <w:rsid w:val="004E3308"/>
    <w:rsid w:val="004E358B"/>
    <w:rsid w:val="004F1AED"/>
    <w:rsid w:val="004F2546"/>
    <w:rsid w:val="004F3085"/>
    <w:rsid w:val="004F3691"/>
    <w:rsid w:val="004F3ED8"/>
    <w:rsid w:val="004F4820"/>
    <w:rsid w:val="004F5251"/>
    <w:rsid w:val="005010E3"/>
    <w:rsid w:val="005048F5"/>
    <w:rsid w:val="0051005C"/>
    <w:rsid w:val="0051193A"/>
    <w:rsid w:val="00526375"/>
    <w:rsid w:val="005267A5"/>
    <w:rsid w:val="00527E89"/>
    <w:rsid w:val="00532FC4"/>
    <w:rsid w:val="0054347E"/>
    <w:rsid w:val="00544A21"/>
    <w:rsid w:val="00545159"/>
    <w:rsid w:val="00556429"/>
    <w:rsid w:val="005657AF"/>
    <w:rsid w:val="00570A8B"/>
    <w:rsid w:val="00570B6E"/>
    <w:rsid w:val="00573460"/>
    <w:rsid w:val="00573964"/>
    <w:rsid w:val="0058017D"/>
    <w:rsid w:val="0058098C"/>
    <w:rsid w:val="00582AAE"/>
    <w:rsid w:val="00587805"/>
    <w:rsid w:val="00590243"/>
    <w:rsid w:val="005911DF"/>
    <w:rsid w:val="005926CE"/>
    <w:rsid w:val="0059642D"/>
    <w:rsid w:val="005A11F7"/>
    <w:rsid w:val="005A72BB"/>
    <w:rsid w:val="005B51B7"/>
    <w:rsid w:val="005C0A63"/>
    <w:rsid w:val="005C5743"/>
    <w:rsid w:val="005C60C2"/>
    <w:rsid w:val="005D1CA3"/>
    <w:rsid w:val="005D2D9D"/>
    <w:rsid w:val="005D6774"/>
    <w:rsid w:val="005D7549"/>
    <w:rsid w:val="005F0953"/>
    <w:rsid w:val="005F0D74"/>
    <w:rsid w:val="005F1DBA"/>
    <w:rsid w:val="005F3226"/>
    <w:rsid w:val="005F778B"/>
    <w:rsid w:val="00606B14"/>
    <w:rsid w:val="006076D8"/>
    <w:rsid w:val="00613A2E"/>
    <w:rsid w:val="00620B2F"/>
    <w:rsid w:val="006213DA"/>
    <w:rsid w:val="00624DA8"/>
    <w:rsid w:val="006268B3"/>
    <w:rsid w:val="00627FAC"/>
    <w:rsid w:val="00634ADB"/>
    <w:rsid w:val="00641298"/>
    <w:rsid w:val="00641522"/>
    <w:rsid w:val="0064185E"/>
    <w:rsid w:val="00643624"/>
    <w:rsid w:val="006468EF"/>
    <w:rsid w:val="00671605"/>
    <w:rsid w:val="00677E21"/>
    <w:rsid w:val="0068013C"/>
    <w:rsid w:val="00680384"/>
    <w:rsid w:val="00680BF5"/>
    <w:rsid w:val="006948BC"/>
    <w:rsid w:val="006A31BC"/>
    <w:rsid w:val="006A483A"/>
    <w:rsid w:val="006A4E0E"/>
    <w:rsid w:val="006A51B4"/>
    <w:rsid w:val="006A5B2A"/>
    <w:rsid w:val="006A7ECD"/>
    <w:rsid w:val="006B08D2"/>
    <w:rsid w:val="006B1967"/>
    <w:rsid w:val="006B1D5F"/>
    <w:rsid w:val="006B2633"/>
    <w:rsid w:val="006C0057"/>
    <w:rsid w:val="006C15B5"/>
    <w:rsid w:val="006C6DD5"/>
    <w:rsid w:val="006C7A12"/>
    <w:rsid w:val="006D06CC"/>
    <w:rsid w:val="006D4CCB"/>
    <w:rsid w:val="006D6B90"/>
    <w:rsid w:val="006D6EF6"/>
    <w:rsid w:val="006E08F4"/>
    <w:rsid w:val="006E4445"/>
    <w:rsid w:val="006F36C2"/>
    <w:rsid w:val="006F7B6F"/>
    <w:rsid w:val="006F7DF0"/>
    <w:rsid w:val="0070519B"/>
    <w:rsid w:val="00705B1A"/>
    <w:rsid w:val="00705D7A"/>
    <w:rsid w:val="0070657E"/>
    <w:rsid w:val="00710185"/>
    <w:rsid w:val="00716A4E"/>
    <w:rsid w:val="00723482"/>
    <w:rsid w:val="007253DA"/>
    <w:rsid w:val="007309BF"/>
    <w:rsid w:val="00730F36"/>
    <w:rsid w:val="00733872"/>
    <w:rsid w:val="00735C02"/>
    <w:rsid w:val="00736FEB"/>
    <w:rsid w:val="00737594"/>
    <w:rsid w:val="00744AA5"/>
    <w:rsid w:val="00744ED4"/>
    <w:rsid w:val="0074526F"/>
    <w:rsid w:val="007462DC"/>
    <w:rsid w:val="00755211"/>
    <w:rsid w:val="00755486"/>
    <w:rsid w:val="00757161"/>
    <w:rsid w:val="0076332A"/>
    <w:rsid w:val="00771CC5"/>
    <w:rsid w:val="007722B7"/>
    <w:rsid w:val="00772866"/>
    <w:rsid w:val="0077355D"/>
    <w:rsid w:val="0077469C"/>
    <w:rsid w:val="00775144"/>
    <w:rsid w:val="0077723F"/>
    <w:rsid w:val="00784258"/>
    <w:rsid w:val="00784C38"/>
    <w:rsid w:val="00787697"/>
    <w:rsid w:val="007877CA"/>
    <w:rsid w:val="00790924"/>
    <w:rsid w:val="0079320A"/>
    <w:rsid w:val="00797B4F"/>
    <w:rsid w:val="007A1441"/>
    <w:rsid w:val="007A2849"/>
    <w:rsid w:val="007B1867"/>
    <w:rsid w:val="007C00A8"/>
    <w:rsid w:val="007C4EC5"/>
    <w:rsid w:val="007C5AED"/>
    <w:rsid w:val="007D17A8"/>
    <w:rsid w:val="007D1892"/>
    <w:rsid w:val="007D2899"/>
    <w:rsid w:val="007D5EC0"/>
    <w:rsid w:val="007E4375"/>
    <w:rsid w:val="007F2F40"/>
    <w:rsid w:val="007F32E7"/>
    <w:rsid w:val="007F5629"/>
    <w:rsid w:val="008012F3"/>
    <w:rsid w:val="008030F0"/>
    <w:rsid w:val="008053F2"/>
    <w:rsid w:val="00805B8F"/>
    <w:rsid w:val="0080726B"/>
    <w:rsid w:val="00813A19"/>
    <w:rsid w:val="00814A98"/>
    <w:rsid w:val="0082264F"/>
    <w:rsid w:val="00823117"/>
    <w:rsid w:val="00824F28"/>
    <w:rsid w:val="00827ECD"/>
    <w:rsid w:val="0083080C"/>
    <w:rsid w:val="00833BFF"/>
    <w:rsid w:val="008413B1"/>
    <w:rsid w:val="008435D7"/>
    <w:rsid w:val="0084758E"/>
    <w:rsid w:val="00856A87"/>
    <w:rsid w:val="0086000E"/>
    <w:rsid w:val="00866EBA"/>
    <w:rsid w:val="00871EF6"/>
    <w:rsid w:val="00874492"/>
    <w:rsid w:val="00877FA5"/>
    <w:rsid w:val="008818B0"/>
    <w:rsid w:val="00886484"/>
    <w:rsid w:val="008902E7"/>
    <w:rsid w:val="00893642"/>
    <w:rsid w:val="008A11C6"/>
    <w:rsid w:val="008A599C"/>
    <w:rsid w:val="008B34CB"/>
    <w:rsid w:val="008B649C"/>
    <w:rsid w:val="008B77B3"/>
    <w:rsid w:val="008C48E3"/>
    <w:rsid w:val="008C4E5A"/>
    <w:rsid w:val="008C6CEA"/>
    <w:rsid w:val="008C7D6E"/>
    <w:rsid w:val="008D00E1"/>
    <w:rsid w:val="008E0F16"/>
    <w:rsid w:val="008E4F3A"/>
    <w:rsid w:val="008E5B91"/>
    <w:rsid w:val="008F5BFE"/>
    <w:rsid w:val="008F6694"/>
    <w:rsid w:val="00902C34"/>
    <w:rsid w:val="00912379"/>
    <w:rsid w:val="00912ACC"/>
    <w:rsid w:val="00914308"/>
    <w:rsid w:val="00917100"/>
    <w:rsid w:val="00922043"/>
    <w:rsid w:val="00923A84"/>
    <w:rsid w:val="009309B1"/>
    <w:rsid w:val="0093376A"/>
    <w:rsid w:val="009338D1"/>
    <w:rsid w:val="0093680C"/>
    <w:rsid w:val="00940559"/>
    <w:rsid w:val="00941B21"/>
    <w:rsid w:val="00950AB4"/>
    <w:rsid w:val="00953B14"/>
    <w:rsid w:val="009550AB"/>
    <w:rsid w:val="00957673"/>
    <w:rsid w:val="00962046"/>
    <w:rsid w:val="00967348"/>
    <w:rsid w:val="00973526"/>
    <w:rsid w:val="00973661"/>
    <w:rsid w:val="00976371"/>
    <w:rsid w:val="0097642D"/>
    <w:rsid w:val="00977FED"/>
    <w:rsid w:val="00980AED"/>
    <w:rsid w:val="00981DA9"/>
    <w:rsid w:val="00986293"/>
    <w:rsid w:val="00986B8A"/>
    <w:rsid w:val="00990F8F"/>
    <w:rsid w:val="0099218E"/>
    <w:rsid w:val="0099223F"/>
    <w:rsid w:val="00992350"/>
    <w:rsid w:val="009A29E3"/>
    <w:rsid w:val="009A7E0C"/>
    <w:rsid w:val="009B7327"/>
    <w:rsid w:val="009C1063"/>
    <w:rsid w:val="009C1F5D"/>
    <w:rsid w:val="009D12A1"/>
    <w:rsid w:val="009D1B0F"/>
    <w:rsid w:val="009D300A"/>
    <w:rsid w:val="009D3D09"/>
    <w:rsid w:val="009E556D"/>
    <w:rsid w:val="009F1B49"/>
    <w:rsid w:val="009F3B40"/>
    <w:rsid w:val="009F4BF5"/>
    <w:rsid w:val="009F5B49"/>
    <w:rsid w:val="009F6559"/>
    <w:rsid w:val="009F7AC3"/>
    <w:rsid w:val="00A01787"/>
    <w:rsid w:val="00A0223E"/>
    <w:rsid w:val="00A04DD9"/>
    <w:rsid w:val="00A10315"/>
    <w:rsid w:val="00A11D01"/>
    <w:rsid w:val="00A25A52"/>
    <w:rsid w:val="00A30726"/>
    <w:rsid w:val="00A35263"/>
    <w:rsid w:val="00A35B70"/>
    <w:rsid w:val="00A35C61"/>
    <w:rsid w:val="00A360FE"/>
    <w:rsid w:val="00A4193E"/>
    <w:rsid w:val="00A42C9B"/>
    <w:rsid w:val="00A47EDF"/>
    <w:rsid w:val="00A51497"/>
    <w:rsid w:val="00A53B20"/>
    <w:rsid w:val="00A604C0"/>
    <w:rsid w:val="00A61E05"/>
    <w:rsid w:val="00A63BA9"/>
    <w:rsid w:val="00A63BFB"/>
    <w:rsid w:val="00A64B7C"/>
    <w:rsid w:val="00A66314"/>
    <w:rsid w:val="00A707CB"/>
    <w:rsid w:val="00A73152"/>
    <w:rsid w:val="00A74105"/>
    <w:rsid w:val="00A744E7"/>
    <w:rsid w:val="00A757EC"/>
    <w:rsid w:val="00A77254"/>
    <w:rsid w:val="00A82447"/>
    <w:rsid w:val="00A82C07"/>
    <w:rsid w:val="00A8410D"/>
    <w:rsid w:val="00A85B8F"/>
    <w:rsid w:val="00A865AC"/>
    <w:rsid w:val="00A90D99"/>
    <w:rsid w:val="00A97D5E"/>
    <w:rsid w:val="00AA20A3"/>
    <w:rsid w:val="00AA3737"/>
    <w:rsid w:val="00AA3796"/>
    <w:rsid w:val="00AA7DFC"/>
    <w:rsid w:val="00AB0B4D"/>
    <w:rsid w:val="00AC1C01"/>
    <w:rsid w:val="00AC2610"/>
    <w:rsid w:val="00AC42D5"/>
    <w:rsid w:val="00AC5576"/>
    <w:rsid w:val="00AC5C30"/>
    <w:rsid w:val="00AD1837"/>
    <w:rsid w:val="00AD31B5"/>
    <w:rsid w:val="00AD4052"/>
    <w:rsid w:val="00AD5C59"/>
    <w:rsid w:val="00AD5F20"/>
    <w:rsid w:val="00AE275B"/>
    <w:rsid w:val="00AE7BF0"/>
    <w:rsid w:val="00AF03E4"/>
    <w:rsid w:val="00AF2AB0"/>
    <w:rsid w:val="00AF31A0"/>
    <w:rsid w:val="00AF3F45"/>
    <w:rsid w:val="00AF7C1D"/>
    <w:rsid w:val="00B00022"/>
    <w:rsid w:val="00B0034A"/>
    <w:rsid w:val="00B04EF9"/>
    <w:rsid w:val="00B0704C"/>
    <w:rsid w:val="00B125D4"/>
    <w:rsid w:val="00B12872"/>
    <w:rsid w:val="00B12B32"/>
    <w:rsid w:val="00B13119"/>
    <w:rsid w:val="00B140F2"/>
    <w:rsid w:val="00B22730"/>
    <w:rsid w:val="00B227A8"/>
    <w:rsid w:val="00B23DAE"/>
    <w:rsid w:val="00B377F6"/>
    <w:rsid w:val="00B419D1"/>
    <w:rsid w:val="00B4517C"/>
    <w:rsid w:val="00B452C9"/>
    <w:rsid w:val="00B47A50"/>
    <w:rsid w:val="00B505D9"/>
    <w:rsid w:val="00B52286"/>
    <w:rsid w:val="00B55B86"/>
    <w:rsid w:val="00B6064A"/>
    <w:rsid w:val="00B63C5A"/>
    <w:rsid w:val="00B64291"/>
    <w:rsid w:val="00B67A47"/>
    <w:rsid w:val="00B767A2"/>
    <w:rsid w:val="00B76BFC"/>
    <w:rsid w:val="00B77878"/>
    <w:rsid w:val="00B8053B"/>
    <w:rsid w:val="00B80FD2"/>
    <w:rsid w:val="00B8434A"/>
    <w:rsid w:val="00B860E4"/>
    <w:rsid w:val="00B977E3"/>
    <w:rsid w:val="00BA13BE"/>
    <w:rsid w:val="00BA2672"/>
    <w:rsid w:val="00BA311A"/>
    <w:rsid w:val="00BA6EE8"/>
    <w:rsid w:val="00BB009E"/>
    <w:rsid w:val="00BB1814"/>
    <w:rsid w:val="00BB3C61"/>
    <w:rsid w:val="00BC0F1A"/>
    <w:rsid w:val="00BC1DCC"/>
    <w:rsid w:val="00BC5545"/>
    <w:rsid w:val="00BC6271"/>
    <w:rsid w:val="00BD4D69"/>
    <w:rsid w:val="00BD73E6"/>
    <w:rsid w:val="00BE3832"/>
    <w:rsid w:val="00BE606E"/>
    <w:rsid w:val="00BF6993"/>
    <w:rsid w:val="00C00C99"/>
    <w:rsid w:val="00C01A95"/>
    <w:rsid w:val="00C03C4A"/>
    <w:rsid w:val="00C06AF7"/>
    <w:rsid w:val="00C10A8F"/>
    <w:rsid w:val="00C10A94"/>
    <w:rsid w:val="00C158CC"/>
    <w:rsid w:val="00C17B7A"/>
    <w:rsid w:val="00C209C4"/>
    <w:rsid w:val="00C2425C"/>
    <w:rsid w:val="00C247A0"/>
    <w:rsid w:val="00C24F49"/>
    <w:rsid w:val="00C259F4"/>
    <w:rsid w:val="00C269F6"/>
    <w:rsid w:val="00C325CB"/>
    <w:rsid w:val="00C34709"/>
    <w:rsid w:val="00C34C90"/>
    <w:rsid w:val="00C35C1E"/>
    <w:rsid w:val="00C43FD9"/>
    <w:rsid w:val="00C45ECA"/>
    <w:rsid w:val="00C47A91"/>
    <w:rsid w:val="00C51E01"/>
    <w:rsid w:val="00C549A0"/>
    <w:rsid w:val="00C57B58"/>
    <w:rsid w:val="00C620A6"/>
    <w:rsid w:val="00C711EB"/>
    <w:rsid w:val="00C72A15"/>
    <w:rsid w:val="00C76B54"/>
    <w:rsid w:val="00C8521B"/>
    <w:rsid w:val="00C87573"/>
    <w:rsid w:val="00C9065C"/>
    <w:rsid w:val="00C96563"/>
    <w:rsid w:val="00CA211E"/>
    <w:rsid w:val="00CA24DB"/>
    <w:rsid w:val="00CA288D"/>
    <w:rsid w:val="00CA5898"/>
    <w:rsid w:val="00CA7603"/>
    <w:rsid w:val="00CB5FC9"/>
    <w:rsid w:val="00CC0668"/>
    <w:rsid w:val="00CC1CDC"/>
    <w:rsid w:val="00CC2EDA"/>
    <w:rsid w:val="00CC68C8"/>
    <w:rsid w:val="00CD0B45"/>
    <w:rsid w:val="00CD1131"/>
    <w:rsid w:val="00CD4189"/>
    <w:rsid w:val="00CD5C8D"/>
    <w:rsid w:val="00CD5D6D"/>
    <w:rsid w:val="00CD7091"/>
    <w:rsid w:val="00CD765C"/>
    <w:rsid w:val="00CE2094"/>
    <w:rsid w:val="00CE2115"/>
    <w:rsid w:val="00CE2B88"/>
    <w:rsid w:val="00CE6EC9"/>
    <w:rsid w:val="00CF6F99"/>
    <w:rsid w:val="00CF7A85"/>
    <w:rsid w:val="00D06529"/>
    <w:rsid w:val="00D111BB"/>
    <w:rsid w:val="00D15BD2"/>
    <w:rsid w:val="00D16785"/>
    <w:rsid w:val="00D24291"/>
    <w:rsid w:val="00D25073"/>
    <w:rsid w:val="00D27629"/>
    <w:rsid w:val="00D30CCD"/>
    <w:rsid w:val="00D365F8"/>
    <w:rsid w:val="00D36F22"/>
    <w:rsid w:val="00D3745A"/>
    <w:rsid w:val="00D37ED4"/>
    <w:rsid w:val="00D40543"/>
    <w:rsid w:val="00D41BB0"/>
    <w:rsid w:val="00D44341"/>
    <w:rsid w:val="00D47246"/>
    <w:rsid w:val="00D47AA7"/>
    <w:rsid w:val="00D54156"/>
    <w:rsid w:val="00D5724C"/>
    <w:rsid w:val="00D60068"/>
    <w:rsid w:val="00D60199"/>
    <w:rsid w:val="00D655BF"/>
    <w:rsid w:val="00D71170"/>
    <w:rsid w:val="00D7141E"/>
    <w:rsid w:val="00D824B1"/>
    <w:rsid w:val="00D8266F"/>
    <w:rsid w:val="00D86822"/>
    <w:rsid w:val="00D86FE0"/>
    <w:rsid w:val="00D91425"/>
    <w:rsid w:val="00D92318"/>
    <w:rsid w:val="00D92449"/>
    <w:rsid w:val="00D967CD"/>
    <w:rsid w:val="00D97F2B"/>
    <w:rsid w:val="00DA30BC"/>
    <w:rsid w:val="00DA4074"/>
    <w:rsid w:val="00DA4324"/>
    <w:rsid w:val="00DB01A1"/>
    <w:rsid w:val="00DC207E"/>
    <w:rsid w:val="00DC281E"/>
    <w:rsid w:val="00DC2E89"/>
    <w:rsid w:val="00DC51B6"/>
    <w:rsid w:val="00DC5873"/>
    <w:rsid w:val="00DC7191"/>
    <w:rsid w:val="00DD0299"/>
    <w:rsid w:val="00DD1A4E"/>
    <w:rsid w:val="00DD461B"/>
    <w:rsid w:val="00DD6857"/>
    <w:rsid w:val="00DE7A9D"/>
    <w:rsid w:val="00DF1CFF"/>
    <w:rsid w:val="00DF26BE"/>
    <w:rsid w:val="00E06BB7"/>
    <w:rsid w:val="00E07489"/>
    <w:rsid w:val="00E077A5"/>
    <w:rsid w:val="00E10BDC"/>
    <w:rsid w:val="00E11F7F"/>
    <w:rsid w:val="00E14149"/>
    <w:rsid w:val="00E15031"/>
    <w:rsid w:val="00E24799"/>
    <w:rsid w:val="00E310E9"/>
    <w:rsid w:val="00E31496"/>
    <w:rsid w:val="00E33972"/>
    <w:rsid w:val="00E36B44"/>
    <w:rsid w:val="00E36D90"/>
    <w:rsid w:val="00E424B9"/>
    <w:rsid w:val="00E42D53"/>
    <w:rsid w:val="00E45CAC"/>
    <w:rsid w:val="00E51BEF"/>
    <w:rsid w:val="00E5361B"/>
    <w:rsid w:val="00E5473E"/>
    <w:rsid w:val="00E54929"/>
    <w:rsid w:val="00E55CD9"/>
    <w:rsid w:val="00E575BA"/>
    <w:rsid w:val="00E639A1"/>
    <w:rsid w:val="00E663C2"/>
    <w:rsid w:val="00E6668D"/>
    <w:rsid w:val="00E73594"/>
    <w:rsid w:val="00E73ED8"/>
    <w:rsid w:val="00E76D0C"/>
    <w:rsid w:val="00E77B58"/>
    <w:rsid w:val="00E80F4B"/>
    <w:rsid w:val="00E82C02"/>
    <w:rsid w:val="00E83470"/>
    <w:rsid w:val="00E84814"/>
    <w:rsid w:val="00E87207"/>
    <w:rsid w:val="00E9001F"/>
    <w:rsid w:val="00E92AA1"/>
    <w:rsid w:val="00EA6010"/>
    <w:rsid w:val="00EB41DB"/>
    <w:rsid w:val="00EC0A02"/>
    <w:rsid w:val="00EC24D5"/>
    <w:rsid w:val="00EC67C2"/>
    <w:rsid w:val="00ED462E"/>
    <w:rsid w:val="00EE2DC5"/>
    <w:rsid w:val="00EE4110"/>
    <w:rsid w:val="00EF352E"/>
    <w:rsid w:val="00EF52D5"/>
    <w:rsid w:val="00EF52D8"/>
    <w:rsid w:val="00F00244"/>
    <w:rsid w:val="00F01DE0"/>
    <w:rsid w:val="00F0467A"/>
    <w:rsid w:val="00F046C3"/>
    <w:rsid w:val="00F119ED"/>
    <w:rsid w:val="00F126E6"/>
    <w:rsid w:val="00F1557E"/>
    <w:rsid w:val="00F1773B"/>
    <w:rsid w:val="00F239B2"/>
    <w:rsid w:val="00F24B20"/>
    <w:rsid w:val="00F2646F"/>
    <w:rsid w:val="00F301EF"/>
    <w:rsid w:val="00F42168"/>
    <w:rsid w:val="00F435A9"/>
    <w:rsid w:val="00F46050"/>
    <w:rsid w:val="00F46775"/>
    <w:rsid w:val="00F5326A"/>
    <w:rsid w:val="00F56441"/>
    <w:rsid w:val="00F574E8"/>
    <w:rsid w:val="00F62E6E"/>
    <w:rsid w:val="00F74BAD"/>
    <w:rsid w:val="00F83FBD"/>
    <w:rsid w:val="00F85FE8"/>
    <w:rsid w:val="00F90921"/>
    <w:rsid w:val="00F93E53"/>
    <w:rsid w:val="00FA3FA3"/>
    <w:rsid w:val="00FB0B7F"/>
    <w:rsid w:val="00FC26F0"/>
    <w:rsid w:val="00FC4A2B"/>
    <w:rsid w:val="00FC4A5E"/>
    <w:rsid w:val="00FC5FD9"/>
    <w:rsid w:val="00FC7261"/>
    <w:rsid w:val="00FC745F"/>
    <w:rsid w:val="00FC7E7E"/>
    <w:rsid w:val="00FD032A"/>
    <w:rsid w:val="00FD2DB5"/>
    <w:rsid w:val="00FD3D02"/>
    <w:rsid w:val="00FD4AA5"/>
    <w:rsid w:val="00FE06F7"/>
    <w:rsid w:val="00FE3642"/>
    <w:rsid w:val="00FE404F"/>
    <w:rsid w:val="00FF1500"/>
    <w:rsid w:val="00FF2085"/>
    <w:rsid w:val="00FF2AD5"/>
    <w:rsid w:val="00FF4916"/>
    <w:rsid w:val="00FF60FD"/>
    <w:rsid w:val="01BF4996"/>
    <w:rsid w:val="02545CC2"/>
    <w:rsid w:val="02934350"/>
    <w:rsid w:val="03100052"/>
    <w:rsid w:val="03771E7F"/>
    <w:rsid w:val="03D7653D"/>
    <w:rsid w:val="047E68B5"/>
    <w:rsid w:val="04A6118D"/>
    <w:rsid w:val="04A955C1"/>
    <w:rsid w:val="04AC561D"/>
    <w:rsid w:val="04E43B48"/>
    <w:rsid w:val="050C3440"/>
    <w:rsid w:val="051B4602"/>
    <w:rsid w:val="06013C55"/>
    <w:rsid w:val="06581615"/>
    <w:rsid w:val="066505DB"/>
    <w:rsid w:val="06A26B1D"/>
    <w:rsid w:val="071F2378"/>
    <w:rsid w:val="076E3D4D"/>
    <w:rsid w:val="078F1911"/>
    <w:rsid w:val="07963EDC"/>
    <w:rsid w:val="087347F1"/>
    <w:rsid w:val="08A1215E"/>
    <w:rsid w:val="095905F4"/>
    <w:rsid w:val="09600E28"/>
    <w:rsid w:val="0A8569FA"/>
    <w:rsid w:val="0B3018C7"/>
    <w:rsid w:val="0BD25889"/>
    <w:rsid w:val="0BDD52C5"/>
    <w:rsid w:val="0C92585F"/>
    <w:rsid w:val="0D0E012D"/>
    <w:rsid w:val="0D466380"/>
    <w:rsid w:val="0D96501D"/>
    <w:rsid w:val="0DD23794"/>
    <w:rsid w:val="0DF536E2"/>
    <w:rsid w:val="0E1846C3"/>
    <w:rsid w:val="0E2B67B7"/>
    <w:rsid w:val="0EC20FF9"/>
    <w:rsid w:val="0F08655D"/>
    <w:rsid w:val="0F40065B"/>
    <w:rsid w:val="0F5026D3"/>
    <w:rsid w:val="0F8C5118"/>
    <w:rsid w:val="1011692E"/>
    <w:rsid w:val="101B3963"/>
    <w:rsid w:val="10C36D62"/>
    <w:rsid w:val="10F058D7"/>
    <w:rsid w:val="11470C8D"/>
    <w:rsid w:val="117F6191"/>
    <w:rsid w:val="11FE1E15"/>
    <w:rsid w:val="12E575FF"/>
    <w:rsid w:val="13BA0A65"/>
    <w:rsid w:val="1410272E"/>
    <w:rsid w:val="14393928"/>
    <w:rsid w:val="147E12BF"/>
    <w:rsid w:val="1508348E"/>
    <w:rsid w:val="154222ED"/>
    <w:rsid w:val="15491F65"/>
    <w:rsid w:val="15DB51E9"/>
    <w:rsid w:val="15DC5DC4"/>
    <w:rsid w:val="15FB1558"/>
    <w:rsid w:val="16AB33D2"/>
    <w:rsid w:val="16C37958"/>
    <w:rsid w:val="17253D2F"/>
    <w:rsid w:val="179966CD"/>
    <w:rsid w:val="181462FA"/>
    <w:rsid w:val="189F7A56"/>
    <w:rsid w:val="18BD6C2A"/>
    <w:rsid w:val="18CA0C0C"/>
    <w:rsid w:val="18E44E0C"/>
    <w:rsid w:val="19734B6A"/>
    <w:rsid w:val="198B4D20"/>
    <w:rsid w:val="19D85B1B"/>
    <w:rsid w:val="1A2B5756"/>
    <w:rsid w:val="1A413D80"/>
    <w:rsid w:val="1A645551"/>
    <w:rsid w:val="1B7C5A54"/>
    <w:rsid w:val="1BFB318D"/>
    <w:rsid w:val="1CB21980"/>
    <w:rsid w:val="1D0D6372"/>
    <w:rsid w:val="1D8715F7"/>
    <w:rsid w:val="1DB544E2"/>
    <w:rsid w:val="1DEB1573"/>
    <w:rsid w:val="1E84545C"/>
    <w:rsid w:val="1EA24EBE"/>
    <w:rsid w:val="1EA85D3D"/>
    <w:rsid w:val="1F6A2FFF"/>
    <w:rsid w:val="20384A18"/>
    <w:rsid w:val="20416ACA"/>
    <w:rsid w:val="21352FC7"/>
    <w:rsid w:val="21E85FCA"/>
    <w:rsid w:val="21F540A1"/>
    <w:rsid w:val="226F0A9B"/>
    <w:rsid w:val="22BC46AF"/>
    <w:rsid w:val="23A81EB5"/>
    <w:rsid w:val="23AB3882"/>
    <w:rsid w:val="24244562"/>
    <w:rsid w:val="247B1377"/>
    <w:rsid w:val="25157A4B"/>
    <w:rsid w:val="251D4997"/>
    <w:rsid w:val="25C25DF7"/>
    <w:rsid w:val="2705564B"/>
    <w:rsid w:val="276D76DA"/>
    <w:rsid w:val="28397872"/>
    <w:rsid w:val="28722B8A"/>
    <w:rsid w:val="2874727E"/>
    <w:rsid w:val="291B1706"/>
    <w:rsid w:val="29922FF5"/>
    <w:rsid w:val="29F47BD0"/>
    <w:rsid w:val="2A2D4182"/>
    <w:rsid w:val="2AFC49AF"/>
    <w:rsid w:val="2CB5186D"/>
    <w:rsid w:val="2CC261A3"/>
    <w:rsid w:val="2D876BCA"/>
    <w:rsid w:val="2F3E0E39"/>
    <w:rsid w:val="3038483E"/>
    <w:rsid w:val="30A75524"/>
    <w:rsid w:val="31031042"/>
    <w:rsid w:val="31833C4A"/>
    <w:rsid w:val="31B73076"/>
    <w:rsid w:val="321F0BCB"/>
    <w:rsid w:val="32674446"/>
    <w:rsid w:val="329E3E6E"/>
    <w:rsid w:val="332348C3"/>
    <w:rsid w:val="33266D9B"/>
    <w:rsid w:val="33B04010"/>
    <w:rsid w:val="34294109"/>
    <w:rsid w:val="343A2DA2"/>
    <w:rsid w:val="347E7F14"/>
    <w:rsid w:val="34DD5855"/>
    <w:rsid w:val="36906F6C"/>
    <w:rsid w:val="37817675"/>
    <w:rsid w:val="38A45363"/>
    <w:rsid w:val="38BA2538"/>
    <w:rsid w:val="398A5D5C"/>
    <w:rsid w:val="3B496361"/>
    <w:rsid w:val="3B547DD5"/>
    <w:rsid w:val="3C912639"/>
    <w:rsid w:val="3D05582A"/>
    <w:rsid w:val="3E1F46CA"/>
    <w:rsid w:val="3E3E7246"/>
    <w:rsid w:val="3F633541"/>
    <w:rsid w:val="3FF50DD7"/>
    <w:rsid w:val="418705C4"/>
    <w:rsid w:val="421B33FA"/>
    <w:rsid w:val="432A1885"/>
    <w:rsid w:val="4383332D"/>
    <w:rsid w:val="43C42C1B"/>
    <w:rsid w:val="448D6B5D"/>
    <w:rsid w:val="45605CF4"/>
    <w:rsid w:val="45701CAF"/>
    <w:rsid w:val="457461DD"/>
    <w:rsid w:val="45C21EC0"/>
    <w:rsid w:val="47282BA9"/>
    <w:rsid w:val="4770427F"/>
    <w:rsid w:val="47D00FF4"/>
    <w:rsid w:val="47E80F4B"/>
    <w:rsid w:val="49357497"/>
    <w:rsid w:val="49841F64"/>
    <w:rsid w:val="4999518F"/>
    <w:rsid w:val="49C37815"/>
    <w:rsid w:val="4A686E23"/>
    <w:rsid w:val="4AAE297A"/>
    <w:rsid w:val="4B5029C6"/>
    <w:rsid w:val="4B74263F"/>
    <w:rsid w:val="4B851AAD"/>
    <w:rsid w:val="4B880599"/>
    <w:rsid w:val="4BE03916"/>
    <w:rsid w:val="4BEE7042"/>
    <w:rsid w:val="4C392DFB"/>
    <w:rsid w:val="4C663784"/>
    <w:rsid w:val="4CB64C6B"/>
    <w:rsid w:val="4CF56386"/>
    <w:rsid w:val="4D671DC6"/>
    <w:rsid w:val="4D825390"/>
    <w:rsid w:val="4E3C0451"/>
    <w:rsid w:val="51A751EE"/>
    <w:rsid w:val="51F85506"/>
    <w:rsid w:val="52310126"/>
    <w:rsid w:val="53AA68DD"/>
    <w:rsid w:val="53EF3887"/>
    <w:rsid w:val="55E002D2"/>
    <w:rsid w:val="560679D5"/>
    <w:rsid w:val="56D200A8"/>
    <w:rsid w:val="576F3F37"/>
    <w:rsid w:val="58886299"/>
    <w:rsid w:val="59657925"/>
    <w:rsid w:val="59862C23"/>
    <w:rsid w:val="5A900166"/>
    <w:rsid w:val="5B4A2946"/>
    <w:rsid w:val="5B4E5C16"/>
    <w:rsid w:val="5B7334FD"/>
    <w:rsid w:val="5C857F62"/>
    <w:rsid w:val="5DD2172D"/>
    <w:rsid w:val="5DF012AB"/>
    <w:rsid w:val="5E7E31DC"/>
    <w:rsid w:val="60434753"/>
    <w:rsid w:val="60A40F03"/>
    <w:rsid w:val="61B50F2D"/>
    <w:rsid w:val="61BB67DA"/>
    <w:rsid w:val="61DC359E"/>
    <w:rsid w:val="622F79DB"/>
    <w:rsid w:val="627E7362"/>
    <w:rsid w:val="628E0846"/>
    <w:rsid w:val="62C350AC"/>
    <w:rsid w:val="630B55A9"/>
    <w:rsid w:val="63316DD3"/>
    <w:rsid w:val="63A7324A"/>
    <w:rsid w:val="64141CFA"/>
    <w:rsid w:val="64A3787B"/>
    <w:rsid w:val="64A9197D"/>
    <w:rsid w:val="65733718"/>
    <w:rsid w:val="659974F1"/>
    <w:rsid w:val="663D0BD0"/>
    <w:rsid w:val="664A06BA"/>
    <w:rsid w:val="67B84DC4"/>
    <w:rsid w:val="67DE58A5"/>
    <w:rsid w:val="683C48FE"/>
    <w:rsid w:val="68801430"/>
    <w:rsid w:val="68FA11E4"/>
    <w:rsid w:val="691A6D44"/>
    <w:rsid w:val="69A04144"/>
    <w:rsid w:val="69D514B3"/>
    <w:rsid w:val="6A680181"/>
    <w:rsid w:val="6ACE6EBA"/>
    <w:rsid w:val="6B6B0CE1"/>
    <w:rsid w:val="6B6C00D4"/>
    <w:rsid w:val="6C106CBB"/>
    <w:rsid w:val="6C745082"/>
    <w:rsid w:val="6C977CB8"/>
    <w:rsid w:val="6D4E15EB"/>
    <w:rsid w:val="6EA6036C"/>
    <w:rsid w:val="6EB90987"/>
    <w:rsid w:val="6EBE0EA6"/>
    <w:rsid w:val="6EF23AE1"/>
    <w:rsid w:val="6F3A3A40"/>
    <w:rsid w:val="6F3C364B"/>
    <w:rsid w:val="6F94395D"/>
    <w:rsid w:val="705D0714"/>
    <w:rsid w:val="709E686C"/>
    <w:rsid w:val="70D413F0"/>
    <w:rsid w:val="71000321"/>
    <w:rsid w:val="71855B22"/>
    <w:rsid w:val="72300D95"/>
    <w:rsid w:val="724C69F2"/>
    <w:rsid w:val="728C1C50"/>
    <w:rsid w:val="72F32A38"/>
    <w:rsid w:val="72FE049F"/>
    <w:rsid w:val="732C6C71"/>
    <w:rsid w:val="7355492C"/>
    <w:rsid w:val="739712DD"/>
    <w:rsid w:val="73FE4C83"/>
    <w:rsid w:val="751E03B2"/>
    <w:rsid w:val="76847DF4"/>
    <w:rsid w:val="76B70372"/>
    <w:rsid w:val="77F17732"/>
    <w:rsid w:val="78BC253A"/>
    <w:rsid w:val="78C4243C"/>
    <w:rsid w:val="78ED4696"/>
    <w:rsid w:val="7A404323"/>
    <w:rsid w:val="7A8A34BD"/>
    <w:rsid w:val="7A8F5336"/>
    <w:rsid w:val="7AFA292F"/>
    <w:rsid w:val="7B012E34"/>
    <w:rsid w:val="7C7702A0"/>
    <w:rsid w:val="7CB52AF9"/>
    <w:rsid w:val="7CC2024D"/>
    <w:rsid w:val="7D17682F"/>
    <w:rsid w:val="7D997CDF"/>
    <w:rsid w:val="7E1847F3"/>
    <w:rsid w:val="7E195464"/>
    <w:rsid w:val="7E686B7C"/>
    <w:rsid w:val="7E9B55C2"/>
    <w:rsid w:val="7EB3323E"/>
    <w:rsid w:val="7ED93602"/>
    <w:rsid w:val="7F037115"/>
    <w:rsid w:val="7F747AE1"/>
    <w:rsid w:val="7FD5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99"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2"/>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3"/>
    <w:qFormat/>
    <w:uiPriority w:val="9"/>
    <w:pPr>
      <w:keepNext/>
      <w:keepLines/>
      <w:spacing w:before="260" w:after="260" w:line="416" w:lineRule="auto"/>
      <w:outlineLvl w:val="2"/>
    </w:pPr>
    <w:rPr>
      <w:b/>
      <w:bCs/>
      <w:sz w:val="32"/>
      <w:szCs w:val="32"/>
    </w:rPr>
  </w:style>
  <w:style w:type="paragraph" w:styleId="7">
    <w:name w:val="heading 4"/>
    <w:basedOn w:val="1"/>
    <w:next w:val="1"/>
    <w:link w:val="34"/>
    <w:qFormat/>
    <w:uiPriority w:val="0"/>
    <w:pPr>
      <w:keepNext/>
      <w:keepLines/>
      <w:spacing w:before="280" w:after="290" w:line="374" w:lineRule="auto"/>
      <w:outlineLvl w:val="3"/>
    </w:pPr>
    <w:rPr>
      <w:rFonts w:ascii="Cambria" w:hAnsi="Cambria"/>
      <w:b/>
      <w:bCs/>
      <w:sz w:val="28"/>
      <w:szCs w:val="28"/>
    </w:rPr>
  </w:style>
  <w:style w:type="paragraph" w:styleId="8">
    <w:name w:val="heading 6"/>
    <w:basedOn w:val="1"/>
    <w:next w:val="1"/>
    <w:link w:val="35"/>
    <w:unhideWhenUsed/>
    <w:qFormat/>
    <w:uiPriority w:val="9"/>
    <w:pPr>
      <w:keepNext/>
      <w:keepLines/>
      <w:spacing w:before="240" w:after="64" w:line="320" w:lineRule="auto"/>
      <w:outlineLvl w:val="5"/>
    </w:pPr>
    <w:rPr>
      <w:rFonts w:ascii="等线 Light" w:hAnsi="等线 Light" w:eastAsia="等线 Light"/>
      <w:b/>
      <w:bCs/>
      <w:sz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48"/>
    <w:qFormat/>
    <w:uiPriority w:val="0"/>
    <w:pPr>
      <w:ind w:firstLine="420" w:firstLineChars="200"/>
    </w:pPr>
  </w:style>
  <w:style w:type="paragraph" w:styleId="3">
    <w:name w:val="Body Text Indent"/>
    <w:basedOn w:val="1"/>
    <w:link w:val="39"/>
    <w:unhideWhenUsed/>
    <w:qFormat/>
    <w:uiPriority w:val="99"/>
    <w:pPr>
      <w:spacing w:after="120"/>
      <w:ind w:left="420" w:leftChars="200"/>
    </w:pPr>
  </w:style>
  <w:style w:type="paragraph" w:styleId="9">
    <w:name w:val="Normal Indent"/>
    <w:basedOn w:val="1"/>
    <w:link w:val="36"/>
    <w:qFormat/>
    <w:uiPriority w:val="0"/>
    <w:pPr>
      <w:ind w:firstLine="420"/>
    </w:pPr>
    <w:rPr>
      <w:rFonts w:ascii="Calibri" w:hAnsi="Calibri"/>
      <w:kern w:val="0"/>
      <w:sz w:val="20"/>
      <w:szCs w:val="20"/>
    </w:rPr>
  </w:style>
  <w:style w:type="paragraph" w:styleId="10">
    <w:name w:val="caption"/>
    <w:basedOn w:val="1"/>
    <w:next w:val="1"/>
    <w:qFormat/>
    <w:uiPriority w:val="0"/>
    <w:rPr>
      <w:rFonts w:ascii="Arial" w:hAnsi="Arial" w:eastAsia="黑体" w:cs="Arial"/>
      <w:sz w:val="20"/>
      <w:szCs w:val="20"/>
    </w:rPr>
  </w:style>
  <w:style w:type="paragraph" w:styleId="11">
    <w:name w:val="annotation text"/>
    <w:basedOn w:val="1"/>
    <w:link w:val="37"/>
    <w:qFormat/>
    <w:uiPriority w:val="0"/>
    <w:pPr>
      <w:jc w:val="left"/>
    </w:pPr>
    <w:rPr>
      <w:kern w:val="0"/>
      <w:sz w:val="20"/>
    </w:rPr>
  </w:style>
  <w:style w:type="paragraph" w:styleId="12">
    <w:name w:val="Body Text"/>
    <w:basedOn w:val="1"/>
    <w:link w:val="38"/>
    <w:unhideWhenUsed/>
    <w:qFormat/>
    <w:uiPriority w:val="0"/>
    <w:pPr>
      <w:spacing w:after="120"/>
    </w:pPr>
  </w:style>
  <w:style w:type="paragraph" w:styleId="13">
    <w:name w:val="Plain Text"/>
    <w:basedOn w:val="1"/>
    <w:link w:val="40"/>
    <w:qFormat/>
    <w:uiPriority w:val="0"/>
    <w:rPr>
      <w:rFonts w:ascii="宋体" w:hAnsi="Courier New"/>
      <w:kern w:val="0"/>
      <w:sz w:val="20"/>
      <w:szCs w:val="21"/>
    </w:rPr>
  </w:style>
  <w:style w:type="paragraph" w:styleId="14">
    <w:name w:val="Body Text Indent 2"/>
    <w:basedOn w:val="1"/>
    <w:link w:val="41"/>
    <w:qFormat/>
    <w:uiPriority w:val="0"/>
    <w:pPr>
      <w:spacing w:after="120" w:line="480" w:lineRule="auto"/>
      <w:ind w:left="420" w:leftChars="200"/>
    </w:pPr>
  </w:style>
  <w:style w:type="paragraph" w:styleId="15">
    <w:name w:val="Balloon Text"/>
    <w:basedOn w:val="1"/>
    <w:link w:val="42"/>
    <w:qFormat/>
    <w:uiPriority w:val="0"/>
    <w:rPr>
      <w:kern w:val="0"/>
      <w:sz w:val="18"/>
      <w:szCs w:val="18"/>
    </w:rPr>
  </w:style>
  <w:style w:type="paragraph" w:styleId="16">
    <w:name w:val="footer"/>
    <w:basedOn w:val="1"/>
    <w:link w:val="43"/>
    <w:qFormat/>
    <w:uiPriority w:val="99"/>
    <w:pPr>
      <w:tabs>
        <w:tab w:val="center" w:pos="4153"/>
        <w:tab w:val="right" w:pos="8306"/>
      </w:tabs>
      <w:snapToGrid w:val="0"/>
      <w:jc w:val="left"/>
    </w:pPr>
    <w:rPr>
      <w:kern w:val="0"/>
      <w:sz w:val="18"/>
      <w:szCs w:val="18"/>
    </w:rPr>
  </w:style>
  <w:style w:type="paragraph" w:styleId="17">
    <w:name w:val="header"/>
    <w:basedOn w:val="1"/>
    <w:link w:val="44"/>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Body Text Indent 3"/>
    <w:basedOn w:val="1"/>
    <w:link w:val="45"/>
    <w:unhideWhenUsed/>
    <w:qFormat/>
    <w:uiPriority w:val="99"/>
    <w:pPr>
      <w:spacing w:after="120"/>
      <w:ind w:left="420" w:leftChars="200"/>
    </w:pPr>
    <w:rPr>
      <w:sz w:val="16"/>
      <w:szCs w:val="16"/>
    </w:rPr>
  </w:style>
  <w:style w:type="paragraph" w:styleId="19">
    <w:name w:val="table of figures"/>
    <w:basedOn w:val="1"/>
    <w:next w:val="1"/>
    <w:semiHidden/>
    <w:qFormat/>
    <w:uiPriority w:val="0"/>
    <w:pPr>
      <w:adjustRightInd w:val="0"/>
      <w:ind w:left="200" w:leftChars="200" w:hanging="200" w:hangingChars="200"/>
    </w:pPr>
    <w:rPr>
      <w:rFonts w:eastAsia="仿宋"/>
      <w:sz w:val="28"/>
    </w:rPr>
  </w:style>
  <w:style w:type="paragraph" w:styleId="20">
    <w:name w:val="HTML Preformatted"/>
    <w:basedOn w:val="1"/>
    <w:link w:val="4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883" w:firstLineChars="200"/>
      <w:jc w:val="left"/>
    </w:pPr>
    <w:rPr>
      <w:rFonts w:ascii="宋体" w:hAnsi="宋体" w:eastAsia="仿宋"/>
      <w:kern w:val="0"/>
      <w:sz w:val="24"/>
    </w:r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2">
    <w:name w:val="annotation subject"/>
    <w:basedOn w:val="11"/>
    <w:next w:val="11"/>
    <w:link w:val="47"/>
    <w:unhideWhenUsed/>
    <w:qFormat/>
    <w:uiPriority w:val="99"/>
    <w:rPr>
      <w:b/>
      <w:bCs/>
      <w:kern w:val="2"/>
      <w:sz w:val="21"/>
    </w:rPr>
  </w:style>
  <w:style w:type="table" w:styleId="24">
    <w:name w:val="Table Grid"/>
    <w:basedOn w:val="23"/>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22"/>
    <w:rPr>
      <w:b/>
      <w:bCs/>
    </w:rPr>
  </w:style>
  <w:style w:type="character" w:styleId="27">
    <w:name w:val="page number"/>
    <w:qFormat/>
    <w:uiPriority w:val="0"/>
  </w:style>
  <w:style w:type="character" w:styleId="28">
    <w:name w:val="Hyperlink"/>
    <w:qFormat/>
    <w:uiPriority w:val="0"/>
    <w:rPr>
      <w:color w:val="0000FF"/>
      <w:u w:val="single"/>
    </w:rPr>
  </w:style>
  <w:style w:type="character" w:styleId="29">
    <w:name w:val="annotation reference"/>
    <w:unhideWhenUsed/>
    <w:qFormat/>
    <w:uiPriority w:val="0"/>
    <w:rPr>
      <w:sz w:val="21"/>
      <w:szCs w:val="21"/>
    </w:rPr>
  </w:style>
  <w:style w:type="paragraph" w:customStyle="1" w:styleId="30">
    <w:name w:val="标书正文1"/>
    <w:basedOn w:val="1"/>
    <w:qFormat/>
    <w:uiPriority w:val="0"/>
    <w:pPr>
      <w:spacing w:line="520" w:lineRule="exact"/>
      <w:ind w:firstLine="640" w:firstLineChars="200"/>
    </w:pPr>
  </w:style>
  <w:style w:type="character" w:customStyle="1" w:styleId="31">
    <w:name w:val="标题 1 Char"/>
    <w:link w:val="4"/>
    <w:qFormat/>
    <w:uiPriority w:val="0"/>
    <w:rPr>
      <w:b/>
      <w:bCs/>
      <w:kern w:val="44"/>
      <w:sz w:val="44"/>
      <w:szCs w:val="44"/>
    </w:rPr>
  </w:style>
  <w:style w:type="character" w:customStyle="1" w:styleId="32">
    <w:name w:val="标题 2 Char"/>
    <w:link w:val="5"/>
    <w:qFormat/>
    <w:uiPriority w:val="0"/>
    <w:rPr>
      <w:rFonts w:ascii="Arial" w:hAnsi="Arial" w:eastAsia="黑体"/>
      <w:b/>
      <w:bCs/>
      <w:kern w:val="2"/>
      <w:sz w:val="32"/>
      <w:szCs w:val="32"/>
    </w:rPr>
  </w:style>
  <w:style w:type="character" w:customStyle="1" w:styleId="33">
    <w:name w:val="标题 3 Char"/>
    <w:basedOn w:val="25"/>
    <w:link w:val="6"/>
    <w:qFormat/>
    <w:uiPriority w:val="9"/>
    <w:rPr>
      <w:b/>
      <w:bCs/>
      <w:kern w:val="2"/>
      <w:sz w:val="32"/>
      <w:szCs w:val="32"/>
    </w:rPr>
  </w:style>
  <w:style w:type="character" w:customStyle="1" w:styleId="34">
    <w:name w:val="标题 4 Char"/>
    <w:link w:val="7"/>
    <w:qFormat/>
    <w:uiPriority w:val="0"/>
    <w:rPr>
      <w:rFonts w:ascii="Cambria" w:hAnsi="Cambria"/>
      <w:b/>
      <w:bCs/>
      <w:kern w:val="2"/>
      <w:sz w:val="28"/>
      <w:szCs w:val="28"/>
    </w:rPr>
  </w:style>
  <w:style w:type="character" w:customStyle="1" w:styleId="35">
    <w:name w:val="标题 6 Char"/>
    <w:link w:val="8"/>
    <w:semiHidden/>
    <w:qFormat/>
    <w:uiPriority w:val="9"/>
    <w:rPr>
      <w:rFonts w:ascii="等线 Light" w:hAnsi="等线 Light" w:eastAsia="等线 Light" w:cs="Times New Roman"/>
      <w:b/>
      <w:bCs/>
      <w:kern w:val="2"/>
      <w:sz w:val="24"/>
      <w:szCs w:val="24"/>
    </w:rPr>
  </w:style>
  <w:style w:type="character" w:customStyle="1" w:styleId="36">
    <w:name w:val="正文缩进 Char"/>
    <w:link w:val="9"/>
    <w:qFormat/>
    <w:uiPriority w:val="0"/>
    <w:rPr>
      <w:rFonts w:ascii="Calibri" w:hAnsi="Calibri"/>
    </w:rPr>
  </w:style>
  <w:style w:type="character" w:customStyle="1" w:styleId="37">
    <w:name w:val="批注文字 Char"/>
    <w:link w:val="11"/>
    <w:qFormat/>
    <w:uiPriority w:val="0"/>
    <w:rPr>
      <w:szCs w:val="24"/>
    </w:rPr>
  </w:style>
  <w:style w:type="character" w:customStyle="1" w:styleId="38">
    <w:name w:val="正文文本 Char"/>
    <w:link w:val="12"/>
    <w:qFormat/>
    <w:uiPriority w:val="0"/>
    <w:rPr>
      <w:kern w:val="2"/>
      <w:sz w:val="21"/>
      <w:szCs w:val="24"/>
    </w:rPr>
  </w:style>
  <w:style w:type="character" w:customStyle="1" w:styleId="39">
    <w:name w:val="正文文本缩进 Char"/>
    <w:link w:val="3"/>
    <w:semiHidden/>
    <w:qFormat/>
    <w:uiPriority w:val="99"/>
    <w:rPr>
      <w:kern w:val="2"/>
      <w:sz w:val="21"/>
      <w:szCs w:val="24"/>
    </w:rPr>
  </w:style>
  <w:style w:type="character" w:customStyle="1" w:styleId="40">
    <w:name w:val="纯文本 Char2"/>
    <w:link w:val="13"/>
    <w:qFormat/>
    <w:uiPriority w:val="0"/>
    <w:rPr>
      <w:rFonts w:ascii="宋体" w:hAnsi="Courier New" w:cs="Courier New"/>
      <w:szCs w:val="21"/>
    </w:rPr>
  </w:style>
  <w:style w:type="character" w:customStyle="1" w:styleId="41">
    <w:name w:val="正文文本缩进 2 Char"/>
    <w:link w:val="14"/>
    <w:qFormat/>
    <w:uiPriority w:val="0"/>
    <w:rPr>
      <w:kern w:val="2"/>
      <w:sz w:val="21"/>
      <w:szCs w:val="24"/>
    </w:rPr>
  </w:style>
  <w:style w:type="character" w:customStyle="1" w:styleId="42">
    <w:name w:val="批注框文本 Char"/>
    <w:link w:val="15"/>
    <w:qFormat/>
    <w:uiPriority w:val="0"/>
    <w:rPr>
      <w:rFonts w:ascii="Times New Roman" w:hAnsi="Times New Roman" w:eastAsia="宋体" w:cs="Times New Roman"/>
      <w:sz w:val="18"/>
      <w:szCs w:val="18"/>
    </w:rPr>
  </w:style>
  <w:style w:type="character" w:customStyle="1" w:styleId="43">
    <w:name w:val="页脚 Char"/>
    <w:link w:val="16"/>
    <w:qFormat/>
    <w:uiPriority w:val="99"/>
    <w:rPr>
      <w:rFonts w:ascii="Times New Roman" w:hAnsi="Times New Roman" w:eastAsia="宋体" w:cs="Times New Roman"/>
      <w:sz w:val="18"/>
      <w:szCs w:val="18"/>
    </w:rPr>
  </w:style>
  <w:style w:type="character" w:customStyle="1" w:styleId="44">
    <w:name w:val="页眉 Char"/>
    <w:link w:val="17"/>
    <w:qFormat/>
    <w:uiPriority w:val="0"/>
    <w:rPr>
      <w:rFonts w:ascii="Times New Roman" w:hAnsi="Times New Roman" w:eastAsia="宋体" w:cs="Times New Roman"/>
      <w:sz w:val="18"/>
      <w:szCs w:val="18"/>
    </w:rPr>
  </w:style>
  <w:style w:type="character" w:customStyle="1" w:styleId="45">
    <w:name w:val="正文文本缩进 3 Char"/>
    <w:link w:val="18"/>
    <w:semiHidden/>
    <w:qFormat/>
    <w:uiPriority w:val="99"/>
    <w:rPr>
      <w:kern w:val="2"/>
      <w:sz w:val="16"/>
      <w:szCs w:val="16"/>
    </w:rPr>
  </w:style>
  <w:style w:type="character" w:customStyle="1" w:styleId="46">
    <w:name w:val="HTML 预设格式 Char"/>
    <w:link w:val="20"/>
    <w:qFormat/>
    <w:uiPriority w:val="99"/>
    <w:rPr>
      <w:rFonts w:ascii="宋体" w:hAnsi="宋体" w:eastAsia="仿宋" w:cs="宋体"/>
      <w:sz w:val="24"/>
      <w:szCs w:val="24"/>
    </w:rPr>
  </w:style>
  <w:style w:type="character" w:customStyle="1" w:styleId="47">
    <w:name w:val="批注主题 Char"/>
    <w:link w:val="22"/>
    <w:semiHidden/>
    <w:qFormat/>
    <w:uiPriority w:val="99"/>
    <w:rPr>
      <w:b/>
      <w:bCs/>
      <w:kern w:val="2"/>
      <w:sz w:val="21"/>
      <w:szCs w:val="24"/>
    </w:rPr>
  </w:style>
  <w:style w:type="character" w:customStyle="1" w:styleId="48">
    <w:name w:val="正文首行缩进 2 Char1"/>
    <w:link w:val="2"/>
    <w:qFormat/>
    <w:uiPriority w:val="0"/>
  </w:style>
  <w:style w:type="character" w:customStyle="1" w:styleId="49">
    <w:name w:val="纯文本 Char1"/>
    <w:qFormat/>
    <w:uiPriority w:val="0"/>
    <w:rPr>
      <w:rFonts w:ascii="宋体" w:hAnsi="Courier New" w:eastAsia="宋体" w:cs="Courier New"/>
      <w:szCs w:val="21"/>
    </w:rPr>
  </w:style>
  <w:style w:type="character" w:customStyle="1" w:styleId="50">
    <w:name w:val="font51"/>
    <w:qFormat/>
    <w:uiPriority w:val="0"/>
    <w:rPr>
      <w:rFonts w:hint="eastAsia" w:ascii="微软雅黑" w:hAnsi="微软雅黑" w:eastAsia="微软雅黑" w:cs="微软雅黑"/>
      <w:b/>
      <w:color w:val="000000"/>
      <w:sz w:val="18"/>
      <w:szCs w:val="18"/>
      <w:u w:val="none"/>
    </w:rPr>
  </w:style>
  <w:style w:type="character" w:customStyle="1" w:styleId="51">
    <w:name w:val="font41"/>
    <w:qFormat/>
    <w:uiPriority w:val="0"/>
    <w:rPr>
      <w:rFonts w:hint="eastAsia" w:ascii="宋体" w:hAnsi="宋体" w:eastAsia="宋体" w:cs="宋体"/>
      <w:color w:val="000000"/>
      <w:sz w:val="18"/>
      <w:szCs w:val="18"/>
      <w:u w:val="none"/>
    </w:rPr>
  </w:style>
  <w:style w:type="character" w:customStyle="1" w:styleId="52">
    <w:name w:val="font31"/>
    <w:qFormat/>
    <w:uiPriority w:val="0"/>
    <w:rPr>
      <w:rFonts w:hint="eastAsia" w:ascii="微软雅黑" w:hAnsi="微软雅黑" w:eastAsia="微软雅黑" w:cs="微软雅黑"/>
      <w:color w:val="000000"/>
      <w:sz w:val="18"/>
      <w:szCs w:val="18"/>
      <w:u w:val="none"/>
    </w:rPr>
  </w:style>
  <w:style w:type="character" w:customStyle="1" w:styleId="53">
    <w:name w:val="font11"/>
    <w:qFormat/>
    <w:uiPriority w:val="0"/>
    <w:rPr>
      <w:rFonts w:hint="default" w:ascii="仿宋_GB2312" w:eastAsia="仿宋_GB2312" w:cs="仿宋_GB2312"/>
      <w:b/>
      <w:color w:val="000000"/>
      <w:sz w:val="21"/>
      <w:szCs w:val="21"/>
      <w:u w:val="none"/>
    </w:rPr>
  </w:style>
  <w:style w:type="character" w:customStyle="1" w:styleId="54">
    <w:name w:val="font01"/>
    <w:qFormat/>
    <w:uiPriority w:val="0"/>
    <w:rPr>
      <w:rFonts w:hint="eastAsia" w:ascii="宋体" w:hAnsi="宋体" w:eastAsia="宋体" w:cs="宋体"/>
      <w:color w:val="000000"/>
      <w:sz w:val="22"/>
      <w:szCs w:val="22"/>
      <w:u w:val="none"/>
    </w:rPr>
  </w:style>
  <w:style w:type="character" w:customStyle="1" w:styleId="55">
    <w:name w:val="列出段落 字符"/>
    <w:link w:val="56"/>
    <w:qFormat/>
    <w:uiPriority w:val="34"/>
    <w:rPr>
      <w:rFonts w:ascii="Calibri" w:hAnsi="Calibri"/>
      <w:kern w:val="2"/>
      <w:sz w:val="21"/>
      <w:szCs w:val="22"/>
    </w:rPr>
  </w:style>
  <w:style w:type="paragraph" w:customStyle="1" w:styleId="56">
    <w:name w:val="_Style 49"/>
    <w:basedOn w:val="1"/>
    <w:next w:val="57"/>
    <w:link w:val="55"/>
    <w:qFormat/>
    <w:uiPriority w:val="34"/>
    <w:pPr>
      <w:ind w:firstLine="420" w:firstLineChars="200"/>
    </w:pPr>
    <w:rPr>
      <w:rFonts w:ascii="Calibri" w:hAnsi="Calibri"/>
      <w:szCs w:val="22"/>
    </w:rPr>
  </w:style>
  <w:style w:type="paragraph" w:styleId="57">
    <w:name w:val="List Paragraph"/>
    <w:basedOn w:val="1"/>
    <w:link w:val="58"/>
    <w:qFormat/>
    <w:uiPriority w:val="99"/>
    <w:pPr>
      <w:ind w:firstLine="420" w:firstLineChars="200"/>
    </w:pPr>
    <w:rPr>
      <w:rFonts w:ascii="Calibri" w:hAnsi="Calibri"/>
      <w:szCs w:val="22"/>
    </w:rPr>
  </w:style>
  <w:style w:type="character" w:customStyle="1" w:styleId="58">
    <w:name w:val="列出段落 Char"/>
    <w:link w:val="57"/>
    <w:qFormat/>
    <w:uiPriority w:val="99"/>
    <w:rPr>
      <w:rFonts w:ascii="Calibri" w:hAnsi="Calibri"/>
      <w:kern w:val="2"/>
      <w:sz w:val="21"/>
      <w:szCs w:val="22"/>
    </w:rPr>
  </w:style>
  <w:style w:type="character" w:customStyle="1" w:styleId="59">
    <w:name w:val="纯文本 字符1"/>
    <w:semiHidden/>
    <w:qFormat/>
    <w:uiPriority w:val="99"/>
    <w:rPr>
      <w:rFonts w:ascii="宋体" w:hAnsi="Courier New" w:cs="Courier New"/>
      <w:kern w:val="2"/>
      <w:sz w:val="21"/>
      <w:szCs w:val="21"/>
    </w:rPr>
  </w:style>
  <w:style w:type="character" w:customStyle="1" w:styleId="60">
    <w:name w:val="List Paragraph Char"/>
    <w:link w:val="61"/>
    <w:qFormat/>
    <w:locked/>
    <w:uiPriority w:val="34"/>
    <w:rPr>
      <w:kern w:val="2"/>
      <w:sz w:val="21"/>
      <w:szCs w:val="21"/>
    </w:rPr>
  </w:style>
  <w:style w:type="paragraph" w:customStyle="1" w:styleId="61">
    <w:name w:val="列出段落1"/>
    <w:basedOn w:val="1"/>
    <w:link w:val="60"/>
    <w:qFormat/>
    <w:uiPriority w:val="34"/>
    <w:pPr>
      <w:ind w:firstLine="420" w:firstLineChars="200"/>
    </w:pPr>
    <w:rPr>
      <w:szCs w:val="21"/>
    </w:rPr>
  </w:style>
  <w:style w:type="character" w:customStyle="1" w:styleId="62">
    <w:name w:val="_Style 61"/>
    <w:unhideWhenUsed/>
    <w:qFormat/>
    <w:uiPriority w:val="99"/>
    <w:rPr>
      <w:color w:val="605E5C"/>
      <w:shd w:val="clear" w:color="auto" w:fill="E1DFDD"/>
    </w:rPr>
  </w:style>
  <w:style w:type="character" w:customStyle="1" w:styleId="63">
    <w:name w:val="15"/>
    <w:qFormat/>
    <w:uiPriority w:val="0"/>
    <w:rPr>
      <w:rFonts w:hint="default" w:ascii="Times New Roman" w:hAnsi="Times New Roman" w:cs="Times New Roman"/>
      <w:sz w:val="20"/>
      <w:szCs w:val="20"/>
    </w:rPr>
  </w:style>
  <w:style w:type="character" w:customStyle="1" w:styleId="64">
    <w:name w:val="正文首行缩进 2 Char"/>
    <w:link w:val="65"/>
    <w:qFormat/>
    <w:uiPriority w:val="99"/>
    <w:rPr>
      <w:rFonts w:ascii="Calibri" w:hAnsi="Calibri"/>
      <w:kern w:val="2"/>
      <w:sz w:val="21"/>
      <w:szCs w:val="24"/>
    </w:rPr>
  </w:style>
  <w:style w:type="paragraph" w:customStyle="1" w:styleId="65">
    <w:name w:val="_Style 30"/>
    <w:basedOn w:val="3"/>
    <w:next w:val="2"/>
    <w:link w:val="64"/>
    <w:unhideWhenUsed/>
    <w:qFormat/>
    <w:uiPriority w:val="99"/>
    <w:pPr>
      <w:ind w:firstLine="420" w:firstLineChars="200"/>
    </w:pPr>
    <w:rPr>
      <w:rFonts w:ascii="Calibri" w:hAnsi="Calibri"/>
    </w:rPr>
  </w:style>
  <w:style w:type="character" w:customStyle="1" w:styleId="66">
    <w:name w:val="批注引用1"/>
    <w:qFormat/>
    <w:uiPriority w:val="0"/>
    <w:rPr>
      <w:sz w:val="21"/>
      <w:szCs w:val="21"/>
    </w:rPr>
  </w:style>
  <w:style w:type="character" w:customStyle="1" w:styleId="67">
    <w:name w:val="列出段落 Char1"/>
    <w:link w:val="68"/>
    <w:qFormat/>
    <w:uiPriority w:val="34"/>
    <w:rPr>
      <w:rFonts w:ascii="Calibri" w:hAnsi="Calibri"/>
      <w:kern w:val="2"/>
      <w:sz w:val="21"/>
      <w:szCs w:val="22"/>
    </w:rPr>
  </w:style>
  <w:style w:type="paragraph" w:customStyle="1" w:styleId="68">
    <w:name w:val="_Style 46"/>
    <w:basedOn w:val="1"/>
    <w:next w:val="57"/>
    <w:link w:val="67"/>
    <w:qFormat/>
    <w:uiPriority w:val="34"/>
    <w:pPr>
      <w:ind w:firstLine="420" w:firstLineChars="200"/>
    </w:pPr>
    <w:rPr>
      <w:rFonts w:ascii="Calibri" w:hAnsi="Calibri"/>
      <w:szCs w:val="22"/>
    </w:rPr>
  </w:style>
  <w:style w:type="character" w:customStyle="1" w:styleId="69">
    <w:name w:val="纯文本 Char"/>
    <w:link w:val="70"/>
    <w:qFormat/>
    <w:uiPriority w:val="0"/>
    <w:rPr>
      <w:rFonts w:ascii="宋体" w:hAnsi="Courier New" w:eastAsia="宋体" w:cs="Courier New"/>
      <w:szCs w:val="21"/>
    </w:rPr>
  </w:style>
  <w:style w:type="paragraph" w:customStyle="1" w:styleId="70">
    <w:name w:val="纯文本1"/>
    <w:basedOn w:val="1"/>
    <w:link w:val="69"/>
    <w:qFormat/>
    <w:uiPriority w:val="0"/>
    <w:rPr>
      <w:rFonts w:ascii="宋体" w:hAnsi="Courier New"/>
      <w:kern w:val="0"/>
      <w:sz w:val="20"/>
      <w:szCs w:val="21"/>
    </w:rPr>
  </w:style>
  <w:style w:type="character" w:customStyle="1" w:styleId="71">
    <w:name w:val="批注文字 字符"/>
    <w:qFormat/>
    <w:uiPriority w:val="99"/>
  </w:style>
  <w:style w:type="character" w:customStyle="1" w:styleId="72">
    <w:name w:val="NormalCharacter"/>
    <w:qFormat/>
    <w:uiPriority w:val="0"/>
    <w:rPr>
      <w:rFonts w:ascii="Calibri" w:hAnsi="Calibri"/>
    </w:rPr>
  </w:style>
  <w:style w:type="character" w:customStyle="1" w:styleId="73">
    <w:name w:val="font21"/>
    <w:qFormat/>
    <w:uiPriority w:val="0"/>
    <w:rPr>
      <w:rFonts w:hint="default" w:ascii="Times New Roman" w:hAnsi="Times New Roman" w:cs="Times New Roman"/>
      <w:color w:val="000000"/>
      <w:sz w:val="18"/>
      <w:szCs w:val="18"/>
      <w:u w:val="none"/>
    </w:rPr>
  </w:style>
  <w:style w:type="character" w:customStyle="1" w:styleId="74">
    <w:name w:val="表格文字 字符"/>
    <w:link w:val="75"/>
    <w:qFormat/>
    <w:uiPriority w:val="0"/>
    <w:rPr>
      <w:rFonts w:ascii="Cambria" w:hAnsi="Cambria" w:eastAsia="仿宋" w:cs="Times New Roman"/>
      <w:kern w:val="2"/>
      <w:sz w:val="24"/>
      <w:szCs w:val="21"/>
    </w:rPr>
  </w:style>
  <w:style w:type="paragraph" w:customStyle="1" w:styleId="75">
    <w:name w:val="表格文字"/>
    <w:basedOn w:val="1"/>
    <w:link w:val="74"/>
    <w:qFormat/>
    <w:uiPriority w:val="0"/>
    <w:pPr>
      <w:spacing w:line="360" w:lineRule="auto"/>
    </w:pPr>
    <w:rPr>
      <w:rFonts w:ascii="Cambria" w:hAnsi="Cambria" w:eastAsia="仿宋"/>
      <w:sz w:val="24"/>
      <w:szCs w:val="21"/>
    </w:rPr>
  </w:style>
  <w:style w:type="character" w:customStyle="1" w:styleId="76">
    <w:name w:val="fontstyle01"/>
    <w:qFormat/>
    <w:uiPriority w:val="0"/>
    <w:rPr>
      <w:rFonts w:hint="default" w:ascii="仿宋" w:hAnsi="仿宋"/>
      <w:color w:val="000000"/>
      <w:sz w:val="24"/>
      <w:szCs w:val="24"/>
    </w:rPr>
  </w:style>
  <w:style w:type="character" w:customStyle="1" w:styleId="77">
    <w:name w:val="p141"/>
    <w:qFormat/>
    <w:uiPriority w:val="0"/>
    <w:rPr>
      <w:sz w:val="21"/>
      <w:szCs w:val="21"/>
    </w:rPr>
  </w:style>
  <w:style w:type="character" w:customStyle="1" w:styleId="78">
    <w:name w:val="方案正文 字符"/>
    <w:link w:val="79"/>
    <w:qFormat/>
    <w:uiPriority w:val="0"/>
    <w:rPr>
      <w:rFonts w:ascii="仿宋_GB2312" w:eastAsia="仿宋_GB2312"/>
      <w:kern w:val="2"/>
      <w:sz w:val="28"/>
      <w:szCs w:val="28"/>
      <w:lang w:val="en-US" w:eastAsia="zh-CN" w:bidi="ar-SA"/>
    </w:rPr>
  </w:style>
  <w:style w:type="paragraph" w:customStyle="1" w:styleId="79">
    <w:name w:val="方案正文"/>
    <w:link w:val="78"/>
    <w:qFormat/>
    <w:uiPriority w:val="0"/>
    <w:pPr>
      <w:spacing w:line="360" w:lineRule="auto"/>
      <w:ind w:firstLine="560" w:firstLineChars="200"/>
    </w:pPr>
    <w:rPr>
      <w:rFonts w:ascii="仿宋_GB2312" w:hAnsi="Times New Roman" w:eastAsia="仿宋_GB2312" w:cs="Times New Roman"/>
      <w:kern w:val="2"/>
      <w:sz w:val="28"/>
      <w:szCs w:val="28"/>
      <w:lang w:val="en-US" w:eastAsia="zh-CN" w:bidi="ar-SA"/>
    </w:rPr>
  </w:style>
  <w:style w:type="paragraph" w:customStyle="1" w:styleId="80">
    <w:name w:val="p16"/>
    <w:basedOn w:val="1"/>
    <w:qFormat/>
    <w:uiPriority w:val="0"/>
    <w:pPr>
      <w:widowControl/>
      <w:spacing w:line="336" w:lineRule="auto"/>
      <w:ind w:left="126" w:firstLine="588"/>
    </w:pPr>
    <w:rPr>
      <w:rFonts w:ascii="宋体" w:hAnsi="宋体" w:cs="宋体"/>
      <w:color w:val="000000"/>
      <w:kern w:val="0"/>
      <w:sz w:val="34"/>
      <w:szCs w:val="34"/>
    </w:rPr>
  </w:style>
  <w:style w:type="paragraph" w:customStyle="1" w:styleId="81">
    <w:name w:val="_Style 31"/>
    <w:basedOn w:val="3"/>
    <w:next w:val="2"/>
    <w:unhideWhenUsed/>
    <w:qFormat/>
    <w:uiPriority w:val="99"/>
    <w:pPr>
      <w:ind w:firstLine="420" w:firstLineChars="200"/>
    </w:pPr>
  </w:style>
  <w:style w:type="paragraph" w:customStyle="1" w:styleId="8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Normal Indent1"/>
    <w:basedOn w:val="1"/>
    <w:qFormat/>
    <w:uiPriority w:val="0"/>
    <w:pPr>
      <w:widowControl/>
      <w:wordWrap w:val="0"/>
      <w:overflowPunct w:val="0"/>
      <w:topLinePunct/>
      <w:adjustRightInd w:val="0"/>
      <w:snapToGrid w:val="0"/>
      <w:spacing w:after="200"/>
      <w:ind w:firstLine="420"/>
      <w:jc w:val="left"/>
    </w:pPr>
    <w:rPr>
      <w:kern w:val="0"/>
      <w:sz w:val="18"/>
      <w:szCs w:val="18"/>
    </w:rPr>
  </w:style>
  <w:style w:type="paragraph" w:customStyle="1" w:styleId="84">
    <w:name w:val="_Style 2"/>
    <w:basedOn w:val="1"/>
    <w:qFormat/>
    <w:uiPriority w:val="34"/>
    <w:pPr>
      <w:ind w:firstLine="420" w:firstLineChars="200"/>
    </w:pPr>
    <w:rPr>
      <w:rFonts w:ascii="Calibri" w:hAnsi="Calibri"/>
      <w:szCs w:val="22"/>
    </w:rPr>
  </w:style>
  <w:style w:type="paragraph" w:customStyle="1" w:styleId="85">
    <w:name w:val="正文_0"/>
    <w:qFormat/>
    <w:uiPriority w:val="99"/>
    <w:pPr>
      <w:widowControl w:val="0"/>
      <w:jc w:val="both"/>
    </w:pPr>
    <w:rPr>
      <w:rFonts w:ascii="Times New Roman" w:hAnsi="Times New Roman" w:eastAsia="宋体" w:cs="Times New Roman"/>
      <w:lang w:val="en-US" w:eastAsia="zh-CN" w:bidi="ar-SA"/>
    </w:rPr>
  </w:style>
  <w:style w:type="paragraph" w:customStyle="1" w:styleId="86">
    <w:name w:val="文档正文"/>
    <w:basedOn w:val="1"/>
    <w:qFormat/>
    <w:uiPriority w:val="0"/>
    <w:pPr>
      <w:spacing w:line="360" w:lineRule="auto"/>
    </w:pPr>
    <w:rPr>
      <w:rFonts w:ascii="宋体" w:hAnsi="Calibri" w:cs="Arial"/>
      <w:bCs/>
    </w:rPr>
  </w:style>
  <w:style w:type="paragraph" w:customStyle="1" w:styleId="87">
    <w:name w:val="F正文"/>
    <w:basedOn w:val="1"/>
    <w:qFormat/>
    <w:uiPriority w:val="0"/>
    <w:pPr>
      <w:spacing w:before="60" w:after="60" w:line="360" w:lineRule="auto"/>
      <w:ind w:firstLine="480" w:firstLineChars="200"/>
      <w:jc w:val="left"/>
    </w:pPr>
    <w:rPr>
      <w:rFonts w:ascii="宋体" w:hAnsi="宋体" w:cs="Helvetica"/>
      <w:sz w:val="24"/>
      <w:shd w:val="clear" w:color="auto" w:fill="FFFFFF"/>
    </w:rPr>
  </w:style>
  <w:style w:type="paragraph" w:customStyle="1" w:styleId="88">
    <w:name w:val="纯文本_0"/>
    <w:basedOn w:val="85"/>
    <w:qFormat/>
    <w:uiPriority w:val="99"/>
    <w:rPr>
      <w:rFonts w:ascii="宋体" w:hAnsi="Courier New"/>
      <w:kern w:val="2"/>
      <w:sz w:val="21"/>
      <w:szCs w:val="24"/>
    </w:rPr>
  </w:style>
  <w:style w:type="paragraph" w:customStyle="1" w:styleId="89">
    <w:name w:val="p0"/>
    <w:basedOn w:val="1"/>
    <w:qFormat/>
    <w:uiPriority w:val="0"/>
    <w:pPr>
      <w:widowControl/>
    </w:pPr>
    <w:rPr>
      <w:rFonts w:ascii="宋体" w:hAnsi="宋体" w:cs="宋体"/>
      <w:kern w:val="0"/>
      <w:sz w:val="34"/>
      <w:szCs w:val="34"/>
    </w:rPr>
  </w:style>
  <w:style w:type="paragraph" w:customStyle="1" w:styleId="90">
    <w:name w:val="List Paragraph1"/>
    <w:basedOn w:val="1"/>
    <w:qFormat/>
    <w:uiPriority w:val="0"/>
    <w:pPr>
      <w:ind w:firstLine="420" w:firstLineChars="200"/>
    </w:pPr>
  </w:style>
  <w:style w:type="paragraph" w:customStyle="1" w:styleId="9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styleId="92">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93">
    <w:name w:val="列表段落1"/>
    <w:basedOn w:val="1"/>
    <w:qFormat/>
    <w:uiPriority w:val="0"/>
    <w:pPr>
      <w:widowControl/>
      <w:adjustRightInd w:val="0"/>
      <w:snapToGrid w:val="0"/>
      <w:spacing w:after="200"/>
      <w:ind w:firstLine="420" w:firstLineChars="200"/>
      <w:jc w:val="left"/>
    </w:pPr>
    <w:rPr>
      <w:rFonts w:ascii="Tahoma" w:hAnsi="Tahoma"/>
      <w:kern w:val="0"/>
      <w:sz w:val="22"/>
      <w:szCs w:val="22"/>
    </w:rPr>
  </w:style>
  <w:style w:type="paragraph" w:customStyle="1" w:styleId="94">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95">
    <w:name w:val="Table Paragraph"/>
    <w:basedOn w:val="1"/>
    <w:qFormat/>
    <w:uiPriority w:val="1"/>
    <w:pPr>
      <w:autoSpaceDE w:val="0"/>
      <w:autoSpaceDN w:val="0"/>
      <w:adjustRightInd w:val="0"/>
      <w:jc w:val="left"/>
    </w:pPr>
    <w:rPr>
      <w:rFonts w:ascii="宋体" w:hAnsi="Calibri" w:cs="宋体"/>
      <w:kern w:val="0"/>
      <w:sz w:val="24"/>
    </w:rPr>
  </w:style>
  <w:style w:type="paragraph" w:customStyle="1" w:styleId="96">
    <w:name w:val="p17"/>
    <w:basedOn w:val="1"/>
    <w:qFormat/>
    <w:uiPriority w:val="0"/>
    <w:pPr>
      <w:widowControl/>
      <w:snapToGrid w:val="0"/>
      <w:spacing w:line="312" w:lineRule="atLeast"/>
      <w:ind w:firstLine="420"/>
    </w:pPr>
    <w:rPr>
      <w:rFonts w:ascii="宋体" w:hAnsi="宋体" w:cs="宋体"/>
      <w:kern w:val="0"/>
      <w:sz w:val="32"/>
      <w:szCs w:val="32"/>
    </w:rPr>
  </w:style>
  <w:style w:type="paragraph" w:customStyle="1" w:styleId="97">
    <w:name w:val="p15"/>
    <w:basedOn w:val="1"/>
    <w:qFormat/>
    <w:uiPriority w:val="0"/>
    <w:pPr>
      <w:widowControl/>
    </w:pPr>
    <w:rPr>
      <w:rFonts w:ascii="宋体" w:hAnsi="宋体" w:cs="宋体"/>
      <w:kern w:val="0"/>
      <w:szCs w:val="21"/>
    </w:rPr>
  </w:style>
  <w:style w:type="paragraph" w:customStyle="1" w:styleId="98">
    <w:name w:val="正文1"/>
    <w:qFormat/>
    <w:uiPriority w:val="0"/>
    <w:pPr>
      <w:jc w:val="both"/>
    </w:pPr>
    <w:rPr>
      <w:rFonts w:ascii="Times New Roman" w:hAnsi="Times New Roman" w:eastAsia="宋体" w:cs="Times New Roman"/>
      <w:kern w:val="2"/>
      <w:sz w:val="21"/>
      <w:szCs w:val="22"/>
      <w:lang w:val="en-US" w:eastAsia="zh-CN" w:bidi="ar-SA"/>
    </w:rPr>
  </w:style>
  <w:style w:type="paragraph" w:customStyle="1" w:styleId="99">
    <w:name w:val="正文11"/>
    <w:qFormat/>
    <w:uiPriority w:val="0"/>
    <w:pPr>
      <w:jc w:val="both"/>
    </w:pPr>
    <w:rPr>
      <w:rFonts w:ascii="Times New Roman" w:hAnsi="Times New Roman" w:eastAsia="宋体" w:cs="Times New Roman"/>
      <w:kern w:val="2"/>
      <w:sz w:val="21"/>
      <w:szCs w:val="21"/>
      <w:lang w:val="en-US" w:eastAsia="zh-CN" w:bidi="ar-SA"/>
    </w:rPr>
  </w:style>
  <w:style w:type="paragraph" w:customStyle="1" w:styleId="10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1">
    <w:name w:val="p18"/>
    <w:basedOn w:val="1"/>
    <w:qFormat/>
    <w:uiPriority w:val="0"/>
    <w:pPr>
      <w:widowControl/>
    </w:pPr>
    <w:rPr>
      <w:rFonts w:ascii="宋体" w:hAnsi="Calibri" w:cs="宋体"/>
      <w:color w:val="000000"/>
      <w:kern w:val="0"/>
      <w:szCs w:val="21"/>
    </w:rPr>
  </w:style>
  <w:style w:type="paragraph" w:customStyle="1" w:styleId="102">
    <w:name w:val="正文_0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03">
    <w:name w:val="正文_0_0_0_0"/>
    <w:qFormat/>
    <w:uiPriority w:val="99"/>
    <w:pPr>
      <w:widowControl w:val="0"/>
      <w:spacing w:line="360" w:lineRule="auto"/>
      <w:jc w:val="both"/>
    </w:pPr>
    <w:rPr>
      <w:rFonts w:ascii="Calibri" w:hAnsi="Calibri" w:eastAsia="宋体" w:cs="Times New Roman"/>
      <w:kern w:val="2"/>
      <w:sz w:val="24"/>
      <w:szCs w:val="22"/>
      <w:lang w:val="en-US" w:eastAsia="zh-CN" w:bidi="ar-SA"/>
    </w:rPr>
  </w:style>
  <w:style w:type="paragraph" w:customStyle="1" w:styleId="104">
    <w:name w:val="_Style 103"/>
    <w:unhideWhenUsed/>
    <w:qFormat/>
    <w:uiPriority w:val="99"/>
    <w:rPr>
      <w:rFonts w:ascii="Times New Roman" w:hAnsi="Times New Roman" w:eastAsia="宋体" w:cs="Times New Roman"/>
      <w:kern w:val="2"/>
      <w:sz w:val="21"/>
      <w:szCs w:val="24"/>
      <w:lang w:val="en-US" w:eastAsia="zh-CN" w:bidi="ar-SA"/>
    </w:rPr>
  </w:style>
  <w:style w:type="paragraph" w:customStyle="1" w:styleId="105">
    <w:name w:val="_Style 3"/>
    <w:basedOn w:val="1"/>
    <w:next w:val="18"/>
    <w:qFormat/>
    <w:uiPriority w:val="0"/>
    <w:pPr>
      <w:autoSpaceDE w:val="0"/>
      <w:autoSpaceDN w:val="0"/>
      <w:adjustRightInd w:val="0"/>
      <w:spacing w:line="480" w:lineRule="exact"/>
      <w:ind w:firstLine="560"/>
      <w:jc w:val="left"/>
    </w:pPr>
    <w:rPr>
      <w:rFonts w:ascii="宋体" w:hAnsi="宋体"/>
      <w:color w:val="000000"/>
      <w:kern w:val="0"/>
      <w:sz w:val="28"/>
      <w:szCs w:val="20"/>
    </w:rPr>
  </w:style>
  <w:style w:type="paragraph" w:customStyle="1" w:styleId="106">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25</Pages>
  <Words>9241</Words>
  <Characters>12082</Characters>
  <Lines>60</Lines>
  <Paragraphs>17</Paragraphs>
  <TotalTime>0</TotalTime>
  <ScaleCrop>false</ScaleCrop>
  <LinksUpToDate>false</LinksUpToDate>
  <CharactersWithSpaces>12158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2023-04-17T02:52:00Z</dcterms:created>
  <dc:creator>NTKO</dc:creator>
  <cp:lastModifiedBy>代理机构</cp:lastModifiedBy>
  <cp:lastPrinted>2020-06-23T06:49:00Z</cp:lastPrinted>
  <dcterms:modified xsi:type="dcterms:W3CDTF">2024-06-20T00:26:39Z</dcterms:modified>
  <dc:title>s001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B019AEA31DD14D8B9DEE7E8E3686DB38_13</vt:lpwstr>
  </property>
</Properties>
</file>