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广东省东莞监狱饮用水采购项目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具有所供货物的法定生产或销售资质，且在同类物质供应中未发现重大质量事故；具有有效的食品生产许可证或食品经营许可证或食品药品经营许可证或食品经营备案证明（如国家另有规定的，则从其规定），提供对应的证明文件复印件(加盖公章）。</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lang w:val="en-US" w:eastAsia="zh-CN"/>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广东省东莞监狱饮用水采购项目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1批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 xml:space="preserve"> </w:t>
            </w:r>
            <w:r>
              <w:rPr>
                <w:rFonts w:hint="eastAsia" w:ascii="宋体" w:hAnsi="宋体" w:cs="宋体"/>
                <w:szCs w:val="21"/>
              </w:rPr>
              <w:t>供货期自合同签订之日起至2024年12月31日止，成交供应商须每半个月送货一次，每次供货时间为收到采购方通知后2小时内完成送货</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37333.33</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zh-CN"/>
          <w14:textFill>
            <w14:solidFill>
              <w14:schemeClr w14:val="tx1"/>
            </w14:solidFill>
          </w14:textFill>
        </w:rPr>
        <w:t>项目概述</w:t>
      </w:r>
      <w:r>
        <w:rPr>
          <w:rFonts w:hint="eastAsia" w:ascii="宋体" w:hAnsi="宋体" w:cs="宋体"/>
          <w:b/>
          <w:bCs/>
          <w:color w:val="000000" w:themeColor="text1"/>
          <w:szCs w:val="21"/>
          <w14:textFill>
            <w14:solidFill>
              <w14:schemeClr w14:val="tx1"/>
            </w14:solidFill>
          </w14:textFill>
        </w:rPr>
        <w:t>以及清单</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hint="eastAsia" w:ascii="宋体" w:hAnsi="宋体" w:cs="宋体"/>
          <w:szCs w:val="21"/>
        </w:rPr>
      </w:pPr>
      <w:r>
        <w:rPr>
          <w:rFonts w:hint="eastAsia" w:ascii="宋体" w:hAnsi="宋体" w:cs="宋体"/>
          <w:szCs w:val="21"/>
        </w:rPr>
        <w:t xml:space="preserve">（一）项目名称：广东省东莞监狱饮用水采购项目         </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hint="eastAsia" w:ascii="宋体" w:hAnsi="宋体" w:cs="宋体"/>
          <w:szCs w:val="21"/>
        </w:rPr>
      </w:pPr>
      <w:r>
        <w:rPr>
          <w:rFonts w:hint="eastAsia" w:ascii="宋体" w:hAnsi="宋体" w:cs="宋体"/>
          <w:szCs w:val="21"/>
        </w:rPr>
        <w:t>（二）最高限价：¥ 37333.33 元（大写人民币</w:t>
      </w:r>
      <w:r>
        <w:rPr>
          <w:rFonts w:hint="eastAsia" w:ascii="宋体" w:hAnsi="宋体" w:cs="宋体"/>
          <w:szCs w:val="21"/>
          <w:lang w:eastAsia="zh-CN"/>
        </w:rPr>
        <w:t>：</w:t>
      </w:r>
      <w:r>
        <w:rPr>
          <w:rFonts w:hint="eastAsia" w:ascii="宋体" w:hAnsi="宋体" w:cs="宋体"/>
          <w:szCs w:val="21"/>
        </w:rPr>
        <w:t>叁万柒仟叁佰叁拾叁元叁角叁分，包含商品价格、运输、装卸、售后服务、搬运费、税费等一切费用）</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hint="eastAsia" w:ascii="宋体" w:hAnsi="宋体" w:cs="宋体"/>
          <w:szCs w:val="21"/>
        </w:rPr>
      </w:pPr>
      <w:r>
        <w:rPr>
          <w:rFonts w:hint="eastAsia" w:ascii="宋体" w:hAnsi="宋体" w:cs="宋体"/>
          <w:szCs w:val="21"/>
        </w:rPr>
        <w:t>（三）供货期及供货地点：供货期自合同签订之日起至2024年12月31日止，成交供应商须每半个月送货一次，每次供货时间为收到采购方通知后2小时内完成送货；供货地点：广东省东莞监狱。</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四</w:t>
      </w:r>
      <w:r>
        <w:rPr>
          <w:rFonts w:hint="eastAsia" w:ascii="宋体" w:hAnsi="宋体" w:cs="宋体"/>
          <w:szCs w:val="21"/>
          <w:lang w:eastAsia="zh-CN"/>
        </w:rPr>
        <w:t>）</w:t>
      </w:r>
      <w:r>
        <w:rPr>
          <w:rFonts w:hint="eastAsia" w:ascii="宋体" w:hAnsi="宋体" w:cs="宋体"/>
          <w:szCs w:val="21"/>
        </w:rPr>
        <w:t>成交供应商必须承诺，完全满足采购过程发出所有文件的要求，必须具备履行本项目的能力。如在实施过程中，采购人发现有不符合要求的地方，采购人有权终止合同，一切费用由成交供应商承担，履约保证金不予退还。</w:t>
      </w:r>
    </w:p>
    <w:p>
      <w:pPr>
        <w:pStyle w:val="4"/>
        <w:keepNext w:val="0"/>
        <w:keepLines w:val="0"/>
        <w:pageBreakBefore w:val="0"/>
        <w:widowControl w:val="0"/>
        <w:kinsoku/>
        <w:wordWrap/>
        <w:overflowPunct/>
        <w:topLinePunct w:val="0"/>
        <w:bidi w:val="0"/>
        <w:spacing w:line="360" w:lineRule="auto"/>
        <w:ind w:firstLine="0" w:firstLineChars="0"/>
        <w:textAlignment w:val="auto"/>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五</w:t>
      </w:r>
      <w:r>
        <w:rPr>
          <w:rFonts w:hint="eastAsia" w:ascii="宋体" w:hAnsi="宋体" w:cs="宋体"/>
          <w:szCs w:val="21"/>
          <w:lang w:eastAsia="zh-CN"/>
        </w:rPr>
        <w:t>）</w:t>
      </w:r>
      <w:r>
        <w:rPr>
          <w:rFonts w:hint="eastAsia" w:ascii="宋体" w:hAnsi="宋体" w:cs="宋体"/>
          <w:szCs w:val="21"/>
        </w:rPr>
        <w:t>采购瓶装饮用水一批，每半个月送货一次，采购货物规格、数量如下：</w:t>
      </w:r>
    </w:p>
    <w:tbl>
      <w:tblPr>
        <w:tblStyle w:val="14"/>
        <w:tblW w:w="88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3"/>
        <w:gridCol w:w="2394"/>
        <w:gridCol w:w="1703"/>
        <w:gridCol w:w="960"/>
        <w:gridCol w:w="157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2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商品名称</w:t>
            </w:r>
          </w:p>
        </w:tc>
        <w:tc>
          <w:tcPr>
            <w:tcW w:w="17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1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1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2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饮用水</w:t>
            </w:r>
          </w:p>
        </w:tc>
        <w:tc>
          <w:tcPr>
            <w:tcW w:w="17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农夫山泉 550ml/瓶，24瓶/箱</w:t>
            </w:r>
          </w:p>
        </w:tc>
        <w:tc>
          <w:tcPr>
            <w:tcW w:w="9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1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1280</w:t>
            </w:r>
          </w:p>
        </w:tc>
        <w:tc>
          <w:tcPr>
            <w:tcW w:w="1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30720瓶</w:t>
            </w:r>
          </w:p>
        </w:tc>
      </w:tr>
    </w:tbl>
    <w:p>
      <w:pPr>
        <w:pStyle w:val="4"/>
        <w:keepNext w:val="0"/>
        <w:keepLines w:val="0"/>
        <w:pageBreakBefore w:val="0"/>
        <w:widowControl w:val="0"/>
        <w:kinsoku/>
        <w:wordWrap/>
        <w:overflowPunct/>
        <w:topLinePunct w:val="0"/>
        <w:bidi w:val="0"/>
        <w:spacing w:line="360" w:lineRule="auto"/>
        <w:ind w:firstLine="0" w:firstLineChars="0"/>
        <w:textAlignment w:val="auto"/>
        <w:rPr>
          <w:rFonts w:hint="eastAsia" w:ascii="宋体" w:hAnsi="宋体" w:cs="宋体"/>
          <w:szCs w:val="21"/>
        </w:rPr>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sz w:val="21"/>
          <w:szCs w:val="21"/>
        </w:rPr>
      </w:pPr>
      <w:r>
        <w:rPr>
          <w:rFonts w:hint="eastAsia" w:ascii="宋体" w:hAnsi="宋体" w:eastAsia="宋体" w:cs="宋体"/>
          <w:b/>
          <w:sz w:val="21"/>
          <w:szCs w:val="21"/>
          <w:lang w:val="en-US" w:eastAsia="zh-CN"/>
        </w:rPr>
        <w:t>商务</w:t>
      </w:r>
      <w:r>
        <w:rPr>
          <w:rFonts w:hint="eastAsia" w:ascii="宋体" w:hAnsi="宋体" w:eastAsia="宋体" w:cs="宋体"/>
          <w:b/>
          <w:sz w:val="21"/>
          <w:szCs w:val="21"/>
        </w:rPr>
        <w:t>要求</w:t>
      </w:r>
    </w:p>
    <w:p>
      <w:pPr>
        <w:keepNext w:val="0"/>
        <w:keepLines w:val="0"/>
        <w:pageBreakBefore w:val="0"/>
        <w:widowControl/>
        <w:numPr>
          <w:ilvl w:val="0"/>
          <w:numId w:val="15"/>
        </w:numPr>
        <w:suppressLineNumbers w:val="0"/>
        <w:kinsoku/>
        <w:wordWrap/>
        <w:overflowPunct/>
        <w:topLinePunct w:val="0"/>
        <w:autoSpaceDE/>
        <w:autoSpaceDN/>
        <w:bidi w:val="0"/>
        <w:adjustRightInd w:val="0"/>
        <w:snapToGrid w:val="0"/>
        <w:spacing w:line="400" w:lineRule="atLeast"/>
        <w:ind w:firstLine="422"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b/>
          <w:sz w:val="21"/>
          <w:szCs w:val="21"/>
        </w:rPr>
        <w:t>质量要求：</w:t>
      </w:r>
    </w:p>
    <w:p>
      <w:pPr>
        <w:keepNext w:val="0"/>
        <w:keepLines w:val="0"/>
        <w:pageBreakBefore w:val="0"/>
        <w:widowControl/>
        <w:numPr>
          <w:ilvl w:val="0"/>
          <w:numId w:val="16"/>
        </w:numPr>
        <w:suppressLineNumbers w:val="0"/>
        <w:kinsoku/>
        <w:wordWrap/>
        <w:overflowPunct/>
        <w:topLinePunct w:val="0"/>
        <w:autoSpaceDE/>
        <w:autoSpaceDN/>
        <w:bidi w:val="0"/>
        <w:adjustRightInd w:val="0"/>
        <w:snapToGrid w:val="0"/>
        <w:spacing w:line="400" w:lineRule="atLeast"/>
        <w:ind w:left="1475" w:leftChars="0" w:hanging="425"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成交供应商必须提供</w:t>
      </w:r>
      <w:r>
        <w:rPr>
          <w:rFonts w:hint="eastAsia" w:ascii="宋体" w:hAnsi="宋体" w:eastAsia="宋体" w:cs="宋体"/>
          <w:sz w:val="21"/>
          <w:szCs w:val="21"/>
        </w:rPr>
        <w:t>正规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合格的约定品牌饮用水，</w:t>
      </w:r>
      <w:r>
        <w:rPr>
          <w:rFonts w:hint="eastAsia" w:ascii="宋体" w:hAnsi="宋体" w:eastAsia="宋体" w:cs="宋体"/>
          <w:sz w:val="21"/>
          <w:szCs w:val="21"/>
        </w:rPr>
        <w:t>产品质量达到国家标准；货物</w:t>
      </w:r>
      <w:r>
        <w:rPr>
          <w:rFonts w:hint="eastAsia" w:ascii="宋体" w:hAnsi="宋体" w:eastAsia="宋体" w:cs="宋体"/>
          <w:sz w:val="21"/>
          <w:szCs w:val="21"/>
          <w:lang w:eastAsia="zh-CN"/>
        </w:rPr>
        <w:t>品</w:t>
      </w:r>
      <w:r>
        <w:rPr>
          <w:rFonts w:hint="eastAsia" w:ascii="宋体" w:hAnsi="宋体" w:eastAsia="宋体" w:cs="宋体"/>
          <w:sz w:val="21"/>
          <w:szCs w:val="21"/>
        </w:rPr>
        <w:t>牌标识内容清晰、</w:t>
      </w:r>
      <w:r>
        <w:rPr>
          <w:rFonts w:hint="eastAsia" w:ascii="宋体" w:hAnsi="宋体" w:eastAsia="宋体" w:cs="宋体"/>
          <w:sz w:val="21"/>
          <w:szCs w:val="21"/>
          <w:lang w:val="en-US" w:eastAsia="zh-CN"/>
        </w:rPr>
        <w:t>标注明确的生产日期，配送到采购人单位的饮用水剩余保质期不少于保质期的三分之二。</w:t>
      </w:r>
    </w:p>
    <w:p>
      <w:pPr>
        <w:keepNext w:val="0"/>
        <w:keepLines w:val="0"/>
        <w:pageBreakBefore w:val="0"/>
        <w:widowControl/>
        <w:numPr>
          <w:ilvl w:val="0"/>
          <w:numId w:val="16"/>
        </w:numPr>
        <w:suppressLineNumbers w:val="0"/>
        <w:kinsoku/>
        <w:wordWrap/>
        <w:overflowPunct/>
        <w:topLinePunct w:val="0"/>
        <w:autoSpaceDE/>
        <w:autoSpaceDN/>
        <w:bidi w:val="0"/>
        <w:adjustRightInd w:val="0"/>
        <w:snapToGrid w:val="0"/>
        <w:spacing w:line="400" w:lineRule="atLeast"/>
        <w:ind w:left="1475" w:leftChars="0" w:hanging="425"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供应商供货时需提供合法、正规供货渠道的证明文件</w:t>
      </w:r>
      <w:r>
        <w:rPr>
          <w:rFonts w:hint="eastAsia" w:ascii="宋体" w:hAnsi="宋体" w:cs="宋体"/>
          <w:sz w:val="21"/>
          <w:szCs w:val="21"/>
          <w:lang w:val="en-US" w:eastAsia="zh-CN"/>
        </w:rPr>
        <w:t>。</w:t>
      </w:r>
    </w:p>
    <w:p>
      <w:pPr>
        <w:keepNext w:val="0"/>
        <w:keepLines w:val="0"/>
        <w:pageBreakBefore w:val="0"/>
        <w:widowControl/>
        <w:numPr>
          <w:ilvl w:val="0"/>
          <w:numId w:val="15"/>
        </w:numPr>
        <w:suppressLineNumbers w:val="0"/>
        <w:kinsoku/>
        <w:wordWrap/>
        <w:overflowPunct/>
        <w:topLinePunct w:val="0"/>
        <w:autoSpaceDE/>
        <w:autoSpaceDN/>
        <w:bidi w:val="0"/>
        <w:adjustRightInd w:val="0"/>
        <w:snapToGrid w:val="0"/>
        <w:spacing w:line="400" w:lineRule="atLeast"/>
        <w:ind w:left="0" w:leftChars="0" w:firstLine="422"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包装</w:t>
      </w:r>
      <w:r>
        <w:rPr>
          <w:rFonts w:hint="eastAsia" w:ascii="宋体" w:hAnsi="宋体" w:cs="宋体"/>
          <w:b/>
          <w:bCs/>
          <w:sz w:val="21"/>
          <w:szCs w:val="21"/>
          <w:lang w:val="en-US" w:eastAsia="zh-CN"/>
        </w:rPr>
        <w:t>：</w:t>
      </w:r>
      <w:r>
        <w:rPr>
          <w:rFonts w:hint="eastAsia" w:ascii="宋体" w:hAnsi="宋体" w:eastAsia="宋体" w:cs="宋体"/>
          <w:sz w:val="21"/>
          <w:szCs w:val="21"/>
          <w:lang w:val="en-US" w:eastAsia="zh-CN"/>
        </w:rPr>
        <w:t>全部产品均应有良好的防湿、防锈、防潮、防雨、防腐及防碰撞的措施。凡由于包装不良造成的损失和由此产生的费用均由供应商承担。</w:t>
      </w:r>
    </w:p>
    <w:p>
      <w:pPr>
        <w:keepNext w:val="0"/>
        <w:keepLines w:val="0"/>
        <w:pageBreakBefore w:val="0"/>
        <w:widowControl/>
        <w:numPr>
          <w:ilvl w:val="0"/>
          <w:numId w:val="15"/>
        </w:numPr>
        <w:suppressLineNumbers w:val="0"/>
        <w:kinsoku/>
        <w:wordWrap/>
        <w:overflowPunct/>
        <w:topLinePunct w:val="0"/>
        <w:autoSpaceDE/>
        <w:autoSpaceDN/>
        <w:bidi w:val="0"/>
        <w:adjustRightInd w:val="0"/>
        <w:snapToGrid w:val="0"/>
        <w:spacing w:line="400" w:lineRule="atLeast"/>
        <w:ind w:left="0" w:leftChars="0"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成交供应商负责将货物送到现场过程中的全部运输，包括装卸、货物现场的搬运。</w:t>
      </w:r>
    </w:p>
    <w:p>
      <w:pPr>
        <w:keepNext w:val="0"/>
        <w:keepLines w:val="0"/>
        <w:pageBreakBefore w:val="0"/>
        <w:widowControl/>
        <w:numPr>
          <w:ilvl w:val="0"/>
          <w:numId w:val="15"/>
        </w:numPr>
        <w:suppressLineNumbers w:val="0"/>
        <w:kinsoku/>
        <w:wordWrap/>
        <w:overflowPunct/>
        <w:topLinePunct w:val="0"/>
        <w:autoSpaceDE/>
        <w:autoSpaceDN/>
        <w:bidi w:val="0"/>
        <w:adjustRightInd w:val="0"/>
        <w:snapToGrid w:val="0"/>
        <w:spacing w:line="400" w:lineRule="atLeast"/>
        <w:ind w:left="0" w:leftChars="0"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如果成交供应商提供的饮用水出现质量问题，则必须马上停止供应，一经查实确为水质量问题，采购人有权终止合同，并保留依法追究其法律责任的权利，如因商品质量所造成的损失全部由成交供应商承担。</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监狱管理要求：</w:t>
      </w:r>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成交供应商</w:t>
      </w:r>
      <w:r>
        <w:rPr>
          <w:rFonts w:hint="eastAsia" w:ascii="宋体" w:hAnsi="宋体" w:eastAsia="宋体" w:cs="宋体"/>
          <w:sz w:val="21"/>
          <w:szCs w:val="21"/>
        </w:rPr>
        <w:t>及送货人员必须严格遵守监狱保密及相关管理规定，不得有监狱内建筑、场地、事项等进行拍照、录视频等行为，如发现供应商有违反监狱管理，</w:t>
      </w:r>
      <w:r>
        <w:rPr>
          <w:rFonts w:hint="eastAsia" w:ascii="宋体" w:hAnsi="宋体" w:eastAsia="宋体" w:cs="宋体"/>
          <w:sz w:val="21"/>
          <w:szCs w:val="21"/>
          <w:highlight w:val="none"/>
          <w:u w:val="single"/>
        </w:rPr>
        <w:t>采购人有权</w:t>
      </w:r>
      <w:r>
        <w:rPr>
          <w:rFonts w:hint="eastAsia" w:ascii="宋体" w:hAnsi="宋体" w:eastAsia="宋体" w:cs="宋体"/>
          <w:sz w:val="21"/>
          <w:szCs w:val="21"/>
          <w:highlight w:val="none"/>
          <w:u w:val="single"/>
          <w:lang w:val="en-US" w:eastAsia="zh-CN"/>
        </w:rPr>
        <w:t>终止</w:t>
      </w:r>
      <w:r>
        <w:rPr>
          <w:rFonts w:hint="eastAsia" w:ascii="宋体" w:hAnsi="宋体" w:eastAsia="宋体" w:cs="宋体"/>
          <w:sz w:val="21"/>
          <w:szCs w:val="21"/>
          <w:highlight w:val="none"/>
          <w:u w:val="single"/>
          <w:lang w:eastAsia="zh-CN"/>
        </w:rPr>
        <w:t>合同，</w:t>
      </w:r>
      <w:r>
        <w:rPr>
          <w:rFonts w:hint="eastAsia" w:ascii="宋体" w:hAnsi="宋体" w:eastAsia="宋体" w:cs="宋体"/>
          <w:sz w:val="21"/>
          <w:szCs w:val="21"/>
          <w:highlight w:val="none"/>
          <w:u w:val="single"/>
        </w:rPr>
        <w:t>重新选定</w:t>
      </w:r>
      <w:r>
        <w:rPr>
          <w:rFonts w:hint="eastAsia" w:ascii="宋体" w:hAnsi="宋体" w:eastAsia="宋体" w:cs="宋体"/>
          <w:sz w:val="21"/>
          <w:szCs w:val="21"/>
          <w:highlight w:val="none"/>
          <w:u w:val="single"/>
          <w:lang w:eastAsia="zh-CN"/>
        </w:rPr>
        <w:t>成交供应商</w:t>
      </w:r>
      <w:r>
        <w:rPr>
          <w:rFonts w:hint="eastAsia" w:ascii="宋体" w:hAnsi="宋体" w:eastAsia="宋体" w:cs="宋体"/>
          <w:sz w:val="21"/>
          <w:szCs w:val="21"/>
          <w:highlight w:val="none"/>
          <w:u w:val="single"/>
        </w:rPr>
        <w:t>，并追究供应商责任。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供应商违约责任</w:t>
      </w:r>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成交供应商必须根据采购人供货期要求，科学合理拟定送货、计划，确保按时供货完成验收（出现不可抗力因素情形时，经双方共同认可，供货期可以顺延）。</w:t>
      </w:r>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供货期内未能完成的，每超出供货期1小时，采购人有权扣除成交供应商合同金额的1%，最高不超过合同金额的5%。规定供货期到期后，根据项目情况，若因为成交供应商主观因素，采购人认为成交供应商不能达到本项目要求的，采购人有权解除合同，并就采购人所发生的损失，追究成交供应商责任。</w:t>
      </w:r>
    </w:p>
    <w:p>
      <w:pPr>
        <w:keepNext w:val="0"/>
        <w:keepLines w:val="0"/>
        <w:pageBreakBefore w:val="0"/>
        <w:widowControl w:val="0"/>
        <w:numPr>
          <w:ilvl w:val="0"/>
          <w:numId w:val="14"/>
        </w:numPr>
        <w:tabs>
          <w:tab w:val="left" w:pos="420"/>
          <w:tab w:val="left" w:pos="540"/>
        </w:tabs>
        <w:kinsoku/>
        <w:wordWrap/>
        <w:overflowPunct/>
        <w:topLinePunct w:val="0"/>
        <w:autoSpaceDE/>
        <w:autoSpaceDN/>
        <w:bidi w:val="0"/>
        <w:adjustRightInd/>
        <w:snapToGrid/>
        <w:spacing w:line="360" w:lineRule="auto"/>
        <w:ind w:left="0" w:leftChars="0" w:firstLine="0" w:firstLineChars="0"/>
        <w:textAlignment w:val="auto"/>
        <w:outlineLvl w:val="1"/>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履约保证金条款</w:t>
      </w:r>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（一）</w:t>
      </w:r>
      <w:r>
        <w:rPr>
          <w:rFonts w:hint="eastAsia" w:ascii="宋体" w:hAnsi="宋体" w:eastAsia="宋体" w:cs="宋体"/>
          <w:sz w:val="21"/>
          <w:szCs w:val="21"/>
          <w:lang w:val="en-US" w:eastAsia="zh-CN"/>
        </w:rPr>
        <w:t>合同签订前，成交供应商需缴纳</w:t>
      </w:r>
      <w:r>
        <w:rPr>
          <w:rFonts w:hint="eastAsia" w:ascii="宋体" w:hAnsi="宋体" w:cs="宋体"/>
          <w:sz w:val="21"/>
          <w:szCs w:val="21"/>
          <w:lang w:val="en-US" w:eastAsia="zh-CN"/>
        </w:rPr>
        <w:t>成交</w:t>
      </w:r>
      <w:r>
        <w:rPr>
          <w:rFonts w:hint="eastAsia" w:ascii="宋体" w:hAnsi="宋体" w:eastAsia="宋体" w:cs="宋体"/>
          <w:sz w:val="21"/>
          <w:szCs w:val="21"/>
          <w:lang w:val="en-US" w:eastAsia="zh-CN"/>
        </w:rPr>
        <w:t>价的5%作为履约保证金。</w:t>
      </w:r>
    </w:p>
    <w:p>
      <w:pPr>
        <w:numPr>
          <w:ilvl w:val="0"/>
          <w:numId w:val="0"/>
        </w:numPr>
        <w:spacing w:line="360" w:lineRule="auto"/>
        <w:ind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成交供应商须在监狱确定成交供应商之日起十五日内签订合同。履约保证金以银行转账形式提交。如成交供应商不按时签订合同或弃标的，履约保证金不予退回（不可抗力原因除外）。</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（二）</w:t>
      </w:r>
      <w:r>
        <w:rPr>
          <w:rFonts w:hint="eastAsia" w:ascii="宋体" w:hAnsi="宋体" w:eastAsia="宋体" w:cs="宋体"/>
          <w:sz w:val="21"/>
          <w:szCs w:val="21"/>
          <w:lang w:val="en-US" w:eastAsia="zh-CN"/>
        </w:rPr>
        <w:t>采购人有权根据供应商的违约责任所造成的损失，从履约保证金中扣除相关费用。如履约保证金不能抵扣费用的，成交供应商应全额赔偿采购方损失。</w:t>
      </w:r>
    </w:p>
    <w:p>
      <w:pPr>
        <w:numPr>
          <w:ilvl w:val="0"/>
          <w:numId w:val="0"/>
        </w:numPr>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考核扣罚标准：</w:t>
      </w:r>
    </w:p>
    <w:p>
      <w:pPr>
        <w:numPr>
          <w:ilvl w:val="0"/>
          <w:numId w:val="0"/>
        </w:num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w:t>
      </w:r>
      <w:r>
        <w:rPr>
          <w:rFonts w:hint="eastAsia" w:ascii="宋体" w:hAnsi="宋体" w:eastAsia="宋体" w:cs="宋体"/>
          <w:b/>
          <w:bCs/>
          <w:sz w:val="21"/>
          <w:szCs w:val="21"/>
          <w:highlight w:val="none"/>
        </w:rPr>
        <w:t>除</w:t>
      </w:r>
      <w:r>
        <w:rPr>
          <w:rFonts w:hint="eastAsia" w:ascii="宋体" w:hAnsi="宋体" w:eastAsia="宋体" w:cs="宋体"/>
          <w:b/>
          <w:bCs/>
          <w:sz w:val="21"/>
          <w:szCs w:val="21"/>
          <w:highlight w:val="none"/>
          <w:lang w:val="en-US" w:eastAsia="zh-CN"/>
        </w:rPr>
        <w:t>20</w:t>
      </w:r>
      <w:r>
        <w:rPr>
          <w:rFonts w:hint="eastAsia" w:ascii="宋体" w:hAnsi="宋体" w:eastAsia="宋体" w:cs="宋体"/>
          <w:b/>
          <w:bCs/>
          <w:sz w:val="21"/>
          <w:szCs w:val="21"/>
          <w:highlight w:val="none"/>
        </w:rPr>
        <w:t>%</w:t>
      </w:r>
      <w:r>
        <w:rPr>
          <w:rFonts w:hint="eastAsia" w:ascii="宋体" w:hAnsi="宋体" w:eastAsia="宋体" w:cs="宋体"/>
          <w:b/>
          <w:bCs/>
          <w:sz w:val="21"/>
          <w:szCs w:val="21"/>
        </w:rPr>
        <w:t>履约保证金：</w:t>
      </w:r>
    </w:p>
    <w:p>
      <w:pPr>
        <w:numPr>
          <w:ilvl w:val="0"/>
          <w:numId w:val="17"/>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未按要求随货提供相关票证；</w:t>
      </w:r>
    </w:p>
    <w:p>
      <w:pPr>
        <w:numPr>
          <w:ilvl w:val="0"/>
          <w:numId w:val="17"/>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一个货物品种质量验收不合格，</w:t>
      </w:r>
      <w:r>
        <w:rPr>
          <w:rFonts w:hint="eastAsia" w:ascii="宋体" w:hAnsi="宋体" w:eastAsia="宋体" w:cs="宋体"/>
          <w:sz w:val="21"/>
          <w:szCs w:val="21"/>
          <w:highlight w:val="none"/>
          <w:lang w:val="en-US" w:eastAsia="zh-CN"/>
        </w:rPr>
        <w:t>退货数量达到</w:t>
      </w:r>
      <w:r>
        <w:rPr>
          <w:rFonts w:hint="eastAsia" w:ascii="宋体" w:hAnsi="宋体" w:eastAsia="宋体" w:cs="宋体"/>
          <w:sz w:val="21"/>
          <w:szCs w:val="21"/>
          <w:highlight w:val="none"/>
        </w:rPr>
        <w:t>未超过50%（不含本数）的</w:t>
      </w:r>
      <w:r>
        <w:rPr>
          <w:rFonts w:hint="eastAsia" w:ascii="宋体" w:hAnsi="宋体" w:eastAsia="宋体" w:cs="宋体"/>
          <w:sz w:val="21"/>
          <w:szCs w:val="21"/>
        </w:rPr>
        <w:t>；</w:t>
      </w:r>
    </w:p>
    <w:p>
      <w:pPr>
        <w:numPr>
          <w:ilvl w:val="0"/>
          <w:numId w:val="17"/>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未按监狱采购计划的时间供货（提前</w:t>
      </w:r>
      <w:r>
        <w:rPr>
          <w:rFonts w:hint="eastAsia" w:ascii="宋体" w:hAnsi="宋体" w:eastAsia="宋体" w:cs="宋体"/>
          <w:sz w:val="21"/>
          <w:szCs w:val="21"/>
          <w:lang w:val="en-US" w:eastAsia="zh-CN"/>
        </w:rPr>
        <w:t>三</w:t>
      </w:r>
      <w:r>
        <w:rPr>
          <w:rFonts w:hint="eastAsia" w:ascii="宋体" w:hAnsi="宋体" w:eastAsia="宋体" w:cs="宋体"/>
          <w:sz w:val="21"/>
          <w:szCs w:val="21"/>
        </w:rPr>
        <w:t>天与监狱协商，且未影响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的除外）；</w:t>
      </w:r>
    </w:p>
    <w:p>
      <w:pPr>
        <w:numPr>
          <w:ilvl w:val="0"/>
          <w:numId w:val="17"/>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供货数量仅为监狱采购计划数量的80%-90%（不含本数），且未影响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；（供应数大于计划数的，可退回给供应商或验收合格后入库，不扣除履约保证金）</w:t>
      </w:r>
    </w:p>
    <w:p>
      <w:pPr>
        <w:numPr>
          <w:ilvl w:val="0"/>
          <w:numId w:val="17"/>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未按监狱指定秩序卸货；</w:t>
      </w:r>
    </w:p>
    <w:p>
      <w:pPr>
        <w:numPr>
          <w:ilvl w:val="0"/>
          <w:numId w:val="17"/>
        </w:numPr>
        <w:spacing w:line="360" w:lineRule="auto"/>
        <w:ind w:left="0" w:leftChars="0" w:firstLine="400" w:firstLineChars="0"/>
        <w:rPr>
          <w:rFonts w:hint="eastAsia" w:ascii="宋体" w:hAnsi="宋体" w:eastAsia="宋体" w:cs="宋体"/>
          <w:sz w:val="21"/>
          <w:szCs w:val="21"/>
          <w:lang w:eastAsia="zh-CN"/>
        </w:rPr>
      </w:pPr>
      <w:r>
        <w:rPr>
          <w:rFonts w:hint="eastAsia" w:ascii="宋体" w:hAnsi="宋体" w:eastAsia="宋体" w:cs="宋体"/>
          <w:sz w:val="21"/>
          <w:szCs w:val="21"/>
        </w:rPr>
        <w:t>货物出现质量问题，供应商不积极配合查找原因，不及时反馈处理结果</w:t>
      </w:r>
      <w:r>
        <w:rPr>
          <w:rFonts w:hint="eastAsia" w:ascii="宋体" w:hAnsi="宋体" w:eastAsia="宋体" w:cs="宋体"/>
          <w:sz w:val="21"/>
          <w:szCs w:val="21"/>
          <w:lang w:eastAsia="zh-CN"/>
        </w:rPr>
        <w:t>。</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w:t>
      </w:r>
      <w:r>
        <w:rPr>
          <w:rFonts w:hint="eastAsia" w:ascii="宋体" w:hAnsi="宋体" w:eastAsia="宋体" w:cs="宋体"/>
          <w:b/>
          <w:bCs/>
          <w:sz w:val="21"/>
          <w:szCs w:val="21"/>
          <w:highlight w:val="none"/>
        </w:rPr>
        <w:t>除</w:t>
      </w:r>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rPr>
        <w:t>0%</w:t>
      </w:r>
      <w:r>
        <w:rPr>
          <w:rFonts w:hint="eastAsia" w:ascii="宋体" w:hAnsi="宋体" w:eastAsia="宋体" w:cs="宋体"/>
          <w:b/>
          <w:bCs/>
          <w:sz w:val="21"/>
          <w:szCs w:val="21"/>
        </w:rPr>
        <w:t>履约保证金：</w:t>
      </w:r>
      <w:r>
        <w:rPr>
          <w:rFonts w:hint="eastAsia" w:ascii="宋体" w:hAnsi="宋体" w:eastAsia="宋体" w:cs="宋体"/>
          <w:b/>
          <w:bCs/>
          <w:sz w:val="21"/>
          <w:szCs w:val="21"/>
          <w:lang w:eastAsia="zh-CN"/>
        </w:rPr>
        <w:t>并有权解除合同</w:t>
      </w:r>
      <w:r>
        <w:rPr>
          <w:rFonts w:hint="eastAsia" w:ascii="宋体" w:hAnsi="宋体" w:eastAsia="宋体" w:cs="宋体"/>
          <w:b/>
          <w:bCs/>
          <w:sz w:val="21"/>
          <w:szCs w:val="21"/>
        </w:rPr>
        <w:t>：</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供应货物品种、品牌、规格或质量等级与合同不符；</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一个货物品种质量验收不合格，退货数量超过50%（含本数）的；</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提供虚假检验报告等相关票证；</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因退货或未按监狱采购计划数量、时间供应，造成</w:t>
      </w:r>
      <w:r>
        <w:rPr>
          <w:rFonts w:hint="eastAsia" w:ascii="宋体" w:hAnsi="宋体" w:eastAsia="宋体" w:cs="宋体"/>
          <w:sz w:val="21"/>
          <w:szCs w:val="21"/>
          <w:lang w:val="en-US" w:eastAsia="zh-CN"/>
        </w:rPr>
        <w:t>监狱工作</w:t>
      </w:r>
      <w:r>
        <w:rPr>
          <w:rFonts w:hint="eastAsia" w:ascii="宋体" w:hAnsi="宋体" w:eastAsia="宋体" w:cs="宋体"/>
          <w:sz w:val="21"/>
          <w:szCs w:val="21"/>
        </w:rPr>
        <w:t>无法按时</w:t>
      </w:r>
      <w:r>
        <w:rPr>
          <w:rFonts w:hint="eastAsia" w:ascii="宋体" w:hAnsi="宋体" w:eastAsia="宋体" w:cs="宋体"/>
          <w:sz w:val="21"/>
          <w:szCs w:val="21"/>
          <w:lang w:val="en-US" w:eastAsia="zh-CN"/>
        </w:rPr>
        <w:t>开展</w:t>
      </w:r>
      <w:r>
        <w:rPr>
          <w:rFonts w:hint="eastAsia" w:ascii="宋体" w:hAnsi="宋体" w:eastAsia="宋体" w:cs="宋体"/>
          <w:sz w:val="21"/>
          <w:szCs w:val="21"/>
        </w:rPr>
        <w:t>；</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供货数量低于监狱采购计划数量的80%（含本数）；</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同一品种货物连续两次验收发现质量不合格产品并退货；</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把监狱验收不合格退货的货物重新配送给监狱；</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在包装、运输、装卸等环节不符合</w:t>
      </w:r>
      <w:r>
        <w:rPr>
          <w:rFonts w:hint="eastAsia" w:ascii="宋体" w:hAnsi="宋体" w:eastAsia="宋体" w:cs="宋体"/>
          <w:sz w:val="21"/>
          <w:szCs w:val="21"/>
          <w:lang w:val="en-US" w:eastAsia="zh-CN"/>
        </w:rPr>
        <w:t>产品</w:t>
      </w:r>
      <w:r>
        <w:rPr>
          <w:rFonts w:hint="eastAsia" w:ascii="宋体" w:hAnsi="宋体" w:eastAsia="宋体" w:cs="宋体"/>
          <w:sz w:val="21"/>
          <w:szCs w:val="21"/>
        </w:rPr>
        <w:t>安全要求；</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组织机构发生调整，或经营场所、联系人、联系方式变更，未及时通知监狱业务部门，造成无法及时联系；</w:t>
      </w:r>
    </w:p>
    <w:p>
      <w:pPr>
        <w:numPr>
          <w:ilvl w:val="0"/>
          <w:numId w:val="18"/>
        </w:numPr>
        <w:spacing w:line="360" w:lineRule="auto"/>
        <w:ind w:left="0" w:leftChars="0" w:firstLine="400" w:firstLineChars="0"/>
        <w:rPr>
          <w:rFonts w:hint="eastAsia" w:ascii="宋体" w:hAnsi="宋体" w:eastAsia="宋体" w:cs="宋体"/>
          <w:sz w:val="21"/>
          <w:szCs w:val="21"/>
          <w:highlight w:val="none"/>
          <w:lang w:eastAsia="zh-CN"/>
        </w:rPr>
      </w:pPr>
      <w:r>
        <w:rPr>
          <w:rFonts w:hint="eastAsia" w:ascii="宋体" w:hAnsi="宋体" w:eastAsia="宋体" w:cs="宋体"/>
          <w:sz w:val="21"/>
          <w:szCs w:val="21"/>
          <w:lang w:val="en-US" w:eastAsia="zh-CN"/>
        </w:rPr>
        <w:t>产品</w:t>
      </w:r>
      <w:r>
        <w:rPr>
          <w:rFonts w:hint="eastAsia" w:ascii="宋体" w:hAnsi="宋体" w:eastAsia="宋体" w:cs="宋体"/>
          <w:sz w:val="21"/>
          <w:szCs w:val="21"/>
        </w:rPr>
        <w:t>溯源管理制度不落实，进货查验</w:t>
      </w:r>
      <w:r>
        <w:rPr>
          <w:rFonts w:hint="eastAsia" w:ascii="宋体" w:hAnsi="宋体" w:eastAsia="宋体" w:cs="宋体"/>
          <w:sz w:val="21"/>
          <w:szCs w:val="21"/>
          <w:highlight w:val="none"/>
        </w:rPr>
        <w:t>记录不全</w:t>
      </w:r>
      <w:r>
        <w:rPr>
          <w:rFonts w:hint="eastAsia" w:ascii="宋体" w:hAnsi="宋体" w:eastAsia="宋体" w:cs="宋体"/>
          <w:sz w:val="21"/>
          <w:szCs w:val="21"/>
          <w:highlight w:val="none"/>
          <w:lang w:eastAsia="zh-CN"/>
        </w:rPr>
        <w:t>。</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发生以下情形，经调查属实的，扣除</w:t>
      </w:r>
      <w:r>
        <w:rPr>
          <w:rFonts w:hint="eastAsia" w:ascii="宋体" w:hAnsi="宋体" w:eastAsia="宋体" w:cs="宋体"/>
          <w:b/>
          <w:bCs/>
          <w:sz w:val="21"/>
          <w:szCs w:val="21"/>
          <w:highlight w:val="none"/>
          <w:lang w:val="en-US" w:eastAsia="zh-CN"/>
        </w:rPr>
        <w:t>100</w:t>
      </w:r>
      <w:r>
        <w:rPr>
          <w:rFonts w:hint="eastAsia" w:ascii="宋体" w:hAnsi="宋体" w:eastAsia="宋体" w:cs="宋体"/>
          <w:b/>
          <w:bCs/>
          <w:sz w:val="21"/>
          <w:szCs w:val="21"/>
          <w:highlight w:val="none"/>
        </w:rPr>
        <w:t>%履</w:t>
      </w:r>
      <w:r>
        <w:rPr>
          <w:rFonts w:hint="eastAsia" w:ascii="宋体" w:hAnsi="宋体" w:eastAsia="宋体" w:cs="宋体"/>
          <w:b/>
          <w:bCs/>
          <w:sz w:val="21"/>
          <w:szCs w:val="21"/>
        </w:rPr>
        <w:t>约保证金</w:t>
      </w:r>
      <w:r>
        <w:rPr>
          <w:rFonts w:hint="eastAsia" w:ascii="宋体" w:hAnsi="宋体" w:eastAsia="宋体" w:cs="宋体"/>
          <w:b/>
          <w:bCs/>
          <w:sz w:val="21"/>
          <w:szCs w:val="21"/>
          <w:lang w:eastAsia="zh-CN"/>
        </w:rPr>
        <w:t>，并解除合同</w:t>
      </w:r>
      <w:r>
        <w:rPr>
          <w:rFonts w:hint="eastAsia" w:ascii="宋体" w:hAnsi="宋体" w:eastAsia="宋体" w:cs="宋体"/>
          <w:b/>
          <w:bCs/>
          <w:sz w:val="21"/>
          <w:szCs w:val="21"/>
        </w:rPr>
        <w:t>：</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工作人员不遵守《外来人员进出监管区</w:t>
      </w:r>
      <w:r>
        <w:rPr>
          <w:rFonts w:hint="eastAsia" w:ascii="宋体" w:hAnsi="宋体" w:eastAsia="宋体" w:cs="宋体"/>
          <w:sz w:val="21"/>
          <w:szCs w:val="21"/>
          <w:lang w:val="en-US" w:eastAsia="zh-CN"/>
        </w:rPr>
        <w:t>要求</w:t>
      </w:r>
      <w:r>
        <w:rPr>
          <w:rFonts w:hint="eastAsia" w:ascii="宋体" w:hAnsi="宋体" w:eastAsia="宋体" w:cs="宋体"/>
          <w:sz w:val="21"/>
          <w:szCs w:val="21"/>
        </w:rPr>
        <w:t>》第十项所列事项的</w:t>
      </w:r>
      <w:r>
        <w:rPr>
          <w:rFonts w:hint="eastAsia" w:ascii="宋体" w:hAnsi="宋体" w:eastAsia="宋体" w:cs="宋体"/>
          <w:sz w:val="21"/>
          <w:szCs w:val="21"/>
          <w:lang w:eastAsia="zh-CN"/>
        </w:rPr>
        <w:t>；</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工作人员为监狱服刑人员传带物品的；</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对货物检查把关不严，造成现金、绳索、利器等危险品、违禁品、违规品流入狱内，影响监管安全的；</w:t>
      </w:r>
    </w:p>
    <w:p>
      <w:pPr>
        <w:numPr>
          <w:ilvl w:val="0"/>
          <w:numId w:val="2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若同时出现上述履约保证金扣除情形，则按扣除数额最大</w:t>
      </w:r>
      <w:r>
        <w:rPr>
          <w:rFonts w:hint="eastAsia" w:ascii="宋体" w:hAnsi="宋体" w:eastAsia="宋体" w:cs="宋体"/>
          <w:sz w:val="21"/>
          <w:szCs w:val="21"/>
          <w:highlight w:val="none"/>
        </w:rPr>
        <w:t>的情形执行，同时出现</w:t>
      </w:r>
      <w:r>
        <w:rPr>
          <w:rFonts w:hint="eastAsia" w:ascii="宋体" w:hAnsi="宋体" w:eastAsia="宋体" w:cs="宋体"/>
          <w:sz w:val="21"/>
          <w:szCs w:val="21"/>
          <w:highlight w:val="none"/>
          <w:lang w:val="en-US" w:eastAsia="zh-CN"/>
        </w:rPr>
        <w:t>多种扣除</w:t>
      </w:r>
      <w:r>
        <w:rPr>
          <w:rFonts w:hint="eastAsia" w:ascii="宋体" w:hAnsi="宋体" w:eastAsia="宋体" w:cs="宋体"/>
          <w:sz w:val="21"/>
          <w:szCs w:val="21"/>
          <w:highlight w:val="none"/>
        </w:rPr>
        <w:t>情形</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rPr>
        <w:t>累计扣除履约保证金。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3.项目</w:t>
      </w:r>
      <w:r>
        <w:rPr>
          <w:rFonts w:hint="eastAsia" w:ascii="宋体" w:hAnsi="宋体" w:eastAsia="宋体" w:cs="宋体"/>
          <w:color w:val="000000" w:themeColor="text1"/>
          <w:sz w:val="21"/>
          <w:szCs w:val="21"/>
          <w14:textFill>
            <w14:solidFill>
              <w14:schemeClr w14:val="tx1"/>
            </w14:solidFill>
          </w14:textFill>
        </w:rPr>
        <w:t>验收合格，</w:t>
      </w:r>
      <w:r>
        <w:rPr>
          <w:rFonts w:hint="eastAsia" w:ascii="宋体" w:hAnsi="宋体" w:eastAsia="宋体" w:cs="宋体"/>
          <w:color w:val="000000" w:themeColor="text1"/>
          <w:sz w:val="21"/>
          <w:szCs w:val="21"/>
          <w:lang w:val="en-US" w:eastAsia="zh-CN"/>
          <w14:textFill>
            <w14:solidFill>
              <w14:schemeClr w14:val="tx1"/>
            </w14:solidFill>
          </w14:textFill>
        </w:rPr>
        <w:t>质保</w:t>
      </w:r>
      <w:r>
        <w:rPr>
          <w:rFonts w:hint="eastAsia" w:ascii="宋体" w:hAnsi="宋体" w:eastAsia="宋体" w:cs="宋体"/>
          <w:color w:val="000000" w:themeColor="text1"/>
          <w:sz w:val="21"/>
          <w:szCs w:val="21"/>
          <w14:textFill>
            <w14:solidFill>
              <w14:schemeClr w14:val="tx1"/>
            </w14:solidFill>
          </w14:textFill>
        </w:rPr>
        <w:t>期满</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如无发生扣款情形的，</w:t>
      </w:r>
      <w:r>
        <w:rPr>
          <w:rFonts w:hint="eastAsia" w:ascii="宋体" w:hAnsi="宋体" w:eastAsia="宋体" w:cs="宋体"/>
          <w:color w:val="000000" w:themeColor="text1"/>
          <w:sz w:val="21"/>
          <w:szCs w:val="21"/>
          <w:lang w:val="en-US" w:eastAsia="zh-CN"/>
          <w14:textFill>
            <w14:solidFill>
              <w14:schemeClr w14:val="tx1"/>
            </w14:solidFill>
          </w14:textFill>
        </w:rPr>
        <w:t>履约保证金</w:t>
      </w:r>
      <w:r>
        <w:rPr>
          <w:rFonts w:hint="eastAsia" w:ascii="宋体" w:hAnsi="宋体" w:eastAsia="宋体" w:cs="宋体"/>
          <w:color w:val="000000" w:themeColor="text1"/>
          <w:sz w:val="21"/>
          <w:szCs w:val="21"/>
          <w14:textFill>
            <w14:solidFill>
              <w14:schemeClr w14:val="tx1"/>
            </w14:solidFill>
          </w14:textFill>
        </w:rPr>
        <w:t>无息退回。</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如在合同执行期间因</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违约导致履约保证金部分扣除，</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需在五个工作日内将扣除的履约保证金补齐。</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如</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在合同执行过程需终止执行合同的，需提前</w:t>
      </w:r>
      <w:r>
        <w:rPr>
          <w:rFonts w:hint="eastAsia" w:ascii="宋体" w:hAnsi="宋体" w:eastAsia="宋体" w:cs="宋体"/>
          <w:sz w:val="21"/>
          <w:szCs w:val="21"/>
          <w:lang w:val="en-US" w:eastAsia="zh-CN"/>
        </w:rPr>
        <w:t>十五</w:t>
      </w:r>
      <w:r>
        <w:rPr>
          <w:rFonts w:hint="eastAsia" w:ascii="宋体" w:hAnsi="宋体" w:eastAsia="宋体" w:cs="宋体"/>
          <w:sz w:val="21"/>
          <w:szCs w:val="21"/>
        </w:rPr>
        <w:t>天以书面形式告知监狱，否则按单方面终止执行合同处理，履约保证金不退还。</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atLeast"/>
        <w:ind w:leftChars="0"/>
        <w:textAlignment w:val="auto"/>
        <w:rPr>
          <w:rFonts w:hint="eastAsia" w:ascii="宋体" w:hAnsi="宋体" w:cs="宋体"/>
          <w:sz w:val="21"/>
          <w:szCs w:val="21"/>
          <w:lang w:val="en-US" w:eastAsia="zh-CN"/>
        </w:rPr>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验收支付</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atLeas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验收要求</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收按监狱有关的规定、规范进行。验收时如发现所交付的产品有短装、次品、损坏或其它不符合合同规定的情况，采购人现场进行详尽记录，或由采购人和供应商双方签署备忘录。此现场记录或备忘录可用作补充、缺失和更换货物有效证据。成交供应商须无条件退换货，并在2小时内完成换货。由此产生的有关费用由成交供应商承担。</w:t>
      </w:r>
    </w:p>
    <w:p>
      <w:pPr>
        <w:keepNext w:val="0"/>
        <w:keepLines w:val="0"/>
        <w:pageBreakBefore w:val="0"/>
        <w:widowControl/>
        <w:kinsoku/>
        <w:wordWrap/>
        <w:overflowPunct/>
        <w:topLinePunct w:val="0"/>
        <w:autoSpaceDE/>
        <w:autoSpaceDN/>
        <w:bidi w:val="0"/>
        <w:adjustRightInd w:val="0"/>
        <w:snapToGrid w:val="0"/>
        <w:spacing w:line="400" w:lineRule="atLeas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检测要求</w:t>
      </w:r>
    </w:p>
    <w:p>
      <w:pPr>
        <w:keepNext w:val="0"/>
        <w:keepLines w:val="0"/>
        <w:pageBreakBefore w:val="0"/>
        <w:widowControl/>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在进行货物验收时，有权随机抽取部分货物到第三方正规机构进行相关检测，如检测结果合格，则由采购人负责检测费用；如检测不合格，检测费用由供应商负责，且必须无条件更换达标货物；如连续两次检测均不合格，采购人有权解除合同，采购人因此产生的成本或损失，由供应商负责。</w:t>
      </w:r>
    </w:p>
    <w:p>
      <w:pPr>
        <w:keepNext w:val="0"/>
        <w:keepLines w:val="0"/>
        <w:pageBreakBefore w:val="0"/>
        <w:widowControl/>
        <w:numPr>
          <w:ilvl w:val="0"/>
          <w:numId w:val="21"/>
        </w:numPr>
        <w:kinsoku/>
        <w:wordWrap/>
        <w:overflowPunct/>
        <w:topLinePunct w:val="0"/>
        <w:autoSpaceDE/>
        <w:autoSpaceDN/>
        <w:bidi w:val="0"/>
        <w:adjustRightInd w:val="0"/>
        <w:snapToGrid w:val="0"/>
        <w:spacing w:line="400" w:lineRule="atLeas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支付条款：</w:t>
      </w:r>
    </w:p>
    <w:p>
      <w:pPr>
        <w:keepNext w:val="0"/>
        <w:keepLines w:val="0"/>
        <w:pageBreakBefore w:val="0"/>
        <w:widowControl w:val="0"/>
        <w:numPr>
          <w:ilvl w:val="0"/>
          <w:numId w:val="22"/>
        </w:numPr>
        <w:kinsoku/>
        <w:wordWrap/>
        <w:overflowPunct/>
        <w:topLinePunct w:val="0"/>
        <w:autoSpaceDE w:val="0"/>
        <w:autoSpaceDN w:val="0"/>
        <w:bidi w:val="0"/>
        <w:adjustRightInd w:val="0"/>
        <w:snapToGrid w:val="0"/>
        <w:spacing w:line="360" w:lineRule="auto"/>
        <w:jc w:val="left"/>
        <w:textAlignment w:val="auto"/>
        <w:rPr>
          <w:rFonts w:hint="eastAsia" w:ascii="宋体" w:hAnsi="宋体"/>
          <w:kern w:val="21"/>
          <w:szCs w:val="21"/>
        </w:rPr>
      </w:pPr>
      <w:r>
        <w:rPr>
          <w:rFonts w:hint="eastAsia" w:ascii="宋体" w:hAnsi="宋体"/>
          <w:kern w:val="21"/>
          <w:szCs w:val="21"/>
          <w:lang w:val="en-US" w:eastAsia="zh-CN"/>
        </w:rPr>
        <w:t>每月按实际采购量结算，供应</w:t>
      </w:r>
      <w:r>
        <w:rPr>
          <w:rFonts w:hint="eastAsia" w:ascii="宋体" w:hAnsi="宋体"/>
          <w:kern w:val="21"/>
          <w:szCs w:val="21"/>
          <w:lang w:eastAsia="zh-CN"/>
        </w:rPr>
        <w:t>商需提交等额的发票、对账单等资料</w:t>
      </w:r>
      <w:r>
        <w:rPr>
          <w:rFonts w:hint="eastAsia" w:ascii="宋体" w:hAnsi="宋体"/>
          <w:kern w:val="21"/>
          <w:szCs w:val="21"/>
          <w:lang w:val="en-US" w:eastAsia="zh-CN"/>
        </w:rPr>
        <w:t>，采购人收到资料后，经审核无误后，10个工作日内办理支付手续，如遇节假日顺延，具体条款以</w:t>
      </w:r>
      <w:r>
        <w:rPr>
          <w:rFonts w:hint="eastAsia" w:ascii="宋体" w:hAnsi="宋体"/>
          <w:kern w:val="21"/>
          <w:szCs w:val="21"/>
        </w:rPr>
        <w:t>合同约定为准。</w:t>
      </w:r>
    </w:p>
    <w:p>
      <w:pPr>
        <w:keepNext w:val="0"/>
        <w:keepLines w:val="0"/>
        <w:pageBreakBefore w:val="0"/>
        <w:widowControl w:val="0"/>
        <w:numPr>
          <w:ilvl w:val="0"/>
          <w:numId w:val="22"/>
        </w:numPr>
        <w:kinsoku/>
        <w:wordWrap/>
        <w:overflowPunct/>
        <w:topLinePunct w:val="0"/>
        <w:autoSpaceDE w:val="0"/>
        <w:autoSpaceDN w:val="0"/>
        <w:bidi w:val="0"/>
        <w:adjustRightInd w:val="0"/>
        <w:snapToGrid w:val="0"/>
        <w:spacing w:line="360" w:lineRule="auto"/>
        <w:jc w:val="left"/>
        <w:textAlignment w:val="auto"/>
        <w:rPr>
          <w:rFonts w:ascii="宋体" w:hAnsi="宋体"/>
          <w:kern w:val="21"/>
          <w:szCs w:val="21"/>
        </w:rPr>
      </w:pPr>
      <w:r>
        <w:rPr>
          <w:rFonts w:hint="eastAsia" w:ascii="宋体" w:hAnsi="宋体"/>
          <w:kern w:val="21"/>
          <w:szCs w:val="21"/>
        </w:rPr>
        <w:t>成交供应商凭以下有效文件与采购人结算：</w:t>
      </w:r>
    </w:p>
    <w:p>
      <w:pPr>
        <w:keepNext w:val="0"/>
        <w:keepLines w:val="0"/>
        <w:pageBreakBefore w:val="0"/>
        <w:widowControl w:val="0"/>
        <w:numPr>
          <w:ilvl w:val="0"/>
          <w:numId w:val="23"/>
        </w:numPr>
        <w:kinsoku/>
        <w:wordWrap/>
        <w:overflowPunct/>
        <w:topLinePunct w:val="0"/>
        <w:bidi w:val="0"/>
        <w:adjustRightInd w:val="0"/>
        <w:snapToGrid w:val="0"/>
        <w:spacing w:line="360" w:lineRule="auto"/>
        <w:textAlignment w:val="auto"/>
        <w:rPr>
          <w:rFonts w:ascii="宋体" w:hAnsi="宋体"/>
          <w:szCs w:val="21"/>
        </w:rPr>
      </w:pPr>
      <w:r>
        <w:rPr>
          <w:rFonts w:ascii="宋体" w:hAnsi="宋体"/>
          <w:szCs w:val="21"/>
        </w:rPr>
        <w:t>合同；</w:t>
      </w:r>
    </w:p>
    <w:p>
      <w:pPr>
        <w:keepNext w:val="0"/>
        <w:keepLines w:val="0"/>
        <w:pageBreakBefore w:val="0"/>
        <w:widowControl w:val="0"/>
        <w:numPr>
          <w:ilvl w:val="0"/>
          <w:numId w:val="23"/>
        </w:numPr>
        <w:kinsoku/>
        <w:wordWrap/>
        <w:overflowPunct/>
        <w:topLinePunct w:val="0"/>
        <w:bidi w:val="0"/>
        <w:adjustRightInd w:val="0"/>
        <w:snapToGrid w:val="0"/>
        <w:spacing w:line="360" w:lineRule="auto"/>
        <w:textAlignment w:val="auto"/>
        <w:rPr>
          <w:rFonts w:ascii="宋体" w:hAnsi="宋体"/>
          <w:szCs w:val="21"/>
        </w:rPr>
      </w:pPr>
      <w:r>
        <w:rPr>
          <w:rFonts w:hint="eastAsia" w:ascii="宋体" w:hAnsi="宋体"/>
          <w:szCs w:val="21"/>
        </w:rPr>
        <w:t>成交供应商</w:t>
      </w:r>
      <w:r>
        <w:rPr>
          <w:rFonts w:ascii="宋体" w:hAnsi="宋体"/>
          <w:szCs w:val="21"/>
        </w:rPr>
        <w:t>开具的</w:t>
      </w:r>
      <w:r>
        <w:rPr>
          <w:rFonts w:hint="eastAsia" w:ascii="宋体" w:hAnsi="宋体" w:cs="宋体"/>
          <w:b/>
          <w:bCs/>
          <w:kern w:val="0"/>
          <w:szCs w:val="21"/>
          <w:lang w:bidi="ar"/>
        </w:rPr>
        <w:t>增值税</w:t>
      </w:r>
      <w:r>
        <w:rPr>
          <w:rFonts w:hint="eastAsia" w:ascii="宋体" w:hAnsi="宋体" w:cs="宋体"/>
          <w:b/>
          <w:bCs/>
          <w:kern w:val="0"/>
          <w:szCs w:val="21"/>
          <w:lang w:val="en-US" w:eastAsia="zh-CN" w:bidi="ar"/>
        </w:rPr>
        <w:t>普通</w:t>
      </w:r>
      <w:r>
        <w:rPr>
          <w:rFonts w:hint="eastAsia" w:ascii="宋体" w:hAnsi="宋体" w:cs="宋体"/>
          <w:b/>
          <w:bCs/>
          <w:kern w:val="0"/>
          <w:szCs w:val="21"/>
          <w:lang w:bidi="ar"/>
        </w:rPr>
        <w:t>发票</w:t>
      </w:r>
      <w:r>
        <w:rPr>
          <w:rFonts w:ascii="宋体" w:hAnsi="宋体"/>
          <w:szCs w:val="21"/>
        </w:rPr>
        <w:t>；</w:t>
      </w:r>
    </w:p>
    <w:p>
      <w:pPr>
        <w:keepNext w:val="0"/>
        <w:keepLines w:val="0"/>
        <w:pageBreakBefore w:val="0"/>
        <w:widowControl w:val="0"/>
        <w:numPr>
          <w:ilvl w:val="0"/>
          <w:numId w:val="23"/>
        </w:numPr>
        <w:kinsoku/>
        <w:wordWrap/>
        <w:overflowPunct/>
        <w:topLinePunct w:val="0"/>
        <w:bidi w:val="0"/>
        <w:adjustRightInd w:val="0"/>
        <w:snapToGrid w:val="0"/>
        <w:spacing w:line="360" w:lineRule="auto"/>
        <w:textAlignment w:val="auto"/>
        <w:rPr>
          <w:rFonts w:ascii="宋体" w:hAnsi="宋体"/>
          <w:szCs w:val="21"/>
        </w:rPr>
      </w:pPr>
      <w:r>
        <w:rPr>
          <w:rFonts w:hint="eastAsia" w:ascii="宋体" w:hAnsi="宋体"/>
          <w:szCs w:val="21"/>
        </w:rPr>
        <w:t>成交</w:t>
      </w:r>
      <w:r>
        <w:rPr>
          <w:rFonts w:ascii="宋体" w:hAnsi="宋体"/>
          <w:szCs w:val="21"/>
        </w:rPr>
        <w:t>通知书。</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atLeast"/>
        <w:textAlignment w:val="auto"/>
        <w:rPr>
          <w:rFonts w:hint="eastAsia" w:ascii="宋体" w:hAnsi="宋体" w:eastAsia="宋体" w:cs="宋体"/>
          <w:sz w:val="21"/>
          <w:szCs w:val="21"/>
          <w:lang w:eastAsia="zh-CN"/>
        </w:rPr>
      </w:pPr>
    </w:p>
    <w:p>
      <w:pPr>
        <w:ind w:left="0" w:leftChars="0" w:firstLine="0" w:firstLineChars="0"/>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hint="eastAsia"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6"/>
        <w:gridCol w:w="1470"/>
        <w:gridCol w:w="1676"/>
        <w:gridCol w:w="984"/>
        <w:gridCol w:w="1011"/>
        <w:gridCol w:w="1743"/>
        <w:gridCol w:w="2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jc w:val="center"/>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74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商品名称</w:t>
            </w:r>
          </w:p>
        </w:tc>
        <w:tc>
          <w:tcPr>
            <w:tcW w:w="85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50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51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8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单价（元/箱）</w:t>
            </w:r>
          </w:p>
        </w:tc>
        <w:tc>
          <w:tcPr>
            <w:tcW w:w="11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cs="宋体"/>
                <w:bCs/>
                <w:color w:val="000000"/>
                <w:szCs w:val="21"/>
                <w:lang w:val="en-US" w:eastAsia="zh-CN"/>
              </w:rPr>
            </w:pPr>
            <w:r>
              <w:rPr>
                <w:rFonts w:hint="eastAsia" w:ascii="宋体" w:hAnsi="宋体" w:cs="宋体"/>
                <w:bCs/>
                <w:color w:val="000000"/>
                <w:szCs w:val="21"/>
                <w:lang w:val="en-US" w:eastAsia="zh-CN"/>
              </w:rPr>
              <w:t>交货期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74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饮用水</w:t>
            </w:r>
          </w:p>
        </w:tc>
        <w:tc>
          <w:tcPr>
            <w:tcW w:w="85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农夫山泉 550ml/瓶，24瓶/箱</w:t>
            </w:r>
          </w:p>
        </w:tc>
        <w:tc>
          <w:tcPr>
            <w:tcW w:w="50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51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1280</w:t>
            </w:r>
          </w:p>
        </w:tc>
        <w:tc>
          <w:tcPr>
            <w:tcW w:w="88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118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r>
              <w:rPr>
                <w:rFonts w:hint="eastAsia" w:ascii="宋体" w:hAnsi="宋体" w:cs="宋体"/>
                <w:szCs w:val="21"/>
              </w:rPr>
              <w:t>供货期自合同签订之日起至2024年12月31日止，成交供应商须每半个月送货一次，每次供货时间为收到采购方通知后2小时内完成送货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default" w:ascii="宋体" w:hAnsi="宋体" w:eastAsia="宋体" w:cs="宋体"/>
                <w:bCs/>
                <w:color w:val="000000"/>
                <w:szCs w:val="21"/>
                <w:u w:val="none"/>
                <w:lang w:val="en-US" w:eastAsia="zh-CN"/>
              </w:rPr>
            </w:pPr>
            <w:r>
              <w:rPr>
                <w:rFonts w:hint="eastAsia" w:ascii="宋体" w:hAnsi="宋体" w:cs="宋体"/>
                <w:bCs/>
                <w:color w:val="000000"/>
                <w:szCs w:val="21"/>
                <w:lang w:val="en-US" w:eastAsia="zh-CN"/>
              </w:rPr>
              <w:t>合计（单价*数量）：</w:t>
            </w:r>
            <w:r>
              <w:rPr>
                <w:rFonts w:hint="eastAsia" w:ascii="宋体" w:hAnsi="宋体" w:cs="宋体"/>
                <w:bCs/>
                <w:color w:val="000000"/>
                <w:szCs w:val="21"/>
                <w:u w:val="single"/>
                <w:lang w:val="en-US" w:eastAsia="zh-CN"/>
              </w:rPr>
              <w:t xml:space="preserve">            </w:t>
            </w:r>
            <w:r>
              <w:rPr>
                <w:rFonts w:hint="eastAsia" w:ascii="宋体" w:hAnsi="宋体" w:cs="宋体"/>
                <w:bCs/>
                <w:color w:val="000000"/>
                <w:szCs w:val="21"/>
                <w:u w:val="none"/>
                <w:lang w:val="en-US" w:eastAsia="zh-CN"/>
              </w:rPr>
              <w:t>元</w:t>
            </w:r>
          </w:p>
        </w:tc>
      </w:tr>
    </w:tbl>
    <w:p>
      <w:pPr>
        <w:pStyle w:val="4"/>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24"/>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广东省东莞监狱饮用水采购项目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5"/>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5"/>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广东省东莞监狱饮用水采购项目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本公司提供的商品和服务必须符合国家和行业的有关技术及安全标准，信誉良好、送货上门。</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6"/>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7"/>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7"/>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7585D"/>
    <w:multiLevelType w:val="singleLevel"/>
    <w:tmpl w:val="9497585D"/>
    <w:lvl w:ilvl="0" w:tentative="0">
      <w:start w:val="1"/>
      <w:numFmt w:val="decimalEnclosedCircleChinese"/>
      <w:suff w:val="nothing"/>
      <w:lvlText w:val="%1　"/>
      <w:lvlJc w:val="left"/>
      <w:pPr>
        <w:ind w:left="0" w:firstLine="400"/>
      </w:pPr>
      <w:rPr>
        <w:rFonts w:hint="eastAsia"/>
      </w:rPr>
    </w:lvl>
  </w:abstractNum>
  <w:abstractNum w:abstractNumId="1">
    <w:nsid w:val="9C303B3F"/>
    <w:multiLevelType w:val="singleLevel"/>
    <w:tmpl w:val="9C303B3F"/>
    <w:lvl w:ilvl="0" w:tentative="0">
      <w:start w:val="1"/>
      <w:numFmt w:val="chineseCounting"/>
      <w:suff w:val="nothing"/>
      <w:lvlText w:val="（%1）"/>
      <w:lvlJc w:val="left"/>
      <w:rPr>
        <w:rFonts w:hint="eastAsia"/>
      </w:rPr>
    </w:lvl>
  </w:abstractNum>
  <w:abstractNum w:abstractNumId="2">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3">
    <w:nsid w:val="BCE16E17"/>
    <w:multiLevelType w:val="singleLevel"/>
    <w:tmpl w:val="BCE16E17"/>
    <w:lvl w:ilvl="0" w:tentative="0">
      <w:start w:val="1"/>
      <w:numFmt w:val="decimal"/>
      <w:lvlText w:val="(%1)"/>
      <w:lvlJc w:val="left"/>
      <w:pPr>
        <w:ind w:left="635" w:hanging="425"/>
      </w:pPr>
      <w:rPr>
        <w:rFonts w:hint="default" w:ascii="宋体" w:hAnsi="宋体" w:eastAsia="宋体" w:cs="宋体"/>
        <w:sz w:val="21"/>
        <w:szCs w:val="21"/>
      </w:rPr>
    </w:lvl>
  </w:abstractNum>
  <w:abstractNum w:abstractNumId="4">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5">
    <w:nsid w:val="C42D9EAC"/>
    <w:multiLevelType w:val="singleLevel"/>
    <w:tmpl w:val="C42D9EAC"/>
    <w:lvl w:ilvl="0" w:tentative="0">
      <w:start w:val="1"/>
      <w:numFmt w:val="decimalEnclosedCircleChinese"/>
      <w:suff w:val="nothing"/>
      <w:lvlText w:val="%1　"/>
      <w:lvlJc w:val="left"/>
      <w:pPr>
        <w:ind w:left="0" w:firstLine="400"/>
      </w:pPr>
      <w:rPr>
        <w:rFonts w:hint="eastAsia"/>
      </w:rPr>
    </w:lvl>
  </w:abstractNum>
  <w:abstractNum w:abstractNumId="6">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7">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9">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2">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3">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5">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8">
    <w:nsid w:val="19E9F777"/>
    <w:multiLevelType w:val="singleLevel"/>
    <w:tmpl w:val="19E9F777"/>
    <w:lvl w:ilvl="0" w:tentative="0">
      <w:start w:val="1"/>
      <w:numFmt w:val="decimalEnclosedCircleChinese"/>
      <w:suff w:val="nothing"/>
      <w:lvlText w:val="%1　"/>
      <w:lvlJc w:val="left"/>
      <w:pPr>
        <w:ind w:left="0" w:firstLine="400"/>
      </w:pPr>
      <w:rPr>
        <w:rFonts w:hint="eastAsia"/>
      </w:rPr>
    </w:lvl>
  </w:abstractNum>
  <w:abstractNum w:abstractNumId="19">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529EF5A"/>
    <w:multiLevelType w:val="singleLevel"/>
    <w:tmpl w:val="2529EF5A"/>
    <w:lvl w:ilvl="0" w:tentative="0">
      <w:start w:val="4"/>
      <w:numFmt w:val="decimal"/>
      <w:suff w:val="nothing"/>
      <w:lvlText w:val="（%1）"/>
      <w:lvlJc w:val="left"/>
    </w:lvl>
  </w:abstractNum>
  <w:abstractNum w:abstractNumId="21">
    <w:nsid w:val="3AEAE94F"/>
    <w:multiLevelType w:val="singleLevel"/>
    <w:tmpl w:val="3AEAE94F"/>
    <w:lvl w:ilvl="0" w:tentative="0">
      <w:start w:val="1"/>
      <w:numFmt w:val="decimal"/>
      <w:lvlText w:val="(%1)"/>
      <w:lvlJc w:val="left"/>
      <w:pPr>
        <w:ind w:left="1475" w:hanging="425"/>
      </w:pPr>
      <w:rPr>
        <w:rFonts w:hint="default"/>
      </w:rPr>
    </w:lvl>
  </w:abstractNum>
  <w:abstractNum w:abstractNumId="22">
    <w:nsid w:val="49296D38"/>
    <w:multiLevelType w:val="singleLevel"/>
    <w:tmpl w:val="49296D38"/>
    <w:lvl w:ilvl="0" w:tentative="0">
      <w:start w:val="3"/>
      <w:numFmt w:val="chineseCounting"/>
      <w:suff w:val="nothing"/>
      <w:lvlText w:val="（%1）"/>
      <w:lvlJc w:val="left"/>
      <w:rPr>
        <w:rFonts w:hint="eastAsia"/>
      </w:rPr>
    </w:lvl>
  </w:abstractNum>
  <w:abstractNum w:abstractNumId="23">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4">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1387087"/>
    <w:multiLevelType w:val="multilevel"/>
    <w:tmpl w:val="61387087"/>
    <w:lvl w:ilvl="0" w:tentative="0">
      <w:start w:val="1"/>
      <w:numFmt w:val="decimal"/>
      <w:lvlText w:val="%1."/>
      <w:lvlJc w:val="left"/>
      <w:pPr>
        <w:tabs>
          <w:tab w:val="left" w:pos="425"/>
        </w:tabs>
        <w:ind w:left="425" w:hanging="425"/>
      </w:pPr>
      <w:rPr>
        <w:rFonts w:hint="default" w:ascii="宋体" w:hAnsi="宋体" w:eastAsia="宋体" w:cs="宋体"/>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6">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26"/>
  </w:num>
  <w:num w:numId="3">
    <w:abstractNumId w:val="11"/>
  </w:num>
  <w:num w:numId="4">
    <w:abstractNumId w:val="24"/>
  </w:num>
  <w:num w:numId="5">
    <w:abstractNumId w:val="12"/>
  </w:num>
  <w:num w:numId="6">
    <w:abstractNumId w:val="19"/>
  </w:num>
  <w:num w:numId="7">
    <w:abstractNumId w:val="10"/>
  </w:num>
  <w:num w:numId="8">
    <w:abstractNumId w:val="8"/>
  </w:num>
  <w:num w:numId="9">
    <w:abstractNumId w:val="23"/>
  </w:num>
  <w:num w:numId="10">
    <w:abstractNumId w:val="14"/>
  </w:num>
  <w:num w:numId="11">
    <w:abstractNumId w:val="16"/>
  </w:num>
  <w:num w:numId="12">
    <w:abstractNumId w:val="17"/>
  </w:num>
  <w:num w:numId="13">
    <w:abstractNumId w:val="15"/>
  </w:num>
  <w:num w:numId="14">
    <w:abstractNumId w:val="2"/>
  </w:num>
  <w:num w:numId="15">
    <w:abstractNumId w:val="1"/>
  </w:num>
  <w:num w:numId="16">
    <w:abstractNumId w:val="21"/>
  </w:num>
  <w:num w:numId="17">
    <w:abstractNumId w:val="5"/>
  </w:num>
  <w:num w:numId="18">
    <w:abstractNumId w:val="0"/>
  </w:num>
  <w:num w:numId="19">
    <w:abstractNumId w:val="18"/>
  </w:num>
  <w:num w:numId="20">
    <w:abstractNumId w:val="20"/>
  </w:num>
  <w:num w:numId="21">
    <w:abstractNumId w:val="22"/>
  </w:num>
  <w:num w:numId="22">
    <w:abstractNumId w:val="25"/>
  </w:num>
  <w:num w:numId="23">
    <w:abstractNumId w:val="3"/>
  </w:num>
  <w:num w:numId="24">
    <w:abstractNumId w:val="9"/>
  </w:num>
  <w:num w:numId="25">
    <w:abstractNumId w:val="6"/>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0B5C7A4F"/>
    <w:rsid w:val="0D5002AF"/>
    <w:rsid w:val="115C6A77"/>
    <w:rsid w:val="119F0729"/>
    <w:rsid w:val="12F55722"/>
    <w:rsid w:val="14442001"/>
    <w:rsid w:val="151F62A1"/>
    <w:rsid w:val="183A6D72"/>
    <w:rsid w:val="192014F3"/>
    <w:rsid w:val="1A165567"/>
    <w:rsid w:val="25956469"/>
    <w:rsid w:val="2891360D"/>
    <w:rsid w:val="2AC61E4D"/>
    <w:rsid w:val="2BFB3D26"/>
    <w:rsid w:val="2DD97383"/>
    <w:rsid w:val="2FBE6265"/>
    <w:rsid w:val="343969A2"/>
    <w:rsid w:val="382E6C2E"/>
    <w:rsid w:val="3C7E335B"/>
    <w:rsid w:val="3E682B08"/>
    <w:rsid w:val="3E7404CD"/>
    <w:rsid w:val="42104915"/>
    <w:rsid w:val="437711A8"/>
    <w:rsid w:val="4627234D"/>
    <w:rsid w:val="47C36A0E"/>
    <w:rsid w:val="4A130F71"/>
    <w:rsid w:val="4B7778F3"/>
    <w:rsid w:val="4D0F2744"/>
    <w:rsid w:val="4E9D66F5"/>
    <w:rsid w:val="4ED44770"/>
    <w:rsid w:val="536873AD"/>
    <w:rsid w:val="59CA7788"/>
    <w:rsid w:val="5AE55038"/>
    <w:rsid w:val="605F5E18"/>
    <w:rsid w:val="627500D5"/>
    <w:rsid w:val="672B0CE6"/>
    <w:rsid w:val="6AA033DF"/>
    <w:rsid w:val="6E4678CD"/>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4">
    <w:name w:val="Normal Indent"/>
    <w:basedOn w:val="1"/>
    <w:autoRedefine/>
    <w:qFormat/>
    <w:uiPriority w:val="0"/>
    <w:pPr>
      <w:ind w:firstLine="420" w:firstLineChars="200"/>
    </w:pPr>
    <w:rPr>
      <w:szCs w:val="21"/>
    </w:rPr>
  </w:style>
  <w:style w:type="paragraph" w:styleId="5">
    <w:name w:val="annotation text"/>
    <w:basedOn w:val="1"/>
    <w:link w:val="28"/>
    <w:autoRedefine/>
    <w:qFormat/>
    <w:uiPriority w:val="99"/>
    <w:pPr>
      <w:jc w:val="left"/>
    </w:pPr>
  </w:style>
  <w:style w:type="paragraph" w:styleId="6">
    <w:name w:val="Body Text"/>
    <w:basedOn w:val="1"/>
    <w:link w:val="61"/>
    <w:autoRedefine/>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autoRedefine/>
    <w:qFormat/>
    <w:uiPriority w:val="99"/>
    <w:pPr>
      <w:spacing w:line="240" w:lineRule="auto"/>
      <w:ind w:firstLine="0"/>
    </w:pPr>
    <w:rPr>
      <w:rFonts w:ascii="宋体" w:hAnsi="Courier New"/>
      <w:kern w:val="0"/>
      <w:sz w:val="20"/>
      <w:szCs w:val="21"/>
    </w:rPr>
  </w:style>
  <w:style w:type="paragraph" w:styleId="8">
    <w:name w:val="Balloon Text"/>
    <w:basedOn w:val="1"/>
    <w:link w:val="36"/>
    <w:autoRedefine/>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autoRedefine/>
    <w:qFormat/>
    <w:uiPriority w:val="99"/>
    <w:rPr>
      <w:b/>
      <w:bCs/>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qFormat/>
    <w:uiPriority w:val="34"/>
    <w:pPr>
      <w:spacing w:line="240" w:lineRule="auto"/>
      <w:ind w:firstLine="420" w:firstLineChars="200"/>
    </w:pPr>
  </w:style>
  <w:style w:type="character" w:customStyle="1" w:styleId="41">
    <w:name w:val="font61"/>
    <w:basedOn w:val="16"/>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autoRedefine/>
    <w:qFormat/>
    <w:uiPriority w:val="0"/>
    <w:rPr>
      <w:rFonts w:ascii="Cambria" w:hAnsi="Cambria"/>
      <w:b/>
      <w:bCs/>
      <w:sz w:val="32"/>
      <w:szCs w:val="32"/>
    </w:rPr>
  </w:style>
  <w:style w:type="paragraph" w:customStyle="1" w:styleId="4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qFormat/>
    <w:uiPriority w:val="99"/>
    <w:rPr>
      <w:rFonts w:ascii="宋体" w:hAnsi="Courier New" w:eastAsia="宋体" w:cs="Times New Roman"/>
      <w:kern w:val="0"/>
      <w:sz w:val="20"/>
      <w:szCs w:val="21"/>
    </w:rPr>
  </w:style>
  <w:style w:type="paragraph" w:customStyle="1" w:styleId="50">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autoRedefine/>
    <w:qFormat/>
    <w:uiPriority w:val="0"/>
    <w:rPr>
      <w:color w:val="FF0000"/>
    </w:rPr>
  </w:style>
  <w:style w:type="paragraph" w:styleId="53">
    <w:name w:val="List Paragraph"/>
    <w:basedOn w:val="1"/>
    <w:qFormat/>
    <w:uiPriority w:val="99"/>
    <w:pPr>
      <w:ind w:firstLine="420" w:firstLineChars="200"/>
    </w:pPr>
    <w:rPr>
      <w:lang w:val="zh-CN"/>
    </w:rPr>
  </w:style>
  <w:style w:type="paragraph" w:customStyle="1" w:styleId="5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qFormat/>
    <w:uiPriority w:val="34"/>
    <w:pPr>
      <w:spacing w:line="240" w:lineRule="auto"/>
      <w:ind w:firstLine="420" w:firstLineChars="200"/>
    </w:pPr>
    <w:rPr>
      <w:rFonts w:ascii="Calibri" w:hAnsi="Calibri"/>
      <w:szCs w:val="22"/>
    </w:rPr>
  </w:style>
  <w:style w:type="character" w:customStyle="1" w:styleId="56">
    <w:name w:val="页脚 字符"/>
    <w:basedOn w:val="16"/>
    <w:link w:val="9"/>
    <w:qFormat/>
    <w:uiPriority w:val="99"/>
    <w:rPr>
      <w:kern w:val="2"/>
      <w:sz w:val="18"/>
      <w:szCs w:val="18"/>
    </w:rPr>
  </w:style>
  <w:style w:type="paragraph" w:customStyle="1" w:styleId="57">
    <w:name w:val="列出段落"/>
    <w:basedOn w:val="1"/>
    <w:autoRedefine/>
    <w:qFormat/>
    <w:uiPriority w:val="0"/>
    <w:pPr>
      <w:ind w:firstLine="420" w:firstLineChars="200"/>
    </w:pPr>
    <w:rPr>
      <w:szCs w:val="21"/>
    </w:rPr>
  </w:style>
  <w:style w:type="character" w:customStyle="1" w:styleId="58">
    <w:name w:val="font21"/>
    <w:basedOn w:val="16"/>
    <w:autoRedefine/>
    <w:qFormat/>
    <w:uiPriority w:val="0"/>
    <w:rPr>
      <w:rFonts w:ascii="Arial" w:hAnsi="Arial" w:cs="Arial"/>
      <w:color w:val="000000"/>
      <w:sz w:val="18"/>
      <w:szCs w:val="18"/>
      <w:u w:val="none"/>
    </w:rPr>
  </w:style>
  <w:style w:type="paragraph" w:customStyle="1" w:styleId="59">
    <w:name w:val="List Paragraph1"/>
    <w:basedOn w:val="1"/>
    <w:qFormat/>
    <w:uiPriority w:val="0"/>
    <w:pPr>
      <w:spacing w:line="240" w:lineRule="auto"/>
      <w:ind w:firstLine="420" w:firstLineChars="200"/>
    </w:pPr>
    <w:rPr>
      <w:rFonts w:ascii="Calibri" w:hAnsi="Calibri"/>
      <w:szCs w:val="21"/>
    </w:rPr>
  </w:style>
  <w:style w:type="character" w:customStyle="1" w:styleId="60">
    <w:name w:val="15"/>
    <w:basedOn w:val="16"/>
    <w:autoRedefine/>
    <w:qFormat/>
    <w:uiPriority w:val="0"/>
    <w:rPr>
      <w:rFonts w:hint="default" w:ascii="Times New Roman" w:hAnsi="Times New Roman" w:cs="Times New Roman"/>
      <w:b/>
      <w:bCs/>
    </w:rPr>
  </w:style>
  <w:style w:type="character" w:customStyle="1" w:styleId="61">
    <w:name w:val="正文文本 字符"/>
    <w:basedOn w:val="16"/>
    <w:link w:val="6"/>
    <w:autoRedefine/>
    <w:qFormat/>
    <w:uiPriority w:val="0"/>
    <w:rPr>
      <w:kern w:val="2"/>
      <w:sz w:val="21"/>
      <w:szCs w:val="24"/>
    </w:rPr>
  </w:style>
  <w:style w:type="paragraph" w:customStyle="1" w:styleId="62">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13</Pages>
  <Words>1356</Words>
  <Characters>7734</Characters>
  <Lines>1</Lines>
  <Paragraphs>1</Paragraphs>
  <TotalTime>5</TotalTime>
  <ScaleCrop>false</ScaleCrop>
  <LinksUpToDate>false</LinksUpToDate>
  <CharactersWithSpaces>9072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代理机构</cp:lastModifiedBy>
  <dcterms:modified xsi:type="dcterms:W3CDTF">2024-04-16T01:22:22Z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AE6659BF60B9467F936734DC45ADCDDA_13</vt:lpwstr>
  </property>
</Properties>
</file>