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《重大慢性病（慢阻肺）流行病学宣传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科普视频》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制作相关参数论证</w:t>
      </w: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  <w:bookmarkStart w:id="0" w:name="_Toc407261715"/>
    </w:p>
    <w:bookmarkEnd w:id="0"/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主要用途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传播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重大慢性病（慢阻肺）流行病学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相关科普知识，宣传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重大慢性病（慢阻肺）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预防和防治措施等内容。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公司资质要求</w:t>
      </w:r>
    </w:p>
    <w:tbl>
      <w:tblPr>
        <w:tblStyle w:val="7"/>
        <w:tblW w:w="95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16"/>
        <w:gridCol w:w="7101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bookmarkStart w:id="1" w:name="RANGE!A1"/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序号</w:t>
            </w:r>
            <w:bookmarkEnd w:id="1"/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主要内容</w:t>
            </w:r>
          </w:p>
        </w:tc>
        <w:tc>
          <w:tcPr>
            <w:tcW w:w="71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指标要求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11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响应供应商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的策划方案对项目需求的满足程度</w:t>
            </w:r>
          </w:p>
        </w:tc>
        <w:tc>
          <w:tcPr>
            <w:tcW w:w="7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据供应商提供的对疾病预防工作的了解掌握程度进行评审：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1.对疾病预防工作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了解掌握，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有制作疾病预防方面视频相关经验，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分；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.不提供相关表述不得分。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1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实施方案：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根据供应商提供的对视频选题策划能力及其制作方案进行评审：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1.选题策划能力强，制作新颖、科学合理、可行性高，得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分；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2.选题策划能力较强，制作设计较新颖、较科学合理、可行性较高，得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分；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3.选题策划能力一般，制作设计一般、基本科学合理、基本可行，得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分；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4.不提供相关表述不得分。</w:t>
            </w:r>
          </w:p>
          <w:p>
            <w:pPr>
              <w:spacing w:line="336" w:lineRule="auto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（须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提供策划方案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）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1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根据供应商提供的项目进度计划、整体质量保障措施进行评审：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1.项目进度计划、整体质量保障措施十分清晰、完整合理，科学合理，可行性高，得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分；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2.项目进度计划、整体质量保障措施比较清晰、基本完整合理，基本科学合理、基本可行，得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分；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3.项目进度计划、整体质量保障措施不清晰、不完整合理，不科学合理、可行性较低，得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分；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4.不提供相关表述不得分。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（须提供策划方案）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1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响应供应商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的实力、业绩及经验等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自201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年1月1日起，有承办政府部门或行政组织机构科普动画制作相关项目经验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每个项目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分。本项评分最高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分，根据每个项目规模及佐证材料酌情给分。（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须附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相关佐证材料，如项目简要说明（不超30字）、效果图等。佐证材料均需加盖公章）。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01" w:type="dxa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企业综合实力：能提供动漫视频制作所需团队力量，拟投入的服务团队人数在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人或以上的得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人以下的每人得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无得0分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1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01" w:type="dxa"/>
            <w:tcBorders>
              <w:left w:val="nil"/>
              <w:right w:val="single" w:color="auto" w:sz="8" w:space="0"/>
            </w:tcBorders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作品认可度：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具有优秀的制作能力及经验，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近5年内团队独立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制作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品获奖情况，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本项评分最高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bookmarkStart w:id="2" w:name="_GoBack"/>
            <w:bookmarkEnd w:id="2"/>
            <w:r>
              <w:rPr>
                <w:rFonts w:hint="default" w:ascii="Times New Roman" w:hAnsi="Times New Roman" w:eastAsia="仿宋_GB2312" w:cs="Times New Roman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国家级奖项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每提供一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每提供一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省级以下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须附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相关佐证材料，加盖公章）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1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01" w:type="dxa"/>
            <w:tcBorders>
              <w:left w:val="nil"/>
              <w:right w:val="single" w:color="auto" w:sz="8" w:space="0"/>
            </w:tcBorders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服务响应承诺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：1.能设置专员对口负责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且能安排专人上门服务跟进，能承诺2小时内响应服务需求的，得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分；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2.能安排专人上门服务跟进，且能承诺2小时内响应服务需求的，得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分；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3.仅能承诺2小时内响应服务需求的，得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分。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4.不提供服务承诺的，得0分。</w:t>
            </w:r>
          </w:p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承诺函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加盖公章。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17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合计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32</w:t>
            </w:r>
          </w:p>
        </w:tc>
      </w:tr>
    </w:tbl>
    <w:p>
      <w:pPr>
        <w:ind w:firstLine="723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技术要求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（一）视频内容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重大慢性病（慢阻肺）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流行病学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情况、危险因素、预防和防治措施。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数字文件格式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视频类型：动画视频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文件格式：mp4  （*.MPEG-4） 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画幅：1920*1080 像素 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帧速率：25fps 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优先场：逐行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宽高比：方形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时长视频：1分钟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图像和声音质量要求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视频：无电视节目包装（同期声字幕及人名字幕除外）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音频：音轨 1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对应 CH1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记录同期声、解说</w:t>
      </w:r>
    </w:p>
    <w:p>
      <w:pPr>
        <w:ind w:firstLine="1500" w:firstLineChars="5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音轨 2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对应 CH2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记录配乐、音效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附带全篇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唱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词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，文件格式（txt、word版）均可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唱词字幕制作标准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1.唱词字幕语言为现代汉语普通话，使用简体字。文字以最新版《现代汉语词典》为准。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2.字幕清晰，准确。不得出现错别字，不得多字缺字。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3.高清视频节目中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唱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词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字幕规定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位置：画面下方居中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对齐方式：居中对齐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4.标点符号的运用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（1）字幕中尽量避免使用标点符号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（2）原则上不使用句号、逗号、问号、感叹号、省略号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（3）顿号和逗号用半角的空格代替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5.数字格式的使用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（1）尽量使用阿拉伯数字，使用时采用半角阿拉伯数字。参照《出版物上数字用法的规定（GB/T15835）》执行。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（2）数字格式保持全文前后一致</w:t>
      </w:r>
    </w:p>
    <w:p>
      <w:pPr>
        <w:ind w:firstLine="723" w:firstLineChars="200"/>
        <w:jc w:val="left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四、验收方式</w:t>
      </w:r>
    </w:p>
    <w:p>
      <w:pPr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由省疾控中心慢非所组建验收小组，进行验收确认。</w:t>
      </w:r>
    </w:p>
    <w:p>
      <w:pPr>
        <w:pStyle w:val="2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76696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2A8E1"/>
    <w:multiLevelType w:val="singleLevel"/>
    <w:tmpl w:val="AC72A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MmFjMmIyNDEwNGY0ZDIzZGVkMDkzY2Y2ODk0YWMifQ=="/>
  </w:docVars>
  <w:rsids>
    <w:rsidRoot w:val="00F23FEF"/>
    <w:rsid w:val="00111EA5"/>
    <w:rsid w:val="00114FA6"/>
    <w:rsid w:val="0011638B"/>
    <w:rsid w:val="001D45F6"/>
    <w:rsid w:val="00274C5F"/>
    <w:rsid w:val="00280552"/>
    <w:rsid w:val="002E34F3"/>
    <w:rsid w:val="00306E5C"/>
    <w:rsid w:val="0041784B"/>
    <w:rsid w:val="00450425"/>
    <w:rsid w:val="004721CD"/>
    <w:rsid w:val="0049687F"/>
    <w:rsid w:val="00510039"/>
    <w:rsid w:val="005342B6"/>
    <w:rsid w:val="00540F47"/>
    <w:rsid w:val="005F1469"/>
    <w:rsid w:val="00602978"/>
    <w:rsid w:val="00615706"/>
    <w:rsid w:val="00631DB5"/>
    <w:rsid w:val="006E6DD4"/>
    <w:rsid w:val="00731AD5"/>
    <w:rsid w:val="00791F8B"/>
    <w:rsid w:val="00792544"/>
    <w:rsid w:val="007B2A79"/>
    <w:rsid w:val="00880F54"/>
    <w:rsid w:val="008A4733"/>
    <w:rsid w:val="009A44F5"/>
    <w:rsid w:val="00AB36C6"/>
    <w:rsid w:val="00AC706D"/>
    <w:rsid w:val="00B126D1"/>
    <w:rsid w:val="00B978D9"/>
    <w:rsid w:val="00BD5C1B"/>
    <w:rsid w:val="00C2607D"/>
    <w:rsid w:val="00CC51F9"/>
    <w:rsid w:val="00CD622D"/>
    <w:rsid w:val="00D53664"/>
    <w:rsid w:val="00D5671D"/>
    <w:rsid w:val="00E26310"/>
    <w:rsid w:val="00F23FEF"/>
    <w:rsid w:val="0132783D"/>
    <w:rsid w:val="03402F18"/>
    <w:rsid w:val="03EA43FF"/>
    <w:rsid w:val="06FB62C0"/>
    <w:rsid w:val="10215372"/>
    <w:rsid w:val="162437A1"/>
    <w:rsid w:val="1645515F"/>
    <w:rsid w:val="18811059"/>
    <w:rsid w:val="18D524FF"/>
    <w:rsid w:val="18FA5B76"/>
    <w:rsid w:val="1DB72CC1"/>
    <w:rsid w:val="222E1495"/>
    <w:rsid w:val="26FB3DA3"/>
    <w:rsid w:val="2D862C29"/>
    <w:rsid w:val="2DA134D1"/>
    <w:rsid w:val="2ED12E62"/>
    <w:rsid w:val="326276D3"/>
    <w:rsid w:val="347554B0"/>
    <w:rsid w:val="383D6DCE"/>
    <w:rsid w:val="39173CCB"/>
    <w:rsid w:val="3BEE1FD7"/>
    <w:rsid w:val="3FB157F6"/>
    <w:rsid w:val="44BF096D"/>
    <w:rsid w:val="50464A32"/>
    <w:rsid w:val="50D7260F"/>
    <w:rsid w:val="560160DA"/>
    <w:rsid w:val="59D6576F"/>
    <w:rsid w:val="5AC06E8E"/>
    <w:rsid w:val="63A728E8"/>
    <w:rsid w:val="66AC60CF"/>
    <w:rsid w:val="704C67C6"/>
    <w:rsid w:val="70EA55C6"/>
    <w:rsid w:val="72BE2795"/>
    <w:rsid w:val="7384488D"/>
    <w:rsid w:val="75956A44"/>
    <w:rsid w:val="78BE62B2"/>
    <w:rsid w:val="7B3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adjustRightInd w:val="0"/>
      <w:snapToGrid w:val="0"/>
      <w:spacing w:line="360" w:lineRule="auto"/>
      <w:jc w:val="center"/>
      <w:outlineLvl w:val="0"/>
    </w:pPr>
    <w:rPr>
      <w:rFonts w:ascii="黑体" w:hAnsi="宋体" w:eastAsia="黑体" w:cs="Arial"/>
      <w:bCs/>
      <w:color w:val="000000"/>
      <w:sz w:val="36"/>
      <w:szCs w:val="36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120" w:after="120" w:line="376" w:lineRule="auto"/>
      <w:outlineLvl w:val="3"/>
    </w:pPr>
    <w:rPr>
      <w:rFonts w:ascii="Arial" w:hAnsi="Arial" w:eastAsia="黑体" w:cs="Times New Roman"/>
      <w:b/>
      <w:sz w:val="28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99"/>
    <w:pPr>
      <w:spacing w:before="166"/>
      <w:ind w:left="0" w:firstLine="0" w:firstLineChars="0"/>
    </w:pPr>
    <w:rPr>
      <w:rFonts w:ascii="宋体" w:hAnsi="宋体" w:cs="Times New Roman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autoRedefine/>
    <w:qFormat/>
    <w:uiPriority w:val="0"/>
    <w:rPr>
      <w:rFonts w:ascii="黑体" w:hAnsi="宋体" w:eastAsia="黑体" w:cs="Arial"/>
      <w:bCs/>
      <w:color w:val="000000"/>
      <w:sz w:val="36"/>
      <w:szCs w:val="36"/>
    </w:rPr>
  </w:style>
  <w:style w:type="paragraph" w:customStyle="1" w:styleId="12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BC617-8546-45CB-92A6-C5A488AF1B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362</Words>
  <Characters>2064</Characters>
  <Lines>17</Lines>
  <Paragraphs>4</Paragraphs>
  <TotalTime>6</TotalTime>
  <ScaleCrop>false</ScaleCrop>
  <LinksUpToDate>false</LinksUpToDate>
  <CharactersWithSpaces>2422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2019-07-11T07:56:00Z</dcterms:created>
  <dc:creator>彭丹丹</dc:creator>
  <cp:lastModifiedBy>云采链</cp:lastModifiedBy>
  <cp:lastPrinted>2019-09-30T00:39:00Z</cp:lastPrinted>
  <dcterms:modified xsi:type="dcterms:W3CDTF">2024-03-27T10:05:59Z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F0623D36716641B3B6222815A8BE3D17_13</vt:lpwstr>
  </property>
</Properties>
</file>