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rPr>
          <w:bCs/>
          <w:szCs w:val="21"/>
        </w:rPr>
      </w:pPr>
      <w:r>
        <w:rPr>
          <w:rFonts w:hint="eastAsia"/>
          <w:bCs/>
          <w:szCs w:val="21"/>
        </w:rPr>
        <w:t>致：广州医科大学附属番禺中心医院</w:t>
      </w:r>
      <w:r>
        <w:rPr>
          <w:bCs/>
          <w:szCs w:val="21"/>
        </w:rPr>
        <w:t xml:space="preserve"> </w:t>
      </w:r>
    </w:p>
    <w:p>
      <w:pPr>
        <w:ind w:firstLine="480" w:firstLineChars="200"/>
        <w:rPr>
          <w:bCs/>
          <w:szCs w:val="21"/>
        </w:rPr>
      </w:pPr>
      <w:r>
        <w:rPr>
          <w:rFonts w:hint="eastAsia"/>
          <w:bCs/>
          <w:szCs w:val="21"/>
        </w:rPr>
        <w:t>根据贵方发布的《</w:t>
      </w:r>
      <w:r>
        <w:rPr>
          <w:rFonts w:hint="eastAsia"/>
          <w:szCs w:val="21"/>
        </w:rPr>
        <w:t>广州医科大学附属番禺中心医院卡管平台建设项目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r>
        <w:rPr>
          <w:rFonts w:hint="eastAsia"/>
          <w:bCs/>
          <w:szCs w:val="21"/>
        </w:rPr>
        <w:t>据此函，本人宣布同意如下：</w:t>
      </w:r>
    </w:p>
    <w:p>
      <w:pPr>
        <w:ind w:firstLine="480" w:firstLineChars="200"/>
        <w:rPr>
          <w:bCs/>
          <w:szCs w:val="21"/>
        </w:rPr>
      </w:pPr>
      <w:r>
        <w:rPr>
          <w:rFonts w:hint="eastAsia"/>
          <w:bCs/>
          <w:szCs w:val="21"/>
        </w:rPr>
        <w:t>1．本项目提供和交付的系统总价为：</w:t>
      </w: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其中报价明细如下：</w:t>
      </w:r>
    </w:p>
    <w:tbl>
      <w:tblPr>
        <w:tblStyle w:val="44"/>
        <w:tblW w:w="0" w:type="auto"/>
        <w:tblInd w:w="0" w:type="dxa"/>
        <w:tblLayout w:type="autofit"/>
        <w:tblCellMar>
          <w:top w:w="0" w:type="dxa"/>
          <w:left w:w="108" w:type="dxa"/>
          <w:bottom w:w="0" w:type="dxa"/>
          <w:right w:w="108" w:type="dxa"/>
        </w:tblCellMar>
      </w:tblPr>
      <w:tblGrid>
        <w:gridCol w:w="499"/>
        <w:gridCol w:w="861"/>
        <w:gridCol w:w="6142"/>
        <w:gridCol w:w="1020"/>
      </w:tblGrid>
      <w:tr>
        <w:tblPrEx>
          <w:tblCellMar>
            <w:top w:w="0" w:type="dxa"/>
            <w:left w:w="108" w:type="dxa"/>
            <w:bottom w:w="0" w:type="dxa"/>
            <w:right w:w="108" w:type="dxa"/>
          </w:tblCellMar>
        </w:tblPrEx>
        <w:trPr>
          <w:trHeight w:val="5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功能简介</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报价（元）</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平台账户建立</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集中式卡管总控平台，为院内员工与就诊患者及家属建立虚拟消费卡，实现院内诊疗、院内便利店、院内特医商店、膳食门店等一站式消费功能。卡管平台实现会员式管理，具备促销功能，能够对不同群体实施不同优惠。</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人脸识别缴费功能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开发人脸识别缴费功能，利用3D人脸识别技术，对患者身份进行核验，读取患者身份信息，激活医保电子凭证，同时支持可扩展性存储及各类读卡，实现终端定位及机构绑定。同时能够对缴费信息进行交易提醒，终端一键自检。丰富医保电子凭证应用场景，提升使用率，优化医院患者服务流程，提升医保便民服务能力，提升医保反欺诈监管能力。</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库存现金缴存功能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强化院内库存现金缴存管理，引入智能收钞服务。通过设备管理，满足收费人员库存现金清分入账，落实库存现金管理、保证库存现金资金安全。实现库存现金自助对账、缴款明细查询、报表分析等功能，降低财务现金缴款工作量。对医院现金优先清分入账，聘请有资质的押运提供沿途守押保卫服务。</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智能退费功能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针对医院现有的包括线上小程序、自助机、住院门诊收费处等收款渠道实现办理住院患者的自助退费功能。通过提供便捷高效的退费渠道与退费服务，提升患者服务体验、增强患者满意度。</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智能对账功能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建立智能对账平台，融合银商及其他第三方渠道（如微信直连，支付宝直连等等）服务商资金与交易数据，实现院内交易数据的自动对账核销，实现收费对账闭环管理，提升对账精度与对账效率。</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智能账务处理功能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利用财务信息化技术，能够能够自动生成凭证，实现与数字财政系统对接，能够自动生成会计报表。同时能够提供当年数字财政期初数据初始化服务，实现年末结转，或导入同步期初数据。能够提供当天本地账务系统新增、修改、删除的凭证，24小时内同步到数字财政服务，做好常规账务稽查工作。及时完成数字财政国库指标的无缝挂接与对象。实现决算报表，决算报告自动生成功能。</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7</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HIS系统接口对接</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包含院内</w:t>
            </w:r>
            <w:r>
              <w:t>HIS系统在此项目所有接口对接的服务费用。支持用户方HIS系统在合同期内迭代维护的需求</w:t>
            </w:r>
            <w:r>
              <w:rPr>
                <w:rFonts w:hint="eastAsia"/>
              </w:rPr>
              <w:t>。</w:t>
            </w:r>
          </w:p>
        </w:tc>
        <w:tc>
          <w:tcPr>
            <w:tcW w:w="0" w:type="auto"/>
            <w:tcBorders>
              <w:top w:val="nil"/>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rPr>
                <w:rFonts w:hint="eastAsia"/>
              </w:rPr>
            </w:pPr>
            <w:r>
              <w:rPr>
                <w:rFonts w:hint="eastAsia"/>
              </w:rPr>
              <w:t>8</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rPr>
                <w:rFonts w:hint="eastAsia"/>
              </w:rPr>
            </w:pPr>
            <w:r>
              <w:rPr>
                <w:rFonts w:hint="eastAsia"/>
              </w:rPr>
              <w:t>服务器</w:t>
            </w:r>
          </w:p>
        </w:tc>
        <w:tc>
          <w:tcPr>
            <w:tcW w:w="0" w:type="auto"/>
            <w:tcBorders>
              <w:top w:val="nil"/>
              <w:left w:val="nil"/>
              <w:bottom w:val="single" w:color="auto" w:sz="4" w:space="0"/>
              <w:right w:val="single" w:color="auto" w:sz="4" w:space="0"/>
            </w:tcBorders>
            <w:shd w:val="clear" w:color="auto" w:fill="auto"/>
            <w:vAlign w:val="center"/>
          </w:tcPr>
          <w:p>
            <w:pPr>
              <w:rPr>
                <w:rFonts w:hint="eastAsia"/>
              </w:rPr>
            </w:pPr>
            <w:r>
              <w:rPr>
                <w:rFonts w:hint="eastAsia"/>
              </w:rPr>
              <w:t>详见：用户需求书-四、硬件清单</w:t>
            </w:r>
          </w:p>
        </w:tc>
        <w:tc>
          <w:tcPr>
            <w:tcW w:w="0" w:type="auto"/>
            <w:tcBorders>
              <w:top w:val="nil"/>
              <w:left w:val="nil"/>
              <w:bottom w:val="single" w:color="auto" w:sz="4" w:space="0"/>
              <w:right w:val="single" w:color="auto"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t>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售后服务要求</w:t>
            </w:r>
          </w:p>
        </w:tc>
        <w:tc>
          <w:tcPr>
            <w:tcW w:w="0" w:type="auto"/>
            <w:tcBorders>
              <w:top w:val="nil"/>
              <w:left w:val="nil"/>
              <w:bottom w:val="single" w:color="auto" w:sz="4" w:space="0"/>
              <w:right w:val="single" w:color="auto" w:sz="4" w:space="0"/>
            </w:tcBorders>
            <w:shd w:val="clear" w:color="auto" w:fill="auto"/>
            <w:vAlign w:val="center"/>
          </w:tcPr>
          <w:p>
            <w:r>
              <w:rPr>
                <w:rFonts w:hint="eastAsia"/>
              </w:rPr>
              <w:t>1、卡管平台验收合格后，供应商提供不少于1年跟踪维护服务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2、系统发生故障时，供应商工程师提出合理解决方案并负责工作至故障排除，供应商均保证在 24 小时内响应，并在 48 小时内解决问题</w:t>
            </w:r>
          </w:p>
        </w:tc>
        <w:tc>
          <w:tcPr>
            <w:tcW w:w="0" w:type="auto"/>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114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3、在维护服务期内，供应商需指派至少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tc>
        <w:tc>
          <w:tcPr>
            <w:tcW w:w="0" w:type="auto"/>
            <w:vMerge w:val="continue"/>
            <w:tcBorders>
              <w:top w:val="nil"/>
              <w:left w:val="single" w:color="auto" w:sz="4" w:space="0"/>
              <w:bottom w:val="single" w:color="auto" w:sz="4" w:space="0"/>
              <w:right w:val="single" w:color="auto" w:sz="4" w:space="0"/>
            </w:tcBorders>
            <w:vAlign w:val="center"/>
          </w:tcPr>
          <w:p/>
        </w:tc>
      </w:tr>
    </w:tbl>
    <w:p>
      <w:pPr>
        <w:rPr>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4</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rPr>
          <w:bCs/>
          <w:szCs w:val="21"/>
        </w:rPr>
      </w:pPr>
    </w:p>
    <w:p>
      <w:pPr>
        <w:rPr>
          <w:bCs/>
          <w:szCs w:val="21"/>
        </w:rPr>
      </w:pPr>
    </w:p>
    <w:p>
      <w:pPr>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广州医科大学附属番禺中心医院卡管平台建设项目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rFonts w:cs="Arial"/>
          <w:szCs w:val="21"/>
        </w:rPr>
      </w:pPr>
    </w:p>
    <w:p>
      <w:pPr>
        <w:rPr>
          <w:rFonts w:cs="Arial"/>
          <w:szCs w:val="21"/>
        </w:rPr>
      </w:pPr>
    </w:p>
    <w:p>
      <w:pPr>
        <w:pStyle w:val="3"/>
        <w:numPr>
          <w:ilvl w:val="0"/>
          <w:numId w:val="0"/>
        </w:numPr>
        <w:jc w:val="center"/>
        <w:rPr>
          <w:rFonts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r>
        <w:rPr>
          <w:rFonts w:hint="eastAsia"/>
        </w:rPr>
        <w:t>广州医科大学附属番禺中心医院：</w:t>
      </w:r>
    </w:p>
    <w:p/>
    <w:p>
      <w:pPr>
        <w:ind w:firstLine="720" w:firstLineChars="300"/>
      </w:pPr>
      <w:r>
        <w:rPr>
          <w:rFonts w:hint="eastAsia"/>
        </w:rPr>
        <w:t>在研究了方案和有关文件后，我们就《</w:t>
      </w:r>
      <w:r>
        <w:rPr>
          <w:rFonts w:hint="eastAsia"/>
          <w:szCs w:val="21"/>
        </w:rPr>
        <w:t>广州医科大学附属番禺中心医院卡管平台建设项目</w:t>
      </w:r>
      <w:r>
        <w:rPr>
          <w:rFonts w:hint="eastAsia"/>
        </w:rPr>
        <w:t>》响应情况如下：</w:t>
      </w:r>
    </w:p>
    <w:tbl>
      <w:tblPr>
        <w:tblStyle w:val="44"/>
        <w:tblW w:w="0" w:type="auto"/>
        <w:tblInd w:w="0" w:type="dxa"/>
        <w:tblLayout w:type="autofit"/>
        <w:tblCellMar>
          <w:top w:w="0" w:type="dxa"/>
          <w:left w:w="108" w:type="dxa"/>
          <w:bottom w:w="0" w:type="dxa"/>
          <w:right w:w="108" w:type="dxa"/>
        </w:tblCellMar>
      </w:tblPr>
      <w:tblGrid>
        <w:gridCol w:w="502"/>
        <w:gridCol w:w="881"/>
        <w:gridCol w:w="6547"/>
        <w:gridCol w:w="592"/>
      </w:tblGrid>
      <w:tr>
        <w:tblPrEx>
          <w:tblCellMar>
            <w:top w:w="0" w:type="dxa"/>
            <w:left w:w="108" w:type="dxa"/>
            <w:bottom w:w="0" w:type="dxa"/>
            <w:right w:w="108" w:type="dxa"/>
          </w:tblCellMar>
        </w:tblPrEx>
        <w:trPr>
          <w:trHeight w:val="5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功能简介</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响应情况</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平台账户建立</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集中式卡管总控平台，为院内员工与就诊患者及家属建立虚拟消费卡，实现院内诊疗、院内便利店、院内特医商店、膳食门店等一站式消费功能。卡管平台实现会员式管理，具备促销功能，能够对不同群体实施不同优惠。</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人脸识别缴费功能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开发人脸识别缴费功能，利用3D人脸识别技术，对患者身份进行核验，读取患者身份信息，激活医保电子凭证，同时支持可扩展性存储及各类读卡，实现终端定位及机构绑定。同时能够对缴费信息进行交易提醒，终端一键自检。丰富医保电子凭证应用场景，提升使用率，优化医院患者服务流程，提升医保便民服务能力，提升医保反欺诈监管能力。</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库存现金缴存功能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强化院内库存现金缴存管理，引入智能收钞服务。通过设备管理，满足收费人员库存现金清分入账，落实库存现金管理、保证库存现金资金安全。实现库存现金自助对账、缴款明细查询、报表分析等功能，降低财务现金缴款工作量。对医院现金优先清分入账，聘请有资质的押运提供沿途守押保卫服务。</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智能退费功能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针对医院现有的包括线上小程序、自助机、住院门诊收费处等收款渠道实现办理住院患者的自助退费功能。通过提供便捷高效的退费渠道与退费服务，提升患者服务体验、增强患者满意度。</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智能对账功能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建立智能对账平台，融合银商及其他第三方渠道（如微信直连，支付宝直连等等）服务商资金与交易数据，实现院内交易数据的自动对账核销，实现收费对账闭环管理，提升对账精度与对账效率。</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智能账务处理功能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利用财务信息化技术，能够能够自动生成凭证，实现与数字财政系统对接，能够自动生成会计报表。同时能够提供当年数字财政期初数据初始化服务，实现年末结转，或导入同步期初数据。能够提供当天本地账务系统新增、修改、删除的凭证，24小时内同步到数字财政服务，做好常规账务稽查工作。及时完成数字财政国库指标的无缝挂接与对象。实现决算报表，决算报告自动生成功能。</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7</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HIS系统接口对接</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包含院内</w:t>
            </w:r>
            <w:r>
              <w:t>HIS系统在此项目所有接口对接的服务费用。支持用户方HIS系统在合同期内迭代维护的需求</w:t>
            </w:r>
            <w:r>
              <w:rPr>
                <w:rFonts w:hint="eastAsia"/>
              </w:rPr>
              <w:t>。</w:t>
            </w:r>
          </w:p>
        </w:tc>
        <w:tc>
          <w:tcPr>
            <w:tcW w:w="0" w:type="auto"/>
            <w:tcBorders>
              <w:top w:val="nil"/>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rPr>
                <w:rFonts w:hint="eastAsia"/>
              </w:rPr>
            </w:pPr>
            <w:r>
              <w:rPr>
                <w:rFonts w:hint="eastAsia"/>
              </w:rPr>
              <w:t>8</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rPr>
                <w:rFonts w:hint="eastAsia"/>
              </w:rPr>
            </w:pPr>
            <w:r>
              <w:rPr>
                <w:rFonts w:hint="eastAsia"/>
              </w:rPr>
              <w:t>服务器</w:t>
            </w:r>
          </w:p>
        </w:tc>
        <w:tc>
          <w:tcPr>
            <w:tcW w:w="0" w:type="auto"/>
            <w:tcBorders>
              <w:top w:val="nil"/>
              <w:left w:val="nil"/>
              <w:bottom w:val="single" w:color="auto" w:sz="4" w:space="0"/>
              <w:right w:val="single" w:color="auto" w:sz="4" w:space="0"/>
            </w:tcBorders>
            <w:shd w:val="clear" w:color="auto" w:fill="auto"/>
            <w:vAlign w:val="center"/>
          </w:tcPr>
          <w:p>
            <w:pPr>
              <w:rPr>
                <w:rFonts w:hint="eastAsia"/>
              </w:rPr>
            </w:pPr>
            <w:r>
              <w:rPr>
                <w:rFonts w:hint="eastAsia"/>
              </w:rPr>
              <w:t>详见：用户需求书-四、硬件清单</w:t>
            </w:r>
          </w:p>
        </w:tc>
        <w:tc>
          <w:tcPr>
            <w:tcW w:w="0" w:type="auto"/>
            <w:tcBorders>
              <w:top w:val="nil"/>
              <w:left w:val="nil"/>
              <w:bottom w:val="single" w:color="auto" w:sz="4" w:space="0"/>
              <w:right w:val="single" w:color="auto"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t>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售后服务要求</w:t>
            </w:r>
          </w:p>
        </w:tc>
        <w:tc>
          <w:tcPr>
            <w:tcW w:w="0" w:type="auto"/>
            <w:tcBorders>
              <w:top w:val="nil"/>
              <w:left w:val="nil"/>
              <w:bottom w:val="single" w:color="auto" w:sz="4" w:space="0"/>
              <w:right w:val="single" w:color="auto" w:sz="4" w:space="0"/>
            </w:tcBorders>
            <w:shd w:val="clear" w:color="auto" w:fill="auto"/>
            <w:vAlign w:val="center"/>
          </w:tcPr>
          <w:p>
            <w:r>
              <w:rPr>
                <w:rFonts w:hint="eastAsia"/>
              </w:rPr>
              <w:t>1、卡管平台验收合格后，供应商提供不少于三年跟踪维护服务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2、系统发生故障时，供应商工程师提出合理解决方案并负责工作至故障排除，供应商均保证在 24 小时内响应，并在 48 小时内解决问题</w:t>
            </w:r>
          </w:p>
        </w:tc>
        <w:tc>
          <w:tcPr>
            <w:tcW w:w="0" w:type="auto"/>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114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3、在维护服务期内，供应商需指派至少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tc>
        <w:tc>
          <w:tcPr>
            <w:tcW w:w="0" w:type="auto"/>
            <w:vMerge w:val="continue"/>
            <w:tcBorders>
              <w:top w:val="nil"/>
              <w:left w:val="single" w:color="auto" w:sz="4" w:space="0"/>
              <w:bottom w:val="single" w:color="auto" w:sz="4" w:space="0"/>
              <w:right w:val="single" w:color="auto" w:sz="4" w:space="0"/>
            </w:tcBorders>
            <w:vAlign w:val="center"/>
          </w:tcPr>
          <w:p/>
        </w:tc>
      </w:tr>
    </w:tbl>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r>
        <w:rPr>
          <w:rFonts w:hint="eastAsia"/>
          <w:szCs w:val="21"/>
        </w:rPr>
        <w:t>+</w:t>
      </w:r>
    </w:p>
    <w:p>
      <w:pPr>
        <w:spacing w:line="360" w:lineRule="auto"/>
        <w:ind w:right="480" w:firstLine="5280" w:firstLineChars="2200"/>
        <w:rPr>
          <w:szCs w:val="21"/>
        </w:rPr>
      </w:pPr>
    </w:p>
    <w:p>
      <w:pPr>
        <w:spacing w:line="360" w:lineRule="auto"/>
        <w:ind w:right="480" w:firstLine="5280" w:firstLineChars="2200"/>
        <w:rPr>
          <w:rFonts w:cs="Arial"/>
          <w:szCs w:val="21"/>
        </w:rPr>
      </w:pPr>
    </w:p>
    <w:p>
      <w:pPr>
        <w:spacing w:line="360" w:lineRule="auto"/>
        <w:jc w:val="center"/>
        <w:rPr>
          <w:b/>
        </w:rPr>
      </w:pPr>
      <w:r>
        <w:rPr>
          <w:rFonts w:hint="eastAsia"/>
          <w:b/>
        </w:rPr>
        <w:t>附件</w:t>
      </w:r>
      <w:r>
        <w:rPr>
          <w:b/>
        </w:rPr>
        <w:t xml:space="preserve">4 </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4、现场提交的本文件内容需盖单位公章或业务章。</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5、供应商需提供部署此系统的服务器及网络等要求。</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rFonts w:hint="eastAsia"/>
          <w:bCs/>
          <w:color w:val="FF0000"/>
          <w:szCs w:val="21"/>
        </w:rPr>
        <w:t>6、要求提供整体实施方案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2870C9"/>
    <w:rsid w:val="00320E78"/>
    <w:rsid w:val="00352FB3"/>
    <w:rsid w:val="00357A20"/>
    <w:rsid w:val="00382ADE"/>
    <w:rsid w:val="003A170C"/>
    <w:rsid w:val="003A6687"/>
    <w:rsid w:val="003B37A6"/>
    <w:rsid w:val="003C2127"/>
    <w:rsid w:val="003C6FAB"/>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C520E"/>
    <w:rsid w:val="005F2F70"/>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A3634"/>
    <w:rsid w:val="00A36EB4"/>
    <w:rsid w:val="00A426DB"/>
    <w:rsid w:val="00A54DEF"/>
    <w:rsid w:val="00A56863"/>
    <w:rsid w:val="00A80BE1"/>
    <w:rsid w:val="00AD48F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17A8B"/>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 w:val="7FFA6EC6"/>
    <w:rsid w:val="EEBE24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5B45-71A2-4742-A440-B639D55B3844}">
  <ds:schemaRefs/>
</ds:datastoreItem>
</file>

<file path=docProps/app.xml><?xml version="1.0" encoding="utf-8"?>
<Properties xmlns="http://schemas.openxmlformats.org/officeDocument/2006/extended-properties" xmlns:vt="http://schemas.openxmlformats.org/officeDocument/2006/docPropsVTypes">
  <Company>china</Company>
  <Pages>1</Pages>
  <Words>535</Words>
  <Characters>3053</Characters>
  <Lines>25</Lines>
  <Paragraphs>7</Paragraphs>
  <TotalTime>65</TotalTime>
  <ScaleCrop>false</ScaleCrop>
  <LinksUpToDate>false</LinksUpToDate>
  <CharactersWithSpaces>3581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2024-12-03T23:29:00Z</dcterms:created>
  <dc:creator>X GJ</dc:creator>
  <cp:lastModifiedBy>Administrator</cp:lastModifiedBy>
  <dcterms:modified xsi:type="dcterms:W3CDTF">2024-12-06T08:36:33Z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