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F8B0CA">
      <w:pPr>
        <w:pStyle w:val="19"/>
        <w:spacing w:before="164"/>
        <w:ind w:firstLine="420" w:firstLineChars="200"/>
        <w:jc w:val="left"/>
        <w:rPr>
          <w:rFonts w:hint="eastAsia" w:ascii="宋体" w:hAnsi="宋体" w:eastAsia="宋体" w:cs="宋体"/>
          <w:color w:val="000000"/>
          <w:kern w:val="2"/>
          <w:sz w:val="21"/>
          <w:szCs w:val="21"/>
          <w:lang w:val="en-US" w:eastAsia="zh-CN" w:bidi="ar-SA"/>
        </w:rPr>
      </w:pPr>
      <w:bookmarkStart w:id="0" w:name="_GoBack"/>
      <w:r>
        <w:rPr>
          <w:rFonts w:hint="eastAsia" w:cs="宋体"/>
          <w:color w:val="000000"/>
          <w:kern w:val="2"/>
          <w:sz w:val="21"/>
          <w:szCs w:val="21"/>
          <w:lang w:val="en-US" w:eastAsia="zh-CN" w:bidi="ar-SA"/>
        </w:rPr>
        <w:t>2025年佛冈县县城病媒密度控制水平监测项目</w:t>
      </w:r>
      <w:bookmarkEnd w:id="0"/>
      <w:r>
        <w:rPr>
          <w:rFonts w:hint="eastAsia" w:ascii="宋体" w:hAnsi="宋体" w:eastAsia="宋体" w:cs="宋体"/>
          <w:color w:val="000000"/>
          <w:kern w:val="2"/>
          <w:sz w:val="21"/>
          <w:szCs w:val="21"/>
          <w:lang w:val="en-US" w:eastAsia="zh-CN" w:bidi="ar-SA"/>
        </w:rPr>
        <w:t>，现向社会公开调研及供应商征集：</w:t>
      </w:r>
    </w:p>
    <w:p w14:paraId="7F4E5D2A">
      <w:pPr>
        <w:pStyle w:val="19"/>
        <w:spacing w:before="164"/>
        <w:jc w:val="left"/>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1、欢迎各潜在供应商提供报价表等。</w:t>
      </w:r>
      <w:r>
        <w:rPr>
          <w:rFonts w:hint="eastAsia" w:ascii="宋体" w:hAnsi="宋体" w:eastAsia="宋体" w:cs="宋体"/>
          <w:color w:val="000000"/>
          <w:kern w:val="2"/>
          <w:sz w:val="21"/>
          <w:szCs w:val="21"/>
          <w:lang w:val="en-US" w:eastAsia="zh-CN" w:bidi="ar-SA"/>
        </w:rPr>
        <w:br w:type="textWrapping"/>
      </w:r>
      <w:r>
        <w:rPr>
          <w:rFonts w:hint="eastAsia" w:ascii="宋体" w:hAnsi="宋体" w:eastAsia="宋体" w:cs="宋体"/>
          <w:color w:val="000000"/>
          <w:kern w:val="2"/>
          <w:sz w:val="21"/>
          <w:szCs w:val="21"/>
          <w:lang w:val="en-US" w:eastAsia="zh-CN" w:bidi="ar-SA"/>
        </w:rPr>
        <w:t>2、请按照附件格式要求提供相关资料。</w:t>
      </w:r>
      <w:r>
        <w:rPr>
          <w:rFonts w:hint="eastAsia" w:ascii="宋体" w:hAnsi="宋体" w:eastAsia="宋体" w:cs="宋体"/>
          <w:color w:val="000000"/>
          <w:kern w:val="2"/>
          <w:sz w:val="21"/>
          <w:szCs w:val="21"/>
          <w:lang w:val="en-US" w:eastAsia="zh-CN" w:bidi="ar-SA"/>
        </w:rPr>
        <w:br w:type="textWrapping"/>
      </w:r>
      <w:r>
        <w:rPr>
          <w:rFonts w:hint="eastAsia" w:ascii="宋体" w:hAnsi="宋体" w:eastAsia="宋体" w:cs="宋体"/>
          <w:color w:val="000000"/>
          <w:kern w:val="2"/>
          <w:sz w:val="21"/>
          <w:szCs w:val="21"/>
          <w:lang w:val="en-US" w:eastAsia="zh-CN" w:bidi="ar-SA"/>
        </w:rPr>
        <w:t>3、本次调研仅作为提供采购方参考的依据，参与本次调研并不代表取得订单。</w:t>
      </w:r>
    </w:p>
    <w:p w14:paraId="44C50E97">
      <w:pP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4、基本要求；</w:t>
      </w:r>
    </w:p>
    <w:tbl>
      <w:tblPr>
        <w:tblStyle w:val="11"/>
        <w:tblW w:w="8060"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3406"/>
        <w:gridCol w:w="3407"/>
        <w:gridCol w:w="1247"/>
      </w:tblGrid>
      <w:tr w14:paraId="2866010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51" w:hRule="atLeast"/>
          <w:jc w:val="center"/>
        </w:trPr>
        <w:tc>
          <w:tcPr>
            <w:tcW w:w="3406" w:type="dxa"/>
            <w:vMerge w:val="restart"/>
            <w:tcBorders>
              <w:top w:val="single" w:color="000000" w:sz="4" w:space="0"/>
              <w:left w:val="single" w:color="000000" w:sz="4" w:space="0"/>
              <w:bottom w:val="single" w:color="000000" w:sz="4" w:space="0"/>
              <w:right w:val="single" w:color="000000" w:sz="4" w:space="0"/>
            </w:tcBorders>
            <w:vAlign w:val="center"/>
          </w:tcPr>
          <w:p w14:paraId="657DFB04">
            <w:pPr>
              <w:pStyle w:val="19"/>
              <w:spacing w:before="164"/>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项目名称</w:t>
            </w:r>
          </w:p>
        </w:tc>
        <w:tc>
          <w:tcPr>
            <w:tcW w:w="3407" w:type="dxa"/>
            <w:vMerge w:val="restart"/>
            <w:tcBorders>
              <w:top w:val="single" w:color="000000" w:sz="4" w:space="0"/>
              <w:left w:val="single" w:color="000000" w:sz="4" w:space="0"/>
              <w:bottom w:val="single" w:color="000000" w:sz="4" w:space="0"/>
              <w:right w:val="single" w:color="000000" w:sz="4" w:space="0"/>
            </w:tcBorders>
            <w:vAlign w:val="center"/>
          </w:tcPr>
          <w:p w14:paraId="076837EE">
            <w:pPr>
              <w:pStyle w:val="19"/>
              <w:spacing w:before="164"/>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项目特征描述</w:t>
            </w:r>
          </w:p>
        </w:tc>
        <w:tc>
          <w:tcPr>
            <w:tcW w:w="1247" w:type="dxa"/>
            <w:vMerge w:val="restart"/>
            <w:tcBorders>
              <w:top w:val="single" w:color="000000" w:sz="4" w:space="0"/>
              <w:left w:val="single" w:color="000000" w:sz="4" w:space="0"/>
              <w:bottom w:val="single" w:color="000000" w:sz="4" w:space="0"/>
              <w:right w:val="single" w:color="000000" w:sz="4" w:space="0"/>
            </w:tcBorders>
            <w:vAlign w:val="center"/>
          </w:tcPr>
          <w:p w14:paraId="3AB9575F">
            <w:pPr>
              <w:pStyle w:val="19"/>
              <w:spacing w:line="182" w:lineRule="auto"/>
              <w:ind w:right="21"/>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计量单位</w:t>
            </w:r>
          </w:p>
        </w:tc>
      </w:tr>
      <w:tr w14:paraId="0DA369E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59" w:hRule="atLeast"/>
          <w:jc w:val="center"/>
        </w:trPr>
        <w:tc>
          <w:tcPr>
            <w:tcW w:w="3406" w:type="dxa"/>
            <w:vMerge w:val="continue"/>
            <w:tcBorders>
              <w:top w:val="single" w:color="000000" w:sz="4" w:space="0"/>
              <w:left w:val="single" w:color="000000" w:sz="4" w:space="0"/>
              <w:bottom w:val="single" w:color="000000" w:sz="4" w:space="0"/>
              <w:right w:val="single" w:color="000000" w:sz="4" w:space="0"/>
            </w:tcBorders>
          </w:tcPr>
          <w:p w14:paraId="2E2A7419">
            <w:pPr>
              <w:rPr>
                <w:rFonts w:hint="eastAsia" w:ascii="宋体" w:hAnsi="宋体" w:eastAsia="宋体" w:cs="宋体"/>
                <w:color w:val="000000"/>
                <w:kern w:val="2"/>
                <w:sz w:val="21"/>
                <w:szCs w:val="21"/>
                <w:lang w:val="en-US" w:eastAsia="zh-CN" w:bidi="ar-SA"/>
              </w:rPr>
            </w:pPr>
          </w:p>
        </w:tc>
        <w:tc>
          <w:tcPr>
            <w:tcW w:w="3407" w:type="dxa"/>
            <w:vMerge w:val="continue"/>
            <w:tcBorders>
              <w:top w:val="single" w:color="000000" w:sz="4" w:space="0"/>
              <w:left w:val="single" w:color="000000" w:sz="4" w:space="0"/>
              <w:bottom w:val="single" w:color="000000" w:sz="4" w:space="0"/>
              <w:right w:val="single" w:color="000000" w:sz="4" w:space="0"/>
            </w:tcBorders>
          </w:tcPr>
          <w:p w14:paraId="43691DAD">
            <w:pPr>
              <w:rPr>
                <w:rFonts w:hint="eastAsia" w:ascii="宋体" w:hAnsi="宋体" w:eastAsia="宋体" w:cs="宋体"/>
                <w:color w:val="000000"/>
                <w:kern w:val="2"/>
                <w:sz w:val="21"/>
                <w:szCs w:val="21"/>
                <w:lang w:val="en-US" w:eastAsia="zh-CN" w:bidi="ar-SA"/>
              </w:rPr>
            </w:pPr>
          </w:p>
        </w:tc>
        <w:tc>
          <w:tcPr>
            <w:tcW w:w="1247" w:type="dxa"/>
            <w:vMerge w:val="continue"/>
            <w:tcBorders>
              <w:top w:val="single" w:color="000000" w:sz="4" w:space="0"/>
              <w:left w:val="single" w:color="000000" w:sz="4" w:space="0"/>
              <w:bottom w:val="single" w:color="000000" w:sz="4" w:space="0"/>
              <w:right w:val="single" w:color="000000" w:sz="4" w:space="0"/>
            </w:tcBorders>
          </w:tcPr>
          <w:p w14:paraId="78C2AB12">
            <w:pPr>
              <w:rPr>
                <w:rFonts w:hint="eastAsia" w:ascii="宋体" w:hAnsi="宋体" w:eastAsia="宋体" w:cs="宋体"/>
                <w:color w:val="000000"/>
                <w:kern w:val="2"/>
                <w:sz w:val="21"/>
                <w:szCs w:val="21"/>
                <w:lang w:val="en-US" w:eastAsia="zh-CN" w:bidi="ar-SA"/>
              </w:rPr>
            </w:pPr>
          </w:p>
        </w:tc>
      </w:tr>
      <w:tr w14:paraId="4E2737A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59" w:hRule="atLeast"/>
          <w:jc w:val="center"/>
        </w:trPr>
        <w:tc>
          <w:tcPr>
            <w:tcW w:w="3406" w:type="dxa"/>
            <w:vMerge w:val="continue"/>
            <w:tcBorders>
              <w:top w:val="single" w:color="000000" w:sz="4" w:space="0"/>
              <w:left w:val="single" w:color="000000" w:sz="4" w:space="0"/>
              <w:bottom w:val="single" w:color="000000" w:sz="4" w:space="0"/>
              <w:right w:val="single" w:color="000000" w:sz="4" w:space="0"/>
            </w:tcBorders>
          </w:tcPr>
          <w:p w14:paraId="55515BDE">
            <w:pPr>
              <w:rPr>
                <w:rFonts w:hint="eastAsia" w:ascii="宋体" w:hAnsi="宋体" w:eastAsia="宋体" w:cs="宋体"/>
                <w:color w:val="000000"/>
                <w:kern w:val="2"/>
                <w:sz w:val="21"/>
                <w:szCs w:val="21"/>
                <w:lang w:val="en-US" w:eastAsia="zh-CN" w:bidi="ar-SA"/>
              </w:rPr>
            </w:pPr>
          </w:p>
        </w:tc>
        <w:tc>
          <w:tcPr>
            <w:tcW w:w="3407" w:type="dxa"/>
            <w:vMerge w:val="continue"/>
            <w:tcBorders>
              <w:top w:val="single" w:color="000000" w:sz="4" w:space="0"/>
              <w:left w:val="single" w:color="000000" w:sz="4" w:space="0"/>
              <w:bottom w:val="single" w:color="000000" w:sz="4" w:space="0"/>
              <w:right w:val="single" w:color="000000" w:sz="4" w:space="0"/>
            </w:tcBorders>
          </w:tcPr>
          <w:p w14:paraId="0EFF21DF">
            <w:pPr>
              <w:rPr>
                <w:rFonts w:hint="eastAsia" w:ascii="宋体" w:hAnsi="宋体" w:eastAsia="宋体" w:cs="宋体"/>
                <w:color w:val="000000"/>
                <w:kern w:val="2"/>
                <w:sz w:val="21"/>
                <w:szCs w:val="21"/>
                <w:lang w:val="en-US" w:eastAsia="zh-CN" w:bidi="ar-SA"/>
              </w:rPr>
            </w:pPr>
          </w:p>
        </w:tc>
        <w:tc>
          <w:tcPr>
            <w:tcW w:w="1247" w:type="dxa"/>
            <w:vMerge w:val="continue"/>
            <w:tcBorders>
              <w:top w:val="single" w:color="000000" w:sz="4" w:space="0"/>
              <w:left w:val="single" w:color="000000" w:sz="4" w:space="0"/>
              <w:bottom w:val="single" w:color="000000" w:sz="4" w:space="0"/>
              <w:right w:val="single" w:color="000000" w:sz="4" w:space="0"/>
            </w:tcBorders>
          </w:tcPr>
          <w:p w14:paraId="638A1C63">
            <w:pPr>
              <w:rPr>
                <w:rFonts w:hint="eastAsia" w:ascii="宋体" w:hAnsi="宋体" w:eastAsia="宋体" w:cs="宋体"/>
                <w:color w:val="000000"/>
                <w:kern w:val="2"/>
                <w:sz w:val="21"/>
                <w:szCs w:val="21"/>
                <w:lang w:val="en-US" w:eastAsia="zh-CN" w:bidi="ar-SA"/>
              </w:rPr>
            </w:pPr>
          </w:p>
        </w:tc>
      </w:tr>
      <w:tr w14:paraId="5860E0A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34" w:hRule="atLeast"/>
          <w:jc w:val="center"/>
        </w:trPr>
        <w:tc>
          <w:tcPr>
            <w:tcW w:w="3406" w:type="dxa"/>
            <w:tcBorders>
              <w:top w:val="single" w:color="000000" w:sz="4" w:space="0"/>
              <w:left w:val="single" w:color="000000" w:sz="4" w:space="0"/>
              <w:right w:val="single" w:color="000000" w:sz="4" w:space="0"/>
            </w:tcBorders>
            <w:vAlign w:val="center"/>
          </w:tcPr>
          <w:p w14:paraId="453201BF">
            <w:pPr>
              <w:pStyle w:val="19"/>
              <w:spacing w:before="158"/>
              <w:ind w:left="37"/>
              <w:jc w:val="center"/>
              <w:rPr>
                <w:rFonts w:hint="eastAsia" w:ascii="宋体" w:hAnsi="宋体" w:eastAsia="宋体" w:cs="宋体"/>
                <w:color w:val="000000"/>
                <w:kern w:val="2"/>
                <w:sz w:val="21"/>
                <w:szCs w:val="21"/>
                <w:lang w:val="en-US" w:eastAsia="zh-CN" w:bidi="ar-SA"/>
              </w:rPr>
            </w:pPr>
            <w:r>
              <w:rPr>
                <w:rFonts w:hint="eastAsia" w:cs="宋体"/>
                <w:color w:val="000000"/>
                <w:kern w:val="2"/>
                <w:sz w:val="21"/>
                <w:szCs w:val="21"/>
                <w:lang w:val="en-US" w:eastAsia="zh-CN" w:bidi="ar-SA"/>
              </w:rPr>
              <w:t>2025年佛冈县县城病媒密度控制水平监测项目</w:t>
            </w:r>
          </w:p>
        </w:tc>
        <w:tc>
          <w:tcPr>
            <w:tcW w:w="3407" w:type="dxa"/>
            <w:tcBorders>
              <w:top w:val="single" w:color="000000" w:sz="4" w:space="0"/>
              <w:left w:val="single" w:color="000000" w:sz="4" w:space="0"/>
              <w:right w:val="single" w:color="000000" w:sz="4" w:space="0"/>
            </w:tcBorders>
            <w:vAlign w:val="center"/>
          </w:tcPr>
          <w:p w14:paraId="78677C5C">
            <w:pPr>
              <w:pStyle w:val="19"/>
              <w:spacing w:before="117" w:line="182" w:lineRule="auto"/>
              <w:ind w:left="36" w:right="9"/>
              <w:jc w:val="center"/>
              <w:rPr>
                <w:rFonts w:hint="eastAsia" w:ascii="宋体" w:hAnsi="宋体" w:eastAsia="宋体" w:cs="宋体"/>
                <w:color w:val="000000"/>
                <w:kern w:val="2"/>
                <w:sz w:val="21"/>
                <w:szCs w:val="21"/>
                <w:lang w:val="en-US" w:eastAsia="zh-CN" w:bidi="ar-SA"/>
              </w:rPr>
            </w:pPr>
            <w:r>
              <w:rPr>
                <w:rFonts w:hint="eastAsia" w:cs="宋体"/>
                <w:color w:val="000000"/>
                <w:kern w:val="2"/>
                <w:sz w:val="21"/>
                <w:szCs w:val="21"/>
                <w:lang w:val="en-US" w:eastAsia="zh-CN" w:bidi="ar-SA"/>
              </w:rPr>
              <w:t>2025年佛冈县县城病媒密度控制水平监测项目</w:t>
            </w:r>
          </w:p>
        </w:tc>
        <w:tc>
          <w:tcPr>
            <w:tcW w:w="1247" w:type="dxa"/>
            <w:tcBorders>
              <w:top w:val="single" w:color="000000" w:sz="4" w:space="0"/>
              <w:left w:val="single" w:color="000000" w:sz="4" w:space="0"/>
              <w:right w:val="single" w:color="000000" w:sz="4" w:space="0"/>
            </w:tcBorders>
            <w:vAlign w:val="center"/>
          </w:tcPr>
          <w:p w14:paraId="7365FAAC">
            <w:pPr>
              <w:pStyle w:val="19"/>
              <w:spacing w:before="158"/>
              <w:ind w:left="156" w:right="128"/>
              <w:jc w:val="center"/>
              <w:rPr>
                <w:rFonts w:hint="default" w:ascii="宋体" w:hAnsi="宋体" w:eastAsia="宋体" w:cs="宋体"/>
                <w:color w:val="000000"/>
                <w:kern w:val="2"/>
                <w:sz w:val="21"/>
                <w:szCs w:val="21"/>
                <w:lang w:val="en-US" w:eastAsia="zh-CN" w:bidi="ar-SA"/>
              </w:rPr>
            </w:pPr>
            <w:r>
              <w:rPr>
                <w:rFonts w:hint="eastAsia" w:cs="宋体"/>
                <w:color w:val="000000"/>
                <w:kern w:val="2"/>
                <w:sz w:val="21"/>
                <w:szCs w:val="21"/>
                <w:lang w:val="en-US" w:eastAsia="zh-CN" w:bidi="ar-SA"/>
              </w:rPr>
              <w:t>一批</w:t>
            </w:r>
          </w:p>
        </w:tc>
      </w:tr>
    </w:tbl>
    <w:p w14:paraId="07B9CF17">
      <w:pPr>
        <w:rPr>
          <w:rFonts w:hint="eastAsia"/>
        </w:rPr>
      </w:pPr>
    </w:p>
    <w:p w14:paraId="7C837C37">
      <w:pPr>
        <w:pStyle w:val="6"/>
        <w:numPr>
          <w:ilvl w:val="0"/>
          <w:numId w:val="2"/>
        </w:numPr>
        <w:tabs>
          <w:tab w:val="left" w:pos="540"/>
        </w:tabs>
        <w:adjustRightInd w:val="0"/>
        <w:snapToGrid w:val="0"/>
        <w:spacing w:before="156" w:beforeLines="50" w:line="360" w:lineRule="auto"/>
        <w:rPr>
          <w:rFonts w:hint="eastAsia" w:hAnsi="宋体" w:cs="宋体"/>
          <w:b/>
          <w:bCs/>
          <w:color w:val="000000"/>
          <w:sz w:val="21"/>
        </w:rPr>
      </w:pPr>
      <w:r>
        <w:rPr>
          <w:rFonts w:hint="eastAsia" w:hAnsi="宋体" w:cs="宋体"/>
          <w:b/>
          <w:bCs/>
          <w:color w:val="000000"/>
          <w:sz w:val="21"/>
        </w:rPr>
        <w:t>监测内容依据</w:t>
      </w:r>
    </w:p>
    <w:p w14:paraId="37F51307">
      <w:pPr>
        <w:pStyle w:val="23"/>
        <w:rPr>
          <w:sz w:val="21"/>
        </w:rPr>
      </w:pPr>
      <w:r>
        <w:rPr>
          <w:rFonts w:hint="eastAsia"/>
          <w:sz w:val="21"/>
        </w:rPr>
        <w:t>（1）鼠密度监测：按照国家标准GB/T27770-2011和GB/T23798的要求，对抽样单位进行防鼠设施、室内鼠密度、室外鼠密度等进行监测及评估。</w:t>
      </w:r>
    </w:p>
    <w:p w14:paraId="7092BB28">
      <w:pPr>
        <w:pStyle w:val="23"/>
        <w:rPr>
          <w:sz w:val="21"/>
        </w:rPr>
      </w:pPr>
      <w:r>
        <w:rPr>
          <w:rFonts w:hint="eastAsia"/>
          <w:sz w:val="21"/>
        </w:rPr>
        <w:t>（2）蚊密度监测：按照国家标准GB/T 27771-2011和GB/T23797的要求，进行大中型水平路径指数和环境人诱停落指数监测并对密度水平进行评估。</w:t>
      </w:r>
    </w:p>
    <w:p w14:paraId="313D357C">
      <w:pPr>
        <w:pStyle w:val="23"/>
        <w:rPr>
          <w:sz w:val="21"/>
        </w:rPr>
      </w:pPr>
      <w:r>
        <w:rPr>
          <w:rFonts w:hint="eastAsia"/>
          <w:sz w:val="21"/>
        </w:rPr>
        <w:t>（3）蝇密度监测：按照国家标准GB/T 27772-2011和GB/T23796的要求，对抽样单位孳生地及餐饮孳单位及外环境进行监测，同时对防蝇设施进行监测及评估。</w:t>
      </w:r>
    </w:p>
    <w:p w14:paraId="4AC7973E">
      <w:pPr>
        <w:pStyle w:val="23"/>
        <w:rPr>
          <w:sz w:val="21"/>
        </w:rPr>
      </w:pPr>
      <w:r>
        <w:rPr>
          <w:rFonts w:hint="eastAsia"/>
          <w:sz w:val="21"/>
        </w:rPr>
        <w:t>（4）蟑螂密度监测：按照国家标准GB/T27773-2011和GB/T23795的要求，对抽样的单位进行室内成若虫侵害率和大蠊密度以及室内卵鞘和蟑迹进行监测和评估。</w:t>
      </w:r>
    </w:p>
    <w:p w14:paraId="368CE2D0">
      <w:pPr>
        <w:pStyle w:val="6"/>
        <w:numPr>
          <w:ilvl w:val="0"/>
          <w:numId w:val="2"/>
        </w:numPr>
        <w:tabs>
          <w:tab w:val="left" w:pos="540"/>
        </w:tabs>
        <w:adjustRightInd w:val="0"/>
        <w:snapToGrid w:val="0"/>
        <w:spacing w:before="156" w:beforeLines="50" w:line="360" w:lineRule="auto"/>
        <w:rPr>
          <w:rFonts w:hint="eastAsia" w:hAnsi="宋体"/>
          <w:b/>
          <w:bCs/>
          <w:color w:val="000000"/>
          <w:sz w:val="21"/>
        </w:rPr>
      </w:pPr>
      <w:r>
        <w:rPr>
          <w:rFonts w:hint="eastAsia" w:hAnsi="宋体"/>
          <w:b/>
          <w:bCs/>
          <w:color w:val="000000"/>
          <w:sz w:val="21"/>
        </w:rPr>
        <w:t>监测地点</w:t>
      </w:r>
    </w:p>
    <w:p w14:paraId="54320E41">
      <w:pPr>
        <w:pStyle w:val="6"/>
        <w:tabs>
          <w:tab w:val="left" w:pos="540"/>
        </w:tabs>
        <w:adjustRightInd w:val="0"/>
        <w:snapToGrid w:val="0"/>
        <w:spacing w:before="156" w:beforeLines="50" w:line="360" w:lineRule="auto"/>
        <w:rPr>
          <w:rFonts w:hint="eastAsia" w:hAnsi="宋体"/>
          <w:bCs/>
          <w:color w:val="000000"/>
          <w:sz w:val="21"/>
        </w:rPr>
      </w:pPr>
      <w:r>
        <w:rPr>
          <w:rFonts w:hint="eastAsia" w:hAnsi="宋体"/>
          <w:bCs/>
          <w:color w:val="000000"/>
          <w:sz w:val="21"/>
        </w:rPr>
        <w:t>县城（石角镇）</w:t>
      </w:r>
    </w:p>
    <w:p w14:paraId="57FE9E56">
      <w:pPr>
        <w:pStyle w:val="6"/>
        <w:numPr>
          <w:ilvl w:val="0"/>
          <w:numId w:val="2"/>
        </w:numPr>
        <w:tabs>
          <w:tab w:val="left" w:pos="540"/>
        </w:tabs>
        <w:adjustRightInd w:val="0"/>
        <w:snapToGrid w:val="0"/>
        <w:spacing w:before="156" w:beforeLines="50" w:line="360" w:lineRule="auto"/>
        <w:rPr>
          <w:rFonts w:hint="eastAsia" w:hAnsi="宋体"/>
          <w:b/>
          <w:bCs/>
          <w:color w:val="000000"/>
          <w:sz w:val="21"/>
        </w:rPr>
      </w:pPr>
      <w:r>
        <w:rPr>
          <w:rFonts w:hint="eastAsia" w:hAnsi="宋体"/>
          <w:b/>
          <w:bCs/>
          <w:color w:val="000000"/>
          <w:sz w:val="21"/>
        </w:rPr>
        <w:t>监测频率</w:t>
      </w:r>
    </w:p>
    <w:p w14:paraId="3D868BDB">
      <w:pPr>
        <w:pStyle w:val="6"/>
        <w:tabs>
          <w:tab w:val="left" w:pos="540"/>
        </w:tabs>
        <w:adjustRightInd w:val="0"/>
        <w:snapToGrid w:val="0"/>
        <w:spacing w:before="156" w:beforeLines="50" w:line="360" w:lineRule="auto"/>
        <w:rPr>
          <w:rFonts w:hint="eastAsia" w:hAnsi="宋体"/>
          <w:bCs/>
          <w:color w:val="000000"/>
          <w:sz w:val="21"/>
        </w:rPr>
      </w:pPr>
      <w:r>
        <w:rPr>
          <w:rFonts w:hint="eastAsia" w:hAnsi="宋体"/>
          <w:bCs/>
          <w:color w:val="000000"/>
          <w:sz w:val="21"/>
        </w:rPr>
        <w:t>每季一次，每年四次。监测时间为每年3、6、9、12月，具体时间与县疾控中心商定。</w:t>
      </w:r>
    </w:p>
    <w:p w14:paraId="5DF6307E">
      <w:pPr>
        <w:pStyle w:val="6"/>
        <w:numPr>
          <w:ilvl w:val="0"/>
          <w:numId w:val="2"/>
        </w:numPr>
        <w:tabs>
          <w:tab w:val="left" w:pos="540"/>
        </w:tabs>
        <w:adjustRightInd w:val="0"/>
        <w:snapToGrid w:val="0"/>
        <w:spacing w:before="156" w:beforeLines="50" w:line="360" w:lineRule="auto"/>
        <w:rPr>
          <w:rFonts w:hint="eastAsia" w:hAnsi="宋体"/>
          <w:b/>
          <w:bCs/>
          <w:color w:val="000000"/>
          <w:sz w:val="21"/>
        </w:rPr>
      </w:pPr>
      <w:r>
        <w:rPr>
          <w:rFonts w:hint="eastAsia" w:hAnsi="宋体"/>
          <w:b/>
          <w:bCs/>
          <w:color w:val="000000"/>
          <w:sz w:val="21"/>
        </w:rPr>
        <w:t>监测抽样</w:t>
      </w:r>
    </w:p>
    <w:p w14:paraId="3ABADA2C">
      <w:pPr>
        <w:pStyle w:val="6"/>
        <w:tabs>
          <w:tab w:val="left" w:pos="540"/>
        </w:tabs>
        <w:adjustRightInd w:val="0"/>
        <w:snapToGrid w:val="0"/>
        <w:spacing w:before="156" w:beforeLines="50" w:line="360" w:lineRule="auto"/>
        <w:ind w:firstLine="420" w:firstLineChars="200"/>
        <w:rPr>
          <w:rFonts w:hint="eastAsia" w:hAnsi="宋体"/>
          <w:bCs/>
          <w:color w:val="000000"/>
          <w:sz w:val="21"/>
        </w:rPr>
      </w:pPr>
      <w:r>
        <w:rPr>
          <w:rFonts w:hint="eastAsia" w:hAnsi="宋体"/>
          <w:bCs/>
          <w:color w:val="000000"/>
          <w:sz w:val="21"/>
        </w:rPr>
        <w:t>在每次开展监测前，做好相关抽样单位的布点，每次按国家标准要求，在餐饮、商超、酒店宾馆、单位、市场、学校、小区、广场、水体、公厕、车站、医院等，抽取相应数量的类型单位数。对照标准要求进行检查评估。</w:t>
      </w:r>
    </w:p>
    <w:p w14:paraId="0D9858D6">
      <w:pPr>
        <w:rPr>
          <w:rFonts w:hint="eastAsia"/>
        </w:rPr>
      </w:pPr>
      <w:r>
        <w:rPr>
          <w:rFonts w:hint="eastAsia"/>
        </w:rPr>
        <w:br w:type="page"/>
      </w:r>
    </w:p>
    <w:p w14:paraId="3D2BCAE1">
      <w:pPr>
        <w:pStyle w:val="10"/>
        <w:ind w:left="0" w:leftChars="0" w:firstLine="0" w:firstLineChars="0"/>
        <w:rPr>
          <w:rFonts w:hint="eastAsia"/>
        </w:rPr>
      </w:pPr>
    </w:p>
    <w:p w14:paraId="39FE4D1B">
      <w:r>
        <w:rPr>
          <w:rFonts w:hint="eastAsia"/>
        </w:rPr>
        <w:t>附件：</w:t>
      </w:r>
    </w:p>
    <w:p w14:paraId="1B6316B7"/>
    <w:p w14:paraId="34BCD74E"/>
    <w:p w14:paraId="6DF97C74"/>
    <w:p w14:paraId="748C43D1"/>
    <w:p w14:paraId="5627743D"/>
    <w:p w14:paraId="50EEE27F"/>
    <w:p w14:paraId="25D9FEE3"/>
    <w:p w14:paraId="47D75841">
      <w:pPr>
        <w:jc w:val="center"/>
        <w:rPr>
          <w:rFonts w:ascii="仿宋" w:hAnsi="仿宋" w:eastAsia="仿宋"/>
          <w:b/>
          <w:bCs/>
          <w:sz w:val="96"/>
          <w:szCs w:val="144"/>
        </w:rPr>
      </w:pPr>
      <w:r>
        <w:rPr>
          <w:rFonts w:hint="eastAsia" w:ascii="仿宋" w:hAnsi="仿宋" w:eastAsia="仿宋"/>
          <w:b/>
          <w:bCs/>
          <w:sz w:val="96"/>
          <w:szCs w:val="144"/>
        </w:rPr>
        <w:t>调研资料</w:t>
      </w:r>
    </w:p>
    <w:p w14:paraId="21B5E27A">
      <w:pPr>
        <w:jc w:val="center"/>
        <w:rPr>
          <w:rFonts w:ascii="仿宋" w:hAnsi="仿宋" w:eastAsia="仿宋"/>
          <w:b/>
          <w:bCs/>
          <w:sz w:val="56"/>
          <w:szCs w:val="72"/>
        </w:rPr>
      </w:pPr>
    </w:p>
    <w:p w14:paraId="5FE0F049">
      <w:pPr>
        <w:jc w:val="center"/>
        <w:rPr>
          <w:rFonts w:ascii="仿宋" w:hAnsi="仿宋" w:eastAsia="仿宋"/>
          <w:b/>
          <w:bCs/>
          <w:sz w:val="56"/>
          <w:szCs w:val="72"/>
        </w:rPr>
      </w:pPr>
    </w:p>
    <w:p w14:paraId="362A8B35">
      <w:pPr>
        <w:jc w:val="center"/>
        <w:rPr>
          <w:rFonts w:ascii="仿宋" w:hAnsi="仿宋" w:eastAsia="仿宋"/>
          <w:b/>
          <w:bCs/>
          <w:sz w:val="56"/>
          <w:szCs w:val="72"/>
        </w:rPr>
      </w:pPr>
    </w:p>
    <w:p w14:paraId="5A06C2C3">
      <w:pPr>
        <w:jc w:val="center"/>
        <w:rPr>
          <w:rFonts w:ascii="仿宋" w:hAnsi="仿宋" w:eastAsia="仿宋"/>
          <w:b/>
          <w:bCs/>
          <w:sz w:val="56"/>
          <w:szCs w:val="72"/>
        </w:rPr>
      </w:pPr>
    </w:p>
    <w:p w14:paraId="3C4A76D8">
      <w:pPr>
        <w:jc w:val="center"/>
        <w:rPr>
          <w:rFonts w:ascii="仿宋" w:hAnsi="仿宋" w:eastAsia="仿宋"/>
          <w:b/>
          <w:bCs/>
          <w:sz w:val="56"/>
          <w:szCs w:val="72"/>
        </w:rPr>
      </w:pPr>
    </w:p>
    <w:p w14:paraId="78E356B9">
      <w:pPr>
        <w:jc w:val="center"/>
        <w:rPr>
          <w:rFonts w:ascii="仿宋" w:hAnsi="仿宋" w:eastAsia="仿宋"/>
          <w:b/>
          <w:bCs/>
          <w:sz w:val="56"/>
          <w:szCs w:val="72"/>
        </w:rPr>
      </w:pPr>
    </w:p>
    <w:p w14:paraId="48569EFC">
      <w:pPr>
        <w:jc w:val="center"/>
        <w:rPr>
          <w:rFonts w:ascii="仿宋" w:hAnsi="仿宋" w:eastAsia="仿宋"/>
          <w:b/>
          <w:bCs/>
          <w:sz w:val="56"/>
          <w:szCs w:val="72"/>
        </w:rPr>
      </w:pPr>
    </w:p>
    <w:p w14:paraId="6B2CA2E4">
      <w:pPr>
        <w:ind w:left="420" w:leftChars="200"/>
        <w:jc w:val="left"/>
        <w:rPr>
          <w:rFonts w:ascii="仿宋" w:hAnsi="仿宋" w:eastAsia="仿宋"/>
          <w:b/>
          <w:bCs/>
          <w:sz w:val="32"/>
          <w:szCs w:val="36"/>
        </w:rPr>
      </w:pPr>
      <w:r>
        <w:rPr>
          <w:rFonts w:hint="eastAsia" w:ascii="仿宋" w:hAnsi="仿宋" w:eastAsia="仿宋"/>
          <w:b/>
          <w:bCs/>
          <w:sz w:val="32"/>
          <w:szCs w:val="36"/>
        </w:rPr>
        <w:t>单位名称（加盖公章）：</w:t>
      </w:r>
    </w:p>
    <w:p w14:paraId="790E9656">
      <w:pPr>
        <w:ind w:left="420" w:leftChars="200"/>
        <w:jc w:val="left"/>
        <w:rPr>
          <w:rFonts w:ascii="仿宋" w:hAnsi="仿宋" w:eastAsia="仿宋"/>
          <w:b/>
          <w:bCs/>
          <w:sz w:val="32"/>
          <w:szCs w:val="36"/>
        </w:rPr>
      </w:pPr>
      <w:r>
        <w:rPr>
          <w:rFonts w:hint="eastAsia" w:ascii="仿宋" w:hAnsi="仿宋" w:eastAsia="仿宋"/>
          <w:b/>
          <w:bCs/>
          <w:sz w:val="32"/>
          <w:szCs w:val="36"/>
        </w:rPr>
        <w:t>地址：</w:t>
      </w:r>
    </w:p>
    <w:p w14:paraId="6D5A5E9D">
      <w:pPr>
        <w:ind w:left="420" w:leftChars="200"/>
        <w:jc w:val="left"/>
        <w:rPr>
          <w:rFonts w:ascii="仿宋" w:hAnsi="仿宋" w:eastAsia="仿宋"/>
          <w:b/>
          <w:bCs/>
          <w:sz w:val="32"/>
          <w:szCs w:val="36"/>
        </w:rPr>
      </w:pPr>
      <w:r>
        <w:rPr>
          <w:rFonts w:hint="eastAsia" w:ascii="仿宋" w:hAnsi="仿宋" w:eastAsia="仿宋"/>
          <w:b/>
          <w:bCs/>
          <w:sz w:val="32"/>
          <w:szCs w:val="36"/>
        </w:rPr>
        <w:t>日期：</w:t>
      </w:r>
    </w:p>
    <w:p w14:paraId="544EC9A8">
      <w:pPr>
        <w:ind w:left="420" w:leftChars="200"/>
        <w:jc w:val="left"/>
        <w:rPr>
          <w:rFonts w:ascii="仿宋" w:hAnsi="仿宋" w:eastAsia="仿宋"/>
          <w:b/>
          <w:bCs/>
          <w:sz w:val="32"/>
          <w:szCs w:val="36"/>
        </w:rPr>
      </w:pPr>
    </w:p>
    <w:p w14:paraId="19BB8CE0">
      <w:pPr>
        <w:ind w:left="420" w:leftChars="200"/>
        <w:jc w:val="left"/>
        <w:rPr>
          <w:rFonts w:ascii="仿宋" w:hAnsi="仿宋" w:eastAsia="仿宋"/>
          <w:b/>
          <w:bCs/>
          <w:sz w:val="32"/>
          <w:szCs w:val="36"/>
        </w:rPr>
      </w:pPr>
    </w:p>
    <w:p w14:paraId="00DAB9E6">
      <w:pPr>
        <w:ind w:left="420" w:leftChars="200"/>
        <w:jc w:val="left"/>
        <w:rPr>
          <w:rFonts w:ascii="仿宋" w:hAnsi="仿宋" w:eastAsia="仿宋"/>
          <w:b/>
          <w:bCs/>
          <w:sz w:val="32"/>
          <w:szCs w:val="36"/>
        </w:rPr>
      </w:pPr>
    </w:p>
    <w:p w14:paraId="42F29147">
      <w:pPr>
        <w:pStyle w:val="20"/>
        <w:numPr>
          <w:ilvl w:val="0"/>
          <w:numId w:val="3"/>
        </w:numPr>
        <w:ind w:firstLineChars="0"/>
        <w:jc w:val="center"/>
        <w:rPr>
          <w:rFonts w:ascii="仿宋" w:hAnsi="仿宋" w:eastAsia="仿宋"/>
          <w:b/>
          <w:bCs/>
          <w:color w:val="FF0000"/>
          <w:sz w:val="32"/>
          <w:szCs w:val="36"/>
        </w:rPr>
      </w:pPr>
      <w:r>
        <w:rPr>
          <w:rFonts w:hint="eastAsia" w:ascii="仿宋" w:hAnsi="仿宋" w:eastAsia="仿宋"/>
          <w:b/>
          <w:bCs/>
          <w:color w:val="FF0000"/>
          <w:sz w:val="32"/>
          <w:szCs w:val="36"/>
        </w:rPr>
        <w:t>营业执照副本（含公司介绍）</w:t>
      </w:r>
    </w:p>
    <w:p w14:paraId="118A64AD">
      <w:pPr>
        <w:pStyle w:val="20"/>
        <w:numPr>
          <w:ilvl w:val="0"/>
          <w:numId w:val="3"/>
        </w:numPr>
        <w:ind w:firstLineChars="0"/>
        <w:jc w:val="center"/>
        <w:rPr>
          <w:rFonts w:ascii="仿宋" w:hAnsi="仿宋" w:eastAsia="仿宋"/>
          <w:b/>
          <w:bCs/>
          <w:color w:val="FF0000"/>
          <w:sz w:val="32"/>
          <w:szCs w:val="36"/>
        </w:rPr>
      </w:pPr>
      <w:r>
        <w:rPr>
          <w:rFonts w:hint="eastAsia" w:ascii="仿宋" w:hAnsi="仿宋" w:eastAsia="仿宋"/>
          <w:b/>
          <w:bCs/>
          <w:color w:val="FF0000"/>
          <w:sz w:val="32"/>
          <w:szCs w:val="36"/>
          <w:lang w:val="en-US" w:eastAsia="zh-CN"/>
        </w:rPr>
        <w:t>报价附件</w:t>
      </w:r>
      <w:r>
        <w:rPr>
          <w:rFonts w:hint="eastAsia" w:ascii="仿宋" w:hAnsi="仿宋" w:eastAsia="仿宋"/>
          <w:b/>
          <w:bCs/>
          <w:color w:val="FF0000"/>
          <w:sz w:val="32"/>
          <w:szCs w:val="36"/>
        </w:rPr>
        <w:t>（在此处插入）</w:t>
      </w:r>
    </w:p>
    <w:p w14:paraId="2A713DA1">
      <w:pPr>
        <w:widowControl/>
        <w:jc w:val="left"/>
        <w:rPr>
          <w:rFonts w:ascii="仿宋" w:hAnsi="仿宋" w:eastAsia="仿宋"/>
          <w:b/>
          <w:bCs/>
          <w:sz w:val="32"/>
          <w:szCs w:val="36"/>
        </w:rPr>
      </w:pPr>
      <w:r>
        <w:rPr>
          <w:rFonts w:ascii="仿宋" w:hAnsi="仿宋" w:eastAsia="仿宋"/>
          <w:b/>
          <w:bCs/>
          <w:sz w:val="32"/>
          <w:szCs w:val="36"/>
        </w:rPr>
        <w:br w:type="page"/>
      </w:r>
    </w:p>
    <w:p w14:paraId="00A0D009">
      <w:pPr>
        <w:ind w:left="420" w:leftChars="200"/>
        <w:jc w:val="center"/>
        <w:rPr>
          <w:rFonts w:ascii="仿宋" w:hAnsi="仿宋" w:eastAsia="仿宋"/>
          <w:b/>
          <w:bCs/>
          <w:sz w:val="32"/>
          <w:szCs w:val="36"/>
        </w:rPr>
      </w:pPr>
      <w:r>
        <w:rPr>
          <w:rFonts w:ascii="仿宋" w:hAnsi="仿宋" w:eastAsia="仿宋"/>
          <w:b/>
          <w:bCs/>
          <w:sz w:val="32"/>
          <w:szCs w:val="36"/>
        </w:rPr>
        <w:t>2.</w:t>
      </w:r>
      <w:r>
        <w:rPr>
          <w:rFonts w:hint="eastAsia" w:ascii="仿宋" w:hAnsi="仿宋" w:eastAsia="仿宋"/>
          <w:b/>
          <w:bCs/>
          <w:sz w:val="32"/>
          <w:szCs w:val="36"/>
        </w:rPr>
        <w:t>报价单</w:t>
      </w:r>
    </w:p>
    <w:p w14:paraId="15A9C45B">
      <w:pPr>
        <w:ind w:left="420" w:leftChars="200"/>
        <w:jc w:val="center"/>
        <w:rPr>
          <w:rFonts w:ascii="仿宋" w:hAnsi="仿宋" w:eastAsia="仿宋"/>
          <w:b/>
          <w:bCs/>
          <w:sz w:val="32"/>
          <w:szCs w:val="36"/>
        </w:rPr>
      </w:pPr>
    </w:p>
    <w:tbl>
      <w:tblPr>
        <w:tblStyle w:val="11"/>
        <w:tblW w:w="5630" w:type="pct"/>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171"/>
        <w:gridCol w:w="2536"/>
        <w:gridCol w:w="1200"/>
        <w:gridCol w:w="2215"/>
        <w:gridCol w:w="2474"/>
      </w:tblGrid>
      <w:tr w14:paraId="7C07108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4" w:hRule="atLeast"/>
          <w:jc w:val="center"/>
        </w:trPr>
        <w:tc>
          <w:tcPr>
            <w:tcW w:w="1171" w:type="dxa"/>
            <w:tcBorders>
              <w:tl2br w:val="nil"/>
              <w:tr2bl w:val="nil"/>
            </w:tcBorders>
            <w:vAlign w:val="center"/>
          </w:tcPr>
          <w:p w14:paraId="2572E64F">
            <w:pPr>
              <w:keepLines w:val="0"/>
              <w:pageBreakBefore w:val="0"/>
              <w:widowControl w:val="0"/>
              <w:kinsoku/>
              <w:wordWrap/>
              <w:overflowPunct/>
              <w:topLinePunct w:val="0"/>
              <w:autoSpaceDE/>
              <w:autoSpaceDN/>
              <w:bidi w:val="0"/>
              <w:snapToGrid/>
              <w:spacing w:line="240" w:lineRule="auto"/>
              <w:ind w:right="0" w:rightChars="0" w:firstLine="0" w:firstLineChars="0"/>
              <w:jc w:val="center"/>
              <w:rPr>
                <w:rFonts w:ascii="宋体" w:hAnsi="宋体"/>
                <w:b/>
                <w:bCs/>
                <w:szCs w:val="21"/>
              </w:rPr>
            </w:pPr>
            <w:r>
              <w:rPr>
                <w:rFonts w:hint="eastAsia" w:ascii="宋体" w:hAnsi="宋体" w:eastAsia="宋体"/>
                <w:b/>
                <w:sz w:val="21"/>
                <w:szCs w:val="21"/>
              </w:rPr>
              <w:t>序号</w:t>
            </w:r>
          </w:p>
        </w:tc>
        <w:tc>
          <w:tcPr>
            <w:tcW w:w="2536" w:type="dxa"/>
            <w:tcBorders>
              <w:tl2br w:val="nil"/>
              <w:tr2bl w:val="nil"/>
            </w:tcBorders>
            <w:vAlign w:val="center"/>
          </w:tcPr>
          <w:p w14:paraId="73496EF2">
            <w:pPr>
              <w:keepLines w:val="0"/>
              <w:pageBreakBefore w:val="0"/>
              <w:widowControl w:val="0"/>
              <w:kinsoku/>
              <w:wordWrap/>
              <w:overflowPunct/>
              <w:topLinePunct w:val="0"/>
              <w:autoSpaceDE/>
              <w:autoSpaceDN/>
              <w:bidi w:val="0"/>
              <w:snapToGrid/>
              <w:spacing w:line="240" w:lineRule="auto"/>
              <w:ind w:right="0" w:rightChars="0" w:firstLine="0" w:firstLineChars="0"/>
              <w:jc w:val="center"/>
              <w:rPr>
                <w:rFonts w:ascii="宋体" w:hAnsi="宋体"/>
                <w:b/>
                <w:bCs/>
                <w:szCs w:val="21"/>
              </w:rPr>
            </w:pPr>
            <w:r>
              <w:rPr>
                <w:rFonts w:hint="eastAsia" w:ascii="宋体" w:hAnsi="宋体" w:eastAsia="宋体"/>
                <w:b/>
                <w:sz w:val="21"/>
                <w:szCs w:val="21"/>
              </w:rPr>
              <w:t>项目名称</w:t>
            </w:r>
          </w:p>
        </w:tc>
        <w:tc>
          <w:tcPr>
            <w:tcW w:w="1200" w:type="dxa"/>
            <w:tcBorders>
              <w:tl2br w:val="nil"/>
              <w:tr2bl w:val="nil"/>
            </w:tcBorders>
            <w:vAlign w:val="center"/>
          </w:tcPr>
          <w:p w14:paraId="7E3FE8AD">
            <w:pPr>
              <w:keepLines w:val="0"/>
              <w:pageBreakBefore w:val="0"/>
              <w:widowControl w:val="0"/>
              <w:kinsoku/>
              <w:wordWrap/>
              <w:overflowPunct/>
              <w:topLinePunct w:val="0"/>
              <w:autoSpaceDE/>
              <w:autoSpaceDN/>
              <w:bidi w:val="0"/>
              <w:snapToGrid/>
              <w:spacing w:line="240" w:lineRule="auto"/>
              <w:ind w:right="0" w:rightChars="0" w:firstLine="0" w:firstLineChars="0"/>
              <w:jc w:val="center"/>
              <w:rPr>
                <w:rFonts w:ascii="宋体" w:hAnsi="宋体"/>
                <w:b/>
                <w:bCs/>
                <w:szCs w:val="21"/>
              </w:rPr>
            </w:pPr>
            <w:r>
              <w:rPr>
                <w:rFonts w:hint="eastAsia" w:ascii="宋体" w:hAnsi="宋体" w:eastAsia="宋体"/>
                <w:b/>
                <w:sz w:val="21"/>
                <w:szCs w:val="21"/>
              </w:rPr>
              <w:t>数量</w:t>
            </w:r>
          </w:p>
        </w:tc>
        <w:tc>
          <w:tcPr>
            <w:tcW w:w="2215" w:type="dxa"/>
            <w:tcBorders>
              <w:tl2br w:val="nil"/>
              <w:tr2bl w:val="nil"/>
            </w:tcBorders>
            <w:vAlign w:val="center"/>
          </w:tcPr>
          <w:p w14:paraId="1A8C3205">
            <w:pPr>
              <w:keepLines w:val="0"/>
              <w:pageBreakBefore w:val="0"/>
              <w:widowControl w:val="0"/>
              <w:kinsoku/>
              <w:wordWrap/>
              <w:overflowPunct/>
              <w:topLinePunct w:val="0"/>
              <w:autoSpaceDE/>
              <w:autoSpaceDN/>
              <w:bidi w:val="0"/>
              <w:snapToGrid/>
              <w:spacing w:line="240" w:lineRule="auto"/>
              <w:ind w:right="0" w:rightChars="0" w:firstLine="0" w:firstLineChars="0"/>
              <w:jc w:val="center"/>
              <w:rPr>
                <w:rFonts w:hint="eastAsia" w:ascii="宋体" w:hAnsi="宋体" w:eastAsiaTheme="minorEastAsia"/>
                <w:b/>
                <w:bCs/>
                <w:szCs w:val="21"/>
                <w:lang w:eastAsia="zh-CN"/>
              </w:rPr>
            </w:pPr>
            <w:r>
              <w:rPr>
                <w:rFonts w:hint="eastAsia" w:ascii="宋体" w:hAnsi="宋体"/>
                <w:b/>
                <w:bCs/>
                <w:szCs w:val="21"/>
                <w:lang w:val="en-US" w:eastAsia="zh-CN"/>
              </w:rPr>
              <w:t>报价</w:t>
            </w:r>
          </w:p>
        </w:tc>
        <w:tc>
          <w:tcPr>
            <w:tcW w:w="2474" w:type="dxa"/>
            <w:tcBorders>
              <w:tl2br w:val="nil"/>
              <w:tr2bl w:val="nil"/>
            </w:tcBorders>
            <w:vAlign w:val="center"/>
          </w:tcPr>
          <w:p w14:paraId="6A4922B1">
            <w:pPr>
              <w:spacing w:line="360" w:lineRule="auto"/>
              <w:jc w:val="center"/>
              <w:rPr>
                <w:rFonts w:hint="eastAsia" w:ascii="宋体" w:hAnsi="宋体" w:eastAsia="宋体"/>
                <w:b/>
                <w:sz w:val="21"/>
                <w:szCs w:val="21"/>
                <w:lang w:val="en-US" w:eastAsia="zh-CN"/>
              </w:rPr>
            </w:pPr>
            <w:r>
              <w:rPr>
                <w:rFonts w:hint="eastAsia" w:ascii="宋体" w:hAnsi="宋体" w:eastAsia="宋体"/>
                <w:b/>
                <w:color w:val="000000" w:themeColor="text1"/>
                <w:spacing w:val="4"/>
                <w:lang w:val="en-US" w:eastAsia="zh-CN"/>
                <w14:textFill>
                  <w14:solidFill>
                    <w14:schemeClr w14:val="tx1"/>
                  </w14:solidFill>
                </w14:textFill>
              </w:rPr>
              <w:t>服务期</w:t>
            </w:r>
          </w:p>
        </w:tc>
      </w:tr>
      <w:tr w14:paraId="01D0855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36" w:hRule="atLeast"/>
          <w:jc w:val="center"/>
        </w:trPr>
        <w:tc>
          <w:tcPr>
            <w:tcW w:w="1171" w:type="dxa"/>
            <w:tcBorders>
              <w:tl2br w:val="nil"/>
              <w:tr2bl w:val="nil"/>
            </w:tcBorders>
            <w:vAlign w:val="center"/>
          </w:tcPr>
          <w:p w14:paraId="5A92AAA4">
            <w:pPr>
              <w:keepLines w:val="0"/>
              <w:pageBreakBefore w:val="0"/>
              <w:widowControl w:val="0"/>
              <w:kinsoku/>
              <w:wordWrap/>
              <w:overflowPunct/>
              <w:topLinePunct w:val="0"/>
              <w:autoSpaceDE/>
              <w:autoSpaceDN/>
              <w:bidi w:val="0"/>
              <w:snapToGrid/>
              <w:spacing w:line="240" w:lineRule="auto"/>
              <w:ind w:right="0" w:rightChars="0" w:firstLine="0" w:firstLineChars="0"/>
              <w:jc w:val="center"/>
              <w:rPr>
                <w:rFonts w:hint="eastAsia" w:ascii="宋体" w:hAnsi="宋体" w:eastAsia="宋体"/>
                <w:szCs w:val="21"/>
                <w:lang w:eastAsia="zh-CN"/>
              </w:rPr>
            </w:pPr>
            <w:r>
              <w:rPr>
                <w:rFonts w:hint="eastAsia" w:ascii="宋体" w:hAnsi="宋体" w:eastAsia="宋体"/>
                <w:sz w:val="21"/>
                <w:szCs w:val="21"/>
              </w:rPr>
              <w:t>1</w:t>
            </w:r>
          </w:p>
        </w:tc>
        <w:tc>
          <w:tcPr>
            <w:tcW w:w="2536" w:type="dxa"/>
            <w:tcBorders>
              <w:tl2br w:val="nil"/>
              <w:tr2bl w:val="nil"/>
            </w:tcBorders>
            <w:vAlign w:val="center"/>
          </w:tcPr>
          <w:p w14:paraId="76B0C1F7">
            <w:pPr>
              <w:keepLines w:val="0"/>
              <w:pageBreakBefore w:val="0"/>
              <w:widowControl w:val="0"/>
              <w:kinsoku/>
              <w:wordWrap/>
              <w:overflowPunct/>
              <w:topLinePunct w:val="0"/>
              <w:autoSpaceDE/>
              <w:autoSpaceDN/>
              <w:bidi w:val="0"/>
              <w:snapToGrid/>
              <w:spacing w:line="240" w:lineRule="auto"/>
              <w:ind w:right="0" w:rightChars="0" w:firstLine="0" w:firstLineChars="0"/>
              <w:jc w:val="center"/>
              <w:rPr>
                <w:rFonts w:ascii="宋体" w:hAnsi="宋体"/>
                <w:szCs w:val="21"/>
              </w:rPr>
            </w:pPr>
            <w:r>
              <w:rPr>
                <w:rFonts w:hint="eastAsia" w:ascii="宋体" w:hAnsi="宋体" w:eastAsia="宋体" w:cs="宋体"/>
                <w:snapToGrid w:val="0"/>
                <w:spacing w:val="20"/>
                <w:kern w:val="0"/>
                <w:sz w:val="21"/>
                <w:szCs w:val="21"/>
                <w:lang w:val="en-US" w:eastAsia="zh-CN" w:bidi="ar-SA"/>
              </w:rPr>
              <w:t>2025年佛冈县县城病媒密度控制水平监测项目</w:t>
            </w:r>
          </w:p>
        </w:tc>
        <w:tc>
          <w:tcPr>
            <w:tcW w:w="1200" w:type="dxa"/>
            <w:tcBorders>
              <w:tl2br w:val="nil"/>
              <w:tr2bl w:val="nil"/>
            </w:tcBorders>
            <w:vAlign w:val="center"/>
          </w:tcPr>
          <w:p w14:paraId="204B0592">
            <w:pPr>
              <w:keepLines w:val="0"/>
              <w:pageBreakBefore w:val="0"/>
              <w:widowControl w:val="0"/>
              <w:kinsoku/>
              <w:wordWrap/>
              <w:overflowPunct/>
              <w:topLinePunct w:val="0"/>
              <w:autoSpaceDE/>
              <w:autoSpaceDN/>
              <w:bidi w:val="0"/>
              <w:snapToGrid/>
              <w:spacing w:line="240" w:lineRule="auto"/>
              <w:ind w:right="0" w:rightChars="0" w:firstLine="0" w:firstLineChars="0"/>
              <w:jc w:val="center"/>
              <w:rPr>
                <w:rFonts w:ascii="宋体" w:hAnsi="宋体"/>
                <w:b/>
                <w:bCs/>
                <w:szCs w:val="21"/>
              </w:rPr>
            </w:pPr>
            <w:r>
              <w:rPr>
                <w:rFonts w:hint="eastAsia" w:ascii="宋体" w:hAnsi="宋体" w:eastAsia="宋体"/>
                <w:sz w:val="21"/>
                <w:szCs w:val="21"/>
              </w:rPr>
              <w:t>1项</w:t>
            </w:r>
          </w:p>
        </w:tc>
        <w:tc>
          <w:tcPr>
            <w:tcW w:w="2215" w:type="dxa"/>
            <w:tcBorders>
              <w:tl2br w:val="nil"/>
              <w:tr2bl w:val="nil"/>
            </w:tcBorders>
            <w:vAlign w:val="center"/>
          </w:tcPr>
          <w:p w14:paraId="31F36DDC">
            <w:pPr>
              <w:keepLines w:val="0"/>
              <w:pageBreakBefore w:val="0"/>
              <w:widowControl w:val="0"/>
              <w:kinsoku/>
              <w:wordWrap/>
              <w:overflowPunct/>
              <w:topLinePunct w:val="0"/>
              <w:autoSpaceDE/>
              <w:autoSpaceDN/>
              <w:bidi w:val="0"/>
              <w:snapToGrid/>
              <w:spacing w:line="240" w:lineRule="auto"/>
              <w:ind w:right="0" w:rightChars="0" w:firstLine="0" w:firstLineChars="0"/>
              <w:jc w:val="left"/>
              <w:rPr>
                <w:rFonts w:ascii="宋体" w:hAnsi="宋体"/>
                <w:szCs w:val="21"/>
              </w:rPr>
            </w:pPr>
          </w:p>
        </w:tc>
        <w:tc>
          <w:tcPr>
            <w:tcW w:w="2474" w:type="dxa"/>
            <w:tcBorders>
              <w:tl2br w:val="nil"/>
              <w:tr2bl w:val="nil"/>
            </w:tcBorders>
            <w:vAlign w:val="center"/>
          </w:tcPr>
          <w:p w14:paraId="11FBD8F0">
            <w:pPr>
              <w:spacing w:line="360" w:lineRule="auto"/>
              <w:jc w:val="center"/>
              <w:rPr>
                <w:rFonts w:ascii="宋体" w:hAnsi="宋体"/>
                <w:szCs w:val="21"/>
              </w:rPr>
            </w:pPr>
            <w:r>
              <w:rPr>
                <w:rFonts w:hint="eastAsia" w:ascii="宋体" w:hAnsi="宋体"/>
                <w:color w:val="000000"/>
                <w:szCs w:val="21"/>
              </w:rPr>
              <w:t>每季一次，每年四次。监测时间为每年3、6、9、12月，具体时间与县疾控中心商定</w:t>
            </w:r>
          </w:p>
        </w:tc>
      </w:tr>
    </w:tbl>
    <w:p w14:paraId="08F926DE">
      <w:pPr>
        <w:rPr>
          <w:rFonts w:ascii="仿宋" w:hAnsi="仿宋" w:eastAsia="仿宋"/>
          <w:b/>
          <w:bCs/>
          <w:sz w:val="32"/>
          <w:szCs w:val="36"/>
        </w:rPr>
      </w:pPr>
    </w:p>
    <w:p w14:paraId="00ABAE45">
      <w:pPr>
        <w:rPr>
          <w:rFonts w:ascii="仿宋" w:hAnsi="仿宋" w:eastAsia="仿宋"/>
          <w:b/>
          <w:bCs/>
          <w:sz w:val="32"/>
          <w:szCs w:val="36"/>
        </w:rPr>
      </w:pPr>
      <w:r>
        <w:rPr>
          <w:rFonts w:hint="eastAsia" w:ascii="仿宋" w:hAnsi="仿宋" w:eastAsia="仿宋"/>
          <w:b/>
          <w:bCs/>
          <w:sz w:val="32"/>
          <w:szCs w:val="36"/>
        </w:rPr>
        <w:t>附：产品说明书（如有）、售后服务说明。</w:t>
      </w:r>
    </w:p>
    <w:p w14:paraId="18340C6D">
      <w:pPr>
        <w:rPr>
          <w:rFonts w:ascii="仿宋" w:hAnsi="仿宋" w:eastAsia="仿宋"/>
          <w:b/>
          <w:bCs/>
          <w:sz w:val="32"/>
          <w:szCs w:val="36"/>
        </w:rPr>
      </w:pPr>
    </w:p>
    <w:p w14:paraId="7BFD9631">
      <w:pPr>
        <w:rPr>
          <w:rFonts w:ascii="仿宋" w:hAnsi="仿宋" w:eastAsia="仿宋"/>
          <w:b/>
          <w:bCs/>
          <w:sz w:val="32"/>
          <w:szCs w:val="36"/>
        </w:rPr>
      </w:pPr>
    </w:p>
    <w:p w14:paraId="530AE8AF">
      <w:pPr>
        <w:spacing w:line="500" w:lineRule="exact"/>
        <w:rPr>
          <w:rFonts w:ascii="宋体" w:hAnsi="宋体"/>
          <w:sz w:val="24"/>
          <w:u w:val="single"/>
        </w:rPr>
      </w:pPr>
      <w:r>
        <w:rPr>
          <w:rFonts w:hint="eastAsia" w:ascii="Times New Roman" w:hAnsi="Times New Roman"/>
          <w:spacing w:val="4"/>
          <w:sz w:val="24"/>
        </w:rPr>
        <w:t>供应商名称（</w:t>
      </w:r>
      <w:r>
        <w:rPr>
          <w:rFonts w:hint="eastAsia" w:ascii="宋体" w:hAnsi="宋体"/>
          <w:sz w:val="24"/>
        </w:rPr>
        <w:t>单位盖</w:t>
      </w:r>
      <w:r>
        <w:rPr>
          <w:rFonts w:hint="eastAsia" w:ascii="Times New Roman" w:hAnsi="Times New Roman"/>
          <w:spacing w:val="4"/>
          <w:sz w:val="24"/>
        </w:rPr>
        <w:t>公章）：</w:t>
      </w:r>
    </w:p>
    <w:p w14:paraId="0B4F7306">
      <w:pPr>
        <w:spacing w:line="520" w:lineRule="exact"/>
        <w:rPr>
          <w:rFonts w:ascii="宋体" w:hAnsi="Times New Roman"/>
          <w:sz w:val="24"/>
        </w:rPr>
      </w:pPr>
      <w:r>
        <w:rPr>
          <w:rFonts w:hint="eastAsia" w:ascii="宋体" w:hAnsi="Times New Roman"/>
          <w:sz w:val="24"/>
        </w:rPr>
        <w:t>联系人：</w:t>
      </w:r>
    </w:p>
    <w:p w14:paraId="7B1A1CB2">
      <w:pPr>
        <w:spacing w:line="520" w:lineRule="exact"/>
        <w:rPr>
          <w:rFonts w:ascii="Times New Roman" w:hAnsi="Times New Roman"/>
          <w:spacing w:val="4"/>
          <w:sz w:val="24"/>
        </w:rPr>
      </w:pPr>
      <w:r>
        <w:rPr>
          <w:rFonts w:hint="eastAsia" w:ascii="宋体" w:hAnsi="Times New Roman"/>
          <w:sz w:val="24"/>
        </w:rPr>
        <w:t>电话：</w:t>
      </w:r>
    </w:p>
    <w:p w14:paraId="77400CA9">
      <w:pPr>
        <w:spacing w:line="520" w:lineRule="exact"/>
        <w:rPr>
          <w:rFonts w:ascii="Times New Roman" w:hAnsi="Times New Roman"/>
          <w:spacing w:val="4"/>
          <w:sz w:val="24"/>
        </w:rPr>
      </w:pPr>
      <w:r>
        <w:rPr>
          <w:rFonts w:hint="eastAsia" w:ascii="Times New Roman" w:hAnsi="Times New Roman"/>
          <w:spacing w:val="4"/>
          <w:sz w:val="24"/>
        </w:rPr>
        <w:t>日期：</w:t>
      </w:r>
    </w:p>
    <w:p w14:paraId="4CB872C5">
      <w:pPr>
        <w:rPr>
          <w:rFonts w:ascii="仿宋" w:hAnsi="仿宋" w:eastAsia="仿宋"/>
          <w:b/>
          <w:bCs/>
          <w:sz w:val="32"/>
          <w:szCs w:val="36"/>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24214781"/>
    </w:sdtPr>
    <w:sdtContent>
      <w:p w14:paraId="4A760388">
        <w:pPr>
          <w:pStyle w:val="7"/>
          <w:jc w:val="center"/>
        </w:pPr>
        <w:r>
          <w:fldChar w:fldCharType="begin"/>
        </w:r>
        <w:r>
          <w:instrText xml:space="preserve">PAGE   \* MERGEFORMAT</w:instrText>
        </w:r>
        <w:r>
          <w:fldChar w:fldCharType="separate"/>
        </w:r>
        <w:r>
          <w:rPr>
            <w:lang w:val="zh-CN"/>
          </w:rPr>
          <w:t>1</w:t>
        </w:r>
        <w:r>
          <w:fldChar w:fldCharType="end"/>
        </w:r>
      </w:p>
    </w:sdtContent>
  </w:sdt>
  <w:p w14:paraId="0AF12F3A">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5AC778E"/>
    <w:multiLevelType w:val="multilevel"/>
    <w:tmpl w:val="25AC778E"/>
    <w:lvl w:ilvl="0" w:tentative="0">
      <w:start w:val="1"/>
      <w:numFmt w:val="chineseCountingThousand"/>
      <w:lvlText w:val="%1、"/>
      <w:lvlJc w:val="left"/>
      <w:pPr>
        <w:tabs>
          <w:tab w:val="left" w:pos="420"/>
        </w:tabs>
        <w:ind w:left="420" w:hanging="420"/>
      </w:pPr>
      <w:rPr>
        <w:b/>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68F6DF3F"/>
    <w:multiLevelType w:val="multilevel"/>
    <w:tmpl w:val="68F6DF3F"/>
    <w:lvl w:ilvl="0" w:tentative="0">
      <w:start w:val="1"/>
      <w:numFmt w:val="chineseCountingThousand"/>
      <w:pStyle w:val="2"/>
      <w:lvlText w:val="%1、 "/>
      <w:lvlJc w:val="left"/>
      <w:pPr>
        <w:ind w:left="0" w:firstLine="0"/>
      </w:pPr>
      <w:rPr>
        <w:rFonts w:hint="eastAsia"/>
      </w:rPr>
    </w:lvl>
    <w:lvl w:ilvl="1" w:tentative="0">
      <w:start w:val="1"/>
      <w:numFmt w:val="decimal"/>
      <w:isLgl/>
      <w:lvlText w:val="%1.%2 "/>
      <w:lvlJc w:val="left"/>
      <w:pPr>
        <w:ind w:left="0" w:firstLine="0"/>
      </w:pPr>
      <w:rPr>
        <w:rFonts w:hint="eastAsia"/>
      </w:rPr>
    </w:lvl>
    <w:lvl w:ilvl="2" w:tentative="0">
      <w:start w:val="1"/>
      <w:numFmt w:val="decimal"/>
      <w:isLgl/>
      <w:lvlText w:val="%1.%2.%3 "/>
      <w:lvlJc w:val="left"/>
      <w:pPr>
        <w:ind w:left="0" w:firstLine="0"/>
      </w:pPr>
      <w:rPr>
        <w:rFonts w:hint="eastAsia"/>
      </w:rPr>
    </w:lvl>
    <w:lvl w:ilvl="3" w:tentative="0">
      <w:start w:val="1"/>
      <w:numFmt w:val="decimal"/>
      <w:isLgl/>
      <w:lvlText w:val="%1.%2.%3.%4 "/>
      <w:lvlJc w:val="left"/>
      <w:pPr>
        <w:ind w:left="0" w:firstLine="0"/>
      </w:pPr>
      <w:rPr>
        <w:rFonts w:hint="eastAsia"/>
      </w:rPr>
    </w:lvl>
    <w:lvl w:ilvl="4" w:tentative="0">
      <w:start w:val="1"/>
      <w:numFmt w:val="decimal"/>
      <w:isLgl/>
      <w:lvlText w:val="%1.%2.%3.%4.%5 "/>
      <w:lvlJc w:val="left"/>
      <w:pPr>
        <w:ind w:left="0" w:firstLine="0"/>
      </w:pPr>
      <w:rPr>
        <w:rFonts w:hint="eastAsia"/>
      </w:rPr>
    </w:lvl>
    <w:lvl w:ilvl="5" w:tentative="0">
      <w:start w:val="1"/>
      <w:numFmt w:val="decimal"/>
      <w:isLgl/>
      <w:lvlText w:val="%1.%2.%3.%4.%5.%6 "/>
      <w:lvlJc w:val="left"/>
      <w:pPr>
        <w:ind w:left="0" w:firstLine="0"/>
      </w:pPr>
      <w:rPr>
        <w:rFonts w:hint="eastAsia"/>
      </w:rPr>
    </w:lvl>
    <w:lvl w:ilvl="6" w:tentative="0">
      <w:start w:val="1"/>
      <w:numFmt w:val="decimal"/>
      <w:isLgl/>
      <w:lvlText w:val="%1.%2.%3.%4.%5.%6.%7 "/>
      <w:lvlJc w:val="left"/>
      <w:pPr>
        <w:ind w:left="0" w:firstLine="0"/>
      </w:pPr>
      <w:rPr>
        <w:rFonts w:hint="eastAsia"/>
      </w:rPr>
    </w:lvl>
    <w:lvl w:ilvl="7" w:tentative="0">
      <w:start w:val="1"/>
      <w:numFmt w:val="decimal"/>
      <w:isLgl/>
      <w:lvlText w:val="%1.%2.%3.%4.%5.%6.%7.%8 "/>
      <w:lvlJc w:val="left"/>
      <w:pPr>
        <w:ind w:left="0" w:firstLine="0"/>
      </w:pPr>
      <w:rPr>
        <w:rFonts w:hint="eastAsia"/>
      </w:rPr>
    </w:lvl>
    <w:lvl w:ilvl="8" w:tentative="0">
      <w:start w:val="1"/>
      <w:numFmt w:val="decimal"/>
      <w:isLgl/>
      <w:lvlText w:val="%1.%2.%3.%4.%5.%6.%7.%8.%9 "/>
      <w:lvlJc w:val="left"/>
      <w:pPr>
        <w:ind w:left="0" w:firstLine="0"/>
      </w:pPr>
      <w:rPr>
        <w:rFonts w:hint="eastAsia"/>
      </w:rPr>
    </w:lvl>
  </w:abstractNum>
  <w:abstractNum w:abstractNumId="2">
    <w:nsid w:val="752725D8"/>
    <w:multiLevelType w:val="multilevel"/>
    <w:tmpl w:val="752725D8"/>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FjODM0OGU4YmZkMTI0YjVkNGQ3YjJhNTRhNjI2M2MifQ=="/>
  </w:docVars>
  <w:rsids>
    <w:rsidRoot w:val="00065B0A"/>
    <w:rsid w:val="00021065"/>
    <w:rsid w:val="0006210E"/>
    <w:rsid w:val="00065B0A"/>
    <w:rsid w:val="000A254B"/>
    <w:rsid w:val="000F0D51"/>
    <w:rsid w:val="001B604C"/>
    <w:rsid w:val="00225CE9"/>
    <w:rsid w:val="00246F71"/>
    <w:rsid w:val="0028250C"/>
    <w:rsid w:val="002E715D"/>
    <w:rsid w:val="003047BF"/>
    <w:rsid w:val="00362CE2"/>
    <w:rsid w:val="004C6DCD"/>
    <w:rsid w:val="00530F40"/>
    <w:rsid w:val="005B71A3"/>
    <w:rsid w:val="005B7AAC"/>
    <w:rsid w:val="006144C8"/>
    <w:rsid w:val="006404B0"/>
    <w:rsid w:val="0074245D"/>
    <w:rsid w:val="00762D74"/>
    <w:rsid w:val="007C7285"/>
    <w:rsid w:val="008B439E"/>
    <w:rsid w:val="009171D6"/>
    <w:rsid w:val="009563D4"/>
    <w:rsid w:val="00993CC1"/>
    <w:rsid w:val="009C2083"/>
    <w:rsid w:val="00A11A29"/>
    <w:rsid w:val="00A230D2"/>
    <w:rsid w:val="00A45D5B"/>
    <w:rsid w:val="00A4620E"/>
    <w:rsid w:val="00AC014A"/>
    <w:rsid w:val="00AC78EF"/>
    <w:rsid w:val="00AD6D82"/>
    <w:rsid w:val="00B16EB7"/>
    <w:rsid w:val="00B66E46"/>
    <w:rsid w:val="00BA5EC1"/>
    <w:rsid w:val="00CA5395"/>
    <w:rsid w:val="00CD6295"/>
    <w:rsid w:val="00CD7737"/>
    <w:rsid w:val="00D245B7"/>
    <w:rsid w:val="00D51A9C"/>
    <w:rsid w:val="00DA469C"/>
    <w:rsid w:val="00DF5A4D"/>
    <w:rsid w:val="00E13919"/>
    <w:rsid w:val="00E141F8"/>
    <w:rsid w:val="00E23287"/>
    <w:rsid w:val="00E85ED0"/>
    <w:rsid w:val="00F700C4"/>
    <w:rsid w:val="00FD5A17"/>
    <w:rsid w:val="00FD5FAD"/>
    <w:rsid w:val="00FF5D95"/>
    <w:rsid w:val="047F5F3E"/>
    <w:rsid w:val="049B4811"/>
    <w:rsid w:val="06737EC9"/>
    <w:rsid w:val="097879F1"/>
    <w:rsid w:val="0BFB57C0"/>
    <w:rsid w:val="0EE20572"/>
    <w:rsid w:val="0FEC1F33"/>
    <w:rsid w:val="12684E79"/>
    <w:rsid w:val="1272654A"/>
    <w:rsid w:val="145F4EAD"/>
    <w:rsid w:val="1AB53561"/>
    <w:rsid w:val="21024100"/>
    <w:rsid w:val="3B8C312E"/>
    <w:rsid w:val="3C977DE1"/>
    <w:rsid w:val="3FA42E7B"/>
    <w:rsid w:val="47606E82"/>
    <w:rsid w:val="48EA7DF0"/>
    <w:rsid w:val="4BCE0F5F"/>
    <w:rsid w:val="511B4AD6"/>
    <w:rsid w:val="5A1A64C1"/>
    <w:rsid w:val="5CE94E6C"/>
    <w:rsid w:val="61F43A44"/>
    <w:rsid w:val="62E42C38"/>
    <w:rsid w:val="63F47EEA"/>
    <w:rsid w:val="659B5DE3"/>
    <w:rsid w:val="68634D2F"/>
    <w:rsid w:val="689843F1"/>
    <w:rsid w:val="6A355AF3"/>
    <w:rsid w:val="6E9008C0"/>
    <w:rsid w:val="6F486446"/>
    <w:rsid w:val="73C360F5"/>
    <w:rsid w:val="75C11A24"/>
    <w:rsid w:val="76F36118"/>
    <w:rsid w:val="7D210A69"/>
    <w:rsid w:val="7E3638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9"/>
    <w:pPr>
      <w:keepNext/>
      <w:keepLines/>
      <w:numPr>
        <w:ilvl w:val="0"/>
        <w:numId w:val="1"/>
      </w:numPr>
      <w:spacing w:before="480" w:after="360"/>
      <w:ind w:left="525" w:leftChars="100" w:right="100" w:rightChars="100"/>
      <w:jc w:val="left"/>
      <w:outlineLvl w:val="0"/>
    </w:pPr>
    <w:rPr>
      <w:rFonts w:ascii="等线" w:hAnsi="等线" w:eastAsia="黑体"/>
      <w:b/>
      <w:bCs/>
      <w:kern w:val="44"/>
      <w:sz w:val="32"/>
      <w:szCs w:val="32"/>
    </w:rPr>
  </w:style>
  <w:style w:type="character" w:default="1" w:styleId="13">
    <w:name w:val="Default Paragraph Font"/>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3">
    <w:name w:val="annotation text"/>
    <w:basedOn w:val="1"/>
    <w:link w:val="18"/>
    <w:autoRedefine/>
    <w:qFormat/>
    <w:uiPriority w:val="0"/>
    <w:pPr>
      <w:jc w:val="left"/>
    </w:pPr>
    <w:rPr>
      <w:rFonts w:ascii="Times New Roman" w:hAnsi="Times New Roman" w:eastAsia="宋体" w:cs="Times New Roman"/>
      <w:kern w:val="0"/>
      <w:sz w:val="20"/>
      <w:szCs w:val="24"/>
      <w:lang w:val="zh-CN"/>
    </w:rPr>
  </w:style>
  <w:style w:type="paragraph" w:styleId="4">
    <w:name w:val="Body Text"/>
    <w:basedOn w:val="1"/>
    <w:next w:val="1"/>
    <w:autoRedefine/>
    <w:qFormat/>
    <w:uiPriority w:val="0"/>
    <w:pPr>
      <w:adjustRightInd w:val="0"/>
      <w:spacing w:after="120" w:line="360" w:lineRule="atLeast"/>
      <w:textAlignment w:val="baseline"/>
    </w:pPr>
    <w:rPr>
      <w:rFonts w:ascii="Times New Roman" w:hAnsi="Times New Roman"/>
      <w:kern w:val="0"/>
      <w:sz w:val="20"/>
    </w:rPr>
  </w:style>
  <w:style w:type="paragraph" w:styleId="5">
    <w:name w:val="Body Text Indent"/>
    <w:basedOn w:val="1"/>
    <w:unhideWhenUsed/>
    <w:qFormat/>
    <w:uiPriority w:val="99"/>
    <w:pPr>
      <w:spacing w:after="120"/>
      <w:ind w:left="420" w:leftChars="200"/>
    </w:pPr>
    <w:rPr>
      <w:rFonts w:cs="Times New Roman"/>
    </w:rPr>
  </w:style>
  <w:style w:type="paragraph" w:styleId="6">
    <w:name w:val="Plain Text"/>
    <w:basedOn w:val="1"/>
    <w:link w:val="22"/>
    <w:autoRedefine/>
    <w:qFormat/>
    <w:uiPriority w:val="0"/>
    <w:rPr>
      <w:rFonts w:ascii="宋体" w:hAnsi="Courier New" w:eastAsia="宋体" w:cs="Times New Roman"/>
      <w:kern w:val="0"/>
      <w:sz w:val="20"/>
      <w:szCs w:val="21"/>
    </w:rPr>
  </w:style>
  <w:style w:type="paragraph" w:styleId="7">
    <w:name w:val="footer"/>
    <w:basedOn w:val="1"/>
    <w:link w:val="16"/>
    <w:autoRedefine/>
    <w:unhideWhenUsed/>
    <w:qFormat/>
    <w:uiPriority w:val="99"/>
    <w:pPr>
      <w:tabs>
        <w:tab w:val="center" w:pos="4153"/>
        <w:tab w:val="right" w:pos="8306"/>
      </w:tabs>
      <w:snapToGrid w:val="0"/>
      <w:jc w:val="left"/>
    </w:pPr>
    <w:rPr>
      <w:sz w:val="18"/>
      <w:szCs w:val="18"/>
    </w:rPr>
  </w:style>
  <w:style w:type="paragraph" w:styleId="8">
    <w:name w:val="header"/>
    <w:basedOn w:val="1"/>
    <w:link w:val="15"/>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autoRedefine/>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Body Text First Indent 2"/>
    <w:basedOn w:val="5"/>
    <w:qFormat/>
    <w:uiPriority w:val="0"/>
    <w:pPr>
      <w:ind w:firstLine="420" w:firstLineChars="200"/>
    </w:pPr>
  </w:style>
  <w:style w:type="table" w:styleId="12">
    <w:name w:val="Table Grid"/>
    <w:basedOn w:val="11"/>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annotation reference"/>
    <w:autoRedefine/>
    <w:unhideWhenUsed/>
    <w:qFormat/>
    <w:uiPriority w:val="0"/>
    <w:rPr>
      <w:sz w:val="21"/>
      <w:szCs w:val="21"/>
    </w:rPr>
  </w:style>
  <w:style w:type="character" w:customStyle="1" w:styleId="15">
    <w:name w:val="页眉 字符"/>
    <w:basedOn w:val="13"/>
    <w:link w:val="8"/>
    <w:autoRedefine/>
    <w:qFormat/>
    <w:uiPriority w:val="99"/>
    <w:rPr>
      <w:sz w:val="18"/>
      <w:szCs w:val="18"/>
    </w:rPr>
  </w:style>
  <w:style w:type="character" w:customStyle="1" w:styleId="16">
    <w:name w:val="页脚 字符"/>
    <w:basedOn w:val="13"/>
    <w:link w:val="7"/>
    <w:autoRedefine/>
    <w:qFormat/>
    <w:uiPriority w:val="99"/>
    <w:rPr>
      <w:sz w:val="18"/>
      <w:szCs w:val="18"/>
    </w:rPr>
  </w:style>
  <w:style w:type="character" w:customStyle="1" w:styleId="17">
    <w:name w:val="批注文字 字符"/>
    <w:basedOn w:val="13"/>
    <w:autoRedefine/>
    <w:semiHidden/>
    <w:qFormat/>
    <w:uiPriority w:val="99"/>
  </w:style>
  <w:style w:type="character" w:customStyle="1" w:styleId="18">
    <w:name w:val="批注文字 字符1"/>
    <w:link w:val="3"/>
    <w:autoRedefine/>
    <w:qFormat/>
    <w:uiPriority w:val="0"/>
    <w:rPr>
      <w:rFonts w:ascii="Times New Roman" w:hAnsi="Times New Roman" w:eastAsia="宋体" w:cs="Times New Roman"/>
      <w:kern w:val="0"/>
      <w:sz w:val="20"/>
      <w:szCs w:val="24"/>
      <w:lang w:val="zh-CN" w:eastAsia="zh-CN"/>
    </w:rPr>
  </w:style>
  <w:style w:type="paragraph" w:customStyle="1" w:styleId="19">
    <w:name w:val="Table Paragraph"/>
    <w:basedOn w:val="1"/>
    <w:autoRedefine/>
    <w:qFormat/>
    <w:uiPriority w:val="1"/>
    <w:rPr>
      <w:rFonts w:ascii="宋体" w:hAnsi="宋体" w:eastAsia="宋体" w:cs="宋体"/>
    </w:rPr>
  </w:style>
  <w:style w:type="paragraph" w:styleId="20">
    <w:name w:val="List Paragraph"/>
    <w:basedOn w:val="1"/>
    <w:autoRedefine/>
    <w:qFormat/>
    <w:uiPriority w:val="99"/>
    <w:pPr>
      <w:ind w:firstLine="420" w:firstLineChars="200"/>
    </w:pPr>
  </w:style>
  <w:style w:type="table" w:customStyle="1" w:styleId="21">
    <w:name w:val="Table Normal"/>
    <w:autoRedefine/>
    <w:semiHidden/>
    <w:unhideWhenUsed/>
    <w:qFormat/>
    <w:uiPriority w:val="2"/>
    <w:pPr>
      <w:widowControl w:val="0"/>
      <w:autoSpaceDE w:val="0"/>
      <w:autoSpaceDN w:val="0"/>
    </w:pPr>
    <w:rPr>
      <w:sz w:val="22"/>
      <w:lang w:eastAsia="en-US"/>
    </w:rPr>
    <w:tblPr>
      <w:tblCellMar>
        <w:top w:w="0" w:type="dxa"/>
        <w:left w:w="0" w:type="dxa"/>
        <w:bottom w:w="0" w:type="dxa"/>
        <w:right w:w="0" w:type="dxa"/>
      </w:tblCellMar>
    </w:tblPr>
  </w:style>
  <w:style w:type="character" w:customStyle="1" w:styleId="22">
    <w:name w:val="纯文本 字符"/>
    <w:basedOn w:val="13"/>
    <w:link w:val="6"/>
    <w:autoRedefine/>
    <w:qFormat/>
    <w:uiPriority w:val="0"/>
    <w:rPr>
      <w:rFonts w:ascii="宋体" w:hAnsi="Courier New" w:eastAsia="宋体" w:cs="Times New Roman"/>
      <w:szCs w:val="21"/>
    </w:rPr>
  </w:style>
  <w:style w:type="paragraph" w:customStyle="1" w:styleId="23">
    <w:name w:val="列表段落1"/>
    <w:basedOn w:val="1"/>
    <w:autoRedefine/>
    <w:qFormat/>
    <w:uiPriority w:val="0"/>
    <w:pPr>
      <w:ind w:firstLine="420"/>
    </w:pPr>
    <w:rPr>
      <w:szCs w:val="22"/>
    </w:rPr>
  </w:style>
  <w:style w:type="character" w:customStyle="1" w:styleId="24">
    <w:name w:val="font11"/>
    <w:basedOn w:val="13"/>
    <w:autoRedefine/>
    <w:qFormat/>
    <w:uiPriority w:val="0"/>
    <w:rPr>
      <w:rFonts w:hint="eastAsia" w:ascii="宋体" w:hAnsi="宋体" w:eastAsia="宋体" w:cs="宋体"/>
      <w:color w:val="000000"/>
      <w:sz w:val="20"/>
      <w:szCs w:val="20"/>
      <w:u w:val="none"/>
    </w:rPr>
  </w:style>
  <w:style w:type="character" w:customStyle="1" w:styleId="25">
    <w:name w:val="font21"/>
    <w:basedOn w:val="13"/>
    <w:autoRedefine/>
    <w:qFormat/>
    <w:uiPriority w:val="0"/>
    <w:rPr>
      <w:rFonts w:hint="default" w:ascii="Arial" w:hAnsi="Arial" w:cs="Arial"/>
      <w:color w:val="000000"/>
      <w:sz w:val="20"/>
      <w:szCs w:val="20"/>
      <w:u w:val="none"/>
    </w:rPr>
  </w:style>
  <w:style w:type="character" w:customStyle="1" w:styleId="26">
    <w:name w:val="font51"/>
    <w:basedOn w:val="13"/>
    <w:qFormat/>
    <w:uiPriority w:val="0"/>
    <w:rPr>
      <w:rFonts w:hint="eastAsia" w:ascii="宋体" w:hAnsi="宋体" w:eastAsia="宋体" w:cs="宋体"/>
      <w:color w:val="000000"/>
      <w:sz w:val="16"/>
      <w:szCs w:val="16"/>
      <w:u w:val="none"/>
    </w:rPr>
  </w:style>
  <w:style w:type="character" w:customStyle="1" w:styleId="27">
    <w:name w:val="font61"/>
    <w:basedOn w:val="13"/>
    <w:qFormat/>
    <w:uiPriority w:val="0"/>
    <w:rPr>
      <w:rFonts w:hint="eastAsia" w:ascii="宋体" w:hAnsi="宋体" w:eastAsia="宋体" w:cs="宋体"/>
      <w:color w:val="000000"/>
      <w:sz w:val="16"/>
      <w:szCs w:val="16"/>
      <w:u w:val="none"/>
    </w:rPr>
  </w:style>
  <w:style w:type="character" w:customStyle="1" w:styleId="28">
    <w:name w:val="font112"/>
    <w:basedOn w:val="13"/>
    <w:qFormat/>
    <w:uiPriority w:val="0"/>
    <w:rPr>
      <w:rFonts w:hint="eastAsia" w:ascii="宋体" w:hAnsi="宋体" w:eastAsia="宋体" w:cs="宋体"/>
      <w:b/>
      <w:bCs/>
      <w:color w:val="000000"/>
      <w:sz w:val="16"/>
      <w:szCs w:val="16"/>
      <w:u w:val="none"/>
    </w:rPr>
  </w:style>
  <w:style w:type="character" w:customStyle="1" w:styleId="29">
    <w:name w:val="font121"/>
    <w:basedOn w:val="13"/>
    <w:qFormat/>
    <w:uiPriority w:val="0"/>
    <w:rPr>
      <w:rFonts w:hint="eastAsia" w:ascii="宋体" w:hAnsi="宋体" w:eastAsia="宋体" w:cs="宋体"/>
      <w:b/>
      <w:bCs/>
      <w:color w:val="666666"/>
      <w:sz w:val="16"/>
      <w:szCs w:val="16"/>
      <w:u w:val="none"/>
    </w:rPr>
  </w:style>
  <w:style w:type="character" w:customStyle="1" w:styleId="30">
    <w:name w:val="font101"/>
    <w:basedOn w:val="13"/>
    <w:qFormat/>
    <w:uiPriority w:val="0"/>
    <w:rPr>
      <w:rFonts w:hint="eastAsia" w:ascii="宋体" w:hAnsi="宋体" w:eastAsia="宋体" w:cs="宋体"/>
      <w:color w:val="000000"/>
      <w:sz w:val="20"/>
      <w:szCs w:val="20"/>
      <w:u w:val="none"/>
      <w:vertAlign w:val="superscript"/>
    </w:rPr>
  </w:style>
  <w:style w:type="paragraph" w:customStyle="1" w:styleId="31">
    <w:name w:val="图"/>
    <w:basedOn w:val="1"/>
    <w:qFormat/>
    <w:uiPriority w:val="0"/>
    <w:pPr>
      <w:keepNext/>
      <w:adjustRightInd w:val="0"/>
      <w:spacing w:before="60" w:after="60" w:line="300" w:lineRule="auto"/>
      <w:jc w:val="center"/>
      <w:textAlignment w:val="center"/>
    </w:pPr>
    <w:rPr>
      <w:rFonts w:ascii="Times New Roman" w:hAnsi="Times New Roman" w:eastAsia="宋体" w:cs="Times New Roman"/>
      <w:snapToGrid w:val="0"/>
      <w:spacing w:val="20"/>
      <w:kern w:val="0"/>
      <w:szCs w:val="20"/>
    </w:rPr>
  </w:style>
  <w:style w:type="character" w:customStyle="1" w:styleId="32">
    <w:name w:val="font31"/>
    <w:basedOn w:val="13"/>
    <w:qFormat/>
    <w:uiPriority w:val="0"/>
    <w:rPr>
      <w:rFonts w:hint="eastAsia" w:ascii="宋体" w:hAnsi="宋体" w:eastAsia="宋体"/>
      <w:color w:val="00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751</Words>
  <Characters>815</Characters>
  <Lines>7</Lines>
  <Paragraphs>2</Paragraphs>
  <TotalTime>0</TotalTime>
  <ScaleCrop>false</ScaleCrop>
  <LinksUpToDate>false</LinksUpToDate>
  <CharactersWithSpaces>815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2019-12-05T09:31:00Z</dcterms:created>
  <dc:creator>妮</dc:creator>
  <cp:lastModifiedBy>刘小辉</cp:lastModifiedBy>
  <dcterms:modified xsi:type="dcterms:W3CDTF">2025-04-01T13:09:43Z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2DCA02D0C47040A68B5EC7DE154BDE19_13</vt:lpwstr>
  </property>
  <property fmtid="{D5CDD505-2E9C-101B-9397-08002B2CF9AE}" pid="4" name="KSOTemplateDocerSaveRecord">
    <vt:lpwstr>eyJoZGlkIjoiZjQwMzgwYjg4ZGI4NmMxNzE4ZjY2ZGEzYzA3Yjk5NDEiLCJ1c2VySWQiOiI0MTE1Nzc2MDcifQ==</vt:lpwstr>
  </property>
</Properties>
</file>