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Times New Roman" w:hAnsi="Times New Roman" w:eastAsia="宋体" w:cs="Times New Roman"/>
          <w:b/>
          <w:color w:val="auto"/>
          <w:sz w:val="84"/>
          <w:szCs w:val="84"/>
          <w:highlight w:val="none"/>
        </w:rPr>
      </w:pPr>
      <w:bookmarkStart w:id="2" w:name="_GoBack"/>
    </w:p>
    <w:p>
      <w:pPr>
        <w:snapToGrid w:val="0"/>
        <w:spacing w:before="156" w:beforeLines="50"/>
        <w:jc w:val="center"/>
        <w:rPr>
          <w:rFonts w:ascii="Times New Roman" w:hAnsi="Times New Roman" w:eastAsia="宋体" w:cs="Times New Roman"/>
          <w:b/>
          <w:color w:val="auto"/>
          <w:sz w:val="84"/>
          <w:szCs w:val="84"/>
          <w:highlight w:val="none"/>
        </w:rPr>
      </w:pPr>
    </w:p>
    <w:p>
      <w:pPr>
        <w:snapToGrid w:val="0"/>
        <w:spacing w:before="156" w:beforeLines="50"/>
        <w:jc w:val="center"/>
        <w:rPr>
          <w:rFonts w:ascii="Times New Roman" w:hAnsi="Times New Roman" w:eastAsia="宋体" w:cs="Times New Roman"/>
          <w:b/>
          <w:bCs/>
          <w:color w:val="auto"/>
          <w:sz w:val="84"/>
          <w:szCs w:val="84"/>
          <w:highlight w:val="none"/>
        </w:rPr>
      </w:pPr>
      <w:r>
        <w:rPr>
          <w:rFonts w:hint="eastAsia" w:ascii="Times New Roman" w:hAnsi="Times New Roman" w:eastAsia="宋体" w:cs="Times New Roman"/>
          <w:b/>
          <w:color w:val="auto"/>
          <w:sz w:val="84"/>
          <w:szCs w:val="84"/>
          <w:highlight w:val="none"/>
        </w:rPr>
        <w:t>比价</w:t>
      </w:r>
      <w:r>
        <w:rPr>
          <w:rFonts w:ascii="Times New Roman" w:hAnsi="Times New Roman" w:eastAsia="宋体" w:cs="Times New Roman"/>
          <w:b/>
          <w:color w:val="auto"/>
          <w:sz w:val="84"/>
          <w:szCs w:val="84"/>
          <w:highlight w:val="none"/>
        </w:rPr>
        <w:t>文件</w:t>
      </w:r>
    </w:p>
    <w:p>
      <w:pPr>
        <w:spacing w:line="360" w:lineRule="auto"/>
        <w:jc w:val="center"/>
        <w:rPr>
          <w:rFonts w:ascii="Times New Roman" w:hAnsi="Times New Roman" w:eastAsia="宋体" w:cs="Times New Roman"/>
          <w:b/>
          <w:bCs/>
          <w:color w:val="auto"/>
          <w:sz w:val="24"/>
          <w:szCs w:val="24"/>
          <w:highlight w:val="none"/>
        </w:rPr>
      </w:pPr>
    </w:p>
    <w:p>
      <w:pPr>
        <w:spacing w:line="360" w:lineRule="auto"/>
        <w:rPr>
          <w:rFonts w:ascii="Times New Roman" w:hAnsi="Times New Roman" w:eastAsia="宋体" w:cs="Times New Roman"/>
          <w:color w:val="auto"/>
          <w:sz w:val="30"/>
          <w:szCs w:val="30"/>
          <w:highlight w:val="none"/>
        </w:rPr>
      </w:pPr>
    </w:p>
    <w:p>
      <w:pPr>
        <w:spacing w:line="360" w:lineRule="auto"/>
        <w:rPr>
          <w:rFonts w:ascii="Times New Roman" w:hAnsi="Times New Roman" w:eastAsia="宋体" w:cs="Times New Roman"/>
          <w:color w:val="auto"/>
          <w:sz w:val="30"/>
          <w:szCs w:val="30"/>
          <w:highlight w:val="none"/>
        </w:rPr>
      </w:pPr>
    </w:p>
    <w:p>
      <w:pPr>
        <w:spacing w:line="360" w:lineRule="auto"/>
        <w:rPr>
          <w:rFonts w:ascii="Times New Roman" w:hAnsi="Times New Roman" w:eastAsia="宋体" w:cs="Times New Roman"/>
          <w:color w:val="auto"/>
          <w:sz w:val="30"/>
          <w:szCs w:val="30"/>
          <w:highlight w:val="none"/>
        </w:rPr>
      </w:pPr>
    </w:p>
    <w:p>
      <w:pPr>
        <w:spacing w:line="360" w:lineRule="auto"/>
        <w:rPr>
          <w:rFonts w:ascii="Times New Roman" w:hAnsi="Times New Roman" w:eastAsia="宋体" w:cs="Times New Roman"/>
          <w:color w:val="auto"/>
          <w:sz w:val="30"/>
          <w:szCs w:val="30"/>
          <w:highlight w:val="none"/>
        </w:rPr>
      </w:pPr>
    </w:p>
    <w:p>
      <w:pPr>
        <w:spacing w:line="360" w:lineRule="auto"/>
        <w:jc w:val="left"/>
        <w:rPr>
          <w:rFonts w:ascii="Times New Roman" w:hAnsi="Times New Roman" w:eastAsia="宋体" w:cs="Times New Roman"/>
          <w:b/>
          <w:bCs/>
          <w:color w:val="auto"/>
          <w:sz w:val="28"/>
          <w:szCs w:val="32"/>
          <w:highlight w:val="none"/>
        </w:rPr>
      </w:pPr>
      <w:r>
        <w:rPr>
          <w:rFonts w:ascii="Times New Roman" w:hAnsi="Times New Roman" w:eastAsia="宋体" w:cs="Times New Roman"/>
          <w:b/>
          <w:bCs/>
          <w:color w:val="auto"/>
          <w:sz w:val="28"/>
          <w:szCs w:val="32"/>
          <w:highlight w:val="none"/>
        </w:rPr>
        <w:t>采购方式：线上</w:t>
      </w:r>
      <w:r>
        <w:rPr>
          <w:rFonts w:hint="eastAsia" w:ascii="Times New Roman" w:hAnsi="Times New Roman" w:eastAsia="宋体" w:cs="Times New Roman"/>
          <w:b/>
          <w:bCs/>
          <w:color w:val="auto"/>
          <w:sz w:val="28"/>
          <w:szCs w:val="32"/>
          <w:highlight w:val="none"/>
        </w:rPr>
        <w:t>比价</w:t>
      </w:r>
    </w:p>
    <w:p>
      <w:pPr>
        <w:spacing w:line="360" w:lineRule="auto"/>
        <w:jc w:val="left"/>
        <w:rPr>
          <w:rFonts w:hint="eastAsia" w:ascii="Times New Roman" w:hAnsi="Times New Roman" w:eastAsia="宋体" w:cs="Times New Roman"/>
          <w:b/>
          <w:bCs/>
          <w:color w:val="auto"/>
          <w:sz w:val="28"/>
          <w:szCs w:val="32"/>
          <w:highlight w:val="none"/>
          <w:lang w:eastAsia="zh-CN"/>
        </w:rPr>
      </w:pPr>
      <w:r>
        <w:rPr>
          <w:rFonts w:ascii="Times New Roman" w:hAnsi="Times New Roman" w:eastAsia="宋体" w:cs="Times New Roman"/>
          <w:b/>
          <w:bCs/>
          <w:color w:val="auto"/>
          <w:sz w:val="28"/>
          <w:szCs w:val="32"/>
          <w:highlight w:val="none"/>
        </w:rPr>
        <w:t>项目名称：</w:t>
      </w:r>
      <w:r>
        <w:rPr>
          <w:rFonts w:hint="eastAsia" w:ascii="Times New Roman" w:hAnsi="Times New Roman" w:eastAsia="宋体" w:cs="Times New Roman"/>
          <w:b/>
          <w:bCs/>
          <w:color w:val="auto"/>
          <w:sz w:val="28"/>
          <w:szCs w:val="32"/>
          <w:highlight w:val="none"/>
          <w:lang w:eastAsia="zh-CN"/>
        </w:rPr>
        <w:t>广州航标处租车运输浮标器材服务项目</w:t>
      </w:r>
    </w:p>
    <w:p>
      <w:pPr>
        <w:snapToGrid w:val="0"/>
        <w:spacing w:before="156" w:beforeLines="50" w:after="156" w:afterLines="50" w:line="360" w:lineRule="auto"/>
        <w:jc w:val="center"/>
        <w:rPr>
          <w:rFonts w:ascii="Times New Roman" w:hAnsi="Times New Roman" w:eastAsia="宋体" w:cs="Times New Roman"/>
          <w:color w:val="auto"/>
          <w:sz w:val="30"/>
          <w:szCs w:val="30"/>
          <w:highlight w:val="none"/>
        </w:rPr>
      </w:pPr>
    </w:p>
    <w:p>
      <w:pPr>
        <w:autoSpaceDE w:val="0"/>
        <w:autoSpaceDN w:val="0"/>
        <w:adjustRightInd w:val="0"/>
        <w:snapToGrid w:val="0"/>
        <w:spacing w:before="156" w:beforeLines="50" w:after="156" w:afterLines="50" w:line="360" w:lineRule="auto"/>
        <w:jc w:val="center"/>
        <w:rPr>
          <w:rFonts w:ascii="Times New Roman" w:hAnsi="Times New Roman" w:eastAsia="宋体" w:cs="Times New Roman"/>
          <w:color w:val="auto"/>
          <w:kern w:val="0"/>
          <w:sz w:val="30"/>
          <w:szCs w:val="30"/>
          <w:highlight w:val="none"/>
        </w:rPr>
      </w:pPr>
    </w:p>
    <w:p>
      <w:pPr>
        <w:autoSpaceDE w:val="0"/>
        <w:autoSpaceDN w:val="0"/>
        <w:adjustRightInd w:val="0"/>
        <w:snapToGrid w:val="0"/>
        <w:spacing w:before="156" w:beforeLines="50" w:after="156" w:afterLines="50" w:line="360" w:lineRule="auto"/>
        <w:jc w:val="left"/>
        <w:rPr>
          <w:rFonts w:ascii="Times New Roman" w:hAnsi="Times New Roman" w:eastAsia="宋体" w:cs="Times New Roman"/>
          <w:color w:val="auto"/>
          <w:kern w:val="0"/>
          <w:sz w:val="30"/>
          <w:szCs w:val="30"/>
          <w:highlight w:val="none"/>
        </w:rPr>
      </w:pPr>
    </w:p>
    <w:p>
      <w:pPr>
        <w:autoSpaceDE w:val="0"/>
        <w:autoSpaceDN w:val="0"/>
        <w:adjustRightInd w:val="0"/>
        <w:snapToGrid w:val="0"/>
        <w:spacing w:line="360" w:lineRule="auto"/>
        <w:jc w:val="center"/>
        <w:rPr>
          <w:rFonts w:ascii="Times New Roman" w:hAnsi="Times New Roman" w:eastAsia="宋体" w:cs="Times New Roman"/>
          <w:b/>
          <w:bCs/>
          <w:color w:val="auto"/>
          <w:sz w:val="28"/>
          <w:szCs w:val="32"/>
          <w:highlight w:val="none"/>
        </w:rPr>
      </w:pPr>
    </w:p>
    <w:p>
      <w:pPr>
        <w:autoSpaceDE w:val="0"/>
        <w:autoSpaceDN w:val="0"/>
        <w:adjustRightInd w:val="0"/>
        <w:snapToGrid w:val="0"/>
        <w:spacing w:line="360" w:lineRule="auto"/>
        <w:jc w:val="center"/>
        <w:rPr>
          <w:rFonts w:ascii="Times New Roman" w:hAnsi="Times New Roman" w:eastAsia="宋体" w:cs="Times New Roman"/>
          <w:b/>
          <w:bCs/>
          <w:color w:val="auto"/>
          <w:sz w:val="28"/>
          <w:szCs w:val="32"/>
          <w:highlight w:val="none"/>
        </w:rPr>
      </w:pPr>
      <w:r>
        <w:rPr>
          <w:rFonts w:ascii="Times New Roman" w:hAnsi="Times New Roman" w:eastAsia="宋体" w:cs="Times New Roman"/>
          <w:b/>
          <w:bCs/>
          <w:color w:val="auto"/>
          <w:sz w:val="28"/>
          <w:szCs w:val="32"/>
          <w:highlight w:val="none"/>
        </w:rPr>
        <w:t>交通运输部南海航海保障中心广州航标处</w:t>
      </w:r>
    </w:p>
    <w:p>
      <w:pPr>
        <w:autoSpaceDE w:val="0"/>
        <w:autoSpaceDN w:val="0"/>
        <w:adjustRightInd w:val="0"/>
        <w:snapToGrid w:val="0"/>
        <w:spacing w:line="360" w:lineRule="auto"/>
        <w:jc w:val="center"/>
        <w:rPr>
          <w:rFonts w:ascii="Times New Roman" w:hAnsi="Times New Roman" w:eastAsia="宋体" w:cs="Times New Roman"/>
          <w:b/>
          <w:color w:val="auto"/>
          <w:sz w:val="28"/>
          <w:highlight w:val="none"/>
        </w:rPr>
      </w:pPr>
      <w:r>
        <w:rPr>
          <w:rFonts w:hint="eastAsia" w:ascii="Times New Roman" w:hAnsi="Times New Roman" w:eastAsia="宋体" w:cs="Times New Roman"/>
          <w:b/>
          <w:color w:val="auto"/>
          <w:sz w:val="28"/>
          <w:highlight w:val="none"/>
        </w:rPr>
        <w:t>采联国际招标采购集团有限公司</w:t>
      </w:r>
    </w:p>
    <w:p>
      <w:pPr>
        <w:autoSpaceDE w:val="0"/>
        <w:autoSpaceDN w:val="0"/>
        <w:adjustRightInd w:val="0"/>
        <w:snapToGrid w:val="0"/>
        <w:spacing w:line="360" w:lineRule="auto"/>
        <w:jc w:val="center"/>
        <w:rPr>
          <w:rFonts w:ascii="Times New Roman" w:hAnsi="Times New Roman" w:eastAsia="宋体" w:cs="Times New Roman"/>
          <w:b/>
          <w:color w:val="auto"/>
          <w:sz w:val="28"/>
          <w:highlight w:val="none"/>
        </w:rPr>
      </w:pPr>
      <w:r>
        <w:rPr>
          <w:rFonts w:ascii="Times New Roman" w:hAnsi="Times New Roman" w:eastAsia="宋体" w:cs="Times New Roman"/>
          <w:b/>
          <w:color w:val="auto"/>
          <w:sz w:val="28"/>
          <w:highlight w:val="none"/>
        </w:rPr>
        <w:t>二零二</w:t>
      </w:r>
      <w:r>
        <w:rPr>
          <w:rFonts w:hint="eastAsia" w:ascii="Times New Roman" w:hAnsi="Times New Roman" w:eastAsia="宋体" w:cs="Times New Roman"/>
          <w:b/>
          <w:color w:val="auto"/>
          <w:sz w:val="28"/>
          <w:highlight w:val="none"/>
        </w:rPr>
        <w:t>四</w:t>
      </w:r>
      <w:r>
        <w:rPr>
          <w:rFonts w:ascii="Times New Roman" w:hAnsi="Times New Roman" w:eastAsia="宋体" w:cs="Times New Roman"/>
          <w:b/>
          <w:color w:val="auto"/>
          <w:sz w:val="28"/>
          <w:highlight w:val="none"/>
        </w:rPr>
        <w:t>年</w:t>
      </w:r>
      <w:r>
        <w:rPr>
          <w:rFonts w:hint="eastAsia" w:ascii="Times New Roman" w:hAnsi="Times New Roman" w:eastAsia="宋体" w:cs="Times New Roman"/>
          <w:b/>
          <w:color w:val="auto"/>
          <w:sz w:val="28"/>
          <w:highlight w:val="none"/>
          <w:lang w:val="en-US" w:eastAsia="zh-CN"/>
        </w:rPr>
        <w:t>五</w:t>
      </w:r>
      <w:r>
        <w:rPr>
          <w:rFonts w:ascii="Times New Roman" w:hAnsi="Times New Roman" w:eastAsia="宋体" w:cs="Times New Roman"/>
          <w:b/>
          <w:color w:val="auto"/>
          <w:sz w:val="28"/>
          <w:highlight w:val="none"/>
        </w:rPr>
        <w:t>月</w:t>
      </w:r>
    </w:p>
    <w:p>
      <w:pPr>
        <w:autoSpaceDE w:val="0"/>
        <w:autoSpaceDN w:val="0"/>
        <w:adjustRightInd w:val="0"/>
        <w:snapToGrid w:val="0"/>
        <w:spacing w:line="360" w:lineRule="auto"/>
        <w:ind w:left="420" w:firstLine="420"/>
        <w:jc w:val="center"/>
        <w:rPr>
          <w:rFonts w:ascii="Times New Roman" w:hAnsi="Times New Roman" w:eastAsia="宋体" w:cs="Times New Roman"/>
          <w:color w:val="auto"/>
          <w:sz w:val="28"/>
          <w:highlight w:val="none"/>
        </w:rPr>
      </w:pPr>
    </w:p>
    <w:p>
      <w:pPr>
        <w:autoSpaceDE w:val="0"/>
        <w:autoSpaceDN w:val="0"/>
        <w:adjustRightInd w:val="0"/>
        <w:snapToGrid w:val="0"/>
        <w:spacing w:line="360" w:lineRule="auto"/>
        <w:ind w:left="420" w:firstLine="420"/>
        <w:jc w:val="center"/>
        <w:rPr>
          <w:rFonts w:ascii="Times New Roman" w:hAnsi="Times New Roman" w:eastAsia="宋体" w:cs="Times New Roman"/>
          <w:b/>
          <w:bCs/>
          <w:color w:val="auto"/>
          <w:sz w:val="28"/>
          <w:szCs w:val="32"/>
          <w:highlight w:val="none"/>
        </w:rPr>
        <w:sectPr>
          <w:headerReference r:id="rId3" w:type="default"/>
          <w:footerReference r:id="rId4" w:type="default"/>
          <w:pgSz w:w="11906" w:h="16838"/>
          <w:pgMar w:top="1440" w:right="1800" w:bottom="1440" w:left="1800" w:header="851" w:footer="992" w:gutter="0"/>
          <w:cols w:space="720" w:num="1"/>
          <w:titlePg/>
          <w:docGrid w:type="lines" w:linePitch="312" w:charSpace="0"/>
        </w:sectPr>
      </w:pPr>
    </w:p>
    <w:p>
      <w:pPr>
        <w:pStyle w:val="13"/>
        <w:spacing w:before="0" w:after="0"/>
        <w:rPr>
          <w:rFonts w:ascii="Times New Roman" w:hAnsi="Times New Roman" w:cs="Times New Roman"/>
          <w:color w:val="auto"/>
          <w:highlight w:val="none"/>
        </w:rPr>
      </w:pPr>
      <w:r>
        <w:rPr>
          <w:rFonts w:ascii="Times New Roman" w:hAnsi="Times New Roman" w:cs="Times New Roman"/>
          <w:color w:val="auto"/>
          <w:highlight w:val="none"/>
        </w:rPr>
        <w:t xml:space="preserve">第一章 </w:t>
      </w:r>
      <w:r>
        <w:rPr>
          <w:rFonts w:hint="eastAsia" w:ascii="Times New Roman" w:hAnsi="Times New Roman" w:cs="Times New Roman"/>
          <w:color w:val="auto"/>
          <w:highlight w:val="none"/>
        </w:rPr>
        <w:t>比价</w:t>
      </w:r>
      <w:r>
        <w:rPr>
          <w:rFonts w:ascii="Times New Roman" w:hAnsi="Times New Roman" w:cs="Times New Roman"/>
          <w:color w:val="auto"/>
          <w:highlight w:val="none"/>
        </w:rPr>
        <w:t>须知</w:t>
      </w:r>
    </w:p>
    <w:p>
      <w:pPr>
        <w:pStyle w:val="25"/>
        <w:numPr>
          <w:ilvl w:val="0"/>
          <w:numId w:val="3"/>
        </w:numPr>
        <w:spacing w:line="360" w:lineRule="auto"/>
        <w:ind w:firstLineChars="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本项目通过云采链线上采购一体化平台进行</w:t>
      </w:r>
      <w:r>
        <w:rPr>
          <w:rFonts w:hint="eastAsia" w:ascii="Times New Roman" w:hAnsi="Times New Roman" w:eastAsia="宋体" w:cs="Times New Roman"/>
          <w:color w:val="auto"/>
          <w:szCs w:val="21"/>
          <w:highlight w:val="none"/>
        </w:rPr>
        <w:t>公开比价</w:t>
      </w:r>
      <w:r>
        <w:rPr>
          <w:rFonts w:ascii="Times New Roman" w:hAnsi="Times New Roman" w:eastAsia="宋体" w:cs="Times New Roman"/>
          <w:color w:val="auto"/>
          <w:szCs w:val="21"/>
          <w:highlight w:val="none"/>
        </w:rPr>
        <w:t>，</w:t>
      </w:r>
      <w:r>
        <w:rPr>
          <w:rFonts w:hint="eastAsia" w:ascii="Times New Roman" w:hAnsi="Times New Roman" w:eastAsia="宋体" w:cs="Times New Roman"/>
          <w:color w:val="auto"/>
          <w:szCs w:val="21"/>
          <w:highlight w:val="none"/>
        </w:rPr>
        <w:t>参与比价</w:t>
      </w:r>
      <w:r>
        <w:rPr>
          <w:rFonts w:ascii="Times New Roman" w:hAnsi="Times New Roman" w:eastAsia="宋体" w:cs="Times New Roman"/>
          <w:color w:val="auto"/>
          <w:szCs w:val="21"/>
          <w:highlight w:val="none"/>
        </w:rPr>
        <w:t>的供应商必须登录平台进行注册，注册成功后方可参与项目</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rPr>
        <w:t>。</w:t>
      </w:r>
    </w:p>
    <w:p>
      <w:pPr>
        <w:pStyle w:val="25"/>
        <w:numPr>
          <w:ilvl w:val="0"/>
          <w:numId w:val="3"/>
        </w:numPr>
        <w:spacing w:line="360" w:lineRule="auto"/>
        <w:ind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语言要求</w:t>
      </w:r>
    </w:p>
    <w:p>
      <w:pPr>
        <w:spacing w:line="360" w:lineRule="auto"/>
        <w:ind w:left="420" w:leftChars="200"/>
        <w:rPr>
          <w:rFonts w:ascii="Times New Roman" w:hAnsi="Times New Roman" w:eastAsia="宋体" w:cs="Times New Roman"/>
          <w:color w:val="auto"/>
          <w:highlight w:val="none"/>
        </w:rPr>
      </w:pPr>
      <w:r>
        <w:rPr>
          <w:rFonts w:ascii="Times New Roman" w:hAnsi="Times New Roman" w:eastAsia="宋体" w:cs="Times New Roman"/>
          <w:color w:val="auto"/>
          <w:highlight w:val="none"/>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25"/>
        <w:numPr>
          <w:ilvl w:val="0"/>
          <w:numId w:val="3"/>
        </w:numPr>
        <w:spacing w:line="360" w:lineRule="auto"/>
        <w:ind w:firstLineChars="0"/>
        <w:rPr>
          <w:rFonts w:ascii="Times New Roman" w:hAnsi="Times New Roman" w:eastAsia="宋体" w:cs="Times New Roman"/>
          <w:color w:val="auto"/>
          <w:highlight w:val="none"/>
        </w:rPr>
      </w:pPr>
      <w:r>
        <w:rPr>
          <w:rFonts w:ascii="Times New Roman" w:hAnsi="Times New Roman" w:eastAsia="宋体" w:cs="Times New Roman"/>
          <w:b/>
          <w:bCs/>
          <w:color w:val="auto"/>
          <w:szCs w:val="21"/>
          <w:highlight w:val="none"/>
        </w:rPr>
        <w:t>在云采链平台参与为项目</w:t>
      </w:r>
      <w:r>
        <w:rPr>
          <w:rFonts w:hint="eastAsia" w:ascii="Times New Roman" w:hAnsi="Times New Roman" w:eastAsia="宋体" w:cs="Times New Roman"/>
          <w:b/>
          <w:bCs/>
          <w:color w:val="auto"/>
          <w:szCs w:val="21"/>
          <w:highlight w:val="none"/>
        </w:rPr>
        <w:t>比价</w:t>
      </w:r>
      <w:r>
        <w:rPr>
          <w:rFonts w:ascii="Times New Roman" w:hAnsi="Times New Roman" w:eastAsia="宋体" w:cs="Times New Roman"/>
          <w:b/>
          <w:bCs/>
          <w:color w:val="auto"/>
          <w:szCs w:val="21"/>
          <w:highlight w:val="none"/>
        </w:rPr>
        <w:t>后放弃成交资格超过三次（含三次）的供应商连同该供应商同一法人名下所有公司将被列入平台黑名单，永久不得参与平台的项目</w:t>
      </w:r>
      <w:r>
        <w:rPr>
          <w:rFonts w:hint="eastAsia" w:ascii="Times New Roman" w:hAnsi="Times New Roman" w:eastAsia="宋体" w:cs="Times New Roman"/>
          <w:b/>
          <w:bCs/>
          <w:color w:val="auto"/>
          <w:szCs w:val="21"/>
          <w:highlight w:val="none"/>
        </w:rPr>
        <w:t>比价</w:t>
      </w:r>
      <w:r>
        <w:rPr>
          <w:rFonts w:ascii="Times New Roman" w:hAnsi="Times New Roman" w:eastAsia="宋体" w:cs="Times New Roman"/>
          <w:b/>
          <w:bCs/>
          <w:color w:val="auto"/>
          <w:szCs w:val="21"/>
          <w:highlight w:val="none"/>
        </w:rPr>
        <w:t xml:space="preserve">。                                                                                                                                                                                                                                                                                                                                                                                                                                    </w:t>
      </w:r>
    </w:p>
    <w:p>
      <w:pPr>
        <w:pStyle w:val="25"/>
        <w:numPr>
          <w:ilvl w:val="0"/>
          <w:numId w:val="3"/>
        </w:numPr>
        <w:spacing w:line="360" w:lineRule="auto"/>
        <w:ind w:firstLineChars="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比价</w:t>
      </w:r>
      <w:r>
        <w:rPr>
          <w:rFonts w:ascii="Times New Roman" w:hAnsi="Times New Roman" w:eastAsia="宋体" w:cs="Times New Roman"/>
          <w:color w:val="auto"/>
          <w:highlight w:val="none"/>
        </w:rPr>
        <w:t>须知</w:t>
      </w:r>
    </w:p>
    <w:p>
      <w:pPr>
        <w:pStyle w:val="25"/>
        <w:numPr>
          <w:ilvl w:val="0"/>
          <w:numId w:val="4"/>
        </w:numPr>
        <w:spacing w:line="360" w:lineRule="auto"/>
        <w:ind w:firstLineChars="0"/>
        <w:rPr>
          <w:rFonts w:ascii="Times New Roman" w:hAnsi="Times New Roman" w:eastAsia="宋体" w:cs="Times New Roman"/>
          <w:b/>
          <w:color w:val="auto"/>
          <w:highlight w:val="none"/>
        </w:rPr>
      </w:pPr>
      <w:r>
        <w:rPr>
          <w:rStyle w:val="19"/>
          <w:rFonts w:hint="eastAsia" w:ascii="Times New Roman" w:hAnsi="Times New Roman" w:eastAsia="宋体" w:cs="Times New Roman"/>
          <w:bCs w:val="0"/>
          <w:color w:val="auto"/>
          <w:highlight w:val="none"/>
        </w:rPr>
        <w:t>比价</w:t>
      </w:r>
      <w:r>
        <w:rPr>
          <w:rStyle w:val="19"/>
          <w:rFonts w:ascii="Times New Roman" w:hAnsi="Times New Roman" w:eastAsia="宋体" w:cs="Times New Roman"/>
          <w:bCs w:val="0"/>
          <w:color w:val="auto"/>
          <w:highlight w:val="none"/>
        </w:rPr>
        <w:t>说明</w:t>
      </w:r>
    </w:p>
    <w:p>
      <w:pPr>
        <w:pStyle w:val="25"/>
        <w:numPr>
          <w:ilvl w:val="0"/>
          <w:numId w:val="5"/>
        </w:numPr>
        <w:tabs>
          <w:tab w:val="left" w:pos="851"/>
        </w:tabs>
        <w:spacing w:line="360" w:lineRule="auto"/>
        <w:ind w:firstLineChars="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参与</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rPr>
        <w:t>的供应商应承担所有与准备和参加</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rPr>
        <w:t>有关的费用，不</w:t>
      </w:r>
      <w:r>
        <w:rPr>
          <w:rFonts w:ascii="Times New Roman" w:hAnsi="Times New Roman" w:eastAsia="宋体" w:cs="Times New Roman"/>
          <w:color w:val="auto"/>
          <w:szCs w:val="21"/>
          <w:highlight w:val="none"/>
          <w:lang w:eastAsia="zh-TW"/>
        </w:rPr>
        <w:t>论</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lang w:eastAsia="zh-TW"/>
        </w:rPr>
        <w:t>的结果如何</w:t>
      </w:r>
      <w:r>
        <w:rPr>
          <w:rFonts w:ascii="Times New Roman" w:hAnsi="Times New Roman" w:eastAsia="宋体" w:cs="Times New Roman"/>
          <w:color w:val="auto"/>
          <w:szCs w:val="21"/>
          <w:highlight w:val="none"/>
        </w:rPr>
        <w:t>，</w:t>
      </w:r>
    </w:p>
    <w:p>
      <w:pPr>
        <w:tabs>
          <w:tab w:val="left" w:pos="851"/>
        </w:tabs>
        <w:spacing w:line="360" w:lineRule="auto"/>
        <w:ind w:left="420" w:leftChars="200" w:firstLine="210" w:firstLineChars="1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采购</w:t>
      </w:r>
      <w:r>
        <w:rPr>
          <w:rFonts w:ascii="Times New Roman" w:hAnsi="Times New Roman" w:eastAsia="宋体" w:cs="Times New Roman"/>
          <w:color w:val="auto"/>
          <w:szCs w:val="21"/>
          <w:highlight w:val="none"/>
          <w:lang w:eastAsia="zh-TW"/>
        </w:rPr>
        <w:t>人</w:t>
      </w:r>
      <w:r>
        <w:rPr>
          <w:rFonts w:ascii="Times New Roman" w:hAnsi="Times New Roman" w:eastAsia="宋体" w:cs="Times New Roman"/>
          <w:color w:val="auto"/>
          <w:szCs w:val="21"/>
          <w:highlight w:val="none"/>
        </w:rPr>
        <w:t>和</w:t>
      </w:r>
      <w:r>
        <w:rPr>
          <w:rFonts w:ascii="Times New Roman" w:hAnsi="Times New Roman" w:eastAsia="宋体" w:cs="Times New Roman"/>
          <w:color w:val="auto"/>
          <w:szCs w:val="21"/>
          <w:highlight w:val="none"/>
          <w:lang w:eastAsia="zh-TW"/>
        </w:rPr>
        <w:t>代理机构均无义务和责任承担这些费用</w:t>
      </w:r>
      <w:r>
        <w:rPr>
          <w:rFonts w:ascii="Times New Roman" w:hAnsi="Times New Roman" w:eastAsia="宋体" w:cs="Times New Roman"/>
          <w:color w:val="auto"/>
          <w:szCs w:val="21"/>
          <w:highlight w:val="none"/>
        </w:rPr>
        <w:t>。</w:t>
      </w:r>
    </w:p>
    <w:p>
      <w:pPr>
        <w:pStyle w:val="25"/>
        <w:numPr>
          <w:ilvl w:val="0"/>
          <w:numId w:val="5"/>
        </w:numPr>
        <w:spacing w:line="360" w:lineRule="auto"/>
        <w:ind w:firstLineChars="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参与</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rPr>
        <w:t>的</w:t>
      </w:r>
      <w:r>
        <w:rPr>
          <w:rFonts w:ascii="Times New Roman" w:hAnsi="Times New Roman" w:eastAsia="宋体" w:cs="Times New Roman"/>
          <w:bCs/>
          <w:color w:val="auto"/>
          <w:szCs w:val="21"/>
          <w:highlight w:val="none"/>
        </w:rPr>
        <w:t>供应商必须按</w:t>
      </w:r>
      <w:r>
        <w:rPr>
          <w:rFonts w:hint="eastAsia" w:ascii="Times New Roman" w:hAnsi="Times New Roman" w:eastAsia="宋体" w:cs="Times New Roman"/>
          <w:bCs/>
          <w:color w:val="auto"/>
          <w:szCs w:val="21"/>
          <w:highlight w:val="none"/>
        </w:rPr>
        <w:t>比价</w:t>
      </w:r>
      <w:r>
        <w:rPr>
          <w:rFonts w:ascii="Times New Roman" w:hAnsi="Times New Roman" w:eastAsia="宋体" w:cs="Times New Roman"/>
          <w:bCs/>
          <w:color w:val="auto"/>
          <w:szCs w:val="21"/>
          <w:highlight w:val="none"/>
        </w:rPr>
        <w:t>附件的格式填写，不得随意增加或删除表格内容。除单</w:t>
      </w:r>
    </w:p>
    <w:p>
      <w:pPr>
        <w:spacing w:line="360" w:lineRule="auto"/>
        <w:ind w:left="630" w:leftChars="300"/>
        <w:rPr>
          <w:rFonts w:ascii="Times New Roman" w:hAnsi="Times New Roman" w:eastAsia="宋体" w:cs="Times New Roman"/>
          <w:color w:val="auto"/>
          <w:highlight w:val="none"/>
        </w:rPr>
      </w:pPr>
      <w:r>
        <w:rPr>
          <w:rFonts w:ascii="Times New Roman" w:hAnsi="Times New Roman" w:eastAsia="宋体" w:cs="Times New Roman"/>
          <w:bCs/>
          <w:color w:val="auto"/>
          <w:szCs w:val="21"/>
          <w:highlight w:val="none"/>
        </w:rPr>
        <w:t>价、金额或项目要求填写的内容外，不得擅自改动</w:t>
      </w:r>
      <w:r>
        <w:rPr>
          <w:rFonts w:hint="eastAsia" w:ascii="Times New Roman" w:hAnsi="Times New Roman" w:eastAsia="宋体" w:cs="Times New Roman"/>
          <w:bCs/>
          <w:color w:val="auto"/>
          <w:szCs w:val="21"/>
          <w:highlight w:val="none"/>
        </w:rPr>
        <w:t>比价</w:t>
      </w:r>
      <w:r>
        <w:rPr>
          <w:rFonts w:ascii="Times New Roman" w:hAnsi="Times New Roman" w:eastAsia="宋体" w:cs="Times New Roman"/>
          <w:bCs/>
          <w:color w:val="auto"/>
          <w:szCs w:val="21"/>
          <w:highlight w:val="none"/>
        </w:rPr>
        <w:t>附件内容，否则将有可能影响成交结果，不推荐为成交候选人。</w:t>
      </w:r>
    </w:p>
    <w:p>
      <w:pPr>
        <w:pStyle w:val="25"/>
        <w:numPr>
          <w:ilvl w:val="0"/>
          <w:numId w:val="5"/>
        </w:numPr>
        <w:spacing w:line="360" w:lineRule="auto"/>
        <w:ind w:firstLineChars="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参与</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rPr>
        <w:t>的</w:t>
      </w:r>
      <w:r>
        <w:rPr>
          <w:rFonts w:ascii="Times New Roman" w:hAnsi="Times New Roman" w:eastAsia="宋体" w:cs="Times New Roman"/>
          <w:color w:val="auto"/>
          <w:szCs w:val="21"/>
          <w:highlight w:val="none"/>
          <w:lang w:val="zh-CN"/>
        </w:rPr>
        <w:t>供应商需对用户需求书的所有条款进行整体响应，用户需求书条款若有一</w:t>
      </w:r>
    </w:p>
    <w:p>
      <w:pPr>
        <w:spacing w:line="360" w:lineRule="auto"/>
        <w:ind w:left="420" w:leftChars="200" w:firstLine="210" w:firstLineChars="1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lang w:val="zh-CN"/>
        </w:rPr>
        <w:t>条负偏离或不响应，</w:t>
      </w:r>
      <w:r>
        <w:rPr>
          <w:rFonts w:ascii="Times New Roman" w:hAnsi="Times New Roman" w:eastAsia="宋体" w:cs="Times New Roman"/>
          <w:bCs/>
          <w:color w:val="auto"/>
          <w:szCs w:val="21"/>
          <w:highlight w:val="none"/>
        </w:rPr>
        <w:t>不推荐为成交候选人</w:t>
      </w:r>
      <w:r>
        <w:rPr>
          <w:rFonts w:ascii="Times New Roman" w:hAnsi="Times New Roman" w:eastAsia="宋体" w:cs="Times New Roman"/>
          <w:color w:val="auto"/>
          <w:szCs w:val="21"/>
          <w:highlight w:val="none"/>
          <w:lang w:val="zh-CN"/>
        </w:rPr>
        <w:t>。</w:t>
      </w:r>
    </w:p>
    <w:p>
      <w:pPr>
        <w:pStyle w:val="25"/>
        <w:numPr>
          <w:ilvl w:val="0"/>
          <w:numId w:val="5"/>
        </w:numPr>
        <w:spacing w:line="360" w:lineRule="auto"/>
        <w:ind w:firstLineChars="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若成交供应商自身原因无法完成本项目，则采购人有权利保留追究责任。</w:t>
      </w:r>
    </w:p>
    <w:p>
      <w:pPr>
        <w:pStyle w:val="25"/>
        <w:numPr>
          <w:ilvl w:val="0"/>
          <w:numId w:val="5"/>
        </w:numPr>
        <w:spacing w:line="360" w:lineRule="auto"/>
        <w:ind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成交供应商因自身原因被取消成交资格，采购人可重新启动采购或按</w:t>
      </w:r>
      <w:r>
        <w:rPr>
          <w:rFonts w:hint="eastAsia" w:ascii="Times New Roman" w:hAnsi="Times New Roman" w:eastAsia="宋体" w:cs="Times New Roman"/>
          <w:color w:val="auto"/>
          <w:highlight w:val="none"/>
        </w:rPr>
        <w:t>比价</w:t>
      </w:r>
      <w:r>
        <w:rPr>
          <w:rFonts w:ascii="Times New Roman" w:hAnsi="Times New Roman" w:eastAsia="宋体" w:cs="Times New Roman"/>
          <w:color w:val="auto"/>
          <w:highlight w:val="none"/>
        </w:rPr>
        <w:t>公告规定顺</w:t>
      </w:r>
    </w:p>
    <w:p>
      <w:pPr>
        <w:spacing w:line="360" w:lineRule="auto"/>
        <w:ind w:left="420" w:leftChars="200" w:firstLine="210" w:firstLineChars="100"/>
        <w:rPr>
          <w:rFonts w:ascii="Times New Roman" w:hAnsi="Times New Roman" w:eastAsia="宋体" w:cs="Times New Roman"/>
          <w:color w:val="auto"/>
          <w:highlight w:val="none"/>
        </w:rPr>
      </w:pPr>
      <w:r>
        <w:rPr>
          <w:rFonts w:ascii="Times New Roman" w:hAnsi="Times New Roman" w:eastAsia="宋体" w:cs="Times New Roman"/>
          <w:color w:val="auto"/>
          <w:highlight w:val="none"/>
        </w:rPr>
        <w:t>延推选符合要求的供应商作为成交人。</w:t>
      </w:r>
    </w:p>
    <w:p>
      <w:pPr>
        <w:pStyle w:val="25"/>
        <w:numPr>
          <w:ilvl w:val="0"/>
          <w:numId w:val="5"/>
        </w:numPr>
        <w:spacing w:line="360" w:lineRule="auto"/>
        <w:ind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若本项目</w:t>
      </w:r>
      <w:r>
        <w:rPr>
          <w:rFonts w:hint="eastAsia" w:ascii="Times New Roman" w:hAnsi="Times New Roman" w:eastAsia="宋体" w:cs="Times New Roman"/>
          <w:color w:val="auto"/>
          <w:highlight w:val="none"/>
        </w:rPr>
        <w:t>比价</w:t>
      </w:r>
      <w:r>
        <w:rPr>
          <w:rFonts w:ascii="Times New Roman" w:hAnsi="Times New Roman" w:eastAsia="宋体" w:cs="Times New Roman"/>
          <w:color w:val="auto"/>
          <w:highlight w:val="none"/>
        </w:rPr>
        <w:t>采购失败，采购人将重新采购，届时采购人有权根据项目具体情况，决</w:t>
      </w:r>
    </w:p>
    <w:p>
      <w:pPr>
        <w:spacing w:line="360" w:lineRule="auto"/>
        <w:ind w:left="420" w:leftChars="200" w:firstLine="210" w:firstLineChars="100"/>
        <w:rPr>
          <w:rFonts w:ascii="Times New Roman" w:hAnsi="Times New Roman" w:eastAsia="宋体" w:cs="Times New Roman"/>
          <w:color w:val="auto"/>
          <w:highlight w:val="none"/>
        </w:rPr>
      </w:pPr>
      <w:r>
        <w:rPr>
          <w:rFonts w:ascii="Times New Roman" w:hAnsi="Times New Roman" w:eastAsia="宋体" w:cs="Times New Roman"/>
          <w:color w:val="auto"/>
          <w:highlight w:val="none"/>
        </w:rPr>
        <w:t>定重新采购项目的采购方式。</w:t>
      </w:r>
    </w:p>
    <w:p>
      <w:pPr>
        <w:pStyle w:val="25"/>
        <w:numPr>
          <w:ilvl w:val="0"/>
          <w:numId w:val="5"/>
        </w:numPr>
        <w:spacing w:line="360" w:lineRule="auto"/>
        <w:ind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成交供应商若无正当理由恶意放弃成交资格，采购人有权将拒绝其参加本项目重新组</w:t>
      </w:r>
    </w:p>
    <w:p>
      <w:pPr>
        <w:spacing w:line="360" w:lineRule="auto"/>
        <w:ind w:left="420" w:leftChars="200" w:firstLine="210" w:firstLineChars="100"/>
        <w:rPr>
          <w:rFonts w:ascii="Times New Roman" w:hAnsi="Times New Roman" w:eastAsia="宋体" w:cs="Times New Roman"/>
          <w:color w:val="auto"/>
          <w:highlight w:val="none"/>
        </w:rPr>
      </w:pPr>
      <w:r>
        <w:rPr>
          <w:rFonts w:ascii="Times New Roman" w:hAnsi="Times New Roman" w:eastAsia="宋体" w:cs="Times New Roman"/>
          <w:color w:val="auto"/>
          <w:highlight w:val="none"/>
        </w:rPr>
        <w:t>织的</w:t>
      </w:r>
      <w:r>
        <w:rPr>
          <w:rFonts w:hint="eastAsia" w:ascii="Times New Roman" w:hAnsi="Times New Roman" w:eastAsia="宋体" w:cs="Times New Roman"/>
          <w:color w:val="auto"/>
          <w:highlight w:val="none"/>
        </w:rPr>
        <w:t>比价</w:t>
      </w:r>
      <w:r>
        <w:rPr>
          <w:rFonts w:ascii="Times New Roman" w:hAnsi="Times New Roman" w:eastAsia="宋体" w:cs="Times New Roman"/>
          <w:color w:val="auto"/>
          <w:highlight w:val="none"/>
        </w:rPr>
        <w:t>采购活动。</w:t>
      </w:r>
    </w:p>
    <w:p>
      <w:pPr>
        <w:pStyle w:val="25"/>
        <w:numPr>
          <w:ilvl w:val="0"/>
          <w:numId w:val="5"/>
        </w:numPr>
        <w:spacing w:line="360" w:lineRule="auto"/>
        <w:ind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如采购人或代理机构在审核或复核</w:t>
      </w:r>
      <w:r>
        <w:rPr>
          <w:rFonts w:ascii="Times New Roman" w:hAnsi="Times New Roman" w:eastAsia="宋体" w:cs="Times New Roman"/>
          <w:color w:val="auto"/>
          <w:szCs w:val="21"/>
          <w:highlight w:val="none"/>
        </w:rPr>
        <w:t>参与</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rPr>
        <w:t>的</w:t>
      </w:r>
      <w:r>
        <w:rPr>
          <w:rFonts w:ascii="Times New Roman" w:hAnsi="Times New Roman" w:eastAsia="宋体" w:cs="Times New Roman"/>
          <w:color w:val="auto"/>
          <w:highlight w:val="none"/>
        </w:rPr>
        <w:t>供应商所提交的</w:t>
      </w:r>
      <w:r>
        <w:rPr>
          <w:rFonts w:hint="eastAsia" w:ascii="Times New Roman" w:hAnsi="Times New Roman" w:eastAsia="宋体" w:cs="Times New Roman"/>
          <w:color w:val="auto"/>
          <w:highlight w:val="none"/>
        </w:rPr>
        <w:t>比价</w:t>
      </w:r>
      <w:r>
        <w:rPr>
          <w:rFonts w:ascii="Times New Roman" w:hAnsi="Times New Roman" w:eastAsia="宋体" w:cs="Times New Roman"/>
          <w:color w:val="auto"/>
          <w:highlight w:val="none"/>
        </w:rPr>
        <w:t>资料时，供应商须</w:t>
      </w:r>
    </w:p>
    <w:p>
      <w:pPr>
        <w:spacing w:line="360" w:lineRule="auto"/>
        <w:ind w:left="630" w:leftChars="300"/>
        <w:rPr>
          <w:rFonts w:ascii="Times New Roman" w:hAnsi="Times New Roman" w:eastAsia="宋体" w:cs="Times New Roman"/>
          <w:color w:val="auto"/>
          <w:highlight w:val="none"/>
        </w:rPr>
      </w:pPr>
      <w:r>
        <w:rPr>
          <w:rFonts w:ascii="Times New Roman" w:hAnsi="Times New Roman" w:eastAsia="宋体" w:cs="Times New Roman"/>
          <w:color w:val="auto"/>
          <w:highlight w:val="none"/>
        </w:rPr>
        <w:t>无条件配合；期间若发现存在弄虚作假或相关的失信记录或违反国家法律法规等相关的不良情形，采购人可取消其成交资格并保留追究责任的权力。</w:t>
      </w:r>
    </w:p>
    <w:p>
      <w:pPr>
        <w:pStyle w:val="25"/>
        <w:numPr>
          <w:ilvl w:val="0"/>
          <w:numId w:val="5"/>
        </w:numPr>
        <w:spacing w:line="360" w:lineRule="auto"/>
        <w:ind w:firstLineChars="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参与</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rPr>
        <w:t>的</w:t>
      </w:r>
      <w:r>
        <w:rPr>
          <w:rFonts w:ascii="Times New Roman" w:hAnsi="Times New Roman" w:eastAsia="宋体" w:cs="Times New Roman"/>
          <w:color w:val="auto"/>
          <w:szCs w:val="21"/>
          <w:highlight w:val="none"/>
          <w:lang w:eastAsia="zh-TW"/>
        </w:rPr>
        <w:t>供应商向我司咨询的有关项目事项，一切以</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rPr>
        <w:t>文件</w:t>
      </w:r>
      <w:r>
        <w:rPr>
          <w:rFonts w:ascii="Times New Roman" w:hAnsi="Times New Roman" w:eastAsia="宋体" w:cs="Times New Roman"/>
          <w:color w:val="auto"/>
          <w:szCs w:val="21"/>
          <w:highlight w:val="none"/>
          <w:lang w:eastAsia="zh-TW"/>
        </w:rPr>
        <w:t>规定</w:t>
      </w:r>
      <w:r>
        <w:rPr>
          <w:rFonts w:ascii="Times New Roman" w:hAnsi="Times New Roman" w:eastAsia="宋体" w:cs="Times New Roman"/>
          <w:color w:val="auto"/>
          <w:szCs w:val="21"/>
          <w:highlight w:val="none"/>
        </w:rPr>
        <w:t>和</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rPr>
        <w:t>公告规定以及</w:t>
      </w:r>
      <w:r>
        <w:rPr>
          <w:rFonts w:ascii="Times New Roman" w:hAnsi="Times New Roman" w:eastAsia="宋体" w:cs="Times New Roman"/>
          <w:color w:val="auto"/>
          <w:szCs w:val="21"/>
          <w:highlight w:val="none"/>
          <w:lang w:eastAsia="zh-TW"/>
        </w:rPr>
        <w:t>本公司</w:t>
      </w:r>
      <w:r>
        <w:rPr>
          <w:rFonts w:ascii="Times New Roman" w:hAnsi="Times New Roman" w:eastAsia="宋体" w:cs="Times New Roman"/>
          <w:color w:val="auto"/>
          <w:szCs w:val="21"/>
          <w:highlight w:val="none"/>
        </w:rPr>
        <w:t>的</w:t>
      </w:r>
      <w:r>
        <w:rPr>
          <w:rFonts w:ascii="Times New Roman" w:hAnsi="Times New Roman" w:eastAsia="宋体" w:cs="Times New Roman"/>
          <w:color w:val="auto"/>
          <w:szCs w:val="21"/>
          <w:highlight w:val="none"/>
          <w:lang w:eastAsia="zh-TW"/>
        </w:rPr>
        <w:t>书面答复为准，其他一切形式均为个人意见，不代表本公司的意见</w:t>
      </w:r>
      <w:r>
        <w:rPr>
          <w:rFonts w:ascii="Times New Roman" w:hAnsi="Times New Roman" w:eastAsia="宋体" w:cs="Times New Roman"/>
          <w:color w:val="auto"/>
          <w:szCs w:val="21"/>
          <w:highlight w:val="none"/>
        </w:rPr>
        <w:t>；</w:t>
      </w:r>
    </w:p>
    <w:p>
      <w:pPr>
        <w:pStyle w:val="25"/>
        <w:numPr>
          <w:ilvl w:val="0"/>
          <w:numId w:val="5"/>
        </w:numPr>
        <w:spacing w:line="360" w:lineRule="auto"/>
        <w:ind w:firstLineChars="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参与</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rPr>
        <w:t>的供应商应认真阅读</w:t>
      </w:r>
      <w:r>
        <w:rPr>
          <w:rFonts w:ascii="Times New Roman" w:hAnsi="Times New Roman" w:eastAsia="宋体" w:cs="Times New Roman"/>
          <w:color w:val="auto"/>
          <w:szCs w:val="21"/>
          <w:highlight w:val="none"/>
          <w:lang w:eastAsia="zh-TW"/>
        </w:rPr>
        <w:t>、并充分理解</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lang w:eastAsia="zh-TW"/>
        </w:rPr>
        <w:t>文件的全部内容（包括所有的补充、</w:t>
      </w:r>
    </w:p>
    <w:p>
      <w:pPr>
        <w:spacing w:line="360" w:lineRule="auto"/>
        <w:ind w:left="630" w:leftChars="3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lang w:eastAsia="zh-TW"/>
        </w:rPr>
        <w:t>修改内容重要事项、格式、条款</w:t>
      </w:r>
      <w:r>
        <w:rPr>
          <w:rFonts w:ascii="Times New Roman" w:hAnsi="Times New Roman" w:eastAsia="宋体" w:cs="Times New Roman"/>
          <w:color w:val="auto"/>
          <w:szCs w:val="21"/>
          <w:highlight w:val="none"/>
        </w:rPr>
        <w:t>、服务要求</w:t>
      </w:r>
      <w:r>
        <w:rPr>
          <w:rFonts w:ascii="Times New Roman" w:hAnsi="Times New Roman" w:eastAsia="宋体" w:cs="Times New Roman"/>
          <w:color w:val="auto"/>
          <w:szCs w:val="21"/>
          <w:highlight w:val="none"/>
          <w:lang w:eastAsia="zh-TW"/>
        </w:rPr>
        <w:t>和技术规范、参数及要求等）。</w:t>
      </w:r>
      <w:r>
        <w:rPr>
          <w:rFonts w:ascii="Times New Roman" w:hAnsi="Times New Roman" w:eastAsia="宋体" w:cs="Times New Roman"/>
          <w:color w:val="auto"/>
          <w:szCs w:val="21"/>
          <w:highlight w:val="none"/>
        </w:rPr>
        <w:t>供应商</w:t>
      </w:r>
      <w:r>
        <w:rPr>
          <w:rFonts w:ascii="Times New Roman" w:hAnsi="Times New Roman" w:eastAsia="宋体" w:cs="Times New Roman"/>
          <w:color w:val="auto"/>
          <w:szCs w:val="21"/>
          <w:highlight w:val="none"/>
          <w:lang w:eastAsia="zh-TW"/>
        </w:rPr>
        <w:t>没有按照</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lang w:eastAsia="zh-TW"/>
        </w:rPr>
        <w:t>文件要求提交全部资料，或者</w:t>
      </w:r>
      <w:r>
        <w:rPr>
          <w:rFonts w:ascii="Times New Roman" w:hAnsi="Times New Roman" w:eastAsia="宋体" w:cs="Times New Roman"/>
          <w:color w:val="auto"/>
          <w:szCs w:val="21"/>
          <w:highlight w:val="none"/>
        </w:rPr>
        <w:t>参与</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rPr>
        <w:t>所上传的</w:t>
      </w:r>
      <w:r>
        <w:rPr>
          <w:rFonts w:ascii="Times New Roman" w:hAnsi="Times New Roman" w:eastAsia="宋体" w:cs="Times New Roman"/>
          <w:color w:val="auto"/>
          <w:szCs w:val="21"/>
          <w:highlight w:val="none"/>
          <w:lang w:eastAsia="zh-TW"/>
        </w:rPr>
        <w:t>文件没有对</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lang w:eastAsia="zh-TW"/>
        </w:rPr>
        <w:t>文件在各方面都作出实质性响应是</w:t>
      </w:r>
      <w:r>
        <w:rPr>
          <w:rFonts w:ascii="Times New Roman" w:hAnsi="Times New Roman" w:eastAsia="宋体" w:cs="Times New Roman"/>
          <w:color w:val="auto"/>
          <w:szCs w:val="21"/>
          <w:highlight w:val="none"/>
        </w:rPr>
        <w:t>供应商</w:t>
      </w:r>
      <w:r>
        <w:rPr>
          <w:rFonts w:ascii="Times New Roman" w:hAnsi="Times New Roman" w:eastAsia="宋体" w:cs="Times New Roman"/>
          <w:color w:val="auto"/>
          <w:szCs w:val="21"/>
          <w:highlight w:val="none"/>
          <w:lang w:eastAsia="zh-TW"/>
        </w:rPr>
        <w:t>的风险，有可能导致其</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lang w:eastAsia="zh-TW"/>
        </w:rPr>
        <w:t>被拒绝，</w:t>
      </w:r>
      <w:r>
        <w:rPr>
          <w:rFonts w:ascii="Times New Roman" w:hAnsi="Times New Roman" w:eastAsia="宋体" w:cs="Times New Roman"/>
          <w:color w:val="auto"/>
          <w:szCs w:val="21"/>
          <w:highlight w:val="none"/>
        </w:rPr>
        <w:t>或被认定为无效</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rPr>
        <w:t>。</w:t>
      </w:r>
    </w:p>
    <w:p>
      <w:pPr>
        <w:pStyle w:val="25"/>
        <w:numPr>
          <w:ilvl w:val="0"/>
          <w:numId w:val="5"/>
        </w:numPr>
        <w:spacing w:line="360" w:lineRule="auto"/>
        <w:ind w:firstLineChars="0"/>
        <w:rPr>
          <w:rFonts w:ascii="Times New Roman" w:hAnsi="Times New Roman" w:eastAsia="宋体" w:cs="Times New Roman"/>
          <w:color w:val="auto"/>
          <w:highlight w:val="none"/>
        </w:rPr>
      </w:pPr>
      <w:r>
        <w:rPr>
          <w:rFonts w:ascii="Times New Roman" w:hAnsi="Times New Roman" w:eastAsia="宋体" w:cs="Times New Roman"/>
          <w:color w:val="auto"/>
          <w:kern w:val="0"/>
          <w:szCs w:val="21"/>
          <w:highlight w:val="none"/>
        </w:rPr>
        <w:t>采购人有权拒绝接受任何不合格的货物或服务，由此产生的费用及相关后果均由成交供应商自行承担。</w:t>
      </w:r>
    </w:p>
    <w:p>
      <w:pPr>
        <w:pStyle w:val="25"/>
        <w:numPr>
          <w:ilvl w:val="0"/>
          <w:numId w:val="5"/>
        </w:numPr>
        <w:spacing w:line="360" w:lineRule="auto"/>
        <w:ind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供应商认为</w:t>
      </w:r>
      <w:r>
        <w:rPr>
          <w:rFonts w:hint="eastAsia" w:ascii="Times New Roman" w:hAnsi="Times New Roman" w:eastAsia="宋体" w:cs="Times New Roman"/>
          <w:color w:val="auto"/>
          <w:highlight w:val="none"/>
        </w:rPr>
        <w:t>比价</w:t>
      </w:r>
      <w:r>
        <w:rPr>
          <w:rFonts w:ascii="Times New Roman" w:hAnsi="Times New Roman" w:eastAsia="宋体" w:cs="Times New Roman"/>
          <w:color w:val="auto"/>
          <w:highlight w:val="none"/>
        </w:rPr>
        <w:t>结果损害其权益的，应按照云采链平台相关指引在规定的时间内向采购人或代理机构提交书面质疑，不提交的视为无异议，逾期提交将不予受理。</w:t>
      </w:r>
    </w:p>
    <w:p>
      <w:pPr>
        <w:pStyle w:val="25"/>
        <w:numPr>
          <w:ilvl w:val="0"/>
          <w:numId w:val="5"/>
        </w:numPr>
        <w:spacing w:line="360" w:lineRule="auto"/>
        <w:ind w:firstLineChars="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本</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rPr>
        <w:t>公告和</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rPr>
        <w:t>文件的解释权归</w:t>
      </w:r>
      <w:r>
        <w:rPr>
          <w:rFonts w:ascii="Times New Roman" w:hAnsi="Times New Roman" w:eastAsia="宋体" w:cs="Times New Roman"/>
          <w:color w:val="auto"/>
          <w:szCs w:val="21"/>
          <w:highlight w:val="none"/>
          <w:lang w:eastAsia="zh-TW"/>
        </w:rPr>
        <w:t>“</w:t>
      </w:r>
      <w:r>
        <w:rPr>
          <w:rFonts w:ascii="Times New Roman" w:hAnsi="Times New Roman" w:eastAsia="宋体" w:cs="Times New Roman"/>
          <w:color w:val="auto"/>
          <w:szCs w:val="21"/>
          <w:highlight w:val="none"/>
        </w:rPr>
        <w:t>云采链线上采购一体化平台</w:t>
      </w:r>
      <w:r>
        <w:rPr>
          <w:rFonts w:ascii="Times New Roman" w:hAnsi="Times New Roman" w:eastAsia="宋体" w:cs="Times New Roman"/>
          <w:color w:val="auto"/>
          <w:szCs w:val="21"/>
          <w:highlight w:val="none"/>
          <w:lang w:eastAsia="zh-TW"/>
        </w:rPr>
        <w:t>”所有。</w:t>
      </w:r>
    </w:p>
    <w:p>
      <w:pPr>
        <w:pStyle w:val="25"/>
        <w:numPr>
          <w:ilvl w:val="0"/>
          <w:numId w:val="4"/>
        </w:numPr>
        <w:spacing w:line="360" w:lineRule="auto"/>
        <w:ind w:firstLineChars="0"/>
        <w:rPr>
          <w:rFonts w:ascii="Times New Roman" w:hAnsi="Times New Roman" w:eastAsia="宋体" w:cs="Times New Roman"/>
          <w:color w:val="auto"/>
          <w:highlight w:val="none"/>
        </w:rPr>
      </w:pPr>
      <w:r>
        <w:rPr>
          <w:rFonts w:hint="eastAsia" w:ascii="Times New Roman" w:hAnsi="Times New Roman" w:eastAsia="宋体" w:cs="Times New Roman"/>
          <w:b/>
          <w:color w:val="auto"/>
          <w:highlight w:val="none"/>
        </w:rPr>
        <w:t>比价</w:t>
      </w:r>
      <w:r>
        <w:rPr>
          <w:rFonts w:ascii="Times New Roman" w:hAnsi="Times New Roman" w:eastAsia="宋体" w:cs="Times New Roman"/>
          <w:b/>
          <w:color w:val="auto"/>
          <w:highlight w:val="none"/>
        </w:rPr>
        <w:t>文件的澄清或修改</w:t>
      </w:r>
    </w:p>
    <w:p>
      <w:pPr>
        <w:pStyle w:val="25"/>
        <w:numPr>
          <w:ilvl w:val="0"/>
          <w:numId w:val="6"/>
        </w:numPr>
        <w:spacing w:line="360" w:lineRule="auto"/>
        <w:ind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采购人或者采购代理机构可以对已发出的</w:t>
      </w:r>
      <w:r>
        <w:rPr>
          <w:rFonts w:hint="eastAsia" w:ascii="Times New Roman" w:hAnsi="Times New Roman" w:eastAsia="宋体" w:cs="Times New Roman"/>
          <w:color w:val="auto"/>
          <w:highlight w:val="none"/>
        </w:rPr>
        <w:t>比价</w:t>
      </w:r>
      <w:r>
        <w:rPr>
          <w:rFonts w:ascii="Times New Roman" w:hAnsi="Times New Roman" w:eastAsia="宋体" w:cs="Times New Roman"/>
          <w:color w:val="auto"/>
          <w:highlight w:val="none"/>
        </w:rPr>
        <w:t>文件进行必要的澄清或者修改。澄清或</w:t>
      </w:r>
    </w:p>
    <w:p>
      <w:pPr>
        <w:spacing w:line="360" w:lineRule="auto"/>
        <w:ind w:left="420" w:leftChars="200" w:firstLine="210" w:firstLineChars="100"/>
        <w:rPr>
          <w:rFonts w:ascii="Times New Roman" w:hAnsi="Times New Roman" w:eastAsia="宋体" w:cs="Times New Roman"/>
          <w:color w:val="auto"/>
          <w:highlight w:val="none"/>
        </w:rPr>
      </w:pPr>
      <w:r>
        <w:rPr>
          <w:rFonts w:ascii="Times New Roman" w:hAnsi="Times New Roman" w:eastAsia="宋体" w:cs="Times New Roman"/>
          <w:color w:val="auto"/>
          <w:highlight w:val="none"/>
        </w:rPr>
        <w:t>者修改的内容将在云采链平台上发布澄清（更正/变更）公告。</w:t>
      </w:r>
    </w:p>
    <w:p>
      <w:pPr>
        <w:pStyle w:val="25"/>
        <w:numPr>
          <w:ilvl w:val="0"/>
          <w:numId w:val="6"/>
        </w:numPr>
        <w:spacing w:line="360" w:lineRule="auto"/>
        <w:ind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无论澄清或者修改的内容是否影响</w:t>
      </w:r>
      <w:r>
        <w:rPr>
          <w:rFonts w:hint="eastAsia" w:ascii="Times New Roman" w:hAnsi="Times New Roman" w:eastAsia="宋体" w:cs="Times New Roman"/>
          <w:color w:val="auto"/>
          <w:highlight w:val="none"/>
        </w:rPr>
        <w:t>比价</w:t>
      </w:r>
      <w:r>
        <w:rPr>
          <w:rFonts w:ascii="Times New Roman" w:hAnsi="Times New Roman" w:eastAsia="宋体" w:cs="Times New Roman"/>
          <w:color w:val="auto"/>
          <w:highlight w:val="none"/>
        </w:rPr>
        <w:t>，平台将以短信形式通知所有的报名供应商；</w:t>
      </w:r>
    </w:p>
    <w:p>
      <w:pPr>
        <w:spacing w:line="360" w:lineRule="auto"/>
        <w:ind w:left="630" w:leftChars="300"/>
        <w:rPr>
          <w:rFonts w:ascii="Times New Roman" w:hAnsi="Times New Roman" w:eastAsia="宋体" w:cs="Times New Roman"/>
          <w:color w:val="auto"/>
          <w:highlight w:val="none"/>
        </w:rPr>
      </w:pPr>
      <w:r>
        <w:rPr>
          <w:rFonts w:ascii="Times New Roman" w:hAnsi="Times New Roman" w:eastAsia="宋体" w:cs="Times New Roman"/>
          <w:color w:val="auto"/>
          <w:highlight w:val="none"/>
        </w:rPr>
        <w:t>报名供应商应按要求履行相应的义务；</w:t>
      </w:r>
      <w:r>
        <w:rPr>
          <w:rFonts w:ascii="Times New Roman" w:hAnsi="Times New Roman" w:eastAsia="宋体" w:cs="Times New Roman"/>
          <w:color w:val="auto"/>
          <w:szCs w:val="21"/>
          <w:highlight w:val="none"/>
        </w:rPr>
        <w:t>如报名</w:t>
      </w:r>
      <w:r>
        <w:rPr>
          <w:rFonts w:ascii="Times New Roman" w:hAnsi="Times New Roman" w:eastAsia="宋体" w:cs="Times New Roman"/>
          <w:color w:val="auto"/>
          <w:szCs w:val="21"/>
          <w:highlight w:val="none"/>
          <w:lang w:eastAsia="zh-TW"/>
        </w:rPr>
        <w:t>截止时间</w:t>
      </w:r>
      <w:r>
        <w:rPr>
          <w:rFonts w:ascii="Times New Roman" w:hAnsi="Times New Roman" w:eastAsia="宋体" w:cs="Times New Roman"/>
          <w:color w:val="auto"/>
          <w:szCs w:val="21"/>
          <w:highlight w:val="none"/>
        </w:rPr>
        <w:t>少于一个工作日的，</w:t>
      </w:r>
      <w:r>
        <w:rPr>
          <w:rFonts w:ascii="Times New Roman" w:hAnsi="Times New Roman" w:eastAsia="宋体" w:cs="Times New Roman"/>
          <w:color w:val="auto"/>
          <w:highlight w:val="none"/>
        </w:rPr>
        <w:t>采购人或者采购代理机构应当相应顺延报名的截止时间。</w:t>
      </w:r>
    </w:p>
    <w:p>
      <w:pPr>
        <w:pStyle w:val="25"/>
        <w:numPr>
          <w:ilvl w:val="0"/>
          <w:numId w:val="6"/>
        </w:numPr>
        <w:spacing w:line="360" w:lineRule="auto"/>
        <w:ind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采购人或者采购代理机构发出的澄清或修改（更正/变更）的内容为</w:t>
      </w:r>
      <w:r>
        <w:rPr>
          <w:rFonts w:hint="eastAsia" w:ascii="Times New Roman" w:hAnsi="Times New Roman" w:eastAsia="宋体" w:cs="Times New Roman"/>
          <w:color w:val="auto"/>
          <w:highlight w:val="none"/>
        </w:rPr>
        <w:t>比价</w:t>
      </w:r>
      <w:r>
        <w:rPr>
          <w:rFonts w:ascii="Times New Roman" w:hAnsi="Times New Roman" w:eastAsia="宋体" w:cs="Times New Roman"/>
          <w:color w:val="auto"/>
          <w:highlight w:val="none"/>
        </w:rPr>
        <w:t>文件的组成</w:t>
      </w:r>
    </w:p>
    <w:p>
      <w:pPr>
        <w:spacing w:line="360" w:lineRule="auto"/>
        <w:ind w:left="420" w:leftChars="200" w:firstLine="210" w:firstLineChars="100"/>
        <w:rPr>
          <w:rFonts w:ascii="Times New Roman" w:hAnsi="Times New Roman" w:eastAsia="宋体" w:cs="Times New Roman"/>
          <w:color w:val="auto"/>
          <w:highlight w:val="none"/>
        </w:rPr>
      </w:pPr>
      <w:r>
        <w:rPr>
          <w:rFonts w:ascii="Times New Roman" w:hAnsi="Times New Roman" w:eastAsia="宋体" w:cs="Times New Roman"/>
          <w:color w:val="auto"/>
          <w:highlight w:val="none"/>
        </w:rPr>
        <w:t>部分，并对供应商具有约束力。</w:t>
      </w:r>
    </w:p>
    <w:p>
      <w:pPr>
        <w:pStyle w:val="25"/>
        <w:numPr>
          <w:ilvl w:val="0"/>
          <w:numId w:val="4"/>
        </w:numPr>
        <w:spacing w:line="360" w:lineRule="auto"/>
        <w:ind w:firstLineChars="0"/>
        <w:rPr>
          <w:rStyle w:val="19"/>
          <w:rFonts w:ascii="Times New Roman" w:hAnsi="Times New Roman" w:eastAsia="宋体" w:cs="Times New Roman"/>
          <w:bCs w:val="0"/>
          <w:color w:val="auto"/>
          <w:highlight w:val="none"/>
        </w:rPr>
      </w:pPr>
      <w:r>
        <w:rPr>
          <w:rStyle w:val="19"/>
          <w:rFonts w:ascii="Times New Roman" w:hAnsi="Times New Roman" w:eastAsia="宋体" w:cs="Times New Roman"/>
          <w:bCs w:val="0"/>
          <w:color w:val="auto"/>
          <w:highlight w:val="none"/>
        </w:rPr>
        <w:t>报名要求（</w:t>
      </w:r>
      <w:r>
        <w:rPr>
          <w:rFonts w:ascii="Times New Roman" w:hAnsi="Times New Roman" w:eastAsia="宋体" w:cs="Times New Roman"/>
          <w:color w:val="auto"/>
          <w:szCs w:val="21"/>
          <w:highlight w:val="none"/>
        </w:rPr>
        <w:t>参与</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rPr>
        <w:t>的</w:t>
      </w:r>
      <w:r>
        <w:rPr>
          <w:rStyle w:val="19"/>
          <w:rFonts w:ascii="Times New Roman" w:hAnsi="Times New Roman" w:eastAsia="宋体" w:cs="Times New Roman"/>
          <w:bCs w:val="0"/>
          <w:color w:val="auto"/>
          <w:highlight w:val="none"/>
        </w:rPr>
        <w:t>供应商资质要求:</w:t>
      </w:r>
      <w:r>
        <w:rPr>
          <w:rStyle w:val="19"/>
          <w:rFonts w:ascii="Times New Roman" w:hAnsi="Times New Roman" w:eastAsia="宋体" w:cs="Times New Roman"/>
          <w:b w:val="0"/>
          <w:color w:val="auto"/>
          <w:szCs w:val="21"/>
          <w:highlight w:val="none"/>
        </w:rPr>
        <w:t xml:space="preserve"> 报名时需要提供以下</w:t>
      </w:r>
      <w:r>
        <w:rPr>
          <w:rStyle w:val="19"/>
          <w:rFonts w:ascii="Times New Roman" w:hAnsi="Times New Roman" w:eastAsia="宋体" w:cs="Times New Roman"/>
          <w:color w:val="auto"/>
          <w:szCs w:val="21"/>
          <w:highlight w:val="none"/>
          <w:u w:val="double"/>
        </w:rPr>
        <w:t>盖章</w:t>
      </w:r>
      <w:r>
        <w:rPr>
          <w:rStyle w:val="19"/>
          <w:rFonts w:ascii="Times New Roman" w:hAnsi="Times New Roman" w:eastAsia="宋体" w:cs="Times New Roman"/>
          <w:b w:val="0"/>
          <w:color w:val="auto"/>
          <w:szCs w:val="21"/>
          <w:highlight w:val="none"/>
        </w:rPr>
        <w:t>资料，</w:t>
      </w:r>
      <w:r>
        <w:rPr>
          <w:rFonts w:ascii="Times New Roman" w:hAnsi="Times New Roman" w:eastAsia="宋体" w:cs="Times New Roman"/>
          <w:color w:val="auto"/>
          <w:szCs w:val="21"/>
          <w:highlight w:val="none"/>
        </w:rPr>
        <w:t>并对上传的报名文件资料承担责任</w:t>
      </w:r>
      <w:r>
        <w:rPr>
          <w:rStyle w:val="19"/>
          <w:rFonts w:ascii="Times New Roman" w:hAnsi="Times New Roman" w:eastAsia="宋体" w:cs="Times New Roman"/>
          <w:bCs w:val="0"/>
          <w:color w:val="auto"/>
          <w:highlight w:val="none"/>
        </w:rPr>
        <w:t>）</w:t>
      </w:r>
    </w:p>
    <w:p>
      <w:pPr>
        <w:pStyle w:val="25"/>
        <w:widowControl/>
        <w:numPr>
          <w:ilvl w:val="0"/>
          <w:numId w:val="7"/>
        </w:numPr>
        <w:spacing w:line="360" w:lineRule="auto"/>
        <w:ind w:firstLineChars="0"/>
        <w:jc w:val="left"/>
        <w:rPr>
          <w:rFonts w:ascii="Times New Roman" w:hAnsi="Times New Roman" w:cs="Times New Roman"/>
          <w:color w:val="auto"/>
          <w:kern w:val="0"/>
          <w:szCs w:val="20"/>
          <w:highlight w:val="none"/>
        </w:rPr>
      </w:pPr>
      <w:r>
        <w:rPr>
          <w:rFonts w:ascii="Times New Roman" w:hAnsi="Times New Roman" w:cs="Times New Roman"/>
          <w:color w:val="auto"/>
          <w:kern w:val="0"/>
          <w:szCs w:val="20"/>
          <w:highlight w:val="none"/>
        </w:rPr>
        <w:t>供应商提供在中华人民共和国境内注册的法人或其他组织的营业执照或事业单位法</w:t>
      </w:r>
    </w:p>
    <w:p>
      <w:pPr>
        <w:widowControl/>
        <w:spacing w:line="360" w:lineRule="auto"/>
        <w:ind w:left="630" w:leftChars="300"/>
        <w:jc w:val="left"/>
        <w:rPr>
          <w:rFonts w:ascii="Times New Roman" w:hAnsi="Times New Roman" w:cs="Times New Roman"/>
          <w:color w:val="auto"/>
          <w:kern w:val="0"/>
          <w:szCs w:val="20"/>
          <w:highlight w:val="none"/>
        </w:rPr>
      </w:pPr>
      <w:r>
        <w:rPr>
          <w:rFonts w:ascii="Times New Roman" w:hAnsi="Times New Roman" w:cs="Times New Roman"/>
          <w:color w:val="auto"/>
          <w:kern w:val="0"/>
          <w:szCs w:val="20"/>
          <w:highlight w:val="none"/>
        </w:rPr>
        <w:t>人证书或社会团体法人登记证书复印件，；如国家另有规定的，则从其规定；（如供应商为分公司，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pPr>
        <w:pStyle w:val="25"/>
        <w:widowControl/>
        <w:numPr>
          <w:ilvl w:val="0"/>
          <w:numId w:val="7"/>
        </w:numPr>
        <w:spacing w:line="360" w:lineRule="auto"/>
        <w:ind w:left="851" w:firstLineChars="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供应商符合《中华人民共和国政府采购法》的第二十二条规定，</w:t>
      </w:r>
      <w:r>
        <w:rPr>
          <w:rFonts w:hint="eastAsia" w:ascii="宋体" w:hAnsi="宋体" w:eastAsia="宋体" w:cs="宋体"/>
          <w:color w:val="auto"/>
          <w:szCs w:val="21"/>
          <w:highlight w:val="none"/>
        </w:rPr>
        <w:t>近三年经营活动中没</w:t>
      </w:r>
    </w:p>
    <w:p>
      <w:pPr>
        <w:pStyle w:val="25"/>
        <w:widowControl/>
        <w:numPr>
          <w:ilvl w:val="0"/>
          <w:numId w:val="0"/>
        </w:numPr>
        <w:spacing w:line="360" w:lineRule="auto"/>
        <w:ind w:left="640" w:leftChars="305" w:firstLine="0" w:firstLineChars="0"/>
        <w:rPr>
          <w:rFonts w:ascii="Times New Roman" w:hAnsi="Times New Roman" w:eastAsia="宋体" w:cs="Times New Roman"/>
          <w:color w:val="auto"/>
          <w:kern w:val="0"/>
          <w:szCs w:val="21"/>
          <w:highlight w:val="none"/>
        </w:rPr>
      </w:pPr>
      <w:r>
        <w:rPr>
          <w:rFonts w:hint="eastAsia" w:ascii="宋体" w:hAnsi="宋体" w:eastAsia="宋体" w:cs="宋体"/>
          <w:color w:val="auto"/>
          <w:szCs w:val="21"/>
          <w:highlight w:val="none"/>
        </w:rPr>
        <w:t>有重大违法记录，</w:t>
      </w:r>
      <w:r>
        <w:rPr>
          <w:rFonts w:ascii="Times New Roman" w:hAnsi="Times New Roman" w:eastAsia="宋体" w:cs="Times New Roman"/>
          <w:color w:val="auto"/>
          <w:kern w:val="0"/>
          <w:szCs w:val="21"/>
          <w:highlight w:val="none"/>
        </w:rPr>
        <w:t>本项目不允许分包转包，不接受联合</w:t>
      </w:r>
      <w:r>
        <w:rPr>
          <w:rFonts w:hint="eastAsia" w:ascii="Times New Roman" w:hAnsi="Times New Roman" w:eastAsia="宋体" w:cs="Times New Roman"/>
          <w:color w:val="auto"/>
          <w:kern w:val="0"/>
          <w:szCs w:val="21"/>
          <w:highlight w:val="none"/>
        </w:rPr>
        <w:t>比价</w:t>
      </w:r>
      <w:r>
        <w:rPr>
          <w:rFonts w:ascii="Times New Roman" w:hAnsi="Times New Roman" w:eastAsia="宋体" w:cs="Times New Roman"/>
          <w:color w:val="auto"/>
          <w:kern w:val="0"/>
          <w:szCs w:val="21"/>
          <w:highlight w:val="none"/>
        </w:rPr>
        <w:t>；提供供应商资格声明函，</w:t>
      </w:r>
      <w:r>
        <w:rPr>
          <w:rFonts w:ascii="Times New Roman" w:hAnsi="Times New Roman" w:eastAsia="宋体" w:cs="Times New Roman"/>
          <w:b/>
          <w:color w:val="auto"/>
          <w:kern w:val="0"/>
          <w:szCs w:val="21"/>
          <w:highlight w:val="none"/>
        </w:rPr>
        <w:t>格式详见附件。</w:t>
      </w:r>
    </w:p>
    <w:p>
      <w:pPr>
        <w:pStyle w:val="25"/>
        <w:widowControl/>
        <w:numPr>
          <w:ilvl w:val="0"/>
          <w:numId w:val="7"/>
        </w:numPr>
        <w:spacing w:line="360" w:lineRule="auto"/>
        <w:ind w:left="709" w:hanging="289" w:firstLineChars="0"/>
        <w:jc w:val="left"/>
        <w:rPr>
          <w:rFonts w:ascii="Times New Roman" w:hAnsi="Times New Roman" w:eastAsia="宋体" w:cs="Times New Roman"/>
          <w:color w:val="auto"/>
          <w:kern w:val="0"/>
          <w:szCs w:val="20"/>
          <w:highlight w:val="none"/>
        </w:rPr>
      </w:pPr>
      <w:r>
        <w:rPr>
          <w:rFonts w:ascii="Times New Roman" w:hAnsi="Times New Roman" w:eastAsia="宋体" w:cs="Times New Roman"/>
          <w:color w:val="auto"/>
          <w:kern w:val="0"/>
          <w:szCs w:val="21"/>
          <w:highlight w:val="none"/>
        </w:rPr>
        <w:t>供应商完全响应本项目用户需求的条款、内容及要求的，提供用户需求书响应声明函</w:t>
      </w:r>
      <w:r>
        <w:rPr>
          <w:rFonts w:ascii="Times New Roman" w:hAnsi="Times New Roman" w:eastAsia="宋体" w:cs="Times New Roman"/>
          <w:b/>
          <w:color w:val="auto"/>
          <w:kern w:val="0"/>
          <w:szCs w:val="21"/>
          <w:highlight w:val="none"/>
        </w:rPr>
        <w:t>，格式详见附件。</w:t>
      </w:r>
    </w:p>
    <w:p>
      <w:pPr>
        <w:pStyle w:val="25"/>
        <w:widowControl/>
        <w:numPr>
          <w:ilvl w:val="0"/>
          <w:numId w:val="7"/>
        </w:numPr>
        <w:spacing w:line="360" w:lineRule="auto"/>
        <w:ind w:left="709" w:hanging="289" w:firstLineChars="0"/>
        <w:jc w:val="left"/>
        <w:rPr>
          <w:rFonts w:ascii="Times New Roman" w:hAnsi="Times New Roman" w:eastAsia="宋体" w:cs="Times New Roman"/>
          <w:b w:val="0"/>
          <w:bCs/>
          <w:color w:val="auto"/>
          <w:kern w:val="0"/>
          <w:szCs w:val="20"/>
          <w:highlight w:val="none"/>
        </w:rPr>
      </w:pPr>
      <w:r>
        <w:rPr>
          <w:rFonts w:hint="eastAsia" w:ascii="Times New Roman" w:hAnsi="Times New Roman" w:eastAsia="宋体" w:cs="Times New Roman"/>
          <w:b w:val="0"/>
          <w:bCs/>
          <w:color w:val="auto"/>
          <w:kern w:val="0"/>
          <w:szCs w:val="21"/>
          <w:highlight w:val="none"/>
          <w:lang w:val="en-US" w:eastAsia="zh-CN"/>
        </w:rPr>
        <w:t>供应商具有有效的《道路运输经营许可证》（含货运）或道路运输经营备案（含货运），提供对应的证明文件复印件（</w:t>
      </w:r>
      <w:r>
        <w:rPr>
          <w:rFonts w:ascii="Times New Roman" w:hAnsi="Times New Roman" w:cs="Times New Roman"/>
          <w:b w:val="0"/>
          <w:bCs/>
          <w:color w:val="auto"/>
          <w:kern w:val="0"/>
          <w:szCs w:val="20"/>
          <w:highlight w:val="none"/>
        </w:rPr>
        <w:t>如国家另有规定的，则从其规定</w:t>
      </w:r>
      <w:r>
        <w:rPr>
          <w:rFonts w:hint="eastAsia" w:ascii="Times New Roman" w:hAnsi="Times New Roman" w:eastAsia="宋体" w:cs="Times New Roman"/>
          <w:b w:val="0"/>
          <w:bCs/>
          <w:color w:val="auto"/>
          <w:kern w:val="0"/>
          <w:szCs w:val="21"/>
          <w:highlight w:val="none"/>
          <w:lang w:val="en-US" w:eastAsia="zh-CN"/>
        </w:rPr>
        <w:t>）。</w:t>
      </w:r>
    </w:p>
    <w:p>
      <w:pPr>
        <w:pStyle w:val="25"/>
        <w:numPr>
          <w:ilvl w:val="0"/>
          <w:numId w:val="4"/>
        </w:numPr>
        <w:spacing w:line="360" w:lineRule="auto"/>
        <w:ind w:firstLineChars="0"/>
        <w:rPr>
          <w:rStyle w:val="19"/>
          <w:rFonts w:ascii="Times New Roman" w:hAnsi="Times New Roman" w:eastAsia="宋体" w:cs="Times New Roman"/>
          <w:bCs w:val="0"/>
          <w:color w:val="auto"/>
          <w:highlight w:val="none"/>
        </w:rPr>
      </w:pPr>
      <w:r>
        <w:rPr>
          <w:rStyle w:val="19"/>
          <w:rFonts w:ascii="Times New Roman" w:hAnsi="Times New Roman" w:eastAsia="宋体" w:cs="Times New Roman"/>
          <w:bCs w:val="0"/>
          <w:color w:val="auto"/>
          <w:highlight w:val="none"/>
        </w:rPr>
        <w:t>报价要求</w:t>
      </w:r>
      <w:r>
        <w:rPr>
          <w:rStyle w:val="19"/>
          <w:rFonts w:ascii="Times New Roman" w:hAnsi="Times New Roman" w:eastAsia="宋体" w:cs="Times New Roman"/>
          <w:color w:val="auto"/>
          <w:szCs w:val="21"/>
          <w:highlight w:val="none"/>
        </w:rPr>
        <w:t>（</w:t>
      </w:r>
      <w:r>
        <w:rPr>
          <w:rStyle w:val="19"/>
          <w:rFonts w:ascii="Times New Roman" w:hAnsi="Times New Roman" w:eastAsia="宋体" w:cs="Times New Roman"/>
          <w:b w:val="0"/>
          <w:color w:val="auto"/>
          <w:szCs w:val="21"/>
          <w:highlight w:val="none"/>
        </w:rPr>
        <w:t>报价时需要提供以下</w:t>
      </w:r>
      <w:r>
        <w:rPr>
          <w:rStyle w:val="19"/>
          <w:rFonts w:ascii="Times New Roman" w:hAnsi="Times New Roman" w:eastAsia="宋体" w:cs="Times New Roman"/>
          <w:color w:val="auto"/>
          <w:szCs w:val="21"/>
          <w:highlight w:val="none"/>
          <w:u w:val="double"/>
        </w:rPr>
        <w:t>盖章</w:t>
      </w:r>
      <w:r>
        <w:rPr>
          <w:rStyle w:val="19"/>
          <w:rFonts w:ascii="Times New Roman" w:hAnsi="Times New Roman" w:eastAsia="宋体" w:cs="Times New Roman"/>
          <w:b w:val="0"/>
          <w:color w:val="auto"/>
          <w:szCs w:val="21"/>
          <w:highlight w:val="none"/>
        </w:rPr>
        <w:t>资料，</w:t>
      </w:r>
      <w:r>
        <w:rPr>
          <w:rFonts w:ascii="Times New Roman" w:hAnsi="Times New Roman" w:eastAsia="宋体" w:cs="Times New Roman"/>
          <w:color w:val="auto"/>
          <w:szCs w:val="21"/>
          <w:highlight w:val="none"/>
        </w:rPr>
        <w:t>并对上传的</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rPr>
        <w:t>文件资料承担责任</w:t>
      </w:r>
      <w:r>
        <w:rPr>
          <w:rStyle w:val="19"/>
          <w:rFonts w:ascii="Times New Roman" w:hAnsi="Times New Roman" w:eastAsia="宋体" w:cs="Times New Roman"/>
          <w:color w:val="auto"/>
          <w:szCs w:val="21"/>
          <w:highlight w:val="none"/>
        </w:rPr>
        <w:t>）</w:t>
      </w:r>
    </w:p>
    <w:p>
      <w:pPr>
        <w:pStyle w:val="25"/>
        <w:numPr>
          <w:ilvl w:val="0"/>
          <w:numId w:val="8"/>
        </w:numPr>
        <w:spacing w:line="360" w:lineRule="auto"/>
        <w:ind w:firstLineChars="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通过报名供应商应根据本公告要求，在规定的</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rPr>
        <w:t>时间内对采购项目进行报价，同时</w:t>
      </w:r>
    </w:p>
    <w:p>
      <w:pPr>
        <w:spacing w:line="360" w:lineRule="auto"/>
        <w:ind w:left="630" w:leftChars="30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按本公告要求完整</w:t>
      </w:r>
      <w:r>
        <w:rPr>
          <w:rFonts w:ascii="Times New Roman" w:hAnsi="Times New Roman" w:eastAsia="宋体" w:cs="Times New Roman"/>
          <w:color w:val="auto"/>
          <w:szCs w:val="21"/>
          <w:highlight w:val="none"/>
          <w:lang w:eastAsia="zh-TW"/>
        </w:rPr>
        <w:t>、真实、准确地</w:t>
      </w:r>
      <w:r>
        <w:rPr>
          <w:rFonts w:ascii="Times New Roman" w:hAnsi="Times New Roman" w:eastAsia="宋体" w:cs="Times New Roman"/>
          <w:color w:val="auto"/>
          <w:szCs w:val="21"/>
          <w:highlight w:val="none"/>
        </w:rPr>
        <w:t>填写并上传相应报价附件</w:t>
      </w:r>
      <w:r>
        <w:rPr>
          <w:rFonts w:ascii="Times New Roman" w:hAnsi="Times New Roman" w:eastAsia="宋体" w:cs="Times New Roman"/>
          <w:b/>
          <w:color w:val="auto"/>
          <w:szCs w:val="21"/>
          <w:highlight w:val="none"/>
        </w:rPr>
        <w:t>（</w:t>
      </w:r>
      <w:r>
        <w:rPr>
          <w:rFonts w:hint="eastAsia" w:asciiTheme="minorEastAsia" w:hAnsiTheme="minorEastAsia"/>
          <w:b/>
          <w:color w:val="auto"/>
          <w:szCs w:val="21"/>
          <w:highlight w:val="none"/>
          <w:u w:val="double"/>
        </w:rPr>
        <w:t>报价表）</w:t>
      </w:r>
      <w:r>
        <w:rPr>
          <w:rFonts w:ascii="Times New Roman" w:hAnsi="Times New Roman" w:eastAsia="宋体" w:cs="Times New Roman"/>
          <w:color w:val="auto"/>
          <w:szCs w:val="21"/>
          <w:highlight w:val="none"/>
        </w:rPr>
        <w:t>。</w:t>
      </w:r>
    </w:p>
    <w:p>
      <w:pPr>
        <w:pStyle w:val="25"/>
        <w:numPr>
          <w:ilvl w:val="0"/>
          <w:numId w:val="8"/>
        </w:numPr>
        <w:spacing w:line="360" w:lineRule="auto"/>
        <w:ind w:firstLineChars="0"/>
        <w:rPr>
          <w:rFonts w:ascii="Times New Roman" w:hAnsi="Times New Roman" w:eastAsia="宋体" w:cs="Times New Roman"/>
          <w:b/>
          <w:color w:val="auto"/>
          <w:highlight w:val="none"/>
        </w:rPr>
      </w:pPr>
      <w:r>
        <w:rPr>
          <w:rFonts w:ascii="Times New Roman" w:hAnsi="Times New Roman" w:eastAsia="宋体" w:cs="Times New Roman"/>
          <w:b/>
          <w:color w:val="auto"/>
          <w:szCs w:val="21"/>
          <w:highlight w:val="none"/>
        </w:rPr>
        <w:t>公告中的报价次数指报价期间供应商可进行的最多报价次数。</w:t>
      </w:r>
      <w:r>
        <w:rPr>
          <w:rFonts w:hint="eastAsia" w:ascii="Times New Roman" w:hAnsi="Times New Roman" w:eastAsia="宋体" w:cs="Times New Roman"/>
          <w:b/>
          <w:color w:val="auto"/>
          <w:szCs w:val="21"/>
          <w:highlight w:val="none"/>
          <w:lang w:val="en-US" w:eastAsia="zh-CN"/>
        </w:rPr>
        <w:t>本项目只允许报价1</w:t>
      </w:r>
    </w:p>
    <w:p>
      <w:pPr>
        <w:pStyle w:val="25"/>
        <w:numPr>
          <w:ilvl w:val="0"/>
          <w:numId w:val="0"/>
        </w:numPr>
        <w:spacing w:line="360" w:lineRule="auto"/>
        <w:ind w:left="420" w:leftChars="0" w:firstLine="211" w:firstLineChars="100"/>
        <w:rPr>
          <w:rFonts w:ascii="Times New Roman" w:hAnsi="Times New Roman" w:eastAsia="宋体" w:cs="Times New Roman"/>
          <w:b/>
          <w:color w:val="auto"/>
          <w:highlight w:val="none"/>
        </w:rPr>
      </w:pPr>
      <w:r>
        <w:rPr>
          <w:rFonts w:hint="eastAsia" w:ascii="Times New Roman" w:hAnsi="Times New Roman" w:eastAsia="宋体" w:cs="Times New Roman"/>
          <w:b/>
          <w:color w:val="auto"/>
          <w:szCs w:val="21"/>
          <w:highlight w:val="none"/>
          <w:lang w:val="en-US" w:eastAsia="zh-CN"/>
        </w:rPr>
        <w:t>次</w:t>
      </w:r>
      <w:r>
        <w:rPr>
          <w:rFonts w:ascii="Times New Roman" w:hAnsi="Times New Roman" w:eastAsia="宋体" w:cs="Times New Roman"/>
          <w:b/>
          <w:color w:val="auto"/>
          <w:szCs w:val="21"/>
          <w:highlight w:val="none"/>
        </w:rPr>
        <w:t>。</w:t>
      </w:r>
    </w:p>
    <w:p>
      <w:pPr>
        <w:pStyle w:val="25"/>
        <w:numPr>
          <w:ilvl w:val="0"/>
          <w:numId w:val="4"/>
        </w:numPr>
        <w:spacing w:line="360" w:lineRule="auto"/>
        <w:ind w:firstLineChars="0"/>
        <w:rPr>
          <w:rStyle w:val="19"/>
          <w:rFonts w:ascii="Times New Roman" w:hAnsi="Times New Roman" w:eastAsia="宋体" w:cs="Times New Roman"/>
          <w:bCs w:val="0"/>
          <w:color w:val="auto"/>
          <w:highlight w:val="none"/>
        </w:rPr>
      </w:pPr>
      <w:r>
        <w:rPr>
          <w:rStyle w:val="19"/>
          <w:rFonts w:ascii="Times New Roman" w:hAnsi="Times New Roman" w:eastAsia="宋体" w:cs="Times New Roman"/>
          <w:bCs w:val="0"/>
          <w:color w:val="auto"/>
          <w:highlight w:val="none"/>
        </w:rPr>
        <w:t>确定成交候选人</w:t>
      </w:r>
    </w:p>
    <w:p>
      <w:pPr>
        <w:pStyle w:val="25"/>
        <w:numPr>
          <w:ilvl w:val="0"/>
          <w:numId w:val="9"/>
        </w:numPr>
        <w:spacing w:line="360" w:lineRule="auto"/>
        <w:ind w:firstLineChars="0"/>
        <w:rPr>
          <w:rFonts w:hint="eastAsia" w:asciiTheme="minorEastAsia" w:hAnsiTheme="minorEastAsia"/>
          <w:b/>
          <w:bCs/>
          <w:color w:val="auto"/>
          <w:szCs w:val="21"/>
          <w:highlight w:val="none"/>
          <w:lang w:val="en-US" w:eastAsia="zh-CN"/>
        </w:rPr>
      </w:pPr>
      <w:r>
        <w:rPr>
          <w:rFonts w:hint="eastAsia" w:asciiTheme="minorEastAsia" w:hAnsiTheme="minorEastAsia"/>
          <w:b/>
          <w:bCs/>
          <w:color w:val="auto"/>
          <w:szCs w:val="21"/>
          <w:highlight w:val="none"/>
        </w:rPr>
        <w:t>本项目以下浮率形式进行报价，结算单价=对应租车类型的单价最高限价×（1-成交</w:t>
      </w:r>
    </w:p>
    <w:p>
      <w:pPr>
        <w:pStyle w:val="25"/>
        <w:numPr>
          <w:ilvl w:val="0"/>
          <w:numId w:val="0"/>
        </w:numPr>
        <w:spacing w:line="360" w:lineRule="auto"/>
        <w:ind w:left="420" w:leftChars="0" w:firstLine="211" w:firstLineChars="100"/>
        <w:rPr>
          <w:rFonts w:hint="eastAsia" w:asciiTheme="minorEastAsia" w:hAnsiTheme="minorEastAsia"/>
          <w:b/>
          <w:bCs/>
          <w:color w:val="auto"/>
          <w:highlight w:val="none"/>
          <w:lang w:val="en-US" w:eastAsia="zh-CN"/>
        </w:rPr>
      </w:pPr>
      <w:r>
        <w:rPr>
          <w:rFonts w:hint="eastAsia" w:asciiTheme="minorEastAsia" w:hAnsiTheme="minorEastAsia"/>
          <w:b/>
          <w:bCs/>
          <w:color w:val="auto"/>
          <w:szCs w:val="21"/>
          <w:highlight w:val="none"/>
        </w:rPr>
        <w:t>下浮率（%））。报价时间截止后，系统按下浮率由高到低顺序排列</w:t>
      </w:r>
      <w:r>
        <w:rPr>
          <w:rFonts w:hint="eastAsia" w:asciiTheme="minorEastAsia" w:hAnsiTheme="minorEastAsia"/>
          <w:b/>
          <w:bCs/>
          <w:color w:val="auto"/>
          <w:highlight w:val="none"/>
        </w:rPr>
        <w:t>，下浮率最高的</w:t>
      </w:r>
      <w:r>
        <w:rPr>
          <w:rFonts w:hint="eastAsia" w:asciiTheme="minorEastAsia" w:hAnsiTheme="minorEastAsia"/>
          <w:b/>
          <w:bCs/>
          <w:color w:val="auto"/>
          <w:highlight w:val="none"/>
          <w:lang w:val="en-US" w:eastAsia="zh-CN"/>
        </w:rPr>
        <w:t xml:space="preserve"> </w:t>
      </w:r>
    </w:p>
    <w:p>
      <w:pPr>
        <w:pStyle w:val="25"/>
        <w:numPr>
          <w:ilvl w:val="0"/>
          <w:numId w:val="0"/>
        </w:numPr>
        <w:spacing w:line="360" w:lineRule="auto"/>
        <w:ind w:left="630" w:leftChars="300" w:firstLine="0" w:firstLineChars="0"/>
        <w:rPr>
          <w:rFonts w:ascii="Times New Roman" w:hAnsi="Times New Roman" w:eastAsia="宋体" w:cs="Times New Roman"/>
          <w:color w:val="auto"/>
          <w:highlight w:val="none"/>
        </w:rPr>
      </w:pPr>
      <w:r>
        <w:rPr>
          <w:rFonts w:hint="eastAsia" w:asciiTheme="minorEastAsia" w:hAnsiTheme="minorEastAsia"/>
          <w:b/>
          <w:bCs/>
          <w:color w:val="auto"/>
          <w:highlight w:val="none"/>
        </w:rPr>
        <w:t>为第一成交候选人，报下浮率相同的，按报价时间在前的为第一成交候选人；报下浮率次高的为第二成交候选人，以此类推。（示例：如A项目采购一批饮用水，以实际供应量进行结算，该项目以下浮率形式报价，饮用水预算单价为</w:t>
      </w:r>
      <w:r>
        <w:rPr>
          <w:rFonts w:asciiTheme="minorEastAsia" w:hAnsiTheme="minorEastAsia"/>
          <w:b/>
          <w:bCs/>
          <w:color w:val="auto"/>
          <w:highlight w:val="none"/>
        </w:rPr>
        <w:t>20</w:t>
      </w:r>
      <w:r>
        <w:rPr>
          <w:rFonts w:hint="eastAsia" w:asciiTheme="minorEastAsia" w:hAnsiTheme="minorEastAsia"/>
          <w:b/>
          <w:bCs/>
          <w:color w:val="auto"/>
          <w:highlight w:val="none"/>
        </w:rPr>
        <w:t>元/桶，某供应商报下浮率为1</w:t>
      </w:r>
      <w:r>
        <w:rPr>
          <w:rFonts w:asciiTheme="minorEastAsia" w:hAnsiTheme="minorEastAsia"/>
          <w:b/>
          <w:bCs/>
          <w:color w:val="auto"/>
          <w:highlight w:val="none"/>
        </w:rPr>
        <w:t>0</w:t>
      </w:r>
      <w:r>
        <w:rPr>
          <w:rFonts w:hint="eastAsia" w:asciiTheme="minorEastAsia" w:hAnsiTheme="minorEastAsia"/>
          <w:b/>
          <w:bCs/>
          <w:color w:val="auto"/>
          <w:highlight w:val="none"/>
        </w:rPr>
        <w:t>%，则成交单价=</w:t>
      </w:r>
      <w:r>
        <w:rPr>
          <w:rFonts w:asciiTheme="minorEastAsia" w:hAnsiTheme="minorEastAsia"/>
          <w:b/>
          <w:bCs/>
          <w:color w:val="auto"/>
          <w:highlight w:val="none"/>
        </w:rPr>
        <w:t>20</w:t>
      </w:r>
      <w:r>
        <w:rPr>
          <w:rFonts w:hint="eastAsia" w:asciiTheme="minorEastAsia" w:hAnsiTheme="minorEastAsia"/>
          <w:b/>
          <w:bCs/>
          <w:color w:val="auto"/>
          <w:highlight w:val="none"/>
        </w:rPr>
        <w:t>元/桶*（1-</w:t>
      </w:r>
      <w:r>
        <w:rPr>
          <w:rFonts w:asciiTheme="minorEastAsia" w:hAnsiTheme="minorEastAsia"/>
          <w:b/>
          <w:bCs/>
          <w:color w:val="auto"/>
          <w:highlight w:val="none"/>
        </w:rPr>
        <w:t>10</w:t>
      </w:r>
      <w:r>
        <w:rPr>
          <w:rFonts w:hint="eastAsia" w:asciiTheme="minorEastAsia" w:hAnsiTheme="minorEastAsia"/>
          <w:b/>
          <w:bCs/>
          <w:color w:val="auto"/>
          <w:highlight w:val="none"/>
        </w:rPr>
        <w:t>%）=</w:t>
      </w:r>
      <w:r>
        <w:rPr>
          <w:rFonts w:asciiTheme="minorEastAsia" w:hAnsiTheme="minorEastAsia"/>
          <w:b/>
          <w:bCs/>
          <w:color w:val="auto"/>
          <w:highlight w:val="none"/>
        </w:rPr>
        <w:t>18</w:t>
      </w:r>
      <w:r>
        <w:rPr>
          <w:rFonts w:hint="eastAsia" w:asciiTheme="minorEastAsia" w:hAnsiTheme="minorEastAsia"/>
          <w:b/>
          <w:bCs/>
          <w:color w:val="auto"/>
          <w:highlight w:val="none"/>
        </w:rPr>
        <w:t>元/桶</w:t>
      </w:r>
      <w:r>
        <w:rPr>
          <w:rFonts w:ascii="Times New Roman" w:hAnsi="Times New Roman" w:eastAsia="宋体" w:cs="Times New Roman"/>
          <w:color w:val="auto"/>
          <w:highlight w:val="none"/>
        </w:rPr>
        <w:t>。</w:t>
      </w:r>
    </w:p>
    <w:p>
      <w:pPr>
        <w:pStyle w:val="25"/>
        <w:numPr>
          <w:ilvl w:val="0"/>
          <w:numId w:val="4"/>
        </w:numPr>
        <w:spacing w:line="360" w:lineRule="auto"/>
        <w:ind w:firstLineChars="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无效报价</w:t>
      </w:r>
    </w:p>
    <w:p>
      <w:pPr>
        <w:pStyle w:val="25"/>
        <w:numPr>
          <w:ilvl w:val="0"/>
          <w:numId w:val="10"/>
        </w:numPr>
        <w:spacing w:line="360" w:lineRule="auto"/>
        <w:ind w:firstLineChars="0"/>
        <w:rPr>
          <w:rFonts w:ascii="Times New Roman" w:hAnsi="Times New Roman" w:eastAsia="宋体" w:cs="Times New Roman"/>
          <w:color w:val="auto"/>
          <w:szCs w:val="21"/>
          <w:highlight w:val="none"/>
        </w:rPr>
      </w:pPr>
      <w:r>
        <w:rPr>
          <w:rFonts w:hint="eastAsia" w:ascii="宋体" w:hAnsi="宋体"/>
          <w:b/>
          <w:color w:val="auto"/>
          <w:szCs w:val="21"/>
          <w:highlight w:val="none"/>
        </w:rPr>
        <w:t>下浮率报价没有大于或等于100%，也没有为负数，且是固定唯一值的，否则为无效</w:t>
      </w:r>
    </w:p>
    <w:p>
      <w:pPr>
        <w:pStyle w:val="25"/>
        <w:numPr>
          <w:ilvl w:val="0"/>
          <w:numId w:val="0"/>
        </w:numPr>
        <w:spacing w:line="360" w:lineRule="auto"/>
        <w:ind w:left="420" w:leftChars="0" w:firstLine="211" w:firstLineChars="100"/>
        <w:rPr>
          <w:rFonts w:ascii="Times New Roman" w:hAnsi="Times New Roman" w:eastAsia="宋体" w:cs="Times New Roman"/>
          <w:color w:val="auto"/>
          <w:szCs w:val="21"/>
          <w:highlight w:val="none"/>
        </w:rPr>
      </w:pPr>
      <w:r>
        <w:rPr>
          <w:rFonts w:hint="eastAsia" w:ascii="宋体" w:hAnsi="宋体"/>
          <w:b/>
          <w:color w:val="auto"/>
          <w:szCs w:val="21"/>
          <w:highlight w:val="none"/>
        </w:rPr>
        <w:t>报价</w:t>
      </w:r>
      <w:r>
        <w:rPr>
          <w:rFonts w:ascii="Times New Roman" w:hAnsi="Times New Roman" w:eastAsia="宋体" w:cs="Times New Roman"/>
          <w:color w:val="auto"/>
          <w:highlight w:val="none"/>
        </w:rPr>
        <w:t>。</w:t>
      </w:r>
    </w:p>
    <w:p>
      <w:pPr>
        <w:pStyle w:val="25"/>
        <w:numPr>
          <w:ilvl w:val="0"/>
          <w:numId w:val="10"/>
        </w:numPr>
        <w:spacing w:line="360" w:lineRule="auto"/>
        <w:ind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参与</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rPr>
        <w:t>的</w:t>
      </w:r>
      <w:r>
        <w:rPr>
          <w:rFonts w:ascii="Times New Roman" w:hAnsi="Times New Roman" w:eastAsia="宋体" w:cs="Times New Roman"/>
          <w:bCs/>
          <w:color w:val="auto"/>
          <w:szCs w:val="21"/>
          <w:highlight w:val="none"/>
        </w:rPr>
        <w:t>供应商须提供本项目要求的资质文件，如果不按公告规定或</w:t>
      </w:r>
      <w:r>
        <w:rPr>
          <w:rFonts w:hint="eastAsia" w:ascii="Times New Roman" w:hAnsi="Times New Roman" w:eastAsia="宋体" w:cs="Times New Roman"/>
          <w:bCs/>
          <w:color w:val="auto"/>
          <w:szCs w:val="21"/>
          <w:highlight w:val="none"/>
        </w:rPr>
        <w:t>比价</w:t>
      </w:r>
      <w:r>
        <w:rPr>
          <w:rFonts w:ascii="Times New Roman" w:hAnsi="Times New Roman" w:eastAsia="宋体" w:cs="Times New Roman"/>
          <w:bCs/>
          <w:color w:val="auto"/>
          <w:szCs w:val="21"/>
          <w:highlight w:val="none"/>
        </w:rPr>
        <w:t>文件要求</w:t>
      </w:r>
    </w:p>
    <w:p>
      <w:pPr>
        <w:spacing w:line="360" w:lineRule="auto"/>
        <w:ind w:left="420" w:leftChars="200" w:firstLine="210" w:firstLineChars="100"/>
        <w:rPr>
          <w:rFonts w:ascii="Times New Roman" w:hAnsi="Times New Roman" w:eastAsia="宋体" w:cs="Times New Roman"/>
          <w:color w:val="auto"/>
          <w:szCs w:val="21"/>
          <w:highlight w:val="none"/>
        </w:rPr>
      </w:pPr>
      <w:r>
        <w:rPr>
          <w:rFonts w:ascii="Times New Roman" w:hAnsi="Times New Roman" w:eastAsia="宋体" w:cs="Times New Roman"/>
          <w:bCs/>
          <w:color w:val="auto"/>
          <w:szCs w:val="21"/>
          <w:highlight w:val="none"/>
        </w:rPr>
        <w:t>等相关规定提供符合要求的资质文件，将被视为无效报价。</w:t>
      </w:r>
    </w:p>
    <w:p>
      <w:pPr>
        <w:pStyle w:val="25"/>
        <w:numPr>
          <w:ilvl w:val="0"/>
          <w:numId w:val="10"/>
        </w:numPr>
        <w:spacing w:line="360" w:lineRule="auto"/>
        <w:ind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参与</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rPr>
        <w:t>的</w:t>
      </w:r>
      <w:r>
        <w:rPr>
          <w:rFonts w:ascii="Times New Roman" w:hAnsi="Times New Roman" w:eastAsia="宋体" w:cs="Times New Roman"/>
          <w:bCs/>
          <w:color w:val="auto"/>
          <w:szCs w:val="21"/>
          <w:highlight w:val="none"/>
        </w:rPr>
        <w:t>供应商须对本项目采购内容进行整体报价，任何只对其中一部分内容进行</w:t>
      </w:r>
    </w:p>
    <w:p>
      <w:pPr>
        <w:spacing w:line="360" w:lineRule="auto"/>
        <w:ind w:left="420" w:leftChars="200" w:firstLine="210" w:firstLineChars="100"/>
        <w:rPr>
          <w:rFonts w:ascii="Times New Roman" w:hAnsi="Times New Roman" w:eastAsia="宋体" w:cs="Times New Roman"/>
          <w:color w:val="auto"/>
          <w:szCs w:val="21"/>
          <w:highlight w:val="none"/>
        </w:rPr>
      </w:pPr>
      <w:r>
        <w:rPr>
          <w:rFonts w:ascii="Times New Roman" w:hAnsi="Times New Roman" w:eastAsia="宋体" w:cs="Times New Roman"/>
          <w:bCs/>
          <w:color w:val="auto"/>
          <w:szCs w:val="21"/>
          <w:highlight w:val="none"/>
        </w:rPr>
        <w:t>的报价都被视为无效报价。</w:t>
      </w:r>
    </w:p>
    <w:p>
      <w:pPr>
        <w:pStyle w:val="25"/>
        <w:numPr>
          <w:ilvl w:val="0"/>
          <w:numId w:val="10"/>
        </w:numPr>
        <w:spacing w:line="360" w:lineRule="auto"/>
        <w:ind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highlight w:val="none"/>
          <w:u w:val="double"/>
        </w:rPr>
        <w:t>报价表以及有报价供应商落款的报价文件必须加盖报价供应商公章，否则视为无效报</w:t>
      </w:r>
    </w:p>
    <w:p>
      <w:pPr>
        <w:spacing w:line="360" w:lineRule="auto"/>
        <w:ind w:left="420" w:leftChars="200" w:firstLine="210" w:firstLineChars="100"/>
        <w:rPr>
          <w:rFonts w:ascii="Times New Roman" w:hAnsi="Times New Roman" w:eastAsia="宋体" w:cs="Times New Roman"/>
          <w:color w:val="auto"/>
          <w:szCs w:val="21"/>
          <w:highlight w:val="none"/>
        </w:rPr>
      </w:pPr>
      <w:r>
        <w:rPr>
          <w:rFonts w:ascii="Times New Roman" w:hAnsi="Times New Roman" w:eastAsia="宋体" w:cs="Times New Roman"/>
          <w:color w:val="auto"/>
          <w:highlight w:val="none"/>
          <w:u w:val="double"/>
        </w:rPr>
        <w:t>价</w:t>
      </w:r>
      <w:r>
        <w:rPr>
          <w:rFonts w:hint="eastAsia" w:ascii="Times New Roman" w:hAnsi="Times New Roman" w:eastAsia="宋体" w:cs="Times New Roman"/>
          <w:color w:val="auto"/>
          <w:highlight w:val="none"/>
        </w:rPr>
        <w:t>。</w:t>
      </w:r>
    </w:p>
    <w:p>
      <w:pPr>
        <w:pStyle w:val="25"/>
        <w:numPr>
          <w:ilvl w:val="0"/>
          <w:numId w:val="10"/>
        </w:numPr>
        <w:spacing w:line="360" w:lineRule="auto"/>
        <w:ind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大写金额和小写金额不一致的，以大写金额为准；单价金额小数点或者百分比有明显</w:t>
      </w:r>
    </w:p>
    <w:p>
      <w:pPr>
        <w:spacing w:line="360" w:lineRule="auto"/>
        <w:ind w:left="630" w:leftChars="3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错位的，以报价表的总价为准，并修改单价；总价金额与按单价汇总金额不一致的，以单价金额计算结果为准；不接受总价优惠折扣形式的报价，供应商应将对项目的优惠 直接在清单报价中体现出来。如果供应商不接受对其错误的更正，其报价将被视为无效报价</w:t>
      </w:r>
      <w:r>
        <w:rPr>
          <w:rFonts w:hint="eastAsia" w:ascii="Times New Roman" w:hAnsi="Times New Roman" w:eastAsia="宋体" w:cs="Times New Roman"/>
          <w:color w:val="auto"/>
          <w:szCs w:val="21"/>
          <w:highlight w:val="none"/>
        </w:rPr>
        <w:t>。</w:t>
      </w:r>
    </w:p>
    <w:p>
      <w:pPr>
        <w:pStyle w:val="12"/>
        <w:numPr>
          <w:ilvl w:val="0"/>
          <w:numId w:val="10"/>
        </w:numPr>
        <w:shd w:val="clear" w:color="auto" w:fill="FFFFFF"/>
        <w:spacing w:before="0" w:beforeAutospacing="0" w:after="0" w:afterAutospacing="0" w:line="276" w:lineRule="auto"/>
        <w:rPr>
          <w:rFonts w:ascii="Times New Roman" w:hAnsi="Times New Roman" w:cs="Times New Roman"/>
          <w:color w:val="auto"/>
          <w:sz w:val="21"/>
          <w:szCs w:val="21"/>
          <w:highlight w:val="none"/>
        </w:rPr>
      </w:pPr>
      <w:r>
        <w:rPr>
          <w:rFonts w:ascii="Times New Roman" w:hAnsi="Times New Roman" w:cs="Times New Roman"/>
          <w:color w:val="auto"/>
          <w:sz w:val="21"/>
          <w:szCs w:val="21"/>
          <w:highlight w:val="none"/>
        </w:rPr>
        <w:t>按有关法律、法规、规章属于报价无效的。</w:t>
      </w:r>
    </w:p>
    <w:p>
      <w:pPr>
        <w:pStyle w:val="12"/>
        <w:numPr>
          <w:ilvl w:val="0"/>
          <w:numId w:val="10"/>
        </w:numPr>
        <w:shd w:val="clear" w:color="auto" w:fill="FFFFFF"/>
        <w:spacing w:before="0" w:beforeAutospacing="0" w:after="0" w:afterAutospacing="0" w:line="360" w:lineRule="auto"/>
        <w:rPr>
          <w:rFonts w:ascii="Times New Roman" w:hAnsi="Times New Roman" w:cs="Times New Roman"/>
          <w:color w:val="auto"/>
          <w:sz w:val="21"/>
          <w:szCs w:val="21"/>
          <w:highlight w:val="none"/>
        </w:rPr>
      </w:pPr>
      <w:r>
        <w:rPr>
          <w:rFonts w:ascii="Times New Roman" w:hAnsi="Times New Roman" w:cs="Times New Roman"/>
          <w:b/>
          <w:color w:val="auto"/>
          <w:sz w:val="21"/>
          <w:szCs w:val="21"/>
          <w:highlight w:val="none"/>
        </w:rPr>
        <w:t>有下列情形之一的，视为串通</w:t>
      </w:r>
      <w:r>
        <w:rPr>
          <w:rFonts w:hint="eastAsia" w:ascii="Times New Roman" w:hAnsi="Times New Roman" w:cs="Times New Roman"/>
          <w:b/>
          <w:color w:val="auto"/>
          <w:sz w:val="21"/>
          <w:szCs w:val="21"/>
          <w:highlight w:val="none"/>
        </w:rPr>
        <w:t>比价</w:t>
      </w:r>
      <w:r>
        <w:rPr>
          <w:rFonts w:ascii="Times New Roman" w:hAnsi="Times New Roman" w:cs="Times New Roman"/>
          <w:b/>
          <w:color w:val="auto"/>
          <w:sz w:val="21"/>
          <w:szCs w:val="21"/>
          <w:highlight w:val="none"/>
        </w:rPr>
        <w:t>，其报价无效：</w:t>
      </w:r>
    </w:p>
    <w:p>
      <w:pPr>
        <w:pStyle w:val="25"/>
        <w:widowControl/>
        <w:numPr>
          <w:ilvl w:val="2"/>
          <w:numId w:val="11"/>
        </w:numPr>
        <w:spacing w:line="360" w:lineRule="auto"/>
        <w:ind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存在单位负责人为同一人或存在控股、管理关系的不同单位参与同一</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rPr>
        <w:t>项目；</w:t>
      </w:r>
    </w:p>
    <w:p>
      <w:pPr>
        <w:pStyle w:val="25"/>
        <w:widowControl/>
        <w:numPr>
          <w:ilvl w:val="2"/>
          <w:numId w:val="11"/>
        </w:numPr>
        <w:spacing w:line="360" w:lineRule="auto"/>
        <w:ind w:firstLineChars="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不同供应商的响应文件由同一单位或者个人编制；</w:t>
      </w:r>
    </w:p>
    <w:p>
      <w:pPr>
        <w:pStyle w:val="25"/>
        <w:widowControl/>
        <w:numPr>
          <w:ilvl w:val="2"/>
          <w:numId w:val="11"/>
        </w:numPr>
        <w:spacing w:line="360" w:lineRule="auto"/>
        <w:ind w:firstLineChars="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不同供应商委托同一单位或者个人办理</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rPr>
        <w:t>事宜；</w:t>
      </w:r>
    </w:p>
    <w:p>
      <w:pPr>
        <w:pStyle w:val="25"/>
        <w:widowControl/>
        <w:numPr>
          <w:ilvl w:val="2"/>
          <w:numId w:val="11"/>
        </w:numPr>
        <w:spacing w:line="360" w:lineRule="auto"/>
        <w:ind w:firstLineChars="0"/>
        <w:jc w:val="left"/>
        <w:rPr>
          <w:rFonts w:ascii="Times New Roman" w:hAnsi="Times New Roman" w:eastAsia="宋体" w:cs="Times New Roman"/>
          <w:b/>
          <w:color w:val="auto"/>
          <w:szCs w:val="21"/>
          <w:highlight w:val="none"/>
          <w:u w:val="double"/>
        </w:rPr>
      </w:pPr>
      <w:r>
        <w:rPr>
          <w:rFonts w:ascii="Times New Roman" w:hAnsi="Times New Roman" w:eastAsia="宋体" w:cs="Times New Roman"/>
          <w:b/>
          <w:color w:val="auto"/>
          <w:szCs w:val="21"/>
          <w:highlight w:val="none"/>
          <w:u w:val="double"/>
        </w:rPr>
        <w:t>不同供应商使用同一IP地址参与</w:t>
      </w:r>
      <w:r>
        <w:rPr>
          <w:rFonts w:hint="eastAsia" w:ascii="Times New Roman" w:hAnsi="Times New Roman" w:eastAsia="宋体" w:cs="Times New Roman"/>
          <w:b/>
          <w:color w:val="auto"/>
          <w:szCs w:val="21"/>
          <w:highlight w:val="none"/>
          <w:u w:val="double"/>
        </w:rPr>
        <w:t>比价</w:t>
      </w:r>
      <w:r>
        <w:rPr>
          <w:rFonts w:ascii="Times New Roman" w:hAnsi="Times New Roman" w:eastAsia="宋体" w:cs="Times New Roman"/>
          <w:b/>
          <w:color w:val="auto"/>
          <w:szCs w:val="21"/>
          <w:highlight w:val="none"/>
          <w:u w:val="double"/>
        </w:rPr>
        <w:t>；</w:t>
      </w:r>
    </w:p>
    <w:p>
      <w:pPr>
        <w:pStyle w:val="25"/>
        <w:widowControl/>
        <w:numPr>
          <w:ilvl w:val="2"/>
          <w:numId w:val="11"/>
        </w:numPr>
        <w:spacing w:line="360" w:lineRule="auto"/>
        <w:ind w:firstLineChars="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不同供应商的响应文件载明的项目管理成员或者联系人员为同一人；</w:t>
      </w:r>
    </w:p>
    <w:p>
      <w:pPr>
        <w:pStyle w:val="25"/>
        <w:widowControl/>
        <w:numPr>
          <w:ilvl w:val="2"/>
          <w:numId w:val="11"/>
        </w:numPr>
        <w:spacing w:line="360" w:lineRule="auto"/>
        <w:ind w:firstLineChars="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不同供应商的响应文件异常一致或者报价呈规律性差异；</w:t>
      </w:r>
    </w:p>
    <w:p>
      <w:pPr>
        <w:pStyle w:val="25"/>
        <w:widowControl/>
        <w:numPr>
          <w:ilvl w:val="2"/>
          <w:numId w:val="11"/>
        </w:numPr>
        <w:spacing w:line="360" w:lineRule="auto"/>
        <w:ind w:firstLineChars="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不同供应商的响应文件相互混淆；</w:t>
      </w:r>
    </w:p>
    <w:p>
      <w:pPr>
        <w:pStyle w:val="25"/>
        <w:widowControl/>
        <w:numPr>
          <w:ilvl w:val="2"/>
          <w:numId w:val="11"/>
        </w:numPr>
        <w:spacing w:line="360" w:lineRule="auto"/>
        <w:ind w:firstLineChars="0"/>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不同供应商的平台服务费从同一单位或者个人的账户转出。</w:t>
      </w:r>
    </w:p>
    <w:p>
      <w:pPr>
        <w:pStyle w:val="25"/>
        <w:numPr>
          <w:ilvl w:val="0"/>
          <w:numId w:val="4"/>
        </w:numPr>
        <w:spacing w:line="360" w:lineRule="auto"/>
        <w:ind w:firstLineChars="0"/>
        <w:rPr>
          <w:rFonts w:ascii="Times New Roman" w:hAnsi="Times New Roman" w:eastAsia="宋体" w:cs="Times New Roman"/>
          <w:color w:val="auto"/>
          <w:szCs w:val="21"/>
          <w:highlight w:val="none"/>
        </w:rPr>
      </w:pPr>
      <w:r>
        <w:rPr>
          <w:rFonts w:hint="eastAsia" w:ascii="Times New Roman" w:hAnsi="Times New Roman" w:eastAsia="宋体" w:cs="Times New Roman"/>
          <w:b/>
          <w:color w:val="auto"/>
          <w:szCs w:val="21"/>
          <w:highlight w:val="none"/>
        </w:rPr>
        <w:t>比价</w:t>
      </w:r>
      <w:r>
        <w:rPr>
          <w:rFonts w:ascii="Times New Roman" w:hAnsi="Times New Roman" w:eastAsia="宋体" w:cs="Times New Roman"/>
          <w:b/>
          <w:color w:val="auto"/>
          <w:szCs w:val="21"/>
          <w:highlight w:val="none"/>
        </w:rPr>
        <w:t>活动失败</w:t>
      </w:r>
    </w:p>
    <w:p>
      <w:pPr>
        <w:pStyle w:val="25"/>
        <w:numPr>
          <w:ilvl w:val="0"/>
          <w:numId w:val="12"/>
        </w:numPr>
        <w:spacing w:line="360" w:lineRule="auto"/>
        <w:ind w:left="420" w:leftChars="200" w:firstLineChars="0"/>
        <w:rPr>
          <w:rFonts w:ascii="Times New Roman" w:hAnsi="Times New Roman" w:eastAsia="宋体" w:cs="Times New Roman"/>
          <w:color w:val="auto"/>
          <w:highlight w:val="none"/>
        </w:rPr>
      </w:pPr>
      <w:r>
        <w:rPr>
          <w:rFonts w:ascii="Times New Roman" w:hAnsi="Times New Roman" w:eastAsia="宋体" w:cs="Times New Roman"/>
          <w:color w:val="auto"/>
          <w:szCs w:val="21"/>
          <w:highlight w:val="none"/>
        </w:rPr>
        <w:t>出现下列情况的，本次</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rPr>
        <w:t>活动失败：</w:t>
      </w:r>
    </w:p>
    <w:p>
      <w:pPr>
        <w:pStyle w:val="25"/>
        <w:widowControl/>
        <w:numPr>
          <w:ilvl w:val="2"/>
          <w:numId w:val="13"/>
        </w:numPr>
        <w:spacing w:line="360" w:lineRule="auto"/>
        <w:ind w:firstLineChars="0"/>
        <w:jc w:val="left"/>
        <w:rPr>
          <w:rFonts w:cs="Times New Roman" w:asciiTheme="minorEastAsia" w:hAnsiTheme="minorEastAsia"/>
          <w:color w:val="auto"/>
          <w:szCs w:val="21"/>
          <w:highlight w:val="none"/>
        </w:rPr>
      </w:pPr>
      <w:r>
        <w:rPr>
          <w:rFonts w:ascii="Times New Roman" w:hAnsi="Times New Roman" w:eastAsia="宋体" w:cs="Times New Roman"/>
          <w:color w:val="auto"/>
          <w:szCs w:val="21"/>
          <w:highlight w:val="none"/>
        </w:rPr>
        <w:t>报名</w:t>
      </w:r>
      <w:r>
        <w:rPr>
          <w:rFonts w:cs="Times New Roman" w:asciiTheme="minorEastAsia" w:hAnsiTheme="minorEastAsia"/>
          <w:color w:val="auto"/>
          <w:szCs w:val="21"/>
          <w:highlight w:val="none"/>
        </w:rPr>
        <w:t>供应商不足3家；</w:t>
      </w:r>
    </w:p>
    <w:p>
      <w:pPr>
        <w:pStyle w:val="25"/>
        <w:widowControl/>
        <w:numPr>
          <w:ilvl w:val="2"/>
          <w:numId w:val="13"/>
        </w:numPr>
        <w:spacing w:line="360" w:lineRule="auto"/>
        <w:ind w:firstLineChars="0"/>
        <w:jc w:val="left"/>
        <w:rPr>
          <w:rFonts w:cs="Times New Roman" w:asciiTheme="minorEastAsia" w:hAnsiTheme="minorEastAsia"/>
          <w:color w:val="auto"/>
          <w:szCs w:val="21"/>
          <w:highlight w:val="none"/>
        </w:rPr>
      </w:pPr>
      <w:r>
        <w:rPr>
          <w:rFonts w:cs="Times New Roman" w:asciiTheme="minorEastAsia" w:hAnsiTheme="minorEastAsia"/>
          <w:color w:val="auto"/>
          <w:szCs w:val="21"/>
          <w:highlight w:val="none"/>
        </w:rPr>
        <w:t>有效报价供应商不足3家。</w:t>
      </w:r>
    </w:p>
    <w:p>
      <w:pPr>
        <w:pStyle w:val="25"/>
        <w:numPr>
          <w:ilvl w:val="0"/>
          <w:numId w:val="12"/>
        </w:numPr>
        <w:spacing w:line="360" w:lineRule="auto"/>
        <w:ind w:left="420" w:leftChars="200"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出现影响采购公正的违法、违规行为的；</w:t>
      </w:r>
    </w:p>
    <w:p>
      <w:pPr>
        <w:pStyle w:val="25"/>
        <w:numPr>
          <w:ilvl w:val="0"/>
          <w:numId w:val="12"/>
        </w:numPr>
        <w:spacing w:line="360" w:lineRule="auto"/>
        <w:ind w:left="420" w:leftChars="200"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因重大变故，采购任务取消的</w:t>
      </w:r>
      <w:r>
        <w:rPr>
          <w:rFonts w:hint="eastAsia" w:ascii="Times New Roman" w:hAnsi="Times New Roman" w:eastAsia="宋体" w:cs="Times New Roman"/>
          <w:color w:val="auto"/>
          <w:szCs w:val="21"/>
          <w:highlight w:val="none"/>
        </w:rPr>
        <w:t>。</w:t>
      </w:r>
    </w:p>
    <w:p>
      <w:pPr>
        <w:pStyle w:val="25"/>
        <w:numPr>
          <w:ilvl w:val="0"/>
          <w:numId w:val="4"/>
        </w:numPr>
        <w:spacing w:line="360" w:lineRule="auto"/>
        <w:ind w:firstLineChars="0"/>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使用费</w:t>
      </w:r>
    </w:p>
    <w:p>
      <w:pPr>
        <w:pStyle w:val="25"/>
        <w:numPr>
          <w:ilvl w:val="0"/>
          <w:numId w:val="14"/>
        </w:numPr>
        <w:spacing w:line="360" w:lineRule="auto"/>
        <w:ind w:firstLineChars="0"/>
        <w:rPr>
          <w:rFonts w:cs="Times New Roman" w:asciiTheme="minorEastAsia" w:hAnsiTheme="minorEastAsia"/>
          <w:color w:val="auto"/>
          <w:highlight w:val="none"/>
        </w:rPr>
      </w:pPr>
      <w:r>
        <w:rPr>
          <w:rFonts w:ascii="Times New Roman" w:hAnsi="Times New Roman" w:eastAsia="宋体" w:cs="Times New Roman"/>
          <w:color w:val="auto"/>
          <w:highlight w:val="none"/>
        </w:rPr>
        <w:t>成交供应商须向平台服务商云采链线上采购一体化平台缴纳平台使用费，金额</w:t>
      </w:r>
      <w:r>
        <w:rPr>
          <w:rFonts w:hint="eastAsia" w:ascii="宋体" w:hAnsi="宋体"/>
          <w:color w:val="auto"/>
          <w:szCs w:val="21"/>
          <w:highlight w:val="none"/>
        </w:rPr>
        <w:t>按</w:t>
      </w:r>
      <w:r>
        <w:rPr>
          <w:rFonts w:hint="eastAsia" w:ascii="宋体" w:hAnsi="宋体"/>
          <w:color w:val="auto"/>
          <w:szCs w:val="21"/>
          <w:highlight w:val="none"/>
          <w:lang w:val="en-US" w:eastAsia="zh-CN"/>
        </w:rPr>
        <w:t>预算</w:t>
      </w:r>
    </w:p>
    <w:p>
      <w:pPr>
        <w:pStyle w:val="25"/>
        <w:numPr>
          <w:ilvl w:val="0"/>
          <w:numId w:val="0"/>
        </w:numPr>
        <w:spacing w:line="360" w:lineRule="auto"/>
        <w:ind w:left="630" w:leftChars="300" w:firstLine="0" w:firstLineChars="0"/>
        <w:rPr>
          <w:rFonts w:cs="Times New Roman" w:asciiTheme="minorEastAsia" w:hAnsiTheme="minorEastAsia"/>
          <w:color w:val="auto"/>
          <w:highlight w:val="none"/>
        </w:rPr>
      </w:pPr>
      <w:r>
        <w:rPr>
          <w:rFonts w:hint="eastAsia" w:ascii="宋体" w:hAnsi="宋体"/>
          <w:color w:val="auto"/>
          <w:szCs w:val="21"/>
          <w:highlight w:val="none"/>
          <w:lang w:val="en-US" w:eastAsia="zh-CN"/>
        </w:rPr>
        <w:t>金额依据</w:t>
      </w:r>
      <w:r>
        <w:rPr>
          <w:rFonts w:hint="eastAsia" w:ascii="宋体" w:hAnsi="宋体"/>
          <w:color w:val="auto"/>
          <w:szCs w:val="21"/>
          <w:highlight w:val="none"/>
        </w:rPr>
        <w:t>中华人民共和国国家发展计划委员会颁发的计价格[2002]1980号、</w:t>
      </w:r>
      <w:r>
        <w:rPr>
          <w:rFonts w:ascii="宋体" w:hAnsi="宋体"/>
          <w:color w:val="auto"/>
          <w:szCs w:val="21"/>
          <w:highlight w:val="none"/>
        </w:rPr>
        <w:t>国家发改委[2003]857号</w:t>
      </w:r>
      <w:r>
        <w:rPr>
          <w:rFonts w:hint="eastAsia" w:ascii="宋体" w:hAnsi="宋体"/>
          <w:color w:val="auto"/>
          <w:szCs w:val="21"/>
          <w:highlight w:val="none"/>
        </w:rPr>
        <w:t>及发改价格</w:t>
      </w:r>
      <w:r>
        <w:rPr>
          <w:rFonts w:hint="eastAsia" w:ascii="宋体" w:hAnsi="宋体"/>
          <w:color w:val="auto"/>
          <w:szCs w:val="21"/>
          <w:highlight w:val="none"/>
        </w:rPr>
        <w:sym w:font="Symbol" w:char="F05B"/>
      </w:r>
      <w:r>
        <w:rPr>
          <w:rFonts w:hint="eastAsia" w:ascii="宋体" w:hAnsi="宋体"/>
          <w:color w:val="auto"/>
          <w:szCs w:val="21"/>
          <w:highlight w:val="none"/>
        </w:rPr>
        <w:t>2011</w:t>
      </w:r>
      <w:r>
        <w:rPr>
          <w:rFonts w:hint="eastAsia" w:ascii="宋体" w:hAnsi="宋体"/>
          <w:color w:val="auto"/>
          <w:szCs w:val="21"/>
          <w:highlight w:val="none"/>
        </w:rPr>
        <w:sym w:font="Symbol" w:char="F05D"/>
      </w:r>
      <w:r>
        <w:rPr>
          <w:rFonts w:hint="eastAsia" w:ascii="宋体" w:hAnsi="宋体"/>
          <w:color w:val="auto"/>
          <w:szCs w:val="21"/>
          <w:highlight w:val="none"/>
        </w:rPr>
        <w:t>534号文规定的“</w:t>
      </w:r>
      <w:r>
        <w:rPr>
          <w:rFonts w:hint="eastAsia" w:ascii="宋体" w:hAnsi="宋体"/>
          <w:color w:val="auto"/>
          <w:szCs w:val="21"/>
          <w:highlight w:val="none"/>
          <w:lang w:val="en-US" w:eastAsia="zh-CN"/>
        </w:rPr>
        <w:t>服务</w:t>
      </w:r>
      <w:r>
        <w:rPr>
          <w:rFonts w:hint="eastAsia" w:ascii="宋体" w:hAnsi="宋体"/>
          <w:color w:val="auto"/>
          <w:szCs w:val="21"/>
          <w:highlight w:val="none"/>
        </w:rPr>
        <w:t>类”计算</w:t>
      </w:r>
      <w:r>
        <w:rPr>
          <w:rFonts w:hint="eastAsia" w:ascii="宋体" w:hAnsi="宋体" w:eastAsia="宋体" w:cs="Times New Roman"/>
          <w:color w:val="auto"/>
          <w:highlight w:val="none"/>
        </w:rPr>
        <w:t>×（</w:t>
      </w:r>
      <w:r>
        <w:rPr>
          <w:rFonts w:ascii="宋体" w:hAnsi="宋体" w:eastAsia="宋体" w:cs="Times New Roman"/>
          <w:color w:val="auto"/>
          <w:highlight w:val="none"/>
        </w:rPr>
        <w:t>1-20%）</w:t>
      </w:r>
      <w:r>
        <w:rPr>
          <w:rFonts w:cs="Times New Roman" w:asciiTheme="minorEastAsia" w:hAnsiTheme="minorEastAsia"/>
          <w:color w:val="auto"/>
          <w:highlight w:val="none"/>
        </w:rPr>
        <w:t>（四舍五入取整数）。</w:t>
      </w:r>
    </w:p>
    <w:p>
      <w:pPr>
        <w:pStyle w:val="25"/>
        <w:numPr>
          <w:ilvl w:val="0"/>
          <w:numId w:val="14"/>
        </w:numPr>
        <w:spacing w:line="360" w:lineRule="auto"/>
        <w:ind w:firstLineChars="0"/>
        <w:rPr>
          <w:rFonts w:cs="Times New Roman" w:asciiTheme="minorEastAsia" w:hAnsiTheme="minorEastAsia"/>
          <w:color w:val="auto"/>
          <w:highlight w:val="none"/>
        </w:rPr>
      </w:pPr>
      <w:r>
        <w:rPr>
          <w:rFonts w:cs="Times New Roman" w:asciiTheme="minorEastAsia" w:hAnsiTheme="minorEastAsia"/>
          <w:color w:val="auto"/>
          <w:highlight w:val="none"/>
        </w:rPr>
        <w:t>成交供应商无正当理由放弃成交资格的必须按</w:t>
      </w:r>
      <w:r>
        <w:rPr>
          <w:rFonts w:hint="eastAsia" w:cs="Times New Roman" w:asciiTheme="minorEastAsia" w:hAnsiTheme="minorEastAsia"/>
          <w:color w:val="auto"/>
          <w:highlight w:val="none"/>
        </w:rPr>
        <w:t>比价</w:t>
      </w:r>
      <w:r>
        <w:rPr>
          <w:rFonts w:cs="Times New Roman" w:asciiTheme="minorEastAsia" w:hAnsiTheme="minorEastAsia"/>
          <w:color w:val="auto"/>
          <w:highlight w:val="none"/>
        </w:rPr>
        <w:t>公告等相关规定缴纳相应的平台</w:t>
      </w:r>
    </w:p>
    <w:p>
      <w:pPr>
        <w:spacing w:line="360" w:lineRule="auto"/>
        <w:ind w:left="420" w:leftChars="200" w:firstLine="210" w:firstLineChars="100"/>
        <w:rPr>
          <w:rFonts w:cs="Times New Roman" w:asciiTheme="minorEastAsia" w:hAnsiTheme="minorEastAsia"/>
          <w:color w:val="auto"/>
          <w:highlight w:val="none"/>
        </w:rPr>
      </w:pPr>
      <w:r>
        <w:rPr>
          <w:rFonts w:cs="Times New Roman" w:asciiTheme="minorEastAsia" w:hAnsiTheme="minorEastAsia"/>
          <w:color w:val="auto"/>
          <w:highlight w:val="none"/>
        </w:rPr>
        <w:t>使用费。</w:t>
      </w:r>
    </w:p>
    <w:p>
      <w:pPr>
        <w:pStyle w:val="25"/>
        <w:numPr>
          <w:ilvl w:val="0"/>
          <w:numId w:val="14"/>
        </w:numPr>
        <w:spacing w:line="360" w:lineRule="auto"/>
        <w:ind w:firstLineChars="0"/>
        <w:rPr>
          <w:rFonts w:cs="Times New Roman" w:asciiTheme="minorEastAsia" w:hAnsiTheme="minorEastAsia"/>
          <w:color w:val="auto"/>
          <w:highlight w:val="none"/>
        </w:rPr>
      </w:pPr>
      <w:r>
        <w:rPr>
          <w:rFonts w:cs="Times New Roman" w:asciiTheme="minorEastAsia" w:hAnsiTheme="minorEastAsia"/>
          <w:color w:val="auto"/>
          <w:szCs w:val="21"/>
          <w:highlight w:val="none"/>
        </w:rPr>
        <w:t>如确实因不可抗力放弃成交资格的，应在不可抗力发生后三个工作日内予以通知采购</w:t>
      </w:r>
    </w:p>
    <w:p>
      <w:pPr>
        <w:spacing w:line="360" w:lineRule="auto"/>
        <w:ind w:left="420" w:leftChars="200" w:firstLine="210" w:firstLineChars="100"/>
        <w:rPr>
          <w:rFonts w:cs="Times New Roman" w:asciiTheme="minorEastAsia" w:hAnsiTheme="minorEastAsia"/>
          <w:color w:val="auto"/>
          <w:highlight w:val="none"/>
        </w:rPr>
      </w:pPr>
      <w:r>
        <w:rPr>
          <w:rFonts w:cs="Times New Roman" w:asciiTheme="minorEastAsia" w:hAnsiTheme="minorEastAsia"/>
          <w:color w:val="auto"/>
          <w:szCs w:val="21"/>
          <w:highlight w:val="none"/>
        </w:rPr>
        <w:t>代理机构并提供相关的证明；如逾期，采购代理机构不予退还平台</w:t>
      </w:r>
      <w:r>
        <w:rPr>
          <w:rFonts w:cs="Times New Roman" w:asciiTheme="minorEastAsia" w:hAnsiTheme="minorEastAsia"/>
          <w:color w:val="auto"/>
          <w:highlight w:val="none"/>
        </w:rPr>
        <w:t>使用费</w:t>
      </w:r>
      <w:r>
        <w:rPr>
          <w:rFonts w:cs="Times New Roman" w:asciiTheme="minorEastAsia" w:hAnsiTheme="minorEastAsia"/>
          <w:color w:val="auto"/>
          <w:szCs w:val="21"/>
          <w:highlight w:val="none"/>
        </w:rPr>
        <w:t>。</w:t>
      </w:r>
    </w:p>
    <w:p>
      <w:pPr>
        <w:pStyle w:val="25"/>
        <w:widowControl/>
        <w:numPr>
          <w:ilvl w:val="0"/>
          <w:numId w:val="3"/>
        </w:numPr>
        <w:spacing w:line="360" w:lineRule="auto"/>
        <w:ind w:firstLineChars="0"/>
        <w:jc w:val="left"/>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联系方式</w:t>
      </w:r>
    </w:p>
    <w:p>
      <w:pPr>
        <w:pStyle w:val="25"/>
        <w:widowControl/>
        <w:spacing w:line="360" w:lineRule="auto"/>
        <w:ind w:left="420" w:firstLine="0" w:firstLineChars="0"/>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t>扫码关注微信公众号“云采链互联服务平台”，即可在线咨询相关事项。</w:t>
      </w:r>
    </w:p>
    <w:p>
      <w:pPr>
        <w:pStyle w:val="25"/>
        <w:widowControl/>
        <w:spacing w:line="360" w:lineRule="auto"/>
        <w:ind w:left="420" w:firstLine="0" w:firstLineChars="0"/>
        <w:jc w:val="center"/>
        <w:rPr>
          <w:rFonts w:ascii="Times New Roman" w:hAnsi="Times New Roman" w:eastAsia="宋体" w:cs="Times New Roman"/>
          <w:color w:val="auto"/>
          <w:highlight w:val="none"/>
        </w:rPr>
      </w:pPr>
      <w:r>
        <w:rPr>
          <w:rFonts w:ascii="Times New Roman" w:hAnsi="Times New Roman" w:eastAsia="宋体" w:cs="Times New Roman"/>
          <w:color w:val="auto"/>
          <w:highlight w:val="none"/>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widowControl/>
        <w:jc w:val="left"/>
        <w:rPr>
          <w:rFonts w:ascii="Times New Roman" w:hAnsi="Times New Roman" w:eastAsia="宋体" w:cs="Times New Roman"/>
          <w:color w:val="auto"/>
          <w:highlight w:val="none"/>
        </w:rPr>
      </w:pPr>
      <w:r>
        <w:rPr>
          <w:rFonts w:ascii="Times New Roman" w:hAnsi="Times New Roman" w:eastAsia="宋体" w:cs="Times New Roman"/>
          <w:color w:val="auto"/>
          <w:highlight w:val="none"/>
        </w:rPr>
        <w:br w:type="page"/>
      </w:r>
    </w:p>
    <w:p>
      <w:pPr>
        <w:pStyle w:val="25"/>
        <w:widowControl/>
        <w:spacing w:line="360" w:lineRule="auto"/>
        <w:ind w:left="420" w:firstLine="0" w:firstLineChars="0"/>
        <w:jc w:val="center"/>
        <w:rPr>
          <w:rFonts w:ascii="Times New Roman" w:hAnsi="Times New Roman" w:eastAsia="宋体" w:cs="Times New Roman"/>
          <w:color w:val="auto"/>
          <w:highlight w:val="none"/>
        </w:rPr>
      </w:pPr>
    </w:p>
    <w:p>
      <w:pPr>
        <w:pStyle w:val="13"/>
        <w:rPr>
          <w:rFonts w:ascii="Times New Roman" w:hAnsi="Times New Roman" w:cs="Times New Roman"/>
          <w:b w:val="0"/>
          <w:bCs w:val="0"/>
          <w:color w:val="auto"/>
          <w:sz w:val="28"/>
          <w:highlight w:val="none"/>
        </w:rPr>
      </w:pPr>
      <w:r>
        <w:rPr>
          <w:rFonts w:ascii="Times New Roman" w:hAnsi="Times New Roman" w:cs="Times New Roman"/>
          <w:color w:val="auto"/>
          <w:highlight w:val="none"/>
        </w:rPr>
        <w:t>第二章  用户需求书</w:t>
      </w:r>
    </w:p>
    <w:p>
      <w:pPr>
        <w:numPr>
          <w:ilvl w:val="0"/>
          <w:numId w:val="15"/>
        </w:numPr>
        <w:tabs>
          <w:tab w:val="left" w:pos="426"/>
          <w:tab w:val="clear" w:pos="600"/>
        </w:tabs>
        <w:snapToGrid w:val="0"/>
        <w:spacing w:line="360" w:lineRule="auto"/>
        <w:ind w:left="428" w:hanging="422" w:hangingChars="200"/>
        <w:rPr>
          <w:rFonts w:ascii="Times New Roman" w:hAnsi="Times New Roman" w:eastAsia="宋体" w:cs="Times New Roman"/>
          <w:b/>
          <w:bCs/>
          <w:color w:val="auto"/>
          <w:highlight w:val="none"/>
        </w:rPr>
      </w:pPr>
      <w:r>
        <w:rPr>
          <w:rFonts w:ascii="Times New Roman" w:hAnsi="Times New Roman" w:eastAsia="宋体" w:cs="Times New Roman"/>
          <w:b/>
          <w:bCs/>
          <w:color w:val="auto"/>
          <w:highlight w:val="none"/>
        </w:rPr>
        <w:t>供应商须对本项目进行整体响应，任何只对其中一部分进行的响应都被视为无效响应。</w:t>
      </w:r>
    </w:p>
    <w:tbl>
      <w:tblPr>
        <w:tblStyle w:val="16"/>
        <w:tblpPr w:leftFromText="180" w:rightFromText="180" w:vertAnchor="text" w:horzAnchor="page" w:tblpX="2181" w:tblpY="425"/>
        <w:tblOverlap w:val="never"/>
        <w:tblW w:w="7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1"/>
        <w:gridCol w:w="810"/>
        <w:gridCol w:w="1934"/>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trPr>
        <w:tc>
          <w:tcPr>
            <w:tcW w:w="2451" w:type="dxa"/>
            <w:shd w:val="clear" w:color="auto" w:fill="EEECE1" w:themeFill="background2"/>
            <w:vAlign w:val="center"/>
          </w:tcPr>
          <w:p>
            <w:pPr>
              <w:spacing w:line="240" w:lineRule="auto"/>
              <w:jc w:val="center"/>
              <w:rPr>
                <w:rFonts w:cs="Times New Roman" w:asciiTheme="minorEastAsia" w:hAnsiTheme="minorEastAsia"/>
                <w:b/>
                <w:color w:val="auto"/>
                <w:highlight w:val="none"/>
              </w:rPr>
            </w:pPr>
            <w:r>
              <w:rPr>
                <w:rFonts w:hint="eastAsia" w:cs="Times New Roman" w:asciiTheme="minorEastAsia" w:hAnsiTheme="minorEastAsia"/>
                <w:b/>
                <w:color w:val="auto"/>
                <w:highlight w:val="none"/>
                <w:lang w:val="en-US" w:eastAsia="zh-CN"/>
              </w:rPr>
              <w:t>项目</w:t>
            </w:r>
            <w:r>
              <w:rPr>
                <w:rFonts w:cs="Times New Roman" w:asciiTheme="minorEastAsia" w:hAnsiTheme="minorEastAsia"/>
                <w:b/>
                <w:color w:val="auto"/>
                <w:highlight w:val="none"/>
              </w:rPr>
              <w:t>名称</w:t>
            </w:r>
          </w:p>
        </w:tc>
        <w:tc>
          <w:tcPr>
            <w:tcW w:w="810" w:type="dxa"/>
            <w:shd w:val="clear" w:color="auto" w:fill="EEECE1" w:themeFill="background2"/>
            <w:vAlign w:val="center"/>
          </w:tcPr>
          <w:p>
            <w:pPr>
              <w:spacing w:line="240" w:lineRule="auto"/>
              <w:jc w:val="center"/>
              <w:rPr>
                <w:rFonts w:cs="Times New Roman" w:asciiTheme="minorEastAsia" w:hAnsiTheme="minorEastAsia"/>
                <w:b/>
                <w:color w:val="auto"/>
                <w:highlight w:val="none"/>
              </w:rPr>
            </w:pPr>
            <w:r>
              <w:rPr>
                <w:rFonts w:cs="Times New Roman" w:asciiTheme="minorEastAsia" w:hAnsiTheme="minorEastAsia"/>
                <w:b/>
                <w:color w:val="auto"/>
                <w:highlight w:val="none"/>
              </w:rPr>
              <w:t>数量</w:t>
            </w:r>
          </w:p>
        </w:tc>
        <w:tc>
          <w:tcPr>
            <w:tcW w:w="1934" w:type="dxa"/>
            <w:shd w:val="clear" w:color="auto" w:fill="EEECE1" w:themeFill="background2"/>
            <w:vAlign w:val="center"/>
          </w:tcPr>
          <w:p>
            <w:pPr>
              <w:spacing w:line="240" w:lineRule="auto"/>
              <w:jc w:val="center"/>
              <w:rPr>
                <w:rFonts w:hint="default" w:cs="Times New Roman" w:asciiTheme="minorEastAsia" w:hAnsiTheme="minorEastAsia" w:eastAsiaTheme="minorEastAsia"/>
                <w:b/>
                <w:color w:val="auto"/>
                <w:szCs w:val="21"/>
                <w:highlight w:val="none"/>
                <w:lang w:val="en-US" w:eastAsia="zh-CN"/>
              </w:rPr>
            </w:pPr>
            <w:r>
              <w:rPr>
                <w:rFonts w:hint="eastAsia" w:asciiTheme="minorEastAsia" w:hAnsiTheme="minorEastAsia"/>
                <w:b/>
                <w:color w:val="auto"/>
                <w:szCs w:val="21"/>
                <w:highlight w:val="none"/>
                <w:lang w:val="en-US" w:eastAsia="zh-CN"/>
              </w:rPr>
              <w:t>服务期</w:t>
            </w:r>
          </w:p>
        </w:tc>
        <w:tc>
          <w:tcPr>
            <w:tcW w:w="2581" w:type="dxa"/>
            <w:shd w:val="clear" w:color="auto" w:fill="EEECE1" w:themeFill="background2"/>
            <w:vAlign w:val="center"/>
          </w:tcPr>
          <w:p>
            <w:pPr>
              <w:spacing w:line="240" w:lineRule="auto"/>
              <w:jc w:val="center"/>
              <w:rPr>
                <w:rFonts w:hint="eastAsia" w:cs="Times New Roman" w:asciiTheme="minorEastAsia" w:hAnsiTheme="minorEastAsia"/>
                <w:b/>
                <w:color w:val="auto"/>
                <w:szCs w:val="21"/>
                <w:highlight w:val="none"/>
                <w:lang w:val="en-US" w:eastAsia="zh-CN"/>
              </w:rPr>
            </w:pPr>
            <w:r>
              <w:rPr>
                <w:rFonts w:hint="eastAsia" w:cs="Times New Roman" w:asciiTheme="minorEastAsia" w:hAnsiTheme="minorEastAsia"/>
                <w:b/>
                <w:color w:val="auto"/>
                <w:szCs w:val="21"/>
                <w:highlight w:val="none"/>
                <w:lang w:val="en-US" w:eastAsia="zh-CN"/>
              </w:rPr>
              <w:t>预算金额</w:t>
            </w:r>
          </w:p>
          <w:p>
            <w:pPr>
              <w:spacing w:line="240" w:lineRule="auto"/>
              <w:jc w:val="center"/>
              <w:rPr>
                <w:rFonts w:cs="Times New Roman" w:asciiTheme="minorEastAsia" w:hAnsiTheme="minorEastAsia"/>
                <w:bCs/>
                <w:color w:val="auto"/>
                <w:szCs w:val="21"/>
                <w:highlight w:val="none"/>
              </w:rPr>
            </w:pPr>
            <w:r>
              <w:rPr>
                <w:rFonts w:cs="Times New Roman" w:asciiTheme="minorEastAsia" w:hAnsiTheme="minorEastAsia"/>
                <w:b/>
                <w:color w:val="auto"/>
                <w:szCs w:val="21"/>
                <w:highlight w:val="none"/>
              </w:rPr>
              <w:t>（人民币</w:t>
            </w:r>
            <w:r>
              <w:rPr>
                <w:rFonts w:hint="eastAsia" w:cs="Times New Roman" w:asciiTheme="minorEastAsia" w:hAnsiTheme="minorEastAsia"/>
                <w:b/>
                <w:color w:val="auto"/>
                <w:szCs w:val="21"/>
                <w:highlight w:val="none"/>
                <w:lang w:val="en-US" w:eastAsia="zh-CN"/>
              </w:rPr>
              <w:t xml:space="preserve"> </w:t>
            </w:r>
            <w:r>
              <w:rPr>
                <w:rFonts w:cs="Times New Roman" w:asciiTheme="minorEastAsia" w:hAnsiTheme="minorEastAsia"/>
                <w:b/>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6" w:hRule="atLeast"/>
        </w:trPr>
        <w:tc>
          <w:tcPr>
            <w:tcW w:w="2451" w:type="dxa"/>
            <w:vAlign w:val="center"/>
          </w:tcPr>
          <w:p>
            <w:pPr>
              <w:spacing w:line="240" w:lineRule="auto"/>
              <w:jc w:val="center"/>
              <w:rPr>
                <w:rFonts w:hint="eastAsia" w:cs="Times New Roman" w:asciiTheme="minorEastAsia" w:hAnsiTheme="minorEastAsia" w:eastAsiaTheme="minorEastAsia"/>
                <w:bCs/>
                <w:color w:val="auto"/>
                <w:highlight w:val="none"/>
                <w:lang w:eastAsia="zh-CN"/>
              </w:rPr>
            </w:pPr>
            <w:r>
              <w:rPr>
                <w:rFonts w:hint="eastAsia" w:cs="Times New Roman" w:asciiTheme="minorEastAsia" w:hAnsiTheme="minorEastAsia"/>
                <w:bCs/>
                <w:color w:val="auto"/>
                <w:highlight w:val="none"/>
                <w:lang w:eastAsia="zh-CN"/>
              </w:rPr>
              <w:t>广州航标处租车运输浮标器材服务项目</w:t>
            </w:r>
          </w:p>
        </w:tc>
        <w:tc>
          <w:tcPr>
            <w:tcW w:w="810" w:type="dxa"/>
            <w:vAlign w:val="center"/>
          </w:tcPr>
          <w:p>
            <w:pPr>
              <w:spacing w:line="240" w:lineRule="auto"/>
              <w:jc w:val="center"/>
              <w:rPr>
                <w:rFonts w:cs="Times New Roman" w:asciiTheme="minorEastAsia" w:hAnsiTheme="minorEastAsia"/>
                <w:bCs/>
                <w:color w:val="auto"/>
                <w:highlight w:val="none"/>
              </w:rPr>
            </w:pPr>
            <w:r>
              <w:rPr>
                <w:rFonts w:cs="Times New Roman" w:asciiTheme="minorEastAsia" w:hAnsiTheme="minorEastAsia"/>
                <w:bCs/>
                <w:color w:val="auto"/>
                <w:highlight w:val="none"/>
              </w:rPr>
              <w:t>1项</w:t>
            </w:r>
          </w:p>
        </w:tc>
        <w:tc>
          <w:tcPr>
            <w:tcW w:w="1934" w:type="dxa"/>
            <w:vAlign w:val="center"/>
          </w:tcPr>
          <w:p>
            <w:pPr>
              <w:jc w:val="center"/>
              <w:rPr>
                <w:rFonts w:hint="eastAsia" w:ascii="宋体" w:hAnsi="宋体" w:eastAsia="宋体" w:cs="宋体"/>
                <w:color w:val="auto"/>
                <w:highlight w:val="none"/>
              </w:rPr>
            </w:pPr>
            <w:r>
              <w:rPr>
                <w:rFonts w:hint="eastAsia" w:ascii="宋体" w:hAnsi="宋体" w:eastAsia="宋体" w:cs="宋体"/>
                <w:color w:val="auto"/>
                <w:highlight w:val="none"/>
              </w:rPr>
              <w:t>一年</w:t>
            </w:r>
          </w:p>
          <w:p>
            <w:pPr>
              <w:jc w:val="center"/>
              <w:rPr>
                <w:rFonts w:asciiTheme="minorEastAsia" w:hAnsiTheme="minorEastAsia" w:eastAsiaTheme="minorEastAsia"/>
                <w:snapToGrid/>
                <w:color w:val="auto"/>
                <w:spacing w:val="0"/>
                <w:kern w:val="2"/>
                <w:sz w:val="21"/>
                <w:szCs w:val="21"/>
                <w:highlight w:val="none"/>
              </w:rPr>
            </w:pPr>
            <w:r>
              <w:rPr>
                <w:rFonts w:hint="eastAsia" w:ascii="宋体" w:hAnsi="宋体" w:eastAsia="宋体" w:cs="宋体"/>
                <w:color w:val="auto"/>
                <w:highlight w:val="none"/>
              </w:rPr>
              <w:t>（共12个月）</w:t>
            </w:r>
          </w:p>
        </w:tc>
        <w:tc>
          <w:tcPr>
            <w:tcW w:w="2581" w:type="dxa"/>
            <w:vAlign w:val="center"/>
          </w:tcPr>
          <w:p>
            <w:pPr>
              <w:pStyle w:val="32"/>
              <w:spacing w:line="240" w:lineRule="auto"/>
              <w:rPr>
                <w:color w:val="auto"/>
                <w:highlight w:val="none"/>
              </w:rPr>
            </w:pPr>
            <w:r>
              <w:rPr>
                <w:rFonts w:asciiTheme="minorEastAsia" w:hAnsiTheme="minorEastAsia" w:eastAsiaTheme="minorEastAsia"/>
                <w:bCs/>
                <w:snapToGrid/>
                <w:color w:val="auto"/>
                <w:spacing w:val="0"/>
                <w:kern w:val="2"/>
                <w:sz w:val="21"/>
                <w:szCs w:val="21"/>
                <w:highlight w:val="none"/>
              </w:rPr>
              <w:t>人民币</w:t>
            </w:r>
            <w:r>
              <w:rPr>
                <w:rFonts w:hint="eastAsia" w:asciiTheme="minorEastAsia" w:hAnsiTheme="minorEastAsia" w:eastAsiaTheme="minorEastAsia"/>
                <w:bCs/>
                <w:snapToGrid/>
                <w:color w:val="auto"/>
                <w:spacing w:val="0"/>
                <w:kern w:val="2"/>
                <w:sz w:val="21"/>
                <w:szCs w:val="21"/>
                <w:highlight w:val="none"/>
                <w:lang w:val="en-US" w:eastAsia="zh-CN"/>
              </w:rPr>
              <w:t>200000.00</w:t>
            </w:r>
            <w:r>
              <w:rPr>
                <w:rFonts w:asciiTheme="minorEastAsia" w:hAnsiTheme="minorEastAsia" w:eastAsiaTheme="minorEastAsia"/>
                <w:bCs/>
                <w:snapToGrid/>
                <w:color w:val="auto"/>
                <w:spacing w:val="0"/>
                <w:kern w:val="2"/>
                <w:sz w:val="21"/>
                <w:szCs w:val="21"/>
                <w:highlight w:val="none"/>
              </w:rPr>
              <w:t>元</w:t>
            </w:r>
          </w:p>
        </w:tc>
      </w:tr>
    </w:tbl>
    <w:p>
      <w:pPr>
        <w:widowControl/>
        <w:numPr>
          <w:ilvl w:val="0"/>
          <w:numId w:val="16"/>
        </w:numPr>
        <w:tabs>
          <w:tab w:val="left" w:pos="426"/>
        </w:tabs>
        <w:spacing w:line="360" w:lineRule="auto"/>
        <w:jc w:val="left"/>
        <w:rPr>
          <w:rFonts w:ascii="Times New Roman" w:hAnsi="Times New Roman" w:cs="Times New Roman"/>
          <w:b/>
          <w:color w:val="auto"/>
          <w:szCs w:val="21"/>
          <w:highlight w:val="none"/>
        </w:rPr>
      </w:pPr>
      <w:r>
        <w:rPr>
          <w:rFonts w:ascii="Times New Roman" w:hAnsi="Times New Roman" w:cs="Times New Roman"/>
          <w:b/>
          <w:color w:val="auto"/>
          <w:szCs w:val="21"/>
          <w:highlight w:val="none"/>
        </w:rPr>
        <w:t>项目一览表</w:t>
      </w:r>
    </w:p>
    <w:p>
      <w:pPr>
        <w:widowControl/>
        <w:numPr>
          <w:ilvl w:val="0"/>
          <w:numId w:val="16"/>
        </w:numPr>
        <w:tabs>
          <w:tab w:val="left" w:pos="426"/>
        </w:tabs>
        <w:spacing w:line="360" w:lineRule="auto"/>
        <w:jc w:val="left"/>
        <w:rPr>
          <w:rFonts w:hint="eastAsia" w:ascii="Times New Roman" w:hAnsi="Times New Roman" w:cs="Times New Roman"/>
          <w:b/>
          <w:color w:val="auto"/>
          <w:szCs w:val="21"/>
          <w:highlight w:val="none"/>
        </w:rPr>
      </w:pPr>
      <w:r>
        <w:rPr>
          <w:rFonts w:hint="eastAsia" w:ascii="Times New Roman" w:hAnsi="Times New Roman" w:cs="Times New Roman"/>
          <w:b/>
          <w:color w:val="auto"/>
          <w:szCs w:val="21"/>
          <w:highlight w:val="none"/>
        </w:rPr>
        <w:t>服务内容</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沿海水域和港口的助航设施管理维护工作需要，</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委托</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val="en-US" w:eastAsia="zh-CN"/>
        </w:rPr>
        <w:t>浮标运输</w:t>
      </w:r>
      <w:r>
        <w:rPr>
          <w:rFonts w:hint="eastAsia" w:ascii="宋体" w:hAnsi="宋体" w:eastAsia="宋体" w:cs="宋体"/>
          <w:color w:val="auto"/>
          <w:sz w:val="21"/>
          <w:szCs w:val="21"/>
          <w:highlight w:val="none"/>
        </w:rPr>
        <w:t>服务，</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应按</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的要求从</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指定</w:t>
      </w:r>
      <w:r>
        <w:rPr>
          <w:rFonts w:hint="eastAsia" w:ascii="宋体" w:hAnsi="宋体" w:eastAsia="宋体" w:cs="宋体"/>
          <w:color w:val="auto"/>
          <w:sz w:val="21"/>
          <w:szCs w:val="21"/>
          <w:highlight w:val="none"/>
          <w:lang w:val="en-US" w:eastAsia="zh-CN"/>
        </w:rPr>
        <w:t>地点运输、装卸浮标器材。</w:t>
      </w:r>
    </w:p>
    <w:p>
      <w:pPr>
        <w:widowControl/>
        <w:numPr>
          <w:ilvl w:val="0"/>
          <w:numId w:val="16"/>
        </w:numPr>
        <w:tabs>
          <w:tab w:val="left" w:pos="426"/>
        </w:tabs>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服务地点：</w:t>
      </w:r>
      <w:r>
        <w:rPr>
          <w:rFonts w:hint="eastAsia" w:ascii="宋体" w:hAnsi="宋体" w:eastAsia="宋体" w:cs="宋体"/>
          <w:b/>
          <w:color w:val="auto"/>
          <w:sz w:val="21"/>
          <w:szCs w:val="21"/>
          <w:highlight w:val="none"/>
          <w:lang w:eastAsia="zh-CN"/>
        </w:rPr>
        <w:t>采购人</w:t>
      </w:r>
      <w:r>
        <w:rPr>
          <w:rFonts w:hint="eastAsia" w:ascii="宋体" w:hAnsi="宋体" w:eastAsia="宋体" w:cs="宋体"/>
          <w:color w:val="auto"/>
          <w:sz w:val="21"/>
          <w:szCs w:val="21"/>
          <w:highlight w:val="none"/>
        </w:rPr>
        <w:t>指定的地点。</w:t>
      </w:r>
    </w:p>
    <w:p>
      <w:pPr>
        <w:widowControl/>
        <w:numPr>
          <w:ilvl w:val="0"/>
          <w:numId w:val="16"/>
        </w:numPr>
        <w:tabs>
          <w:tab w:val="left" w:pos="426"/>
        </w:tabs>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服务清单</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3134"/>
        <w:gridCol w:w="2324"/>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1838" w:type="pct"/>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路线</w:t>
            </w:r>
          </w:p>
        </w:tc>
        <w:tc>
          <w:tcPr>
            <w:tcW w:w="1363" w:type="pct"/>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租车类型</w:t>
            </w:r>
          </w:p>
        </w:tc>
        <w:tc>
          <w:tcPr>
            <w:tcW w:w="1361" w:type="pct"/>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单价最高限价</w:t>
            </w:r>
          </w:p>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（车次/元）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pPr>
              <w:numPr>
                <w:ilvl w:val="0"/>
                <w:numId w:val="17"/>
              </w:numPr>
              <w:ind w:left="425" w:leftChars="0" w:hanging="425" w:firstLineChars="0"/>
              <w:jc w:val="center"/>
              <w:rPr>
                <w:rFonts w:hint="eastAsia" w:ascii="宋体" w:hAnsi="宋体" w:eastAsia="宋体" w:cs="宋体"/>
                <w:color w:val="auto"/>
                <w:sz w:val="21"/>
                <w:szCs w:val="21"/>
                <w:highlight w:val="none"/>
                <w:lang w:val="en-US" w:eastAsia="zh-CN"/>
              </w:rPr>
            </w:pPr>
          </w:p>
        </w:tc>
        <w:tc>
          <w:tcPr>
            <w:tcW w:w="1838" w:type="pct"/>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广州航标处-南沙港</w:t>
            </w:r>
          </w:p>
        </w:tc>
        <w:tc>
          <w:tcPr>
            <w:tcW w:w="1363" w:type="pct"/>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13米货车</w:t>
            </w:r>
          </w:p>
        </w:tc>
        <w:tc>
          <w:tcPr>
            <w:tcW w:w="1361" w:type="pct"/>
            <w:vAlign w:val="top"/>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pPr>
              <w:numPr>
                <w:ilvl w:val="0"/>
                <w:numId w:val="17"/>
              </w:numPr>
              <w:ind w:left="425" w:leftChars="0" w:hanging="425" w:firstLineChars="0"/>
              <w:jc w:val="center"/>
              <w:rPr>
                <w:rFonts w:hint="eastAsia" w:ascii="宋体" w:hAnsi="宋体" w:eastAsia="宋体" w:cs="宋体"/>
                <w:color w:val="auto"/>
                <w:sz w:val="21"/>
                <w:szCs w:val="21"/>
                <w:highlight w:val="none"/>
                <w:lang w:val="en-US" w:eastAsia="zh-CN"/>
              </w:rPr>
            </w:pPr>
          </w:p>
        </w:tc>
        <w:tc>
          <w:tcPr>
            <w:tcW w:w="1838" w:type="pct"/>
            <w:vAlign w:val="top"/>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广州航标处-蛇口港</w:t>
            </w:r>
          </w:p>
        </w:tc>
        <w:tc>
          <w:tcPr>
            <w:tcW w:w="1363" w:type="pct"/>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13米货车</w:t>
            </w:r>
          </w:p>
        </w:tc>
        <w:tc>
          <w:tcPr>
            <w:tcW w:w="1361" w:type="pct"/>
            <w:vAlign w:val="top"/>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tcPr>
          <w:p>
            <w:pPr>
              <w:numPr>
                <w:ilvl w:val="0"/>
                <w:numId w:val="17"/>
              </w:numPr>
              <w:ind w:left="425" w:leftChars="0" w:hanging="425" w:firstLineChars="0"/>
              <w:jc w:val="center"/>
              <w:rPr>
                <w:rFonts w:hint="eastAsia" w:ascii="宋体" w:hAnsi="宋体" w:eastAsia="宋体" w:cs="宋体"/>
                <w:color w:val="auto"/>
                <w:sz w:val="21"/>
                <w:szCs w:val="21"/>
                <w:highlight w:val="none"/>
                <w:lang w:val="en-US" w:eastAsia="zh-CN"/>
              </w:rPr>
            </w:pPr>
          </w:p>
        </w:tc>
        <w:tc>
          <w:tcPr>
            <w:tcW w:w="1838" w:type="pct"/>
            <w:vAlign w:val="top"/>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广州航标处-盐田港</w:t>
            </w:r>
          </w:p>
        </w:tc>
        <w:tc>
          <w:tcPr>
            <w:tcW w:w="1363" w:type="pct"/>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13米货车</w:t>
            </w:r>
          </w:p>
        </w:tc>
        <w:tc>
          <w:tcPr>
            <w:tcW w:w="1361" w:type="pct"/>
            <w:vAlign w:val="top"/>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top"/>
          </w:tcPr>
          <w:p>
            <w:pPr>
              <w:numPr>
                <w:ilvl w:val="0"/>
                <w:numId w:val="17"/>
              </w:numPr>
              <w:ind w:left="425" w:leftChars="0" w:hanging="425" w:firstLineChars="0"/>
              <w:jc w:val="center"/>
              <w:rPr>
                <w:rFonts w:hint="eastAsia" w:ascii="宋体" w:hAnsi="宋体" w:eastAsia="宋体" w:cs="宋体"/>
                <w:color w:val="auto"/>
                <w:sz w:val="21"/>
                <w:szCs w:val="21"/>
                <w:highlight w:val="none"/>
                <w:lang w:val="en-US" w:eastAsia="zh-CN"/>
              </w:rPr>
            </w:pPr>
          </w:p>
        </w:tc>
        <w:tc>
          <w:tcPr>
            <w:tcW w:w="1838" w:type="pct"/>
            <w:vAlign w:val="top"/>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广州航标处-江门台山港</w:t>
            </w:r>
          </w:p>
        </w:tc>
        <w:tc>
          <w:tcPr>
            <w:tcW w:w="1363" w:type="pct"/>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13米货车</w:t>
            </w:r>
          </w:p>
        </w:tc>
        <w:tc>
          <w:tcPr>
            <w:tcW w:w="1361" w:type="pct"/>
            <w:vAlign w:val="top"/>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top"/>
          </w:tcPr>
          <w:p>
            <w:pPr>
              <w:numPr>
                <w:ilvl w:val="0"/>
                <w:numId w:val="17"/>
              </w:numPr>
              <w:ind w:left="425" w:leftChars="0" w:hanging="425" w:firstLineChars="0"/>
              <w:jc w:val="center"/>
              <w:rPr>
                <w:rFonts w:hint="eastAsia" w:ascii="宋体" w:hAnsi="宋体" w:eastAsia="宋体" w:cs="宋体"/>
                <w:color w:val="auto"/>
                <w:sz w:val="21"/>
                <w:szCs w:val="21"/>
                <w:highlight w:val="none"/>
                <w:lang w:val="en-US" w:eastAsia="zh-CN"/>
              </w:rPr>
            </w:pPr>
          </w:p>
        </w:tc>
        <w:tc>
          <w:tcPr>
            <w:tcW w:w="1838" w:type="pct"/>
            <w:vAlign w:val="top"/>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广州航标处-阳江港</w:t>
            </w:r>
          </w:p>
        </w:tc>
        <w:tc>
          <w:tcPr>
            <w:tcW w:w="1363" w:type="pct"/>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13米货车</w:t>
            </w:r>
          </w:p>
        </w:tc>
        <w:tc>
          <w:tcPr>
            <w:tcW w:w="1361" w:type="pct"/>
            <w:vAlign w:val="top"/>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436" w:type="pct"/>
            <w:vAlign w:val="top"/>
          </w:tcPr>
          <w:p>
            <w:pPr>
              <w:numPr>
                <w:ilvl w:val="0"/>
                <w:numId w:val="17"/>
              </w:numPr>
              <w:ind w:left="425" w:leftChars="0" w:hanging="425" w:firstLineChars="0"/>
              <w:jc w:val="center"/>
              <w:rPr>
                <w:rFonts w:hint="eastAsia" w:ascii="宋体" w:hAnsi="宋体" w:eastAsia="宋体" w:cs="宋体"/>
                <w:color w:val="auto"/>
                <w:sz w:val="21"/>
                <w:szCs w:val="21"/>
                <w:highlight w:val="none"/>
                <w:lang w:val="en-US" w:eastAsia="zh-CN"/>
              </w:rPr>
            </w:pPr>
          </w:p>
        </w:tc>
        <w:tc>
          <w:tcPr>
            <w:tcW w:w="1838" w:type="pct"/>
            <w:vAlign w:val="top"/>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广州航标处-港珠澳大桥航标处</w:t>
            </w:r>
          </w:p>
        </w:tc>
        <w:tc>
          <w:tcPr>
            <w:tcW w:w="1363" w:type="pct"/>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13米货车</w:t>
            </w:r>
          </w:p>
        </w:tc>
        <w:tc>
          <w:tcPr>
            <w:tcW w:w="1361" w:type="pct"/>
            <w:vAlign w:val="top"/>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436" w:type="pct"/>
            <w:vAlign w:val="top"/>
          </w:tcPr>
          <w:p>
            <w:pPr>
              <w:numPr>
                <w:ilvl w:val="0"/>
                <w:numId w:val="17"/>
              </w:numPr>
              <w:ind w:left="425" w:leftChars="0" w:hanging="425" w:firstLineChars="0"/>
              <w:jc w:val="center"/>
              <w:rPr>
                <w:rFonts w:hint="eastAsia" w:ascii="宋体" w:hAnsi="宋体" w:eastAsia="宋体" w:cs="宋体"/>
                <w:color w:val="auto"/>
                <w:sz w:val="21"/>
                <w:szCs w:val="21"/>
                <w:highlight w:val="none"/>
                <w:lang w:val="en-US" w:eastAsia="zh-CN"/>
              </w:rPr>
            </w:pPr>
          </w:p>
        </w:tc>
        <w:tc>
          <w:tcPr>
            <w:tcW w:w="1838" w:type="pct"/>
            <w:vAlign w:val="top"/>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广州航标处-珠海高栏港</w:t>
            </w:r>
          </w:p>
        </w:tc>
        <w:tc>
          <w:tcPr>
            <w:tcW w:w="1363" w:type="pct"/>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13米货车</w:t>
            </w:r>
          </w:p>
        </w:tc>
        <w:tc>
          <w:tcPr>
            <w:tcW w:w="1361" w:type="pct"/>
            <w:vAlign w:val="top"/>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 w:type="pct"/>
            <w:vAlign w:val="top"/>
          </w:tcPr>
          <w:p>
            <w:pPr>
              <w:numPr>
                <w:ilvl w:val="0"/>
                <w:numId w:val="17"/>
              </w:numPr>
              <w:ind w:left="425" w:leftChars="0" w:hanging="425" w:firstLineChars="0"/>
              <w:jc w:val="center"/>
              <w:rPr>
                <w:rFonts w:hint="eastAsia" w:ascii="宋体" w:hAnsi="宋体" w:eastAsia="宋体" w:cs="宋体"/>
                <w:color w:val="auto"/>
                <w:sz w:val="21"/>
                <w:szCs w:val="21"/>
                <w:highlight w:val="none"/>
                <w:lang w:val="en-US" w:eastAsia="zh-CN"/>
              </w:rPr>
            </w:pPr>
          </w:p>
        </w:tc>
        <w:tc>
          <w:tcPr>
            <w:tcW w:w="1838" w:type="pct"/>
            <w:vAlign w:val="top"/>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w:t>
            </w:r>
          </w:p>
        </w:tc>
        <w:tc>
          <w:tcPr>
            <w:tcW w:w="2724" w:type="pct"/>
            <w:gridSpan w:val="2"/>
            <w:vAlign w:val="top"/>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参照上述经协商定价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top"/>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备注：其他类型作业参照</w:t>
            </w:r>
            <w:r>
              <w:rPr>
                <w:rFonts w:hint="eastAsia" w:ascii="宋体" w:hAnsi="宋体" w:eastAsia="宋体" w:cs="宋体"/>
                <w:color w:val="auto"/>
                <w:sz w:val="21"/>
                <w:szCs w:val="21"/>
                <w:highlight w:val="none"/>
                <w:lang w:val="en-US" w:eastAsia="zh-CN"/>
              </w:rPr>
              <w:t>上述租车类型单价最高限价</w:t>
            </w:r>
            <w:r>
              <w:rPr>
                <w:rFonts w:hint="eastAsia" w:ascii="宋体" w:hAnsi="宋体" w:eastAsia="宋体" w:cs="宋体"/>
                <w:color w:val="auto"/>
                <w:sz w:val="21"/>
                <w:szCs w:val="21"/>
                <w:highlight w:val="none"/>
                <w:lang w:val="en-US" w:eastAsia="zh-CN"/>
              </w:rPr>
              <w:t>，经协商确定价格。</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作业相关主要数据如下：</w:t>
            </w:r>
          </w:p>
          <w:p>
            <w:pPr>
              <w:numPr>
                <w:ilvl w:val="0"/>
                <w:numId w:val="18"/>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装卸货地点：广州航标处仑头基地、南沙港、蛇口港、盐田港、港珠澳大桥航标处、珠海高栏港、江门台山港、阳江港；</w:t>
            </w:r>
          </w:p>
          <w:p>
            <w:pPr>
              <w:numPr>
                <w:ilvl w:val="0"/>
                <w:numId w:val="18"/>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运输器材：浮标（主要以直径2.4米，高7.6米，重约4.8吨类型浮标为主）、沉块（主要以重量5吨实心水泥沉块为主）、锚链等航标器材；</w:t>
            </w:r>
          </w:p>
          <w:p>
            <w:pPr>
              <w:numPr>
                <w:ilvl w:val="0"/>
                <w:numId w:val="18"/>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租车类型：主要以13米平板货车为主，少数情况需要其他类型货车；</w:t>
            </w:r>
          </w:p>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其他信息：平板货车需要自带绑扎带、枕木等固定器材，到广州航标处装卸货时，限高不超4.5米。</w:t>
            </w:r>
          </w:p>
        </w:tc>
      </w:tr>
    </w:tbl>
    <w:p>
      <w:pPr>
        <w:widowControl/>
        <w:numPr>
          <w:ilvl w:val="0"/>
          <w:numId w:val="16"/>
        </w:numPr>
        <w:tabs>
          <w:tab w:val="left" w:pos="426"/>
        </w:tabs>
        <w:spacing w:line="360" w:lineRule="auto"/>
        <w:jc w:val="left"/>
        <w:rPr>
          <w:rFonts w:hint="eastAsia"/>
          <w:b/>
          <w:color w:val="auto"/>
          <w:szCs w:val="21"/>
          <w:highlight w:val="none"/>
        </w:rPr>
      </w:pPr>
      <w:r>
        <w:rPr>
          <w:rFonts w:hint="eastAsia"/>
          <w:b/>
          <w:color w:val="auto"/>
          <w:szCs w:val="21"/>
          <w:highlight w:val="none"/>
        </w:rPr>
        <w:t>报价说明</w:t>
      </w:r>
    </w:p>
    <w:p>
      <w:pPr>
        <w:pStyle w:val="25"/>
        <w:numPr>
          <w:ilvl w:val="0"/>
          <w:numId w:val="19"/>
        </w:numPr>
        <w:adjustRightInd w:val="0"/>
        <w:snapToGrid w:val="0"/>
        <w:spacing w:before="156" w:beforeLines="50" w:line="360" w:lineRule="auto"/>
        <w:ind w:firstLineChars="0"/>
        <w:rPr>
          <w:rFonts w:hint="eastAsia"/>
          <w:b/>
          <w:color w:val="auto"/>
          <w:szCs w:val="21"/>
          <w:highlight w:val="none"/>
        </w:rPr>
      </w:pPr>
      <w:r>
        <w:rPr>
          <w:rFonts w:hint="eastAsia"/>
          <w:b/>
          <w:color w:val="auto"/>
          <w:szCs w:val="21"/>
          <w:highlight w:val="none"/>
        </w:rPr>
        <w:t>报价：报价包含</w:t>
      </w:r>
      <w:r>
        <w:rPr>
          <w:rFonts w:hint="eastAsia"/>
          <w:b/>
          <w:color w:val="auto"/>
          <w:szCs w:val="21"/>
          <w:highlight w:val="none"/>
          <w:lang w:val="en-US" w:eastAsia="zh-CN"/>
        </w:rPr>
        <w:t>人工</w:t>
      </w:r>
      <w:r>
        <w:rPr>
          <w:rFonts w:hint="eastAsia"/>
          <w:b/>
          <w:color w:val="auto"/>
          <w:szCs w:val="21"/>
          <w:highlight w:val="none"/>
        </w:rPr>
        <w:t>、运输、装卸、</w:t>
      </w:r>
      <w:r>
        <w:rPr>
          <w:rFonts w:hint="eastAsia"/>
          <w:b/>
          <w:color w:val="auto"/>
          <w:szCs w:val="21"/>
          <w:highlight w:val="none"/>
          <w:lang w:val="en-US" w:eastAsia="zh-CN"/>
        </w:rPr>
        <w:t>油费</w:t>
      </w:r>
      <w:r>
        <w:rPr>
          <w:rFonts w:hint="eastAsia"/>
          <w:b/>
          <w:color w:val="auto"/>
          <w:szCs w:val="21"/>
          <w:highlight w:val="none"/>
        </w:rPr>
        <w:t>、保险、</w:t>
      </w:r>
      <w:r>
        <w:rPr>
          <w:rFonts w:hint="eastAsia"/>
          <w:b/>
          <w:color w:val="auto"/>
          <w:szCs w:val="21"/>
          <w:highlight w:val="none"/>
          <w:lang w:val="en-US" w:eastAsia="zh-CN"/>
        </w:rPr>
        <w:t>过路费</w:t>
      </w:r>
      <w:r>
        <w:rPr>
          <w:rFonts w:hint="eastAsia"/>
          <w:b/>
          <w:color w:val="auto"/>
          <w:szCs w:val="21"/>
          <w:highlight w:val="none"/>
        </w:rPr>
        <w:t>、税金等一切</w:t>
      </w:r>
      <w:r>
        <w:rPr>
          <w:rFonts w:hint="eastAsia"/>
          <w:b/>
          <w:color w:val="auto"/>
          <w:szCs w:val="21"/>
          <w:highlight w:val="none"/>
          <w:lang w:val="en-US" w:eastAsia="zh-CN"/>
        </w:rPr>
        <w:t>与本项目相关</w:t>
      </w:r>
      <w:r>
        <w:rPr>
          <w:rFonts w:hint="eastAsia"/>
          <w:b/>
          <w:color w:val="auto"/>
          <w:szCs w:val="21"/>
          <w:highlight w:val="none"/>
        </w:rPr>
        <w:t>费用。</w:t>
      </w:r>
    </w:p>
    <w:p>
      <w:pPr>
        <w:pStyle w:val="25"/>
        <w:numPr>
          <w:ilvl w:val="0"/>
          <w:numId w:val="19"/>
        </w:numPr>
        <w:adjustRightInd w:val="0"/>
        <w:snapToGrid w:val="0"/>
        <w:spacing w:before="156" w:beforeLines="50" w:line="360" w:lineRule="auto"/>
        <w:ind w:firstLineChars="0"/>
        <w:rPr>
          <w:rFonts w:hint="eastAsia"/>
          <w:b/>
          <w:color w:val="auto"/>
          <w:szCs w:val="21"/>
          <w:highlight w:val="none"/>
        </w:rPr>
      </w:pPr>
      <w:r>
        <w:rPr>
          <w:rFonts w:hint="eastAsia"/>
          <w:b/>
          <w:color w:val="auto"/>
          <w:szCs w:val="21"/>
          <w:highlight w:val="none"/>
          <w:lang w:eastAsia="zh-CN"/>
        </w:rPr>
        <w:t>单价最高限价</w:t>
      </w:r>
      <w:r>
        <w:rPr>
          <w:rFonts w:hint="eastAsia"/>
          <w:b/>
          <w:color w:val="auto"/>
          <w:szCs w:val="21"/>
          <w:highlight w:val="none"/>
        </w:rPr>
        <w:t>：详阅</w:t>
      </w:r>
      <w:r>
        <w:rPr>
          <w:rFonts w:hint="eastAsia"/>
          <w:b/>
          <w:color w:val="auto"/>
          <w:szCs w:val="21"/>
          <w:highlight w:val="none"/>
          <w:lang w:val="en-US" w:eastAsia="zh-CN"/>
        </w:rPr>
        <w:t>服务</w:t>
      </w:r>
      <w:r>
        <w:rPr>
          <w:rFonts w:hint="eastAsia"/>
          <w:b/>
          <w:bCs/>
          <w:color w:val="auto"/>
          <w:szCs w:val="21"/>
          <w:highlight w:val="none"/>
        </w:rPr>
        <w:t>清单</w:t>
      </w:r>
      <w:r>
        <w:rPr>
          <w:rFonts w:hint="eastAsia"/>
          <w:b/>
          <w:color w:val="auto"/>
          <w:szCs w:val="21"/>
          <w:highlight w:val="none"/>
        </w:rPr>
        <w:t>。</w:t>
      </w:r>
    </w:p>
    <w:p>
      <w:pPr>
        <w:pStyle w:val="25"/>
        <w:numPr>
          <w:ilvl w:val="0"/>
          <w:numId w:val="19"/>
        </w:numPr>
        <w:adjustRightInd w:val="0"/>
        <w:snapToGrid w:val="0"/>
        <w:spacing w:before="156" w:beforeLines="50" w:line="360" w:lineRule="auto"/>
        <w:ind w:firstLineChars="0"/>
        <w:rPr>
          <w:rFonts w:hint="eastAsia"/>
          <w:b/>
          <w:color w:val="auto"/>
          <w:szCs w:val="21"/>
          <w:highlight w:val="none"/>
        </w:rPr>
      </w:pPr>
      <w:r>
        <w:rPr>
          <w:rFonts w:hint="eastAsia"/>
          <w:b/>
          <w:color w:val="auto"/>
          <w:szCs w:val="21"/>
          <w:highlight w:val="none"/>
        </w:rPr>
        <w:t>本项目报价方式采用“下浮率（%）”的方式，即结算单价=对应</w:t>
      </w:r>
      <w:r>
        <w:rPr>
          <w:rFonts w:hint="eastAsia"/>
          <w:b/>
          <w:color w:val="auto"/>
          <w:szCs w:val="21"/>
          <w:highlight w:val="none"/>
          <w:lang w:val="en-US" w:eastAsia="zh-CN"/>
        </w:rPr>
        <w:t>租车类型的</w:t>
      </w:r>
      <w:r>
        <w:rPr>
          <w:rFonts w:hint="eastAsia"/>
          <w:b/>
          <w:color w:val="auto"/>
          <w:szCs w:val="21"/>
          <w:highlight w:val="none"/>
          <w:lang w:eastAsia="zh-CN"/>
        </w:rPr>
        <w:t>单价最高限价</w:t>
      </w:r>
      <w:r>
        <w:rPr>
          <w:rFonts w:hint="eastAsia"/>
          <w:b/>
          <w:color w:val="auto"/>
          <w:szCs w:val="21"/>
          <w:highlight w:val="none"/>
        </w:rPr>
        <w:t>×（1-成交下浮率（%））。</w:t>
      </w:r>
    </w:p>
    <w:p>
      <w:pPr>
        <w:pStyle w:val="25"/>
        <w:numPr>
          <w:ilvl w:val="0"/>
          <w:numId w:val="19"/>
        </w:numPr>
        <w:adjustRightInd w:val="0"/>
        <w:snapToGrid w:val="0"/>
        <w:spacing w:before="156" w:beforeLines="50" w:line="360" w:lineRule="auto"/>
        <w:ind w:firstLineChars="0"/>
        <w:rPr>
          <w:rFonts w:hint="eastAsia"/>
          <w:b/>
          <w:color w:val="auto"/>
          <w:szCs w:val="21"/>
          <w:highlight w:val="none"/>
        </w:rPr>
      </w:pPr>
      <w:r>
        <w:rPr>
          <w:rFonts w:hint="eastAsia"/>
          <w:b/>
          <w:color w:val="auto"/>
          <w:szCs w:val="21"/>
          <w:highlight w:val="none"/>
        </w:rPr>
        <w:t>特别说明：本项目不是每个</w:t>
      </w:r>
      <w:r>
        <w:rPr>
          <w:rFonts w:hint="eastAsia"/>
          <w:b/>
          <w:color w:val="auto"/>
          <w:szCs w:val="21"/>
          <w:highlight w:val="none"/>
          <w:lang w:val="en-US" w:eastAsia="zh-CN"/>
        </w:rPr>
        <w:t>类型</w:t>
      </w:r>
      <w:r>
        <w:rPr>
          <w:rFonts w:hint="eastAsia"/>
          <w:b/>
          <w:color w:val="auto"/>
          <w:szCs w:val="21"/>
          <w:highlight w:val="none"/>
        </w:rPr>
        <w:t>都报一个下浮率，而是所有</w:t>
      </w:r>
      <w:r>
        <w:rPr>
          <w:rFonts w:hint="eastAsia"/>
          <w:b/>
          <w:color w:val="auto"/>
          <w:szCs w:val="21"/>
          <w:highlight w:val="none"/>
          <w:lang w:val="en-US" w:eastAsia="zh-CN"/>
        </w:rPr>
        <w:t>类型</w:t>
      </w:r>
      <w:r>
        <w:rPr>
          <w:rFonts w:hint="eastAsia"/>
          <w:b/>
          <w:color w:val="auto"/>
          <w:szCs w:val="21"/>
          <w:highlight w:val="none"/>
        </w:rPr>
        <w:t>都报同一个下浮率，所报下浮率适用于</w:t>
      </w:r>
      <w:r>
        <w:rPr>
          <w:rFonts w:hint="eastAsia"/>
          <w:b/>
          <w:color w:val="auto"/>
          <w:szCs w:val="21"/>
          <w:highlight w:val="none"/>
          <w:lang w:val="en-US" w:eastAsia="zh-CN"/>
        </w:rPr>
        <w:t>服务</w:t>
      </w:r>
      <w:r>
        <w:rPr>
          <w:rFonts w:hint="eastAsia"/>
          <w:b/>
          <w:color w:val="auto"/>
          <w:szCs w:val="21"/>
          <w:highlight w:val="none"/>
        </w:rPr>
        <w:t>清单中的每种</w:t>
      </w:r>
      <w:r>
        <w:rPr>
          <w:rFonts w:hint="eastAsia"/>
          <w:b/>
          <w:color w:val="auto"/>
          <w:szCs w:val="21"/>
          <w:highlight w:val="none"/>
          <w:lang w:val="en-US" w:eastAsia="zh-CN"/>
        </w:rPr>
        <w:t>租车类型</w:t>
      </w:r>
      <w:r>
        <w:rPr>
          <w:rFonts w:hint="eastAsia"/>
          <w:b/>
          <w:color w:val="auto"/>
          <w:szCs w:val="21"/>
          <w:highlight w:val="none"/>
        </w:rPr>
        <w:t>。</w:t>
      </w:r>
    </w:p>
    <w:p>
      <w:pPr>
        <w:widowControl/>
        <w:numPr>
          <w:ilvl w:val="0"/>
          <w:numId w:val="16"/>
        </w:numPr>
        <w:tabs>
          <w:tab w:val="left" w:pos="426"/>
        </w:tabs>
        <w:spacing w:line="360" w:lineRule="auto"/>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具体服务要求</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0" w:name="OLE_LINK2"/>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提供的</w:t>
      </w:r>
      <w:r>
        <w:rPr>
          <w:rFonts w:hint="eastAsia" w:ascii="宋体" w:hAnsi="宋体" w:eastAsia="宋体" w:cs="宋体"/>
          <w:color w:val="auto"/>
          <w:sz w:val="21"/>
          <w:szCs w:val="21"/>
          <w:highlight w:val="none"/>
          <w:lang w:val="en-US" w:eastAsia="zh-CN"/>
        </w:rPr>
        <w:t>运输货车</w:t>
      </w:r>
      <w:r>
        <w:rPr>
          <w:rFonts w:hint="eastAsia" w:ascii="宋体" w:hAnsi="宋体" w:eastAsia="宋体" w:cs="宋体"/>
          <w:color w:val="auto"/>
          <w:sz w:val="21"/>
          <w:szCs w:val="21"/>
          <w:highlight w:val="none"/>
        </w:rPr>
        <w:t>应满足以下要求：</w:t>
      </w:r>
      <w:bookmarkEnd w:id="0"/>
    </w:p>
    <w:p>
      <w:pPr>
        <w:tabs>
          <w:tab w:val="left" w:pos="1470"/>
        </w:tabs>
        <w:adjustRightInd w:val="0"/>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bookmarkStart w:id="1" w:name="OLE_LINK1"/>
      <w:r>
        <w:rPr>
          <w:rFonts w:hint="eastAsia" w:ascii="宋体" w:hAnsi="宋体" w:eastAsia="宋体" w:cs="宋体"/>
          <w:color w:val="auto"/>
          <w:sz w:val="21"/>
          <w:szCs w:val="21"/>
          <w:highlight w:val="none"/>
        </w:rPr>
        <w:t>证照齐全、年检合格，功能正常等。有以下情形之一的</w:t>
      </w:r>
      <w:r>
        <w:rPr>
          <w:rFonts w:hint="eastAsia" w:ascii="宋体" w:hAnsi="宋体" w:eastAsia="宋体" w:cs="宋体"/>
          <w:color w:val="auto"/>
          <w:sz w:val="21"/>
          <w:szCs w:val="21"/>
          <w:highlight w:val="none"/>
          <w:lang w:eastAsia="zh-CN"/>
        </w:rPr>
        <w:t>车辆</w:t>
      </w:r>
      <w:r>
        <w:rPr>
          <w:rFonts w:hint="eastAsia" w:ascii="宋体" w:hAnsi="宋体" w:eastAsia="宋体" w:cs="宋体"/>
          <w:color w:val="auto"/>
          <w:sz w:val="21"/>
          <w:szCs w:val="21"/>
          <w:highlight w:val="none"/>
        </w:rPr>
        <w:t>不能作为本协议书的租用</w:t>
      </w:r>
      <w:r>
        <w:rPr>
          <w:rFonts w:hint="eastAsia" w:ascii="宋体" w:hAnsi="宋体" w:eastAsia="宋体" w:cs="宋体"/>
          <w:color w:val="auto"/>
          <w:sz w:val="21"/>
          <w:szCs w:val="21"/>
          <w:highlight w:val="none"/>
          <w:lang w:val="en-US" w:eastAsia="zh-CN"/>
        </w:rPr>
        <w:t>车辆</w:t>
      </w:r>
      <w:r>
        <w:rPr>
          <w:rFonts w:hint="eastAsia" w:ascii="宋体" w:hAnsi="宋体" w:eastAsia="宋体" w:cs="宋体"/>
          <w:color w:val="auto"/>
          <w:sz w:val="21"/>
          <w:szCs w:val="21"/>
          <w:highlight w:val="none"/>
        </w:rPr>
        <w:t>：已到报废年限；非法改装；非法营运；无牌证；假牌证；套牌；伪造证件的</w:t>
      </w:r>
      <w:r>
        <w:rPr>
          <w:rFonts w:hint="eastAsia" w:ascii="宋体" w:hAnsi="宋体" w:eastAsia="宋体" w:cs="宋体"/>
          <w:color w:val="auto"/>
          <w:sz w:val="21"/>
          <w:szCs w:val="21"/>
          <w:highlight w:val="none"/>
          <w:lang w:eastAsia="zh-CN"/>
        </w:rPr>
        <w:t>。</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）不存在其他安全隐患。</w:t>
      </w:r>
      <w:bookmarkEnd w:id="1"/>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保证提供的</w:t>
      </w:r>
      <w:r>
        <w:rPr>
          <w:rFonts w:hint="eastAsia" w:ascii="宋体" w:hAnsi="宋体" w:eastAsia="宋体" w:cs="宋体"/>
          <w:color w:val="auto"/>
          <w:sz w:val="21"/>
          <w:szCs w:val="21"/>
          <w:highlight w:val="none"/>
          <w:lang w:val="en-US" w:eastAsia="zh-CN"/>
        </w:rPr>
        <w:t>车辆</w:t>
      </w:r>
      <w:r>
        <w:rPr>
          <w:rFonts w:hint="eastAsia" w:ascii="宋体" w:hAnsi="宋体" w:eastAsia="宋体" w:cs="宋体"/>
          <w:color w:val="auto"/>
          <w:sz w:val="21"/>
          <w:szCs w:val="21"/>
          <w:highlight w:val="none"/>
        </w:rPr>
        <w:t>舶资料等真实、有效，否则因此产生的一切责任和费用均由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自行承担，包括但不限于涉及违规所产生的所有滞纳金、赔偿款、给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或任何第三方造成的损失等。</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）服务期限内，如因非</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原因造成的违章或事故产生的所有费</w:t>
      </w:r>
      <w:r>
        <w:rPr>
          <w:rFonts w:hint="eastAsia" w:ascii="宋体" w:hAnsi="宋体" w:eastAsia="宋体" w:cs="宋体"/>
          <w:color w:val="auto"/>
          <w:sz w:val="21"/>
          <w:szCs w:val="21"/>
          <w:highlight w:val="none"/>
        </w:rPr>
        <w:t>用由</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承担。</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还应无条件协助</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处理事故和及时按相关规定和</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的要求办理索赔手续等。</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安排的租用</w:t>
      </w:r>
      <w:r>
        <w:rPr>
          <w:rFonts w:hint="eastAsia" w:ascii="宋体" w:hAnsi="宋体" w:eastAsia="宋体" w:cs="宋体"/>
          <w:color w:val="auto"/>
          <w:sz w:val="21"/>
          <w:szCs w:val="21"/>
          <w:highlight w:val="none"/>
          <w:lang w:val="en-US" w:eastAsia="zh-CN"/>
        </w:rPr>
        <w:t>车辆</w:t>
      </w:r>
      <w:r>
        <w:rPr>
          <w:rFonts w:hint="eastAsia" w:ascii="宋体" w:hAnsi="宋体" w:eastAsia="宋体" w:cs="宋体"/>
          <w:color w:val="auto"/>
          <w:sz w:val="21"/>
          <w:szCs w:val="21"/>
          <w:highlight w:val="none"/>
        </w:rPr>
        <w:t>遇到故障或抛锚、交通事故等突发情况，</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须及时进行处置，且</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不得因此向</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要求增加费用。</w:t>
      </w:r>
    </w:p>
    <w:p>
      <w:pPr>
        <w:widowControl/>
        <w:numPr>
          <w:ilvl w:val="0"/>
          <w:numId w:val="16"/>
        </w:numPr>
        <w:tabs>
          <w:tab w:val="left" w:pos="426"/>
        </w:tabs>
        <w:spacing w:line="360" w:lineRule="auto"/>
        <w:jc w:val="left"/>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服务内容</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按照</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lang w:val="en-US" w:eastAsia="zh-CN"/>
        </w:rPr>
        <w:t>安排车辆开展浮标运输作业</w:t>
      </w:r>
      <w:r>
        <w:rPr>
          <w:rFonts w:hint="eastAsia" w:ascii="宋体" w:hAnsi="宋体" w:eastAsia="宋体" w:cs="宋体"/>
          <w:color w:val="auto"/>
          <w:sz w:val="21"/>
          <w:szCs w:val="21"/>
          <w:highlight w:val="none"/>
        </w:rPr>
        <w:t>。</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负责</w:t>
      </w:r>
      <w:r>
        <w:rPr>
          <w:rFonts w:hint="eastAsia" w:ascii="宋体" w:hAnsi="宋体" w:eastAsia="宋体" w:cs="宋体"/>
          <w:color w:val="auto"/>
          <w:sz w:val="21"/>
          <w:szCs w:val="21"/>
          <w:highlight w:val="none"/>
          <w:lang w:val="en-US" w:eastAsia="zh-CN"/>
        </w:rPr>
        <w:t>车辆</w:t>
      </w:r>
      <w:r>
        <w:rPr>
          <w:rFonts w:hint="eastAsia" w:ascii="宋体" w:hAnsi="宋体" w:eastAsia="宋体" w:cs="宋体"/>
          <w:color w:val="auto"/>
          <w:sz w:val="21"/>
          <w:szCs w:val="21"/>
          <w:highlight w:val="none"/>
        </w:rPr>
        <w:t>的燃料、</w:t>
      </w:r>
      <w:r>
        <w:rPr>
          <w:rFonts w:hint="eastAsia" w:ascii="宋体" w:hAnsi="宋体" w:eastAsia="宋体" w:cs="宋体"/>
          <w:color w:val="auto"/>
          <w:sz w:val="21"/>
          <w:szCs w:val="21"/>
          <w:highlight w:val="none"/>
          <w:lang w:val="en-US" w:eastAsia="zh-CN"/>
        </w:rPr>
        <w:t>停靠</w:t>
      </w:r>
      <w:r>
        <w:rPr>
          <w:rFonts w:hint="eastAsia" w:ascii="宋体" w:hAnsi="宋体" w:eastAsia="宋体" w:cs="宋体"/>
          <w:color w:val="auto"/>
          <w:sz w:val="21"/>
          <w:szCs w:val="21"/>
          <w:highlight w:val="none"/>
        </w:rPr>
        <w:t>费用、</w:t>
      </w:r>
      <w:r>
        <w:rPr>
          <w:rFonts w:hint="eastAsia" w:ascii="宋体" w:hAnsi="宋体" w:eastAsia="宋体" w:cs="宋体"/>
          <w:color w:val="auto"/>
          <w:sz w:val="21"/>
          <w:szCs w:val="21"/>
          <w:highlight w:val="none"/>
          <w:lang w:val="en-US" w:eastAsia="zh-CN"/>
        </w:rPr>
        <w:t>路桥费、</w:t>
      </w:r>
      <w:r>
        <w:rPr>
          <w:rFonts w:hint="eastAsia" w:ascii="宋体" w:hAnsi="宋体" w:eastAsia="宋体" w:cs="宋体"/>
          <w:color w:val="auto"/>
          <w:sz w:val="21"/>
          <w:szCs w:val="21"/>
          <w:highlight w:val="none"/>
        </w:rPr>
        <w:t>税金和人员伙食费用及劳保等相关福利待遇，以及</w:t>
      </w:r>
      <w:r>
        <w:rPr>
          <w:rFonts w:hint="eastAsia" w:ascii="宋体" w:hAnsi="宋体" w:eastAsia="宋体" w:cs="宋体"/>
          <w:color w:val="auto"/>
          <w:sz w:val="21"/>
          <w:szCs w:val="21"/>
          <w:highlight w:val="none"/>
          <w:lang w:val="en-US" w:eastAsia="zh-CN"/>
        </w:rPr>
        <w:t>车辆和运输</w:t>
      </w:r>
      <w:r>
        <w:rPr>
          <w:rFonts w:hint="eastAsia" w:ascii="宋体" w:hAnsi="宋体" w:eastAsia="宋体" w:cs="宋体"/>
          <w:color w:val="auto"/>
          <w:sz w:val="21"/>
          <w:szCs w:val="21"/>
          <w:highlight w:val="none"/>
        </w:rPr>
        <w:t>人员一切保险等费用。</w:t>
      </w:r>
    </w:p>
    <w:p>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做好充分的安全、应急准备措施，不得违规驾驶和作业，确保</w:t>
      </w:r>
      <w:r>
        <w:rPr>
          <w:rFonts w:hint="eastAsia" w:ascii="宋体" w:hAnsi="宋体" w:eastAsia="宋体" w:cs="宋体"/>
          <w:color w:val="auto"/>
          <w:sz w:val="21"/>
          <w:szCs w:val="21"/>
          <w:highlight w:val="none"/>
          <w:lang w:val="en-US" w:eastAsia="zh-CN"/>
        </w:rPr>
        <w:t>车辆、运输货物</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val="en-US" w:eastAsia="zh-CN"/>
        </w:rPr>
        <w:t>车辆</w:t>
      </w:r>
      <w:r>
        <w:rPr>
          <w:rFonts w:hint="eastAsia" w:ascii="宋体" w:hAnsi="宋体" w:eastAsia="宋体" w:cs="宋体"/>
          <w:color w:val="auto"/>
          <w:sz w:val="21"/>
          <w:szCs w:val="21"/>
          <w:highlight w:val="none"/>
        </w:rPr>
        <w:t>人员的安全并承担相应的安全责任，</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不负责一切责任。如因此给</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造成损失的，</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还应赔偿</w:t>
      </w:r>
      <w:r>
        <w:rPr>
          <w:rFonts w:hint="eastAsia" w:ascii="宋体" w:hAnsi="宋体" w:eastAsia="宋体" w:cs="宋体"/>
          <w:color w:val="auto"/>
          <w:sz w:val="21"/>
          <w:szCs w:val="21"/>
          <w:highlight w:val="none"/>
          <w:lang w:eastAsia="zh-CN"/>
        </w:rPr>
        <w:t>采购人</w:t>
      </w:r>
      <w:r>
        <w:rPr>
          <w:rFonts w:hint="eastAsia" w:ascii="宋体" w:hAnsi="宋体" w:eastAsia="宋体" w:cs="宋体"/>
          <w:color w:val="auto"/>
          <w:sz w:val="21"/>
          <w:szCs w:val="21"/>
          <w:highlight w:val="none"/>
        </w:rPr>
        <w:t>的一切损失。</w:t>
      </w:r>
    </w:p>
    <w:p>
      <w:pPr>
        <w:widowControl/>
        <w:numPr>
          <w:ilvl w:val="0"/>
          <w:numId w:val="16"/>
        </w:numPr>
        <w:tabs>
          <w:tab w:val="left" w:pos="426"/>
        </w:tabs>
        <w:spacing w:line="360" w:lineRule="auto"/>
        <w:jc w:val="left"/>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合同金额及付款方式</w:t>
      </w:r>
    </w:p>
    <w:p>
      <w:pPr>
        <w:adjustRightInd w:val="0"/>
        <w:snapToGrid w:val="0"/>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1、本</w:t>
      </w:r>
      <w:r>
        <w:rPr>
          <w:rFonts w:hint="eastAsia" w:ascii="宋体" w:hAnsi="宋体" w:eastAsia="宋体" w:cs="宋体"/>
          <w:bCs/>
          <w:color w:val="auto"/>
          <w:sz w:val="21"/>
          <w:szCs w:val="21"/>
          <w:highlight w:val="none"/>
          <w:lang w:val="en-US" w:eastAsia="zh-CN"/>
        </w:rPr>
        <w:t>项目租车</w:t>
      </w:r>
      <w:r>
        <w:rPr>
          <w:rFonts w:hint="eastAsia" w:ascii="宋体" w:hAnsi="宋体" w:eastAsia="宋体" w:cs="宋体"/>
          <w:bCs/>
          <w:color w:val="auto"/>
          <w:sz w:val="21"/>
          <w:szCs w:val="21"/>
          <w:highlight w:val="none"/>
        </w:rPr>
        <w:t>费用按照实际发生费用进行计算</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单车次租车</w:t>
      </w:r>
      <w:r>
        <w:rPr>
          <w:rFonts w:hint="eastAsia" w:ascii="宋体" w:hAnsi="宋体" w:eastAsia="宋体" w:cs="宋体"/>
          <w:bCs/>
          <w:color w:val="auto"/>
          <w:sz w:val="21"/>
          <w:szCs w:val="21"/>
          <w:highlight w:val="none"/>
          <w:lang w:eastAsia="zh-CN"/>
        </w:rPr>
        <w:t>费用不能超过</w:t>
      </w:r>
      <w:r>
        <w:rPr>
          <w:rFonts w:hint="eastAsia" w:ascii="宋体" w:hAnsi="宋体" w:eastAsia="宋体" w:cs="宋体"/>
          <w:bCs/>
          <w:color w:val="auto"/>
          <w:sz w:val="21"/>
          <w:szCs w:val="21"/>
          <w:highlight w:val="none"/>
          <w:lang w:val="en-US" w:eastAsia="zh-CN"/>
        </w:rPr>
        <w:t>对应租车类型的单价最高限价</w:t>
      </w:r>
      <w:r>
        <w:rPr>
          <w:rFonts w:hint="eastAsia" w:ascii="宋体" w:hAnsi="宋体" w:eastAsia="宋体" w:cs="宋体"/>
          <w:bCs/>
          <w:color w:val="auto"/>
          <w:sz w:val="21"/>
          <w:szCs w:val="21"/>
          <w:highlight w:val="none"/>
          <w:lang w:val="en-US" w:eastAsia="zh-CN"/>
        </w:rPr>
        <w:t>，非对应路线约定的租车类型、装卸地点，运输价格参照</w:t>
      </w:r>
      <w:r>
        <w:rPr>
          <w:rFonts w:hint="eastAsia" w:ascii="宋体" w:hAnsi="宋体" w:eastAsia="宋体" w:cs="宋体"/>
          <w:color w:val="auto"/>
          <w:sz w:val="21"/>
          <w:szCs w:val="21"/>
          <w:highlight w:val="none"/>
          <w:lang w:val="en-US" w:eastAsia="zh-CN"/>
        </w:rPr>
        <w:t>上述租车类型单价最高限价</w:t>
      </w:r>
      <w:r>
        <w:rPr>
          <w:rFonts w:hint="eastAsia" w:ascii="宋体" w:hAnsi="宋体" w:eastAsia="宋体" w:cs="宋体"/>
          <w:bCs/>
          <w:color w:val="auto"/>
          <w:sz w:val="21"/>
          <w:szCs w:val="21"/>
          <w:highlight w:val="none"/>
          <w:lang w:val="en-US" w:eastAsia="zh-CN"/>
        </w:rPr>
        <w:t>经双方协商确</w:t>
      </w:r>
      <w:r>
        <w:rPr>
          <w:rFonts w:hint="eastAsia" w:ascii="宋体" w:hAnsi="宋体" w:eastAsia="宋体" w:cs="宋体"/>
          <w:bCs/>
          <w:color w:val="auto"/>
          <w:sz w:val="21"/>
          <w:szCs w:val="21"/>
          <w:highlight w:val="none"/>
          <w:lang w:val="en-US" w:eastAsia="zh-CN"/>
        </w:rPr>
        <w:t>定价格。</w:t>
      </w:r>
    </w:p>
    <w:p>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2、付款方式和流程：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rPr>
        <w:t>）本项目费用按</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的要求每季度结算一次，</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于每季度结算上一季度的</w:t>
      </w:r>
      <w:r>
        <w:rPr>
          <w:rFonts w:hint="eastAsia" w:ascii="宋体" w:hAnsi="宋体" w:eastAsia="宋体" w:cs="宋体"/>
          <w:bCs/>
          <w:color w:val="auto"/>
          <w:sz w:val="21"/>
          <w:szCs w:val="21"/>
          <w:highlight w:val="none"/>
          <w:lang w:val="en-US" w:eastAsia="zh-CN"/>
        </w:rPr>
        <w:t>租车</w:t>
      </w:r>
      <w:r>
        <w:rPr>
          <w:rFonts w:hint="eastAsia" w:ascii="宋体" w:hAnsi="宋体" w:eastAsia="宋体" w:cs="宋体"/>
          <w:bCs/>
          <w:color w:val="auto"/>
          <w:sz w:val="21"/>
          <w:szCs w:val="21"/>
          <w:highlight w:val="none"/>
        </w:rPr>
        <w:t>费用。</w:t>
      </w:r>
    </w:p>
    <w:p>
      <w:pPr>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w:t>
      </w:r>
      <w:r>
        <w:rPr>
          <w:rFonts w:hint="eastAsia" w:ascii="宋体" w:hAnsi="宋体" w:eastAsia="宋体" w:cs="宋体"/>
          <w:bCs/>
          <w:color w:val="auto"/>
          <w:sz w:val="21"/>
          <w:szCs w:val="21"/>
          <w:highlight w:val="none"/>
        </w:rPr>
        <w:t>）每季度</w:t>
      </w:r>
      <w:r>
        <w:rPr>
          <w:rFonts w:hint="eastAsia" w:ascii="宋体" w:hAnsi="宋体" w:eastAsia="宋体" w:cs="宋体"/>
          <w:bCs/>
          <w:color w:val="auto"/>
          <w:sz w:val="21"/>
          <w:szCs w:val="21"/>
          <w:highlight w:val="none"/>
          <w:lang w:val="en-US" w:eastAsia="zh-CN"/>
        </w:rPr>
        <w:t>租车</w:t>
      </w:r>
      <w:r>
        <w:rPr>
          <w:rFonts w:hint="eastAsia" w:ascii="宋体" w:hAnsi="宋体" w:eastAsia="宋体" w:cs="宋体"/>
          <w:bCs/>
          <w:color w:val="auto"/>
          <w:sz w:val="21"/>
          <w:szCs w:val="21"/>
          <w:highlight w:val="none"/>
        </w:rPr>
        <w:t>任务完成后，</w:t>
      </w:r>
      <w:r>
        <w:rPr>
          <w:rFonts w:hint="eastAsia" w:ascii="宋体" w:hAnsi="宋体" w:eastAsia="宋体" w:cs="宋体"/>
          <w:bCs/>
          <w:color w:val="auto"/>
          <w:sz w:val="21"/>
          <w:szCs w:val="21"/>
          <w:highlight w:val="none"/>
          <w:lang w:eastAsia="zh-CN"/>
        </w:rPr>
        <w:t>采购人</w:t>
      </w:r>
      <w:r>
        <w:rPr>
          <w:rFonts w:hint="eastAsia" w:ascii="宋体" w:hAnsi="宋体" w:eastAsia="宋体" w:cs="宋体"/>
          <w:bCs/>
          <w:color w:val="auto"/>
          <w:sz w:val="21"/>
          <w:szCs w:val="21"/>
          <w:highlight w:val="none"/>
        </w:rPr>
        <w:t>填写《</w:t>
      </w:r>
      <w:r>
        <w:rPr>
          <w:rFonts w:hint="eastAsia" w:ascii="宋体" w:hAnsi="宋体" w:eastAsia="宋体" w:cs="宋体"/>
          <w:color w:val="auto"/>
          <w:sz w:val="21"/>
          <w:szCs w:val="21"/>
          <w:highlight w:val="none"/>
          <w:lang w:eastAsia="zh-CN"/>
        </w:rPr>
        <w:t>广州航标处</w:t>
      </w:r>
      <w:r>
        <w:rPr>
          <w:rFonts w:hint="eastAsia" w:ascii="宋体" w:hAnsi="宋体" w:eastAsia="宋体" w:cs="宋体"/>
          <w:color w:val="auto"/>
          <w:sz w:val="21"/>
          <w:szCs w:val="21"/>
          <w:highlight w:val="none"/>
          <w:lang w:val="en-US" w:eastAsia="zh-CN"/>
        </w:rPr>
        <w:t>租车运输浮标器材</w:t>
      </w:r>
      <w:r>
        <w:rPr>
          <w:rFonts w:hint="eastAsia" w:ascii="宋体" w:hAnsi="宋体" w:eastAsia="宋体" w:cs="宋体"/>
          <w:color w:val="auto"/>
          <w:sz w:val="21"/>
          <w:szCs w:val="21"/>
          <w:highlight w:val="none"/>
        </w:rPr>
        <w:t>季度汇总单</w:t>
      </w:r>
      <w:r>
        <w:rPr>
          <w:rFonts w:hint="eastAsia" w:ascii="宋体" w:hAnsi="宋体" w:eastAsia="宋体" w:cs="宋体"/>
          <w:bCs/>
          <w:color w:val="auto"/>
          <w:sz w:val="21"/>
          <w:szCs w:val="21"/>
          <w:highlight w:val="none"/>
        </w:rPr>
        <w:t>》（详见附件）</w:t>
      </w:r>
      <w:r>
        <w:rPr>
          <w:rFonts w:hint="eastAsia" w:ascii="宋体" w:hAnsi="宋体" w:eastAsia="宋体" w:cs="宋体"/>
          <w:bCs/>
          <w:color w:val="auto"/>
          <w:sz w:val="21"/>
          <w:szCs w:val="21"/>
          <w:highlight w:val="none"/>
          <w:lang w:eastAsia="zh-CN"/>
        </w:rPr>
        <w:t>并提交给成交供应商确认，</w:t>
      </w:r>
      <w:r>
        <w:rPr>
          <w:rFonts w:hint="eastAsia" w:ascii="宋体" w:hAnsi="宋体" w:eastAsia="宋体" w:cs="宋体"/>
          <w:bCs/>
          <w:color w:val="auto"/>
          <w:sz w:val="21"/>
          <w:szCs w:val="21"/>
          <w:highlight w:val="none"/>
          <w:lang w:val="en-US" w:eastAsia="zh-CN"/>
        </w:rPr>
        <w:t>成交供应商确认后提交采购人</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采购人</w:t>
      </w:r>
      <w:r>
        <w:rPr>
          <w:rFonts w:hint="eastAsia" w:ascii="宋体" w:hAnsi="宋体" w:eastAsia="宋体" w:cs="宋体"/>
          <w:bCs/>
          <w:color w:val="auto"/>
          <w:sz w:val="21"/>
          <w:szCs w:val="21"/>
          <w:highlight w:val="none"/>
          <w:lang w:eastAsia="zh-CN"/>
        </w:rPr>
        <w:t>于</w:t>
      </w: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个工作日内一次性支付季度租</w:t>
      </w:r>
      <w:r>
        <w:rPr>
          <w:rFonts w:hint="eastAsia" w:ascii="宋体" w:hAnsi="宋体" w:eastAsia="宋体" w:cs="宋体"/>
          <w:bCs/>
          <w:color w:val="auto"/>
          <w:sz w:val="21"/>
          <w:szCs w:val="21"/>
          <w:highlight w:val="none"/>
          <w:lang w:eastAsia="zh-CN"/>
        </w:rPr>
        <w:t>车</w:t>
      </w:r>
      <w:r>
        <w:rPr>
          <w:rFonts w:hint="eastAsia" w:ascii="宋体" w:hAnsi="宋体" w:eastAsia="宋体" w:cs="宋体"/>
          <w:bCs/>
          <w:color w:val="auto"/>
          <w:sz w:val="21"/>
          <w:szCs w:val="21"/>
          <w:highlight w:val="none"/>
        </w:rPr>
        <w:t>费用。</w:t>
      </w:r>
    </w:p>
    <w:p>
      <w:pPr>
        <w:widowControl/>
        <w:spacing w:line="360" w:lineRule="auto"/>
        <w:jc w:val="left"/>
        <w:rPr>
          <w:rFonts w:hint="eastAsia" w:cs="Times New Roman" w:asciiTheme="minorEastAsia" w:hAnsiTheme="minorEastAsia"/>
          <w:bCs/>
          <w:color w:val="auto"/>
          <w:highlight w:val="none"/>
          <w:lang w:val="en-US" w:eastAsia="zh-CN"/>
        </w:rPr>
      </w:pPr>
    </w:p>
    <w:p>
      <w:pPr>
        <w:widowControl/>
        <w:spacing w:line="360" w:lineRule="auto"/>
        <w:jc w:val="left"/>
        <w:rPr>
          <w:rFonts w:hint="eastAsia" w:cs="Times New Roman" w:asciiTheme="minorEastAsia" w:hAnsiTheme="minorEastAsia"/>
          <w:bCs/>
          <w:color w:val="auto"/>
          <w:highlight w:val="none"/>
          <w:lang w:val="en-US" w:eastAsia="zh-CN"/>
        </w:rPr>
      </w:pPr>
      <w:r>
        <w:rPr>
          <w:rFonts w:hint="eastAsia" w:cs="Times New Roman" w:asciiTheme="minorEastAsia" w:hAnsiTheme="minorEastAsia"/>
          <w:bCs/>
          <w:color w:val="auto"/>
          <w:highlight w:val="none"/>
          <w:lang w:val="en-US" w:eastAsia="zh-CN"/>
        </w:rPr>
        <w:t>附件：1、广州航标处租车运输浮标器材季度汇总单</w:t>
      </w:r>
    </w:p>
    <w:p>
      <w:pPr>
        <w:widowControl/>
        <w:spacing w:line="360" w:lineRule="auto"/>
        <w:jc w:val="left"/>
        <w:rPr>
          <w:rFonts w:hint="default" w:cs="Times New Roman" w:asciiTheme="minorEastAsia" w:hAnsiTheme="minorEastAsia"/>
          <w:bCs/>
          <w:color w:val="auto"/>
          <w:highlight w:val="none"/>
          <w:lang w:val="en-US" w:eastAsia="zh-CN"/>
        </w:rPr>
      </w:pPr>
      <w:r>
        <w:rPr>
          <w:rFonts w:hint="eastAsia" w:cs="Times New Roman" w:asciiTheme="minorEastAsia" w:hAnsiTheme="minorEastAsia"/>
          <w:bCs/>
          <w:color w:val="auto"/>
          <w:highlight w:val="none"/>
          <w:lang w:val="en-US" w:eastAsia="zh-CN"/>
        </w:rPr>
        <w:t xml:space="preserve">      2、广州航标处租车运输浮标器材协议</w:t>
      </w:r>
    </w:p>
    <w:p>
      <w:pPr>
        <w:rPr>
          <w:rFonts w:hint="eastAsia" w:cs="Times New Roman" w:asciiTheme="minorEastAsia" w:hAnsiTheme="minorEastAsia"/>
          <w:bCs/>
          <w:color w:val="auto"/>
          <w:highlight w:val="none"/>
          <w:lang w:val="en-US" w:eastAsia="zh-CN"/>
        </w:rPr>
      </w:pPr>
      <w:r>
        <w:rPr>
          <w:rFonts w:hint="eastAsia" w:cs="Times New Roman" w:asciiTheme="minorEastAsia" w:hAnsiTheme="minorEastAsia"/>
          <w:bCs/>
          <w:color w:val="auto"/>
          <w:highlight w:val="none"/>
          <w:lang w:val="en-US" w:eastAsia="zh-CN"/>
        </w:rPr>
        <w:br w:type="page"/>
      </w:r>
    </w:p>
    <w:p>
      <w:pPr>
        <w:ind w:left="0" w:leftChars="0" w:firstLine="0" w:firstLineChars="0"/>
        <w:jc w:val="both"/>
        <w:rPr>
          <w:rFonts w:hint="eastAsia" w:ascii="方正小标宋简体" w:hAnsi="方正小标宋简体" w:eastAsia="方正小标宋简体" w:cs="方正小标宋简体"/>
          <w:color w:val="auto"/>
          <w:sz w:val="44"/>
          <w:szCs w:val="44"/>
          <w:highlight w:val="none"/>
          <w:lang w:val="en-US" w:eastAsia="zh-CN"/>
        </w:rPr>
        <w:sectPr>
          <w:headerReference r:id="rId5" w:type="default"/>
          <w:footerReference r:id="rId6" w:type="default"/>
          <w:pgSz w:w="11906" w:h="16838"/>
          <w:pgMar w:top="873" w:right="1797" w:bottom="873" w:left="1797" w:header="720" w:footer="720" w:gutter="0"/>
          <w:cols w:space="720" w:num="1"/>
          <w:docGrid w:type="lines" w:linePitch="285" w:charSpace="0"/>
        </w:sectPr>
      </w:pPr>
    </w:p>
    <w:p>
      <w:pPr>
        <w:ind w:left="0" w:leftChars="0" w:firstLine="0" w:firstLineChars="0"/>
        <w:jc w:val="center"/>
        <w:rPr>
          <w:rFonts w:hint="eastAsia" w:ascii="方正小标宋简体" w:hAnsi="方正小标宋简体" w:eastAsia="方正小标宋简体" w:cs="方正小标宋简体"/>
          <w:color w:val="auto"/>
          <w:sz w:val="40"/>
          <w:szCs w:val="32"/>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广州航标处租车运输浮标器材季度汇</w:t>
      </w:r>
      <w:r>
        <w:rPr>
          <w:rFonts w:hint="eastAsia" w:ascii="方正小标宋简体" w:hAnsi="方正小标宋简体" w:eastAsia="方正小标宋简体" w:cs="方正小标宋简体"/>
          <w:color w:val="auto"/>
          <w:sz w:val="44"/>
          <w:szCs w:val="36"/>
          <w:highlight w:val="none"/>
          <w:lang w:val="en-US" w:eastAsia="zh-CN"/>
        </w:rPr>
        <w:t>总单</w:t>
      </w:r>
    </w:p>
    <w:p>
      <w:pPr>
        <w:ind w:left="0" w:leftChars="0" w:firstLine="0" w:firstLineChars="0"/>
        <w:jc w:val="center"/>
        <w:rPr>
          <w:rFonts w:hint="eastAsia" w:ascii="仿宋_GB2312" w:hAnsi="仿宋_GB2312" w:eastAsia="仿宋_GB2312" w:cs="仿宋_GB2312"/>
          <w:color w:val="auto"/>
          <w:sz w:val="32"/>
          <w:szCs w:val="24"/>
          <w:highlight w:val="none"/>
          <w:lang w:val="en-US" w:eastAsia="zh-CN"/>
        </w:rPr>
      </w:pPr>
      <w:r>
        <w:rPr>
          <w:rFonts w:hint="eastAsia" w:ascii="仿宋_GB2312" w:hAnsi="仿宋_GB2312" w:eastAsia="仿宋_GB2312" w:cs="仿宋_GB2312"/>
          <w:color w:val="auto"/>
          <w:sz w:val="32"/>
          <w:szCs w:val="24"/>
          <w:highlight w:val="none"/>
          <w:lang w:val="en-US" w:eastAsia="zh-CN"/>
        </w:rPr>
        <w:t>（      年     季度）</w:t>
      </w:r>
    </w:p>
    <w:tbl>
      <w:tblPr>
        <w:tblStyle w:val="1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766"/>
        <w:gridCol w:w="1787"/>
        <w:gridCol w:w="4960"/>
        <w:gridCol w:w="2852"/>
        <w:gridCol w:w="1322"/>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noWrap w:val="0"/>
            <w:vAlign w:val="top"/>
          </w:tcPr>
          <w:p>
            <w:pPr>
              <w:spacing w:line="240" w:lineRule="auto"/>
              <w:jc w:val="center"/>
              <w:rPr>
                <w:rFonts w:hint="default" w:ascii="仿宋_GB2312" w:hAnsi="仿宋_GB2312" w:eastAsia="仿宋_GB2312" w:cs="仿宋_GB2312"/>
                <w:color w:val="auto"/>
                <w:sz w:val="32"/>
                <w:szCs w:val="24"/>
                <w:highlight w:val="none"/>
                <w:vertAlign w:val="baseline"/>
                <w:lang w:val="en-US" w:eastAsia="zh-CN"/>
              </w:rPr>
            </w:pPr>
            <w:r>
              <w:rPr>
                <w:rFonts w:hint="eastAsia" w:ascii="仿宋_GB2312" w:hAnsi="仿宋_GB2312" w:eastAsia="仿宋_GB2312" w:cs="仿宋_GB2312"/>
                <w:color w:val="auto"/>
                <w:sz w:val="32"/>
                <w:szCs w:val="24"/>
                <w:highlight w:val="none"/>
                <w:vertAlign w:val="baseline"/>
                <w:lang w:val="en-US" w:eastAsia="zh-CN"/>
              </w:rPr>
              <w:t>序号</w:t>
            </w:r>
          </w:p>
        </w:tc>
        <w:tc>
          <w:tcPr>
            <w:tcW w:w="57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租车类型</w:t>
            </w:r>
          </w:p>
        </w:tc>
        <w:tc>
          <w:tcPr>
            <w:tcW w:w="584"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auto"/>
                <w:sz w:val="32"/>
                <w:szCs w:val="24"/>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日期</w:t>
            </w:r>
          </w:p>
        </w:tc>
        <w:tc>
          <w:tcPr>
            <w:tcW w:w="1621"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32"/>
                <w:szCs w:val="24"/>
                <w:highlight w:val="none"/>
                <w:vertAlign w:val="baseline"/>
                <w:lang w:val="en-US" w:eastAsia="zh-CN"/>
              </w:rPr>
            </w:pPr>
            <w:r>
              <w:rPr>
                <w:rFonts w:hint="eastAsia" w:ascii="仿宋_GB2312" w:hAnsi="仿宋_GB2312" w:cs="仿宋_GB2312"/>
                <w:color w:val="auto"/>
                <w:sz w:val="28"/>
                <w:szCs w:val="28"/>
                <w:highlight w:val="none"/>
                <w:vertAlign w:val="baseline"/>
                <w:lang w:val="en-US" w:eastAsia="zh-CN"/>
              </w:rPr>
              <w:t>路线</w:t>
            </w:r>
          </w:p>
        </w:tc>
        <w:tc>
          <w:tcPr>
            <w:tcW w:w="932"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32"/>
                <w:szCs w:val="24"/>
                <w:highlight w:val="none"/>
                <w:vertAlign w:val="baseline"/>
                <w:lang w:val="en-US" w:eastAsia="zh-CN"/>
              </w:rPr>
            </w:pPr>
            <w:r>
              <w:rPr>
                <w:rFonts w:hint="eastAsia" w:ascii="仿宋_GB2312" w:hAnsi="仿宋_GB2312" w:cs="仿宋_GB2312"/>
                <w:color w:val="auto"/>
                <w:sz w:val="28"/>
                <w:szCs w:val="28"/>
                <w:highlight w:val="none"/>
                <w:vertAlign w:val="baseline"/>
                <w:lang w:val="en-US" w:eastAsia="zh-CN"/>
              </w:rPr>
              <w:t>单程价格价（车次/元）</w:t>
            </w:r>
          </w:p>
        </w:tc>
        <w:tc>
          <w:tcPr>
            <w:tcW w:w="430"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cs="仿宋_GB2312"/>
                <w:color w:val="auto"/>
                <w:sz w:val="28"/>
                <w:szCs w:val="28"/>
                <w:highlight w:val="none"/>
                <w:vertAlign w:val="baseline"/>
                <w:lang w:val="en-US" w:eastAsia="zh-CN"/>
              </w:rPr>
            </w:pPr>
            <w:r>
              <w:rPr>
                <w:rFonts w:hint="eastAsia" w:ascii="仿宋_GB2312" w:hAnsi="仿宋_GB2312" w:cs="仿宋_GB2312"/>
                <w:color w:val="auto"/>
                <w:sz w:val="28"/>
                <w:szCs w:val="28"/>
                <w:highlight w:val="none"/>
                <w:vertAlign w:val="baseline"/>
                <w:lang w:val="en-US" w:eastAsia="zh-CN"/>
              </w:rPr>
              <w:t>数量（车次）</w:t>
            </w:r>
          </w:p>
        </w:tc>
        <w:tc>
          <w:tcPr>
            <w:tcW w:w="466"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cs="仿宋_GB2312"/>
                <w:color w:val="auto"/>
                <w:sz w:val="28"/>
                <w:szCs w:val="28"/>
                <w:highlight w:val="none"/>
                <w:vertAlign w:val="baseline"/>
                <w:lang w:val="en-US" w:eastAsia="zh-CN"/>
              </w:rPr>
            </w:pPr>
            <w:r>
              <w:rPr>
                <w:rFonts w:hint="eastAsia" w:ascii="仿宋_GB2312" w:hAnsi="仿宋_GB2312" w:cs="仿宋_GB2312"/>
                <w:color w:val="auto"/>
                <w:sz w:val="28"/>
                <w:szCs w:val="28"/>
                <w:highlight w:val="none"/>
                <w:vertAlign w:val="baseline"/>
                <w:lang w:val="en-US" w:eastAsia="zh-CN"/>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noWrap w:val="0"/>
            <w:vAlign w:val="top"/>
          </w:tcPr>
          <w:p>
            <w:pPr>
              <w:numPr>
                <w:ilvl w:val="0"/>
                <w:numId w:val="20"/>
              </w:numPr>
              <w:spacing w:line="240" w:lineRule="auto"/>
              <w:ind w:left="0" w:leftChars="0" w:firstLine="0" w:firstLineChars="0"/>
              <w:jc w:val="center"/>
              <w:rPr>
                <w:rFonts w:hint="default" w:ascii="仿宋_GB2312" w:hAnsi="仿宋_GB2312" w:eastAsia="仿宋_GB2312" w:cs="仿宋_GB2312"/>
                <w:color w:val="auto"/>
                <w:sz w:val="32"/>
                <w:szCs w:val="24"/>
                <w:highlight w:val="none"/>
                <w:vertAlign w:val="baseline"/>
                <w:lang w:val="en-US" w:eastAsia="zh-CN"/>
              </w:rPr>
            </w:pPr>
          </w:p>
        </w:tc>
        <w:tc>
          <w:tcPr>
            <w:tcW w:w="577" w:type="pct"/>
            <w:vMerge w:val="restar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p>
            <w:pPr>
              <w:spacing w:line="240" w:lineRule="auto"/>
              <w:jc w:val="center"/>
              <w:rPr>
                <w:rFonts w:hint="default" w:ascii="仿宋_GB2312" w:hAnsi="仿宋_GB2312" w:eastAsia="仿宋_GB2312" w:cs="仿宋_GB2312"/>
                <w:color w:val="auto"/>
                <w:sz w:val="28"/>
                <w:szCs w:val="22"/>
                <w:highlight w:val="none"/>
                <w:vertAlign w:val="baseline"/>
                <w:lang w:val="en-US" w:eastAsia="zh-CN"/>
              </w:rPr>
            </w:pPr>
            <w:r>
              <w:rPr>
                <w:rFonts w:hint="eastAsia" w:ascii="仿宋_GB2312" w:hAnsi="仿宋_GB2312" w:eastAsia="仿宋_GB2312" w:cs="仿宋_GB2312"/>
                <w:color w:val="auto"/>
                <w:sz w:val="28"/>
                <w:szCs w:val="22"/>
                <w:highlight w:val="none"/>
                <w:vertAlign w:val="baseline"/>
                <w:lang w:val="en-US" w:eastAsia="zh-CN"/>
              </w:rPr>
              <w:t>13米货车</w:t>
            </w:r>
          </w:p>
        </w:tc>
        <w:tc>
          <w:tcPr>
            <w:tcW w:w="584"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1621"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932"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430"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c>
          <w:tcPr>
            <w:tcW w:w="466"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noWrap w:val="0"/>
            <w:vAlign w:val="top"/>
          </w:tcPr>
          <w:p>
            <w:pPr>
              <w:numPr>
                <w:ilvl w:val="0"/>
                <w:numId w:val="20"/>
              </w:numPr>
              <w:spacing w:line="240" w:lineRule="auto"/>
              <w:ind w:left="0" w:leftChars="0" w:firstLine="0" w:firstLineChars="0"/>
              <w:jc w:val="center"/>
              <w:rPr>
                <w:rFonts w:hint="eastAsia" w:ascii="仿宋_GB2312" w:hAnsi="仿宋_GB2312" w:eastAsia="仿宋_GB2312" w:cs="仿宋_GB2312"/>
                <w:color w:val="auto"/>
                <w:sz w:val="32"/>
                <w:szCs w:val="24"/>
                <w:highlight w:val="none"/>
                <w:vertAlign w:val="baseline"/>
                <w:lang w:val="en-US" w:eastAsia="zh-CN"/>
              </w:rPr>
            </w:pPr>
          </w:p>
        </w:tc>
        <w:tc>
          <w:tcPr>
            <w:tcW w:w="577" w:type="pct"/>
            <w:vMerge w:val="continue"/>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584"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1621"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932"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430"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c>
          <w:tcPr>
            <w:tcW w:w="466"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noWrap w:val="0"/>
            <w:vAlign w:val="top"/>
          </w:tcPr>
          <w:p>
            <w:pPr>
              <w:numPr>
                <w:ilvl w:val="0"/>
                <w:numId w:val="20"/>
              </w:numPr>
              <w:spacing w:line="240" w:lineRule="auto"/>
              <w:ind w:left="0" w:leftChars="0" w:firstLine="0" w:firstLineChars="0"/>
              <w:jc w:val="center"/>
              <w:rPr>
                <w:rFonts w:hint="eastAsia" w:ascii="仿宋_GB2312" w:hAnsi="仿宋_GB2312" w:eastAsia="仿宋_GB2312" w:cs="仿宋_GB2312"/>
                <w:color w:val="auto"/>
                <w:sz w:val="32"/>
                <w:szCs w:val="24"/>
                <w:highlight w:val="none"/>
                <w:vertAlign w:val="baseline"/>
                <w:lang w:val="en-US" w:eastAsia="zh-CN"/>
              </w:rPr>
            </w:pPr>
          </w:p>
        </w:tc>
        <w:tc>
          <w:tcPr>
            <w:tcW w:w="577" w:type="pct"/>
            <w:vMerge w:val="continue"/>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584"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1621"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932"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430"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c>
          <w:tcPr>
            <w:tcW w:w="466"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noWrap w:val="0"/>
            <w:vAlign w:val="top"/>
          </w:tcPr>
          <w:p>
            <w:pPr>
              <w:numPr>
                <w:ilvl w:val="0"/>
                <w:numId w:val="20"/>
              </w:numPr>
              <w:spacing w:line="240" w:lineRule="auto"/>
              <w:ind w:left="0" w:leftChars="0" w:firstLine="0" w:firstLineChars="0"/>
              <w:jc w:val="center"/>
              <w:rPr>
                <w:rFonts w:hint="eastAsia" w:ascii="仿宋_GB2312" w:hAnsi="仿宋_GB2312" w:eastAsia="仿宋_GB2312" w:cs="仿宋_GB2312"/>
                <w:color w:val="auto"/>
                <w:sz w:val="32"/>
                <w:szCs w:val="24"/>
                <w:highlight w:val="none"/>
                <w:vertAlign w:val="baseline"/>
                <w:lang w:val="en-US" w:eastAsia="zh-CN"/>
              </w:rPr>
            </w:pPr>
          </w:p>
        </w:tc>
        <w:tc>
          <w:tcPr>
            <w:tcW w:w="577" w:type="pct"/>
            <w:vMerge w:val="continue"/>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584"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1621"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932"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430"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c>
          <w:tcPr>
            <w:tcW w:w="466"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noWrap w:val="0"/>
            <w:vAlign w:val="top"/>
          </w:tcPr>
          <w:p>
            <w:pPr>
              <w:numPr>
                <w:ilvl w:val="0"/>
                <w:numId w:val="20"/>
              </w:numPr>
              <w:spacing w:line="240" w:lineRule="auto"/>
              <w:ind w:left="0" w:leftChars="0" w:firstLine="0" w:firstLineChars="0"/>
              <w:jc w:val="center"/>
              <w:rPr>
                <w:rFonts w:hint="eastAsia" w:ascii="仿宋_GB2312" w:hAnsi="仿宋_GB2312" w:eastAsia="仿宋_GB2312" w:cs="仿宋_GB2312"/>
                <w:color w:val="auto"/>
                <w:sz w:val="32"/>
                <w:szCs w:val="24"/>
                <w:highlight w:val="none"/>
                <w:vertAlign w:val="baseline"/>
                <w:lang w:val="en-US" w:eastAsia="zh-CN"/>
              </w:rPr>
            </w:pPr>
          </w:p>
        </w:tc>
        <w:tc>
          <w:tcPr>
            <w:tcW w:w="577" w:type="pct"/>
            <w:vMerge w:val="continue"/>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584"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1621"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932"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430"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c>
          <w:tcPr>
            <w:tcW w:w="466"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noWrap w:val="0"/>
            <w:vAlign w:val="top"/>
          </w:tcPr>
          <w:p>
            <w:pPr>
              <w:numPr>
                <w:ilvl w:val="0"/>
                <w:numId w:val="20"/>
              </w:numPr>
              <w:spacing w:line="240" w:lineRule="auto"/>
              <w:ind w:left="0" w:leftChars="0" w:firstLine="0" w:firstLineChars="0"/>
              <w:jc w:val="center"/>
              <w:rPr>
                <w:rFonts w:hint="eastAsia" w:ascii="仿宋_GB2312" w:hAnsi="仿宋_GB2312" w:eastAsia="仿宋_GB2312" w:cs="仿宋_GB2312"/>
                <w:color w:val="auto"/>
                <w:sz w:val="32"/>
                <w:szCs w:val="24"/>
                <w:highlight w:val="none"/>
                <w:vertAlign w:val="baseline"/>
                <w:lang w:val="en-US" w:eastAsia="zh-CN"/>
              </w:rPr>
            </w:pPr>
          </w:p>
        </w:tc>
        <w:tc>
          <w:tcPr>
            <w:tcW w:w="577" w:type="pct"/>
            <w:vMerge w:val="continue"/>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584"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1621"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932"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430"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c>
          <w:tcPr>
            <w:tcW w:w="466"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noWrap w:val="0"/>
            <w:vAlign w:val="top"/>
          </w:tcPr>
          <w:p>
            <w:pPr>
              <w:numPr>
                <w:ilvl w:val="0"/>
                <w:numId w:val="20"/>
              </w:numPr>
              <w:spacing w:line="240" w:lineRule="auto"/>
              <w:ind w:left="0" w:leftChars="0" w:firstLine="0" w:firstLineChars="0"/>
              <w:jc w:val="center"/>
              <w:rPr>
                <w:rFonts w:hint="eastAsia" w:ascii="仿宋_GB2312" w:hAnsi="仿宋_GB2312" w:eastAsia="仿宋_GB2312" w:cs="仿宋_GB2312"/>
                <w:color w:val="auto"/>
                <w:sz w:val="32"/>
                <w:szCs w:val="24"/>
                <w:highlight w:val="none"/>
                <w:vertAlign w:val="baseline"/>
                <w:lang w:val="en-US" w:eastAsia="zh-CN"/>
              </w:rPr>
            </w:pPr>
          </w:p>
        </w:tc>
        <w:tc>
          <w:tcPr>
            <w:tcW w:w="577" w:type="pct"/>
            <w:vMerge w:val="continue"/>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584"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1621"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932"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430"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c>
          <w:tcPr>
            <w:tcW w:w="466"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noWrap w:val="0"/>
            <w:vAlign w:val="top"/>
          </w:tcPr>
          <w:p>
            <w:pPr>
              <w:numPr>
                <w:ilvl w:val="0"/>
                <w:numId w:val="20"/>
              </w:numPr>
              <w:spacing w:line="240" w:lineRule="auto"/>
              <w:ind w:left="0" w:leftChars="0" w:firstLine="0" w:firstLineChars="0"/>
              <w:jc w:val="center"/>
              <w:rPr>
                <w:rFonts w:hint="eastAsia" w:ascii="仿宋_GB2312" w:hAnsi="仿宋_GB2312" w:eastAsia="仿宋_GB2312" w:cs="仿宋_GB2312"/>
                <w:color w:val="auto"/>
                <w:sz w:val="32"/>
                <w:szCs w:val="24"/>
                <w:highlight w:val="none"/>
                <w:vertAlign w:val="baseline"/>
                <w:lang w:val="en-US" w:eastAsia="zh-CN"/>
              </w:rPr>
            </w:pPr>
          </w:p>
        </w:tc>
        <w:tc>
          <w:tcPr>
            <w:tcW w:w="577" w:type="pct"/>
            <w:vMerge w:val="restart"/>
            <w:noWrap w:val="0"/>
            <w:vAlign w:val="top"/>
          </w:tcPr>
          <w:p>
            <w:pPr>
              <w:spacing w:line="240" w:lineRule="auto"/>
              <w:jc w:val="center"/>
              <w:rPr>
                <w:rFonts w:hint="default" w:ascii="仿宋_GB2312" w:hAnsi="仿宋_GB2312" w:eastAsia="仿宋_GB2312" w:cs="仿宋_GB2312"/>
                <w:color w:val="auto"/>
                <w:sz w:val="28"/>
                <w:szCs w:val="22"/>
                <w:highlight w:val="none"/>
                <w:vertAlign w:val="baseline"/>
                <w:lang w:val="en-US" w:eastAsia="zh-CN"/>
              </w:rPr>
            </w:pPr>
            <w:r>
              <w:rPr>
                <w:rFonts w:hint="eastAsia" w:ascii="仿宋_GB2312" w:hAnsi="仿宋_GB2312" w:eastAsia="仿宋_GB2312" w:cs="仿宋_GB2312"/>
                <w:color w:val="auto"/>
                <w:sz w:val="28"/>
                <w:szCs w:val="22"/>
                <w:highlight w:val="none"/>
                <w:vertAlign w:val="baseline"/>
                <w:lang w:val="en-US" w:eastAsia="zh-CN"/>
              </w:rPr>
              <w:t>其他类型</w:t>
            </w:r>
          </w:p>
        </w:tc>
        <w:tc>
          <w:tcPr>
            <w:tcW w:w="584"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1621"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932" w:type="pct"/>
            <w:noWrap w:val="0"/>
            <w:vAlign w:val="top"/>
          </w:tcPr>
          <w:p>
            <w:pPr>
              <w:spacing w:line="240" w:lineRule="auto"/>
              <w:jc w:val="center"/>
              <w:rPr>
                <w:rFonts w:hint="default" w:ascii="仿宋_GB2312" w:hAnsi="仿宋_GB2312" w:eastAsia="仿宋_GB2312" w:cs="仿宋_GB2312"/>
                <w:color w:val="auto"/>
                <w:sz w:val="28"/>
                <w:szCs w:val="22"/>
                <w:highlight w:val="none"/>
                <w:vertAlign w:val="baseline"/>
                <w:lang w:val="en-US" w:eastAsia="zh-CN"/>
              </w:rPr>
            </w:pPr>
            <w:r>
              <w:rPr>
                <w:rFonts w:hint="eastAsia" w:ascii="仿宋_GB2312" w:hAnsi="仿宋_GB2312" w:eastAsia="仿宋_GB2312" w:cs="仿宋_GB2312"/>
                <w:color w:val="auto"/>
                <w:sz w:val="28"/>
                <w:szCs w:val="22"/>
                <w:highlight w:val="none"/>
                <w:vertAlign w:val="baseline"/>
                <w:lang w:val="en-US" w:eastAsia="zh-CN"/>
              </w:rPr>
              <w:t>（协商价格）</w:t>
            </w:r>
          </w:p>
        </w:tc>
        <w:tc>
          <w:tcPr>
            <w:tcW w:w="430"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c>
          <w:tcPr>
            <w:tcW w:w="466"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noWrap w:val="0"/>
            <w:vAlign w:val="top"/>
          </w:tcPr>
          <w:p>
            <w:pPr>
              <w:numPr>
                <w:ilvl w:val="0"/>
                <w:numId w:val="20"/>
              </w:numPr>
              <w:spacing w:line="240" w:lineRule="auto"/>
              <w:ind w:left="0" w:leftChars="0" w:firstLine="0" w:firstLineChars="0"/>
              <w:jc w:val="center"/>
              <w:rPr>
                <w:rFonts w:hint="eastAsia" w:ascii="仿宋_GB2312" w:hAnsi="仿宋_GB2312" w:eastAsia="仿宋_GB2312" w:cs="仿宋_GB2312"/>
                <w:color w:val="auto"/>
                <w:sz w:val="32"/>
                <w:szCs w:val="24"/>
                <w:highlight w:val="none"/>
                <w:vertAlign w:val="baseline"/>
                <w:lang w:val="en-US" w:eastAsia="zh-CN"/>
              </w:rPr>
            </w:pPr>
          </w:p>
        </w:tc>
        <w:tc>
          <w:tcPr>
            <w:tcW w:w="577" w:type="pct"/>
            <w:vMerge w:val="continue"/>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c>
          <w:tcPr>
            <w:tcW w:w="584"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c>
          <w:tcPr>
            <w:tcW w:w="1621"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c>
          <w:tcPr>
            <w:tcW w:w="932"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r>
              <w:rPr>
                <w:rFonts w:hint="eastAsia" w:ascii="仿宋_GB2312" w:hAnsi="仿宋_GB2312" w:eastAsia="仿宋_GB2312" w:cs="仿宋_GB2312"/>
                <w:color w:val="auto"/>
                <w:sz w:val="28"/>
                <w:szCs w:val="22"/>
                <w:highlight w:val="none"/>
                <w:vertAlign w:val="baseline"/>
                <w:lang w:val="en-US" w:eastAsia="zh-CN"/>
              </w:rPr>
              <w:t>（协商价格）</w:t>
            </w:r>
          </w:p>
        </w:tc>
        <w:tc>
          <w:tcPr>
            <w:tcW w:w="430"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c>
          <w:tcPr>
            <w:tcW w:w="466"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3" w:type="pct"/>
            <w:gridSpan w:val="6"/>
            <w:noWrap w:val="0"/>
            <w:vAlign w:val="top"/>
          </w:tcPr>
          <w:p>
            <w:pPr>
              <w:spacing w:line="240" w:lineRule="auto"/>
              <w:jc w:val="center"/>
              <w:rPr>
                <w:rFonts w:hint="default" w:ascii="仿宋_GB2312" w:hAnsi="仿宋_GB2312" w:eastAsia="仿宋_GB2312" w:cs="仿宋_GB2312"/>
                <w:color w:val="auto"/>
                <w:sz w:val="32"/>
                <w:szCs w:val="24"/>
                <w:highlight w:val="none"/>
                <w:vertAlign w:val="baseline"/>
                <w:lang w:val="en-US" w:eastAsia="zh-CN"/>
              </w:rPr>
            </w:pPr>
            <w:r>
              <w:rPr>
                <w:rFonts w:hint="eastAsia" w:ascii="仿宋_GB2312" w:hAnsi="仿宋_GB2312" w:eastAsia="仿宋_GB2312" w:cs="仿宋_GB2312"/>
                <w:color w:val="auto"/>
                <w:sz w:val="32"/>
                <w:szCs w:val="24"/>
                <w:highlight w:val="none"/>
                <w:vertAlign w:val="baseline"/>
                <w:lang w:val="en-US" w:eastAsia="zh-CN"/>
              </w:rPr>
              <w:t>合计</w:t>
            </w:r>
          </w:p>
        </w:tc>
        <w:tc>
          <w:tcPr>
            <w:tcW w:w="466"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r>
    </w:tbl>
    <w:p>
      <w:pPr>
        <w:adjustRightInd w:val="0"/>
        <w:snapToGrid w:val="0"/>
        <w:spacing w:line="360" w:lineRule="auto"/>
        <w:ind w:left="4935" w:hanging="4935" w:hangingChars="2350"/>
        <w:jc w:val="both"/>
        <w:textAlignment w:val="baseline"/>
        <w:rPr>
          <w:rFonts w:hint="eastAsia" w:ascii="宋体" w:hAnsi="宋体" w:cs="宋体"/>
          <w:color w:val="auto"/>
          <w:szCs w:val="21"/>
          <w:highlight w:val="none"/>
        </w:rPr>
      </w:pPr>
    </w:p>
    <w:p>
      <w:pPr>
        <w:adjustRightInd w:val="0"/>
        <w:snapToGrid w:val="0"/>
        <w:spacing w:line="360" w:lineRule="auto"/>
        <w:ind w:left="4935" w:hanging="6580" w:hangingChars="2350"/>
        <w:jc w:val="both"/>
        <w:textAlignment w:val="baseline"/>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甲方经办人签名</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 xml:space="preserve"> 乙方</w:t>
      </w:r>
      <w:r>
        <w:rPr>
          <w:rFonts w:hint="eastAsia" w:ascii="宋体" w:hAnsi="宋体" w:cs="宋体"/>
          <w:color w:val="auto"/>
          <w:sz w:val="28"/>
          <w:szCs w:val="28"/>
          <w:highlight w:val="none"/>
          <w:lang w:val="en-US" w:eastAsia="zh-CN"/>
        </w:rPr>
        <w:t>人员签名</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 xml:space="preserve"> </w:t>
      </w:r>
    </w:p>
    <w:p>
      <w:pPr>
        <w:adjustRightInd w:val="0"/>
        <w:snapToGrid w:val="0"/>
        <w:spacing w:line="360" w:lineRule="auto"/>
        <w:ind w:left="4935" w:hanging="6580" w:hangingChars="2350"/>
        <w:jc w:val="both"/>
        <w:textAlignment w:val="baseline"/>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甲方业务科室审核：</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 xml:space="preserve">       </w:t>
      </w:r>
    </w:p>
    <w:p>
      <w:pPr>
        <w:adjustRightInd w:val="0"/>
        <w:snapToGrid w:val="0"/>
        <w:spacing w:line="360" w:lineRule="auto"/>
        <w:ind w:left="4935" w:hanging="6580" w:hangingChars="2350"/>
        <w:jc w:val="both"/>
        <w:textAlignment w:val="baseline"/>
        <w:rPr>
          <w:rFonts w:hint="eastAsia" w:ascii="仿宋_GB2312" w:hAnsi="仿宋_GB2312" w:eastAsia="仿宋_GB2312" w:cs="仿宋_GB2312"/>
          <w:color w:val="auto"/>
          <w:sz w:val="32"/>
          <w:szCs w:val="24"/>
          <w:highlight w:val="none"/>
          <w:lang w:val="en-US" w:eastAsia="zh-CN"/>
        </w:rPr>
      </w:pPr>
      <w:r>
        <w:rPr>
          <w:rFonts w:hint="eastAsia" w:ascii="宋体" w:hAnsi="宋体" w:eastAsia="宋体" w:cs="宋体"/>
          <w:color w:val="auto"/>
          <w:sz w:val="28"/>
          <w:szCs w:val="28"/>
          <w:highlight w:val="none"/>
          <w:lang w:val="en-US" w:eastAsia="zh-CN"/>
        </w:rPr>
        <w:t>日期：                                                   日期：</w:t>
      </w:r>
    </w:p>
    <w:p>
      <w:pPr>
        <w:widowControl/>
        <w:spacing w:line="360" w:lineRule="auto"/>
        <w:jc w:val="left"/>
        <w:rPr>
          <w:rFonts w:hint="eastAsia" w:cs="Times New Roman" w:asciiTheme="minorEastAsia" w:hAnsiTheme="minorEastAsia"/>
          <w:bCs/>
          <w:color w:val="auto"/>
          <w:highlight w:val="none"/>
          <w:lang w:val="en-US" w:eastAsia="zh-CN"/>
        </w:rPr>
      </w:pPr>
    </w:p>
    <w:p>
      <w:pPr>
        <w:pStyle w:val="49"/>
        <w:numPr>
          <w:ilvl w:val="0"/>
          <w:numId w:val="0"/>
        </w:numPr>
        <w:snapToGrid w:val="0"/>
        <w:spacing w:before="0" w:after="0"/>
        <w:jc w:val="both"/>
        <w:rPr>
          <w:rFonts w:ascii="华文中宋" w:hAnsi="华文中宋" w:eastAsia="华文中宋"/>
          <w:b w:val="0"/>
          <w:color w:val="auto"/>
          <w:spacing w:val="20"/>
          <w:sz w:val="32"/>
          <w:szCs w:val="32"/>
          <w:highlight w:val="none"/>
        </w:rPr>
      </w:pPr>
    </w:p>
    <w:p>
      <w:pPr>
        <w:jc w:val="center"/>
        <w:rPr>
          <w:rFonts w:ascii="宋体" w:hAnsi="宋体"/>
          <w:b/>
          <w:color w:val="auto"/>
          <w:sz w:val="72"/>
          <w:szCs w:val="72"/>
          <w:highlight w:val="none"/>
        </w:rPr>
      </w:pPr>
    </w:p>
    <w:p>
      <w:pPr>
        <w:jc w:val="center"/>
        <w:rPr>
          <w:rFonts w:ascii="宋体" w:hAnsi="宋体"/>
          <w:b/>
          <w:color w:val="auto"/>
          <w:sz w:val="72"/>
          <w:szCs w:val="72"/>
          <w:highlight w:val="none"/>
        </w:rPr>
      </w:pPr>
    </w:p>
    <w:p>
      <w:pPr>
        <w:rPr>
          <w:rFonts w:hint="eastAsia" w:ascii="宋体" w:hAnsi="宋体"/>
          <w:b/>
          <w:color w:val="auto"/>
          <w:sz w:val="72"/>
          <w:szCs w:val="72"/>
          <w:highlight w:val="none"/>
        </w:rPr>
      </w:pPr>
      <w:r>
        <w:rPr>
          <w:rFonts w:hint="eastAsia" w:ascii="宋体" w:hAnsi="宋体"/>
          <w:b/>
          <w:color w:val="auto"/>
          <w:sz w:val="72"/>
          <w:szCs w:val="72"/>
          <w:highlight w:val="none"/>
        </w:rPr>
        <w:br w:type="page"/>
      </w:r>
    </w:p>
    <w:p>
      <w:pPr>
        <w:ind w:left="0" w:leftChars="0" w:firstLine="0" w:firstLineChars="0"/>
        <w:jc w:val="center"/>
        <w:rPr>
          <w:rFonts w:hint="eastAsia" w:ascii="方正小标宋简体" w:hAnsi="方正小标宋简体" w:eastAsia="方正小标宋简体" w:cs="方正小标宋简体"/>
          <w:color w:val="auto"/>
          <w:sz w:val="36"/>
          <w:szCs w:val="28"/>
          <w:highlight w:val="none"/>
          <w:lang w:val="en-US" w:eastAsia="zh-CN"/>
        </w:rPr>
        <w:sectPr>
          <w:pgSz w:w="16838" w:h="11906" w:orient="landscape"/>
          <w:pgMar w:top="1797" w:right="873" w:bottom="1797" w:left="873" w:header="720" w:footer="720" w:gutter="0"/>
          <w:cols w:space="0" w:num="1"/>
          <w:rtlGutter w:val="0"/>
          <w:docGrid w:type="lines" w:linePitch="286" w:charSpace="0"/>
        </w:sectPr>
      </w:pPr>
    </w:p>
    <w:p>
      <w:pPr>
        <w:ind w:left="0" w:leftChars="0" w:firstLine="0" w:firstLineChars="0"/>
        <w:jc w:val="center"/>
        <w:rPr>
          <w:rFonts w:hint="default" w:ascii="方正小标宋简体" w:hAnsi="方正小标宋简体" w:eastAsia="方正小标宋简体" w:cs="方正小标宋简体"/>
          <w:color w:val="auto"/>
          <w:sz w:val="36"/>
          <w:szCs w:val="28"/>
          <w:highlight w:val="none"/>
          <w:vertAlign w:val="baseline"/>
          <w:lang w:val="en-US" w:eastAsia="zh-CN"/>
        </w:rPr>
      </w:pPr>
      <w:r>
        <w:rPr>
          <w:rFonts w:hint="eastAsia" w:ascii="方正小标宋简体" w:hAnsi="方正小标宋简体" w:eastAsia="方正小标宋简体" w:cs="方正小标宋简体"/>
          <w:color w:val="auto"/>
          <w:sz w:val="36"/>
          <w:szCs w:val="28"/>
          <w:highlight w:val="none"/>
          <w:lang w:val="en-US" w:eastAsia="zh-CN"/>
        </w:rPr>
        <w:t>广州航标处租车运输浮标器材协议</w:t>
      </w:r>
      <w:r>
        <w:rPr>
          <w:rFonts w:hint="eastAsia" w:ascii="方正小标宋简体" w:hAnsi="方正小标宋简体" w:eastAsia="方正小标宋简体" w:cs="方正小标宋简体"/>
          <w:color w:val="auto"/>
          <w:sz w:val="36"/>
          <w:szCs w:val="28"/>
          <w:highlight w:val="none"/>
          <w:lang w:val="en-US" w:eastAsia="zh-CN"/>
        </w:rPr>
        <w:t>（供参考）</w:t>
      </w:r>
    </w:p>
    <w:p>
      <w:pPr>
        <w:spacing w:line="480" w:lineRule="exact"/>
        <w:rPr>
          <w:rFonts w:hint="eastAsia"/>
          <w:color w:val="auto"/>
          <w:sz w:val="28"/>
          <w:szCs w:val="28"/>
          <w:highlight w:val="none"/>
        </w:rPr>
      </w:pPr>
    </w:p>
    <w:p>
      <w:pPr>
        <w:spacing w:line="48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甲方：</w:t>
      </w:r>
    </w:p>
    <w:p>
      <w:pPr>
        <w:spacing w:line="480" w:lineRule="exac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乙方：</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甲乙双方根据</w:t>
      </w:r>
      <w:r>
        <w:rPr>
          <w:rFonts w:hint="eastAsia" w:ascii="宋体" w:hAnsi="宋体" w:cs="宋体"/>
          <w:color w:val="auto"/>
          <w:szCs w:val="21"/>
          <w:highlight w:val="none"/>
          <w:lang w:val="en-US" w:eastAsia="zh-CN"/>
        </w:rPr>
        <w:t>2024年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日的“</w:t>
      </w:r>
      <w:r>
        <w:rPr>
          <w:rFonts w:hint="eastAsia" w:ascii="宋体" w:hAnsi="宋体" w:cs="宋体"/>
          <w:color w:val="auto"/>
          <w:szCs w:val="21"/>
          <w:highlight w:val="none"/>
          <w:lang w:eastAsia="zh-CN"/>
        </w:rPr>
        <w:t>广州航标处租车运输浮标器材服务项目</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成交</w:t>
      </w:r>
      <w:r>
        <w:rPr>
          <w:rFonts w:hint="eastAsia" w:ascii="宋体" w:hAnsi="宋体" w:cs="宋体"/>
          <w:color w:val="auto"/>
          <w:szCs w:val="21"/>
          <w:highlight w:val="none"/>
        </w:rPr>
        <w:t>结果和</w:t>
      </w:r>
      <w:r>
        <w:rPr>
          <w:rFonts w:hint="eastAsia" w:ascii="宋体" w:hAnsi="宋体" w:cs="宋体"/>
          <w:color w:val="auto"/>
          <w:szCs w:val="21"/>
          <w:highlight w:val="none"/>
          <w:lang w:eastAsia="zh-CN"/>
        </w:rPr>
        <w:t>采购</w:t>
      </w:r>
      <w:r>
        <w:rPr>
          <w:rFonts w:hint="eastAsia" w:ascii="宋体" w:hAnsi="宋体" w:cs="宋体"/>
          <w:color w:val="auto"/>
          <w:szCs w:val="21"/>
          <w:highlight w:val="none"/>
          <w:lang w:val="en-US" w:eastAsia="zh-CN"/>
        </w:rPr>
        <w:t>文件</w:t>
      </w:r>
      <w:r>
        <w:rPr>
          <w:rFonts w:hint="eastAsia" w:ascii="宋体" w:hAnsi="宋体" w:cs="宋体"/>
          <w:color w:val="auto"/>
          <w:szCs w:val="21"/>
          <w:highlight w:val="none"/>
        </w:rPr>
        <w:t>的要求及响应文件承诺，依照有关法律、法规，遵循平等、自愿、公平和诚实信用的原则，双方就本采购事项协商一致，订立本协议书。</w:t>
      </w:r>
    </w:p>
    <w:p>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一、服务内容</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因甲方沿海水域和港口的助航设施管理维护工作需要，甲方委托乙方提供</w:t>
      </w:r>
      <w:r>
        <w:rPr>
          <w:rFonts w:hint="eastAsia" w:ascii="宋体" w:hAnsi="宋体" w:cs="宋体"/>
          <w:color w:val="auto"/>
          <w:szCs w:val="21"/>
          <w:highlight w:val="none"/>
          <w:lang w:val="en-US" w:eastAsia="zh-CN"/>
        </w:rPr>
        <w:t>浮标运输</w:t>
      </w:r>
      <w:r>
        <w:rPr>
          <w:rFonts w:hint="eastAsia" w:ascii="宋体" w:hAnsi="宋体" w:cs="宋体"/>
          <w:color w:val="auto"/>
          <w:szCs w:val="21"/>
          <w:highlight w:val="none"/>
        </w:rPr>
        <w:t>服务，乙方应按甲方的要求从甲方指定</w:t>
      </w:r>
      <w:r>
        <w:rPr>
          <w:rFonts w:hint="eastAsia" w:ascii="宋体" w:hAnsi="宋体" w:cs="宋体"/>
          <w:color w:val="auto"/>
          <w:szCs w:val="21"/>
          <w:highlight w:val="none"/>
          <w:lang w:val="en-US" w:eastAsia="zh-CN"/>
        </w:rPr>
        <w:t>地点运输、装卸浮标器材。</w:t>
      </w:r>
    </w:p>
    <w:p>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二、服务地点：甲方</w:t>
      </w:r>
      <w:r>
        <w:rPr>
          <w:rFonts w:hint="eastAsia" w:ascii="宋体" w:hAnsi="宋体" w:cs="宋体"/>
          <w:color w:val="auto"/>
          <w:szCs w:val="21"/>
          <w:highlight w:val="none"/>
        </w:rPr>
        <w:t>指定的地点。</w:t>
      </w:r>
    </w:p>
    <w:p>
      <w:pPr>
        <w:adjustRightInd w:val="0"/>
        <w:snapToGrid w:val="0"/>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三、服务期限：</w:t>
      </w:r>
      <w:r>
        <w:rPr>
          <w:rFonts w:hint="eastAsia" w:ascii="宋体" w:hAnsi="宋体" w:cs="宋体"/>
          <w:color w:val="auto"/>
          <w:szCs w:val="21"/>
          <w:highlight w:val="none"/>
        </w:rPr>
        <w:t>一年（共12个月），自</w:t>
      </w:r>
      <w:r>
        <w:rPr>
          <w:rFonts w:hint="eastAsia" w:ascii="宋体" w:hAnsi="宋体" w:cs="宋体"/>
          <w:color w:val="auto"/>
          <w:szCs w:val="21"/>
          <w:highlight w:val="none"/>
          <w:u w:val="single"/>
          <w:lang w:val="en-US" w:eastAsia="zh-CN"/>
        </w:rPr>
        <w:t>2024</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日始至</w:t>
      </w:r>
      <w:r>
        <w:rPr>
          <w:rFonts w:hint="eastAsia" w:ascii="宋体" w:hAnsi="宋体" w:cs="宋体"/>
          <w:color w:val="auto"/>
          <w:szCs w:val="21"/>
          <w:highlight w:val="none"/>
          <w:u w:val="single"/>
          <w:lang w:val="en-US" w:eastAsia="zh-CN"/>
        </w:rPr>
        <w:t xml:space="preserve"> 2024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日止。</w:t>
      </w:r>
    </w:p>
    <w:p>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四、具体服务要求</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1、乙方提供的</w:t>
      </w:r>
      <w:r>
        <w:rPr>
          <w:rFonts w:hint="eastAsia" w:ascii="宋体" w:hAnsi="宋体" w:cs="宋体"/>
          <w:color w:val="auto"/>
          <w:szCs w:val="21"/>
          <w:highlight w:val="none"/>
          <w:lang w:val="en-US" w:eastAsia="zh-CN"/>
        </w:rPr>
        <w:t>运输货车</w:t>
      </w:r>
      <w:r>
        <w:rPr>
          <w:rFonts w:hint="eastAsia" w:ascii="宋体" w:hAnsi="宋体" w:cs="宋体"/>
          <w:color w:val="auto"/>
          <w:szCs w:val="21"/>
          <w:highlight w:val="none"/>
        </w:rPr>
        <w:t>应满足以下要求：</w:t>
      </w:r>
    </w:p>
    <w:p>
      <w:pPr>
        <w:tabs>
          <w:tab w:val="left" w:pos="1470"/>
        </w:tabs>
        <w:adjustRightInd w:val="0"/>
        <w:snapToGrid w:val="0"/>
        <w:spacing w:line="408"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1）证照齐全、年检合格，功能正常等。有以下情形之一的</w:t>
      </w:r>
      <w:r>
        <w:rPr>
          <w:rFonts w:hint="eastAsia" w:ascii="宋体" w:hAnsi="宋体" w:cs="宋体"/>
          <w:color w:val="auto"/>
          <w:szCs w:val="21"/>
          <w:highlight w:val="none"/>
          <w:lang w:eastAsia="zh-CN"/>
        </w:rPr>
        <w:t>车辆</w:t>
      </w:r>
      <w:r>
        <w:rPr>
          <w:rFonts w:hint="eastAsia" w:ascii="宋体" w:hAnsi="宋体" w:cs="宋体"/>
          <w:color w:val="auto"/>
          <w:szCs w:val="21"/>
          <w:highlight w:val="none"/>
        </w:rPr>
        <w:t>不能作为本协议书的租用</w:t>
      </w:r>
      <w:r>
        <w:rPr>
          <w:rFonts w:hint="eastAsia" w:ascii="宋体" w:hAnsi="宋体" w:cs="宋体"/>
          <w:color w:val="auto"/>
          <w:szCs w:val="21"/>
          <w:highlight w:val="none"/>
          <w:lang w:val="en-US" w:eastAsia="zh-CN"/>
        </w:rPr>
        <w:t>车辆</w:t>
      </w:r>
      <w:r>
        <w:rPr>
          <w:rFonts w:hint="eastAsia" w:ascii="宋体" w:hAnsi="宋体" w:cs="宋体"/>
          <w:color w:val="auto"/>
          <w:szCs w:val="21"/>
          <w:highlight w:val="none"/>
        </w:rPr>
        <w:t>：已到报废年限；非法改装；非法营运；无牌证；假牌证；套牌；伪造证件的</w:t>
      </w:r>
      <w:r>
        <w:rPr>
          <w:rFonts w:hint="eastAsia" w:ascii="宋体" w:hAnsi="宋体" w:cs="宋体"/>
          <w:color w:val="auto"/>
          <w:szCs w:val="21"/>
          <w:highlight w:val="none"/>
          <w:lang w:eastAsia="zh-CN"/>
        </w:rPr>
        <w:t>。</w:t>
      </w:r>
    </w:p>
    <w:p>
      <w:pPr>
        <w:adjustRightInd w:val="0"/>
        <w:snapToGrid w:val="0"/>
        <w:spacing w:line="408"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3）不存在其他安全隐患。</w:t>
      </w:r>
    </w:p>
    <w:p>
      <w:pPr>
        <w:adjustRightInd w:val="0"/>
        <w:snapToGrid w:val="0"/>
        <w:spacing w:line="408"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4）乙方保证提供的</w:t>
      </w:r>
      <w:r>
        <w:rPr>
          <w:rFonts w:hint="eastAsia" w:ascii="宋体" w:hAnsi="宋体" w:cs="宋体"/>
          <w:color w:val="auto"/>
          <w:szCs w:val="21"/>
          <w:highlight w:val="none"/>
          <w:lang w:val="en-US" w:eastAsia="zh-CN"/>
        </w:rPr>
        <w:t>车辆</w:t>
      </w:r>
      <w:r>
        <w:rPr>
          <w:rFonts w:hint="eastAsia" w:ascii="宋体" w:hAnsi="宋体" w:cs="宋体"/>
          <w:color w:val="auto"/>
          <w:szCs w:val="21"/>
          <w:highlight w:val="none"/>
        </w:rPr>
        <w:t>舶资料等真实、有效，否则因此产生的一切责任和费用均由乙方自行承担，包括但不限于涉及违规所产生的所有滞纳金、赔偿款、给甲方或任何第三方造成的损失等。</w:t>
      </w:r>
    </w:p>
    <w:p>
      <w:pPr>
        <w:adjustRightInd w:val="0"/>
        <w:snapToGrid w:val="0"/>
        <w:spacing w:line="408"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5）服务期限内，如因非甲方原因造成的违章或事故产生的所有费</w:t>
      </w:r>
      <w:r>
        <w:rPr>
          <w:rFonts w:hint="eastAsia" w:ascii="宋体" w:hAnsi="宋体" w:cs="宋体"/>
          <w:color w:val="auto"/>
          <w:szCs w:val="21"/>
          <w:highlight w:val="none"/>
        </w:rPr>
        <w:t>用由乙方承担。乙</w:t>
      </w:r>
      <w:r>
        <w:rPr>
          <w:rFonts w:hint="eastAsia" w:ascii="宋体" w:hAnsi="宋体" w:cs="宋体"/>
          <w:color w:val="auto"/>
          <w:szCs w:val="21"/>
          <w:highlight w:val="none"/>
        </w:rPr>
        <w:t>方还应无条件协助甲方处理事故和及时按相关规定和甲方的要求办理索赔手续等。</w:t>
      </w:r>
    </w:p>
    <w:p>
      <w:pPr>
        <w:adjustRightInd w:val="0"/>
        <w:snapToGrid w:val="0"/>
        <w:spacing w:line="408"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6）如乙方安排的租用</w:t>
      </w:r>
      <w:r>
        <w:rPr>
          <w:rFonts w:hint="eastAsia" w:ascii="宋体" w:hAnsi="宋体" w:cs="宋体"/>
          <w:color w:val="auto"/>
          <w:szCs w:val="21"/>
          <w:highlight w:val="none"/>
          <w:lang w:val="en-US" w:eastAsia="zh-CN"/>
        </w:rPr>
        <w:t>车辆</w:t>
      </w:r>
      <w:r>
        <w:rPr>
          <w:rFonts w:hint="eastAsia" w:ascii="宋体" w:hAnsi="宋体" w:cs="宋体"/>
          <w:color w:val="auto"/>
          <w:szCs w:val="21"/>
          <w:highlight w:val="none"/>
        </w:rPr>
        <w:t>遇到故障或抛锚、交通事故等突发情况，乙方须及时进行处置，且乙方不得因此向甲方要求增加费用。</w:t>
      </w:r>
    </w:p>
    <w:p>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五</w:t>
      </w:r>
      <w:r>
        <w:rPr>
          <w:rFonts w:hint="eastAsia" w:ascii="宋体" w:hAnsi="宋体" w:cs="宋体"/>
          <w:b/>
          <w:color w:val="auto"/>
          <w:szCs w:val="21"/>
          <w:highlight w:val="none"/>
        </w:rPr>
        <w:t>、甲乙双方责任</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1、甲方责任：</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开展作业前，甲方提前联系</w:t>
      </w:r>
      <w:r>
        <w:rPr>
          <w:rFonts w:hint="eastAsia" w:ascii="宋体" w:hAnsi="宋体" w:cs="宋体"/>
          <w:color w:val="auto"/>
          <w:szCs w:val="21"/>
          <w:highlight w:val="none"/>
        </w:rPr>
        <w:t>乙方，明确</w:t>
      </w:r>
      <w:r>
        <w:rPr>
          <w:rFonts w:hint="eastAsia" w:ascii="宋体" w:hAnsi="宋体" w:cs="宋体"/>
          <w:color w:val="auto"/>
          <w:szCs w:val="21"/>
          <w:highlight w:val="none"/>
          <w:lang w:val="en-US" w:eastAsia="zh-CN"/>
        </w:rPr>
        <w:t>浮标运输作业内容</w:t>
      </w:r>
      <w:r>
        <w:rPr>
          <w:rFonts w:hint="eastAsia" w:ascii="宋体" w:hAnsi="宋体" w:cs="宋体"/>
          <w:color w:val="auto"/>
          <w:szCs w:val="21"/>
          <w:highlight w:val="none"/>
        </w:rPr>
        <w:t>。</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）任务完成后，甲方做好相关记录并按本协议书的约定支付</w:t>
      </w:r>
      <w:r>
        <w:rPr>
          <w:rFonts w:hint="eastAsia" w:ascii="宋体" w:hAnsi="宋体" w:cs="宋体"/>
          <w:color w:val="auto"/>
          <w:szCs w:val="21"/>
          <w:highlight w:val="none"/>
          <w:lang w:val="en-US" w:eastAsia="zh-CN"/>
        </w:rPr>
        <w:t>租车</w:t>
      </w:r>
      <w:r>
        <w:rPr>
          <w:rFonts w:hint="eastAsia" w:ascii="宋体" w:hAnsi="宋体" w:cs="宋体"/>
          <w:color w:val="auto"/>
          <w:szCs w:val="21"/>
          <w:highlight w:val="none"/>
        </w:rPr>
        <w:t>费用。</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2、乙方责任：</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1）乙方按照甲方要求，</w:t>
      </w:r>
      <w:r>
        <w:rPr>
          <w:rFonts w:hint="eastAsia" w:ascii="宋体" w:hAnsi="宋体" w:cs="宋体"/>
          <w:color w:val="auto"/>
          <w:szCs w:val="21"/>
          <w:highlight w:val="none"/>
          <w:lang w:val="en-US" w:eastAsia="zh-CN"/>
        </w:rPr>
        <w:t>安排车辆开展浮标运输作业</w:t>
      </w:r>
      <w:r>
        <w:rPr>
          <w:rFonts w:hint="eastAsia" w:ascii="宋体" w:hAnsi="宋体" w:cs="宋体"/>
          <w:color w:val="auto"/>
          <w:szCs w:val="21"/>
          <w:highlight w:val="none"/>
        </w:rPr>
        <w:t>。</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）负责</w:t>
      </w:r>
      <w:r>
        <w:rPr>
          <w:rFonts w:hint="eastAsia" w:ascii="宋体" w:hAnsi="宋体" w:cs="宋体"/>
          <w:color w:val="auto"/>
          <w:szCs w:val="21"/>
          <w:highlight w:val="none"/>
          <w:lang w:val="en-US" w:eastAsia="zh-CN"/>
        </w:rPr>
        <w:t>车辆</w:t>
      </w:r>
      <w:r>
        <w:rPr>
          <w:rFonts w:hint="eastAsia" w:ascii="宋体" w:hAnsi="宋体" w:cs="宋体"/>
          <w:color w:val="auto"/>
          <w:szCs w:val="21"/>
          <w:highlight w:val="none"/>
        </w:rPr>
        <w:t>的燃料、</w:t>
      </w:r>
      <w:r>
        <w:rPr>
          <w:rFonts w:hint="eastAsia" w:ascii="宋体" w:hAnsi="宋体" w:cs="宋体"/>
          <w:color w:val="auto"/>
          <w:szCs w:val="21"/>
          <w:highlight w:val="none"/>
          <w:lang w:val="en-US" w:eastAsia="zh-CN"/>
        </w:rPr>
        <w:t>停靠</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路桥费、</w:t>
      </w:r>
      <w:r>
        <w:rPr>
          <w:rFonts w:hint="eastAsia" w:ascii="宋体" w:hAnsi="宋体" w:cs="宋体"/>
          <w:color w:val="auto"/>
          <w:szCs w:val="21"/>
          <w:highlight w:val="none"/>
        </w:rPr>
        <w:t>税金和人员伙食费用及劳保等相关福利待遇，以及</w:t>
      </w:r>
      <w:r>
        <w:rPr>
          <w:rFonts w:hint="eastAsia" w:ascii="宋体" w:hAnsi="宋体" w:cs="宋体"/>
          <w:color w:val="auto"/>
          <w:szCs w:val="21"/>
          <w:highlight w:val="none"/>
          <w:lang w:val="en-US" w:eastAsia="zh-CN"/>
        </w:rPr>
        <w:t>车辆和运输</w:t>
      </w:r>
      <w:r>
        <w:rPr>
          <w:rFonts w:hint="eastAsia" w:ascii="宋体" w:hAnsi="宋体" w:cs="宋体"/>
          <w:color w:val="auto"/>
          <w:szCs w:val="21"/>
          <w:highlight w:val="none"/>
        </w:rPr>
        <w:t>人员一切保险等费用。</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）做好充分的安全、应急准备措施，不得违规驾驶和作业，确保</w:t>
      </w:r>
      <w:r>
        <w:rPr>
          <w:rFonts w:hint="eastAsia" w:ascii="宋体" w:hAnsi="宋体" w:cs="宋体"/>
          <w:color w:val="auto"/>
          <w:szCs w:val="21"/>
          <w:highlight w:val="none"/>
          <w:lang w:val="en-US" w:eastAsia="zh-CN"/>
        </w:rPr>
        <w:t>车辆、运输货物</w:t>
      </w:r>
      <w:r>
        <w:rPr>
          <w:rFonts w:hint="eastAsia" w:ascii="宋体" w:hAnsi="宋体" w:cs="宋体"/>
          <w:color w:val="auto"/>
          <w:szCs w:val="21"/>
          <w:highlight w:val="none"/>
        </w:rPr>
        <w:t>及</w:t>
      </w:r>
      <w:r>
        <w:rPr>
          <w:rFonts w:hint="eastAsia" w:ascii="宋体" w:hAnsi="宋体" w:cs="宋体"/>
          <w:color w:val="auto"/>
          <w:szCs w:val="21"/>
          <w:highlight w:val="none"/>
          <w:lang w:val="en-US" w:eastAsia="zh-CN"/>
        </w:rPr>
        <w:t>车辆</w:t>
      </w:r>
      <w:r>
        <w:rPr>
          <w:rFonts w:hint="eastAsia" w:ascii="宋体" w:hAnsi="宋体" w:cs="宋体"/>
          <w:color w:val="auto"/>
          <w:szCs w:val="21"/>
          <w:highlight w:val="none"/>
        </w:rPr>
        <w:t>人员的安全并承担相应的安全责任，甲方不负责一切责任。如因此给甲方造成损失的，乙方还应赔偿甲方的一切损失。</w:t>
      </w:r>
    </w:p>
    <w:p>
      <w:pPr>
        <w:adjustRightInd w:val="0"/>
        <w:snapToGrid w:val="0"/>
        <w:spacing w:line="360" w:lineRule="auto"/>
        <w:ind w:firstLine="422" w:firstLineChars="200"/>
        <w:rPr>
          <w:rFonts w:hint="eastAsia" w:ascii="宋体" w:hAnsi="宋体" w:cs="宋体"/>
          <w:bCs/>
          <w:color w:val="auto"/>
          <w:szCs w:val="21"/>
          <w:highlight w:val="none"/>
        </w:rPr>
      </w:pPr>
      <w:r>
        <w:rPr>
          <w:rFonts w:hint="eastAsia" w:ascii="宋体" w:hAnsi="宋体" w:cs="宋体"/>
          <w:b/>
          <w:color w:val="auto"/>
          <w:szCs w:val="21"/>
          <w:highlight w:val="none"/>
          <w:lang w:val="en-US" w:eastAsia="zh-CN"/>
        </w:rPr>
        <w:t>六</w:t>
      </w:r>
      <w:r>
        <w:rPr>
          <w:rFonts w:hint="eastAsia" w:ascii="宋体" w:hAnsi="宋体" w:cs="宋体"/>
          <w:b/>
          <w:color w:val="auto"/>
          <w:szCs w:val="21"/>
          <w:highlight w:val="none"/>
        </w:rPr>
        <w:t>、合同金额及付款方式</w:t>
      </w:r>
    </w:p>
    <w:p>
      <w:pPr>
        <w:adjustRightInd w:val="0"/>
        <w:snapToGrid w:val="0"/>
        <w:spacing w:line="360" w:lineRule="auto"/>
        <w:ind w:firstLine="420" w:firstLineChars="200"/>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rPr>
        <w:t>1、本协议</w:t>
      </w:r>
      <w:r>
        <w:rPr>
          <w:rFonts w:hint="eastAsia" w:ascii="宋体" w:hAnsi="宋体" w:cs="宋体"/>
          <w:bCs/>
          <w:color w:val="auto"/>
          <w:szCs w:val="21"/>
          <w:highlight w:val="none"/>
          <w:lang w:val="en-US" w:eastAsia="zh-CN"/>
        </w:rPr>
        <w:t>租车</w:t>
      </w:r>
      <w:r>
        <w:rPr>
          <w:rFonts w:hint="eastAsia" w:ascii="宋体" w:hAnsi="宋体" w:cs="宋体"/>
          <w:bCs/>
          <w:color w:val="auto"/>
          <w:szCs w:val="21"/>
          <w:highlight w:val="none"/>
        </w:rPr>
        <w:t>费用按照实际发生费用进行计算</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单车次租车</w:t>
      </w:r>
      <w:r>
        <w:rPr>
          <w:rFonts w:hint="eastAsia" w:ascii="宋体" w:hAnsi="宋体" w:cs="宋体"/>
          <w:bCs/>
          <w:color w:val="auto"/>
          <w:szCs w:val="21"/>
          <w:highlight w:val="none"/>
          <w:lang w:eastAsia="zh-CN"/>
        </w:rPr>
        <w:t>费用不能超过附件</w:t>
      </w:r>
      <w:r>
        <w:rPr>
          <w:rFonts w:hint="eastAsia" w:ascii="宋体" w:hAnsi="宋体" w:cs="宋体"/>
          <w:bCs/>
          <w:color w:val="auto"/>
          <w:szCs w:val="21"/>
          <w:highlight w:val="none"/>
          <w:lang w:val="en-US" w:eastAsia="zh-CN"/>
        </w:rPr>
        <w:t>1约定的对应价格，非附件1约定的租车类型、装卸地点，运输价格参照附件1经双方协商确定价格。</w:t>
      </w:r>
    </w:p>
    <w:p>
      <w:pPr>
        <w:adjustRightInd w:val="0"/>
        <w:snapToGrid w:val="0"/>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2、付款方式和流程：</w:t>
      </w:r>
    </w:p>
    <w:p>
      <w:pPr>
        <w:spacing w:line="500" w:lineRule="exact"/>
        <w:ind w:firstLine="420" w:firstLineChars="200"/>
        <w:rPr>
          <w:rFonts w:hint="eastAsia"/>
          <w:color w:val="auto"/>
          <w:sz w:val="24"/>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）本项目费用按甲方的要求每季度结算一次，甲方于每季度结算上一季度的</w:t>
      </w:r>
      <w:r>
        <w:rPr>
          <w:rFonts w:hint="eastAsia" w:ascii="宋体" w:hAnsi="宋体" w:cs="宋体"/>
          <w:bCs/>
          <w:color w:val="auto"/>
          <w:szCs w:val="21"/>
          <w:highlight w:val="none"/>
          <w:lang w:val="en-US" w:eastAsia="zh-CN"/>
        </w:rPr>
        <w:t>租车</w:t>
      </w:r>
      <w:r>
        <w:rPr>
          <w:rFonts w:hint="eastAsia" w:ascii="宋体" w:hAnsi="宋体" w:cs="宋体"/>
          <w:bCs/>
          <w:color w:val="auto"/>
          <w:szCs w:val="21"/>
          <w:highlight w:val="none"/>
        </w:rPr>
        <w:t>费用。</w:t>
      </w:r>
    </w:p>
    <w:p>
      <w:pPr>
        <w:spacing w:line="500" w:lineRule="exact"/>
        <w:ind w:firstLine="411" w:firstLineChars="196"/>
        <w:rPr>
          <w:rFonts w:hint="eastAsia"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）每季度</w:t>
      </w:r>
      <w:r>
        <w:rPr>
          <w:rFonts w:hint="eastAsia" w:ascii="宋体" w:hAnsi="宋体" w:cs="宋体"/>
          <w:bCs/>
          <w:color w:val="auto"/>
          <w:szCs w:val="21"/>
          <w:highlight w:val="none"/>
          <w:lang w:val="en-US" w:eastAsia="zh-CN"/>
        </w:rPr>
        <w:t>租车</w:t>
      </w:r>
      <w:r>
        <w:rPr>
          <w:rFonts w:hint="eastAsia" w:ascii="宋体" w:hAnsi="宋体" w:cs="宋体"/>
          <w:bCs/>
          <w:color w:val="auto"/>
          <w:szCs w:val="21"/>
          <w:highlight w:val="none"/>
        </w:rPr>
        <w:t>任务完成后，</w:t>
      </w:r>
      <w:r>
        <w:rPr>
          <w:rFonts w:hint="eastAsia" w:ascii="宋体" w:hAnsi="宋体" w:cs="宋体"/>
          <w:bCs/>
          <w:color w:val="auto"/>
          <w:szCs w:val="21"/>
          <w:highlight w:val="none"/>
          <w:lang w:eastAsia="zh-CN"/>
        </w:rPr>
        <w:t>甲方</w:t>
      </w:r>
      <w:r>
        <w:rPr>
          <w:rFonts w:hint="eastAsia" w:ascii="宋体" w:hAnsi="宋体" w:cs="宋体"/>
          <w:bCs/>
          <w:color w:val="auto"/>
          <w:szCs w:val="21"/>
          <w:highlight w:val="none"/>
        </w:rPr>
        <w:t>填写《</w:t>
      </w:r>
      <w:r>
        <w:rPr>
          <w:rFonts w:hint="eastAsia" w:ascii="宋体" w:hAnsi="宋体" w:cs="宋体"/>
          <w:color w:val="auto"/>
          <w:szCs w:val="21"/>
          <w:highlight w:val="none"/>
          <w:lang w:eastAsia="zh-CN"/>
        </w:rPr>
        <w:t>广州航标处</w:t>
      </w:r>
      <w:r>
        <w:rPr>
          <w:rFonts w:hint="eastAsia" w:ascii="宋体" w:hAnsi="宋体" w:cs="宋体"/>
          <w:color w:val="auto"/>
          <w:szCs w:val="21"/>
          <w:highlight w:val="none"/>
          <w:lang w:val="en-US" w:eastAsia="zh-CN"/>
        </w:rPr>
        <w:t>租车运输浮标器材</w:t>
      </w:r>
      <w:r>
        <w:rPr>
          <w:rFonts w:hint="eastAsia" w:ascii="宋体" w:hAnsi="宋体" w:cs="宋体"/>
          <w:color w:val="auto"/>
          <w:szCs w:val="21"/>
          <w:highlight w:val="none"/>
        </w:rPr>
        <w:t>季度汇总单</w:t>
      </w:r>
      <w:r>
        <w:rPr>
          <w:rFonts w:hint="eastAsia" w:ascii="宋体" w:hAnsi="宋体" w:cs="宋体"/>
          <w:bCs/>
          <w:color w:val="auto"/>
          <w:szCs w:val="21"/>
          <w:highlight w:val="none"/>
        </w:rPr>
        <w:t>》（详见附件</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并提交给乙方确认，</w:t>
      </w:r>
      <w:r>
        <w:rPr>
          <w:rFonts w:hint="eastAsia" w:ascii="宋体" w:hAnsi="宋体" w:cs="宋体"/>
          <w:bCs/>
          <w:color w:val="auto"/>
          <w:szCs w:val="21"/>
          <w:highlight w:val="none"/>
          <w:lang w:val="en-US" w:eastAsia="zh-CN"/>
        </w:rPr>
        <w:t>乙方确认后提交甲方</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甲方</w:t>
      </w:r>
      <w:r>
        <w:rPr>
          <w:rFonts w:hint="eastAsia" w:ascii="宋体" w:hAnsi="宋体" w:cs="宋体"/>
          <w:bCs/>
          <w:color w:val="auto"/>
          <w:szCs w:val="21"/>
          <w:highlight w:val="none"/>
          <w:lang w:eastAsia="zh-CN"/>
        </w:rPr>
        <w:t>于</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个工作日内一次性支付季度租</w:t>
      </w:r>
      <w:r>
        <w:rPr>
          <w:rFonts w:hint="eastAsia" w:ascii="宋体" w:hAnsi="宋体" w:cs="宋体"/>
          <w:bCs/>
          <w:color w:val="auto"/>
          <w:szCs w:val="21"/>
          <w:highlight w:val="none"/>
          <w:lang w:eastAsia="zh-CN"/>
        </w:rPr>
        <w:t>车</w:t>
      </w:r>
      <w:r>
        <w:rPr>
          <w:rFonts w:hint="eastAsia" w:ascii="宋体" w:hAnsi="宋体" w:cs="宋体"/>
          <w:bCs/>
          <w:color w:val="auto"/>
          <w:szCs w:val="21"/>
          <w:highlight w:val="none"/>
        </w:rPr>
        <w:t>费用。</w:t>
      </w:r>
    </w:p>
    <w:p>
      <w:pPr>
        <w:adjustRightInd w:val="0"/>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七</w:t>
      </w:r>
      <w:r>
        <w:rPr>
          <w:rFonts w:hint="eastAsia" w:ascii="宋体" w:hAnsi="宋体" w:cs="宋体"/>
          <w:b/>
          <w:bCs/>
          <w:color w:val="auto"/>
          <w:szCs w:val="21"/>
          <w:highlight w:val="none"/>
        </w:rPr>
        <w:t>、违约责任</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本协议书服务期限内，如果乙方不能按本协议书的约定履行其义务，甲方有权单方解除本协议书，并赔偿甲方</w:t>
      </w:r>
      <w:r>
        <w:rPr>
          <w:rFonts w:hint="eastAsia" w:ascii="宋体" w:hAnsi="宋体" w:cs="宋体"/>
          <w:color w:val="auto"/>
          <w:sz w:val="21"/>
          <w:szCs w:val="21"/>
          <w:highlight w:val="none"/>
        </w:rPr>
        <w:t>为维权而支出的所有费用，包括但不限于诉讼费、律师费、鉴定费、保全</w:t>
      </w:r>
      <w:r>
        <w:rPr>
          <w:rFonts w:hint="eastAsia" w:ascii="宋体" w:hAnsi="宋体" w:cs="宋体"/>
          <w:b w:val="0"/>
          <w:color w:val="auto"/>
          <w:szCs w:val="21"/>
          <w:highlight w:val="none"/>
        </w:rPr>
        <w:t>申请</w:t>
      </w:r>
      <w:r>
        <w:rPr>
          <w:rFonts w:hint="eastAsia" w:ascii="宋体" w:hAnsi="宋体" w:cs="宋体"/>
          <w:color w:val="auto"/>
          <w:sz w:val="21"/>
          <w:szCs w:val="21"/>
          <w:highlight w:val="none"/>
        </w:rPr>
        <w:t>费</w:t>
      </w:r>
      <w:r>
        <w:rPr>
          <w:rFonts w:hint="eastAsia" w:ascii="宋体" w:hAnsi="宋体" w:cs="宋体"/>
          <w:b w:val="0"/>
          <w:color w:val="auto"/>
          <w:szCs w:val="21"/>
          <w:highlight w:val="none"/>
        </w:rPr>
        <w:t>、购买保函费</w:t>
      </w:r>
      <w:r>
        <w:rPr>
          <w:rFonts w:hint="eastAsia" w:ascii="宋体" w:hAnsi="宋体" w:cs="宋体"/>
          <w:color w:val="auto"/>
          <w:sz w:val="21"/>
          <w:szCs w:val="21"/>
          <w:highlight w:val="none"/>
        </w:rPr>
        <w:t>等</w:t>
      </w:r>
      <w:r>
        <w:rPr>
          <w:rFonts w:hint="eastAsia" w:ascii="宋体" w:hAnsi="宋体" w:cs="宋体"/>
          <w:color w:val="auto"/>
          <w:szCs w:val="21"/>
          <w:highlight w:val="none"/>
        </w:rPr>
        <w:t>。</w:t>
      </w:r>
    </w:p>
    <w:p>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八</w:t>
      </w:r>
      <w:r>
        <w:rPr>
          <w:rFonts w:hint="eastAsia" w:ascii="宋体" w:hAnsi="宋体" w:cs="宋体"/>
          <w:b/>
          <w:color w:val="auto"/>
          <w:szCs w:val="21"/>
          <w:highlight w:val="none"/>
        </w:rPr>
        <w:t>、组成本协议书的文件</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组成本协议书的文件包括：</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1、本合同协议书</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、《附件1 </w:t>
      </w:r>
      <w:r>
        <w:rPr>
          <w:rFonts w:hint="eastAsia" w:ascii="宋体" w:hAnsi="宋体" w:cs="宋体"/>
          <w:color w:val="auto"/>
          <w:szCs w:val="21"/>
          <w:highlight w:val="none"/>
          <w:lang w:eastAsia="zh-CN"/>
        </w:rPr>
        <w:t>广州航标处租车运输浮标器材服务项目报价表</w:t>
      </w:r>
      <w:r>
        <w:rPr>
          <w:rFonts w:hint="eastAsia" w:ascii="宋体" w:hAnsi="宋体" w:cs="宋体"/>
          <w:color w:val="auto"/>
          <w:szCs w:val="21"/>
          <w:highlight w:val="none"/>
        </w:rPr>
        <w:t>》</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、《附件</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w:t>
      </w:r>
      <w:r>
        <w:rPr>
          <w:rFonts w:hint="eastAsia" w:ascii="宋体" w:hAnsi="宋体" w:cs="宋体"/>
          <w:color w:val="auto"/>
          <w:szCs w:val="21"/>
          <w:highlight w:val="none"/>
          <w:lang w:eastAsia="zh-CN"/>
        </w:rPr>
        <w:t>广州航标处租车运输浮标器材季度汇总单</w:t>
      </w:r>
      <w:r>
        <w:rPr>
          <w:rFonts w:hint="eastAsia" w:ascii="宋体" w:hAnsi="宋体" w:cs="宋体"/>
          <w:color w:val="auto"/>
          <w:szCs w:val="21"/>
          <w:highlight w:val="none"/>
        </w:rPr>
        <w:t>》</w:t>
      </w:r>
    </w:p>
    <w:p>
      <w:pPr>
        <w:adjustRightInd w:val="0"/>
        <w:snapToGrid w:val="0"/>
        <w:spacing w:line="360" w:lineRule="auto"/>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双方有关工程的洽商、变更等书面协议或文件视为本协议书的组成部分。</w:t>
      </w:r>
    </w:p>
    <w:p>
      <w:pPr>
        <w:adjustRightInd w:val="0"/>
        <w:snapToGrid w:val="0"/>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lang w:val="en-US" w:eastAsia="zh-CN"/>
        </w:rPr>
        <w:t>九</w:t>
      </w:r>
      <w:r>
        <w:rPr>
          <w:rFonts w:hint="eastAsia" w:ascii="宋体" w:hAnsi="宋体" w:cs="宋体"/>
          <w:b/>
          <w:color w:val="auto"/>
          <w:szCs w:val="21"/>
          <w:highlight w:val="none"/>
        </w:rPr>
        <w:t>、其它有关事宜</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1、双方的协商补充条款、补充协议与本协议书均具同等效力。</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2、本协议书经甲、乙双方签名盖章后生效。</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3、本协议书一式</w:t>
      </w:r>
      <w:r>
        <w:rPr>
          <w:rFonts w:hint="eastAsia" w:ascii="宋体" w:hAnsi="宋体" w:cs="宋体"/>
          <w:color w:val="auto"/>
          <w:szCs w:val="21"/>
          <w:highlight w:val="none"/>
          <w:lang w:eastAsia="zh-CN"/>
        </w:rPr>
        <w:t>陆</w:t>
      </w:r>
      <w:r>
        <w:rPr>
          <w:rFonts w:hint="eastAsia" w:ascii="宋体" w:hAnsi="宋体" w:cs="宋体"/>
          <w:color w:val="auto"/>
          <w:szCs w:val="21"/>
          <w:highlight w:val="none"/>
        </w:rPr>
        <w:t>份，甲、乙双方各持</w:t>
      </w:r>
      <w:r>
        <w:rPr>
          <w:rFonts w:hint="eastAsia" w:ascii="宋体" w:hAnsi="宋体" w:cs="宋体"/>
          <w:color w:val="auto"/>
          <w:szCs w:val="21"/>
          <w:highlight w:val="none"/>
          <w:lang w:eastAsia="zh-CN"/>
        </w:rPr>
        <w:t>叁份</w:t>
      </w:r>
      <w:r>
        <w:rPr>
          <w:rFonts w:hint="eastAsia" w:ascii="宋体" w:hAnsi="宋体" w:cs="宋体"/>
          <w:color w:val="auto"/>
          <w:szCs w:val="21"/>
          <w:highlight w:val="none"/>
        </w:rPr>
        <w:t>。如有未尽事宜，双方应本着互相谅解的态度协商解决并另行签订补充协议。</w:t>
      </w:r>
    </w:p>
    <w:p>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4、因本协议书引起的争议，双方协商不成的，任何一方可向甲方所在地人民法院提起诉讼。</w:t>
      </w:r>
    </w:p>
    <w:p>
      <w:pPr>
        <w:adjustRightInd w:val="0"/>
        <w:snapToGrid w:val="0"/>
        <w:spacing w:line="360" w:lineRule="auto"/>
        <w:textAlignment w:val="baseline"/>
        <w:rPr>
          <w:rFonts w:hint="eastAsia" w:ascii="宋体" w:hAnsi="宋体" w:cs="宋体"/>
          <w:color w:val="auto"/>
          <w:szCs w:val="21"/>
          <w:highlight w:val="none"/>
        </w:rPr>
      </w:pPr>
    </w:p>
    <w:p>
      <w:pPr>
        <w:adjustRightInd w:val="0"/>
        <w:snapToGrid w:val="0"/>
        <w:spacing w:line="360" w:lineRule="auto"/>
        <w:ind w:left="4935" w:hanging="4935" w:hangingChars="2350"/>
        <w:jc w:val="both"/>
        <w:textAlignment w:val="baseline"/>
        <w:rPr>
          <w:rFonts w:hint="eastAsia" w:ascii="宋体" w:hAnsi="宋体" w:cs="宋体"/>
          <w:color w:val="auto"/>
          <w:szCs w:val="21"/>
          <w:highlight w:val="none"/>
        </w:rPr>
      </w:pPr>
      <w:r>
        <w:rPr>
          <w:rFonts w:hint="eastAsia" w:ascii="宋体" w:hAnsi="宋体" w:cs="宋体"/>
          <w:color w:val="auto"/>
          <w:szCs w:val="21"/>
          <w:highlight w:val="none"/>
        </w:rPr>
        <w:t xml:space="preserve">甲方：（盖章）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乙方：（盖章）</w:t>
      </w:r>
    </w:p>
    <w:p>
      <w:pPr>
        <w:adjustRightInd w:val="0"/>
        <w:snapToGrid w:val="0"/>
        <w:spacing w:line="360" w:lineRule="auto"/>
        <w:ind w:left="4935" w:hanging="4935" w:hangingChars="2350"/>
        <w:jc w:val="both"/>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法定(委托)代表人：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法定(委托)代表人：</w:t>
      </w:r>
    </w:p>
    <w:p>
      <w:pPr>
        <w:adjustRightInd w:val="0"/>
        <w:snapToGrid w:val="0"/>
        <w:spacing w:line="360" w:lineRule="auto"/>
        <w:jc w:val="both"/>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 xml:space="preserve">地址： </w:t>
      </w:r>
      <w:r>
        <w:rPr>
          <w:rFonts w:hint="eastAsia" w:ascii="宋体" w:hAnsi="宋体" w:cs="宋体"/>
          <w:color w:val="auto"/>
          <w:szCs w:val="21"/>
          <w:highlight w:val="none"/>
          <w:lang w:eastAsia="zh-CN"/>
        </w:rPr>
        <w:t>广州市海珠区仑头环村东路</w:t>
      </w:r>
      <w:r>
        <w:rPr>
          <w:rFonts w:hint="eastAsia" w:ascii="宋体" w:hAnsi="宋体" w:cs="宋体"/>
          <w:color w:val="auto"/>
          <w:szCs w:val="21"/>
          <w:highlight w:val="none"/>
          <w:lang w:val="en-US" w:eastAsia="zh-CN"/>
        </w:rPr>
        <w:t>438号</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地址：</w:t>
      </w:r>
    </w:p>
    <w:p>
      <w:pPr>
        <w:adjustRightInd w:val="0"/>
        <w:snapToGrid w:val="0"/>
        <w:spacing w:line="360" w:lineRule="auto"/>
        <w:jc w:val="both"/>
        <w:textAlignment w:val="baseline"/>
        <w:rPr>
          <w:rFonts w:hint="eastAsia" w:ascii="宋体" w:hAnsi="宋体" w:cs="宋体"/>
          <w:color w:val="auto"/>
          <w:szCs w:val="21"/>
          <w:highlight w:val="none"/>
        </w:rPr>
      </w:pPr>
      <w:r>
        <w:rPr>
          <w:rFonts w:hint="eastAsia" w:ascii="宋体" w:hAnsi="宋体" w:cs="宋体"/>
          <w:color w:val="auto"/>
          <w:szCs w:val="21"/>
          <w:highlight w:val="none"/>
        </w:rPr>
        <w:t xml:space="preserve">电话号码：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电话号码：</w:t>
      </w:r>
    </w:p>
    <w:p>
      <w:pPr>
        <w:adjustRightInd w:val="0"/>
        <w:snapToGrid w:val="0"/>
        <w:spacing w:line="360" w:lineRule="auto"/>
        <w:jc w:val="both"/>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签订时间：     年   月   日</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开户银行：</w:t>
      </w:r>
    </w:p>
    <w:p>
      <w:pPr>
        <w:adjustRightInd w:val="0"/>
        <w:snapToGrid w:val="0"/>
        <w:spacing w:line="360" w:lineRule="auto"/>
        <w:ind w:firstLine="5040" w:firstLineChars="2400"/>
        <w:jc w:val="both"/>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账号：</w:t>
      </w:r>
    </w:p>
    <w:p>
      <w:pPr>
        <w:adjustRightInd w:val="0"/>
        <w:snapToGrid w:val="0"/>
        <w:spacing w:line="360" w:lineRule="auto"/>
        <w:textAlignment w:val="baseline"/>
        <w:rPr>
          <w:rFonts w:hint="eastAsia" w:ascii="宋体" w:hAnsi="宋体" w:cs="宋体"/>
          <w:color w:val="auto"/>
          <w:szCs w:val="21"/>
          <w:highlight w:val="none"/>
        </w:rPr>
        <w:sectPr>
          <w:pgSz w:w="11906" w:h="16838"/>
          <w:pgMar w:top="873" w:right="1797" w:bottom="873" w:left="1797" w:header="720" w:footer="720" w:gutter="0"/>
          <w:cols w:space="0" w:num="1"/>
          <w:rtlGutter w:val="0"/>
          <w:docGrid w:type="lines" w:linePitch="286" w:charSpace="0"/>
        </w:sect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签订时间：     年   月   日</w:t>
      </w:r>
    </w:p>
    <w:p>
      <w:pPr>
        <w:ind w:left="0" w:leftChars="0" w:firstLine="0" w:firstLineChars="0"/>
        <w:jc w:val="left"/>
        <w:rPr>
          <w:rFonts w:hint="default" w:ascii="方正小标宋简体" w:hAnsi="方正小标宋简体" w:eastAsia="方正小标宋简体" w:cs="方正小标宋简体"/>
          <w:color w:val="auto"/>
          <w:sz w:val="36"/>
          <w:szCs w:val="28"/>
          <w:highlight w:val="none"/>
          <w:lang w:val="en-US" w:eastAsia="zh-CN"/>
        </w:rPr>
      </w:pPr>
      <w:r>
        <w:rPr>
          <w:rFonts w:hint="eastAsia" w:ascii="方正小标宋简体" w:hAnsi="方正小标宋简体" w:eastAsia="方正小标宋简体" w:cs="方正小标宋简体"/>
          <w:color w:val="auto"/>
          <w:sz w:val="36"/>
          <w:szCs w:val="28"/>
          <w:highlight w:val="none"/>
          <w:lang w:val="en-US" w:eastAsia="zh-CN"/>
        </w:rPr>
        <w:t>附件1.</w:t>
      </w:r>
    </w:p>
    <w:p>
      <w:pPr>
        <w:ind w:left="0" w:leftChars="0" w:firstLine="0" w:firstLineChars="0"/>
        <w:jc w:val="center"/>
        <w:rPr>
          <w:rFonts w:hint="default" w:ascii="方正小标宋简体" w:hAnsi="方正小标宋简体" w:eastAsia="方正小标宋简体" w:cs="方正小标宋简体"/>
          <w:color w:val="auto"/>
          <w:sz w:val="36"/>
          <w:szCs w:val="28"/>
          <w:highlight w:val="none"/>
          <w:vertAlign w:val="baseline"/>
          <w:lang w:val="en-US" w:eastAsia="zh-CN"/>
        </w:rPr>
      </w:pPr>
      <w:r>
        <w:rPr>
          <w:rFonts w:hint="eastAsia" w:ascii="方正小标宋简体" w:hAnsi="方正小标宋简体" w:eastAsia="方正小标宋简体" w:cs="方正小标宋简体"/>
          <w:color w:val="auto"/>
          <w:sz w:val="36"/>
          <w:szCs w:val="28"/>
          <w:highlight w:val="none"/>
          <w:lang w:val="en-US" w:eastAsia="zh-CN"/>
        </w:rPr>
        <w:t>广州航标处租车运输浮标器材服务项目报价表</w:t>
      </w:r>
    </w:p>
    <w:tbl>
      <w:tblPr>
        <w:tblStyle w:val="17"/>
        <w:tblpPr w:leftFromText="180" w:rightFromText="180" w:vertAnchor="text" w:horzAnchor="page" w:tblpX="1811" w:tblpY="613"/>
        <w:tblOverlap w:val="never"/>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3329"/>
        <w:gridCol w:w="1506"/>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序号</w:t>
            </w:r>
          </w:p>
        </w:tc>
        <w:tc>
          <w:tcPr>
            <w:tcW w:w="195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路线</w:t>
            </w:r>
          </w:p>
        </w:tc>
        <w:tc>
          <w:tcPr>
            <w:tcW w:w="8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租车类型</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单程价格（车次/元）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3" w:type="pct"/>
            <w:noWrap w:val="0"/>
            <w:vAlign w:val="center"/>
          </w:tcPr>
          <w:p>
            <w:pPr>
              <w:keepNext w:val="0"/>
              <w:keepLines w:val="0"/>
              <w:pageBreakBefore w:val="0"/>
              <w:widowControl w:val="0"/>
              <w:numPr>
                <w:ilvl w:val="0"/>
                <w:numId w:val="21"/>
              </w:numPr>
              <w:tabs>
                <w:tab w:val="clear" w:pos="312"/>
              </w:tabs>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vertAlign w:val="baseline"/>
                <w:lang w:val="en-US" w:eastAsia="zh-CN"/>
              </w:rPr>
            </w:pPr>
          </w:p>
        </w:tc>
        <w:tc>
          <w:tcPr>
            <w:tcW w:w="195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广州航标</w:t>
            </w:r>
            <w:r>
              <w:rPr>
                <w:rFonts w:hint="eastAsia" w:ascii="仿宋_GB2312" w:hAnsi="仿宋_GB2312" w:cs="仿宋_GB2312"/>
                <w:color w:val="auto"/>
                <w:sz w:val="28"/>
                <w:szCs w:val="28"/>
                <w:highlight w:val="none"/>
                <w:vertAlign w:val="baseline"/>
                <w:lang w:val="en-US" w:eastAsia="zh-CN"/>
              </w:rPr>
              <w:t>处-南沙港区</w:t>
            </w:r>
          </w:p>
        </w:tc>
        <w:tc>
          <w:tcPr>
            <w:tcW w:w="8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cs="仿宋_GB2312"/>
                <w:color w:val="auto"/>
                <w:sz w:val="28"/>
                <w:szCs w:val="28"/>
                <w:highlight w:val="none"/>
                <w:vertAlign w:val="baseline"/>
                <w:lang w:val="en-US" w:eastAsia="zh-CN"/>
              </w:rPr>
              <w:t>13米货车</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noWrap w:val="0"/>
            <w:vAlign w:val="center"/>
          </w:tcPr>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vertAlign w:val="baseline"/>
                <w:lang w:val="en-US" w:eastAsia="zh-CN"/>
              </w:rPr>
            </w:pPr>
          </w:p>
        </w:tc>
        <w:tc>
          <w:tcPr>
            <w:tcW w:w="195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广州航标</w:t>
            </w:r>
            <w:r>
              <w:rPr>
                <w:rFonts w:hint="eastAsia" w:ascii="仿宋_GB2312" w:hAnsi="仿宋_GB2312" w:cs="仿宋_GB2312"/>
                <w:color w:val="auto"/>
                <w:sz w:val="28"/>
                <w:szCs w:val="28"/>
                <w:highlight w:val="none"/>
                <w:vertAlign w:val="baseline"/>
                <w:lang w:val="en-US" w:eastAsia="zh-CN"/>
              </w:rPr>
              <w:t>处-蛇口港</w:t>
            </w:r>
          </w:p>
        </w:tc>
        <w:tc>
          <w:tcPr>
            <w:tcW w:w="8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cs="仿宋_GB2312"/>
                <w:color w:val="auto"/>
                <w:sz w:val="28"/>
                <w:szCs w:val="28"/>
                <w:highlight w:val="none"/>
                <w:vertAlign w:val="baseline"/>
                <w:lang w:val="en-US" w:eastAsia="zh-CN"/>
              </w:rPr>
              <w:t>13米货车</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noWrap w:val="0"/>
            <w:vAlign w:val="center"/>
          </w:tcPr>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vertAlign w:val="baseline"/>
                <w:lang w:val="en-US" w:eastAsia="zh-CN"/>
              </w:rPr>
            </w:pPr>
          </w:p>
        </w:tc>
        <w:tc>
          <w:tcPr>
            <w:tcW w:w="195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广州航标</w:t>
            </w:r>
            <w:r>
              <w:rPr>
                <w:rFonts w:hint="eastAsia" w:ascii="仿宋_GB2312" w:hAnsi="仿宋_GB2312" w:cs="仿宋_GB2312"/>
                <w:color w:val="auto"/>
                <w:sz w:val="28"/>
                <w:szCs w:val="28"/>
                <w:highlight w:val="none"/>
                <w:vertAlign w:val="baseline"/>
                <w:lang w:val="en-US" w:eastAsia="zh-CN"/>
              </w:rPr>
              <w:t>处-盐田港</w:t>
            </w:r>
          </w:p>
        </w:tc>
        <w:tc>
          <w:tcPr>
            <w:tcW w:w="8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cs="仿宋_GB2312"/>
                <w:color w:val="auto"/>
                <w:sz w:val="28"/>
                <w:szCs w:val="28"/>
                <w:highlight w:val="none"/>
                <w:vertAlign w:val="baseline"/>
                <w:lang w:val="en-US" w:eastAsia="zh-CN"/>
              </w:rPr>
              <w:t>13米货车</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noWrap w:val="0"/>
            <w:vAlign w:val="center"/>
          </w:tcPr>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vertAlign w:val="baseline"/>
                <w:lang w:val="en-US" w:eastAsia="zh-CN"/>
              </w:rPr>
            </w:pPr>
          </w:p>
        </w:tc>
        <w:tc>
          <w:tcPr>
            <w:tcW w:w="195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广州航标</w:t>
            </w:r>
            <w:r>
              <w:rPr>
                <w:rFonts w:hint="eastAsia" w:ascii="仿宋_GB2312" w:hAnsi="仿宋_GB2312" w:cs="仿宋_GB2312"/>
                <w:color w:val="auto"/>
                <w:sz w:val="28"/>
                <w:szCs w:val="28"/>
                <w:highlight w:val="none"/>
                <w:vertAlign w:val="baseline"/>
                <w:lang w:val="en-US" w:eastAsia="zh-CN"/>
              </w:rPr>
              <w:t>处-江门台山</w:t>
            </w:r>
          </w:p>
        </w:tc>
        <w:tc>
          <w:tcPr>
            <w:tcW w:w="8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cs="仿宋_GB2312"/>
                <w:color w:val="auto"/>
                <w:sz w:val="28"/>
                <w:szCs w:val="28"/>
                <w:highlight w:val="none"/>
                <w:vertAlign w:val="baseline"/>
                <w:lang w:val="en-US" w:eastAsia="zh-CN"/>
              </w:rPr>
              <w:t>13米货车</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noWrap w:val="0"/>
            <w:vAlign w:val="center"/>
          </w:tcPr>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vertAlign w:val="baseline"/>
                <w:lang w:val="en-US" w:eastAsia="zh-CN"/>
              </w:rPr>
            </w:pPr>
          </w:p>
        </w:tc>
        <w:tc>
          <w:tcPr>
            <w:tcW w:w="195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广州航标</w:t>
            </w:r>
            <w:r>
              <w:rPr>
                <w:rFonts w:hint="eastAsia" w:ascii="仿宋_GB2312" w:hAnsi="仿宋_GB2312" w:cs="仿宋_GB2312"/>
                <w:color w:val="auto"/>
                <w:sz w:val="28"/>
                <w:szCs w:val="28"/>
                <w:highlight w:val="none"/>
                <w:vertAlign w:val="baseline"/>
                <w:lang w:val="en-US" w:eastAsia="zh-CN"/>
              </w:rPr>
              <w:t>处-阳江港</w:t>
            </w:r>
          </w:p>
        </w:tc>
        <w:tc>
          <w:tcPr>
            <w:tcW w:w="8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cs="仿宋_GB2312"/>
                <w:color w:val="auto"/>
                <w:sz w:val="28"/>
                <w:szCs w:val="28"/>
                <w:highlight w:val="none"/>
                <w:vertAlign w:val="baseline"/>
                <w:lang w:val="en-US" w:eastAsia="zh-CN"/>
              </w:rPr>
              <w:t>13米货车</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noWrap w:val="0"/>
            <w:vAlign w:val="center"/>
          </w:tcPr>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vertAlign w:val="baseline"/>
                <w:lang w:val="en-US" w:eastAsia="zh-CN"/>
              </w:rPr>
            </w:pPr>
          </w:p>
        </w:tc>
        <w:tc>
          <w:tcPr>
            <w:tcW w:w="195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广州航标</w:t>
            </w:r>
            <w:r>
              <w:rPr>
                <w:rFonts w:hint="eastAsia" w:ascii="仿宋_GB2312" w:hAnsi="仿宋_GB2312" w:cs="仿宋_GB2312"/>
                <w:color w:val="auto"/>
                <w:sz w:val="28"/>
                <w:szCs w:val="28"/>
                <w:highlight w:val="none"/>
                <w:vertAlign w:val="baseline"/>
                <w:lang w:val="en-US" w:eastAsia="zh-CN"/>
              </w:rPr>
              <w:t>处-港珠澳大桥航标处</w:t>
            </w:r>
          </w:p>
        </w:tc>
        <w:tc>
          <w:tcPr>
            <w:tcW w:w="8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cs="仿宋_GB2312"/>
                <w:color w:val="auto"/>
                <w:sz w:val="28"/>
                <w:szCs w:val="28"/>
                <w:highlight w:val="none"/>
                <w:vertAlign w:val="baseline"/>
                <w:lang w:val="en-US" w:eastAsia="zh-CN"/>
              </w:rPr>
              <w:t>13米货车</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noWrap w:val="0"/>
            <w:vAlign w:val="center"/>
          </w:tcPr>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vertAlign w:val="baseline"/>
                <w:lang w:val="en-US" w:eastAsia="zh-CN"/>
              </w:rPr>
            </w:pPr>
          </w:p>
        </w:tc>
        <w:tc>
          <w:tcPr>
            <w:tcW w:w="195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广州航标</w:t>
            </w:r>
            <w:r>
              <w:rPr>
                <w:rFonts w:hint="eastAsia" w:ascii="仿宋_GB2312" w:hAnsi="仿宋_GB2312" w:cs="仿宋_GB2312"/>
                <w:color w:val="auto"/>
                <w:sz w:val="28"/>
                <w:szCs w:val="28"/>
                <w:highlight w:val="none"/>
                <w:vertAlign w:val="baseline"/>
                <w:lang w:val="en-US" w:eastAsia="zh-CN"/>
              </w:rPr>
              <w:t>处-珠海高栏港</w:t>
            </w:r>
          </w:p>
        </w:tc>
        <w:tc>
          <w:tcPr>
            <w:tcW w:w="884"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vertAlign w:val="baseline"/>
                <w:lang w:val="en-US" w:eastAsia="zh-CN"/>
              </w:rPr>
            </w:pPr>
            <w:r>
              <w:rPr>
                <w:rFonts w:hint="eastAsia" w:ascii="仿宋_GB2312" w:hAnsi="仿宋_GB2312" w:cs="仿宋_GB2312"/>
                <w:color w:val="auto"/>
                <w:sz w:val="28"/>
                <w:szCs w:val="28"/>
                <w:highlight w:val="none"/>
                <w:vertAlign w:val="baseline"/>
                <w:lang w:val="en-US" w:eastAsia="zh-CN"/>
              </w:rPr>
              <w:t>13米货车</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28"/>
                <w:szCs w:val="28"/>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3" w:type="pct"/>
            <w:noWrap w:val="0"/>
            <w:vAlign w:val="center"/>
          </w:tcPr>
          <w:p>
            <w:pPr>
              <w:keepNext w:val="0"/>
              <w:keepLines w:val="0"/>
              <w:pageBreakBefore w:val="0"/>
              <w:widowControl w:val="0"/>
              <w:numPr>
                <w:ilvl w:val="0"/>
                <w:numId w:val="21"/>
              </w:numPr>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8"/>
                <w:szCs w:val="28"/>
                <w:highlight w:val="none"/>
                <w:vertAlign w:val="baseline"/>
                <w:lang w:val="en-US" w:eastAsia="zh-CN"/>
              </w:rPr>
            </w:pPr>
          </w:p>
        </w:tc>
        <w:tc>
          <w:tcPr>
            <w:tcW w:w="2838"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cs="仿宋_GB2312"/>
                <w:color w:val="auto"/>
                <w:sz w:val="28"/>
                <w:szCs w:val="28"/>
                <w:highlight w:val="none"/>
                <w:vertAlign w:val="baseline"/>
                <w:lang w:val="en-US" w:eastAsia="zh-CN"/>
              </w:rPr>
            </w:pPr>
            <w:r>
              <w:rPr>
                <w:rFonts w:hint="eastAsia" w:ascii="仿宋_GB2312" w:hAnsi="仿宋_GB2312" w:cs="仿宋_GB2312"/>
                <w:color w:val="auto"/>
                <w:sz w:val="28"/>
                <w:szCs w:val="28"/>
                <w:highlight w:val="none"/>
                <w:vertAlign w:val="baseline"/>
                <w:lang w:val="en-US" w:eastAsia="zh-CN"/>
              </w:rPr>
              <w:t>其他</w:t>
            </w:r>
          </w:p>
        </w:tc>
        <w:tc>
          <w:tcPr>
            <w:tcW w:w="162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cs="仿宋_GB2312"/>
                <w:color w:val="auto"/>
                <w:sz w:val="28"/>
                <w:szCs w:val="28"/>
                <w:highlight w:val="none"/>
                <w:vertAlign w:val="baseline"/>
                <w:lang w:val="en-US" w:eastAsia="zh-CN"/>
              </w:rPr>
              <w:t>参照上述经协商定价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cs="仿宋_GB2312"/>
                <w:color w:val="auto"/>
                <w:sz w:val="28"/>
                <w:szCs w:val="28"/>
                <w:highlight w:val="none"/>
                <w:vertAlign w:val="baseline"/>
                <w:lang w:val="en-US" w:eastAsia="zh-CN"/>
              </w:rPr>
            </w:pPr>
            <w:r>
              <w:rPr>
                <w:rFonts w:hint="eastAsia" w:ascii="仿宋_GB2312" w:hAnsi="仿宋_GB2312" w:cs="仿宋_GB2312"/>
                <w:color w:val="auto"/>
                <w:sz w:val="28"/>
                <w:szCs w:val="28"/>
                <w:highlight w:val="none"/>
                <w:vertAlign w:val="baseline"/>
                <w:lang w:val="en-US" w:eastAsia="zh-CN"/>
              </w:rPr>
              <w:t>备注：其他类型车辆及路线参照上述报价，经协商确定价格。</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default" w:ascii="仿宋_GB2312" w:hAnsi="仿宋_GB2312" w:cs="仿宋_GB2312"/>
                <w:color w:val="auto"/>
                <w:sz w:val="28"/>
                <w:szCs w:val="28"/>
                <w:highlight w:val="none"/>
                <w:vertAlign w:val="baseline"/>
                <w:lang w:val="en-US" w:eastAsia="zh-CN"/>
              </w:rPr>
            </w:pPr>
            <w:r>
              <w:rPr>
                <w:rFonts w:hint="default" w:ascii="仿宋_GB2312" w:hAnsi="仿宋_GB2312" w:cs="仿宋_GB2312"/>
                <w:color w:val="auto"/>
                <w:sz w:val="28"/>
                <w:szCs w:val="28"/>
                <w:highlight w:val="none"/>
                <w:vertAlign w:val="baseline"/>
                <w:lang w:val="en-US" w:eastAsia="zh-CN"/>
              </w:rPr>
              <w:t>作业相关主要数据如下：</w:t>
            </w:r>
          </w:p>
          <w:p>
            <w:pPr>
              <w:keepNext w:val="0"/>
              <w:keepLines w:val="0"/>
              <w:pageBreakBefore w:val="0"/>
              <w:widowControl w:val="0"/>
              <w:numPr>
                <w:ilvl w:val="0"/>
                <w:numId w:val="22"/>
              </w:numPr>
              <w:kinsoku/>
              <w:wordWrap/>
              <w:overflowPunct/>
              <w:topLinePunct w:val="0"/>
              <w:autoSpaceDE/>
              <w:autoSpaceDN/>
              <w:bidi w:val="0"/>
              <w:adjustRightInd/>
              <w:snapToGrid/>
              <w:spacing w:line="240" w:lineRule="auto"/>
              <w:ind w:firstLine="0" w:firstLineChars="0"/>
              <w:jc w:val="left"/>
              <w:textAlignment w:val="auto"/>
              <w:rPr>
                <w:rFonts w:hint="eastAsia" w:ascii="仿宋_GB2312" w:hAnsi="仿宋_GB2312" w:cs="仿宋_GB2312"/>
                <w:color w:val="auto"/>
                <w:sz w:val="28"/>
                <w:szCs w:val="28"/>
                <w:highlight w:val="none"/>
                <w:vertAlign w:val="baseline"/>
                <w:lang w:val="en-US" w:eastAsia="zh-CN"/>
              </w:rPr>
            </w:pPr>
            <w:r>
              <w:rPr>
                <w:rFonts w:hint="default" w:ascii="仿宋_GB2312" w:hAnsi="仿宋_GB2312" w:cs="仿宋_GB2312"/>
                <w:color w:val="auto"/>
                <w:sz w:val="28"/>
                <w:szCs w:val="28"/>
                <w:highlight w:val="none"/>
                <w:vertAlign w:val="baseline"/>
                <w:lang w:val="en-US" w:eastAsia="zh-CN"/>
              </w:rPr>
              <w:t>装卸货地点：广州航标处仑头基地、南沙</w:t>
            </w:r>
            <w:r>
              <w:rPr>
                <w:rFonts w:hint="eastAsia" w:ascii="仿宋_GB2312" w:hAnsi="仿宋_GB2312" w:cs="仿宋_GB2312"/>
                <w:color w:val="auto"/>
                <w:sz w:val="28"/>
                <w:szCs w:val="28"/>
                <w:highlight w:val="none"/>
                <w:vertAlign w:val="baseline"/>
                <w:lang w:val="en-US" w:eastAsia="zh-CN"/>
              </w:rPr>
              <w:t>港区</w:t>
            </w:r>
            <w:r>
              <w:rPr>
                <w:rFonts w:hint="default" w:ascii="仿宋_GB2312" w:hAnsi="仿宋_GB2312" w:cs="仿宋_GB2312"/>
                <w:color w:val="auto"/>
                <w:sz w:val="28"/>
                <w:szCs w:val="28"/>
                <w:highlight w:val="none"/>
                <w:vertAlign w:val="baseline"/>
                <w:lang w:val="en-US" w:eastAsia="zh-CN"/>
              </w:rPr>
              <w:t>、蛇口港、盐田港、港珠澳大桥处、珠海高栏港口、江门台山、阳江</w:t>
            </w:r>
            <w:r>
              <w:rPr>
                <w:rFonts w:hint="eastAsia" w:ascii="仿宋_GB2312" w:hAnsi="仿宋_GB2312" w:cs="仿宋_GB2312"/>
                <w:color w:val="auto"/>
                <w:sz w:val="28"/>
                <w:szCs w:val="28"/>
                <w:highlight w:val="none"/>
                <w:vertAlign w:val="baseline"/>
                <w:lang w:val="en-US" w:eastAsia="zh-CN"/>
              </w:rPr>
              <w:t>港；</w:t>
            </w:r>
          </w:p>
          <w:p>
            <w:pPr>
              <w:keepNext w:val="0"/>
              <w:keepLines w:val="0"/>
              <w:pageBreakBefore w:val="0"/>
              <w:widowControl w:val="0"/>
              <w:numPr>
                <w:ilvl w:val="0"/>
                <w:numId w:val="22"/>
              </w:numPr>
              <w:kinsoku/>
              <w:wordWrap/>
              <w:overflowPunct/>
              <w:topLinePunct w:val="0"/>
              <w:autoSpaceDE/>
              <w:autoSpaceDN/>
              <w:bidi w:val="0"/>
              <w:adjustRightInd/>
              <w:snapToGrid/>
              <w:spacing w:line="240" w:lineRule="auto"/>
              <w:ind w:firstLine="0" w:firstLineChars="0"/>
              <w:jc w:val="left"/>
              <w:textAlignment w:val="auto"/>
              <w:rPr>
                <w:rFonts w:hint="default" w:ascii="仿宋_GB2312" w:hAnsi="仿宋_GB2312" w:cs="仿宋_GB2312"/>
                <w:color w:val="auto"/>
                <w:sz w:val="28"/>
                <w:szCs w:val="28"/>
                <w:highlight w:val="none"/>
                <w:vertAlign w:val="baseline"/>
                <w:lang w:val="en-US" w:eastAsia="zh-CN"/>
              </w:rPr>
            </w:pPr>
            <w:r>
              <w:rPr>
                <w:rFonts w:hint="default" w:ascii="仿宋_GB2312" w:hAnsi="仿宋_GB2312" w:cs="仿宋_GB2312"/>
                <w:color w:val="auto"/>
                <w:sz w:val="28"/>
                <w:szCs w:val="28"/>
                <w:highlight w:val="none"/>
                <w:vertAlign w:val="baseline"/>
                <w:lang w:val="en-US" w:eastAsia="zh-CN"/>
              </w:rPr>
              <w:t>运输器材：浮标（主要以直径2.4米，高7.</w:t>
            </w:r>
            <w:r>
              <w:rPr>
                <w:rFonts w:hint="eastAsia" w:ascii="仿宋_GB2312" w:hAnsi="仿宋_GB2312" w:cs="仿宋_GB2312"/>
                <w:color w:val="auto"/>
                <w:sz w:val="28"/>
                <w:szCs w:val="28"/>
                <w:highlight w:val="none"/>
                <w:vertAlign w:val="baseline"/>
                <w:lang w:val="en-US" w:eastAsia="zh-CN"/>
              </w:rPr>
              <w:t>6</w:t>
            </w:r>
            <w:r>
              <w:rPr>
                <w:rFonts w:hint="default" w:ascii="仿宋_GB2312" w:hAnsi="仿宋_GB2312" w:cs="仿宋_GB2312"/>
                <w:color w:val="auto"/>
                <w:sz w:val="28"/>
                <w:szCs w:val="28"/>
                <w:highlight w:val="none"/>
                <w:vertAlign w:val="baseline"/>
                <w:lang w:val="en-US" w:eastAsia="zh-CN"/>
              </w:rPr>
              <w:t>米，重约4.8吨类型浮标为主）、沉块（主要以重量5吨实心水泥沉块为主）、锚链等航标器材</w:t>
            </w:r>
            <w:r>
              <w:rPr>
                <w:rFonts w:hint="eastAsia" w:ascii="仿宋_GB2312" w:hAnsi="仿宋_GB2312" w:cs="仿宋_GB2312"/>
                <w:color w:val="auto"/>
                <w:sz w:val="28"/>
                <w:szCs w:val="28"/>
                <w:highlight w:val="none"/>
                <w:vertAlign w:val="baseline"/>
                <w:lang w:val="en-US" w:eastAsia="zh-CN"/>
              </w:rPr>
              <w:t>；</w:t>
            </w:r>
          </w:p>
          <w:p>
            <w:pPr>
              <w:keepNext w:val="0"/>
              <w:keepLines w:val="0"/>
              <w:pageBreakBefore w:val="0"/>
              <w:widowControl w:val="0"/>
              <w:numPr>
                <w:ilvl w:val="0"/>
                <w:numId w:val="22"/>
              </w:numPr>
              <w:kinsoku/>
              <w:wordWrap/>
              <w:overflowPunct/>
              <w:topLinePunct w:val="0"/>
              <w:autoSpaceDE/>
              <w:autoSpaceDN/>
              <w:bidi w:val="0"/>
              <w:adjustRightInd/>
              <w:snapToGrid/>
              <w:spacing w:line="240" w:lineRule="auto"/>
              <w:ind w:firstLine="0" w:firstLineChars="0"/>
              <w:jc w:val="left"/>
              <w:textAlignment w:val="auto"/>
              <w:rPr>
                <w:rFonts w:hint="default" w:ascii="仿宋_GB2312" w:hAnsi="仿宋_GB2312" w:cs="仿宋_GB2312"/>
                <w:color w:val="auto"/>
                <w:sz w:val="28"/>
                <w:szCs w:val="28"/>
                <w:highlight w:val="none"/>
                <w:vertAlign w:val="baseline"/>
                <w:lang w:val="en-US" w:eastAsia="zh-CN"/>
              </w:rPr>
            </w:pPr>
            <w:r>
              <w:rPr>
                <w:rFonts w:hint="default" w:ascii="仿宋_GB2312" w:hAnsi="仿宋_GB2312" w:cs="仿宋_GB2312"/>
                <w:color w:val="auto"/>
                <w:sz w:val="28"/>
                <w:szCs w:val="28"/>
                <w:highlight w:val="none"/>
                <w:vertAlign w:val="baseline"/>
                <w:lang w:val="en-US" w:eastAsia="zh-CN"/>
              </w:rPr>
              <w:t>租车类型：主要以13米平板货车为主，少数情况需要其他类型货车</w:t>
            </w:r>
            <w:r>
              <w:rPr>
                <w:rFonts w:hint="eastAsia" w:ascii="仿宋_GB2312" w:hAnsi="仿宋_GB2312" w:cs="仿宋_GB2312"/>
                <w:color w:val="auto"/>
                <w:sz w:val="28"/>
                <w:szCs w:val="28"/>
                <w:highlight w:val="none"/>
                <w:vertAlign w:val="baseline"/>
                <w:lang w:val="en-US" w:eastAsia="zh-CN"/>
              </w:rPr>
              <w:t>；</w:t>
            </w:r>
          </w:p>
          <w:p>
            <w:pPr>
              <w:keepNext w:val="0"/>
              <w:keepLines w:val="0"/>
              <w:pageBreakBefore w:val="0"/>
              <w:widowControl w:val="0"/>
              <w:numPr>
                <w:ilvl w:val="0"/>
                <w:numId w:val="22"/>
              </w:numPr>
              <w:kinsoku/>
              <w:wordWrap/>
              <w:overflowPunct/>
              <w:topLinePunct w:val="0"/>
              <w:autoSpaceDE/>
              <w:autoSpaceDN/>
              <w:bidi w:val="0"/>
              <w:adjustRightInd/>
              <w:snapToGrid/>
              <w:spacing w:line="240" w:lineRule="auto"/>
              <w:ind w:firstLine="0" w:firstLineChars="0"/>
              <w:jc w:val="left"/>
              <w:textAlignment w:val="auto"/>
              <w:rPr>
                <w:rFonts w:hint="default" w:ascii="仿宋_GB2312" w:hAnsi="仿宋_GB2312" w:cs="仿宋_GB2312"/>
                <w:color w:val="auto"/>
                <w:sz w:val="28"/>
                <w:szCs w:val="28"/>
                <w:highlight w:val="none"/>
                <w:vertAlign w:val="baseline"/>
                <w:lang w:val="en-US" w:eastAsia="zh-CN"/>
              </w:rPr>
            </w:pPr>
            <w:r>
              <w:rPr>
                <w:rFonts w:hint="default" w:ascii="仿宋_GB2312" w:hAnsi="仿宋_GB2312" w:cs="仿宋_GB2312"/>
                <w:color w:val="auto"/>
                <w:sz w:val="28"/>
                <w:szCs w:val="28"/>
                <w:highlight w:val="none"/>
                <w:vertAlign w:val="baseline"/>
                <w:lang w:val="en-US" w:eastAsia="zh-CN"/>
              </w:rPr>
              <w:t>其他信息：平板货车需要自带绑扎带、枕木等固定</w:t>
            </w:r>
            <w:r>
              <w:rPr>
                <w:rFonts w:hint="eastAsia" w:ascii="仿宋_GB2312" w:hAnsi="仿宋_GB2312" w:cs="仿宋_GB2312"/>
                <w:color w:val="auto"/>
                <w:sz w:val="28"/>
                <w:szCs w:val="28"/>
                <w:highlight w:val="none"/>
                <w:vertAlign w:val="baseline"/>
                <w:lang w:val="en-US" w:eastAsia="zh-CN"/>
              </w:rPr>
              <w:t>器材</w:t>
            </w:r>
            <w:r>
              <w:rPr>
                <w:rFonts w:hint="default" w:ascii="仿宋_GB2312" w:hAnsi="仿宋_GB2312" w:cs="仿宋_GB2312"/>
                <w:color w:val="auto"/>
                <w:sz w:val="28"/>
                <w:szCs w:val="28"/>
                <w:highlight w:val="none"/>
                <w:vertAlign w:val="baseline"/>
                <w:lang w:val="en-US" w:eastAsia="zh-CN"/>
              </w:rPr>
              <w:t>，到广州航标处装卸货时，限高不超4.5米。</w:t>
            </w:r>
          </w:p>
        </w:tc>
      </w:tr>
    </w:tbl>
    <w:p>
      <w:pPr>
        <w:ind w:left="0" w:leftChars="0" w:firstLine="0" w:firstLineChars="0"/>
        <w:jc w:val="center"/>
        <w:rPr>
          <w:rFonts w:hint="default" w:ascii="方正小标宋简体" w:hAnsi="方正小标宋简体" w:eastAsia="方正小标宋简体" w:cs="方正小标宋简体"/>
          <w:color w:val="auto"/>
          <w:sz w:val="36"/>
          <w:szCs w:val="28"/>
          <w:highlight w:val="none"/>
          <w:lang w:val="en-US" w:eastAsia="zh-CN"/>
        </w:rPr>
      </w:pPr>
    </w:p>
    <w:p>
      <w:pPr>
        <w:numPr>
          <w:ilvl w:val="0"/>
          <w:numId w:val="0"/>
        </w:numPr>
        <w:jc w:val="both"/>
        <w:rPr>
          <w:rFonts w:hint="eastAsia"/>
          <w:color w:val="auto"/>
          <w:highlight w:val="none"/>
          <w:lang w:val="en-US" w:eastAsia="zh-CN"/>
        </w:rPr>
      </w:pPr>
    </w:p>
    <w:p>
      <w:pPr>
        <w:numPr>
          <w:ilvl w:val="0"/>
          <w:numId w:val="0"/>
        </w:numPr>
        <w:jc w:val="both"/>
        <w:rPr>
          <w:rFonts w:hint="eastAsia"/>
          <w:color w:val="auto"/>
          <w:highlight w:val="none"/>
          <w:lang w:val="en-US" w:eastAsia="zh-CN"/>
        </w:rPr>
        <w:sectPr>
          <w:pgSz w:w="11906" w:h="16838"/>
          <w:pgMar w:top="873" w:right="1797" w:bottom="873" w:left="1797" w:header="720" w:footer="720" w:gutter="0"/>
          <w:cols w:space="0" w:num="1"/>
          <w:rtlGutter w:val="0"/>
          <w:docGrid w:type="lines" w:linePitch="286" w:charSpace="0"/>
        </w:sectPr>
      </w:pPr>
    </w:p>
    <w:p>
      <w:pPr>
        <w:ind w:left="0" w:leftChars="0" w:firstLine="0" w:firstLineChars="0"/>
        <w:jc w:val="both"/>
        <w:rPr>
          <w:rFonts w:hint="eastAsia" w:ascii="方正小标宋简体" w:hAnsi="方正小标宋简体" w:eastAsia="方正小标宋简体" w:cs="方正小标宋简体"/>
          <w:color w:val="auto"/>
          <w:sz w:val="40"/>
          <w:szCs w:val="32"/>
          <w:highlight w:val="none"/>
          <w:lang w:val="en-US" w:eastAsia="zh-CN"/>
        </w:rPr>
      </w:pPr>
      <w:r>
        <w:rPr>
          <w:rFonts w:hint="eastAsia" w:ascii="方正小标宋简体" w:hAnsi="方正小标宋简体" w:eastAsia="方正小标宋简体" w:cs="方正小标宋简体"/>
          <w:color w:val="auto"/>
          <w:sz w:val="24"/>
          <w:szCs w:val="21"/>
          <w:highlight w:val="none"/>
          <w:lang w:val="en-US" w:eastAsia="zh-CN"/>
        </w:rPr>
        <w:t xml:space="preserve">附件2.                    </w:t>
      </w:r>
      <w:r>
        <w:rPr>
          <w:rFonts w:hint="eastAsia" w:ascii="方正小标宋简体" w:hAnsi="方正小标宋简体" w:eastAsia="方正小标宋简体" w:cs="方正小标宋简体"/>
          <w:color w:val="auto"/>
          <w:sz w:val="44"/>
          <w:szCs w:val="44"/>
          <w:highlight w:val="none"/>
          <w:lang w:val="en-US" w:eastAsia="zh-CN"/>
        </w:rPr>
        <w:t>广州航标处租车运输浮标器材季度汇</w:t>
      </w:r>
      <w:r>
        <w:rPr>
          <w:rFonts w:hint="eastAsia" w:ascii="方正小标宋简体" w:hAnsi="方正小标宋简体" w:eastAsia="方正小标宋简体" w:cs="方正小标宋简体"/>
          <w:color w:val="auto"/>
          <w:sz w:val="44"/>
          <w:szCs w:val="36"/>
          <w:highlight w:val="none"/>
          <w:lang w:val="en-US" w:eastAsia="zh-CN"/>
        </w:rPr>
        <w:t>总单</w:t>
      </w:r>
    </w:p>
    <w:p>
      <w:pPr>
        <w:ind w:left="0" w:leftChars="0" w:firstLine="0" w:firstLineChars="0"/>
        <w:jc w:val="center"/>
        <w:rPr>
          <w:rFonts w:hint="eastAsia" w:ascii="仿宋_GB2312" w:hAnsi="仿宋_GB2312" w:eastAsia="仿宋_GB2312" w:cs="仿宋_GB2312"/>
          <w:color w:val="auto"/>
          <w:sz w:val="32"/>
          <w:szCs w:val="24"/>
          <w:highlight w:val="none"/>
          <w:lang w:val="en-US" w:eastAsia="zh-CN"/>
        </w:rPr>
      </w:pPr>
      <w:r>
        <w:rPr>
          <w:rFonts w:hint="eastAsia" w:ascii="仿宋_GB2312" w:hAnsi="仿宋_GB2312" w:eastAsia="仿宋_GB2312" w:cs="仿宋_GB2312"/>
          <w:color w:val="auto"/>
          <w:sz w:val="32"/>
          <w:szCs w:val="24"/>
          <w:highlight w:val="none"/>
          <w:lang w:val="en-US" w:eastAsia="zh-CN"/>
        </w:rPr>
        <w:t>（      年     季度）</w:t>
      </w:r>
    </w:p>
    <w:tbl>
      <w:tblPr>
        <w:tblStyle w:val="1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3"/>
        <w:gridCol w:w="1766"/>
        <w:gridCol w:w="1787"/>
        <w:gridCol w:w="4960"/>
        <w:gridCol w:w="2852"/>
        <w:gridCol w:w="1322"/>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noWrap w:val="0"/>
            <w:vAlign w:val="top"/>
          </w:tcPr>
          <w:p>
            <w:pPr>
              <w:spacing w:line="240" w:lineRule="auto"/>
              <w:jc w:val="center"/>
              <w:rPr>
                <w:rFonts w:hint="default" w:ascii="仿宋_GB2312" w:hAnsi="仿宋_GB2312" w:eastAsia="仿宋_GB2312" w:cs="仿宋_GB2312"/>
                <w:color w:val="auto"/>
                <w:sz w:val="32"/>
                <w:szCs w:val="24"/>
                <w:highlight w:val="none"/>
                <w:vertAlign w:val="baseline"/>
                <w:lang w:val="en-US" w:eastAsia="zh-CN"/>
              </w:rPr>
            </w:pPr>
            <w:r>
              <w:rPr>
                <w:rFonts w:hint="eastAsia" w:ascii="仿宋_GB2312" w:hAnsi="仿宋_GB2312" w:eastAsia="仿宋_GB2312" w:cs="仿宋_GB2312"/>
                <w:color w:val="auto"/>
                <w:sz w:val="32"/>
                <w:szCs w:val="24"/>
                <w:highlight w:val="none"/>
                <w:vertAlign w:val="baseline"/>
                <w:lang w:val="en-US" w:eastAsia="zh-CN"/>
              </w:rPr>
              <w:t>序号</w:t>
            </w:r>
          </w:p>
        </w:tc>
        <w:tc>
          <w:tcPr>
            <w:tcW w:w="577"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auto"/>
                <w:sz w:val="28"/>
                <w:szCs w:val="28"/>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租车类型</w:t>
            </w:r>
          </w:p>
        </w:tc>
        <w:tc>
          <w:tcPr>
            <w:tcW w:w="584"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eastAsia="仿宋_GB2312" w:cs="仿宋_GB2312"/>
                <w:color w:val="auto"/>
                <w:sz w:val="32"/>
                <w:szCs w:val="24"/>
                <w:highlight w:val="none"/>
                <w:vertAlign w:val="baseline"/>
                <w:lang w:val="en-US" w:eastAsia="zh-CN"/>
              </w:rPr>
            </w:pPr>
            <w:r>
              <w:rPr>
                <w:rFonts w:hint="eastAsia" w:ascii="仿宋_GB2312" w:hAnsi="仿宋_GB2312" w:eastAsia="仿宋_GB2312" w:cs="仿宋_GB2312"/>
                <w:color w:val="auto"/>
                <w:sz w:val="28"/>
                <w:szCs w:val="28"/>
                <w:highlight w:val="none"/>
                <w:vertAlign w:val="baseline"/>
                <w:lang w:val="en-US" w:eastAsia="zh-CN"/>
              </w:rPr>
              <w:t>日期</w:t>
            </w:r>
          </w:p>
        </w:tc>
        <w:tc>
          <w:tcPr>
            <w:tcW w:w="1621"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32"/>
                <w:szCs w:val="24"/>
                <w:highlight w:val="none"/>
                <w:vertAlign w:val="baseline"/>
                <w:lang w:val="en-US" w:eastAsia="zh-CN"/>
              </w:rPr>
            </w:pPr>
            <w:r>
              <w:rPr>
                <w:rFonts w:hint="eastAsia" w:ascii="仿宋_GB2312" w:hAnsi="仿宋_GB2312" w:cs="仿宋_GB2312"/>
                <w:color w:val="auto"/>
                <w:sz w:val="28"/>
                <w:szCs w:val="28"/>
                <w:highlight w:val="none"/>
                <w:vertAlign w:val="baseline"/>
                <w:lang w:val="en-US" w:eastAsia="zh-CN"/>
              </w:rPr>
              <w:t>路线</w:t>
            </w:r>
          </w:p>
        </w:tc>
        <w:tc>
          <w:tcPr>
            <w:tcW w:w="932"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color w:val="auto"/>
                <w:sz w:val="32"/>
                <w:szCs w:val="24"/>
                <w:highlight w:val="none"/>
                <w:vertAlign w:val="baseline"/>
                <w:lang w:val="en-US" w:eastAsia="zh-CN"/>
              </w:rPr>
            </w:pPr>
            <w:r>
              <w:rPr>
                <w:rFonts w:hint="eastAsia" w:ascii="仿宋_GB2312" w:hAnsi="仿宋_GB2312" w:cs="仿宋_GB2312"/>
                <w:color w:val="auto"/>
                <w:sz w:val="28"/>
                <w:szCs w:val="28"/>
                <w:highlight w:val="none"/>
                <w:vertAlign w:val="baseline"/>
                <w:lang w:val="en-US" w:eastAsia="zh-CN"/>
              </w:rPr>
              <w:t>单程价格价（车次/元）</w:t>
            </w:r>
          </w:p>
        </w:tc>
        <w:tc>
          <w:tcPr>
            <w:tcW w:w="430"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cs="仿宋_GB2312"/>
                <w:color w:val="auto"/>
                <w:sz w:val="28"/>
                <w:szCs w:val="28"/>
                <w:highlight w:val="none"/>
                <w:vertAlign w:val="baseline"/>
                <w:lang w:val="en-US" w:eastAsia="zh-CN"/>
              </w:rPr>
            </w:pPr>
            <w:r>
              <w:rPr>
                <w:rFonts w:hint="eastAsia" w:ascii="仿宋_GB2312" w:hAnsi="仿宋_GB2312" w:cs="仿宋_GB2312"/>
                <w:color w:val="auto"/>
                <w:sz w:val="28"/>
                <w:szCs w:val="28"/>
                <w:highlight w:val="none"/>
                <w:vertAlign w:val="baseline"/>
                <w:lang w:val="en-US" w:eastAsia="zh-CN"/>
              </w:rPr>
              <w:t>数量（车次）</w:t>
            </w:r>
          </w:p>
        </w:tc>
        <w:tc>
          <w:tcPr>
            <w:tcW w:w="466" w:type="pct"/>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仿宋_GB2312" w:hAnsi="仿宋_GB2312" w:cs="仿宋_GB2312"/>
                <w:color w:val="auto"/>
                <w:sz w:val="28"/>
                <w:szCs w:val="28"/>
                <w:highlight w:val="none"/>
                <w:vertAlign w:val="baseline"/>
                <w:lang w:val="en-US" w:eastAsia="zh-CN"/>
              </w:rPr>
            </w:pPr>
            <w:r>
              <w:rPr>
                <w:rFonts w:hint="eastAsia" w:ascii="仿宋_GB2312" w:hAnsi="仿宋_GB2312" w:cs="仿宋_GB2312"/>
                <w:color w:val="auto"/>
                <w:sz w:val="28"/>
                <w:szCs w:val="28"/>
                <w:highlight w:val="none"/>
                <w:vertAlign w:val="baseline"/>
                <w:lang w:val="en-US" w:eastAsia="zh-CN"/>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noWrap w:val="0"/>
            <w:vAlign w:val="top"/>
          </w:tcPr>
          <w:p>
            <w:pPr>
              <w:numPr>
                <w:ilvl w:val="0"/>
                <w:numId w:val="20"/>
              </w:numPr>
              <w:spacing w:line="240" w:lineRule="auto"/>
              <w:ind w:left="0" w:leftChars="0" w:firstLine="0" w:firstLineChars="0"/>
              <w:jc w:val="center"/>
              <w:rPr>
                <w:rFonts w:hint="default" w:ascii="仿宋_GB2312" w:hAnsi="仿宋_GB2312" w:eastAsia="仿宋_GB2312" w:cs="仿宋_GB2312"/>
                <w:color w:val="auto"/>
                <w:sz w:val="32"/>
                <w:szCs w:val="24"/>
                <w:highlight w:val="none"/>
                <w:vertAlign w:val="baseline"/>
                <w:lang w:val="en-US" w:eastAsia="zh-CN"/>
              </w:rPr>
            </w:pPr>
          </w:p>
        </w:tc>
        <w:tc>
          <w:tcPr>
            <w:tcW w:w="577" w:type="pct"/>
            <w:vMerge w:val="restar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p>
            <w:pPr>
              <w:spacing w:line="240" w:lineRule="auto"/>
              <w:jc w:val="center"/>
              <w:rPr>
                <w:rFonts w:hint="default" w:ascii="仿宋_GB2312" w:hAnsi="仿宋_GB2312" w:eastAsia="仿宋_GB2312" w:cs="仿宋_GB2312"/>
                <w:color w:val="auto"/>
                <w:sz w:val="28"/>
                <w:szCs w:val="22"/>
                <w:highlight w:val="none"/>
                <w:vertAlign w:val="baseline"/>
                <w:lang w:val="en-US" w:eastAsia="zh-CN"/>
              </w:rPr>
            </w:pPr>
            <w:r>
              <w:rPr>
                <w:rFonts w:hint="eastAsia" w:ascii="仿宋_GB2312" w:hAnsi="仿宋_GB2312" w:eastAsia="仿宋_GB2312" w:cs="仿宋_GB2312"/>
                <w:color w:val="auto"/>
                <w:sz w:val="28"/>
                <w:szCs w:val="22"/>
                <w:highlight w:val="none"/>
                <w:vertAlign w:val="baseline"/>
                <w:lang w:val="en-US" w:eastAsia="zh-CN"/>
              </w:rPr>
              <w:t>13米货车</w:t>
            </w:r>
          </w:p>
        </w:tc>
        <w:tc>
          <w:tcPr>
            <w:tcW w:w="584"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1621"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932"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430"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c>
          <w:tcPr>
            <w:tcW w:w="466"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noWrap w:val="0"/>
            <w:vAlign w:val="top"/>
          </w:tcPr>
          <w:p>
            <w:pPr>
              <w:numPr>
                <w:ilvl w:val="0"/>
                <w:numId w:val="20"/>
              </w:numPr>
              <w:spacing w:line="240" w:lineRule="auto"/>
              <w:ind w:left="0" w:leftChars="0" w:firstLine="0" w:firstLineChars="0"/>
              <w:jc w:val="center"/>
              <w:rPr>
                <w:rFonts w:hint="eastAsia" w:ascii="仿宋_GB2312" w:hAnsi="仿宋_GB2312" w:eastAsia="仿宋_GB2312" w:cs="仿宋_GB2312"/>
                <w:color w:val="auto"/>
                <w:sz w:val="32"/>
                <w:szCs w:val="24"/>
                <w:highlight w:val="none"/>
                <w:vertAlign w:val="baseline"/>
                <w:lang w:val="en-US" w:eastAsia="zh-CN"/>
              </w:rPr>
            </w:pPr>
          </w:p>
        </w:tc>
        <w:tc>
          <w:tcPr>
            <w:tcW w:w="577" w:type="pct"/>
            <w:vMerge w:val="continue"/>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584"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1621"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932"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430"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c>
          <w:tcPr>
            <w:tcW w:w="466"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noWrap w:val="0"/>
            <w:vAlign w:val="top"/>
          </w:tcPr>
          <w:p>
            <w:pPr>
              <w:numPr>
                <w:ilvl w:val="0"/>
                <w:numId w:val="20"/>
              </w:numPr>
              <w:spacing w:line="240" w:lineRule="auto"/>
              <w:ind w:left="0" w:leftChars="0" w:firstLine="0" w:firstLineChars="0"/>
              <w:jc w:val="center"/>
              <w:rPr>
                <w:rFonts w:hint="eastAsia" w:ascii="仿宋_GB2312" w:hAnsi="仿宋_GB2312" w:eastAsia="仿宋_GB2312" w:cs="仿宋_GB2312"/>
                <w:color w:val="auto"/>
                <w:sz w:val="32"/>
                <w:szCs w:val="24"/>
                <w:highlight w:val="none"/>
                <w:vertAlign w:val="baseline"/>
                <w:lang w:val="en-US" w:eastAsia="zh-CN"/>
              </w:rPr>
            </w:pPr>
          </w:p>
        </w:tc>
        <w:tc>
          <w:tcPr>
            <w:tcW w:w="577" w:type="pct"/>
            <w:vMerge w:val="continue"/>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584"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1621"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932"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430"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c>
          <w:tcPr>
            <w:tcW w:w="466"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noWrap w:val="0"/>
            <w:vAlign w:val="top"/>
          </w:tcPr>
          <w:p>
            <w:pPr>
              <w:numPr>
                <w:ilvl w:val="0"/>
                <w:numId w:val="20"/>
              </w:numPr>
              <w:spacing w:line="240" w:lineRule="auto"/>
              <w:ind w:left="0" w:leftChars="0" w:firstLine="0" w:firstLineChars="0"/>
              <w:jc w:val="center"/>
              <w:rPr>
                <w:rFonts w:hint="eastAsia" w:ascii="仿宋_GB2312" w:hAnsi="仿宋_GB2312" w:eastAsia="仿宋_GB2312" w:cs="仿宋_GB2312"/>
                <w:color w:val="auto"/>
                <w:sz w:val="32"/>
                <w:szCs w:val="24"/>
                <w:highlight w:val="none"/>
                <w:vertAlign w:val="baseline"/>
                <w:lang w:val="en-US" w:eastAsia="zh-CN"/>
              </w:rPr>
            </w:pPr>
          </w:p>
        </w:tc>
        <w:tc>
          <w:tcPr>
            <w:tcW w:w="577" w:type="pct"/>
            <w:vMerge w:val="continue"/>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584"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1621"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932"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430"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c>
          <w:tcPr>
            <w:tcW w:w="466"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noWrap w:val="0"/>
            <w:vAlign w:val="top"/>
          </w:tcPr>
          <w:p>
            <w:pPr>
              <w:numPr>
                <w:ilvl w:val="0"/>
                <w:numId w:val="20"/>
              </w:numPr>
              <w:spacing w:line="240" w:lineRule="auto"/>
              <w:ind w:left="0" w:leftChars="0" w:firstLine="0" w:firstLineChars="0"/>
              <w:jc w:val="center"/>
              <w:rPr>
                <w:rFonts w:hint="eastAsia" w:ascii="仿宋_GB2312" w:hAnsi="仿宋_GB2312" w:eastAsia="仿宋_GB2312" w:cs="仿宋_GB2312"/>
                <w:color w:val="auto"/>
                <w:sz w:val="32"/>
                <w:szCs w:val="24"/>
                <w:highlight w:val="none"/>
                <w:vertAlign w:val="baseline"/>
                <w:lang w:val="en-US" w:eastAsia="zh-CN"/>
              </w:rPr>
            </w:pPr>
          </w:p>
        </w:tc>
        <w:tc>
          <w:tcPr>
            <w:tcW w:w="577" w:type="pct"/>
            <w:vMerge w:val="continue"/>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584"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1621"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932"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430"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c>
          <w:tcPr>
            <w:tcW w:w="466"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noWrap w:val="0"/>
            <w:vAlign w:val="top"/>
          </w:tcPr>
          <w:p>
            <w:pPr>
              <w:numPr>
                <w:ilvl w:val="0"/>
                <w:numId w:val="20"/>
              </w:numPr>
              <w:spacing w:line="240" w:lineRule="auto"/>
              <w:ind w:left="0" w:leftChars="0" w:firstLine="0" w:firstLineChars="0"/>
              <w:jc w:val="center"/>
              <w:rPr>
                <w:rFonts w:hint="eastAsia" w:ascii="仿宋_GB2312" w:hAnsi="仿宋_GB2312" w:eastAsia="仿宋_GB2312" w:cs="仿宋_GB2312"/>
                <w:color w:val="auto"/>
                <w:sz w:val="32"/>
                <w:szCs w:val="24"/>
                <w:highlight w:val="none"/>
                <w:vertAlign w:val="baseline"/>
                <w:lang w:val="en-US" w:eastAsia="zh-CN"/>
              </w:rPr>
            </w:pPr>
          </w:p>
        </w:tc>
        <w:tc>
          <w:tcPr>
            <w:tcW w:w="577" w:type="pct"/>
            <w:vMerge w:val="continue"/>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584"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1621"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932"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430"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c>
          <w:tcPr>
            <w:tcW w:w="466"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noWrap w:val="0"/>
            <w:vAlign w:val="top"/>
          </w:tcPr>
          <w:p>
            <w:pPr>
              <w:numPr>
                <w:ilvl w:val="0"/>
                <w:numId w:val="20"/>
              </w:numPr>
              <w:spacing w:line="240" w:lineRule="auto"/>
              <w:ind w:left="0" w:leftChars="0" w:firstLine="0" w:firstLineChars="0"/>
              <w:jc w:val="center"/>
              <w:rPr>
                <w:rFonts w:hint="eastAsia" w:ascii="仿宋_GB2312" w:hAnsi="仿宋_GB2312" w:eastAsia="仿宋_GB2312" w:cs="仿宋_GB2312"/>
                <w:color w:val="auto"/>
                <w:sz w:val="32"/>
                <w:szCs w:val="24"/>
                <w:highlight w:val="none"/>
                <w:vertAlign w:val="baseline"/>
                <w:lang w:val="en-US" w:eastAsia="zh-CN"/>
              </w:rPr>
            </w:pPr>
          </w:p>
        </w:tc>
        <w:tc>
          <w:tcPr>
            <w:tcW w:w="577" w:type="pct"/>
            <w:vMerge w:val="continue"/>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584"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1621"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932"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430"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c>
          <w:tcPr>
            <w:tcW w:w="466"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noWrap w:val="0"/>
            <w:vAlign w:val="top"/>
          </w:tcPr>
          <w:p>
            <w:pPr>
              <w:numPr>
                <w:ilvl w:val="0"/>
                <w:numId w:val="20"/>
              </w:numPr>
              <w:spacing w:line="240" w:lineRule="auto"/>
              <w:ind w:left="0" w:leftChars="0" w:firstLine="0" w:firstLineChars="0"/>
              <w:jc w:val="center"/>
              <w:rPr>
                <w:rFonts w:hint="eastAsia" w:ascii="仿宋_GB2312" w:hAnsi="仿宋_GB2312" w:eastAsia="仿宋_GB2312" w:cs="仿宋_GB2312"/>
                <w:color w:val="auto"/>
                <w:sz w:val="32"/>
                <w:szCs w:val="24"/>
                <w:highlight w:val="none"/>
                <w:vertAlign w:val="baseline"/>
                <w:lang w:val="en-US" w:eastAsia="zh-CN"/>
              </w:rPr>
            </w:pPr>
          </w:p>
        </w:tc>
        <w:tc>
          <w:tcPr>
            <w:tcW w:w="577" w:type="pct"/>
            <w:vMerge w:val="restart"/>
            <w:noWrap w:val="0"/>
            <w:vAlign w:val="top"/>
          </w:tcPr>
          <w:p>
            <w:pPr>
              <w:spacing w:line="240" w:lineRule="auto"/>
              <w:jc w:val="center"/>
              <w:rPr>
                <w:rFonts w:hint="default" w:ascii="仿宋_GB2312" w:hAnsi="仿宋_GB2312" w:eastAsia="仿宋_GB2312" w:cs="仿宋_GB2312"/>
                <w:color w:val="auto"/>
                <w:sz w:val="28"/>
                <w:szCs w:val="22"/>
                <w:highlight w:val="none"/>
                <w:vertAlign w:val="baseline"/>
                <w:lang w:val="en-US" w:eastAsia="zh-CN"/>
              </w:rPr>
            </w:pPr>
            <w:r>
              <w:rPr>
                <w:rFonts w:hint="eastAsia" w:ascii="仿宋_GB2312" w:hAnsi="仿宋_GB2312" w:eastAsia="仿宋_GB2312" w:cs="仿宋_GB2312"/>
                <w:color w:val="auto"/>
                <w:sz w:val="28"/>
                <w:szCs w:val="22"/>
                <w:highlight w:val="none"/>
                <w:vertAlign w:val="baseline"/>
                <w:lang w:val="en-US" w:eastAsia="zh-CN"/>
              </w:rPr>
              <w:t>其他类型</w:t>
            </w:r>
          </w:p>
        </w:tc>
        <w:tc>
          <w:tcPr>
            <w:tcW w:w="584"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1621" w:type="pct"/>
            <w:noWrap w:val="0"/>
            <w:vAlign w:val="top"/>
          </w:tcPr>
          <w:p>
            <w:pPr>
              <w:spacing w:line="240" w:lineRule="auto"/>
              <w:jc w:val="center"/>
              <w:rPr>
                <w:rFonts w:hint="eastAsia" w:ascii="仿宋_GB2312" w:hAnsi="仿宋_GB2312" w:eastAsia="仿宋_GB2312" w:cs="仿宋_GB2312"/>
                <w:color w:val="auto"/>
                <w:sz w:val="28"/>
                <w:szCs w:val="22"/>
                <w:highlight w:val="none"/>
                <w:vertAlign w:val="baseline"/>
                <w:lang w:val="en-US" w:eastAsia="zh-CN"/>
              </w:rPr>
            </w:pPr>
          </w:p>
        </w:tc>
        <w:tc>
          <w:tcPr>
            <w:tcW w:w="932" w:type="pct"/>
            <w:noWrap w:val="0"/>
            <w:vAlign w:val="top"/>
          </w:tcPr>
          <w:p>
            <w:pPr>
              <w:spacing w:line="240" w:lineRule="auto"/>
              <w:jc w:val="center"/>
              <w:rPr>
                <w:rFonts w:hint="default" w:ascii="仿宋_GB2312" w:hAnsi="仿宋_GB2312" w:eastAsia="仿宋_GB2312" w:cs="仿宋_GB2312"/>
                <w:color w:val="auto"/>
                <w:sz w:val="28"/>
                <w:szCs w:val="22"/>
                <w:highlight w:val="none"/>
                <w:vertAlign w:val="baseline"/>
                <w:lang w:val="en-US" w:eastAsia="zh-CN"/>
              </w:rPr>
            </w:pPr>
            <w:r>
              <w:rPr>
                <w:rFonts w:hint="eastAsia" w:ascii="仿宋_GB2312" w:hAnsi="仿宋_GB2312" w:eastAsia="仿宋_GB2312" w:cs="仿宋_GB2312"/>
                <w:color w:val="auto"/>
                <w:sz w:val="28"/>
                <w:szCs w:val="22"/>
                <w:highlight w:val="none"/>
                <w:vertAlign w:val="baseline"/>
                <w:lang w:val="en-US" w:eastAsia="zh-CN"/>
              </w:rPr>
              <w:t>（协商价格）</w:t>
            </w:r>
          </w:p>
        </w:tc>
        <w:tc>
          <w:tcPr>
            <w:tcW w:w="430"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c>
          <w:tcPr>
            <w:tcW w:w="466"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7" w:type="pct"/>
            <w:noWrap w:val="0"/>
            <w:vAlign w:val="top"/>
          </w:tcPr>
          <w:p>
            <w:pPr>
              <w:numPr>
                <w:ilvl w:val="0"/>
                <w:numId w:val="20"/>
              </w:numPr>
              <w:spacing w:line="240" w:lineRule="auto"/>
              <w:ind w:left="0" w:leftChars="0" w:firstLine="0" w:firstLineChars="0"/>
              <w:jc w:val="center"/>
              <w:rPr>
                <w:rFonts w:hint="eastAsia" w:ascii="仿宋_GB2312" w:hAnsi="仿宋_GB2312" w:eastAsia="仿宋_GB2312" w:cs="仿宋_GB2312"/>
                <w:color w:val="auto"/>
                <w:sz w:val="32"/>
                <w:szCs w:val="24"/>
                <w:highlight w:val="none"/>
                <w:vertAlign w:val="baseline"/>
                <w:lang w:val="en-US" w:eastAsia="zh-CN"/>
              </w:rPr>
            </w:pPr>
          </w:p>
        </w:tc>
        <w:tc>
          <w:tcPr>
            <w:tcW w:w="577" w:type="pct"/>
            <w:vMerge w:val="continue"/>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c>
          <w:tcPr>
            <w:tcW w:w="584"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c>
          <w:tcPr>
            <w:tcW w:w="1621"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c>
          <w:tcPr>
            <w:tcW w:w="932"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r>
              <w:rPr>
                <w:rFonts w:hint="eastAsia" w:ascii="仿宋_GB2312" w:hAnsi="仿宋_GB2312" w:eastAsia="仿宋_GB2312" w:cs="仿宋_GB2312"/>
                <w:color w:val="auto"/>
                <w:sz w:val="28"/>
                <w:szCs w:val="22"/>
                <w:highlight w:val="none"/>
                <w:vertAlign w:val="baseline"/>
                <w:lang w:val="en-US" w:eastAsia="zh-CN"/>
              </w:rPr>
              <w:t>（协商价格）</w:t>
            </w:r>
          </w:p>
        </w:tc>
        <w:tc>
          <w:tcPr>
            <w:tcW w:w="430"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c>
          <w:tcPr>
            <w:tcW w:w="466"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3" w:type="pct"/>
            <w:gridSpan w:val="6"/>
            <w:noWrap w:val="0"/>
            <w:vAlign w:val="top"/>
          </w:tcPr>
          <w:p>
            <w:pPr>
              <w:spacing w:line="240" w:lineRule="auto"/>
              <w:jc w:val="center"/>
              <w:rPr>
                <w:rFonts w:hint="default" w:ascii="仿宋_GB2312" w:hAnsi="仿宋_GB2312" w:eastAsia="仿宋_GB2312" w:cs="仿宋_GB2312"/>
                <w:color w:val="auto"/>
                <w:sz w:val="32"/>
                <w:szCs w:val="24"/>
                <w:highlight w:val="none"/>
                <w:vertAlign w:val="baseline"/>
                <w:lang w:val="en-US" w:eastAsia="zh-CN"/>
              </w:rPr>
            </w:pPr>
            <w:r>
              <w:rPr>
                <w:rFonts w:hint="eastAsia" w:ascii="仿宋_GB2312" w:hAnsi="仿宋_GB2312" w:eastAsia="仿宋_GB2312" w:cs="仿宋_GB2312"/>
                <w:color w:val="auto"/>
                <w:sz w:val="32"/>
                <w:szCs w:val="24"/>
                <w:highlight w:val="none"/>
                <w:vertAlign w:val="baseline"/>
                <w:lang w:val="en-US" w:eastAsia="zh-CN"/>
              </w:rPr>
              <w:t>合计</w:t>
            </w:r>
          </w:p>
        </w:tc>
        <w:tc>
          <w:tcPr>
            <w:tcW w:w="466" w:type="pct"/>
            <w:noWrap w:val="0"/>
            <w:vAlign w:val="top"/>
          </w:tcPr>
          <w:p>
            <w:pPr>
              <w:spacing w:line="240" w:lineRule="auto"/>
              <w:jc w:val="center"/>
              <w:rPr>
                <w:rFonts w:hint="eastAsia" w:ascii="仿宋_GB2312" w:hAnsi="仿宋_GB2312" w:eastAsia="仿宋_GB2312" w:cs="仿宋_GB2312"/>
                <w:color w:val="auto"/>
                <w:sz w:val="32"/>
                <w:szCs w:val="24"/>
                <w:highlight w:val="none"/>
                <w:vertAlign w:val="baseline"/>
                <w:lang w:val="en-US" w:eastAsia="zh-CN"/>
              </w:rPr>
            </w:pPr>
          </w:p>
        </w:tc>
      </w:tr>
    </w:tbl>
    <w:p>
      <w:pPr>
        <w:adjustRightInd w:val="0"/>
        <w:snapToGrid w:val="0"/>
        <w:spacing w:line="360" w:lineRule="auto"/>
        <w:ind w:left="4935" w:hanging="4935" w:hangingChars="2350"/>
        <w:jc w:val="both"/>
        <w:textAlignment w:val="baseline"/>
        <w:rPr>
          <w:rFonts w:hint="eastAsia" w:ascii="宋体" w:hAnsi="宋体" w:cs="宋体"/>
          <w:color w:val="auto"/>
          <w:szCs w:val="21"/>
          <w:highlight w:val="none"/>
        </w:rPr>
      </w:pPr>
    </w:p>
    <w:p>
      <w:pPr>
        <w:adjustRightInd w:val="0"/>
        <w:snapToGrid w:val="0"/>
        <w:spacing w:line="360" w:lineRule="auto"/>
        <w:ind w:left="4935" w:hanging="6580" w:hangingChars="2350"/>
        <w:jc w:val="both"/>
        <w:textAlignment w:val="baseline"/>
        <w:rPr>
          <w:rFonts w:hint="eastAsia" w:ascii="宋体" w:hAnsi="宋体" w:cs="宋体"/>
          <w:color w:val="auto"/>
          <w:sz w:val="28"/>
          <w:szCs w:val="28"/>
          <w:highlight w:val="none"/>
          <w:lang w:val="en-US" w:eastAsia="zh-CN"/>
        </w:rPr>
      </w:pPr>
      <w:r>
        <w:rPr>
          <w:rFonts w:hint="eastAsia" w:ascii="宋体" w:hAnsi="宋体" w:cs="宋体"/>
          <w:color w:val="auto"/>
          <w:sz w:val="28"/>
          <w:szCs w:val="28"/>
          <w:highlight w:val="none"/>
          <w:lang w:val="en-US" w:eastAsia="zh-CN"/>
        </w:rPr>
        <w:t>甲方经办人签名</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 xml:space="preserve"> 乙方</w:t>
      </w:r>
      <w:r>
        <w:rPr>
          <w:rFonts w:hint="eastAsia" w:ascii="宋体" w:hAnsi="宋体" w:cs="宋体"/>
          <w:color w:val="auto"/>
          <w:sz w:val="28"/>
          <w:szCs w:val="28"/>
          <w:highlight w:val="none"/>
          <w:lang w:val="en-US" w:eastAsia="zh-CN"/>
        </w:rPr>
        <w:t>人员签名</w:t>
      </w:r>
      <w:r>
        <w:rPr>
          <w:rFonts w:hint="eastAsia" w:ascii="宋体" w:hAnsi="宋体" w:cs="宋体"/>
          <w:color w:val="auto"/>
          <w:sz w:val="28"/>
          <w:szCs w:val="28"/>
          <w:highlight w:val="none"/>
        </w:rPr>
        <w:t>：</w:t>
      </w:r>
      <w:r>
        <w:rPr>
          <w:rFonts w:hint="eastAsia" w:ascii="宋体" w:hAnsi="宋体" w:cs="宋体"/>
          <w:color w:val="auto"/>
          <w:sz w:val="28"/>
          <w:szCs w:val="28"/>
          <w:highlight w:val="none"/>
          <w:lang w:val="en-US" w:eastAsia="zh-CN"/>
        </w:rPr>
        <w:t xml:space="preserve"> </w:t>
      </w:r>
    </w:p>
    <w:p>
      <w:pPr>
        <w:adjustRightInd w:val="0"/>
        <w:snapToGrid w:val="0"/>
        <w:spacing w:line="360" w:lineRule="auto"/>
        <w:ind w:left="4935" w:hanging="6580" w:hangingChars="2350"/>
        <w:jc w:val="both"/>
        <w:textAlignment w:val="baseline"/>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甲方业务科室审核：</w:t>
      </w: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 xml:space="preserve">       </w:t>
      </w:r>
    </w:p>
    <w:p>
      <w:pPr>
        <w:adjustRightInd w:val="0"/>
        <w:snapToGrid w:val="0"/>
        <w:spacing w:line="360" w:lineRule="auto"/>
        <w:ind w:left="4935" w:hanging="6580" w:hangingChars="2350"/>
        <w:jc w:val="both"/>
        <w:textAlignment w:val="baseline"/>
        <w:rPr>
          <w:rFonts w:hint="eastAsia" w:ascii="仿宋_GB2312" w:hAnsi="仿宋_GB2312" w:eastAsia="仿宋_GB2312" w:cs="仿宋_GB2312"/>
          <w:color w:val="auto"/>
          <w:sz w:val="32"/>
          <w:szCs w:val="24"/>
          <w:highlight w:val="none"/>
          <w:lang w:val="en-US" w:eastAsia="zh-CN"/>
        </w:rPr>
      </w:pPr>
      <w:r>
        <w:rPr>
          <w:rFonts w:hint="eastAsia" w:ascii="宋体" w:hAnsi="宋体" w:eastAsia="宋体" w:cs="宋体"/>
          <w:color w:val="auto"/>
          <w:sz w:val="28"/>
          <w:szCs w:val="28"/>
          <w:highlight w:val="none"/>
          <w:lang w:val="en-US" w:eastAsia="zh-CN"/>
        </w:rPr>
        <w:t>日期：                                                   日期：</w:t>
      </w:r>
    </w:p>
    <w:p>
      <w:pPr>
        <w:widowControl/>
        <w:tabs>
          <w:tab w:val="left" w:pos="426"/>
        </w:tabs>
        <w:spacing w:line="360" w:lineRule="auto"/>
        <w:jc w:val="left"/>
        <w:rPr>
          <w:rFonts w:ascii="Times New Roman" w:hAnsi="Times New Roman" w:cs="Times New Roman"/>
          <w:b/>
          <w:color w:val="auto"/>
          <w:szCs w:val="21"/>
          <w:highlight w:val="none"/>
        </w:rPr>
      </w:pPr>
    </w:p>
    <w:p>
      <w:pPr>
        <w:rPr>
          <w:rFonts w:ascii="Times New Roman" w:hAnsi="Times New Roman" w:cs="Times New Roman"/>
          <w:color w:val="auto"/>
          <w:highlight w:val="none"/>
          <w:lang w:val="zh-CN"/>
        </w:rPr>
      </w:pPr>
      <w:r>
        <w:rPr>
          <w:rFonts w:ascii="Times New Roman" w:hAnsi="Times New Roman" w:cs="Times New Roman"/>
          <w:color w:val="auto"/>
          <w:highlight w:val="none"/>
          <w:lang w:val="zh-CN"/>
        </w:rPr>
        <w:br w:type="page"/>
      </w:r>
    </w:p>
    <w:p>
      <w:pPr>
        <w:pStyle w:val="13"/>
        <w:spacing w:before="0" w:after="0"/>
        <w:rPr>
          <w:rFonts w:ascii="Times New Roman" w:hAnsi="Times New Roman" w:cs="Times New Roman"/>
          <w:color w:val="auto"/>
          <w:highlight w:val="none"/>
          <w:lang w:val="zh-CN"/>
        </w:rPr>
        <w:sectPr>
          <w:headerReference r:id="rId7" w:type="default"/>
          <w:footerReference r:id="rId8" w:type="default"/>
          <w:pgSz w:w="16838" w:h="11906" w:orient="landscape"/>
          <w:pgMar w:top="1797" w:right="873" w:bottom="1797" w:left="873" w:header="720" w:footer="720" w:gutter="0"/>
          <w:cols w:space="0" w:num="1"/>
          <w:rtlGutter w:val="0"/>
          <w:docGrid w:type="lines" w:linePitch="286" w:charSpace="0"/>
        </w:sectPr>
      </w:pPr>
    </w:p>
    <w:p>
      <w:pPr>
        <w:pStyle w:val="13"/>
        <w:spacing w:before="0" w:after="0"/>
        <w:rPr>
          <w:rFonts w:ascii="Times New Roman" w:hAnsi="Times New Roman" w:cs="Times New Roman"/>
          <w:color w:val="auto"/>
          <w:highlight w:val="none"/>
          <w:lang w:val="zh-CN"/>
        </w:rPr>
      </w:pPr>
      <w:r>
        <w:rPr>
          <w:rFonts w:ascii="Times New Roman" w:hAnsi="Times New Roman" w:cs="Times New Roman"/>
          <w:color w:val="auto"/>
          <w:highlight w:val="none"/>
          <w:lang w:val="zh-CN"/>
        </w:rPr>
        <w:t>第三章 报价附件</w:t>
      </w:r>
    </w:p>
    <w:p>
      <w:pPr>
        <w:pStyle w:val="3"/>
        <w:keepLines w:val="0"/>
        <w:spacing w:before="0" w:after="240" w:line="360" w:lineRule="auto"/>
        <w:ind w:left="720" w:hanging="360"/>
        <w:jc w:val="center"/>
        <w:rPr>
          <w:rFonts w:hint="eastAsia" w:ascii="宋体" w:hAnsi="宋体" w:eastAsia="宋体"/>
          <w:color w:val="auto"/>
          <w:highlight w:val="none"/>
        </w:rPr>
      </w:pPr>
      <w:r>
        <w:rPr>
          <w:rFonts w:hint="eastAsia" w:ascii="宋体" w:hAnsi="宋体" w:eastAsia="宋体"/>
          <w:color w:val="auto"/>
          <w:highlight w:val="none"/>
        </w:rPr>
        <w:t>报 价 表</w:t>
      </w:r>
    </w:p>
    <w:tbl>
      <w:tblPr>
        <w:tblStyle w:val="1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3"/>
        <w:gridCol w:w="2019"/>
        <w:gridCol w:w="1499"/>
        <w:gridCol w:w="1504"/>
        <w:gridCol w:w="1644"/>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序号</w:t>
            </w:r>
          </w:p>
        </w:tc>
        <w:tc>
          <w:tcPr>
            <w:tcW w:w="1184" w:type="pct"/>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路线</w:t>
            </w:r>
          </w:p>
        </w:tc>
        <w:tc>
          <w:tcPr>
            <w:tcW w:w="879" w:type="pct"/>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租车类型</w:t>
            </w:r>
          </w:p>
        </w:tc>
        <w:tc>
          <w:tcPr>
            <w:tcW w:w="882" w:type="pct"/>
            <w:vAlign w:val="center"/>
          </w:tcPr>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单价最高限价</w:t>
            </w:r>
          </w:p>
          <w:p>
            <w:pPr>
              <w:jc w:val="center"/>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（车次/元）</w:t>
            </w:r>
          </w:p>
        </w:tc>
        <w:tc>
          <w:tcPr>
            <w:tcW w:w="964" w:type="pct"/>
            <w:vAlign w:val="center"/>
          </w:tcPr>
          <w:p>
            <w:pPr>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下浮率（%）</w:t>
            </w:r>
          </w:p>
        </w:tc>
        <w:tc>
          <w:tcPr>
            <w:tcW w:w="811" w:type="pct"/>
            <w:vAlign w:val="center"/>
          </w:tcPr>
          <w:p>
            <w:pPr>
              <w:jc w:val="center"/>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pPr>
              <w:numPr>
                <w:ilvl w:val="0"/>
                <w:numId w:val="23"/>
              </w:numPr>
              <w:ind w:left="425" w:leftChars="0" w:hanging="425" w:firstLineChars="0"/>
              <w:jc w:val="center"/>
              <w:rPr>
                <w:rFonts w:hint="eastAsia" w:ascii="宋体" w:hAnsi="宋体" w:eastAsia="宋体" w:cs="宋体"/>
                <w:color w:val="auto"/>
                <w:sz w:val="21"/>
                <w:szCs w:val="21"/>
                <w:highlight w:val="none"/>
                <w:lang w:val="en-US" w:eastAsia="zh-CN"/>
              </w:rPr>
            </w:pPr>
          </w:p>
        </w:tc>
        <w:tc>
          <w:tcPr>
            <w:tcW w:w="1184" w:type="pct"/>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广州航标处-南沙港</w:t>
            </w:r>
          </w:p>
        </w:tc>
        <w:tc>
          <w:tcPr>
            <w:tcW w:w="879"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13米货车</w:t>
            </w:r>
          </w:p>
        </w:tc>
        <w:tc>
          <w:tcPr>
            <w:tcW w:w="882"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1500</w:t>
            </w:r>
          </w:p>
        </w:tc>
        <w:tc>
          <w:tcPr>
            <w:tcW w:w="964" w:type="pct"/>
            <w:vMerge w:val="restart"/>
            <w:vAlign w:val="top"/>
          </w:tcPr>
          <w:p>
            <w:pPr>
              <w:jc w:val="center"/>
              <w:rPr>
                <w:rFonts w:hint="eastAsia" w:ascii="宋体" w:hAnsi="宋体" w:eastAsia="宋体" w:cs="宋体"/>
                <w:color w:val="auto"/>
                <w:sz w:val="21"/>
                <w:szCs w:val="21"/>
                <w:highlight w:val="none"/>
                <w:lang w:val="en-US" w:eastAsia="zh-CN"/>
              </w:rPr>
            </w:pPr>
          </w:p>
        </w:tc>
        <w:tc>
          <w:tcPr>
            <w:tcW w:w="811" w:type="pct"/>
            <w:vAlign w:val="top"/>
          </w:tcPr>
          <w:p>
            <w:pPr>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pPr>
              <w:numPr>
                <w:ilvl w:val="0"/>
                <w:numId w:val="23"/>
              </w:numPr>
              <w:ind w:left="425" w:leftChars="0" w:hanging="425" w:firstLineChars="0"/>
              <w:jc w:val="center"/>
              <w:rPr>
                <w:rFonts w:hint="eastAsia" w:ascii="宋体" w:hAnsi="宋体" w:eastAsia="宋体" w:cs="宋体"/>
                <w:color w:val="auto"/>
                <w:sz w:val="21"/>
                <w:szCs w:val="21"/>
                <w:highlight w:val="none"/>
                <w:lang w:val="en-US" w:eastAsia="zh-CN"/>
              </w:rPr>
            </w:pPr>
          </w:p>
        </w:tc>
        <w:tc>
          <w:tcPr>
            <w:tcW w:w="1184" w:type="pct"/>
            <w:vAlign w:val="top"/>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广州航标处-蛇口港</w:t>
            </w:r>
          </w:p>
        </w:tc>
        <w:tc>
          <w:tcPr>
            <w:tcW w:w="879"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13米货车</w:t>
            </w:r>
          </w:p>
        </w:tc>
        <w:tc>
          <w:tcPr>
            <w:tcW w:w="882"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2400</w:t>
            </w:r>
          </w:p>
        </w:tc>
        <w:tc>
          <w:tcPr>
            <w:tcW w:w="964" w:type="pct"/>
            <w:vMerge w:val="continue"/>
            <w:vAlign w:val="top"/>
          </w:tcPr>
          <w:p>
            <w:pPr>
              <w:jc w:val="center"/>
              <w:rPr>
                <w:rFonts w:hint="eastAsia" w:ascii="宋体" w:hAnsi="宋体" w:eastAsia="宋体" w:cs="宋体"/>
                <w:color w:val="auto"/>
                <w:sz w:val="21"/>
                <w:szCs w:val="21"/>
                <w:highlight w:val="none"/>
                <w:lang w:val="en-US" w:eastAsia="zh-CN"/>
              </w:rPr>
            </w:pPr>
          </w:p>
        </w:tc>
        <w:tc>
          <w:tcPr>
            <w:tcW w:w="811" w:type="pct"/>
            <w:vAlign w:val="top"/>
          </w:tcPr>
          <w:p>
            <w:pPr>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tcPr>
          <w:p>
            <w:pPr>
              <w:numPr>
                <w:ilvl w:val="0"/>
                <w:numId w:val="23"/>
              </w:numPr>
              <w:ind w:left="425" w:leftChars="0" w:hanging="425" w:firstLineChars="0"/>
              <w:jc w:val="center"/>
              <w:rPr>
                <w:rFonts w:hint="eastAsia" w:ascii="宋体" w:hAnsi="宋体" w:eastAsia="宋体" w:cs="宋体"/>
                <w:color w:val="auto"/>
                <w:sz w:val="21"/>
                <w:szCs w:val="21"/>
                <w:highlight w:val="none"/>
                <w:lang w:val="en-US" w:eastAsia="zh-CN"/>
              </w:rPr>
            </w:pPr>
          </w:p>
        </w:tc>
        <w:tc>
          <w:tcPr>
            <w:tcW w:w="1184" w:type="pct"/>
            <w:vAlign w:val="top"/>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广州航标处-盐田港</w:t>
            </w:r>
          </w:p>
        </w:tc>
        <w:tc>
          <w:tcPr>
            <w:tcW w:w="879"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13米货车</w:t>
            </w:r>
          </w:p>
        </w:tc>
        <w:tc>
          <w:tcPr>
            <w:tcW w:w="882"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3800</w:t>
            </w:r>
          </w:p>
        </w:tc>
        <w:tc>
          <w:tcPr>
            <w:tcW w:w="964" w:type="pct"/>
            <w:vMerge w:val="continue"/>
            <w:vAlign w:val="top"/>
          </w:tcPr>
          <w:p>
            <w:pPr>
              <w:jc w:val="center"/>
              <w:rPr>
                <w:rFonts w:hint="eastAsia" w:ascii="宋体" w:hAnsi="宋体" w:eastAsia="宋体" w:cs="宋体"/>
                <w:color w:val="auto"/>
                <w:sz w:val="21"/>
                <w:szCs w:val="21"/>
                <w:highlight w:val="none"/>
                <w:lang w:val="en-US" w:eastAsia="zh-CN"/>
              </w:rPr>
            </w:pPr>
          </w:p>
        </w:tc>
        <w:tc>
          <w:tcPr>
            <w:tcW w:w="811" w:type="pct"/>
            <w:vAlign w:val="top"/>
          </w:tcPr>
          <w:p>
            <w:pPr>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Align w:val="top"/>
          </w:tcPr>
          <w:p>
            <w:pPr>
              <w:numPr>
                <w:ilvl w:val="0"/>
                <w:numId w:val="23"/>
              </w:numPr>
              <w:ind w:left="425" w:leftChars="0" w:hanging="425" w:firstLineChars="0"/>
              <w:jc w:val="center"/>
              <w:rPr>
                <w:rFonts w:hint="eastAsia" w:ascii="宋体" w:hAnsi="宋体" w:eastAsia="宋体" w:cs="宋体"/>
                <w:color w:val="auto"/>
                <w:sz w:val="21"/>
                <w:szCs w:val="21"/>
                <w:highlight w:val="none"/>
                <w:lang w:val="en-US" w:eastAsia="zh-CN"/>
              </w:rPr>
            </w:pPr>
          </w:p>
        </w:tc>
        <w:tc>
          <w:tcPr>
            <w:tcW w:w="1184" w:type="pct"/>
            <w:vAlign w:val="top"/>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广州航标处-江门台山港</w:t>
            </w:r>
          </w:p>
        </w:tc>
        <w:tc>
          <w:tcPr>
            <w:tcW w:w="879"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13米货车</w:t>
            </w:r>
          </w:p>
        </w:tc>
        <w:tc>
          <w:tcPr>
            <w:tcW w:w="882"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3800</w:t>
            </w:r>
          </w:p>
        </w:tc>
        <w:tc>
          <w:tcPr>
            <w:tcW w:w="964" w:type="pct"/>
            <w:vMerge w:val="continue"/>
            <w:vAlign w:val="top"/>
          </w:tcPr>
          <w:p>
            <w:pPr>
              <w:jc w:val="center"/>
              <w:rPr>
                <w:rFonts w:hint="eastAsia" w:ascii="宋体" w:hAnsi="宋体" w:eastAsia="宋体" w:cs="宋体"/>
                <w:color w:val="auto"/>
                <w:sz w:val="21"/>
                <w:szCs w:val="21"/>
                <w:highlight w:val="none"/>
                <w:lang w:val="en-US" w:eastAsia="zh-CN"/>
              </w:rPr>
            </w:pPr>
          </w:p>
        </w:tc>
        <w:tc>
          <w:tcPr>
            <w:tcW w:w="811" w:type="pct"/>
            <w:vAlign w:val="top"/>
          </w:tcPr>
          <w:p>
            <w:pPr>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Align w:val="top"/>
          </w:tcPr>
          <w:p>
            <w:pPr>
              <w:numPr>
                <w:ilvl w:val="0"/>
                <w:numId w:val="23"/>
              </w:numPr>
              <w:ind w:left="425" w:leftChars="0" w:hanging="425" w:firstLineChars="0"/>
              <w:jc w:val="center"/>
              <w:rPr>
                <w:rFonts w:hint="eastAsia" w:ascii="宋体" w:hAnsi="宋体" w:eastAsia="宋体" w:cs="宋体"/>
                <w:color w:val="auto"/>
                <w:sz w:val="21"/>
                <w:szCs w:val="21"/>
                <w:highlight w:val="none"/>
                <w:lang w:val="en-US" w:eastAsia="zh-CN"/>
              </w:rPr>
            </w:pPr>
          </w:p>
        </w:tc>
        <w:tc>
          <w:tcPr>
            <w:tcW w:w="1184" w:type="pct"/>
            <w:vAlign w:val="top"/>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广州航标处-阳江港</w:t>
            </w:r>
          </w:p>
        </w:tc>
        <w:tc>
          <w:tcPr>
            <w:tcW w:w="879"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13米货车</w:t>
            </w:r>
          </w:p>
        </w:tc>
        <w:tc>
          <w:tcPr>
            <w:tcW w:w="882"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4500</w:t>
            </w:r>
          </w:p>
        </w:tc>
        <w:tc>
          <w:tcPr>
            <w:tcW w:w="964" w:type="pct"/>
            <w:vMerge w:val="continue"/>
            <w:vAlign w:val="top"/>
          </w:tcPr>
          <w:p>
            <w:pPr>
              <w:jc w:val="center"/>
              <w:rPr>
                <w:rFonts w:hint="eastAsia" w:ascii="宋体" w:hAnsi="宋体" w:eastAsia="宋体" w:cs="宋体"/>
                <w:color w:val="auto"/>
                <w:sz w:val="21"/>
                <w:szCs w:val="21"/>
                <w:highlight w:val="none"/>
                <w:lang w:val="en-US" w:eastAsia="zh-CN"/>
              </w:rPr>
            </w:pPr>
          </w:p>
        </w:tc>
        <w:tc>
          <w:tcPr>
            <w:tcW w:w="811" w:type="pct"/>
            <w:vAlign w:val="top"/>
          </w:tcPr>
          <w:p>
            <w:pPr>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278" w:type="pct"/>
            <w:vAlign w:val="top"/>
          </w:tcPr>
          <w:p>
            <w:pPr>
              <w:numPr>
                <w:ilvl w:val="0"/>
                <w:numId w:val="23"/>
              </w:numPr>
              <w:ind w:left="425" w:leftChars="0" w:hanging="425" w:firstLineChars="0"/>
              <w:jc w:val="center"/>
              <w:rPr>
                <w:rFonts w:hint="eastAsia" w:ascii="宋体" w:hAnsi="宋体" w:eastAsia="宋体" w:cs="宋体"/>
                <w:color w:val="auto"/>
                <w:sz w:val="21"/>
                <w:szCs w:val="21"/>
                <w:highlight w:val="none"/>
                <w:lang w:val="en-US" w:eastAsia="zh-CN"/>
              </w:rPr>
            </w:pPr>
          </w:p>
        </w:tc>
        <w:tc>
          <w:tcPr>
            <w:tcW w:w="1184" w:type="pct"/>
            <w:vAlign w:val="top"/>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广州航标处-港珠澳大桥航标处</w:t>
            </w:r>
          </w:p>
        </w:tc>
        <w:tc>
          <w:tcPr>
            <w:tcW w:w="879"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13米货车</w:t>
            </w:r>
          </w:p>
        </w:tc>
        <w:tc>
          <w:tcPr>
            <w:tcW w:w="882"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3500</w:t>
            </w:r>
          </w:p>
        </w:tc>
        <w:tc>
          <w:tcPr>
            <w:tcW w:w="964" w:type="pct"/>
            <w:vMerge w:val="continue"/>
            <w:vAlign w:val="top"/>
          </w:tcPr>
          <w:p>
            <w:pPr>
              <w:jc w:val="center"/>
              <w:rPr>
                <w:rFonts w:hint="eastAsia" w:ascii="宋体" w:hAnsi="宋体" w:eastAsia="宋体" w:cs="宋体"/>
                <w:color w:val="auto"/>
                <w:sz w:val="21"/>
                <w:szCs w:val="21"/>
                <w:highlight w:val="none"/>
                <w:lang w:val="en-US" w:eastAsia="zh-CN"/>
              </w:rPr>
            </w:pPr>
          </w:p>
        </w:tc>
        <w:tc>
          <w:tcPr>
            <w:tcW w:w="811" w:type="pct"/>
            <w:vAlign w:val="top"/>
          </w:tcPr>
          <w:p>
            <w:pPr>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78" w:type="pct"/>
            <w:vAlign w:val="top"/>
          </w:tcPr>
          <w:p>
            <w:pPr>
              <w:numPr>
                <w:ilvl w:val="0"/>
                <w:numId w:val="23"/>
              </w:numPr>
              <w:ind w:left="425" w:leftChars="0" w:hanging="425" w:firstLineChars="0"/>
              <w:jc w:val="center"/>
              <w:rPr>
                <w:rFonts w:hint="eastAsia" w:ascii="宋体" w:hAnsi="宋体" w:eastAsia="宋体" w:cs="宋体"/>
                <w:color w:val="auto"/>
                <w:sz w:val="21"/>
                <w:szCs w:val="21"/>
                <w:highlight w:val="none"/>
                <w:lang w:val="en-US" w:eastAsia="zh-CN"/>
              </w:rPr>
            </w:pPr>
          </w:p>
        </w:tc>
        <w:tc>
          <w:tcPr>
            <w:tcW w:w="1184" w:type="pct"/>
            <w:vAlign w:val="top"/>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广州航标处-珠海高栏港</w:t>
            </w:r>
          </w:p>
        </w:tc>
        <w:tc>
          <w:tcPr>
            <w:tcW w:w="879"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13米货车</w:t>
            </w:r>
          </w:p>
        </w:tc>
        <w:tc>
          <w:tcPr>
            <w:tcW w:w="882" w:type="pct"/>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3800</w:t>
            </w:r>
          </w:p>
        </w:tc>
        <w:tc>
          <w:tcPr>
            <w:tcW w:w="964" w:type="pct"/>
            <w:vMerge w:val="continue"/>
            <w:vAlign w:val="top"/>
          </w:tcPr>
          <w:p>
            <w:pPr>
              <w:jc w:val="center"/>
              <w:rPr>
                <w:rFonts w:hint="eastAsia" w:ascii="宋体" w:hAnsi="宋体" w:eastAsia="宋体" w:cs="宋体"/>
                <w:color w:val="auto"/>
                <w:sz w:val="21"/>
                <w:szCs w:val="21"/>
                <w:highlight w:val="none"/>
                <w:lang w:val="en-US" w:eastAsia="zh-CN"/>
              </w:rPr>
            </w:pPr>
          </w:p>
        </w:tc>
        <w:tc>
          <w:tcPr>
            <w:tcW w:w="811" w:type="pct"/>
            <w:vAlign w:val="top"/>
          </w:tcPr>
          <w:p>
            <w:pPr>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 w:type="pct"/>
            <w:vAlign w:val="top"/>
          </w:tcPr>
          <w:p>
            <w:pPr>
              <w:numPr>
                <w:ilvl w:val="0"/>
                <w:numId w:val="23"/>
              </w:numPr>
              <w:ind w:left="425" w:leftChars="0" w:hanging="425" w:firstLineChars="0"/>
              <w:jc w:val="center"/>
              <w:rPr>
                <w:rFonts w:hint="eastAsia" w:ascii="宋体" w:hAnsi="宋体" w:eastAsia="宋体" w:cs="宋体"/>
                <w:color w:val="auto"/>
                <w:sz w:val="21"/>
                <w:szCs w:val="21"/>
                <w:highlight w:val="none"/>
                <w:lang w:val="en-US" w:eastAsia="zh-CN"/>
              </w:rPr>
            </w:pPr>
          </w:p>
        </w:tc>
        <w:tc>
          <w:tcPr>
            <w:tcW w:w="1184" w:type="pct"/>
            <w:vAlign w:val="top"/>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w:t>
            </w:r>
          </w:p>
        </w:tc>
        <w:tc>
          <w:tcPr>
            <w:tcW w:w="3537" w:type="pct"/>
            <w:gridSpan w:val="4"/>
            <w:vAlign w:val="top"/>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参照上述经协商定价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vAlign w:val="top"/>
          </w:tcPr>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备注：其他类型作业参照</w:t>
            </w:r>
            <w:r>
              <w:rPr>
                <w:rFonts w:hint="eastAsia" w:ascii="宋体" w:hAnsi="宋体" w:eastAsia="宋体" w:cs="宋体"/>
                <w:color w:val="auto"/>
                <w:sz w:val="21"/>
                <w:szCs w:val="21"/>
                <w:highlight w:val="none"/>
                <w:lang w:val="en-US" w:eastAsia="zh-CN"/>
              </w:rPr>
              <w:t>上述租车类型单价最高限价</w:t>
            </w:r>
            <w:r>
              <w:rPr>
                <w:rFonts w:hint="eastAsia" w:ascii="宋体" w:hAnsi="宋体" w:eastAsia="宋体" w:cs="宋体"/>
                <w:color w:val="auto"/>
                <w:sz w:val="21"/>
                <w:szCs w:val="21"/>
                <w:highlight w:val="none"/>
                <w:lang w:val="en-US" w:eastAsia="zh-CN"/>
              </w:rPr>
              <w:t>，经协商确定价格。</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作业相关主要数据如下：</w:t>
            </w:r>
          </w:p>
          <w:p>
            <w:pPr>
              <w:numPr>
                <w:ilvl w:val="0"/>
                <w:numId w:val="24"/>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装卸货地点：广州航标处仑头基地、南沙港、蛇口港、盐田港、港珠澳大桥航标处、珠海高栏港、江门台山港、阳江港；</w:t>
            </w:r>
          </w:p>
          <w:p>
            <w:pPr>
              <w:numPr>
                <w:ilvl w:val="0"/>
                <w:numId w:val="24"/>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运输器材：浮标（主要以直径2.4米，高7.6米，重约4.8吨类型浮标为主）、沉块（主要以重量5吨实心水泥沉块为主）、锚链等航标器材；</w:t>
            </w:r>
          </w:p>
          <w:p>
            <w:pPr>
              <w:numPr>
                <w:ilvl w:val="0"/>
                <w:numId w:val="24"/>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租车类型：主要以13米平板货车为主，少数情况需要其他类型货车；</w:t>
            </w:r>
          </w:p>
          <w:p>
            <w:pPr>
              <w:numPr>
                <w:ilvl w:val="0"/>
                <w:numId w:val="0"/>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其他信息：平板货车需要自带绑扎带、枕木等固定器材，到广州航标处装卸货时，限高不超4.5米。</w:t>
            </w:r>
          </w:p>
        </w:tc>
      </w:tr>
    </w:tbl>
    <w:p>
      <w:pPr>
        <w:spacing w:line="500" w:lineRule="exact"/>
        <w:rPr>
          <w:rFonts w:asciiTheme="minorEastAsia" w:hAnsiTheme="minorEastAsia"/>
          <w:b/>
          <w:color w:val="auto"/>
          <w:spacing w:val="4"/>
          <w:szCs w:val="21"/>
          <w:highlight w:val="none"/>
        </w:rPr>
      </w:pPr>
      <w:r>
        <w:rPr>
          <w:rFonts w:hint="eastAsia" w:asciiTheme="minorEastAsia" w:hAnsiTheme="minorEastAsia"/>
          <w:b/>
          <w:color w:val="auto"/>
          <w:spacing w:val="4"/>
          <w:szCs w:val="21"/>
          <w:highlight w:val="none"/>
        </w:rPr>
        <w:t>注：</w:t>
      </w:r>
    </w:p>
    <w:p>
      <w:pPr>
        <w:pStyle w:val="12"/>
        <w:numPr>
          <w:ilvl w:val="0"/>
          <w:numId w:val="25"/>
        </w:numPr>
        <w:shd w:val="clear" w:color="auto" w:fill="FFFFFF"/>
        <w:spacing w:before="0" w:beforeAutospacing="0" w:after="0" w:afterAutospacing="0" w:line="276" w:lineRule="auto"/>
        <w:rPr>
          <w:rFonts w:asciiTheme="minorEastAsia" w:hAnsiTheme="minorEastAsia" w:eastAsiaTheme="minorEastAsia"/>
          <w:b/>
          <w:bCs/>
          <w:color w:val="auto"/>
          <w:sz w:val="21"/>
          <w:szCs w:val="21"/>
          <w:highlight w:val="none"/>
          <w:u w:val="single"/>
        </w:rPr>
      </w:pPr>
      <w:r>
        <w:rPr>
          <w:rFonts w:hint="eastAsia" w:asciiTheme="minorEastAsia" w:hAnsiTheme="minorEastAsia" w:eastAsiaTheme="minorEastAsia"/>
          <w:b/>
          <w:bCs/>
          <w:color w:val="auto"/>
          <w:sz w:val="21"/>
          <w:szCs w:val="21"/>
          <w:highlight w:val="none"/>
          <w:u w:val="single"/>
        </w:rPr>
        <w:t>供应商必须按报价表的格式填写，不得增加或删除表格内容。除项目要求填写的内容外，不得擅自改动报价表内容，</w:t>
      </w:r>
      <w:r>
        <w:rPr>
          <w:rFonts w:hint="eastAsia" w:asciiTheme="minorEastAsia" w:hAnsiTheme="minorEastAsia"/>
          <w:b/>
          <w:bCs/>
          <w:color w:val="auto"/>
          <w:sz w:val="21"/>
          <w:szCs w:val="21"/>
          <w:highlight w:val="none"/>
        </w:rPr>
        <w:t>否则将有可能影响成交结果，不推荐为成交候选人</w:t>
      </w:r>
      <w:r>
        <w:rPr>
          <w:rFonts w:hint="eastAsia" w:asciiTheme="minorEastAsia" w:hAnsiTheme="minorEastAsia"/>
          <w:b/>
          <w:bCs/>
          <w:color w:val="auto"/>
          <w:sz w:val="21"/>
          <w:szCs w:val="21"/>
          <w:highlight w:val="none"/>
          <w:lang w:eastAsia="zh-CN"/>
        </w:rPr>
        <w:t>。</w:t>
      </w:r>
    </w:p>
    <w:p>
      <w:pPr>
        <w:pStyle w:val="12"/>
        <w:numPr>
          <w:ilvl w:val="0"/>
          <w:numId w:val="25"/>
        </w:numPr>
        <w:shd w:val="clear" w:color="auto" w:fill="FFFFFF"/>
        <w:spacing w:before="0" w:beforeAutospacing="0" w:after="0" w:afterAutospacing="0" w:line="276" w:lineRule="auto"/>
        <w:rPr>
          <w:b/>
          <w:color w:val="auto"/>
          <w:sz w:val="21"/>
          <w:szCs w:val="21"/>
          <w:highlight w:val="none"/>
        </w:rPr>
      </w:pPr>
      <w:r>
        <w:rPr>
          <w:rFonts w:hint="eastAsia"/>
          <w:b/>
          <w:color w:val="auto"/>
          <w:sz w:val="21"/>
          <w:szCs w:val="21"/>
          <w:highlight w:val="none"/>
          <w:lang w:val="en-US" w:eastAsia="zh-CN"/>
        </w:rPr>
        <w:t>平台</w:t>
      </w:r>
      <w:r>
        <w:rPr>
          <w:rFonts w:hint="eastAsia"/>
          <w:b/>
          <w:color w:val="auto"/>
          <w:sz w:val="21"/>
          <w:szCs w:val="21"/>
          <w:highlight w:val="none"/>
        </w:rPr>
        <w:t>报价与报价表不一致的，以报价表（经价格核准后的价格）为准。</w:t>
      </w:r>
    </w:p>
    <w:p>
      <w:pPr>
        <w:pStyle w:val="12"/>
        <w:numPr>
          <w:ilvl w:val="0"/>
          <w:numId w:val="25"/>
        </w:numPr>
        <w:shd w:val="clear" w:color="auto" w:fill="FFFFFF"/>
        <w:spacing w:before="0" w:beforeAutospacing="0" w:after="0" w:afterAutospacing="0" w:line="276" w:lineRule="auto"/>
        <w:rPr>
          <w:b/>
          <w:color w:val="auto"/>
          <w:sz w:val="21"/>
          <w:szCs w:val="21"/>
          <w:highlight w:val="none"/>
        </w:rPr>
      </w:pPr>
      <w:r>
        <w:rPr>
          <w:rFonts w:hint="eastAsia"/>
          <w:b/>
          <w:color w:val="auto"/>
          <w:sz w:val="21"/>
          <w:szCs w:val="21"/>
          <w:highlight w:val="none"/>
        </w:rPr>
        <w:t>报价表必须加盖单位公章，否则视为无效报价。</w:t>
      </w:r>
    </w:p>
    <w:p>
      <w:pPr>
        <w:widowControl/>
        <w:numPr>
          <w:ilvl w:val="0"/>
          <w:numId w:val="25"/>
        </w:numPr>
        <w:shd w:val="clear" w:color="auto" w:fill="FFFFFF"/>
        <w:spacing w:line="276" w:lineRule="auto"/>
        <w:jc w:val="left"/>
        <w:rPr>
          <w:rFonts w:ascii="宋体" w:hAnsi="宋体"/>
          <w:b/>
          <w:bCs/>
          <w:color w:val="auto"/>
          <w:highlight w:val="none"/>
          <w:u w:val="single"/>
        </w:rPr>
      </w:pPr>
      <w:r>
        <w:rPr>
          <w:rFonts w:ascii="宋体" w:hAnsi="宋体"/>
          <w:b/>
          <w:bCs/>
          <w:color w:val="auto"/>
          <w:highlight w:val="none"/>
          <w:u w:val="single"/>
        </w:rPr>
        <w:t>下浮率报价没有大于或等于</w:t>
      </w:r>
      <w:r>
        <w:rPr>
          <w:rFonts w:hint="eastAsia" w:ascii="宋体" w:hAnsi="宋体"/>
          <w:b/>
          <w:bCs/>
          <w:color w:val="auto"/>
          <w:highlight w:val="none"/>
          <w:u w:val="single"/>
        </w:rPr>
        <w:t>100</w:t>
      </w:r>
      <w:r>
        <w:rPr>
          <w:rFonts w:ascii="宋体" w:hAnsi="宋体"/>
          <w:b/>
          <w:bCs/>
          <w:color w:val="auto"/>
          <w:highlight w:val="none"/>
          <w:u w:val="single"/>
        </w:rPr>
        <w:t>%，也没有为负数，且是固定唯一值的，否则为无效报</w:t>
      </w:r>
      <w:r>
        <w:rPr>
          <w:rFonts w:ascii="宋体" w:hAnsi="宋体"/>
          <w:b/>
          <w:bCs/>
          <w:color w:val="auto"/>
          <w:highlight w:val="none"/>
          <w:u w:val="single"/>
        </w:rPr>
        <w:t>价</w:t>
      </w:r>
      <w:r>
        <w:rPr>
          <w:rFonts w:hint="eastAsia" w:ascii="宋体" w:hAnsi="宋体"/>
          <w:b/>
          <w:bCs/>
          <w:color w:val="auto"/>
          <w:highlight w:val="none"/>
          <w:u w:val="single"/>
        </w:rPr>
        <w:t>；下浮率高的为成交供应商。供应商所报下浮率为成交下浮率，即：结算单价=对应租车类型的单价最高限价×（1-成交下浮率（%））</w:t>
      </w:r>
      <w:r>
        <w:rPr>
          <w:rFonts w:ascii="宋体" w:hAnsi="宋体"/>
          <w:b/>
          <w:bCs/>
          <w:color w:val="auto"/>
          <w:highlight w:val="none"/>
          <w:u w:val="single"/>
        </w:rPr>
        <w:t>；在本项目合同服务履行期间，该下浮率不作另行调整</w:t>
      </w:r>
      <w:r>
        <w:rPr>
          <w:rFonts w:hint="eastAsia" w:ascii="宋体" w:hAnsi="宋体"/>
          <w:b/>
          <w:bCs/>
          <w:color w:val="auto"/>
          <w:highlight w:val="none"/>
          <w:u w:val="single"/>
          <w:lang w:eastAsia="zh-CN"/>
        </w:rPr>
        <w:t>。</w:t>
      </w:r>
    </w:p>
    <w:p>
      <w:pPr>
        <w:widowControl/>
        <w:numPr>
          <w:ilvl w:val="0"/>
          <w:numId w:val="25"/>
        </w:numPr>
        <w:spacing w:line="340" w:lineRule="exact"/>
        <w:jc w:val="left"/>
        <w:rPr>
          <w:rFonts w:ascii="宋体" w:hAnsi="宋体" w:cs="宋体"/>
          <w:b/>
          <w:bCs/>
          <w:color w:val="auto"/>
          <w:kern w:val="0"/>
          <w:highlight w:val="none"/>
        </w:rPr>
      </w:pPr>
      <w:r>
        <w:rPr>
          <w:rFonts w:hint="eastAsia" w:ascii="宋体" w:hAnsi="宋体" w:cs="宋体"/>
          <w:b/>
          <w:bCs/>
          <w:color w:val="auto"/>
          <w:kern w:val="0"/>
          <w:highlight w:val="none"/>
        </w:rPr>
        <w:t>下浮率的报价均应包含</w:t>
      </w:r>
      <w:r>
        <w:rPr>
          <w:rFonts w:hint="eastAsia"/>
          <w:b/>
          <w:color w:val="auto"/>
          <w:szCs w:val="21"/>
          <w:highlight w:val="none"/>
          <w:lang w:val="en-US" w:eastAsia="zh-CN"/>
        </w:rPr>
        <w:t>人工</w:t>
      </w:r>
      <w:r>
        <w:rPr>
          <w:rFonts w:hint="eastAsia"/>
          <w:b/>
          <w:color w:val="auto"/>
          <w:szCs w:val="21"/>
          <w:highlight w:val="none"/>
        </w:rPr>
        <w:t>、运输、装卸、</w:t>
      </w:r>
      <w:r>
        <w:rPr>
          <w:rFonts w:hint="eastAsia"/>
          <w:b/>
          <w:color w:val="auto"/>
          <w:szCs w:val="21"/>
          <w:highlight w:val="none"/>
          <w:lang w:val="en-US" w:eastAsia="zh-CN"/>
        </w:rPr>
        <w:t>油费</w:t>
      </w:r>
      <w:r>
        <w:rPr>
          <w:rFonts w:hint="eastAsia"/>
          <w:b/>
          <w:color w:val="auto"/>
          <w:szCs w:val="21"/>
          <w:highlight w:val="none"/>
        </w:rPr>
        <w:t>、保险、</w:t>
      </w:r>
      <w:r>
        <w:rPr>
          <w:rFonts w:hint="eastAsia"/>
          <w:b/>
          <w:color w:val="auto"/>
          <w:szCs w:val="21"/>
          <w:highlight w:val="none"/>
          <w:lang w:val="en-US" w:eastAsia="zh-CN"/>
        </w:rPr>
        <w:t>过路费</w:t>
      </w:r>
      <w:r>
        <w:rPr>
          <w:rFonts w:hint="eastAsia"/>
          <w:b/>
          <w:color w:val="auto"/>
          <w:szCs w:val="21"/>
          <w:highlight w:val="none"/>
        </w:rPr>
        <w:t>、税金等一切</w:t>
      </w:r>
      <w:r>
        <w:rPr>
          <w:rFonts w:hint="eastAsia"/>
          <w:b/>
          <w:color w:val="auto"/>
          <w:szCs w:val="21"/>
          <w:highlight w:val="none"/>
          <w:lang w:val="en-US" w:eastAsia="zh-CN"/>
        </w:rPr>
        <w:t>与本项目相关</w:t>
      </w:r>
      <w:r>
        <w:rPr>
          <w:rFonts w:hint="eastAsia"/>
          <w:b/>
          <w:color w:val="auto"/>
          <w:szCs w:val="21"/>
          <w:highlight w:val="none"/>
        </w:rPr>
        <w:t>费用</w:t>
      </w:r>
      <w:r>
        <w:rPr>
          <w:rFonts w:hint="eastAsia" w:ascii="宋体" w:hAnsi="宋体" w:cs="宋体"/>
          <w:b/>
          <w:bCs/>
          <w:color w:val="auto"/>
          <w:kern w:val="0"/>
          <w:highlight w:val="none"/>
        </w:rPr>
        <w:t>。</w:t>
      </w:r>
    </w:p>
    <w:p>
      <w:pPr>
        <w:widowControl/>
        <w:numPr>
          <w:ilvl w:val="0"/>
          <w:numId w:val="25"/>
        </w:numPr>
        <w:spacing w:line="340" w:lineRule="exact"/>
        <w:jc w:val="left"/>
        <w:rPr>
          <w:rFonts w:hint="eastAsia" w:ascii="宋体" w:hAnsi="宋体" w:cs="宋体"/>
          <w:b/>
          <w:bCs/>
          <w:color w:val="auto"/>
          <w:kern w:val="0"/>
          <w:highlight w:val="none"/>
        </w:rPr>
      </w:pPr>
      <w:r>
        <w:rPr>
          <w:rFonts w:hint="eastAsia" w:ascii="宋体" w:hAnsi="宋体" w:cs="宋体"/>
          <w:b/>
          <w:bCs/>
          <w:color w:val="auto"/>
          <w:kern w:val="0"/>
          <w:highlight w:val="none"/>
        </w:rPr>
        <w:t>本项目不接受有选择性的报价，只允许报一个下浮率，且所报的下浮率应当适用于服务清单中的每种租车类型</w:t>
      </w:r>
      <w:r>
        <w:rPr>
          <w:rFonts w:hint="eastAsia" w:ascii="宋体" w:hAnsi="宋体" w:cs="宋体"/>
          <w:b/>
          <w:bCs/>
          <w:color w:val="auto"/>
          <w:kern w:val="0"/>
          <w:highlight w:val="none"/>
          <w:lang w:eastAsia="zh-CN"/>
        </w:rPr>
        <w:t>。</w:t>
      </w:r>
    </w:p>
    <w:p>
      <w:pPr>
        <w:wordWrap w:val="0"/>
        <w:spacing w:line="360" w:lineRule="auto"/>
        <w:ind w:right="218"/>
        <w:jc w:val="right"/>
        <w:rPr>
          <w:rFonts w:ascii="宋体" w:hAnsi="宋体"/>
          <w:color w:val="auto"/>
          <w:spacing w:val="4"/>
          <w:szCs w:val="21"/>
          <w:highlight w:val="none"/>
        </w:rPr>
      </w:pPr>
    </w:p>
    <w:p>
      <w:pPr>
        <w:wordWrap w:val="0"/>
        <w:spacing w:line="360" w:lineRule="auto"/>
        <w:ind w:right="218"/>
        <w:jc w:val="right"/>
        <w:rPr>
          <w:rFonts w:ascii="宋体" w:hAnsi="宋体"/>
          <w:color w:val="auto"/>
          <w:szCs w:val="21"/>
          <w:highlight w:val="none"/>
          <w:u w:val="single"/>
        </w:rPr>
      </w:pPr>
      <w:r>
        <w:rPr>
          <w:rFonts w:hint="eastAsia" w:ascii="宋体" w:hAnsi="宋体"/>
          <w:color w:val="auto"/>
          <w:spacing w:val="4"/>
          <w:szCs w:val="21"/>
          <w:highlight w:val="none"/>
        </w:rPr>
        <w:t>供应商名称（</w:t>
      </w:r>
      <w:r>
        <w:rPr>
          <w:rFonts w:hint="eastAsia" w:ascii="宋体" w:hAnsi="宋体"/>
          <w:color w:val="auto"/>
          <w:szCs w:val="21"/>
          <w:highlight w:val="none"/>
        </w:rPr>
        <w:t>单位盖</w:t>
      </w:r>
      <w:r>
        <w:rPr>
          <w:rFonts w:hint="eastAsia" w:ascii="宋体" w:hAnsi="宋体"/>
          <w:color w:val="auto"/>
          <w:spacing w:val="4"/>
          <w:szCs w:val="21"/>
          <w:highlight w:val="none"/>
        </w:rPr>
        <w:t>公章）：</w:t>
      </w:r>
      <w:r>
        <w:rPr>
          <w:rFonts w:hint="eastAsia" w:ascii="宋体" w:hAnsi="宋体"/>
          <w:color w:val="auto"/>
          <w:spacing w:val="4"/>
          <w:szCs w:val="21"/>
          <w:highlight w:val="none"/>
          <w:u w:val="single"/>
        </w:rPr>
        <w:t xml:space="preserve">          </w:t>
      </w:r>
    </w:p>
    <w:p>
      <w:pPr>
        <w:spacing w:line="360" w:lineRule="auto"/>
        <w:ind w:right="210"/>
        <w:jc w:val="right"/>
        <w:rPr>
          <w:rFonts w:ascii="宋体" w:hAnsi="宋体"/>
          <w:color w:val="auto"/>
          <w:szCs w:val="21"/>
          <w:highlight w:val="none"/>
          <w:u w:val="single"/>
        </w:rPr>
      </w:pPr>
    </w:p>
    <w:p>
      <w:pPr>
        <w:wordWrap w:val="0"/>
        <w:spacing w:line="360" w:lineRule="auto"/>
        <w:jc w:val="right"/>
        <w:rPr>
          <w:rFonts w:ascii="宋体" w:hAnsi="宋体"/>
          <w:color w:val="auto"/>
          <w:szCs w:val="21"/>
          <w:highlight w:val="none"/>
          <w:u w:val="single"/>
        </w:rPr>
      </w:pPr>
      <w:r>
        <w:rPr>
          <w:rFonts w:hint="eastAsia" w:ascii="宋体" w:hAnsi="宋体"/>
          <w:color w:val="auto"/>
          <w:spacing w:val="4"/>
          <w:szCs w:val="21"/>
          <w:highlight w:val="none"/>
        </w:rPr>
        <w:t>日期：</w:t>
      </w:r>
      <w:r>
        <w:rPr>
          <w:rFonts w:hint="eastAsia" w:ascii="宋体" w:hAnsi="宋体"/>
          <w:color w:val="auto"/>
          <w:spacing w:val="4"/>
          <w:szCs w:val="21"/>
          <w:highlight w:val="none"/>
          <w:u w:val="single"/>
        </w:rPr>
        <w:t xml:space="preserve">          </w:t>
      </w:r>
    </w:p>
    <w:p>
      <w:pPr>
        <w:pStyle w:val="25"/>
        <w:wordWrap w:val="0"/>
        <w:spacing w:line="360" w:lineRule="auto"/>
        <w:ind w:left="1200" w:right="218" w:firstLine="0" w:firstLineChars="0"/>
        <w:jc w:val="right"/>
        <w:rPr>
          <w:rFonts w:ascii="宋体" w:hAnsi="宋体"/>
          <w:color w:val="auto"/>
          <w:szCs w:val="21"/>
          <w:highlight w:val="none"/>
          <w:u w:val="single"/>
        </w:rPr>
      </w:pPr>
      <w:r>
        <w:rPr>
          <w:color w:val="auto"/>
          <w:highlight w:val="none"/>
          <w:lang w:val="zh-CN"/>
        </w:rPr>
        <w:br w:type="page"/>
      </w:r>
      <w:r>
        <w:rPr>
          <w:rFonts w:hint="eastAsia" w:ascii="宋体" w:hAnsi="宋体"/>
          <w:color w:val="auto"/>
          <w:spacing w:val="4"/>
          <w:szCs w:val="21"/>
          <w:highlight w:val="none"/>
          <w:u w:val="single"/>
        </w:rPr>
        <w:t xml:space="preserve"> </w:t>
      </w:r>
    </w:p>
    <w:p>
      <w:pPr>
        <w:pStyle w:val="3"/>
        <w:keepLines w:val="0"/>
        <w:spacing w:before="0" w:after="240" w:line="360" w:lineRule="auto"/>
        <w:ind w:left="720" w:hanging="360"/>
        <w:jc w:val="center"/>
        <w:rPr>
          <w:rFonts w:ascii="Times New Roman" w:hAnsi="Times New Roman" w:eastAsia="宋体"/>
          <w:color w:val="auto"/>
          <w:highlight w:val="none"/>
        </w:rPr>
      </w:pPr>
      <w:r>
        <w:rPr>
          <w:rFonts w:ascii="Times New Roman" w:hAnsi="Times New Roman" w:eastAsia="宋体"/>
          <w:color w:val="auto"/>
          <w:highlight w:val="none"/>
        </w:rPr>
        <w:t>用户需求书响应声明函</w:t>
      </w:r>
    </w:p>
    <w:p>
      <w:pPr>
        <w:spacing w:line="360" w:lineRule="auto"/>
        <w:rPr>
          <w:rFonts w:ascii="Times New Roman" w:hAnsi="Times New Roman" w:eastAsia="宋体" w:cs="Times New Roman"/>
          <w:b/>
          <w:color w:val="auto"/>
          <w:szCs w:val="21"/>
          <w:highlight w:val="none"/>
        </w:rPr>
      </w:pPr>
      <w:r>
        <w:rPr>
          <w:rFonts w:ascii="Times New Roman" w:hAnsi="Times New Roman" w:eastAsia="宋体" w:cs="Times New Roman"/>
          <w:b/>
          <w:color w:val="auto"/>
          <w:szCs w:val="21"/>
          <w:highlight w:val="none"/>
        </w:rPr>
        <w:t>致：交通运输部南海航海保障中心广州航标处、</w:t>
      </w:r>
      <w:r>
        <w:rPr>
          <w:rFonts w:hint="eastAsia" w:ascii="Times New Roman" w:hAnsi="Times New Roman" w:eastAsia="宋体" w:cs="Times New Roman"/>
          <w:b/>
          <w:color w:val="auto"/>
          <w:highlight w:val="none"/>
        </w:rPr>
        <w:t>采联国际招标采购集团有限公司</w:t>
      </w:r>
    </w:p>
    <w:p>
      <w:pPr>
        <w:spacing w:line="360" w:lineRule="auto"/>
        <w:rPr>
          <w:rFonts w:ascii="Times New Roman" w:hAnsi="Times New Roman" w:eastAsia="宋体" w:cs="Times New Roman"/>
          <w:color w:val="auto"/>
          <w:highlight w:val="none"/>
          <w:lang w:val="zh-CN"/>
        </w:rPr>
      </w:pPr>
    </w:p>
    <w:p>
      <w:pPr>
        <w:snapToGrid w:val="0"/>
        <w:spacing w:line="360" w:lineRule="auto"/>
        <w:ind w:firstLine="420" w:firstLineChars="20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关于贵单位、贵司发布</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b/>
          <w:bCs/>
          <w:color w:val="auto"/>
          <w:szCs w:val="32"/>
          <w:highlight w:val="none"/>
          <w:u w:val="single"/>
          <w:lang w:eastAsia="zh-CN"/>
        </w:rPr>
        <w:t>广州航标处租车运输浮标器材服务项目</w:t>
      </w:r>
      <w:r>
        <w:rPr>
          <w:rFonts w:ascii="Times New Roman" w:hAnsi="Times New Roman" w:eastAsia="宋体" w:cs="Times New Roman"/>
          <w:color w:val="auto"/>
          <w:szCs w:val="21"/>
          <w:highlight w:val="none"/>
          <w:u w:val="single"/>
        </w:rPr>
        <w:t xml:space="preserve"> </w:t>
      </w:r>
      <w:r>
        <w:rPr>
          <w:rFonts w:ascii="Times New Roman" w:hAnsi="Times New Roman" w:eastAsia="宋体" w:cs="Times New Roman"/>
          <w:color w:val="auto"/>
          <w:szCs w:val="21"/>
          <w:highlight w:val="none"/>
        </w:rPr>
        <w:t>项目的</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rPr>
        <w:t>公告，本公司（企业）愿意参加</w:t>
      </w:r>
      <w:r>
        <w:rPr>
          <w:rFonts w:hint="eastAsia" w:ascii="Times New Roman" w:hAnsi="Times New Roman" w:eastAsia="宋体" w:cs="Times New Roman"/>
          <w:color w:val="auto"/>
          <w:szCs w:val="21"/>
          <w:highlight w:val="none"/>
        </w:rPr>
        <w:t>比价</w:t>
      </w:r>
      <w:r>
        <w:rPr>
          <w:rFonts w:ascii="Times New Roman" w:hAnsi="Times New Roman" w:eastAsia="宋体" w:cs="Times New Roman"/>
          <w:color w:val="auto"/>
          <w:szCs w:val="21"/>
          <w:highlight w:val="none"/>
        </w:rPr>
        <w:t>活动，并作出如下声明：</w:t>
      </w:r>
    </w:p>
    <w:p>
      <w:pPr>
        <w:pStyle w:val="35"/>
        <w:tabs>
          <w:tab w:val="left" w:pos="426"/>
        </w:tabs>
        <w:snapToGrid w:val="0"/>
        <w:spacing w:line="360" w:lineRule="auto"/>
        <w:ind w:firstLineChars="0"/>
        <w:rPr>
          <w:color w:val="auto"/>
          <w:highlight w:val="none"/>
        </w:rPr>
      </w:pPr>
      <w:r>
        <w:rPr>
          <w:color w:val="auto"/>
          <w:highlight w:val="none"/>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35"/>
        <w:tabs>
          <w:tab w:val="left" w:pos="426"/>
        </w:tabs>
        <w:snapToGrid w:val="0"/>
        <w:spacing w:line="360" w:lineRule="auto"/>
        <w:ind w:firstLineChars="0"/>
        <w:rPr>
          <w:color w:val="auto"/>
          <w:highlight w:val="none"/>
        </w:rPr>
      </w:pPr>
      <w:r>
        <w:rPr>
          <w:color w:val="auto"/>
          <w:highlight w:val="none"/>
        </w:rPr>
        <w:t>本公司（企业）承诺在本次采购活动中，如有违法、违规、弄虚作假行为，所造成的损失、不良后果及法律责任，一律由本公司（企业）承担。</w:t>
      </w:r>
    </w:p>
    <w:p>
      <w:pPr>
        <w:autoSpaceDE w:val="0"/>
        <w:autoSpaceDN w:val="0"/>
        <w:adjustRightInd w:val="0"/>
        <w:spacing w:line="360" w:lineRule="auto"/>
        <w:ind w:firstLine="413" w:firstLineChars="196"/>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备注：</w:t>
      </w:r>
    </w:p>
    <w:p>
      <w:pPr>
        <w:pStyle w:val="25"/>
        <w:numPr>
          <w:ilvl w:val="0"/>
          <w:numId w:val="26"/>
        </w:numPr>
        <w:autoSpaceDE w:val="0"/>
        <w:autoSpaceDN w:val="0"/>
        <w:adjustRightInd w:val="0"/>
        <w:spacing w:line="360" w:lineRule="auto"/>
        <w:ind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本声明函必须提供且内容不得擅自删改，否则视为响应无效。</w:t>
      </w:r>
    </w:p>
    <w:p>
      <w:pPr>
        <w:pStyle w:val="25"/>
        <w:numPr>
          <w:ilvl w:val="0"/>
          <w:numId w:val="26"/>
        </w:numPr>
        <w:snapToGrid w:val="0"/>
        <w:spacing w:line="360" w:lineRule="auto"/>
        <w:ind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本声明函如有虚假或与事实不符的，作无效报价处理。</w:t>
      </w:r>
    </w:p>
    <w:p>
      <w:pPr>
        <w:widowControl/>
        <w:spacing w:line="360" w:lineRule="auto"/>
        <w:jc w:val="left"/>
        <w:rPr>
          <w:rFonts w:ascii="Times New Roman" w:hAnsi="Times New Roman" w:eastAsia="宋体" w:cs="Times New Roman"/>
          <w:b/>
          <w:bCs/>
          <w:color w:val="auto"/>
          <w:kern w:val="0"/>
          <w:sz w:val="32"/>
          <w:szCs w:val="32"/>
          <w:highlight w:val="none"/>
        </w:rPr>
      </w:pPr>
    </w:p>
    <w:p>
      <w:pPr>
        <w:wordWrap w:val="0"/>
        <w:spacing w:line="360" w:lineRule="auto"/>
        <w:jc w:val="right"/>
        <w:rPr>
          <w:rFonts w:ascii="Times New Roman" w:hAnsi="Times New Roman" w:eastAsia="宋体" w:cs="Times New Roman"/>
          <w:color w:val="auto"/>
          <w:szCs w:val="21"/>
          <w:highlight w:val="none"/>
          <w:u w:val="single"/>
        </w:rPr>
      </w:pPr>
      <w:r>
        <w:rPr>
          <w:rFonts w:ascii="Times New Roman" w:hAnsi="Times New Roman" w:eastAsia="宋体" w:cs="Times New Roman"/>
          <w:color w:val="auto"/>
          <w:spacing w:val="4"/>
          <w:szCs w:val="21"/>
          <w:highlight w:val="none"/>
        </w:rPr>
        <w:t>供应商名称（</w:t>
      </w:r>
      <w:r>
        <w:rPr>
          <w:rFonts w:ascii="Times New Roman" w:hAnsi="Times New Roman" w:eastAsia="宋体" w:cs="Times New Roman"/>
          <w:color w:val="auto"/>
          <w:szCs w:val="21"/>
          <w:highlight w:val="none"/>
        </w:rPr>
        <w:t>单位盖</w:t>
      </w:r>
      <w:r>
        <w:rPr>
          <w:rFonts w:ascii="Times New Roman" w:hAnsi="Times New Roman" w:eastAsia="宋体" w:cs="Times New Roman"/>
          <w:color w:val="auto"/>
          <w:spacing w:val="4"/>
          <w:szCs w:val="21"/>
          <w:highlight w:val="none"/>
        </w:rPr>
        <w:t>公章）：</w:t>
      </w:r>
      <w:r>
        <w:rPr>
          <w:rFonts w:ascii="Times New Roman" w:hAnsi="Times New Roman" w:eastAsia="宋体" w:cs="Times New Roman"/>
          <w:color w:val="auto"/>
          <w:spacing w:val="4"/>
          <w:szCs w:val="21"/>
          <w:highlight w:val="none"/>
          <w:u w:val="single"/>
        </w:rPr>
        <w:t xml:space="preserve">          </w:t>
      </w:r>
    </w:p>
    <w:p>
      <w:pPr>
        <w:spacing w:line="360" w:lineRule="auto"/>
        <w:ind w:firstLine="105" w:firstLineChars="50"/>
        <w:jc w:val="right"/>
        <w:rPr>
          <w:rFonts w:ascii="Times New Roman" w:hAnsi="Times New Roman" w:eastAsia="宋体" w:cs="Times New Roman"/>
          <w:color w:val="auto"/>
          <w:szCs w:val="21"/>
          <w:highlight w:val="none"/>
          <w:u w:val="single"/>
        </w:rPr>
      </w:pPr>
    </w:p>
    <w:p>
      <w:pPr>
        <w:wordWrap w:val="0"/>
        <w:spacing w:line="360" w:lineRule="auto"/>
        <w:jc w:val="right"/>
        <w:rPr>
          <w:rFonts w:ascii="Times New Roman" w:hAnsi="Times New Roman" w:eastAsia="宋体" w:cs="Times New Roman"/>
          <w:color w:val="auto"/>
          <w:szCs w:val="21"/>
          <w:highlight w:val="none"/>
          <w:u w:val="single"/>
        </w:rPr>
      </w:pPr>
      <w:r>
        <w:rPr>
          <w:rFonts w:ascii="Times New Roman" w:hAnsi="Times New Roman" w:eastAsia="宋体" w:cs="Times New Roman"/>
          <w:color w:val="auto"/>
          <w:spacing w:val="4"/>
          <w:szCs w:val="21"/>
          <w:highlight w:val="none"/>
        </w:rPr>
        <w:t>日期：</w:t>
      </w:r>
      <w:r>
        <w:rPr>
          <w:rFonts w:ascii="Times New Roman" w:hAnsi="Times New Roman" w:eastAsia="宋体" w:cs="Times New Roman"/>
          <w:color w:val="auto"/>
          <w:spacing w:val="4"/>
          <w:szCs w:val="21"/>
          <w:highlight w:val="none"/>
          <w:u w:val="single"/>
        </w:rPr>
        <w:t xml:space="preserve">          </w:t>
      </w:r>
    </w:p>
    <w:p>
      <w:pPr>
        <w:widowControl/>
        <w:spacing w:line="360" w:lineRule="auto"/>
        <w:jc w:val="right"/>
        <w:rPr>
          <w:rFonts w:ascii="Times New Roman" w:hAnsi="Times New Roman" w:eastAsia="宋体" w:cs="Times New Roman"/>
          <w:b/>
          <w:bCs/>
          <w:color w:val="auto"/>
          <w:kern w:val="0"/>
          <w:sz w:val="32"/>
          <w:szCs w:val="32"/>
          <w:highlight w:val="none"/>
          <w:lang w:val="zh-CN"/>
        </w:rPr>
      </w:pPr>
    </w:p>
    <w:p>
      <w:pPr>
        <w:spacing w:line="360" w:lineRule="auto"/>
        <w:rPr>
          <w:rFonts w:ascii="Times New Roman" w:hAnsi="Times New Roman" w:eastAsia="宋体" w:cs="Times New Roman"/>
          <w:color w:val="auto"/>
          <w:highlight w:val="none"/>
        </w:rPr>
      </w:pPr>
    </w:p>
    <w:p>
      <w:pPr>
        <w:widowControl/>
        <w:spacing w:line="360" w:lineRule="auto"/>
        <w:jc w:val="left"/>
        <w:rPr>
          <w:rFonts w:ascii="Times New Roman" w:hAnsi="Times New Roman" w:eastAsia="宋体" w:cs="Times New Roman"/>
          <w:b/>
          <w:bCs/>
          <w:color w:val="auto"/>
          <w:kern w:val="0"/>
          <w:sz w:val="32"/>
          <w:szCs w:val="32"/>
          <w:highlight w:val="none"/>
          <w:lang w:val="zh-CN"/>
        </w:rPr>
      </w:pPr>
      <w:r>
        <w:rPr>
          <w:rFonts w:ascii="Times New Roman" w:hAnsi="Times New Roman" w:eastAsia="宋体" w:cs="Times New Roman"/>
          <w:color w:val="auto"/>
          <w:highlight w:val="none"/>
        </w:rPr>
        <w:br w:type="page"/>
      </w:r>
    </w:p>
    <w:p>
      <w:pPr>
        <w:pStyle w:val="3"/>
        <w:spacing w:before="0" w:after="0"/>
        <w:jc w:val="center"/>
        <w:rPr>
          <w:rFonts w:ascii="Times New Roman" w:hAnsi="Times New Roman" w:eastAsia="宋体"/>
          <w:color w:val="auto"/>
          <w:highlight w:val="none"/>
        </w:rPr>
      </w:pPr>
      <w:r>
        <w:rPr>
          <w:rFonts w:ascii="Times New Roman" w:hAnsi="Times New Roman" w:eastAsia="宋体"/>
          <w:color w:val="auto"/>
          <w:highlight w:val="none"/>
        </w:rPr>
        <w:t>供应商资格声明函</w:t>
      </w:r>
    </w:p>
    <w:p>
      <w:pPr>
        <w:rPr>
          <w:rFonts w:ascii="Times New Roman" w:hAnsi="Times New Roman" w:eastAsia="宋体" w:cs="Times New Roman"/>
          <w:b/>
          <w:color w:val="auto"/>
          <w:szCs w:val="24"/>
          <w:highlight w:val="none"/>
        </w:rPr>
      </w:pPr>
    </w:p>
    <w:p>
      <w:pPr>
        <w:rPr>
          <w:rFonts w:ascii="Times New Roman" w:hAnsi="Times New Roman" w:eastAsia="宋体" w:cs="Times New Roman"/>
          <w:b/>
          <w:color w:val="auto"/>
          <w:szCs w:val="24"/>
          <w:highlight w:val="none"/>
        </w:rPr>
      </w:pPr>
      <w:r>
        <w:rPr>
          <w:rFonts w:ascii="Times New Roman" w:hAnsi="Times New Roman" w:eastAsia="宋体" w:cs="Times New Roman"/>
          <w:b/>
          <w:color w:val="auto"/>
          <w:szCs w:val="21"/>
          <w:highlight w:val="none"/>
        </w:rPr>
        <w:t>致：</w:t>
      </w:r>
      <w:r>
        <w:rPr>
          <w:rFonts w:ascii="Times New Roman" w:hAnsi="Times New Roman" w:eastAsia="宋体" w:cs="Times New Roman"/>
          <w:b/>
          <w:color w:val="auto"/>
          <w:szCs w:val="24"/>
          <w:highlight w:val="none"/>
        </w:rPr>
        <w:t>交通运输部南海航海保障中心广州航标处、</w:t>
      </w:r>
      <w:r>
        <w:rPr>
          <w:rFonts w:hint="eastAsia" w:ascii="Times New Roman" w:hAnsi="Times New Roman" w:eastAsia="宋体" w:cs="Times New Roman"/>
          <w:b/>
          <w:color w:val="auto"/>
          <w:highlight w:val="none"/>
        </w:rPr>
        <w:t>采联国际招标采购集团有限公司</w:t>
      </w:r>
      <w:r>
        <w:rPr>
          <w:rFonts w:ascii="Times New Roman" w:hAnsi="Times New Roman" w:eastAsia="宋体" w:cs="Times New Roman"/>
          <w:b/>
          <w:color w:val="auto"/>
          <w:szCs w:val="24"/>
          <w:highlight w:val="none"/>
        </w:rPr>
        <w:t>：</w:t>
      </w:r>
    </w:p>
    <w:p>
      <w:pPr>
        <w:rPr>
          <w:rFonts w:ascii="Times New Roman" w:hAnsi="Times New Roman" w:eastAsia="宋体" w:cs="Times New Roman"/>
          <w:b/>
          <w:color w:val="auto"/>
          <w:szCs w:val="24"/>
          <w:highlight w:val="none"/>
        </w:rPr>
      </w:pPr>
    </w:p>
    <w:p>
      <w:pPr>
        <w:snapToGrid w:val="0"/>
        <w:spacing w:line="360" w:lineRule="auto"/>
        <w:ind w:firstLine="424" w:firstLineChars="202"/>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关于贵单位、贵司发布</w:t>
      </w:r>
      <w:r>
        <w:rPr>
          <w:rFonts w:ascii="Times New Roman" w:hAnsi="Times New Roman" w:eastAsia="宋体" w:cs="Times New Roman"/>
          <w:color w:val="auto"/>
          <w:szCs w:val="24"/>
          <w:highlight w:val="none"/>
          <w:u w:val="single"/>
        </w:rPr>
        <w:t xml:space="preserve">  </w:t>
      </w:r>
      <w:r>
        <w:rPr>
          <w:rFonts w:hint="eastAsia" w:ascii="Times New Roman" w:hAnsi="Times New Roman" w:eastAsia="宋体" w:cs="Times New Roman"/>
          <w:b/>
          <w:bCs/>
          <w:color w:val="auto"/>
          <w:szCs w:val="32"/>
          <w:highlight w:val="none"/>
          <w:u w:val="single"/>
          <w:lang w:eastAsia="zh-CN"/>
        </w:rPr>
        <w:t>广州航标处租车运输浮标器材服务项目</w:t>
      </w:r>
      <w:r>
        <w:rPr>
          <w:rFonts w:ascii="Times New Roman" w:hAnsi="Times New Roman" w:eastAsia="宋体" w:cs="Times New Roman"/>
          <w:color w:val="auto"/>
          <w:szCs w:val="24"/>
          <w:highlight w:val="none"/>
          <w:u w:val="single"/>
        </w:rPr>
        <w:t xml:space="preserve"> </w:t>
      </w:r>
      <w:r>
        <w:rPr>
          <w:rFonts w:ascii="Times New Roman" w:hAnsi="Times New Roman" w:eastAsia="宋体" w:cs="Times New Roman"/>
          <w:color w:val="auto"/>
          <w:szCs w:val="24"/>
          <w:highlight w:val="none"/>
        </w:rPr>
        <w:t>的</w:t>
      </w:r>
      <w:r>
        <w:rPr>
          <w:rFonts w:hint="eastAsia" w:ascii="Times New Roman" w:hAnsi="Times New Roman" w:eastAsia="宋体" w:cs="Times New Roman"/>
          <w:color w:val="auto"/>
          <w:szCs w:val="24"/>
          <w:highlight w:val="none"/>
        </w:rPr>
        <w:t>比价</w:t>
      </w:r>
      <w:r>
        <w:rPr>
          <w:rFonts w:ascii="Times New Roman" w:hAnsi="Times New Roman" w:eastAsia="宋体" w:cs="Times New Roman"/>
          <w:color w:val="auto"/>
          <w:szCs w:val="24"/>
          <w:highlight w:val="none"/>
        </w:rPr>
        <w:t>公告，本公司（企业）愿意参加</w:t>
      </w:r>
      <w:r>
        <w:rPr>
          <w:rFonts w:hint="eastAsia" w:ascii="Times New Roman" w:hAnsi="Times New Roman" w:eastAsia="宋体" w:cs="Times New Roman"/>
          <w:color w:val="auto"/>
          <w:szCs w:val="24"/>
          <w:highlight w:val="none"/>
        </w:rPr>
        <w:t>比价</w:t>
      </w:r>
      <w:r>
        <w:rPr>
          <w:rFonts w:ascii="Times New Roman" w:hAnsi="Times New Roman" w:eastAsia="宋体" w:cs="Times New Roman"/>
          <w:color w:val="auto"/>
          <w:szCs w:val="24"/>
          <w:highlight w:val="none"/>
        </w:rPr>
        <w:t>活动，并作出如下声明：</w:t>
      </w:r>
    </w:p>
    <w:p>
      <w:pPr>
        <w:snapToGrid w:val="0"/>
        <w:spacing w:line="360" w:lineRule="auto"/>
        <w:ind w:firstLine="420" w:firstLineChars="200"/>
        <w:rPr>
          <w:rFonts w:ascii="Times New Roman" w:hAnsi="Times New Roman" w:eastAsia="宋体" w:cs="Times New Roman"/>
          <w:bCs/>
          <w:color w:val="auto"/>
          <w:szCs w:val="20"/>
          <w:highlight w:val="none"/>
        </w:rPr>
      </w:pPr>
      <w:r>
        <w:rPr>
          <w:rFonts w:ascii="Times New Roman" w:hAnsi="Times New Roman" w:eastAsia="宋体" w:cs="Times New Roman"/>
          <w:color w:val="auto"/>
          <w:szCs w:val="24"/>
          <w:highlight w:val="none"/>
        </w:rPr>
        <w:t>一、本公司（企业）</w:t>
      </w:r>
      <w:r>
        <w:rPr>
          <w:rFonts w:ascii="Times New Roman" w:hAnsi="Times New Roman" w:eastAsia="宋体" w:cs="Times New Roman"/>
          <w:bCs/>
          <w:color w:val="auto"/>
          <w:szCs w:val="20"/>
          <w:highlight w:val="none"/>
        </w:rPr>
        <w:t>具备《中华人民共和国政府采购法》第二十二条规定的条件：</w:t>
      </w:r>
    </w:p>
    <w:p>
      <w:pPr>
        <w:widowControl/>
        <w:spacing w:line="360" w:lineRule="auto"/>
        <w:ind w:firstLine="36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（一）具有独立承担民事责任的能力；</w:t>
      </w:r>
    </w:p>
    <w:p>
      <w:pPr>
        <w:widowControl/>
        <w:spacing w:line="360" w:lineRule="auto"/>
        <w:ind w:firstLine="36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 xml:space="preserve">（二）具有良好的商业信誉和健全的财务会计制度； </w:t>
      </w:r>
    </w:p>
    <w:p>
      <w:pPr>
        <w:widowControl/>
        <w:spacing w:line="360" w:lineRule="auto"/>
        <w:ind w:firstLine="36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（三）具有履行合同所必需的设备和专业技术能力；</w:t>
      </w:r>
    </w:p>
    <w:p>
      <w:pPr>
        <w:widowControl/>
        <w:spacing w:line="360" w:lineRule="auto"/>
        <w:ind w:firstLine="36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（四）有依法缴纳税收和社会保障资金的良好记录；</w:t>
      </w:r>
    </w:p>
    <w:p>
      <w:pPr>
        <w:widowControl/>
        <w:spacing w:line="360" w:lineRule="auto"/>
        <w:ind w:firstLine="36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（五）参加政府采购活动前三年内，在经营活动中没有重大违法记录；</w:t>
      </w:r>
    </w:p>
    <w:p>
      <w:pPr>
        <w:widowControl/>
        <w:spacing w:line="360" w:lineRule="auto"/>
        <w:ind w:firstLine="360"/>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（六）法律、行政法规规定的其他条件。</w:t>
      </w:r>
    </w:p>
    <w:p>
      <w:pPr>
        <w:snapToGrid w:val="0"/>
        <w:spacing w:line="360" w:lineRule="auto"/>
        <w:ind w:firstLine="424" w:firstLineChars="202"/>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二、本公司（企业）具有本次采购项目服务能力。</w:t>
      </w:r>
    </w:p>
    <w:p>
      <w:pPr>
        <w:snapToGrid w:val="0"/>
        <w:spacing w:line="360" w:lineRule="auto"/>
        <w:ind w:firstLine="424" w:firstLineChars="202"/>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三、本公司（企业）有固定的经营场所，信誉良好、售后维护服务好，并且在经营活动中无严重违法记录。</w:t>
      </w:r>
    </w:p>
    <w:p>
      <w:pPr>
        <w:snapToGrid w:val="0"/>
        <w:spacing w:line="360" w:lineRule="auto"/>
        <w:ind w:firstLine="424" w:firstLineChars="202"/>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四、本公司（企业）没有为采购项目同一合同项下提供整体设计、规范编制或者项目管理、监理、检测等服务。</w:t>
      </w:r>
    </w:p>
    <w:p>
      <w:pPr>
        <w:snapToGrid w:val="0"/>
        <w:spacing w:line="360" w:lineRule="auto"/>
        <w:ind w:firstLine="424" w:firstLineChars="202"/>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五、本公司（企业）的法定代表人或单位负责人与所参</w:t>
      </w:r>
      <w:r>
        <w:rPr>
          <w:rFonts w:hint="eastAsia" w:ascii="Times New Roman" w:hAnsi="Times New Roman" w:eastAsia="宋体" w:cs="Times New Roman"/>
          <w:color w:val="auto"/>
          <w:szCs w:val="24"/>
          <w:highlight w:val="none"/>
        </w:rPr>
        <w:t>与</w:t>
      </w:r>
      <w:r>
        <w:rPr>
          <w:rFonts w:ascii="Times New Roman" w:hAnsi="Times New Roman" w:eastAsia="宋体" w:cs="Times New Roman"/>
          <w:color w:val="auto"/>
          <w:szCs w:val="24"/>
          <w:highlight w:val="none"/>
        </w:rPr>
        <w:t>的本项目其他供应商的法定代表人或单位负责人不为同一人且与其他供应商之间不存在直接控股、管理关系。</w:t>
      </w:r>
    </w:p>
    <w:p>
      <w:pPr>
        <w:snapToGrid w:val="0"/>
        <w:spacing w:line="360" w:lineRule="auto"/>
        <w:ind w:firstLine="424" w:firstLineChars="202"/>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六</w:t>
      </w:r>
      <w:r>
        <w:rPr>
          <w:rFonts w:hint="eastAsia" w:ascii="Times New Roman" w:hAnsi="Times New Roman" w:eastAsia="宋体" w:cs="Times New Roman"/>
          <w:color w:val="auto"/>
          <w:szCs w:val="24"/>
          <w:highlight w:val="none"/>
        </w:rPr>
        <w:t>、</w:t>
      </w:r>
      <w:r>
        <w:rPr>
          <w:rFonts w:ascii="Times New Roman" w:hAnsi="Times New Roman" w:eastAsia="宋体" w:cs="Times New Roman"/>
          <w:color w:val="auto"/>
          <w:szCs w:val="24"/>
          <w:highlight w:val="none"/>
        </w:rPr>
        <w:t>本公司（企业）</w:t>
      </w:r>
      <w:r>
        <w:rPr>
          <w:rFonts w:hint="eastAsia" w:ascii="宋体" w:hAnsi="宋体"/>
          <w:color w:val="auto"/>
          <w:highlight w:val="none"/>
        </w:rPr>
        <w:t>在本项目中不转包且不联合比价。</w:t>
      </w:r>
    </w:p>
    <w:p>
      <w:pPr>
        <w:snapToGrid w:val="0"/>
        <w:spacing w:line="360" w:lineRule="auto"/>
        <w:ind w:firstLine="424" w:firstLineChars="202"/>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本公司（企业）承诺在本次采购活动中，如有违法、违规</w:t>
      </w:r>
      <w:r>
        <w:rPr>
          <w:rFonts w:ascii="Times New Roman" w:hAnsi="Times New Roman" w:eastAsia="宋体" w:cs="Times New Roman"/>
          <w:color w:val="auto"/>
          <w:szCs w:val="21"/>
          <w:highlight w:val="none"/>
        </w:rPr>
        <w:t>、</w:t>
      </w:r>
      <w:r>
        <w:rPr>
          <w:rFonts w:ascii="Times New Roman" w:hAnsi="Times New Roman" w:eastAsia="宋体" w:cs="Times New Roman"/>
          <w:color w:val="auto"/>
          <w:szCs w:val="24"/>
          <w:highlight w:val="none"/>
        </w:rPr>
        <w:t>弄虚作假行为，所造成的损失、不良后果及法律责任，一律由</w:t>
      </w:r>
      <w:r>
        <w:rPr>
          <w:color w:val="auto"/>
          <w:highlight w:val="none"/>
        </w:rPr>
        <w:t>本公司（企业）</w:t>
      </w:r>
      <w:r>
        <w:rPr>
          <w:rFonts w:ascii="Times New Roman" w:hAnsi="Times New Roman" w:eastAsia="宋体" w:cs="Times New Roman"/>
          <w:color w:val="auto"/>
          <w:szCs w:val="24"/>
          <w:highlight w:val="none"/>
        </w:rPr>
        <w:t>承担。</w:t>
      </w:r>
    </w:p>
    <w:p>
      <w:pPr>
        <w:spacing w:line="360" w:lineRule="auto"/>
        <w:ind w:firstLine="420"/>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特此声明！</w:t>
      </w:r>
    </w:p>
    <w:p>
      <w:pPr>
        <w:autoSpaceDE w:val="0"/>
        <w:autoSpaceDN w:val="0"/>
        <w:adjustRightInd w:val="0"/>
        <w:spacing w:line="360" w:lineRule="auto"/>
        <w:ind w:firstLine="413" w:firstLineChars="196"/>
        <w:rPr>
          <w:rFonts w:ascii="Times New Roman" w:hAnsi="Times New Roman" w:eastAsia="宋体" w:cs="Times New Roman"/>
          <w:b/>
          <w:color w:val="auto"/>
          <w:highlight w:val="none"/>
        </w:rPr>
      </w:pPr>
      <w:r>
        <w:rPr>
          <w:rFonts w:ascii="Times New Roman" w:hAnsi="Times New Roman" w:eastAsia="宋体" w:cs="Times New Roman"/>
          <w:b/>
          <w:color w:val="auto"/>
          <w:highlight w:val="none"/>
        </w:rPr>
        <w:t>备注：</w:t>
      </w:r>
    </w:p>
    <w:p>
      <w:pPr>
        <w:pStyle w:val="25"/>
        <w:numPr>
          <w:ilvl w:val="0"/>
          <w:numId w:val="27"/>
        </w:numPr>
        <w:autoSpaceDE w:val="0"/>
        <w:autoSpaceDN w:val="0"/>
        <w:adjustRightInd w:val="0"/>
        <w:spacing w:line="360" w:lineRule="auto"/>
        <w:ind w:firstLineChars="0"/>
        <w:rPr>
          <w:rFonts w:ascii="Times New Roman" w:hAnsi="Times New Roman" w:eastAsia="宋体" w:cs="Times New Roman"/>
          <w:color w:val="auto"/>
          <w:highlight w:val="none"/>
        </w:rPr>
      </w:pPr>
      <w:r>
        <w:rPr>
          <w:rFonts w:ascii="Times New Roman" w:hAnsi="Times New Roman" w:eastAsia="宋体" w:cs="Times New Roman"/>
          <w:color w:val="auto"/>
          <w:highlight w:val="none"/>
        </w:rPr>
        <w:t>本声明函必须提供且内容不得擅自删改，否则视为响应无效。</w:t>
      </w:r>
    </w:p>
    <w:p>
      <w:pPr>
        <w:pStyle w:val="25"/>
        <w:numPr>
          <w:ilvl w:val="0"/>
          <w:numId w:val="27"/>
        </w:numPr>
        <w:snapToGrid w:val="0"/>
        <w:spacing w:line="360" w:lineRule="auto"/>
        <w:ind w:firstLineChars="0"/>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t>本声明函如有虚假或与事实不符的，作无效报价处理。</w:t>
      </w:r>
    </w:p>
    <w:p>
      <w:pPr>
        <w:widowControl/>
        <w:spacing w:line="360" w:lineRule="auto"/>
        <w:ind w:left="840"/>
        <w:jc w:val="left"/>
        <w:rPr>
          <w:rFonts w:ascii="Times New Roman" w:hAnsi="Times New Roman" w:eastAsia="宋体" w:cs="Times New Roman"/>
          <w:b/>
          <w:bCs/>
          <w:color w:val="auto"/>
          <w:kern w:val="0"/>
          <w:sz w:val="32"/>
          <w:szCs w:val="32"/>
          <w:highlight w:val="none"/>
        </w:rPr>
      </w:pPr>
    </w:p>
    <w:p>
      <w:pPr>
        <w:pStyle w:val="25"/>
        <w:wordWrap w:val="0"/>
        <w:spacing w:line="360" w:lineRule="auto"/>
        <w:ind w:left="1200" w:right="218" w:firstLine="0" w:firstLineChars="0"/>
        <w:jc w:val="right"/>
        <w:rPr>
          <w:rFonts w:ascii="Times New Roman" w:hAnsi="Times New Roman" w:eastAsia="宋体" w:cs="Times New Roman"/>
          <w:color w:val="auto"/>
          <w:szCs w:val="21"/>
          <w:highlight w:val="none"/>
          <w:u w:val="single"/>
        </w:rPr>
      </w:pPr>
      <w:r>
        <w:rPr>
          <w:rFonts w:ascii="Times New Roman" w:hAnsi="Times New Roman" w:eastAsia="宋体" w:cs="Times New Roman"/>
          <w:color w:val="auto"/>
          <w:spacing w:val="4"/>
          <w:szCs w:val="21"/>
          <w:highlight w:val="none"/>
        </w:rPr>
        <w:t>供应商名称（</w:t>
      </w:r>
      <w:r>
        <w:rPr>
          <w:rFonts w:ascii="Times New Roman" w:hAnsi="Times New Roman" w:eastAsia="宋体" w:cs="Times New Roman"/>
          <w:color w:val="auto"/>
          <w:szCs w:val="21"/>
          <w:highlight w:val="none"/>
        </w:rPr>
        <w:t>单位盖</w:t>
      </w:r>
      <w:r>
        <w:rPr>
          <w:rFonts w:ascii="Times New Roman" w:hAnsi="Times New Roman" w:eastAsia="宋体" w:cs="Times New Roman"/>
          <w:color w:val="auto"/>
          <w:spacing w:val="4"/>
          <w:szCs w:val="21"/>
          <w:highlight w:val="none"/>
        </w:rPr>
        <w:t>公章）：</w:t>
      </w:r>
      <w:r>
        <w:rPr>
          <w:rFonts w:ascii="Times New Roman" w:hAnsi="Times New Roman" w:eastAsia="宋体" w:cs="Times New Roman"/>
          <w:color w:val="auto"/>
          <w:spacing w:val="4"/>
          <w:szCs w:val="21"/>
          <w:highlight w:val="none"/>
          <w:u w:val="single"/>
        </w:rPr>
        <w:t xml:space="preserve">          </w:t>
      </w:r>
    </w:p>
    <w:p>
      <w:pPr>
        <w:pStyle w:val="25"/>
        <w:spacing w:line="360" w:lineRule="auto"/>
        <w:ind w:left="1200" w:right="210" w:firstLine="0" w:firstLineChars="0"/>
        <w:jc w:val="right"/>
        <w:rPr>
          <w:rFonts w:ascii="Times New Roman" w:hAnsi="Times New Roman" w:eastAsia="宋体" w:cs="Times New Roman"/>
          <w:color w:val="auto"/>
          <w:szCs w:val="21"/>
          <w:highlight w:val="none"/>
          <w:u w:val="single"/>
        </w:rPr>
      </w:pPr>
    </w:p>
    <w:p>
      <w:pPr>
        <w:wordWrap w:val="0"/>
        <w:spacing w:line="360" w:lineRule="auto"/>
        <w:ind w:left="840"/>
        <w:jc w:val="right"/>
        <w:rPr>
          <w:rFonts w:ascii="Times New Roman" w:hAnsi="Times New Roman" w:eastAsia="宋体" w:cs="Times New Roman"/>
          <w:color w:val="auto"/>
          <w:spacing w:val="4"/>
          <w:szCs w:val="21"/>
          <w:highlight w:val="none"/>
          <w:u w:val="single"/>
        </w:rPr>
      </w:pPr>
      <w:r>
        <w:rPr>
          <w:rFonts w:ascii="Times New Roman" w:hAnsi="Times New Roman" w:eastAsia="宋体" w:cs="Times New Roman"/>
          <w:color w:val="auto"/>
          <w:spacing w:val="4"/>
          <w:szCs w:val="21"/>
          <w:highlight w:val="none"/>
        </w:rPr>
        <w:t>日期：</w:t>
      </w:r>
      <w:r>
        <w:rPr>
          <w:rFonts w:ascii="Times New Roman" w:hAnsi="Times New Roman" w:eastAsia="宋体" w:cs="Times New Roman"/>
          <w:color w:val="auto"/>
          <w:spacing w:val="4"/>
          <w:szCs w:val="21"/>
          <w:highlight w:val="none"/>
          <w:u w:val="single"/>
        </w:rPr>
        <w:t xml:space="preserve">          </w:t>
      </w:r>
    </w:p>
    <w:p>
      <w:pPr>
        <w:rPr>
          <w:rFonts w:ascii="Times New Roman" w:hAnsi="Times New Roman" w:eastAsia="宋体" w:cs="Times New Roman"/>
          <w:color w:val="auto"/>
          <w:highlight w:val="none"/>
        </w:rPr>
      </w:pPr>
    </w:p>
    <w:bookmarkEnd w:id="2"/>
    <w:sectPr>
      <w:pgSz w:w="11906" w:h="16838"/>
      <w:pgMar w:top="873" w:right="1797" w:bottom="873" w:left="1797" w:header="720" w:footer="720" w:gutter="0"/>
      <w:cols w:space="0" w:num="1"/>
      <w:rtlGutter w:val="0"/>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0000500000000020000"/>
    <w:charset w:val="00"/>
    <w:family w:val="roman"/>
    <w:pitch w:val="default"/>
    <w:sig w:usb0="00000000" w:usb1="00000000" w:usb2="00000009" w:usb3="00000000" w:csb0="0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9"/>
          <w:jc w:val="center"/>
        </w:pPr>
        <w:r>
          <w:fldChar w:fldCharType="begin"/>
        </w:r>
        <w:r>
          <w:instrText xml:space="preserve">PAGE   \* MERGEFORMAT</w:instrText>
        </w:r>
        <w:r>
          <w:fldChar w:fldCharType="separate"/>
        </w:r>
        <w:r>
          <w:rPr>
            <w:lang w:val="zh-CN"/>
          </w:rPr>
          <w:t>12</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20"/>
      </w:rPr>
    </w:pPr>
    <w:r>
      <w:fldChar w:fldCharType="begin"/>
    </w:r>
    <w:r>
      <w:rPr>
        <w:rStyle w:val="20"/>
      </w:rPr>
      <w:instrText xml:space="preserve">PAGE  </w:instrText>
    </w:r>
    <w:r>
      <w:fldChar w:fldCharType="separate"/>
    </w:r>
    <w:r>
      <w:rPr>
        <w:rStyle w:val="20"/>
      </w:rPr>
      <w:t>1</w:t>
    </w:r>
    <w:r>
      <w:fldChar w:fldCharType="end"/>
    </w:r>
  </w:p>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480" w:firstLine="4751" w:firstLineChars="1972"/>
      <w:jc w:val="both"/>
      <w:rPr>
        <w:rFonts w:hint="eastAsia"/>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4200"/>
        <w:tab w:val="clear" w:pos="8306"/>
      </w:tabs>
      <w:jc w:val="left"/>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722193"/>
    <w:multiLevelType w:val="singleLevel"/>
    <w:tmpl w:val="C7722193"/>
    <w:lvl w:ilvl="0" w:tentative="0">
      <w:start w:val="1"/>
      <w:numFmt w:val="decimal"/>
      <w:lvlText w:val="%1."/>
      <w:lvlJc w:val="left"/>
      <w:pPr>
        <w:tabs>
          <w:tab w:val="left" w:pos="312"/>
        </w:tabs>
      </w:pPr>
    </w:lvl>
  </w:abstractNum>
  <w:abstractNum w:abstractNumId="1">
    <w:nsid w:val="D5C89F52"/>
    <w:multiLevelType w:val="singleLevel"/>
    <w:tmpl w:val="D5C89F52"/>
    <w:lvl w:ilvl="0" w:tentative="0">
      <w:start w:val="1"/>
      <w:numFmt w:val="decimal"/>
      <w:lvlText w:val="%1."/>
      <w:lvlJc w:val="left"/>
      <w:pPr>
        <w:tabs>
          <w:tab w:val="left" w:pos="312"/>
        </w:tabs>
      </w:pPr>
    </w:lvl>
  </w:abstractNum>
  <w:abstractNum w:abstractNumId="2">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34"/>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8BD3DD0"/>
    <w:multiLevelType w:val="singleLevel"/>
    <w:tmpl w:val="08BD3DD0"/>
    <w:lvl w:ilvl="0" w:tentative="0">
      <w:start w:val="1"/>
      <w:numFmt w:val="decimal"/>
      <w:lvlText w:val="%1."/>
      <w:lvlJc w:val="left"/>
      <w:pPr>
        <w:ind w:left="425" w:hanging="425"/>
      </w:pPr>
      <w:rPr>
        <w:rFonts w:hint="default" w:ascii="宋体" w:hAnsi="宋体" w:eastAsia="宋体" w:cs="宋体"/>
        <w:sz w:val="21"/>
        <w:szCs w:val="21"/>
      </w:rPr>
    </w:lvl>
  </w:abstractNum>
  <w:abstractNum w:abstractNumId="4">
    <w:nsid w:val="0CBA6D1B"/>
    <w:multiLevelType w:val="multilevel"/>
    <w:tmpl w:val="0CBA6D1B"/>
    <w:lvl w:ilvl="0" w:tentative="0">
      <w:start w:val="1"/>
      <w:numFmt w:val="decimal"/>
      <w:suff w:val="nothing"/>
      <w:lvlText w:val="%1)"/>
      <w:lvlJc w:val="left"/>
      <w:pPr>
        <w:ind w:left="840" w:hanging="420"/>
      </w:pPr>
      <w:rPr>
        <w:rFonts w:hint="eastAsia" w:asciiTheme="minorEastAsia" w:hAnsiTheme="minorEastAsia" w:eastAsiaTheme="minorEastAsia"/>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5">
    <w:nsid w:val="140A6B21"/>
    <w:multiLevelType w:val="multilevel"/>
    <w:tmpl w:val="140A6B21"/>
    <w:lvl w:ilvl="0" w:tentative="0">
      <w:start w:val="1"/>
      <w:numFmt w:val="decimal"/>
      <w:suff w:val="nothing"/>
      <w:lvlText w:val="%1)"/>
      <w:lvlJc w:val="left"/>
      <w:pPr>
        <w:ind w:left="420" w:hanging="420"/>
      </w:pPr>
      <w:rPr>
        <w:rFonts w:hint="eastAsia" w:asciiTheme="minorEastAsia" w:hAnsiTheme="minorEastAsia" w:eastAsiaTheme="minor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B09519B"/>
    <w:multiLevelType w:val="singleLevel"/>
    <w:tmpl w:val="1B09519B"/>
    <w:lvl w:ilvl="0" w:tentative="0">
      <w:start w:val="1"/>
      <w:numFmt w:val="decimal"/>
      <w:lvlText w:val="%1."/>
      <w:lvlJc w:val="left"/>
      <w:pPr>
        <w:tabs>
          <w:tab w:val="left" w:pos="312"/>
        </w:tabs>
      </w:pPr>
    </w:lvl>
  </w:abstractNum>
  <w:abstractNum w:abstractNumId="7">
    <w:nsid w:val="1BE1BAD8"/>
    <w:multiLevelType w:val="singleLevel"/>
    <w:tmpl w:val="1BE1BAD8"/>
    <w:lvl w:ilvl="0" w:tentative="0">
      <w:start w:val="1"/>
      <w:numFmt w:val="decimal"/>
      <w:lvlText w:val="%1."/>
      <w:lvlJc w:val="left"/>
      <w:pPr>
        <w:ind w:left="425" w:hanging="425"/>
      </w:pPr>
      <w:rPr>
        <w:rFonts w:hint="default" w:ascii="宋体" w:hAnsi="宋体" w:eastAsia="宋体" w:cs="宋体"/>
        <w:sz w:val="21"/>
        <w:szCs w:val="21"/>
      </w:rPr>
    </w:lvl>
  </w:abstractNum>
  <w:abstractNum w:abstractNumId="8">
    <w:nsid w:val="227D41A0"/>
    <w:multiLevelType w:val="multilevel"/>
    <w:tmpl w:val="227D41A0"/>
    <w:lvl w:ilvl="0" w:tentative="0">
      <w:start w:val="1"/>
      <w:numFmt w:val="decimal"/>
      <w:suff w:val="nothing"/>
      <w:lvlText w:val="%1)"/>
      <w:lvlJc w:val="left"/>
      <w:pPr>
        <w:ind w:left="840" w:hanging="420"/>
      </w:pPr>
      <w:rPr>
        <w:rFonts w:hint="eastAsia" w:asciiTheme="minorEastAsia" w:hAnsiTheme="minorEastAsia" w:eastAsiaTheme="minor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28BA236C"/>
    <w:multiLevelType w:val="multilevel"/>
    <w:tmpl w:val="28BA236C"/>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asciiTheme="minorEastAsia" w:hAnsiTheme="minorEastAsia" w:eastAsiaTheme="minor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1">
    <w:nsid w:val="34433F59"/>
    <w:multiLevelType w:val="multilevel"/>
    <w:tmpl w:val="34433F59"/>
    <w:lvl w:ilvl="0" w:tentative="0">
      <w:start w:val="1"/>
      <w:numFmt w:val="decimal"/>
      <w:suff w:val="nothing"/>
      <w:lvlText w:val="%1."/>
      <w:lvlJc w:val="left"/>
      <w:pPr>
        <w:ind w:left="420" w:hanging="420"/>
      </w:pPr>
      <w:rPr>
        <w:rFonts w:hint="eastAsia" w:asciiTheme="minorEastAsia" w:hAnsiTheme="minorEastAsia" w:eastAsiaTheme="minor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3CE44964"/>
    <w:multiLevelType w:val="multilevel"/>
    <w:tmpl w:val="3CE44964"/>
    <w:lvl w:ilvl="0" w:tentative="0">
      <w:start w:val="1"/>
      <w:numFmt w:val="decimal"/>
      <w:suff w:val="nothing"/>
      <w:lvlText w:val="%1)"/>
      <w:lvlJc w:val="left"/>
      <w:pPr>
        <w:ind w:left="840" w:hanging="420"/>
      </w:pPr>
      <w:rPr>
        <w:rFonts w:hint="eastAsia" w:asciiTheme="minorEastAsia" w:hAnsiTheme="minorEastAsia" w:eastAsiaTheme="minor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3">
    <w:nsid w:val="3E7E35BD"/>
    <w:multiLevelType w:val="multilevel"/>
    <w:tmpl w:val="3E7E35B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lowerLetter"/>
      <w:suff w:val="nothing"/>
      <w:lvlText w:val="%3)"/>
      <w:lvlJc w:val="left"/>
      <w:pPr>
        <w:ind w:left="1418" w:hanging="567"/>
      </w:pPr>
      <w:rPr>
        <w:rFonts w:hint="eastAsia" w:asciiTheme="minorEastAsia" w:hAnsiTheme="minorEastAsia" w:eastAsiaTheme="minor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461FC905"/>
    <w:multiLevelType w:val="singleLevel"/>
    <w:tmpl w:val="461FC905"/>
    <w:lvl w:ilvl="0" w:tentative="0">
      <w:start w:val="1"/>
      <w:numFmt w:val="decimal"/>
      <w:lvlText w:val="%1."/>
      <w:lvlJc w:val="left"/>
      <w:pPr>
        <w:tabs>
          <w:tab w:val="left" w:pos="312"/>
        </w:tabs>
      </w:pPr>
    </w:lvl>
  </w:abstractNum>
  <w:abstractNum w:abstractNumId="15">
    <w:nsid w:val="49381DA6"/>
    <w:multiLevelType w:val="multilevel"/>
    <w:tmpl w:val="49381DA6"/>
    <w:lvl w:ilvl="0" w:tentative="0">
      <w:start w:val="1"/>
      <w:numFmt w:val="decimal"/>
      <w:lvlText w:val="%1."/>
      <w:lvlJc w:val="left"/>
      <w:pPr>
        <w:tabs>
          <w:tab w:val="left" w:pos="600"/>
        </w:tabs>
        <w:ind w:left="600" w:hanging="420"/>
      </w:pPr>
      <w:rPr>
        <w:rFonts w:hint="eastAsia"/>
      </w:rPr>
    </w:lvl>
    <w:lvl w:ilvl="1" w:tentative="0">
      <w:start w:val="6"/>
      <w:numFmt w:val="decimal"/>
      <w:isLgl/>
      <w:lvlText w:val="%1.%2"/>
      <w:lvlJc w:val="left"/>
      <w:pPr>
        <w:ind w:left="705" w:hanging="525"/>
      </w:pPr>
      <w:rPr>
        <w:rFonts w:hint="default" w:cs="宋体"/>
        <w:color w:val="0000FF"/>
      </w:rPr>
    </w:lvl>
    <w:lvl w:ilvl="2" w:tentative="0">
      <w:start w:val="1"/>
      <w:numFmt w:val="decimal"/>
      <w:isLgl/>
      <w:lvlText w:val="%1.%2.%3"/>
      <w:lvlJc w:val="left"/>
      <w:pPr>
        <w:ind w:left="900" w:hanging="720"/>
      </w:pPr>
      <w:rPr>
        <w:rFonts w:hint="default" w:cs="宋体"/>
        <w:color w:val="0000FF"/>
      </w:rPr>
    </w:lvl>
    <w:lvl w:ilvl="3" w:tentative="0">
      <w:start w:val="1"/>
      <w:numFmt w:val="decimal"/>
      <w:isLgl/>
      <w:lvlText w:val="%1.%2.%3.%4"/>
      <w:lvlJc w:val="left"/>
      <w:pPr>
        <w:ind w:left="1260" w:hanging="1080"/>
      </w:pPr>
      <w:rPr>
        <w:rFonts w:hint="default" w:cs="宋体"/>
        <w:color w:val="0000FF"/>
      </w:rPr>
    </w:lvl>
    <w:lvl w:ilvl="4" w:tentative="0">
      <w:start w:val="1"/>
      <w:numFmt w:val="decimal"/>
      <w:isLgl/>
      <w:lvlText w:val="%1.%2.%3.%4.%5"/>
      <w:lvlJc w:val="left"/>
      <w:pPr>
        <w:ind w:left="1260" w:hanging="1080"/>
      </w:pPr>
      <w:rPr>
        <w:rFonts w:hint="default" w:cs="宋体"/>
        <w:color w:val="0000FF"/>
      </w:rPr>
    </w:lvl>
    <w:lvl w:ilvl="5" w:tentative="0">
      <w:start w:val="1"/>
      <w:numFmt w:val="decimal"/>
      <w:isLgl/>
      <w:lvlText w:val="%1.%2.%3.%4.%5.%6"/>
      <w:lvlJc w:val="left"/>
      <w:pPr>
        <w:ind w:left="1620" w:hanging="1440"/>
      </w:pPr>
      <w:rPr>
        <w:rFonts w:hint="default" w:cs="宋体"/>
        <w:color w:val="0000FF"/>
      </w:rPr>
    </w:lvl>
    <w:lvl w:ilvl="6" w:tentative="0">
      <w:start w:val="1"/>
      <w:numFmt w:val="decimal"/>
      <w:isLgl/>
      <w:lvlText w:val="%1.%2.%3.%4.%5.%6.%7"/>
      <w:lvlJc w:val="left"/>
      <w:pPr>
        <w:ind w:left="1620" w:hanging="1440"/>
      </w:pPr>
      <w:rPr>
        <w:rFonts w:hint="default" w:cs="宋体"/>
        <w:color w:val="0000FF"/>
      </w:rPr>
    </w:lvl>
    <w:lvl w:ilvl="7" w:tentative="0">
      <w:start w:val="1"/>
      <w:numFmt w:val="decimal"/>
      <w:isLgl/>
      <w:lvlText w:val="%1.%2.%3.%4.%5.%6.%7.%8"/>
      <w:lvlJc w:val="left"/>
      <w:pPr>
        <w:ind w:left="1980" w:hanging="1800"/>
      </w:pPr>
      <w:rPr>
        <w:rFonts w:hint="default" w:cs="宋体"/>
        <w:color w:val="0000FF"/>
      </w:rPr>
    </w:lvl>
    <w:lvl w:ilvl="8" w:tentative="0">
      <w:start w:val="1"/>
      <w:numFmt w:val="decimal"/>
      <w:isLgl/>
      <w:lvlText w:val="%1.%2.%3.%4.%5.%6.%7.%8.%9"/>
      <w:lvlJc w:val="left"/>
      <w:pPr>
        <w:ind w:left="1980" w:hanging="1800"/>
      </w:pPr>
      <w:rPr>
        <w:rFonts w:hint="default" w:cs="宋体"/>
        <w:color w:val="0000FF"/>
      </w:rPr>
    </w:lvl>
  </w:abstractNum>
  <w:abstractNum w:abstractNumId="16">
    <w:nsid w:val="4C63241C"/>
    <w:multiLevelType w:val="multilevel"/>
    <w:tmpl w:val="4C63241C"/>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4CE23F7C"/>
    <w:multiLevelType w:val="multilevel"/>
    <w:tmpl w:val="4CE23F7C"/>
    <w:lvl w:ilvl="0" w:tentative="0">
      <w:start w:val="1"/>
      <w:numFmt w:val="decimal"/>
      <w:lvlText w:val="(%1)"/>
      <w:lvlJc w:val="left"/>
      <w:pPr>
        <w:tabs>
          <w:tab w:val="left" w:pos="1200"/>
        </w:tabs>
        <w:ind w:left="1200" w:hanging="360"/>
      </w:pPr>
      <w:rPr>
        <w:rFonts w:hint="default" w:asciiTheme="minorEastAsia" w:hAnsiTheme="minorEastAsia" w:eastAsiaTheme="minorEastAsia"/>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8">
    <w:nsid w:val="53DC66C2"/>
    <w:multiLevelType w:val="multilevel"/>
    <w:tmpl w:val="53DC66C2"/>
    <w:lvl w:ilvl="0" w:tentative="0">
      <w:start w:val="1"/>
      <w:numFmt w:val="decimal"/>
      <w:suff w:val="nothing"/>
      <w:lvlText w:val="%1)"/>
      <w:lvlJc w:val="left"/>
      <w:pPr>
        <w:ind w:left="840" w:hanging="420"/>
      </w:pPr>
      <w:rPr>
        <w:rFonts w:hint="eastAsia" w:asciiTheme="minorEastAsia" w:hAnsiTheme="minorEastAsia" w:eastAsiaTheme="minorEastAsia"/>
      </w:r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9">
    <w:nsid w:val="59794862"/>
    <w:multiLevelType w:val="multilevel"/>
    <w:tmpl w:val="59794862"/>
    <w:lvl w:ilvl="0" w:tentative="0">
      <w:start w:val="1"/>
      <w:numFmt w:val="decimal"/>
      <w:suff w:val="nothing"/>
      <w:lvlText w:val="%1)"/>
      <w:lvlJc w:val="left"/>
      <w:pPr>
        <w:ind w:left="840" w:hanging="420"/>
      </w:pPr>
      <w:rPr>
        <w:rFonts w:hint="eastAsia" w:asciiTheme="minorEastAsia" w:hAnsiTheme="minorEastAsia" w:eastAsiaTheme="minor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0">
    <w:nsid w:val="635C18A0"/>
    <w:multiLevelType w:val="singleLevel"/>
    <w:tmpl w:val="635C18A0"/>
    <w:lvl w:ilvl="0" w:tentative="0">
      <w:start w:val="1"/>
      <w:numFmt w:val="decimal"/>
      <w:lvlText w:val="%1."/>
      <w:lvlJc w:val="left"/>
      <w:pPr>
        <w:tabs>
          <w:tab w:val="left" w:pos="312"/>
        </w:tabs>
      </w:pPr>
    </w:lvl>
  </w:abstractNum>
  <w:abstractNum w:abstractNumId="21">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56D6133"/>
    <w:multiLevelType w:val="multilevel"/>
    <w:tmpl w:val="656D613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363" w:firstLine="177"/>
      </w:pPr>
      <w:rPr>
        <w:rFonts w:hint="eastAsia" w:ascii="仿宋_GB2312" w:hAnsi="宋体" w:eastAsia="仿宋_GB2312"/>
        <w:sz w:val="32"/>
        <w:szCs w:val="32"/>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3">
    <w:nsid w:val="67E1692D"/>
    <w:multiLevelType w:val="singleLevel"/>
    <w:tmpl w:val="67E1692D"/>
    <w:lvl w:ilvl="0" w:tentative="0">
      <w:start w:val="1"/>
      <w:numFmt w:val="decimal"/>
      <w:lvlText w:val="%1."/>
      <w:lvlJc w:val="left"/>
      <w:pPr>
        <w:ind w:left="425" w:hanging="425"/>
      </w:pPr>
      <w:rPr>
        <w:rFonts w:hint="default" w:ascii="宋体" w:hAnsi="宋体" w:eastAsia="宋体" w:cs="宋体"/>
        <w:sz w:val="21"/>
        <w:szCs w:val="21"/>
      </w:rPr>
    </w:lvl>
  </w:abstractNum>
  <w:abstractNum w:abstractNumId="24">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6E92880"/>
    <w:multiLevelType w:val="multilevel"/>
    <w:tmpl w:val="76E92880"/>
    <w:lvl w:ilvl="0" w:tentative="0">
      <w:start w:val="1"/>
      <w:numFmt w:val="decimal"/>
      <w:suff w:val="nothing"/>
      <w:lvlText w:val="%1)"/>
      <w:lvlJc w:val="left"/>
      <w:pPr>
        <w:ind w:left="840" w:hanging="420"/>
      </w:pPr>
      <w:rPr>
        <w:rFonts w:hint="eastAsia" w:asciiTheme="minorEastAsia" w:hAnsiTheme="minorEastAsia" w:eastAsiaTheme="minorEastAsia"/>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26">
    <w:nsid w:val="780D09AA"/>
    <w:multiLevelType w:val="multilevel"/>
    <w:tmpl w:val="780D09AA"/>
    <w:lvl w:ilvl="0" w:tentative="0">
      <w:start w:val="1"/>
      <w:numFmt w:val="decimal"/>
      <w:suff w:val="nothing"/>
      <w:lvlText w:val="%1)"/>
      <w:lvlJc w:val="left"/>
      <w:pPr>
        <w:ind w:left="840" w:hanging="420"/>
      </w:pPr>
      <w:rPr>
        <w:rFonts w:hint="eastAsia" w:asciiTheme="minorEastAsia" w:hAnsiTheme="minorEastAsia" w:eastAsiaTheme="minorEastAsia"/>
        <w:color w:val="auto"/>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22"/>
  </w:num>
  <w:num w:numId="2">
    <w:abstractNumId w:val="2"/>
  </w:num>
  <w:num w:numId="3">
    <w:abstractNumId w:val="21"/>
  </w:num>
  <w:num w:numId="4">
    <w:abstractNumId w:val="11"/>
  </w:num>
  <w:num w:numId="5">
    <w:abstractNumId w:val="12"/>
  </w:num>
  <w:num w:numId="6">
    <w:abstractNumId w:val="18"/>
  </w:num>
  <w:num w:numId="7">
    <w:abstractNumId w:val="25"/>
  </w:num>
  <w:num w:numId="8">
    <w:abstractNumId w:val="19"/>
  </w:num>
  <w:num w:numId="9">
    <w:abstractNumId w:val="26"/>
  </w:num>
  <w:num w:numId="10">
    <w:abstractNumId w:val="4"/>
  </w:num>
  <w:num w:numId="11">
    <w:abstractNumId w:val="13"/>
  </w:num>
  <w:num w:numId="12">
    <w:abstractNumId w:val="5"/>
  </w:num>
  <w:num w:numId="13">
    <w:abstractNumId w:val="9"/>
  </w:num>
  <w:num w:numId="14">
    <w:abstractNumId w:val="8"/>
  </w:num>
  <w:num w:numId="15">
    <w:abstractNumId w:val="15"/>
  </w:num>
  <w:num w:numId="16">
    <w:abstractNumId w:val="16"/>
  </w:num>
  <w:num w:numId="17">
    <w:abstractNumId w:val="7"/>
  </w:num>
  <w:num w:numId="18">
    <w:abstractNumId w:val="6"/>
  </w:num>
  <w:num w:numId="19">
    <w:abstractNumId w:val="3"/>
  </w:num>
  <w:num w:numId="20">
    <w:abstractNumId w:val="1"/>
  </w:num>
  <w:num w:numId="21">
    <w:abstractNumId w:val="20"/>
  </w:num>
  <w:num w:numId="22">
    <w:abstractNumId w:val="14"/>
  </w:num>
  <w:num w:numId="23">
    <w:abstractNumId w:val="23"/>
  </w:num>
  <w:num w:numId="24">
    <w:abstractNumId w:val="0"/>
  </w:num>
  <w:num w:numId="25">
    <w:abstractNumId w:val="24"/>
  </w:num>
  <w:num w:numId="26">
    <w:abstractNumId w:val="1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4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iMzM3MzE3ZjRkN2VmNDQ5NmMzZDdjMmIwMDZkZGIifQ=="/>
  </w:docVars>
  <w:rsids>
    <w:rsidRoot w:val="00603670"/>
    <w:rsid w:val="0000298A"/>
    <w:rsid w:val="00010BE8"/>
    <w:rsid w:val="00011A82"/>
    <w:rsid w:val="00014F25"/>
    <w:rsid w:val="000163AB"/>
    <w:rsid w:val="000221E4"/>
    <w:rsid w:val="00025E94"/>
    <w:rsid w:val="00027036"/>
    <w:rsid w:val="00035559"/>
    <w:rsid w:val="00042B6B"/>
    <w:rsid w:val="00042E6B"/>
    <w:rsid w:val="000431C9"/>
    <w:rsid w:val="00045E6F"/>
    <w:rsid w:val="00045EA7"/>
    <w:rsid w:val="00050534"/>
    <w:rsid w:val="00051837"/>
    <w:rsid w:val="00053978"/>
    <w:rsid w:val="000565F1"/>
    <w:rsid w:val="000642F0"/>
    <w:rsid w:val="0006472A"/>
    <w:rsid w:val="00067178"/>
    <w:rsid w:val="00072D57"/>
    <w:rsid w:val="000749D9"/>
    <w:rsid w:val="00075391"/>
    <w:rsid w:val="00082CDE"/>
    <w:rsid w:val="00083BE6"/>
    <w:rsid w:val="00086704"/>
    <w:rsid w:val="00090C2B"/>
    <w:rsid w:val="00091E7F"/>
    <w:rsid w:val="00097894"/>
    <w:rsid w:val="000A48E2"/>
    <w:rsid w:val="000A4979"/>
    <w:rsid w:val="000B040C"/>
    <w:rsid w:val="000B3F59"/>
    <w:rsid w:val="000C249E"/>
    <w:rsid w:val="000C5ABD"/>
    <w:rsid w:val="000D383D"/>
    <w:rsid w:val="000D7959"/>
    <w:rsid w:val="000E1199"/>
    <w:rsid w:val="000E2E9F"/>
    <w:rsid w:val="000F1249"/>
    <w:rsid w:val="000F423D"/>
    <w:rsid w:val="000F55F3"/>
    <w:rsid w:val="000F64F3"/>
    <w:rsid w:val="00103C66"/>
    <w:rsid w:val="00107E2D"/>
    <w:rsid w:val="001133A4"/>
    <w:rsid w:val="0011556A"/>
    <w:rsid w:val="00116EDF"/>
    <w:rsid w:val="00121777"/>
    <w:rsid w:val="00123BEA"/>
    <w:rsid w:val="00130048"/>
    <w:rsid w:val="001304CF"/>
    <w:rsid w:val="00131ACF"/>
    <w:rsid w:val="00140AD2"/>
    <w:rsid w:val="001519AE"/>
    <w:rsid w:val="0016171E"/>
    <w:rsid w:val="00175ECB"/>
    <w:rsid w:val="00182BE9"/>
    <w:rsid w:val="001863E0"/>
    <w:rsid w:val="001977C1"/>
    <w:rsid w:val="001A0DDF"/>
    <w:rsid w:val="001A5E9B"/>
    <w:rsid w:val="001A769F"/>
    <w:rsid w:val="001B0A70"/>
    <w:rsid w:val="001B6881"/>
    <w:rsid w:val="001B74DB"/>
    <w:rsid w:val="001C071E"/>
    <w:rsid w:val="001C3B25"/>
    <w:rsid w:val="001C3D61"/>
    <w:rsid w:val="001C43C7"/>
    <w:rsid w:val="001C6BE3"/>
    <w:rsid w:val="001D1026"/>
    <w:rsid w:val="001D1E73"/>
    <w:rsid w:val="001D33E6"/>
    <w:rsid w:val="001D76C6"/>
    <w:rsid w:val="001E48AC"/>
    <w:rsid w:val="001E5C33"/>
    <w:rsid w:val="001F3F8C"/>
    <w:rsid w:val="0020097F"/>
    <w:rsid w:val="002056C6"/>
    <w:rsid w:val="00212CDD"/>
    <w:rsid w:val="00215B7A"/>
    <w:rsid w:val="0022207F"/>
    <w:rsid w:val="002341AB"/>
    <w:rsid w:val="002379C7"/>
    <w:rsid w:val="0024390D"/>
    <w:rsid w:val="00251790"/>
    <w:rsid w:val="0025292E"/>
    <w:rsid w:val="00252A97"/>
    <w:rsid w:val="00253352"/>
    <w:rsid w:val="002600C2"/>
    <w:rsid w:val="00262DAA"/>
    <w:rsid w:val="0026399A"/>
    <w:rsid w:val="002674A4"/>
    <w:rsid w:val="00270E13"/>
    <w:rsid w:val="00274FF8"/>
    <w:rsid w:val="00281058"/>
    <w:rsid w:val="00283853"/>
    <w:rsid w:val="00283A1B"/>
    <w:rsid w:val="00285761"/>
    <w:rsid w:val="002920CA"/>
    <w:rsid w:val="00297575"/>
    <w:rsid w:val="002A1D82"/>
    <w:rsid w:val="002A1FE5"/>
    <w:rsid w:val="002A2B84"/>
    <w:rsid w:val="002A50F6"/>
    <w:rsid w:val="002B2992"/>
    <w:rsid w:val="002B4DF8"/>
    <w:rsid w:val="002B6EEB"/>
    <w:rsid w:val="002B787F"/>
    <w:rsid w:val="002C0900"/>
    <w:rsid w:val="002C7CC8"/>
    <w:rsid w:val="002D4EBD"/>
    <w:rsid w:val="002D5B83"/>
    <w:rsid w:val="002E0263"/>
    <w:rsid w:val="002E1AAF"/>
    <w:rsid w:val="002E61D3"/>
    <w:rsid w:val="002E66A9"/>
    <w:rsid w:val="002F352E"/>
    <w:rsid w:val="002F4A33"/>
    <w:rsid w:val="002F5E67"/>
    <w:rsid w:val="002F71C1"/>
    <w:rsid w:val="00306A44"/>
    <w:rsid w:val="00327C22"/>
    <w:rsid w:val="00330194"/>
    <w:rsid w:val="00332AF3"/>
    <w:rsid w:val="00334AAF"/>
    <w:rsid w:val="00342E19"/>
    <w:rsid w:val="00345F86"/>
    <w:rsid w:val="00355F34"/>
    <w:rsid w:val="003615B0"/>
    <w:rsid w:val="00366797"/>
    <w:rsid w:val="00366BF0"/>
    <w:rsid w:val="003818F2"/>
    <w:rsid w:val="00383905"/>
    <w:rsid w:val="0038597B"/>
    <w:rsid w:val="00392847"/>
    <w:rsid w:val="00393D24"/>
    <w:rsid w:val="00394537"/>
    <w:rsid w:val="00395A64"/>
    <w:rsid w:val="00395C9C"/>
    <w:rsid w:val="003A2EDA"/>
    <w:rsid w:val="003B0A20"/>
    <w:rsid w:val="003B48C0"/>
    <w:rsid w:val="003C419C"/>
    <w:rsid w:val="003D2DE8"/>
    <w:rsid w:val="003D3C42"/>
    <w:rsid w:val="003E273C"/>
    <w:rsid w:val="003F180A"/>
    <w:rsid w:val="003F38D5"/>
    <w:rsid w:val="004015E7"/>
    <w:rsid w:val="00403AB2"/>
    <w:rsid w:val="00412749"/>
    <w:rsid w:val="00416702"/>
    <w:rsid w:val="004211A3"/>
    <w:rsid w:val="00425F66"/>
    <w:rsid w:val="00431DBE"/>
    <w:rsid w:val="00433B9F"/>
    <w:rsid w:val="00436D92"/>
    <w:rsid w:val="004410DD"/>
    <w:rsid w:val="0045760A"/>
    <w:rsid w:val="004610D7"/>
    <w:rsid w:val="004613B9"/>
    <w:rsid w:val="00467991"/>
    <w:rsid w:val="0047081D"/>
    <w:rsid w:val="004765F8"/>
    <w:rsid w:val="00476745"/>
    <w:rsid w:val="00492B35"/>
    <w:rsid w:val="00493336"/>
    <w:rsid w:val="00494623"/>
    <w:rsid w:val="0049588D"/>
    <w:rsid w:val="00496883"/>
    <w:rsid w:val="004A1FC5"/>
    <w:rsid w:val="004A355E"/>
    <w:rsid w:val="004A36A8"/>
    <w:rsid w:val="004A4CF1"/>
    <w:rsid w:val="004B1FD6"/>
    <w:rsid w:val="004B4136"/>
    <w:rsid w:val="004B57DA"/>
    <w:rsid w:val="004B7182"/>
    <w:rsid w:val="004C0179"/>
    <w:rsid w:val="004D2165"/>
    <w:rsid w:val="004D2A3E"/>
    <w:rsid w:val="004D3F6F"/>
    <w:rsid w:val="004D491B"/>
    <w:rsid w:val="004D6D34"/>
    <w:rsid w:val="004D6DAD"/>
    <w:rsid w:val="004E32E8"/>
    <w:rsid w:val="004E3790"/>
    <w:rsid w:val="004E6008"/>
    <w:rsid w:val="004F1479"/>
    <w:rsid w:val="00501F2E"/>
    <w:rsid w:val="00521996"/>
    <w:rsid w:val="00522280"/>
    <w:rsid w:val="0053142D"/>
    <w:rsid w:val="005316BD"/>
    <w:rsid w:val="00533B92"/>
    <w:rsid w:val="00534F6E"/>
    <w:rsid w:val="00535EEC"/>
    <w:rsid w:val="00536A9F"/>
    <w:rsid w:val="00537275"/>
    <w:rsid w:val="005456E9"/>
    <w:rsid w:val="005462F7"/>
    <w:rsid w:val="005521A5"/>
    <w:rsid w:val="00555B34"/>
    <w:rsid w:val="0056247F"/>
    <w:rsid w:val="00564989"/>
    <w:rsid w:val="00565168"/>
    <w:rsid w:val="005656FE"/>
    <w:rsid w:val="005678E8"/>
    <w:rsid w:val="00585A83"/>
    <w:rsid w:val="00591BC0"/>
    <w:rsid w:val="00593C7A"/>
    <w:rsid w:val="005B1D70"/>
    <w:rsid w:val="005B3711"/>
    <w:rsid w:val="005B42E6"/>
    <w:rsid w:val="005C064C"/>
    <w:rsid w:val="005C25B4"/>
    <w:rsid w:val="005C3A40"/>
    <w:rsid w:val="005C79BB"/>
    <w:rsid w:val="005D72B7"/>
    <w:rsid w:val="005D796C"/>
    <w:rsid w:val="005E4015"/>
    <w:rsid w:val="005E748F"/>
    <w:rsid w:val="005F4F7A"/>
    <w:rsid w:val="005F6D53"/>
    <w:rsid w:val="00603670"/>
    <w:rsid w:val="006037D5"/>
    <w:rsid w:val="00613BA0"/>
    <w:rsid w:val="00616532"/>
    <w:rsid w:val="00616AE3"/>
    <w:rsid w:val="00620F2C"/>
    <w:rsid w:val="00627F1C"/>
    <w:rsid w:val="00645DC1"/>
    <w:rsid w:val="0064715C"/>
    <w:rsid w:val="0066018A"/>
    <w:rsid w:val="00665EC8"/>
    <w:rsid w:val="00673379"/>
    <w:rsid w:val="00675146"/>
    <w:rsid w:val="006779F7"/>
    <w:rsid w:val="00680244"/>
    <w:rsid w:val="006817FD"/>
    <w:rsid w:val="006923B3"/>
    <w:rsid w:val="006A61C8"/>
    <w:rsid w:val="006B07B5"/>
    <w:rsid w:val="006B1BFB"/>
    <w:rsid w:val="006B764E"/>
    <w:rsid w:val="006D213E"/>
    <w:rsid w:val="006D5FC6"/>
    <w:rsid w:val="006D7E04"/>
    <w:rsid w:val="006E7BCC"/>
    <w:rsid w:val="006F08BA"/>
    <w:rsid w:val="006F4F8D"/>
    <w:rsid w:val="006F728F"/>
    <w:rsid w:val="00700C51"/>
    <w:rsid w:val="00704006"/>
    <w:rsid w:val="00704031"/>
    <w:rsid w:val="007056A1"/>
    <w:rsid w:val="007059E9"/>
    <w:rsid w:val="007077BC"/>
    <w:rsid w:val="0071097B"/>
    <w:rsid w:val="007128C2"/>
    <w:rsid w:val="00713BF5"/>
    <w:rsid w:val="00715D44"/>
    <w:rsid w:val="00717FA5"/>
    <w:rsid w:val="007214B0"/>
    <w:rsid w:val="00724E13"/>
    <w:rsid w:val="00726EDF"/>
    <w:rsid w:val="0073094F"/>
    <w:rsid w:val="007342B9"/>
    <w:rsid w:val="007346D5"/>
    <w:rsid w:val="00736BAB"/>
    <w:rsid w:val="00741354"/>
    <w:rsid w:val="00743786"/>
    <w:rsid w:val="007440B0"/>
    <w:rsid w:val="00746ADE"/>
    <w:rsid w:val="007470DA"/>
    <w:rsid w:val="007516DF"/>
    <w:rsid w:val="00765E0C"/>
    <w:rsid w:val="00766BD6"/>
    <w:rsid w:val="00781957"/>
    <w:rsid w:val="00783A0E"/>
    <w:rsid w:val="00783B9B"/>
    <w:rsid w:val="00795E7D"/>
    <w:rsid w:val="007960C7"/>
    <w:rsid w:val="007C5792"/>
    <w:rsid w:val="007E017A"/>
    <w:rsid w:val="007E26FA"/>
    <w:rsid w:val="007E3EDE"/>
    <w:rsid w:val="007F0753"/>
    <w:rsid w:val="007F26F4"/>
    <w:rsid w:val="007F6642"/>
    <w:rsid w:val="007F6B25"/>
    <w:rsid w:val="0080065E"/>
    <w:rsid w:val="00800C68"/>
    <w:rsid w:val="008034FC"/>
    <w:rsid w:val="00803518"/>
    <w:rsid w:val="0080763B"/>
    <w:rsid w:val="00811E08"/>
    <w:rsid w:val="00812470"/>
    <w:rsid w:val="008124C1"/>
    <w:rsid w:val="00816018"/>
    <w:rsid w:val="00823894"/>
    <w:rsid w:val="00824180"/>
    <w:rsid w:val="00825FF0"/>
    <w:rsid w:val="00830919"/>
    <w:rsid w:val="00833B54"/>
    <w:rsid w:val="00845D82"/>
    <w:rsid w:val="00847407"/>
    <w:rsid w:val="00847B89"/>
    <w:rsid w:val="0085037D"/>
    <w:rsid w:val="008526EF"/>
    <w:rsid w:val="008537C7"/>
    <w:rsid w:val="008556E4"/>
    <w:rsid w:val="00856F2F"/>
    <w:rsid w:val="008677C1"/>
    <w:rsid w:val="00875023"/>
    <w:rsid w:val="00881257"/>
    <w:rsid w:val="00882269"/>
    <w:rsid w:val="00886B8B"/>
    <w:rsid w:val="008A5110"/>
    <w:rsid w:val="008A7093"/>
    <w:rsid w:val="008A75A4"/>
    <w:rsid w:val="008A7A2A"/>
    <w:rsid w:val="008B07D3"/>
    <w:rsid w:val="008B0F2B"/>
    <w:rsid w:val="008B7BAC"/>
    <w:rsid w:val="008B7C71"/>
    <w:rsid w:val="008C2AB1"/>
    <w:rsid w:val="008C3917"/>
    <w:rsid w:val="008C7245"/>
    <w:rsid w:val="008D60A4"/>
    <w:rsid w:val="008E3CD8"/>
    <w:rsid w:val="008E49E5"/>
    <w:rsid w:val="008E6EDC"/>
    <w:rsid w:val="008F3BD8"/>
    <w:rsid w:val="008F3E0F"/>
    <w:rsid w:val="008F3F79"/>
    <w:rsid w:val="008F480D"/>
    <w:rsid w:val="00904D13"/>
    <w:rsid w:val="009227C3"/>
    <w:rsid w:val="0092421F"/>
    <w:rsid w:val="009252C0"/>
    <w:rsid w:val="00931016"/>
    <w:rsid w:val="00932E40"/>
    <w:rsid w:val="00937F4D"/>
    <w:rsid w:val="00945FC8"/>
    <w:rsid w:val="0094675A"/>
    <w:rsid w:val="00947E20"/>
    <w:rsid w:val="009500CB"/>
    <w:rsid w:val="00950D89"/>
    <w:rsid w:val="009526DD"/>
    <w:rsid w:val="00966193"/>
    <w:rsid w:val="009666D4"/>
    <w:rsid w:val="00977403"/>
    <w:rsid w:val="00981D28"/>
    <w:rsid w:val="00981FCF"/>
    <w:rsid w:val="009877F1"/>
    <w:rsid w:val="00990253"/>
    <w:rsid w:val="00991F41"/>
    <w:rsid w:val="009A1D10"/>
    <w:rsid w:val="009A21C0"/>
    <w:rsid w:val="009A3BB4"/>
    <w:rsid w:val="009A4BF3"/>
    <w:rsid w:val="009B4D41"/>
    <w:rsid w:val="009C2D78"/>
    <w:rsid w:val="009C5877"/>
    <w:rsid w:val="009D0859"/>
    <w:rsid w:val="009D48FC"/>
    <w:rsid w:val="009D4FC9"/>
    <w:rsid w:val="009D770C"/>
    <w:rsid w:val="009E5075"/>
    <w:rsid w:val="009E5F7B"/>
    <w:rsid w:val="009E7BCB"/>
    <w:rsid w:val="009F22AA"/>
    <w:rsid w:val="00A01AC2"/>
    <w:rsid w:val="00A02581"/>
    <w:rsid w:val="00A042E3"/>
    <w:rsid w:val="00A0472A"/>
    <w:rsid w:val="00A10016"/>
    <w:rsid w:val="00A128C6"/>
    <w:rsid w:val="00A13934"/>
    <w:rsid w:val="00A14754"/>
    <w:rsid w:val="00A14B3F"/>
    <w:rsid w:val="00A16824"/>
    <w:rsid w:val="00A16C1A"/>
    <w:rsid w:val="00A202CE"/>
    <w:rsid w:val="00A20307"/>
    <w:rsid w:val="00A30C64"/>
    <w:rsid w:val="00A35A63"/>
    <w:rsid w:val="00A45A6D"/>
    <w:rsid w:val="00A63298"/>
    <w:rsid w:val="00A7405A"/>
    <w:rsid w:val="00A82740"/>
    <w:rsid w:val="00AB13A8"/>
    <w:rsid w:val="00AB6105"/>
    <w:rsid w:val="00AC2AF9"/>
    <w:rsid w:val="00AD08E8"/>
    <w:rsid w:val="00AD3C05"/>
    <w:rsid w:val="00AD6219"/>
    <w:rsid w:val="00AE270A"/>
    <w:rsid w:val="00AE2F48"/>
    <w:rsid w:val="00AE6795"/>
    <w:rsid w:val="00AF19C8"/>
    <w:rsid w:val="00AF1D6C"/>
    <w:rsid w:val="00AF4372"/>
    <w:rsid w:val="00B0099A"/>
    <w:rsid w:val="00B03E4F"/>
    <w:rsid w:val="00B04636"/>
    <w:rsid w:val="00B057F0"/>
    <w:rsid w:val="00B06AE0"/>
    <w:rsid w:val="00B16927"/>
    <w:rsid w:val="00B17E4D"/>
    <w:rsid w:val="00B27141"/>
    <w:rsid w:val="00B273D6"/>
    <w:rsid w:val="00B4687C"/>
    <w:rsid w:val="00B5406D"/>
    <w:rsid w:val="00B617FE"/>
    <w:rsid w:val="00B722C9"/>
    <w:rsid w:val="00B83164"/>
    <w:rsid w:val="00B85FC9"/>
    <w:rsid w:val="00B87479"/>
    <w:rsid w:val="00B9732A"/>
    <w:rsid w:val="00B97FDC"/>
    <w:rsid w:val="00BA1245"/>
    <w:rsid w:val="00BA578C"/>
    <w:rsid w:val="00BB45E3"/>
    <w:rsid w:val="00BB566D"/>
    <w:rsid w:val="00BB591F"/>
    <w:rsid w:val="00BB67EB"/>
    <w:rsid w:val="00BC4505"/>
    <w:rsid w:val="00BC697C"/>
    <w:rsid w:val="00BD3301"/>
    <w:rsid w:val="00BD4CD9"/>
    <w:rsid w:val="00BF04FE"/>
    <w:rsid w:val="00BF1BF2"/>
    <w:rsid w:val="00BF3DBA"/>
    <w:rsid w:val="00BF568B"/>
    <w:rsid w:val="00C00098"/>
    <w:rsid w:val="00C016A3"/>
    <w:rsid w:val="00C02598"/>
    <w:rsid w:val="00C02804"/>
    <w:rsid w:val="00C2026A"/>
    <w:rsid w:val="00C21B82"/>
    <w:rsid w:val="00C31252"/>
    <w:rsid w:val="00C368FE"/>
    <w:rsid w:val="00C40805"/>
    <w:rsid w:val="00C419B5"/>
    <w:rsid w:val="00C45F0F"/>
    <w:rsid w:val="00C476C2"/>
    <w:rsid w:val="00C539FF"/>
    <w:rsid w:val="00C56A1C"/>
    <w:rsid w:val="00C65789"/>
    <w:rsid w:val="00C713DD"/>
    <w:rsid w:val="00C74651"/>
    <w:rsid w:val="00C776A4"/>
    <w:rsid w:val="00C811C6"/>
    <w:rsid w:val="00C83E6E"/>
    <w:rsid w:val="00C90DA1"/>
    <w:rsid w:val="00CA090A"/>
    <w:rsid w:val="00CA0FD7"/>
    <w:rsid w:val="00CB79D3"/>
    <w:rsid w:val="00CD143C"/>
    <w:rsid w:val="00CD57F2"/>
    <w:rsid w:val="00CE35BB"/>
    <w:rsid w:val="00CF2666"/>
    <w:rsid w:val="00D002F2"/>
    <w:rsid w:val="00D015A2"/>
    <w:rsid w:val="00D10072"/>
    <w:rsid w:val="00D10E67"/>
    <w:rsid w:val="00D2020D"/>
    <w:rsid w:val="00D221F4"/>
    <w:rsid w:val="00D24487"/>
    <w:rsid w:val="00D32910"/>
    <w:rsid w:val="00D36217"/>
    <w:rsid w:val="00D4308A"/>
    <w:rsid w:val="00D467C0"/>
    <w:rsid w:val="00D47164"/>
    <w:rsid w:val="00D531A7"/>
    <w:rsid w:val="00D533FC"/>
    <w:rsid w:val="00D54834"/>
    <w:rsid w:val="00D55057"/>
    <w:rsid w:val="00D61271"/>
    <w:rsid w:val="00D638E3"/>
    <w:rsid w:val="00D6705F"/>
    <w:rsid w:val="00D7179D"/>
    <w:rsid w:val="00D71805"/>
    <w:rsid w:val="00D75C80"/>
    <w:rsid w:val="00D77837"/>
    <w:rsid w:val="00D81455"/>
    <w:rsid w:val="00D8277B"/>
    <w:rsid w:val="00D82EF0"/>
    <w:rsid w:val="00D83B95"/>
    <w:rsid w:val="00D9501D"/>
    <w:rsid w:val="00D953AB"/>
    <w:rsid w:val="00D95FC8"/>
    <w:rsid w:val="00D96CBE"/>
    <w:rsid w:val="00DA5447"/>
    <w:rsid w:val="00DA60BE"/>
    <w:rsid w:val="00DA70FD"/>
    <w:rsid w:val="00DB00FB"/>
    <w:rsid w:val="00DB6327"/>
    <w:rsid w:val="00DB6593"/>
    <w:rsid w:val="00DD1F0C"/>
    <w:rsid w:val="00DD3557"/>
    <w:rsid w:val="00DD4221"/>
    <w:rsid w:val="00DE0EBA"/>
    <w:rsid w:val="00DF6B4E"/>
    <w:rsid w:val="00E01F9F"/>
    <w:rsid w:val="00E06F98"/>
    <w:rsid w:val="00E07AB9"/>
    <w:rsid w:val="00E127FA"/>
    <w:rsid w:val="00E300EB"/>
    <w:rsid w:val="00E3273E"/>
    <w:rsid w:val="00E33E2A"/>
    <w:rsid w:val="00E3421A"/>
    <w:rsid w:val="00E45475"/>
    <w:rsid w:val="00E4552F"/>
    <w:rsid w:val="00E5185B"/>
    <w:rsid w:val="00E520C1"/>
    <w:rsid w:val="00E616E2"/>
    <w:rsid w:val="00E70313"/>
    <w:rsid w:val="00E81F84"/>
    <w:rsid w:val="00E84F37"/>
    <w:rsid w:val="00E96562"/>
    <w:rsid w:val="00EA08B8"/>
    <w:rsid w:val="00EA4C23"/>
    <w:rsid w:val="00EA518C"/>
    <w:rsid w:val="00EA6C46"/>
    <w:rsid w:val="00EB3E5D"/>
    <w:rsid w:val="00EC6A4D"/>
    <w:rsid w:val="00EC6B71"/>
    <w:rsid w:val="00EC7CC4"/>
    <w:rsid w:val="00ED5181"/>
    <w:rsid w:val="00EE203B"/>
    <w:rsid w:val="00EE22B8"/>
    <w:rsid w:val="00EE4F28"/>
    <w:rsid w:val="00EE6332"/>
    <w:rsid w:val="00EE7439"/>
    <w:rsid w:val="00EF1B95"/>
    <w:rsid w:val="00EF5F21"/>
    <w:rsid w:val="00EF648A"/>
    <w:rsid w:val="00F07AFD"/>
    <w:rsid w:val="00F124EF"/>
    <w:rsid w:val="00F14A8B"/>
    <w:rsid w:val="00F15985"/>
    <w:rsid w:val="00F1651A"/>
    <w:rsid w:val="00F16A55"/>
    <w:rsid w:val="00F21DD8"/>
    <w:rsid w:val="00F2484C"/>
    <w:rsid w:val="00F264F6"/>
    <w:rsid w:val="00F31DBA"/>
    <w:rsid w:val="00F31E19"/>
    <w:rsid w:val="00F4747C"/>
    <w:rsid w:val="00F5165D"/>
    <w:rsid w:val="00F523A2"/>
    <w:rsid w:val="00F61DA9"/>
    <w:rsid w:val="00F67ABD"/>
    <w:rsid w:val="00F705B7"/>
    <w:rsid w:val="00F736C3"/>
    <w:rsid w:val="00F74919"/>
    <w:rsid w:val="00F805E4"/>
    <w:rsid w:val="00F83212"/>
    <w:rsid w:val="00F850A5"/>
    <w:rsid w:val="00FA4B6B"/>
    <w:rsid w:val="00FA642F"/>
    <w:rsid w:val="00FA64A3"/>
    <w:rsid w:val="00FB6842"/>
    <w:rsid w:val="00FC353C"/>
    <w:rsid w:val="00FC401C"/>
    <w:rsid w:val="00FC5B3A"/>
    <w:rsid w:val="00FD08B2"/>
    <w:rsid w:val="00FD12C6"/>
    <w:rsid w:val="00FD56B9"/>
    <w:rsid w:val="00FE1170"/>
    <w:rsid w:val="00FF04E2"/>
    <w:rsid w:val="00FF424F"/>
    <w:rsid w:val="00FF4E26"/>
    <w:rsid w:val="00FF7703"/>
    <w:rsid w:val="02922C89"/>
    <w:rsid w:val="02F23C7E"/>
    <w:rsid w:val="040E6340"/>
    <w:rsid w:val="04105830"/>
    <w:rsid w:val="055F3FDB"/>
    <w:rsid w:val="05635592"/>
    <w:rsid w:val="05854D29"/>
    <w:rsid w:val="05EE2780"/>
    <w:rsid w:val="075A189C"/>
    <w:rsid w:val="082B7BE2"/>
    <w:rsid w:val="09C61466"/>
    <w:rsid w:val="0AD749D3"/>
    <w:rsid w:val="0B2B77D7"/>
    <w:rsid w:val="0B753148"/>
    <w:rsid w:val="0D7B7E36"/>
    <w:rsid w:val="0E9E64C9"/>
    <w:rsid w:val="10EF17B4"/>
    <w:rsid w:val="110A0E7A"/>
    <w:rsid w:val="11E903EC"/>
    <w:rsid w:val="13144FF5"/>
    <w:rsid w:val="13333D5C"/>
    <w:rsid w:val="146E6401"/>
    <w:rsid w:val="14A60936"/>
    <w:rsid w:val="160C6659"/>
    <w:rsid w:val="173B4A09"/>
    <w:rsid w:val="17DB4037"/>
    <w:rsid w:val="18194E5B"/>
    <w:rsid w:val="182201B4"/>
    <w:rsid w:val="18E54BB3"/>
    <w:rsid w:val="1A3441CE"/>
    <w:rsid w:val="1A613215"/>
    <w:rsid w:val="1AB538EA"/>
    <w:rsid w:val="1BF92FB4"/>
    <w:rsid w:val="1BFC453C"/>
    <w:rsid w:val="1C13528C"/>
    <w:rsid w:val="1C6B47D6"/>
    <w:rsid w:val="1CE23FBB"/>
    <w:rsid w:val="1CF87A8E"/>
    <w:rsid w:val="1EE91A2B"/>
    <w:rsid w:val="1F336601"/>
    <w:rsid w:val="1F941997"/>
    <w:rsid w:val="1FB60131"/>
    <w:rsid w:val="20545F82"/>
    <w:rsid w:val="216058A9"/>
    <w:rsid w:val="219F23DC"/>
    <w:rsid w:val="21D173FB"/>
    <w:rsid w:val="232C638A"/>
    <w:rsid w:val="244F509D"/>
    <w:rsid w:val="24C31A17"/>
    <w:rsid w:val="25CA126D"/>
    <w:rsid w:val="25F95133"/>
    <w:rsid w:val="264D28A0"/>
    <w:rsid w:val="26927DE8"/>
    <w:rsid w:val="28761586"/>
    <w:rsid w:val="287E686B"/>
    <w:rsid w:val="28AB7D51"/>
    <w:rsid w:val="2BB31262"/>
    <w:rsid w:val="2C5D1363"/>
    <w:rsid w:val="2D5B3D07"/>
    <w:rsid w:val="2D6C0E86"/>
    <w:rsid w:val="2D742E08"/>
    <w:rsid w:val="2DF103C9"/>
    <w:rsid w:val="2E933762"/>
    <w:rsid w:val="2EAA3A90"/>
    <w:rsid w:val="2FBE7F3E"/>
    <w:rsid w:val="303D0EB6"/>
    <w:rsid w:val="34750451"/>
    <w:rsid w:val="3608233F"/>
    <w:rsid w:val="39736669"/>
    <w:rsid w:val="39CE641A"/>
    <w:rsid w:val="3A425C48"/>
    <w:rsid w:val="3B547DD5"/>
    <w:rsid w:val="3B9D79CE"/>
    <w:rsid w:val="3C716C78"/>
    <w:rsid w:val="3E7E65AC"/>
    <w:rsid w:val="3EBF7C5B"/>
    <w:rsid w:val="3FB23FF4"/>
    <w:rsid w:val="3FEF0250"/>
    <w:rsid w:val="40DE7DDB"/>
    <w:rsid w:val="422D6E0C"/>
    <w:rsid w:val="42D40179"/>
    <w:rsid w:val="434B2807"/>
    <w:rsid w:val="438B73CF"/>
    <w:rsid w:val="43B835F7"/>
    <w:rsid w:val="43D97DC6"/>
    <w:rsid w:val="44A122DD"/>
    <w:rsid w:val="45110CD4"/>
    <w:rsid w:val="45AB1DC0"/>
    <w:rsid w:val="466E61EE"/>
    <w:rsid w:val="47347C1D"/>
    <w:rsid w:val="477261B2"/>
    <w:rsid w:val="48271D32"/>
    <w:rsid w:val="494D3FC6"/>
    <w:rsid w:val="4994569C"/>
    <w:rsid w:val="4A1B043B"/>
    <w:rsid w:val="4A485FEA"/>
    <w:rsid w:val="4B7E5126"/>
    <w:rsid w:val="4BC44A01"/>
    <w:rsid w:val="4CF353F7"/>
    <w:rsid w:val="4D5C3245"/>
    <w:rsid w:val="4DA46CB0"/>
    <w:rsid w:val="4E147DBD"/>
    <w:rsid w:val="4EF120B3"/>
    <w:rsid w:val="4F5A37B4"/>
    <w:rsid w:val="517555E9"/>
    <w:rsid w:val="518E282D"/>
    <w:rsid w:val="51BD2161"/>
    <w:rsid w:val="537A2677"/>
    <w:rsid w:val="549A0AF6"/>
    <w:rsid w:val="561D19DF"/>
    <w:rsid w:val="58117322"/>
    <w:rsid w:val="58BC103B"/>
    <w:rsid w:val="58DF7618"/>
    <w:rsid w:val="595F09CA"/>
    <w:rsid w:val="59607D5E"/>
    <w:rsid w:val="59F803A7"/>
    <w:rsid w:val="5AF52F61"/>
    <w:rsid w:val="5DDD322E"/>
    <w:rsid w:val="5E873FB8"/>
    <w:rsid w:val="5F2429C1"/>
    <w:rsid w:val="5FE60C0E"/>
    <w:rsid w:val="60934EB4"/>
    <w:rsid w:val="619C2744"/>
    <w:rsid w:val="62875C56"/>
    <w:rsid w:val="63765FCC"/>
    <w:rsid w:val="63E23ADE"/>
    <w:rsid w:val="64B9762C"/>
    <w:rsid w:val="653A748F"/>
    <w:rsid w:val="65684FFF"/>
    <w:rsid w:val="67177DB9"/>
    <w:rsid w:val="676034DA"/>
    <w:rsid w:val="67BD28CF"/>
    <w:rsid w:val="683C33E5"/>
    <w:rsid w:val="68BF24D0"/>
    <w:rsid w:val="6A5C063B"/>
    <w:rsid w:val="6A8B7443"/>
    <w:rsid w:val="6C382C77"/>
    <w:rsid w:val="6C615D2A"/>
    <w:rsid w:val="6CBE13CE"/>
    <w:rsid w:val="6D1504AB"/>
    <w:rsid w:val="6D471016"/>
    <w:rsid w:val="6DF79B98"/>
    <w:rsid w:val="6EF2710D"/>
    <w:rsid w:val="6F71097A"/>
    <w:rsid w:val="6FCF7F1F"/>
    <w:rsid w:val="704936A5"/>
    <w:rsid w:val="71CA376C"/>
    <w:rsid w:val="71CC633B"/>
    <w:rsid w:val="723F30C3"/>
    <w:rsid w:val="72A04FF1"/>
    <w:rsid w:val="73186167"/>
    <w:rsid w:val="735955DB"/>
    <w:rsid w:val="73AC1E4B"/>
    <w:rsid w:val="73C22DCA"/>
    <w:rsid w:val="74B45232"/>
    <w:rsid w:val="754601B3"/>
    <w:rsid w:val="75542513"/>
    <w:rsid w:val="75E8550C"/>
    <w:rsid w:val="769C47C3"/>
    <w:rsid w:val="778C5A2E"/>
    <w:rsid w:val="78EE4DE9"/>
    <w:rsid w:val="794B223C"/>
    <w:rsid w:val="79AA2B53"/>
    <w:rsid w:val="7AEE0147"/>
    <w:rsid w:val="7B991FC9"/>
    <w:rsid w:val="7C305ECE"/>
    <w:rsid w:val="7C7A5C40"/>
    <w:rsid w:val="7C8B33D3"/>
    <w:rsid w:val="7CC4789F"/>
    <w:rsid w:val="7D9F4FAC"/>
    <w:rsid w:val="7E4F55D1"/>
    <w:rsid w:val="7EA86627"/>
    <w:rsid w:val="7FF56B0F"/>
    <w:rsid w:val="BDE8CFAA"/>
    <w:rsid w:val="EDF69BB9"/>
    <w:rsid w:val="FEAFC1A6"/>
    <w:rsid w:val="FEF98F06"/>
    <w:rsid w:val="FF7B4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tLeast"/>
      <w:outlineLvl w:val="0"/>
    </w:pPr>
    <w:rPr>
      <w:b/>
      <w:bCs/>
      <w:kern w:val="44"/>
      <w:sz w:val="44"/>
      <w:szCs w:val="44"/>
    </w:rPr>
  </w:style>
  <w:style w:type="paragraph" w:styleId="3">
    <w:name w:val="heading 2"/>
    <w:basedOn w:val="1"/>
    <w:next w:val="1"/>
    <w:link w:val="30"/>
    <w:autoRedefine/>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4"/>
    <w:basedOn w:val="1"/>
    <w:next w:val="1"/>
    <w:autoRedefine/>
    <w:unhideWhenUsed/>
    <w:qFormat/>
    <w:uiPriority w:val="0"/>
    <w:pPr>
      <w:keepNext/>
      <w:keepLines/>
      <w:outlineLvl w:val="3"/>
    </w:pPr>
    <w:rPr>
      <w:rFonts w:ascii="Arial" w:hAnsi="Arial"/>
      <w:b/>
      <w:sz w:val="28"/>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6"/>
    <w:autoRedefine/>
    <w:unhideWhenUsed/>
    <w:qFormat/>
    <w:uiPriority w:val="0"/>
    <w:pPr>
      <w:jc w:val="left"/>
    </w:pPr>
  </w:style>
  <w:style w:type="paragraph" w:styleId="6">
    <w:name w:val="Body Text Indent"/>
    <w:basedOn w:val="1"/>
    <w:link w:val="45"/>
    <w:autoRedefine/>
    <w:semiHidden/>
    <w:unhideWhenUsed/>
    <w:qFormat/>
    <w:uiPriority w:val="99"/>
    <w:pPr>
      <w:spacing w:after="120"/>
      <w:ind w:left="420" w:leftChars="200"/>
    </w:pPr>
  </w:style>
  <w:style w:type="paragraph" w:styleId="7">
    <w:name w:val="Plain Text"/>
    <w:basedOn w:val="1"/>
    <w:link w:val="31"/>
    <w:autoRedefine/>
    <w:qFormat/>
    <w:uiPriority w:val="0"/>
    <w:rPr>
      <w:rFonts w:ascii="宋体" w:hAnsi="Courier New" w:eastAsia="宋体" w:cs="Times New Roman"/>
      <w:kern w:val="0"/>
      <w:sz w:val="20"/>
      <w:szCs w:val="21"/>
    </w:rPr>
  </w:style>
  <w:style w:type="paragraph" w:styleId="8">
    <w:name w:val="Balloon Text"/>
    <w:basedOn w:val="1"/>
    <w:link w:val="27"/>
    <w:autoRedefine/>
    <w:semiHidden/>
    <w:unhideWhenUsed/>
    <w:qFormat/>
    <w:uiPriority w:val="99"/>
    <w:rPr>
      <w:sz w:val="18"/>
      <w:szCs w:val="18"/>
    </w:rPr>
  </w:style>
  <w:style w:type="paragraph" w:styleId="9">
    <w:name w:val="footer"/>
    <w:basedOn w:val="1"/>
    <w:link w:val="24"/>
    <w:autoRedefine/>
    <w:unhideWhenUsed/>
    <w:qFormat/>
    <w:uiPriority w:val="99"/>
    <w:pPr>
      <w:tabs>
        <w:tab w:val="center" w:pos="4153"/>
        <w:tab w:val="right" w:pos="8306"/>
      </w:tabs>
      <w:snapToGrid w:val="0"/>
      <w:jc w:val="left"/>
    </w:pPr>
    <w:rPr>
      <w:sz w:val="18"/>
      <w:szCs w:val="18"/>
    </w:rPr>
  </w:style>
  <w:style w:type="paragraph" w:styleId="10">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spacing w:line="400" w:lineRule="exact"/>
      <w:jc w:val="center"/>
    </w:pPr>
    <w:rPr>
      <w:rFonts w:ascii="宋体" w:hAnsi="宋体" w:eastAsia="宋体" w:cs="宋体"/>
      <w:b/>
      <w:bCs/>
      <w:szCs w:val="21"/>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9"/>
    <w:autoRedefine/>
    <w:qFormat/>
    <w:uiPriority w:val="0"/>
    <w:pPr>
      <w:spacing w:before="240" w:after="60"/>
      <w:jc w:val="center"/>
      <w:outlineLvl w:val="0"/>
    </w:pPr>
    <w:rPr>
      <w:rFonts w:eastAsia="宋体" w:asciiTheme="majorHAnsi" w:hAnsiTheme="majorHAnsi" w:cstheme="majorBidi"/>
      <w:b/>
      <w:bCs/>
      <w:sz w:val="32"/>
      <w:szCs w:val="32"/>
    </w:rPr>
  </w:style>
  <w:style w:type="paragraph" w:styleId="14">
    <w:name w:val="annotation subject"/>
    <w:basedOn w:val="5"/>
    <w:next w:val="5"/>
    <w:link w:val="28"/>
    <w:autoRedefine/>
    <w:semiHidden/>
    <w:unhideWhenUsed/>
    <w:qFormat/>
    <w:uiPriority w:val="99"/>
    <w:rPr>
      <w:b/>
      <w:bCs/>
    </w:rPr>
  </w:style>
  <w:style w:type="paragraph" w:styleId="15">
    <w:name w:val="Body Text First Indent 2"/>
    <w:basedOn w:val="6"/>
    <w:link w:val="46"/>
    <w:autoRedefine/>
    <w:unhideWhenUsed/>
    <w:qFormat/>
    <w:uiPriority w:val="99"/>
    <w:pPr>
      <w:spacing w:line="520" w:lineRule="exact"/>
      <w:ind w:firstLine="420"/>
    </w:pPr>
    <w:rPr>
      <w:rFonts w:ascii="Calibri" w:hAnsi="Calibri"/>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bCs/>
    </w:rPr>
  </w:style>
  <w:style w:type="character" w:styleId="20">
    <w:name w:val="page number"/>
    <w:basedOn w:val="18"/>
    <w:autoRedefine/>
    <w:qFormat/>
    <w:uiPriority w:val="0"/>
  </w:style>
  <w:style w:type="character" w:styleId="21">
    <w:name w:val="annotation reference"/>
    <w:basedOn w:val="18"/>
    <w:autoRedefine/>
    <w:unhideWhenUsed/>
    <w:qFormat/>
    <w:uiPriority w:val="0"/>
    <w:rPr>
      <w:sz w:val="21"/>
      <w:szCs w:val="21"/>
    </w:rPr>
  </w:style>
  <w:style w:type="paragraph" w:customStyle="1" w:styleId="22">
    <w:name w:val="表格文字"/>
    <w:basedOn w:val="1"/>
    <w:autoRedefine/>
    <w:qFormat/>
    <w:uiPriority w:val="0"/>
    <w:pPr>
      <w:spacing w:before="25" w:after="25" w:line="300" w:lineRule="auto"/>
    </w:pPr>
    <w:rPr>
      <w:rFonts w:ascii="Times" w:hAnsi="Times"/>
      <w:spacing w:val="10"/>
      <w:sz w:val="24"/>
    </w:rPr>
  </w:style>
  <w:style w:type="character" w:customStyle="1" w:styleId="23">
    <w:name w:val="页眉 字符"/>
    <w:basedOn w:val="18"/>
    <w:link w:val="10"/>
    <w:autoRedefine/>
    <w:qFormat/>
    <w:uiPriority w:val="99"/>
    <w:rPr>
      <w:sz w:val="18"/>
      <w:szCs w:val="18"/>
    </w:rPr>
  </w:style>
  <w:style w:type="character" w:customStyle="1" w:styleId="24">
    <w:name w:val="页脚 字符"/>
    <w:basedOn w:val="18"/>
    <w:link w:val="9"/>
    <w:autoRedefine/>
    <w:qFormat/>
    <w:uiPriority w:val="99"/>
    <w:rPr>
      <w:sz w:val="18"/>
      <w:szCs w:val="18"/>
    </w:rPr>
  </w:style>
  <w:style w:type="paragraph" w:styleId="25">
    <w:name w:val="List Paragraph"/>
    <w:basedOn w:val="1"/>
    <w:link w:val="33"/>
    <w:autoRedefine/>
    <w:qFormat/>
    <w:uiPriority w:val="99"/>
    <w:pPr>
      <w:ind w:firstLine="420" w:firstLineChars="200"/>
    </w:pPr>
  </w:style>
  <w:style w:type="character" w:customStyle="1" w:styleId="26">
    <w:name w:val="批注文字 字符"/>
    <w:basedOn w:val="18"/>
    <w:link w:val="5"/>
    <w:autoRedefine/>
    <w:qFormat/>
    <w:uiPriority w:val="99"/>
  </w:style>
  <w:style w:type="character" w:customStyle="1" w:styleId="27">
    <w:name w:val="批注框文本 字符"/>
    <w:basedOn w:val="18"/>
    <w:link w:val="8"/>
    <w:autoRedefine/>
    <w:semiHidden/>
    <w:qFormat/>
    <w:uiPriority w:val="99"/>
    <w:rPr>
      <w:sz w:val="18"/>
      <w:szCs w:val="18"/>
    </w:rPr>
  </w:style>
  <w:style w:type="character" w:customStyle="1" w:styleId="28">
    <w:name w:val="批注主题 字符"/>
    <w:basedOn w:val="26"/>
    <w:link w:val="14"/>
    <w:autoRedefine/>
    <w:semiHidden/>
    <w:qFormat/>
    <w:uiPriority w:val="99"/>
    <w:rPr>
      <w:b/>
      <w:bCs/>
    </w:rPr>
  </w:style>
  <w:style w:type="character" w:customStyle="1" w:styleId="29">
    <w:name w:val="标题 字符"/>
    <w:basedOn w:val="18"/>
    <w:link w:val="13"/>
    <w:autoRedefine/>
    <w:qFormat/>
    <w:uiPriority w:val="0"/>
    <w:rPr>
      <w:rFonts w:eastAsia="宋体" w:asciiTheme="majorHAnsi" w:hAnsiTheme="majorHAnsi" w:cstheme="majorBidi"/>
      <w:b/>
      <w:bCs/>
      <w:sz w:val="32"/>
      <w:szCs w:val="32"/>
    </w:rPr>
  </w:style>
  <w:style w:type="character" w:customStyle="1" w:styleId="30">
    <w:name w:val="标题 2 字符"/>
    <w:basedOn w:val="18"/>
    <w:link w:val="3"/>
    <w:autoRedefine/>
    <w:qFormat/>
    <w:uiPriority w:val="0"/>
    <w:rPr>
      <w:rFonts w:ascii="Arial" w:hAnsi="Arial" w:eastAsia="黑体" w:cs="Times New Roman"/>
      <w:b/>
      <w:bCs/>
      <w:sz w:val="32"/>
      <w:szCs w:val="32"/>
    </w:rPr>
  </w:style>
  <w:style w:type="character" w:customStyle="1" w:styleId="31">
    <w:name w:val="纯文本 字符"/>
    <w:basedOn w:val="18"/>
    <w:link w:val="7"/>
    <w:autoRedefine/>
    <w:qFormat/>
    <w:uiPriority w:val="0"/>
    <w:rPr>
      <w:rFonts w:ascii="宋体" w:hAnsi="Courier New" w:eastAsia="宋体" w:cs="Times New Roman"/>
      <w:kern w:val="0"/>
      <w:sz w:val="20"/>
      <w:szCs w:val="21"/>
    </w:rPr>
  </w:style>
  <w:style w:type="paragraph" w:customStyle="1" w:styleId="32">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33">
    <w:name w:val="列表段落 字符"/>
    <w:link w:val="25"/>
    <w:autoRedefine/>
    <w:qFormat/>
    <w:uiPriority w:val="99"/>
  </w:style>
  <w:style w:type="paragraph" w:customStyle="1" w:styleId="34">
    <w:name w:val="样式4"/>
    <w:basedOn w:val="1"/>
    <w:autoRedefine/>
    <w:qFormat/>
    <w:uiPriority w:val="0"/>
    <w:pPr>
      <w:numPr>
        <w:ilvl w:val="3"/>
        <w:numId w:val="2"/>
      </w:numPr>
      <w:tabs>
        <w:tab w:val="left" w:pos="425"/>
        <w:tab w:val="left" w:pos="1984"/>
        <w:tab w:val="clear" w:pos="851"/>
      </w:tabs>
    </w:pPr>
    <w:rPr>
      <w:rFonts w:ascii="Times New Roman" w:hAnsi="Times New Roman" w:eastAsia="宋体" w:cs="Times New Roman"/>
      <w:szCs w:val="24"/>
    </w:rPr>
  </w:style>
  <w:style w:type="paragraph" w:customStyle="1" w:styleId="35">
    <w:name w:val="列出段落1"/>
    <w:basedOn w:val="1"/>
    <w:link w:val="36"/>
    <w:autoRedefine/>
    <w:qFormat/>
    <w:uiPriority w:val="99"/>
    <w:pPr>
      <w:ind w:firstLine="420" w:firstLineChars="200"/>
    </w:pPr>
    <w:rPr>
      <w:rFonts w:ascii="Times New Roman" w:hAnsi="Times New Roman" w:eastAsia="宋体" w:cs="Times New Roman"/>
      <w:szCs w:val="21"/>
    </w:rPr>
  </w:style>
  <w:style w:type="character" w:customStyle="1" w:styleId="36">
    <w:name w:val="List Paragraph Char"/>
    <w:link w:val="35"/>
    <w:autoRedefine/>
    <w:qFormat/>
    <w:locked/>
    <w:uiPriority w:val="99"/>
    <w:rPr>
      <w:rFonts w:ascii="Times New Roman" w:hAnsi="Times New Roman" w:eastAsia="宋体" w:cs="Times New Roman"/>
      <w:szCs w:val="21"/>
    </w:rPr>
  </w:style>
  <w:style w:type="paragraph" w:customStyle="1" w:styleId="37">
    <w:name w:val="_Style 121"/>
    <w:basedOn w:val="1"/>
    <w:next w:val="25"/>
    <w:autoRedefine/>
    <w:qFormat/>
    <w:uiPriority w:val="34"/>
    <w:pPr>
      <w:ind w:firstLine="420" w:firstLineChars="200"/>
    </w:pPr>
    <w:rPr>
      <w:rFonts w:ascii="Calibri" w:hAnsi="Calibri" w:eastAsia="宋体" w:cs="Times New Roman"/>
    </w:rPr>
  </w:style>
  <w:style w:type="paragraph" w:customStyle="1" w:styleId="38">
    <w:name w:val="start-font-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9">
    <w:name w:val="start-font-3"/>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正题"/>
    <w:basedOn w:val="1"/>
    <w:next w:val="1"/>
    <w:autoRedefine/>
    <w:unhideWhenUsed/>
    <w:qFormat/>
    <w:uiPriority w:val="99"/>
    <w:pPr>
      <w:topLinePunct/>
      <w:adjustRightInd w:val="0"/>
      <w:snapToGrid w:val="0"/>
      <w:spacing w:line="360" w:lineRule="auto"/>
      <w:jc w:val="center"/>
    </w:pPr>
    <w:rPr>
      <w:rFonts w:ascii="Calibri" w:hAnsi="Calibri" w:eastAsia="黑体" w:cs="Times New Roman"/>
      <w:b/>
      <w:spacing w:val="4"/>
      <w:kern w:val="0"/>
      <w:sz w:val="36"/>
      <w:szCs w:val="20"/>
    </w:rPr>
  </w:style>
  <w:style w:type="character" w:customStyle="1" w:styleId="41">
    <w:name w:val="批注文字 字符1"/>
    <w:autoRedefine/>
    <w:qFormat/>
    <w:uiPriority w:val="0"/>
  </w:style>
  <w:style w:type="character" w:customStyle="1" w:styleId="42">
    <w:name w:val="批注文字 Char1"/>
    <w:autoRedefine/>
    <w:qFormat/>
    <w:uiPriority w:val="0"/>
    <w:rPr>
      <w:rFonts w:ascii="Times New Roman" w:hAnsi="Times New Roman" w:eastAsia="宋体" w:cs="Times New Roman"/>
      <w:szCs w:val="24"/>
    </w:rPr>
  </w:style>
  <w:style w:type="character" w:customStyle="1" w:styleId="43">
    <w:name w:val="列出段落 Char1"/>
    <w:autoRedefine/>
    <w:qFormat/>
    <w:locked/>
    <w:uiPriority w:val="99"/>
    <w:rPr>
      <w:rFonts w:ascii="Times New Roman" w:hAnsi="Times New Roman" w:eastAsia="宋体" w:cs="Times New Roman"/>
      <w:szCs w:val="24"/>
    </w:rPr>
  </w:style>
  <w:style w:type="character" w:customStyle="1" w:styleId="44">
    <w:name w:val="纯文本 Char1"/>
    <w:basedOn w:val="18"/>
    <w:autoRedefine/>
    <w:qFormat/>
    <w:uiPriority w:val="0"/>
    <w:rPr>
      <w:rFonts w:ascii="宋体" w:hAnsi="Courier New" w:eastAsia="宋体" w:cs="Times New Roman"/>
      <w:kern w:val="0"/>
      <w:sz w:val="20"/>
      <w:szCs w:val="21"/>
    </w:rPr>
  </w:style>
  <w:style w:type="character" w:customStyle="1" w:styleId="45">
    <w:name w:val="正文文本缩进 字符"/>
    <w:basedOn w:val="18"/>
    <w:link w:val="6"/>
    <w:autoRedefine/>
    <w:semiHidden/>
    <w:qFormat/>
    <w:uiPriority w:val="99"/>
    <w:rPr>
      <w:kern w:val="2"/>
      <w:sz w:val="21"/>
      <w:szCs w:val="22"/>
    </w:rPr>
  </w:style>
  <w:style w:type="character" w:customStyle="1" w:styleId="46">
    <w:name w:val="正文文本首行缩进 2 字符"/>
    <w:basedOn w:val="45"/>
    <w:link w:val="15"/>
    <w:autoRedefine/>
    <w:qFormat/>
    <w:uiPriority w:val="99"/>
    <w:rPr>
      <w:rFonts w:ascii="Calibri" w:hAnsi="Calibri"/>
      <w:kern w:val="2"/>
      <w:sz w:val="21"/>
      <w:szCs w:val="21"/>
    </w:rPr>
  </w:style>
  <w:style w:type="paragraph" w:customStyle="1" w:styleId="47">
    <w:name w:val="正文正"/>
    <w:basedOn w:val="1"/>
    <w:autoRedefine/>
    <w:qFormat/>
    <w:uiPriority w:val="0"/>
    <w:pPr>
      <w:spacing w:line="560" w:lineRule="exact"/>
      <w:ind w:firstLine="561"/>
    </w:pPr>
    <w:rPr>
      <w:rFonts w:ascii="Calibri" w:hAnsi="Calibri"/>
      <w:sz w:val="28"/>
      <w:szCs w:val="28"/>
    </w:rPr>
  </w:style>
  <w:style w:type="paragraph" w:customStyle="1" w:styleId="48">
    <w:name w:val="BT2"/>
    <w:basedOn w:val="3"/>
    <w:next w:val="1"/>
    <w:autoRedefine/>
    <w:qFormat/>
    <w:uiPriority w:val="0"/>
    <w:pPr>
      <w:spacing w:before="120" w:after="120" w:line="520" w:lineRule="exact"/>
    </w:pPr>
    <w:rPr>
      <w:b w:val="0"/>
      <w:bCs w:val="0"/>
      <w:sz w:val="28"/>
      <w:szCs w:val="20"/>
    </w:rPr>
  </w:style>
  <w:style w:type="paragraph" w:customStyle="1" w:styleId="49">
    <w:name w:val="样式 标题 1 + 四号 居中 段前: 12 磅 段后: 12 磅 行距: 单倍行距"/>
    <w:basedOn w:val="2"/>
    <w:autoRedefine/>
    <w:qFormat/>
    <w:uiPriority w:val="0"/>
    <w:pPr>
      <w:spacing w:before="240" w:after="240" w:line="240" w:lineRule="auto"/>
      <w:jc w:val="center"/>
    </w:pPr>
    <w:rPr>
      <w:rFonts w:cs="宋体"/>
      <w:sz w:val="28"/>
      <w:szCs w:val="20"/>
    </w:rPr>
  </w:style>
  <w:style w:type="paragraph" w:customStyle="1" w:styleId="50">
    <w:name w:val="修订1"/>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1">
    <w:name w:val="Main Title"/>
    <w:next w:val="1"/>
    <w:autoRedefine/>
    <w:qFormat/>
    <w:uiPriority w:val="0"/>
    <w:pPr>
      <w:adjustRightInd w:val="0"/>
      <w:snapToGrid w:val="0"/>
      <w:spacing w:after="120" w:afterLines="50" w:line="360" w:lineRule="auto"/>
      <w:jc w:val="center"/>
    </w:pPr>
    <w:rPr>
      <w:rFonts w:ascii="黑体" w:hAnsi="黑体" w:eastAsia="黑体" w:cs="Times New Roman"/>
      <w:b/>
      <w:kern w:val="2"/>
      <w:sz w:val="36"/>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17</Pages>
  <Words>8326</Words>
  <Characters>8491</Characters>
  <Lines>97</Lines>
  <Paragraphs>27</Paragraphs>
  <TotalTime>12</TotalTime>
  <ScaleCrop>false</ScaleCrop>
  <LinksUpToDate>false</LinksUpToDate>
  <CharactersWithSpaces>9546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2024-04-11T08:58:00Z</dcterms:created>
  <dc:creator>dreamsummit</dc:creator>
  <cp:lastModifiedBy>LW</cp:lastModifiedBy>
  <cp:lastPrinted>2018-10-16T20:01:00Z</cp:lastPrinted>
  <dcterms:modified xsi:type="dcterms:W3CDTF">2024-05-16T02:36:50Z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3ED8DAACCB484716B003F840A6AD8B44_13</vt:lpwstr>
  </property>
</Properties>
</file>