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lang w:eastAsia="zh-CN"/>
          <w14:textFill>
            <w14:solidFill>
              <w14:schemeClr w14:val="tx1"/>
            </w14:solidFill>
          </w14:textFill>
        </w:rPr>
        <w:t>四会市公安局2024年DNA实验室试剂耗材采购项目</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lang w:eastAsia="zh-CN"/>
          <w14:textFill>
            <w14:solidFill>
              <w14:schemeClr w14:val="tx1"/>
            </w14:solidFill>
          </w14:textFill>
        </w:rPr>
        <w:t>四会市公安局</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二〇二四年五月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19"/>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本项目采用邀请供应商竞价的方式进行竞价采购，不接受邀请名单之外的供应商参与竞价。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0"/>
        <w:numPr>
          <w:ilvl w:val="0"/>
          <w:numId w:val="2"/>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30"/>
        <w:numPr>
          <w:ilvl w:val="0"/>
          <w:numId w:val="3"/>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竞价说明</w:t>
      </w:r>
    </w:p>
    <w:p>
      <w:pPr>
        <w:pStyle w:val="30"/>
        <w:numPr>
          <w:ilvl w:val="0"/>
          <w:numId w:val="4"/>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30"/>
        <w:numPr>
          <w:ilvl w:val="0"/>
          <w:numId w:val="3"/>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0"/>
        <w:numPr>
          <w:ilvl w:val="0"/>
          <w:numId w:val="3"/>
        </w:numPr>
        <w:spacing w:line="360" w:lineRule="auto"/>
        <w:ind w:left="420" w:hanging="420" w:firstLineChars="0"/>
        <w:rPr>
          <w:rStyle w:val="26"/>
          <w:rFonts w:ascii="宋体" w:hAnsi="宋体" w:eastAsia="宋体" w:cs="宋体"/>
          <w:bCs w:val="0"/>
        </w:rPr>
      </w:pPr>
      <w:r>
        <w:rPr>
          <w:rStyle w:val="26"/>
          <w:rFonts w:hint="eastAsia" w:ascii="宋体" w:hAnsi="宋体" w:eastAsia="宋体" w:cs="宋体"/>
          <w:bCs w:val="0"/>
        </w:rPr>
        <w:t>报名要求</w:t>
      </w:r>
      <w:r>
        <w:rPr>
          <w:rStyle w:val="26"/>
          <w:rFonts w:hint="eastAsia" w:ascii="宋体" w:hAnsi="宋体" w:eastAsia="宋体" w:cs="宋体"/>
          <w:b w:val="0"/>
        </w:rPr>
        <w:t>（参与竞价的供应商资质要求: 报名时需要提供以下</w:t>
      </w:r>
      <w:r>
        <w:rPr>
          <w:rStyle w:val="26"/>
          <w:rFonts w:hint="eastAsia" w:ascii="宋体" w:hAnsi="宋体" w:eastAsia="宋体" w:cs="宋体"/>
          <w:bCs w:val="0"/>
          <w:u w:val="single"/>
        </w:rPr>
        <w:t>盖章</w:t>
      </w:r>
      <w:r>
        <w:rPr>
          <w:rStyle w:val="26"/>
          <w:rFonts w:hint="eastAsia" w:ascii="宋体" w:hAnsi="宋体" w:eastAsia="宋体" w:cs="宋体"/>
          <w:b w:val="0"/>
        </w:rPr>
        <w:t>资料，并对上传的报名文件资料承担责任）</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p>
    <w:p>
      <w:pPr>
        <w:pStyle w:val="30"/>
        <w:widowControl/>
        <w:spacing w:line="360" w:lineRule="auto"/>
        <w:ind w:left="420" w:firstLine="0" w:firstLineChars="0"/>
        <w:jc w:val="left"/>
        <w:rPr>
          <w:rFonts w:ascii="宋体" w:hAnsi="宋体" w:cs="宋体"/>
          <w:b/>
          <w:color w:val="000000" w:themeColor="text1"/>
          <w14:textFill>
            <w14:solidFill>
              <w14:schemeClr w14:val="tx1"/>
            </w14:solidFill>
          </w14:textFill>
        </w:rPr>
      </w:pP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报价要求</w:t>
      </w:r>
      <w:r>
        <w:rPr>
          <w:rStyle w:val="26"/>
          <w:rFonts w:hint="eastAsia" w:ascii="宋体" w:hAnsi="宋体" w:eastAsia="宋体" w:cs="宋体"/>
          <w:color w:val="000000" w:themeColor="text1"/>
          <w:szCs w:val="21"/>
          <w14:textFill>
            <w14:solidFill>
              <w14:schemeClr w14:val="tx1"/>
            </w14:solidFill>
          </w14:textFill>
        </w:rPr>
        <w:t>（</w:t>
      </w:r>
      <w:r>
        <w:rPr>
          <w:rStyle w:val="26"/>
          <w:rFonts w:hint="eastAsia" w:ascii="宋体" w:hAnsi="宋体" w:eastAsia="宋体" w:cs="宋体"/>
          <w:b w:val="0"/>
          <w:color w:val="000000" w:themeColor="text1"/>
          <w:szCs w:val="21"/>
          <w14:textFill>
            <w14:solidFill>
              <w14:schemeClr w14:val="tx1"/>
            </w14:solidFill>
          </w14:textFill>
        </w:rPr>
        <w:t>报价时需要提供以下</w:t>
      </w:r>
      <w:r>
        <w:rPr>
          <w:rStyle w:val="26"/>
          <w:rFonts w:hint="eastAsia" w:ascii="宋体" w:hAnsi="宋体" w:eastAsia="宋体" w:cs="宋体"/>
          <w:color w:val="000000" w:themeColor="text1"/>
          <w:szCs w:val="21"/>
          <w:u w:val="double"/>
          <w14:textFill>
            <w14:solidFill>
              <w14:schemeClr w14:val="tx1"/>
            </w14:solidFill>
          </w14:textFill>
        </w:rPr>
        <w:t>盖章</w:t>
      </w:r>
      <w:r>
        <w:rPr>
          <w:rStyle w:val="26"/>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6"/>
          <w:rFonts w:hint="eastAsia" w:ascii="宋体" w:hAnsi="宋体" w:eastAsia="宋体" w:cs="宋体"/>
          <w:color w:val="000000" w:themeColor="text1"/>
          <w:szCs w:val="21"/>
          <w14:textFill>
            <w14:solidFill>
              <w14:schemeClr w14:val="tx1"/>
            </w14:solidFill>
          </w14:textFill>
        </w:rPr>
        <w:t>）</w:t>
      </w:r>
    </w:p>
    <w:p>
      <w:pPr>
        <w:pStyle w:val="30"/>
        <w:numPr>
          <w:ilvl w:val="0"/>
          <w:numId w:val="7"/>
        </w:numPr>
        <w:spacing w:line="360" w:lineRule="auto"/>
        <w:ind w:left="840" w:hanging="420"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p>
    <w:p>
      <w:pPr>
        <w:pStyle w:val="30"/>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确定成交候选人</w:t>
      </w:r>
    </w:p>
    <w:p>
      <w:pPr>
        <w:pStyle w:val="30"/>
        <w:numPr>
          <w:ilvl w:val="0"/>
          <w:numId w:val="8"/>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宋体" w:hAnsi="宋体" w:eastAsia="宋体" w:cs="宋体"/>
          <w:color w:val="000000" w:themeColor="text1"/>
          <w14:textFill>
            <w14:solidFill>
              <w14:schemeClr w14:val="tx1"/>
            </w14:solidFill>
          </w14:textFill>
        </w:rPr>
        <w:t>报价最低的为第一成交候选人，报价相同的，按报价时间在前的为第一成交候选人；</w:t>
      </w:r>
      <w:r>
        <w:rPr>
          <w:rFonts w:hint="eastAsia" w:ascii="宋体" w:hAnsi="宋体" w:eastAsia="宋体" w:cs="宋体"/>
          <w:color w:val="000000" w:themeColor="text1"/>
          <w:szCs w:val="21"/>
          <w14:textFill>
            <w14:solidFill>
              <w14:schemeClr w14:val="tx1"/>
            </w14:solidFill>
          </w14:textFill>
        </w:rPr>
        <w:t>报价次低的为第二成交候选人，以此类推</w:t>
      </w:r>
      <w:r>
        <w:rPr>
          <w:rFonts w:hint="eastAsia" w:ascii="宋体" w:hAnsi="宋体" w:eastAsia="宋体" w:cs="宋体"/>
          <w:color w:val="000000" w:themeColor="text1"/>
          <w14:textFill>
            <w14:solidFill>
              <w14:schemeClr w14:val="tx1"/>
            </w14:solidFill>
          </w14:textFill>
        </w:rPr>
        <w:t>。</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9"/>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30"/>
        <w:numPr>
          <w:ilvl w:val="0"/>
          <w:numId w:val="3"/>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pStyle w:val="30"/>
        <w:numPr>
          <w:ilvl w:val="0"/>
          <w:numId w:val="11"/>
        </w:numPr>
        <w:spacing w:line="360" w:lineRule="auto"/>
        <w:ind w:left="840" w:leftChars="200" w:hanging="420" w:firstLineChars="0"/>
        <w:rPr>
          <w:rFonts w:ascii="宋体" w:hAnsi="宋体" w:eastAsia="宋体" w:cs="宋体"/>
          <w:color w:val="000000"/>
        </w:rPr>
      </w:pPr>
      <w:r>
        <w:rPr>
          <w:rFonts w:hint="eastAsia" w:ascii="宋体" w:hAnsi="宋体" w:eastAsia="宋体" w:cs="宋体"/>
          <w:color w:val="000000"/>
          <w:szCs w:val="21"/>
        </w:rPr>
        <w:t>出现下列情况的，本项目竞价活动失败：</w:t>
      </w:r>
    </w:p>
    <w:p>
      <w:pPr>
        <w:pStyle w:val="30"/>
        <w:numPr>
          <w:ilvl w:val="0"/>
          <w:numId w:val="12"/>
        </w:numPr>
        <w:spacing w:line="360" w:lineRule="auto"/>
        <w:ind w:left="1260" w:leftChars="600" w:firstLineChars="0"/>
        <w:rPr>
          <w:rFonts w:ascii="宋体" w:hAnsi="宋体" w:eastAsia="宋体" w:cs="宋体"/>
          <w:color w:val="000000"/>
        </w:rPr>
      </w:pPr>
      <w:r>
        <w:rPr>
          <w:rFonts w:hint="eastAsia" w:ascii="宋体" w:hAnsi="宋体" w:eastAsia="宋体" w:cs="宋体"/>
          <w:color w:val="000000"/>
        </w:rPr>
        <w:t>有效报名供应商不足3家；</w:t>
      </w:r>
    </w:p>
    <w:p>
      <w:pPr>
        <w:pStyle w:val="30"/>
        <w:numPr>
          <w:ilvl w:val="0"/>
          <w:numId w:val="12"/>
        </w:numPr>
        <w:spacing w:line="360" w:lineRule="auto"/>
        <w:ind w:left="1260" w:leftChars="600" w:firstLineChars="0"/>
        <w:rPr>
          <w:rFonts w:ascii="宋体" w:hAnsi="宋体" w:eastAsia="宋体" w:cs="宋体"/>
          <w:color w:val="000000"/>
          <w:szCs w:val="21"/>
        </w:rPr>
      </w:pPr>
      <w:r>
        <w:rPr>
          <w:rFonts w:hint="eastAsia" w:ascii="宋体" w:hAnsi="宋体" w:eastAsia="宋体" w:cs="宋体"/>
          <w:color w:val="000000"/>
        </w:rPr>
        <w:t>有效报价供应商不足3家。</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1.成交供应商须向平台服务商云采链线上采购一体化平台缴纳平台使用费，金额为成交金额的1.5%（四舍五入取整数）。</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30"/>
        <w:numPr>
          <w:ilvl w:val="0"/>
          <w:numId w:val="2"/>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18"/>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3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3"/>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0"/>
        <w:numPr>
          <w:ilvl w:val="0"/>
          <w:numId w:val="14"/>
        </w:numPr>
        <w:tabs>
          <w:tab w:val="left" w:pos="540"/>
        </w:tabs>
        <w:adjustRightInd w:val="0"/>
        <w:snapToGrid w:val="0"/>
        <w:spacing w:line="360" w:lineRule="auto"/>
        <w:outlineLvl w:val="1"/>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63"/>
        <w:gridCol w:w="970"/>
        <w:gridCol w:w="2969"/>
        <w:gridCol w:w="20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569"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1742"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交货期</w:t>
            </w:r>
          </w:p>
        </w:tc>
        <w:tc>
          <w:tcPr>
            <w:tcW w:w="1183"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四会市公安局2024年DNA实验室试剂耗材采购项目</w:t>
            </w:r>
          </w:p>
        </w:tc>
        <w:tc>
          <w:tcPr>
            <w:tcW w:w="569"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1项</w:t>
            </w:r>
          </w:p>
        </w:tc>
        <w:tc>
          <w:tcPr>
            <w:tcW w:w="1742"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合同签订生效之日起一年内完成，根据采购人实际需求分批次采购产品。在采购人发出订货通知后24个小时内，将产品免费运抵采购人指定的交货地点</w:t>
            </w:r>
          </w:p>
        </w:tc>
        <w:tc>
          <w:tcPr>
            <w:tcW w:w="1183"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人民币</w:t>
            </w:r>
            <w:r>
              <w:rPr>
                <w:rFonts w:hint="eastAsia" w:ascii="宋体" w:hAnsi="宋体" w:eastAsia="宋体" w:cs="宋体"/>
                <w:color w:val="000000" w:themeColor="text1"/>
                <w:szCs w:val="21"/>
                <w:lang w:val="en-US" w:eastAsia="zh-CN"/>
                <w14:textFill>
                  <w14:solidFill>
                    <w14:schemeClr w14:val="tx1"/>
                  </w14:solidFill>
                </w14:textFill>
              </w:rPr>
              <w:t>502420</w:t>
            </w:r>
            <w:r>
              <w:rPr>
                <w:rFonts w:hint="eastAsia" w:ascii="宋体" w:hAnsi="宋体" w:eastAsia="宋体" w:cs="宋体"/>
                <w:color w:val="000000" w:themeColor="text1"/>
                <w:szCs w:val="21"/>
                <w:lang w:eastAsia="zh-CN"/>
                <w14:textFill>
                  <w14:solidFill>
                    <w14:schemeClr w14:val="tx1"/>
                  </w14:solidFill>
                </w14:textFill>
              </w:rPr>
              <w:t>元</w:t>
            </w:r>
          </w:p>
        </w:tc>
      </w:tr>
    </w:tbl>
    <w:p>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采购清单</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1"/>
        <w:gridCol w:w="2253"/>
        <w:gridCol w:w="2447"/>
        <w:gridCol w:w="1804"/>
        <w:gridCol w:w="672"/>
        <w:gridCol w:w="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货物名称</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微量磁珠法DNA提取试剂盒</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TraceMag微量DNA磁珠纯化试剂盒</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32人份/盒（2个16T）</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21位点以上个体识别试剂盒</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Verifiler　Plus　PCR扩增试剂盒</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200人份/盒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35个核心位点以上男性家族识别试剂盒</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YFiler白金案件PCR扩增试剂盒</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100人份/盒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29位点以上个体识别试剂盒</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EX30荧光检测试剂盒</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200人份/盒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蛋白酶K溶液</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蛋白酶K溶液</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1ml*5/包</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POP4电泳分离胶</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POP-4胶</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 人份/盒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阳极缓冲液</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阳极缓冲液</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4瓶/盒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阴极缓冲液</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阴极缓冲液</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4瓶/盒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甲酰胺</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超纯甲酰胺</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5ml*4个/盒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离心套管（带提篮）</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1.5ML离心套管</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100套/盒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1000ul tip头</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1000ul tip头</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1000ul/个、1000个/包</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200ul tip头</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200ul tip头</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200ul/个、1000个/包</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 ul tip头</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 ul tip头</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10ul/个、1000个/包</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1000ul盒装带滤芯无菌 tip头</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1000ul盒装带滤芯无菌 tip头</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1000ul/个、96支/盒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200ul 盒装带滤芯无菌tip头</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200ul 盒装带滤芯无菌tip头</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200ul/个、96支/盒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20ul盒装带滤芯无菌 tip头</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20ul盒装带滤芯无菌 tip头</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20ul/个、96支/盒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10ul盒装带滤芯无菌 tip头</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10ul盒装带滤芯无菌 tip头</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10ul/个、96支/盒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10ul 盒装带滤芯无菌加长tip头</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10ul 盒装带滤芯无菌加长tip头</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10ul/个、96支/盒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1.5ml管</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1.5ml无色离心管</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500个/包，10包/箱</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0.6ml管</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0.6ml无色离心管</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1000个/包，10包/箱</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PCR扩增管</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0.2ml透明平盖PCR薄壁管</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1000个/包</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一次性使用无菌医用垫单</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一次性医用垫单</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规格50*60cm、10张/包</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橡胶手套</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丁腈手套</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大/中/小号、100只/盒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无尘式木浆擦布</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无尘擦拭纸</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32*40cm/片，200片/盒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易折棉签</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D盾易折断棉签</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100支/包，10包/盒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96孔电泳板</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96孔电泳板</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 plates/盒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75%酒精溶液</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75%酒精溶液</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500ml/瓶</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抗人精检测试剂条</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抗人精（PSA)检验试剂条</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100人份/盒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抗人血确诊试验试剂条</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抗人血（FOB)检验试剂条</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100人份/盒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磁珠法骨骼提取试剂盒</w:t>
            </w:r>
          </w:p>
        </w:tc>
        <w:tc>
          <w:tcPr>
            <w:tcW w:w="1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BoneMag骨骼DNA磁珠纯化试剂盒</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8人份/盒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bl>
    <w:p>
      <w:pPr>
        <w:pStyle w:val="10"/>
        <w:tabs>
          <w:tab w:val="left" w:pos="540"/>
        </w:tabs>
        <w:adjustRightInd w:val="0"/>
        <w:snapToGrid w:val="0"/>
        <w:spacing w:line="360" w:lineRule="auto"/>
        <w:rPr>
          <w:rFonts w:hAnsi="宋体" w:cs="宋体"/>
          <w:b/>
          <w:bCs/>
          <w:color w:val="000000"/>
          <w:sz w:val="21"/>
        </w:rPr>
      </w:pPr>
    </w:p>
    <w:p>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货物详细技术参数要求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1059"/>
        <w:gridCol w:w="679"/>
        <w:gridCol w:w="1161"/>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采购标的</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规格</w:t>
            </w:r>
          </w:p>
        </w:tc>
        <w:tc>
          <w:tcPr>
            <w:tcW w:w="301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微量磁珠法DNA提取试剂盒</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35盒</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32人份/盒</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1、试剂盒适用于Glorisen32道核酸纯化仪，用于DNA提取的磁珠和各种试剂通过塑料膜密封在可与Glorisen32道核酸纯化仪配套使用的塑料反应板内，使用时撕开密封膜置于核酸纯化仪中即可直接用于全自动DNA的自动化提取；</w:t>
            </w:r>
          </w:p>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2、试剂盒采用具有独特分离作用的磁珠和缓冲液系统，从100μl-500μl样本中分离纯化高质量基因组DNA。</w:t>
            </w:r>
          </w:p>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3、试剂盒由高效吸附核酸的超顺磁性纳米微球和安全环保的提取试剂体系组成，磁珠表面修饰有特殊化学基团，在一定条件下对核酸具有极强的富集能力，当条件改变时可以可逆的释放所吸附的核酸，从而达到快速分离纯化核酸的目的。</w:t>
            </w:r>
          </w:p>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4、完整试剂盒包装含有封装试剂的反应板，并配有相应数量裂解液和封装好的纯化试剂（一次性使用，撕开封膜即可使用）。</w:t>
            </w:r>
          </w:p>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5、整个提取过程不涉及有机试剂，安全、便捷；提取的基因组DNA片段大，纯度高，质量稳定可靠，适合各种大小型自动化核酸提取设备。</w:t>
            </w:r>
          </w:p>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6、对100pg以下的DNA回收率qPCR检测大于90%，200pg标准DNA提取能获得完整STR分型。可用于血液(斑)、唾液(斑)、精液(斑)、毛发、组织等常规检材及陈旧、污染、降解和微量检材等疑难检材的DNA提取纯化。</w:t>
            </w:r>
          </w:p>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lang w:eastAsia="zh-CN"/>
              </w:rPr>
            </w:pPr>
            <w:r>
              <w:rPr>
                <w:rFonts w:hint="eastAsia" w:ascii="宋体" w:hAnsi="宋体" w:eastAsia="宋体" w:cs="宋体"/>
                <w:kern w:val="0"/>
                <w:sz w:val="21"/>
                <w:szCs w:val="21"/>
              </w:rPr>
              <w:t>7、供应商所投产品已通过公安部刑事技术产品质量监督检验中心的质检检测并获得检测中心出具的《检验报告》</w:t>
            </w:r>
            <w:r>
              <w:rPr>
                <w:rFonts w:hint="eastAsia" w:ascii="宋体" w:hAnsi="宋体" w:eastAsia="宋体" w:cs="宋体"/>
                <w:kern w:val="0"/>
                <w:sz w:val="21"/>
                <w:szCs w:val="21"/>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8、为确保所投报产品的来源可靠性，保证货物为原装正品。能得到原厂的培训服务以及稳定的售后维护保障。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21位点以上个体识别试剂盒</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8盒</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200人份/盒</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1、包括24个STR 位点和一个插入缺失位点Y-indel，两个内控质量参考（IQC）。D18S51、FGA、D21S11、D8S1179、VWA、D13S317、D16S539、D7S820、TH01、D3S1358、D5S818、CSF1PO、D2S1338、D19S433、D1S1656、D12S391、D2S441、D10S1248、TPOX、D22S1045、D6S1043、Penta E、Penta D、Amelogenin。</w:t>
            </w:r>
          </w:p>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2、试剂盒中包含的20个新CODIS核心位点，扩增片段长度小于425 bp。</w:t>
            </w:r>
          </w:p>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3、扩增产物中须包含内控质量参考（IQC）标记物，可用于样品质量（如抑制物、降解）的快速评估。</w:t>
            </w:r>
          </w:p>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4、供应商所投产品已通过公安部刑事技术产品质量监督检验中心的质检检测并获得检测中心出具的《检验报告》。</w:t>
            </w:r>
          </w:p>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5、试剂盒须符合《法庭科学DNA实验室检验规范》(GA/T383-2014)要求，要求通过中国安全技术防范认证中心认证。</w:t>
            </w:r>
          </w:p>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6、PCR 扩增时间不超过 76 分钟。</w:t>
            </w:r>
          </w:p>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7、针对采购方案件样本的复杂性，</w:t>
            </w:r>
            <w:r>
              <w:rPr>
                <w:rFonts w:hint="eastAsia" w:ascii="宋体" w:hAnsi="宋体" w:eastAsia="宋体" w:cs="宋体"/>
                <w:kern w:val="0"/>
                <w:sz w:val="21"/>
                <w:szCs w:val="21"/>
                <w:lang w:eastAsia="zh-CN"/>
              </w:rPr>
              <w:t>成交供应商</w:t>
            </w:r>
            <w:r>
              <w:rPr>
                <w:rFonts w:hint="eastAsia" w:ascii="宋体" w:hAnsi="宋体" w:eastAsia="宋体" w:cs="宋体"/>
                <w:kern w:val="0"/>
                <w:sz w:val="21"/>
                <w:szCs w:val="21"/>
              </w:rPr>
              <w:t>能根据采购人需求提供补充试剂盒单管同时扩增不少于52个常染色体基因座，及不少于86个Y染色体基因座（其中包含公安部打拐要求的29个常染色体基因座；和男性家族数据库要求的20个Y染色体核心基因座，及15个Y染色体优选基因座），所检验每个样本输出的STR、SNP位点数据不仅能展示基因座数值信息，还能展示每个基因座的碱基序列信息，以方便对双等位基因座的突变进行进一步的分析验证，及更有效的为案件进行服务。</w:t>
            </w:r>
          </w:p>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8、检测验证试剂盒所检验每个样本输出的STR位点数据能展示基因座数值信息和每个基因座的碱基序列信息，序列信息可上传“广东公安STR亲缘学分析系统”进行查找比对。</w:t>
            </w:r>
          </w:p>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9、检测验证试剂盒须在“广东公安DNA实验室检验分析管理系统”的试剂盒管理目录内，可一次导入检测位点。</w:t>
            </w:r>
          </w:p>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10、供应商需提供的补充试剂盒案列应用报告及批量数据一次性（4000份数据以上）的公安系统验证检测报告复印件。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3</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35个核心位点以上男性家族识别试剂盒</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4盒</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100人份/盒</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1、试剂盒采用 6 色能量转移荧光标记复合扩增技术，可以在单次 PCR 反应同时扩增分析38个Y-STR基因座和3个中国人特有的 Y-indel： DYS437、YGATAH4、 DYS447、 DYS518、 DYS393、DYS458、 DYS643、 DYS481、 DYS390、DYS645、 DYS19、 DYS448、 rs759551978、DYS522、 DYS438、 DYS391、rs771783753、 DYS533、 DYS389 I、DYS635、 DYS389 II、 DYS392、 DYS627、DYS576、 DYS439、 DYS549、 DYS570、DYS385、 DYS527、 DYS593、 DYS596、DYS460、 DYS456、 rs199815934、DYF387S1、 DYS449、 DYS444、 DYS557。</w:t>
            </w:r>
          </w:p>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2、90min 内完成扩增， 免提取,血纱、FTA 卡、血滤纸可直接进行扩增。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4</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29位点以上个体识别试剂盒</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1盒</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200人份/盒</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采用六色荧光标记技术，单管可同时扩增不少于29个常染色体STR基因座。涵盖了公安部推荐的20个核心基因座和10个优选基因座，满足公安部对于打拐数据库基因座的要求，可运用于法医亲子鉴定、个体识别和人类学、打拐数据库建设等多个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5</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蛋白酶K溶液</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8包</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1ml*5/包</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液态，适用于案件检材DNA提取中蛋白质的一般性消化，经纯化去除DNA酶和RNA酶活性。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6</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POP4电泳分离胶</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12盒</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kern w:val="0"/>
                <w:sz w:val="21"/>
                <w:szCs w:val="21"/>
              </w:rPr>
            </w:pPr>
            <w:r>
              <w:rPr>
                <w:rFonts w:hint="eastAsia" w:ascii="宋体" w:hAnsi="宋体" w:eastAsia="宋体" w:cs="宋体"/>
                <w:color w:val="000000"/>
                <w:kern w:val="0"/>
                <w:sz w:val="21"/>
                <w:szCs w:val="21"/>
              </w:rPr>
              <w:t>384 人份/盒</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bCs/>
                <w:kern w:val="0"/>
                <w:sz w:val="21"/>
                <w:szCs w:val="21"/>
              </w:rPr>
              <w:t>384人份/盒，在摄氏2℃以上的温度下，胶为液体状态，适合于STR PCR扩增后的电泳片段分析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7</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阳极缓冲液</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5盒</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kern w:val="0"/>
                <w:sz w:val="21"/>
                <w:szCs w:val="21"/>
              </w:rPr>
            </w:pPr>
            <w:r>
              <w:rPr>
                <w:rFonts w:hint="eastAsia" w:ascii="宋体" w:hAnsi="宋体" w:eastAsia="宋体" w:cs="宋体"/>
                <w:color w:val="000000"/>
                <w:kern w:val="0"/>
                <w:sz w:val="21"/>
                <w:szCs w:val="21"/>
              </w:rPr>
              <w:t>4瓶/盒</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bCs/>
                <w:kern w:val="0"/>
                <w:sz w:val="21"/>
                <w:szCs w:val="21"/>
              </w:rPr>
              <w:t>4瓶/盒，用作电泳阳极缓冲液，适用于全自动基因分析仪。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8</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阴极缓冲液</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5盒</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kern w:val="0"/>
                <w:sz w:val="21"/>
                <w:szCs w:val="21"/>
              </w:rPr>
            </w:pPr>
            <w:r>
              <w:rPr>
                <w:rFonts w:hint="eastAsia" w:ascii="宋体" w:hAnsi="宋体" w:eastAsia="宋体" w:cs="宋体"/>
                <w:color w:val="000000"/>
                <w:kern w:val="0"/>
                <w:sz w:val="21"/>
                <w:szCs w:val="21"/>
              </w:rPr>
              <w:t>4瓶/盒</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bCs/>
                <w:kern w:val="0"/>
                <w:sz w:val="21"/>
                <w:szCs w:val="21"/>
              </w:rPr>
              <w:t>4瓶/盒，用作电泳阴极缓冲液，适用于全自动基因分析仪。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甲酰胺</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2瓶</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5ml*4个/盒</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25ml/瓶，PH值为中性，无需用树脂去离子纯化可直接用于 STR 片断毛细管电泳，用作化学变性剂。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10</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离心套管（带提篮）</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10盒</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100套/盒</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1.5ml离心套管，带吊篮，适用于微量过滤，快速从试管壁或试管盖上甩下试剂，以及试管或排管的慢速离心。吊篮与低吸附离心管配套使用，完成案件检材纯化时前期处理的消化、离心。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11</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1000ul tip头</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6包</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1000ul/个、1000个/包</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1000ul/个，1000个/包，淡蓝色透明。高强度透明PV材料，确保移液气密性和均一性，可耐至少121℃高温。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12</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200ul tip头</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10包</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200ul/个、1000个/包</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200ul/个，1000个/包，淡黄色透明。高强度透明PV材料，确保移液气密性和均一性，可耐至少121℃高温。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13</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10 ul tip头</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10包</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10ul/个、1000个/包</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10ul/个，1000个/包，无色透明。高强度透明PV材料，确保移液气密性和均一性，可耐至少121℃高温。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14</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1000ul盒装带滤芯无菌 tip头</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10盒</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1000ul/个、96支/盒</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1000ul带滤芯吸头，耐高温消毒，用于移液、分液。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15</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200ul 盒装带滤芯无菌tip头</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30盒</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200ul/个、96支/盒</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200ul带滤芯吸头，耐高温消毒，用于移液、分液。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16</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20ul盒装带滤芯无菌 tip头</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30盒</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20ul/个、96支/盒</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color w:val="000000"/>
                <w:kern w:val="0"/>
                <w:sz w:val="21"/>
                <w:szCs w:val="21"/>
              </w:rPr>
              <w:t>20ul</w:t>
            </w:r>
            <w:r>
              <w:rPr>
                <w:rFonts w:hint="eastAsia" w:ascii="宋体" w:hAnsi="宋体" w:eastAsia="宋体" w:cs="宋体"/>
                <w:kern w:val="0"/>
                <w:sz w:val="21"/>
                <w:szCs w:val="21"/>
              </w:rPr>
              <w:t>带滤芯吸头，耐高温消毒，用于移液、分液。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17</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10ul盒装带滤芯无菌 tip头</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30盒</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10ul/个、96支/盒</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color w:val="000000"/>
                <w:kern w:val="0"/>
                <w:sz w:val="21"/>
                <w:szCs w:val="21"/>
              </w:rPr>
              <w:t>10ul</w:t>
            </w:r>
            <w:r>
              <w:rPr>
                <w:rFonts w:hint="eastAsia" w:ascii="宋体" w:hAnsi="宋体" w:eastAsia="宋体" w:cs="宋体"/>
                <w:kern w:val="0"/>
                <w:sz w:val="21"/>
                <w:szCs w:val="21"/>
              </w:rPr>
              <w:t>带滤芯吸头，耐高温消毒，用于移液、分液。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18</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10ul 盒装带滤芯无菌加长tip头</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30盒</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10ul/个、96支/盒</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color w:val="000000"/>
                <w:kern w:val="0"/>
                <w:sz w:val="21"/>
                <w:szCs w:val="21"/>
              </w:rPr>
              <w:t>10ul</w:t>
            </w:r>
            <w:r>
              <w:rPr>
                <w:rFonts w:hint="eastAsia" w:ascii="宋体" w:hAnsi="宋体" w:eastAsia="宋体" w:cs="宋体"/>
                <w:kern w:val="0"/>
                <w:sz w:val="21"/>
                <w:szCs w:val="21"/>
              </w:rPr>
              <w:t>带滤芯加长吸头，耐高温消毒，用于移液、分液。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19</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1.5ml管</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5包</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500个/包，10包/箱</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1.5ml每管，无色透明PP(聚丙烯)材质，有很好的密封性，已灭菌消毒，带盖。可耐至少 120℃高温及可耐 13000 转/分高速 5 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20</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0.6ml管</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2包</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1000个/包，10包/箱</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0.6ml 每管，无色透明PP(聚丙烯)材质，有很好的密封性，已灭菌消毒，带盖。可耐至少 120℃高温及可耐 13000 转/分高速 5 分钟以上。适用于 PCR 扩增及离心。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21</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PCR扩增管</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5包</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1000个/包</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0.2ml带平盖，无色，有很好的密封性，高透光性，已灭菌消毒。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22</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一次性使用无菌医用垫单</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50包</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50*60cm、10张/包</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一次性使用，灭菌、密封包装，正面为无纺布，反面为PE防油防水防血污膜，防止样品交叉感染。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23</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橡胶手套</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80盒</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大/中/小号、100只/盒</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无粉丁腈一次性手套，加长型，低致敏，更耐穿刺和耐化学腐蚀，深蓝色。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24</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无尘式木浆擦布</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6盒</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32*40cm/片，200片/盒</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由55%纤维素（木浆）和45%</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"https://baike.baidu.com/item/%E8%81%9A%E9%85%AF%E7%BA%A4%E7%BB%B4/10919395?fromModule=lemma_inlink"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聚酯纤维</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混合（非纺织）而成。用于擦拭精密物件的表面，具有低尘、低离子剩余、擦拭效果佳。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25</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易折断棉签</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3盒</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lang w:bidi="zh-CN"/>
              </w:rPr>
            </w:pPr>
            <w:r>
              <w:rPr>
                <w:rFonts w:hint="eastAsia" w:ascii="宋体" w:hAnsi="宋体" w:eastAsia="宋体" w:cs="宋体"/>
                <w:color w:val="000000"/>
                <w:kern w:val="0"/>
                <w:sz w:val="21"/>
                <w:szCs w:val="21"/>
              </w:rPr>
              <w:t>100支/包，10包/盒</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lang w:bidi="zh-CN"/>
              </w:rPr>
              <w:t>易折断，用于生物物证的提取和保存,适合现场血斑、唾液斑、精斑等各种生物物证的提取和DNA实验室使用。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26</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96孔电泳板</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5盒</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10 块/盒</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10块/盒，适用于 PCR 扩增及上样，已灭菌，半裙边。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27</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75%酒精溶液</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30瓶</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lang w:bidi="zh-CN"/>
              </w:rPr>
            </w:pPr>
            <w:r>
              <w:rPr>
                <w:rFonts w:hint="eastAsia" w:ascii="宋体" w:hAnsi="宋体" w:eastAsia="宋体" w:cs="宋体"/>
                <w:color w:val="000000"/>
                <w:kern w:val="0"/>
                <w:sz w:val="21"/>
                <w:szCs w:val="21"/>
              </w:rPr>
              <w:t>500ml/瓶</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lang w:bidi="zh-CN"/>
              </w:rPr>
              <w:t>透明塑料瓶装，酒精含量75%，用于消毒。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28</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抗人精检测试剂条</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1盒</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100人份/盒</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100 条/盒，可检测样本中前列腺抗原浓度 5ng/ml；适用于特异性检测人精液中前列腺抗原，与其它动物如羊、猪、马、兔、鼠、牛等精液均无交叉反应；与胆汁、VitC、VitB 及过氧化物酶也无交叉反应。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29</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抗人血确诊试验试剂条</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1盒</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100人份/盒</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100 条/盒，可检测样品中血红蛋白浓度 40ng/ml；适用于特异性检测人血红蛋白，与其它动物如羊、猪、马、兔、鼠、牛等血红蛋白均无交叉反应；与胆汁、VitC、VitB 及过氧化物酶也无交叉反应。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30</w:t>
            </w:r>
          </w:p>
        </w:tc>
        <w:tc>
          <w:tcPr>
            <w:tcW w:w="663"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磁珠法骨骼提取试剂盒</w:t>
            </w:r>
          </w:p>
        </w:tc>
        <w:tc>
          <w:tcPr>
            <w:tcW w:w="440"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5盒</w:t>
            </w:r>
          </w:p>
        </w:tc>
        <w:tc>
          <w:tcPr>
            <w:tcW w:w="515"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8人份/盒</w:t>
            </w:r>
          </w:p>
        </w:tc>
        <w:tc>
          <w:tcPr>
            <w:tcW w:w="3016" w:type="pct"/>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1、疑难骨骼提取试剂盒为半自动提取试剂盒（可以匹配Glorisen32核酸提取仪使用），采用一步法进行脱钙裂解，从软骨、牙齿、长骨等骨骼类检材中提取DNA。试剂盒纯化后的核酸纯度高，无盐离子残留，无需离心或过滤。</w:t>
            </w:r>
            <w:bookmarkStart w:id="0" w:name="_GoBack"/>
            <w:bookmarkEnd w:id="0"/>
          </w:p>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2、磁珠为超顺磁性纳米微球，兼具液体的流动性能和固体磁性材料的特点，在外磁场的作用下可以定向移动，撤去外磁场后稍加震荡或抽吸又可均匀分散于液体中，从而使固液分离快捷方便，通过简单的洗脱可以得到纯度很高的DNA。</w:t>
            </w:r>
          </w:p>
          <w:p>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3、经过修饰过的磁珠在一定条件下对核酸具有很强的亲和力，当改变条件时可以可逆的释放所吸附的核酸，从而达到快速分离纯化核酸的目的。从过夜孵育后的样本中分离纯化高质量基因组DNA，可以有效去除油脂、盐离子和其它杂质。</w:t>
            </w:r>
          </w:p>
        </w:tc>
      </w:tr>
    </w:tbl>
    <w:p>
      <w:pPr>
        <w:pStyle w:val="10"/>
        <w:numPr>
          <w:ilvl w:val="0"/>
          <w:numId w:val="0"/>
        </w:numPr>
        <w:tabs>
          <w:tab w:val="left" w:pos="540"/>
        </w:tabs>
        <w:adjustRightInd w:val="0"/>
        <w:snapToGrid w:val="0"/>
        <w:spacing w:line="360" w:lineRule="auto"/>
        <w:ind w:leftChars="0"/>
        <w:rPr>
          <w:rFonts w:hAnsi="宋体" w:cs="宋体"/>
          <w:b/>
          <w:color w:val="000000" w:themeColor="text1"/>
          <w:sz w:val="21"/>
          <w14:textFill>
            <w14:solidFill>
              <w14:schemeClr w14:val="tx1"/>
            </w14:solidFill>
          </w14:textFill>
        </w:rPr>
      </w:pPr>
    </w:p>
    <w:p>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14:textFill>
            <w14:solidFill>
              <w14:schemeClr w14:val="tx1"/>
            </w14:solidFill>
          </w14:textFill>
        </w:rPr>
      </w:pPr>
      <w:r>
        <w:rPr>
          <w:rFonts w:hint="eastAsia" w:hAnsi="宋体" w:cs="宋体"/>
          <w:b/>
          <w:bCs/>
          <w:color w:val="000000" w:themeColor="text1"/>
          <w:sz w:val="21"/>
          <w:lang w:val="en-US" w:eastAsia="zh-CN"/>
          <w14:textFill>
            <w14:solidFill>
              <w14:schemeClr w14:val="tx1"/>
            </w14:solidFill>
          </w14:textFill>
        </w:rPr>
        <w:t>质保售后</w:t>
      </w:r>
    </w:p>
    <w:p>
      <w:pPr>
        <w:pStyle w:val="30"/>
        <w:numPr>
          <w:ilvl w:val="0"/>
          <w:numId w:val="15"/>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货物质保期为1年，自项目验收合格后开始计算。</w:t>
      </w:r>
      <w:r>
        <w:rPr>
          <w:rFonts w:hint="eastAsia" w:ascii="宋体" w:hAnsi="宋体" w:eastAsia="宋体" w:cs="宋体"/>
          <w:sz w:val="21"/>
          <w:szCs w:val="21"/>
          <w:lang w:eastAsia="zh-CN"/>
        </w:rPr>
        <w:t>成交供应商</w:t>
      </w:r>
      <w:r>
        <w:rPr>
          <w:rFonts w:hint="eastAsia" w:ascii="宋体" w:hAnsi="宋体" w:eastAsia="宋体" w:cs="宋体"/>
          <w:sz w:val="21"/>
          <w:szCs w:val="21"/>
        </w:rPr>
        <w:t>须提供免费的 7×24热线电话技术或网上技术支持。保修期以</w:t>
      </w:r>
      <w:r>
        <w:rPr>
          <w:rFonts w:hint="eastAsia" w:ascii="宋体" w:hAnsi="宋体" w:eastAsia="宋体" w:cs="宋体"/>
          <w:sz w:val="21"/>
          <w:szCs w:val="21"/>
          <w:lang w:eastAsia="zh-CN"/>
        </w:rPr>
        <w:t>成交供应商</w:t>
      </w:r>
      <w:r>
        <w:rPr>
          <w:rFonts w:hint="eastAsia" w:ascii="宋体" w:hAnsi="宋体" w:eastAsia="宋体" w:cs="宋体"/>
          <w:sz w:val="21"/>
          <w:szCs w:val="21"/>
        </w:rPr>
        <w:t>和采购人共同验收合格之日起算。</w:t>
      </w:r>
      <w:r>
        <w:rPr>
          <w:rFonts w:hint="eastAsia" w:ascii="宋体" w:hAnsi="宋体" w:eastAsia="宋体" w:cs="宋体"/>
          <w:sz w:val="21"/>
          <w:szCs w:val="21"/>
          <w:lang w:eastAsia="zh-CN"/>
        </w:rPr>
        <w:t>成交供应商</w:t>
      </w:r>
      <w:r>
        <w:rPr>
          <w:rFonts w:hint="eastAsia" w:ascii="宋体" w:hAnsi="宋体" w:eastAsia="宋体" w:cs="宋体"/>
          <w:sz w:val="21"/>
          <w:szCs w:val="21"/>
        </w:rPr>
        <w:t>必须承诺在免费售后服务期间，货物出现质量问题，</w:t>
      </w:r>
      <w:r>
        <w:rPr>
          <w:rFonts w:hint="eastAsia" w:ascii="宋体" w:hAnsi="宋体" w:eastAsia="宋体" w:cs="宋体"/>
          <w:sz w:val="21"/>
          <w:szCs w:val="21"/>
          <w:lang w:eastAsia="zh-CN"/>
        </w:rPr>
        <w:t>成交供应商</w:t>
      </w:r>
      <w:r>
        <w:rPr>
          <w:rFonts w:hint="eastAsia" w:ascii="宋体" w:hAnsi="宋体" w:eastAsia="宋体" w:cs="宋体"/>
          <w:sz w:val="21"/>
          <w:szCs w:val="21"/>
        </w:rPr>
        <w:t>接到质量问题通知后12个小时内到场处理，24个小时内修复，如24个小时内无法修复须免费提供同档次的产品予采购人临时使用；其他服务承诺在投标文件中说明。</w:t>
      </w:r>
    </w:p>
    <w:p>
      <w:pPr>
        <w:pStyle w:val="30"/>
        <w:numPr>
          <w:ilvl w:val="0"/>
          <w:numId w:val="15"/>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质量保证期外发生的质量问题，由</w:t>
      </w:r>
      <w:r>
        <w:rPr>
          <w:rFonts w:hint="eastAsia" w:ascii="宋体" w:hAnsi="宋体" w:eastAsia="宋体" w:cs="宋体"/>
          <w:sz w:val="21"/>
          <w:szCs w:val="21"/>
          <w:lang w:eastAsia="zh-CN"/>
        </w:rPr>
        <w:t>成交供应商</w:t>
      </w:r>
      <w:r>
        <w:rPr>
          <w:rFonts w:hint="eastAsia" w:ascii="宋体" w:hAnsi="宋体" w:eastAsia="宋体" w:cs="宋体"/>
          <w:sz w:val="21"/>
          <w:szCs w:val="21"/>
        </w:rPr>
        <w:t>负责解决，采购人应支付相应的费用，</w:t>
      </w:r>
      <w:r>
        <w:rPr>
          <w:rFonts w:hint="eastAsia" w:ascii="宋体" w:hAnsi="宋体" w:eastAsia="宋体" w:cs="宋体"/>
          <w:sz w:val="21"/>
          <w:szCs w:val="21"/>
          <w:lang w:eastAsia="zh-CN"/>
        </w:rPr>
        <w:t>成交供应商</w:t>
      </w:r>
      <w:r>
        <w:rPr>
          <w:rFonts w:hint="eastAsia" w:ascii="宋体" w:hAnsi="宋体" w:eastAsia="宋体" w:cs="宋体"/>
          <w:sz w:val="21"/>
          <w:szCs w:val="21"/>
        </w:rPr>
        <w:t>需负责及时提供零配件。</w:t>
      </w:r>
    </w:p>
    <w:p>
      <w:pPr>
        <w:pStyle w:val="30"/>
        <w:numPr>
          <w:ilvl w:val="0"/>
          <w:numId w:val="15"/>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在任何时候，</w:t>
      </w:r>
      <w:r>
        <w:rPr>
          <w:rFonts w:hint="eastAsia" w:ascii="宋体" w:hAnsi="宋体" w:eastAsia="宋体" w:cs="宋体"/>
          <w:sz w:val="21"/>
          <w:szCs w:val="21"/>
          <w:lang w:eastAsia="zh-CN"/>
        </w:rPr>
        <w:t>成交供应商</w:t>
      </w:r>
      <w:r>
        <w:rPr>
          <w:rFonts w:hint="eastAsia" w:ascii="宋体" w:hAnsi="宋体" w:eastAsia="宋体" w:cs="宋体"/>
          <w:sz w:val="21"/>
          <w:szCs w:val="21"/>
        </w:rPr>
        <w:t>均不能免除因货物本身的缺陷所应负的责任。货物在质保期内发生质量问题，</w:t>
      </w:r>
      <w:r>
        <w:rPr>
          <w:rFonts w:hint="eastAsia" w:ascii="宋体" w:hAnsi="宋体" w:eastAsia="宋体" w:cs="宋体"/>
          <w:sz w:val="21"/>
          <w:szCs w:val="21"/>
          <w:lang w:eastAsia="zh-CN"/>
        </w:rPr>
        <w:t>成交供应商</w:t>
      </w:r>
      <w:r>
        <w:rPr>
          <w:rFonts w:hint="eastAsia" w:ascii="宋体" w:hAnsi="宋体" w:eastAsia="宋体" w:cs="宋体"/>
          <w:sz w:val="21"/>
          <w:szCs w:val="21"/>
        </w:rPr>
        <w:t>须无条件给予退换。</w:t>
      </w:r>
    </w:p>
    <w:p>
      <w:pPr>
        <w:pStyle w:val="30"/>
        <w:numPr>
          <w:ilvl w:val="0"/>
          <w:numId w:val="15"/>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培训：</w:t>
      </w:r>
      <w:r>
        <w:rPr>
          <w:rFonts w:hint="eastAsia" w:ascii="宋体" w:hAnsi="宋体" w:eastAsia="宋体" w:cs="宋体"/>
          <w:sz w:val="21"/>
          <w:szCs w:val="21"/>
          <w:lang w:eastAsia="zh-CN"/>
        </w:rPr>
        <w:t>成交供应商</w:t>
      </w:r>
      <w:r>
        <w:rPr>
          <w:rFonts w:hint="eastAsia" w:ascii="宋体" w:hAnsi="宋体" w:eastAsia="宋体" w:cs="宋体"/>
          <w:sz w:val="21"/>
          <w:szCs w:val="21"/>
        </w:rPr>
        <w:t>负责免费对用户人员进行培训，提供详细的培训计划，使其掌握操作使用等基本技能。</w:t>
      </w:r>
    </w:p>
    <w:p>
      <w:pPr>
        <w:pStyle w:val="30"/>
        <w:numPr>
          <w:ilvl w:val="0"/>
          <w:numId w:val="15"/>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质保期内：</w:t>
      </w:r>
      <w:r>
        <w:rPr>
          <w:rFonts w:hint="eastAsia" w:ascii="宋体" w:hAnsi="宋体" w:eastAsia="宋体" w:cs="宋体"/>
          <w:sz w:val="21"/>
          <w:szCs w:val="21"/>
          <w:lang w:eastAsia="zh-CN"/>
        </w:rPr>
        <w:t>成交供应商</w:t>
      </w:r>
      <w:r>
        <w:rPr>
          <w:rFonts w:hint="eastAsia" w:ascii="宋体" w:hAnsi="宋体" w:eastAsia="宋体" w:cs="宋体"/>
          <w:sz w:val="21"/>
          <w:szCs w:val="21"/>
        </w:rPr>
        <w:t>需具有提供日常维护和技术支持的能力，能提供正常的技术、备品备件、服务等。</w:t>
      </w:r>
    </w:p>
    <w:p>
      <w:pPr>
        <w:pStyle w:val="30"/>
        <w:numPr>
          <w:ilvl w:val="0"/>
          <w:numId w:val="15"/>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质保期后：</w:t>
      </w:r>
      <w:r>
        <w:rPr>
          <w:rFonts w:hint="eastAsia" w:ascii="宋体" w:hAnsi="宋体" w:eastAsia="宋体" w:cs="宋体"/>
          <w:sz w:val="21"/>
          <w:szCs w:val="21"/>
          <w:lang w:eastAsia="zh-CN"/>
        </w:rPr>
        <w:t>成交供应商</w:t>
      </w:r>
      <w:r>
        <w:rPr>
          <w:rFonts w:hint="eastAsia" w:ascii="宋体" w:hAnsi="宋体" w:eastAsia="宋体" w:cs="宋体"/>
          <w:sz w:val="21"/>
          <w:szCs w:val="21"/>
        </w:rPr>
        <w:t>应按其在该地区同类产品的最优惠价格提供保修服务，终身保证配品配件的供应，更换配件的费用以成本计。</w:t>
      </w:r>
    </w:p>
    <w:p>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lang w:val="en-US" w:eastAsia="zh-CN"/>
          <w14:textFill>
            <w14:solidFill>
              <w14:schemeClr w14:val="tx1"/>
            </w14:solidFill>
          </w14:textFill>
        </w:rPr>
      </w:pPr>
      <w:r>
        <w:rPr>
          <w:rFonts w:hint="eastAsia" w:hAnsi="宋体" w:cs="宋体"/>
          <w:b/>
          <w:bCs/>
          <w:color w:val="000000" w:themeColor="text1"/>
          <w:sz w:val="21"/>
          <w:lang w:val="en-US" w:eastAsia="zh-CN"/>
          <w14:textFill>
            <w14:solidFill>
              <w14:schemeClr w14:val="tx1"/>
            </w14:solidFill>
          </w14:textFill>
        </w:rPr>
        <w:t>合同签订要求</w:t>
      </w:r>
    </w:p>
    <w:p>
      <w:pPr>
        <w:pStyle w:val="30"/>
        <w:spacing w:line="360" w:lineRule="auto"/>
        <w:ind w:firstLine="480"/>
        <w:rPr>
          <w:rFonts w:hint="eastAsia" w:ascii="宋体" w:hAnsi="宋体" w:eastAsia="宋体" w:cs="宋体"/>
          <w:sz w:val="21"/>
          <w:szCs w:val="21"/>
        </w:rPr>
      </w:pPr>
      <w:r>
        <w:rPr>
          <w:rFonts w:hint="eastAsia" w:ascii="宋体" w:hAnsi="宋体" w:eastAsia="宋体" w:cs="宋体"/>
          <w:sz w:val="21"/>
          <w:szCs w:val="21"/>
        </w:rPr>
        <w:t>采购合同由</w:t>
      </w:r>
      <w:r>
        <w:rPr>
          <w:rFonts w:hint="eastAsia" w:ascii="宋体" w:hAnsi="宋体" w:eastAsia="宋体" w:cs="宋体"/>
          <w:sz w:val="21"/>
          <w:szCs w:val="21"/>
          <w:lang w:eastAsia="zh-CN"/>
        </w:rPr>
        <w:t>成交供应商</w:t>
      </w:r>
      <w:r>
        <w:rPr>
          <w:rFonts w:hint="eastAsia" w:ascii="宋体" w:hAnsi="宋体" w:eastAsia="宋体" w:cs="宋体"/>
          <w:sz w:val="21"/>
          <w:szCs w:val="21"/>
        </w:rPr>
        <w:t>与采购人双方签订，签订时间为</w:t>
      </w:r>
      <w:r>
        <w:rPr>
          <w:rFonts w:hint="eastAsia" w:ascii="宋体" w:hAnsi="宋体" w:eastAsia="宋体" w:cs="宋体"/>
          <w:sz w:val="21"/>
          <w:szCs w:val="21"/>
          <w:lang w:eastAsia="zh-CN"/>
        </w:rPr>
        <w:t>成交供应商</w:t>
      </w:r>
      <w:r>
        <w:rPr>
          <w:rFonts w:hint="eastAsia" w:ascii="宋体" w:hAnsi="宋体" w:eastAsia="宋体" w:cs="宋体"/>
          <w:sz w:val="21"/>
          <w:szCs w:val="21"/>
        </w:rPr>
        <w:t>收到《成交通知书》通知后30日内。</w:t>
      </w:r>
    </w:p>
    <w:p>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lang w:val="en-US" w:eastAsia="zh-CN"/>
          <w14:textFill>
            <w14:solidFill>
              <w14:schemeClr w14:val="tx1"/>
            </w14:solidFill>
          </w14:textFill>
        </w:rPr>
      </w:pPr>
      <w:r>
        <w:rPr>
          <w:rFonts w:hint="eastAsia" w:hAnsi="宋体" w:cs="宋体"/>
          <w:b/>
          <w:bCs/>
          <w:color w:val="000000" w:themeColor="text1"/>
          <w:sz w:val="21"/>
          <w:lang w:val="en-US" w:eastAsia="zh-CN"/>
          <w14:textFill>
            <w14:solidFill>
              <w14:schemeClr w14:val="tx1"/>
            </w14:solidFill>
          </w14:textFill>
        </w:rPr>
        <w:t>交货期要求</w:t>
      </w:r>
    </w:p>
    <w:p>
      <w:pPr>
        <w:pStyle w:val="30"/>
        <w:spacing w:line="360" w:lineRule="auto"/>
        <w:ind w:firstLine="480"/>
        <w:rPr>
          <w:rFonts w:hint="eastAsia" w:ascii="宋体" w:hAnsi="宋体" w:eastAsia="宋体" w:cs="宋体"/>
          <w:sz w:val="21"/>
          <w:szCs w:val="21"/>
        </w:rPr>
      </w:pPr>
      <w:r>
        <w:rPr>
          <w:rFonts w:hint="eastAsia" w:ascii="宋体" w:hAnsi="宋体" w:eastAsia="宋体" w:cs="宋体"/>
          <w:sz w:val="21"/>
          <w:szCs w:val="21"/>
        </w:rPr>
        <w:t>1、交货期：合同签订生效之日起一年内完成。</w:t>
      </w:r>
    </w:p>
    <w:p>
      <w:pPr>
        <w:pStyle w:val="3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2、交货方式：根据采购人实际需求分批次采购产品。在采购人发出订货通知后24个小时内，将产品免费运抵采购人指定的交货地点。</w:t>
      </w:r>
    </w:p>
    <w:p>
      <w:pPr>
        <w:pStyle w:val="30"/>
        <w:spacing w:line="360" w:lineRule="auto"/>
        <w:ind w:firstLine="480"/>
        <w:rPr>
          <w:rFonts w:hint="eastAsia" w:ascii="宋体" w:hAnsi="宋体" w:eastAsia="宋体" w:cs="宋体"/>
          <w:sz w:val="21"/>
          <w:szCs w:val="21"/>
        </w:rPr>
      </w:pPr>
      <w:r>
        <w:rPr>
          <w:rFonts w:hint="eastAsia" w:ascii="宋体" w:hAnsi="宋体" w:eastAsia="宋体" w:cs="宋体"/>
          <w:sz w:val="21"/>
          <w:szCs w:val="21"/>
        </w:rPr>
        <w:t>3、交货地点：采购人指定地点。</w:t>
      </w:r>
    </w:p>
    <w:p>
      <w:pPr>
        <w:pStyle w:val="30"/>
        <w:spacing w:line="360" w:lineRule="auto"/>
        <w:ind w:firstLine="480"/>
        <w:rPr>
          <w:rFonts w:hint="eastAsia" w:ascii="宋体" w:hAnsi="宋体" w:eastAsia="宋体" w:cs="宋体"/>
          <w:sz w:val="21"/>
          <w:szCs w:val="21"/>
        </w:rPr>
      </w:pPr>
      <w:r>
        <w:rPr>
          <w:rFonts w:hint="eastAsia" w:ascii="宋体" w:hAnsi="宋体" w:eastAsia="宋体" w:cs="宋体"/>
          <w:sz w:val="21"/>
          <w:szCs w:val="21"/>
        </w:rPr>
        <w:t>4、由</w:t>
      </w:r>
      <w:r>
        <w:rPr>
          <w:rFonts w:hint="eastAsia" w:ascii="宋体" w:hAnsi="宋体" w:eastAsia="宋体" w:cs="宋体"/>
          <w:sz w:val="21"/>
          <w:szCs w:val="21"/>
          <w:lang w:eastAsia="zh-CN"/>
        </w:rPr>
        <w:t>成交供应商</w:t>
      </w:r>
      <w:r>
        <w:rPr>
          <w:rFonts w:hint="eastAsia" w:ascii="宋体" w:hAnsi="宋体" w:eastAsia="宋体" w:cs="宋体"/>
          <w:sz w:val="21"/>
          <w:szCs w:val="21"/>
        </w:rPr>
        <w:t>负责按国家相关标准进行货物包装且包装需为制造商原厂包装，设备的包装均应有良好的防湿、防锈、防潮、防雨、防腐及防碰撞的措施。凡由于包装不良造成的损失和由此产生的费用均由</w:t>
      </w:r>
      <w:r>
        <w:rPr>
          <w:rFonts w:hint="eastAsia" w:ascii="宋体" w:hAnsi="宋体" w:eastAsia="宋体" w:cs="宋体"/>
          <w:sz w:val="21"/>
          <w:szCs w:val="21"/>
          <w:lang w:eastAsia="zh-CN"/>
        </w:rPr>
        <w:t>成交供应商</w:t>
      </w:r>
      <w:r>
        <w:rPr>
          <w:rFonts w:hint="eastAsia" w:ascii="宋体" w:hAnsi="宋体" w:eastAsia="宋体" w:cs="宋体"/>
          <w:sz w:val="21"/>
          <w:szCs w:val="21"/>
        </w:rPr>
        <w:t>承担。</w:t>
      </w:r>
    </w:p>
    <w:p>
      <w:pPr>
        <w:pStyle w:val="30"/>
        <w:spacing w:line="360" w:lineRule="auto"/>
        <w:ind w:firstLine="48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成交供应商</w:t>
      </w:r>
      <w:r>
        <w:rPr>
          <w:rFonts w:hint="eastAsia" w:ascii="宋体" w:hAnsi="宋体" w:eastAsia="宋体" w:cs="宋体"/>
          <w:sz w:val="21"/>
          <w:szCs w:val="21"/>
        </w:rPr>
        <w:t>负责货物、材料运到现场过程中的全部运输费用，包括装卸车、货物现场的搬运。</w:t>
      </w:r>
    </w:p>
    <w:p>
      <w:pPr>
        <w:pStyle w:val="30"/>
        <w:spacing w:line="360" w:lineRule="auto"/>
        <w:ind w:firstLine="480"/>
        <w:rPr>
          <w:rFonts w:hint="eastAsia" w:ascii="宋体" w:hAnsi="宋体" w:eastAsia="宋体" w:cs="宋体"/>
          <w:sz w:val="21"/>
          <w:szCs w:val="21"/>
        </w:rPr>
      </w:pPr>
      <w:r>
        <w:rPr>
          <w:rFonts w:hint="eastAsia" w:ascii="宋体" w:hAnsi="宋体" w:eastAsia="宋体" w:cs="宋体"/>
          <w:sz w:val="21"/>
          <w:szCs w:val="21"/>
        </w:rPr>
        <w:t>6、各种货物，需提供装箱清单，按装箱清单验收货物。</w:t>
      </w:r>
    </w:p>
    <w:p>
      <w:pPr>
        <w:pStyle w:val="30"/>
        <w:spacing w:line="360" w:lineRule="auto"/>
        <w:ind w:firstLine="480"/>
        <w:rPr>
          <w:rFonts w:hint="eastAsia" w:ascii="宋体" w:hAnsi="宋体" w:eastAsia="宋体" w:cs="宋体"/>
          <w:sz w:val="21"/>
          <w:szCs w:val="21"/>
        </w:rPr>
      </w:pPr>
      <w:r>
        <w:rPr>
          <w:rFonts w:hint="eastAsia" w:ascii="宋体" w:hAnsi="宋体" w:eastAsia="宋体" w:cs="宋体"/>
          <w:sz w:val="21"/>
          <w:szCs w:val="21"/>
        </w:rPr>
        <w:t>7、货物在验收合格前的保险由</w:t>
      </w:r>
      <w:r>
        <w:rPr>
          <w:rFonts w:hint="eastAsia" w:ascii="宋体" w:hAnsi="宋体" w:eastAsia="宋体" w:cs="宋体"/>
          <w:sz w:val="21"/>
          <w:szCs w:val="21"/>
          <w:lang w:eastAsia="zh-CN"/>
        </w:rPr>
        <w:t>成交供应商</w:t>
      </w:r>
      <w:r>
        <w:rPr>
          <w:rFonts w:hint="eastAsia" w:ascii="宋体" w:hAnsi="宋体" w:eastAsia="宋体" w:cs="宋体"/>
          <w:sz w:val="21"/>
          <w:szCs w:val="21"/>
        </w:rPr>
        <w:t>负责，并负责其派出的现场服务人员人身意外保险。</w:t>
      </w:r>
    </w:p>
    <w:p>
      <w:pPr>
        <w:pStyle w:val="30"/>
        <w:spacing w:line="360" w:lineRule="auto"/>
        <w:ind w:firstLine="480"/>
        <w:rPr>
          <w:rFonts w:hint="eastAsia" w:ascii="宋体" w:hAnsi="宋体" w:eastAsia="宋体" w:cs="宋体"/>
          <w:sz w:val="21"/>
          <w:szCs w:val="21"/>
        </w:rPr>
      </w:pPr>
      <w:r>
        <w:rPr>
          <w:rFonts w:hint="eastAsia" w:ascii="宋体" w:hAnsi="宋体" w:eastAsia="宋体" w:cs="宋体"/>
          <w:sz w:val="21"/>
          <w:szCs w:val="21"/>
        </w:rPr>
        <w:t>8、货物在验收合格前的保管由</w:t>
      </w:r>
      <w:r>
        <w:rPr>
          <w:rFonts w:hint="eastAsia" w:ascii="宋体" w:hAnsi="宋体" w:eastAsia="宋体" w:cs="宋体"/>
          <w:sz w:val="21"/>
          <w:szCs w:val="21"/>
          <w:lang w:eastAsia="zh-CN"/>
        </w:rPr>
        <w:t>成交供应商</w:t>
      </w:r>
      <w:r>
        <w:rPr>
          <w:rFonts w:hint="eastAsia" w:ascii="宋体" w:hAnsi="宋体" w:eastAsia="宋体" w:cs="宋体"/>
          <w:sz w:val="21"/>
          <w:szCs w:val="21"/>
        </w:rPr>
        <w:t>负责。</w:t>
      </w:r>
    </w:p>
    <w:p>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lang w:val="en-US" w:eastAsia="zh-CN"/>
          <w14:textFill>
            <w14:solidFill>
              <w14:schemeClr w14:val="tx1"/>
            </w14:solidFill>
          </w14:textFill>
        </w:rPr>
      </w:pPr>
      <w:r>
        <w:rPr>
          <w:rFonts w:hint="eastAsia" w:hAnsi="宋体" w:cs="宋体"/>
          <w:b/>
          <w:bCs/>
          <w:color w:val="000000" w:themeColor="text1"/>
          <w:sz w:val="21"/>
          <w:lang w:val="en-US" w:eastAsia="zh-CN"/>
          <w14:textFill>
            <w14:solidFill>
              <w14:schemeClr w14:val="tx1"/>
            </w14:solidFill>
          </w14:textFill>
        </w:rPr>
        <w:t>验收要求</w:t>
      </w:r>
    </w:p>
    <w:p>
      <w:pPr>
        <w:pStyle w:val="30"/>
        <w:spacing w:line="360" w:lineRule="auto"/>
        <w:ind w:firstLine="480"/>
        <w:rPr>
          <w:rFonts w:hint="eastAsia" w:ascii="宋体" w:hAnsi="宋体" w:eastAsia="宋体" w:cs="宋体"/>
          <w:sz w:val="21"/>
          <w:szCs w:val="21"/>
        </w:rPr>
      </w:pPr>
      <w:r>
        <w:rPr>
          <w:rFonts w:hint="eastAsia" w:ascii="宋体" w:hAnsi="宋体" w:eastAsia="宋体" w:cs="宋体"/>
          <w:sz w:val="21"/>
          <w:szCs w:val="21"/>
        </w:rPr>
        <w:t>1、本项目进行验收时，根据国家相关法律法规进行验收。</w:t>
      </w:r>
    </w:p>
    <w:p>
      <w:pPr>
        <w:pStyle w:val="3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2、验收工作由采购人（或采购人指定的单位）和</w:t>
      </w:r>
      <w:r>
        <w:rPr>
          <w:rFonts w:hint="eastAsia" w:ascii="宋体" w:hAnsi="宋体" w:eastAsia="宋体" w:cs="宋体"/>
          <w:sz w:val="21"/>
          <w:szCs w:val="21"/>
          <w:lang w:eastAsia="zh-CN"/>
        </w:rPr>
        <w:t>成交供应商</w:t>
      </w:r>
      <w:r>
        <w:rPr>
          <w:rFonts w:hint="eastAsia" w:ascii="宋体" w:hAnsi="宋体" w:eastAsia="宋体" w:cs="宋体"/>
          <w:sz w:val="21"/>
          <w:szCs w:val="21"/>
        </w:rPr>
        <w:t>共同进行。</w:t>
      </w:r>
    </w:p>
    <w:p>
      <w:pPr>
        <w:pStyle w:val="30"/>
        <w:spacing w:line="360" w:lineRule="auto"/>
        <w:ind w:firstLine="480"/>
        <w:rPr>
          <w:rFonts w:hint="eastAsia" w:ascii="宋体" w:hAnsi="宋体" w:eastAsia="宋体" w:cs="宋体"/>
          <w:sz w:val="21"/>
          <w:szCs w:val="21"/>
        </w:rPr>
      </w:pPr>
      <w:r>
        <w:rPr>
          <w:rFonts w:hint="eastAsia" w:ascii="宋体" w:hAnsi="宋体" w:eastAsia="宋体" w:cs="宋体"/>
          <w:sz w:val="21"/>
          <w:szCs w:val="21"/>
        </w:rPr>
        <w:t>3、验收以采购人技术人员为主，</w:t>
      </w:r>
      <w:r>
        <w:rPr>
          <w:rFonts w:hint="eastAsia" w:ascii="宋体" w:hAnsi="宋体" w:eastAsia="宋体" w:cs="宋体"/>
          <w:sz w:val="21"/>
          <w:szCs w:val="21"/>
          <w:lang w:eastAsia="zh-CN"/>
        </w:rPr>
        <w:t>成交供应商</w:t>
      </w:r>
      <w:r>
        <w:rPr>
          <w:rFonts w:hint="eastAsia" w:ascii="宋体" w:hAnsi="宋体" w:eastAsia="宋体" w:cs="宋体"/>
          <w:sz w:val="21"/>
          <w:szCs w:val="21"/>
        </w:rPr>
        <w:t>提供技术支援，对在测试中发现的技术问题双方记录，完成测试后，双方签署终验测试报告。</w:t>
      </w:r>
    </w:p>
    <w:p>
      <w:pPr>
        <w:pStyle w:val="30"/>
        <w:spacing w:line="360" w:lineRule="auto"/>
        <w:ind w:firstLine="48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成交供应商</w:t>
      </w:r>
      <w:r>
        <w:rPr>
          <w:rFonts w:hint="eastAsia" w:ascii="宋体" w:hAnsi="宋体" w:eastAsia="宋体" w:cs="宋体"/>
          <w:sz w:val="21"/>
          <w:szCs w:val="21"/>
        </w:rPr>
        <w:t>提供的货物应按必须符合最新的中华人民共和国国家安全环保标准、国家有关产品质量认证标准。有关标准、规范和法令之间产生差异的，应当按其中最严、最优、最新且于三者之间选择最有利于采购人的标准或规定执行。</w:t>
      </w:r>
    </w:p>
    <w:p>
      <w:pPr>
        <w:pStyle w:val="30"/>
        <w:spacing w:line="360" w:lineRule="auto"/>
        <w:ind w:firstLine="480"/>
        <w:rPr>
          <w:rFonts w:hint="eastAsia" w:ascii="宋体" w:hAnsi="宋体" w:eastAsia="宋体" w:cs="宋体"/>
          <w:sz w:val="21"/>
          <w:szCs w:val="21"/>
        </w:rPr>
      </w:pPr>
      <w:r>
        <w:rPr>
          <w:rFonts w:hint="eastAsia" w:ascii="宋体" w:hAnsi="宋体" w:eastAsia="宋体" w:cs="宋体"/>
          <w:sz w:val="21"/>
          <w:szCs w:val="21"/>
        </w:rPr>
        <w:t>5、国内制造的产品必须具备出厂合格证，附随货物的出厂合格证书、出厂检测报告、厂家装箱清单、使用说明、操作手册、随机附件及其他相关资料。原装进口产品须提供该货物的报关单及海关商检证明。</w:t>
      </w:r>
    </w:p>
    <w:p>
      <w:pPr>
        <w:pStyle w:val="30"/>
        <w:spacing w:line="360" w:lineRule="auto"/>
        <w:ind w:firstLine="480"/>
        <w:rPr>
          <w:rFonts w:hint="eastAsia" w:ascii="宋体" w:hAnsi="宋体" w:eastAsia="宋体" w:cs="宋体"/>
          <w:sz w:val="21"/>
          <w:szCs w:val="21"/>
        </w:rPr>
      </w:pPr>
      <w:r>
        <w:rPr>
          <w:rFonts w:hint="eastAsia" w:ascii="宋体" w:hAnsi="宋体" w:eastAsia="宋体" w:cs="宋体"/>
          <w:sz w:val="21"/>
          <w:szCs w:val="21"/>
        </w:rPr>
        <w:t>6、由采购人对货物的质量、规格、数量和运行状况及其他进行检验。如发现质量、规格、数量和运行状况等任何一项与招标要求规定不符，采购人有权要求</w:t>
      </w:r>
      <w:r>
        <w:rPr>
          <w:rFonts w:hint="eastAsia" w:ascii="宋体" w:hAnsi="宋体" w:eastAsia="宋体" w:cs="宋体"/>
          <w:sz w:val="21"/>
          <w:szCs w:val="21"/>
          <w:lang w:eastAsia="zh-CN"/>
        </w:rPr>
        <w:t>成交供应商</w:t>
      </w:r>
      <w:r>
        <w:rPr>
          <w:rFonts w:hint="eastAsia" w:ascii="宋体" w:hAnsi="宋体" w:eastAsia="宋体" w:cs="宋体"/>
          <w:sz w:val="21"/>
          <w:szCs w:val="21"/>
        </w:rPr>
        <w:t>对相关事项更换或调试至符合要求，再进行双方验收。</w:t>
      </w:r>
    </w:p>
    <w:p>
      <w:pPr>
        <w:pStyle w:val="10"/>
        <w:numPr>
          <w:ilvl w:val="0"/>
          <w:numId w:val="14"/>
        </w:numPr>
        <w:tabs>
          <w:tab w:val="left" w:pos="540"/>
        </w:tabs>
        <w:adjustRightInd w:val="0"/>
        <w:snapToGrid w:val="0"/>
        <w:spacing w:line="360" w:lineRule="auto"/>
        <w:outlineLvl w:val="1"/>
        <w:rPr>
          <w:rFonts w:hint="eastAsia" w:hAnsi="宋体" w:cs="宋体"/>
          <w:b/>
          <w:bCs/>
          <w:color w:val="000000" w:themeColor="text1"/>
          <w:sz w:val="21"/>
          <w:lang w:val="en-US" w:eastAsia="zh-CN"/>
          <w14:textFill>
            <w14:solidFill>
              <w14:schemeClr w14:val="tx1"/>
            </w14:solidFill>
          </w14:textFill>
        </w:rPr>
      </w:pPr>
      <w:r>
        <w:rPr>
          <w:rFonts w:hint="eastAsia" w:hAnsi="宋体" w:cs="宋体"/>
          <w:b/>
          <w:bCs/>
          <w:color w:val="000000" w:themeColor="text1"/>
          <w:sz w:val="21"/>
          <w:lang w:val="en-US" w:eastAsia="zh-CN"/>
          <w14:textFill>
            <w14:solidFill>
              <w14:schemeClr w14:val="tx1"/>
            </w14:solidFill>
          </w14:textFill>
        </w:rPr>
        <w:t>付款方式</w:t>
      </w:r>
    </w:p>
    <w:p>
      <w:pPr>
        <w:pStyle w:val="30"/>
        <w:spacing w:line="360" w:lineRule="auto"/>
        <w:ind w:firstLine="480"/>
        <w:rPr>
          <w:rFonts w:hint="eastAsia" w:ascii="宋体" w:hAnsi="宋体" w:eastAsia="宋体" w:cs="宋体"/>
          <w:sz w:val="21"/>
          <w:szCs w:val="21"/>
        </w:rPr>
      </w:pPr>
      <w:r>
        <w:rPr>
          <w:rFonts w:hint="eastAsia" w:ascii="宋体" w:hAnsi="宋体" w:eastAsia="宋体" w:cs="宋体"/>
          <w:sz w:val="21"/>
          <w:szCs w:val="21"/>
        </w:rPr>
        <w:t>1、自项目验收合格之日起，双方核对数据确认无误后的15个工作日内采购人办理支付手续，支付此合同全部货款。</w:t>
      </w:r>
    </w:p>
    <w:p>
      <w:pPr>
        <w:pStyle w:val="3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成交供应商</w:t>
      </w:r>
      <w:r>
        <w:rPr>
          <w:rFonts w:hint="eastAsia" w:ascii="宋体" w:hAnsi="宋体" w:eastAsia="宋体" w:cs="宋体"/>
          <w:sz w:val="21"/>
          <w:szCs w:val="21"/>
        </w:rPr>
        <w:t>凭以下有效文件与采购人结算：</w:t>
      </w:r>
    </w:p>
    <w:p>
      <w:pPr>
        <w:pStyle w:val="30"/>
        <w:spacing w:line="360" w:lineRule="auto"/>
        <w:ind w:firstLine="480"/>
        <w:rPr>
          <w:rFonts w:hint="eastAsia" w:ascii="宋体" w:hAnsi="宋体" w:eastAsia="宋体" w:cs="宋体"/>
          <w:sz w:val="21"/>
          <w:szCs w:val="21"/>
        </w:rPr>
      </w:pPr>
      <w:r>
        <w:rPr>
          <w:rFonts w:hint="eastAsia" w:ascii="宋体" w:hAnsi="宋体" w:eastAsia="宋体" w:cs="宋体"/>
          <w:sz w:val="21"/>
          <w:szCs w:val="21"/>
        </w:rPr>
        <w:t>（1）合同；</w:t>
      </w:r>
    </w:p>
    <w:p>
      <w:pPr>
        <w:pStyle w:val="3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成交供应商</w:t>
      </w:r>
      <w:r>
        <w:rPr>
          <w:rFonts w:hint="eastAsia" w:ascii="宋体" w:hAnsi="宋体" w:eastAsia="宋体" w:cs="宋体"/>
          <w:sz w:val="21"/>
          <w:szCs w:val="21"/>
        </w:rPr>
        <w:t>开具的正式发票；</w:t>
      </w:r>
    </w:p>
    <w:p>
      <w:pPr>
        <w:pStyle w:val="30"/>
        <w:spacing w:line="360" w:lineRule="auto"/>
        <w:ind w:firstLine="480"/>
        <w:rPr>
          <w:rFonts w:hint="eastAsia" w:ascii="宋体" w:hAnsi="宋体" w:eastAsia="宋体" w:cs="宋体"/>
          <w:sz w:val="21"/>
          <w:szCs w:val="21"/>
        </w:rPr>
      </w:pPr>
      <w:r>
        <w:rPr>
          <w:rFonts w:hint="eastAsia" w:ascii="宋体" w:hAnsi="宋体" w:eastAsia="宋体" w:cs="宋体"/>
          <w:sz w:val="21"/>
          <w:szCs w:val="21"/>
        </w:rPr>
        <w:t>（3）验收报告（加盖采购人公章）；</w:t>
      </w:r>
    </w:p>
    <w:p>
      <w:pPr>
        <w:pStyle w:val="30"/>
        <w:spacing w:line="360" w:lineRule="auto"/>
        <w:ind w:firstLine="48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成交</w:t>
      </w:r>
      <w:r>
        <w:rPr>
          <w:rFonts w:hint="eastAsia" w:ascii="宋体" w:hAnsi="宋体" w:eastAsia="宋体" w:cs="宋体"/>
          <w:sz w:val="21"/>
          <w:szCs w:val="21"/>
        </w:rPr>
        <w:t>通知书。</w:t>
      </w:r>
    </w:p>
    <w:p>
      <w:pPr>
        <w:pStyle w:val="30"/>
        <w:spacing w:line="360" w:lineRule="auto"/>
        <w:ind w:firstLine="480"/>
        <w:rPr>
          <w:rFonts w:hint="eastAsia" w:ascii="宋体" w:hAnsi="宋体" w:eastAsia="宋体" w:cs="宋体"/>
          <w:sz w:val="21"/>
          <w:szCs w:val="21"/>
        </w:rPr>
      </w:pPr>
      <w:r>
        <w:rPr>
          <w:rFonts w:hint="eastAsia" w:ascii="宋体" w:hAnsi="宋体" w:eastAsia="宋体" w:cs="宋体"/>
          <w:sz w:val="21"/>
          <w:szCs w:val="21"/>
        </w:rPr>
        <w:t>3、因采购人使用的是财政资金，采购人在前款规定的付款时间内向政府支付部门提出办理财政支付申请手续的时间（不含政府支付部门审核的时间），在规定时间内提出支付申请手续后即视为采购人已经按期支付。</w:t>
      </w:r>
    </w:p>
    <w:p>
      <w:pPr>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br w:type="page"/>
      </w:r>
    </w:p>
    <w:p>
      <w:pPr>
        <w:pStyle w:val="19"/>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3"/>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158"/>
        <w:gridCol w:w="1065"/>
        <w:gridCol w:w="2300"/>
        <w:gridCol w:w="1877"/>
        <w:gridCol w:w="169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2158"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rPr>
              <w:t>采购内容</w:t>
            </w:r>
          </w:p>
        </w:tc>
        <w:tc>
          <w:tcPr>
            <w:tcW w:w="1065"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数量</w:t>
            </w:r>
          </w:p>
        </w:tc>
        <w:tc>
          <w:tcPr>
            <w:tcW w:w="2300"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eastAsia" w:ascii="宋体" w:hAnsi="宋体" w:eastAsia="宋体" w:cs="宋体"/>
                <w:b/>
                <w:szCs w:val="24"/>
                <w:shd w:val="clear" w:color="auto" w:fill="FFFFFF"/>
                <w:lang w:val="en-US" w:eastAsia="zh-CN" w:bidi="ar"/>
              </w:rPr>
            </w:pPr>
            <w:r>
              <w:rPr>
                <w:rFonts w:hint="eastAsia" w:ascii="宋体" w:hAnsi="宋体" w:eastAsia="宋体" w:cs="宋体"/>
                <w:b/>
                <w:szCs w:val="24"/>
                <w:shd w:val="clear" w:color="auto" w:fill="FFFFFF"/>
                <w:lang w:val="en-US" w:eastAsia="zh-CN" w:bidi="ar"/>
              </w:rPr>
              <w:t>交货期</w:t>
            </w:r>
          </w:p>
        </w:tc>
        <w:tc>
          <w:tcPr>
            <w:tcW w:w="1877"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lang w:bidi="ar"/>
              </w:rPr>
              <w:t>报价（人民币 元）</w:t>
            </w:r>
          </w:p>
        </w:tc>
        <w:tc>
          <w:tcPr>
            <w:tcW w:w="1692" w:type="dxa"/>
            <w:tcBorders>
              <w:tl2br w:val="nil"/>
              <w:tr2bl w:val="nil"/>
            </w:tcBorders>
            <w:shd w:val="clear" w:color="auto" w:fill="auto"/>
            <w:vAlign w:val="center"/>
          </w:tcPr>
          <w:p>
            <w:pPr>
              <w:keepNext w:val="0"/>
              <w:keepLines w:val="0"/>
              <w:suppressLineNumbers w:val="0"/>
              <w:shd w:val="clear" w:color="auto" w:fill="FFFFFF"/>
              <w:snapToGrid w:val="0"/>
              <w:spacing w:before="0" w:beforeAutospacing="0" w:after="0" w:afterAutospacing="0"/>
              <w:ind w:left="0" w:right="0"/>
              <w:jc w:val="center"/>
              <w:rPr>
                <w:rFonts w:hint="default" w:ascii="宋体" w:hAnsi="宋体" w:eastAsia="宋体" w:cs="宋体"/>
                <w:b/>
                <w:szCs w:val="24"/>
                <w:shd w:val="clear" w:color="auto" w:fill="FFFFFF"/>
              </w:rPr>
            </w:pPr>
            <w:r>
              <w:rPr>
                <w:rFonts w:hint="eastAsia" w:ascii="宋体" w:hAnsi="宋体" w:eastAsia="宋体" w:cs="宋体"/>
                <w:b/>
                <w:szCs w:val="24"/>
                <w:shd w:val="clear" w:color="auto" w:fill="FFFFFF"/>
                <w:lang w:bidi="ar"/>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2158"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r>
              <w:rPr>
                <w:rFonts w:hint="eastAsia" w:ascii="宋体" w:hAnsi="宋体" w:eastAsia="宋体" w:cs="宋体"/>
                <w:szCs w:val="24"/>
                <w:shd w:val="clear" w:color="auto" w:fill="FFFFFF"/>
                <w:lang w:eastAsia="zh-CN"/>
              </w:rPr>
              <w:t>四会市公安局2024年DNA实验室试剂耗材采购项目</w:t>
            </w:r>
          </w:p>
        </w:tc>
        <w:tc>
          <w:tcPr>
            <w:tcW w:w="1065"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r>
              <w:rPr>
                <w:rFonts w:hint="eastAsia" w:ascii="宋体" w:hAnsi="宋体" w:eastAsia="宋体" w:cs="宋体"/>
                <w:szCs w:val="24"/>
                <w:shd w:val="clear" w:color="auto" w:fill="FFFFFF"/>
              </w:rPr>
              <w:t>1项</w:t>
            </w:r>
          </w:p>
        </w:tc>
        <w:tc>
          <w:tcPr>
            <w:tcW w:w="2300"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r>
              <w:rPr>
                <w:rFonts w:hint="eastAsia" w:ascii="宋体" w:hAnsi="宋体" w:eastAsia="宋体" w:cs="宋体"/>
                <w:color w:val="000000" w:themeColor="text1"/>
                <w:szCs w:val="21"/>
                <w:lang w:eastAsia="zh-CN"/>
                <w14:textFill>
                  <w14:solidFill>
                    <w14:schemeClr w14:val="tx1"/>
                  </w14:solidFill>
                </w14:textFill>
              </w:rPr>
              <w:t>合同签订生效之日起一年内完成，根据采购人实际需求分批次采购产品。在采购人发出订货通知后24个小时内，将产品免费运抵采购人指定的交货地点</w:t>
            </w:r>
          </w:p>
        </w:tc>
        <w:tc>
          <w:tcPr>
            <w:tcW w:w="1877"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default" w:ascii="宋体" w:hAnsi="宋体" w:eastAsia="宋体" w:cs="宋体"/>
                <w:szCs w:val="24"/>
                <w:shd w:val="clear" w:color="auto" w:fill="FFFFFF"/>
              </w:rPr>
            </w:pPr>
          </w:p>
        </w:tc>
        <w:tc>
          <w:tcPr>
            <w:tcW w:w="1692" w:type="dxa"/>
            <w:tcBorders>
              <w:tl2br w:val="nil"/>
              <w:tr2bl w:val="nil"/>
            </w:tcBorders>
            <w:shd w:val="clear" w:color="auto" w:fill="auto"/>
            <w:vAlign w:val="center"/>
          </w:tcPr>
          <w:p>
            <w:pPr>
              <w:keepNext w:val="0"/>
              <w:keepLines w:val="0"/>
              <w:suppressLineNumbers w:val="0"/>
              <w:shd w:val="clear" w:color="auto" w:fill="FFFFFF"/>
              <w:spacing w:before="156" w:beforeAutospacing="0" w:after="156" w:afterAutospacing="0"/>
              <w:ind w:left="0" w:right="0"/>
              <w:jc w:val="center"/>
              <w:rPr>
                <w:rFonts w:hint="eastAsia" w:ascii="宋体" w:hAnsi="宋体" w:eastAsia="宋体" w:cs="宋体"/>
                <w:szCs w:val="24"/>
                <w:shd w:val="clear" w:color="auto" w:fill="FFFFFF"/>
                <w:lang w:val="en-US" w:eastAsia="zh-CN"/>
              </w:rPr>
            </w:pPr>
          </w:p>
        </w:tc>
      </w:tr>
    </w:tbl>
    <w:p>
      <w:pPr>
        <w:tabs>
          <w:tab w:val="left" w:pos="7740"/>
        </w:tabs>
        <w:adjustRightInd w:val="0"/>
        <w:snapToGrid w:val="0"/>
        <w:spacing w:line="360" w:lineRule="auto"/>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pStyle w:val="18"/>
        <w:numPr>
          <w:ilvl w:val="0"/>
          <w:numId w:val="16"/>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18"/>
        <w:numPr>
          <w:ilvl w:val="0"/>
          <w:numId w:val="16"/>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18"/>
        <w:numPr>
          <w:ilvl w:val="0"/>
          <w:numId w:val="16"/>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16"/>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pStyle w:val="18"/>
        <w:numPr>
          <w:ilvl w:val="0"/>
          <w:numId w:val="16"/>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jc w:val="center"/>
        <w:rPr>
          <w:rFonts w:ascii="宋体" w:hAnsi="宋体" w:eastAsia="宋体" w:cs="宋体"/>
          <w:color w:val="000000" w:themeColor="text1"/>
          <w:spacing w:val="4"/>
          <w:szCs w:val="21"/>
          <w:u w:val="single"/>
          <w14:textFill>
            <w14:solidFill>
              <w14:schemeClr w14:val="tx1"/>
            </w14:solidFill>
          </w14:textFill>
        </w:rPr>
      </w:pPr>
    </w:p>
    <w:p>
      <w: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1"/>
          <w:lang w:eastAsia="zh-CN"/>
          <w14:textFill>
            <w14:solidFill>
              <w14:schemeClr w14:val="tx1"/>
            </w14:solidFill>
          </w14:textFill>
        </w:rPr>
        <w:t>四会市公安局</w:t>
      </w: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云采链（广州）信息科技有限公司</w:t>
      </w:r>
    </w:p>
    <w:p>
      <w:pPr>
        <w:spacing w:line="360" w:lineRule="auto"/>
        <w:rPr>
          <w:rFonts w:ascii="宋体" w:hAnsi="宋体" w:eastAsia="宋体" w:cs="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 w:val="21"/>
          <w:szCs w:val="21"/>
          <w:u w:val="single"/>
          <w:lang w:eastAsia="zh-CN"/>
          <w14:textFill>
            <w14:solidFill>
              <w14:schemeClr w14:val="tx1"/>
            </w14:solidFill>
          </w14:textFill>
        </w:rPr>
        <w:t>四会市公安局2024年DNA实验室试剂耗材采购项目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17"/>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17"/>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p>
    <w:p>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lang w:eastAsia="zh-CN"/>
          <w14:textFill>
            <w14:solidFill>
              <w14:schemeClr w14:val="tx1"/>
            </w14:solidFill>
          </w14:textFill>
        </w:rPr>
        <w:t>四会市公安局</w:t>
      </w:r>
      <w:r>
        <w:rPr>
          <w:rFonts w:hint="eastAsia" w:ascii="宋体" w:hAnsi="宋体" w:eastAsia="宋体" w:cs="宋体"/>
          <w:b/>
          <w:color w:val="000000" w:themeColor="text1"/>
          <w:szCs w:val="24"/>
          <w14:textFill>
            <w14:solidFill>
              <w14:schemeClr w14:val="tx1"/>
            </w14:solidFill>
          </w14:textFill>
        </w:rPr>
        <w:t>、</w:t>
      </w:r>
      <w:r>
        <w:rPr>
          <w:rFonts w:hint="eastAsia" w:ascii="宋体" w:hAnsi="宋体" w:eastAsia="宋体" w:cs="宋体"/>
          <w:b/>
          <w:color w:val="000000" w:themeColor="text1"/>
          <w14:textFill>
            <w14:solidFill>
              <w14:schemeClr w14:val="tx1"/>
            </w14:solidFill>
          </w14:textFill>
        </w:rPr>
        <w:t>云采链（广州）信息科技有限公司</w:t>
      </w:r>
      <w:r>
        <w:rPr>
          <w:rFonts w:hint="eastAsia" w:ascii="宋体" w:hAnsi="宋体" w:eastAsia="宋体" w:cs="宋体"/>
          <w:b/>
          <w:color w:val="000000" w:themeColor="text1"/>
          <w:szCs w:val="24"/>
          <w14:textFill>
            <w14:solidFill>
              <w14:schemeClr w14:val="tx1"/>
            </w14:solidFill>
          </w14:textFill>
        </w:rPr>
        <w:t>：</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w:t>
      </w:r>
      <w:r>
        <w:rPr>
          <w:rFonts w:hint="eastAsia" w:ascii="宋体" w:hAnsi="宋体" w:eastAsia="宋体" w:cs="宋体"/>
          <w:color w:val="000000" w:themeColor="text1"/>
          <w:sz w:val="21"/>
          <w:szCs w:val="21"/>
          <w14:textFill>
            <w14:solidFill>
              <w14:schemeClr w14:val="tx1"/>
            </w14:solidFill>
          </w14:textFill>
        </w:rPr>
        <w:t>单位、贵司发布</w:t>
      </w:r>
      <w:r>
        <w:rPr>
          <w:rFonts w:hint="eastAsia" w:ascii="宋体" w:hAnsi="宋体" w:eastAsia="宋体" w:cs="宋体"/>
          <w:b/>
          <w:bCs/>
          <w:color w:val="000000" w:themeColor="text1"/>
          <w:sz w:val="21"/>
          <w:szCs w:val="21"/>
          <w:u w:val="single"/>
          <w:lang w:eastAsia="zh-CN"/>
          <w14:textFill>
            <w14:solidFill>
              <w14:schemeClr w14:val="tx1"/>
            </w14:solidFill>
          </w14:textFill>
        </w:rPr>
        <w:t>四会市公安局2024年DNA实验室试剂耗材采购项目</w:t>
      </w:r>
      <w:r>
        <w:rPr>
          <w:rFonts w:hint="eastAsia" w:ascii="宋体" w:hAnsi="宋体" w:eastAsia="宋体" w:cs="宋体"/>
          <w:color w:val="000000" w:themeColor="text1"/>
          <w:sz w:val="21"/>
          <w:szCs w:val="21"/>
          <w14:textFill>
            <w14:solidFill>
              <w14:schemeClr w14:val="tx1"/>
            </w14:solidFill>
          </w14:textFill>
        </w:rPr>
        <w:t>的竞价公告，本公司（</w:t>
      </w:r>
      <w:r>
        <w:rPr>
          <w:rFonts w:hint="eastAsia" w:ascii="宋体" w:hAnsi="宋体" w:eastAsia="宋体" w:cs="宋体"/>
          <w:color w:val="000000" w:themeColor="text1"/>
          <w:szCs w:val="24"/>
          <w14:textFill>
            <w14:solidFill>
              <w14:schemeClr w14:val="tx1"/>
            </w14:solidFill>
          </w14:textFill>
        </w:rPr>
        <w:t>企业）愿意参加竞价活动，并作出如下声明：</w:t>
      </w:r>
    </w:p>
    <w:p>
      <w:pPr>
        <w:numPr>
          <w:ilvl w:val="0"/>
          <w:numId w:val="18"/>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18"/>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18"/>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18"/>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18"/>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18"/>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本公司（企业）在本项目中不分包、转包且不联合参与竞价。</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19"/>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19"/>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30"/>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0"/>
        <w:wordWrap w:val="0"/>
        <w:spacing w:line="360" w:lineRule="auto"/>
        <w:ind w:left="1200" w:right="218" w:firstLine="0" w:firstLineChars="0"/>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napToGrid w:val="0"/>
        <w:spacing w:line="360" w:lineRule="auto"/>
        <w:textAlignment w:val="baseline"/>
        <w:rPr>
          <w:rFonts w:ascii="宋体" w:hAnsi="宋体" w:eastAsia="宋体" w:cs="宋体"/>
          <w:color w:val="000000"/>
          <w:szCs w:val="21"/>
          <w:lang w:val="zh-CN" w:bidi="ar"/>
        </w:rPr>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2">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3">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4">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5">
    <w:nsid w:val="F4E25012"/>
    <w:multiLevelType w:val="multilevel"/>
    <w:tmpl w:val="F4E25012"/>
    <w:lvl w:ilvl="0" w:tentative="0">
      <w:start w:val="1"/>
      <w:numFmt w:val="chineseCountingThousand"/>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8">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9">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0">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1">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3">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4">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6">
    <w:nsid w:val="5FA03734"/>
    <w:multiLevelType w:val="singleLevel"/>
    <w:tmpl w:val="5FA03734"/>
    <w:lvl w:ilvl="0" w:tentative="0">
      <w:start w:val="1"/>
      <w:numFmt w:val="decimal"/>
      <w:lvlText w:val="%1."/>
      <w:lvlJc w:val="left"/>
      <w:pPr>
        <w:ind w:left="425" w:hanging="425"/>
      </w:pPr>
      <w:rPr>
        <w:rFonts w:hint="default"/>
      </w:rPr>
    </w:lvl>
  </w:abstractNum>
  <w:abstractNum w:abstractNumId="17">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7"/>
  </w:num>
  <w:num w:numId="3">
    <w:abstractNumId w:val="4"/>
  </w:num>
  <w:num w:numId="4">
    <w:abstractNumId w:val="13"/>
  </w:num>
  <w:num w:numId="5">
    <w:abstractNumId w:val="2"/>
  </w:num>
  <w:num w:numId="6">
    <w:abstractNumId w:val="7"/>
  </w:num>
  <w:num w:numId="7">
    <w:abstractNumId w:val="9"/>
  </w:num>
  <w:num w:numId="8">
    <w:abstractNumId w:val="15"/>
  </w:num>
  <w:num w:numId="9">
    <w:abstractNumId w:val="10"/>
  </w:num>
  <w:num w:numId="10">
    <w:abstractNumId w:val="3"/>
  </w:num>
  <w:num w:numId="11">
    <w:abstractNumId w:val="0"/>
  </w:num>
  <w:num w:numId="12">
    <w:abstractNumId w:val="8"/>
  </w:num>
  <w:num w:numId="13">
    <w:abstractNumId w:val="11"/>
  </w:num>
  <w:num w:numId="14">
    <w:abstractNumId w:val="5"/>
  </w:num>
  <w:num w:numId="15">
    <w:abstractNumId w:val="16"/>
  </w:num>
  <w:num w:numId="16">
    <w:abstractNumId w:val="18"/>
  </w:num>
  <w:num w:numId="17">
    <w:abstractNumId w:val="12"/>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lhZWY5YzcxZDcyMjNlNTA2YTA3MGU5NWIyMDY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2181129"/>
    <w:rsid w:val="023D0043"/>
    <w:rsid w:val="02CE4282"/>
    <w:rsid w:val="02E42FCA"/>
    <w:rsid w:val="033112BB"/>
    <w:rsid w:val="03316E9F"/>
    <w:rsid w:val="03F3121B"/>
    <w:rsid w:val="04375C44"/>
    <w:rsid w:val="052B2EF5"/>
    <w:rsid w:val="05ED15B8"/>
    <w:rsid w:val="05FB2573"/>
    <w:rsid w:val="062251E4"/>
    <w:rsid w:val="06327957"/>
    <w:rsid w:val="067C1BC2"/>
    <w:rsid w:val="06A03941"/>
    <w:rsid w:val="06B56F6B"/>
    <w:rsid w:val="06BA455D"/>
    <w:rsid w:val="06FD3346"/>
    <w:rsid w:val="07124B98"/>
    <w:rsid w:val="07560F7E"/>
    <w:rsid w:val="08210B4F"/>
    <w:rsid w:val="08380D9F"/>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18536E"/>
    <w:rsid w:val="0D5D1325"/>
    <w:rsid w:val="0D8A1656"/>
    <w:rsid w:val="0DA6749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1FA1155"/>
    <w:rsid w:val="127D190F"/>
    <w:rsid w:val="12AF2DD9"/>
    <w:rsid w:val="12B02B5B"/>
    <w:rsid w:val="12EA7C02"/>
    <w:rsid w:val="12FB03D7"/>
    <w:rsid w:val="13D0019E"/>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2D6BB6"/>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DE77B9B"/>
    <w:rsid w:val="1E0625F1"/>
    <w:rsid w:val="1E3B0316"/>
    <w:rsid w:val="1E503D1E"/>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6F0476E"/>
    <w:rsid w:val="26FF2829"/>
    <w:rsid w:val="27151420"/>
    <w:rsid w:val="27614470"/>
    <w:rsid w:val="27760C10"/>
    <w:rsid w:val="28154713"/>
    <w:rsid w:val="284726EB"/>
    <w:rsid w:val="28C419ED"/>
    <w:rsid w:val="28DF3FCB"/>
    <w:rsid w:val="29B607F8"/>
    <w:rsid w:val="29D04C89"/>
    <w:rsid w:val="2A3730F5"/>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21A6F"/>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2C6260"/>
    <w:rsid w:val="3DB54D85"/>
    <w:rsid w:val="3E7616F0"/>
    <w:rsid w:val="3EE37DED"/>
    <w:rsid w:val="3F025588"/>
    <w:rsid w:val="3F5B3E28"/>
    <w:rsid w:val="40552625"/>
    <w:rsid w:val="40AB0D42"/>
    <w:rsid w:val="40E165C9"/>
    <w:rsid w:val="40E67721"/>
    <w:rsid w:val="413435BC"/>
    <w:rsid w:val="41701D64"/>
    <w:rsid w:val="41CC7D33"/>
    <w:rsid w:val="41DA1B40"/>
    <w:rsid w:val="41F14923"/>
    <w:rsid w:val="41FC16B9"/>
    <w:rsid w:val="42B85710"/>
    <w:rsid w:val="42EB76E2"/>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526528"/>
    <w:rsid w:val="4A71531C"/>
    <w:rsid w:val="4AFD2237"/>
    <w:rsid w:val="4B1F447C"/>
    <w:rsid w:val="4BCF745F"/>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840D6C"/>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224A4"/>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455EC8"/>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autoRedefine/>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5"/>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1"/>
    <w:autoRedefine/>
    <w:semiHidden/>
    <w:unhideWhenUsed/>
    <w:qFormat/>
    <w:uiPriority w:val="9"/>
    <w:pPr>
      <w:keepNext/>
      <w:keepLines/>
      <w:spacing w:before="260" w:after="260" w:line="413" w:lineRule="auto"/>
      <w:outlineLvl w:val="2"/>
    </w:pPr>
    <w:rPr>
      <w:b/>
      <w:sz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6">
    <w:name w:val="annotation text"/>
    <w:basedOn w:val="1"/>
    <w:link w:val="86"/>
    <w:autoRedefine/>
    <w:unhideWhenUsed/>
    <w:qFormat/>
    <w:uiPriority w:val="0"/>
    <w:pPr>
      <w:jc w:val="left"/>
    </w:pPr>
    <w:rPr>
      <w:rFonts w:ascii="Times New Roman" w:hAnsi="Times New Roman" w:eastAsia="宋体" w:cs="Times New Roman"/>
      <w:szCs w:val="24"/>
    </w:rPr>
  </w:style>
  <w:style w:type="paragraph" w:styleId="7">
    <w:name w:val="Body Text"/>
    <w:basedOn w:val="1"/>
    <w:link w:val="91"/>
    <w:autoRedefine/>
    <w:semiHidden/>
    <w:unhideWhenUsed/>
    <w:qFormat/>
    <w:uiPriority w:val="99"/>
    <w:pPr>
      <w:spacing w:after="120"/>
    </w:pPr>
  </w:style>
  <w:style w:type="paragraph" w:styleId="8">
    <w:name w:val="Body Text Indent"/>
    <w:basedOn w:val="1"/>
    <w:next w:val="9"/>
    <w:link w:val="88"/>
    <w:autoRedefine/>
    <w:semiHidden/>
    <w:unhideWhenUsed/>
    <w:qFormat/>
    <w:uiPriority w:val="99"/>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link w:val="60"/>
    <w:autoRedefine/>
    <w:qFormat/>
    <w:uiPriority w:val="0"/>
    <w:rPr>
      <w:rFonts w:ascii="宋体" w:hAnsi="Courier New" w:eastAsia="宋体" w:cs="Times New Roman"/>
      <w:kern w:val="0"/>
      <w:sz w:val="20"/>
      <w:szCs w:val="21"/>
    </w:rPr>
  </w:style>
  <w:style w:type="paragraph" w:styleId="11">
    <w:name w:val="Balloon Text"/>
    <w:basedOn w:val="1"/>
    <w:link w:val="32"/>
    <w:semiHidden/>
    <w:unhideWhenUsed/>
    <w:qFormat/>
    <w:uiPriority w:val="99"/>
    <w:rPr>
      <w:sz w:val="18"/>
      <w:szCs w:val="18"/>
    </w:rPr>
  </w:style>
  <w:style w:type="paragraph" w:styleId="12">
    <w:name w:val="footer"/>
    <w:basedOn w:val="1"/>
    <w:link w:val="56"/>
    <w:autoRedefine/>
    <w:unhideWhenUsed/>
    <w:qFormat/>
    <w:uiPriority w:val="99"/>
    <w:pPr>
      <w:tabs>
        <w:tab w:val="center" w:pos="4153"/>
        <w:tab w:val="right" w:pos="8306"/>
      </w:tabs>
      <w:snapToGrid w:val="0"/>
      <w:jc w:val="left"/>
    </w:pPr>
    <w:rPr>
      <w:sz w:val="18"/>
      <w:szCs w:val="18"/>
    </w:rPr>
  </w:style>
  <w:style w:type="paragraph" w:styleId="13">
    <w:name w:val="header"/>
    <w:basedOn w:val="1"/>
    <w:link w:val="10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3"/>
    <w:semiHidden/>
    <w:unhideWhenUsed/>
    <w:qFormat/>
    <w:uiPriority w:val="99"/>
    <w:pPr>
      <w:snapToGrid w:val="0"/>
      <w:jc w:val="left"/>
    </w:pPr>
    <w:rPr>
      <w:sz w:val="18"/>
    </w:rPr>
  </w:style>
  <w:style w:type="paragraph" w:styleId="16">
    <w:name w:val="Body Text Indent 3"/>
    <w:basedOn w:val="1"/>
    <w:link w:val="93"/>
    <w:autoRedefine/>
    <w:semiHidden/>
    <w:unhideWhenUsed/>
    <w:qFormat/>
    <w:uiPriority w:val="99"/>
    <w:pPr>
      <w:spacing w:after="120"/>
      <w:ind w:left="420" w:leftChars="200"/>
    </w:pPr>
    <w:rPr>
      <w:rFonts w:hint="eastAsia" w:ascii="等线" w:hAnsi="等线" w:eastAsia="等线" w:cs="Times New Roman"/>
      <w:sz w:val="16"/>
      <w:szCs w:val="16"/>
    </w:rPr>
  </w:style>
  <w:style w:type="paragraph" w:styleId="17">
    <w:name w:val="toc 2"/>
    <w:basedOn w:val="1"/>
    <w:next w:val="1"/>
    <w:autoRedefine/>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8">
    <w:name w:val="Normal (Web)"/>
    <w:basedOn w:val="1"/>
    <w:link w:val="87"/>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72"/>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6"/>
    <w:next w:val="6"/>
    <w:link w:val="33"/>
    <w:semiHidden/>
    <w:unhideWhenUsed/>
    <w:qFormat/>
    <w:uiPriority w:val="99"/>
    <w:rPr>
      <w:b/>
      <w:bCs/>
    </w:rPr>
  </w:style>
  <w:style w:type="paragraph" w:styleId="21">
    <w:name w:val="Body Text First Indent"/>
    <w:basedOn w:val="7"/>
    <w:link w:val="94"/>
    <w:semiHidden/>
    <w:unhideWhenUsed/>
    <w:qFormat/>
    <w:uiPriority w:val="99"/>
    <w:pPr>
      <w:ind w:firstLine="420" w:firstLineChars="100"/>
    </w:pPr>
    <w:rPr>
      <w:rFonts w:ascii="Calibri" w:hAnsi="Calibri" w:eastAsia="宋体" w:cs="Times New Roman"/>
    </w:rPr>
  </w:style>
  <w:style w:type="paragraph" w:styleId="22">
    <w:name w:val="Body Text First Indent 2"/>
    <w:basedOn w:val="8"/>
    <w:next w:val="1"/>
    <w:link w:val="47"/>
    <w:semiHidden/>
    <w:unhideWhenUsed/>
    <w:qFormat/>
    <w:uiPriority w:val="99"/>
    <w:pPr>
      <w:ind w:firstLine="420" w:firstLineChars="200"/>
    </w:p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qFormat/>
    <w:uiPriority w:val="22"/>
    <w:rPr>
      <w:b/>
      <w:bCs/>
    </w:rPr>
  </w:style>
  <w:style w:type="character" w:styleId="27">
    <w:name w:val="annotation reference"/>
    <w:basedOn w:val="25"/>
    <w:autoRedefine/>
    <w:unhideWhenUsed/>
    <w:qFormat/>
    <w:uiPriority w:val="0"/>
    <w:rPr>
      <w:sz w:val="21"/>
      <w:szCs w:val="21"/>
    </w:rPr>
  </w:style>
  <w:style w:type="character" w:customStyle="1" w:styleId="28">
    <w:name w:val="页眉 字符"/>
    <w:basedOn w:val="25"/>
    <w:qFormat/>
    <w:uiPriority w:val="99"/>
    <w:rPr>
      <w:sz w:val="18"/>
      <w:szCs w:val="18"/>
    </w:rPr>
  </w:style>
  <w:style w:type="character" w:customStyle="1" w:styleId="29">
    <w:name w:val="页脚 字符"/>
    <w:basedOn w:val="25"/>
    <w:autoRedefine/>
    <w:qFormat/>
    <w:uiPriority w:val="99"/>
    <w:rPr>
      <w:sz w:val="18"/>
      <w:szCs w:val="18"/>
    </w:rPr>
  </w:style>
  <w:style w:type="paragraph" w:styleId="30">
    <w:name w:val="List Paragraph"/>
    <w:basedOn w:val="1"/>
    <w:link w:val="38"/>
    <w:qFormat/>
    <w:uiPriority w:val="34"/>
    <w:pPr>
      <w:ind w:firstLine="420" w:firstLineChars="200"/>
    </w:pPr>
  </w:style>
  <w:style w:type="character" w:customStyle="1" w:styleId="31">
    <w:name w:val="批注文字 字符"/>
    <w:basedOn w:val="25"/>
    <w:qFormat/>
    <w:uiPriority w:val="0"/>
  </w:style>
  <w:style w:type="character" w:customStyle="1" w:styleId="32">
    <w:name w:val="批注框文本 字符"/>
    <w:basedOn w:val="25"/>
    <w:link w:val="11"/>
    <w:semiHidden/>
    <w:qFormat/>
    <w:uiPriority w:val="99"/>
    <w:rPr>
      <w:sz w:val="18"/>
      <w:szCs w:val="18"/>
    </w:rPr>
  </w:style>
  <w:style w:type="character" w:customStyle="1" w:styleId="33">
    <w:name w:val="批注主题 字符"/>
    <w:basedOn w:val="31"/>
    <w:link w:val="20"/>
    <w:semiHidden/>
    <w:qFormat/>
    <w:uiPriority w:val="99"/>
    <w:rPr>
      <w:b/>
      <w:bCs/>
    </w:rPr>
  </w:style>
  <w:style w:type="character" w:customStyle="1" w:styleId="34">
    <w:name w:val="标题 Char"/>
    <w:basedOn w:val="25"/>
    <w:qFormat/>
    <w:uiPriority w:val="0"/>
    <w:rPr>
      <w:rFonts w:eastAsia="宋体" w:asciiTheme="majorHAnsi" w:hAnsiTheme="majorHAnsi" w:cstheme="majorBidi"/>
      <w:b/>
      <w:bCs/>
      <w:sz w:val="32"/>
      <w:szCs w:val="32"/>
    </w:rPr>
  </w:style>
  <w:style w:type="character" w:customStyle="1" w:styleId="35">
    <w:name w:val="标题 2 字符"/>
    <w:basedOn w:val="25"/>
    <w:qFormat/>
    <w:uiPriority w:val="0"/>
    <w:rPr>
      <w:rFonts w:ascii="Arial" w:hAnsi="Arial" w:eastAsia="黑体" w:cs="Times New Roman"/>
      <w:b/>
      <w:bCs/>
      <w:sz w:val="32"/>
      <w:szCs w:val="32"/>
    </w:rPr>
  </w:style>
  <w:style w:type="character" w:customStyle="1" w:styleId="36">
    <w:name w:val="纯文本 字符"/>
    <w:basedOn w:val="25"/>
    <w:autoRedefine/>
    <w:qFormat/>
    <w:uiPriority w:val="0"/>
    <w:rPr>
      <w:rFonts w:ascii="宋体" w:hAnsi="Courier New" w:eastAsia="宋体" w:cs="Times New Roman"/>
      <w:kern w:val="0"/>
      <w:sz w:val="20"/>
      <w:szCs w:val="21"/>
    </w:rPr>
  </w:style>
  <w:style w:type="paragraph" w:customStyle="1" w:styleId="3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8">
    <w:name w:val="列表段落 字符4"/>
    <w:link w:val="30"/>
    <w:autoRedefine/>
    <w:qFormat/>
    <w:uiPriority w:val="99"/>
  </w:style>
  <w:style w:type="paragraph" w:customStyle="1" w:styleId="39">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0">
    <w:name w:val="列出段落1"/>
    <w:basedOn w:val="1"/>
    <w:link w:val="41"/>
    <w:autoRedefine/>
    <w:qFormat/>
    <w:uiPriority w:val="99"/>
    <w:pPr>
      <w:ind w:firstLine="420" w:firstLineChars="200"/>
    </w:pPr>
    <w:rPr>
      <w:rFonts w:ascii="Times New Roman" w:hAnsi="Times New Roman" w:eastAsia="宋体" w:cs="Times New Roman"/>
      <w:szCs w:val="21"/>
    </w:rPr>
  </w:style>
  <w:style w:type="character" w:customStyle="1" w:styleId="41">
    <w:name w:val="List Paragraph Char"/>
    <w:link w:val="40"/>
    <w:qFormat/>
    <w:locked/>
    <w:uiPriority w:val="99"/>
    <w:rPr>
      <w:rFonts w:ascii="Times New Roman" w:hAnsi="Times New Roman" w:eastAsia="宋体" w:cs="Times New Roman"/>
      <w:szCs w:val="21"/>
    </w:rPr>
  </w:style>
  <w:style w:type="paragraph" w:customStyle="1" w:styleId="42">
    <w:name w:val="_Style 121"/>
    <w:basedOn w:val="1"/>
    <w:next w:val="30"/>
    <w:autoRedefine/>
    <w:qFormat/>
    <w:uiPriority w:val="34"/>
    <w:pPr>
      <w:ind w:firstLine="420" w:firstLineChars="200"/>
    </w:pPr>
    <w:rPr>
      <w:rFonts w:ascii="Calibri" w:hAnsi="Calibri" w:eastAsia="宋体" w:cs="Times New Roman"/>
    </w:rPr>
  </w:style>
  <w:style w:type="paragraph" w:customStyle="1" w:styleId="43">
    <w:name w:val="start-font-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start-font-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
    <w:name w:val="纯文本 Char1"/>
    <w:autoRedefine/>
    <w:qFormat/>
    <w:uiPriority w:val="0"/>
    <w:rPr>
      <w:rFonts w:ascii="宋体" w:hAnsi="Courier New" w:eastAsia="宋体" w:cs="Times New Roman"/>
      <w:kern w:val="0"/>
      <w:sz w:val="20"/>
      <w:szCs w:val="21"/>
    </w:rPr>
  </w:style>
  <w:style w:type="character" w:customStyle="1" w:styleId="46">
    <w:name w:val="正文文本缩进 字符"/>
    <w:basedOn w:val="25"/>
    <w:autoRedefine/>
    <w:qFormat/>
    <w:uiPriority w:val="0"/>
    <w:rPr>
      <w:kern w:val="2"/>
      <w:sz w:val="21"/>
      <w:szCs w:val="24"/>
    </w:rPr>
  </w:style>
  <w:style w:type="character" w:customStyle="1" w:styleId="47">
    <w:name w:val="正文文本首行缩进 2 字符"/>
    <w:basedOn w:val="46"/>
    <w:link w:val="22"/>
    <w:autoRedefine/>
    <w:qFormat/>
    <w:uiPriority w:val="0"/>
    <w:rPr>
      <w:kern w:val="2"/>
      <w:sz w:val="21"/>
      <w:szCs w:val="24"/>
    </w:rPr>
  </w:style>
  <w:style w:type="paragraph" w:customStyle="1" w:styleId="48">
    <w:name w:val="msolistparagraph"/>
    <w:basedOn w:val="1"/>
    <w:qFormat/>
    <w:uiPriority w:val="0"/>
    <w:pPr>
      <w:ind w:firstLine="420" w:firstLineChars="200"/>
    </w:pPr>
    <w:rPr>
      <w:rFonts w:ascii="Times New Roman" w:hAnsi="Times New Roman" w:eastAsia="宋体" w:cs="Times New Roman"/>
    </w:rPr>
  </w:style>
  <w:style w:type="character" w:customStyle="1" w:styleId="49">
    <w:name w:val="列出段落 Char"/>
    <w:basedOn w:val="25"/>
    <w:qFormat/>
    <w:uiPriority w:val="0"/>
    <w:rPr>
      <w:kern w:val="2"/>
      <w:sz w:val="21"/>
      <w:szCs w:val="22"/>
    </w:rPr>
  </w:style>
  <w:style w:type="character" w:customStyle="1" w:styleId="50">
    <w:name w:val="正文文本 字符"/>
    <w:basedOn w:val="25"/>
    <w:autoRedefine/>
    <w:qFormat/>
    <w:uiPriority w:val="0"/>
    <w:rPr>
      <w:rFonts w:hint="default" w:ascii="Calibri" w:hAnsi="Calibri" w:eastAsia="宋体" w:cs="Times New Roman"/>
      <w:kern w:val="2"/>
      <w:sz w:val="21"/>
      <w:szCs w:val="22"/>
    </w:rPr>
  </w:style>
  <w:style w:type="character" w:customStyle="1" w:styleId="51">
    <w:name w:val="纯文本 Char"/>
    <w:basedOn w:val="25"/>
    <w:autoRedefine/>
    <w:qFormat/>
    <w:uiPriority w:val="0"/>
    <w:rPr>
      <w:rFonts w:hint="eastAsia" w:ascii="宋体" w:hAnsi="Courier New" w:eastAsia="宋体" w:cs="宋体"/>
      <w:szCs w:val="21"/>
    </w:rPr>
  </w:style>
  <w:style w:type="paragraph" w:customStyle="1" w:styleId="52">
    <w:name w:val="_Style 116"/>
    <w:basedOn w:val="1"/>
    <w:next w:val="30"/>
    <w:autoRedefine/>
    <w:qFormat/>
    <w:uiPriority w:val="99"/>
    <w:pPr>
      <w:ind w:firstLine="420" w:firstLineChars="200"/>
    </w:pPr>
    <w:rPr>
      <w:kern w:val="0"/>
      <w:sz w:val="20"/>
      <w:szCs w:val="20"/>
    </w:rPr>
  </w:style>
  <w:style w:type="character" w:customStyle="1" w:styleId="53">
    <w:name w:val="普通(网站) 字符"/>
    <w:basedOn w:val="25"/>
    <w:autoRedefine/>
    <w:qFormat/>
    <w:uiPriority w:val="0"/>
    <w:rPr>
      <w:rFonts w:hint="eastAsia" w:ascii="宋体" w:hAnsi="宋体" w:eastAsia="宋体" w:cs="宋体"/>
      <w:sz w:val="24"/>
      <w:szCs w:val="24"/>
    </w:rPr>
  </w:style>
  <w:style w:type="character" w:customStyle="1" w:styleId="54">
    <w:name w:val="批注文字 Char"/>
    <w:basedOn w:val="25"/>
    <w:autoRedefine/>
    <w:qFormat/>
    <w:uiPriority w:val="0"/>
    <w:rPr>
      <w:kern w:val="2"/>
      <w:sz w:val="21"/>
      <w:szCs w:val="24"/>
    </w:rPr>
  </w:style>
  <w:style w:type="character" w:customStyle="1" w:styleId="55">
    <w:name w:val="标题 1 字符"/>
    <w:basedOn w:val="25"/>
    <w:link w:val="2"/>
    <w:autoRedefine/>
    <w:qFormat/>
    <w:uiPriority w:val="0"/>
    <w:rPr>
      <w:b/>
      <w:bCs/>
      <w:kern w:val="44"/>
      <w:sz w:val="44"/>
      <w:szCs w:val="44"/>
    </w:rPr>
  </w:style>
  <w:style w:type="character" w:customStyle="1" w:styleId="56">
    <w:name w:val="页脚 字符1"/>
    <w:basedOn w:val="25"/>
    <w:link w:val="12"/>
    <w:autoRedefine/>
    <w:qFormat/>
    <w:uiPriority w:val="0"/>
    <w:rPr>
      <w:kern w:val="2"/>
      <w:sz w:val="18"/>
      <w:szCs w:val="18"/>
    </w:rPr>
  </w:style>
  <w:style w:type="character" w:customStyle="1" w:styleId="57">
    <w:name w:val="页眉 字符1"/>
    <w:basedOn w:val="25"/>
    <w:autoRedefine/>
    <w:qFormat/>
    <w:uiPriority w:val="0"/>
    <w:rPr>
      <w:kern w:val="2"/>
      <w:sz w:val="18"/>
      <w:szCs w:val="18"/>
    </w:rPr>
  </w:style>
  <w:style w:type="character" w:customStyle="1" w:styleId="58">
    <w:name w:val="标题 2 字符1"/>
    <w:basedOn w:val="25"/>
    <w:autoRedefine/>
    <w:qFormat/>
    <w:uiPriority w:val="0"/>
    <w:rPr>
      <w:rFonts w:hint="default" w:ascii="Cambria" w:hAnsi="Cambria" w:eastAsia="Cambria" w:cs="Cambria"/>
      <w:b/>
      <w:bCs/>
      <w:kern w:val="2"/>
      <w:sz w:val="32"/>
      <w:szCs w:val="32"/>
    </w:rPr>
  </w:style>
  <w:style w:type="character" w:customStyle="1" w:styleId="59">
    <w:name w:val="列出段落 Char1"/>
    <w:basedOn w:val="25"/>
    <w:autoRedefine/>
    <w:qFormat/>
    <w:uiPriority w:val="0"/>
    <w:rPr>
      <w:rFonts w:hint="default" w:ascii="Calibri" w:hAnsi="Calibri" w:cs="Calibri"/>
      <w:kern w:val="2"/>
      <w:sz w:val="21"/>
      <w:szCs w:val="22"/>
    </w:rPr>
  </w:style>
  <w:style w:type="character" w:customStyle="1" w:styleId="60">
    <w:name w:val="纯文本 字符2"/>
    <w:basedOn w:val="25"/>
    <w:link w:val="10"/>
    <w:autoRedefine/>
    <w:qFormat/>
    <w:uiPriority w:val="0"/>
    <w:rPr>
      <w:rFonts w:hint="eastAsia" w:ascii="宋体" w:hAnsi="Courier New" w:eastAsia="宋体" w:cs="宋体"/>
      <w:szCs w:val="21"/>
      <w:lang w:val="zh-CN"/>
    </w:rPr>
  </w:style>
  <w:style w:type="character" w:customStyle="1" w:styleId="61">
    <w:name w:val="标题 3 字符"/>
    <w:basedOn w:val="25"/>
    <w:link w:val="4"/>
    <w:autoRedefine/>
    <w:qFormat/>
    <w:uiPriority w:val="0"/>
    <w:rPr>
      <w:b/>
      <w:bCs/>
      <w:kern w:val="2"/>
      <w:sz w:val="32"/>
      <w:szCs w:val="32"/>
    </w:rPr>
  </w:style>
  <w:style w:type="paragraph" w:customStyle="1" w:styleId="62">
    <w:name w:val="列表段落2"/>
    <w:basedOn w:val="1"/>
    <w:autoRedefine/>
    <w:qFormat/>
    <w:uiPriority w:val="0"/>
    <w:pPr>
      <w:ind w:firstLine="420" w:firstLineChars="200"/>
    </w:pPr>
    <w:rPr>
      <w:rFonts w:ascii="Times New Roman" w:hAnsi="Times New Roman" w:eastAsia="宋体" w:cs="Times New Roman"/>
      <w:szCs w:val="24"/>
    </w:rPr>
  </w:style>
  <w:style w:type="character" w:customStyle="1" w:styleId="63">
    <w:name w:val="正文文本首行缩进 字符"/>
    <w:autoRedefine/>
    <w:qFormat/>
    <w:uiPriority w:val="0"/>
    <w:rPr>
      <w:rFonts w:hint="default" w:ascii="Calibri" w:hAnsi="Calibri" w:eastAsia="宋体" w:cs="Times New Roman"/>
      <w:kern w:val="2"/>
      <w:sz w:val="21"/>
      <w:szCs w:val="22"/>
    </w:rPr>
  </w:style>
  <w:style w:type="paragraph" w:customStyle="1" w:styleId="64">
    <w:name w:val="p0"/>
    <w:basedOn w:val="1"/>
    <w:autoRedefine/>
    <w:qFormat/>
    <w:uiPriority w:val="0"/>
    <w:pPr>
      <w:widowControl/>
    </w:pPr>
    <w:rPr>
      <w:rFonts w:ascii="Calibri" w:hAnsi="Calibri" w:eastAsia="宋体" w:cs="Times New Roman"/>
      <w:kern w:val="0"/>
      <w:szCs w:val="21"/>
    </w:rPr>
  </w:style>
  <w:style w:type="character" w:customStyle="1" w:styleId="65">
    <w:name w:val="font51"/>
    <w:basedOn w:val="25"/>
    <w:autoRedefine/>
    <w:qFormat/>
    <w:uiPriority w:val="0"/>
    <w:rPr>
      <w:rFonts w:hint="eastAsia" w:ascii="宋体" w:hAnsi="宋体" w:eastAsia="宋体" w:cs="宋体"/>
      <w:color w:val="000000"/>
      <w:sz w:val="21"/>
      <w:szCs w:val="21"/>
      <w:u w:val="none"/>
    </w:rPr>
  </w:style>
  <w:style w:type="character" w:customStyle="1" w:styleId="66">
    <w:name w:val="列表段落 字符2"/>
    <w:basedOn w:val="25"/>
    <w:autoRedefine/>
    <w:qFormat/>
    <w:uiPriority w:val="0"/>
  </w:style>
  <w:style w:type="character" w:customStyle="1" w:styleId="67">
    <w:name w:val="NormalCharacter"/>
    <w:basedOn w:val="25"/>
    <w:autoRedefine/>
    <w:qFormat/>
    <w:uiPriority w:val="0"/>
  </w:style>
  <w:style w:type="character" w:customStyle="1" w:styleId="68">
    <w:name w:val="font31"/>
    <w:basedOn w:val="25"/>
    <w:autoRedefine/>
    <w:qFormat/>
    <w:uiPriority w:val="0"/>
    <w:rPr>
      <w:rFonts w:hint="default" w:ascii="Times New Roman" w:hAnsi="Times New Roman" w:cs="Times New Roman"/>
      <w:color w:val="000000"/>
      <w:sz w:val="21"/>
      <w:szCs w:val="21"/>
      <w:u w:val="none"/>
    </w:rPr>
  </w:style>
  <w:style w:type="character" w:customStyle="1" w:styleId="69">
    <w:name w:val="font21"/>
    <w:basedOn w:val="25"/>
    <w:autoRedefine/>
    <w:qFormat/>
    <w:uiPriority w:val="0"/>
    <w:rPr>
      <w:rFonts w:hint="eastAsia" w:ascii="宋体" w:hAnsi="宋体" w:eastAsia="宋体" w:cs="宋体"/>
      <w:color w:val="000000"/>
      <w:sz w:val="24"/>
      <w:szCs w:val="24"/>
      <w:u w:val="none"/>
    </w:rPr>
  </w:style>
  <w:style w:type="character" w:customStyle="1" w:styleId="70">
    <w:name w:val="font11"/>
    <w:basedOn w:val="25"/>
    <w:autoRedefine/>
    <w:qFormat/>
    <w:uiPriority w:val="0"/>
    <w:rPr>
      <w:rFonts w:hint="eastAsia" w:ascii="宋体" w:hAnsi="宋体" w:eastAsia="宋体" w:cs="宋体"/>
      <w:color w:val="000000"/>
      <w:sz w:val="21"/>
      <w:szCs w:val="21"/>
      <w:u w:val="none"/>
    </w:rPr>
  </w:style>
  <w:style w:type="character" w:customStyle="1" w:styleId="71">
    <w:name w:val="纯文本 字符1"/>
    <w:basedOn w:val="25"/>
    <w:autoRedefine/>
    <w:qFormat/>
    <w:uiPriority w:val="0"/>
    <w:rPr>
      <w:rFonts w:hint="eastAsia" w:ascii="宋体" w:hAnsi="Courier New" w:eastAsia="宋体" w:cs="宋体"/>
      <w:szCs w:val="21"/>
    </w:rPr>
  </w:style>
  <w:style w:type="character" w:customStyle="1" w:styleId="72">
    <w:name w:val="标题 字符"/>
    <w:basedOn w:val="25"/>
    <w:link w:val="19"/>
    <w:autoRedefine/>
    <w:qFormat/>
    <w:uiPriority w:val="0"/>
    <w:rPr>
      <w:rFonts w:hint="default" w:ascii="Cambria" w:hAnsi="Cambria" w:eastAsia="Cambria" w:cs="Times New Roman"/>
      <w:b/>
      <w:bCs/>
      <w:kern w:val="2"/>
      <w:sz w:val="32"/>
      <w:szCs w:val="32"/>
    </w:rPr>
  </w:style>
  <w:style w:type="character" w:customStyle="1" w:styleId="73">
    <w:name w:val="脚注文本 字符"/>
    <w:basedOn w:val="25"/>
    <w:link w:val="15"/>
    <w:autoRedefine/>
    <w:qFormat/>
    <w:uiPriority w:val="0"/>
    <w:rPr>
      <w:rFonts w:hint="eastAsia" w:ascii="宋体" w:hAnsi="宋体" w:eastAsia="宋体" w:cs="Times New Roman"/>
      <w:kern w:val="2"/>
      <w:sz w:val="24"/>
      <w:szCs w:val="18"/>
    </w:rPr>
  </w:style>
  <w:style w:type="character" w:customStyle="1" w:styleId="74">
    <w:name w:val="脚注文本 Char1"/>
    <w:basedOn w:val="25"/>
    <w:qFormat/>
    <w:uiPriority w:val="0"/>
    <w:rPr>
      <w:rFonts w:hint="default" w:ascii="Calibri" w:hAnsi="Calibri" w:eastAsia="宋体" w:cs="Times New Roman"/>
      <w:kern w:val="2"/>
      <w:sz w:val="18"/>
      <w:szCs w:val="18"/>
    </w:rPr>
  </w:style>
  <w:style w:type="character" w:customStyle="1" w:styleId="75">
    <w:name w:val="列表段落 字符1"/>
    <w:basedOn w:val="25"/>
    <w:autoRedefine/>
    <w:qFormat/>
    <w:uiPriority w:val="0"/>
  </w:style>
  <w:style w:type="paragraph" w:customStyle="1" w:styleId="76">
    <w:name w:val="Table Paragraph"/>
    <w:basedOn w:val="1"/>
    <w:autoRedefine/>
    <w:qFormat/>
    <w:uiPriority w:val="0"/>
    <w:rPr>
      <w:rFonts w:hint="eastAsia" w:ascii="宋体" w:hAnsi="宋体" w:eastAsia="宋体" w:cs="Times New Roman"/>
      <w:szCs w:val="24"/>
    </w:rPr>
  </w:style>
  <w:style w:type="character" w:customStyle="1" w:styleId="77">
    <w:name w:val="font41"/>
    <w:basedOn w:val="25"/>
    <w:autoRedefine/>
    <w:qFormat/>
    <w:uiPriority w:val="0"/>
    <w:rPr>
      <w:rFonts w:hint="eastAsia" w:ascii="宋体" w:hAnsi="宋体" w:eastAsia="宋体" w:cs="宋体"/>
      <w:color w:val="FF0000"/>
      <w:sz w:val="24"/>
      <w:szCs w:val="24"/>
      <w:u w:val="none"/>
    </w:rPr>
  </w:style>
  <w:style w:type="character" w:customStyle="1" w:styleId="78">
    <w:name w:val="font91"/>
    <w:basedOn w:val="25"/>
    <w:autoRedefine/>
    <w:qFormat/>
    <w:uiPriority w:val="0"/>
    <w:rPr>
      <w:rFonts w:hint="default" w:ascii="Times New Roman" w:hAnsi="Times New Roman" w:cs="Times New Roman"/>
      <w:color w:val="000000"/>
      <w:sz w:val="21"/>
      <w:szCs w:val="21"/>
      <w:u w:val="none"/>
    </w:rPr>
  </w:style>
  <w:style w:type="paragraph" w:customStyle="1" w:styleId="79">
    <w:name w:val="正文_0_0"/>
    <w:basedOn w:val="1"/>
    <w:autoRedefine/>
    <w:qFormat/>
    <w:uiPriority w:val="0"/>
    <w:rPr>
      <w:rFonts w:ascii="Calibri" w:hAnsi="Calibri" w:eastAsia="宋体" w:cs="Times New Roman"/>
    </w:rPr>
  </w:style>
  <w:style w:type="character" w:customStyle="1" w:styleId="80">
    <w:name w:val="批注文字 字符1"/>
    <w:basedOn w:val="25"/>
    <w:autoRedefine/>
    <w:qFormat/>
    <w:uiPriority w:val="0"/>
    <w:rPr>
      <w:szCs w:val="24"/>
    </w:rPr>
  </w:style>
  <w:style w:type="character" w:customStyle="1" w:styleId="81">
    <w:name w:val="列表段落 字符"/>
    <w:basedOn w:val="25"/>
    <w:autoRedefine/>
    <w:qFormat/>
    <w:uiPriority w:val="0"/>
    <w:rPr>
      <w:rFonts w:hint="default" w:ascii="Calibri" w:hAnsi="Calibri" w:cs="Calibri"/>
      <w:kern w:val="2"/>
      <w:sz w:val="21"/>
      <w:szCs w:val="22"/>
    </w:rPr>
  </w:style>
  <w:style w:type="paragraph" w:customStyle="1" w:styleId="82">
    <w:name w:val="_Style 24"/>
    <w:basedOn w:val="1"/>
    <w:autoRedefine/>
    <w:qFormat/>
    <w:uiPriority w:val="0"/>
    <w:pPr>
      <w:ind w:firstLine="420" w:firstLineChars="200"/>
    </w:pPr>
    <w:rPr>
      <w:rFonts w:ascii="Calibri" w:hAnsi="Calibri" w:eastAsia="宋体" w:cs="Times New Roman"/>
    </w:rPr>
  </w:style>
  <w:style w:type="character" w:customStyle="1" w:styleId="83">
    <w:name w:val="列表段落 字符3"/>
    <w:basedOn w:val="25"/>
    <w:autoRedefine/>
    <w:qFormat/>
    <w:uiPriority w:val="0"/>
    <w:rPr>
      <w:rFonts w:hint="default" w:ascii="Calibri" w:hAnsi="Calibri" w:eastAsia="宋体" w:cs="Times New Roman"/>
      <w:kern w:val="2"/>
      <w:sz w:val="21"/>
      <w:szCs w:val="22"/>
    </w:rPr>
  </w:style>
  <w:style w:type="character" w:customStyle="1" w:styleId="84">
    <w:name w:val="列出段落 Char2"/>
    <w:basedOn w:val="25"/>
    <w:autoRedefine/>
    <w:qFormat/>
    <w:uiPriority w:val="0"/>
    <w:rPr>
      <w:rFonts w:hint="default" w:ascii="Calibri" w:hAnsi="Calibri" w:eastAsia="宋体" w:cs="Times New Roman"/>
      <w:kern w:val="2"/>
      <w:sz w:val="21"/>
      <w:szCs w:val="22"/>
    </w:rPr>
  </w:style>
  <w:style w:type="character" w:customStyle="1" w:styleId="85">
    <w:name w:val="标题 2 字符2"/>
    <w:basedOn w:val="25"/>
    <w:link w:val="3"/>
    <w:autoRedefine/>
    <w:qFormat/>
    <w:uiPriority w:val="0"/>
    <w:rPr>
      <w:rFonts w:hint="default" w:ascii="Arial" w:hAnsi="Arial" w:eastAsia="黑体" w:cs="Arial"/>
      <w:b/>
      <w:bCs/>
      <w:kern w:val="2"/>
      <w:sz w:val="32"/>
      <w:szCs w:val="32"/>
    </w:rPr>
  </w:style>
  <w:style w:type="character" w:customStyle="1" w:styleId="86">
    <w:name w:val="批注文字 字符2"/>
    <w:basedOn w:val="25"/>
    <w:link w:val="6"/>
    <w:autoRedefine/>
    <w:qFormat/>
    <w:uiPriority w:val="0"/>
    <w:rPr>
      <w:kern w:val="2"/>
      <w:sz w:val="21"/>
      <w:szCs w:val="24"/>
    </w:rPr>
  </w:style>
  <w:style w:type="character" w:customStyle="1" w:styleId="87">
    <w:name w:val="普通(网站) 字符1"/>
    <w:basedOn w:val="25"/>
    <w:link w:val="18"/>
    <w:autoRedefine/>
    <w:qFormat/>
    <w:uiPriority w:val="0"/>
    <w:rPr>
      <w:rFonts w:hint="eastAsia" w:ascii="宋体" w:hAnsi="宋体" w:eastAsia="宋体" w:cs="宋体"/>
      <w:sz w:val="24"/>
      <w:szCs w:val="24"/>
    </w:rPr>
  </w:style>
  <w:style w:type="character" w:customStyle="1" w:styleId="88">
    <w:name w:val="正文文本缩进 字符1"/>
    <w:basedOn w:val="25"/>
    <w:link w:val="8"/>
    <w:autoRedefine/>
    <w:qFormat/>
    <w:uiPriority w:val="0"/>
    <w:rPr>
      <w:kern w:val="2"/>
      <w:sz w:val="21"/>
      <w:szCs w:val="22"/>
    </w:rPr>
  </w:style>
  <w:style w:type="paragraph" w:customStyle="1" w:styleId="89">
    <w:name w:val="正文文本首行缩进 21"/>
    <w:basedOn w:val="8"/>
    <w:autoRedefine/>
    <w:qFormat/>
    <w:uiPriority w:val="0"/>
    <w:pPr>
      <w:ind w:firstLine="420" w:firstLineChars="200"/>
    </w:pPr>
    <w:rPr>
      <w:rFonts w:ascii="Times New Roman" w:hAnsi="Times New Roman" w:eastAsia="宋体" w:cs="Times New Roman"/>
      <w:kern w:val="0"/>
      <w:sz w:val="20"/>
      <w:szCs w:val="20"/>
    </w:rPr>
  </w:style>
  <w:style w:type="paragraph" w:customStyle="1" w:styleId="90">
    <w:name w:val="_Style 5"/>
    <w:basedOn w:val="1"/>
    <w:next w:val="1"/>
    <w:autoRedefine/>
    <w:qFormat/>
    <w:uiPriority w:val="0"/>
    <w:pPr>
      <w:ind w:firstLine="420" w:firstLineChars="200"/>
    </w:pPr>
    <w:rPr>
      <w:rFonts w:ascii="Times New Roman" w:hAnsi="Times New Roman" w:eastAsia="宋体" w:cs="Times New Roman"/>
    </w:rPr>
  </w:style>
  <w:style w:type="character" w:customStyle="1" w:styleId="91">
    <w:name w:val="正文文本 字符1"/>
    <w:basedOn w:val="25"/>
    <w:link w:val="7"/>
    <w:autoRedefine/>
    <w:qFormat/>
    <w:uiPriority w:val="0"/>
    <w:rPr>
      <w:rFonts w:hint="default" w:ascii="Calibri" w:hAnsi="Calibri" w:eastAsia="宋体" w:cs="Times New Roman"/>
      <w:kern w:val="2"/>
      <w:sz w:val="21"/>
      <w:szCs w:val="22"/>
    </w:rPr>
  </w:style>
  <w:style w:type="paragraph" w:customStyle="1" w:styleId="92">
    <w:name w:val="列表段落1"/>
    <w:basedOn w:val="1"/>
    <w:autoRedefine/>
    <w:qFormat/>
    <w:uiPriority w:val="0"/>
    <w:pPr>
      <w:ind w:firstLine="420" w:firstLineChars="200"/>
    </w:pPr>
    <w:rPr>
      <w:rFonts w:hint="eastAsia" w:ascii="等线" w:hAnsi="等线" w:eastAsia="等线" w:cs="Times New Roman"/>
    </w:rPr>
  </w:style>
  <w:style w:type="character" w:customStyle="1" w:styleId="93">
    <w:name w:val="正文文本缩进 3 字符"/>
    <w:basedOn w:val="25"/>
    <w:link w:val="16"/>
    <w:autoRedefine/>
    <w:qFormat/>
    <w:uiPriority w:val="0"/>
    <w:rPr>
      <w:rFonts w:hint="eastAsia" w:ascii="等线" w:hAnsi="等线" w:eastAsia="等线" w:cs="等线"/>
      <w:kern w:val="2"/>
      <w:sz w:val="16"/>
      <w:szCs w:val="16"/>
    </w:rPr>
  </w:style>
  <w:style w:type="character" w:customStyle="1" w:styleId="94">
    <w:name w:val="正文文本首行缩进 字符1"/>
    <w:link w:val="21"/>
    <w:autoRedefine/>
    <w:qFormat/>
    <w:uiPriority w:val="0"/>
    <w:rPr>
      <w:rFonts w:hint="default" w:ascii="Calibri" w:hAnsi="Calibri" w:eastAsia="楷体_GB2312" w:cs="Calibri"/>
      <w:kern w:val="2"/>
      <w:sz w:val="32"/>
      <w:szCs w:val="22"/>
    </w:rPr>
  </w:style>
  <w:style w:type="character" w:customStyle="1" w:styleId="95">
    <w:name w:val="表格文字 Char"/>
    <w:basedOn w:val="25"/>
    <w:link w:val="96"/>
    <w:autoRedefine/>
    <w:qFormat/>
    <w:uiPriority w:val="0"/>
    <w:rPr>
      <w:bCs/>
      <w:spacing w:val="10"/>
      <w:sz w:val="24"/>
    </w:rPr>
  </w:style>
  <w:style w:type="paragraph" w:customStyle="1" w:styleId="96">
    <w:name w:val="表格文字"/>
    <w:basedOn w:val="1"/>
    <w:link w:val="95"/>
    <w:autoRedefine/>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7">
    <w:name w:val="_Style 3"/>
    <w:basedOn w:val="1"/>
    <w:autoRedefine/>
    <w:qFormat/>
    <w:uiPriority w:val="0"/>
    <w:rPr>
      <w:rFonts w:ascii="Times New Roman" w:hAnsi="Times New Roman" w:eastAsia="宋体" w:cs="Times New Roman"/>
    </w:rPr>
  </w:style>
  <w:style w:type="paragraph" w:customStyle="1" w:styleId="98">
    <w:name w:val="列表段落3"/>
    <w:basedOn w:val="1"/>
    <w:autoRedefine/>
    <w:qFormat/>
    <w:uiPriority w:val="0"/>
    <w:pPr>
      <w:ind w:firstLine="420" w:firstLineChars="200"/>
    </w:pPr>
    <w:rPr>
      <w:rFonts w:ascii="Calibri" w:hAnsi="Calibri" w:eastAsia="宋体" w:cs="Times New Roman"/>
    </w:rPr>
  </w:style>
  <w:style w:type="character" w:customStyle="1" w:styleId="99">
    <w:name w:val="15"/>
    <w:basedOn w:val="25"/>
    <w:autoRedefine/>
    <w:qFormat/>
    <w:uiPriority w:val="0"/>
    <w:rPr>
      <w:rFonts w:hint="default" w:ascii="Times New Roman" w:hAnsi="Times New Roman" w:cs="Times New Roman"/>
      <w:b/>
      <w:bCs/>
    </w:rPr>
  </w:style>
  <w:style w:type="character" w:customStyle="1" w:styleId="100">
    <w:name w:val="正文首行缩进 2 Char1"/>
    <w:basedOn w:val="25"/>
    <w:autoRedefine/>
    <w:qFormat/>
    <w:uiPriority w:val="0"/>
  </w:style>
  <w:style w:type="character" w:customStyle="1" w:styleId="101">
    <w:name w:val="页眉 字符2"/>
    <w:basedOn w:val="25"/>
    <w:link w:val="13"/>
    <w:autoRedefine/>
    <w:qFormat/>
    <w:uiPriority w:val="0"/>
    <w:rPr>
      <w:sz w:val="18"/>
      <w:szCs w:val="18"/>
    </w:rPr>
  </w:style>
  <w:style w:type="character" w:customStyle="1" w:styleId="102">
    <w:name w:val="页眉 Char1"/>
    <w:autoRedefine/>
    <w:qFormat/>
    <w:uiPriority w:val="99"/>
    <w:rPr>
      <w:sz w:val="18"/>
      <w:szCs w:val="18"/>
      <w:lang w:val="zh-CN" w:eastAsia="zh-CN"/>
    </w:rPr>
  </w:style>
  <w:style w:type="character" w:customStyle="1" w:styleId="103">
    <w:name w:val="标题 2 Char"/>
    <w:basedOn w:val="25"/>
    <w:autoRedefine/>
    <w:qFormat/>
    <w:uiPriority w:val="0"/>
    <w:rPr>
      <w:rFonts w:ascii="Arial" w:hAnsi="Arial" w:eastAsia="黑体" w:cs="Times New Roman"/>
      <w:b/>
      <w:bCs/>
      <w:sz w:val="32"/>
      <w:szCs w:val="32"/>
    </w:rPr>
  </w:style>
  <w:style w:type="character" w:customStyle="1" w:styleId="104">
    <w:name w:val="列出段落 Char3"/>
    <w:basedOn w:val="25"/>
    <w:autoRedefine/>
    <w:qFormat/>
    <w:uiPriority w:val="0"/>
    <w:rPr>
      <w:rFonts w:hint="default" w:ascii="Calibri" w:hAnsi="Calibri" w:eastAsia="宋体" w:cs="Times New Roman"/>
      <w:kern w:val="2"/>
      <w:sz w:val="21"/>
      <w:szCs w:val="22"/>
    </w:rPr>
  </w:style>
  <w:style w:type="character" w:customStyle="1" w:styleId="105">
    <w:name w:val="列出段落 Char4"/>
    <w:basedOn w:val="25"/>
    <w:autoRedefine/>
    <w:qFormat/>
    <w:uiPriority w:val="0"/>
    <w:rPr>
      <w:rFonts w:hint="default"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19</Pages>
  <Words>10510</Words>
  <Characters>11758</Characters>
  <Lines>1</Lines>
  <Paragraphs>1</Paragraphs>
  <TotalTime>5</TotalTime>
  <ScaleCrop>false</ScaleCrop>
  <LinksUpToDate>false</LinksUpToDate>
  <CharactersWithSpaces>11929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代理机构</cp:lastModifiedBy>
  <cp:lastPrinted>2018-10-16T04:01:00Z</cp:lastPrinted>
  <dcterms:modified xsi:type="dcterms:W3CDTF">2024-05-28T03:04:50Z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66E31D6EDE08442183227A31E3798AAC_13</vt:lpwstr>
  </property>
</Properties>
</file>