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ascii="宋体" w:hAnsi="宋体" w:eastAsia="宋体" w:cs="宋体"/>
          <w:b/>
          <w:color w:val="000000" w:themeColor="text1"/>
          <w:sz w:val="84"/>
          <w:szCs w:val="84"/>
          <w14:textFill>
            <w14:solidFill>
              <w14:schemeClr w14:val="tx1"/>
            </w14:solidFill>
          </w14:textFill>
        </w:rPr>
      </w:pPr>
    </w:p>
    <w:p>
      <w:pPr>
        <w:snapToGrid w:val="0"/>
        <w:spacing w:before="156" w:beforeLines="50"/>
        <w:jc w:val="center"/>
        <w:rPr>
          <w:rFonts w:ascii="宋体" w:hAnsi="宋体" w:eastAsia="宋体" w:cs="宋体"/>
          <w:b/>
          <w:color w:val="000000" w:themeColor="text1"/>
          <w:sz w:val="84"/>
          <w:szCs w:val="84"/>
          <w14:textFill>
            <w14:solidFill>
              <w14:schemeClr w14:val="tx1"/>
            </w14:solidFill>
          </w14:textFill>
        </w:rPr>
      </w:pPr>
    </w:p>
    <w:p>
      <w:pPr>
        <w:snapToGrid w:val="0"/>
        <w:spacing w:before="156" w:beforeLines="50"/>
        <w:jc w:val="center"/>
        <w:rPr>
          <w:rFonts w:ascii="宋体" w:hAnsi="宋体" w:eastAsia="宋体" w:cs="宋体"/>
          <w:b/>
          <w:bCs/>
          <w:color w:val="000000" w:themeColor="text1"/>
          <w:sz w:val="84"/>
          <w:szCs w:val="84"/>
          <w14:textFill>
            <w14:solidFill>
              <w14:schemeClr w14:val="tx1"/>
            </w14:solidFill>
          </w14:textFill>
        </w:rPr>
      </w:pPr>
      <w:r>
        <w:rPr>
          <w:rFonts w:hint="eastAsia" w:ascii="宋体" w:hAnsi="宋体" w:eastAsia="宋体" w:cs="宋体"/>
          <w:b/>
          <w:color w:val="000000" w:themeColor="text1"/>
          <w:sz w:val="84"/>
          <w:szCs w:val="84"/>
          <w14:textFill>
            <w14:solidFill>
              <w14:schemeClr w14:val="tx1"/>
            </w14:solidFill>
          </w14:textFill>
        </w:rPr>
        <w:t>竞价文件</w:t>
      </w:r>
    </w:p>
    <w:p>
      <w:pPr>
        <w:spacing w:line="360" w:lineRule="auto"/>
        <w:jc w:val="center"/>
        <w:rPr>
          <w:rFonts w:ascii="宋体" w:hAnsi="宋体" w:eastAsia="宋体" w:cs="宋体"/>
          <w:b/>
          <w:bCs/>
          <w:color w:val="000000" w:themeColor="text1"/>
          <w:sz w:val="24"/>
          <w:szCs w:val="24"/>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jc w:val="left"/>
        <w:rPr>
          <w:rFonts w:ascii="宋体" w:hAnsi="宋体" w:eastAsia="宋体" w:cs="宋体"/>
          <w:b/>
          <w:bCs/>
          <w:color w:val="000000" w:themeColor="text1"/>
          <w:sz w:val="28"/>
          <w:szCs w:val="32"/>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采购方式：线上竞价</w:t>
      </w:r>
    </w:p>
    <w:p>
      <w:pPr>
        <w:spacing w:line="360" w:lineRule="auto"/>
        <w:jc w:val="left"/>
        <w:rPr>
          <w:rFonts w:ascii="宋体" w:hAnsi="宋体" w:eastAsia="宋体" w:cs="宋体"/>
          <w:b/>
          <w:bCs/>
          <w:color w:val="000000" w:themeColor="text1"/>
          <w:sz w:val="28"/>
          <w:szCs w:val="32"/>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项目名称：</w:t>
      </w:r>
      <w:r>
        <w:rPr>
          <w:rFonts w:hint="eastAsia" w:ascii="宋体" w:hAnsi="宋体" w:eastAsia="宋体" w:cs="宋体"/>
          <w:b/>
          <w:bCs/>
          <w:color w:val="000000" w:themeColor="text1"/>
          <w:sz w:val="28"/>
          <w:szCs w:val="32"/>
          <w:u w:val="single"/>
          <w14:textFill>
            <w14:solidFill>
              <w14:schemeClr w14:val="tx1"/>
            </w14:solidFill>
          </w14:textFill>
        </w:rPr>
        <w:t>20240625德庆县疾控中心试剂及标准物质耗材采购</w:t>
      </w:r>
    </w:p>
    <w:p>
      <w:pPr>
        <w:snapToGrid w:val="0"/>
        <w:spacing w:before="156" w:beforeLines="50" w:after="156" w:afterLines="50" w:line="360" w:lineRule="auto"/>
        <w:jc w:val="center"/>
        <w:rPr>
          <w:rFonts w:ascii="宋体" w:hAnsi="宋体" w:eastAsia="宋体" w:cs="宋体"/>
          <w:color w:val="000000" w:themeColor="text1"/>
          <w:sz w:val="30"/>
          <w:szCs w:val="30"/>
          <w14:textFill>
            <w14:solidFill>
              <w14:schemeClr w14:val="tx1"/>
            </w14:solidFill>
          </w14:textFill>
        </w:rPr>
      </w:pPr>
    </w:p>
    <w:p>
      <w:pPr>
        <w:autoSpaceDE w:val="0"/>
        <w:autoSpaceDN w:val="0"/>
        <w:adjustRightInd w:val="0"/>
        <w:snapToGrid w:val="0"/>
        <w:spacing w:before="156" w:beforeLines="50" w:after="156" w:afterLines="50" w:line="360" w:lineRule="auto"/>
        <w:jc w:val="center"/>
        <w:rPr>
          <w:rFonts w:ascii="宋体" w:hAnsi="宋体" w:eastAsia="宋体" w:cs="宋体"/>
          <w:color w:val="000000" w:themeColor="text1"/>
          <w:kern w:val="0"/>
          <w:sz w:val="30"/>
          <w:szCs w:val="30"/>
          <w14:textFill>
            <w14:solidFill>
              <w14:schemeClr w14:val="tx1"/>
            </w14:solidFill>
          </w14:textFill>
        </w:rPr>
      </w:pPr>
    </w:p>
    <w:p>
      <w:pPr>
        <w:autoSpaceDE w:val="0"/>
        <w:autoSpaceDN w:val="0"/>
        <w:adjustRightInd w:val="0"/>
        <w:snapToGrid w:val="0"/>
        <w:spacing w:before="156" w:beforeLines="50" w:after="156" w:afterLines="50" w:line="360" w:lineRule="auto"/>
        <w:jc w:val="left"/>
        <w:rPr>
          <w:rFonts w:ascii="宋体" w:hAnsi="宋体" w:eastAsia="宋体" w:cs="宋体"/>
          <w:color w:val="000000" w:themeColor="text1"/>
          <w:kern w:val="0"/>
          <w:sz w:val="30"/>
          <w:szCs w:val="30"/>
          <w14:textFill>
            <w14:solidFill>
              <w14:schemeClr w14:val="tx1"/>
            </w14:solidFill>
          </w14:textFill>
        </w:rPr>
      </w:pPr>
    </w:p>
    <w:p>
      <w:pPr>
        <w:autoSpaceDE w:val="0"/>
        <w:autoSpaceDN w:val="0"/>
        <w:adjustRightInd w:val="0"/>
        <w:snapToGrid w:val="0"/>
        <w:spacing w:line="360" w:lineRule="auto"/>
        <w:ind w:left="420" w:firstLine="420"/>
        <w:jc w:val="center"/>
        <w:rPr>
          <w:rFonts w:ascii="宋体" w:hAnsi="宋体" w:eastAsia="宋体" w:cs="宋体"/>
          <w:b/>
          <w:bCs/>
          <w:color w:val="000000" w:themeColor="text1"/>
          <w:sz w:val="28"/>
          <w:szCs w:val="32"/>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德庆县疾病预防控制中心（德庆县卫生检验中心）</w:t>
      </w:r>
    </w:p>
    <w:p>
      <w:pPr>
        <w:autoSpaceDE w:val="0"/>
        <w:autoSpaceDN w:val="0"/>
        <w:adjustRightInd w:val="0"/>
        <w:snapToGrid w:val="0"/>
        <w:spacing w:line="360" w:lineRule="auto"/>
        <w:ind w:left="420" w:firstLine="420"/>
        <w:jc w:val="center"/>
        <w:rPr>
          <w:rFonts w:ascii="宋体" w:hAnsi="宋体" w:eastAsia="宋体" w:cs="宋体"/>
          <w:b/>
          <w:color w:val="000000" w:themeColor="text1"/>
          <w:sz w:val="28"/>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云采链（广州）信息科技有限公司</w:t>
      </w:r>
    </w:p>
    <w:p>
      <w:pPr>
        <w:autoSpaceDE w:val="0"/>
        <w:autoSpaceDN w:val="0"/>
        <w:adjustRightInd w:val="0"/>
        <w:snapToGrid w:val="0"/>
        <w:spacing w:line="360" w:lineRule="auto"/>
        <w:ind w:left="420" w:firstLine="420"/>
        <w:jc w:val="center"/>
        <w:rPr>
          <w:rFonts w:ascii="宋体" w:hAnsi="宋体" w:eastAsia="宋体" w:cs="宋体"/>
          <w:b/>
          <w:color w:val="000000" w:themeColor="text1"/>
          <w:sz w:val="28"/>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二〇二四年六月</w:t>
      </w:r>
    </w:p>
    <w:p>
      <w:pPr>
        <w:widowControl/>
        <w:jc w:val="left"/>
        <w:rPr>
          <w:rFonts w:ascii="宋体" w:hAnsi="宋体" w:eastAsia="宋体" w:cs="宋体"/>
          <w:color w:val="000000" w:themeColor="text1"/>
          <w:sz w:val="28"/>
          <w14:textFill>
            <w14:solidFill>
              <w14:schemeClr w14:val="tx1"/>
            </w14:solidFill>
          </w14:textFill>
        </w:rPr>
      </w:pPr>
      <w:r>
        <w:rPr>
          <w:rFonts w:ascii="宋体" w:hAnsi="宋体" w:eastAsia="宋体" w:cs="宋体"/>
          <w:color w:val="000000" w:themeColor="text1"/>
          <w:sz w:val="28"/>
          <w14:textFill>
            <w14:solidFill>
              <w14:schemeClr w14:val="tx1"/>
            </w14:solidFill>
          </w14:textFill>
        </w:rPr>
        <w:br w:type="page"/>
      </w:r>
    </w:p>
    <w:p>
      <w:pPr>
        <w:pStyle w:val="19"/>
        <w:spacing w:before="0" w:after="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第一章 竞价须知</w:t>
      </w:r>
    </w:p>
    <w:p>
      <w:pPr>
        <w:pStyle w:val="30"/>
        <w:numPr>
          <w:ilvl w:val="0"/>
          <w:numId w:val="2"/>
        </w:numPr>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本项目通过云采链线上采购一体化平台（www.choicelink.cn）进行竞价，参与竞价的供应商必须登录平台进行注册，注册成功后方可参与项目竞价。</w:t>
      </w:r>
    </w:p>
    <w:p>
      <w:pPr>
        <w:pStyle w:val="30"/>
        <w:numPr>
          <w:ilvl w:val="0"/>
          <w:numId w:val="2"/>
        </w:numPr>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语言要求</w:t>
      </w:r>
    </w:p>
    <w:p>
      <w:pPr>
        <w:spacing w:line="360" w:lineRule="auto"/>
        <w:ind w:left="420" w:left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pPr>
        <w:pStyle w:val="30"/>
        <w:numPr>
          <w:ilvl w:val="0"/>
          <w:numId w:val="2"/>
        </w:numPr>
        <w:spacing w:line="360" w:lineRule="auto"/>
        <w:ind w:firstLineChars="0"/>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在云采链平台参与项目竞价后放弃成交资格超过三次（含三次）的供应商连同该供应商同一法人名下所有公司将被列入平台黑名单，永久不得参与平台的项目竞价。</w:t>
      </w:r>
    </w:p>
    <w:p>
      <w:pPr>
        <w:pStyle w:val="30"/>
        <w:numPr>
          <w:ilvl w:val="0"/>
          <w:numId w:val="2"/>
        </w:numPr>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竞价须知</w:t>
      </w:r>
    </w:p>
    <w:p>
      <w:pPr>
        <w:pStyle w:val="30"/>
        <w:numPr>
          <w:ilvl w:val="0"/>
          <w:numId w:val="3"/>
        </w:numPr>
        <w:spacing w:line="360" w:lineRule="auto"/>
        <w:ind w:left="420" w:hanging="420" w:firstLineChars="0"/>
        <w:rPr>
          <w:rFonts w:ascii="宋体" w:hAnsi="宋体" w:eastAsia="宋体" w:cs="宋体"/>
          <w:b/>
          <w:color w:val="000000" w:themeColor="text1"/>
          <w14:textFill>
            <w14:solidFill>
              <w14:schemeClr w14:val="tx1"/>
            </w14:solidFill>
          </w14:textFill>
        </w:rPr>
      </w:pPr>
      <w:r>
        <w:rPr>
          <w:rStyle w:val="26"/>
          <w:rFonts w:hint="eastAsia" w:ascii="宋体" w:hAnsi="宋体" w:eastAsia="宋体" w:cs="宋体"/>
          <w:bCs w:val="0"/>
          <w:color w:val="000000" w:themeColor="text1"/>
          <w14:textFill>
            <w14:solidFill>
              <w14:schemeClr w14:val="tx1"/>
            </w14:solidFill>
          </w14:textFill>
        </w:rPr>
        <w:t>竞价说明</w:t>
      </w:r>
    </w:p>
    <w:p>
      <w:pPr>
        <w:pStyle w:val="30"/>
        <w:numPr>
          <w:ilvl w:val="0"/>
          <w:numId w:val="4"/>
        </w:numPr>
        <w:tabs>
          <w:tab w:val="left" w:pos="851"/>
        </w:tabs>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参与竞价的供应商应承担所有与准备和参加竞价有关的费用，不</w:t>
      </w:r>
      <w:r>
        <w:rPr>
          <w:rFonts w:hint="eastAsia" w:ascii="宋体" w:hAnsi="宋体" w:eastAsia="宋体" w:cs="宋体"/>
          <w:color w:val="000000" w:themeColor="text1"/>
          <w:szCs w:val="21"/>
          <w:lang w:eastAsia="zh-TW"/>
          <w14:textFill>
            <w14:solidFill>
              <w14:schemeClr w14:val="tx1"/>
            </w14:solidFill>
          </w14:textFill>
        </w:rPr>
        <w:t>论</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的结果如何</w:t>
      </w:r>
      <w:r>
        <w:rPr>
          <w:rFonts w:hint="eastAsia" w:ascii="宋体" w:hAnsi="宋体" w:eastAsia="宋体" w:cs="宋体"/>
          <w:color w:val="000000" w:themeColor="text1"/>
          <w:szCs w:val="21"/>
          <w14:textFill>
            <w14:solidFill>
              <w14:schemeClr w14:val="tx1"/>
            </w14:solidFill>
          </w14:textFill>
        </w:rPr>
        <w:t>，采购</w:t>
      </w:r>
      <w:r>
        <w:rPr>
          <w:rFonts w:hint="eastAsia" w:ascii="宋体" w:hAnsi="宋体" w:eastAsia="宋体" w:cs="宋体"/>
          <w:color w:val="000000" w:themeColor="text1"/>
          <w:szCs w:val="21"/>
          <w:lang w:eastAsia="zh-TW"/>
          <w14:textFill>
            <w14:solidFill>
              <w14:schemeClr w14:val="tx1"/>
            </w14:solidFill>
          </w14:textFill>
        </w:rPr>
        <w:t>人</w:t>
      </w:r>
      <w:r>
        <w:rPr>
          <w:rFonts w:hint="eastAsia" w:ascii="宋体" w:hAnsi="宋体" w:eastAsia="宋体" w:cs="宋体"/>
          <w:color w:val="000000" w:themeColor="text1"/>
          <w:szCs w:val="21"/>
          <w14:textFill>
            <w14:solidFill>
              <w14:schemeClr w14:val="tx1"/>
            </w14:solidFill>
          </w14:textFill>
        </w:rPr>
        <w:t>和</w:t>
      </w:r>
      <w:r>
        <w:rPr>
          <w:rFonts w:hint="eastAsia" w:ascii="宋体" w:hAnsi="宋体" w:eastAsia="宋体" w:cs="宋体"/>
          <w:color w:val="000000" w:themeColor="text1"/>
          <w:szCs w:val="21"/>
          <w:lang w:eastAsia="zh-TW"/>
          <w14:textFill>
            <w14:solidFill>
              <w14:schemeClr w14:val="tx1"/>
            </w14:solidFill>
          </w14:textFill>
        </w:rPr>
        <w:t>代理机构均无义务和责任承担这些费用</w:t>
      </w:r>
      <w:r>
        <w:rPr>
          <w:rFonts w:hint="eastAsia" w:ascii="宋体" w:hAnsi="宋体" w:eastAsia="宋体" w:cs="宋体"/>
          <w:color w:val="000000" w:themeColor="text1"/>
          <w:szCs w:val="21"/>
          <w14:textFill>
            <w14:solidFill>
              <w14:schemeClr w14:val="tx1"/>
            </w14:solidFill>
          </w14:textFill>
        </w:rPr>
        <w:t>。</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供应商必须按竞价附件的格式填写，不得随意增加或删除表格内容。除单价、金额或项目要求填写的内容外，不得擅自改动竞价附件内容，否则将有可能影响成交结果，不推荐为成交候选人。</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szCs w:val="21"/>
          <w:lang w:val="zh-CN"/>
          <w14:textFill>
            <w14:solidFill>
              <w14:schemeClr w14:val="tx1"/>
            </w14:solidFill>
          </w14:textFill>
        </w:rPr>
        <w:t>供应商需对用户需求书的所有条款进行整体响应，用户需求书条款若有一条负偏离或不响应，</w:t>
      </w:r>
      <w:r>
        <w:rPr>
          <w:rFonts w:hint="eastAsia" w:ascii="宋体" w:hAnsi="宋体" w:eastAsia="宋体" w:cs="宋体"/>
          <w:bCs/>
          <w:color w:val="000000" w:themeColor="text1"/>
          <w:szCs w:val="21"/>
          <w14:textFill>
            <w14:solidFill>
              <w14:schemeClr w14:val="tx1"/>
            </w14:solidFill>
          </w14:textFill>
        </w:rPr>
        <w:t>不推荐为成交候选人</w:t>
      </w:r>
      <w:r>
        <w:rPr>
          <w:rFonts w:hint="eastAsia" w:ascii="宋体" w:hAnsi="宋体" w:eastAsia="宋体" w:cs="宋体"/>
          <w:color w:val="000000" w:themeColor="text1"/>
          <w:szCs w:val="21"/>
          <w:lang w:val="zh-CN"/>
          <w14:textFill>
            <w14:solidFill>
              <w14:schemeClr w14:val="tx1"/>
            </w14:solidFill>
          </w14:textFill>
        </w:rPr>
        <w:t>。</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若成交供应商自身原因无法完成本项目，则采购人有权利保留追究责任。</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成交供应商因自身原因被取消成交资格，采购人可重新启动采购或按竞价公告规定顺延推选符合要求的供应商作为成交供应商。</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若本项目竞价采购失败，采购人将重新采购，届时采购人有权根据项目具体情况，决定重新采购项目的采购方式。</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成交供应商若无正当理由恶意放弃成交资格，采购人有权将拒绝其参加本项目重新组织的竞价采购活动。</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如采购人或代理机构在审核或复核</w:t>
      </w: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14:textFill>
            <w14:solidFill>
              <w14:schemeClr w14:val="tx1"/>
            </w14:solidFill>
          </w14:textFill>
        </w:rPr>
        <w:t>供应商所提交的竞价资料时，供应商须无条件配合；期间若发现存在弄虚作假或相关的失信记录或违反国家法律法规等相关的不良情形，采购人可取消其成交资格并保留追究责任的权力。</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szCs w:val="21"/>
          <w:lang w:eastAsia="zh-TW"/>
          <w14:textFill>
            <w14:solidFill>
              <w14:schemeClr w14:val="tx1"/>
            </w14:solidFill>
          </w14:textFill>
        </w:rPr>
        <w:t>供应商向我司咨询的有关项目事项，一切以</w:t>
      </w:r>
      <w:r>
        <w:rPr>
          <w:rFonts w:hint="eastAsia" w:ascii="宋体" w:hAnsi="宋体" w:eastAsia="宋体" w:cs="宋体"/>
          <w:color w:val="000000" w:themeColor="text1"/>
          <w:szCs w:val="21"/>
          <w14:textFill>
            <w14:solidFill>
              <w14:schemeClr w14:val="tx1"/>
            </w14:solidFill>
          </w14:textFill>
        </w:rPr>
        <w:t>竞价文件</w:t>
      </w:r>
      <w:r>
        <w:rPr>
          <w:rFonts w:hint="eastAsia" w:ascii="宋体" w:hAnsi="宋体" w:eastAsia="宋体" w:cs="宋体"/>
          <w:color w:val="000000" w:themeColor="text1"/>
          <w:szCs w:val="21"/>
          <w:lang w:eastAsia="zh-TW"/>
          <w14:textFill>
            <w14:solidFill>
              <w14:schemeClr w14:val="tx1"/>
            </w14:solidFill>
          </w14:textFill>
        </w:rPr>
        <w:t>规定</w:t>
      </w:r>
      <w:r>
        <w:rPr>
          <w:rFonts w:hint="eastAsia" w:ascii="宋体" w:hAnsi="宋体" w:eastAsia="宋体" w:cs="宋体"/>
          <w:color w:val="000000" w:themeColor="text1"/>
          <w:szCs w:val="21"/>
          <w14:textFill>
            <w14:solidFill>
              <w14:schemeClr w14:val="tx1"/>
            </w14:solidFill>
          </w14:textFill>
        </w:rPr>
        <w:t>和竞价公告规定以及</w:t>
      </w:r>
      <w:r>
        <w:rPr>
          <w:rFonts w:hint="eastAsia" w:ascii="宋体" w:hAnsi="宋体" w:eastAsia="宋体" w:cs="宋体"/>
          <w:color w:val="000000" w:themeColor="text1"/>
          <w:szCs w:val="21"/>
          <w:lang w:eastAsia="zh-TW"/>
          <w14:textFill>
            <w14:solidFill>
              <w14:schemeClr w14:val="tx1"/>
            </w14:solidFill>
          </w14:textFill>
        </w:rPr>
        <w:t>本公司</w:t>
      </w:r>
      <w:r>
        <w:rPr>
          <w:rFonts w:hint="eastAsia" w:ascii="宋体" w:hAnsi="宋体" w:eastAsia="宋体" w:cs="宋体"/>
          <w:color w:val="000000" w:themeColor="text1"/>
          <w:szCs w:val="21"/>
          <w14:textFill>
            <w14:solidFill>
              <w14:schemeClr w14:val="tx1"/>
            </w14:solidFill>
          </w14:textFill>
        </w:rPr>
        <w:t>的</w:t>
      </w:r>
      <w:r>
        <w:rPr>
          <w:rFonts w:hint="eastAsia" w:ascii="宋体" w:hAnsi="宋体" w:eastAsia="宋体" w:cs="宋体"/>
          <w:color w:val="000000" w:themeColor="text1"/>
          <w:szCs w:val="21"/>
          <w:lang w:eastAsia="zh-TW"/>
          <w14:textFill>
            <w14:solidFill>
              <w14:schemeClr w14:val="tx1"/>
            </w14:solidFill>
          </w14:textFill>
        </w:rPr>
        <w:t>书面答复为准，其他一切形式均为个人意见，不代表本公司的意见</w:t>
      </w:r>
      <w:r>
        <w:rPr>
          <w:rFonts w:hint="eastAsia" w:ascii="宋体" w:hAnsi="宋体" w:eastAsia="宋体" w:cs="宋体"/>
          <w:color w:val="000000" w:themeColor="text1"/>
          <w:szCs w:val="21"/>
          <w14:textFill>
            <w14:solidFill>
              <w14:schemeClr w14:val="tx1"/>
            </w14:solidFill>
          </w14:textFill>
        </w:rPr>
        <w:t>。</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参与竞价的供应商应认真阅读</w:t>
      </w:r>
      <w:r>
        <w:rPr>
          <w:rFonts w:hint="eastAsia" w:ascii="宋体" w:hAnsi="宋体" w:eastAsia="宋体" w:cs="宋体"/>
          <w:color w:val="000000" w:themeColor="text1"/>
          <w:szCs w:val="21"/>
          <w:lang w:eastAsia="zh-TW"/>
          <w14:textFill>
            <w14:solidFill>
              <w14:schemeClr w14:val="tx1"/>
            </w14:solidFill>
          </w14:textFill>
        </w:rPr>
        <w:t>、并充分理解</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文件的全部内容（包括所有的补充、修改内容重要事项、格式、条款</w:t>
      </w:r>
      <w:r>
        <w:rPr>
          <w:rFonts w:hint="eastAsia" w:ascii="宋体" w:hAnsi="宋体" w:eastAsia="宋体" w:cs="宋体"/>
          <w:color w:val="000000" w:themeColor="text1"/>
          <w:szCs w:val="21"/>
          <w14:textFill>
            <w14:solidFill>
              <w14:schemeClr w14:val="tx1"/>
            </w14:solidFill>
          </w14:textFill>
        </w:rPr>
        <w:t>、服务要求</w:t>
      </w:r>
      <w:r>
        <w:rPr>
          <w:rFonts w:hint="eastAsia" w:ascii="宋体" w:hAnsi="宋体" w:eastAsia="宋体" w:cs="宋体"/>
          <w:color w:val="000000" w:themeColor="text1"/>
          <w:szCs w:val="21"/>
          <w:lang w:eastAsia="zh-TW"/>
          <w14:textFill>
            <w14:solidFill>
              <w14:schemeClr w14:val="tx1"/>
            </w14:solidFill>
          </w14:textFill>
        </w:rPr>
        <w:t>和技术规范、参数及要求等）。</w:t>
      </w:r>
      <w:r>
        <w:rPr>
          <w:rFonts w:hint="eastAsia" w:ascii="宋体" w:hAnsi="宋体" w:eastAsia="宋体" w:cs="宋体"/>
          <w:color w:val="000000" w:themeColor="text1"/>
          <w:szCs w:val="21"/>
          <w14:textFill>
            <w14:solidFill>
              <w14:schemeClr w14:val="tx1"/>
            </w14:solidFill>
          </w14:textFill>
        </w:rPr>
        <w:t>供应商</w:t>
      </w:r>
      <w:r>
        <w:rPr>
          <w:rFonts w:hint="eastAsia" w:ascii="宋体" w:hAnsi="宋体" w:eastAsia="宋体" w:cs="宋体"/>
          <w:color w:val="000000" w:themeColor="text1"/>
          <w:szCs w:val="21"/>
          <w:lang w:eastAsia="zh-TW"/>
          <w14:textFill>
            <w14:solidFill>
              <w14:schemeClr w14:val="tx1"/>
            </w14:solidFill>
          </w14:textFill>
        </w:rPr>
        <w:t>没有按照</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文件要求提交全部资料，或者</w:t>
      </w:r>
      <w:r>
        <w:rPr>
          <w:rFonts w:hint="eastAsia" w:ascii="宋体" w:hAnsi="宋体" w:eastAsia="宋体" w:cs="宋体"/>
          <w:color w:val="000000" w:themeColor="text1"/>
          <w:szCs w:val="21"/>
          <w14:textFill>
            <w14:solidFill>
              <w14:schemeClr w14:val="tx1"/>
            </w14:solidFill>
          </w14:textFill>
        </w:rPr>
        <w:t>参与竞价所上传的</w:t>
      </w:r>
      <w:r>
        <w:rPr>
          <w:rFonts w:hint="eastAsia" w:ascii="宋体" w:hAnsi="宋体" w:eastAsia="宋体" w:cs="宋体"/>
          <w:color w:val="000000" w:themeColor="text1"/>
          <w:szCs w:val="21"/>
          <w:lang w:eastAsia="zh-TW"/>
          <w14:textFill>
            <w14:solidFill>
              <w14:schemeClr w14:val="tx1"/>
            </w14:solidFill>
          </w14:textFill>
        </w:rPr>
        <w:t>文件没有对</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文件在各方面都作出实质性响应是</w:t>
      </w:r>
      <w:r>
        <w:rPr>
          <w:rFonts w:hint="eastAsia" w:ascii="宋体" w:hAnsi="宋体" w:eastAsia="宋体" w:cs="宋体"/>
          <w:color w:val="000000" w:themeColor="text1"/>
          <w:szCs w:val="21"/>
          <w14:textFill>
            <w14:solidFill>
              <w14:schemeClr w14:val="tx1"/>
            </w14:solidFill>
          </w14:textFill>
        </w:rPr>
        <w:t>供应商</w:t>
      </w:r>
      <w:r>
        <w:rPr>
          <w:rFonts w:hint="eastAsia" w:ascii="宋体" w:hAnsi="宋体" w:eastAsia="宋体" w:cs="宋体"/>
          <w:color w:val="000000" w:themeColor="text1"/>
          <w:szCs w:val="21"/>
          <w:lang w:eastAsia="zh-TW"/>
          <w14:textFill>
            <w14:solidFill>
              <w14:schemeClr w14:val="tx1"/>
            </w14:solidFill>
          </w14:textFill>
        </w:rPr>
        <w:t>的风险，有可能导致其</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被拒绝，</w:t>
      </w:r>
      <w:r>
        <w:rPr>
          <w:rFonts w:hint="eastAsia" w:ascii="宋体" w:hAnsi="宋体" w:eastAsia="宋体" w:cs="宋体"/>
          <w:color w:val="000000" w:themeColor="text1"/>
          <w:szCs w:val="21"/>
          <w14:textFill>
            <w14:solidFill>
              <w14:schemeClr w14:val="tx1"/>
            </w14:solidFill>
          </w14:textFill>
        </w:rPr>
        <w:t>或被认定为无效竞价。</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采购人有权拒绝接受任何不合格的货物或服务，由此产生的费用及相关后果均由成交供应商自行承担。</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供应商认为竞价结果损害其权益的，应按照云采链平台相关指引在规定的时间内向采购人或代理机构提交书面质疑，不提交的视为无异议，逾期提交将不予受理。</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本竞价公告和竞价文件的解释权归</w:t>
      </w:r>
      <w:r>
        <w:rPr>
          <w:rFonts w:hint="eastAsia" w:ascii="宋体" w:hAnsi="宋体" w:eastAsia="宋体" w:cs="宋体"/>
          <w:color w:val="000000" w:themeColor="text1"/>
          <w:szCs w:val="21"/>
          <w:lang w:eastAsia="zh-TW"/>
          <w14:textFill>
            <w14:solidFill>
              <w14:schemeClr w14:val="tx1"/>
            </w14:solidFill>
          </w14:textFill>
        </w:rPr>
        <w:t>“云采链</w:t>
      </w:r>
      <w:r>
        <w:rPr>
          <w:rFonts w:hint="eastAsia" w:ascii="宋体" w:hAnsi="宋体" w:eastAsia="宋体" w:cs="宋体"/>
          <w:color w:val="000000" w:themeColor="text1"/>
          <w14:textFill>
            <w14:solidFill>
              <w14:schemeClr w14:val="tx1"/>
            </w14:solidFill>
          </w14:textFill>
        </w:rPr>
        <w:t>线上采购一体化平台</w:t>
      </w:r>
      <w:r>
        <w:rPr>
          <w:rFonts w:hint="eastAsia" w:ascii="宋体" w:hAnsi="宋体" w:eastAsia="宋体" w:cs="宋体"/>
          <w:color w:val="000000" w:themeColor="text1"/>
          <w:szCs w:val="21"/>
          <w:lang w:eastAsia="zh-TW"/>
          <w14:textFill>
            <w14:solidFill>
              <w14:schemeClr w14:val="tx1"/>
            </w14:solidFill>
          </w14:textFill>
        </w:rPr>
        <w:t>”所有。</w:t>
      </w:r>
    </w:p>
    <w:p>
      <w:pPr>
        <w:pStyle w:val="30"/>
        <w:numPr>
          <w:ilvl w:val="0"/>
          <w:numId w:val="3"/>
        </w:numPr>
        <w:spacing w:line="360" w:lineRule="auto"/>
        <w:ind w:left="42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竞价文件的澄清或修改</w:t>
      </w:r>
    </w:p>
    <w:p>
      <w:pPr>
        <w:pStyle w:val="30"/>
        <w:numPr>
          <w:ilvl w:val="0"/>
          <w:numId w:val="5"/>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采购人或者采购代理机构可以对已发出的竞价文件进行必要的澄清或者修改。澄清或者修改的内容将在云采链平台上发布澄清（更正/变更）公告。</w:t>
      </w:r>
    </w:p>
    <w:p>
      <w:pPr>
        <w:pStyle w:val="30"/>
        <w:numPr>
          <w:ilvl w:val="0"/>
          <w:numId w:val="5"/>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无论澄清或者修改的内容是否影响竞价，平台将以短信形式通知所有的报名供应商；报名供应商应按要求履行相应的义务；</w:t>
      </w:r>
      <w:r>
        <w:rPr>
          <w:rFonts w:hint="eastAsia" w:ascii="宋体" w:hAnsi="宋体" w:eastAsia="宋体" w:cs="宋体"/>
          <w:color w:val="000000" w:themeColor="text1"/>
          <w:szCs w:val="21"/>
          <w14:textFill>
            <w14:solidFill>
              <w14:schemeClr w14:val="tx1"/>
            </w14:solidFill>
          </w14:textFill>
        </w:rPr>
        <w:t>如报名</w:t>
      </w:r>
      <w:r>
        <w:rPr>
          <w:rFonts w:hint="eastAsia" w:ascii="宋体" w:hAnsi="宋体" w:eastAsia="宋体" w:cs="宋体"/>
          <w:color w:val="000000" w:themeColor="text1"/>
          <w:szCs w:val="21"/>
          <w:lang w:eastAsia="zh-TW"/>
          <w14:textFill>
            <w14:solidFill>
              <w14:schemeClr w14:val="tx1"/>
            </w14:solidFill>
          </w14:textFill>
        </w:rPr>
        <w:t>截止时间</w:t>
      </w:r>
      <w:r>
        <w:rPr>
          <w:rFonts w:hint="eastAsia" w:ascii="宋体" w:hAnsi="宋体" w:eastAsia="宋体" w:cs="宋体"/>
          <w:color w:val="000000" w:themeColor="text1"/>
          <w:szCs w:val="21"/>
          <w14:textFill>
            <w14:solidFill>
              <w14:schemeClr w14:val="tx1"/>
            </w14:solidFill>
          </w14:textFill>
        </w:rPr>
        <w:t>少于一个工作日的，</w:t>
      </w:r>
      <w:r>
        <w:rPr>
          <w:rFonts w:hint="eastAsia" w:ascii="宋体" w:hAnsi="宋体" w:eastAsia="宋体" w:cs="宋体"/>
          <w:color w:val="000000" w:themeColor="text1"/>
          <w14:textFill>
            <w14:solidFill>
              <w14:schemeClr w14:val="tx1"/>
            </w14:solidFill>
          </w14:textFill>
        </w:rPr>
        <w:t>采购人或者采购代理机构应当相应顺延报名的截止时间。</w:t>
      </w:r>
    </w:p>
    <w:p>
      <w:pPr>
        <w:pStyle w:val="30"/>
        <w:numPr>
          <w:ilvl w:val="0"/>
          <w:numId w:val="5"/>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采购人或者采购代理机构发出的澄清或修改（更正/变更）的内容为竞价文件的组成部分，并对供应商具有约束力。</w:t>
      </w:r>
    </w:p>
    <w:p>
      <w:pPr>
        <w:pStyle w:val="30"/>
        <w:numPr>
          <w:ilvl w:val="0"/>
          <w:numId w:val="3"/>
        </w:numPr>
        <w:spacing w:line="360" w:lineRule="auto"/>
        <w:ind w:left="420" w:hanging="420" w:firstLineChars="0"/>
        <w:rPr>
          <w:rStyle w:val="26"/>
          <w:rFonts w:ascii="宋体" w:hAnsi="宋体"/>
          <w:bCs w:val="0"/>
        </w:rPr>
      </w:pPr>
      <w:r>
        <w:rPr>
          <w:rStyle w:val="26"/>
          <w:rFonts w:hint="eastAsia" w:ascii="宋体" w:hAnsi="宋体"/>
          <w:bCs w:val="0"/>
        </w:rPr>
        <w:t>包组一：报名要求（</w:t>
      </w:r>
      <w:r>
        <w:rPr>
          <w:rFonts w:hint="eastAsia" w:ascii="宋体" w:hAnsi="宋体"/>
          <w:szCs w:val="21"/>
        </w:rPr>
        <w:t>参与竞价的</w:t>
      </w:r>
      <w:r>
        <w:rPr>
          <w:rStyle w:val="26"/>
          <w:rFonts w:hint="eastAsia" w:ascii="宋体" w:hAnsi="宋体"/>
          <w:bCs w:val="0"/>
        </w:rPr>
        <w:t>供应商资质要求:</w:t>
      </w:r>
      <w:r>
        <w:rPr>
          <w:rStyle w:val="26"/>
          <w:rFonts w:hint="eastAsia" w:ascii="宋体" w:hAnsi="宋体"/>
          <w:b w:val="0"/>
          <w:szCs w:val="21"/>
        </w:rPr>
        <w:t xml:space="preserve"> 报名时需要提供以下</w:t>
      </w:r>
      <w:r>
        <w:rPr>
          <w:rStyle w:val="26"/>
          <w:rFonts w:hint="eastAsia" w:ascii="宋体" w:hAnsi="宋体"/>
          <w:szCs w:val="21"/>
          <w:u w:val="double"/>
        </w:rPr>
        <w:t>盖章</w:t>
      </w:r>
      <w:r>
        <w:rPr>
          <w:rStyle w:val="26"/>
          <w:rFonts w:hint="eastAsia" w:ascii="宋体" w:hAnsi="宋体"/>
          <w:b w:val="0"/>
          <w:szCs w:val="21"/>
        </w:rPr>
        <w:t>资料，</w:t>
      </w:r>
      <w:r>
        <w:rPr>
          <w:rFonts w:hint="eastAsia" w:ascii="宋体" w:hAnsi="宋体"/>
          <w:szCs w:val="21"/>
        </w:rPr>
        <w:t>并对上传的报名文件资料承担责任</w:t>
      </w:r>
      <w:r>
        <w:rPr>
          <w:rStyle w:val="26"/>
          <w:rFonts w:hint="eastAsia" w:ascii="宋体" w:hAnsi="宋体"/>
          <w:bCs w:val="0"/>
        </w:rPr>
        <w:t>）</w:t>
      </w:r>
    </w:p>
    <w:p>
      <w:pPr>
        <w:pStyle w:val="30"/>
        <w:widowControl/>
        <w:numPr>
          <w:ilvl w:val="0"/>
          <w:numId w:val="6"/>
        </w:numPr>
        <w:spacing w:line="360" w:lineRule="auto"/>
        <w:ind w:left="840" w:hanging="420" w:firstLineChars="0"/>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提供在中华人民共和国境内注册的法人或其他组织的营业执照或事业单位法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pPr>
        <w:pStyle w:val="30"/>
        <w:widowControl/>
        <w:numPr>
          <w:ilvl w:val="0"/>
          <w:numId w:val="6"/>
        </w:numPr>
        <w:spacing w:line="360" w:lineRule="auto"/>
        <w:ind w:left="840" w:hanging="420" w:firstLineChars="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供应商完全响应本项目用户需求的条款、内容及要求的，提供用户需求书响应声明函即可</w:t>
      </w:r>
      <w:r>
        <w:rPr>
          <w:rFonts w:hint="eastAsia" w:ascii="宋体" w:hAnsi="宋体" w:eastAsia="宋体" w:cs="宋体"/>
          <w:b/>
          <w:color w:val="000000" w:themeColor="text1"/>
          <w:kern w:val="0"/>
          <w:szCs w:val="21"/>
          <w:highlight w:val="none"/>
          <w14:textFill>
            <w14:solidFill>
              <w14:schemeClr w14:val="tx1"/>
            </w14:solidFill>
          </w14:textFill>
        </w:rPr>
        <w:t>，格式详见附件；</w:t>
      </w:r>
    </w:p>
    <w:p>
      <w:pPr>
        <w:pStyle w:val="30"/>
        <w:widowControl/>
        <w:numPr>
          <w:ilvl w:val="0"/>
          <w:numId w:val="6"/>
        </w:numPr>
        <w:spacing w:line="360" w:lineRule="auto"/>
        <w:ind w:left="840" w:hanging="420" w:firstLineChars="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highlight w:val="none"/>
          <w:lang w:eastAsia="zh-CN"/>
        </w:rPr>
        <w:t>包组1</w:t>
      </w:r>
      <w:r>
        <w:rPr>
          <w:rFonts w:hint="eastAsia" w:ascii="宋体" w:hAnsi="宋体" w:eastAsia="宋体" w:cs="宋体"/>
          <w:highlight w:val="none"/>
        </w:rPr>
        <w:t>报名供应商需提供“深圳市梓健生物科技有限公司”对本项目的授权</w:t>
      </w:r>
    </w:p>
    <w:p>
      <w:pPr>
        <w:pStyle w:val="30"/>
        <w:numPr>
          <w:ilvl w:val="0"/>
          <w:numId w:val="3"/>
        </w:numPr>
        <w:spacing w:line="360" w:lineRule="auto"/>
        <w:ind w:left="420" w:hanging="420" w:firstLineChars="0"/>
        <w:rPr>
          <w:rFonts w:ascii="宋体" w:hAnsi="宋体"/>
          <w:b/>
        </w:rPr>
      </w:pPr>
      <w:r>
        <w:rPr>
          <w:rFonts w:hint="eastAsia" w:ascii="宋体" w:hAnsi="宋体"/>
          <w:b/>
        </w:rPr>
        <w:t>包组二：</w:t>
      </w:r>
      <w:r>
        <w:rPr>
          <w:rFonts w:hint="eastAsia" w:ascii="宋体" w:hAnsi="宋体"/>
          <w:b/>
          <w:bCs/>
        </w:rPr>
        <w:t>报名要求（</w:t>
      </w:r>
      <w:r>
        <w:rPr>
          <w:rFonts w:hint="eastAsia" w:ascii="宋体" w:hAnsi="宋体"/>
          <w:szCs w:val="21"/>
        </w:rPr>
        <w:t>参与竞价的</w:t>
      </w:r>
      <w:r>
        <w:rPr>
          <w:rFonts w:hint="eastAsia" w:ascii="宋体" w:hAnsi="宋体"/>
          <w:b/>
          <w:bCs/>
        </w:rPr>
        <w:t>供应商资质要求:</w:t>
      </w:r>
      <w:r>
        <w:rPr>
          <w:rFonts w:hint="eastAsia" w:ascii="宋体" w:hAnsi="宋体"/>
          <w:b/>
          <w:bCs/>
          <w:szCs w:val="21"/>
        </w:rPr>
        <w:t xml:space="preserve"> 报名时需要提供以下</w:t>
      </w:r>
      <w:r>
        <w:rPr>
          <w:rFonts w:hint="eastAsia" w:ascii="宋体" w:hAnsi="宋体"/>
          <w:b/>
          <w:bCs/>
          <w:szCs w:val="21"/>
          <w:u w:val="double"/>
        </w:rPr>
        <w:t>盖章</w:t>
      </w:r>
      <w:r>
        <w:rPr>
          <w:rFonts w:hint="eastAsia" w:ascii="宋体" w:hAnsi="宋体"/>
          <w:b/>
          <w:bCs/>
          <w:szCs w:val="21"/>
        </w:rPr>
        <w:t>资料，</w:t>
      </w:r>
      <w:r>
        <w:rPr>
          <w:rFonts w:hint="eastAsia" w:ascii="宋体" w:hAnsi="宋体"/>
          <w:szCs w:val="21"/>
        </w:rPr>
        <w:t>并对上传的报名文件资料承担责任</w:t>
      </w:r>
      <w:r>
        <w:rPr>
          <w:rFonts w:hint="eastAsia" w:ascii="宋体" w:hAnsi="宋体"/>
          <w:b/>
          <w:bCs/>
        </w:rPr>
        <w:t>）</w:t>
      </w:r>
    </w:p>
    <w:p>
      <w:pPr>
        <w:pStyle w:val="30"/>
        <w:widowControl/>
        <w:numPr>
          <w:ilvl w:val="0"/>
          <w:numId w:val="7"/>
        </w:numPr>
        <w:spacing w:line="360" w:lineRule="auto"/>
        <w:ind w:left="840" w:hanging="420" w:firstLineChars="0"/>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提供在中华人民共和国境内注册的法人或其他组织的营业执照或事业单位法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pPr>
        <w:pStyle w:val="30"/>
        <w:widowControl/>
        <w:numPr>
          <w:ilvl w:val="0"/>
          <w:numId w:val="7"/>
        </w:numPr>
        <w:spacing w:line="360" w:lineRule="auto"/>
        <w:ind w:left="840" w:hanging="420" w:firstLineChars="0"/>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供应商完全响应本项目用户需求的条款、内容及要求的，提供用户需求书响应声明函即可</w:t>
      </w:r>
      <w:r>
        <w:rPr>
          <w:rFonts w:hint="eastAsia" w:ascii="宋体" w:hAnsi="宋体" w:eastAsia="宋体" w:cs="宋体"/>
          <w:b/>
          <w:color w:val="000000" w:themeColor="text1"/>
          <w:kern w:val="0"/>
          <w:szCs w:val="21"/>
          <w14:textFill>
            <w14:solidFill>
              <w14:schemeClr w14:val="tx1"/>
            </w14:solidFill>
          </w14:textFill>
        </w:rPr>
        <w:t>，格式详见附件；</w:t>
      </w:r>
    </w:p>
    <w:p>
      <w:pPr>
        <w:pStyle w:val="30"/>
        <w:widowControl/>
        <w:numPr>
          <w:ilvl w:val="0"/>
          <w:numId w:val="7"/>
        </w:numPr>
        <w:spacing w:line="360" w:lineRule="auto"/>
        <w:ind w:left="840" w:hanging="420" w:firstLineChars="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highlight w:val="none"/>
          <w:lang w:eastAsia="zh-CN"/>
        </w:rPr>
        <w:t>包组2报名供应商</w:t>
      </w:r>
      <w:r>
        <w:rPr>
          <w:rFonts w:hint="eastAsia" w:ascii="宋体" w:hAnsi="宋体" w:eastAsia="宋体" w:cs="宋体"/>
          <w:highlight w:val="none"/>
        </w:rPr>
        <w:t>具备有效期内的《危险化学品安全生产许可证》或者《危险化学品经营许可证》；</w:t>
      </w:r>
    </w:p>
    <w:p>
      <w:pPr>
        <w:pStyle w:val="30"/>
        <w:widowControl/>
        <w:numPr>
          <w:ilvl w:val="0"/>
          <w:numId w:val="7"/>
        </w:numPr>
        <w:spacing w:line="360" w:lineRule="auto"/>
        <w:ind w:left="840" w:hanging="420" w:firstLineChars="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highlight w:val="none"/>
          <w:lang w:val="en-US" w:eastAsia="zh-CN"/>
        </w:rPr>
        <w:t>供应商</w:t>
      </w:r>
      <w:r>
        <w:rPr>
          <w:rFonts w:hint="eastAsia" w:ascii="宋体" w:hAnsi="宋体" w:eastAsia="宋体" w:cs="宋体"/>
          <w:highlight w:val="none"/>
        </w:rPr>
        <w:t>须具备有效期内的《道路运输经营许可证》（经营范围包含危险货物运输）【如投标人委托其他单位运输的，则委托运输的单位须具有《道路运输经营许可证》（经营范围包含危险货物运输），同时在供货时提供投标人委托运输的相关协议】。</w:t>
      </w:r>
    </w:p>
    <w:p>
      <w:pPr>
        <w:pStyle w:val="30"/>
        <w:numPr>
          <w:ilvl w:val="0"/>
          <w:numId w:val="3"/>
        </w:numPr>
        <w:spacing w:line="360" w:lineRule="auto"/>
        <w:ind w:left="420" w:hanging="420" w:firstLineChars="0"/>
        <w:rPr>
          <w:rStyle w:val="26"/>
          <w:rFonts w:ascii="宋体" w:hAnsi="宋体" w:eastAsia="宋体" w:cs="宋体"/>
          <w:bCs w:val="0"/>
          <w:color w:val="000000" w:themeColor="text1"/>
          <w14:textFill>
            <w14:solidFill>
              <w14:schemeClr w14:val="tx1"/>
            </w14:solidFill>
          </w14:textFill>
        </w:rPr>
      </w:pPr>
      <w:r>
        <w:rPr>
          <w:rStyle w:val="26"/>
          <w:rFonts w:hint="eastAsia" w:ascii="宋体" w:hAnsi="宋体" w:eastAsia="宋体" w:cs="宋体"/>
          <w:bCs w:val="0"/>
          <w:color w:val="000000" w:themeColor="text1"/>
          <w14:textFill>
            <w14:solidFill>
              <w14:schemeClr w14:val="tx1"/>
            </w14:solidFill>
          </w14:textFill>
        </w:rPr>
        <w:t>报价要求</w:t>
      </w:r>
      <w:r>
        <w:rPr>
          <w:rStyle w:val="26"/>
          <w:rFonts w:hint="eastAsia" w:ascii="宋体" w:hAnsi="宋体" w:eastAsia="宋体" w:cs="宋体"/>
          <w:color w:val="000000" w:themeColor="text1"/>
          <w:szCs w:val="21"/>
          <w14:textFill>
            <w14:solidFill>
              <w14:schemeClr w14:val="tx1"/>
            </w14:solidFill>
          </w14:textFill>
        </w:rPr>
        <w:t>（</w:t>
      </w:r>
      <w:r>
        <w:rPr>
          <w:rStyle w:val="26"/>
          <w:rFonts w:hint="eastAsia" w:ascii="宋体" w:hAnsi="宋体" w:eastAsia="宋体" w:cs="宋体"/>
          <w:b w:val="0"/>
          <w:color w:val="000000" w:themeColor="text1"/>
          <w:szCs w:val="21"/>
          <w14:textFill>
            <w14:solidFill>
              <w14:schemeClr w14:val="tx1"/>
            </w14:solidFill>
          </w14:textFill>
        </w:rPr>
        <w:t>报价时需要提供以下</w:t>
      </w:r>
      <w:r>
        <w:rPr>
          <w:rStyle w:val="26"/>
          <w:rFonts w:hint="eastAsia" w:ascii="宋体" w:hAnsi="宋体" w:eastAsia="宋体" w:cs="宋体"/>
          <w:color w:val="000000" w:themeColor="text1"/>
          <w:szCs w:val="21"/>
          <w:u w:val="double"/>
          <w14:textFill>
            <w14:solidFill>
              <w14:schemeClr w14:val="tx1"/>
            </w14:solidFill>
          </w14:textFill>
        </w:rPr>
        <w:t>盖章</w:t>
      </w:r>
      <w:r>
        <w:rPr>
          <w:rStyle w:val="26"/>
          <w:rFonts w:hint="eastAsia" w:ascii="宋体" w:hAnsi="宋体" w:eastAsia="宋体" w:cs="宋体"/>
          <w:b w:val="0"/>
          <w:color w:val="000000" w:themeColor="text1"/>
          <w:szCs w:val="21"/>
          <w14:textFill>
            <w14:solidFill>
              <w14:schemeClr w14:val="tx1"/>
            </w14:solidFill>
          </w14:textFill>
        </w:rPr>
        <w:t>资料，</w:t>
      </w:r>
      <w:r>
        <w:rPr>
          <w:rFonts w:hint="eastAsia" w:ascii="宋体" w:hAnsi="宋体" w:eastAsia="宋体" w:cs="宋体"/>
          <w:color w:val="000000" w:themeColor="text1"/>
          <w:szCs w:val="21"/>
          <w14:textFill>
            <w14:solidFill>
              <w14:schemeClr w14:val="tx1"/>
            </w14:solidFill>
          </w14:textFill>
        </w:rPr>
        <w:t>并对上传的竞价文件资料承担责任；本项目共2个包组，供应商须对应包组上传报价材料）</w:t>
      </w:r>
    </w:p>
    <w:p>
      <w:pPr>
        <w:pStyle w:val="30"/>
        <w:numPr>
          <w:ilvl w:val="0"/>
          <w:numId w:val="8"/>
        </w:numPr>
        <w:spacing w:line="360" w:lineRule="auto"/>
        <w:ind w:left="840" w:hanging="420" w:firstLineChars="0"/>
        <w:rPr>
          <w:rFonts w:ascii="宋体" w:hAnsi="宋体" w:eastAsia="宋体" w:cs="宋体"/>
          <w:szCs w:val="21"/>
        </w:rPr>
      </w:pPr>
      <w:r>
        <w:rPr>
          <w:rFonts w:hint="eastAsia" w:ascii="宋体" w:hAnsi="宋体" w:eastAsia="宋体" w:cs="宋体"/>
          <w:color w:val="000000" w:themeColor="text1"/>
          <w:szCs w:val="21"/>
          <w14:textFill>
            <w14:solidFill>
              <w14:schemeClr w14:val="tx1"/>
            </w14:solidFill>
          </w14:textFill>
        </w:rPr>
        <w:t>通过报名供应商应根据本公告要求，在规定的竞价时间内对采购项目进行报价，同时按本公告要求完整</w:t>
      </w:r>
      <w:r>
        <w:rPr>
          <w:rFonts w:hint="eastAsia" w:ascii="宋体" w:hAnsi="宋体" w:eastAsia="宋体" w:cs="宋体"/>
          <w:color w:val="000000" w:themeColor="text1"/>
          <w:szCs w:val="21"/>
          <w:lang w:eastAsia="zh-TW"/>
          <w14:textFill>
            <w14:solidFill>
              <w14:schemeClr w14:val="tx1"/>
            </w14:solidFill>
          </w14:textFill>
        </w:rPr>
        <w:t>、真实、准确地</w:t>
      </w:r>
      <w:r>
        <w:rPr>
          <w:rFonts w:hint="eastAsia" w:ascii="宋体" w:hAnsi="宋体" w:eastAsia="宋体" w:cs="宋体"/>
          <w:color w:val="000000" w:themeColor="text1"/>
          <w:szCs w:val="21"/>
          <w14:textFill>
            <w14:solidFill>
              <w14:schemeClr w14:val="tx1"/>
            </w14:solidFill>
          </w14:textFill>
        </w:rPr>
        <w:t>填写并上传相应报价附件</w:t>
      </w:r>
      <w:r>
        <w:rPr>
          <w:rFonts w:hint="eastAsia" w:ascii="宋体" w:hAnsi="宋体"/>
          <w:szCs w:val="21"/>
        </w:rPr>
        <w:t>（</w:t>
      </w:r>
      <w:r>
        <w:rPr>
          <w:rStyle w:val="26"/>
          <w:rFonts w:hint="eastAsia" w:ascii="宋体" w:hAnsi="宋体" w:cs="宋体"/>
        </w:rPr>
        <w:t>包组一、包组二、</w:t>
      </w:r>
      <w:r>
        <w:rPr>
          <w:rFonts w:hint="eastAsia" w:ascii="宋体" w:hAnsi="宋体"/>
          <w:b/>
          <w:bCs/>
          <w:szCs w:val="21"/>
          <w:shd w:val="clear" w:color="auto" w:fill="FFFFFF"/>
        </w:rPr>
        <w:t>报价表（对应包组上传报价表）</w:t>
      </w:r>
      <w:r>
        <w:rPr>
          <w:rFonts w:hint="eastAsia" w:ascii="宋体" w:hAnsi="宋体"/>
          <w:szCs w:val="21"/>
        </w:rPr>
        <w:t>）</w:t>
      </w:r>
      <w:r>
        <w:rPr>
          <w:rFonts w:hint="eastAsia" w:ascii="宋体" w:hAnsi="宋体" w:eastAsia="宋体" w:cs="宋体"/>
          <w:b/>
          <w:bCs/>
          <w:szCs w:val="21"/>
          <w:shd w:val="clear" w:color="auto" w:fill="FFFFFF"/>
          <w:lang w:bidi="ar"/>
        </w:rPr>
        <w:t>。</w:t>
      </w:r>
    </w:p>
    <w:p>
      <w:pPr>
        <w:pStyle w:val="30"/>
        <w:numPr>
          <w:ilvl w:val="0"/>
          <w:numId w:val="8"/>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Cs w:val="21"/>
          <w:u w:val="double"/>
          <w14:textFill>
            <w14:solidFill>
              <w14:schemeClr w14:val="tx1"/>
            </w14:solidFill>
          </w14:textFill>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pPr>
        <w:pStyle w:val="30"/>
        <w:numPr>
          <w:ilvl w:val="0"/>
          <w:numId w:val="3"/>
        </w:numPr>
        <w:spacing w:line="360" w:lineRule="auto"/>
        <w:ind w:left="420" w:hanging="420" w:firstLineChars="0"/>
        <w:rPr>
          <w:rStyle w:val="26"/>
          <w:rFonts w:ascii="宋体" w:hAnsi="宋体" w:eastAsia="宋体" w:cs="宋体"/>
          <w:bCs w:val="0"/>
          <w:color w:val="000000" w:themeColor="text1"/>
          <w14:textFill>
            <w14:solidFill>
              <w14:schemeClr w14:val="tx1"/>
            </w14:solidFill>
          </w14:textFill>
        </w:rPr>
      </w:pPr>
      <w:r>
        <w:rPr>
          <w:rStyle w:val="26"/>
          <w:rFonts w:hint="eastAsia" w:ascii="宋体" w:hAnsi="宋体" w:eastAsia="宋体" w:cs="宋体"/>
          <w:bCs w:val="0"/>
          <w:color w:val="000000" w:themeColor="text1"/>
          <w14:textFill>
            <w14:solidFill>
              <w14:schemeClr w14:val="tx1"/>
            </w14:solidFill>
          </w14:textFill>
        </w:rPr>
        <w:t>确定成交候选人</w:t>
      </w:r>
    </w:p>
    <w:p>
      <w:pPr>
        <w:pStyle w:val="30"/>
        <w:numPr>
          <w:ilvl w:val="0"/>
          <w:numId w:val="9"/>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本项目以最低价成交的方式确定成交供应商。报价时间截止后，系统按报价（经价格核准后的价格）由低到高顺序排列，</w:t>
      </w:r>
      <w:r>
        <w:rPr>
          <w:rFonts w:hint="eastAsia" w:ascii="宋体" w:hAnsi="宋体" w:eastAsia="宋体" w:cs="宋体"/>
          <w:color w:val="000000" w:themeColor="text1"/>
          <w14:textFill>
            <w14:solidFill>
              <w14:schemeClr w14:val="tx1"/>
            </w14:solidFill>
          </w14:textFill>
        </w:rPr>
        <w:t>报价最低的为第一成交候选人，报价相同的，按报价时间在前的为第一成交候选人；</w:t>
      </w:r>
      <w:r>
        <w:rPr>
          <w:rFonts w:hint="eastAsia" w:ascii="宋体" w:hAnsi="宋体" w:eastAsia="宋体" w:cs="宋体"/>
          <w:color w:val="000000" w:themeColor="text1"/>
          <w:szCs w:val="21"/>
          <w14:textFill>
            <w14:solidFill>
              <w14:schemeClr w14:val="tx1"/>
            </w14:solidFill>
          </w14:textFill>
        </w:rPr>
        <w:t>报价次低的为第二成交候选人，以此类推</w:t>
      </w:r>
      <w:r>
        <w:rPr>
          <w:rFonts w:hint="eastAsia" w:ascii="宋体" w:hAnsi="宋体" w:eastAsia="宋体" w:cs="宋体"/>
          <w:color w:val="000000" w:themeColor="text1"/>
          <w14:textFill>
            <w14:solidFill>
              <w14:schemeClr w14:val="tx1"/>
            </w14:solidFill>
          </w14:textFill>
        </w:rPr>
        <w:t>。</w:t>
      </w:r>
    </w:p>
    <w:p>
      <w:pPr>
        <w:pStyle w:val="106"/>
        <w:numPr>
          <w:ilvl w:val="0"/>
          <w:numId w:val="9"/>
        </w:numPr>
        <w:spacing w:line="360" w:lineRule="auto"/>
        <w:ind w:firstLineChars="0"/>
        <w:rPr>
          <w:rFonts w:hint="eastAsia" w:ascii="宋体" w:hAnsi="宋体"/>
        </w:rPr>
      </w:pPr>
      <w:r>
        <w:rPr>
          <w:rFonts w:hint="eastAsia" w:ascii="宋体" w:hAnsi="宋体"/>
        </w:rPr>
        <w:t>本项目包组可兼投兼中。</w:t>
      </w:r>
    </w:p>
    <w:p>
      <w:pPr>
        <w:pStyle w:val="30"/>
        <w:numPr>
          <w:ilvl w:val="0"/>
          <w:numId w:val="3"/>
        </w:numPr>
        <w:spacing w:line="360" w:lineRule="auto"/>
        <w:ind w:left="420" w:hanging="420" w:firstLineChars="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无效报价</w:t>
      </w:r>
    </w:p>
    <w:p>
      <w:pPr>
        <w:pStyle w:val="30"/>
        <w:numPr>
          <w:ilvl w:val="0"/>
          <w:numId w:val="10"/>
        </w:numPr>
        <w:spacing w:line="360" w:lineRule="auto"/>
        <w:ind w:left="84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14:textFill>
            <w14:solidFill>
              <w14:schemeClr w14:val="tx1"/>
            </w14:solidFill>
          </w14:textFill>
        </w:rPr>
        <w:t>供应商报价超过最高限价或低于最低限价或超过项目对应产品单项最高限价的视为无效报价。</w:t>
      </w:r>
    </w:p>
    <w:p>
      <w:pPr>
        <w:pStyle w:val="30"/>
        <w:numPr>
          <w:ilvl w:val="0"/>
          <w:numId w:val="10"/>
        </w:numPr>
        <w:spacing w:line="360" w:lineRule="auto"/>
        <w:ind w:left="84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供应商须提供本项目要求的资质文件，如果不按公告规定或竞价文件要求等相关规定提供符合要求的资质文件，将被视为无效报价。</w:t>
      </w:r>
    </w:p>
    <w:p>
      <w:pPr>
        <w:pStyle w:val="30"/>
        <w:numPr>
          <w:ilvl w:val="0"/>
          <w:numId w:val="10"/>
        </w:numPr>
        <w:spacing w:line="360" w:lineRule="auto"/>
        <w:ind w:left="84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参与竞价的供应商须对所投包组的采购内容进行整体报价，任何只对所投包组的其中一部分内容进行报价的，该包组报价将被视为无效报价。</w:t>
      </w:r>
    </w:p>
    <w:p>
      <w:pPr>
        <w:pStyle w:val="30"/>
        <w:numPr>
          <w:ilvl w:val="0"/>
          <w:numId w:val="10"/>
        </w:numPr>
        <w:spacing w:line="360" w:lineRule="auto"/>
        <w:ind w:left="84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u w:val="double"/>
          <w14:textFill>
            <w14:solidFill>
              <w14:schemeClr w14:val="tx1"/>
            </w14:solidFill>
          </w14:textFill>
        </w:rPr>
        <w:t>报价表以及有报价供应商落款的报价文件必须加盖报价供应商公章，否则视为无效报价。</w:t>
      </w:r>
    </w:p>
    <w:p>
      <w:pPr>
        <w:pStyle w:val="18"/>
        <w:numPr>
          <w:ilvl w:val="0"/>
          <w:numId w:val="10"/>
        </w:numPr>
        <w:shd w:val="clear" w:color="auto" w:fill="FFFFFF"/>
        <w:spacing w:before="0" w:beforeAutospacing="0" w:after="0" w:afterAutospacing="0" w:line="360" w:lineRule="auto"/>
        <w:ind w:left="840" w:hanging="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pStyle w:val="18"/>
        <w:numPr>
          <w:ilvl w:val="0"/>
          <w:numId w:val="10"/>
        </w:numPr>
        <w:shd w:val="clear" w:color="auto" w:fill="FFFFFF"/>
        <w:spacing w:before="0" w:beforeAutospacing="0" w:after="0" w:afterAutospacing="0" w:line="360" w:lineRule="auto"/>
        <w:ind w:left="840" w:hanging="420"/>
        <w:rPr>
          <w:b/>
          <w:bCs/>
          <w:color w:val="000000" w:themeColor="text1"/>
          <w:sz w:val="21"/>
          <w:szCs w:val="21"/>
          <w:u w:val="double"/>
          <w14:textFill>
            <w14:solidFill>
              <w14:schemeClr w14:val="tx1"/>
            </w14:solidFill>
          </w14:textFill>
        </w:rPr>
      </w:pPr>
      <w:r>
        <w:rPr>
          <w:rFonts w:hint="eastAsia"/>
          <w:b/>
          <w:bCs/>
          <w:color w:val="000000" w:themeColor="text1"/>
          <w:sz w:val="21"/>
          <w:szCs w:val="21"/>
          <w:u w:val="double"/>
          <w14:textFill>
            <w14:solidFill>
              <w14:schemeClr w14:val="tx1"/>
            </w14:solidFill>
          </w14:textFill>
        </w:rPr>
        <w:t>按有关法律、法规、规章属于报价无效的。</w:t>
      </w:r>
    </w:p>
    <w:p>
      <w:pPr>
        <w:pStyle w:val="18"/>
        <w:numPr>
          <w:ilvl w:val="0"/>
          <w:numId w:val="10"/>
        </w:numPr>
        <w:shd w:val="clear" w:color="auto" w:fill="FFFFFF"/>
        <w:spacing w:before="0" w:beforeAutospacing="0" w:after="0" w:afterAutospacing="0" w:line="360" w:lineRule="auto"/>
        <w:ind w:left="840" w:hanging="420"/>
        <w:rPr>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有下列情形之一的，视为串通竞价，其报价无效：</w:t>
      </w:r>
    </w:p>
    <w:p>
      <w:pPr>
        <w:pStyle w:val="30"/>
        <w:widowControl/>
        <w:numPr>
          <w:ilvl w:val="0"/>
          <w:numId w:val="11"/>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存在单位负责人为同一人或存在控股、管理关系的不同单位参与同一竞价项目；</w:t>
      </w:r>
    </w:p>
    <w:p>
      <w:pPr>
        <w:pStyle w:val="30"/>
        <w:widowControl/>
        <w:numPr>
          <w:ilvl w:val="0"/>
          <w:numId w:val="11"/>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不同供应商的响应文件由同一单位或者个人编制；</w:t>
      </w:r>
    </w:p>
    <w:p>
      <w:pPr>
        <w:pStyle w:val="30"/>
        <w:widowControl/>
        <w:numPr>
          <w:ilvl w:val="0"/>
          <w:numId w:val="11"/>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不同供应商委托同一单位或者个人办理竞价事宜；</w:t>
      </w:r>
    </w:p>
    <w:p>
      <w:pPr>
        <w:pStyle w:val="30"/>
        <w:widowControl/>
        <w:numPr>
          <w:ilvl w:val="0"/>
          <w:numId w:val="11"/>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不同供应商使用同一IP地址参与竞价；</w:t>
      </w:r>
    </w:p>
    <w:p>
      <w:pPr>
        <w:pStyle w:val="30"/>
        <w:widowControl/>
        <w:numPr>
          <w:ilvl w:val="0"/>
          <w:numId w:val="11"/>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不同供应商的响应文件载明的项目管理成员或者联系人员为同一人；</w:t>
      </w:r>
    </w:p>
    <w:p>
      <w:pPr>
        <w:pStyle w:val="30"/>
        <w:widowControl/>
        <w:numPr>
          <w:ilvl w:val="0"/>
          <w:numId w:val="11"/>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不同供应商的响应文件异常一致或者报价呈规律性差异；</w:t>
      </w:r>
    </w:p>
    <w:p>
      <w:pPr>
        <w:pStyle w:val="30"/>
        <w:widowControl/>
        <w:numPr>
          <w:ilvl w:val="0"/>
          <w:numId w:val="11"/>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不同供应商的响应文件相互混淆；</w:t>
      </w:r>
    </w:p>
    <w:p>
      <w:pPr>
        <w:pStyle w:val="30"/>
        <w:widowControl/>
        <w:numPr>
          <w:ilvl w:val="0"/>
          <w:numId w:val="11"/>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不同供应商的平台使用费从同一单位或者个人的账户转出。</w:t>
      </w:r>
    </w:p>
    <w:p>
      <w:pPr>
        <w:pStyle w:val="30"/>
        <w:numPr>
          <w:ilvl w:val="0"/>
          <w:numId w:val="3"/>
        </w:numPr>
        <w:spacing w:line="360" w:lineRule="auto"/>
        <w:ind w:left="42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竞价活动失败</w:t>
      </w:r>
    </w:p>
    <w:p>
      <w:pPr>
        <w:pStyle w:val="30"/>
        <w:numPr>
          <w:ilvl w:val="0"/>
          <w:numId w:val="12"/>
        </w:numPr>
        <w:spacing w:line="360" w:lineRule="auto"/>
        <w:ind w:left="840" w:leftChars="200" w:hanging="420" w:firstLineChars="0"/>
        <w:rPr>
          <w:rFonts w:ascii="宋体" w:hAnsi="宋体" w:eastAsia="宋体" w:cs="宋体"/>
          <w:color w:val="000000"/>
        </w:rPr>
      </w:pPr>
      <w:r>
        <w:rPr>
          <w:rFonts w:hint="eastAsia" w:ascii="宋体" w:hAnsi="宋体" w:eastAsia="宋体" w:cs="宋体"/>
          <w:color w:val="000000"/>
          <w:szCs w:val="21"/>
        </w:rPr>
        <w:t>出现下列情况的，单个包组竞价活动失败：</w:t>
      </w:r>
    </w:p>
    <w:p>
      <w:pPr>
        <w:pStyle w:val="30"/>
        <w:numPr>
          <w:ilvl w:val="0"/>
          <w:numId w:val="13"/>
        </w:numPr>
        <w:spacing w:line="360" w:lineRule="auto"/>
        <w:ind w:left="1260" w:leftChars="600" w:firstLineChars="0"/>
        <w:rPr>
          <w:rFonts w:ascii="宋体" w:hAnsi="宋体" w:eastAsia="宋体" w:cs="宋体"/>
          <w:color w:val="000000"/>
        </w:rPr>
      </w:pPr>
      <w:r>
        <w:rPr>
          <w:rFonts w:hint="eastAsia" w:ascii="宋体" w:hAnsi="宋体" w:eastAsia="宋体" w:cs="宋体"/>
          <w:color w:val="000000"/>
          <w:szCs w:val="21"/>
        </w:rPr>
        <w:t>单个包组</w:t>
      </w:r>
      <w:r>
        <w:rPr>
          <w:rFonts w:hint="eastAsia" w:ascii="宋体" w:hAnsi="宋体" w:eastAsia="宋体" w:cs="宋体"/>
          <w:color w:val="000000"/>
        </w:rPr>
        <w:t>报名供应商不足3家；</w:t>
      </w:r>
    </w:p>
    <w:p>
      <w:pPr>
        <w:pStyle w:val="30"/>
        <w:numPr>
          <w:ilvl w:val="0"/>
          <w:numId w:val="13"/>
        </w:numPr>
        <w:spacing w:line="360" w:lineRule="auto"/>
        <w:ind w:left="1260" w:leftChars="600" w:firstLineChars="0"/>
        <w:rPr>
          <w:rFonts w:ascii="宋体" w:hAnsi="宋体" w:eastAsia="宋体" w:cs="宋体"/>
          <w:color w:val="000000"/>
          <w:szCs w:val="21"/>
        </w:rPr>
      </w:pPr>
      <w:r>
        <w:rPr>
          <w:rFonts w:hint="eastAsia" w:ascii="宋体" w:hAnsi="宋体" w:eastAsia="宋体" w:cs="宋体"/>
          <w:color w:val="000000"/>
          <w:szCs w:val="21"/>
        </w:rPr>
        <w:t>单个包组</w:t>
      </w:r>
      <w:r>
        <w:rPr>
          <w:rFonts w:hint="eastAsia" w:ascii="宋体" w:hAnsi="宋体" w:eastAsia="宋体" w:cs="宋体"/>
          <w:color w:val="000000"/>
        </w:rPr>
        <w:t>报价供应商不足3家。</w:t>
      </w:r>
    </w:p>
    <w:p>
      <w:pPr>
        <w:pStyle w:val="30"/>
        <w:spacing w:line="360" w:lineRule="auto"/>
        <w:ind w:left="840" w:leftChars="200" w:hanging="420" w:firstLineChars="0"/>
        <w:rPr>
          <w:rFonts w:ascii="宋体" w:hAnsi="宋体" w:eastAsia="宋体" w:cs="宋体"/>
          <w:szCs w:val="21"/>
        </w:rPr>
      </w:pPr>
      <w:r>
        <w:rPr>
          <w:rFonts w:hint="eastAsia" w:ascii="宋体" w:hAnsi="宋体" w:eastAsia="宋体" w:cs="宋体"/>
          <w:szCs w:val="21"/>
        </w:rPr>
        <w:t>2.出现影响采购公正的违法、违规行为的。</w:t>
      </w:r>
    </w:p>
    <w:p>
      <w:pPr>
        <w:pStyle w:val="30"/>
        <w:spacing w:line="360" w:lineRule="auto"/>
        <w:ind w:left="840" w:leftChars="200" w:hanging="420" w:firstLineChars="0"/>
        <w:rPr>
          <w:rFonts w:ascii="宋体" w:hAnsi="宋体" w:eastAsia="宋体" w:cs="宋体"/>
          <w:szCs w:val="21"/>
        </w:rPr>
      </w:pPr>
      <w:r>
        <w:rPr>
          <w:rFonts w:hint="eastAsia" w:ascii="宋体" w:hAnsi="宋体" w:eastAsia="宋体" w:cs="宋体"/>
          <w:szCs w:val="21"/>
        </w:rPr>
        <w:t>3.因重大变故，采购任务取消的。</w:t>
      </w:r>
    </w:p>
    <w:p>
      <w:pPr>
        <w:pStyle w:val="30"/>
        <w:numPr>
          <w:ilvl w:val="0"/>
          <w:numId w:val="3"/>
        </w:numPr>
        <w:spacing w:line="360" w:lineRule="auto"/>
        <w:ind w:left="420" w:hanging="420" w:firstLineChars="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使用费</w:t>
      </w:r>
    </w:p>
    <w:p>
      <w:pPr>
        <w:pStyle w:val="30"/>
        <w:spacing w:line="360" w:lineRule="auto"/>
        <w:ind w:left="840" w:leftChars="200" w:hanging="420" w:hangingChars="200"/>
        <w:rPr>
          <w:rFonts w:ascii="宋体" w:hAnsi="宋体" w:eastAsia="宋体" w:cs="宋体"/>
          <w:szCs w:val="21"/>
        </w:rPr>
      </w:pPr>
      <w:r>
        <w:rPr>
          <w:rFonts w:hint="eastAsia" w:ascii="宋体" w:hAnsi="宋体" w:eastAsia="宋体" w:cs="宋体"/>
          <w:szCs w:val="21"/>
        </w:rPr>
        <w:t>1.各包组成交供应商须向平台服务商云采链线上采购一体化平台缴纳平台使用费，金额为成交金额的1.5%（四舍五入取整数）。</w:t>
      </w:r>
    </w:p>
    <w:p>
      <w:pPr>
        <w:pStyle w:val="30"/>
        <w:spacing w:line="360" w:lineRule="auto"/>
        <w:ind w:left="840" w:leftChars="200" w:hanging="420" w:hangingChars="200"/>
        <w:rPr>
          <w:rFonts w:ascii="宋体" w:hAnsi="宋体" w:eastAsia="宋体" w:cs="宋体"/>
          <w:szCs w:val="21"/>
        </w:rPr>
      </w:pPr>
      <w:r>
        <w:rPr>
          <w:rFonts w:hint="eastAsia" w:ascii="宋体" w:hAnsi="宋体" w:eastAsia="宋体" w:cs="宋体"/>
          <w:szCs w:val="21"/>
        </w:rPr>
        <w:t>2.成交供应商无正当理由放弃成交资格的必须按竞价公告等相关规定缴纳相应的平台使用费。</w:t>
      </w:r>
    </w:p>
    <w:p>
      <w:pPr>
        <w:pStyle w:val="30"/>
        <w:spacing w:line="360" w:lineRule="auto"/>
        <w:ind w:left="840" w:leftChars="200" w:hanging="420" w:hangingChars="200"/>
        <w:rPr>
          <w:rFonts w:ascii="宋体" w:hAnsi="宋体" w:eastAsia="宋体" w:cs="宋体"/>
          <w:szCs w:val="21"/>
        </w:rPr>
      </w:pPr>
      <w:r>
        <w:rPr>
          <w:rFonts w:hint="eastAsia" w:ascii="宋体" w:hAnsi="宋体" w:eastAsia="宋体" w:cs="宋体"/>
          <w:szCs w:val="21"/>
        </w:rPr>
        <w:t>3.如确实因不可抗力放弃成交资格的，应在不可抗力发生后三个工作日内予以通知采购代理机构并提供相关的证明；如逾期，采购代理机构不予退还平台使用费。</w:t>
      </w:r>
    </w:p>
    <w:p>
      <w:pPr>
        <w:pStyle w:val="30"/>
        <w:numPr>
          <w:ilvl w:val="0"/>
          <w:numId w:val="2"/>
        </w:numPr>
        <w:spacing w:line="360" w:lineRule="auto"/>
        <w:ind w:firstLineChars="0"/>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联系方式</w:t>
      </w:r>
    </w:p>
    <w:p>
      <w:pPr>
        <w:pStyle w:val="18"/>
        <w:spacing w:before="0" w:beforeAutospacing="0" w:after="0" w:afterAutospacing="0" w:line="360" w:lineRule="auto"/>
        <w:ind w:left="420"/>
        <w:rPr>
          <w:color w:val="000000" w:themeColor="text1"/>
          <w14:textFill>
            <w14:solidFill>
              <w14:schemeClr w14:val="tx1"/>
            </w14:solidFill>
          </w14:textFill>
        </w:rPr>
      </w:pPr>
      <w:r>
        <w:rPr>
          <w:rFonts w:hint="eastAsia"/>
          <w:color w:val="000000" w:themeColor="text1"/>
          <w:sz w:val="21"/>
          <w:szCs w:val="21"/>
          <w14:textFill>
            <w14:solidFill>
              <w14:schemeClr w14:val="tx1"/>
            </w14:solidFill>
          </w14:textFill>
        </w:rPr>
        <w:t>扫码关注微信公众号“云采链互联服务平台”，即可在线咨询相关事项。</w:t>
      </w:r>
    </w:p>
    <w:p>
      <w:pPr>
        <w:pStyle w:val="30"/>
        <w:widowControl/>
        <w:spacing w:line="360" w:lineRule="auto"/>
        <w:ind w:left="420" w:firstLine="0" w:firstLineChars="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pP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snapToGrid w:val="0"/>
        <w:spacing w:line="360" w:lineRule="auto"/>
        <w:jc w:val="center"/>
        <w:outlineLvl w:val="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第二章 用户需求书</w:t>
      </w:r>
    </w:p>
    <w:p>
      <w:pPr>
        <w:snapToGrid w:val="0"/>
        <w:spacing w:line="360" w:lineRule="auto"/>
        <w:ind w:left="517" w:hanging="517" w:hangingChars="245"/>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说明：</w:t>
      </w:r>
    </w:p>
    <w:p>
      <w:pPr>
        <w:numPr>
          <w:ilvl w:val="0"/>
          <w:numId w:val="14"/>
        </w:numPr>
        <w:snapToGrid w:val="0"/>
        <w:spacing w:line="360" w:lineRule="auto"/>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 xml:space="preserve">响应供应商须对本项目进行整体响应，任何只对其中一部分进行的响应都被视为无效响应。 </w:t>
      </w:r>
    </w:p>
    <w:p>
      <w:pPr>
        <w:pStyle w:val="10"/>
        <w:numPr>
          <w:ilvl w:val="0"/>
          <w:numId w:val="15"/>
        </w:numPr>
        <w:tabs>
          <w:tab w:val="left" w:pos="540"/>
        </w:tabs>
        <w:adjustRightInd w:val="0"/>
        <w:snapToGrid w:val="0"/>
        <w:spacing w:line="360" w:lineRule="auto"/>
        <w:rPr>
          <w:rFonts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项目一览表</w:t>
      </w:r>
    </w:p>
    <w:tbl>
      <w:tblPr>
        <w:tblStyle w:val="23"/>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94"/>
        <w:gridCol w:w="1256"/>
        <w:gridCol w:w="1132"/>
        <w:gridCol w:w="2040"/>
        <w:gridCol w:w="18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2194" w:type="dxa"/>
            <w:tcBorders>
              <w:top w:val="single" w:color="auto" w:sz="12" w:space="0"/>
              <w:left w:val="single" w:color="auto" w:sz="12" w:space="0"/>
              <w:bottom w:val="single" w:color="auto" w:sz="4" w:space="0"/>
              <w:right w:val="single" w:color="auto" w:sz="4" w:space="0"/>
            </w:tcBorders>
            <w:shd w:val="clear" w:color="auto" w:fill="EEECE1"/>
            <w:vAlign w:val="center"/>
          </w:tcPr>
          <w:p>
            <w:pPr>
              <w:pStyle w:val="18"/>
              <w:widowControl w:val="0"/>
              <w:autoSpaceDE w:val="0"/>
              <w:autoSpaceDN w:val="0"/>
              <w:spacing w:before="99" w:beforeAutospacing="0" w:after="0" w:afterAutospacing="0" w:line="360" w:lineRule="auto"/>
              <w:ind w:left="195" w:right="182" w:hanging="40"/>
              <w:jc w:val="center"/>
              <w:rPr>
                <w:b/>
                <w:kern w:val="2"/>
                <w:sz w:val="21"/>
                <w:szCs w:val="21"/>
              </w:rPr>
            </w:pPr>
            <w:r>
              <w:rPr>
                <w:rFonts w:hint="eastAsia"/>
                <w:b/>
                <w:kern w:val="2"/>
                <w:sz w:val="21"/>
                <w:szCs w:val="21"/>
                <w:lang w:bidi="ar"/>
              </w:rPr>
              <w:t>项目名称</w:t>
            </w:r>
          </w:p>
        </w:tc>
        <w:tc>
          <w:tcPr>
            <w:tcW w:w="1256" w:type="dxa"/>
            <w:tcBorders>
              <w:top w:val="single" w:color="auto" w:sz="12" w:space="0"/>
              <w:left w:val="single" w:color="auto" w:sz="4" w:space="0"/>
              <w:bottom w:val="single" w:color="auto" w:sz="4" w:space="0"/>
              <w:right w:val="single" w:color="auto" w:sz="4" w:space="0"/>
            </w:tcBorders>
            <w:shd w:val="clear" w:color="auto" w:fill="EEECE1"/>
            <w:vAlign w:val="center"/>
          </w:tcPr>
          <w:p>
            <w:pPr>
              <w:spacing w:before="156" w:beforeLines="50" w:line="360" w:lineRule="auto"/>
              <w:jc w:val="center"/>
              <w:rPr>
                <w:rFonts w:ascii="宋体" w:hAnsi="宋体" w:eastAsia="宋体" w:cs="Times New Roman"/>
                <w:b/>
                <w:color w:val="000000"/>
                <w:szCs w:val="21"/>
              </w:rPr>
            </w:pPr>
            <w:r>
              <w:rPr>
                <w:rFonts w:hint="eastAsia" w:ascii="宋体" w:hAnsi="宋体" w:eastAsia="宋体" w:cs="宋体"/>
                <w:b/>
                <w:color w:val="000000"/>
                <w:szCs w:val="21"/>
                <w:lang w:bidi="ar"/>
              </w:rPr>
              <w:t>包组号</w:t>
            </w:r>
          </w:p>
        </w:tc>
        <w:tc>
          <w:tcPr>
            <w:tcW w:w="1132" w:type="dxa"/>
            <w:tcBorders>
              <w:top w:val="single" w:color="auto" w:sz="12" w:space="0"/>
              <w:left w:val="single" w:color="auto" w:sz="4" w:space="0"/>
              <w:bottom w:val="single" w:color="auto" w:sz="4" w:space="0"/>
              <w:right w:val="single" w:color="auto" w:sz="4" w:space="0"/>
            </w:tcBorders>
            <w:shd w:val="clear" w:color="auto" w:fill="EEECE1"/>
            <w:vAlign w:val="center"/>
          </w:tcPr>
          <w:p>
            <w:pPr>
              <w:spacing w:before="156" w:beforeLines="50" w:line="360" w:lineRule="auto"/>
              <w:jc w:val="center"/>
              <w:rPr>
                <w:rFonts w:ascii="宋体" w:hAnsi="宋体" w:eastAsia="宋体" w:cs="Times New Roman"/>
                <w:b/>
                <w:color w:val="000000"/>
                <w:szCs w:val="21"/>
              </w:rPr>
            </w:pPr>
            <w:r>
              <w:rPr>
                <w:rFonts w:hint="eastAsia" w:ascii="宋体" w:hAnsi="宋体" w:eastAsia="宋体" w:cs="宋体"/>
                <w:b/>
                <w:color w:val="000000"/>
                <w:szCs w:val="21"/>
                <w:lang w:bidi="ar"/>
              </w:rPr>
              <w:t>数量</w:t>
            </w:r>
          </w:p>
        </w:tc>
        <w:tc>
          <w:tcPr>
            <w:tcW w:w="2040" w:type="dxa"/>
            <w:tcBorders>
              <w:top w:val="single" w:color="auto" w:sz="12" w:space="0"/>
              <w:left w:val="single" w:color="auto" w:sz="4" w:space="0"/>
              <w:bottom w:val="single" w:color="auto" w:sz="4" w:space="0"/>
              <w:right w:val="single" w:color="auto" w:sz="4" w:space="0"/>
            </w:tcBorders>
            <w:shd w:val="clear" w:color="auto" w:fill="EEECE1"/>
            <w:vAlign w:val="center"/>
          </w:tcPr>
          <w:p>
            <w:pPr>
              <w:spacing w:before="156" w:beforeLines="50" w:line="360" w:lineRule="auto"/>
              <w:jc w:val="center"/>
              <w:rPr>
                <w:rFonts w:ascii="宋体" w:hAnsi="宋体" w:eastAsia="宋体" w:cs="Times New Roman"/>
                <w:b/>
                <w:color w:val="000000"/>
                <w:szCs w:val="21"/>
              </w:rPr>
            </w:pPr>
            <w:r>
              <w:rPr>
                <w:rFonts w:hint="eastAsia" w:ascii="宋体" w:hAnsi="宋体" w:eastAsia="宋体" w:cs="宋体"/>
                <w:b/>
                <w:color w:val="000000"/>
                <w:szCs w:val="21"/>
                <w:lang w:bidi="ar"/>
              </w:rPr>
              <w:t>交货期</w:t>
            </w:r>
          </w:p>
        </w:tc>
        <w:tc>
          <w:tcPr>
            <w:tcW w:w="1898" w:type="dxa"/>
            <w:tcBorders>
              <w:top w:val="single" w:color="auto" w:sz="12" w:space="0"/>
              <w:left w:val="single" w:color="auto" w:sz="4" w:space="0"/>
              <w:bottom w:val="single" w:color="auto" w:sz="4" w:space="0"/>
              <w:right w:val="single" w:color="auto" w:sz="12" w:space="0"/>
            </w:tcBorders>
            <w:shd w:val="clear" w:color="auto" w:fill="EEECE1"/>
            <w:vAlign w:val="center"/>
          </w:tcPr>
          <w:p>
            <w:pPr>
              <w:spacing w:before="156" w:beforeLines="50" w:line="360" w:lineRule="auto"/>
              <w:jc w:val="center"/>
              <w:rPr>
                <w:rFonts w:ascii="宋体" w:hAnsi="宋体" w:eastAsia="宋体" w:cs="Times New Roman"/>
                <w:b/>
                <w:color w:val="000000"/>
                <w:szCs w:val="21"/>
              </w:rPr>
            </w:pPr>
            <w:r>
              <w:rPr>
                <w:rFonts w:hint="eastAsia" w:ascii="宋体" w:hAnsi="宋体" w:eastAsia="宋体" w:cs="宋体"/>
                <w:b/>
                <w:color w:val="000000"/>
                <w:szCs w:val="21"/>
                <w:lang w:bidi="ar"/>
              </w:rPr>
              <w:t>最高限价（含税）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25" w:hRule="atLeast"/>
          <w:jc w:val="center"/>
        </w:trPr>
        <w:tc>
          <w:tcPr>
            <w:tcW w:w="2194"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pPr>
              <w:pStyle w:val="18"/>
              <w:widowControl w:val="0"/>
              <w:autoSpaceDE w:val="0"/>
              <w:autoSpaceDN w:val="0"/>
              <w:spacing w:before="159" w:beforeAutospacing="0" w:after="0" w:afterAutospacing="0" w:line="360" w:lineRule="auto"/>
              <w:ind w:left="195" w:right="182"/>
              <w:jc w:val="center"/>
              <w:rPr>
                <w:kern w:val="2"/>
                <w:sz w:val="21"/>
                <w:szCs w:val="21"/>
              </w:rPr>
            </w:pPr>
            <w:r>
              <w:rPr>
                <w:rFonts w:hint="eastAsia"/>
                <w:kern w:val="2"/>
                <w:sz w:val="21"/>
                <w:szCs w:val="21"/>
              </w:rPr>
              <w:t>20240625德庆县疾控中心试剂及标准物质耗材采购</w:t>
            </w: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adjustRightInd w:val="0"/>
              <w:spacing w:before="156" w:beforeLines="50" w:after="60" w:line="360" w:lineRule="auto"/>
              <w:jc w:val="center"/>
              <w:textAlignment w:val="center"/>
              <w:rPr>
                <w:rFonts w:ascii="宋体" w:hAnsi="宋体" w:eastAsia="宋体" w:cs="Times New Roman"/>
                <w:color w:val="000000"/>
                <w:szCs w:val="21"/>
              </w:rPr>
            </w:pPr>
            <w:r>
              <w:rPr>
                <w:rFonts w:hint="eastAsia" w:ascii="宋体" w:hAnsi="宋体" w:eastAsia="宋体" w:cs="宋体"/>
                <w:color w:val="000000"/>
                <w:szCs w:val="21"/>
                <w:lang w:bidi="ar"/>
              </w:rPr>
              <w:t>包组一</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adjustRightInd w:val="0"/>
              <w:spacing w:before="156" w:beforeLines="50" w:after="60" w:line="360" w:lineRule="auto"/>
              <w:jc w:val="center"/>
              <w:textAlignment w:val="center"/>
              <w:rPr>
                <w:rFonts w:ascii="宋体" w:hAnsi="宋体" w:eastAsia="宋体" w:cs="Times New Roman"/>
                <w:color w:val="000000"/>
                <w:szCs w:val="21"/>
              </w:rPr>
            </w:pPr>
            <w:r>
              <w:rPr>
                <w:rFonts w:hint="eastAsia" w:ascii="宋体" w:hAnsi="宋体" w:eastAsia="宋体" w:cs="宋体"/>
                <w:color w:val="000000"/>
                <w:szCs w:val="21"/>
                <w:lang w:bidi="ar"/>
              </w:rPr>
              <w:t>1批</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color w:val="000000"/>
                <w:szCs w:val="21"/>
              </w:rPr>
            </w:pPr>
            <w:r>
              <w:rPr>
                <w:rFonts w:hint="eastAsia" w:ascii="宋体" w:hAnsi="宋体" w:eastAsia="宋体" w:cs="Times New Roman"/>
                <w:color w:val="000000"/>
                <w:szCs w:val="21"/>
              </w:rPr>
              <w:t>自合同签订之日起</w:t>
            </w:r>
            <w:r>
              <w:rPr>
                <w:rFonts w:hint="eastAsia" w:ascii="宋体" w:hAnsi="宋体" w:eastAsia="宋体" w:cs="Times New Roman"/>
                <w:color w:val="000000"/>
                <w:szCs w:val="21"/>
                <w:lang w:val="en-US" w:eastAsia="zh-CN"/>
              </w:rPr>
              <w:t>5</w:t>
            </w:r>
            <w:r>
              <w:rPr>
                <w:rFonts w:hint="eastAsia" w:ascii="宋体" w:hAnsi="宋体" w:eastAsia="宋体" w:cs="Times New Roman"/>
                <w:color w:val="000000"/>
                <w:szCs w:val="21"/>
              </w:rPr>
              <w:t xml:space="preserve"> 日历天内</w:t>
            </w:r>
          </w:p>
        </w:tc>
        <w:tc>
          <w:tcPr>
            <w:tcW w:w="1898" w:type="dxa"/>
            <w:tcBorders>
              <w:top w:val="single" w:color="auto" w:sz="4" w:space="0"/>
              <w:left w:val="single" w:color="auto" w:sz="4" w:space="0"/>
              <w:bottom w:val="single" w:color="auto" w:sz="4" w:space="0"/>
              <w:right w:val="single" w:color="auto" w:sz="12" w:space="0"/>
            </w:tcBorders>
            <w:shd w:val="clear" w:color="auto" w:fill="auto"/>
            <w:vAlign w:val="center"/>
          </w:tcPr>
          <w:p>
            <w:pPr>
              <w:keepNext/>
              <w:adjustRightInd w:val="0"/>
              <w:spacing w:before="156" w:beforeLines="50" w:after="60" w:line="360" w:lineRule="auto"/>
              <w:jc w:val="center"/>
              <w:textAlignment w:val="center"/>
              <w:rPr>
                <w:rFonts w:ascii="宋体" w:hAnsi="宋体" w:eastAsia="宋体" w:cs="Times New Roman"/>
                <w:color w:val="000000"/>
                <w:szCs w:val="21"/>
              </w:rPr>
            </w:pPr>
            <w:r>
              <w:rPr>
                <w:rFonts w:hint="eastAsia" w:ascii="宋体" w:hAnsi="宋体" w:eastAsia="宋体" w:cs="宋体"/>
                <w:color w:val="000000"/>
                <w:szCs w:val="21"/>
                <w:lang w:bidi="ar"/>
              </w:rPr>
              <w:t>人民币</w:t>
            </w:r>
            <w:r>
              <w:rPr>
                <w:rFonts w:hint="eastAsia" w:ascii="宋体" w:hAnsi="宋体" w:eastAsia="宋体" w:cs="宋体"/>
                <w:color w:val="000000"/>
                <w:szCs w:val="21"/>
                <w:lang w:val="en-US" w:eastAsia="zh-CN" w:bidi="ar"/>
              </w:rPr>
              <w:t>28500</w:t>
            </w:r>
            <w:r>
              <w:rPr>
                <w:rFonts w:hint="eastAsia" w:ascii="宋体" w:hAnsi="宋体" w:eastAsia="宋体" w:cs="宋体"/>
                <w:color w:val="000000"/>
                <w:szCs w:val="21"/>
                <w:lang w:bidi="ar"/>
              </w:rPr>
              <w:t>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53" w:hRule="atLeast"/>
          <w:jc w:val="center"/>
        </w:trPr>
        <w:tc>
          <w:tcPr>
            <w:tcW w:w="2194"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256" w:type="dxa"/>
            <w:tcBorders>
              <w:top w:val="single" w:color="auto" w:sz="4" w:space="0"/>
              <w:left w:val="single" w:color="auto" w:sz="4" w:space="0"/>
              <w:bottom w:val="single" w:color="auto" w:sz="12" w:space="0"/>
              <w:right w:val="single" w:color="auto" w:sz="4" w:space="0"/>
            </w:tcBorders>
            <w:shd w:val="clear" w:color="auto" w:fill="auto"/>
            <w:vAlign w:val="center"/>
          </w:tcPr>
          <w:p>
            <w:pPr>
              <w:keepNext/>
              <w:adjustRightInd w:val="0"/>
              <w:spacing w:before="156" w:beforeLines="50" w:after="60" w:line="360" w:lineRule="auto"/>
              <w:jc w:val="center"/>
              <w:textAlignment w:val="center"/>
              <w:rPr>
                <w:rFonts w:ascii="宋体" w:hAnsi="宋体" w:eastAsia="宋体" w:cs="Times New Roman"/>
                <w:color w:val="000000"/>
                <w:szCs w:val="21"/>
              </w:rPr>
            </w:pPr>
            <w:r>
              <w:rPr>
                <w:rFonts w:hint="eastAsia" w:ascii="宋体" w:hAnsi="宋体" w:eastAsia="宋体" w:cs="宋体"/>
                <w:color w:val="000000"/>
                <w:szCs w:val="21"/>
                <w:lang w:bidi="ar"/>
              </w:rPr>
              <w:t>包组二</w:t>
            </w:r>
          </w:p>
        </w:tc>
        <w:tc>
          <w:tcPr>
            <w:tcW w:w="1132" w:type="dxa"/>
            <w:tcBorders>
              <w:top w:val="single" w:color="auto" w:sz="4" w:space="0"/>
              <w:left w:val="single" w:color="auto" w:sz="4" w:space="0"/>
              <w:bottom w:val="single" w:color="auto" w:sz="12" w:space="0"/>
              <w:right w:val="single" w:color="auto" w:sz="4" w:space="0"/>
            </w:tcBorders>
            <w:shd w:val="clear" w:color="auto" w:fill="auto"/>
            <w:vAlign w:val="center"/>
          </w:tcPr>
          <w:p>
            <w:pPr>
              <w:keepNext/>
              <w:adjustRightInd w:val="0"/>
              <w:spacing w:before="156" w:beforeLines="50" w:after="60" w:line="360" w:lineRule="auto"/>
              <w:jc w:val="center"/>
              <w:textAlignment w:val="center"/>
              <w:rPr>
                <w:rFonts w:ascii="宋体" w:hAnsi="宋体" w:eastAsia="宋体" w:cs="Times New Roman"/>
                <w:color w:val="000000"/>
                <w:szCs w:val="21"/>
              </w:rPr>
            </w:pPr>
            <w:r>
              <w:rPr>
                <w:rFonts w:hint="eastAsia" w:ascii="宋体" w:hAnsi="宋体" w:eastAsia="宋体" w:cs="宋体"/>
                <w:color w:val="000000"/>
                <w:szCs w:val="21"/>
                <w:lang w:bidi="ar"/>
              </w:rPr>
              <w:t>1批</w:t>
            </w:r>
          </w:p>
        </w:tc>
        <w:tc>
          <w:tcPr>
            <w:tcW w:w="2040" w:type="dxa"/>
            <w:tcBorders>
              <w:top w:val="single" w:color="auto" w:sz="4" w:space="0"/>
              <w:left w:val="single" w:color="auto" w:sz="4" w:space="0"/>
              <w:bottom w:val="single" w:color="auto" w:sz="12" w:space="0"/>
              <w:right w:val="single" w:color="auto" w:sz="4" w:space="0"/>
            </w:tcBorders>
            <w:shd w:val="clear" w:color="auto" w:fill="auto"/>
            <w:vAlign w:val="center"/>
          </w:tcPr>
          <w:p>
            <w:pPr>
              <w:spacing w:line="360" w:lineRule="auto"/>
              <w:jc w:val="center"/>
              <w:rPr>
                <w:rFonts w:ascii="宋体" w:hAnsi="宋体" w:eastAsia="宋体" w:cs="Times New Roman"/>
                <w:color w:val="000000"/>
                <w:szCs w:val="21"/>
              </w:rPr>
            </w:pPr>
            <w:r>
              <w:rPr>
                <w:rFonts w:hint="eastAsia" w:ascii="宋体" w:hAnsi="宋体" w:eastAsia="宋体" w:cs="Times New Roman"/>
                <w:color w:val="000000"/>
                <w:szCs w:val="21"/>
              </w:rPr>
              <w:t>自合同签订之日起</w:t>
            </w:r>
            <w:r>
              <w:rPr>
                <w:rFonts w:hint="eastAsia" w:ascii="宋体" w:hAnsi="宋体" w:eastAsia="宋体" w:cs="Times New Roman"/>
                <w:color w:val="000000"/>
                <w:szCs w:val="21"/>
                <w:lang w:val="en-US" w:eastAsia="zh-CN"/>
              </w:rPr>
              <w:t>5</w:t>
            </w:r>
            <w:bookmarkStart w:id="0" w:name="_GoBack"/>
            <w:bookmarkEnd w:id="0"/>
            <w:r>
              <w:rPr>
                <w:rFonts w:hint="eastAsia" w:ascii="宋体" w:hAnsi="宋体" w:eastAsia="宋体" w:cs="Times New Roman"/>
                <w:color w:val="000000"/>
                <w:szCs w:val="21"/>
              </w:rPr>
              <w:t xml:space="preserve"> 日历天内</w:t>
            </w:r>
          </w:p>
        </w:tc>
        <w:tc>
          <w:tcPr>
            <w:tcW w:w="1898" w:type="dxa"/>
            <w:tcBorders>
              <w:top w:val="single" w:color="auto" w:sz="4" w:space="0"/>
              <w:left w:val="single" w:color="auto" w:sz="4" w:space="0"/>
              <w:bottom w:val="single" w:color="auto" w:sz="12" w:space="0"/>
              <w:right w:val="single" w:color="auto" w:sz="12" w:space="0"/>
            </w:tcBorders>
            <w:shd w:val="clear" w:color="auto" w:fill="auto"/>
            <w:vAlign w:val="center"/>
          </w:tcPr>
          <w:p>
            <w:pPr>
              <w:keepNext/>
              <w:adjustRightInd w:val="0"/>
              <w:spacing w:before="156" w:beforeLines="50" w:after="60" w:line="360" w:lineRule="auto"/>
              <w:jc w:val="center"/>
              <w:textAlignment w:val="center"/>
              <w:rPr>
                <w:rFonts w:ascii="宋体" w:hAnsi="宋体" w:eastAsia="宋体" w:cs="Times New Roman"/>
                <w:color w:val="000000"/>
                <w:szCs w:val="21"/>
              </w:rPr>
            </w:pPr>
            <w:r>
              <w:rPr>
                <w:rFonts w:hint="eastAsia" w:ascii="宋体" w:hAnsi="宋体" w:eastAsia="宋体" w:cs="宋体"/>
                <w:color w:val="000000"/>
                <w:szCs w:val="21"/>
                <w:lang w:bidi="ar"/>
              </w:rPr>
              <w:t>人民币</w:t>
            </w:r>
            <w:r>
              <w:rPr>
                <w:rFonts w:hint="eastAsia" w:ascii="宋体" w:hAnsi="宋体" w:eastAsia="宋体" w:cs="宋体"/>
                <w:color w:val="000000"/>
                <w:szCs w:val="21"/>
                <w:lang w:val="en-US" w:eastAsia="zh-CN" w:bidi="ar"/>
              </w:rPr>
              <w:t>6500</w:t>
            </w:r>
            <w:r>
              <w:rPr>
                <w:rFonts w:hint="eastAsia" w:ascii="宋体" w:hAnsi="宋体" w:eastAsia="宋体" w:cs="宋体"/>
                <w:color w:val="000000"/>
                <w:szCs w:val="21"/>
                <w:lang w:bidi="ar"/>
              </w:rPr>
              <w:t>元</w:t>
            </w:r>
          </w:p>
        </w:tc>
      </w:tr>
    </w:tbl>
    <w:p>
      <w:pPr>
        <w:pStyle w:val="10"/>
        <w:tabs>
          <w:tab w:val="left" w:pos="540"/>
        </w:tabs>
        <w:adjustRightInd w:val="0"/>
        <w:snapToGrid w:val="0"/>
        <w:spacing w:line="360" w:lineRule="auto"/>
        <w:rPr>
          <w:rFonts w:hAnsi="宋体" w:cs="宋体"/>
          <w:b/>
          <w:bCs/>
          <w:color w:val="000000" w:themeColor="text1"/>
          <w:sz w:val="21"/>
          <w14:textFill>
            <w14:solidFill>
              <w14:schemeClr w14:val="tx1"/>
            </w14:solidFill>
          </w14:textFill>
        </w:rPr>
      </w:pPr>
    </w:p>
    <w:p>
      <w:pPr>
        <w:pStyle w:val="10"/>
        <w:numPr>
          <w:ilvl w:val="0"/>
          <w:numId w:val="15"/>
        </w:numPr>
        <w:tabs>
          <w:tab w:val="left" w:pos="540"/>
        </w:tabs>
        <w:adjustRightInd w:val="0"/>
        <w:snapToGrid w:val="0"/>
        <w:spacing w:line="360" w:lineRule="auto"/>
        <w:rPr>
          <w:rFonts w:hAnsi="宋体" w:cs="宋体"/>
          <w:b/>
          <w:color w:val="000000" w:themeColor="text1"/>
          <w:sz w:val="21"/>
          <w14:textFill>
            <w14:solidFill>
              <w14:schemeClr w14:val="tx1"/>
            </w14:solidFill>
          </w14:textFill>
        </w:rPr>
      </w:pPr>
      <w:r>
        <w:rPr>
          <w:rFonts w:hint="eastAsia" w:hAnsi="宋体" w:cs="宋体"/>
          <w:b/>
          <w:color w:val="000000" w:themeColor="text1"/>
          <w:sz w:val="21"/>
          <w14:textFill>
            <w14:solidFill>
              <w14:schemeClr w14:val="tx1"/>
            </w14:solidFill>
          </w14:textFill>
        </w:rPr>
        <w:t>采购清单</w:t>
      </w:r>
    </w:p>
    <w:p>
      <w:pPr>
        <w:pStyle w:val="10"/>
        <w:tabs>
          <w:tab w:val="left" w:pos="540"/>
        </w:tabs>
        <w:adjustRightInd w:val="0"/>
        <w:snapToGrid w:val="0"/>
        <w:spacing w:line="360" w:lineRule="auto"/>
        <w:rPr>
          <w:rFonts w:hAnsi="宋体" w:cs="宋体"/>
          <w:b/>
          <w:color w:val="000000" w:themeColor="text1"/>
          <w:sz w:val="21"/>
          <w14:textFill>
            <w14:solidFill>
              <w14:schemeClr w14:val="tx1"/>
            </w14:solidFill>
          </w14:textFill>
        </w:rPr>
      </w:pPr>
      <w:r>
        <w:rPr>
          <w:rFonts w:hint="eastAsia" w:hAnsi="宋体" w:cs="宋体"/>
          <w:b/>
          <w:color w:val="000000" w:themeColor="text1"/>
          <w:sz w:val="21"/>
          <w14:textFill>
            <w14:solidFill>
              <w14:schemeClr w14:val="tx1"/>
            </w14:solidFill>
          </w14:textFill>
        </w:rPr>
        <w:t>（一）包组一</w:t>
      </w:r>
    </w:p>
    <w:tbl>
      <w:tblPr>
        <w:tblStyle w:val="23"/>
        <w:tblW w:w="954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5"/>
        <w:gridCol w:w="3260"/>
        <w:gridCol w:w="1837"/>
        <w:gridCol w:w="834"/>
        <w:gridCol w:w="755"/>
        <w:gridCol w:w="1252"/>
        <w:gridCol w:w="11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5" w:type="dxa"/>
            <w:shd w:val="clear" w:color="auto" w:fill="auto"/>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lang w:bidi="ar"/>
              </w:rPr>
              <w:t>序号</w:t>
            </w:r>
          </w:p>
        </w:tc>
        <w:tc>
          <w:tcPr>
            <w:tcW w:w="3260" w:type="dxa"/>
            <w:shd w:val="clear" w:color="auto" w:fill="auto"/>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lang w:bidi="ar"/>
              </w:rPr>
              <w:t>名称</w:t>
            </w:r>
          </w:p>
        </w:tc>
        <w:tc>
          <w:tcPr>
            <w:tcW w:w="1837" w:type="dxa"/>
            <w:shd w:val="clear" w:color="auto" w:fill="auto"/>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lang w:bidi="ar"/>
              </w:rPr>
              <w:t>规格型号</w:t>
            </w:r>
          </w:p>
        </w:tc>
        <w:tc>
          <w:tcPr>
            <w:tcW w:w="834" w:type="dxa"/>
            <w:shd w:val="clear" w:color="auto" w:fill="auto"/>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lang w:bidi="ar"/>
              </w:rPr>
              <w:t>数量</w:t>
            </w:r>
          </w:p>
        </w:tc>
        <w:tc>
          <w:tcPr>
            <w:tcW w:w="755" w:type="dxa"/>
            <w:shd w:val="clear" w:color="auto" w:fill="auto"/>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lang w:bidi="ar"/>
              </w:rPr>
              <w:t>单位</w:t>
            </w:r>
          </w:p>
        </w:tc>
        <w:tc>
          <w:tcPr>
            <w:tcW w:w="1252" w:type="dxa"/>
            <w:shd w:val="clear" w:color="auto" w:fill="auto"/>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lang w:bidi="ar"/>
              </w:rPr>
              <w:t>技术要求</w:t>
            </w:r>
          </w:p>
        </w:tc>
        <w:tc>
          <w:tcPr>
            <w:tcW w:w="1126" w:type="dxa"/>
            <w:shd w:val="clear" w:color="auto" w:fill="auto"/>
            <w:vAlign w:val="center"/>
          </w:tcPr>
          <w:p>
            <w:pPr>
              <w:widowControl/>
              <w:jc w:val="center"/>
              <w:textAlignment w:val="center"/>
              <w:rPr>
                <w:rFonts w:ascii="宋体" w:hAnsi="宋体" w:eastAsia="宋体" w:cs="宋体"/>
                <w:b/>
                <w:color w:val="000000"/>
                <w:kern w:val="0"/>
                <w:szCs w:val="21"/>
                <w:lang w:bidi="ar"/>
              </w:rPr>
            </w:pPr>
            <w:r>
              <w:rPr>
                <w:rFonts w:hint="eastAsia" w:ascii="宋体" w:hAnsi="宋体" w:eastAsia="宋体" w:cs="宋体"/>
                <w:b/>
                <w:bCs/>
                <w:color w:val="000000"/>
                <w:kern w:val="0"/>
                <w:szCs w:val="21"/>
                <w:lang w:bidi="ar"/>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w:t>
            </w:r>
          </w:p>
        </w:tc>
        <w:tc>
          <w:tcPr>
            <w:tcW w:w="3260"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24项呼吸道病原体核酸检测试剂盒（多重荧光PCR法）</w:t>
            </w:r>
          </w:p>
        </w:tc>
        <w:tc>
          <w:tcPr>
            <w:tcW w:w="1837"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12T/盒</w:t>
            </w:r>
          </w:p>
        </w:tc>
        <w:tc>
          <w:tcPr>
            <w:tcW w:w="83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755"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盒</w:t>
            </w:r>
          </w:p>
        </w:tc>
        <w:tc>
          <w:tcPr>
            <w:tcW w:w="1252"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深圳梓健</w:t>
            </w:r>
          </w:p>
        </w:tc>
        <w:tc>
          <w:tcPr>
            <w:tcW w:w="1126" w:type="dxa"/>
            <w:shd w:val="clear" w:color="auto" w:fill="auto"/>
            <w:vAlign w:val="center"/>
          </w:tcPr>
          <w:p>
            <w:pPr>
              <w:jc w:val="center"/>
              <w:rPr>
                <w:rFonts w:ascii="宋体" w:hAnsi="宋体" w:eastAsia="宋体" w:cs="宋体"/>
                <w:color w:val="000000"/>
                <w:kern w:val="0"/>
                <w:szCs w:val="21"/>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w:t>
            </w:r>
          </w:p>
        </w:tc>
        <w:tc>
          <w:tcPr>
            <w:tcW w:w="3260"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恶性疟原虫、间日疟原虫、三日疟原虫、卵形疟原虫核酸检测试剂盒(四重荧光PCR法)</w:t>
            </w:r>
          </w:p>
        </w:tc>
        <w:tc>
          <w:tcPr>
            <w:tcW w:w="1837"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25T/盒</w:t>
            </w:r>
          </w:p>
        </w:tc>
        <w:tc>
          <w:tcPr>
            <w:tcW w:w="83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755"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盒</w:t>
            </w:r>
          </w:p>
        </w:tc>
        <w:tc>
          <w:tcPr>
            <w:tcW w:w="1252"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上海伯杰</w:t>
            </w:r>
          </w:p>
        </w:tc>
        <w:tc>
          <w:tcPr>
            <w:tcW w:w="1126" w:type="dxa"/>
            <w:shd w:val="clear" w:color="auto" w:fill="auto"/>
            <w:vAlign w:val="center"/>
          </w:tcPr>
          <w:p>
            <w:pPr>
              <w:jc w:val="center"/>
              <w:rPr>
                <w:rFonts w:ascii="宋体" w:hAnsi="宋体" w:eastAsia="宋体" w:cs="宋体"/>
                <w:color w:val="000000"/>
                <w:kern w:val="0"/>
                <w:szCs w:val="21"/>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w:t>
            </w:r>
          </w:p>
        </w:tc>
        <w:tc>
          <w:tcPr>
            <w:tcW w:w="3260"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登革热病毒通用型核酸检测试剂盒（荧光PCR法）</w:t>
            </w:r>
          </w:p>
        </w:tc>
        <w:tc>
          <w:tcPr>
            <w:tcW w:w="1837"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50T/盒</w:t>
            </w:r>
          </w:p>
        </w:tc>
        <w:tc>
          <w:tcPr>
            <w:tcW w:w="83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755"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盒</w:t>
            </w:r>
          </w:p>
        </w:tc>
        <w:tc>
          <w:tcPr>
            <w:tcW w:w="1252"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广州生凌</w:t>
            </w:r>
          </w:p>
        </w:tc>
        <w:tc>
          <w:tcPr>
            <w:tcW w:w="1126" w:type="dxa"/>
            <w:shd w:val="clear" w:color="auto" w:fill="auto"/>
            <w:vAlign w:val="center"/>
          </w:tcPr>
          <w:p>
            <w:pPr>
              <w:jc w:val="center"/>
              <w:rPr>
                <w:rFonts w:ascii="宋体" w:hAnsi="宋体" w:eastAsia="宋体" w:cs="宋体"/>
                <w:color w:val="000000"/>
                <w:kern w:val="0"/>
                <w:szCs w:val="21"/>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4</w:t>
            </w:r>
          </w:p>
        </w:tc>
        <w:tc>
          <w:tcPr>
            <w:tcW w:w="3260"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恶性疟原虫、间日疟原虫、三日疟原虫、卵形疟原虫胶体金快速检测试剂盒</w:t>
            </w:r>
          </w:p>
        </w:tc>
        <w:tc>
          <w:tcPr>
            <w:tcW w:w="1837"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25T/盒</w:t>
            </w:r>
          </w:p>
        </w:tc>
        <w:tc>
          <w:tcPr>
            <w:tcW w:w="83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755"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盒</w:t>
            </w:r>
          </w:p>
        </w:tc>
        <w:tc>
          <w:tcPr>
            <w:tcW w:w="1252"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杭州博拓</w:t>
            </w:r>
          </w:p>
        </w:tc>
        <w:tc>
          <w:tcPr>
            <w:tcW w:w="1126" w:type="dxa"/>
            <w:shd w:val="clear" w:color="auto" w:fill="auto"/>
            <w:vAlign w:val="center"/>
          </w:tcPr>
          <w:p>
            <w:pPr>
              <w:jc w:val="center"/>
              <w:rPr>
                <w:rFonts w:ascii="宋体" w:hAnsi="宋体" w:eastAsia="宋体" w:cs="宋体"/>
                <w:color w:val="000000"/>
                <w:kern w:val="0"/>
                <w:szCs w:val="21"/>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5</w:t>
            </w:r>
          </w:p>
        </w:tc>
        <w:tc>
          <w:tcPr>
            <w:tcW w:w="3260"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纳氏试剂</w:t>
            </w:r>
          </w:p>
        </w:tc>
        <w:tc>
          <w:tcPr>
            <w:tcW w:w="1837"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500mL</w:t>
            </w:r>
          </w:p>
        </w:tc>
        <w:tc>
          <w:tcPr>
            <w:tcW w:w="83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w:t>
            </w:r>
          </w:p>
        </w:tc>
        <w:tc>
          <w:tcPr>
            <w:tcW w:w="755"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1252"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天津大茂</w:t>
            </w:r>
          </w:p>
        </w:tc>
        <w:tc>
          <w:tcPr>
            <w:tcW w:w="1126" w:type="dxa"/>
            <w:shd w:val="clear" w:color="auto" w:fill="auto"/>
            <w:vAlign w:val="center"/>
          </w:tcPr>
          <w:p>
            <w:pPr>
              <w:jc w:val="center"/>
              <w:rPr>
                <w:rFonts w:ascii="宋体" w:hAnsi="宋体" w:eastAsia="宋体" w:cs="宋体"/>
                <w:color w:val="000000"/>
                <w:kern w:val="0"/>
                <w:szCs w:val="21"/>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6</w:t>
            </w:r>
          </w:p>
        </w:tc>
        <w:tc>
          <w:tcPr>
            <w:tcW w:w="3260"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尿中碘元素标准物质</w:t>
            </w:r>
          </w:p>
        </w:tc>
        <w:tc>
          <w:tcPr>
            <w:tcW w:w="1837" w:type="dxa"/>
            <w:shd w:val="clear" w:color="auto" w:fill="auto"/>
            <w:vAlign w:val="center"/>
          </w:tcPr>
          <w:p>
            <w:pPr>
              <w:jc w:val="center"/>
              <w:rPr>
                <w:rFonts w:asciiTheme="minorEastAsia" w:hAnsiTheme="minorEastAsia" w:cstheme="minorEastAsia"/>
                <w:color w:val="000000"/>
                <w:szCs w:val="21"/>
              </w:rPr>
            </w:pPr>
          </w:p>
        </w:tc>
        <w:tc>
          <w:tcPr>
            <w:tcW w:w="83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755"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套</w:t>
            </w:r>
          </w:p>
        </w:tc>
        <w:tc>
          <w:tcPr>
            <w:tcW w:w="1252"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国家碘缺乏病实验室</w:t>
            </w:r>
          </w:p>
        </w:tc>
        <w:tc>
          <w:tcPr>
            <w:tcW w:w="1126" w:type="dxa"/>
            <w:shd w:val="clear" w:color="auto" w:fill="auto"/>
            <w:vAlign w:val="center"/>
          </w:tcPr>
          <w:p>
            <w:pPr>
              <w:jc w:val="center"/>
              <w:rPr>
                <w:rFonts w:ascii="宋体" w:hAnsi="宋体" w:eastAsia="宋体" w:cs="宋体"/>
                <w:color w:val="000000"/>
                <w:kern w:val="0"/>
                <w:szCs w:val="21"/>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7</w:t>
            </w:r>
          </w:p>
        </w:tc>
        <w:tc>
          <w:tcPr>
            <w:tcW w:w="3260"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铼标准溶液（20%硝酸介质）</w:t>
            </w:r>
          </w:p>
        </w:tc>
        <w:tc>
          <w:tcPr>
            <w:tcW w:w="1837"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1000mg/L，50ml</w:t>
            </w:r>
          </w:p>
        </w:tc>
        <w:tc>
          <w:tcPr>
            <w:tcW w:w="83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755"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1252"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坛墨（含证书）</w:t>
            </w:r>
          </w:p>
        </w:tc>
        <w:tc>
          <w:tcPr>
            <w:tcW w:w="1126" w:type="dxa"/>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BW30048-1000-N-50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8</w:t>
            </w:r>
          </w:p>
        </w:tc>
        <w:tc>
          <w:tcPr>
            <w:tcW w:w="3260"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多功能急救冲肤洗眼站</w:t>
            </w:r>
          </w:p>
        </w:tc>
        <w:tc>
          <w:tcPr>
            <w:tcW w:w="1837" w:type="dxa"/>
            <w:shd w:val="clear" w:color="auto" w:fill="auto"/>
            <w:vAlign w:val="center"/>
          </w:tcPr>
          <w:p>
            <w:pPr>
              <w:jc w:val="center"/>
              <w:rPr>
                <w:rFonts w:asciiTheme="minorEastAsia" w:hAnsiTheme="minorEastAsia" w:cstheme="minorEastAsia"/>
                <w:color w:val="000000"/>
                <w:szCs w:val="21"/>
              </w:rPr>
            </w:pPr>
          </w:p>
        </w:tc>
        <w:tc>
          <w:tcPr>
            <w:tcW w:w="83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c>
          <w:tcPr>
            <w:tcW w:w="755"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套</w:t>
            </w:r>
          </w:p>
        </w:tc>
        <w:tc>
          <w:tcPr>
            <w:tcW w:w="1252"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越翔室验厂</w:t>
            </w:r>
          </w:p>
        </w:tc>
        <w:tc>
          <w:tcPr>
            <w:tcW w:w="1126" w:type="dxa"/>
            <w:shd w:val="clear" w:color="auto" w:fill="auto"/>
            <w:vAlign w:val="center"/>
          </w:tcPr>
          <w:p>
            <w:pPr>
              <w:jc w:val="center"/>
              <w:rPr>
                <w:rFonts w:ascii="宋体" w:hAnsi="宋体" w:eastAsia="宋体" w:cs="宋体"/>
                <w:color w:val="000000"/>
                <w:kern w:val="0"/>
                <w:szCs w:val="21"/>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9</w:t>
            </w:r>
          </w:p>
        </w:tc>
        <w:tc>
          <w:tcPr>
            <w:tcW w:w="3260"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标样/甲醇中三氯甲烷</w:t>
            </w:r>
          </w:p>
        </w:tc>
        <w:tc>
          <w:tcPr>
            <w:tcW w:w="1837"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6.93μg/mL(不稀释)、2ml</w:t>
            </w:r>
          </w:p>
        </w:tc>
        <w:tc>
          <w:tcPr>
            <w:tcW w:w="83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755"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支</w:t>
            </w:r>
          </w:p>
        </w:tc>
        <w:tc>
          <w:tcPr>
            <w:tcW w:w="1252"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坛墨（含证书）</w:t>
            </w:r>
          </w:p>
        </w:tc>
        <w:tc>
          <w:tcPr>
            <w:tcW w:w="1126" w:type="dxa"/>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BY400113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10</w:t>
            </w:r>
          </w:p>
        </w:tc>
        <w:tc>
          <w:tcPr>
            <w:tcW w:w="3260"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标准物质/甲醇中三氯甲烷</w:t>
            </w:r>
          </w:p>
        </w:tc>
        <w:tc>
          <w:tcPr>
            <w:tcW w:w="1837"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1000μg/mL、2ml</w:t>
            </w:r>
          </w:p>
        </w:tc>
        <w:tc>
          <w:tcPr>
            <w:tcW w:w="83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755"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支</w:t>
            </w:r>
          </w:p>
        </w:tc>
        <w:tc>
          <w:tcPr>
            <w:tcW w:w="1252"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坛墨（含证书）</w:t>
            </w:r>
          </w:p>
        </w:tc>
        <w:tc>
          <w:tcPr>
            <w:tcW w:w="1126" w:type="dxa"/>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BW902793-1000-A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11</w:t>
            </w:r>
          </w:p>
        </w:tc>
        <w:tc>
          <w:tcPr>
            <w:tcW w:w="3260"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酚试剂</w:t>
            </w:r>
          </w:p>
        </w:tc>
        <w:tc>
          <w:tcPr>
            <w:tcW w:w="1837"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分析纯、5g/瓶</w:t>
            </w:r>
          </w:p>
        </w:tc>
        <w:tc>
          <w:tcPr>
            <w:tcW w:w="83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755"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1252"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天津大茂</w:t>
            </w:r>
          </w:p>
        </w:tc>
        <w:tc>
          <w:tcPr>
            <w:tcW w:w="1126" w:type="dxa"/>
            <w:shd w:val="clear" w:color="auto" w:fill="auto"/>
            <w:vAlign w:val="center"/>
          </w:tcPr>
          <w:p>
            <w:pPr>
              <w:jc w:val="center"/>
              <w:rPr>
                <w:rFonts w:ascii="宋体" w:hAnsi="宋体" w:eastAsia="宋体" w:cs="宋体"/>
                <w:color w:val="000000"/>
                <w:kern w:val="0"/>
                <w:szCs w:val="21"/>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12</w:t>
            </w:r>
          </w:p>
        </w:tc>
        <w:tc>
          <w:tcPr>
            <w:tcW w:w="3260"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硫酸铁铵</w:t>
            </w:r>
          </w:p>
        </w:tc>
        <w:tc>
          <w:tcPr>
            <w:tcW w:w="1837"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分析纯、500g/瓶</w:t>
            </w:r>
          </w:p>
        </w:tc>
        <w:tc>
          <w:tcPr>
            <w:tcW w:w="83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755"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1252"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天津大茂</w:t>
            </w:r>
          </w:p>
        </w:tc>
        <w:tc>
          <w:tcPr>
            <w:tcW w:w="1126" w:type="dxa"/>
            <w:shd w:val="clear" w:color="auto" w:fill="auto"/>
            <w:vAlign w:val="center"/>
          </w:tcPr>
          <w:p>
            <w:pPr>
              <w:jc w:val="center"/>
              <w:rPr>
                <w:rFonts w:ascii="宋体" w:hAnsi="宋体" w:eastAsia="宋体" w:cs="宋体"/>
                <w:color w:val="000000"/>
                <w:kern w:val="0"/>
                <w:szCs w:val="21"/>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5" w:type="dxa"/>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13</w:t>
            </w:r>
          </w:p>
        </w:tc>
        <w:tc>
          <w:tcPr>
            <w:tcW w:w="3260"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标准品/水中亚硝酸盐</w:t>
            </w:r>
          </w:p>
        </w:tc>
        <w:tc>
          <w:tcPr>
            <w:tcW w:w="1837"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c(NO2-)=200μg/m，50ml</w:t>
            </w:r>
          </w:p>
        </w:tc>
        <w:tc>
          <w:tcPr>
            <w:tcW w:w="83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755"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1252"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产品编号：SRM-C13M1BAO</w:t>
            </w:r>
          </w:p>
        </w:tc>
        <w:tc>
          <w:tcPr>
            <w:tcW w:w="1126" w:type="dxa"/>
            <w:shd w:val="clear" w:color="auto" w:fill="auto"/>
            <w:vAlign w:val="center"/>
          </w:tcPr>
          <w:p>
            <w:pPr>
              <w:jc w:val="center"/>
              <w:rPr>
                <w:rFonts w:ascii="宋体" w:hAnsi="宋体" w:eastAsia="宋体" w:cs="宋体"/>
                <w:color w:val="000000"/>
                <w:kern w:val="0"/>
                <w:szCs w:val="21"/>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5" w:type="dxa"/>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14</w:t>
            </w:r>
          </w:p>
        </w:tc>
        <w:tc>
          <w:tcPr>
            <w:tcW w:w="3260"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标准物质/水中氯离子</w:t>
            </w:r>
          </w:p>
        </w:tc>
        <w:tc>
          <w:tcPr>
            <w:tcW w:w="1837"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1000mg/L、50ml</w:t>
            </w:r>
          </w:p>
        </w:tc>
        <w:tc>
          <w:tcPr>
            <w:tcW w:w="834"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755"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1252" w:type="dxa"/>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坛墨（含证书）</w:t>
            </w:r>
          </w:p>
        </w:tc>
        <w:tc>
          <w:tcPr>
            <w:tcW w:w="1126" w:type="dxa"/>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GBW(E)082683</w:t>
            </w:r>
          </w:p>
        </w:tc>
      </w:tr>
    </w:tbl>
    <w:p>
      <w:pPr>
        <w:pStyle w:val="10"/>
        <w:tabs>
          <w:tab w:val="left" w:pos="540"/>
        </w:tabs>
        <w:adjustRightInd w:val="0"/>
        <w:snapToGrid w:val="0"/>
        <w:spacing w:line="360" w:lineRule="auto"/>
        <w:rPr>
          <w:rFonts w:hAnsi="宋体"/>
          <w:b/>
          <w:sz w:val="21"/>
        </w:rPr>
      </w:pPr>
      <w:r>
        <w:rPr>
          <w:rFonts w:hAnsi="宋体"/>
          <w:b/>
          <w:sz w:val="21"/>
        </w:rPr>
        <w:t>（</w:t>
      </w:r>
      <w:r>
        <w:rPr>
          <w:rFonts w:hint="eastAsia" w:hAnsi="宋体"/>
          <w:b/>
          <w:sz w:val="21"/>
        </w:rPr>
        <w:t>二</w:t>
      </w:r>
      <w:r>
        <w:rPr>
          <w:rFonts w:hAnsi="宋体"/>
          <w:b/>
          <w:sz w:val="21"/>
        </w:rPr>
        <w:t>）包组二</w:t>
      </w:r>
    </w:p>
    <w:tbl>
      <w:tblPr>
        <w:tblStyle w:val="23"/>
        <w:tblW w:w="954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5"/>
        <w:gridCol w:w="2397"/>
        <w:gridCol w:w="1767"/>
        <w:gridCol w:w="922"/>
        <w:gridCol w:w="867"/>
        <w:gridCol w:w="1985"/>
        <w:gridCol w:w="11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5" w:type="dxa"/>
            <w:shd w:val="clear" w:color="auto" w:fill="auto"/>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lang w:bidi="ar"/>
              </w:rPr>
              <w:t>序号</w:t>
            </w:r>
          </w:p>
        </w:tc>
        <w:tc>
          <w:tcPr>
            <w:tcW w:w="2397" w:type="dxa"/>
            <w:shd w:val="clear" w:color="auto" w:fill="auto"/>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lang w:bidi="ar"/>
              </w:rPr>
              <w:t>名称</w:t>
            </w:r>
          </w:p>
        </w:tc>
        <w:tc>
          <w:tcPr>
            <w:tcW w:w="1767" w:type="dxa"/>
            <w:shd w:val="clear" w:color="auto" w:fill="auto"/>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lang w:bidi="ar"/>
              </w:rPr>
              <w:t>规格型号</w:t>
            </w:r>
          </w:p>
        </w:tc>
        <w:tc>
          <w:tcPr>
            <w:tcW w:w="922" w:type="dxa"/>
            <w:shd w:val="clear" w:color="auto" w:fill="auto"/>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lang w:bidi="ar"/>
              </w:rPr>
              <w:t>数量</w:t>
            </w:r>
          </w:p>
        </w:tc>
        <w:tc>
          <w:tcPr>
            <w:tcW w:w="867" w:type="dxa"/>
            <w:shd w:val="clear" w:color="auto" w:fill="auto"/>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lang w:bidi="ar"/>
              </w:rPr>
              <w:t>单位</w:t>
            </w:r>
          </w:p>
        </w:tc>
        <w:tc>
          <w:tcPr>
            <w:tcW w:w="1985" w:type="dxa"/>
            <w:shd w:val="clear" w:color="auto" w:fill="auto"/>
            <w:vAlign w:val="center"/>
          </w:tcPr>
          <w:p>
            <w:pPr>
              <w:widowControl/>
              <w:jc w:val="center"/>
              <w:textAlignment w:val="center"/>
              <w:rPr>
                <w:rFonts w:cs="宋体" w:asciiTheme="minorEastAsia" w:hAnsiTheme="minorEastAsia"/>
                <w:b/>
                <w:color w:val="000000"/>
                <w:szCs w:val="21"/>
              </w:rPr>
            </w:pPr>
            <w:r>
              <w:rPr>
                <w:rFonts w:hint="eastAsia" w:cs="宋体" w:asciiTheme="minorEastAsia" w:hAnsiTheme="minorEastAsia"/>
                <w:b/>
                <w:color w:val="000000"/>
                <w:kern w:val="0"/>
                <w:szCs w:val="21"/>
                <w:lang w:bidi="ar"/>
              </w:rPr>
              <w:t>技术要求</w:t>
            </w:r>
          </w:p>
        </w:tc>
        <w:tc>
          <w:tcPr>
            <w:tcW w:w="1126" w:type="dxa"/>
            <w:shd w:val="clear" w:color="auto" w:fill="auto"/>
            <w:vAlign w:val="center"/>
          </w:tcPr>
          <w:p>
            <w:pPr>
              <w:widowControl/>
              <w:jc w:val="center"/>
              <w:textAlignment w:val="center"/>
              <w:rPr>
                <w:rFonts w:ascii="宋体" w:hAnsi="宋体" w:eastAsia="宋体" w:cs="宋体"/>
                <w:b/>
                <w:color w:val="000000"/>
                <w:kern w:val="0"/>
                <w:szCs w:val="21"/>
                <w:lang w:bidi="ar"/>
              </w:rPr>
            </w:pPr>
            <w:r>
              <w:rPr>
                <w:rFonts w:hint="eastAsia" w:ascii="宋体" w:hAnsi="宋体" w:eastAsia="宋体" w:cs="宋体"/>
                <w:b/>
                <w:bCs/>
                <w:color w:val="000000"/>
                <w:kern w:val="0"/>
                <w:szCs w:val="21"/>
                <w:lang w:bidi="ar"/>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w:t>
            </w:r>
          </w:p>
        </w:tc>
        <w:tc>
          <w:tcPr>
            <w:tcW w:w="2397"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硝酸</w:t>
            </w:r>
          </w:p>
        </w:tc>
        <w:tc>
          <w:tcPr>
            <w:tcW w:w="1767"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2.5L/瓶</w:t>
            </w:r>
          </w:p>
        </w:tc>
        <w:tc>
          <w:tcPr>
            <w:tcW w:w="922"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867"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985"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上海默克 优级纯</w:t>
            </w:r>
          </w:p>
        </w:tc>
        <w:tc>
          <w:tcPr>
            <w:tcW w:w="1126" w:type="dxa"/>
            <w:shd w:val="clear" w:color="auto" w:fill="auto"/>
            <w:vAlign w:val="center"/>
          </w:tcPr>
          <w:p>
            <w:pPr>
              <w:jc w:val="center"/>
              <w:rPr>
                <w:rFonts w:ascii="宋体" w:hAnsi="宋体" w:eastAsia="宋体" w:cs="宋体"/>
                <w:color w:val="000000"/>
                <w:kern w:val="0"/>
                <w:szCs w:val="21"/>
                <w:lang w:bidi="ar"/>
              </w:rPr>
            </w:pPr>
          </w:p>
        </w:tc>
      </w:tr>
    </w:tbl>
    <w:p>
      <w:pPr>
        <w:pStyle w:val="10"/>
        <w:tabs>
          <w:tab w:val="left" w:pos="540"/>
        </w:tabs>
        <w:adjustRightInd w:val="0"/>
        <w:snapToGrid w:val="0"/>
        <w:spacing w:line="360" w:lineRule="auto"/>
        <w:rPr>
          <w:rFonts w:hAnsi="宋体" w:cs="宋体"/>
          <w:b/>
          <w:bCs/>
          <w:color w:val="000000"/>
          <w:sz w:val="21"/>
        </w:rPr>
      </w:pPr>
    </w:p>
    <w:p>
      <w:pPr>
        <w:pStyle w:val="10"/>
        <w:numPr>
          <w:ilvl w:val="0"/>
          <w:numId w:val="15"/>
        </w:numPr>
        <w:tabs>
          <w:tab w:val="left" w:pos="540"/>
        </w:tabs>
        <w:adjustRightInd w:val="0"/>
        <w:snapToGrid w:val="0"/>
        <w:spacing w:line="360" w:lineRule="auto"/>
        <w:rPr>
          <w:rFonts w:hAnsi="宋体"/>
          <w:b/>
          <w:bCs/>
          <w:color w:val="000000" w:themeColor="text1"/>
          <w:sz w:val="21"/>
          <w14:textFill>
            <w14:solidFill>
              <w14:schemeClr w14:val="tx1"/>
            </w14:solidFill>
          </w14:textFill>
        </w:rPr>
      </w:pPr>
      <w:r>
        <w:rPr>
          <w:rFonts w:hint="eastAsia" w:hAnsi="宋体"/>
          <w:b/>
          <w:bCs/>
          <w:color w:val="000000" w:themeColor="text1"/>
          <w:sz w:val="21"/>
          <w14:textFill>
            <w14:solidFill>
              <w14:schemeClr w14:val="tx1"/>
            </w14:solidFill>
          </w14:textFill>
        </w:rPr>
        <w:t>供货要求</w:t>
      </w:r>
    </w:p>
    <w:p>
      <w:pPr>
        <w:pStyle w:val="40"/>
        <w:numPr>
          <w:ilvl w:val="0"/>
          <w:numId w:val="16"/>
        </w:numPr>
        <w:ind w:left="844" w:hanging="844" w:hangingChars="402"/>
      </w:pPr>
      <w:r>
        <w:rPr>
          <w:rFonts w:hint="eastAsia"/>
        </w:rPr>
        <w:t>包装、发运、验收等必须符合国家及行业相关规定执行。</w:t>
      </w:r>
    </w:p>
    <w:p>
      <w:pPr>
        <w:pStyle w:val="10"/>
        <w:numPr>
          <w:ilvl w:val="0"/>
          <w:numId w:val="15"/>
        </w:numPr>
        <w:tabs>
          <w:tab w:val="left" w:pos="540"/>
        </w:tabs>
        <w:adjustRightInd w:val="0"/>
        <w:snapToGrid w:val="0"/>
        <w:spacing w:line="360" w:lineRule="auto"/>
        <w:rPr>
          <w:rFonts w:hAnsi="宋体" w:cs="宋体"/>
          <w:b/>
          <w:color w:val="000000" w:themeColor="text1"/>
          <w:sz w:val="21"/>
          <w14:textFill>
            <w14:solidFill>
              <w14:schemeClr w14:val="tx1"/>
            </w14:solidFill>
          </w14:textFill>
        </w:rPr>
      </w:pPr>
      <w:r>
        <w:rPr>
          <w:rFonts w:hint="eastAsia" w:hAnsi="宋体" w:cs="宋体"/>
          <w:b/>
          <w:color w:val="000000" w:themeColor="text1"/>
          <w:sz w:val="21"/>
          <w14:textFill>
            <w14:solidFill>
              <w14:schemeClr w14:val="tx1"/>
            </w14:solidFill>
          </w14:textFill>
        </w:rPr>
        <w:t>商务要求：</w:t>
      </w:r>
    </w:p>
    <w:p>
      <w:pPr>
        <w:pStyle w:val="10"/>
        <w:numPr>
          <w:ilvl w:val="0"/>
          <w:numId w:val="17"/>
        </w:numPr>
        <w:tabs>
          <w:tab w:val="left" w:pos="540"/>
        </w:tabs>
        <w:adjustRightInd w:val="0"/>
        <w:snapToGrid w:val="0"/>
        <w:spacing w:line="360" w:lineRule="auto"/>
        <w:rPr>
          <w:rFonts w:hAnsi="宋体" w:cs="宋体"/>
          <w:color w:val="000000" w:themeColor="text1"/>
          <w:sz w:val="21"/>
          <w14:textFill>
            <w14:solidFill>
              <w14:schemeClr w14:val="tx1"/>
            </w14:solidFill>
          </w14:textFill>
        </w:rPr>
      </w:pPr>
      <w:r>
        <w:rPr>
          <w:rFonts w:hint="eastAsia" w:hAnsi="宋体" w:cs="宋体"/>
          <w:b/>
          <w:color w:val="000000" w:themeColor="text1"/>
          <w:sz w:val="21"/>
          <w14:textFill>
            <w14:solidFill>
              <w14:schemeClr w14:val="tx1"/>
            </w14:solidFill>
          </w14:textFill>
        </w:rPr>
        <w:t>质保期及售后服务要求</w:t>
      </w:r>
    </w:p>
    <w:p>
      <w:pPr>
        <w:numPr>
          <w:ilvl w:val="0"/>
          <w:numId w:val="18"/>
        </w:numPr>
        <w:tabs>
          <w:tab w:val="left" w:pos="851"/>
        </w:tabs>
        <w:autoSpaceDE w:val="0"/>
        <w:autoSpaceDN w:val="0"/>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质量保证期（简称“质保期”）为1年，质保期内免费提供上门检测、维护、保修等服务。</w:t>
      </w:r>
    </w:p>
    <w:p>
      <w:pPr>
        <w:numPr>
          <w:ilvl w:val="0"/>
          <w:numId w:val="18"/>
        </w:numPr>
        <w:tabs>
          <w:tab w:val="left" w:pos="851"/>
        </w:tabs>
        <w:autoSpaceDE w:val="0"/>
        <w:autoSpaceDN w:val="0"/>
        <w:adjustRightInd w:val="0"/>
        <w:snapToGrid w:val="0"/>
        <w:spacing w:line="360" w:lineRule="auto"/>
        <w:ind w:left="0" w:firstLine="0"/>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对采购人的服务通知，成交人在接报后1小时内响应，4小时内到达现场，48小时内处理完毕。若在48小时内仍未能有效解决，成交人须免费提供同档次的货物予采购人临时使用。</w:t>
      </w:r>
    </w:p>
    <w:p>
      <w:pPr>
        <w:pStyle w:val="10"/>
        <w:numPr>
          <w:ilvl w:val="0"/>
          <w:numId w:val="17"/>
        </w:numPr>
        <w:tabs>
          <w:tab w:val="left" w:pos="540"/>
        </w:tabs>
        <w:adjustRightInd w:val="0"/>
        <w:snapToGrid w:val="0"/>
        <w:spacing w:line="360" w:lineRule="auto"/>
        <w:rPr>
          <w:rFonts w:hAnsi="宋体" w:cs="宋体"/>
          <w:b/>
          <w:color w:val="000000" w:themeColor="text1"/>
          <w:sz w:val="21"/>
          <w14:textFill>
            <w14:solidFill>
              <w14:schemeClr w14:val="tx1"/>
            </w14:solidFill>
          </w14:textFill>
        </w:rPr>
      </w:pPr>
      <w:r>
        <w:rPr>
          <w:rFonts w:hint="eastAsia" w:hAnsi="宋体" w:cs="宋体"/>
          <w:b/>
          <w:color w:val="000000" w:themeColor="text1"/>
          <w:sz w:val="21"/>
          <w14:textFill>
            <w14:solidFill>
              <w14:schemeClr w14:val="tx1"/>
            </w14:solidFill>
          </w14:textFill>
        </w:rPr>
        <w:t>包装、保险及发运、保管要求</w:t>
      </w:r>
    </w:p>
    <w:p>
      <w:pPr>
        <w:numPr>
          <w:ilvl w:val="0"/>
          <w:numId w:val="19"/>
        </w:numPr>
        <w:adjustRightInd w:val="0"/>
        <w:snapToGrid w:val="0"/>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设备材料的包装必须是制造商原厂包装，其包装均应有良好的防湿、防锈、防潮、防雨、防腐及防碰撞的措施。凡由于包装不良造成的损失和由此产生的费用均由供应商承担。</w:t>
      </w:r>
    </w:p>
    <w:p>
      <w:pPr>
        <w:numPr>
          <w:ilvl w:val="0"/>
          <w:numId w:val="19"/>
        </w:numPr>
        <w:adjustRightInd w:val="0"/>
        <w:snapToGrid w:val="0"/>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成交</w:t>
      </w:r>
      <w:r>
        <w:rPr>
          <w:rFonts w:hint="eastAsia" w:ascii="宋体" w:hAnsi="宋体" w:eastAsia="宋体" w:cs="宋体"/>
          <w:iCs/>
          <w:szCs w:val="21"/>
          <w:lang w:bidi="ar"/>
        </w:rPr>
        <w:t>供应商</w:t>
      </w:r>
      <w:r>
        <w:rPr>
          <w:rFonts w:hint="eastAsia" w:ascii="宋体" w:hAnsi="宋体" w:eastAsia="宋体" w:cs="宋体"/>
          <w:color w:val="000000" w:themeColor="text1"/>
          <w:szCs w:val="21"/>
          <w14:textFill>
            <w14:solidFill>
              <w14:schemeClr w14:val="tx1"/>
            </w14:solidFill>
          </w14:textFill>
        </w:rPr>
        <w:t>负责将设备材料货到现场过程中的全部运输，包括装卸车、货物现场的搬运。</w:t>
      </w:r>
    </w:p>
    <w:p>
      <w:pPr>
        <w:numPr>
          <w:ilvl w:val="0"/>
          <w:numId w:val="19"/>
        </w:numPr>
        <w:adjustRightInd w:val="0"/>
        <w:snapToGrid w:val="0"/>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各种设备必须提供装箱清单，按装箱清单验收货物。</w:t>
      </w:r>
    </w:p>
    <w:p>
      <w:pPr>
        <w:numPr>
          <w:ilvl w:val="0"/>
          <w:numId w:val="19"/>
        </w:numPr>
        <w:adjustRightInd w:val="0"/>
        <w:snapToGrid w:val="0"/>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货物在现场的保管由成交</w:t>
      </w:r>
      <w:r>
        <w:rPr>
          <w:rFonts w:hint="eastAsia" w:ascii="宋体" w:hAnsi="宋体" w:eastAsia="宋体" w:cs="宋体"/>
          <w:iCs/>
          <w:szCs w:val="21"/>
          <w:lang w:bidi="ar"/>
        </w:rPr>
        <w:t>供应商</w:t>
      </w:r>
      <w:r>
        <w:rPr>
          <w:rFonts w:hint="eastAsia" w:ascii="宋体" w:hAnsi="宋体" w:eastAsia="宋体" w:cs="宋体"/>
          <w:color w:val="000000" w:themeColor="text1"/>
          <w:szCs w:val="21"/>
          <w14:textFill>
            <w14:solidFill>
              <w14:schemeClr w14:val="tx1"/>
            </w14:solidFill>
          </w14:textFill>
        </w:rPr>
        <w:t>负责，直至项目安装、验收完毕。</w:t>
      </w:r>
    </w:p>
    <w:p>
      <w:pPr>
        <w:numPr>
          <w:ilvl w:val="0"/>
          <w:numId w:val="19"/>
        </w:numPr>
        <w:adjustRightInd w:val="0"/>
        <w:snapToGrid w:val="0"/>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货物至采购人指定的使用现场的包装、保险及发运等环节和费用均由成交</w:t>
      </w:r>
      <w:r>
        <w:rPr>
          <w:rFonts w:hint="eastAsia" w:ascii="宋体" w:hAnsi="宋体" w:eastAsia="宋体" w:cs="宋体"/>
          <w:iCs/>
          <w:szCs w:val="21"/>
          <w:lang w:bidi="ar"/>
        </w:rPr>
        <w:t>供应商</w:t>
      </w:r>
      <w:r>
        <w:rPr>
          <w:rFonts w:hint="eastAsia" w:ascii="宋体" w:hAnsi="宋体" w:eastAsia="宋体" w:cs="宋体"/>
          <w:color w:val="000000" w:themeColor="text1"/>
          <w:szCs w:val="21"/>
          <w14:textFill>
            <w14:solidFill>
              <w14:schemeClr w14:val="tx1"/>
            </w14:solidFill>
          </w14:textFill>
        </w:rPr>
        <w:t>负责。</w:t>
      </w:r>
    </w:p>
    <w:p>
      <w:pPr>
        <w:pStyle w:val="10"/>
        <w:numPr>
          <w:ilvl w:val="0"/>
          <w:numId w:val="17"/>
        </w:numPr>
        <w:tabs>
          <w:tab w:val="left" w:pos="540"/>
        </w:tabs>
        <w:adjustRightInd w:val="0"/>
        <w:snapToGrid w:val="0"/>
        <w:spacing w:line="360" w:lineRule="auto"/>
        <w:rPr>
          <w:rFonts w:hAnsi="宋体" w:cs="宋体"/>
          <w:b/>
          <w:color w:val="000000" w:themeColor="text1"/>
          <w:sz w:val="21"/>
          <w14:textFill>
            <w14:solidFill>
              <w14:schemeClr w14:val="tx1"/>
            </w14:solidFill>
          </w14:textFill>
        </w:rPr>
      </w:pPr>
      <w:r>
        <w:rPr>
          <w:rFonts w:hint="eastAsia" w:hAnsi="宋体" w:cs="宋体"/>
          <w:b/>
          <w:color w:val="000000" w:themeColor="text1"/>
          <w:sz w:val="21"/>
          <w14:textFill>
            <w14:solidFill>
              <w14:schemeClr w14:val="tx1"/>
            </w14:solidFill>
          </w14:textFill>
        </w:rPr>
        <w:t>安装、调试与验收</w:t>
      </w:r>
    </w:p>
    <w:p>
      <w:pPr>
        <w:pStyle w:val="10"/>
        <w:numPr>
          <w:ilvl w:val="0"/>
          <w:numId w:val="20"/>
        </w:numPr>
        <w:tabs>
          <w:tab w:val="left" w:pos="540"/>
        </w:tabs>
        <w:adjustRightInd w:val="0"/>
        <w:snapToGrid w:val="0"/>
        <w:spacing w:line="360" w:lineRule="auto"/>
        <w:ind w:left="425" w:hanging="425"/>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 xml:space="preserve">货物若有国家标准按照国家标准验收，若无国家标准按行业标准验收，为原制造商制造的全新产品，整机无污染，无侵权行为、表面无划损、无任何缺陷隐患，在中国境内可依常规安全合法使用。 </w:t>
      </w:r>
    </w:p>
    <w:p>
      <w:pPr>
        <w:numPr>
          <w:ilvl w:val="0"/>
          <w:numId w:val="20"/>
        </w:numPr>
        <w:tabs>
          <w:tab w:val="left" w:pos="900"/>
        </w:tabs>
        <w:autoSpaceDE w:val="0"/>
        <w:autoSpaceDN w:val="0"/>
        <w:adjustRightInd w:val="0"/>
        <w:snapToGrid w:val="0"/>
        <w:spacing w:line="360" w:lineRule="auto"/>
        <w:ind w:left="425" w:hanging="425"/>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货物为原厂商未启封全新包装，具出厂合格证，序列号、包装箱号与出厂批号一致，并可追索查阅。所有随设备的附件必须齐全。</w:t>
      </w:r>
    </w:p>
    <w:p>
      <w:pPr>
        <w:numPr>
          <w:ilvl w:val="0"/>
          <w:numId w:val="20"/>
        </w:numPr>
        <w:tabs>
          <w:tab w:val="left" w:pos="900"/>
        </w:tabs>
        <w:autoSpaceDE w:val="0"/>
        <w:autoSpaceDN w:val="0"/>
        <w:adjustRightInd w:val="0"/>
        <w:snapToGrid w:val="0"/>
        <w:spacing w:line="360" w:lineRule="auto"/>
        <w:ind w:left="425" w:hanging="425"/>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成交</w:t>
      </w:r>
      <w:r>
        <w:rPr>
          <w:rFonts w:hint="eastAsia" w:ascii="宋体" w:hAnsi="宋体" w:eastAsia="宋体" w:cs="宋体"/>
          <w:iCs/>
          <w:szCs w:val="21"/>
          <w:lang w:bidi="ar"/>
        </w:rPr>
        <w:t>供应商</w:t>
      </w:r>
      <w:r>
        <w:rPr>
          <w:rFonts w:hint="eastAsia" w:ascii="宋体" w:hAnsi="宋体" w:eastAsia="宋体" w:cs="宋体"/>
          <w:color w:val="000000" w:themeColor="text1"/>
          <w:szCs w:val="21"/>
          <w14:textFill>
            <w14:solidFill>
              <w14:schemeClr w14:val="tx1"/>
            </w14:solidFill>
          </w14:textFill>
        </w:rPr>
        <w:t>承担。</w:t>
      </w:r>
    </w:p>
    <w:p>
      <w:pPr>
        <w:pStyle w:val="10"/>
        <w:numPr>
          <w:ilvl w:val="0"/>
          <w:numId w:val="15"/>
        </w:numPr>
        <w:tabs>
          <w:tab w:val="left" w:pos="540"/>
        </w:tabs>
        <w:adjustRightInd w:val="0"/>
        <w:snapToGrid w:val="0"/>
        <w:spacing w:line="360" w:lineRule="auto"/>
        <w:rPr>
          <w:rFonts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付款方式</w:t>
      </w:r>
    </w:p>
    <w:p>
      <w:pPr>
        <w:widowControl/>
        <w:spacing w:line="360" w:lineRule="auto"/>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由采购人按下列程序付款：</w:t>
      </w:r>
    </w:p>
    <w:p>
      <w:pPr>
        <w:pStyle w:val="40"/>
        <w:numPr>
          <w:ilvl w:val="0"/>
          <w:numId w:val="21"/>
        </w:numPr>
        <w:spacing w:line="360" w:lineRule="auto"/>
        <w:ind w:hangingChars="200"/>
        <w:rPr>
          <w:rFonts w:ascii="宋体" w:hAnsi="宋体" w:cs="宋体"/>
        </w:rPr>
      </w:pPr>
      <w:r>
        <w:rPr>
          <w:rFonts w:hint="eastAsia" w:ascii="宋体" w:hAnsi="宋体" w:cs="宋体"/>
        </w:rPr>
        <w:t>验收合格后一次性对公支付。</w:t>
      </w:r>
    </w:p>
    <w:p>
      <w:pPr>
        <w:pStyle w:val="40"/>
        <w:numPr>
          <w:ilvl w:val="0"/>
          <w:numId w:val="21"/>
        </w:numPr>
        <w:spacing w:line="360" w:lineRule="auto"/>
        <w:ind w:hangingChars="200"/>
        <w:rPr>
          <w:rFonts w:ascii="宋体" w:hAnsi="宋体" w:cs="宋体"/>
          <w:bCs/>
        </w:rPr>
      </w:pPr>
      <w:r>
        <w:rPr>
          <w:rFonts w:hint="eastAsia" w:ascii="宋体" w:hAnsi="宋体" w:cs="宋体"/>
        </w:rPr>
        <w:t>成交人凭以下有效文件与采购人结算：</w:t>
      </w:r>
    </w:p>
    <w:p>
      <w:pPr>
        <w:widowControl/>
        <w:numPr>
          <w:ilvl w:val="3"/>
          <w:numId w:val="22"/>
        </w:numPr>
        <w:spacing w:line="360" w:lineRule="auto"/>
        <w:ind w:left="0" w:firstLine="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合同；</w:t>
      </w:r>
    </w:p>
    <w:p>
      <w:pPr>
        <w:widowControl/>
        <w:numPr>
          <w:ilvl w:val="3"/>
          <w:numId w:val="22"/>
        </w:numPr>
        <w:spacing w:line="360" w:lineRule="auto"/>
        <w:ind w:left="0" w:firstLine="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成交人开具的正式发票；</w:t>
      </w:r>
    </w:p>
    <w:p>
      <w:pPr>
        <w:widowControl/>
        <w:numPr>
          <w:ilvl w:val="3"/>
          <w:numId w:val="22"/>
        </w:numPr>
        <w:spacing w:line="360" w:lineRule="auto"/>
        <w:ind w:left="0" w:firstLine="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采购人和成交人的成交通知书。</w:t>
      </w:r>
      <w:r>
        <w:rPr>
          <w:rFonts w:hint="eastAsia" w:ascii="宋体" w:hAnsi="宋体" w:eastAsia="宋体" w:cs="宋体"/>
          <w:b/>
          <w:color w:val="000000" w:themeColor="text1"/>
          <w:szCs w:val="21"/>
          <w14:textFill>
            <w14:solidFill>
              <w14:schemeClr w14:val="tx1"/>
            </w14:solidFill>
          </w14:textFill>
        </w:rPr>
        <w:br w:type="page"/>
      </w:r>
    </w:p>
    <w:p>
      <w:pPr>
        <w:pStyle w:val="19"/>
        <w:spacing w:before="0" w:after="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第三章 报价附件</w:t>
      </w:r>
    </w:p>
    <w:p>
      <w:pPr>
        <w:pStyle w:val="3"/>
        <w:spacing w:before="0" w:after="0"/>
        <w:jc w:val="center"/>
        <w:rPr>
          <w:rFonts w:ascii="宋体" w:hAnsi="宋体" w:eastAsia="宋体" w:cs="宋体"/>
          <w:color w:val="000000" w:themeColor="text1"/>
          <w:lang w:val="zh-CN"/>
          <w14:textFill>
            <w14:solidFill>
              <w14:schemeClr w14:val="tx1"/>
            </w14:solidFill>
          </w14:textFill>
        </w:rPr>
      </w:pPr>
      <w:r>
        <w:rPr>
          <w:rFonts w:hint="eastAsia" w:ascii="宋体" w:hAnsi="宋体" w:eastAsia="宋体"/>
          <w:lang w:val="zh-CN"/>
        </w:rPr>
        <w:t>包组一</w:t>
      </w:r>
      <w:r>
        <w:rPr>
          <w:rFonts w:hint="eastAsia" w:ascii="宋体" w:hAnsi="宋体" w:eastAsia="宋体" w:cs="宋体"/>
          <w:color w:val="000000" w:themeColor="text1"/>
          <w:lang w:val="zh-CN"/>
          <w14:textFill>
            <w14:solidFill>
              <w14:schemeClr w14:val="tx1"/>
            </w14:solidFill>
          </w14:textFill>
        </w:rPr>
        <w:t>报 价 表</w:t>
      </w:r>
    </w:p>
    <w:tbl>
      <w:tblPr>
        <w:tblStyle w:val="23"/>
        <w:tblW w:w="909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419"/>
        <w:gridCol w:w="1178"/>
        <w:gridCol w:w="1255"/>
        <w:gridCol w:w="2548"/>
        <w:gridCol w:w="169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2" w:hRule="atLeast"/>
          <w:jc w:val="center"/>
        </w:trPr>
        <w:tc>
          <w:tcPr>
            <w:tcW w:w="2419" w:type="dxa"/>
            <w:tcBorders>
              <w:tl2br w:val="nil"/>
              <w:tr2bl w:val="nil"/>
            </w:tcBorders>
            <w:shd w:val="clear" w:color="auto" w:fill="auto"/>
            <w:vAlign w:val="center"/>
          </w:tcPr>
          <w:p>
            <w:pPr>
              <w:shd w:val="clear" w:color="auto" w:fill="FFFFFF"/>
              <w:snapToGrid w:val="0"/>
              <w:jc w:val="center"/>
              <w:rPr>
                <w:rFonts w:ascii="宋体" w:hAnsi="宋体" w:eastAsia="宋体" w:cs="宋体"/>
                <w:b/>
                <w:szCs w:val="24"/>
                <w:shd w:val="clear" w:color="auto" w:fill="FFFFFF"/>
              </w:rPr>
            </w:pPr>
            <w:r>
              <w:rPr>
                <w:rFonts w:hint="eastAsia" w:ascii="宋体" w:hAnsi="宋体" w:eastAsia="宋体" w:cs="宋体"/>
                <w:b/>
                <w:szCs w:val="24"/>
                <w:shd w:val="clear" w:color="auto" w:fill="FFFFFF"/>
              </w:rPr>
              <w:t>采购内容</w:t>
            </w:r>
          </w:p>
        </w:tc>
        <w:tc>
          <w:tcPr>
            <w:tcW w:w="1178" w:type="dxa"/>
            <w:tcBorders>
              <w:tl2br w:val="nil"/>
              <w:tr2bl w:val="nil"/>
            </w:tcBorders>
            <w:shd w:val="clear" w:color="auto" w:fill="auto"/>
            <w:vAlign w:val="center"/>
          </w:tcPr>
          <w:p>
            <w:pPr>
              <w:spacing w:before="156" w:beforeLines="50" w:line="360" w:lineRule="auto"/>
              <w:jc w:val="center"/>
              <w:rPr>
                <w:rFonts w:ascii="宋体" w:hAnsi="宋体" w:eastAsia="宋体" w:cs="宋体"/>
                <w:b/>
                <w:szCs w:val="24"/>
                <w:shd w:val="clear" w:color="auto" w:fill="FFFFFF"/>
                <w:lang w:bidi="ar"/>
              </w:rPr>
            </w:pPr>
            <w:r>
              <w:rPr>
                <w:rFonts w:hint="eastAsia" w:ascii="宋体" w:hAnsi="宋体" w:eastAsia="宋体" w:cs="宋体"/>
                <w:b/>
                <w:color w:val="000000"/>
                <w:szCs w:val="21"/>
                <w:lang w:bidi="ar"/>
              </w:rPr>
              <w:t>包组号</w:t>
            </w:r>
          </w:p>
        </w:tc>
        <w:tc>
          <w:tcPr>
            <w:tcW w:w="1255" w:type="dxa"/>
            <w:tcBorders>
              <w:tl2br w:val="nil"/>
              <w:tr2bl w:val="nil"/>
            </w:tcBorders>
            <w:shd w:val="clear" w:color="auto" w:fill="auto"/>
            <w:vAlign w:val="center"/>
          </w:tcPr>
          <w:p>
            <w:pPr>
              <w:spacing w:before="156" w:beforeLines="50" w:line="360" w:lineRule="auto"/>
              <w:jc w:val="center"/>
              <w:rPr>
                <w:rFonts w:ascii="宋体" w:hAnsi="宋体" w:eastAsia="宋体" w:cs="宋体"/>
                <w:b/>
                <w:szCs w:val="24"/>
                <w:shd w:val="clear" w:color="auto" w:fill="FFFFFF"/>
                <w:lang w:bidi="ar"/>
              </w:rPr>
            </w:pPr>
            <w:r>
              <w:rPr>
                <w:rFonts w:hint="eastAsia" w:ascii="宋体" w:hAnsi="宋体" w:eastAsia="宋体" w:cs="宋体"/>
                <w:b/>
                <w:color w:val="000000"/>
                <w:szCs w:val="21"/>
                <w:lang w:bidi="ar"/>
              </w:rPr>
              <w:t>数量</w:t>
            </w:r>
          </w:p>
        </w:tc>
        <w:tc>
          <w:tcPr>
            <w:tcW w:w="2548" w:type="dxa"/>
            <w:tcBorders>
              <w:tl2br w:val="nil"/>
              <w:tr2bl w:val="nil"/>
            </w:tcBorders>
            <w:shd w:val="clear" w:color="auto" w:fill="auto"/>
            <w:vAlign w:val="center"/>
          </w:tcPr>
          <w:p>
            <w:pPr>
              <w:shd w:val="clear" w:color="auto" w:fill="FFFFFF"/>
              <w:snapToGrid w:val="0"/>
              <w:jc w:val="center"/>
              <w:rPr>
                <w:rFonts w:ascii="宋体" w:hAnsi="宋体" w:eastAsia="宋体" w:cs="宋体"/>
                <w:b/>
                <w:szCs w:val="24"/>
                <w:shd w:val="clear" w:color="auto" w:fill="FFFFFF"/>
              </w:rPr>
            </w:pPr>
            <w:r>
              <w:rPr>
                <w:rFonts w:hint="eastAsia" w:ascii="宋体" w:hAnsi="宋体" w:eastAsia="宋体" w:cs="宋体"/>
                <w:b/>
                <w:szCs w:val="24"/>
                <w:shd w:val="clear" w:color="auto" w:fill="FFFFFF"/>
                <w:lang w:bidi="ar"/>
              </w:rPr>
              <w:t>报价（人民币 元）</w:t>
            </w:r>
          </w:p>
        </w:tc>
        <w:tc>
          <w:tcPr>
            <w:tcW w:w="1692" w:type="dxa"/>
            <w:tcBorders>
              <w:tl2br w:val="nil"/>
              <w:tr2bl w:val="nil"/>
            </w:tcBorders>
            <w:shd w:val="clear" w:color="auto" w:fill="auto"/>
            <w:vAlign w:val="center"/>
          </w:tcPr>
          <w:p>
            <w:pPr>
              <w:shd w:val="clear" w:color="auto" w:fill="FFFFFF"/>
              <w:snapToGrid w:val="0"/>
              <w:jc w:val="center"/>
              <w:rPr>
                <w:rFonts w:ascii="宋体" w:hAnsi="宋体" w:eastAsia="宋体" w:cs="宋体"/>
                <w:b/>
                <w:szCs w:val="24"/>
                <w:shd w:val="clear" w:color="auto" w:fill="FFFFFF"/>
              </w:rPr>
            </w:pPr>
            <w:r>
              <w:rPr>
                <w:rFonts w:hint="eastAsia" w:ascii="宋体" w:hAnsi="宋体" w:eastAsia="宋体" w:cs="宋体"/>
                <w:b/>
                <w:szCs w:val="24"/>
                <w:shd w:val="clear" w:color="auto" w:fill="FFFFFF"/>
                <w:lang w:bidi="ar"/>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28" w:hRule="atLeast"/>
          <w:jc w:val="center"/>
        </w:trPr>
        <w:tc>
          <w:tcPr>
            <w:tcW w:w="2419" w:type="dxa"/>
            <w:tcBorders>
              <w:tl2br w:val="nil"/>
              <w:tr2bl w:val="nil"/>
            </w:tcBorders>
            <w:shd w:val="clear" w:color="auto" w:fill="auto"/>
            <w:vAlign w:val="center"/>
          </w:tcPr>
          <w:p>
            <w:pPr>
              <w:shd w:val="clear" w:color="auto" w:fill="FFFFFF"/>
              <w:spacing w:before="156" w:after="156"/>
              <w:jc w:val="center"/>
              <w:rPr>
                <w:rFonts w:ascii="宋体" w:hAnsi="宋体" w:eastAsia="宋体" w:cs="宋体"/>
                <w:szCs w:val="24"/>
                <w:shd w:val="clear" w:color="auto" w:fill="FFFFFF"/>
              </w:rPr>
            </w:pPr>
            <w:r>
              <w:rPr>
                <w:rFonts w:hint="eastAsia" w:ascii="宋体" w:hAnsi="宋体" w:eastAsia="宋体" w:cs="宋体"/>
                <w:szCs w:val="24"/>
                <w:shd w:val="clear" w:color="auto" w:fill="FFFFFF"/>
                <w:lang w:bidi="ar"/>
              </w:rPr>
              <w:t>20240625德庆县疾控中心试剂及标准物质耗材采购</w:t>
            </w:r>
          </w:p>
        </w:tc>
        <w:tc>
          <w:tcPr>
            <w:tcW w:w="1178" w:type="dxa"/>
            <w:tcBorders>
              <w:tl2br w:val="nil"/>
              <w:tr2bl w:val="nil"/>
            </w:tcBorders>
            <w:shd w:val="clear" w:color="auto" w:fill="auto"/>
            <w:vAlign w:val="center"/>
          </w:tcPr>
          <w:p>
            <w:pPr>
              <w:keepNext/>
              <w:adjustRightInd w:val="0"/>
              <w:spacing w:before="156" w:beforeLines="50" w:after="60" w:line="360" w:lineRule="auto"/>
              <w:jc w:val="center"/>
              <w:textAlignment w:val="center"/>
              <w:rPr>
                <w:rFonts w:ascii="宋体" w:hAnsi="宋体" w:eastAsia="宋体" w:cs="宋体"/>
                <w:szCs w:val="24"/>
                <w:shd w:val="clear" w:color="auto" w:fill="FFFFFF"/>
              </w:rPr>
            </w:pPr>
            <w:r>
              <w:rPr>
                <w:rFonts w:hint="eastAsia" w:ascii="宋体" w:hAnsi="宋体" w:eastAsia="宋体" w:cs="宋体"/>
                <w:color w:val="000000"/>
                <w:szCs w:val="21"/>
                <w:lang w:bidi="ar"/>
              </w:rPr>
              <w:t>包组一</w:t>
            </w:r>
          </w:p>
        </w:tc>
        <w:tc>
          <w:tcPr>
            <w:tcW w:w="1255" w:type="dxa"/>
            <w:tcBorders>
              <w:tl2br w:val="nil"/>
              <w:tr2bl w:val="nil"/>
            </w:tcBorders>
            <w:shd w:val="clear" w:color="auto" w:fill="auto"/>
            <w:vAlign w:val="center"/>
          </w:tcPr>
          <w:p>
            <w:pPr>
              <w:keepNext/>
              <w:adjustRightInd w:val="0"/>
              <w:spacing w:before="156" w:beforeLines="50" w:after="60" w:line="360" w:lineRule="auto"/>
              <w:jc w:val="center"/>
              <w:textAlignment w:val="center"/>
              <w:rPr>
                <w:rFonts w:ascii="宋体" w:hAnsi="宋体" w:eastAsia="宋体" w:cs="宋体"/>
                <w:szCs w:val="24"/>
                <w:shd w:val="clear" w:color="auto" w:fill="FFFFFF"/>
              </w:rPr>
            </w:pPr>
            <w:r>
              <w:rPr>
                <w:rFonts w:hint="eastAsia" w:ascii="宋体" w:hAnsi="宋体" w:eastAsia="宋体" w:cs="宋体"/>
                <w:color w:val="000000"/>
                <w:szCs w:val="21"/>
                <w:lang w:bidi="ar"/>
              </w:rPr>
              <w:t>1批</w:t>
            </w:r>
          </w:p>
        </w:tc>
        <w:tc>
          <w:tcPr>
            <w:tcW w:w="2548" w:type="dxa"/>
            <w:tcBorders>
              <w:tl2br w:val="nil"/>
              <w:tr2bl w:val="nil"/>
            </w:tcBorders>
            <w:shd w:val="clear" w:color="auto" w:fill="auto"/>
            <w:vAlign w:val="center"/>
          </w:tcPr>
          <w:p>
            <w:pPr>
              <w:shd w:val="clear" w:color="auto" w:fill="FFFFFF"/>
              <w:spacing w:before="156" w:after="156"/>
              <w:jc w:val="center"/>
              <w:rPr>
                <w:rFonts w:ascii="宋体" w:hAnsi="宋体" w:eastAsia="宋体" w:cs="宋体"/>
                <w:szCs w:val="24"/>
                <w:shd w:val="clear" w:color="auto" w:fill="FFFFFF"/>
              </w:rPr>
            </w:pPr>
          </w:p>
        </w:tc>
        <w:tc>
          <w:tcPr>
            <w:tcW w:w="1692" w:type="dxa"/>
            <w:tcBorders>
              <w:tl2br w:val="nil"/>
              <w:tr2bl w:val="nil"/>
            </w:tcBorders>
            <w:shd w:val="clear" w:color="auto" w:fill="auto"/>
            <w:vAlign w:val="center"/>
          </w:tcPr>
          <w:p>
            <w:pPr>
              <w:shd w:val="clear" w:color="auto" w:fill="FFFFFF"/>
              <w:spacing w:before="156" w:after="156"/>
              <w:jc w:val="center"/>
              <w:rPr>
                <w:rFonts w:ascii="宋体" w:hAnsi="宋体" w:eastAsia="宋体" w:cs="宋体"/>
                <w:szCs w:val="24"/>
                <w:shd w:val="clear" w:color="auto" w:fill="FFFFFF"/>
              </w:rPr>
            </w:pPr>
          </w:p>
        </w:tc>
      </w:tr>
    </w:tbl>
    <w:p>
      <w:pPr>
        <w:tabs>
          <w:tab w:val="left" w:pos="7740"/>
        </w:tabs>
        <w:adjustRightInd w:val="0"/>
        <w:snapToGrid w:val="0"/>
        <w:spacing w:line="360" w:lineRule="auto"/>
        <w:rPr>
          <w:rFonts w:ascii="宋体" w:hAnsi="宋体" w:eastAsia="宋体" w:cs="宋体"/>
          <w:color w:val="000000" w:themeColor="text1"/>
          <w:szCs w:val="21"/>
          <w14:textFill>
            <w14:solidFill>
              <w14:schemeClr w14:val="tx1"/>
            </w14:solidFill>
          </w14:textFill>
        </w:rPr>
      </w:pPr>
    </w:p>
    <w:p>
      <w:pPr>
        <w:spacing w:line="500" w:lineRule="exact"/>
        <w:rPr>
          <w:rFonts w:ascii="宋体" w:hAnsi="宋体" w:eastAsia="宋体" w:cs="宋体"/>
          <w:b/>
          <w:color w:val="000000" w:themeColor="text1"/>
          <w:spacing w:val="4"/>
          <w:szCs w:val="21"/>
          <w14:textFill>
            <w14:solidFill>
              <w14:schemeClr w14:val="tx1"/>
            </w14:solidFill>
          </w14:textFill>
        </w:rPr>
      </w:pPr>
      <w:r>
        <w:rPr>
          <w:rFonts w:hint="eastAsia" w:ascii="宋体" w:hAnsi="宋体" w:eastAsia="宋体" w:cs="宋体"/>
          <w:b/>
          <w:color w:val="000000" w:themeColor="text1"/>
          <w:spacing w:val="4"/>
          <w:szCs w:val="21"/>
          <w14:textFill>
            <w14:solidFill>
              <w14:schemeClr w14:val="tx1"/>
            </w14:solidFill>
          </w14:textFill>
        </w:rPr>
        <w:t>注：</w:t>
      </w:r>
    </w:p>
    <w:p>
      <w:pPr>
        <w:pStyle w:val="18"/>
        <w:numPr>
          <w:ilvl w:val="0"/>
          <w:numId w:val="23"/>
        </w:numPr>
        <w:shd w:val="clear" w:color="auto" w:fill="FFFFFF"/>
        <w:spacing w:before="0" w:beforeAutospacing="0" w:after="0" w:afterAutospacing="0" w:line="360" w:lineRule="auto"/>
        <w:rPr>
          <w:b/>
          <w:bCs/>
          <w:color w:val="000000" w:themeColor="text1"/>
          <w:sz w:val="21"/>
          <w:szCs w:val="21"/>
          <w:u w:val="single"/>
          <w14:textFill>
            <w14:solidFill>
              <w14:schemeClr w14:val="tx1"/>
            </w14:solidFill>
          </w14:textFill>
        </w:rPr>
      </w:pPr>
      <w:r>
        <w:rPr>
          <w:rFonts w:hint="eastAsia"/>
          <w:b/>
          <w:bCs/>
          <w:color w:val="000000" w:themeColor="text1"/>
          <w:sz w:val="21"/>
          <w:szCs w:val="21"/>
          <w:u w:val="single"/>
          <w14:textFill>
            <w14:solidFill>
              <w14:schemeClr w14:val="tx1"/>
            </w14:solidFill>
          </w14:textFill>
        </w:rPr>
        <w:t>供应商必须按报价表的格式填写，不得增加或删除表格内容。除单价、金额或项目要求填写的内容外，不得擅自改动报价表内容，</w:t>
      </w:r>
      <w:r>
        <w:rPr>
          <w:rFonts w:hint="eastAsia"/>
          <w:b/>
          <w:bCs/>
          <w:color w:val="000000" w:themeColor="text1"/>
          <w:sz w:val="21"/>
          <w:szCs w:val="21"/>
          <w14:textFill>
            <w14:solidFill>
              <w14:schemeClr w14:val="tx1"/>
            </w14:solidFill>
          </w14:textFill>
        </w:rPr>
        <w:t>否则将有可能影响成交结果，不推荐为成交候选人</w:t>
      </w:r>
      <w:r>
        <w:rPr>
          <w:rFonts w:hint="eastAsia"/>
          <w:b/>
          <w:bCs/>
          <w:color w:val="000000" w:themeColor="text1"/>
          <w:sz w:val="21"/>
          <w:szCs w:val="21"/>
          <w:u w:val="single"/>
          <w14:textFill>
            <w14:solidFill>
              <w14:schemeClr w14:val="tx1"/>
            </w14:solidFill>
          </w14:textFill>
        </w:rPr>
        <w:t>；</w:t>
      </w:r>
    </w:p>
    <w:p>
      <w:pPr>
        <w:pStyle w:val="18"/>
        <w:numPr>
          <w:ilvl w:val="0"/>
          <w:numId w:val="23"/>
        </w:numPr>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所有价格均系用人民币表示，单位为元，</w:t>
      </w:r>
      <w:r>
        <w:rPr>
          <w:rFonts w:hint="eastAsia"/>
          <w:b/>
          <w:bCs/>
          <w:color w:val="000000" w:themeColor="text1"/>
          <w:sz w:val="21"/>
          <w:szCs w:val="21"/>
          <w14:textFill>
            <w14:solidFill>
              <w14:schemeClr w14:val="tx1"/>
            </w14:solidFill>
          </w14:textFill>
        </w:rPr>
        <w:t>均为含税价</w:t>
      </w:r>
      <w:r>
        <w:rPr>
          <w:rFonts w:hint="eastAsia"/>
          <w:b/>
          <w:color w:val="000000" w:themeColor="text1"/>
          <w:sz w:val="21"/>
          <w:szCs w:val="21"/>
          <w14:textFill>
            <w14:solidFill>
              <w14:schemeClr w14:val="tx1"/>
            </w14:solidFill>
          </w14:textFill>
        </w:rPr>
        <w:t>；</w:t>
      </w:r>
    </w:p>
    <w:p>
      <w:pPr>
        <w:pStyle w:val="18"/>
        <w:numPr>
          <w:ilvl w:val="0"/>
          <w:numId w:val="23"/>
        </w:numPr>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bCs/>
          <w:color w:val="000000"/>
          <w:sz w:val="21"/>
          <w:szCs w:val="21"/>
          <w:u w:val="single"/>
          <w:shd w:val="clear" w:color="auto" w:fill="FFFFFF"/>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pStyle w:val="18"/>
        <w:numPr>
          <w:ilvl w:val="0"/>
          <w:numId w:val="23"/>
        </w:numPr>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平台上报价与报价表合计不一致的，以报价表合计（经价格核准后的价格）为准。</w:t>
      </w:r>
    </w:p>
    <w:p>
      <w:pPr>
        <w:pStyle w:val="18"/>
        <w:numPr>
          <w:ilvl w:val="0"/>
          <w:numId w:val="23"/>
        </w:numPr>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bCs/>
          <w:color w:val="000000"/>
          <w:sz w:val="21"/>
          <w:szCs w:val="21"/>
          <w:u w:val="single"/>
          <w:shd w:val="clear" w:color="auto" w:fill="FFFFFF"/>
        </w:rPr>
        <w:t>供应商报价表必须加盖公章，否则视作无效报价。</w:t>
      </w:r>
    </w:p>
    <w:p>
      <w:pPr>
        <w:wordWrap w:val="0"/>
        <w:spacing w:line="360" w:lineRule="auto"/>
        <w:ind w:right="218"/>
        <w:jc w:val="right"/>
        <w:rPr>
          <w:rFonts w:ascii="宋体" w:hAnsi="宋体" w:eastAsia="宋体" w:cs="宋体"/>
          <w:color w:val="000000" w:themeColor="text1"/>
          <w:spacing w:val="4"/>
          <w:szCs w:val="21"/>
          <w14:textFill>
            <w14:solidFill>
              <w14:schemeClr w14:val="tx1"/>
            </w14:solidFill>
          </w14:textFill>
        </w:rPr>
      </w:pPr>
    </w:p>
    <w:p>
      <w:pPr>
        <w:wordWrap w:val="0"/>
        <w:spacing w:line="360" w:lineRule="auto"/>
        <w:ind w:right="218"/>
        <w:jc w:val="right"/>
        <w:rPr>
          <w:rFonts w:ascii="宋体" w:hAnsi="宋体" w:eastAsia="宋体" w:cs="宋体"/>
          <w:color w:val="000000" w:themeColor="text1"/>
          <w:spacing w:val="4"/>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spacing w:line="360" w:lineRule="auto"/>
        <w:ind w:right="218"/>
        <w:jc w:val="right"/>
        <w:rPr>
          <w:rFonts w:ascii="宋体" w:hAnsi="宋体" w:eastAsia="宋体" w:cs="宋体"/>
          <w:color w:val="000000" w:themeColor="text1"/>
          <w:spacing w:val="4"/>
          <w:szCs w:val="21"/>
          <w:u w:val="single"/>
          <w14:textFill>
            <w14:solidFill>
              <w14:schemeClr w14:val="tx1"/>
            </w14:solidFill>
          </w14:textFill>
        </w:rPr>
      </w:pPr>
    </w:p>
    <w:p>
      <w:pPr>
        <w:wordWrap w:val="0"/>
        <w:spacing w:line="360" w:lineRule="auto"/>
        <w:ind w:right="218"/>
        <w:jc w:val="right"/>
        <w:rPr>
          <w:rFonts w:ascii="宋体" w:hAnsi="宋体" w:eastAsia="宋体" w:cs="宋体"/>
          <w:color w:val="000000" w:themeColor="text1"/>
          <w:spacing w:val="4"/>
          <w:szCs w:val="21"/>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spacing w:line="360" w:lineRule="auto"/>
        <w:jc w:val="center"/>
        <w:rPr>
          <w:rFonts w:ascii="宋体" w:hAnsi="宋体" w:eastAsia="宋体" w:cs="宋体"/>
          <w:color w:val="000000" w:themeColor="text1"/>
          <w:spacing w:val="4"/>
          <w:szCs w:val="21"/>
          <w:u w:val="single"/>
          <w14:textFill>
            <w14:solidFill>
              <w14:schemeClr w14:val="tx1"/>
            </w14:solidFill>
          </w14:textFill>
        </w:rPr>
      </w:pPr>
    </w:p>
    <w:p>
      <w:pPr>
        <w:sectPr>
          <w:headerReference r:id="rId4" w:type="first"/>
          <w:headerReference r:id="rId3" w:type="default"/>
          <w:type w:val="continuous"/>
          <w:pgSz w:w="11906" w:h="16838"/>
          <w:pgMar w:top="1417" w:right="1800" w:bottom="1417" w:left="1800" w:header="720" w:footer="720" w:gutter="0"/>
          <w:cols w:space="425" w:num="1"/>
          <w:titlePg/>
          <w:docGrid w:type="lines" w:linePitch="312" w:charSpace="0"/>
        </w:sectPr>
      </w:pPr>
      <w:r>
        <w:br w:type="page"/>
      </w:r>
    </w:p>
    <w:p>
      <w:pPr>
        <w:pStyle w:val="3"/>
        <w:spacing w:before="0" w:after="0"/>
        <w:jc w:val="center"/>
        <w:rPr>
          <w:rFonts w:ascii="宋体" w:hAnsi="宋体" w:eastAsia="宋体" w:cs="宋体"/>
          <w:color w:val="000000" w:themeColor="text1"/>
          <w:lang w:val="zh-CN"/>
          <w14:textFill>
            <w14:solidFill>
              <w14:schemeClr w14:val="tx1"/>
            </w14:solidFill>
          </w14:textFill>
        </w:rPr>
      </w:pPr>
      <w:r>
        <w:rPr>
          <w:rFonts w:hint="eastAsia" w:ascii="宋体" w:hAnsi="宋体" w:eastAsia="宋体"/>
          <w:lang w:val="zh-CN"/>
        </w:rPr>
        <w:t>包组</w:t>
      </w:r>
      <w:r>
        <w:rPr>
          <w:rFonts w:hint="eastAsia" w:ascii="宋体" w:hAnsi="宋体" w:eastAsia="宋体"/>
        </w:rPr>
        <w:t>二</w:t>
      </w:r>
      <w:r>
        <w:rPr>
          <w:rFonts w:hint="eastAsia" w:ascii="宋体" w:hAnsi="宋体" w:eastAsia="宋体" w:cs="宋体"/>
          <w:color w:val="000000" w:themeColor="text1"/>
          <w:lang w:val="zh-CN"/>
          <w14:textFill>
            <w14:solidFill>
              <w14:schemeClr w14:val="tx1"/>
            </w14:solidFill>
          </w14:textFill>
        </w:rPr>
        <w:t>报 价 表</w:t>
      </w:r>
    </w:p>
    <w:tbl>
      <w:tblPr>
        <w:tblStyle w:val="23"/>
        <w:tblW w:w="909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363"/>
        <w:gridCol w:w="1211"/>
        <w:gridCol w:w="1278"/>
        <w:gridCol w:w="2548"/>
        <w:gridCol w:w="169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2" w:hRule="atLeast"/>
          <w:jc w:val="center"/>
        </w:trPr>
        <w:tc>
          <w:tcPr>
            <w:tcW w:w="2363" w:type="dxa"/>
            <w:tcBorders>
              <w:tl2br w:val="nil"/>
              <w:tr2bl w:val="nil"/>
            </w:tcBorders>
            <w:shd w:val="clear" w:color="auto" w:fill="auto"/>
            <w:vAlign w:val="center"/>
          </w:tcPr>
          <w:p>
            <w:pPr>
              <w:shd w:val="clear" w:color="auto" w:fill="FFFFFF"/>
              <w:snapToGrid w:val="0"/>
              <w:jc w:val="center"/>
              <w:rPr>
                <w:rFonts w:ascii="宋体" w:hAnsi="宋体" w:eastAsia="宋体" w:cs="宋体"/>
                <w:b/>
                <w:szCs w:val="24"/>
                <w:shd w:val="clear" w:color="auto" w:fill="FFFFFF"/>
              </w:rPr>
            </w:pPr>
            <w:r>
              <w:rPr>
                <w:rFonts w:hint="eastAsia" w:ascii="宋体" w:hAnsi="宋体" w:eastAsia="宋体" w:cs="宋体"/>
                <w:b/>
                <w:szCs w:val="24"/>
                <w:shd w:val="clear" w:color="auto" w:fill="FFFFFF"/>
              </w:rPr>
              <w:t>采购内容</w:t>
            </w:r>
          </w:p>
        </w:tc>
        <w:tc>
          <w:tcPr>
            <w:tcW w:w="1211" w:type="dxa"/>
            <w:tcBorders>
              <w:tl2br w:val="nil"/>
              <w:tr2bl w:val="nil"/>
            </w:tcBorders>
            <w:shd w:val="clear" w:color="auto" w:fill="auto"/>
            <w:vAlign w:val="center"/>
          </w:tcPr>
          <w:p>
            <w:pPr>
              <w:spacing w:before="156" w:beforeLines="50" w:line="360" w:lineRule="auto"/>
              <w:jc w:val="center"/>
              <w:rPr>
                <w:rFonts w:ascii="宋体" w:hAnsi="宋体" w:eastAsia="宋体" w:cs="宋体"/>
                <w:b/>
                <w:szCs w:val="24"/>
                <w:shd w:val="clear" w:color="auto" w:fill="FFFFFF"/>
                <w:lang w:bidi="ar"/>
              </w:rPr>
            </w:pPr>
            <w:r>
              <w:rPr>
                <w:rFonts w:hint="eastAsia" w:ascii="宋体" w:hAnsi="宋体" w:eastAsia="宋体" w:cs="宋体"/>
                <w:b/>
                <w:color w:val="000000"/>
                <w:szCs w:val="21"/>
                <w:lang w:bidi="ar"/>
              </w:rPr>
              <w:t>包组号</w:t>
            </w:r>
          </w:p>
        </w:tc>
        <w:tc>
          <w:tcPr>
            <w:tcW w:w="1278" w:type="dxa"/>
            <w:tcBorders>
              <w:tl2br w:val="nil"/>
              <w:tr2bl w:val="nil"/>
            </w:tcBorders>
            <w:shd w:val="clear" w:color="auto" w:fill="auto"/>
            <w:vAlign w:val="center"/>
          </w:tcPr>
          <w:p>
            <w:pPr>
              <w:spacing w:before="156" w:beforeLines="50" w:line="360" w:lineRule="auto"/>
              <w:jc w:val="center"/>
              <w:rPr>
                <w:rFonts w:ascii="宋体" w:hAnsi="宋体" w:eastAsia="宋体" w:cs="宋体"/>
                <w:b/>
                <w:szCs w:val="24"/>
                <w:shd w:val="clear" w:color="auto" w:fill="FFFFFF"/>
                <w:lang w:bidi="ar"/>
              </w:rPr>
            </w:pPr>
            <w:r>
              <w:rPr>
                <w:rFonts w:hint="eastAsia" w:ascii="宋体" w:hAnsi="宋体" w:eastAsia="宋体" w:cs="宋体"/>
                <w:b/>
                <w:color w:val="000000"/>
                <w:szCs w:val="21"/>
                <w:lang w:bidi="ar"/>
              </w:rPr>
              <w:t>数量</w:t>
            </w:r>
          </w:p>
        </w:tc>
        <w:tc>
          <w:tcPr>
            <w:tcW w:w="2548" w:type="dxa"/>
            <w:tcBorders>
              <w:tl2br w:val="nil"/>
              <w:tr2bl w:val="nil"/>
            </w:tcBorders>
            <w:shd w:val="clear" w:color="auto" w:fill="auto"/>
            <w:vAlign w:val="center"/>
          </w:tcPr>
          <w:p>
            <w:pPr>
              <w:shd w:val="clear" w:color="auto" w:fill="FFFFFF"/>
              <w:snapToGrid w:val="0"/>
              <w:jc w:val="center"/>
              <w:rPr>
                <w:rFonts w:ascii="宋体" w:hAnsi="宋体" w:eastAsia="宋体" w:cs="宋体"/>
                <w:b/>
                <w:szCs w:val="24"/>
                <w:shd w:val="clear" w:color="auto" w:fill="FFFFFF"/>
              </w:rPr>
            </w:pPr>
            <w:r>
              <w:rPr>
                <w:rFonts w:hint="eastAsia" w:ascii="宋体" w:hAnsi="宋体" w:eastAsia="宋体" w:cs="宋体"/>
                <w:b/>
                <w:szCs w:val="24"/>
                <w:shd w:val="clear" w:color="auto" w:fill="FFFFFF"/>
                <w:lang w:bidi="ar"/>
              </w:rPr>
              <w:t>报价（人民币 元）</w:t>
            </w:r>
          </w:p>
        </w:tc>
        <w:tc>
          <w:tcPr>
            <w:tcW w:w="1692" w:type="dxa"/>
            <w:tcBorders>
              <w:tl2br w:val="nil"/>
              <w:tr2bl w:val="nil"/>
            </w:tcBorders>
            <w:shd w:val="clear" w:color="auto" w:fill="auto"/>
            <w:vAlign w:val="center"/>
          </w:tcPr>
          <w:p>
            <w:pPr>
              <w:shd w:val="clear" w:color="auto" w:fill="FFFFFF"/>
              <w:snapToGrid w:val="0"/>
              <w:jc w:val="center"/>
              <w:rPr>
                <w:rFonts w:ascii="宋体" w:hAnsi="宋体" w:eastAsia="宋体" w:cs="宋体"/>
                <w:b/>
                <w:szCs w:val="24"/>
                <w:shd w:val="clear" w:color="auto" w:fill="FFFFFF"/>
              </w:rPr>
            </w:pPr>
            <w:r>
              <w:rPr>
                <w:rFonts w:hint="eastAsia" w:ascii="宋体" w:hAnsi="宋体" w:eastAsia="宋体" w:cs="宋体"/>
                <w:b/>
                <w:szCs w:val="24"/>
                <w:shd w:val="clear" w:color="auto" w:fill="FFFFFF"/>
                <w:lang w:bidi="ar"/>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28" w:hRule="atLeast"/>
          <w:jc w:val="center"/>
        </w:trPr>
        <w:tc>
          <w:tcPr>
            <w:tcW w:w="2363" w:type="dxa"/>
            <w:tcBorders>
              <w:tl2br w:val="nil"/>
              <w:tr2bl w:val="nil"/>
            </w:tcBorders>
            <w:shd w:val="clear" w:color="auto" w:fill="auto"/>
            <w:vAlign w:val="center"/>
          </w:tcPr>
          <w:p>
            <w:pPr>
              <w:shd w:val="clear" w:color="auto" w:fill="FFFFFF"/>
              <w:spacing w:before="156" w:after="156"/>
              <w:jc w:val="center"/>
              <w:rPr>
                <w:rFonts w:ascii="宋体" w:hAnsi="宋体" w:eastAsia="宋体" w:cs="宋体"/>
                <w:szCs w:val="24"/>
                <w:shd w:val="clear" w:color="auto" w:fill="FFFFFF"/>
              </w:rPr>
            </w:pPr>
            <w:r>
              <w:rPr>
                <w:rFonts w:hint="eastAsia" w:ascii="宋体" w:hAnsi="宋体" w:eastAsia="宋体" w:cs="宋体"/>
                <w:szCs w:val="24"/>
                <w:shd w:val="clear" w:color="auto" w:fill="FFFFFF"/>
                <w:lang w:bidi="ar"/>
              </w:rPr>
              <w:t>20240625德庆县疾控中心试剂及标准物质耗材采购</w:t>
            </w:r>
          </w:p>
        </w:tc>
        <w:tc>
          <w:tcPr>
            <w:tcW w:w="1211" w:type="dxa"/>
            <w:tcBorders>
              <w:tl2br w:val="nil"/>
              <w:tr2bl w:val="nil"/>
            </w:tcBorders>
            <w:shd w:val="clear" w:color="auto" w:fill="auto"/>
            <w:vAlign w:val="center"/>
          </w:tcPr>
          <w:p>
            <w:pPr>
              <w:keepNext/>
              <w:adjustRightInd w:val="0"/>
              <w:spacing w:before="156" w:beforeLines="50" w:after="60" w:line="360" w:lineRule="auto"/>
              <w:jc w:val="center"/>
              <w:textAlignment w:val="center"/>
              <w:rPr>
                <w:rFonts w:ascii="宋体" w:hAnsi="宋体" w:eastAsia="宋体" w:cs="宋体"/>
                <w:szCs w:val="24"/>
                <w:shd w:val="clear" w:color="auto" w:fill="FFFFFF"/>
              </w:rPr>
            </w:pPr>
            <w:r>
              <w:rPr>
                <w:rFonts w:hint="eastAsia" w:ascii="宋体" w:hAnsi="宋体" w:eastAsia="宋体" w:cs="宋体"/>
                <w:color w:val="000000"/>
                <w:szCs w:val="21"/>
                <w:lang w:bidi="ar"/>
              </w:rPr>
              <w:t>包组二</w:t>
            </w:r>
          </w:p>
        </w:tc>
        <w:tc>
          <w:tcPr>
            <w:tcW w:w="1278" w:type="dxa"/>
            <w:tcBorders>
              <w:tl2br w:val="nil"/>
              <w:tr2bl w:val="nil"/>
            </w:tcBorders>
            <w:shd w:val="clear" w:color="auto" w:fill="auto"/>
            <w:vAlign w:val="center"/>
          </w:tcPr>
          <w:p>
            <w:pPr>
              <w:keepNext/>
              <w:adjustRightInd w:val="0"/>
              <w:spacing w:before="156" w:beforeLines="50" w:after="60" w:line="360" w:lineRule="auto"/>
              <w:jc w:val="center"/>
              <w:textAlignment w:val="center"/>
              <w:rPr>
                <w:rFonts w:ascii="宋体" w:hAnsi="宋体" w:eastAsia="宋体" w:cs="宋体"/>
                <w:szCs w:val="24"/>
                <w:shd w:val="clear" w:color="auto" w:fill="FFFFFF"/>
              </w:rPr>
            </w:pPr>
            <w:r>
              <w:rPr>
                <w:rFonts w:hint="eastAsia" w:ascii="宋体" w:hAnsi="宋体" w:eastAsia="宋体" w:cs="宋体"/>
                <w:color w:val="000000"/>
                <w:szCs w:val="21"/>
                <w:lang w:bidi="ar"/>
              </w:rPr>
              <w:t>1批</w:t>
            </w:r>
          </w:p>
        </w:tc>
        <w:tc>
          <w:tcPr>
            <w:tcW w:w="2548" w:type="dxa"/>
            <w:tcBorders>
              <w:tl2br w:val="nil"/>
              <w:tr2bl w:val="nil"/>
            </w:tcBorders>
            <w:shd w:val="clear" w:color="auto" w:fill="auto"/>
            <w:vAlign w:val="center"/>
          </w:tcPr>
          <w:p>
            <w:pPr>
              <w:shd w:val="clear" w:color="auto" w:fill="FFFFFF"/>
              <w:spacing w:before="156" w:after="156"/>
              <w:jc w:val="center"/>
              <w:rPr>
                <w:rFonts w:ascii="宋体" w:hAnsi="宋体" w:eastAsia="宋体" w:cs="宋体"/>
                <w:szCs w:val="24"/>
                <w:shd w:val="clear" w:color="auto" w:fill="FFFFFF"/>
              </w:rPr>
            </w:pPr>
          </w:p>
        </w:tc>
        <w:tc>
          <w:tcPr>
            <w:tcW w:w="1692" w:type="dxa"/>
            <w:tcBorders>
              <w:tl2br w:val="nil"/>
              <w:tr2bl w:val="nil"/>
            </w:tcBorders>
            <w:shd w:val="clear" w:color="auto" w:fill="auto"/>
            <w:vAlign w:val="center"/>
          </w:tcPr>
          <w:p>
            <w:pPr>
              <w:shd w:val="clear" w:color="auto" w:fill="FFFFFF"/>
              <w:spacing w:before="156" w:after="156"/>
              <w:jc w:val="center"/>
              <w:rPr>
                <w:rFonts w:ascii="宋体" w:hAnsi="宋体" w:eastAsia="宋体" w:cs="宋体"/>
                <w:szCs w:val="24"/>
                <w:shd w:val="clear" w:color="auto" w:fill="FFFFFF"/>
              </w:rPr>
            </w:pPr>
          </w:p>
        </w:tc>
      </w:tr>
    </w:tbl>
    <w:p>
      <w:pPr>
        <w:tabs>
          <w:tab w:val="left" w:pos="7740"/>
        </w:tabs>
        <w:adjustRightInd w:val="0"/>
        <w:snapToGrid w:val="0"/>
        <w:spacing w:line="360" w:lineRule="auto"/>
        <w:rPr>
          <w:rFonts w:ascii="宋体" w:hAnsi="宋体" w:eastAsia="宋体" w:cs="宋体"/>
          <w:color w:val="000000" w:themeColor="text1"/>
          <w:szCs w:val="21"/>
          <w14:textFill>
            <w14:solidFill>
              <w14:schemeClr w14:val="tx1"/>
            </w14:solidFill>
          </w14:textFill>
        </w:rPr>
      </w:pPr>
    </w:p>
    <w:p>
      <w:pPr>
        <w:spacing w:line="500" w:lineRule="exact"/>
        <w:rPr>
          <w:rFonts w:ascii="宋体" w:hAnsi="宋体" w:eastAsia="宋体" w:cs="宋体"/>
          <w:b/>
          <w:color w:val="000000" w:themeColor="text1"/>
          <w:spacing w:val="4"/>
          <w:szCs w:val="21"/>
          <w14:textFill>
            <w14:solidFill>
              <w14:schemeClr w14:val="tx1"/>
            </w14:solidFill>
          </w14:textFill>
        </w:rPr>
      </w:pPr>
      <w:r>
        <w:rPr>
          <w:rFonts w:hint="eastAsia" w:ascii="宋体" w:hAnsi="宋体" w:eastAsia="宋体" w:cs="宋体"/>
          <w:b/>
          <w:color w:val="000000" w:themeColor="text1"/>
          <w:spacing w:val="4"/>
          <w:szCs w:val="21"/>
          <w14:textFill>
            <w14:solidFill>
              <w14:schemeClr w14:val="tx1"/>
            </w14:solidFill>
          </w14:textFill>
        </w:rPr>
        <w:t>注：</w:t>
      </w:r>
    </w:p>
    <w:p>
      <w:pPr>
        <w:pStyle w:val="18"/>
        <w:numPr>
          <w:ilvl w:val="0"/>
          <w:numId w:val="23"/>
        </w:numPr>
        <w:shd w:val="clear" w:color="auto" w:fill="FFFFFF"/>
        <w:spacing w:before="0" w:beforeAutospacing="0" w:after="0" w:afterAutospacing="0" w:line="360" w:lineRule="auto"/>
        <w:rPr>
          <w:b/>
          <w:bCs/>
          <w:color w:val="000000" w:themeColor="text1"/>
          <w:sz w:val="21"/>
          <w:szCs w:val="21"/>
          <w:u w:val="single"/>
          <w14:textFill>
            <w14:solidFill>
              <w14:schemeClr w14:val="tx1"/>
            </w14:solidFill>
          </w14:textFill>
        </w:rPr>
      </w:pPr>
      <w:r>
        <w:rPr>
          <w:rFonts w:hint="eastAsia"/>
          <w:b/>
          <w:bCs/>
          <w:color w:val="000000" w:themeColor="text1"/>
          <w:sz w:val="21"/>
          <w:szCs w:val="21"/>
          <w:u w:val="single"/>
          <w14:textFill>
            <w14:solidFill>
              <w14:schemeClr w14:val="tx1"/>
            </w14:solidFill>
          </w14:textFill>
        </w:rPr>
        <w:t>供应商必须按报价表的格式填写，不得增加或删除表格内容。除单价、金额或项目要求填写的内容外，不得擅自改动报价表内容，</w:t>
      </w:r>
      <w:r>
        <w:rPr>
          <w:rFonts w:hint="eastAsia"/>
          <w:b/>
          <w:bCs/>
          <w:color w:val="000000" w:themeColor="text1"/>
          <w:sz w:val="21"/>
          <w:szCs w:val="21"/>
          <w14:textFill>
            <w14:solidFill>
              <w14:schemeClr w14:val="tx1"/>
            </w14:solidFill>
          </w14:textFill>
        </w:rPr>
        <w:t>否则将有可能影响成交结果，不推荐为成交候选人</w:t>
      </w:r>
      <w:r>
        <w:rPr>
          <w:rFonts w:hint="eastAsia"/>
          <w:b/>
          <w:bCs/>
          <w:color w:val="000000" w:themeColor="text1"/>
          <w:sz w:val="21"/>
          <w:szCs w:val="21"/>
          <w:u w:val="single"/>
          <w14:textFill>
            <w14:solidFill>
              <w14:schemeClr w14:val="tx1"/>
            </w14:solidFill>
          </w14:textFill>
        </w:rPr>
        <w:t>；</w:t>
      </w:r>
    </w:p>
    <w:p>
      <w:pPr>
        <w:pStyle w:val="18"/>
        <w:numPr>
          <w:ilvl w:val="0"/>
          <w:numId w:val="23"/>
        </w:numPr>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所有价格均系用人民币表示，单位为元，</w:t>
      </w:r>
      <w:r>
        <w:rPr>
          <w:rFonts w:hint="eastAsia"/>
          <w:b/>
          <w:bCs/>
          <w:color w:val="000000" w:themeColor="text1"/>
          <w:sz w:val="21"/>
          <w:szCs w:val="21"/>
          <w14:textFill>
            <w14:solidFill>
              <w14:schemeClr w14:val="tx1"/>
            </w14:solidFill>
          </w14:textFill>
        </w:rPr>
        <w:t>均为含税价</w:t>
      </w:r>
      <w:r>
        <w:rPr>
          <w:rFonts w:hint="eastAsia"/>
          <w:b/>
          <w:color w:val="000000" w:themeColor="text1"/>
          <w:sz w:val="21"/>
          <w:szCs w:val="21"/>
          <w14:textFill>
            <w14:solidFill>
              <w14:schemeClr w14:val="tx1"/>
            </w14:solidFill>
          </w14:textFill>
        </w:rPr>
        <w:t>；</w:t>
      </w:r>
    </w:p>
    <w:p>
      <w:pPr>
        <w:pStyle w:val="18"/>
        <w:numPr>
          <w:ilvl w:val="0"/>
          <w:numId w:val="23"/>
        </w:numPr>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bCs/>
          <w:color w:val="000000"/>
          <w:sz w:val="21"/>
          <w:szCs w:val="21"/>
          <w:u w:val="single"/>
          <w:shd w:val="clear" w:color="auto" w:fill="FFFFFF"/>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pStyle w:val="18"/>
        <w:numPr>
          <w:ilvl w:val="0"/>
          <w:numId w:val="23"/>
        </w:numPr>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平台上报价与报价表合计不一致的，以报价表合计（经价格核准后的价格）为准。</w:t>
      </w:r>
    </w:p>
    <w:p>
      <w:pPr>
        <w:pStyle w:val="18"/>
        <w:numPr>
          <w:ilvl w:val="0"/>
          <w:numId w:val="23"/>
        </w:numPr>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bCs/>
          <w:color w:val="000000"/>
          <w:sz w:val="21"/>
          <w:szCs w:val="21"/>
          <w:u w:val="single"/>
          <w:shd w:val="clear" w:color="auto" w:fill="FFFFFF"/>
        </w:rPr>
        <w:t>供应商报价表必须加盖公章，否则视作无效报价。</w:t>
      </w:r>
    </w:p>
    <w:p>
      <w:pPr>
        <w:wordWrap w:val="0"/>
        <w:spacing w:line="360" w:lineRule="auto"/>
        <w:ind w:right="218"/>
        <w:jc w:val="right"/>
        <w:rPr>
          <w:rFonts w:ascii="宋体" w:hAnsi="宋体" w:eastAsia="宋体" w:cs="宋体"/>
          <w:color w:val="000000" w:themeColor="text1"/>
          <w:spacing w:val="4"/>
          <w:szCs w:val="21"/>
          <w14:textFill>
            <w14:solidFill>
              <w14:schemeClr w14:val="tx1"/>
            </w14:solidFill>
          </w14:textFill>
        </w:rPr>
      </w:pPr>
    </w:p>
    <w:p>
      <w:pPr>
        <w:wordWrap w:val="0"/>
        <w:spacing w:line="360" w:lineRule="auto"/>
        <w:ind w:right="218"/>
        <w:jc w:val="right"/>
        <w:rPr>
          <w:rFonts w:ascii="宋体" w:hAnsi="宋体" w:eastAsia="宋体" w:cs="宋体"/>
          <w:color w:val="000000" w:themeColor="text1"/>
          <w:spacing w:val="4"/>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spacing w:line="360" w:lineRule="auto"/>
        <w:ind w:right="218"/>
        <w:jc w:val="right"/>
        <w:rPr>
          <w:rFonts w:ascii="宋体" w:hAnsi="宋体" w:eastAsia="宋体" w:cs="宋体"/>
          <w:color w:val="000000" w:themeColor="text1"/>
          <w:spacing w:val="4"/>
          <w:szCs w:val="21"/>
          <w:u w:val="single"/>
          <w14:textFill>
            <w14:solidFill>
              <w14:schemeClr w14:val="tx1"/>
            </w14:solidFill>
          </w14:textFill>
        </w:rPr>
      </w:pPr>
    </w:p>
    <w:p>
      <w:pPr>
        <w:wordWrap w:val="0"/>
        <w:spacing w:line="360" w:lineRule="auto"/>
        <w:ind w:right="218"/>
        <w:jc w:val="right"/>
        <w:rPr>
          <w:rFonts w:ascii="宋体" w:hAnsi="宋体" w:eastAsia="宋体" w:cs="宋体"/>
          <w:color w:val="000000" w:themeColor="text1"/>
          <w:spacing w:val="4"/>
          <w:szCs w:val="21"/>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sectPr>
          <w:pgSz w:w="11906" w:h="16838"/>
          <w:pgMar w:top="1417" w:right="1800" w:bottom="1417" w:left="1800" w:header="720" w:footer="720" w:gutter="0"/>
          <w:cols w:space="425" w:num="1"/>
          <w:titlePg/>
          <w:docGrid w:type="lines" w:linePitch="312" w:charSpace="0"/>
        </w:sectPr>
      </w:pPr>
    </w:p>
    <w:p/>
    <w:p>
      <w:pPr>
        <w:pStyle w:val="3"/>
        <w:spacing w:before="0" w:after="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用户需求书响应声明函</w:t>
      </w:r>
    </w:p>
    <w:p>
      <w:pPr>
        <w:spacing w:line="360" w:lineRule="auto"/>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致：德庆县疾病预防控制中心（德庆县卫生检验中心）、</w:t>
      </w:r>
      <w:r>
        <w:rPr>
          <w:rFonts w:hint="eastAsia" w:ascii="宋体" w:hAnsi="宋体" w:eastAsia="宋体" w:cs="宋体"/>
          <w:b/>
          <w:color w:val="000000" w:themeColor="text1"/>
          <w14:textFill>
            <w14:solidFill>
              <w14:schemeClr w14:val="tx1"/>
            </w14:solidFill>
          </w14:textFill>
        </w:rPr>
        <w:t>云采链（广州）信息科技有限公司</w:t>
      </w:r>
    </w:p>
    <w:p>
      <w:pPr>
        <w:spacing w:line="360" w:lineRule="auto"/>
        <w:rPr>
          <w:rFonts w:ascii="宋体" w:hAnsi="宋体" w:eastAsia="宋体" w:cs="宋体"/>
          <w:color w:val="000000" w:themeColor="text1"/>
          <w:lang w:val="zh-CN"/>
          <w14:textFill>
            <w14:solidFill>
              <w14:schemeClr w14:val="tx1"/>
            </w14:solidFill>
          </w14:textFill>
        </w:rPr>
      </w:pPr>
    </w:p>
    <w:p>
      <w:pPr>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关于贵单位、贵司发布</w:t>
      </w:r>
      <w:r>
        <w:rPr>
          <w:rFonts w:hint="eastAsia" w:ascii="宋体" w:hAnsi="宋体" w:eastAsia="宋体" w:cs="宋体"/>
          <w:b/>
          <w:bCs/>
          <w:color w:val="000000" w:themeColor="text1"/>
          <w:szCs w:val="32"/>
          <w:u w:val="single"/>
          <w14:textFill>
            <w14:solidFill>
              <w14:schemeClr w14:val="tx1"/>
            </w14:solidFill>
          </w14:textFill>
        </w:rPr>
        <w:t>20240625德庆县疾控中心试剂及标准物质耗材采购</w:t>
      </w:r>
      <w:r>
        <w:rPr>
          <w:rFonts w:hint="eastAsia" w:ascii="宋体" w:hAnsi="宋体" w:eastAsia="宋体" w:cs="宋体"/>
          <w:color w:val="000000" w:themeColor="text1"/>
          <w:szCs w:val="21"/>
          <w14:textFill>
            <w14:solidFill>
              <w14:schemeClr w14:val="tx1"/>
            </w14:solidFill>
          </w14:textFill>
        </w:rPr>
        <w:t>的竞价公告，本公司（企业）愿意参加竞价活动，并作出如下声明：</w:t>
      </w:r>
    </w:p>
    <w:p>
      <w:pPr>
        <w:pStyle w:val="40"/>
        <w:tabs>
          <w:tab w:val="left" w:pos="426"/>
        </w:tabs>
        <w:snapToGrid w:val="0"/>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pPr>
        <w:pStyle w:val="40"/>
        <w:tabs>
          <w:tab w:val="left" w:pos="426"/>
        </w:tabs>
        <w:snapToGrid w:val="0"/>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本公司（企业）承诺在本次采购活动中，如有违法、违规、弄虚作假行为，所造成的损失、不良后果及法律责任，一律由我公司（企业）承担。</w:t>
      </w:r>
    </w:p>
    <w:p>
      <w:pPr>
        <w:autoSpaceDE w:val="0"/>
        <w:autoSpaceDN w:val="0"/>
        <w:adjustRightInd w:val="0"/>
        <w:spacing w:line="360" w:lineRule="auto"/>
        <w:ind w:firstLine="413" w:firstLineChars="196"/>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pPr>
        <w:pStyle w:val="30"/>
        <w:numPr>
          <w:ilvl w:val="0"/>
          <w:numId w:val="24"/>
        </w:numPr>
        <w:autoSpaceDE w:val="0"/>
        <w:autoSpaceDN w:val="0"/>
        <w:adjustRightInd w:val="0"/>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pPr>
        <w:pStyle w:val="30"/>
        <w:numPr>
          <w:ilvl w:val="0"/>
          <w:numId w:val="24"/>
        </w:numPr>
        <w:snapToGrid w:val="0"/>
        <w:spacing w:line="360" w:lineRule="auto"/>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本声明函如有虚假或与事实不符的，作无效报价处理。</w:t>
      </w:r>
    </w:p>
    <w:p>
      <w:pPr>
        <w:widowControl/>
        <w:spacing w:line="360" w:lineRule="auto"/>
        <w:jc w:val="left"/>
        <w:rPr>
          <w:rFonts w:ascii="宋体" w:hAnsi="宋体" w:eastAsia="宋体" w:cs="宋体"/>
          <w:b/>
          <w:bCs/>
          <w:color w:val="000000" w:themeColor="text1"/>
          <w:kern w:val="0"/>
          <w:sz w:val="32"/>
          <w:szCs w:val="32"/>
          <w14:textFill>
            <w14:solidFill>
              <w14:schemeClr w14:val="tx1"/>
            </w14:solidFill>
          </w14:textFill>
        </w:rPr>
      </w:pPr>
    </w:p>
    <w:p>
      <w:pPr>
        <w:wordWrap w:val="0"/>
        <w:spacing w:line="360" w:lineRule="auto"/>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spacing w:line="360" w:lineRule="auto"/>
        <w:ind w:firstLine="105" w:firstLineChars="50"/>
        <w:jc w:val="right"/>
        <w:rPr>
          <w:rFonts w:ascii="宋体" w:hAnsi="宋体" w:eastAsia="宋体" w:cs="宋体"/>
          <w:color w:val="000000" w:themeColor="text1"/>
          <w:szCs w:val="21"/>
          <w:u w:val="single"/>
          <w14:textFill>
            <w14:solidFill>
              <w14:schemeClr w14:val="tx1"/>
            </w14:solidFill>
          </w14:textFill>
        </w:rPr>
      </w:pPr>
    </w:p>
    <w:p>
      <w:pPr>
        <w:wordWrap w:val="0"/>
        <w:spacing w:line="360" w:lineRule="auto"/>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widowControl/>
        <w:spacing w:line="360" w:lineRule="auto"/>
        <w:jc w:val="right"/>
        <w:rPr>
          <w:rFonts w:ascii="宋体" w:hAnsi="宋体" w:eastAsia="宋体" w:cs="宋体"/>
          <w:b/>
          <w:bCs/>
          <w:color w:val="000000" w:themeColor="text1"/>
          <w:kern w:val="0"/>
          <w:sz w:val="32"/>
          <w:szCs w:val="32"/>
          <w:lang w:val="zh-CN"/>
          <w14:textFill>
            <w14:solidFill>
              <w14:schemeClr w14:val="tx1"/>
            </w14:solidFill>
          </w14:textFill>
        </w:rPr>
      </w:pPr>
    </w:p>
    <w:p>
      <w:pPr>
        <w:spacing w:line="360" w:lineRule="auto"/>
        <w:rPr>
          <w:rFonts w:ascii="宋体" w:hAnsi="宋体" w:eastAsia="宋体" w:cs="宋体"/>
          <w:color w:val="000000" w:themeColor="text1"/>
          <w14:textFill>
            <w14:solidFill>
              <w14:schemeClr w14:val="tx1"/>
            </w14:solidFill>
          </w14:textFill>
        </w:rPr>
      </w:pPr>
    </w:p>
    <w:p>
      <w:pPr>
        <w:widowControl/>
        <w:spacing w:line="360" w:lineRule="auto"/>
        <w:jc w:val="left"/>
        <w:rPr>
          <w:rFonts w:ascii="宋体" w:hAnsi="宋体" w:eastAsia="宋体" w:cs="宋体"/>
          <w:color w:val="000000"/>
          <w:szCs w:val="21"/>
          <w:lang w:val="zh-CN" w:bidi="ar"/>
        </w:rPr>
      </w:pPr>
    </w:p>
    <w:sectPr>
      <w:pgSz w:w="11906" w:h="16838"/>
      <w:pgMar w:top="1417" w:right="1800" w:bottom="1417" w:left="1800" w:header="720" w:footer="720"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C97576"/>
    <w:multiLevelType w:val="multilevel"/>
    <w:tmpl w:val="A1C97576"/>
    <w:lvl w:ilvl="0" w:tentative="0">
      <w:start w:val="1"/>
      <w:numFmt w:val="decimal"/>
      <w:lvlText w:val="%1."/>
      <w:lvlJc w:val="left"/>
      <w:pPr>
        <w:tabs>
          <w:tab w:val="left" w:pos="360"/>
        </w:tabs>
        <w:ind w:left="360" w:hanging="360"/>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A63CE0D2"/>
    <w:multiLevelType w:val="singleLevel"/>
    <w:tmpl w:val="A63CE0D2"/>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2">
    <w:nsid w:val="CD08322A"/>
    <w:multiLevelType w:val="singleLevel"/>
    <w:tmpl w:val="CD08322A"/>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3">
    <w:nsid w:val="D7010DB7"/>
    <w:multiLevelType w:val="singleLevel"/>
    <w:tmpl w:val="D7010DB7"/>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4">
    <w:nsid w:val="E91EF292"/>
    <w:multiLevelType w:val="multilevel"/>
    <w:tmpl w:val="E91EF292"/>
    <w:lvl w:ilvl="0" w:tentative="0">
      <w:start w:val="1"/>
      <w:numFmt w:val="chineseCountingThousand"/>
      <w:lvlText w:val="(%1)"/>
      <w:lvlJc w:val="left"/>
      <w:pPr>
        <w:ind w:left="286" w:hanging="420"/>
      </w:pPr>
    </w:lvl>
    <w:lvl w:ilvl="1" w:tentative="0">
      <w:start w:val="1"/>
      <w:numFmt w:val="lowerLetter"/>
      <w:lvlText w:val="%2)"/>
      <w:lvlJc w:val="left"/>
      <w:pPr>
        <w:ind w:left="706" w:hanging="420"/>
      </w:pPr>
    </w:lvl>
    <w:lvl w:ilvl="2" w:tentative="0">
      <w:start w:val="1"/>
      <w:numFmt w:val="lowerRoman"/>
      <w:lvlText w:val="%3."/>
      <w:lvlJc w:val="right"/>
      <w:pPr>
        <w:ind w:left="1126" w:hanging="420"/>
      </w:pPr>
    </w:lvl>
    <w:lvl w:ilvl="3" w:tentative="0">
      <w:start w:val="1"/>
      <w:numFmt w:val="decimal"/>
      <w:lvlText w:val="%4."/>
      <w:lvlJc w:val="left"/>
      <w:pPr>
        <w:ind w:left="1546" w:hanging="420"/>
      </w:pPr>
    </w:lvl>
    <w:lvl w:ilvl="4" w:tentative="0">
      <w:start w:val="1"/>
      <w:numFmt w:val="lowerLetter"/>
      <w:lvlText w:val="%5)"/>
      <w:lvlJc w:val="left"/>
      <w:pPr>
        <w:ind w:left="1966" w:hanging="420"/>
      </w:pPr>
    </w:lvl>
    <w:lvl w:ilvl="5" w:tentative="0">
      <w:start w:val="1"/>
      <w:numFmt w:val="lowerRoman"/>
      <w:lvlText w:val="%6."/>
      <w:lvlJc w:val="right"/>
      <w:pPr>
        <w:ind w:left="2386" w:hanging="420"/>
      </w:pPr>
    </w:lvl>
    <w:lvl w:ilvl="6" w:tentative="0">
      <w:start w:val="1"/>
      <w:numFmt w:val="decimal"/>
      <w:lvlText w:val="%7."/>
      <w:lvlJc w:val="left"/>
      <w:pPr>
        <w:ind w:left="2806" w:hanging="420"/>
      </w:pPr>
    </w:lvl>
    <w:lvl w:ilvl="7" w:tentative="0">
      <w:start w:val="1"/>
      <w:numFmt w:val="lowerLetter"/>
      <w:lvlText w:val="%8)"/>
      <w:lvlJc w:val="left"/>
      <w:pPr>
        <w:ind w:left="3226" w:hanging="420"/>
      </w:pPr>
    </w:lvl>
    <w:lvl w:ilvl="8" w:tentative="0">
      <w:start w:val="1"/>
      <w:numFmt w:val="lowerRoman"/>
      <w:lvlText w:val="%9."/>
      <w:lvlJc w:val="right"/>
      <w:pPr>
        <w:ind w:left="3646" w:hanging="420"/>
      </w:pPr>
    </w:lvl>
  </w:abstractNum>
  <w:abstractNum w:abstractNumId="5">
    <w:nsid w:val="F09CFC33"/>
    <w:multiLevelType w:val="singleLevel"/>
    <w:tmpl w:val="F09CFC33"/>
    <w:lvl w:ilvl="0" w:tentative="0">
      <w:start w:val="1"/>
      <w:numFmt w:val="decimal"/>
      <w:lvlText w:val="(%1)"/>
      <w:lvlJc w:val="left"/>
      <w:pPr>
        <w:ind w:left="425" w:hanging="425"/>
      </w:pPr>
      <w:rPr>
        <w:rFonts w:hint="default" w:ascii="宋体" w:hAnsi="宋体" w:eastAsia="宋体" w:cs="宋体"/>
        <w:sz w:val="21"/>
        <w:szCs w:val="21"/>
      </w:rPr>
    </w:lvl>
  </w:abstractNum>
  <w:abstractNum w:abstractNumId="6">
    <w:nsid w:val="F47A0796"/>
    <w:multiLevelType w:val="singleLevel"/>
    <w:tmpl w:val="F47A0796"/>
    <w:lvl w:ilvl="0" w:tentative="0">
      <w:start w:val="1"/>
      <w:numFmt w:val="chineseCounting"/>
      <w:suff w:val="nothing"/>
      <w:lvlText w:val="（%1）"/>
      <w:lvlJc w:val="left"/>
      <w:pPr>
        <w:ind w:left="0" w:firstLine="420"/>
      </w:pPr>
      <w:rPr>
        <w:rFonts w:hint="eastAsia"/>
        <w:b/>
        <w:bCs/>
      </w:rPr>
    </w:lvl>
  </w:abstractNum>
  <w:abstractNum w:abstractNumId="7">
    <w:nsid w:val="F4E25012"/>
    <w:multiLevelType w:val="multilevel"/>
    <w:tmpl w:val="F4E25012"/>
    <w:lvl w:ilvl="0" w:tentative="0">
      <w:start w:val="1"/>
      <w:numFmt w:val="chineseCountingThousand"/>
      <w:lvlText w:val="%1、"/>
      <w:lvlJc w:val="left"/>
      <w:pPr>
        <w:tabs>
          <w:tab w:val="left" w:pos="420"/>
        </w:tabs>
        <w:ind w:left="420" w:hanging="420"/>
      </w:pPr>
      <w:rPr>
        <w:rFonts w:hint="eastAsia" w:ascii="宋体" w:hAnsi="宋体" w:eastAsia="宋体" w:cs="宋体"/>
        <w:b/>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2.%3"/>
      <w:lvlJc w:val="left"/>
      <w:pPr>
        <w:tabs>
          <w:tab w:val="left" w:pos="1703"/>
        </w:tabs>
        <w:ind w:left="1703" w:hanging="851"/>
      </w:pPr>
      <w:rPr>
        <w:rFonts w:hint="default" w:ascii="宋体" w:hAnsi="宋体" w:eastAsia="宋体" w:cs="Times New Roman"/>
        <w:b w:val="0"/>
        <w:color w:val="auto"/>
        <w:sz w:val="21"/>
        <w:szCs w:val="21"/>
      </w:rPr>
    </w:lvl>
    <w:lvl w:ilvl="3" w:tentative="0">
      <w:start w:val="1"/>
      <w:numFmt w:val="decimal"/>
      <w:pStyle w:val="39"/>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0304B097"/>
    <w:multiLevelType w:val="singleLevel"/>
    <w:tmpl w:val="0304B097"/>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0">
    <w:nsid w:val="04AD10DA"/>
    <w:multiLevelType w:val="multilevel"/>
    <w:tmpl w:val="04AD10DA"/>
    <w:lvl w:ilvl="0" w:tentative="0">
      <w:start w:val="1"/>
      <w:numFmt w:val="lowerLetter"/>
      <w:suff w:val="nothing"/>
      <w:lvlText w:val="%1)"/>
      <w:lvlJc w:val="left"/>
      <w:pPr>
        <w:ind w:left="2121" w:hanging="420"/>
      </w:pPr>
      <w:rPr>
        <w:rFonts w:hint="eastAsia"/>
      </w:rPr>
    </w:lvl>
    <w:lvl w:ilvl="1" w:tentative="0">
      <w:start w:val="1"/>
      <w:numFmt w:val="lowerLetter"/>
      <w:lvlText w:val="%2)"/>
      <w:lvlJc w:val="left"/>
      <w:pPr>
        <w:ind w:left="2541" w:hanging="420"/>
      </w:pPr>
    </w:lvl>
    <w:lvl w:ilvl="2" w:tentative="0">
      <w:start w:val="1"/>
      <w:numFmt w:val="lowerRoman"/>
      <w:lvlText w:val="%3."/>
      <w:lvlJc w:val="right"/>
      <w:pPr>
        <w:ind w:left="2961" w:hanging="420"/>
      </w:pPr>
    </w:lvl>
    <w:lvl w:ilvl="3" w:tentative="0">
      <w:start w:val="1"/>
      <w:numFmt w:val="decimal"/>
      <w:lvlText w:val="%4."/>
      <w:lvlJc w:val="left"/>
      <w:pPr>
        <w:ind w:left="3381" w:hanging="420"/>
      </w:pPr>
    </w:lvl>
    <w:lvl w:ilvl="4" w:tentative="0">
      <w:start w:val="1"/>
      <w:numFmt w:val="lowerLetter"/>
      <w:lvlText w:val="%5)"/>
      <w:lvlJc w:val="left"/>
      <w:pPr>
        <w:ind w:left="3801" w:hanging="420"/>
      </w:pPr>
    </w:lvl>
    <w:lvl w:ilvl="5" w:tentative="0">
      <w:start w:val="1"/>
      <w:numFmt w:val="lowerRoman"/>
      <w:lvlText w:val="%6."/>
      <w:lvlJc w:val="right"/>
      <w:pPr>
        <w:ind w:left="4221" w:hanging="420"/>
      </w:pPr>
    </w:lvl>
    <w:lvl w:ilvl="6" w:tentative="0">
      <w:start w:val="1"/>
      <w:numFmt w:val="decimal"/>
      <w:lvlText w:val="%7."/>
      <w:lvlJc w:val="left"/>
      <w:pPr>
        <w:ind w:left="4641" w:hanging="420"/>
      </w:pPr>
    </w:lvl>
    <w:lvl w:ilvl="7" w:tentative="0">
      <w:start w:val="1"/>
      <w:numFmt w:val="lowerLetter"/>
      <w:lvlText w:val="%8)"/>
      <w:lvlJc w:val="left"/>
      <w:pPr>
        <w:ind w:left="5061" w:hanging="420"/>
      </w:pPr>
    </w:lvl>
    <w:lvl w:ilvl="8" w:tentative="0">
      <w:start w:val="1"/>
      <w:numFmt w:val="lowerRoman"/>
      <w:lvlText w:val="%9."/>
      <w:lvlJc w:val="right"/>
      <w:pPr>
        <w:ind w:left="5481" w:hanging="420"/>
      </w:pPr>
    </w:lvl>
  </w:abstractNum>
  <w:abstractNum w:abstractNumId="11">
    <w:nsid w:val="1579B33C"/>
    <w:multiLevelType w:val="singleLevel"/>
    <w:tmpl w:val="1579B33C"/>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2">
    <w:nsid w:val="1C0F739A"/>
    <w:multiLevelType w:val="singleLevel"/>
    <w:tmpl w:val="1C0F739A"/>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13">
    <w:nsid w:val="25AC778E"/>
    <w:multiLevelType w:val="multilevel"/>
    <w:tmpl w:val="25AC778E"/>
    <w:lvl w:ilvl="0" w:tentative="0">
      <w:start w:val="1"/>
      <w:numFmt w:val="chineseCountingThousand"/>
      <w:suff w:val="nothing"/>
      <w:lvlText w:val="%1、"/>
      <w:lvlJc w:val="left"/>
      <w:pPr>
        <w:ind w:left="420" w:hanging="420"/>
      </w:pPr>
      <w:rPr>
        <w:rFonts w:hint="eastAsia"/>
        <w:b/>
      </w:rPr>
    </w:lvl>
    <w:lvl w:ilvl="1" w:tentative="0">
      <w:start w:val="1"/>
      <w:numFmt w:val="chineseCountingThousand"/>
      <w:suff w:val="nothing"/>
      <w:lvlText w:val="(%2)"/>
      <w:lvlJc w:val="left"/>
      <w:pPr>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suff w:val="nothing"/>
      <w:lvlText w:val="%4."/>
      <w:lvlJc w:val="left"/>
      <w:pPr>
        <w:ind w:left="1272"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4">
    <w:nsid w:val="288C32E4"/>
    <w:multiLevelType w:val="multilevel"/>
    <w:tmpl w:val="288C32E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28DFED06"/>
    <w:multiLevelType w:val="singleLevel"/>
    <w:tmpl w:val="28DFED06"/>
    <w:lvl w:ilvl="0" w:tentative="0">
      <w:start w:val="1"/>
      <w:numFmt w:val="decimal"/>
      <w:suff w:val="nothing"/>
      <w:lvlText w:val="%1．"/>
      <w:lvlJc w:val="left"/>
      <w:pPr>
        <w:ind w:left="0" w:firstLine="400"/>
      </w:pPr>
      <w:rPr>
        <w:rFonts w:hint="default"/>
      </w:rPr>
    </w:lvl>
  </w:abstractNum>
  <w:abstractNum w:abstractNumId="16">
    <w:nsid w:val="2F0E7B2B"/>
    <w:multiLevelType w:val="multilevel"/>
    <w:tmpl w:val="2F0E7B2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7">
    <w:nsid w:val="4CCCCDC4"/>
    <w:multiLevelType w:val="singleLevel"/>
    <w:tmpl w:val="4CCCCDC4"/>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18">
    <w:nsid w:val="590DFEAE"/>
    <w:multiLevelType w:val="singleLevel"/>
    <w:tmpl w:val="590DFEAE"/>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9">
    <w:nsid w:val="5A913858"/>
    <w:multiLevelType w:val="multilevel"/>
    <w:tmpl w:val="5A913858"/>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63784A10"/>
    <w:multiLevelType w:val="multilevel"/>
    <w:tmpl w:val="63784A10"/>
    <w:lvl w:ilvl="0" w:tentative="0">
      <w:start w:val="1"/>
      <w:numFmt w:val="chineseCountingThousand"/>
      <w:suff w:val="nothing"/>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67B9485"/>
    <w:multiLevelType w:val="multilevel"/>
    <w:tmpl w:val="667B9485"/>
    <w:lvl w:ilvl="0" w:tentative="0">
      <w:start w:val="1"/>
      <w:numFmt w:val="decimal"/>
      <w:lvlText w:val="%1."/>
      <w:lvlJc w:val="left"/>
      <w:pPr>
        <w:ind w:left="846" w:hanging="420"/>
      </w:pPr>
      <w:rPr>
        <w:rFonts w:hint="eastAsia"/>
        <w:color w:val="auto"/>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2">
    <w:nsid w:val="6E19083E"/>
    <w:multiLevelType w:val="multilevel"/>
    <w:tmpl w:val="6E19083E"/>
    <w:lvl w:ilvl="0" w:tentative="0">
      <w:start w:val="1"/>
      <w:numFmt w:val="decimal"/>
      <w:lvlText w:val="%1."/>
      <w:lvlJc w:val="left"/>
      <w:pPr>
        <w:ind w:left="420" w:hanging="420"/>
      </w:pPr>
      <w:rPr>
        <w:rFonts w:hint="default"/>
        <w:sz w:val="21"/>
        <w:szCs w:val="21"/>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8336098"/>
    <w:multiLevelType w:val="multilevel"/>
    <w:tmpl w:val="78336098"/>
    <w:lvl w:ilvl="0" w:tentative="0">
      <w:start w:val="1"/>
      <w:numFmt w:val="decimal"/>
      <w:suff w:val="nothing"/>
      <w:lvlText w:val="%1."/>
      <w:lvlJc w:val="left"/>
      <w:pPr>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8"/>
  </w:num>
  <w:num w:numId="2">
    <w:abstractNumId w:val="20"/>
  </w:num>
  <w:num w:numId="3">
    <w:abstractNumId w:val="6"/>
  </w:num>
  <w:num w:numId="4">
    <w:abstractNumId w:val="17"/>
  </w:num>
  <w:num w:numId="5">
    <w:abstractNumId w:val="3"/>
  </w:num>
  <w:num w:numId="6">
    <w:abstractNumId w:val="9"/>
  </w:num>
  <w:num w:numId="7">
    <w:abstractNumId w:val="2"/>
  </w:num>
  <w:num w:numId="8">
    <w:abstractNumId w:val="11"/>
  </w:num>
  <w:num w:numId="9">
    <w:abstractNumId w:val="18"/>
  </w:num>
  <w:num w:numId="10">
    <w:abstractNumId w:val="12"/>
  </w:num>
  <w:num w:numId="11">
    <w:abstractNumId w:val="5"/>
  </w:num>
  <w:num w:numId="12">
    <w:abstractNumId w:val="1"/>
  </w:num>
  <w:num w:numId="13">
    <w:abstractNumId w:val="10"/>
  </w:num>
  <w:num w:numId="14">
    <w:abstractNumId w:val="14"/>
  </w:num>
  <w:num w:numId="15">
    <w:abstractNumId w:val="7"/>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3"/>
  </w:num>
  <w:num w:numId="19">
    <w:abstractNumId w:val="0"/>
  </w:num>
  <w:num w:numId="20">
    <w:abstractNumId w:val="15"/>
  </w:num>
  <w:num w:numId="21">
    <w:abstractNumId w:val="19"/>
  </w:num>
  <w:num w:numId="22">
    <w:abstractNumId w:val="13"/>
  </w:num>
  <w:num w:numId="23">
    <w:abstractNumId w:val="22"/>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0MzRiMjA3NmE3NjBiNzIzMGZlNjA0ZjlkMDM2NGEifQ=="/>
  </w:docVars>
  <w:rsids>
    <w:rsidRoot w:val="00000000"/>
    <w:rsid w:val="58461F12"/>
    <w:rsid w:val="721C7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5"/>
    <w:qFormat/>
    <w:uiPriority w:val="9"/>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3">
    <w:name w:val="heading 2"/>
    <w:basedOn w:val="1"/>
    <w:next w:val="1"/>
    <w:link w:val="85"/>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61"/>
    <w:unhideWhenUsed/>
    <w:qFormat/>
    <w:uiPriority w:val="9"/>
    <w:pPr>
      <w:keepNext/>
      <w:keepLines/>
      <w:spacing w:before="260" w:after="260" w:line="413" w:lineRule="auto"/>
      <w:outlineLvl w:val="2"/>
    </w:pPr>
    <w:rPr>
      <w:b/>
      <w:sz w:val="32"/>
    </w:rPr>
  </w:style>
  <w:style w:type="character" w:default="1" w:styleId="25">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spacing w:line="60" w:lineRule="auto"/>
      <w:ind w:firstLine="420" w:firstLineChars="200"/>
    </w:pPr>
    <w:rPr>
      <w:rFonts w:ascii="Times New Roman" w:hAnsi="Times New Roman" w:eastAsia="宋体" w:cs="Times New Roman"/>
      <w:szCs w:val="24"/>
    </w:rPr>
  </w:style>
  <w:style w:type="paragraph" w:styleId="6">
    <w:name w:val="annotation text"/>
    <w:basedOn w:val="1"/>
    <w:link w:val="86"/>
    <w:unhideWhenUsed/>
    <w:qFormat/>
    <w:uiPriority w:val="0"/>
    <w:pPr>
      <w:jc w:val="left"/>
    </w:pPr>
    <w:rPr>
      <w:rFonts w:ascii="Times New Roman" w:hAnsi="Times New Roman" w:eastAsia="宋体" w:cs="Times New Roman"/>
      <w:szCs w:val="24"/>
    </w:rPr>
  </w:style>
  <w:style w:type="paragraph" w:styleId="7">
    <w:name w:val="Body Text"/>
    <w:basedOn w:val="1"/>
    <w:link w:val="91"/>
    <w:unhideWhenUsed/>
    <w:qFormat/>
    <w:uiPriority w:val="99"/>
    <w:pPr>
      <w:spacing w:after="120"/>
    </w:pPr>
  </w:style>
  <w:style w:type="paragraph" w:styleId="8">
    <w:name w:val="Body Text Indent"/>
    <w:basedOn w:val="1"/>
    <w:next w:val="9"/>
    <w:link w:val="88"/>
    <w:unhideWhenUsed/>
    <w:qFormat/>
    <w:uiPriority w:val="99"/>
    <w:pPr>
      <w:spacing w:after="120"/>
      <w:ind w:left="420" w:leftChars="200"/>
    </w:pPr>
  </w:style>
  <w:style w:type="paragraph" w:styleId="9">
    <w:name w:val="envelope return"/>
    <w:basedOn w:val="1"/>
    <w:qFormat/>
    <w:uiPriority w:val="0"/>
    <w:pPr>
      <w:snapToGrid w:val="0"/>
    </w:pPr>
    <w:rPr>
      <w:rFonts w:ascii="Arial" w:hAnsi="Arial"/>
    </w:rPr>
  </w:style>
  <w:style w:type="paragraph" w:styleId="10">
    <w:name w:val="Plain Text"/>
    <w:basedOn w:val="1"/>
    <w:link w:val="60"/>
    <w:qFormat/>
    <w:uiPriority w:val="0"/>
    <w:rPr>
      <w:rFonts w:ascii="宋体" w:hAnsi="Courier New" w:eastAsia="宋体" w:cs="Times New Roman"/>
      <w:kern w:val="0"/>
      <w:sz w:val="20"/>
      <w:szCs w:val="21"/>
    </w:rPr>
  </w:style>
  <w:style w:type="paragraph" w:styleId="11">
    <w:name w:val="Balloon Text"/>
    <w:basedOn w:val="1"/>
    <w:link w:val="32"/>
    <w:unhideWhenUsed/>
    <w:qFormat/>
    <w:uiPriority w:val="99"/>
    <w:rPr>
      <w:sz w:val="18"/>
      <w:szCs w:val="18"/>
    </w:rPr>
  </w:style>
  <w:style w:type="paragraph" w:styleId="12">
    <w:name w:val="footer"/>
    <w:basedOn w:val="1"/>
    <w:link w:val="56"/>
    <w:unhideWhenUsed/>
    <w:qFormat/>
    <w:uiPriority w:val="99"/>
    <w:pPr>
      <w:tabs>
        <w:tab w:val="center" w:pos="4153"/>
        <w:tab w:val="right" w:pos="8306"/>
      </w:tabs>
      <w:snapToGrid w:val="0"/>
      <w:jc w:val="left"/>
    </w:pPr>
    <w:rPr>
      <w:sz w:val="18"/>
      <w:szCs w:val="18"/>
    </w:rPr>
  </w:style>
  <w:style w:type="paragraph" w:styleId="13">
    <w:name w:val="header"/>
    <w:basedOn w:val="1"/>
    <w:link w:val="10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spacing w:line="400" w:lineRule="exact"/>
      <w:jc w:val="center"/>
    </w:pPr>
    <w:rPr>
      <w:rFonts w:hint="eastAsia" w:ascii="宋体" w:hAnsi="宋体" w:eastAsia="宋体" w:cs="Times New Roman"/>
      <w:b/>
      <w:bCs/>
    </w:rPr>
  </w:style>
  <w:style w:type="paragraph" w:styleId="15">
    <w:name w:val="footnote text"/>
    <w:basedOn w:val="1"/>
    <w:link w:val="73"/>
    <w:unhideWhenUsed/>
    <w:qFormat/>
    <w:uiPriority w:val="99"/>
    <w:pPr>
      <w:snapToGrid w:val="0"/>
      <w:jc w:val="left"/>
    </w:pPr>
    <w:rPr>
      <w:sz w:val="18"/>
    </w:rPr>
  </w:style>
  <w:style w:type="paragraph" w:styleId="16">
    <w:name w:val="Body Text Indent 3"/>
    <w:basedOn w:val="1"/>
    <w:link w:val="93"/>
    <w:unhideWhenUsed/>
    <w:qFormat/>
    <w:uiPriority w:val="99"/>
    <w:pPr>
      <w:spacing w:after="120"/>
      <w:ind w:left="420" w:leftChars="200"/>
    </w:pPr>
    <w:rPr>
      <w:rFonts w:hint="eastAsia" w:ascii="等线" w:hAnsi="等线" w:eastAsia="等线" w:cs="Times New Roman"/>
      <w:sz w:val="16"/>
      <w:szCs w:val="16"/>
    </w:rPr>
  </w:style>
  <w:style w:type="paragraph" w:styleId="17">
    <w:name w:val="toc 2"/>
    <w:basedOn w:val="1"/>
    <w:next w:val="1"/>
    <w:unhideWhenUsed/>
    <w:qFormat/>
    <w:uiPriority w:val="39"/>
    <w:pPr>
      <w:tabs>
        <w:tab w:val="left" w:pos="1080"/>
        <w:tab w:val="right" w:leader="dot" w:pos="9540"/>
        <w:tab w:val="right" w:leader="dot" w:pos="9628"/>
      </w:tabs>
      <w:ind w:left="150" w:leftChars="150" w:right="-34" w:rightChars="-34"/>
      <w:jc w:val="left"/>
    </w:pPr>
    <w:rPr>
      <w:rFonts w:ascii="Times New Roman" w:hAnsi="Times New Roman" w:eastAsia="宋体" w:cs="Times New Roman"/>
      <w:smallCaps/>
      <w:sz w:val="20"/>
    </w:rPr>
  </w:style>
  <w:style w:type="paragraph" w:styleId="18">
    <w:name w:val="Normal (Web)"/>
    <w:basedOn w:val="1"/>
    <w:link w:val="87"/>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9">
    <w:name w:val="Title"/>
    <w:basedOn w:val="1"/>
    <w:next w:val="1"/>
    <w:link w:val="72"/>
    <w:qFormat/>
    <w:uiPriority w:val="0"/>
    <w:pPr>
      <w:spacing w:before="240" w:after="60"/>
      <w:jc w:val="center"/>
      <w:outlineLvl w:val="0"/>
    </w:pPr>
    <w:rPr>
      <w:rFonts w:eastAsia="宋体" w:asciiTheme="majorHAnsi" w:hAnsiTheme="majorHAnsi" w:cstheme="majorBidi"/>
      <w:b/>
      <w:bCs/>
      <w:sz w:val="32"/>
      <w:szCs w:val="32"/>
    </w:rPr>
  </w:style>
  <w:style w:type="paragraph" w:styleId="20">
    <w:name w:val="annotation subject"/>
    <w:basedOn w:val="6"/>
    <w:next w:val="6"/>
    <w:link w:val="33"/>
    <w:unhideWhenUsed/>
    <w:qFormat/>
    <w:uiPriority w:val="99"/>
    <w:rPr>
      <w:b/>
      <w:bCs/>
    </w:rPr>
  </w:style>
  <w:style w:type="paragraph" w:styleId="21">
    <w:name w:val="Body Text First Indent"/>
    <w:basedOn w:val="7"/>
    <w:link w:val="94"/>
    <w:unhideWhenUsed/>
    <w:qFormat/>
    <w:uiPriority w:val="99"/>
    <w:pPr>
      <w:ind w:firstLine="420" w:firstLineChars="100"/>
    </w:pPr>
    <w:rPr>
      <w:rFonts w:ascii="Calibri" w:hAnsi="Calibri" w:eastAsia="宋体" w:cs="Times New Roman"/>
    </w:rPr>
  </w:style>
  <w:style w:type="paragraph" w:styleId="22">
    <w:name w:val="Body Text First Indent 2"/>
    <w:basedOn w:val="8"/>
    <w:next w:val="1"/>
    <w:link w:val="47"/>
    <w:unhideWhenUsed/>
    <w:qFormat/>
    <w:uiPriority w:val="99"/>
    <w:pPr>
      <w:ind w:firstLine="420" w:firstLineChars="20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6">
    <w:name w:val="Strong"/>
    <w:basedOn w:val="25"/>
    <w:qFormat/>
    <w:uiPriority w:val="22"/>
    <w:rPr>
      <w:b/>
      <w:bCs/>
    </w:rPr>
  </w:style>
  <w:style w:type="character" w:styleId="27">
    <w:name w:val="annotation reference"/>
    <w:basedOn w:val="25"/>
    <w:unhideWhenUsed/>
    <w:qFormat/>
    <w:uiPriority w:val="0"/>
    <w:rPr>
      <w:sz w:val="21"/>
      <w:szCs w:val="21"/>
    </w:rPr>
  </w:style>
  <w:style w:type="character" w:customStyle="1" w:styleId="28">
    <w:name w:val="页眉 字符"/>
    <w:basedOn w:val="25"/>
    <w:qFormat/>
    <w:uiPriority w:val="99"/>
    <w:rPr>
      <w:sz w:val="18"/>
      <w:szCs w:val="18"/>
    </w:rPr>
  </w:style>
  <w:style w:type="character" w:customStyle="1" w:styleId="29">
    <w:name w:val="页脚 字符"/>
    <w:basedOn w:val="25"/>
    <w:qFormat/>
    <w:uiPriority w:val="99"/>
    <w:rPr>
      <w:sz w:val="18"/>
      <w:szCs w:val="18"/>
    </w:rPr>
  </w:style>
  <w:style w:type="paragraph" w:customStyle="1" w:styleId="30">
    <w:name w:val="List Paragraph"/>
    <w:basedOn w:val="1"/>
    <w:link w:val="38"/>
    <w:qFormat/>
    <w:uiPriority w:val="34"/>
    <w:pPr>
      <w:ind w:firstLine="420" w:firstLineChars="200"/>
    </w:pPr>
  </w:style>
  <w:style w:type="character" w:customStyle="1" w:styleId="31">
    <w:name w:val="批注文字 字符"/>
    <w:basedOn w:val="25"/>
    <w:qFormat/>
    <w:uiPriority w:val="0"/>
  </w:style>
  <w:style w:type="character" w:customStyle="1" w:styleId="32">
    <w:name w:val="批注框文本 字符"/>
    <w:basedOn w:val="25"/>
    <w:link w:val="11"/>
    <w:semiHidden/>
    <w:qFormat/>
    <w:uiPriority w:val="99"/>
    <w:rPr>
      <w:sz w:val="18"/>
      <w:szCs w:val="18"/>
    </w:rPr>
  </w:style>
  <w:style w:type="character" w:customStyle="1" w:styleId="33">
    <w:name w:val="批注主题 字符"/>
    <w:basedOn w:val="31"/>
    <w:link w:val="20"/>
    <w:semiHidden/>
    <w:qFormat/>
    <w:uiPriority w:val="99"/>
    <w:rPr>
      <w:b/>
      <w:bCs/>
    </w:rPr>
  </w:style>
  <w:style w:type="character" w:customStyle="1" w:styleId="34">
    <w:name w:val="标题 Char"/>
    <w:basedOn w:val="25"/>
    <w:qFormat/>
    <w:uiPriority w:val="0"/>
    <w:rPr>
      <w:rFonts w:eastAsia="宋体" w:asciiTheme="majorHAnsi" w:hAnsiTheme="majorHAnsi" w:cstheme="majorBidi"/>
      <w:b/>
      <w:bCs/>
      <w:sz w:val="32"/>
      <w:szCs w:val="32"/>
    </w:rPr>
  </w:style>
  <w:style w:type="character" w:customStyle="1" w:styleId="35">
    <w:name w:val="标题 2 字符"/>
    <w:basedOn w:val="25"/>
    <w:qFormat/>
    <w:uiPriority w:val="0"/>
    <w:rPr>
      <w:rFonts w:ascii="Arial" w:hAnsi="Arial" w:eastAsia="黑体" w:cs="Times New Roman"/>
      <w:b/>
      <w:bCs/>
      <w:sz w:val="32"/>
      <w:szCs w:val="32"/>
    </w:rPr>
  </w:style>
  <w:style w:type="character" w:customStyle="1" w:styleId="36">
    <w:name w:val="纯文本 字符"/>
    <w:basedOn w:val="25"/>
    <w:qFormat/>
    <w:uiPriority w:val="0"/>
    <w:rPr>
      <w:rFonts w:ascii="宋体" w:hAnsi="Courier New" w:eastAsia="宋体" w:cs="Times New Roman"/>
      <w:kern w:val="0"/>
      <w:sz w:val="20"/>
      <w:szCs w:val="21"/>
    </w:rPr>
  </w:style>
  <w:style w:type="paragraph" w:customStyle="1" w:styleId="3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character" w:customStyle="1" w:styleId="38">
    <w:name w:val="列表段落 字符4"/>
    <w:link w:val="30"/>
    <w:qFormat/>
    <w:uiPriority w:val="99"/>
  </w:style>
  <w:style w:type="paragraph" w:customStyle="1" w:styleId="39">
    <w:name w:val="样式4"/>
    <w:basedOn w:val="1"/>
    <w:qFormat/>
    <w:uiPriority w:val="0"/>
    <w:pPr>
      <w:numPr>
        <w:ilvl w:val="3"/>
        <w:numId w:val="1"/>
      </w:numPr>
      <w:tabs>
        <w:tab w:val="left" w:pos="425"/>
        <w:tab w:val="left" w:pos="1984"/>
        <w:tab w:val="clear" w:pos="851"/>
      </w:tabs>
    </w:pPr>
    <w:rPr>
      <w:rFonts w:ascii="Times New Roman" w:hAnsi="Times New Roman" w:eastAsia="宋体" w:cs="Times New Roman"/>
      <w:szCs w:val="24"/>
    </w:rPr>
  </w:style>
  <w:style w:type="paragraph" w:customStyle="1" w:styleId="40">
    <w:name w:val="列出段落1"/>
    <w:basedOn w:val="1"/>
    <w:link w:val="41"/>
    <w:qFormat/>
    <w:uiPriority w:val="99"/>
    <w:pPr>
      <w:ind w:firstLine="420" w:firstLineChars="200"/>
    </w:pPr>
    <w:rPr>
      <w:rFonts w:ascii="Times New Roman" w:hAnsi="Times New Roman" w:eastAsia="宋体" w:cs="Times New Roman"/>
      <w:szCs w:val="21"/>
    </w:rPr>
  </w:style>
  <w:style w:type="character" w:customStyle="1" w:styleId="41">
    <w:name w:val="List Paragraph Char"/>
    <w:link w:val="40"/>
    <w:qFormat/>
    <w:locked/>
    <w:uiPriority w:val="99"/>
    <w:rPr>
      <w:rFonts w:ascii="Times New Roman" w:hAnsi="Times New Roman" w:eastAsia="宋体" w:cs="Times New Roman"/>
      <w:szCs w:val="21"/>
    </w:rPr>
  </w:style>
  <w:style w:type="paragraph" w:customStyle="1" w:styleId="42">
    <w:name w:val="_Style 121"/>
    <w:basedOn w:val="1"/>
    <w:next w:val="30"/>
    <w:qFormat/>
    <w:uiPriority w:val="34"/>
    <w:pPr>
      <w:ind w:firstLine="420" w:firstLineChars="200"/>
    </w:pPr>
    <w:rPr>
      <w:rFonts w:ascii="Calibri" w:hAnsi="Calibri" w:eastAsia="宋体" w:cs="Times New Roman"/>
    </w:rPr>
  </w:style>
  <w:style w:type="paragraph" w:customStyle="1" w:styleId="43">
    <w:name w:val="start-font-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4">
    <w:name w:val="start-font-3"/>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5">
    <w:name w:val="纯文本 Char1"/>
    <w:qFormat/>
    <w:uiPriority w:val="0"/>
    <w:rPr>
      <w:rFonts w:ascii="宋体" w:hAnsi="Courier New" w:eastAsia="宋体" w:cs="Times New Roman"/>
      <w:kern w:val="0"/>
      <w:sz w:val="20"/>
      <w:szCs w:val="21"/>
    </w:rPr>
  </w:style>
  <w:style w:type="character" w:customStyle="1" w:styleId="46">
    <w:name w:val="正文文本缩进 字符"/>
    <w:basedOn w:val="25"/>
    <w:qFormat/>
    <w:uiPriority w:val="0"/>
    <w:rPr>
      <w:kern w:val="2"/>
      <w:sz w:val="21"/>
      <w:szCs w:val="24"/>
    </w:rPr>
  </w:style>
  <w:style w:type="character" w:customStyle="1" w:styleId="47">
    <w:name w:val="正文文本首行缩进 2 字符"/>
    <w:basedOn w:val="46"/>
    <w:link w:val="22"/>
    <w:qFormat/>
    <w:uiPriority w:val="0"/>
    <w:rPr>
      <w:kern w:val="2"/>
      <w:sz w:val="21"/>
      <w:szCs w:val="24"/>
    </w:rPr>
  </w:style>
  <w:style w:type="paragraph" w:customStyle="1" w:styleId="48">
    <w:name w:val="msolistparagraph"/>
    <w:basedOn w:val="1"/>
    <w:qFormat/>
    <w:uiPriority w:val="0"/>
    <w:pPr>
      <w:ind w:firstLine="420" w:firstLineChars="200"/>
    </w:pPr>
    <w:rPr>
      <w:rFonts w:ascii="Times New Roman" w:hAnsi="Times New Roman" w:eastAsia="宋体" w:cs="Times New Roman"/>
    </w:rPr>
  </w:style>
  <w:style w:type="character" w:customStyle="1" w:styleId="49">
    <w:name w:val="列出段落 Char"/>
    <w:basedOn w:val="25"/>
    <w:qFormat/>
    <w:uiPriority w:val="0"/>
    <w:rPr>
      <w:kern w:val="2"/>
      <w:sz w:val="21"/>
      <w:szCs w:val="22"/>
    </w:rPr>
  </w:style>
  <w:style w:type="character" w:customStyle="1" w:styleId="50">
    <w:name w:val="正文文本 字符"/>
    <w:basedOn w:val="25"/>
    <w:qFormat/>
    <w:uiPriority w:val="0"/>
    <w:rPr>
      <w:rFonts w:hint="default" w:ascii="Calibri" w:hAnsi="Calibri" w:eastAsia="宋体" w:cs="Times New Roman"/>
      <w:kern w:val="2"/>
      <w:sz w:val="21"/>
      <w:szCs w:val="22"/>
    </w:rPr>
  </w:style>
  <w:style w:type="character" w:customStyle="1" w:styleId="51">
    <w:name w:val="纯文本 Char"/>
    <w:basedOn w:val="25"/>
    <w:qFormat/>
    <w:uiPriority w:val="0"/>
    <w:rPr>
      <w:rFonts w:hint="eastAsia" w:ascii="宋体" w:hAnsi="Courier New" w:eastAsia="宋体" w:cs="宋体"/>
      <w:szCs w:val="21"/>
    </w:rPr>
  </w:style>
  <w:style w:type="paragraph" w:customStyle="1" w:styleId="52">
    <w:name w:val="_Style 116"/>
    <w:basedOn w:val="1"/>
    <w:next w:val="30"/>
    <w:qFormat/>
    <w:uiPriority w:val="99"/>
    <w:pPr>
      <w:ind w:firstLine="420" w:firstLineChars="200"/>
    </w:pPr>
    <w:rPr>
      <w:kern w:val="0"/>
      <w:sz w:val="20"/>
      <w:szCs w:val="20"/>
    </w:rPr>
  </w:style>
  <w:style w:type="character" w:customStyle="1" w:styleId="53">
    <w:name w:val="普通(网站) 字符"/>
    <w:basedOn w:val="25"/>
    <w:qFormat/>
    <w:uiPriority w:val="0"/>
    <w:rPr>
      <w:rFonts w:hint="eastAsia" w:ascii="宋体" w:hAnsi="宋体" w:eastAsia="宋体" w:cs="宋体"/>
      <w:sz w:val="24"/>
      <w:szCs w:val="24"/>
    </w:rPr>
  </w:style>
  <w:style w:type="character" w:customStyle="1" w:styleId="54">
    <w:name w:val="批注文字 Char"/>
    <w:basedOn w:val="25"/>
    <w:qFormat/>
    <w:uiPriority w:val="0"/>
    <w:rPr>
      <w:kern w:val="2"/>
      <w:sz w:val="21"/>
      <w:szCs w:val="24"/>
    </w:rPr>
  </w:style>
  <w:style w:type="character" w:customStyle="1" w:styleId="55">
    <w:name w:val="标题 1 字符"/>
    <w:basedOn w:val="25"/>
    <w:link w:val="2"/>
    <w:qFormat/>
    <w:uiPriority w:val="0"/>
    <w:rPr>
      <w:b/>
      <w:bCs/>
      <w:kern w:val="44"/>
      <w:sz w:val="44"/>
      <w:szCs w:val="44"/>
    </w:rPr>
  </w:style>
  <w:style w:type="character" w:customStyle="1" w:styleId="56">
    <w:name w:val="页脚 字符1"/>
    <w:basedOn w:val="25"/>
    <w:link w:val="12"/>
    <w:qFormat/>
    <w:uiPriority w:val="0"/>
    <w:rPr>
      <w:kern w:val="2"/>
      <w:sz w:val="18"/>
      <w:szCs w:val="18"/>
    </w:rPr>
  </w:style>
  <w:style w:type="character" w:customStyle="1" w:styleId="57">
    <w:name w:val="页眉 字符1"/>
    <w:basedOn w:val="25"/>
    <w:qFormat/>
    <w:uiPriority w:val="0"/>
    <w:rPr>
      <w:kern w:val="2"/>
      <w:sz w:val="18"/>
      <w:szCs w:val="18"/>
    </w:rPr>
  </w:style>
  <w:style w:type="character" w:customStyle="1" w:styleId="58">
    <w:name w:val="标题 2 字符1"/>
    <w:basedOn w:val="25"/>
    <w:qFormat/>
    <w:uiPriority w:val="0"/>
    <w:rPr>
      <w:rFonts w:hint="default" w:ascii="Cambria" w:hAnsi="Cambria" w:eastAsia="Cambria" w:cs="Cambria"/>
      <w:b/>
      <w:bCs/>
      <w:kern w:val="2"/>
      <w:sz w:val="32"/>
      <w:szCs w:val="32"/>
    </w:rPr>
  </w:style>
  <w:style w:type="character" w:customStyle="1" w:styleId="59">
    <w:name w:val="列出段落 Char1"/>
    <w:basedOn w:val="25"/>
    <w:qFormat/>
    <w:uiPriority w:val="0"/>
    <w:rPr>
      <w:rFonts w:hint="default" w:ascii="Calibri" w:hAnsi="Calibri" w:cs="Calibri"/>
      <w:kern w:val="2"/>
      <w:sz w:val="21"/>
      <w:szCs w:val="22"/>
    </w:rPr>
  </w:style>
  <w:style w:type="character" w:customStyle="1" w:styleId="60">
    <w:name w:val="纯文本 字符2"/>
    <w:basedOn w:val="25"/>
    <w:link w:val="10"/>
    <w:qFormat/>
    <w:uiPriority w:val="0"/>
    <w:rPr>
      <w:rFonts w:hint="eastAsia" w:ascii="宋体" w:hAnsi="Courier New" w:eastAsia="宋体" w:cs="宋体"/>
      <w:szCs w:val="21"/>
      <w:lang w:val="zh-CN"/>
    </w:rPr>
  </w:style>
  <w:style w:type="character" w:customStyle="1" w:styleId="61">
    <w:name w:val="标题 3 字符"/>
    <w:basedOn w:val="25"/>
    <w:link w:val="4"/>
    <w:qFormat/>
    <w:uiPriority w:val="0"/>
    <w:rPr>
      <w:b/>
      <w:bCs/>
      <w:kern w:val="2"/>
      <w:sz w:val="32"/>
      <w:szCs w:val="32"/>
    </w:rPr>
  </w:style>
  <w:style w:type="paragraph" w:customStyle="1" w:styleId="62">
    <w:name w:val="列表段落2"/>
    <w:basedOn w:val="1"/>
    <w:qFormat/>
    <w:uiPriority w:val="0"/>
    <w:pPr>
      <w:ind w:firstLine="420" w:firstLineChars="200"/>
    </w:pPr>
    <w:rPr>
      <w:rFonts w:ascii="Times New Roman" w:hAnsi="Times New Roman" w:eastAsia="宋体" w:cs="Times New Roman"/>
      <w:szCs w:val="24"/>
    </w:rPr>
  </w:style>
  <w:style w:type="character" w:customStyle="1" w:styleId="63">
    <w:name w:val="正文文本首行缩进 字符"/>
    <w:qFormat/>
    <w:uiPriority w:val="0"/>
    <w:rPr>
      <w:rFonts w:hint="default" w:ascii="Calibri" w:hAnsi="Calibri" w:eastAsia="宋体" w:cs="Times New Roman"/>
      <w:kern w:val="2"/>
      <w:sz w:val="21"/>
      <w:szCs w:val="22"/>
    </w:rPr>
  </w:style>
  <w:style w:type="paragraph" w:customStyle="1" w:styleId="64">
    <w:name w:val="p0"/>
    <w:basedOn w:val="1"/>
    <w:qFormat/>
    <w:uiPriority w:val="0"/>
    <w:pPr>
      <w:widowControl/>
    </w:pPr>
    <w:rPr>
      <w:rFonts w:ascii="Calibri" w:hAnsi="Calibri" w:eastAsia="宋体" w:cs="Times New Roman"/>
      <w:kern w:val="0"/>
      <w:szCs w:val="21"/>
    </w:rPr>
  </w:style>
  <w:style w:type="character" w:customStyle="1" w:styleId="65">
    <w:name w:val="font51"/>
    <w:basedOn w:val="25"/>
    <w:qFormat/>
    <w:uiPriority w:val="0"/>
    <w:rPr>
      <w:rFonts w:hint="eastAsia" w:ascii="宋体" w:hAnsi="宋体" w:eastAsia="宋体" w:cs="宋体"/>
      <w:color w:val="000000"/>
      <w:sz w:val="21"/>
      <w:szCs w:val="21"/>
      <w:u w:val="none"/>
    </w:rPr>
  </w:style>
  <w:style w:type="character" w:customStyle="1" w:styleId="66">
    <w:name w:val="列表段落 字符2"/>
    <w:basedOn w:val="25"/>
    <w:qFormat/>
    <w:uiPriority w:val="0"/>
  </w:style>
  <w:style w:type="character" w:customStyle="1" w:styleId="67">
    <w:name w:val="NormalCharacter"/>
    <w:basedOn w:val="25"/>
    <w:qFormat/>
    <w:uiPriority w:val="0"/>
  </w:style>
  <w:style w:type="character" w:customStyle="1" w:styleId="68">
    <w:name w:val="font31"/>
    <w:basedOn w:val="25"/>
    <w:qFormat/>
    <w:uiPriority w:val="0"/>
    <w:rPr>
      <w:rFonts w:hint="default" w:ascii="Times New Roman" w:hAnsi="Times New Roman" w:cs="Times New Roman"/>
      <w:color w:val="000000"/>
      <w:sz w:val="21"/>
      <w:szCs w:val="21"/>
      <w:u w:val="none"/>
    </w:rPr>
  </w:style>
  <w:style w:type="character" w:customStyle="1" w:styleId="69">
    <w:name w:val="font21"/>
    <w:basedOn w:val="25"/>
    <w:qFormat/>
    <w:uiPriority w:val="0"/>
    <w:rPr>
      <w:rFonts w:hint="eastAsia" w:ascii="宋体" w:hAnsi="宋体" w:eastAsia="宋体" w:cs="宋体"/>
      <w:color w:val="000000"/>
      <w:sz w:val="24"/>
      <w:szCs w:val="24"/>
      <w:u w:val="none"/>
    </w:rPr>
  </w:style>
  <w:style w:type="character" w:customStyle="1" w:styleId="70">
    <w:name w:val="font11"/>
    <w:basedOn w:val="25"/>
    <w:qFormat/>
    <w:uiPriority w:val="0"/>
    <w:rPr>
      <w:rFonts w:hint="eastAsia" w:ascii="宋体" w:hAnsi="宋体" w:eastAsia="宋体" w:cs="宋体"/>
      <w:color w:val="000000"/>
      <w:sz w:val="21"/>
      <w:szCs w:val="21"/>
      <w:u w:val="none"/>
    </w:rPr>
  </w:style>
  <w:style w:type="character" w:customStyle="1" w:styleId="71">
    <w:name w:val="纯文本 字符1"/>
    <w:basedOn w:val="25"/>
    <w:qFormat/>
    <w:uiPriority w:val="0"/>
    <w:rPr>
      <w:rFonts w:hint="eastAsia" w:ascii="宋体" w:hAnsi="Courier New" w:eastAsia="宋体" w:cs="宋体"/>
      <w:szCs w:val="21"/>
    </w:rPr>
  </w:style>
  <w:style w:type="character" w:customStyle="1" w:styleId="72">
    <w:name w:val="标题 字符"/>
    <w:basedOn w:val="25"/>
    <w:link w:val="19"/>
    <w:qFormat/>
    <w:uiPriority w:val="0"/>
    <w:rPr>
      <w:rFonts w:hint="default" w:ascii="Cambria" w:hAnsi="Cambria" w:eastAsia="Cambria" w:cs="Times New Roman"/>
      <w:b/>
      <w:bCs/>
      <w:kern w:val="2"/>
      <w:sz w:val="32"/>
      <w:szCs w:val="32"/>
    </w:rPr>
  </w:style>
  <w:style w:type="character" w:customStyle="1" w:styleId="73">
    <w:name w:val="脚注文本 字符"/>
    <w:basedOn w:val="25"/>
    <w:link w:val="15"/>
    <w:qFormat/>
    <w:uiPriority w:val="0"/>
    <w:rPr>
      <w:rFonts w:hint="eastAsia" w:ascii="宋体" w:hAnsi="宋体" w:eastAsia="宋体" w:cs="Times New Roman"/>
      <w:kern w:val="2"/>
      <w:sz w:val="24"/>
      <w:szCs w:val="18"/>
    </w:rPr>
  </w:style>
  <w:style w:type="character" w:customStyle="1" w:styleId="74">
    <w:name w:val="脚注文本 Char1"/>
    <w:basedOn w:val="25"/>
    <w:qFormat/>
    <w:uiPriority w:val="0"/>
    <w:rPr>
      <w:rFonts w:hint="default" w:ascii="Calibri" w:hAnsi="Calibri" w:eastAsia="宋体" w:cs="Times New Roman"/>
      <w:kern w:val="2"/>
      <w:sz w:val="18"/>
      <w:szCs w:val="18"/>
    </w:rPr>
  </w:style>
  <w:style w:type="character" w:customStyle="1" w:styleId="75">
    <w:name w:val="列表段落 字符1"/>
    <w:basedOn w:val="25"/>
    <w:qFormat/>
    <w:uiPriority w:val="0"/>
  </w:style>
  <w:style w:type="paragraph" w:customStyle="1" w:styleId="76">
    <w:name w:val="Table Paragraph"/>
    <w:basedOn w:val="1"/>
    <w:qFormat/>
    <w:uiPriority w:val="0"/>
    <w:rPr>
      <w:rFonts w:hint="eastAsia" w:ascii="宋体" w:hAnsi="宋体" w:eastAsia="宋体" w:cs="Times New Roman"/>
      <w:szCs w:val="24"/>
    </w:rPr>
  </w:style>
  <w:style w:type="character" w:customStyle="1" w:styleId="77">
    <w:name w:val="font41"/>
    <w:basedOn w:val="25"/>
    <w:qFormat/>
    <w:uiPriority w:val="0"/>
    <w:rPr>
      <w:rFonts w:hint="eastAsia" w:ascii="宋体" w:hAnsi="宋体" w:eastAsia="宋体" w:cs="宋体"/>
      <w:color w:val="FF0000"/>
      <w:sz w:val="24"/>
      <w:szCs w:val="24"/>
      <w:u w:val="none"/>
    </w:rPr>
  </w:style>
  <w:style w:type="character" w:customStyle="1" w:styleId="78">
    <w:name w:val="font91"/>
    <w:basedOn w:val="25"/>
    <w:qFormat/>
    <w:uiPriority w:val="0"/>
    <w:rPr>
      <w:rFonts w:hint="default" w:ascii="Times New Roman" w:hAnsi="Times New Roman" w:cs="Times New Roman"/>
      <w:color w:val="000000"/>
      <w:sz w:val="21"/>
      <w:szCs w:val="21"/>
      <w:u w:val="none"/>
    </w:rPr>
  </w:style>
  <w:style w:type="paragraph" w:customStyle="1" w:styleId="79">
    <w:name w:val="正文_0_0"/>
    <w:basedOn w:val="1"/>
    <w:qFormat/>
    <w:uiPriority w:val="0"/>
    <w:rPr>
      <w:rFonts w:ascii="Calibri" w:hAnsi="Calibri" w:eastAsia="宋体" w:cs="Times New Roman"/>
    </w:rPr>
  </w:style>
  <w:style w:type="character" w:customStyle="1" w:styleId="80">
    <w:name w:val="批注文字 字符1"/>
    <w:basedOn w:val="25"/>
    <w:qFormat/>
    <w:uiPriority w:val="0"/>
    <w:rPr>
      <w:szCs w:val="24"/>
    </w:rPr>
  </w:style>
  <w:style w:type="character" w:customStyle="1" w:styleId="81">
    <w:name w:val="列表段落 字符"/>
    <w:basedOn w:val="25"/>
    <w:qFormat/>
    <w:uiPriority w:val="0"/>
    <w:rPr>
      <w:rFonts w:hint="default" w:ascii="Calibri" w:hAnsi="Calibri" w:cs="Calibri"/>
      <w:kern w:val="2"/>
      <w:sz w:val="21"/>
      <w:szCs w:val="22"/>
    </w:rPr>
  </w:style>
  <w:style w:type="paragraph" w:customStyle="1" w:styleId="82">
    <w:name w:val="_Style 24"/>
    <w:basedOn w:val="1"/>
    <w:qFormat/>
    <w:uiPriority w:val="0"/>
    <w:pPr>
      <w:ind w:firstLine="420" w:firstLineChars="200"/>
    </w:pPr>
    <w:rPr>
      <w:rFonts w:ascii="Calibri" w:hAnsi="Calibri" w:eastAsia="宋体" w:cs="Times New Roman"/>
    </w:rPr>
  </w:style>
  <w:style w:type="character" w:customStyle="1" w:styleId="83">
    <w:name w:val="列表段落 字符3"/>
    <w:basedOn w:val="25"/>
    <w:qFormat/>
    <w:uiPriority w:val="0"/>
    <w:rPr>
      <w:rFonts w:hint="default" w:ascii="Calibri" w:hAnsi="Calibri" w:eastAsia="宋体" w:cs="Times New Roman"/>
      <w:kern w:val="2"/>
      <w:sz w:val="21"/>
      <w:szCs w:val="22"/>
    </w:rPr>
  </w:style>
  <w:style w:type="character" w:customStyle="1" w:styleId="84">
    <w:name w:val="列出段落 Char2"/>
    <w:basedOn w:val="25"/>
    <w:qFormat/>
    <w:uiPriority w:val="0"/>
    <w:rPr>
      <w:rFonts w:hint="default" w:ascii="Calibri" w:hAnsi="Calibri" w:eastAsia="宋体" w:cs="Times New Roman"/>
      <w:kern w:val="2"/>
      <w:sz w:val="21"/>
      <w:szCs w:val="22"/>
    </w:rPr>
  </w:style>
  <w:style w:type="character" w:customStyle="1" w:styleId="85">
    <w:name w:val="标题 2 字符2"/>
    <w:basedOn w:val="25"/>
    <w:link w:val="3"/>
    <w:qFormat/>
    <w:uiPriority w:val="0"/>
    <w:rPr>
      <w:rFonts w:hint="default" w:ascii="Arial" w:hAnsi="Arial" w:eastAsia="黑体" w:cs="Arial"/>
      <w:b/>
      <w:bCs/>
      <w:kern w:val="2"/>
      <w:sz w:val="32"/>
      <w:szCs w:val="32"/>
    </w:rPr>
  </w:style>
  <w:style w:type="character" w:customStyle="1" w:styleId="86">
    <w:name w:val="批注文字 字符2"/>
    <w:basedOn w:val="25"/>
    <w:link w:val="6"/>
    <w:qFormat/>
    <w:uiPriority w:val="0"/>
    <w:rPr>
      <w:kern w:val="2"/>
      <w:sz w:val="21"/>
      <w:szCs w:val="24"/>
    </w:rPr>
  </w:style>
  <w:style w:type="character" w:customStyle="1" w:styleId="87">
    <w:name w:val="普通(网站) 字符1"/>
    <w:basedOn w:val="25"/>
    <w:link w:val="18"/>
    <w:qFormat/>
    <w:uiPriority w:val="0"/>
    <w:rPr>
      <w:rFonts w:hint="eastAsia" w:ascii="宋体" w:hAnsi="宋体" w:eastAsia="宋体" w:cs="宋体"/>
      <w:sz w:val="24"/>
      <w:szCs w:val="24"/>
    </w:rPr>
  </w:style>
  <w:style w:type="character" w:customStyle="1" w:styleId="88">
    <w:name w:val="正文文本缩进 字符1"/>
    <w:basedOn w:val="25"/>
    <w:link w:val="8"/>
    <w:qFormat/>
    <w:uiPriority w:val="0"/>
    <w:rPr>
      <w:kern w:val="2"/>
      <w:sz w:val="21"/>
      <w:szCs w:val="22"/>
    </w:rPr>
  </w:style>
  <w:style w:type="paragraph" w:customStyle="1" w:styleId="89">
    <w:name w:val="正文文本首行缩进 21"/>
    <w:basedOn w:val="8"/>
    <w:qFormat/>
    <w:uiPriority w:val="0"/>
    <w:pPr>
      <w:ind w:firstLine="420" w:firstLineChars="200"/>
    </w:pPr>
    <w:rPr>
      <w:rFonts w:ascii="Times New Roman" w:hAnsi="Times New Roman" w:eastAsia="宋体" w:cs="Times New Roman"/>
      <w:kern w:val="0"/>
      <w:sz w:val="20"/>
      <w:szCs w:val="20"/>
    </w:rPr>
  </w:style>
  <w:style w:type="paragraph" w:customStyle="1" w:styleId="90">
    <w:name w:val="_Style 5"/>
    <w:basedOn w:val="1"/>
    <w:next w:val="1"/>
    <w:qFormat/>
    <w:uiPriority w:val="0"/>
    <w:pPr>
      <w:ind w:firstLine="420" w:firstLineChars="200"/>
    </w:pPr>
    <w:rPr>
      <w:rFonts w:ascii="Times New Roman" w:hAnsi="Times New Roman" w:eastAsia="宋体" w:cs="Times New Roman"/>
    </w:rPr>
  </w:style>
  <w:style w:type="character" w:customStyle="1" w:styleId="91">
    <w:name w:val="正文文本 字符1"/>
    <w:basedOn w:val="25"/>
    <w:link w:val="7"/>
    <w:qFormat/>
    <w:uiPriority w:val="0"/>
    <w:rPr>
      <w:rFonts w:hint="default" w:ascii="Calibri" w:hAnsi="Calibri" w:eastAsia="宋体" w:cs="Times New Roman"/>
      <w:kern w:val="2"/>
      <w:sz w:val="21"/>
      <w:szCs w:val="22"/>
    </w:rPr>
  </w:style>
  <w:style w:type="paragraph" w:customStyle="1" w:styleId="92">
    <w:name w:val="列表段落1"/>
    <w:basedOn w:val="1"/>
    <w:qFormat/>
    <w:uiPriority w:val="0"/>
    <w:pPr>
      <w:ind w:firstLine="420" w:firstLineChars="200"/>
    </w:pPr>
    <w:rPr>
      <w:rFonts w:hint="eastAsia" w:ascii="等线" w:hAnsi="等线" w:eastAsia="等线" w:cs="Times New Roman"/>
    </w:rPr>
  </w:style>
  <w:style w:type="character" w:customStyle="1" w:styleId="93">
    <w:name w:val="正文文本缩进 3 字符"/>
    <w:basedOn w:val="25"/>
    <w:link w:val="16"/>
    <w:qFormat/>
    <w:uiPriority w:val="0"/>
    <w:rPr>
      <w:rFonts w:hint="eastAsia" w:ascii="等线" w:hAnsi="等线" w:eastAsia="等线" w:cs="等线"/>
      <w:kern w:val="2"/>
      <w:sz w:val="16"/>
      <w:szCs w:val="16"/>
    </w:rPr>
  </w:style>
  <w:style w:type="character" w:customStyle="1" w:styleId="94">
    <w:name w:val="正文文本首行缩进 字符1"/>
    <w:link w:val="21"/>
    <w:qFormat/>
    <w:uiPriority w:val="0"/>
    <w:rPr>
      <w:rFonts w:hint="default" w:ascii="Calibri" w:hAnsi="Calibri" w:eastAsia="楷体_GB2312" w:cs="Calibri"/>
      <w:kern w:val="2"/>
      <w:sz w:val="32"/>
      <w:szCs w:val="22"/>
    </w:rPr>
  </w:style>
  <w:style w:type="character" w:customStyle="1" w:styleId="95">
    <w:name w:val="表格文字 Char"/>
    <w:basedOn w:val="25"/>
    <w:link w:val="96"/>
    <w:qFormat/>
    <w:uiPriority w:val="0"/>
    <w:rPr>
      <w:bCs/>
      <w:spacing w:val="10"/>
      <w:sz w:val="24"/>
    </w:rPr>
  </w:style>
  <w:style w:type="paragraph" w:customStyle="1" w:styleId="96">
    <w:name w:val="表格文字"/>
    <w:basedOn w:val="1"/>
    <w:link w:val="95"/>
    <w:qFormat/>
    <w:uiPriority w:val="0"/>
    <w:pPr>
      <w:spacing w:before="25" w:after="25"/>
      <w:jc w:val="left"/>
    </w:pPr>
    <w:rPr>
      <w:rFonts w:ascii="Times New Roman" w:hAnsi="Times New Roman" w:eastAsia="宋体" w:cs="Times New Roman"/>
      <w:bCs/>
      <w:spacing w:val="10"/>
      <w:kern w:val="0"/>
      <w:sz w:val="24"/>
      <w:szCs w:val="20"/>
    </w:rPr>
  </w:style>
  <w:style w:type="paragraph" w:customStyle="1" w:styleId="97">
    <w:name w:val="_Style 3"/>
    <w:basedOn w:val="1"/>
    <w:qFormat/>
    <w:uiPriority w:val="0"/>
    <w:rPr>
      <w:rFonts w:ascii="Times New Roman" w:hAnsi="Times New Roman" w:eastAsia="宋体" w:cs="Times New Roman"/>
    </w:rPr>
  </w:style>
  <w:style w:type="paragraph" w:customStyle="1" w:styleId="98">
    <w:name w:val="列表段落3"/>
    <w:basedOn w:val="1"/>
    <w:qFormat/>
    <w:uiPriority w:val="0"/>
    <w:pPr>
      <w:ind w:firstLine="420" w:firstLineChars="200"/>
    </w:pPr>
    <w:rPr>
      <w:rFonts w:ascii="Calibri" w:hAnsi="Calibri" w:eastAsia="宋体" w:cs="Times New Roman"/>
    </w:rPr>
  </w:style>
  <w:style w:type="character" w:customStyle="1" w:styleId="99">
    <w:name w:val="15"/>
    <w:basedOn w:val="25"/>
    <w:qFormat/>
    <w:uiPriority w:val="0"/>
    <w:rPr>
      <w:rFonts w:hint="default" w:ascii="Times New Roman" w:hAnsi="Times New Roman" w:cs="Times New Roman"/>
      <w:b/>
      <w:bCs/>
    </w:rPr>
  </w:style>
  <w:style w:type="character" w:customStyle="1" w:styleId="100">
    <w:name w:val="正文首行缩进 2 Char1"/>
    <w:basedOn w:val="25"/>
    <w:qFormat/>
    <w:uiPriority w:val="0"/>
  </w:style>
  <w:style w:type="character" w:customStyle="1" w:styleId="101">
    <w:name w:val="页眉 字符2"/>
    <w:basedOn w:val="25"/>
    <w:link w:val="13"/>
    <w:qFormat/>
    <w:uiPriority w:val="0"/>
    <w:rPr>
      <w:sz w:val="18"/>
      <w:szCs w:val="18"/>
    </w:rPr>
  </w:style>
  <w:style w:type="character" w:customStyle="1" w:styleId="102">
    <w:name w:val="页眉 Char1"/>
    <w:qFormat/>
    <w:uiPriority w:val="99"/>
    <w:rPr>
      <w:sz w:val="18"/>
      <w:szCs w:val="18"/>
      <w:lang w:val="zh-CN" w:eastAsia="zh-CN"/>
    </w:rPr>
  </w:style>
  <w:style w:type="character" w:customStyle="1" w:styleId="103">
    <w:name w:val="标题 2 Char"/>
    <w:basedOn w:val="25"/>
    <w:qFormat/>
    <w:uiPriority w:val="0"/>
    <w:rPr>
      <w:rFonts w:ascii="Arial" w:hAnsi="Arial" w:eastAsia="黑体" w:cs="Times New Roman"/>
      <w:b/>
      <w:bCs/>
      <w:sz w:val="32"/>
      <w:szCs w:val="32"/>
    </w:rPr>
  </w:style>
  <w:style w:type="character" w:customStyle="1" w:styleId="104">
    <w:name w:val="列出段落 Char3"/>
    <w:basedOn w:val="25"/>
    <w:qFormat/>
    <w:uiPriority w:val="0"/>
    <w:rPr>
      <w:rFonts w:hint="default" w:ascii="Calibri" w:hAnsi="Calibri" w:eastAsia="宋体" w:cs="Times New Roman"/>
      <w:kern w:val="2"/>
      <w:sz w:val="21"/>
      <w:szCs w:val="22"/>
    </w:rPr>
  </w:style>
  <w:style w:type="character" w:customStyle="1" w:styleId="105">
    <w:name w:val="列出段落 Char4"/>
    <w:basedOn w:val="25"/>
    <w:qFormat/>
    <w:uiPriority w:val="0"/>
    <w:rPr>
      <w:rFonts w:hint="default" w:ascii="Calibri" w:hAnsi="Calibri" w:eastAsia="宋体" w:cs="Times New Roman"/>
      <w:kern w:val="2"/>
      <w:sz w:val="21"/>
      <w:szCs w:val="22"/>
    </w:rPr>
  </w:style>
  <w:style w:type="paragraph" w:customStyle="1" w:styleId="106">
    <w:name w:val="List Paragraph1"/>
    <w:basedOn w:val="1"/>
    <w:qFormat/>
    <w:uiPriority w:val="0"/>
    <w:pPr>
      <w:ind w:firstLine="420" w:firstLineChars="200"/>
    </w:pPr>
    <w:rPr>
      <w:rFonts w:ascii="Calibri" w:hAnsi="Calibri" w:eastAsia="宋体" w:cs="Times New Roman"/>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12</Pages>
  <Words>5897</Words>
  <Characters>6123</Characters>
  <Lines>46</Lines>
  <Paragraphs>13</Paragraphs>
  <TotalTime>64</TotalTime>
  <ScaleCrop>false</ScaleCrop>
  <LinksUpToDate>false</LinksUpToDate>
  <CharactersWithSpaces>6199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2023-05-23T17:07:00Z</dcterms:created>
  <dc:creator>dreamsummit</dc:creator>
  <cp:lastModifiedBy>云采链</cp:lastModifiedBy>
  <cp:lastPrinted>2018-10-16T12:01:00Z</cp:lastPrinted>
  <dcterms:modified xsi:type="dcterms:W3CDTF">2024-06-26T13:06:04Z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BE353DE776EA44E7BE9A052527AF4223_13</vt:lpwstr>
  </property>
</Properties>
</file>