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ascii="宋体" w:hAnsi="宋体"/>
          <w:b/>
          <w:bCs/>
          <w:color w:val="000000" w:themeColor="text1"/>
          <w:sz w:val="28"/>
          <w:szCs w:val="28"/>
          <w:u w:val="single"/>
          <w:shd w:val="clear" w:color="auto" w:fill="FFC000"/>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eastAsia="宋体" w:cs="宋体"/>
          <w:b/>
          <w:bCs/>
          <w:color w:val="000000"/>
          <w:sz w:val="28"/>
          <w:szCs w:val="28"/>
          <w:u w:val="single"/>
        </w:rPr>
        <w:t>广东省东莞监狱信息化办公设备运维服务项目</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广东省东莞监狱</w:t>
      </w: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二〇二四年五月</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pPr>
        <w:spacing w:line="360" w:lineRule="auto"/>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2"/>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2"/>
        <w:numPr>
          <w:ilvl w:val="0"/>
          <w:numId w:val="2"/>
        </w:numPr>
        <w:spacing w:line="360" w:lineRule="auto"/>
        <w:ind w:firstLineChars="0"/>
        <w:rPr>
          <w:rFonts w:ascii="宋体" w:hAnsi="宋体"/>
          <w:b/>
          <w:color w:val="000000" w:themeColor="text1"/>
          <w14:textFill>
            <w14:solidFill>
              <w14:schemeClr w14:val="tx1"/>
            </w14:solidFill>
          </w14:textFill>
        </w:rPr>
      </w:pPr>
      <w:r>
        <w:rPr>
          <w:rStyle w:val="18"/>
          <w:rFonts w:hint="eastAsia" w:ascii="宋体" w:hAnsi="宋体"/>
          <w:color w:val="000000" w:themeColor="text1"/>
          <w14:textFill>
            <w14:solidFill>
              <w14:schemeClr w14:val="tx1"/>
            </w14:solidFill>
          </w14:textFill>
        </w:rPr>
        <w:t>竞价说明</w:t>
      </w:r>
    </w:p>
    <w:p>
      <w:pPr>
        <w:pStyle w:val="22"/>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若成交供应商自身原因无法完成本项目，则采购人有权利保留追究责任。</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2"/>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4"/>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报名要求（</w:t>
      </w:r>
      <w:r>
        <w:rPr>
          <w:rFonts w:hint="eastAsia" w:ascii="宋体" w:hAnsi="宋体"/>
          <w:color w:val="000000" w:themeColor="text1"/>
          <w:sz w:val="21"/>
          <w:szCs w:val="21"/>
          <w14:textFill>
            <w14:solidFill>
              <w14:schemeClr w14:val="tx1"/>
            </w14:solidFill>
          </w14:textFill>
        </w:rPr>
        <w:t>参与竞价的</w:t>
      </w:r>
      <w:r>
        <w:rPr>
          <w:rFonts w:hint="eastAsia" w:ascii="宋体" w:hAnsi="宋体"/>
          <w:b/>
          <w:color w:val="000000" w:themeColor="text1"/>
          <w:sz w:val="21"/>
          <w:szCs w:val="21"/>
          <w14:textFill>
            <w14:solidFill>
              <w14:schemeClr w14:val="tx1"/>
            </w14:solidFill>
          </w14:textFill>
        </w:rPr>
        <w:t>供应商资质要求:</w:t>
      </w:r>
      <w:r>
        <w:rPr>
          <w:rFonts w:hint="eastAsia" w:ascii="宋体" w:hAnsi="宋体"/>
          <w:bCs/>
          <w:color w:val="000000" w:themeColor="text1"/>
          <w:sz w:val="21"/>
          <w:szCs w:val="21"/>
          <w14:textFill>
            <w14:solidFill>
              <w14:schemeClr w14:val="tx1"/>
            </w14:solidFill>
          </w14:textFill>
        </w:rPr>
        <w:t xml:space="preserve"> 报名时需要提供以下</w:t>
      </w:r>
      <w:r>
        <w:rPr>
          <w:rFonts w:hint="eastAsia" w:ascii="宋体" w:hAnsi="宋体"/>
          <w:b/>
          <w:bCs/>
          <w:color w:val="000000" w:themeColor="text1"/>
          <w:sz w:val="21"/>
          <w:szCs w:val="21"/>
          <w:u w:val="double"/>
          <w14:textFill>
            <w14:solidFill>
              <w14:schemeClr w14:val="tx1"/>
            </w14:solidFill>
          </w14:textFill>
        </w:rPr>
        <w:t>盖章</w:t>
      </w:r>
      <w:r>
        <w:rPr>
          <w:rFonts w:hint="eastAsia" w:ascii="宋体" w:hAnsi="宋体"/>
          <w:bCs/>
          <w:color w:val="000000" w:themeColor="text1"/>
          <w:sz w:val="21"/>
          <w:szCs w:val="21"/>
          <w14:textFill>
            <w14:solidFill>
              <w14:schemeClr w14:val="tx1"/>
            </w14:solidFill>
          </w14:textFill>
        </w:rPr>
        <w:t>资料，</w:t>
      </w:r>
      <w:r>
        <w:rPr>
          <w:rFonts w:hint="eastAsia" w:ascii="宋体" w:hAnsi="宋体"/>
          <w:color w:val="000000" w:themeColor="text1"/>
          <w:sz w:val="21"/>
          <w:szCs w:val="21"/>
          <w14:textFill>
            <w14:solidFill>
              <w14:schemeClr w14:val="tx1"/>
            </w14:solidFill>
          </w14:textFill>
        </w:rPr>
        <w:t>并对上传的报名文件资料承担责任</w:t>
      </w:r>
      <w:r>
        <w:rPr>
          <w:rFonts w:hint="eastAsia" w:ascii="宋体" w:hAnsi="宋体"/>
          <w:b/>
          <w:color w:val="000000" w:themeColor="text1"/>
          <w:sz w:val="21"/>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供应商应符合《中华人民共和国政府采购法》第二十二条规定；供应商应有固定的经营场所，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成交供应商不得分包或转包；存在隶属关系或同属一母公司或法人的企业，仅能由一家企业参与竞价；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提供供应商资格声明函，格式见附件</w:t>
      </w:r>
      <w:r>
        <w:rPr>
          <w:rFonts w:hint="eastAsia" w:ascii="宋体" w:hAnsi="宋体" w:cs="宋体"/>
          <w:color w:val="000000" w:themeColor="text1"/>
          <w:kern w:val="0"/>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4"/>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pPr>
        <w:pStyle w:val="54"/>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提供一份近1年</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项目报名时间开始算</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同类业绩的合同（关键页，须体现采购内容或清单，签订日期以及签订双方的盖章以及名称</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以合同签订时间为判定标准</w:t>
      </w:r>
      <w:r>
        <w:rPr>
          <w:rFonts w:hint="eastAsia" w:ascii="宋体" w:hAnsi="宋体" w:eastAsia="宋体" w:cs="宋体"/>
          <w:color w:val="000000" w:themeColor="text1"/>
          <w:kern w:val="0"/>
          <w:szCs w:val="21"/>
          <w14:textFill>
            <w14:solidFill>
              <w14:schemeClr w14:val="tx1"/>
            </w14:solidFill>
          </w14:textFill>
        </w:rPr>
        <w:t>）以证明有相当的承接项目能力。</w:t>
      </w:r>
    </w:p>
    <w:p>
      <w:pPr>
        <w:pStyle w:val="5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rPr>
          <w:rFonts w:hint="eastAsia" w:ascii="宋体" w:hAnsi="宋体" w:eastAsia="宋体" w:cs="宋体"/>
          <w:color w:val="000000"/>
          <w:szCs w:val="21"/>
        </w:rPr>
      </w:pP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pStyle w:val="54"/>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firstLineChars="0"/>
        <w:textAlignment w:val="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w:t>
      </w:r>
      <w:r>
        <w:rPr>
          <w:rFonts w:hint="eastAsia" w:ascii="宋体" w:hAnsi="宋体"/>
          <w:color w:val="000000" w:themeColor="text1"/>
          <w:szCs w:val="21"/>
          <w14:textFill>
            <w14:solidFill>
              <w14:schemeClr w14:val="tx1"/>
            </w14:solidFill>
          </w14:textFill>
        </w:rPr>
        <w:t>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pStyle w:val="54"/>
        <w:numPr>
          <w:ilvl w:val="0"/>
          <w:numId w:val="9"/>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供应商报价超过最高限价的视为无效报价。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4"/>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参与竞价的供应商须对本项目采购内容进行整体报价，任何只对其中一部分内容进行的报价都被视为无效报价。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2"/>
        <w:numPr>
          <w:ilvl w:val="0"/>
          <w:numId w:val="10"/>
        </w:numPr>
        <w:shd w:val="clear" w:color="auto" w:fill="FFFFFF"/>
        <w:spacing w:before="0" w:beforeAutospacing="0" w:after="0" w:afterAutospacing="0" w:line="360"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eastAsia="宋体" w:cs="宋体"/>
          <w:color w:val="000000"/>
          <w:lang w:val="en-US" w:eastAsia="zh-CN"/>
        </w:rPr>
        <w:t>出现下列情况的，本次竞价活动失败：</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出现影响采购公正的违法、违规行为的；</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val="en-US" w:eastAsia="zh-CN"/>
        </w:rPr>
        <w:t>因重大变故，采购任务取消的；</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spacing w:line="360"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1．成交供应商须向平台服务商云采链线上采购一体化平台缴纳平台使用费，金额为成交金额的1.5%（四舍五入取整数）。</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成交供应商无正当理由放弃成交资格的必须按竞价公告等相关规定缴纳相应的平台使用费；</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如确实因不可抗力放弃成交资格的，应在不可抗力发生后三个工作日内予以通知采购代理机构并提供相关的证明；如逾期，采购代理机构不予退还平台使用费；</w:t>
      </w:r>
    </w:p>
    <w:p>
      <w:pPr>
        <w:pStyle w:val="22"/>
        <w:numPr>
          <w:ilvl w:val="1"/>
          <w:numId w:val="13"/>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5"/>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b/>
                <w:bCs/>
                <w:color w:val="000000" w:themeColor="text1"/>
                <w:szCs w:val="21"/>
                <w14:textFill>
                  <w14:solidFill>
                    <w14:schemeClr w14:val="tx1"/>
                  </w14:solidFill>
                </w14:textFill>
              </w:rPr>
            </w:pPr>
            <w:r>
              <w:rPr>
                <w:rFonts w:hint="eastAsia" w:ascii="宋体" w:hAnsi="宋体" w:eastAsia="宋体" w:cs="宋体"/>
                <w:b/>
                <w:bCs/>
                <w:color w:val="000000"/>
                <w:szCs w:val="21"/>
              </w:rPr>
              <w:t>服务期</w:t>
            </w:r>
          </w:p>
        </w:tc>
        <w:tc>
          <w:tcPr>
            <w:tcW w:w="2650" w:type="dxa"/>
            <w:tcBorders>
              <w:bottom w:val="single" w:color="auto" w:sz="4" w:space="0"/>
            </w:tcBorders>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eastAsia="宋体" w:cs="宋体"/>
                <w:b/>
                <w:color w:val="000000"/>
                <w:szCs w:val="21"/>
              </w:rPr>
              <w:t>最高</w:t>
            </w:r>
            <w:r>
              <w:rPr>
                <w:rFonts w:hint="eastAsia" w:ascii="宋体" w:hAnsi="宋体" w:cs="宋体"/>
                <w:b/>
                <w:color w:val="000000"/>
                <w:szCs w:val="21"/>
                <w:lang w:val="en-US" w:eastAsia="zh-CN"/>
              </w:rPr>
              <w:t>限价</w:t>
            </w:r>
            <w:r>
              <w:rPr>
                <w:rFonts w:hint="eastAsia" w:ascii="宋体" w:hAnsi="宋体" w:eastAsia="宋体" w:cs="宋体"/>
                <w:b/>
                <w:color w:val="000000"/>
                <w:szCs w:val="21"/>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广东省东莞监狱信息化办公设备运维服务项目</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1项</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lang w:val="en-US"/>
                <w14:textFill>
                  <w14:solidFill>
                    <w14:schemeClr w14:val="tx1"/>
                  </w14:solidFill>
                </w14:textFill>
              </w:rPr>
            </w:pPr>
            <w:r>
              <w:rPr>
                <w:rFonts w:hint="eastAsia" w:ascii="宋体" w:hAnsi="宋体" w:eastAsia="宋体" w:cs="宋体"/>
                <w:bCs/>
                <w:color w:val="000000"/>
                <w:szCs w:val="21"/>
                <w:lang w:val="en-US" w:eastAsia="zh-CN"/>
              </w:rPr>
              <w:t xml:space="preserve"> </w:t>
            </w:r>
            <w:r>
              <w:rPr>
                <w:rFonts w:hint="eastAsia" w:ascii="宋体" w:hAnsi="宋体" w:cs="宋体"/>
                <w:bCs/>
                <w:color w:val="000000"/>
                <w:szCs w:val="21"/>
                <w:lang w:val="en-US" w:eastAsia="zh-CN"/>
              </w:rPr>
              <w:t>本项目服务期限为服务提供之日起12个月，具体时间以项目合同为准</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人民币</w:t>
            </w:r>
            <w:r>
              <w:rPr>
                <w:rFonts w:hint="eastAsia" w:ascii="宋体" w:hAnsi="宋体" w:eastAsia="宋体" w:cs="宋体"/>
                <w:u w:val="single"/>
                <w:lang w:val="en-US" w:eastAsia="zh-CN"/>
              </w:rPr>
              <w:t>330500</w:t>
            </w:r>
            <w:r>
              <w:rPr>
                <w:rFonts w:hint="eastAsia" w:ascii="宋体" w:hAnsi="宋体" w:eastAsia="宋体" w:cs="宋体"/>
                <w:bCs/>
                <w:color w:val="000000"/>
                <w:szCs w:val="21"/>
              </w:rPr>
              <w:t>元</w:t>
            </w:r>
          </w:p>
        </w:tc>
      </w:tr>
    </w:tbl>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zh-CN" w:eastAsia="zh-CN"/>
          <w14:textFill>
            <w14:solidFill>
              <w14:schemeClr w14:val="tx1"/>
            </w14:solidFill>
          </w14:textFill>
        </w:rPr>
      </w:pPr>
      <w:r>
        <w:rPr>
          <w:rFonts w:hint="eastAsia" w:ascii="宋体" w:hAnsi="宋体" w:eastAsia="宋体" w:cs="宋体"/>
          <w:b/>
          <w:bCs/>
          <w:color w:val="000000" w:themeColor="text1"/>
          <w:szCs w:val="21"/>
          <w:lang w:val="zh-CN" w:eastAsia="zh-CN"/>
          <w14:textFill>
            <w14:solidFill>
              <w14:schemeClr w14:val="tx1"/>
            </w14:solidFill>
          </w14:textFill>
        </w:rPr>
        <w:t>项目</w:t>
      </w:r>
      <w:r>
        <w:rPr>
          <w:rFonts w:hint="eastAsia" w:ascii="宋体" w:hAnsi="宋体" w:eastAsia="宋体" w:cs="宋体"/>
          <w:b/>
          <w:bCs/>
          <w:color w:val="000000" w:themeColor="text1"/>
          <w:szCs w:val="21"/>
          <w:lang w:val="en-US" w:eastAsia="zh-CN"/>
          <w14:textFill>
            <w14:solidFill>
              <w14:schemeClr w14:val="tx1"/>
            </w14:solidFill>
          </w14:textFill>
        </w:rPr>
        <w:t>详情</w:t>
      </w:r>
    </w:p>
    <w:p>
      <w:pPr>
        <w:keepNext w:val="0"/>
        <w:keepLines w:val="0"/>
        <w:widowControl w:val="0"/>
        <w:numPr>
          <w:ilvl w:val="0"/>
          <w:numId w:val="15"/>
        </w:numPr>
        <w:suppressLineNumbers w:val="0"/>
        <w:tabs>
          <w:tab w:val="left" w:pos="420"/>
          <w:tab w:val="left" w:pos="540"/>
        </w:tabs>
        <w:spacing w:before="0" w:beforeAutospacing="0" w:after="0" w:afterAutospacing="0" w:line="360" w:lineRule="auto"/>
        <w:ind w:left="420" w:right="0" w:hanging="420"/>
        <w:jc w:val="both"/>
        <w:rPr>
          <w:lang w:val="en-US"/>
        </w:rPr>
      </w:pPr>
      <w:r>
        <w:rPr>
          <w:rFonts w:hint="eastAsia" w:ascii="宋体" w:hAnsi="宋体" w:eastAsia="宋体" w:cs="Helvetica Neue"/>
          <w:color w:val="000000"/>
          <w:kern w:val="2"/>
          <w:sz w:val="21"/>
          <w:szCs w:val="21"/>
          <w:lang w:val="en-US" w:eastAsia="zh-CN" w:bidi="ar"/>
        </w:rPr>
        <w:t>服务内容：本次信息化办公设备运维服务项目实施涉及到的设备已过了设备保修期，并已经运行了较长的时间，主要部件已经开始进入老化、故障高发期。根据以上特点，必须充分考虑可能影响维护工作的种种风险因素，邀请专业公司对项目所涉及的办公设备进行维修维护，并安排资金购置必要的备件，以减少和尽量避免故障问题的发生，及时排除东莞监狱2024年已过保信息化办公设备或桌面系统的故障，及时更换相关坏件，确保设备系统及软件的正常运行，确保采购单位工作业务正常运转。</w:t>
      </w:r>
    </w:p>
    <w:p>
      <w:pPr>
        <w:keepNext w:val="0"/>
        <w:keepLines w:val="0"/>
        <w:widowControl w:val="0"/>
        <w:numPr>
          <w:ilvl w:val="0"/>
          <w:numId w:val="15"/>
        </w:numPr>
        <w:suppressLineNumbers w:val="0"/>
        <w:tabs>
          <w:tab w:val="left" w:pos="420"/>
          <w:tab w:val="left" w:pos="540"/>
        </w:tabs>
        <w:spacing w:before="0" w:beforeAutospacing="0" w:after="0" w:afterAutospacing="0" w:line="360" w:lineRule="auto"/>
        <w:ind w:left="420" w:right="0" w:hanging="420"/>
        <w:jc w:val="both"/>
        <w:rPr>
          <w:rFonts w:hint="eastAsia" w:ascii="宋体" w:hAnsi="宋体" w:eastAsia="宋体" w:cs="Helvetica Neue"/>
          <w:color w:val="000000"/>
          <w:szCs w:val="21"/>
          <w:lang w:val="en-US"/>
        </w:rPr>
      </w:pPr>
      <w:r>
        <w:rPr>
          <w:rFonts w:hint="eastAsia" w:ascii="宋体" w:hAnsi="宋体" w:eastAsia="宋体" w:cs="Helvetica Neue"/>
          <w:color w:val="000000"/>
          <w:kern w:val="2"/>
          <w:sz w:val="21"/>
          <w:szCs w:val="21"/>
          <w:lang w:val="en-US" w:eastAsia="zh-CN" w:bidi="ar"/>
        </w:rPr>
        <w:t>服务以及实施地点：东莞市石碣镇新洲东莞监狱</w:t>
      </w:r>
      <w:r>
        <w:rPr>
          <w:rFonts w:hint="eastAsia" w:ascii="宋体" w:hAnsi="宋体" w:cs="Helvetica Neue"/>
          <w:color w:val="000000"/>
          <w:kern w:val="2"/>
          <w:sz w:val="21"/>
          <w:szCs w:val="21"/>
          <w:lang w:val="en-US" w:eastAsia="zh-CN" w:bidi="ar"/>
        </w:rPr>
        <w:t>。</w:t>
      </w:r>
    </w:p>
    <w:p>
      <w:pPr>
        <w:keepNext w:val="0"/>
        <w:keepLines w:val="0"/>
        <w:widowControl w:val="0"/>
        <w:numPr>
          <w:ilvl w:val="0"/>
          <w:numId w:val="15"/>
        </w:numPr>
        <w:suppressLineNumbers w:val="0"/>
        <w:tabs>
          <w:tab w:val="left" w:pos="420"/>
          <w:tab w:val="left" w:pos="540"/>
        </w:tabs>
        <w:spacing w:before="0" w:beforeAutospacing="0" w:after="0" w:afterAutospacing="0" w:line="360" w:lineRule="auto"/>
        <w:ind w:left="420" w:right="0" w:hanging="420"/>
        <w:jc w:val="both"/>
        <w:rPr>
          <w:rFonts w:hint="eastAsia" w:ascii="宋体" w:hAnsi="宋体" w:eastAsia="宋体" w:cs="Helvetica Neue"/>
          <w:color w:val="000000"/>
          <w:szCs w:val="21"/>
          <w:lang w:val="en-US"/>
        </w:rPr>
      </w:pPr>
      <w:r>
        <w:rPr>
          <w:rFonts w:hint="eastAsia" w:ascii="宋体" w:hAnsi="宋体" w:eastAsia="宋体" w:cs="Helvetica Neue"/>
          <w:color w:val="000000"/>
          <w:kern w:val="2"/>
          <w:sz w:val="21"/>
          <w:szCs w:val="21"/>
          <w:lang w:val="en-US" w:eastAsia="zh-CN" w:bidi="ar"/>
        </w:rPr>
        <w:t>服务期限</w:t>
      </w:r>
      <w:r>
        <w:rPr>
          <w:rFonts w:hint="eastAsia" w:ascii="宋体" w:hAnsi="宋体" w:cs="Helvetica Neue"/>
          <w:color w:val="000000"/>
          <w:kern w:val="2"/>
          <w:sz w:val="21"/>
          <w:szCs w:val="21"/>
          <w:lang w:val="en-US" w:eastAsia="zh-CN" w:bidi="ar"/>
        </w:rPr>
        <w:t>：</w:t>
      </w:r>
      <w:r>
        <w:rPr>
          <w:rFonts w:hint="eastAsia" w:ascii="宋体" w:hAnsi="宋体" w:cs="宋体"/>
          <w:bCs/>
          <w:color w:val="000000"/>
          <w:szCs w:val="21"/>
          <w:lang w:val="en-US" w:eastAsia="zh-CN"/>
        </w:rPr>
        <w:t>本项目服务期限为服务提供之日起12个月，具体时间以项目合同为准</w:t>
      </w:r>
      <w:r>
        <w:rPr>
          <w:rFonts w:hint="eastAsia" w:ascii="宋体" w:hAnsi="宋体" w:eastAsia="宋体" w:cs="Helvetica Neue"/>
          <w:color w:val="000000"/>
          <w:kern w:val="2"/>
          <w:sz w:val="21"/>
          <w:szCs w:val="21"/>
          <w:lang w:val="en-US" w:eastAsia="zh-CN" w:bidi="ar"/>
        </w:rPr>
        <w:t>。</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具体服务</w:t>
      </w:r>
      <w:r>
        <w:rPr>
          <w:rFonts w:hint="eastAsia" w:ascii="宋体" w:hAnsi="宋体" w:cs="宋体"/>
          <w:b/>
          <w:bCs/>
          <w:color w:val="000000" w:themeColor="text1"/>
          <w:szCs w:val="21"/>
          <w:lang w:val="en-US" w:eastAsia="zh-CN"/>
          <w14:textFill>
            <w14:solidFill>
              <w14:schemeClr w14:val="tx1"/>
            </w14:solidFill>
          </w14:textFill>
        </w:rPr>
        <w:t>内容清单</w:t>
      </w:r>
    </w:p>
    <w:p>
      <w:pPr>
        <w:keepNext w:val="0"/>
        <w:keepLines w:val="0"/>
        <w:widowControl w:val="0"/>
        <w:numPr>
          <w:ilvl w:val="0"/>
          <w:numId w:val="0"/>
        </w:numPr>
        <w:suppressLineNumbers w:val="0"/>
        <w:tabs>
          <w:tab w:val="left" w:pos="420"/>
          <w:tab w:val="left" w:pos="540"/>
        </w:tabs>
        <w:spacing w:before="0" w:beforeAutospacing="0" w:after="0" w:afterAutospacing="0" w:line="360" w:lineRule="auto"/>
        <w:ind w:leftChars="0" w:right="0" w:rightChars="0" w:firstLine="420" w:firstLineChars="200"/>
        <w:jc w:val="both"/>
        <w:rPr>
          <w:rFonts w:hint="eastAsia" w:ascii="宋体" w:hAnsi="宋体" w:eastAsia="宋体" w:cs="Helvetica Neue"/>
          <w:color w:val="000000"/>
          <w:kern w:val="2"/>
          <w:sz w:val="21"/>
          <w:szCs w:val="21"/>
          <w:lang w:val="en-US" w:eastAsia="zh-CN" w:bidi="ar"/>
        </w:rPr>
      </w:pPr>
      <w:r>
        <w:rPr>
          <w:rFonts w:hint="eastAsia" w:ascii="宋体" w:hAnsi="宋体" w:eastAsia="宋体" w:cs="Helvetica Neue"/>
          <w:color w:val="000000"/>
          <w:kern w:val="2"/>
          <w:sz w:val="21"/>
          <w:szCs w:val="21"/>
          <w:lang w:val="en-US" w:eastAsia="zh-CN" w:bidi="ar"/>
        </w:rPr>
        <w:t>为采购人提供电脑（含鼠标和键盘）、计算机、显示器、一体机、打印机、复印机、速印机、复合机、彩印机、传真机、高拍仪、扫描仪、碎纸机、液晶电视（显示屏）等办公设备日常维护保养、配件更换、系统软件故障处理等现场维修服务。零配件包括但不限于显示器、鼠标、键盘、VGA转HDMI转接头、HDMI线、网线、CPU、CPU风扇、主板，机箱电源，内存、硬盘、显卡、打印机线、打印机主板、打印机电源板、传感器、喷头、搓纸轮、定影组件、感光鼓组件、扫描组件、高拍仪摄像头、高拍仪主板、扫描仪主板、碎纸机主板、碎纸机刀片等。</w:t>
      </w:r>
    </w:p>
    <w:p>
      <w:pPr>
        <w:keepNext w:val="0"/>
        <w:keepLines w:val="0"/>
        <w:widowControl w:val="0"/>
        <w:numPr>
          <w:ilvl w:val="0"/>
          <w:numId w:val="0"/>
        </w:numPr>
        <w:suppressLineNumbers w:val="0"/>
        <w:tabs>
          <w:tab w:val="left" w:pos="420"/>
          <w:tab w:val="left" w:pos="540"/>
        </w:tabs>
        <w:spacing w:before="0" w:beforeAutospacing="0" w:after="0" w:afterAutospacing="0" w:line="360" w:lineRule="auto"/>
        <w:ind w:leftChars="0" w:right="0" w:rightChars="0" w:firstLine="420" w:firstLineChars="200"/>
        <w:jc w:val="both"/>
        <w:rPr>
          <w:rFonts w:hint="eastAsia" w:ascii="宋体" w:hAnsi="宋体" w:eastAsia="宋体" w:cs="Helvetica Neue"/>
          <w:color w:val="000000"/>
          <w:kern w:val="2"/>
          <w:sz w:val="21"/>
          <w:szCs w:val="21"/>
          <w:lang w:val="en-US" w:eastAsia="zh-CN" w:bidi="ar"/>
        </w:rPr>
      </w:pPr>
      <w:r>
        <w:rPr>
          <w:rFonts w:hint="eastAsia" w:ascii="宋体" w:hAnsi="宋体" w:eastAsia="宋体" w:cs="Helvetica Neue"/>
          <w:color w:val="000000"/>
          <w:kern w:val="2"/>
          <w:sz w:val="21"/>
          <w:szCs w:val="21"/>
          <w:lang w:val="en-US" w:eastAsia="zh-CN" w:bidi="ar"/>
        </w:rPr>
        <w:t>现存维护设备清单见下表：</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556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rPr>
              <w:t>序号</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rPr>
              <w:t>设备类型</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电脑、计算机、显示器、一体机</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打印机、复印机、速印机、复合机、彩印机、传真机</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3</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高拍仪、扫描仪</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4</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碎纸机</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2"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5</w:t>
            </w:r>
          </w:p>
        </w:tc>
        <w:tc>
          <w:tcPr>
            <w:tcW w:w="2826"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液晶电视（显示屏）</w:t>
            </w:r>
          </w:p>
        </w:tc>
        <w:tc>
          <w:tcPr>
            <w:tcW w:w="1531" w:type="pct"/>
            <w:noWrap w:val="0"/>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170</w:t>
            </w:r>
          </w:p>
        </w:tc>
      </w:tr>
    </w:tbl>
    <w:p>
      <w:pPr>
        <w:pStyle w:val="7"/>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注：以上设备数量为现存设备，</w:t>
      </w:r>
      <w:r>
        <w:rPr>
          <w:rFonts w:hint="eastAsia" w:ascii="宋体" w:hAnsi="宋体" w:eastAsia="宋体" w:cs="宋体"/>
          <w:sz w:val="21"/>
          <w:szCs w:val="21"/>
          <w:lang w:val="en-US" w:eastAsia="zh-CN"/>
        </w:rPr>
        <w:t>具体见附件1</w:t>
      </w:r>
      <w:r>
        <w:rPr>
          <w:rFonts w:hint="eastAsia" w:ascii="宋体" w:hAnsi="宋体" w:cs="宋体"/>
          <w:sz w:val="21"/>
          <w:szCs w:val="21"/>
          <w:lang w:val="en-US" w:eastAsia="zh-CN"/>
        </w:rPr>
        <w:t>《</w:t>
      </w:r>
      <w:r>
        <w:rPr>
          <w:rFonts w:hint="eastAsia" w:ascii="宋体" w:hAnsi="宋体" w:eastAsia="宋体" w:cs="宋体"/>
          <w:bCs/>
          <w:color w:val="000000"/>
          <w:szCs w:val="21"/>
        </w:rPr>
        <w:t>广东省东莞监狱信息化办公设备运维服务项目</w:t>
      </w:r>
      <w:r>
        <w:rPr>
          <w:rFonts w:hint="eastAsia" w:ascii="宋体" w:hAnsi="宋体" w:cs="宋体"/>
          <w:bCs/>
          <w:color w:val="000000"/>
          <w:szCs w:val="21"/>
          <w:lang w:val="en-US" w:eastAsia="zh-CN"/>
        </w:rPr>
        <w:t>-</w:t>
      </w:r>
      <w:r>
        <w:rPr>
          <w:rFonts w:hint="eastAsia" w:ascii="宋体" w:hAnsi="宋体" w:eastAsia="宋体" w:cs="宋体"/>
          <w:sz w:val="21"/>
          <w:szCs w:val="21"/>
          <w:lang w:val="en-US" w:eastAsia="zh-CN"/>
        </w:rPr>
        <w:t>设备明细表</w:t>
      </w:r>
      <w:r>
        <w:rPr>
          <w:rFonts w:hint="eastAsia" w:ascii="宋体" w:hAnsi="宋体" w:cs="宋体"/>
          <w:sz w:val="21"/>
          <w:szCs w:val="21"/>
          <w:lang w:val="en-US" w:eastAsia="zh-CN"/>
        </w:rPr>
        <w:t>》</w:t>
      </w:r>
      <w:r>
        <w:rPr>
          <w:rFonts w:hint="eastAsia" w:ascii="宋体" w:hAnsi="宋体" w:eastAsia="宋体" w:cs="宋体"/>
          <w:sz w:val="21"/>
          <w:szCs w:val="21"/>
          <w:lang w:eastAsia="zh-CN"/>
        </w:rPr>
        <w:t>。</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服务要求</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人员要求：需安排2名固定的运维人员驻场服务（驻场运维人员</w:t>
      </w:r>
      <w:r>
        <w:rPr>
          <w:rFonts w:hint="eastAsia" w:ascii="宋体" w:hAnsi="宋体" w:cs="宋体"/>
          <w:sz w:val="21"/>
          <w:szCs w:val="21"/>
          <w:lang w:val="en-US" w:eastAsia="zh-CN"/>
        </w:rPr>
        <w:t>食宿交通</w:t>
      </w:r>
      <w:r>
        <w:rPr>
          <w:rFonts w:hint="eastAsia" w:ascii="宋体" w:hAnsi="宋体" w:eastAsia="宋体" w:cs="宋体"/>
          <w:sz w:val="21"/>
          <w:szCs w:val="21"/>
          <w:lang w:val="en-US" w:eastAsia="zh-CN"/>
        </w:rPr>
        <w:t>等费用均由</w:t>
      </w:r>
      <w:r>
        <w:rPr>
          <w:rFonts w:hint="eastAsia" w:ascii="宋体" w:hAnsi="宋体" w:cs="宋体"/>
          <w:sz w:val="21"/>
          <w:szCs w:val="21"/>
          <w:lang w:val="en-US" w:eastAsia="zh-CN"/>
        </w:rPr>
        <w:t>成交</w:t>
      </w:r>
      <w:r>
        <w:rPr>
          <w:rFonts w:hint="eastAsia" w:ascii="宋体" w:hAnsi="宋体" w:eastAsia="宋体" w:cs="宋体"/>
          <w:sz w:val="21"/>
          <w:szCs w:val="21"/>
          <w:lang w:val="en-US" w:eastAsia="zh-CN"/>
        </w:rPr>
        <w:t>供应商解决），服务开始前，成交供应商须向采购人提供2驻场服务人员和不少于1名替班技术人员的有关资料供审核并登记备案。</w:t>
      </w:r>
      <w:bookmarkStart w:id="0" w:name="_GoBack"/>
      <w:bookmarkEnd w:id="0"/>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成交供应商提供的固定驻场服务人员和替班人员须为计算机类相关专业人员，驻场服务人员需经采购人考核通过。</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值班值守要求：做好日常7*8小时运维工作。</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维修响应：非硬件故障1小时内解决并完成服务，需更换配件的服务单，在配件到货后3小时内完成服务。</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驻场服务人员遵守采购人管理规定。</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服务过程中，采购人对驻场服务人员不满意，提出更换驻场服务人员要求，成交供应商需在5个工作日内无条件更换。</w:t>
      </w:r>
    </w:p>
    <w:p>
      <w:pPr>
        <w:pStyle w:val="65"/>
        <w:widowControl/>
        <w:numPr>
          <w:ilvl w:val="0"/>
          <w:numId w:val="16"/>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成交供应商每两个月必须按采购人要求对维修维护情况进行总结报告，可以根据实际维护及保养情况给予采购人合理的使用建议等。</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费用包括服务团队人工、交通补助及硬件维修更换费用等。年维修配件费用采取成交供应商包工包料方式承包（一次性包干价），即在设备的正常使用情况下包括日常维护、故障解决、零配件的更换等一切维护保养及维修，保证采购人的正常使用。</w:t>
      </w:r>
    </w:p>
    <w:p>
      <w:pPr>
        <w:pStyle w:val="65"/>
        <w:widowControl/>
        <w:numPr>
          <w:ilvl w:val="0"/>
          <w:numId w:val="16"/>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设备维保要求，包括以下内容：</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硬件安装：所有指定维护范围内的设备及其外设的搬运、安装、调试、组装与移位等。</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系统安装：设备的安装、调试及升级；相关驱动程序及软件的安装调试；经服务对象授权进行应用软件安装、升级并排除软件使用过程中的故障；解决软件冲突造成的系统故障。</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故障检测与修复：包括</w:t>
      </w:r>
      <w:r>
        <w:rPr>
          <w:rFonts w:hint="eastAsia" w:ascii="宋体" w:hAnsi="宋体" w:eastAsia="宋体" w:cs="宋体"/>
          <w:sz w:val="21"/>
          <w:szCs w:val="21"/>
          <w:lang w:val="en-US" w:eastAsia="zh-CN"/>
        </w:rPr>
        <w:t>项目范围内办公设备</w:t>
      </w:r>
      <w:r>
        <w:rPr>
          <w:rFonts w:hint="eastAsia" w:ascii="宋体" w:hAnsi="宋体" w:eastAsia="宋体" w:cs="宋体"/>
          <w:sz w:val="21"/>
          <w:szCs w:val="21"/>
        </w:rPr>
        <w:t>软件故障检测与修复，硬件故障检测。</w:t>
      </w:r>
    </w:p>
    <w:p>
      <w:pPr>
        <w:pStyle w:val="65"/>
        <w:widowControl/>
        <w:spacing w:line="360" w:lineRule="auto"/>
        <w:ind w:firstLine="420" w:firstLineChars="200"/>
        <w:rPr>
          <w:rFonts w:hint="eastAsia" w:ascii="宋体" w:hAnsi="宋体" w:eastAsia="宋体" w:cs="宋体"/>
          <w:color w:val="auto"/>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配件的更换、维修由</w:t>
      </w:r>
      <w:r>
        <w:rPr>
          <w:rFonts w:hint="eastAsia" w:ascii="宋体" w:hAnsi="宋体" w:cs="宋体"/>
          <w:sz w:val="21"/>
          <w:szCs w:val="21"/>
          <w:lang w:eastAsia="zh-CN"/>
        </w:rPr>
        <w:t>成交供应商</w:t>
      </w:r>
      <w:r>
        <w:rPr>
          <w:rFonts w:hint="eastAsia" w:ascii="宋体" w:hAnsi="宋体" w:eastAsia="宋体" w:cs="宋体"/>
          <w:sz w:val="21"/>
          <w:szCs w:val="21"/>
          <w:lang w:val="en-US" w:eastAsia="zh-CN"/>
        </w:rPr>
        <w:t>提供</w:t>
      </w:r>
      <w:r>
        <w:rPr>
          <w:rFonts w:hint="eastAsia" w:ascii="宋体" w:hAnsi="宋体" w:eastAsia="宋体" w:cs="宋体"/>
          <w:sz w:val="21"/>
          <w:szCs w:val="21"/>
        </w:rPr>
        <w:t>，</w:t>
      </w:r>
      <w:r>
        <w:rPr>
          <w:rFonts w:hint="eastAsia" w:ascii="宋体" w:hAnsi="宋体" w:eastAsia="宋体" w:cs="宋体"/>
          <w:sz w:val="21"/>
          <w:szCs w:val="21"/>
          <w:lang w:val="en-US" w:eastAsia="zh-CN"/>
        </w:rPr>
        <w:t>配件更换必须经采购人审批同意</w:t>
      </w:r>
      <w:r>
        <w:rPr>
          <w:rFonts w:hint="eastAsia" w:ascii="宋体" w:hAnsi="宋体" w:eastAsia="宋体" w:cs="宋体"/>
          <w:sz w:val="21"/>
          <w:szCs w:val="21"/>
        </w:rPr>
        <w:t>，更换的配件不得低于原配件的性能和质量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硬盘故障需更换的，</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不得回收故障硬盘，故障硬盘一律由采购人处理</w:t>
      </w:r>
      <w:r>
        <w:rPr>
          <w:rFonts w:hint="eastAsia" w:ascii="宋体" w:hAnsi="宋体" w:eastAsia="宋体" w:cs="宋体"/>
          <w:color w:val="auto"/>
          <w:sz w:val="21"/>
          <w:szCs w:val="21"/>
          <w:lang w:eastAsia="zh-CN"/>
        </w:rPr>
        <w:t>。</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设备的定期保养。</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巡检：</w:t>
      </w:r>
      <w:r>
        <w:rPr>
          <w:rFonts w:hint="eastAsia" w:ascii="宋体" w:hAnsi="宋体" w:cs="宋体"/>
          <w:sz w:val="21"/>
          <w:szCs w:val="21"/>
          <w:lang w:eastAsia="zh-CN"/>
        </w:rPr>
        <w:t>成交供应商</w:t>
      </w:r>
      <w:r>
        <w:rPr>
          <w:rFonts w:hint="eastAsia" w:ascii="宋体" w:hAnsi="宋体" w:eastAsia="宋体" w:cs="宋体"/>
          <w:sz w:val="21"/>
          <w:szCs w:val="21"/>
        </w:rPr>
        <w:t>应每季度为</w:t>
      </w:r>
      <w:r>
        <w:rPr>
          <w:rFonts w:hint="eastAsia" w:ascii="宋体" w:hAnsi="宋体" w:eastAsia="宋体" w:cs="宋体"/>
          <w:sz w:val="21"/>
          <w:szCs w:val="21"/>
          <w:lang w:val="en-US" w:eastAsia="zh-CN"/>
        </w:rPr>
        <w:t>本项目的办公</w:t>
      </w:r>
      <w:r>
        <w:rPr>
          <w:rFonts w:hint="eastAsia" w:ascii="宋体" w:hAnsi="宋体" w:eastAsia="宋体" w:cs="宋体"/>
          <w:sz w:val="21"/>
          <w:szCs w:val="21"/>
        </w:rPr>
        <w:t>设备</w:t>
      </w:r>
      <w:r>
        <w:rPr>
          <w:rFonts w:hint="eastAsia" w:ascii="宋体" w:hAnsi="宋体" w:eastAsia="宋体" w:cs="宋体"/>
          <w:sz w:val="21"/>
          <w:szCs w:val="21"/>
          <w:lang w:val="en-US" w:eastAsia="zh-CN"/>
        </w:rPr>
        <w:t>做</w:t>
      </w:r>
      <w:r>
        <w:rPr>
          <w:rFonts w:hint="eastAsia" w:ascii="宋体" w:hAnsi="宋体" w:eastAsia="宋体" w:cs="宋体"/>
          <w:sz w:val="21"/>
          <w:szCs w:val="21"/>
        </w:rPr>
        <w:t>一次巡检，主动维护好</w:t>
      </w:r>
      <w:r>
        <w:rPr>
          <w:rFonts w:hint="eastAsia" w:ascii="宋体" w:hAnsi="宋体" w:eastAsia="宋体" w:cs="宋体"/>
          <w:sz w:val="21"/>
          <w:szCs w:val="21"/>
          <w:lang w:eastAsia="zh-CN"/>
        </w:rPr>
        <w:t>各类</w:t>
      </w:r>
      <w:r>
        <w:rPr>
          <w:rFonts w:hint="eastAsia" w:ascii="宋体" w:hAnsi="宋体" w:eastAsia="宋体" w:cs="宋体"/>
          <w:sz w:val="21"/>
          <w:szCs w:val="21"/>
        </w:rPr>
        <w:t>设备，检查硬件实际配置是否和设备登记表相符，保障用户正常办公。在巡检过程中，要根据采购人要求做好</w:t>
      </w:r>
      <w:r>
        <w:rPr>
          <w:rFonts w:hint="eastAsia" w:ascii="宋体" w:hAnsi="宋体" w:eastAsia="宋体" w:cs="宋体"/>
          <w:sz w:val="21"/>
          <w:szCs w:val="21"/>
          <w:lang w:eastAsia="zh-CN"/>
        </w:rPr>
        <w:t>相关</w:t>
      </w:r>
      <w:r>
        <w:rPr>
          <w:rFonts w:hint="eastAsia" w:ascii="宋体" w:hAnsi="宋体" w:eastAsia="宋体" w:cs="宋体"/>
          <w:sz w:val="21"/>
          <w:szCs w:val="21"/>
        </w:rPr>
        <w:t>工作。</w:t>
      </w:r>
    </w:p>
    <w:p>
      <w:pPr>
        <w:pStyle w:val="65"/>
        <w:widowControl/>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对故障设备的维修，在响应时间内完成故障设备的维修，维修人员应严格遵守维修规程，对关键重点岗位及紧急的故障及时响应并及时汇报</w:t>
      </w:r>
      <w:r>
        <w:rPr>
          <w:rFonts w:hint="eastAsia" w:ascii="宋体" w:hAnsi="宋体" w:eastAsia="宋体" w:cs="宋体"/>
          <w:sz w:val="21"/>
          <w:szCs w:val="21"/>
          <w:lang w:eastAsia="zh-CN"/>
        </w:rPr>
        <w:t>。</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运维人员</w:t>
      </w:r>
      <w:r>
        <w:rPr>
          <w:rFonts w:hint="eastAsia" w:ascii="宋体" w:hAnsi="宋体" w:eastAsia="宋体" w:cs="宋体"/>
          <w:b/>
          <w:bCs/>
          <w:color w:val="000000" w:themeColor="text1"/>
          <w:szCs w:val="21"/>
          <w:lang w:val="en-US" w:eastAsia="zh-CN"/>
          <w14:textFill>
            <w14:solidFill>
              <w14:schemeClr w14:val="tx1"/>
            </w14:solidFill>
          </w14:textFill>
        </w:rPr>
        <w:t>要求</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1.如人员履职、项目月考核或出现重大运维事件，按以下规则进行扣罚：</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（1）驻场人员未按采购单位要求履行职责和义务的给予通报批评，整改不力的向其公司发通报批评函，累次不改者本单位有权要求更换或者遣返该驻场人员。</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（2）项目开始之日起每两个月进行一次月考核，如月考核不合格，每次扣罚3000元。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（3）运维人员故障处理时效性无法满足响应要求的，每次扣罚500元。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（4）如因驻场服务人员不遵守服务单位的管理规定而造成服务单位信息泄露或其他不良后果的，采购人有权要求立即清退该名驻场服务人员并保留继续追究其法律责任的权利，且直接认定为月考核不合格一次。</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（5）驻场服务人员在运维期内收到有效客户投诉记录累计2次以上，从第3次起每次扣罚1000元。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（6）成交供应商提供的配件以低质量配件替代或使用二手配件，若一旦被发现有上述操作，采购人提出限时整改意见，如不能按时整改，每次扣罚1000元。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（7）运维团队所有驻场人员不能在合同服务期开始时全部入场，每超过一天，按照缺员数量每人每天扣罚300元。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（8）在合同履行期间,运维团队驻场人员未达到合同要求的，按照缺员数量每人每天扣罚300元。</w:t>
      </w:r>
    </w:p>
    <w:p>
      <w:pPr>
        <w:pStyle w:val="65"/>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扣罚执行要求：当出现以上扣罚情况时，则由采购人的本项目主管部门出具罚金缴纳通知书并以书面形式通知成交供应商缴纳罚金，成交供应商收到罚金缴纳通书后须在10个工作日内以银行转账的方式向采购人缴纳罚金，如成交供应商不按要求缴纳罚金的可视为不积极履行合同，采购人可以依法解除合同并追究成交供应商法律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保密要求</w:t>
      </w:r>
    </w:p>
    <w:p>
      <w:pPr>
        <w:pStyle w:val="65"/>
        <w:widowControl/>
        <w:numPr>
          <w:ilvl w:val="0"/>
          <w:numId w:val="0"/>
        </w:numPr>
        <w:spacing w:line="360" w:lineRule="auto"/>
        <w:ind w:left="28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应签订保密协议，对其因身份、职务、职业或技术关系而知悉的采购人商业秘密和党政机关保密信息应严格保守，保证不被披露或使用，包括意外或过失。</w:t>
      </w:r>
    </w:p>
    <w:p>
      <w:pPr>
        <w:pStyle w:val="65"/>
        <w:widowControl/>
        <w:numPr>
          <w:ilvl w:val="0"/>
          <w:numId w:val="0"/>
        </w:numPr>
        <w:spacing w:line="360" w:lineRule="auto"/>
        <w:ind w:left="28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在从事政府项目时，不得擅自记录、复制、拍摄、摘抄、收藏在工作中涉及的保密信息，严禁将涉及政府项目的任何资料、数据透露或以其他方式提供给项目以外的其他方或</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 xml:space="preserve">内部与该项目无关的任何人员。 </w:t>
      </w:r>
    </w:p>
    <w:p>
      <w:pPr>
        <w:pStyle w:val="65"/>
        <w:widowControl/>
        <w:numPr>
          <w:ilvl w:val="0"/>
          <w:numId w:val="0"/>
        </w:numPr>
        <w:spacing w:line="360" w:lineRule="auto"/>
        <w:ind w:left="28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 xml:space="preserve">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pPr>
        <w:pStyle w:val="65"/>
        <w:widowControl/>
        <w:numPr>
          <w:ilvl w:val="0"/>
          <w:numId w:val="0"/>
        </w:numPr>
        <w:spacing w:line="360" w:lineRule="auto"/>
        <w:ind w:left="28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4.严禁泄露在工作中接触到的政府机关科技研究、发明、装备器材及其技术资料和政府工作信息。</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验收要求</w:t>
      </w:r>
    </w:p>
    <w:p>
      <w:pPr>
        <w:pStyle w:val="65"/>
        <w:widowControl/>
        <w:numPr>
          <w:ilvl w:val="0"/>
          <w:numId w:val="0"/>
        </w:numPr>
        <w:spacing w:line="360" w:lineRule="auto"/>
        <w:ind w:left="280" w:leftChars="0"/>
        <w:rPr>
          <w:rFonts w:hint="eastAsia" w:ascii="宋体" w:hAnsi="宋体" w:cs="宋体"/>
          <w:sz w:val="21"/>
          <w:szCs w:val="21"/>
          <w:lang w:val="en-US" w:eastAsia="zh-CN"/>
        </w:rPr>
      </w:pPr>
      <w:r>
        <w:rPr>
          <w:rFonts w:hint="eastAsia" w:ascii="宋体" w:hAnsi="宋体" w:cs="宋体"/>
          <w:sz w:val="21"/>
          <w:szCs w:val="21"/>
          <w:lang w:val="en-US" w:eastAsia="zh-CN"/>
        </w:rPr>
        <w:t>1.采购人每两个月对本项目开展一次考核服务评价（评价表详见附件2），评价形成的文档作为最终考核验收依据。</w:t>
      </w:r>
    </w:p>
    <w:p>
      <w:pPr>
        <w:pStyle w:val="65"/>
        <w:widowControl/>
        <w:numPr>
          <w:ilvl w:val="0"/>
          <w:numId w:val="0"/>
        </w:numPr>
        <w:spacing w:line="360" w:lineRule="auto"/>
        <w:ind w:left="280" w:leftChars="0"/>
        <w:rPr>
          <w:rFonts w:hint="eastAsia" w:ascii="宋体" w:hAnsi="宋体" w:cs="宋体"/>
          <w:sz w:val="21"/>
          <w:szCs w:val="21"/>
          <w:lang w:val="en-US" w:eastAsia="zh-CN"/>
        </w:rPr>
      </w:pPr>
      <w:r>
        <w:rPr>
          <w:rFonts w:hint="eastAsia" w:ascii="宋体" w:hAnsi="宋体" w:cs="宋体"/>
          <w:sz w:val="21"/>
          <w:szCs w:val="21"/>
          <w:lang w:val="en-US" w:eastAsia="zh-CN"/>
        </w:rPr>
        <w:t>2.服务终止前，运维公司应提交书面总结和验收申请，经采购人审核同意后开展项目验收工作。</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付款方式</w:t>
      </w:r>
    </w:p>
    <w:p>
      <w:pPr>
        <w:pStyle w:val="65"/>
        <w:widowControl/>
        <w:numPr>
          <w:ilvl w:val="0"/>
          <w:numId w:val="0"/>
        </w:numPr>
        <w:spacing w:line="360" w:lineRule="auto"/>
        <w:ind w:left="280"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本项目计划分3期支付，具体支付方式和时间如下：</w:t>
      </w:r>
    </w:p>
    <w:p>
      <w:pPr>
        <w:pStyle w:val="65"/>
        <w:widowControl/>
        <w:numPr>
          <w:ilvl w:val="0"/>
          <w:numId w:val="17"/>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第一笔款：成交供应商领取成交通知书后合同签订前，需向采购人缴纳成交价的5%作为履约保证金。如成交供应商不按时签订合同或弃标的，履约保证金不予退回（不可抗力原因除外）。签订合同后 15 个工作日内，成交供应商书面提出支付申请函及拟支付金额等额的符合采购人财务管理要求的相应发票，采购人确认后启动首期款支付流程，约占合同总金额的 30%。</w:t>
      </w:r>
    </w:p>
    <w:p>
      <w:pPr>
        <w:pStyle w:val="65"/>
        <w:widowControl/>
        <w:numPr>
          <w:ilvl w:val="0"/>
          <w:numId w:val="17"/>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第二笔款：2024年11月30日后，成交供应商书面提出支付申请函及拟支付金额等额的符合采购人财务管理要求的相应发票，采购人确认后启动中期款支付流程，约占合同总金额的 30%。</w:t>
      </w:r>
    </w:p>
    <w:p>
      <w:pPr>
        <w:pStyle w:val="65"/>
        <w:widowControl/>
        <w:numPr>
          <w:ilvl w:val="0"/>
          <w:numId w:val="17"/>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第三笔款：待项目验收通过后，成交供应商书面提出支付申请函及拟支付金额等额的符合采购人财务管理要求的相应发票，采购人确认后启动第三笔款支付流程，第三笔款约占合同总金额的 40%。</w:t>
      </w:r>
    </w:p>
    <w:p>
      <w:pPr>
        <w:pStyle w:val="65"/>
        <w:widowControl/>
        <w:numPr>
          <w:ilvl w:val="0"/>
          <w:numId w:val="17"/>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待合同支付完成后，履约保证金无息退回。</w:t>
      </w:r>
    </w:p>
    <w:p>
      <w:pPr>
        <w:pStyle w:val="65"/>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注：付款期限自收到</w:t>
      </w:r>
      <w:r>
        <w:rPr>
          <w:rFonts w:hint="eastAsia" w:ascii="宋体" w:hAnsi="宋体" w:cs="宋体"/>
          <w:sz w:val="21"/>
          <w:szCs w:val="21"/>
          <w:lang w:eastAsia="zh-CN"/>
        </w:rPr>
        <w:t>成交供应商</w:t>
      </w:r>
      <w:r>
        <w:rPr>
          <w:rFonts w:hint="eastAsia" w:ascii="宋体" w:hAnsi="宋体" w:eastAsia="宋体" w:cs="宋体"/>
          <w:sz w:val="21"/>
          <w:szCs w:val="21"/>
        </w:rPr>
        <w:t>开具的发票之日起计算，具体到帐期限以财政拨付实际到帐为准。付款方式以双方最终签订的合同为准。</w:t>
      </w:r>
    </w:p>
    <w:p>
      <w:pPr>
        <w:pStyle w:val="65"/>
        <w:widowControl/>
        <w:numPr>
          <w:ilvl w:val="0"/>
          <w:numId w:val="17"/>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成交供应商凭以下有效文件与采购人结算：</w:t>
      </w:r>
    </w:p>
    <w:p>
      <w:pPr>
        <w:keepNext w:val="0"/>
        <w:keepLines w:val="0"/>
        <w:widowControl w:val="0"/>
        <w:numPr>
          <w:ilvl w:val="0"/>
          <w:numId w:val="18"/>
        </w:numPr>
        <w:suppressLineNumbers w:val="0"/>
        <w:autoSpaceDE w:val="0"/>
        <w:autoSpaceDN w:val="0"/>
        <w:adjustRightInd w:val="0"/>
        <w:snapToGrid w:val="0"/>
        <w:spacing w:before="0" w:beforeAutospacing="0" w:after="0" w:afterAutospacing="0" w:line="360" w:lineRule="auto"/>
        <w:ind w:left="1475" w:right="0" w:hanging="425"/>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w:t>
      </w:r>
    </w:p>
    <w:p>
      <w:pPr>
        <w:keepNext w:val="0"/>
        <w:keepLines w:val="0"/>
        <w:widowControl w:val="0"/>
        <w:numPr>
          <w:ilvl w:val="0"/>
          <w:numId w:val="18"/>
        </w:numPr>
        <w:suppressLineNumbers w:val="0"/>
        <w:autoSpaceDE w:val="0"/>
        <w:autoSpaceDN w:val="0"/>
        <w:adjustRightInd w:val="0"/>
        <w:snapToGrid w:val="0"/>
        <w:spacing w:before="0" w:beforeAutospacing="0" w:after="0" w:afterAutospacing="0" w:line="360" w:lineRule="auto"/>
        <w:ind w:left="1475" w:right="0" w:hanging="425"/>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成交供应商开具的</w:t>
      </w:r>
      <w:r>
        <w:rPr>
          <w:rFonts w:hint="eastAsia" w:ascii="宋体" w:hAnsi="宋体" w:eastAsia="宋体" w:cs="宋体"/>
          <w:b/>
          <w:bCs/>
          <w:kern w:val="2"/>
          <w:sz w:val="21"/>
          <w:szCs w:val="21"/>
          <w:u w:val="single"/>
          <w:lang w:val="en-US" w:eastAsia="zh-CN" w:bidi="ar"/>
        </w:rPr>
        <w:t>增值税普通发票</w:t>
      </w:r>
      <w:r>
        <w:rPr>
          <w:rFonts w:hint="eastAsia" w:ascii="宋体" w:hAnsi="宋体" w:eastAsia="宋体" w:cs="宋体"/>
          <w:kern w:val="2"/>
          <w:sz w:val="21"/>
          <w:szCs w:val="21"/>
          <w:lang w:val="en-US" w:eastAsia="zh-CN" w:bidi="ar"/>
        </w:rPr>
        <w:t>；</w:t>
      </w:r>
    </w:p>
    <w:p>
      <w:pPr>
        <w:keepNext w:val="0"/>
        <w:keepLines w:val="0"/>
        <w:widowControl w:val="0"/>
        <w:numPr>
          <w:ilvl w:val="0"/>
          <w:numId w:val="18"/>
        </w:numPr>
        <w:suppressLineNumbers w:val="0"/>
        <w:autoSpaceDE w:val="0"/>
        <w:autoSpaceDN w:val="0"/>
        <w:adjustRightInd w:val="0"/>
        <w:snapToGrid w:val="0"/>
        <w:spacing w:before="0" w:beforeAutospacing="0" w:after="0" w:afterAutospacing="0" w:line="360" w:lineRule="auto"/>
        <w:ind w:left="1475" w:right="0" w:hanging="425"/>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成交通知书。</w:t>
      </w:r>
    </w:p>
    <w:p>
      <w:pPr>
        <w:keepNext w:val="0"/>
        <w:keepLines w:val="0"/>
        <w:widowControl w:val="0"/>
        <w:numPr>
          <w:ilvl w:val="0"/>
          <w:numId w:val="18"/>
        </w:numPr>
        <w:suppressLineNumbers w:val="0"/>
        <w:autoSpaceDE w:val="0"/>
        <w:autoSpaceDN w:val="0"/>
        <w:adjustRightInd w:val="0"/>
        <w:snapToGrid w:val="0"/>
        <w:spacing w:before="0" w:beforeAutospacing="0" w:after="0" w:afterAutospacing="0" w:line="360" w:lineRule="auto"/>
        <w:ind w:left="1475" w:right="0" w:hanging="425"/>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验收报告。</w:t>
      </w:r>
    </w:p>
    <w:p>
      <w:pP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1127"/>
        <w:gridCol w:w="1947"/>
        <w:gridCol w:w="19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服务期</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报价（人民币 元）</w:t>
            </w: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lang w:bidi="ar"/>
              </w:rPr>
              <w:t>广东省东莞监狱信息化办公设备运维服务项目</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rPr>
              <w:t>1项</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 xml:space="preserve"> </w:t>
            </w:r>
            <w:r>
              <w:rPr>
                <w:rFonts w:hint="eastAsia" w:ascii="宋体" w:hAnsi="宋体" w:eastAsia="宋体" w:cs="宋体"/>
                <w:bCs/>
                <w:color w:val="000000"/>
                <w:szCs w:val="21"/>
                <w:lang w:val="en-US" w:eastAsia="zh-CN"/>
              </w:rPr>
              <w:t xml:space="preserve"> </w:t>
            </w:r>
            <w:r>
              <w:rPr>
                <w:rFonts w:hint="eastAsia" w:ascii="宋体" w:hAnsi="宋体" w:cs="宋体"/>
                <w:bCs/>
                <w:color w:val="000000"/>
                <w:szCs w:val="21"/>
                <w:lang w:val="en-US" w:eastAsia="zh-CN"/>
              </w:rPr>
              <w:t>本项目服务期限为服务提供之日起12个月，具体时间以项目合同为准</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r>
    </w:tbl>
    <w:p>
      <w:pPr>
        <w:pStyle w:val="2"/>
        <w:ind w:firstLine="0" w:firstLineChars="0"/>
        <w:rPr>
          <w:lang w:val="zh-CN"/>
        </w:rPr>
      </w:pPr>
    </w:p>
    <w:p>
      <w:pPr>
        <w:ind w:firstLine="0"/>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19"/>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9"/>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19"/>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19"/>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19"/>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36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用户需求书响应声明函</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szCs w:val="21"/>
        </w:rPr>
        <w:t>云采链（广州）信息科技有限公司</w:t>
      </w:r>
    </w:p>
    <w:p>
      <w:pPr>
        <w:spacing w:line="360" w:lineRule="auto"/>
        <w:rPr>
          <w:rFonts w:hint="eastAsia" w:ascii="宋体" w:hAnsi="宋体" w:eastAsia="宋体" w:cs="宋体"/>
          <w:color w:val="000000"/>
          <w:szCs w:val="22"/>
          <w:lang w:val="zh-CN"/>
        </w:rPr>
      </w:pP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eastAsia="宋体" w:cs="宋体"/>
          <w:b/>
          <w:bCs/>
          <w:color w:val="000000"/>
          <w:szCs w:val="21"/>
          <w:u w:val="single"/>
        </w:rPr>
        <w:t>广东省东莞监狱信息化办公设备运维服务项目</w:t>
      </w:r>
      <w:r>
        <w:rPr>
          <w:rFonts w:hint="eastAsia" w:ascii="宋体" w:hAnsi="宋体" w:eastAsia="宋体" w:cs="宋体"/>
          <w:color w:val="000000"/>
          <w:szCs w:val="21"/>
        </w:rPr>
        <w:t>的竞价公告，本公司（企业）愿意参加采购活动，并作出如下声明：</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cs="宋体"/>
          <w:b/>
          <w:color w:val="000000"/>
          <w:szCs w:val="22"/>
        </w:rPr>
      </w:pPr>
      <w:r>
        <w:rPr>
          <w:rFonts w:hint="eastAsia" w:ascii="宋体" w:hAnsi="宋体" w:eastAsia="宋体" w:cs="宋体"/>
          <w:b/>
          <w:color w:val="000000"/>
          <w:szCs w:val="22"/>
        </w:rPr>
        <w:t>备注：</w:t>
      </w:r>
    </w:p>
    <w:p>
      <w:pPr>
        <w:numPr>
          <w:ilvl w:val="0"/>
          <w:numId w:val="20"/>
        </w:numPr>
        <w:autoSpaceDE w:val="0"/>
        <w:autoSpaceDN w:val="0"/>
        <w:adjustRightInd w:val="0"/>
        <w:spacing w:line="360" w:lineRule="auto"/>
        <w:rPr>
          <w:rFonts w:hint="eastAsia" w:ascii="宋体" w:hAnsi="宋体" w:eastAsia="宋体" w:cs="宋体"/>
          <w:color w:val="000000"/>
          <w:szCs w:val="22"/>
        </w:rPr>
      </w:pPr>
      <w:r>
        <w:rPr>
          <w:rFonts w:hint="eastAsia" w:ascii="宋体" w:hAnsi="宋体" w:eastAsia="宋体" w:cs="宋体"/>
          <w:color w:val="000000"/>
          <w:szCs w:val="22"/>
        </w:rPr>
        <w:t>本声明函必须提供且内容不得擅自删改，否则视为响应无效。</w:t>
      </w:r>
    </w:p>
    <w:p>
      <w:pPr>
        <w:numPr>
          <w:ilvl w:val="0"/>
          <w:numId w:val="20"/>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pPr>
        <w:widowControl/>
        <w:spacing w:line="360" w:lineRule="auto"/>
        <w:jc w:val="left"/>
        <w:rPr>
          <w:rFonts w:hint="eastAsia" w:ascii="宋体" w:hAnsi="宋体" w:eastAsia="宋体" w:cs="宋体"/>
          <w:b/>
          <w:bCs/>
          <w:color w:val="000000"/>
          <w:kern w:val="0"/>
          <w:sz w:val="32"/>
          <w:szCs w:val="32"/>
        </w:rPr>
      </w:pPr>
    </w:p>
    <w:p>
      <w:pPr>
        <w:pStyle w:val="54"/>
        <w:wordWrap w:val="0"/>
        <w:spacing w:line="360" w:lineRule="auto"/>
        <w:ind w:left="1200" w:right="218" w:firstLine="0" w:firstLineChars="0"/>
        <w:jc w:val="right"/>
        <w:rPr>
          <w:rFonts w:hint="eastAsia" w:ascii="宋体" w:hAnsi="宋体" w:eastAsia="宋体" w:cs="宋体"/>
          <w:color w:val="000000"/>
          <w:szCs w:val="21"/>
          <w:u w:val="single"/>
          <w:lang w:val="en-US" w:eastAsia="zh-CN"/>
        </w:rPr>
      </w:pPr>
      <w:r>
        <w:rPr>
          <w:rFonts w:hint="eastAsia" w:ascii="宋体" w:hAnsi="宋体" w:eastAsia="宋体" w:cs="宋体"/>
          <w:color w:val="000000"/>
          <w:spacing w:val="4"/>
          <w:szCs w:val="21"/>
        </w:rPr>
        <w:t>供应商名称（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kern w:val="2"/>
          <w:sz w:val="21"/>
          <w:szCs w:val="21"/>
          <w:u w:val="single"/>
          <w:lang w:val="en-US" w:eastAsia="zh-CN" w:bidi="ar-SA"/>
        </w:rPr>
        <w:t xml:space="preserve">          </w:t>
      </w:r>
    </w:p>
    <w:p>
      <w:pPr>
        <w:pStyle w:val="54"/>
        <w:spacing w:line="360" w:lineRule="auto"/>
        <w:ind w:left="1200" w:right="210" w:firstLine="0" w:firstLineChars="0"/>
        <w:jc w:val="right"/>
        <w:rPr>
          <w:rFonts w:hint="eastAsia" w:ascii="宋体" w:hAnsi="宋体" w:eastAsia="宋体" w:cs="宋体"/>
          <w:color w:val="000000"/>
          <w:szCs w:val="21"/>
          <w:u w:val="single"/>
        </w:rPr>
      </w:pPr>
    </w:p>
    <w:p>
      <w:pPr>
        <w:spacing w:line="360" w:lineRule="auto"/>
        <w:ind w:firstLine="7688" w:firstLineChars="3527"/>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pPr>
        <w:rPr>
          <w:rFonts w:hint="eastAsia" w:ascii="宋体" w:hAnsi="宋体" w:eastAsia="宋体" w:cs="宋体"/>
          <w:color w:val="000000"/>
          <w:spacing w:val="4"/>
          <w:szCs w:val="21"/>
          <w:u w:val="single"/>
        </w:rPr>
      </w:pPr>
      <w:r>
        <w:rPr>
          <w:rFonts w:hint="eastAsia" w:ascii="宋体" w:hAnsi="宋体" w:eastAsia="宋体" w:cs="宋体"/>
          <w:color w:val="000000"/>
          <w:spacing w:val="4"/>
          <w:szCs w:val="21"/>
          <w:u w:val="single"/>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r>
        <w:rPr>
          <w:rFonts w:hint="eastAsia" w:ascii="宋体" w:hAnsi="宋体"/>
          <w:b/>
          <w:color w:val="000000" w:themeColor="text1"/>
          <w14:textFill>
            <w14:solidFill>
              <w14:schemeClr w14:val="tx1"/>
            </w14:solidFill>
          </w14:textFill>
        </w:rPr>
        <w:t>：</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eastAsia="宋体" w:cs="宋体"/>
          <w:b/>
          <w:bCs/>
          <w:color w:val="000000"/>
          <w:szCs w:val="21"/>
          <w:u w:val="single"/>
        </w:rPr>
        <w:t>广东省东莞监狱信息化办公设备运维服务项目</w:t>
      </w:r>
      <w:r>
        <w:rPr>
          <w:rFonts w:hint="eastAsia" w:ascii="宋体" w:hAnsi="宋体"/>
          <w:color w:val="000000" w:themeColor="text1"/>
          <w14:textFill>
            <w14:solidFill>
              <w14:schemeClr w14:val="tx1"/>
            </w14:solidFill>
          </w14:textFill>
        </w:rPr>
        <w:t>的竞价公告，本公司（企业）愿意参加竞价，并声明：</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本公司提供的商品和服务必须符合国家和行业的有关技术及安全标准，信誉良好、质优价廉、送货上门。</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2"/>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2"/>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2"/>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2"/>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pStyle w:val="2"/>
        <w:ind w:left="0" w:leftChars="0" w:firstLine="0" w:firstLineChars="0"/>
        <w:rPr>
          <w:rFonts w:hint="eastAsia" w:ascii="宋体" w:hAnsi="宋体" w:eastAsia="宋体" w:cs="宋体"/>
          <w:color w:val="000000" w:themeColor="text1"/>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firstLine="840" w:firstLineChars="300"/>
        <w:jc w:val="both"/>
        <w:outlineLvl w:val="1"/>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附件</w:t>
      </w:r>
      <w:r>
        <w:rPr>
          <w:rFonts w:hint="default" w:ascii="Times New Roman" w:hAnsi="Times New Roman" w:eastAsia="宋体" w:cs="Times New Roman"/>
          <w:kern w:val="2"/>
          <w:sz w:val="28"/>
          <w:szCs w:val="28"/>
          <w:lang w:val="en-US" w:eastAsia="zh-CN" w:bidi="ar"/>
        </w:rPr>
        <w:t>2</w:t>
      </w:r>
      <w:r>
        <w:rPr>
          <w:rFonts w:hint="eastAsia" w:ascii="宋体" w:hAnsi="宋体" w:eastAsia="宋体" w:cs="宋体"/>
          <w:kern w:val="2"/>
          <w:sz w:val="28"/>
          <w:szCs w:val="28"/>
          <w:lang w:val="en-US" w:eastAsia="zh-CN" w:bidi="ar"/>
        </w:rPr>
        <w:t>：东莞监狱信息化办公设备运维服务项目考核评价表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69"/>
        <w:gridCol w:w="3021"/>
        <w:gridCol w:w="1476"/>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评价周期 </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840" w:firstLineChars="4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评价时间</w:t>
            </w: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评价地点</w:t>
            </w:r>
          </w:p>
        </w:tc>
        <w:tc>
          <w:tcPr>
            <w:tcW w:w="171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3" w:hRule="atLeast"/>
          <w:jc w:val="center"/>
        </w:trPr>
        <w:tc>
          <w:tcPr>
            <w:tcW w:w="999" w:type="pct"/>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评价内容</w:t>
            </w: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驻场人员履职情况</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□非常满意 （20分）  □满意（15分）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□一般 （10分）      □不满意（0分）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日常运维故障响应的及时性情况</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□非常快 （20分）    □快（15分）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□一般 （10分）      □慢（0分）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遵守监狱管理规定情况</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w:t>
            </w:r>
            <w:r>
              <w:rPr>
                <w:rFonts w:hint="eastAsia" w:ascii="宋体" w:hAnsi="宋体" w:eastAsia="宋体" w:cs="宋体"/>
                <w:kern w:val="2"/>
                <w:sz w:val="21"/>
                <w:szCs w:val="21"/>
                <w:lang w:val="en-US" w:eastAsia="zh-CN" w:bidi="ar"/>
              </w:rPr>
              <w:t>合格 （25分）    □</w:t>
            </w:r>
            <w:r>
              <w:rPr>
                <w:rFonts w:hint="eastAsia" w:ascii="宋体" w:hAnsi="宋体" w:eastAsia="宋体" w:cs="宋体"/>
                <w:spacing w:val="1"/>
                <w:kern w:val="2"/>
                <w:sz w:val="21"/>
                <w:szCs w:val="21"/>
                <w:lang w:val="en-US" w:eastAsia="zh-CN" w:bidi="ar"/>
              </w:rPr>
              <w:t xml:space="preserve"> </w:t>
            </w:r>
            <w:r>
              <w:rPr>
                <w:rFonts w:hint="eastAsia" w:ascii="宋体" w:hAnsi="宋体" w:eastAsia="宋体" w:cs="宋体"/>
                <w:kern w:val="2"/>
                <w:sz w:val="21"/>
                <w:szCs w:val="21"/>
                <w:lang w:val="en-US" w:eastAsia="zh-CN" w:bidi="ar"/>
              </w:rPr>
              <w:t>不合格（0分）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投诉情况</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0次（15分）    </w:t>
            </w: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1次 （10分）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2次</w:t>
            </w:r>
            <w:r>
              <w:rPr>
                <w:rFonts w:hint="eastAsia" w:ascii="宋体" w:hAnsi="宋体" w:eastAsia="宋体" w:cs="宋体"/>
                <w:spacing w:val="1"/>
                <w:kern w:val="2"/>
                <w:sz w:val="21"/>
                <w:szCs w:val="21"/>
                <w:lang w:val="en-US" w:eastAsia="zh-CN" w:bidi="ar"/>
              </w:rPr>
              <w:t xml:space="preserve">（5分）     </w:t>
            </w: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3次及以上</w:t>
            </w:r>
            <w:r>
              <w:rPr>
                <w:rFonts w:hint="eastAsia" w:ascii="宋体" w:hAnsi="宋体" w:eastAsia="宋体" w:cs="宋体"/>
                <w:kern w:val="2"/>
                <w:sz w:val="21"/>
                <w:szCs w:val="21"/>
                <w:lang w:val="en-US" w:eastAsia="zh-CN" w:bidi="ar"/>
              </w:rPr>
              <w:t xml:space="preserve">（0分）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有无使用低质量或二手配件情况</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无（10分）      </w:t>
            </w: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w:t>
            </w:r>
            <w:r>
              <w:rPr>
                <w:rFonts w:hint="eastAsia" w:ascii="宋体" w:hAnsi="宋体" w:eastAsia="宋体" w:cs="宋体"/>
                <w:kern w:val="2"/>
                <w:sz w:val="21"/>
                <w:szCs w:val="21"/>
                <w:lang w:val="en-US" w:eastAsia="zh-CN" w:bidi="ar"/>
              </w:rPr>
              <w:t>有（0分）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驻场人员有无达到合同要求</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有（10分）      </w:t>
            </w: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无</w:t>
            </w:r>
            <w:r>
              <w:rPr>
                <w:rFonts w:hint="eastAsia" w:ascii="宋体" w:hAnsi="宋体" w:eastAsia="宋体" w:cs="宋体"/>
                <w:kern w:val="2"/>
                <w:sz w:val="21"/>
                <w:szCs w:val="21"/>
                <w:lang w:val="en-US" w:eastAsia="zh-CN" w:bidi="ar"/>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999" w:type="pct"/>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5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840" w:firstLineChars="4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总分合计（分）</w:t>
            </w:r>
          </w:p>
        </w:tc>
        <w:tc>
          <w:tcPr>
            <w:tcW w:w="246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存在问题</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改进意见</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评价结论</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spacing w:val="1"/>
                <w:kern w:val="2"/>
                <w:sz w:val="21"/>
                <w:szCs w:val="21"/>
                <w:lang w:val="en-US" w:eastAsia="zh-CN" w:bidi="ar"/>
              </w:rPr>
              <w:t xml:space="preserve"> </w:t>
            </w:r>
            <w:r>
              <w:rPr>
                <w:rFonts w:hint="eastAsia" w:ascii="宋体" w:hAnsi="宋体" w:eastAsia="宋体" w:cs="宋体"/>
                <w:kern w:val="2"/>
                <w:sz w:val="21"/>
                <w:szCs w:val="21"/>
                <w:lang w:val="en-US" w:eastAsia="zh-CN" w:bidi="ar"/>
              </w:rPr>
              <w:t>合格 （总分80分及以上）            □</w:t>
            </w:r>
            <w:r>
              <w:rPr>
                <w:rFonts w:hint="eastAsia" w:ascii="宋体" w:hAnsi="宋体" w:eastAsia="宋体" w:cs="宋体"/>
                <w:spacing w:val="1"/>
                <w:kern w:val="2"/>
                <w:sz w:val="21"/>
                <w:szCs w:val="21"/>
                <w:lang w:val="en-US" w:eastAsia="zh-CN" w:bidi="ar"/>
              </w:rPr>
              <w:t xml:space="preserve"> </w:t>
            </w:r>
            <w:r>
              <w:rPr>
                <w:rFonts w:hint="eastAsia" w:ascii="宋体" w:hAnsi="宋体" w:eastAsia="宋体" w:cs="宋体"/>
                <w:kern w:val="2"/>
                <w:sz w:val="21"/>
                <w:szCs w:val="21"/>
                <w:lang w:val="en-US" w:eastAsia="zh-CN" w:bidi="ar"/>
              </w:rPr>
              <w:t>不合格（79分及以下）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8"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评价人员签名</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信息技术科确认</w:t>
            </w:r>
          </w:p>
        </w:tc>
        <w:tc>
          <w:tcPr>
            <w:tcW w:w="4000"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负责人签名（盖章）：                   时间：</w:t>
            </w:r>
          </w:p>
        </w:tc>
      </w:tr>
    </w:tbl>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部门：                                   时间：</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制表人：</w:t>
      </w:r>
    </w:p>
    <w:p>
      <w:pPr>
        <w:pStyle w:val="2"/>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pStyle w:val="2"/>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auto"/>
        <w:ind w:left="0" w:right="0" w:firstLine="840" w:firstLineChars="300"/>
        <w:jc w:val="both"/>
        <w:outlineLvl w:val="1"/>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附件3.保密承诺书</w:t>
      </w:r>
    </w:p>
    <w:p>
      <w:pPr>
        <w:ind w:firstLine="0" w:firstLineChars="0"/>
        <w:jc w:val="center"/>
        <w:rPr>
          <w:sz w:val="28"/>
        </w:rPr>
      </w:pPr>
      <w:r>
        <w:rPr>
          <w:sz w:val="28"/>
        </w:rPr>
        <w:t>保密承诺书</w:t>
      </w:r>
    </w:p>
    <w:p>
      <w:pPr>
        <w:ind w:firstLine="480"/>
      </w:pPr>
      <w:r>
        <w:t>致：</w:t>
      </w:r>
      <w:r>
        <w:rPr>
          <w:rFonts w:hint="eastAsia"/>
        </w:rPr>
        <w:t>广东省东莞监狱</w:t>
      </w:r>
    </w:p>
    <w:p>
      <w:pPr>
        <w:ind w:firstLine="480"/>
      </w:pPr>
      <w:r>
        <w:t>为保护合作方甲方的合法利益，保证合作双方实现顺利合作，避免因信息泄露而给甲方造成损失，本项目的服务方以及参与本项目的所有员工承诺遵守本保密承诺书内容。</w:t>
      </w:r>
    </w:p>
    <w:p>
      <w:pPr>
        <w:ind w:firstLine="480"/>
      </w:pPr>
      <w:r>
        <w:t>一、保密信息定义</w:t>
      </w:r>
    </w:p>
    <w:p>
      <w:pPr>
        <w:ind w:firstLine="480"/>
      </w:pPr>
      <w:r>
        <w:t>本承诺书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ind w:firstLine="480"/>
      </w:pPr>
      <w:r>
        <w:t>1.甲方在项目实施中为乙方及乙方工作人员提供必要的数据、程序、用户名、口令和资料等；</w:t>
      </w:r>
    </w:p>
    <w:p>
      <w:pPr>
        <w:ind w:firstLine="480"/>
      </w:pPr>
      <w:r>
        <w:t>2.在对甲方提供服务工作中涉及的业务及技术文档，包括政策、方案设计细节、程序文件、数据结构，以及相关业务系统的硬软件、文档，测试和测试产生的数据等；</w:t>
      </w:r>
    </w:p>
    <w:p>
      <w:pPr>
        <w:ind w:firstLine="480"/>
      </w:pPr>
      <w:r>
        <w:t>3.服务过程中产生的所有成果为保密的内容；</w:t>
      </w:r>
    </w:p>
    <w:p>
      <w:pPr>
        <w:ind w:firstLine="480"/>
      </w:pPr>
      <w:r>
        <w:t>4.其他甲方合理认为并申明属于保密信息的内容。</w:t>
      </w:r>
    </w:p>
    <w:p>
      <w:pPr>
        <w:ind w:firstLine="480"/>
      </w:pPr>
      <w:r>
        <w:t>二、保密要求</w:t>
      </w:r>
    </w:p>
    <w:p>
      <w:pPr>
        <w:ind w:firstLine="480"/>
      </w:pPr>
      <w: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ind w:firstLine="480"/>
      </w:pPr>
      <w:r>
        <w:t>1.承诺人始终对保密资料保密，不在项目之外使用甲方提供的保密信息及因履行本项目而掌握的保密信息。</w:t>
      </w:r>
    </w:p>
    <w:p>
      <w:pPr>
        <w:ind w:firstLine="480"/>
      </w:pPr>
      <w:r>
        <w:t>2.未经甲方书面同意，不向任何第三方提供保密信息以及可以接触上述保密信息的手段，包括在公开场合展览，公开对外宣传，作为文章、讯息、参考数据发表等。</w:t>
      </w:r>
    </w:p>
    <w:p>
      <w:pPr>
        <w:ind w:firstLine="480"/>
      </w:pPr>
      <w:r>
        <w:t>3.只向项目相关人员（包括各自的领导﹑同事和雇员等）为商讨合作项目而有需要知悉保密信息的人士披露保密信息；并保证上述各相关人员的行为将会符合本守则的规定。</w:t>
      </w:r>
    </w:p>
    <w:p>
      <w:pPr>
        <w:ind w:firstLine="480"/>
      </w:pPr>
      <w:r>
        <w:t>4.在商讨合作项目的过程中，若需向第三方披露甲方的保密信息，应取得甲方书面许可，并要求该第三方不得向任何其它人士泄露保密信息。</w:t>
      </w:r>
    </w:p>
    <w:p>
      <w:pPr>
        <w:ind w:firstLine="480"/>
      </w:pPr>
      <w:r>
        <w:t>5.有关保密的内容和义务，未经甲方解封则长期有效。</w:t>
      </w:r>
    </w:p>
    <w:p>
      <w:pPr>
        <w:ind w:firstLine="480"/>
        <w:jc w:val="center"/>
      </w:pPr>
      <w:r>
        <w:rPr>
          <w:rFonts w:hint="eastAsia"/>
          <w:lang w:val="en-US" w:eastAsia="zh-CN"/>
        </w:rPr>
        <w:t xml:space="preserve">                                                       </w:t>
      </w:r>
      <w:r>
        <w:t>承诺人:</w:t>
      </w:r>
    </w:p>
    <w:p>
      <w:pPr>
        <w:ind w:firstLine="480"/>
        <w:jc w:val="right"/>
      </w:pPr>
      <w:r>
        <w:t>（法定代表人或委托代理人签字并盖单位公章）</w:t>
      </w:r>
    </w:p>
    <w:p>
      <w:pPr>
        <w:ind w:firstLine="7612" w:firstLineChars="3625"/>
      </w:pPr>
      <w:r>
        <w:t xml:space="preserve">日  期：                              </w:t>
      </w:r>
    </w:p>
    <w:p/>
    <w:p>
      <w:pPr>
        <w:pStyle w:val="2"/>
        <w:rPr>
          <w:rFonts w:hint="default" w:ascii="宋体" w:hAnsi="宋体" w:eastAsia="宋体" w:cs="宋体"/>
          <w:kern w:val="2"/>
          <w:sz w:val="21"/>
          <w:szCs w:val="21"/>
          <w:lang w:val="en-US" w:eastAsia="zh-CN" w:bidi="ar"/>
        </w:rPr>
      </w:pPr>
    </w:p>
    <w:p>
      <w:pPr>
        <w:pStyle w:val="2"/>
        <w:rPr>
          <w:rFonts w:hint="eastAsia" w:ascii="宋体" w:hAnsi="宋体" w:eastAsia="宋体" w:cs="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Neu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w:t>
    </w:r>
    <w:r>
      <w:rPr>
        <w:lang w:val="zh-CN"/>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6E5A9"/>
    <w:multiLevelType w:val="singleLevel"/>
    <w:tmpl w:val="8796E5A9"/>
    <w:lvl w:ilvl="0" w:tentative="0">
      <w:start w:val="1"/>
      <w:numFmt w:val="decimal"/>
      <w:lvlText w:val="%1."/>
      <w:lvlJc w:val="left"/>
      <w:pPr>
        <w:tabs>
          <w:tab w:val="left" w:pos="312"/>
        </w:tabs>
      </w:pPr>
    </w:lvl>
  </w:abstractNum>
  <w:abstractNum w:abstractNumId="1">
    <w:nsid w:val="950CF2C7"/>
    <w:multiLevelType w:val="multilevel"/>
    <w:tmpl w:val="950CF2C7"/>
    <w:lvl w:ilvl="0" w:tentative="0">
      <w:start w:val="1"/>
      <w:numFmt w:val="decimal"/>
      <w:lvlText w:val="(%1)"/>
      <w:lvlJc w:val="left"/>
      <w:pPr>
        <w:ind w:left="1475" w:hanging="425"/>
      </w:pPr>
      <w:rPr>
        <w:rFonts w:hint="default" w:ascii="宋体" w:hAnsi="宋体" w:eastAsia="宋体" w:cs="宋体"/>
        <w:sz w:val="21"/>
        <w:szCs w:val="21"/>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3">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4">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7">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0">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1">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3">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6">
    <w:nsid w:val="12B5088F"/>
    <w:multiLevelType w:val="multilevel"/>
    <w:tmpl w:val="12B5088F"/>
    <w:lvl w:ilvl="0" w:tentative="0">
      <w:start w:val="1"/>
      <w:numFmt w:val="decimal"/>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F8B137"/>
    <w:multiLevelType w:val="singleLevel"/>
    <w:tmpl w:val="72F8B137"/>
    <w:lvl w:ilvl="0" w:tentative="0">
      <w:start w:val="1"/>
      <w:numFmt w:val="decimal"/>
      <w:lvlText w:val="%1."/>
      <w:lvlJc w:val="left"/>
      <w:pPr>
        <w:ind w:left="425" w:hanging="425"/>
      </w:pPr>
      <w:rPr>
        <w:rFonts w:hint="default"/>
      </w:rPr>
    </w:lvl>
  </w:abstractNum>
  <w:num w:numId="1">
    <w:abstractNumId w:val="11"/>
  </w:num>
  <w:num w:numId="2">
    <w:abstractNumId w:val="20"/>
  </w:num>
  <w:num w:numId="3">
    <w:abstractNumId w:val="9"/>
  </w:num>
  <w:num w:numId="4">
    <w:abstractNumId w:val="19"/>
  </w:num>
  <w:num w:numId="5">
    <w:abstractNumId w:val="10"/>
  </w:num>
  <w:num w:numId="6">
    <w:abstractNumId w:val="17"/>
  </w:num>
  <w:num w:numId="7">
    <w:abstractNumId w:val="8"/>
  </w:num>
  <w:num w:numId="8">
    <w:abstractNumId w:val="6"/>
  </w:num>
  <w:num w:numId="9">
    <w:abstractNumId w:val="18"/>
  </w:num>
  <w:num w:numId="10">
    <w:abstractNumId w:val="12"/>
  </w:num>
  <w:num w:numId="11">
    <w:abstractNumId w:val="14"/>
  </w:num>
  <w:num w:numId="12">
    <w:abstractNumId w:val="15"/>
  </w:num>
  <w:num w:numId="13">
    <w:abstractNumId w:val="13"/>
  </w:num>
  <w:num w:numId="14">
    <w:abstractNumId w:val="2"/>
  </w:num>
  <w:num w:numId="15">
    <w:abstractNumId w:val="16"/>
  </w:num>
  <w:num w:numId="16">
    <w:abstractNumId w:val="0"/>
  </w:num>
  <w:num w:numId="17">
    <w:abstractNumId w:val="21"/>
  </w:num>
  <w:num w:numId="18">
    <w:abstractNumId w:val="1"/>
  </w:num>
  <w:num w:numId="19">
    <w:abstractNumId w:val="7"/>
  </w:num>
  <w:num w:numId="20">
    <w:abstractNumId w:val="4"/>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04244B"/>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970704"/>
    <w:rsid w:val="00A2454F"/>
    <w:rsid w:val="00A62462"/>
    <w:rsid w:val="00A741ED"/>
    <w:rsid w:val="00A90D7E"/>
    <w:rsid w:val="00AA1751"/>
    <w:rsid w:val="00AF4358"/>
    <w:rsid w:val="00B35248"/>
    <w:rsid w:val="00BB6EA9"/>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19D7E34"/>
    <w:rsid w:val="022F303B"/>
    <w:rsid w:val="047F71B0"/>
    <w:rsid w:val="0A560A40"/>
    <w:rsid w:val="115C6A77"/>
    <w:rsid w:val="12F55722"/>
    <w:rsid w:val="14442001"/>
    <w:rsid w:val="151F62A1"/>
    <w:rsid w:val="16F415D4"/>
    <w:rsid w:val="183A6D72"/>
    <w:rsid w:val="1A165567"/>
    <w:rsid w:val="21E078AF"/>
    <w:rsid w:val="25956469"/>
    <w:rsid w:val="2891360D"/>
    <w:rsid w:val="2AC61E4D"/>
    <w:rsid w:val="2BFB3D26"/>
    <w:rsid w:val="2DD97383"/>
    <w:rsid w:val="2FBE6265"/>
    <w:rsid w:val="343969A2"/>
    <w:rsid w:val="382E6C2E"/>
    <w:rsid w:val="3C7E335B"/>
    <w:rsid w:val="3E682B08"/>
    <w:rsid w:val="3E7404CD"/>
    <w:rsid w:val="42104915"/>
    <w:rsid w:val="437711A8"/>
    <w:rsid w:val="4627234D"/>
    <w:rsid w:val="47C36A0E"/>
    <w:rsid w:val="4A130F71"/>
    <w:rsid w:val="4B7778F3"/>
    <w:rsid w:val="4D0F2744"/>
    <w:rsid w:val="4E9D66F5"/>
    <w:rsid w:val="4ED44770"/>
    <w:rsid w:val="536873AD"/>
    <w:rsid w:val="59CA7788"/>
    <w:rsid w:val="5AE55038"/>
    <w:rsid w:val="605F5E18"/>
    <w:rsid w:val="627500D5"/>
    <w:rsid w:val="647B13A8"/>
    <w:rsid w:val="672B0CE6"/>
    <w:rsid w:val="6E4678CD"/>
    <w:rsid w:val="6FBB4290"/>
    <w:rsid w:val="718443CB"/>
    <w:rsid w:val="71BE59CD"/>
    <w:rsid w:val="73957960"/>
    <w:rsid w:val="73CB7772"/>
    <w:rsid w:val="75E4267A"/>
    <w:rsid w:val="75EB1D15"/>
    <w:rsid w:val="76FB48C2"/>
    <w:rsid w:val="78DE5607"/>
    <w:rsid w:val="7A196B3B"/>
    <w:rsid w:val="7BCC3B2D"/>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Lines="100" w:after="100" w:afterLines="100"/>
      <w:ind w:firstLine="0" w:firstLineChars="0"/>
      <w:jc w:val="center"/>
      <w:outlineLvl w:val="0"/>
    </w:pPr>
    <w:rPr>
      <w:b/>
      <w:bCs/>
      <w:kern w:val="44"/>
      <w:sz w:val="44"/>
      <w:szCs w:val="44"/>
    </w:rPr>
  </w:style>
  <w:style w:type="paragraph" w:styleId="4">
    <w:name w:val="heading 2"/>
    <w:basedOn w:val="1"/>
    <w:next w:val="1"/>
    <w:autoRedefine/>
    <w:qFormat/>
    <w:uiPriority w:val="9"/>
    <w:pPr>
      <w:spacing w:before="260" w:after="260" w:line="415" w:lineRule="auto"/>
      <w:ind w:firstLine="0"/>
      <w:outlineLvl w:val="1"/>
    </w:pPr>
    <w:rPr>
      <w:rFonts w:ascii="Cambria" w:hAnsi="Cambria" w:cs="宋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1"/>
    </w:rPr>
  </w:style>
  <w:style w:type="paragraph" w:styleId="5">
    <w:name w:val="toc 7"/>
    <w:basedOn w:val="1"/>
    <w:next w:val="1"/>
    <w:qFormat/>
    <w:uiPriority w:val="0"/>
    <w:pPr>
      <w:spacing w:line="240" w:lineRule="auto"/>
      <w:ind w:left="1260" w:firstLine="0"/>
      <w:jc w:val="left"/>
    </w:pPr>
    <w:rPr>
      <w:rFonts w:ascii="Calibri" w:hAnsi="Calibri" w:cs="Calibri"/>
      <w:sz w:val="18"/>
      <w:szCs w:val="18"/>
    </w:rPr>
  </w:style>
  <w:style w:type="paragraph" w:styleId="6">
    <w:name w:val="annotation text"/>
    <w:basedOn w:val="1"/>
    <w:link w:val="29"/>
    <w:qFormat/>
    <w:uiPriority w:val="99"/>
    <w:pPr>
      <w:jc w:val="left"/>
    </w:pPr>
  </w:style>
  <w:style w:type="paragraph" w:styleId="7">
    <w:name w:val="Body Text"/>
    <w:basedOn w:val="1"/>
    <w:link w:val="62"/>
    <w:autoRedefine/>
    <w:semiHidden/>
    <w:unhideWhenUsed/>
    <w:qFormat/>
    <w:uiPriority w:val="0"/>
    <w:pPr>
      <w:keepNext w:val="0"/>
      <w:keepLines w:val="0"/>
      <w:widowControl w:val="0"/>
      <w:suppressLineNumbers w:val="0"/>
      <w:spacing w:before="0" w:beforeAutospacing="0" w:after="120" w:afterAutospacing="0" w:line="60" w:lineRule="auto"/>
      <w:ind w:left="0" w:right="0" w:firstLine="482"/>
      <w:jc w:val="both"/>
    </w:pPr>
    <w:rPr>
      <w:rFonts w:hint="default" w:ascii="Times New Roman" w:hAnsi="Times New Roman" w:eastAsia="宋体" w:cs="Times New Roman"/>
      <w:kern w:val="2"/>
      <w:sz w:val="21"/>
      <w:szCs w:val="24"/>
      <w:lang w:val="en-US" w:eastAsia="zh-CN" w:bidi="ar"/>
    </w:rPr>
  </w:style>
  <w:style w:type="paragraph" w:styleId="8">
    <w:name w:val="Plain Text"/>
    <w:basedOn w:val="1"/>
    <w:link w:val="36"/>
    <w:autoRedefine/>
    <w:qFormat/>
    <w:uiPriority w:val="99"/>
    <w:pPr>
      <w:spacing w:line="240" w:lineRule="auto"/>
      <w:ind w:firstLine="0"/>
    </w:pPr>
    <w:rPr>
      <w:rFonts w:ascii="宋体" w:hAnsi="Courier New"/>
      <w:kern w:val="0"/>
      <w:sz w:val="20"/>
      <w:szCs w:val="21"/>
    </w:rPr>
  </w:style>
  <w:style w:type="paragraph" w:styleId="9">
    <w:name w:val="Balloon Text"/>
    <w:basedOn w:val="1"/>
    <w:link w:val="37"/>
    <w:autoRedefine/>
    <w:qFormat/>
    <w:uiPriority w:val="0"/>
    <w:pPr>
      <w:spacing w:line="240" w:lineRule="auto"/>
    </w:pPr>
    <w:rPr>
      <w:sz w:val="18"/>
      <w:szCs w:val="18"/>
    </w:rPr>
  </w:style>
  <w:style w:type="paragraph" w:styleId="10">
    <w:name w:val="footer"/>
    <w:basedOn w:val="1"/>
    <w:link w:val="57"/>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autoRedefine/>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3">
    <w:name w:val="Title"/>
    <w:basedOn w:val="1"/>
    <w:next w:val="1"/>
    <w:link w:val="48"/>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4">
    <w:name w:val="annotation subject"/>
    <w:basedOn w:val="6"/>
    <w:next w:val="6"/>
    <w:link w:val="30"/>
    <w:qFormat/>
    <w:uiPriority w:val="99"/>
    <w:rPr>
      <w:b/>
      <w:bCs/>
    </w:rPr>
  </w:style>
  <w:style w:type="table" w:styleId="16">
    <w:name w:val="Table Grid"/>
    <w:basedOn w:val="15"/>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autoRedefine/>
    <w:qFormat/>
    <w:uiPriority w:val="22"/>
    <w:rPr>
      <w:b/>
      <w:bCs/>
    </w:rPr>
  </w:style>
  <w:style w:type="character" w:styleId="19">
    <w:name w:val="Emphasis"/>
    <w:basedOn w:val="17"/>
    <w:autoRedefine/>
    <w:qFormat/>
    <w:uiPriority w:val="0"/>
    <w:rPr>
      <w:i/>
    </w:rPr>
  </w:style>
  <w:style w:type="character" w:styleId="20">
    <w:name w:val="Hyperlink"/>
    <w:basedOn w:val="17"/>
    <w:autoRedefine/>
    <w:qFormat/>
    <w:uiPriority w:val="0"/>
    <w:rPr>
      <w:color w:val="0563C1"/>
      <w:u w:val="single"/>
    </w:rPr>
  </w:style>
  <w:style w:type="character" w:styleId="21">
    <w:name w:val="annotation reference"/>
    <w:basedOn w:val="17"/>
    <w:autoRedefine/>
    <w:qFormat/>
    <w:uiPriority w:val="99"/>
    <w:rPr>
      <w:sz w:val="21"/>
      <w:szCs w:val="21"/>
    </w:rPr>
  </w:style>
  <w:style w:type="paragraph" w:customStyle="1" w:styleId="22">
    <w:name w:val="列出段落1"/>
    <w:basedOn w:val="1"/>
    <w:link w:val="32"/>
    <w:autoRedefine/>
    <w:qFormat/>
    <w:uiPriority w:val="34"/>
    <w:pPr>
      <w:ind w:firstLine="420" w:firstLineChars="200"/>
    </w:pPr>
  </w:style>
  <w:style w:type="paragraph" w:customStyle="1" w:styleId="23">
    <w:name w:val="pf0"/>
    <w:basedOn w:val="1"/>
    <w:autoRedefine/>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4">
    <w:name w:val="cf01"/>
    <w:basedOn w:val="17"/>
    <w:autoRedefine/>
    <w:qFormat/>
    <w:uiPriority w:val="0"/>
    <w:rPr>
      <w:rFonts w:hint="eastAsia" w:ascii="Microsoft YaHei UI" w:hAnsi="Microsoft YaHei UI" w:eastAsia="Microsoft YaHei UI"/>
      <w:sz w:val="18"/>
      <w:szCs w:val="18"/>
    </w:rPr>
  </w:style>
  <w:style w:type="character" w:customStyle="1" w:styleId="25">
    <w:name w:val="页眉 字符"/>
    <w:basedOn w:val="17"/>
    <w:link w:val="11"/>
    <w:autoRedefine/>
    <w:qFormat/>
    <w:uiPriority w:val="0"/>
    <w:rPr>
      <w:kern w:val="2"/>
      <w:sz w:val="18"/>
      <w:szCs w:val="18"/>
    </w:rPr>
  </w:style>
  <w:style w:type="character" w:customStyle="1" w:styleId="26">
    <w:name w:val="font01"/>
    <w:basedOn w:val="17"/>
    <w:autoRedefine/>
    <w:qFormat/>
    <w:uiPriority w:val="0"/>
    <w:rPr>
      <w:rFonts w:hint="eastAsia" w:ascii="宋体" w:hAnsi="宋体" w:eastAsia="宋体" w:cs="宋体"/>
      <w:color w:val="000000"/>
      <w:sz w:val="24"/>
      <w:szCs w:val="24"/>
      <w:u w:val="none"/>
    </w:rPr>
  </w:style>
  <w:style w:type="character" w:customStyle="1" w:styleId="27">
    <w:name w:val="font11"/>
    <w:basedOn w:val="17"/>
    <w:autoRedefine/>
    <w:qFormat/>
    <w:uiPriority w:val="0"/>
    <w:rPr>
      <w:rFonts w:hint="eastAsia" w:ascii="宋体" w:hAnsi="宋体" w:eastAsia="宋体" w:cs="宋体"/>
      <w:color w:val="000000"/>
      <w:sz w:val="24"/>
      <w:szCs w:val="24"/>
      <w:u w:val="none"/>
      <w:vertAlign w:val="superscript"/>
    </w:rPr>
  </w:style>
  <w:style w:type="paragraph" w:customStyle="1" w:styleId="2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批注文字 字符"/>
    <w:basedOn w:val="17"/>
    <w:link w:val="6"/>
    <w:autoRedefine/>
    <w:qFormat/>
    <w:uiPriority w:val="99"/>
    <w:rPr>
      <w:kern w:val="2"/>
      <w:sz w:val="21"/>
      <w:szCs w:val="24"/>
    </w:rPr>
  </w:style>
  <w:style w:type="character" w:customStyle="1" w:styleId="30">
    <w:name w:val="批注主题 字符"/>
    <w:basedOn w:val="29"/>
    <w:link w:val="14"/>
    <w:autoRedefine/>
    <w:qFormat/>
    <w:uiPriority w:val="99"/>
    <w:rPr>
      <w:b/>
      <w:bCs/>
      <w:kern w:val="2"/>
      <w:sz w:val="21"/>
      <w:szCs w:val="24"/>
    </w:rPr>
  </w:style>
  <w:style w:type="character" w:customStyle="1" w:styleId="31">
    <w:name w:val="cf11"/>
    <w:basedOn w:val="17"/>
    <w:autoRedefine/>
    <w:qFormat/>
    <w:uiPriority w:val="0"/>
    <w:rPr>
      <w:rFonts w:hint="eastAsia" w:ascii="Microsoft YaHei UI" w:hAnsi="Microsoft YaHei UI" w:eastAsia="Microsoft YaHei UI"/>
      <w:sz w:val="18"/>
      <w:szCs w:val="18"/>
    </w:rPr>
  </w:style>
  <w:style w:type="character" w:customStyle="1" w:styleId="32">
    <w:name w:val="列出段落 Char1"/>
    <w:link w:val="22"/>
    <w:autoRedefine/>
    <w:qFormat/>
    <w:uiPriority w:val="99"/>
    <w:rPr>
      <w:kern w:val="2"/>
      <w:sz w:val="21"/>
      <w:szCs w:val="24"/>
    </w:rPr>
  </w:style>
  <w:style w:type="character" w:customStyle="1" w:styleId="33">
    <w:name w:val="列出段落 Char"/>
    <w:link w:val="34"/>
    <w:qFormat/>
    <w:uiPriority w:val="99"/>
    <w:rPr>
      <w:kern w:val="2"/>
      <w:sz w:val="21"/>
      <w:szCs w:val="24"/>
    </w:rPr>
  </w:style>
  <w:style w:type="paragraph" w:customStyle="1" w:styleId="34">
    <w:name w:val="_Style 27"/>
    <w:basedOn w:val="1"/>
    <w:next w:val="22"/>
    <w:link w:val="33"/>
    <w:autoRedefine/>
    <w:qFormat/>
    <w:uiPriority w:val="34"/>
    <w:pPr>
      <w:spacing w:line="240" w:lineRule="auto"/>
      <w:ind w:firstLine="420" w:firstLineChars="200"/>
    </w:pPr>
  </w:style>
  <w:style w:type="character" w:customStyle="1" w:styleId="35">
    <w:name w:val="未处理的提及1"/>
    <w:basedOn w:val="17"/>
    <w:autoRedefine/>
    <w:qFormat/>
    <w:uiPriority w:val="99"/>
    <w:rPr>
      <w:color w:val="605E5C"/>
      <w:shd w:val="clear" w:color="auto" w:fill="E1DFDD"/>
    </w:rPr>
  </w:style>
  <w:style w:type="character" w:customStyle="1" w:styleId="36">
    <w:name w:val="纯文本 字符"/>
    <w:basedOn w:val="17"/>
    <w:link w:val="8"/>
    <w:autoRedefine/>
    <w:qFormat/>
    <w:uiPriority w:val="99"/>
    <w:rPr>
      <w:rFonts w:ascii="宋体" w:hAnsi="Courier New"/>
      <w:szCs w:val="21"/>
    </w:rPr>
  </w:style>
  <w:style w:type="character" w:customStyle="1" w:styleId="37">
    <w:name w:val="批注框文本 字符"/>
    <w:basedOn w:val="17"/>
    <w:link w:val="9"/>
    <w:autoRedefine/>
    <w:qFormat/>
    <w:uiPriority w:val="0"/>
    <w:rPr>
      <w:kern w:val="2"/>
      <w:sz w:val="18"/>
      <w:szCs w:val="18"/>
    </w:rPr>
  </w:style>
  <w:style w:type="paragraph" w:customStyle="1" w:styleId="38">
    <w:name w:val="列表段落1"/>
    <w:basedOn w:val="1"/>
    <w:qFormat/>
    <w:uiPriority w:val="0"/>
    <w:pPr>
      <w:spacing w:line="240" w:lineRule="auto"/>
      <w:ind w:firstLine="420" w:firstLineChars="200"/>
    </w:pPr>
    <w:rPr>
      <w:rFonts w:ascii="Calibri" w:hAnsi="Calibri"/>
    </w:rPr>
  </w:style>
  <w:style w:type="character" w:customStyle="1" w:styleId="39">
    <w:name w:val="列表段落 字符2"/>
    <w:qFormat/>
    <w:uiPriority w:val="99"/>
  </w:style>
  <w:style w:type="table" w:customStyle="1" w:styleId="40">
    <w:name w:val="网格型1"/>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_Style 36"/>
    <w:basedOn w:val="1"/>
    <w:next w:val="22"/>
    <w:autoRedefine/>
    <w:qFormat/>
    <w:uiPriority w:val="34"/>
    <w:pPr>
      <w:spacing w:line="240" w:lineRule="auto"/>
      <w:ind w:firstLine="420" w:firstLineChars="200"/>
    </w:pPr>
  </w:style>
  <w:style w:type="character" w:customStyle="1" w:styleId="42">
    <w:name w:val="font61"/>
    <w:basedOn w:val="17"/>
    <w:qFormat/>
    <w:uiPriority w:val="0"/>
    <w:rPr>
      <w:rFonts w:hint="eastAsia" w:ascii="宋体" w:hAnsi="宋体" w:eastAsia="宋体" w:cs="宋体"/>
      <w:color w:val="000000"/>
      <w:sz w:val="20"/>
      <w:szCs w:val="20"/>
      <w:u w:val="none"/>
    </w:rPr>
  </w:style>
  <w:style w:type="character" w:customStyle="1" w:styleId="43">
    <w:name w:val="纯文本 Char1"/>
    <w:autoRedefine/>
    <w:qFormat/>
    <w:uiPriority w:val="0"/>
    <w:rPr>
      <w:rFonts w:ascii="宋体" w:hAnsi="Courier New" w:eastAsia="宋体" w:cs="Courier New"/>
      <w:szCs w:val="21"/>
    </w:rPr>
  </w:style>
  <w:style w:type="paragraph" w:customStyle="1" w:styleId="44">
    <w:name w:val="_Style 41"/>
    <w:basedOn w:val="1"/>
    <w:next w:val="1"/>
    <w:autoRedefine/>
    <w:qFormat/>
    <w:uiPriority w:val="34"/>
    <w:pPr>
      <w:spacing w:line="240" w:lineRule="auto"/>
      <w:ind w:firstLine="420" w:firstLineChars="200"/>
    </w:pPr>
    <w:rPr>
      <w:rFonts w:ascii="Calibri" w:hAnsi="Calibri" w:eastAsiaTheme="minorEastAsia" w:cstheme="minorBidi"/>
      <w:szCs w:val="22"/>
    </w:rPr>
  </w:style>
  <w:style w:type="paragraph" w:customStyle="1" w:styleId="45">
    <w:name w:val="列出段落11"/>
    <w:basedOn w:val="1"/>
    <w:autoRedefine/>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6">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标题 字符"/>
    <w:basedOn w:val="17"/>
    <w:link w:val="13"/>
    <w:autoRedefine/>
    <w:qFormat/>
    <w:uiPriority w:val="0"/>
    <w:rPr>
      <w:rFonts w:ascii="Cambria" w:hAnsi="Cambria"/>
      <w:b/>
      <w:bCs/>
      <w:sz w:val="32"/>
      <w:szCs w:val="32"/>
    </w:rPr>
  </w:style>
  <w:style w:type="paragraph" w:customStyle="1" w:styleId="49">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0">
    <w:name w:val="纯文本 字符1"/>
    <w:autoRedefine/>
    <w:qFormat/>
    <w:uiPriority w:val="99"/>
    <w:rPr>
      <w:rFonts w:ascii="宋体" w:hAnsi="Courier New" w:eastAsia="宋体" w:cs="Times New Roman"/>
      <w:kern w:val="0"/>
      <w:sz w:val="20"/>
      <w:szCs w:val="21"/>
    </w:rPr>
  </w:style>
  <w:style w:type="paragraph" w:customStyle="1" w:styleId="51">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3">
    <w:name w:val="red1"/>
    <w:autoRedefine/>
    <w:qFormat/>
    <w:uiPriority w:val="0"/>
    <w:rPr>
      <w:color w:val="FF0000"/>
    </w:rPr>
  </w:style>
  <w:style w:type="paragraph" w:styleId="54">
    <w:name w:val="List Paragraph"/>
    <w:basedOn w:val="1"/>
    <w:qFormat/>
    <w:uiPriority w:val="99"/>
    <w:pPr>
      <w:ind w:firstLine="420" w:firstLineChars="200"/>
    </w:pPr>
    <w:rPr>
      <w:lang w:val="zh-CN"/>
    </w:rPr>
  </w:style>
  <w:style w:type="paragraph" w:customStyle="1" w:styleId="55">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_Style 121"/>
    <w:basedOn w:val="1"/>
    <w:next w:val="54"/>
    <w:qFormat/>
    <w:uiPriority w:val="34"/>
    <w:pPr>
      <w:spacing w:line="240" w:lineRule="auto"/>
      <w:ind w:firstLine="420" w:firstLineChars="200"/>
    </w:pPr>
    <w:rPr>
      <w:rFonts w:ascii="Calibri" w:hAnsi="Calibri"/>
      <w:szCs w:val="22"/>
    </w:rPr>
  </w:style>
  <w:style w:type="character" w:customStyle="1" w:styleId="57">
    <w:name w:val="页脚 字符"/>
    <w:basedOn w:val="17"/>
    <w:link w:val="10"/>
    <w:autoRedefine/>
    <w:qFormat/>
    <w:uiPriority w:val="99"/>
    <w:rPr>
      <w:kern w:val="2"/>
      <w:sz w:val="18"/>
      <w:szCs w:val="18"/>
    </w:rPr>
  </w:style>
  <w:style w:type="paragraph" w:customStyle="1" w:styleId="58">
    <w:name w:val="列出段落"/>
    <w:basedOn w:val="1"/>
    <w:qFormat/>
    <w:uiPriority w:val="0"/>
    <w:pPr>
      <w:ind w:firstLine="420" w:firstLineChars="200"/>
    </w:pPr>
    <w:rPr>
      <w:szCs w:val="21"/>
    </w:rPr>
  </w:style>
  <w:style w:type="character" w:customStyle="1" w:styleId="59">
    <w:name w:val="font21"/>
    <w:basedOn w:val="17"/>
    <w:autoRedefine/>
    <w:qFormat/>
    <w:uiPriority w:val="0"/>
    <w:rPr>
      <w:rFonts w:ascii="Arial" w:hAnsi="Arial" w:cs="Arial"/>
      <w:color w:val="000000"/>
      <w:sz w:val="18"/>
      <w:szCs w:val="18"/>
      <w:u w:val="none"/>
    </w:rPr>
  </w:style>
  <w:style w:type="paragraph" w:customStyle="1" w:styleId="60">
    <w:name w:val="List Paragraph1"/>
    <w:basedOn w:val="1"/>
    <w:autoRedefine/>
    <w:qFormat/>
    <w:uiPriority w:val="0"/>
    <w:pPr>
      <w:spacing w:line="240" w:lineRule="auto"/>
      <w:ind w:firstLine="420" w:firstLineChars="200"/>
    </w:pPr>
    <w:rPr>
      <w:rFonts w:ascii="Calibri" w:hAnsi="Calibri"/>
      <w:szCs w:val="21"/>
    </w:rPr>
  </w:style>
  <w:style w:type="character" w:customStyle="1" w:styleId="61">
    <w:name w:val="15"/>
    <w:basedOn w:val="17"/>
    <w:autoRedefine/>
    <w:qFormat/>
    <w:uiPriority w:val="0"/>
    <w:rPr>
      <w:rFonts w:hint="default" w:ascii="Times New Roman" w:hAnsi="Times New Roman" w:cs="Times New Roman"/>
      <w:b/>
      <w:bCs/>
    </w:rPr>
  </w:style>
  <w:style w:type="character" w:customStyle="1" w:styleId="62">
    <w:name w:val="正文文本 字符"/>
    <w:basedOn w:val="17"/>
    <w:link w:val="7"/>
    <w:uiPriority w:val="0"/>
    <w:rPr>
      <w:kern w:val="2"/>
      <w:sz w:val="21"/>
      <w:szCs w:val="24"/>
    </w:rPr>
  </w:style>
  <w:style w:type="paragraph" w:customStyle="1" w:styleId="63">
    <w:name w:val="msolistparagraph"/>
    <w:basedOn w:val="1"/>
    <w:autoRedefine/>
    <w:qFormat/>
    <w:uiPriority w:val="0"/>
    <w:pPr>
      <w:keepNext w:val="0"/>
      <w:keepLines w:val="0"/>
      <w:widowControl w:val="0"/>
      <w:suppressLineNumbers w:val="0"/>
      <w:spacing w:before="0" w:beforeAutospacing="0" w:after="0" w:afterAutospacing="0" w:line="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64">
    <w:name w:val="列表段落 字符"/>
    <w:basedOn w:val="17"/>
    <w:autoRedefine/>
    <w:qFormat/>
    <w:uiPriority w:val="0"/>
    <w:rPr>
      <w:kern w:val="2"/>
      <w:sz w:val="21"/>
      <w:szCs w:val="24"/>
    </w:rPr>
  </w:style>
  <w:style w:type="paragraph" w:customStyle="1" w:styleId="65">
    <w:name w:val="正文 New New New New New"/>
    <w:basedOn w:val="66"/>
    <w:autoRedefine/>
    <w:qFormat/>
    <w:uiPriority w:val="0"/>
    <w:rPr>
      <w:szCs w:val="21"/>
    </w:rPr>
  </w:style>
  <w:style w:type="paragraph" w:customStyle="1" w:styleId="66">
    <w:name w:val="正文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16</Pages>
  <Words>1356</Words>
  <Characters>7734</Characters>
  <Lines>1</Lines>
  <Paragraphs>1</Paragraphs>
  <TotalTime>28</TotalTime>
  <ScaleCrop>false</ScaleCrop>
  <LinksUpToDate>false</LinksUpToDate>
  <CharactersWithSpaces>9072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代理机构</cp:lastModifiedBy>
  <dcterms:modified xsi:type="dcterms:W3CDTF">2024-05-08T01:24:26Z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EB9BCAA8F56F43A58AE045E4A3F22580_13</vt:lpwstr>
  </property>
</Properties>
</file>