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b/>
          <w:sz w:val="84"/>
          <w:szCs w:val="84"/>
        </w:rPr>
      </w:pPr>
      <w:bookmarkStart w:id="0" w:name="_Toc512613206"/>
      <w:bookmarkStart w:id="1" w:name="_Toc502845064"/>
    </w:p>
    <w:p>
      <w:pPr>
        <w:snapToGrid w:val="0"/>
        <w:spacing w:before="156" w:beforeLines="50"/>
        <w:jc w:val="center"/>
        <w:rPr>
          <w:rFonts w:ascii="宋体" w:hAnsi="宋体"/>
          <w:b/>
          <w:sz w:val="84"/>
          <w:szCs w:val="84"/>
        </w:rPr>
      </w:pPr>
    </w:p>
    <w:p>
      <w:pPr>
        <w:snapToGrid w:val="0"/>
        <w:spacing w:before="156" w:beforeLines="50"/>
        <w:jc w:val="center"/>
        <w:rPr>
          <w:rFonts w:ascii="仿宋_GB2312" w:hAnsi="仿宋_GB2312"/>
          <w:b/>
          <w:bCs/>
          <w:sz w:val="84"/>
          <w:szCs w:val="84"/>
        </w:rPr>
      </w:pPr>
      <w:r>
        <w:rPr>
          <w:rFonts w:hint="eastAsia" w:ascii="宋体" w:hAnsi="宋体"/>
          <w:b/>
          <w:sz w:val="84"/>
          <w:szCs w:val="84"/>
        </w:rPr>
        <w:t>竞价文件</w:t>
      </w:r>
    </w:p>
    <w:p>
      <w:pPr>
        <w:spacing w:line="360" w:lineRule="auto"/>
        <w:jc w:val="center"/>
        <w:rPr>
          <w:rFonts w:ascii="宋体" w:hAnsi="宋体"/>
          <w:b/>
          <w:bCs/>
          <w:sz w:val="24"/>
          <w:szCs w:val="24"/>
        </w:rPr>
      </w:pPr>
    </w:p>
    <w:p>
      <w:pPr>
        <w:spacing w:line="360" w:lineRule="auto"/>
        <w:rPr>
          <w:rFonts w:ascii="华文中宋" w:hAnsi="华文中宋" w:eastAsia="华文中宋"/>
          <w:sz w:val="30"/>
          <w:szCs w:val="30"/>
        </w:rPr>
      </w:pPr>
    </w:p>
    <w:p>
      <w:pPr>
        <w:spacing w:line="360" w:lineRule="auto"/>
        <w:rPr>
          <w:rFonts w:ascii="华文中宋" w:hAnsi="华文中宋" w:eastAsia="华文中宋"/>
          <w:sz w:val="30"/>
          <w:szCs w:val="30"/>
        </w:rPr>
      </w:pPr>
    </w:p>
    <w:p>
      <w:pPr>
        <w:spacing w:line="360" w:lineRule="auto"/>
        <w:rPr>
          <w:rFonts w:ascii="华文中宋" w:hAnsi="华文中宋" w:eastAsia="华文中宋"/>
          <w:sz w:val="30"/>
          <w:szCs w:val="30"/>
        </w:rPr>
      </w:pPr>
    </w:p>
    <w:p>
      <w:pPr>
        <w:spacing w:line="360" w:lineRule="auto"/>
        <w:rPr>
          <w:rFonts w:ascii="仿宋_GB2312" w:hAnsi="仿宋_GB2312"/>
          <w:b/>
          <w:bCs/>
          <w:sz w:val="28"/>
          <w:szCs w:val="32"/>
        </w:rPr>
      </w:pPr>
      <w:r>
        <w:rPr>
          <w:rFonts w:ascii="仿宋_GB2312" w:hAnsi="仿宋_GB2312"/>
          <w:b/>
          <w:bCs/>
          <w:sz w:val="28"/>
          <w:szCs w:val="32"/>
        </w:rPr>
        <w:t>竞价方式：</w:t>
      </w:r>
      <w:r>
        <w:rPr>
          <w:rFonts w:hint="eastAsia" w:ascii="仿宋_GB2312" w:hAnsi="仿宋_GB2312"/>
          <w:b/>
          <w:bCs/>
          <w:sz w:val="28"/>
          <w:szCs w:val="32"/>
        </w:rPr>
        <w:t>线上</w:t>
      </w:r>
      <w:r>
        <w:rPr>
          <w:rFonts w:ascii="仿宋_GB2312" w:hAnsi="仿宋_GB2312"/>
          <w:b/>
          <w:bCs/>
          <w:sz w:val="28"/>
          <w:szCs w:val="32"/>
        </w:rPr>
        <w:t>竞价</w:t>
      </w:r>
    </w:p>
    <w:p>
      <w:pPr>
        <w:autoSpaceDE w:val="0"/>
        <w:autoSpaceDN w:val="0"/>
        <w:adjustRightInd w:val="0"/>
        <w:snapToGrid w:val="0"/>
        <w:spacing w:line="360" w:lineRule="auto"/>
        <w:ind w:left="3092" w:hanging="3092" w:hangingChars="1100"/>
        <w:rPr>
          <w:rFonts w:ascii="仿宋_GB2312" w:hAnsi="仿宋_GB2312"/>
          <w:b/>
          <w:bCs/>
          <w:sz w:val="28"/>
          <w:szCs w:val="32"/>
        </w:rPr>
      </w:pPr>
      <w:r>
        <w:rPr>
          <w:rFonts w:ascii="仿宋_GB2312" w:hAnsi="仿宋_GB2312"/>
          <w:b/>
          <w:bCs/>
          <w:sz w:val="28"/>
          <w:szCs w:val="32"/>
        </w:rPr>
        <w:t>项目</w:t>
      </w:r>
      <w:r>
        <w:rPr>
          <w:rFonts w:hint="eastAsia" w:ascii="仿宋_GB2312" w:hAnsi="仿宋_GB2312"/>
          <w:b/>
          <w:bCs/>
          <w:sz w:val="28"/>
          <w:szCs w:val="32"/>
        </w:rPr>
        <w:t>名称</w:t>
      </w:r>
      <w:r>
        <w:rPr>
          <w:rFonts w:ascii="仿宋_GB2312" w:hAnsi="仿宋_GB2312"/>
          <w:b/>
          <w:bCs/>
          <w:sz w:val="28"/>
          <w:szCs w:val="32"/>
        </w:rPr>
        <w:t>：</w:t>
      </w:r>
      <w:r>
        <w:rPr>
          <w:rFonts w:hint="eastAsia" w:ascii="宋体" w:hAnsi="宋体"/>
          <w:b/>
          <w:bCs/>
          <w:sz w:val="28"/>
          <w:szCs w:val="32"/>
        </w:rPr>
        <w:t>江门绿源环保有限公司工业用废油脂购销项目（2024年第</w:t>
      </w:r>
      <w:r>
        <w:rPr>
          <w:rFonts w:hint="eastAsia" w:ascii="宋体" w:hAnsi="宋体"/>
          <w:b/>
          <w:bCs/>
          <w:sz w:val="28"/>
          <w:szCs w:val="32"/>
          <w:lang w:val="en-US" w:eastAsia="zh-CN"/>
        </w:rPr>
        <w:t>2</w:t>
      </w:r>
      <w:r>
        <w:rPr>
          <w:rFonts w:hint="eastAsia" w:ascii="宋体" w:hAnsi="宋体"/>
          <w:b/>
          <w:bCs/>
          <w:sz w:val="28"/>
          <w:szCs w:val="32"/>
        </w:rPr>
        <w:t>期）</w:t>
      </w:r>
    </w:p>
    <w:p>
      <w:pPr>
        <w:snapToGrid w:val="0"/>
        <w:spacing w:before="156" w:beforeLines="50" w:after="156" w:afterLines="50" w:line="360" w:lineRule="auto"/>
        <w:jc w:val="center"/>
        <w:rPr>
          <w:rFonts w:ascii="黑体" w:hAnsi="华文中宋" w:eastAsia="黑体" w:cs="华文中宋"/>
          <w:sz w:val="30"/>
          <w:szCs w:val="30"/>
        </w:rPr>
      </w:pPr>
    </w:p>
    <w:p>
      <w:pPr>
        <w:autoSpaceDE w:val="0"/>
        <w:autoSpaceDN w:val="0"/>
        <w:adjustRightInd w:val="0"/>
        <w:snapToGrid w:val="0"/>
        <w:spacing w:before="156" w:beforeLines="50" w:after="156" w:afterLines="50" w:line="360" w:lineRule="auto"/>
        <w:jc w:val="center"/>
        <w:rPr>
          <w:rFonts w:ascii="黑体" w:hAnsi="华文中宋" w:eastAsia="黑体" w:cs="华文中宋"/>
          <w:kern w:val="0"/>
          <w:sz w:val="30"/>
          <w:szCs w:val="30"/>
        </w:rPr>
      </w:pPr>
    </w:p>
    <w:p>
      <w:pPr>
        <w:autoSpaceDE w:val="0"/>
        <w:autoSpaceDN w:val="0"/>
        <w:adjustRightInd w:val="0"/>
        <w:snapToGrid w:val="0"/>
        <w:spacing w:before="156" w:beforeLines="50" w:after="156" w:afterLines="50" w:line="360" w:lineRule="auto"/>
        <w:jc w:val="left"/>
        <w:rPr>
          <w:rFonts w:ascii="黑体" w:hAnsi="华文中宋" w:eastAsia="黑体" w:cs="华文中宋"/>
          <w:kern w:val="0"/>
          <w:sz w:val="30"/>
          <w:szCs w:val="30"/>
        </w:rPr>
      </w:pPr>
    </w:p>
    <w:p>
      <w:pPr>
        <w:autoSpaceDE w:val="0"/>
        <w:autoSpaceDN w:val="0"/>
        <w:adjustRightInd w:val="0"/>
        <w:snapToGrid w:val="0"/>
        <w:spacing w:line="360" w:lineRule="auto"/>
        <w:ind w:left="420" w:firstLine="420"/>
        <w:jc w:val="center"/>
        <w:rPr>
          <w:rFonts w:ascii="宋体" w:hAnsi="宋体"/>
          <w:b/>
          <w:bCs/>
          <w:sz w:val="28"/>
          <w:szCs w:val="32"/>
        </w:rPr>
      </w:pPr>
      <w:r>
        <w:rPr>
          <w:rFonts w:hint="eastAsia" w:ascii="宋体" w:hAnsi="宋体"/>
          <w:b/>
          <w:bCs/>
          <w:sz w:val="28"/>
          <w:szCs w:val="32"/>
        </w:rPr>
        <w:t>江门绿源环保有限公司</w:t>
      </w:r>
    </w:p>
    <w:p>
      <w:pPr>
        <w:autoSpaceDE w:val="0"/>
        <w:autoSpaceDN w:val="0"/>
        <w:adjustRightInd w:val="0"/>
        <w:snapToGrid w:val="0"/>
        <w:spacing w:line="360" w:lineRule="auto"/>
        <w:ind w:left="420" w:firstLine="420"/>
        <w:jc w:val="center"/>
        <w:rPr>
          <w:rFonts w:ascii="仿宋_GB2312" w:hAnsi="仿宋_GB2312"/>
          <w:b/>
          <w:bCs/>
          <w:sz w:val="28"/>
          <w:szCs w:val="32"/>
        </w:rPr>
      </w:pPr>
      <w:r>
        <w:rPr>
          <w:rFonts w:hint="eastAsia" w:ascii="仿宋_GB2312" w:hAnsi="仿宋_GB2312"/>
          <w:b/>
          <w:bCs/>
          <w:sz w:val="28"/>
          <w:szCs w:val="32"/>
        </w:rPr>
        <w:t>云采链（广州）信息科技有限公司</w:t>
      </w:r>
    </w:p>
    <w:p>
      <w:pPr>
        <w:autoSpaceDE w:val="0"/>
        <w:autoSpaceDN w:val="0"/>
        <w:adjustRightInd w:val="0"/>
        <w:snapToGrid w:val="0"/>
        <w:spacing w:line="360" w:lineRule="auto"/>
        <w:ind w:left="420" w:firstLine="420"/>
        <w:jc w:val="center"/>
        <w:rPr>
          <w:rFonts w:ascii="仿宋_GB2312" w:hAnsi="仿宋_GB2312"/>
          <w:b/>
          <w:sz w:val="28"/>
        </w:rPr>
      </w:pPr>
      <w:r>
        <w:rPr>
          <w:rFonts w:hint="eastAsia" w:ascii="仿宋_GB2312" w:hAnsi="仿宋_GB2312"/>
          <w:b/>
          <w:sz w:val="28"/>
        </w:rPr>
        <w:t>二零二四年</w:t>
      </w:r>
      <w:r>
        <w:rPr>
          <w:rFonts w:hint="eastAsia" w:ascii="仿宋_GB2312" w:hAnsi="仿宋_GB2312"/>
          <w:b/>
          <w:sz w:val="28"/>
          <w:lang w:val="en-US" w:eastAsia="zh-CN"/>
        </w:rPr>
        <w:t>四</w:t>
      </w:r>
      <w:r>
        <w:rPr>
          <w:rFonts w:ascii="仿宋_GB2312" w:hAnsi="仿宋_GB2312"/>
          <w:b/>
          <w:sz w:val="28"/>
        </w:rPr>
        <w:t>月</w:t>
      </w:r>
    </w:p>
    <w:p>
      <w:pPr>
        <w:autoSpaceDE w:val="0"/>
        <w:autoSpaceDN w:val="0"/>
        <w:adjustRightInd w:val="0"/>
        <w:snapToGrid w:val="0"/>
        <w:spacing w:line="360" w:lineRule="auto"/>
        <w:ind w:left="420" w:firstLine="420"/>
        <w:jc w:val="center"/>
        <w:rPr>
          <w:rFonts w:ascii="仿宋_GB2312" w:hAnsi="仿宋_GB2312"/>
          <w:sz w:val="28"/>
        </w:rPr>
      </w:pPr>
    </w:p>
    <w:p>
      <w:pPr>
        <w:jc w:val="center"/>
        <w:outlineLvl w:val="0"/>
        <w:rPr>
          <w:rFonts w:ascii="Cambria" w:hAnsi="Cambria" w:cs="宋体"/>
          <w:b/>
          <w:bCs/>
          <w:kern w:val="0"/>
          <w:sz w:val="32"/>
          <w:szCs w:val="32"/>
        </w:rPr>
        <w:sectPr>
          <w:pgSz w:w="11906" w:h="16838"/>
          <w:pgMar w:top="1440" w:right="1134" w:bottom="1440" w:left="1134" w:header="851" w:footer="992" w:gutter="0"/>
          <w:pgNumType w:start="1"/>
          <w:cols w:space="425" w:num="1"/>
          <w:docGrid w:type="lines" w:linePitch="312" w:charSpace="0"/>
        </w:sectPr>
      </w:pPr>
    </w:p>
    <w:p>
      <w:pPr>
        <w:jc w:val="center"/>
        <w:outlineLvl w:val="0"/>
        <w:rPr>
          <w:rFonts w:ascii="Cambria" w:hAnsi="Cambria"/>
          <w:b/>
          <w:bCs/>
          <w:kern w:val="0"/>
          <w:sz w:val="32"/>
          <w:szCs w:val="32"/>
        </w:rPr>
      </w:pPr>
      <w:r>
        <w:rPr>
          <w:rFonts w:hint="eastAsia" w:ascii="Cambria" w:hAnsi="Cambria" w:cs="宋体"/>
          <w:b/>
          <w:bCs/>
          <w:kern w:val="0"/>
          <w:sz w:val="32"/>
          <w:szCs w:val="32"/>
        </w:rPr>
        <w:t>第一章竞价须知</w:t>
      </w:r>
    </w:p>
    <w:p>
      <w:pPr>
        <w:widowControl/>
        <w:numPr>
          <w:ilvl w:val="255"/>
          <w:numId w:val="0"/>
        </w:numPr>
        <w:spacing w:line="360" w:lineRule="auto"/>
        <w:ind w:left="0" w:firstLine="0"/>
        <w:jc w:val="left"/>
        <w:rPr>
          <w:rFonts w:ascii="宋体" w:hAnsi="宋体"/>
        </w:rPr>
      </w:pPr>
      <w:r>
        <w:rPr>
          <w:rFonts w:hint="eastAsia" w:ascii="宋体" w:hAnsi="宋体" w:cs="宋体"/>
        </w:rPr>
        <w:t>一、本项目发布于云采链线上竞价一体化平台</w:t>
      </w:r>
      <w:r>
        <w:rPr>
          <w:rFonts w:ascii="宋体" w:hAnsi="宋体" w:cs="宋体"/>
        </w:rPr>
        <w:t>http://www.choicelink.cn/</w:t>
      </w:r>
      <w:r>
        <w:rPr>
          <w:rFonts w:hint="eastAsia" w:ascii="宋体" w:hAnsi="宋体" w:cs="宋体"/>
        </w:rPr>
        <w:t>及中国招标投标公共服务平台</w:t>
      </w:r>
      <w:r>
        <w:rPr>
          <w:rFonts w:ascii="宋体" w:hAnsi="宋体" w:cs="宋体"/>
        </w:rPr>
        <w:t>http://www.cebpubservice.com/</w:t>
      </w:r>
      <w:r>
        <w:rPr>
          <w:rFonts w:hint="eastAsia" w:ascii="宋体" w:hAnsi="宋体" w:cs="宋体"/>
        </w:rPr>
        <w:t>，通过</w:t>
      </w:r>
      <w:bookmarkStart w:id="2" w:name="_Hlk141697171"/>
      <w:r>
        <w:rPr>
          <w:rFonts w:hint="eastAsia" w:ascii="宋体" w:hAnsi="宋体" w:cs="宋体"/>
        </w:rPr>
        <w:t>云采链线上竞价一体化平台</w:t>
      </w:r>
      <w:bookmarkEnd w:id="2"/>
      <w:r>
        <w:rPr>
          <w:rFonts w:hint="eastAsia" w:ascii="宋体" w:hAnsi="宋体" w:cs="宋体"/>
        </w:rPr>
        <w:t>进行竞价，参与竞价的竞价人必须登录云采链线上竞价一体化平台进行注册，注册成功后方可参与项目竞价。</w:t>
      </w:r>
    </w:p>
    <w:p>
      <w:pPr>
        <w:widowControl/>
        <w:numPr>
          <w:ilvl w:val="0"/>
          <w:numId w:val="2"/>
        </w:numPr>
        <w:spacing w:line="360" w:lineRule="auto"/>
        <w:jc w:val="left"/>
        <w:rPr>
          <w:rFonts w:ascii="宋体" w:hAnsi="宋体"/>
        </w:rPr>
      </w:pPr>
      <w:r>
        <w:rPr>
          <w:rFonts w:hint="eastAsia" w:ascii="宋体" w:hAnsi="宋体"/>
        </w:rPr>
        <w:t>语言要求</w:t>
      </w:r>
    </w:p>
    <w:p>
      <w:pPr>
        <w:widowControl/>
        <w:spacing w:line="360" w:lineRule="auto"/>
        <w:ind w:left="420"/>
        <w:jc w:val="left"/>
        <w:rPr>
          <w:rFonts w:ascii="宋体" w:hAnsi="宋体"/>
        </w:rPr>
      </w:pPr>
      <w:r>
        <w:rPr>
          <w:rFonts w:hint="eastAsia" w:ascii="宋体" w:hAnsi="宋体"/>
        </w:rPr>
        <w:t xml:space="preserve">竞价人提交的资料以及竞价人与出售方或代理机构就有关项目的所有来往函电均应使用中文书写。竞价人提交的文件或资料可以用另一种语言，但相应内容应附有中文翻译本，由翻译机构盖章或者翻译人员签名。两种语言不一致时以中文翻译本为准。   </w:t>
      </w:r>
    </w:p>
    <w:p>
      <w:pPr>
        <w:widowControl/>
        <w:numPr>
          <w:ilvl w:val="0"/>
          <w:numId w:val="2"/>
        </w:numPr>
        <w:spacing w:line="360" w:lineRule="auto"/>
        <w:jc w:val="left"/>
        <w:rPr>
          <w:rFonts w:ascii="宋体" w:hAnsi="宋体"/>
        </w:rPr>
      </w:pPr>
      <w:r>
        <w:rPr>
          <w:rFonts w:hint="eastAsia" w:ascii="宋体" w:hAnsi="宋体" w:cs="宋体"/>
        </w:rPr>
        <w:t>在云采链平台参与项目竞价后放弃成交资格超过三次（含三次）的竞价人连同该竞价人同一法人名下所有公司将被列入平台黑名单，永久不得参与平台的项目竞价。</w:t>
      </w:r>
    </w:p>
    <w:p>
      <w:pPr>
        <w:widowControl/>
        <w:numPr>
          <w:ilvl w:val="0"/>
          <w:numId w:val="2"/>
        </w:numPr>
        <w:spacing w:line="360" w:lineRule="auto"/>
        <w:jc w:val="left"/>
        <w:rPr>
          <w:rFonts w:ascii="宋体" w:hAnsi="宋体"/>
        </w:rPr>
      </w:pPr>
      <w:r>
        <w:rPr>
          <w:rFonts w:hint="eastAsia" w:ascii="宋体" w:hAnsi="宋体" w:cs="宋体"/>
        </w:rPr>
        <w:t>竞价须知</w:t>
      </w:r>
    </w:p>
    <w:p>
      <w:pPr>
        <w:widowControl/>
        <w:numPr>
          <w:ilvl w:val="0"/>
          <w:numId w:val="3"/>
        </w:numPr>
        <w:spacing w:line="360" w:lineRule="auto"/>
        <w:jc w:val="left"/>
        <w:rPr>
          <w:rFonts w:ascii="宋体" w:hAnsi="宋体"/>
          <w:b/>
          <w:bCs/>
        </w:rPr>
      </w:pPr>
      <w:r>
        <w:rPr>
          <w:rFonts w:hint="eastAsia" w:ascii="宋体" w:hAnsi="宋体" w:cs="宋体"/>
          <w:b/>
          <w:bCs/>
        </w:rPr>
        <w:t>竞价说明</w:t>
      </w:r>
    </w:p>
    <w:p>
      <w:pPr>
        <w:widowControl/>
        <w:numPr>
          <w:ilvl w:val="0"/>
          <w:numId w:val="4"/>
        </w:numPr>
        <w:spacing w:line="360" w:lineRule="auto"/>
        <w:ind w:left="420" w:firstLine="0"/>
        <w:jc w:val="left"/>
        <w:rPr>
          <w:rFonts w:ascii="宋体" w:hAnsi="宋体"/>
        </w:rPr>
      </w:pPr>
      <w:r>
        <w:rPr>
          <w:rFonts w:hint="eastAsia" w:ascii="宋体" w:hAnsi="宋体" w:cs="宋体"/>
        </w:rPr>
        <w:t>参与竞价的竞价人应承担所有与准备和参加竞价有关的费用，不</w:t>
      </w:r>
      <w:r>
        <w:rPr>
          <w:rFonts w:hint="eastAsia" w:ascii="宋体" w:hAnsi="宋体" w:cs="宋体"/>
          <w:lang w:eastAsia="zh-TW"/>
        </w:rPr>
        <w:t>论</w:t>
      </w:r>
      <w:r>
        <w:rPr>
          <w:rFonts w:hint="eastAsia" w:ascii="宋体" w:hAnsi="宋体" w:cs="宋体"/>
        </w:rPr>
        <w:t>竞价</w:t>
      </w:r>
      <w:r>
        <w:rPr>
          <w:rFonts w:hint="eastAsia" w:ascii="宋体" w:hAnsi="宋体" w:cs="宋体"/>
          <w:lang w:eastAsia="zh-TW"/>
        </w:rPr>
        <w:t>的结果如何</w:t>
      </w:r>
      <w:r>
        <w:rPr>
          <w:rFonts w:hint="eastAsia" w:ascii="宋体" w:hAnsi="宋体" w:cs="宋体"/>
        </w:rPr>
        <w:t>，出售方和</w:t>
      </w:r>
      <w:r>
        <w:rPr>
          <w:rFonts w:hint="eastAsia" w:ascii="宋体" w:hAnsi="宋体" w:cs="宋体"/>
          <w:lang w:eastAsia="zh-TW"/>
        </w:rPr>
        <w:t>代理机构</w:t>
      </w:r>
      <w:r>
        <w:rPr>
          <w:rFonts w:hint="eastAsia" w:ascii="宋体" w:hAnsi="宋体" w:cs="宋体"/>
        </w:rPr>
        <w:t>均</w:t>
      </w:r>
      <w:r>
        <w:rPr>
          <w:rFonts w:hint="eastAsia" w:ascii="宋体" w:hAnsi="宋体" w:cs="宋体"/>
          <w:lang w:eastAsia="zh-TW"/>
        </w:rPr>
        <w:t>无义务和责任承担这些费用</w:t>
      </w:r>
      <w:r>
        <w:rPr>
          <w:rFonts w:hint="eastAsia" w:ascii="宋体" w:hAnsi="宋体" w:cs="宋体"/>
        </w:rPr>
        <w:t>。</w:t>
      </w:r>
    </w:p>
    <w:p>
      <w:pPr>
        <w:widowControl/>
        <w:numPr>
          <w:ilvl w:val="0"/>
          <w:numId w:val="4"/>
        </w:numPr>
        <w:spacing w:line="360" w:lineRule="auto"/>
        <w:ind w:left="420" w:firstLine="0"/>
        <w:jc w:val="left"/>
        <w:rPr>
          <w:rFonts w:ascii="宋体" w:hAnsi="宋体"/>
        </w:rPr>
      </w:pPr>
      <w:r>
        <w:rPr>
          <w:rFonts w:hint="eastAsia" w:ascii="宋体" w:hAnsi="宋体" w:cs="宋体"/>
        </w:rPr>
        <w:t>参与竞价的竞价人必须按竞价附件的格式填写，不得增加或删除内容。除单价、金额或项目要求填写的内容外，不得擅自改动竞价附件内容，否则将有可能影响成交结果，不推荐为成交候选人。</w:t>
      </w:r>
    </w:p>
    <w:p>
      <w:pPr>
        <w:widowControl/>
        <w:numPr>
          <w:ilvl w:val="0"/>
          <w:numId w:val="4"/>
        </w:numPr>
        <w:spacing w:line="360" w:lineRule="auto"/>
        <w:ind w:left="420" w:firstLine="0"/>
        <w:jc w:val="left"/>
        <w:rPr>
          <w:rFonts w:ascii="宋体" w:hAnsi="宋体"/>
        </w:rPr>
      </w:pPr>
      <w:r>
        <w:rPr>
          <w:rFonts w:hint="eastAsia" w:ascii="宋体" w:hAnsi="宋体" w:cs="宋体"/>
        </w:rPr>
        <w:t>参与竞价的</w:t>
      </w:r>
      <w:r>
        <w:rPr>
          <w:rFonts w:hint="eastAsia" w:ascii="宋体" w:hAnsi="宋体" w:cs="宋体"/>
          <w:lang w:val="zh-CN"/>
        </w:rPr>
        <w:t>竞价人需对用户需求书的所有条款进行整体响应，用户需求书条款若有一条负偏离或不响应，</w:t>
      </w:r>
      <w:r>
        <w:rPr>
          <w:rFonts w:hint="eastAsia" w:ascii="宋体" w:hAnsi="宋体" w:cs="宋体"/>
        </w:rPr>
        <w:t>不推荐为成交候选人</w:t>
      </w:r>
      <w:r>
        <w:rPr>
          <w:rFonts w:hint="eastAsia" w:ascii="宋体" w:hAnsi="宋体" w:cs="宋体"/>
          <w:lang w:val="zh-CN"/>
        </w:rPr>
        <w:t>。</w:t>
      </w:r>
    </w:p>
    <w:p>
      <w:pPr>
        <w:widowControl/>
        <w:numPr>
          <w:ilvl w:val="0"/>
          <w:numId w:val="4"/>
        </w:numPr>
        <w:spacing w:line="360" w:lineRule="auto"/>
        <w:jc w:val="left"/>
        <w:rPr>
          <w:rFonts w:ascii="宋体" w:hAnsi="宋体"/>
        </w:rPr>
      </w:pPr>
      <w:r>
        <w:rPr>
          <w:rFonts w:hint="eastAsia" w:ascii="宋体" w:hAnsi="宋体" w:cs="宋体"/>
        </w:rPr>
        <w:t>若成交竞价人自身原因无法完成本项目，则</w:t>
      </w:r>
      <w:r>
        <w:rPr>
          <w:rFonts w:hint="eastAsia" w:ascii="宋体" w:hAnsi="宋体" w:cs="宋体"/>
          <w:lang w:eastAsia="zh-TW"/>
        </w:rPr>
        <w:t>代理机构</w:t>
      </w:r>
      <w:r>
        <w:rPr>
          <w:rFonts w:hint="eastAsia" w:ascii="宋体" w:hAnsi="宋体" w:cs="宋体"/>
        </w:rPr>
        <w:t>及出售方有权利保留追究责任。</w:t>
      </w:r>
    </w:p>
    <w:p>
      <w:pPr>
        <w:widowControl/>
        <w:numPr>
          <w:ilvl w:val="0"/>
          <w:numId w:val="4"/>
        </w:numPr>
        <w:spacing w:line="360" w:lineRule="auto"/>
        <w:ind w:left="420" w:firstLine="0"/>
        <w:jc w:val="left"/>
        <w:rPr>
          <w:rFonts w:ascii="宋体" w:hAnsi="宋体"/>
        </w:rPr>
      </w:pPr>
      <w:r>
        <w:rPr>
          <w:rFonts w:hint="eastAsia" w:ascii="宋体" w:hAnsi="宋体" w:cs="宋体"/>
        </w:rPr>
        <w:t>成交竞价人因自身原因被取消成交资格，</w:t>
      </w:r>
      <w:r>
        <w:rPr>
          <w:rFonts w:hint="eastAsia" w:ascii="宋体" w:hAnsi="宋体" w:cs="宋体"/>
          <w:lang w:eastAsia="zh-TW"/>
        </w:rPr>
        <w:t>代理机构</w:t>
      </w:r>
      <w:r>
        <w:rPr>
          <w:rFonts w:hint="eastAsia" w:ascii="宋体" w:hAnsi="宋体" w:cs="宋体"/>
        </w:rPr>
        <w:t>可重新启动竞价或按竞价公告规定顺延推选符合要求的竞价人作为成交人。</w:t>
      </w:r>
    </w:p>
    <w:p>
      <w:pPr>
        <w:widowControl/>
        <w:numPr>
          <w:ilvl w:val="0"/>
          <w:numId w:val="4"/>
        </w:numPr>
        <w:spacing w:line="360" w:lineRule="auto"/>
        <w:ind w:left="420" w:firstLine="0"/>
        <w:jc w:val="left"/>
        <w:rPr>
          <w:rFonts w:ascii="宋体" w:hAnsi="宋体"/>
        </w:rPr>
      </w:pPr>
      <w:r>
        <w:rPr>
          <w:rFonts w:hint="eastAsia" w:ascii="宋体" w:hAnsi="宋体" w:cs="宋体"/>
        </w:rPr>
        <w:t>若本项目竞价失败，</w:t>
      </w:r>
      <w:r>
        <w:rPr>
          <w:rFonts w:hint="eastAsia" w:ascii="宋体" w:hAnsi="宋体" w:cs="宋体"/>
          <w:lang w:eastAsia="zh-TW"/>
        </w:rPr>
        <w:t>代理机构</w:t>
      </w:r>
      <w:r>
        <w:rPr>
          <w:rFonts w:hint="eastAsia" w:ascii="宋体" w:hAnsi="宋体" w:cs="宋体"/>
        </w:rPr>
        <w:t>将重新竞价，届时出售方有权根据项目具体情况，决定重新竞价项目的竞价方式。</w:t>
      </w:r>
    </w:p>
    <w:p>
      <w:pPr>
        <w:widowControl/>
        <w:numPr>
          <w:ilvl w:val="0"/>
          <w:numId w:val="4"/>
        </w:numPr>
        <w:spacing w:line="360" w:lineRule="auto"/>
        <w:jc w:val="left"/>
        <w:rPr>
          <w:rFonts w:ascii="宋体" w:hAnsi="宋体"/>
        </w:rPr>
      </w:pPr>
      <w:r>
        <w:rPr>
          <w:rFonts w:hint="eastAsia" w:ascii="宋体" w:hAnsi="宋体" w:cs="宋体"/>
        </w:rPr>
        <w:t>成交竞价人若无正当理由恶意放弃成交资格，</w:t>
      </w:r>
      <w:r>
        <w:rPr>
          <w:rFonts w:hint="eastAsia" w:ascii="宋体" w:hAnsi="宋体" w:cs="宋体"/>
          <w:lang w:eastAsia="zh-TW"/>
        </w:rPr>
        <w:t>代理机构</w:t>
      </w:r>
      <w:r>
        <w:rPr>
          <w:rFonts w:hint="eastAsia" w:ascii="宋体" w:hAnsi="宋体" w:cs="宋体"/>
        </w:rPr>
        <w:t>有权拒绝其参加本项目重新组织的竞价活动。</w:t>
      </w:r>
    </w:p>
    <w:p>
      <w:pPr>
        <w:widowControl/>
        <w:numPr>
          <w:ilvl w:val="0"/>
          <w:numId w:val="4"/>
        </w:numPr>
        <w:spacing w:line="360" w:lineRule="auto"/>
        <w:ind w:left="420" w:firstLine="0"/>
        <w:jc w:val="left"/>
        <w:rPr>
          <w:rFonts w:ascii="宋体" w:hAnsi="宋体"/>
        </w:rPr>
      </w:pPr>
      <w:r>
        <w:rPr>
          <w:rFonts w:hint="eastAsia" w:ascii="宋体" w:hAnsi="宋体"/>
        </w:rPr>
        <w:t>如代理机构在审核或复核参与竞价的竞价人所提交的竞价资料时，竞价人须无条件配合；期间若发现存在弄虚作假或相关的失信记录或违反国家法律法规等相关的不良情形，</w:t>
      </w:r>
      <w:r>
        <w:rPr>
          <w:rFonts w:hint="eastAsia" w:ascii="宋体" w:hAnsi="宋体" w:cs="宋体"/>
          <w:lang w:eastAsia="zh-TW"/>
        </w:rPr>
        <w:t>代理机构</w:t>
      </w:r>
      <w:r>
        <w:rPr>
          <w:rFonts w:hint="eastAsia" w:ascii="宋体" w:hAnsi="宋体"/>
        </w:rPr>
        <w:t>可取消其成交资格并保留追究责任的权力。</w:t>
      </w:r>
    </w:p>
    <w:p>
      <w:pPr>
        <w:widowControl/>
        <w:numPr>
          <w:ilvl w:val="0"/>
          <w:numId w:val="4"/>
        </w:numPr>
        <w:spacing w:line="360" w:lineRule="auto"/>
        <w:ind w:left="420" w:firstLine="0"/>
        <w:jc w:val="left"/>
        <w:rPr>
          <w:rFonts w:ascii="宋体" w:hAnsi="宋体"/>
        </w:rPr>
      </w:pPr>
      <w:r>
        <w:rPr>
          <w:rFonts w:hint="eastAsia" w:ascii="宋体" w:hAnsi="宋体" w:cs="宋体"/>
        </w:rPr>
        <w:t>参与竞价的</w:t>
      </w:r>
      <w:r>
        <w:rPr>
          <w:rFonts w:hint="eastAsia" w:ascii="宋体" w:hAnsi="宋体" w:cs="宋体"/>
          <w:lang w:eastAsia="zh-TW"/>
        </w:rPr>
        <w:t>竞价人向代理机构咨询的有关项目事项，一切以</w:t>
      </w:r>
      <w:r>
        <w:rPr>
          <w:rFonts w:hint="eastAsia" w:ascii="宋体" w:hAnsi="宋体" w:cs="宋体"/>
        </w:rPr>
        <w:t>竞价文件</w:t>
      </w:r>
      <w:r>
        <w:rPr>
          <w:rFonts w:hint="eastAsia" w:ascii="宋体" w:hAnsi="宋体" w:cs="宋体"/>
          <w:lang w:eastAsia="zh-TW"/>
        </w:rPr>
        <w:t>规定</w:t>
      </w:r>
      <w:r>
        <w:rPr>
          <w:rFonts w:hint="eastAsia" w:ascii="宋体" w:hAnsi="宋体" w:cs="宋体"/>
        </w:rPr>
        <w:t>和竞价公告规定以及</w:t>
      </w:r>
      <w:r>
        <w:rPr>
          <w:rFonts w:hint="eastAsia" w:ascii="宋体" w:hAnsi="宋体" w:cs="宋体"/>
          <w:lang w:eastAsia="zh-TW"/>
        </w:rPr>
        <w:t>代理机构</w:t>
      </w:r>
      <w:r>
        <w:rPr>
          <w:rFonts w:hint="eastAsia" w:ascii="宋体" w:hAnsi="宋体" w:cs="宋体"/>
        </w:rPr>
        <w:t>的</w:t>
      </w:r>
      <w:r>
        <w:rPr>
          <w:rFonts w:hint="eastAsia" w:ascii="宋体" w:hAnsi="宋体" w:cs="宋体"/>
          <w:lang w:eastAsia="zh-TW"/>
        </w:rPr>
        <w:t>书面答复为准，其他一切形式均为个人意见，不代表代理机构的意见</w:t>
      </w:r>
      <w:r>
        <w:rPr>
          <w:rFonts w:hint="eastAsia" w:ascii="宋体" w:hAnsi="宋体" w:cs="宋体"/>
        </w:rPr>
        <w:t>。</w:t>
      </w:r>
    </w:p>
    <w:p>
      <w:pPr>
        <w:widowControl/>
        <w:numPr>
          <w:ilvl w:val="0"/>
          <w:numId w:val="4"/>
        </w:numPr>
        <w:spacing w:line="360" w:lineRule="auto"/>
        <w:ind w:left="420" w:firstLine="0"/>
        <w:jc w:val="left"/>
        <w:rPr>
          <w:rFonts w:ascii="宋体" w:hAnsi="宋体"/>
        </w:rPr>
      </w:pPr>
      <w:r>
        <w:rPr>
          <w:rFonts w:hint="eastAsia" w:ascii="宋体" w:hAnsi="宋体" w:cs="宋体"/>
        </w:rPr>
        <w:t>参与竞价的竞价人应认真阅读</w:t>
      </w:r>
      <w:r>
        <w:rPr>
          <w:rFonts w:hint="eastAsia" w:ascii="宋体" w:hAnsi="宋体" w:cs="宋体"/>
          <w:lang w:eastAsia="zh-TW"/>
        </w:rPr>
        <w:t>、并充分理解</w:t>
      </w:r>
      <w:r>
        <w:rPr>
          <w:rFonts w:hint="eastAsia" w:ascii="宋体" w:hAnsi="宋体" w:cs="宋体"/>
        </w:rPr>
        <w:t>竞价</w:t>
      </w:r>
      <w:r>
        <w:rPr>
          <w:rFonts w:hint="eastAsia" w:ascii="宋体" w:hAnsi="宋体" w:cs="宋体"/>
          <w:lang w:eastAsia="zh-TW"/>
        </w:rPr>
        <w:t>文件的全部内容（包括所有的补充、修改内容重要事项、格式、条款</w:t>
      </w:r>
      <w:r>
        <w:rPr>
          <w:rFonts w:hint="eastAsia" w:ascii="宋体" w:hAnsi="宋体" w:cs="宋体"/>
        </w:rPr>
        <w:t>、服务要求</w:t>
      </w:r>
      <w:r>
        <w:rPr>
          <w:rFonts w:hint="eastAsia" w:ascii="宋体" w:hAnsi="宋体" w:cs="宋体"/>
          <w:lang w:eastAsia="zh-TW"/>
        </w:rPr>
        <w:t>和技术规范、参数及要求等）。</w:t>
      </w:r>
      <w:r>
        <w:rPr>
          <w:rFonts w:hint="eastAsia" w:ascii="宋体" w:hAnsi="宋体" w:cs="宋体"/>
        </w:rPr>
        <w:t>竞价人</w:t>
      </w:r>
      <w:r>
        <w:rPr>
          <w:rFonts w:hint="eastAsia" w:ascii="宋体" w:hAnsi="宋体" w:cs="宋体"/>
          <w:lang w:eastAsia="zh-TW"/>
        </w:rPr>
        <w:t>没有按照</w:t>
      </w:r>
      <w:r>
        <w:rPr>
          <w:rFonts w:hint="eastAsia" w:ascii="宋体" w:hAnsi="宋体" w:cs="宋体"/>
        </w:rPr>
        <w:t>竞价</w:t>
      </w:r>
      <w:r>
        <w:rPr>
          <w:rFonts w:hint="eastAsia" w:ascii="宋体" w:hAnsi="宋体" w:cs="宋体"/>
          <w:lang w:eastAsia="zh-TW"/>
        </w:rPr>
        <w:t>文件要求提交全部资料，或者</w:t>
      </w:r>
      <w:r>
        <w:rPr>
          <w:rFonts w:hint="eastAsia" w:ascii="宋体" w:hAnsi="宋体" w:cs="宋体"/>
        </w:rPr>
        <w:t>参与竞价所上传的</w:t>
      </w:r>
      <w:r>
        <w:rPr>
          <w:rFonts w:hint="eastAsia" w:ascii="宋体" w:hAnsi="宋体" w:cs="宋体"/>
          <w:lang w:eastAsia="zh-TW"/>
        </w:rPr>
        <w:t>文件没有对</w:t>
      </w:r>
      <w:r>
        <w:rPr>
          <w:rFonts w:hint="eastAsia" w:ascii="宋体" w:hAnsi="宋体" w:cs="宋体"/>
        </w:rPr>
        <w:t>竞价</w:t>
      </w:r>
      <w:r>
        <w:rPr>
          <w:rFonts w:hint="eastAsia" w:ascii="宋体" w:hAnsi="宋体" w:cs="宋体"/>
          <w:lang w:eastAsia="zh-TW"/>
        </w:rPr>
        <w:t>文件在各方面都作出实质性响应是</w:t>
      </w:r>
      <w:r>
        <w:rPr>
          <w:rFonts w:hint="eastAsia" w:ascii="宋体" w:hAnsi="宋体" w:cs="宋体"/>
        </w:rPr>
        <w:t>竞价人</w:t>
      </w:r>
      <w:r>
        <w:rPr>
          <w:rFonts w:hint="eastAsia" w:ascii="宋体" w:hAnsi="宋体" w:cs="宋体"/>
          <w:lang w:eastAsia="zh-TW"/>
        </w:rPr>
        <w:t>的风险，有可能导致其</w:t>
      </w:r>
      <w:r>
        <w:rPr>
          <w:rFonts w:hint="eastAsia" w:ascii="宋体" w:hAnsi="宋体" w:cs="宋体"/>
        </w:rPr>
        <w:t>竞价</w:t>
      </w:r>
      <w:r>
        <w:rPr>
          <w:rFonts w:hint="eastAsia" w:ascii="宋体" w:hAnsi="宋体" w:cs="宋体"/>
          <w:lang w:eastAsia="zh-TW"/>
        </w:rPr>
        <w:t>被拒绝，</w:t>
      </w:r>
      <w:r>
        <w:rPr>
          <w:rFonts w:hint="eastAsia" w:ascii="宋体" w:hAnsi="宋体" w:cs="宋体"/>
        </w:rPr>
        <w:t>或被认定为无效竞价。</w:t>
      </w:r>
    </w:p>
    <w:p>
      <w:pPr>
        <w:widowControl/>
        <w:numPr>
          <w:ilvl w:val="0"/>
          <w:numId w:val="4"/>
        </w:numPr>
        <w:spacing w:line="360" w:lineRule="auto"/>
        <w:jc w:val="left"/>
        <w:rPr>
          <w:rFonts w:ascii="宋体" w:hAnsi="宋体"/>
        </w:rPr>
      </w:pPr>
      <w:r>
        <w:rPr>
          <w:rFonts w:hint="eastAsia"/>
        </w:rPr>
        <w:t>出售方</w:t>
      </w:r>
      <w:r>
        <w:rPr>
          <w:rFonts w:hint="eastAsia" w:ascii="宋体" w:hAnsi="宋体" w:cs="宋体"/>
          <w:kern w:val="0"/>
        </w:rPr>
        <w:t>有权拒绝接受任何不合格的服务，由此产生的费用及相关后果均由成交竞价人自行承担；</w:t>
      </w:r>
    </w:p>
    <w:p>
      <w:pPr>
        <w:widowControl/>
        <w:numPr>
          <w:ilvl w:val="0"/>
          <w:numId w:val="4"/>
        </w:numPr>
        <w:spacing w:line="360" w:lineRule="auto"/>
        <w:ind w:left="420" w:firstLine="0"/>
        <w:jc w:val="left"/>
        <w:rPr>
          <w:rFonts w:ascii="宋体" w:hAnsi="宋体"/>
        </w:rPr>
      </w:pPr>
      <w:r>
        <w:rPr>
          <w:rFonts w:hint="eastAsia" w:ascii="宋体" w:hAnsi="宋体" w:cs="宋体"/>
        </w:rPr>
        <w:t>竞价人认为竞价结果损害其权益的，应按照云采链平台相关指引在规定的时间内向代理机构提交书面质疑，不提交的视为无异议，逾期提交将不予受理。</w:t>
      </w:r>
    </w:p>
    <w:p>
      <w:pPr>
        <w:widowControl/>
        <w:numPr>
          <w:ilvl w:val="0"/>
          <w:numId w:val="4"/>
        </w:numPr>
        <w:spacing w:line="360" w:lineRule="auto"/>
        <w:jc w:val="left"/>
        <w:rPr>
          <w:rFonts w:ascii="宋体" w:hAnsi="宋体"/>
        </w:rPr>
      </w:pPr>
      <w:r>
        <w:rPr>
          <w:rFonts w:hint="eastAsia" w:ascii="宋体" w:hAnsi="宋体" w:cs="宋体"/>
        </w:rPr>
        <w:t>本竞价公告和竞价文件的解释权归“云采链线上竞价一体化平台”所有。</w:t>
      </w:r>
    </w:p>
    <w:p>
      <w:pPr>
        <w:widowControl/>
        <w:numPr>
          <w:ilvl w:val="0"/>
          <w:numId w:val="3"/>
        </w:numPr>
        <w:spacing w:line="360" w:lineRule="auto"/>
        <w:jc w:val="left"/>
        <w:rPr>
          <w:rFonts w:ascii="宋体" w:hAnsi="宋体"/>
        </w:rPr>
      </w:pPr>
      <w:r>
        <w:rPr>
          <w:rFonts w:hint="eastAsia" w:ascii="宋体" w:hAnsi="宋体"/>
          <w:b/>
        </w:rPr>
        <w:t>竞价文件的澄清或修改</w:t>
      </w:r>
    </w:p>
    <w:p>
      <w:pPr>
        <w:widowControl/>
        <w:numPr>
          <w:ilvl w:val="1"/>
          <w:numId w:val="5"/>
        </w:numPr>
        <w:spacing w:line="360" w:lineRule="auto"/>
        <w:ind w:left="420" w:firstLine="0"/>
        <w:jc w:val="left"/>
        <w:rPr>
          <w:rFonts w:ascii="宋体" w:hAnsi="宋体"/>
        </w:rPr>
      </w:pPr>
      <w:r>
        <w:rPr>
          <w:rFonts w:hint="eastAsia" w:ascii="宋体" w:hAnsi="宋体"/>
        </w:rPr>
        <w:t>代理机构可以对已发出的竞价文件进行必要的澄清或者修改。澄清或者修改的内容将在云采链平台上发布澄清（更正</w:t>
      </w:r>
      <w:r>
        <w:rPr>
          <w:rFonts w:ascii="宋体" w:hAnsi="宋体"/>
        </w:rPr>
        <w:t>/变更）公告。</w:t>
      </w:r>
    </w:p>
    <w:p>
      <w:pPr>
        <w:widowControl/>
        <w:numPr>
          <w:ilvl w:val="1"/>
          <w:numId w:val="5"/>
        </w:numPr>
        <w:spacing w:line="360" w:lineRule="auto"/>
        <w:ind w:left="420" w:firstLine="0"/>
        <w:jc w:val="left"/>
        <w:rPr>
          <w:rFonts w:ascii="宋体" w:hAnsi="宋体"/>
        </w:rPr>
      </w:pPr>
      <w:r>
        <w:rPr>
          <w:rFonts w:hint="eastAsia" w:ascii="宋体" w:hAnsi="宋体"/>
        </w:rPr>
        <w:t>无论澄清或者修改的内容是否影响竞价，平台将以短信形式通知所有的报名竞价人；报名竞价人应按要求履行相应的义务；</w:t>
      </w:r>
      <w:r>
        <w:rPr>
          <w:rFonts w:hint="eastAsia" w:ascii="宋体" w:hAnsi="宋体" w:cs="宋体"/>
        </w:rPr>
        <w:t>如报名</w:t>
      </w:r>
      <w:r>
        <w:rPr>
          <w:rFonts w:hint="eastAsia" w:ascii="宋体" w:hAnsi="宋体" w:cs="宋体"/>
          <w:lang w:eastAsia="zh-TW"/>
        </w:rPr>
        <w:t>截止时间</w:t>
      </w:r>
      <w:r>
        <w:rPr>
          <w:rFonts w:hint="eastAsia" w:ascii="宋体" w:hAnsi="宋体" w:cs="宋体"/>
        </w:rPr>
        <w:t>少于一个工作日的，</w:t>
      </w:r>
      <w:r>
        <w:rPr>
          <w:rFonts w:hint="eastAsia" w:ascii="宋体" w:hAnsi="宋体"/>
        </w:rPr>
        <w:t>代理机构应当相应顺延报名的截止时间。</w:t>
      </w:r>
    </w:p>
    <w:p>
      <w:pPr>
        <w:widowControl/>
        <w:numPr>
          <w:ilvl w:val="1"/>
          <w:numId w:val="5"/>
        </w:numPr>
        <w:spacing w:line="360" w:lineRule="auto"/>
        <w:jc w:val="left"/>
        <w:rPr>
          <w:rFonts w:ascii="宋体" w:hAnsi="宋体"/>
        </w:rPr>
      </w:pPr>
      <w:r>
        <w:rPr>
          <w:rFonts w:hint="eastAsia" w:ascii="宋体" w:hAnsi="宋体"/>
        </w:rPr>
        <w:t>代理机构发出的澄清或修改（更正</w:t>
      </w:r>
      <w:r>
        <w:rPr>
          <w:rFonts w:ascii="宋体" w:hAnsi="宋体"/>
        </w:rPr>
        <w:t>/变更）的内容为竞价文件的组成部分，并对竞价人具有约束力。</w:t>
      </w:r>
    </w:p>
    <w:p>
      <w:pPr>
        <w:widowControl/>
        <w:numPr>
          <w:ilvl w:val="0"/>
          <w:numId w:val="3"/>
        </w:numPr>
        <w:spacing w:line="360" w:lineRule="auto"/>
        <w:jc w:val="left"/>
        <w:rPr>
          <w:rFonts w:ascii="宋体" w:hAnsi="宋体"/>
          <w:b/>
          <w:bCs/>
        </w:rPr>
      </w:pPr>
      <w:r>
        <w:rPr>
          <w:rFonts w:hint="eastAsia" w:ascii="宋体" w:hAnsi="宋体" w:cs="宋体"/>
          <w:b/>
          <w:bCs/>
        </w:rPr>
        <w:t>报名要求（</w:t>
      </w:r>
      <w:r>
        <w:rPr>
          <w:rFonts w:hint="eastAsia" w:ascii="宋体" w:hAnsi="宋体" w:cs="宋体"/>
        </w:rPr>
        <w:t>参与竞价的</w:t>
      </w:r>
      <w:r>
        <w:rPr>
          <w:rFonts w:hint="eastAsia" w:ascii="宋体" w:hAnsi="宋体" w:cs="宋体"/>
          <w:b/>
          <w:bCs/>
        </w:rPr>
        <w:t>竞价人资质要求</w:t>
      </w:r>
      <w:r>
        <w:rPr>
          <w:rFonts w:ascii="宋体" w:hAnsi="宋体" w:cs="宋体"/>
          <w:b/>
          <w:bCs/>
        </w:rPr>
        <w:t>:</w:t>
      </w:r>
      <w:r>
        <w:rPr>
          <w:rFonts w:hint="eastAsia" w:ascii="宋体" w:hAnsi="宋体" w:cs="宋体"/>
        </w:rPr>
        <w:t>报名时需要提供以下盖章资料，并对上传的报名文件资料承担责任</w:t>
      </w:r>
      <w:r>
        <w:rPr>
          <w:rFonts w:hint="eastAsia" w:ascii="宋体" w:hAnsi="宋体" w:cs="宋体"/>
          <w:b/>
          <w:bCs/>
        </w:rPr>
        <w:t>）</w:t>
      </w:r>
    </w:p>
    <w:p>
      <w:pPr>
        <w:widowControl/>
        <w:numPr>
          <w:ilvl w:val="0"/>
          <w:numId w:val="6"/>
        </w:numPr>
        <w:spacing w:line="360" w:lineRule="auto"/>
        <w:ind w:left="420" w:firstLine="0"/>
        <w:jc w:val="left"/>
        <w:rPr>
          <w:rFonts w:ascii="宋体" w:hAnsi="宋体" w:cs="宋体"/>
          <w:kern w:val="0"/>
        </w:rPr>
      </w:pPr>
      <w:bookmarkStart w:id="3" w:name="_Hlk57213938"/>
      <w:r>
        <w:rPr>
          <w:rFonts w:hint="eastAsia" w:ascii="宋体" w:hAnsi="宋体" w:cs="宋体"/>
          <w:kern w:val="0"/>
        </w:rPr>
        <w:t>竞价人必须是具有独立承担民事责任能力的在中华人民共和国境内注册的法人或其他组织或自然人，提交法人或者其他组织或自然人的营业执照/自然人的身份证等证明文件。</w:t>
      </w:r>
    </w:p>
    <w:p>
      <w:pPr>
        <w:widowControl/>
        <w:numPr>
          <w:ilvl w:val="0"/>
          <w:numId w:val="6"/>
        </w:numPr>
        <w:spacing w:line="360" w:lineRule="auto"/>
        <w:ind w:left="420" w:firstLine="0"/>
        <w:jc w:val="left"/>
        <w:rPr>
          <w:rFonts w:ascii="宋体" w:hAnsi="宋体" w:cs="宋体"/>
          <w:kern w:val="0"/>
        </w:rPr>
      </w:pPr>
      <w:r>
        <w:rPr>
          <w:rFonts w:hint="eastAsia" w:ascii="宋体" w:hAnsi="宋体" w:cs="宋体"/>
          <w:kern w:val="0"/>
        </w:rPr>
        <w:t>竞价人具有</w:t>
      </w:r>
      <w:r>
        <w:rPr>
          <w:rFonts w:ascii="宋体" w:hAnsi="宋体" w:cs="宋体"/>
          <w:kern w:val="0"/>
        </w:rPr>
        <w:t>处置</w:t>
      </w:r>
      <w:r>
        <w:rPr>
          <w:rFonts w:hint="eastAsia" w:ascii="宋体" w:hAnsi="宋体" w:cs="宋体"/>
          <w:kern w:val="0"/>
        </w:rPr>
        <w:t>工业用废油脂资质</w:t>
      </w:r>
      <w:r>
        <w:rPr>
          <w:rFonts w:hint="eastAsia" w:ascii="宋体" w:hAnsi="宋体" w:cs="宋体"/>
          <w:b/>
          <w:bCs/>
          <w:kern w:val="0"/>
        </w:rPr>
        <w:t>（工业用废油脂的其他称谓包括：废油脂、动植物废油、泔水、潲水、地沟油等，经工艺加工后产出工业用油脂）</w:t>
      </w:r>
      <w:r>
        <w:rPr>
          <w:rFonts w:hint="eastAsia" w:ascii="宋体" w:hAnsi="宋体" w:cs="宋体"/>
          <w:kern w:val="0"/>
        </w:rPr>
        <w:t>，提供排污许可文件、环评批复及</w:t>
      </w:r>
      <w:r>
        <w:rPr>
          <w:rFonts w:hint="eastAsia" w:ascii="宋体" w:hAnsi="宋体" w:cs="宋体"/>
          <w:b/>
          <w:bCs/>
          <w:kern w:val="0"/>
        </w:rPr>
        <w:t>环评报告</w:t>
      </w:r>
      <w:r>
        <w:rPr>
          <w:rFonts w:hint="eastAsia" w:ascii="宋体" w:hAnsi="宋体" w:cs="宋体"/>
          <w:kern w:val="0"/>
        </w:rPr>
        <w:t>。</w:t>
      </w:r>
    </w:p>
    <w:p>
      <w:pPr>
        <w:pStyle w:val="45"/>
        <w:numPr>
          <w:ilvl w:val="0"/>
          <w:numId w:val="6"/>
        </w:numPr>
        <w:spacing w:line="360" w:lineRule="auto"/>
        <w:ind w:left="420" w:firstLine="0" w:firstLineChars="0"/>
        <w:rPr>
          <w:rFonts w:ascii="宋体" w:hAnsi="宋体"/>
        </w:rPr>
      </w:pPr>
      <w:bookmarkStart w:id="4" w:name="_Hlk99735945"/>
      <w:r>
        <w:rPr>
          <w:rFonts w:hint="eastAsia" w:ascii="宋体" w:hAnsi="宋体"/>
          <w:b/>
          <w:bCs/>
        </w:rPr>
        <w:t>成交人收购的货物经加工后，只可用做生产化工产品的原材料</w:t>
      </w:r>
      <w:r>
        <w:rPr>
          <w:rFonts w:hint="eastAsia" w:ascii="宋体" w:hAnsi="宋体"/>
        </w:rPr>
        <w:t>，不得用于食品加工用途。对于成交人的违规违法行为，出售方不承担任何连带责任</w:t>
      </w:r>
      <w:bookmarkEnd w:id="4"/>
      <w:r>
        <w:rPr>
          <w:rFonts w:hint="eastAsia" w:ascii="宋体" w:hAnsi="宋体"/>
        </w:rPr>
        <w:t>,</w:t>
      </w:r>
      <w:r>
        <w:rPr>
          <w:rFonts w:hint="eastAsia" w:ascii="宋体" w:hAnsi="宋体"/>
          <w:b/>
        </w:rPr>
        <w:t>提供承诺函，格式详见附件。</w:t>
      </w:r>
    </w:p>
    <w:p>
      <w:pPr>
        <w:pStyle w:val="38"/>
        <w:numPr>
          <w:ilvl w:val="0"/>
          <w:numId w:val="6"/>
        </w:numPr>
        <w:spacing w:line="360" w:lineRule="auto"/>
        <w:ind w:left="420" w:firstLine="0" w:firstLineChars="0"/>
        <w:rPr>
          <w:rFonts w:ascii="宋体" w:hAnsi="宋体" w:cs="Times New Roman"/>
        </w:rPr>
      </w:pPr>
      <w:r>
        <w:rPr>
          <w:rFonts w:hint="eastAsia" w:ascii="宋体" w:hAnsi="宋体" w:cs="宋体"/>
        </w:rPr>
        <w:t>报名竞价人须具备《中华人民共和国政府采购法》第二十二条所规定的条件；提供竞价人资格声明函，</w:t>
      </w:r>
      <w:r>
        <w:rPr>
          <w:rFonts w:hint="eastAsia" w:ascii="宋体" w:hAnsi="宋体" w:cs="宋体"/>
          <w:b/>
          <w:bCs/>
        </w:rPr>
        <w:t>格式详见附件。</w:t>
      </w:r>
    </w:p>
    <w:p>
      <w:pPr>
        <w:widowControl/>
        <w:numPr>
          <w:ilvl w:val="0"/>
          <w:numId w:val="6"/>
        </w:numPr>
        <w:spacing w:line="360" w:lineRule="auto"/>
        <w:ind w:left="420" w:firstLine="0"/>
        <w:jc w:val="left"/>
        <w:rPr>
          <w:rFonts w:ascii="宋体" w:hAnsi="宋体"/>
        </w:rPr>
      </w:pPr>
      <w:r>
        <w:rPr>
          <w:rFonts w:hint="eastAsia" w:ascii="宋体" w:hAnsi="宋体" w:cs="宋体"/>
          <w:kern w:val="0"/>
        </w:rPr>
        <w:t>竞价人完全响应本项目用户需求的条款、内容及要求的，提供用户需求书响应声明函即可</w:t>
      </w:r>
      <w:r>
        <w:rPr>
          <w:rFonts w:hint="eastAsia" w:ascii="宋体" w:hAnsi="宋体" w:cs="宋体"/>
          <w:b/>
          <w:bCs/>
          <w:kern w:val="0"/>
        </w:rPr>
        <w:t>，格式详见附件</w:t>
      </w:r>
      <w:r>
        <w:rPr>
          <w:rFonts w:hint="eastAsia" w:ascii="宋体" w:hAnsi="宋体" w:cs="宋体"/>
          <w:kern w:val="0"/>
        </w:rPr>
        <w:t>。</w:t>
      </w:r>
    </w:p>
    <w:bookmarkEnd w:id="3"/>
    <w:p>
      <w:pPr>
        <w:widowControl/>
        <w:spacing w:line="360" w:lineRule="auto"/>
        <w:jc w:val="left"/>
        <w:rPr>
          <w:rFonts w:ascii="宋体" w:hAnsi="宋体"/>
        </w:rPr>
      </w:pPr>
      <w:r>
        <w:rPr>
          <w:rFonts w:hint="eastAsia" w:ascii="宋体" w:hAnsi="宋体" w:cs="宋体"/>
          <w:b/>
          <w:bCs/>
        </w:rPr>
        <w:t>4</w:t>
      </w:r>
      <w:r>
        <w:rPr>
          <w:rFonts w:ascii="宋体" w:hAnsi="宋体" w:cs="宋体"/>
          <w:b/>
          <w:bCs/>
        </w:rPr>
        <w:t>.</w:t>
      </w:r>
      <w:r>
        <w:rPr>
          <w:rFonts w:hint="eastAsia" w:ascii="宋体" w:hAnsi="宋体" w:cs="宋体"/>
          <w:b/>
          <w:bCs/>
        </w:rPr>
        <w:t>报价要求</w:t>
      </w:r>
    </w:p>
    <w:p>
      <w:pPr>
        <w:widowControl/>
        <w:numPr>
          <w:ilvl w:val="0"/>
          <w:numId w:val="7"/>
        </w:numPr>
        <w:spacing w:line="360" w:lineRule="auto"/>
        <w:jc w:val="left"/>
        <w:rPr>
          <w:rFonts w:ascii="宋体" w:hAnsi="宋体"/>
        </w:rPr>
      </w:pPr>
      <w:r>
        <w:rPr>
          <w:rFonts w:hint="eastAsia" w:ascii="宋体" w:hAnsi="宋体" w:cs="宋体"/>
        </w:rPr>
        <w:t>通过报名的竞价人应根据本公告要求，在规定的竞价时间内对竞价项目进行报价。</w:t>
      </w:r>
    </w:p>
    <w:p>
      <w:pPr>
        <w:pStyle w:val="45"/>
        <w:numPr>
          <w:ilvl w:val="0"/>
          <w:numId w:val="7"/>
        </w:numPr>
        <w:spacing w:line="360" w:lineRule="auto"/>
        <w:ind w:firstLineChars="0"/>
        <w:rPr>
          <w:rFonts w:ascii="宋体" w:hAnsi="宋体" w:cs="宋体"/>
        </w:rPr>
      </w:pPr>
      <w:r>
        <w:rPr>
          <w:rFonts w:hint="eastAsia" w:ascii="宋体" w:hAnsi="宋体" w:cs="宋体"/>
        </w:rPr>
        <w:t>公告中的报价次数指报价期间竞价人可进行的最多报价次数。</w:t>
      </w:r>
    </w:p>
    <w:p>
      <w:pPr>
        <w:widowControl/>
        <w:spacing w:line="360" w:lineRule="auto"/>
        <w:jc w:val="left"/>
        <w:rPr>
          <w:rFonts w:ascii="宋体" w:hAnsi="宋体"/>
          <w:b/>
          <w:bCs/>
        </w:rPr>
      </w:pPr>
      <w:r>
        <w:rPr>
          <w:rFonts w:hint="eastAsia" w:ascii="宋体" w:hAnsi="宋体" w:cs="宋体"/>
          <w:b/>
          <w:bCs/>
        </w:rPr>
        <w:t>5</w:t>
      </w:r>
      <w:r>
        <w:rPr>
          <w:rFonts w:ascii="宋体" w:hAnsi="宋体" w:cs="宋体"/>
          <w:b/>
          <w:bCs/>
        </w:rPr>
        <w:t>.</w:t>
      </w:r>
      <w:r>
        <w:rPr>
          <w:rFonts w:hint="eastAsia" w:ascii="宋体" w:hAnsi="宋体" w:cs="宋体"/>
          <w:b/>
          <w:bCs/>
        </w:rPr>
        <w:t>确定成交候选人</w:t>
      </w:r>
    </w:p>
    <w:p>
      <w:pPr>
        <w:pStyle w:val="45"/>
        <w:numPr>
          <w:ilvl w:val="0"/>
          <w:numId w:val="8"/>
        </w:numPr>
        <w:spacing w:line="360" w:lineRule="auto"/>
        <w:ind w:left="420" w:firstLine="0" w:firstLineChars="0"/>
        <w:rPr>
          <w:rFonts w:ascii="宋体" w:hAnsi="宋体" w:cs="宋体"/>
        </w:rPr>
      </w:pPr>
      <w:r>
        <w:rPr>
          <w:rFonts w:hint="eastAsia" w:ascii="宋体" w:hAnsi="宋体" w:cs="宋体"/>
        </w:rPr>
        <w:t>本项目以最高价成交的方式确定成交竞价人。</w:t>
      </w:r>
      <w:r>
        <w:rPr>
          <w:rFonts w:hint="eastAsia" w:ascii="宋体" w:hAnsi="宋体"/>
          <w:b/>
          <w:bCs/>
          <w:kern w:val="0"/>
        </w:rPr>
        <w:t>本项目不需提交报价文件，以系统报价为准，</w:t>
      </w:r>
      <w:r>
        <w:rPr>
          <w:rFonts w:hint="eastAsia" w:ascii="宋体" w:hAnsi="宋体" w:cs="宋体"/>
        </w:rPr>
        <w:t xml:space="preserve">报价截止时间前五分钟内如有竞价人报价，系统报价时间顺延五分钟。报价时间截止后（时间以平台为准），系统按报价（经价格核准后的价格）由高到低顺序排列，报价最高的为第一成交候选人，报价相同的，按报价时间在前的为第一成交候选人；报价次高的为第二成交候选人，以此类推。 </w:t>
      </w:r>
    </w:p>
    <w:p>
      <w:pPr>
        <w:widowControl/>
        <w:spacing w:line="360" w:lineRule="auto"/>
        <w:jc w:val="left"/>
        <w:rPr>
          <w:rFonts w:ascii="宋体" w:hAnsi="宋体" w:cs="宋体"/>
          <w:b/>
          <w:bCs/>
        </w:rPr>
      </w:pPr>
      <w:r>
        <w:rPr>
          <w:rFonts w:hint="eastAsia" w:ascii="宋体" w:hAnsi="宋体" w:cs="宋体"/>
          <w:b/>
          <w:bCs/>
        </w:rPr>
        <w:t>6</w:t>
      </w:r>
      <w:r>
        <w:rPr>
          <w:rFonts w:ascii="宋体" w:hAnsi="宋体" w:cs="宋体"/>
          <w:b/>
          <w:bCs/>
        </w:rPr>
        <w:t>.</w:t>
      </w:r>
      <w:r>
        <w:rPr>
          <w:rFonts w:hint="eastAsia" w:ascii="宋体" w:hAnsi="宋体" w:cs="宋体"/>
          <w:b/>
          <w:bCs/>
        </w:rPr>
        <w:t>无效报价</w:t>
      </w:r>
    </w:p>
    <w:p>
      <w:pPr>
        <w:pStyle w:val="45"/>
        <w:numPr>
          <w:ilvl w:val="0"/>
          <w:numId w:val="9"/>
        </w:numPr>
        <w:spacing w:line="360" w:lineRule="auto"/>
        <w:ind w:firstLineChars="0"/>
        <w:rPr>
          <w:rFonts w:ascii="宋体" w:hAnsi="宋体" w:cs="宋体"/>
        </w:rPr>
      </w:pPr>
      <w:r>
        <w:rPr>
          <w:rFonts w:hint="eastAsia" w:ascii="宋体" w:hAnsi="宋体" w:cs="宋体"/>
        </w:rPr>
        <w:t>参与竞价的竞价人报价低于最低限价视为无效报价。</w:t>
      </w:r>
    </w:p>
    <w:p>
      <w:pPr>
        <w:widowControl/>
        <w:numPr>
          <w:ilvl w:val="0"/>
          <w:numId w:val="9"/>
        </w:numPr>
        <w:spacing w:line="360" w:lineRule="auto"/>
        <w:ind w:left="420" w:firstLine="0"/>
        <w:jc w:val="left"/>
        <w:rPr>
          <w:rFonts w:ascii="宋体" w:hAnsi="宋体"/>
        </w:rPr>
      </w:pPr>
      <w:r>
        <w:rPr>
          <w:rFonts w:hint="eastAsia" w:ascii="宋体" w:hAnsi="宋体" w:cs="宋体"/>
        </w:rPr>
        <w:t>参与竞价的竞价人须提供本项目要求的资质文件，如果不按公告规定或竞价文件要求等相关规定提供符合要求的资质文件，将被视为无效报价。</w:t>
      </w:r>
    </w:p>
    <w:p>
      <w:pPr>
        <w:widowControl/>
        <w:numPr>
          <w:ilvl w:val="0"/>
          <w:numId w:val="9"/>
        </w:numPr>
        <w:spacing w:line="360" w:lineRule="auto"/>
        <w:ind w:left="420" w:firstLine="0"/>
        <w:jc w:val="left"/>
        <w:rPr>
          <w:rFonts w:ascii="宋体" w:hAnsi="宋体"/>
        </w:rPr>
      </w:pPr>
      <w:r>
        <w:rPr>
          <w:rFonts w:hint="eastAsia" w:ascii="宋体" w:hAnsi="宋体" w:cs="宋体"/>
        </w:rPr>
        <w:t>参与竞价的竞价人须对本项目竞价内容进行整体报价，任何只对其中一部分内容进行的报价都被视为无效报价。</w:t>
      </w:r>
    </w:p>
    <w:p>
      <w:pPr>
        <w:pStyle w:val="45"/>
        <w:numPr>
          <w:ilvl w:val="0"/>
          <w:numId w:val="9"/>
        </w:numPr>
        <w:spacing w:line="360" w:lineRule="auto"/>
        <w:ind w:firstLineChars="0"/>
        <w:rPr>
          <w:rFonts w:ascii="宋体" w:hAnsi="宋体" w:cs="宋体"/>
          <w:b/>
          <w:bCs/>
          <w:kern w:val="0"/>
        </w:rPr>
      </w:pPr>
      <w:r>
        <w:rPr>
          <w:rFonts w:hint="eastAsia" w:ascii="宋体" w:hAnsi="宋体" w:cs="宋体"/>
          <w:b/>
          <w:bCs/>
          <w:kern w:val="0"/>
        </w:rPr>
        <w:t>按有关法律、法规、规章属于报价无效的。</w:t>
      </w:r>
    </w:p>
    <w:p>
      <w:pPr>
        <w:widowControl/>
        <w:numPr>
          <w:ilvl w:val="0"/>
          <w:numId w:val="9"/>
        </w:numPr>
        <w:shd w:val="clear" w:color="auto" w:fill="FFFFFF"/>
        <w:spacing w:line="360" w:lineRule="auto"/>
        <w:jc w:val="left"/>
        <w:rPr>
          <w:rFonts w:ascii="宋体" w:hAnsi="宋体"/>
          <w:kern w:val="0"/>
        </w:rPr>
      </w:pPr>
      <w:r>
        <w:rPr>
          <w:rFonts w:hint="eastAsia" w:ascii="宋体" w:hAnsi="宋体" w:cs="宋体"/>
          <w:b/>
          <w:bCs/>
          <w:kern w:val="0"/>
        </w:rPr>
        <w:t>有下列情形之一的，视为串通竞价，其报价无效：</w:t>
      </w:r>
    </w:p>
    <w:p>
      <w:pPr>
        <w:widowControl/>
        <w:numPr>
          <w:ilvl w:val="2"/>
          <w:numId w:val="10"/>
        </w:numPr>
        <w:spacing w:line="360" w:lineRule="auto"/>
        <w:ind w:left="420" w:firstLine="0"/>
        <w:jc w:val="left"/>
        <w:rPr>
          <w:rFonts w:ascii="宋体" w:hAnsi="宋体"/>
        </w:rPr>
      </w:pPr>
      <w:r>
        <w:rPr>
          <w:rFonts w:hint="eastAsia" w:ascii="宋体" w:hAnsi="宋体"/>
        </w:rPr>
        <w:t>存在单位负责人为同一人或存在控股、管理关系的不同单位参与同一竞价项目；</w:t>
      </w:r>
    </w:p>
    <w:p>
      <w:pPr>
        <w:widowControl/>
        <w:numPr>
          <w:ilvl w:val="2"/>
          <w:numId w:val="10"/>
        </w:numPr>
        <w:spacing w:line="360" w:lineRule="auto"/>
        <w:ind w:left="420" w:firstLine="0"/>
        <w:jc w:val="left"/>
        <w:rPr>
          <w:rFonts w:ascii="宋体" w:hAnsi="宋体"/>
        </w:rPr>
      </w:pPr>
      <w:r>
        <w:rPr>
          <w:rFonts w:hint="eastAsia" w:ascii="宋体" w:hAnsi="宋体" w:cs="宋体"/>
        </w:rPr>
        <w:t>不同竞价人的响应文件由同一单位或者个人编制；</w:t>
      </w:r>
    </w:p>
    <w:p>
      <w:pPr>
        <w:widowControl/>
        <w:numPr>
          <w:ilvl w:val="2"/>
          <w:numId w:val="10"/>
        </w:numPr>
        <w:spacing w:line="360" w:lineRule="auto"/>
        <w:ind w:left="420" w:firstLine="0"/>
        <w:jc w:val="left"/>
        <w:rPr>
          <w:rFonts w:ascii="宋体" w:hAnsi="宋体"/>
        </w:rPr>
      </w:pPr>
      <w:r>
        <w:rPr>
          <w:rFonts w:hint="eastAsia" w:ascii="宋体" w:hAnsi="宋体" w:cs="宋体"/>
        </w:rPr>
        <w:t>不同竞价人委托同一单位或者个人办理竞价事宜；</w:t>
      </w:r>
    </w:p>
    <w:p>
      <w:pPr>
        <w:widowControl/>
        <w:numPr>
          <w:ilvl w:val="2"/>
          <w:numId w:val="10"/>
        </w:numPr>
        <w:spacing w:line="360" w:lineRule="auto"/>
        <w:ind w:left="420" w:firstLine="0"/>
        <w:jc w:val="left"/>
        <w:rPr>
          <w:rFonts w:ascii="宋体" w:hAnsi="宋体"/>
          <w:b/>
          <w:bCs/>
        </w:rPr>
      </w:pPr>
      <w:r>
        <w:rPr>
          <w:rFonts w:hint="eastAsia" w:ascii="宋体" w:hAnsi="宋体" w:cs="宋体"/>
          <w:b/>
          <w:bCs/>
        </w:rPr>
        <w:t>不同竞价人使用同一</w:t>
      </w:r>
      <w:r>
        <w:rPr>
          <w:rFonts w:ascii="宋体" w:hAnsi="宋体" w:cs="宋体"/>
          <w:b/>
          <w:bCs/>
        </w:rPr>
        <w:t>IP</w:t>
      </w:r>
      <w:r>
        <w:rPr>
          <w:rFonts w:hint="eastAsia" w:ascii="宋体" w:hAnsi="宋体" w:cs="宋体"/>
          <w:b/>
          <w:bCs/>
        </w:rPr>
        <w:t>地址参与竞价；</w:t>
      </w:r>
    </w:p>
    <w:p>
      <w:pPr>
        <w:widowControl/>
        <w:numPr>
          <w:ilvl w:val="2"/>
          <w:numId w:val="10"/>
        </w:numPr>
        <w:spacing w:line="360" w:lineRule="auto"/>
        <w:ind w:left="420" w:firstLine="0"/>
        <w:jc w:val="left"/>
        <w:rPr>
          <w:rFonts w:ascii="宋体" w:hAnsi="宋体"/>
        </w:rPr>
      </w:pPr>
      <w:r>
        <w:rPr>
          <w:rFonts w:hint="eastAsia" w:ascii="宋体" w:hAnsi="宋体" w:cs="宋体"/>
        </w:rPr>
        <w:t>不同竞价人的响应文件载明的项目管理成员或者联系人员为同一人；</w:t>
      </w:r>
    </w:p>
    <w:p>
      <w:pPr>
        <w:widowControl/>
        <w:numPr>
          <w:ilvl w:val="2"/>
          <w:numId w:val="10"/>
        </w:numPr>
        <w:spacing w:line="360" w:lineRule="auto"/>
        <w:ind w:left="420" w:firstLine="0"/>
        <w:jc w:val="left"/>
        <w:rPr>
          <w:rFonts w:ascii="宋体" w:hAnsi="宋体"/>
        </w:rPr>
      </w:pPr>
      <w:r>
        <w:rPr>
          <w:rFonts w:hint="eastAsia" w:ascii="宋体" w:hAnsi="宋体" w:cs="宋体"/>
        </w:rPr>
        <w:t>不同竞价人的响应文件异常一致或者报价呈规律性差异；</w:t>
      </w:r>
    </w:p>
    <w:p>
      <w:pPr>
        <w:widowControl/>
        <w:numPr>
          <w:ilvl w:val="2"/>
          <w:numId w:val="10"/>
        </w:numPr>
        <w:spacing w:line="360" w:lineRule="auto"/>
        <w:ind w:left="420" w:firstLine="0"/>
        <w:jc w:val="left"/>
        <w:rPr>
          <w:rFonts w:ascii="宋体" w:hAnsi="宋体"/>
        </w:rPr>
      </w:pPr>
      <w:r>
        <w:rPr>
          <w:rFonts w:hint="eastAsia" w:ascii="宋体" w:hAnsi="宋体" w:cs="宋体"/>
        </w:rPr>
        <w:t>不同竞价人的响应文件相互混淆。</w:t>
      </w:r>
    </w:p>
    <w:p>
      <w:pPr>
        <w:widowControl/>
        <w:numPr>
          <w:ilvl w:val="0"/>
          <w:numId w:val="11"/>
        </w:numPr>
        <w:spacing w:line="360" w:lineRule="auto"/>
        <w:jc w:val="left"/>
        <w:rPr>
          <w:rFonts w:ascii="宋体" w:hAnsi="宋体" w:cs="宋体"/>
          <w:b/>
          <w:bCs/>
        </w:rPr>
      </w:pPr>
      <w:r>
        <w:rPr>
          <w:rFonts w:hint="eastAsia" w:ascii="宋体" w:hAnsi="宋体" w:cs="宋体"/>
          <w:b/>
          <w:bCs/>
        </w:rPr>
        <w:t>竞价活动失败</w:t>
      </w:r>
    </w:p>
    <w:p>
      <w:pPr>
        <w:widowControl/>
        <w:numPr>
          <w:ilvl w:val="0"/>
          <w:numId w:val="12"/>
        </w:numPr>
        <w:spacing w:line="360" w:lineRule="auto"/>
        <w:jc w:val="left"/>
        <w:rPr>
          <w:rFonts w:ascii="宋体" w:hAnsi="宋体"/>
        </w:rPr>
      </w:pPr>
      <w:r>
        <w:rPr>
          <w:rFonts w:hint="eastAsia" w:ascii="宋体" w:hAnsi="宋体" w:cs="宋体"/>
        </w:rPr>
        <w:t>竞价人不足3家，本次竞价活动失败。</w:t>
      </w:r>
    </w:p>
    <w:p>
      <w:pPr>
        <w:widowControl/>
        <w:numPr>
          <w:ilvl w:val="0"/>
          <w:numId w:val="12"/>
        </w:numPr>
        <w:spacing w:line="360" w:lineRule="auto"/>
        <w:jc w:val="left"/>
        <w:rPr>
          <w:rFonts w:ascii="宋体" w:hAnsi="宋体"/>
        </w:rPr>
      </w:pPr>
      <w:r>
        <w:rPr>
          <w:rFonts w:hint="eastAsia" w:ascii="宋体" w:hAnsi="宋体" w:cs="宋体"/>
        </w:rPr>
        <w:t>出现影响竞价公正的违法、违规行为的。</w:t>
      </w:r>
    </w:p>
    <w:p>
      <w:pPr>
        <w:widowControl/>
        <w:numPr>
          <w:ilvl w:val="0"/>
          <w:numId w:val="12"/>
        </w:numPr>
        <w:spacing w:line="360" w:lineRule="auto"/>
        <w:jc w:val="left"/>
        <w:rPr>
          <w:rFonts w:ascii="宋体" w:hAnsi="宋体"/>
        </w:rPr>
      </w:pPr>
      <w:r>
        <w:rPr>
          <w:rFonts w:hint="eastAsia" w:ascii="宋体" w:hAnsi="宋体" w:cs="宋体"/>
        </w:rPr>
        <w:t>因重大变故，竞价任务取消的。</w:t>
      </w:r>
    </w:p>
    <w:p>
      <w:pPr>
        <w:widowControl/>
        <w:numPr>
          <w:ilvl w:val="0"/>
          <w:numId w:val="11"/>
        </w:numPr>
        <w:spacing w:line="360" w:lineRule="auto"/>
        <w:jc w:val="left"/>
        <w:rPr>
          <w:rFonts w:ascii="宋体" w:hAnsi="宋体"/>
          <w:b/>
          <w:bCs/>
        </w:rPr>
      </w:pPr>
      <w:r>
        <w:rPr>
          <w:rFonts w:hint="eastAsia" w:ascii="宋体" w:hAnsi="宋体" w:cs="宋体"/>
          <w:b/>
          <w:bCs/>
        </w:rPr>
        <w:t>使用费</w:t>
      </w:r>
    </w:p>
    <w:p>
      <w:pPr>
        <w:pStyle w:val="45"/>
        <w:numPr>
          <w:ilvl w:val="0"/>
          <w:numId w:val="13"/>
        </w:numPr>
        <w:spacing w:line="360" w:lineRule="auto"/>
        <w:ind w:firstLineChars="0"/>
        <w:rPr>
          <w:rFonts w:ascii="宋体" w:hAnsi="宋体"/>
          <w:kern w:val="0"/>
        </w:rPr>
      </w:pPr>
      <w:r>
        <w:rPr>
          <w:rFonts w:hint="eastAsia" w:ascii="宋体" w:hAnsi="宋体"/>
          <w:kern w:val="0"/>
        </w:rPr>
        <w:t>出售方向平台服务商云采链线上竞价一体化平台缴纳平台使用费，金额为人民币1000元。</w:t>
      </w:r>
    </w:p>
    <w:p>
      <w:pPr>
        <w:widowControl/>
        <w:numPr>
          <w:ilvl w:val="0"/>
          <w:numId w:val="11"/>
        </w:numPr>
        <w:spacing w:line="360" w:lineRule="auto"/>
        <w:jc w:val="left"/>
        <w:rPr>
          <w:rFonts w:ascii="宋体" w:hAnsi="宋体"/>
          <w:b/>
          <w:bCs/>
        </w:rPr>
      </w:pPr>
      <w:r>
        <w:rPr>
          <w:rFonts w:hint="eastAsia" w:ascii="宋体" w:hAnsi="宋体" w:cs="宋体"/>
          <w:b/>
          <w:bCs/>
        </w:rPr>
        <w:t>联系方式</w:t>
      </w:r>
    </w:p>
    <w:p>
      <w:pPr>
        <w:widowControl/>
        <w:spacing w:line="360" w:lineRule="auto"/>
        <w:ind w:left="420"/>
        <w:jc w:val="left"/>
        <w:rPr>
          <w:rFonts w:ascii="宋体" w:hAnsi="宋体"/>
        </w:rPr>
      </w:pPr>
      <w:r>
        <w:rPr>
          <w:rFonts w:hint="eastAsia" w:ascii="宋体" w:hAnsi="宋体" w:cs="宋体"/>
        </w:rPr>
        <w:t>扫码关注微信公众号</w:t>
      </w:r>
      <w:r>
        <w:rPr>
          <w:rFonts w:ascii="宋体" w:hAnsi="宋体"/>
        </w:rPr>
        <w:t>“</w:t>
      </w:r>
      <w:r>
        <w:rPr>
          <w:rFonts w:hint="eastAsia" w:ascii="宋体" w:hAnsi="宋体" w:cs="宋体"/>
        </w:rPr>
        <w:t>云采链互联服务平台</w:t>
      </w:r>
      <w:r>
        <w:rPr>
          <w:rFonts w:ascii="宋体" w:hAnsi="宋体"/>
        </w:rPr>
        <w:t>”</w:t>
      </w:r>
      <w:r>
        <w:rPr>
          <w:rFonts w:hint="eastAsia" w:ascii="宋体" w:hAnsi="宋体" w:cs="宋体"/>
        </w:rPr>
        <w:t>，即可在线咨询相关事项。</w:t>
      </w:r>
    </w:p>
    <w:p>
      <w:pPr>
        <w:widowControl/>
        <w:spacing w:line="360" w:lineRule="auto"/>
        <w:ind w:left="420"/>
        <w:jc w:val="center"/>
        <w:rPr>
          <w:b/>
          <w:bCs/>
          <w:sz w:val="28"/>
          <w:szCs w:val="28"/>
        </w:rPr>
      </w:pPr>
      <w:r>
        <w:rPr>
          <w:rFonts w:ascii="宋体"/>
        </w:rPr>
        <w:drawing>
          <wp:inline distT="0" distB="0" distL="0" distR="0">
            <wp:extent cx="1647825" cy="1647825"/>
            <wp:effectExtent l="0" t="0" r="9525" b="952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47825" cy="1647825"/>
                    </a:xfrm>
                    <a:prstGeom prst="rect">
                      <a:avLst/>
                    </a:prstGeom>
                    <a:noFill/>
                    <a:ln>
                      <a:noFill/>
                    </a:ln>
                  </pic:spPr>
                </pic:pic>
              </a:graphicData>
            </a:graphic>
          </wp:inline>
        </w:drawing>
      </w:r>
    </w:p>
    <w:p>
      <w:pPr>
        <w:widowControl/>
        <w:jc w:val="left"/>
        <w:rPr>
          <w:rFonts w:cs="宋体"/>
          <w:b/>
          <w:bCs/>
          <w:sz w:val="28"/>
          <w:szCs w:val="28"/>
        </w:rPr>
      </w:pPr>
      <w:r>
        <w:rPr>
          <w:rFonts w:cs="宋体"/>
          <w:b/>
          <w:bCs/>
          <w:sz w:val="28"/>
          <w:szCs w:val="28"/>
        </w:rPr>
        <w:br w:type="page"/>
      </w:r>
    </w:p>
    <w:p>
      <w:pPr>
        <w:snapToGrid w:val="0"/>
        <w:spacing w:line="360" w:lineRule="auto"/>
        <w:jc w:val="center"/>
        <w:outlineLvl w:val="0"/>
        <w:rPr>
          <w:rFonts w:cs="Times New Roman"/>
          <w:sz w:val="28"/>
          <w:szCs w:val="28"/>
        </w:rPr>
      </w:pPr>
      <w:r>
        <w:rPr>
          <w:rFonts w:hint="eastAsia" w:cs="宋体"/>
          <w:b/>
          <w:bCs/>
          <w:sz w:val="28"/>
          <w:szCs w:val="28"/>
        </w:rPr>
        <w:t>第二章</w:t>
      </w:r>
      <w:r>
        <w:rPr>
          <w:b/>
          <w:bCs/>
          <w:sz w:val="28"/>
          <w:szCs w:val="28"/>
        </w:rPr>
        <w:t xml:space="preserve">  </w:t>
      </w:r>
      <w:r>
        <w:rPr>
          <w:rFonts w:hint="eastAsia" w:cs="宋体"/>
          <w:b/>
          <w:bCs/>
          <w:sz w:val="28"/>
          <w:szCs w:val="28"/>
        </w:rPr>
        <w:t>用户需求书</w:t>
      </w:r>
      <w:bookmarkEnd w:id="0"/>
      <w:bookmarkEnd w:id="1"/>
    </w:p>
    <w:p>
      <w:pPr>
        <w:snapToGrid w:val="0"/>
        <w:spacing w:line="440" w:lineRule="exact"/>
        <w:ind w:left="517" w:hanging="517" w:hangingChars="245"/>
        <w:rPr>
          <w:rFonts w:ascii="宋体" w:hAnsi="宋体" w:cs="Times New Roman"/>
          <w:b/>
          <w:bCs/>
        </w:rPr>
      </w:pPr>
      <w:r>
        <w:rPr>
          <w:rFonts w:hint="eastAsia" w:ascii="宋体" w:hAnsi="宋体" w:cs="宋体"/>
          <w:b/>
          <w:bCs/>
        </w:rPr>
        <w:t>说明：</w:t>
      </w:r>
    </w:p>
    <w:p>
      <w:pPr>
        <w:numPr>
          <w:ilvl w:val="0"/>
          <w:numId w:val="14"/>
        </w:numPr>
        <w:snapToGrid w:val="0"/>
        <w:spacing w:line="360" w:lineRule="auto"/>
        <w:rPr>
          <w:rFonts w:ascii="宋体" w:hAnsi="宋体" w:cs="宋体"/>
          <w:b/>
          <w:bCs/>
        </w:rPr>
      </w:pPr>
      <w:r>
        <w:rPr>
          <w:rFonts w:hint="eastAsia" w:ascii="宋体" w:hAnsi="宋体" w:cs="宋体"/>
          <w:b/>
          <w:bCs/>
        </w:rPr>
        <w:t>响应竞价人须对本项目进行整体响应，任何只对其中一部分进行的响应都被视为无效响应。</w:t>
      </w:r>
      <w:r>
        <w:rPr>
          <w:rFonts w:ascii="宋体" w:hAnsi="宋体" w:cs="宋体"/>
          <w:b/>
          <w:bCs/>
        </w:rPr>
        <w:t xml:space="preserve"> </w:t>
      </w:r>
    </w:p>
    <w:p>
      <w:pPr>
        <w:pStyle w:val="7"/>
        <w:numPr>
          <w:ilvl w:val="0"/>
          <w:numId w:val="15"/>
        </w:numPr>
        <w:tabs>
          <w:tab w:val="left" w:pos="540"/>
        </w:tabs>
        <w:adjustRightInd w:val="0"/>
        <w:snapToGrid w:val="0"/>
        <w:spacing w:line="360" w:lineRule="auto"/>
        <w:rPr>
          <w:rFonts w:hAnsi="宋体" w:cs="Times New Roman"/>
          <w:b/>
          <w:bCs/>
        </w:rPr>
      </w:pPr>
      <w:r>
        <w:rPr>
          <w:rFonts w:hint="eastAsia" w:hAnsi="宋体"/>
          <w:b/>
          <w:bCs/>
        </w:rPr>
        <w:t>项目一览表</w:t>
      </w:r>
    </w:p>
    <w:tbl>
      <w:tblPr>
        <w:tblStyle w:val="15"/>
        <w:tblW w:w="925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fixed"/>
        <w:tblCellMar>
          <w:top w:w="0" w:type="dxa"/>
          <w:left w:w="108" w:type="dxa"/>
          <w:bottom w:w="0" w:type="dxa"/>
          <w:right w:w="108" w:type="dxa"/>
        </w:tblCellMar>
      </w:tblPr>
      <w:tblGrid>
        <w:gridCol w:w="2820"/>
        <w:gridCol w:w="4678"/>
        <w:gridCol w:w="175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65" w:hRule="atLeast"/>
          <w:jc w:val="center"/>
        </w:trPr>
        <w:tc>
          <w:tcPr>
            <w:tcW w:w="2820" w:type="dxa"/>
            <w:tcBorders>
              <w:top w:val="single" w:color="auto" w:sz="12" w:space="0"/>
            </w:tcBorders>
            <w:shd w:val="clear" w:color="auto" w:fill="EEECE1"/>
            <w:vAlign w:val="center"/>
          </w:tcPr>
          <w:p>
            <w:pPr>
              <w:jc w:val="center"/>
              <w:rPr>
                <w:rFonts w:ascii="宋体" w:hAnsi="宋体" w:cs="Times New Roman"/>
                <w:b/>
                <w:bCs/>
              </w:rPr>
            </w:pPr>
            <w:r>
              <w:rPr>
                <w:rFonts w:hint="eastAsia" w:ascii="宋体" w:hAnsi="宋体" w:cs="宋体"/>
                <w:b/>
                <w:bCs/>
              </w:rPr>
              <w:t>竞价内容</w:t>
            </w:r>
          </w:p>
        </w:tc>
        <w:tc>
          <w:tcPr>
            <w:tcW w:w="4678" w:type="dxa"/>
            <w:tcBorders>
              <w:top w:val="single" w:color="auto" w:sz="12" w:space="0"/>
            </w:tcBorders>
            <w:shd w:val="clear" w:color="auto" w:fill="EEECE1"/>
            <w:vAlign w:val="center"/>
          </w:tcPr>
          <w:p>
            <w:pPr>
              <w:jc w:val="center"/>
              <w:rPr>
                <w:rFonts w:ascii="宋体" w:hAnsi="宋体" w:cs="Times New Roman"/>
                <w:b/>
                <w:bCs/>
              </w:rPr>
            </w:pPr>
            <w:r>
              <w:rPr>
                <w:rFonts w:hint="eastAsia" w:ascii="宋体" w:hAnsi="宋体" w:cs="Times New Roman"/>
                <w:b/>
                <w:bCs/>
              </w:rPr>
              <w:t>参数</w:t>
            </w:r>
          </w:p>
        </w:tc>
        <w:tc>
          <w:tcPr>
            <w:tcW w:w="1754" w:type="dxa"/>
            <w:tcBorders>
              <w:top w:val="single" w:color="auto" w:sz="12" w:space="0"/>
            </w:tcBorders>
            <w:shd w:val="clear" w:color="auto" w:fill="EEECE1"/>
            <w:vAlign w:val="center"/>
          </w:tcPr>
          <w:p>
            <w:pPr>
              <w:jc w:val="center"/>
              <w:rPr>
                <w:rFonts w:ascii="宋体" w:hAnsi="宋体" w:cs="Times New Roman"/>
              </w:rPr>
            </w:pPr>
            <w:r>
              <w:rPr>
                <w:rFonts w:hint="eastAsia" w:ascii="宋体" w:hAnsi="宋体" w:cs="宋体"/>
                <w:b/>
                <w:bCs/>
              </w:rPr>
              <w:t>最低限价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613" w:hRule="atLeast"/>
          <w:jc w:val="center"/>
        </w:trPr>
        <w:tc>
          <w:tcPr>
            <w:tcW w:w="2820" w:type="dxa"/>
            <w:vAlign w:val="center"/>
          </w:tcPr>
          <w:p>
            <w:pPr>
              <w:jc w:val="center"/>
              <w:rPr>
                <w:rFonts w:ascii="宋体" w:hAnsi="宋体" w:cs="Times New Roman"/>
              </w:rPr>
            </w:pPr>
            <w:r>
              <w:rPr>
                <w:rFonts w:hint="eastAsia" w:ascii="宋体" w:hAnsi="宋体" w:cs="Times New Roman"/>
              </w:rPr>
              <w:t>江门绿源环保有限公司工业用废油脂购销项目（2024年第</w:t>
            </w:r>
            <w:r>
              <w:rPr>
                <w:rFonts w:hint="eastAsia" w:ascii="宋体" w:hAnsi="宋体" w:cs="Times New Roman"/>
                <w:lang w:val="en-US" w:eastAsia="zh-CN"/>
              </w:rPr>
              <w:t>2</w:t>
            </w:r>
            <w:r>
              <w:rPr>
                <w:rFonts w:hint="eastAsia" w:ascii="宋体" w:hAnsi="宋体" w:cs="Times New Roman"/>
              </w:rPr>
              <w:t>期）</w:t>
            </w:r>
          </w:p>
        </w:tc>
        <w:tc>
          <w:tcPr>
            <w:tcW w:w="4678" w:type="dxa"/>
            <w:vAlign w:val="center"/>
          </w:tcPr>
          <w:p>
            <w:pPr>
              <w:pStyle w:val="7"/>
              <w:tabs>
                <w:tab w:val="left" w:pos="540"/>
              </w:tabs>
              <w:adjustRightInd w:val="0"/>
              <w:snapToGrid w:val="0"/>
              <w:jc w:val="center"/>
              <w:rPr>
                <w:rFonts w:hAnsi="宋体"/>
              </w:rPr>
            </w:pPr>
            <w:r>
              <w:rPr>
                <w:rFonts w:hint="eastAsia" w:hAnsi="宋体"/>
                <w:kern w:val="2"/>
              </w:rPr>
              <w:t>含油率28%～32%，每次提货量约</w:t>
            </w:r>
            <w:r>
              <w:rPr>
                <w:rFonts w:hAnsi="宋体"/>
                <w:kern w:val="2"/>
              </w:rPr>
              <w:t>5</w:t>
            </w:r>
            <w:r>
              <w:rPr>
                <w:rFonts w:hint="eastAsia" w:hAnsi="宋体"/>
                <w:kern w:val="2"/>
              </w:rPr>
              <w:t>-</w:t>
            </w:r>
            <w:r>
              <w:rPr>
                <w:rFonts w:hAnsi="宋体"/>
                <w:kern w:val="2"/>
              </w:rPr>
              <w:t>10</w:t>
            </w:r>
            <w:r>
              <w:rPr>
                <w:rFonts w:hint="eastAsia" w:hAnsi="宋体"/>
                <w:kern w:val="2"/>
              </w:rPr>
              <w:t>吨。本次外销周期202</w:t>
            </w:r>
            <w:r>
              <w:rPr>
                <w:rFonts w:hint="eastAsia" w:hAnsi="宋体"/>
                <w:kern w:val="2"/>
                <w:lang w:val="en-US" w:eastAsia="zh-CN"/>
              </w:rPr>
              <w:t>4</w:t>
            </w:r>
            <w:r>
              <w:rPr>
                <w:rFonts w:hint="eastAsia" w:hAnsi="宋体"/>
                <w:kern w:val="2"/>
              </w:rPr>
              <w:t>年</w:t>
            </w:r>
            <w:r>
              <w:rPr>
                <w:rFonts w:hint="eastAsia" w:hAnsi="宋体"/>
                <w:kern w:val="2"/>
                <w:lang w:val="en-US" w:eastAsia="zh-CN"/>
              </w:rPr>
              <w:t>5</w:t>
            </w:r>
            <w:r>
              <w:rPr>
                <w:rFonts w:hint="eastAsia" w:hAnsi="宋体"/>
                <w:kern w:val="2"/>
              </w:rPr>
              <w:t>月</w:t>
            </w:r>
            <w:r>
              <w:rPr>
                <w:rFonts w:hint="eastAsia" w:hAnsi="宋体"/>
                <w:kern w:val="2"/>
                <w:lang w:val="en-US" w:eastAsia="zh-CN"/>
              </w:rPr>
              <w:t>11</w:t>
            </w:r>
            <w:r>
              <w:rPr>
                <w:rFonts w:hint="eastAsia" w:hAnsi="宋体"/>
                <w:kern w:val="2"/>
              </w:rPr>
              <w:t>日至</w:t>
            </w:r>
            <w:r>
              <w:rPr>
                <w:rFonts w:hint="eastAsia" w:hAnsi="宋体"/>
                <w:kern w:val="2"/>
                <w:lang w:val="en-US" w:eastAsia="zh-CN"/>
              </w:rPr>
              <w:t>2024年8</w:t>
            </w:r>
            <w:r>
              <w:rPr>
                <w:rFonts w:hint="eastAsia" w:hAnsi="宋体"/>
                <w:kern w:val="2"/>
              </w:rPr>
              <w:t>月10日，预估货物量为：</w:t>
            </w:r>
            <w:r>
              <w:rPr>
                <w:rFonts w:hint="eastAsia" w:hAnsi="宋体"/>
              </w:rPr>
              <w:t>300-450</w:t>
            </w:r>
            <w:r>
              <w:rPr>
                <w:rFonts w:hint="eastAsia" w:hAnsi="宋体"/>
                <w:kern w:val="2"/>
                <w:highlight w:val="none"/>
              </w:rPr>
              <w:t>吨</w:t>
            </w:r>
            <w:r>
              <w:rPr>
                <w:rFonts w:hint="eastAsia" w:hAnsi="宋体"/>
                <w:kern w:val="2"/>
              </w:rPr>
              <w:t>。</w:t>
            </w:r>
          </w:p>
        </w:tc>
        <w:tc>
          <w:tcPr>
            <w:tcW w:w="1754" w:type="dxa"/>
            <w:vAlign w:val="center"/>
          </w:tcPr>
          <w:p>
            <w:pPr>
              <w:jc w:val="center"/>
              <w:rPr>
                <w:rFonts w:ascii="宋体" w:hAnsi="宋体" w:cs="Times New Roman"/>
              </w:rPr>
            </w:pPr>
            <w:r>
              <w:rPr>
                <w:rFonts w:hint="eastAsia" w:ascii="宋体" w:hAnsi="宋体" w:cs="宋体"/>
                <w:highlight w:val="none"/>
              </w:rPr>
              <w:t>人民币</w:t>
            </w:r>
            <w:r>
              <w:rPr>
                <w:rFonts w:hint="eastAsia" w:ascii="宋体" w:hAnsi="宋体" w:cs="宋体"/>
                <w:highlight w:val="none"/>
                <w:lang w:val="en-US" w:eastAsia="zh-CN"/>
              </w:rPr>
              <w:t>1200</w:t>
            </w:r>
            <w:r>
              <w:rPr>
                <w:rFonts w:hint="eastAsia" w:ascii="宋体" w:hAnsi="宋体" w:cs="宋体"/>
                <w:highlight w:val="none"/>
              </w:rPr>
              <w:t>元（含税）</w:t>
            </w:r>
          </w:p>
        </w:tc>
      </w:tr>
    </w:tbl>
    <w:p>
      <w:pPr>
        <w:pStyle w:val="7"/>
        <w:numPr>
          <w:ilvl w:val="0"/>
          <w:numId w:val="15"/>
        </w:numPr>
        <w:tabs>
          <w:tab w:val="left" w:pos="540"/>
        </w:tabs>
        <w:adjustRightInd w:val="0"/>
        <w:snapToGrid w:val="0"/>
        <w:spacing w:line="360" w:lineRule="auto"/>
        <w:ind w:left="0" w:firstLine="0"/>
        <w:rPr>
          <w:rFonts w:hAnsi="宋体"/>
          <w:b/>
          <w:bCs/>
        </w:rPr>
      </w:pPr>
      <w:r>
        <w:rPr>
          <w:rFonts w:hint="eastAsia" w:hAnsi="宋体"/>
          <w:b/>
          <w:bCs/>
        </w:rPr>
        <w:t>项目概况及内容</w:t>
      </w:r>
    </w:p>
    <w:p>
      <w:pPr>
        <w:pStyle w:val="7"/>
        <w:tabs>
          <w:tab w:val="left" w:pos="0"/>
          <w:tab w:val="left" w:pos="540"/>
        </w:tabs>
        <w:adjustRightInd w:val="0"/>
        <w:snapToGrid w:val="0"/>
        <w:spacing w:line="360" w:lineRule="auto"/>
        <w:ind w:firstLine="420" w:firstLineChars="200"/>
        <w:rPr>
          <w:rFonts w:hAnsi="宋体"/>
        </w:rPr>
      </w:pPr>
      <w:r>
        <w:rPr>
          <w:rFonts w:hint="eastAsia" w:hAnsi="宋体"/>
        </w:rPr>
        <w:t>工业用废油脂（以下简称“货物”）来源：餐厨垃圾加工、提炼后的产品。</w:t>
      </w:r>
    </w:p>
    <w:p>
      <w:pPr>
        <w:pStyle w:val="7"/>
        <w:tabs>
          <w:tab w:val="left" w:pos="540"/>
        </w:tabs>
        <w:adjustRightInd w:val="0"/>
        <w:snapToGrid w:val="0"/>
        <w:spacing w:line="360" w:lineRule="auto"/>
        <w:ind w:firstLine="420" w:firstLineChars="200"/>
        <w:rPr>
          <w:rFonts w:hAnsi="宋体"/>
        </w:rPr>
      </w:pPr>
      <w:r>
        <w:rPr>
          <w:rFonts w:hint="eastAsia" w:hAnsi="宋体"/>
        </w:rPr>
        <w:t>货物参数：含油率2</w:t>
      </w:r>
      <w:r>
        <w:rPr>
          <w:rFonts w:hAnsi="宋体"/>
        </w:rPr>
        <w:t>8%</w:t>
      </w:r>
      <w:r>
        <w:rPr>
          <w:rFonts w:hint="eastAsia" w:hAnsi="宋体"/>
        </w:rPr>
        <w:t>～3</w:t>
      </w:r>
      <w:r>
        <w:rPr>
          <w:rFonts w:hAnsi="宋体"/>
        </w:rPr>
        <w:t>2%</w:t>
      </w:r>
      <w:r>
        <w:rPr>
          <w:rFonts w:hint="eastAsia" w:hAnsi="宋体"/>
        </w:rPr>
        <w:t>，每次提货量约</w:t>
      </w:r>
      <w:r>
        <w:rPr>
          <w:rFonts w:hAnsi="宋体"/>
        </w:rPr>
        <w:t>5-10</w:t>
      </w:r>
      <w:r>
        <w:rPr>
          <w:rFonts w:hint="eastAsia" w:hAnsi="宋体"/>
        </w:rPr>
        <w:t>吨。本次外销周期</w:t>
      </w:r>
      <w:r>
        <w:rPr>
          <w:rFonts w:hint="eastAsia" w:hAnsi="宋体"/>
          <w:kern w:val="2"/>
        </w:rPr>
        <w:t>202</w:t>
      </w:r>
      <w:r>
        <w:rPr>
          <w:rFonts w:hint="eastAsia" w:hAnsi="宋体"/>
          <w:kern w:val="2"/>
          <w:lang w:val="en-US" w:eastAsia="zh-CN"/>
        </w:rPr>
        <w:t>4</w:t>
      </w:r>
      <w:r>
        <w:rPr>
          <w:rFonts w:hint="eastAsia" w:hAnsi="宋体"/>
          <w:kern w:val="2"/>
        </w:rPr>
        <w:t>年</w:t>
      </w:r>
      <w:r>
        <w:rPr>
          <w:rFonts w:hint="eastAsia" w:hAnsi="宋体"/>
          <w:kern w:val="2"/>
          <w:lang w:val="en-US" w:eastAsia="zh-CN"/>
        </w:rPr>
        <w:t>5</w:t>
      </w:r>
      <w:r>
        <w:rPr>
          <w:rFonts w:hint="eastAsia" w:hAnsi="宋体"/>
          <w:kern w:val="2"/>
        </w:rPr>
        <w:t>月</w:t>
      </w:r>
      <w:r>
        <w:rPr>
          <w:rFonts w:hint="eastAsia" w:hAnsi="宋体"/>
          <w:kern w:val="2"/>
          <w:lang w:val="en-US" w:eastAsia="zh-CN"/>
        </w:rPr>
        <w:t>11</w:t>
      </w:r>
      <w:r>
        <w:rPr>
          <w:rFonts w:hint="eastAsia" w:hAnsi="宋体"/>
          <w:kern w:val="2"/>
        </w:rPr>
        <w:t>日至</w:t>
      </w:r>
      <w:r>
        <w:rPr>
          <w:rFonts w:hint="eastAsia" w:hAnsi="宋体"/>
          <w:kern w:val="2"/>
          <w:lang w:val="en-US" w:eastAsia="zh-CN"/>
        </w:rPr>
        <w:t>2024年8</w:t>
      </w:r>
      <w:r>
        <w:rPr>
          <w:rFonts w:hint="eastAsia" w:hAnsi="宋体"/>
          <w:kern w:val="2"/>
        </w:rPr>
        <w:t>月10日</w:t>
      </w:r>
      <w:r>
        <w:rPr>
          <w:rFonts w:hint="eastAsia" w:hAnsi="宋体"/>
        </w:rPr>
        <w:t>，预估货物量为：300-450吨。</w:t>
      </w:r>
    </w:p>
    <w:p>
      <w:pPr>
        <w:pStyle w:val="7"/>
        <w:tabs>
          <w:tab w:val="left" w:pos="420"/>
          <w:tab w:val="left" w:pos="540"/>
        </w:tabs>
        <w:adjustRightInd w:val="0"/>
        <w:snapToGrid w:val="0"/>
        <w:spacing w:line="360" w:lineRule="auto"/>
        <w:ind w:left="420"/>
        <w:rPr>
          <w:rFonts w:hAnsi="宋体"/>
          <w:b/>
          <w:bCs/>
        </w:rPr>
      </w:pPr>
      <w:r>
        <w:rPr>
          <w:rFonts w:hint="eastAsia" w:hAnsi="宋体"/>
        </w:rPr>
        <w:t>工业用废油脂以</w:t>
      </w:r>
      <w:r>
        <w:rPr>
          <w:rFonts w:hint="eastAsia" w:hAnsi="宋体"/>
          <w:lang w:val="en-US" w:eastAsia="zh-CN"/>
        </w:rPr>
        <w:t>1</w:t>
      </w:r>
      <w:r>
        <w:rPr>
          <w:rFonts w:hint="eastAsia" w:hAnsi="宋体"/>
          <w:highlight w:val="none"/>
          <w:lang w:val="en-US" w:eastAsia="zh-CN"/>
        </w:rPr>
        <w:t>200</w:t>
      </w:r>
      <w:r>
        <w:rPr>
          <w:rFonts w:hint="eastAsia" w:hAnsi="宋体"/>
          <w:highlight w:val="none"/>
        </w:rPr>
        <w:t>元</w:t>
      </w:r>
      <w:r>
        <w:rPr>
          <w:rFonts w:hAnsi="宋体"/>
          <w:highlight w:val="none"/>
        </w:rPr>
        <w:t>/</w:t>
      </w:r>
      <w:r>
        <w:rPr>
          <w:rFonts w:hint="eastAsia" w:hAnsi="宋体"/>
          <w:highlight w:val="none"/>
        </w:rPr>
        <w:t>吨（含税价）</w:t>
      </w:r>
      <w:r>
        <w:rPr>
          <w:rFonts w:hint="eastAsia" w:hAnsi="宋体"/>
        </w:rPr>
        <w:t>为基准单价进行竞价，不设上限价。</w:t>
      </w:r>
    </w:p>
    <w:p>
      <w:pPr>
        <w:pStyle w:val="7"/>
        <w:numPr>
          <w:ilvl w:val="0"/>
          <w:numId w:val="15"/>
        </w:numPr>
        <w:tabs>
          <w:tab w:val="left" w:pos="540"/>
        </w:tabs>
        <w:adjustRightInd w:val="0"/>
        <w:snapToGrid w:val="0"/>
        <w:spacing w:line="360" w:lineRule="auto"/>
        <w:rPr>
          <w:rFonts w:hAnsi="宋体"/>
          <w:b/>
          <w:bCs/>
        </w:rPr>
      </w:pPr>
      <w:r>
        <w:rPr>
          <w:rFonts w:hint="eastAsia" w:hAnsi="宋体"/>
          <w:b/>
          <w:bCs/>
        </w:rPr>
        <w:t>项目要求</w:t>
      </w:r>
    </w:p>
    <w:p>
      <w:pPr>
        <w:pStyle w:val="7"/>
        <w:tabs>
          <w:tab w:val="left" w:pos="0"/>
          <w:tab w:val="left" w:pos="540"/>
        </w:tabs>
        <w:adjustRightInd w:val="0"/>
        <w:snapToGrid w:val="0"/>
        <w:spacing w:line="360" w:lineRule="auto"/>
        <w:ind w:firstLine="420" w:firstLineChars="200"/>
        <w:rPr>
          <w:rFonts w:hAnsi="宋体"/>
        </w:rPr>
      </w:pPr>
      <w:r>
        <w:rPr>
          <w:rFonts w:hint="eastAsia" w:hAnsi="宋体"/>
        </w:rPr>
        <w:t>合同期内，出售方有权要求成交人提供工业用废油脂处置后产品的去向证明资料，包括但不限于入仓资料、生产台账、工业产品销售凭证。</w:t>
      </w:r>
    </w:p>
    <w:p>
      <w:pPr>
        <w:pStyle w:val="7"/>
        <w:tabs>
          <w:tab w:val="left" w:pos="0"/>
          <w:tab w:val="left" w:pos="540"/>
        </w:tabs>
        <w:adjustRightInd w:val="0"/>
        <w:snapToGrid w:val="0"/>
        <w:spacing w:line="360" w:lineRule="auto"/>
        <w:ind w:firstLine="420" w:firstLineChars="200"/>
        <w:rPr>
          <w:rFonts w:hAnsi="宋体"/>
        </w:rPr>
      </w:pPr>
      <w:r>
        <w:rPr>
          <w:rFonts w:hint="eastAsia" w:hAnsi="宋体"/>
        </w:rPr>
        <w:t>若出售方接到有效投诉、政府处罚投诉、文字音像等有关材料证明举证或者疑似成交人存在将货物进行二次转卖或非经营范围内售卖的情况，出售方有权单方解除合同。</w:t>
      </w:r>
    </w:p>
    <w:p>
      <w:pPr>
        <w:pStyle w:val="7"/>
        <w:numPr>
          <w:ilvl w:val="0"/>
          <w:numId w:val="15"/>
        </w:numPr>
        <w:tabs>
          <w:tab w:val="left" w:pos="540"/>
        </w:tabs>
        <w:adjustRightInd w:val="0"/>
        <w:snapToGrid w:val="0"/>
        <w:spacing w:line="360" w:lineRule="auto"/>
        <w:rPr>
          <w:rFonts w:hAnsi="宋体"/>
          <w:b/>
          <w:bCs/>
        </w:rPr>
      </w:pPr>
      <w:r>
        <w:rPr>
          <w:rFonts w:hint="eastAsia" w:hAnsi="宋体"/>
          <w:b/>
          <w:bCs/>
        </w:rPr>
        <w:t>外销要求</w:t>
      </w:r>
    </w:p>
    <w:p>
      <w:pPr>
        <w:spacing w:line="360" w:lineRule="auto"/>
        <w:ind w:firstLine="420" w:firstLineChars="200"/>
        <w:rPr>
          <w:rFonts w:ascii="宋体" w:hAnsi="宋体"/>
        </w:rPr>
      </w:pPr>
      <w:r>
        <w:rPr>
          <w:rFonts w:hint="eastAsia" w:ascii="宋体" w:hAnsi="宋体"/>
        </w:rPr>
        <w:t>在接到出售方通知后，成交人第二天自行到达指定地点提货并负责货物称重、运输（运输车辆需带有自吸功能）。</w:t>
      </w:r>
    </w:p>
    <w:p>
      <w:pPr>
        <w:spacing w:line="360" w:lineRule="auto"/>
        <w:ind w:firstLine="420" w:firstLineChars="200"/>
        <w:rPr>
          <w:rFonts w:ascii="宋体" w:hAnsi="宋体"/>
        </w:rPr>
      </w:pPr>
      <w:r>
        <w:rPr>
          <w:rFonts w:hint="eastAsia" w:ascii="宋体" w:hAnsi="宋体"/>
        </w:rPr>
        <w:t>收货时当场对货物进行验收，未验收的，按该批次货物符合质量标准要求。</w:t>
      </w:r>
    </w:p>
    <w:p>
      <w:pPr>
        <w:spacing w:line="360" w:lineRule="auto"/>
        <w:ind w:firstLine="420" w:firstLineChars="200"/>
        <w:rPr>
          <w:rFonts w:ascii="宋体" w:hAnsi="宋体"/>
        </w:rPr>
      </w:pPr>
      <w:r>
        <w:rPr>
          <w:rFonts w:hint="eastAsia" w:ascii="宋体" w:hAnsi="宋体"/>
        </w:rPr>
        <w:t>如双方对货物含量有异议的，出售方可进行复测，如复测结果符合验收标准的，而成交人不可接受的，出售方可另行处置该批次货物。</w:t>
      </w:r>
    </w:p>
    <w:p>
      <w:pPr>
        <w:spacing w:line="360" w:lineRule="auto"/>
        <w:ind w:firstLine="420" w:firstLineChars="200"/>
        <w:rPr>
          <w:rFonts w:ascii="宋体" w:hAnsi="宋体"/>
        </w:rPr>
      </w:pPr>
      <w:r>
        <w:rPr>
          <w:rFonts w:hint="eastAsia" w:ascii="宋体" w:hAnsi="宋体"/>
        </w:rPr>
        <w:t>在合同期内，货物的产量存在不稳定性，成交人在履行合同过程中不可因供应量不稳定而向出售方追责索赔，也不得以此投诉出售方，损毁出售方商誉名誉。</w:t>
      </w:r>
    </w:p>
    <w:p>
      <w:pPr>
        <w:spacing w:line="360" w:lineRule="auto"/>
        <w:ind w:firstLine="420" w:firstLineChars="200"/>
        <w:rPr>
          <w:rFonts w:ascii="宋体" w:hAnsi="宋体"/>
        </w:rPr>
      </w:pPr>
      <w:r>
        <w:rPr>
          <w:rFonts w:hint="eastAsia" w:ascii="宋体" w:hAnsi="宋体"/>
        </w:rPr>
        <w:t>成交人在收到《成交通知书》后五日内向出售方提交履约保证金并签订合同。本项目履约保证金额为人民</w:t>
      </w:r>
      <w:r>
        <w:rPr>
          <w:rFonts w:hint="eastAsia" w:ascii="宋体" w:hAnsi="宋体"/>
          <w:highlight w:val="none"/>
        </w:rPr>
        <w:t>币贰万元整（</w:t>
      </w:r>
      <w:r>
        <w:rPr>
          <w:rFonts w:hint="eastAsia" w:ascii="宋体" w:hAnsi="宋体" w:cs="宋体"/>
          <w:highlight w:val="none"/>
        </w:rPr>
        <w:t>¥</w:t>
      </w:r>
      <w:r>
        <w:rPr>
          <w:rFonts w:ascii="宋体" w:hAnsi="宋体"/>
          <w:highlight w:val="none"/>
        </w:rPr>
        <w:t>20000.00</w:t>
      </w:r>
      <w:r>
        <w:rPr>
          <w:rFonts w:hint="eastAsia" w:ascii="宋体" w:hAnsi="宋体"/>
          <w:highlight w:val="none"/>
        </w:rPr>
        <w:t>元）。合同履行期限届满之日起10个工作日内，</w:t>
      </w:r>
      <w:r>
        <w:rPr>
          <w:rFonts w:hint="eastAsia" w:ascii="宋体" w:hAnsi="宋体"/>
        </w:rPr>
        <w:t>成交人凭履约保证金相关凭证向成交人办理无息退还保证金手续。</w:t>
      </w:r>
    </w:p>
    <w:p>
      <w:pPr>
        <w:pStyle w:val="7"/>
        <w:numPr>
          <w:ilvl w:val="0"/>
          <w:numId w:val="15"/>
        </w:numPr>
        <w:tabs>
          <w:tab w:val="left" w:pos="540"/>
        </w:tabs>
        <w:adjustRightInd w:val="0"/>
        <w:snapToGrid w:val="0"/>
        <w:spacing w:line="360" w:lineRule="auto"/>
        <w:rPr>
          <w:rFonts w:hAnsi="宋体"/>
          <w:b/>
          <w:bCs/>
        </w:rPr>
      </w:pPr>
      <w:r>
        <w:rPr>
          <w:rFonts w:hint="eastAsia" w:hAnsi="宋体"/>
          <w:b/>
          <w:bCs/>
        </w:rPr>
        <w:t>本次外销周期</w:t>
      </w:r>
    </w:p>
    <w:p>
      <w:pPr>
        <w:pStyle w:val="7"/>
        <w:tabs>
          <w:tab w:val="left" w:pos="420"/>
          <w:tab w:val="left" w:pos="540"/>
        </w:tabs>
        <w:adjustRightInd w:val="0"/>
        <w:snapToGrid w:val="0"/>
        <w:spacing w:line="360" w:lineRule="auto"/>
        <w:ind w:firstLine="420" w:firstLineChars="200"/>
        <w:rPr>
          <w:rFonts w:hAnsi="宋体"/>
        </w:rPr>
      </w:pPr>
      <w:r>
        <w:rPr>
          <w:rFonts w:hint="eastAsia" w:hAnsi="宋体"/>
        </w:rPr>
        <w:t>本次竞得价格有效期</w:t>
      </w:r>
      <w:r>
        <w:rPr>
          <w:rFonts w:hint="eastAsia" w:hAnsi="宋体"/>
          <w:b/>
          <w:bCs/>
        </w:rPr>
        <w:t>为</w:t>
      </w:r>
      <w:r>
        <w:rPr>
          <w:rFonts w:hint="eastAsia" w:hAnsi="宋体"/>
          <w:kern w:val="2"/>
        </w:rPr>
        <w:t>202</w:t>
      </w:r>
      <w:r>
        <w:rPr>
          <w:rFonts w:hint="eastAsia" w:hAnsi="宋体"/>
          <w:kern w:val="2"/>
          <w:lang w:val="en-US" w:eastAsia="zh-CN"/>
        </w:rPr>
        <w:t>4</w:t>
      </w:r>
      <w:r>
        <w:rPr>
          <w:rFonts w:hint="eastAsia" w:hAnsi="宋体"/>
          <w:kern w:val="2"/>
        </w:rPr>
        <w:t>年</w:t>
      </w:r>
      <w:r>
        <w:rPr>
          <w:rFonts w:hint="eastAsia" w:hAnsi="宋体"/>
          <w:kern w:val="2"/>
          <w:lang w:val="en-US" w:eastAsia="zh-CN"/>
        </w:rPr>
        <w:t>5</w:t>
      </w:r>
      <w:r>
        <w:rPr>
          <w:rFonts w:hint="eastAsia" w:hAnsi="宋体"/>
          <w:kern w:val="2"/>
        </w:rPr>
        <w:t>月</w:t>
      </w:r>
      <w:r>
        <w:rPr>
          <w:rFonts w:hint="eastAsia" w:hAnsi="宋体"/>
          <w:kern w:val="2"/>
          <w:lang w:val="en-US" w:eastAsia="zh-CN"/>
        </w:rPr>
        <w:t>11</w:t>
      </w:r>
      <w:r>
        <w:rPr>
          <w:rFonts w:hint="eastAsia" w:hAnsi="宋体"/>
          <w:kern w:val="2"/>
        </w:rPr>
        <w:t>日至</w:t>
      </w:r>
      <w:r>
        <w:rPr>
          <w:rFonts w:hint="eastAsia" w:hAnsi="宋体"/>
          <w:kern w:val="2"/>
          <w:lang w:val="en-US" w:eastAsia="zh-CN"/>
        </w:rPr>
        <w:t>2024年8</w:t>
      </w:r>
      <w:r>
        <w:rPr>
          <w:rFonts w:hint="eastAsia" w:hAnsi="宋体"/>
          <w:kern w:val="2"/>
        </w:rPr>
        <w:t>月10日</w:t>
      </w:r>
      <w:r>
        <w:rPr>
          <w:rFonts w:hint="eastAsia" w:hAnsi="宋体"/>
          <w:b/>
          <w:bCs/>
        </w:rPr>
        <w:t>，</w:t>
      </w:r>
      <w:r>
        <w:rPr>
          <w:rFonts w:hint="eastAsia" w:hAnsi="宋体"/>
        </w:rPr>
        <w:t>双方签订合同，在此期限内，出售方的货物由成交人收购。</w:t>
      </w:r>
    </w:p>
    <w:p>
      <w:pPr>
        <w:pStyle w:val="7"/>
        <w:numPr>
          <w:ilvl w:val="0"/>
          <w:numId w:val="15"/>
        </w:numPr>
        <w:tabs>
          <w:tab w:val="left" w:pos="540"/>
        </w:tabs>
        <w:adjustRightInd w:val="0"/>
        <w:snapToGrid w:val="0"/>
        <w:spacing w:line="360" w:lineRule="auto"/>
        <w:ind w:left="0" w:firstLine="0"/>
        <w:rPr>
          <w:rFonts w:hAnsi="宋体"/>
          <w:b/>
          <w:bCs/>
        </w:rPr>
      </w:pPr>
      <w:r>
        <w:rPr>
          <w:rFonts w:hint="eastAsia" w:hAnsi="宋体"/>
          <w:b/>
          <w:bCs/>
        </w:rPr>
        <w:t>付款方式</w:t>
      </w:r>
      <w:r>
        <w:rPr>
          <w:rFonts w:hAnsi="宋体"/>
          <w:b/>
          <w:bCs/>
        </w:rPr>
        <w:t xml:space="preserve"> </w:t>
      </w:r>
    </w:p>
    <w:p>
      <w:pPr>
        <w:widowControl/>
        <w:spacing w:line="360" w:lineRule="auto"/>
        <w:ind w:firstLine="422" w:firstLineChars="200"/>
        <w:jc w:val="left"/>
        <w:rPr>
          <w:rFonts w:ascii="宋体" w:hAnsi="宋体" w:cs="Times New Roman"/>
          <w:b/>
          <w:bCs/>
          <w:kern w:val="0"/>
          <w:sz w:val="32"/>
          <w:szCs w:val="32"/>
        </w:rPr>
      </w:pPr>
      <w:r>
        <w:rPr>
          <w:rFonts w:hint="eastAsia" w:ascii="宋体" w:hAnsi="宋体" w:cs="宋体"/>
          <w:b/>
          <w:bCs/>
        </w:rPr>
        <w:t>每</w:t>
      </w:r>
      <w:r>
        <w:rPr>
          <w:rFonts w:ascii="宋体" w:hAnsi="宋体" w:cs="宋体"/>
          <w:b/>
          <w:bCs/>
        </w:rPr>
        <w:t>14</w:t>
      </w:r>
      <w:r>
        <w:rPr>
          <w:rFonts w:hint="eastAsia" w:ascii="宋体" w:hAnsi="宋体" w:cs="宋体"/>
          <w:b/>
          <w:bCs/>
        </w:rPr>
        <w:t>个自然日为一个结算周期</w:t>
      </w:r>
      <w:r>
        <w:rPr>
          <w:rFonts w:hint="eastAsia" w:ascii="宋体" w:hAnsi="宋体" w:cs="宋体"/>
        </w:rPr>
        <w:t>，结算周期结束后，</w:t>
      </w:r>
      <w:r>
        <w:rPr>
          <w:rFonts w:ascii="宋体" w:hAnsi="宋体" w:cs="宋体"/>
        </w:rPr>
        <w:t>5</w:t>
      </w:r>
      <w:r>
        <w:rPr>
          <w:rFonts w:hint="eastAsia" w:ascii="宋体" w:hAnsi="宋体" w:cs="宋体"/>
        </w:rPr>
        <w:t>个自然日内支付该周期货款，出售方收到货款</w:t>
      </w:r>
      <w:r>
        <w:rPr>
          <w:rFonts w:ascii="宋体" w:hAnsi="宋体" w:cs="宋体"/>
        </w:rPr>
        <w:t>5</w:t>
      </w:r>
      <w:r>
        <w:rPr>
          <w:rFonts w:hint="eastAsia" w:ascii="宋体" w:hAnsi="宋体" w:cs="宋体"/>
        </w:rPr>
        <w:t>个工作日内向成交人提供增值税专用发票。</w:t>
      </w:r>
      <w:r>
        <w:rPr>
          <w:rFonts w:ascii="宋体" w:hAnsi="宋体" w:cs="Times New Roman"/>
          <w:b/>
          <w:bCs/>
          <w:kern w:val="0"/>
          <w:sz w:val="32"/>
          <w:szCs w:val="32"/>
        </w:rPr>
        <w:br w:type="page"/>
      </w:r>
    </w:p>
    <w:p>
      <w:pPr>
        <w:keepNext/>
        <w:spacing w:after="240" w:line="360" w:lineRule="auto"/>
        <w:jc w:val="center"/>
        <w:outlineLvl w:val="1"/>
        <w:rPr>
          <w:rFonts w:ascii="宋体" w:hAnsi="宋体" w:cs="Times New Roman"/>
          <w:b/>
          <w:bCs/>
          <w:kern w:val="0"/>
          <w:sz w:val="32"/>
          <w:szCs w:val="32"/>
        </w:rPr>
      </w:pPr>
      <w:r>
        <w:rPr>
          <w:rFonts w:hint="eastAsia" w:ascii="宋体" w:hAnsi="宋体" w:cs="Times New Roman"/>
          <w:b/>
          <w:bCs/>
          <w:kern w:val="0"/>
          <w:sz w:val="32"/>
          <w:szCs w:val="32"/>
        </w:rPr>
        <w:t>用户需求书响应声明函</w:t>
      </w:r>
    </w:p>
    <w:p>
      <w:pPr>
        <w:spacing w:line="360" w:lineRule="auto"/>
        <w:rPr>
          <w:rFonts w:ascii="宋体" w:hAnsi="宋体" w:cs="Times New Roman"/>
          <w:b/>
        </w:rPr>
      </w:pPr>
      <w:r>
        <w:rPr>
          <w:rFonts w:hint="eastAsia" w:ascii="宋体" w:hAnsi="宋体" w:cs="Times New Roman"/>
          <w:b/>
        </w:rPr>
        <w:t>致：江门绿源环保有限公司、云采链（广州）信息科技有限公司</w:t>
      </w:r>
    </w:p>
    <w:p>
      <w:pPr>
        <w:spacing w:line="360" w:lineRule="auto"/>
        <w:rPr>
          <w:rFonts w:ascii="宋体" w:hAnsi="宋体" w:cs="Times New Roman"/>
          <w:szCs w:val="22"/>
          <w:lang w:val="zh-CN"/>
        </w:rPr>
      </w:pPr>
    </w:p>
    <w:p>
      <w:pPr>
        <w:snapToGrid w:val="0"/>
        <w:spacing w:line="360" w:lineRule="auto"/>
        <w:ind w:firstLine="420" w:firstLineChars="200"/>
        <w:rPr>
          <w:rFonts w:ascii="宋体" w:hAnsi="宋体" w:cs="Times New Roman"/>
        </w:rPr>
      </w:pPr>
      <w:r>
        <w:rPr>
          <w:rFonts w:hint="eastAsia" w:ascii="宋体" w:hAnsi="宋体" w:cs="Times New Roman"/>
        </w:rPr>
        <w:t>关于贵单位、贵司发布</w:t>
      </w:r>
      <w:r>
        <w:rPr>
          <w:rFonts w:hint="eastAsia" w:ascii="宋体" w:hAnsi="宋体" w:cs="Times New Roman"/>
          <w:b/>
          <w:bCs/>
          <w:u w:val="single"/>
        </w:rPr>
        <w:t>江门绿源环保有限公司工业用废油脂购销项目（2024年第</w:t>
      </w:r>
      <w:r>
        <w:rPr>
          <w:rFonts w:hint="eastAsia" w:ascii="宋体" w:hAnsi="宋体" w:cs="Times New Roman"/>
          <w:b/>
          <w:bCs/>
          <w:u w:val="single"/>
          <w:lang w:val="en-US" w:eastAsia="zh-CN"/>
        </w:rPr>
        <w:t>2</w:t>
      </w:r>
      <w:r>
        <w:rPr>
          <w:rFonts w:hint="eastAsia" w:ascii="宋体" w:hAnsi="宋体" w:cs="Times New Roman"/>
          <w:b/>
          <w:bCs/>
          <w:u w:val="single"/>
        </w:rPr>
        <w:t>期）</w:t>
      </w:r>
      <w:r>
        <w:rPr>
          <w:rFonts w:hint="eastAsia" w:ascii="宋体" w:hAnsi="宋体" w:cs="Times New Roman"/>
        </w:rPr>
        <w:t>的竞价公告，本公司（企业）愿意参加竞价活动，并作出如下声明：</w:t>
      </w:r>
    </w:p>
    <w:p>
      <w:pPr>
        <w:tabs>
          <w:tab w:val="left" w:pos="426"/>
        </w:tabs>
        <w:snapToGrid w:val="0"/>
        <w:spacing w:line="360" w:lineRule="auto"/>
        <w:ind w:firstLine="420"/>
        <w:rPr>
          <w:rFonts w:ascii="宋体" w:hAnsi="宋体" w:cs="Times New Roman"/>
          <w:kern w:val="0"/>
        </w:rPr>
      </w:pPr>
      <w:r>
        <w:rPr>
          <w:rFonts w:hint="eastAsia" w:ascii="宋体" w:hAnsi="宋体" w:cs="Times New Roman"/>
          <w:kern w:val="0"/>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tabs>
          <w:tab w:val="left" w:pos="426"/>
        </w:tabs>
        <w:snapToGrid w:val="0"/>
        <w:spacing w:line="360" w:lineRule="auto"/>
        <w:ind w:firstLine="420"/>
        <w:rPr>
          <w:rFonts w:ascii="宋体" w:hAnsi="宋体" w:cs="宋体"/>
          <w:kern w:val="0"/>
        </w:rPr>
      </w:pPr>
      <w:r>
        <w:rPr>
          <w:rFonts w:hint="eastAsia" w:ascii="宋体" w:hAnsi="宋体" w:cs="宋体"/>
          <w:kern w:val="0"/>
        </w:rPr>
        <w:t>本公司（企业）承诺在本次竞价活动中，如有违法、违规、弄虚作假行为，所造成的损失、不良后果及法律责任，一律由我公司（企业）承担。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cs="Times New Roman"/>
          <w:b/>
          <w:szCs w:val="22"/>
        </w:rPr>
      </w:pPr>
      <w:r>
        <w:rPr>
          <w:rFonts w:hint="eastAsia" w:ascii="宋体" w:hAnsi="宋体" w:cs="Times New Roman"/>
          <w:b/>
          <w:szCs w:val="22"/>
        </w:rPr>
        <w:t>备注：</w:t>
      </w:r>
    </w:p>
    <w:p>
      <w:pPr>
        <w:widowControl/>
        <w:numPr>
          <w:ilvl w:val="0"/>
          <w:numId w:val="16"/>
        </w:numPr>
        <w:autoSpaceDE w:val="0"/>
        <w:autoSpaceDN w:val="0"/>
        <w:adjustRightInd w:val="0"/>
        <w:spacing w:line="360" w:lineRule="auto"/>
        <w:ind w:left="420" w:firstLine="0"/>
        <w:jc w:val="left"/>
        <w:rPr>
          <w:rFonts w:ascii="宋体" w:hAnsi="宋体" w:cs="Times New Roman"/>
          <w:szCs w:val="22"/>
        </w:rPr>
      </w:pPr>
      <w:r>
        <w:rPr>
          <w:rFonts w:hint="eastAsia" w:ascii="宋体" w:hAnsi="宋体" w:cs="Times New Roman"/>
          <w:szCs w:val="22"/>
        </w:rPr>
        <w:t>本声明函必须提供且内容不得擅自删改，否则视为响应无效。</w:t>
      </w:r>
    </w:p>
    <w:p>
      <w:pPr>
        <w:widowControl/>
        <w:numPr>
          <w:ilvl w:val="0"/>
          <w:numId w:val="16"/>
        </w:numPr>
        <w:snapToGrid w:val="0"/>
        <w:spacing w:line="360" w:lineRule="auto"/>
        <w:ind w:left="420" w:firstLine="0"/>
        <w:jc w:val="left"/>
        <w:rPr>
          <w:rFonts w:ascii="宋体" w:hAnsi="宋体" w:cs="Times New Roman"/>
        </w:rPr>
      </w:pPr>
      <w:r>
        <w:rPr>
          <w:rFonts w:hint="eastAsia" w:ascii="宋体" w:hAnsi="宋体" w:cs="Times New Roman"/>
        </w:rPr>
        <w:t>本声明函如有虚假或与事实不符的，作无效报价处理。</w:t>
      </w:r>
    </w:p>
    <w:p>
      <w:pPr>
        <w:widowControl/>
        <w:spacing w:line="360" w:lineRule="auto"/>
        <w:ind w:left="420"/>
        <w:jc w:val="left"/>
        <w:rPr>
          <w:rFonts w:ascii="宋体" w:hAnsi="宋体" w:cs="Times New Roman"/>
          <w:b/>
          <w:bCs/>
          <w:kern w:val="0"/>
          <w:sz w:val="32"/>
          <w:szCs w:val="32"/>
        </w:rPr>
      </w:pPr>
    </w:p>
    <w:p>
      <w:pPr>
        <w:spacing w:line="360" w:lineRule="auto"/>
        <w:ind w:right="763"/>
        <w:jc w:val="right"/>
        <w:rPr>
          <w:rFonts w:ascii="宋体" w:hAnsi="宋体" w:cs="Times New Roman"/>
          <w:u w:val="single"/>
        </w:rPr>
      </w:pPr>
      <w:r>
        <w:rPr>
          <w:rFonts w:hint="eastAsia" w:ascii="宋体" w:hAnsi="宋体" w:cs="Times New Roman"/>
          <w:spacing w:val="4"/>
        </w:rPr>
        <w:t>竞价人名称（</w:t>
      </w:r>
      <w:r>
        <w:rPr>
          <w:rFonts w:hint="eastAsia" w:ascii="宋体" w:hAnsi="宋体" w:cs="Times New Roman"/>
        </w:rPr>
        <w:t>单位盖</w:t>
      </w:r>
      <w:r>
        <w:rPr>
          <w:rFonts w:hint="eastAsia" w:ascii="宋体" w:hAnsi="宋体" w:cs="Times New Roman"/>
          <w:spacing w:val="4"/>
        </w:rPr>
        <w:t>公章）：</w:t>
      </w:r>
    </w:p>
    <w:p>
      <w:pPr>
        <w:spacing w:line="360" w:lineRule="auto"/>
        <w:jc w:val="right"/>
        <w:rPr>
          <w:rFonts w:cs="Times New Roman"/>
          <w:szCs w:val="22"/>
        </w:rPr>
      </w:pPr>
    </w:p>
    <w:p>
      <w:pPr>
        <w:spacing w:line="360" w:lineRule="auto"/>
        <w:ind w:right="545"/>
        <w:jc w:val="center"/>
        <w:rPr>
          <w:rFonts w:ascii="宋体" w:hAnsi="宋体" w:cs="Times New Roman"/>
          <w:spacing w:val="4"/>
        </w:rPr>
      </w:pPr>
      <w:r>
        <w:rPr>
          <w:rFonts w:ascii="宋体" w:hAnsi="宋体" w:cs="Times New Roman"/>
          <w:spacing w:val="4"/>
        </w:rPr>
        <w:t xml:space="preserve">                                 </w:t>
      </w:r>
      <w:r>
        <w:rPr>
          <w:rFonts w:hint="eastAsia" w:ascii="宋体" w:hAnsi="宋体" w:cs="Times New Roman"/>
          <w:spacing w:val="4"/>
        </w:rPr>
        <w:t>日期：</w:t>
      </w:r>
      <w:r>
        <w:rPr>
          <w:rFonts w:ascii="宋体" w:hAnsi="宋体" w:cs="Times New Roman"/>
          <w:spacing w:val="4"/>
        </w:rPr>
        <w:t xml:space="preserve"> </w:t>
      </w:r>
    </w:p>
    <w:p>
      <w:pPr>
        <w:rPr>
          <w:rFonts w:cs="Times New Roman"/>
          <w:szCs w:val="24"/>
        </w:rPr>
      </w:pPr>
    </w:p>
    <w:p>
      <w:pPr>
        <w:widowControl/>
        <w:jc w:val="left"/>
        <w:rPr>
          <w:rFonts w:ascii="宋体" w:cs="Times New Roman"/>
        </w:rPr>
      </w:pPr>
    </w:p>
    <w:p>
      <w:pPr>
        <w:widowControl/>
        <w:jc w:val="left"/>
        <w:rPr>
          <w:rFonts w:ascii="宋体" w:cs="Times New Roman"/>
          <w:b/>
          <w:bCs/>
        </w:rPr>
      </w:pPr>
    </w:p>
    <w:p>
      <w:pPr>
        <w:pStyle w:val="3"/>
        <w:adjustRightInd w:val="0"/>
        <w:snapToGrid w:val="0"/>
        <w:spacing w:before="0" w:after="0" w:line="360" w:lineRule="auto"/>
        <w:jc w:val="center"/>
        <w:rPr>
          <w:rFonts w:ascii="宋体" w:hAnsi="宋体"/>
        </w:rPr>
      </w:pPr>
      <w:r>
        <w:rPr>
          <w:rFonts w:ascii="宋体" w:cs="Times New Roman"/>
        </w:rPr>
        <w:br w:type="page"/>
      </w:r>
      <w:bookmarkStart w:id="5" w:name="_Toc435514863"/>
      <w:bookmarkStart w:id="6" w:name="_Toc435515303"/>
      <w:r>
        <w:rPr>
          <w:rFonts w:hint="eastAsia" w:ascii="宋体" w:hAnsi="宋体"/>
        </w:rPr>
        <w:t>承诺函</w:t>
      </w:r>
    </w:p>
    <w:p>
      <w:pPr>
        <w:spacing w:line="360" w:lineRule="auto"/>
        <w:rPr>
          <w:rFonts w:asciiTheme="minorEastAsia" w:hAnsiTheme="minorEastAsia" w:eastAsiaTheme="minorEastAsia"/>
          <w:b/>
        </w:rPr>
      </w:pPr>
      <w:r>
        <w:rPr>
          <w:rFonts w:hint="eastAsia" w:asciiTheme="minorEastAsia" w:hAnsiTheme="minorEastAsia" w:eastAsiaTheme="minorEastAsia"/>
          <w:b/>
        </w:rPr>
        <w:t>致：江门绿源环保有限公司、云采链（广州）信息科技有限公司</w:t>
      </w:r>
    </w:p>
    <w:p>
      <w:pPr>
        <w:snapToGrid w:val="0"/>
        <w:spacing w:line="360" w:lineRule="auto"/>
        <w:ind w:firstLine="525" w:firstLineChars="250"/>
        <w:rPr>
          <w:rFonts w:asciiTheme="minorEastAsia" w:hAnsiTheme="minorEastAsia" w:eastAsiaTheme="minorEastAsia"/>
        </w:rPr>
      </w:pPr>
    </w:p>
    <w:p>
      <w:pPr>
        <w:snapToGrid w:val="0"/>
        <w:spacing w:line="360" w:lineRule="auto"/>
        <w:ind w:firstLine="525" w:firstLineChars="250"/>
        <w:rPr>
          <w:rFonts w:ascii="宋体" w:hAnsi="宋体"/>
        </w:rPr>
      </w:pPr>
      <w:r>
        <w:rPr>
          <w:rFonts w:hint="eastAsia" w:asciiTheme="minorEastAsia" w:hAnsiTheme="minorEastAsia" w:eastAsiaTheme="minorEastAsia"/>
        </w:rPr>
        <w:t>关于贵单位、贵司发布</w:t>
      </w:r>
      <w:r>
        <w:rPr>
          <w:rFonts w:hint="eastAsia" w:ascii="宋体" w:hAnsi="宋体" w:cs="Times New Roman"/>
          <w:b/>
          <w:bCs/>
          <w:u w:val="single"/>
        </w:rPr>
        <w:t>江门绿源环保有限公司工业用废油脂购销项目（2024年第</w:t>
      </w:r>
      <w:r>
        <w:rPr>
          <w:rFonts w:hint="eastAsia" w:ascii="宋体" w:hAnsi="宋体" w:cs="Times New Roman"/>
          <w:b/>
          <w:bCs/>
          <w:u w:val="single"/>
          <w:lang w:val="en-US" w:eastAsia="zh-CN"/>
        </w:rPr>
        <w:t>2</w:t>
      </w:r>
      <w:r>
        <w:rPr>
          <w:rFonts w:hint="eastAsia" w:ascii="宋体" w:hAnsi="宋体" w:cs="Times New Roman"/>
          <w:b/>
          <w:bCs/>
          <w:u w:val="single"/>
        </w:rPr>
        <w:t>期）</w:t>
      </w:r>
      <w:r>
        <w:rPr>
          <w:rFonts w:hint="eastAsia" w:ascii="宋体" w:hAnsi="宋体" w:cs="Times New Roman"/>
        </w:rPr>
        <w:t>的</w:t>
      </w:r>
      <w:r>
        <w:rPr>
          <w:rFonts w:hint="eastAsia" w:asciiTheme="minorEastAsia" w:hAnsiTheme="minorEastAsia" w:eastAsiaTheme="minorEastAsia"/>
        </w:rPr>
        <w:t>竞价公告</w:t>
      </w:r>
      <w:r>
        <w:rPr>
          <w:rFonts w:hint="eastAsia" w:ascii="宋体" w:hAnsi="宋体"/>
        </w:rPr>
        <w:t>，本公司（企业）愿意参加竞价活动，并作出如下承诺：</w:t>
      </w:r>
    </w:p>
    <w:p>
      <w:pPr>
        <w:snapToGrid w:val="0"/>
        <w:spacing w:line="360" w:lineRule="auto"/>
        <w:ind w:firstLine="525" w:firstLineChars="250"/>
        <w:rPr>
          <w:rFonts w:ascii="宋体" w:hAnsi="宋体"/>
        </w:rPr>
      </w:pPr>
      <w:r>
        <w:rPr>
          <w:rFonts w:hint="eastAsia" w:ascii="宋体" w:hAnsi="宋体"/>
        </w:rPr>
        <w:t>本公司（企业</w:t>
      </w:r>
      <w:r>
        <w:rPr>
          <w:rFonts w:ascii="宋体" w:hAnsi="宋体"/>
        </w:rPr>
        <w:t>/</w:t>
      </w:r>
      <w:r>
        <w:rPr>
          <w:rFonts w:hint="eastAsia" w:ascii="宋体" w:hAnsi="宋体"/>
        </w:rPr>
        <w:t>本人）承诺</w:t>
      </w:r>
      <w:r>
        <w:rPr>
          <w:rFonts w:hint="eastAsia" w:ascii="宋体" w:hAnsi="宋体"/>
          <w:bCs/>
        </w:rPr>
        <w:t>收购的货物只可用于生产化工产品，不得用于食品加工用途。对于</w:t>
      </w:r>
      <w:r>
        <w:rPr>
          <w:rFonts w:hint="eastAsia" w:ascii="宋体" w:hAnsi="宋体"/>
        </w:rPr>
        <w:t>本公司（企业</w:t>
      </w:r>
      <w:r>
        <w:rPr>
          <w:rFonts w:ascii="宋体" w:hAnsi="宋体"/>
        </w:rPr>
        <w:t>/</w:t>
      </w:r>
      <w:r>
        <w:rPr>
          <w:rFonts w:hint="eastAsia" w:ascii="宋体" w:hAnsi="宋体"/>
        </w:rPr>
        <w:t>本人）</w:t>
      </w:r>
      <w:r>
        <w:rPr>
          <w:rFonts w:hint="eastAsia" w:ascii="宋体" w:hAnsi="宋体"/>
          <w:bCs/>
        </w:rPr>
        <w:t>的违规违法行为，出售方不承担任何连带责任</w:t>
      </w:r>
      <w:r>
        <w:rPr>
          <w:rFonts w:hint="eastAsia" w:ascii="宋体" w:hAnsi="宋体"/>
        </w:rPr>
        <w:t>。</w:t>
      </w:r>
    </w:p>
    <w:p>
      <w:pPr>
        <w:snapToGrid w:val="0"/>
        <w:spacing w:line="360" w:lineRule="auto"/>
        <w:ind w:firstLine="525" w:firstLineChars="250"/>
        <w:rPr>
          <w:rFonts w:ascii="宋体" w:hAnsi="宋体"/>
        </w:rPr>
      </w:pPr>
      <w:r>
        <w:rPr>
          <w:rFonts w:hint="eastAsia" w:ascii="宋体" w:hAnsi="宋体"/>
        </w:rPr>
        <w:t>否则，由此所造成的损失、不良后果及法律责任，一律由我公司（企业）承担。</w:t>
      </w:r>
    </w:p>
    <w:p>
      <w:pPr>
        <w:snapToGrid w:val="0"/>
        <w:spacing w:line="360" w:lineRule="auto"/>
        <w:ind w:firstLine="525" w:firstLineChars="250"/>
        <w:rPr>
          <w:rFonts w:ascii="宋体" w:hAnsi="宋体"/>
        </w:rPr>
      </w:pPr>
    </w:p>
    <w:p>
      <w:pPr>
        <w:pStyle w:val="45"/>
        <w:spacing w:line="360" w:lineRule="auto"/>
        <w:ind w:left="1200" w:right="218" w:firstLine="0" w:firstLineChars="0"/>
        <w:jc w:val="right"/>
        <w:rPr>
          <w:rFonts w:ascii="宋体" w:hAnsi="宋体"/>
          <w:u w:val="single"/>
        </w:rPr>
      </w:pPr>
      <w:r>
        <w:rPr>
          <w:rFonts w:hint="eastAsia" w:ascii="宋体" w:hAnsi="宋体"/>
          <w:spacing w:val="4"/>
        </w:rPr>
        <w:t>竞价人名称（</w:t>
      </w:r>
      <w:r>
        <w:rPr>
          <w:rFonts w:hint="eastAsia" w:ascii="宋体" w:hAnsi="宋体"/>
        </w:rPr>
        <w:t>单位盖</w:t>
      </w:r>
      <w:r>
        <w:rPr>
          <w:rFonts w:hint="eastAsia" w:ascii="宋体" w:hAnsi="宋体"/>
          <w:spacing w:val="4"/>
        </w:rPr>
        <w:t>公章）：</w:t>
      </w:r>
    </w:p>
    <w:p>
      <w:pPr>
        <w:pStyle w:val="45"/>
        <w:spacing w:line="360" w:lineRule="auto"/>
        <w:ind w:left="1200" w:right="210" w:firstLine="0" w:firstLineChars="0"/>
        <w:jc w:val="right"/>
        <w:rPr>
          <w:rFonts w:ascii="宋体" w:hAnsi="宋体"/>
          <w:u w:val="single"/>
        </w:rPr>
      </w:pPr>
    </w:p>
    <w:p>
      <w:pPr>
        <w:spacing w:line="360" w:lineRule="auto"/>
        <w:ind w:left="840"/>
        <w:jc w:val="center"/>
        <w:rPr>
          <w:rFonts w:ascii="宋体" w:hAnsi="宋体"/>
          <w:u w:val="single"/>
        </w:rPr>
      </w:pPr>
      <w:r>
        <w:rPr>
          <w:rFonts w:ascii="宋体" w:hAnsi="宋体"/>
          <w:spacing w:val="4"/>
        </w:rPr>
        <w:t xml:space="preserve">                              </w:t>
      </w:r>
      <w:r>
        <w:rPr>
          <w:rFonts w:hint="eastAsia" w:ascii="宋体" w:hAnsi="宋体"/>
          <w:spacing w:val="4"/>
        </w:rPr>
        <w:t>日期：</w:t>
      </w:r>
    </w:p>
    <w:p>
      <w:pPr>
        <w:spacing w:line="360" w:lineRule="auto"/>
        <w:rPr>
          <w:rFonts w:ascii="宋体" w:hAnsi="宋体"/>
        </w:rPr>
      </w:pPr>
    </w:p>
    <w:bookmarkEnd w:id="5"/>
    <w:bookmarkEnd w:id="6"/>
    <w:p>
      <w:pPr>
        <w:widowControl/>
        <w:jc w:val="left"/>
        <w:rPr>
          <w:rFonts w:cs="Arial" w:asciiTheme="minorEastAsia" w:hAnsiTheme="minorEastAsia" w:eastAsiaTheme="minorEastAsia"/>
          <w:b/>
          <w:bCs/>
          <w:kern w:val="0"/>
          <w:sz w:val="32"/>
          <w:szCs w:val="32"/>
        </w:rPr>
      </w:pPr>
      <w:r>
        <w:rPr>
          <w:rFonts w:asciiTheme="minorEastAsia" w:hAnsiTheme="minorEastAsia" w:eastAsiaTheme="minorEastAsia"/>
        </w:rPr>
        <w:br w:type="page"/>
      </w:r>
    </w:p>
    <w:p>
      <w:pPr>
        <w:pStyle w:val="3"/>
        <w:keepLines w:val="0"/>
        <w:spacing w:before="0" w:after="240" w:line="360" w:lineRule="auto"/>
        <w:ind w:left="720" w:hanging="360"/>
        <w:jc w:val="center"/>
        <w:rPr>
          <w:rFonts w:asciiTheme="minorEastAsia" w:hAnsiTheme="minorEastAsia" w:eastAsiaTheme="minorEastAsia"/>
        </w:rPr>
      </w:pPr>
      <w:r>
        <w:rPr>
          <w:rFonts w:hint="eastAsia" w:asciiTheme="minorEastAsia" w:hAnsiTheme="minorEastAsia" w:eastAsiaTheme="minorEastAsia"/>
        </w:rPr>
        <w:t>竞价人资格声明函</w:t>
      </w:r>
    </w:p>
    <w:p>
      <w:pPr>
        <w:spacing w:line="360" w:lineRule="auto"/>
        <w:rPr>
          <w:rFonts w:asciiTheme="minorEastAsia" w:hAnsiTheme="minorEastAsia" w:eastAsiaTheme="minorEastAsia"/>
          <w:b/>
        </w:rPr>
      </w:pPr>
      <w:r>
        <w:rPr>
          <w:rFonts w:hint="eastAsia" w:asciiTheme="minorEastAsia" w:hAnsiTheme="minorEastAsia" w:eastAsiaTheme="minorEastAsia"/>
          <w:b/>
        </w:rPr>
        <w:t>致：江门绿源环保有限公司、云采链（广州）信息科技有限公司</w:t>
      </w:r>
    </w:p>
    <w:p>
      <w:pPr>
        <w:pStyle w:val="50"/>
        <w:spacing w:line="480" w:lineRule="atLeast"/>
        <w:ind w:firstLine="420" w:firstLineChars="200"/>
        <w:rPr>
          <w:rFonts w:ascii="宋体" w:hAnsi="宋体" w:eastAsiaTheme="minorEastAsia"/>
          <w:b/>
          <w:bCs/>
          <w:u w:val="single"/>
        </w:rPr>
      </w:pPr>
      <w:r>
        <w:rPr>
          <w:rFonts w:hint="eastAsia" w:asciiTheme="minorEastAsia" w:hAnsiTheme="minorEastAsia" w:eastAsiaTheme="minorEastAsia"/>
        </w:rPr>
        <w:t>关于贵单位、贵司发布</w:t>
      </w:r>
      <w:r>
        <w:rPr>
          <w:rFonts w:hint="eastAsia" w:ascii="宋体" w:hAnsi="宋体"/>
          <w:b/>
          <w:bCs/>
          <w:u w:val="single"/>
        </w:rPr>
        <w:t>江门绿源环保有限公司工业用废油脂购销项目（2024年第</w:t>
      </w:r>
      <w:r>
        <w:rPr>
          <w:rFonts w:hint="eastAsia" w:ascii="宋体" w:hAnsi="宋体"/>
          <w:b/>
          <w:bCs/>
          <w:u w:val="single"/>
          <w:lang w:val="en-US" w:eastAsia="zh-CN"/>
        </w:rPr>
        <w:t>2</w:t>
      </w:r>
      <w:r>
        <w:rPr>
          <w:rFonts w:hint="eastAsia" w:ascii="宋体" w:hAnsi="宋体"/>
          <w:b/>
          <w:bCs/>
          <w:u w:val="single"/>
        </w:rPr>
        <w:t>期）</w:t>
      </w:r>
      <w:r>
        <w:rPr>
          <w:rFonts w:hint="eastAsia" w:ascii="宋体" w:hAnsi="宋体"/>
        </w:rPr>
        <w:t>的</w:t>
      </w:r>
      <w:r>
        <w:rPr>
          <w:rFonts w:hint="eastAsia" w:asciiTheme="minorEastAsia" w:hAnsiTheme="minorEastAsia" w:eastAsiaTheme="minorEastAsia"/>
        </w:rPr>
        <w:t>竞价公告，本公司（企业）愿意参加竞价，并声明：</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一、本公司（企业）具备《中华人民共和国政府采购法》第二十二条规定的条件：</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（一）具有独立承担民事责任的能力；</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（二）具有良好的商业信誉和健全的财务会计制度；</w:t>
      </w:r>
      <w:r>
        <w:rPr>
          <w:rFonts w:asciiTheme="minorEastAsia" w:hAnsiTheme="minorEastAsia" w:eastAsiaTheme="minorEastAsia"/>
        </w:rPr>
        <w:t xml:space="preserve">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（三）具有履行合同所必需的设备和专业技术能力；</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（四）有依法缴纳税收和社会保障资金的良好记录；</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（五）参加竞价活动前三年内，在经营活动中没有重大违法记录；</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（六）法律、行政法规规定的其他条件。</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二、本公司具有本次竞价项目服务能力。</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三、本公司有固定的经营场所，信誉良好、售后维护服务好，并且在经营活动中无严重违法记录。</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本公司（企业）承诺在本次竞价活动中，如有违法、违规、弄虚作假行为，所造成的损失、不良后果及法律责任，一律由我公司（企业）承担。</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特此声明！</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备注：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本声明函必须提供且内容不得擅自删改，否则视为响应无效。</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本声明函如有虚假或与事实不符的，作无效报价处理。</w:t>
      </w:r>
    </w:p>
    <w:p>
      <w:pPr>
        <w:spacing w:line="360" w:lineRule="auto"/>
        <w:ind w:firstLine="420" w:firstLineChars="200"/>
        <w:rPr>
          <w:rFonts w:asciiTheme="minorEastAsia" w:hAnsiTheme="minorEastAsia" w:eastAsiaTheme="minorEastAsia"/>
        </w:rPr>
      </w:pPr>
    </w:p>
    <w:p>
      <w:pPr>
        <w:widowControl/>
        <w:jc w:val="right"/>
        <w:rPr>
          <w:rFonts w:asciiTheme="minorEastAsia" w:hAnsiTheme="minorEastAsia" w:eastAsiaTheme="minorEastAsia"/>
        </w:rPr>
      </w:pPr>
      <w:r>
        <w:rPr>
          <w:rFonts w:hint="eastAsia" w:asciiTheme="minorEastAsia" w:hAnsiTheme="minorEastAsia" w:eastAsiaTheme="minorEastAsia"/>
        </w:rPr>
        <w:t>竞价人名称（单位盖公章）：</w:t>
      </w:r>
    </w:p>
    <w:p>
      <w:pPr>
        <w:ind w:firstLine="16380" w:firstLineChars="7800"/>
        <w:rPr>
          <w:rFonts w:asciiTheme="minorEastAsia" w:hAnsiTheme="minorEastAsia" w:eastAsiaTheme="minorEastAsia"/>
        </w:rPr>
      </w:pPr>
    </w:p>
    <w:p>
      <w:pPr>
        <w:rPr>
          <w:rFonts w:asciiTheme="minorEastAsia" w:hAnsiTheme="minorEastAsia" w:eastAsiaTheme="minorEastAsia"/>
        </w:rPr>
      </w:pPr>
    </w:p>
    <w:p>
      <w:pPr>
        <w:ind w:firstLine="6930" w:firstLineChars="3300"/>
      </w:pPr>
      <w:r>
        <w:rPr>
          <w:rFonts w:hint="eastAsia" w:asciiTheme="minorEastAsia" w:hAnsiTheme="minorEastAsia" w:eastAsiaTheme="minorEastAsia"/>
        </w:rPr>
        <w:t>日期：</w:t>
      </w:r>
      <w:r>
        <w:rPr>
          <w:rFonts w:asciiTheme="minorEastAsia" w:hAnsiTheme="minorEastAsia" w:eastAsiaTheme="minorEastAsia"/>
        </w:rPr>
        <w:t xml:space="preserve">     </w:t>
      </w:r>
    </w:p>
    <w:p>
      <w:pPr>
        <w:widowControl/>
        <w:jc w:val="left"/>
        <w:rPr>
          <w:rFonts w:ascii="宋体" w:hAnsi="宋体"/>
          <w:b/>
          <w:bCs/>
          <w:kern w:val="0"/>
          <w:sz w:val="30"/>
          <w:szCs w:val="30"/>
        </w:rPr>
      </w:pPr>
      <w:r>
        <w:rPr>
          <w:rFonts w:ascii="宋体" w:hAnsi="宋体"/>
          <w:b/>
          <w:bCs/>
          <w:kern w:val="0"/>
          <w:sz w:val="30"/>
          <w:szCs w:val="30"/>
        </w:rPr>
        <w:br w:type="page"/>
      </w:r>
    </w:p>
    <w:p>
      <w:pPr>
        <w:jc w:val="center"/>
        <w:outlineLvl w:val="0"/>
        <w:rPr>
          <w:rFonts w:ascii="宋体" w:hAnsi="宋体"/>
          <w:b/>
          <w:sz w:val="30"/>
          <w:szCs w:val="30"/>
        </w:rPr>
      </w:pPr>
      <w:r>
        <w:rPr>
          <w:rFonts w:hint="eastAsia" w:ascii="宋体" w:hAnsi="宋体"/>
          <w:b/>
          <w:bCs/>
          <w:kern w:val="0"/>
          <w:sz w:val="30"/>
          <w:szCs w:val="30"/>
        </w:rPr>
        <w:t>江门绿源环保有限公司</w:t>
      </w:r>
    </w:p>
    <w:p>
      <w:pPr>
        <w:jc w:val="center"/>
        <w:outlineLvl w:val="0"/>
        <w:rPr>
          <w:rFonts w:ascii="宋体" w:hAnsi="宋体"/>
          <w:b/>
          <w:bCs/>
          <w:kern w:val="0"/>
          <w:sz w:val="30"/>
          <w:szCs w:val="30"/>
        </w:rPr>
      </w:pPr>
      <w:r>
        <w:rPr>
          <w:rFonts w:hint="eastAsia" w:ascii="宋体" w:hAnsi="宋体"/>
          <w:b/>
          <w:sz w:val="30"/>
          <w:szCs w:val="30"/>
        </w:rPr>
        <w:t>工业用废油脂购销合同</w:t>
      </w:r>
    </w:p>
    <w:p>
      <w:pPr>
        <w:pStyle w:val="50"/>
        <w:spacing w:line="480" w:lineRule="atLeast"/>
        <w:ind w:left="1680" w:firstLine="722"/>
        <w:rPr>
          <w:rFonts w:ascii="宋体" w:hAnsi="宋体"/>
          <w:b/>
          <w:bCs/>
          <w:sz w:val="30"/>
          <w:szCs w:val="30"/>
        </w:rPr>
      </w:pPr>
    </w:p>
    <w:p>
      <w:pPr>
        <w:pStyle w:val="50"/>
        <w:spacing w:line="480" w:lineRule="atLeast"/>
        <w:ind w:left="1680" w:firstLine="722"/>
        <w:rPr>
          <w:rFonts w:ascii="宋体" w:hAnsi="宋体"/>
          <w:b/>
          <w:bCs/>
          <w:sz w:val="30"/>
          <w:szCs w:val="30"/>
        </w:rPr>
      </w:pPr>
    </w:p>
    <w:p>
      <w:pPr>
        <w:pStyle w:val="50"/>
        <w:spacing w:line="480" w:lineRule="atLeast"/>
        <w:ind w:left="1680" w:firstLine="722"/>
        <w:rPr>
          <w:rFonts w:ascii="宋体" w:hAnsi="宋体"/>
          <w:b/>
          <w:bCs/>
          <w:sz w:val="30"/>
          <w:szCs w:val="30"/>
        </w:rPr>
      </w:pPr>
    </w:p>
    <w:p>
      <w:pPr>
        <w:pStyle w:val="50"/>
        <w:spacing w:line="480" w:lineRule="atLeast"/>
        <w:ind w:left="1680" w:firstLine="722"/>
        <w:rPr>
          <w:rFonts w:ascii="宋体" w:hAnsi="宋体"/>
          <w:b/>
          <w:bCs/>
          <w:sz w:val="30"/>
          <w:szCs w:val="30"/>
        </w:rPr>
      </w:pPr>
    </w:p>
    <w:p>
      <w:pPr>
        <w:pStyle w:val="50"/>
        <w:spacing w:line="480" w:lineRule="atLeast"/>
        <w:ind w:left="1680" w:firstLine="722"/>
        <w:rPr>
          <w:rFonts w:ascii="宋体" w:hAnsi="宋体"/>
          <w:b/>
          <w:bCs/>
          <w:sz w:val="30"/>
          <w:szCs w:val="30"/>
        </w:rPr>
      </w:pPr>
    </w:p>
    <w:p>
      <w:pPr>
        <w:pStyle w:val="50"/>
        <w:spacing w:line="480" w:lineRule="atLeast"/>
        <w:ind w:left="1680" w:firstLine="722"/>
        <w:rPr>
          <w:rFonts w:ascii="宋体" w:hAnsi="宋体"/>
          <w:b/>
          <w:bCs/>
          <w:sz w:val="30"/>
          <w:szCs w:val="30"/>
        </w:rPr>
      </w:pPr>
    </w:p>
    <w:p>
      <w:pPr>
        <w:pStyle w:val="50"/>
        <w:spacing w:line="480" w:lineRule="atLeast"/>
        <w:ind w:left="1680" w:firstLine="722"/>
        <w:rPr>
          <w:rFonts w:ascii="宋体" w:hAnsi="宋体"/>
          <w:b/>
          <w:bCs/>
          <w:sz w:val="30"/>
          <w:szCs w:val="30"/>
        </w:rPr>
      </w:pPr>
    </w:p>
    <w:p>
      <w:pPr>
        <w:pStyle w:val="50"/>
        <w:spacing w:line="480" w:lineRule="atLeast"/>
        <w:ind w:left="1680" w:firstLine="722"/>
        <w:rPr>
          <w:rFonts w:ascii="宋体" w:hAnsi="宋体"/>
          <w:b/>
          <w:bCs/>
          <w:sz w:val="30"/>
          <w:szCs w:val="30"/>
        </w:rPr>
      </w:pPr>
    </w:p>
    <w:p>
      <w:pPr>
        <w:pStyle w:val="50"/>
        <w:spacing w:line="480" w:lineRule="atLeast"/>
        <w:ind w:left="2346" w:leftChars="400" w:hanging="1506" w:hangingChars="500"/>
        <w:rPr>
          <w:rFonts w:ascii="宋体" w:hAnsi="宋体"/>
          <w:b/>
          <w:bCs/>
          <w:sz w:val="30"/>
          <w:szCs w:val="30"/>
        </w:rPr>
      </w:pPr>
      <w:r>
        <w:rPr>
          <w:rFonts w:hint="eastAsia" w:ascii="宋体" w:hAnsi="宋体"/>
          <w:b/>
          <w:bCs/>
          <w:sz w:val="30"/>
          <w:szCs w:val="30"/>
        </w:rPr>
        <w:t>项目名称：</w:t>
      </w:r>
      <w:r>
        <w:rPr>
          <w:rFonts w:ascii="宋体" w:hAnsi="宋体"/>
          <w:b/>
          <w:bCs/>
          <w:sz w:val="30"/>
          <w:szCs w:val="30"/>
        </w:rPr>
        <w:t xml:space="preserve"> </w:t>
      </w:r>
      <w:r>
        <w:rPr>
          <w:rFonts w:hint="eastAsia" w:ascii="宋体" w:hAnsi="宋体"/>
          <w:b/>
          <w:bCs/>
          <w:sz w:val="30"/>
          <w:szCs w:val="30"/>
        </w:rPr>
        <w:t>江门绿源环保有限公司工业用废油脂购销项目</w:t>
      </w:r>
    </w:p>
    <w:p>
      <w:pPr>
        <w:pStyle w:val="50"/>
        <w:spacing w:line="480" w:lineRule="atLeast"/>
        <w:ind w:left="1890" w:leftChars="900" w:firstLine="1807" w:firstLineChars="600"/>
        <w:rPr>
          <w:rFonts w:ascii="宋体" w:hAnsi="宋体"/>
          <w:b/>
          <w:bCs/>
          <w:sz w:val="30"/>
          <w:szCs w:val="30"/>
        </w:rPr>
      </w:pPr>
      <w:r>
        <w:rPr>
          <w:rFonts w:hint="eastAsia" w:ascii="宋体" w:hAnsi="宋体"/>
          <w:b/>
          <w:bCs/>
          <w:sz w:val="30"/>
          <w:szCs w:val="30"/>
        </w:rPr>
        <w:t>（2024年第</w:t>
      </w:r>
      <w:r>
        <w:rPr>
          <w:rFonts w:hint="eastAsia" w:ascii="宋体" w:hAnsi="宋体"/>
          <w:b/>
          <w:bCs/>
          <w:sz w:val="30"/>
          <w:szCs w:val="30"/>
          <w:lang w:val="en-US" w:eastAsia="zh-CN"/>
        </w:rPr>
        <w:t>2</w:t>
      </w:r>
      <w:r>
        <w:rPr>
          <w:rFonts w:hint="eastAsia" w:ascii="宋体" w:hAnsi="宋体"/>
          <w:b/>
          <w:bCs/>
          <w:sz w:val="30"/>
          <w:szCs w:val="30"/>
        </w:rPr>
        <w:t>期）</w:t>
      </w:r>
    </w:p>
    <w:p>
      <w:pPr>
        <w:pStyle w:val="50"/>
        <w:spacing w:line="480" w:lineRule="atLeast"/>
        <w:ind w:firstLine="904" w:firstLineChars="300"/>
        <w:rPr>
          <w:rFonts w:ascii="宋体" w:hAnsi="宋体"/>
          <w:b/>
          <w:bCs/>
          <w:sz w:val="30"/>
          <w:szCs w:val="30"/>
        </w:rPr>
      </w:pPr>
      <w:r>
        <w:rPr>
          <w:rFonts w:hint="eastAsia" w:ascii="宋体" w:hAnsi="宋体"/>
          <w:b/>
          <w:bCs/>
          <w:sz w:val="30"/>
          <w:szCs w:val="30"/>
        </w:rPr>
        <w:t>合同编号：</w:t>
      </w:r>
    </w:p>
    <w:p>
      <w:pPr>
        <w:pStyle w:val="50"/>
        <w:spacing w:line="480" w:lineRule="atLeast"/>
        <w:ind w:firstLine="904" w:firstLineChars="300"/>
        <w:rPr>
          <w:rFonts w:ascii="宋体" w:hAnsi="宋体"/>
          <w:b/>
          <w:bCs/>
          <w:sz w:val="30"/>
          <w:szCs w:val="30"/>
        </w:rPr>
      </w:pPr>
      <w:r>
        <w:rPr>
          <w:rFonts w:hint="eastAsia" w:ascii="宋体" w:hAnsi="宋体"/>
          <w:b/>
          <w:bCs/>
          <w:sz w:val="30"/>
          <w:szCs w:val="30"/>
        </w:rPr>
        <w:t>签约地点：江门市蓬江区</w:t>
      </w:r>
    </w:p>
    <w:p>
      <w:pPr>
        <w:snapToGrid w:val="0"/>
        <w:spacing w:line="360" w:lineRule="auto"/>
        <w:rPr>
          <w:rFonts w:ascii="宋体" w:hAnsi="宋体"/>
          <w:u w:val="single"/>
        </w:rPr>
      </w:pPr>
      <w:r>
        <w:rPr>
          <w:rFonts w:ascii="宋体" w:hAnsi="宋体"/>
          <w:b/>
          <w:bCs/>
          <w:sz w:val="30"/>
          <w:szCs w:val="30"/>
        </w:rPr>
        <w:br w:type="page"/>
      </w:r>
      <w:r>
        <w:rPr>
          <w:rFonts w:hint="eastAsia" w:ascii="宋体" w:hAnsi="宋体"/>
        </w:rPr>
        <w:t>甲方：</w:t>
      </w:r>
      <w:r>
        <w:rPr>
          <w:rFonts w:ascii="宋体" w:hAnsi="宋体"/>
        </w:rPr>
        <w:t xml:space="preserve"> </w:t>
      </w:r>
      <w:r>
        <w:rPr>
          <w:rFonts w:hint="eastAsia" w:ascii="宋体" w:hAnsi="宋体"/>
          <w:u w:val="single"/>
        </w:rPr>
        <w:t>江门绿源环保有限公司</w:t>
      </w:r>
    </w:p>
    <w:p>
      <w:pPr>
        <w:snapToGrid w:val="0"/>
        <w:spacing w:line="360" w:lineRule="auto"/>
        <w:rPr>
          <w:rFonts w:ascii="宋体" w:hAnsi="宋体"/>
        </w:rPr>
      </w:pPr>
      <w:r>
        <w:rPr>
          <w:rFonts w:hint="eastAsia" w:ascii="宋体" w:hAnsi="宋体"/>
        </w:rPr>
        <w:t>所在地：</w:t>
      </w:r>
      <w:r>
        <w:rPr>
          <w:rFonts w:ascii="宋体" w:hAnsi="宋体"/>
        </w:rPr>
        <w:t xml:space="preserve"> </w:t>
      </w:r>
    </w:p>
    <w:p>
      <w:pPr>
        <w:snapToGrid w:val="0"/>
        <w:spacing w:line="360" w:lineRule="auto"/>
        <w:rPr>
          <w:rFonts w:ascii="宋体" w:hAnsi="宋体"/>
        </w:rPr>
      </w:pPr>
      <w:r>
        <w:rPr>
          <w:rFonts w:hint="eastAsia" w:ascii="宋体" w:hAnsi="宋体"/>
        </w:rPr>
        <w:t>法定代表人</w:t>
      </w:r>
      <w:r>
        <w:rPr>
          <w:rFonts w:ascii="宋体" w:hAnsi="宋体"/>
        </w:rPr>
        <w:t xml:space="preserve">: </w:t>
      </w:r>
    </w:p>
    <w:p>
      <w:pPr>
        <w:snapToGrid w:val="0"/>
        <w:spacing w:line="360" w:lineRule="auto"/>
        <w:rPr>
          <w:rFonts w:ascii="宋体" w:hAnsi="宋体"/>
        </w:rPr>
      </w:pPr>
      <w:r>
        <w:rPr>
          <w:rFonts w:hint="eastAsia" w:ascii="宋体" w:hAnsi="宋体"/>
        </w:rPr>
        <w:t>联系人及联系电话</w:t>
      </w:r>
      <w:r>
        <w:rPr>
          <w:rFonts w:ascii="宋体" w:hAnsi="宋体"/>
        </w:rPr>
        <w:t xml:space="preserve">: </w:t>
      </w:r>
    </w:p>
    <w:p>
      <w:pPr>
        <w:snapToGrid w:val="0"/>
        <w:spacing w:line="360" w:lineRule="auto"/>
        <w:rPr>
          <w:rFonts w:ascii="宋体" w:hAnsi="宋体"/>
        </w:rPr>
      </w:pPr>
      <w:r>
        <w:rPr>
          <w:rFonts w:hint="eastAsia" w:ascii="宋体" w:hAnsi="宋体"/>
        </w:rPr>
        <w:t>邮箱：</w:t>
      </w:r>
      <w:r>
        <w:rPr>
          <w:rFonts w:ascii="宋体" w:hAnsi="宋体"/>
          <w:b/>
          <w:bCs/>
        </w:rPr>
        <w:t xml:space="preserve"> </w:t>
      </w:r>
    </w:p>
    <w:p>
      <w:pPr>
        <w:snapToGrid w:val="0"/>
        <w:spacing w:line="360" w:lineRule="auto"/>
        <w:rPr>
          <w:rFonts w:ascii="宋体" w:hAnsi="宋体"/>
        </w:rPr>
      </w:pPr>
      <w:r>
        <w:rPr>
          <w:rFonts w:hint="eastAsia" w:ascii="宋体" w:hAnsi="宋体"/>
        </w:rPr>
        <w:t>通讯地址：</w:t>
      </w:r>
      <w:r>
        <w:rPr>
          <w:rFonts w:ascii="宋体" w:hAnsi="宋体"/>
        </w:rPr>
        <w:t xml:space="preserve"> </w:t>
      </w:r>
    </w:p>
    <w:p>
      <w:pPr>
        <w:snapToGrid w:val="0"/>
        <w:spacing w:line="360" w:lineRule="auto"/>
        <w:rPr>
          <w:rFonts w:ascii="宋体" w:hAnsi="宋体"/>
        </w:rPr>
      </w:pPr>
    </w:p>
    <w:p>
      <w:pPr>
        <w:snapToGrid w:val="0"/>
        <w:spacing w:line="360" w:lineRule="auto"/>
        <w:rPr>
          <w:rFonts w:ascii="宋体" w:hAnsi="宋体"/>
        </w:rPr>
      </w:pPr>
      <w:r>
        <w:rPr>
          <w:rFonts w:hint="eastAsia" w:ascii="宋体" w:hAnsi="宋体"/>
        </w:rPr>
        <w:t>乙方：</w:t>
      </w:r>
    </w:p>
    <w:p>
      <w:pPr>
        <w:snapToGrid w:val="0"/>
        <w:spacing w:line="360" w:lineRule="auto"/>
        <w:rPr>
          <w:rFonts w:ascii="宋体" w:hAnsi="宋体"/>
        </w:rPr>
      </w:pPr>
      <w:r>
        <w:rPr>
          <w:rFonts w:hint="eastAsia" w:ascii="宋体" w:hAnsi="宋体"/>
        </w:rPr>
        <w:t>住所地：</w:t>
      </w:r>
    </w:p>
    <w:p>
      <w:pPr>
        <w:snapToGrid w:val="0"/>
        <w:spacing w:line="360" w:lineRule="auto"/>
        <w:rPr>
          <w:rFonts w:ascii="宋体" w:hAnsi="宋体"/>
        </w:rPr>
      </w:pPr>
      <w:r>
        <w:rPr>
          <w:rFonts w:hint="eastAsia" w:ascii="宋体" w:hAnsi="宋体"/>
        </w:rPr>
        <w:t>法定代表人：</w:t>
      </w:r>
      <w:r>
        <w:rPr>
          <w:rFonts w:ascii="宋体" w:hAnsi="宋体"/>
          <w:b/>
          <w:bCs/>
        </w:rPr>
        <w:t xml:space="preserve"> </w:t>
      </w:r>
    </w:p>
    <w:p>
      <w:pPr>
        <w:snapToGrid w:val="0"/>
        <w:spacing w:line="360" w:lineRule="auto"/>
        <w:rPr>
          <w:rFonts w:ascii="宋体" w:hAnsi="宋体"/>
        </w:rPr>
      </w:pPr>
      <w:r>
        <w:rPr>
          <w:rFonts w:hint="eastAsia" w:ascii="宋体" w:hAnsi="宋体"/>
        </w:rPr>
        <w:t>联系人及联系电话</w:t>
      </w:r>
      <w:r>
        <w:rPr>
          <w:rFonts w:ascii="宋体" w:hAnsi="宋体"/>
        </w:rPr>
        <w:t xml:space="preserve">: </w:t>
      </w:r>
    </w:p>
    <w:p>
      <w:pPr>
        <w:snapToGrid w:val="0"/>
        <w:spacing w:line="360" w:lineRule="auto"/>
        <w:rPr>
          <w:rFonts w:ascii="宋体" w:hAnsi="宋体"/>
        </w:rPr>
      </w:pPr>
      <w:r>
        <w:rPr>
          <w:rFonts w:hint="eastAsia" w:ascii="宋体" w:hAnsi="宋体"/>
        </w:rPr>
        <w:t>邮箱：</w:t>
      </w:r>
    </w:p>
    <w:p>
      <w:pPr>
        <w:snapToGrid w:val="0"/>
        <w:spacing w:line="360" w:lineRule="auto"/>
        <w:rPr>
          <w:rFonts w:ascii="宋体" w:hAnsi="宋体"/>
        </w:rPr>
      </w:pPr>
      <w:r>
        <w:rPr>
          <w:rFonts w:hint="eastAsia" w:ascii="宋体" w:hAnsi="宋体"/>
        </w:rPr>
        <w:t>通讯地址：</w:t>
      </w:r>
    </w:p>
    <w:p>
      <w:pPr>
        <w:tabs>
          <w:tab w:val="left" w:pos="720"/>
        </w:tabs>
        <w:spacing w:line="360" w:lineRule="auto"/>
        <w:ind w:firstLine="420" w:firstLineChars="200"/>
        <w:rPr>
          <w:rFonts w:ascii="宋体" w:hAnsi="宋体"/>
          <w:u w:val="single"/>
        </w:rPr>
      </w:pPr>
    </w:p>
    <w:p>
      <w:pPr>
        <w:tabs>
          <w:tab w:val="left" w:pos="720"/>
        </w:tabs>
        <w:spacing w:line="360" w:lineRule="auto"/>
        <w:ind w:firstLine="525" w:firstLineChars="250"/>
        <w:rPr>
          <w:rFonts w:ascii="宋体" w:hAnsi="宋体"/>
        </w:rPr>
      </w:pPr>
      <w:r>
        <w:rPr>
          <w:rFonts w:hint="eastAsia" w:ascii="宋体" w:hAnsi="宋体"/>
          <w:u w:val="single"/>
        </w:rPr>
        <w:t>江门绿源环保有限公司</w:t>
      </w:r>
      <w:r>
        <w:rPr>
          <w:rFonts w:hint="eastAsia" w:ascii="宋体" w:hAnsi="宋体"/>
        </w:rPr>
        <w:t>（以下简称“甲方”）与</w:t>
      </w:r>
      <w:r>
        <w:rPr>
          <w:rFonts w:ascii="宋体" w:hAnsi="宋体"/>
        </w:rPr>
        <w:t xml:space="preserve"> </w:t>
      </w:r>
      <w:r>
        <w:rPr>
          <w:rFonts w:ascii="宋体" w:hAnsi="宋体"/>
          <w:u w:val="single"/>
        </w:rPr>
        <w:t xml:space="preserve"> ****</w:t>
      </w:r>
      <w:r>
        <w:rPr>
          <w:rFonts w:hint="eastAsia" w:ascii="宋体" w:hAnsi="宋体"/>
        </w:rPr>
        <w:t>（以下简称“乙方”）就江门绿源环保有限公司工业用废油脂购销项目（2024年第</w:t>
      </w:r>
      <w:r>
        <w:rPr>
          <w:rFonts w:hint="eastAsia" w:ascii="宋体" w:hAnsi="宋体"/>
          <w:lang w:val="en-US" w:eastAsia="zh-CN"/>
        </w:rPr>
        <w:t>2</w:t>
      </w:r>
      <w:r>
        <w:rPr>
          <w:rFonts w:hint="eastAsia" w:ascii="宋体" w:hAnsi="宋体"/>
        </w:rPr>
        <w:t>期）（项目编号</w:t>
      </w:r>
      <w:r>
        <w:rPr>
          <w:rFonts w:ascii="宋体" w:hAnsi="宋体"/>
        </w:rPr>
        <w:t xml:space="preserve">:              </w:t>
      </w:r>
      <w:r>
        <w:rPr>
          <w:rFonts w:hint="eastAsia" w:ascii="宋体" w:hAnsi="宋体"/>
        </w:rPr>
        <w:t>）的竞价结果，经甲、乙双方协商，签订本协议，条款如下：</w:t>
      </w:r>
    </w:p>
    <w:p>
      <w:pPr>
        <w:spacing w:line="360" w:lineRule="auto"/>
        <w:ind w:left="142"/>
        <w:rPr>
          <w:rFonts w:ascii="等线" w:hAnsi="等线"/>
          <w:sz w:val="24"/>
        </w:rPr>
      </w:pPr>
      <w:r>
        <w:rPr>
          <w:rFonts w:hint="eastAsia" w:ascii="等线" w:hAnsi="等线"/>
          <w:b/>
          <w:sz w:val="24"/>
        </w:rPr>
        <w:t>第一条</w:t>
      </w:r>
      <w:r>
        <w:rPr>
          <w:rFonts w:ascii="等线" w:hAnsi="等线"/>
          <w:b/>
          <w:sz w:val="24"/>
        </w:rPr>
        <w:t xml:space="preserve"> </w:t>
      </w:r>
      <w:r>
        <w:rPr>
          <w:rFonts w:hint="eastAsia" w:ascii="等线" w:hAnsi="等线"/>
          <w:b/>
          <w:sz w:val="24"/>
        </w:rPr>
        <w:t>购销有效期</w:t>
      </w:r>
    </w:p>
    <w:p>
      <w:pPr>
        <w:spacing w:line="360" w:lineRule="auto"/>
        <w:ind w:left="142"/>
        <w:rPr>
          <w:rFonts w:ascii="等线" w:hAnsi="等线"/>
          <w:sz w:val="24"/>
        </w:rPr>
      </w:pPr>
      <w:r>
        <w:rPr>
          <w:rFonts w:hint="eastAsia" w:ascii="宋体" w:hAnsi="宋体"/>
        </w:rPr>
        <w:t>本货物购销有效期：从</w:t>
      </w:r>
      <w:r>
        <w:rPr>
          <w:rFonts w:ascii="宋体" w:hAnsi="宋体"/>
          <w:u w:val="single"/>
        </w:rPr>
        <w:t xml:space="preserve">   </w:t>
      </w:r>
      <w:r>
        <w:rPr>
          <w:rFonts w:hint="eastAsia" w:ascii="宋体" w:hAnsi="宋体"/>
          <w:u w:val="single"/>
          <w:lang w:val="en-US" w:eastAsia="zh-CN"/>
        </w:rPr>
        <w:t>2024</w:t>
      </w: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u w:val="single"/>
          <w:lang w:val="en-US" w:eastAsia="zh-CN"/>
        </w:rPr>
        <w:t>5</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u w:val="single"/>
          <w:lang w:val="en-US" w:eastAsia="zh-CN"/>
        </w:rPr>
        <w:t>11</w:t>
      </w:r>
      <w:r>
        <w:rPr>
          <w:rFonts w:ascii="宋体" w:hAnsi="宋体"/>
          <w:u w:val="single"/>
        </w:rPr>
        <w:t xml:space="preserve"> </w:t>
      </w:r>
      <w:r>
        <w:rPr>
          <w:rFonts w:hint="eastAsia" w:ascii="宋体" w:hAnsi="宋体"/>
        </w:rPr>
        <w:t>日起至</w:t>
      </w:r>
      <w:r>
        <w:rPr>
          <w:rFonts w:ascii="宋体" w:hAnsi="宋体"/>
        </w:rPr>
        <w:t xml:space="preserve"> </w:t>
      </w:r>
      <w:r>
        <w:rPr>
          <w:rFonts w:ascii="宋体" w:hAnsi="宋体"/>
          <w:u w:val="single"/>
        </w:rPr>
        <w:t xml:space="preserve">  </w:t>
      </w:r>
      <w:r>
        <w:rPr>
          <w:rFonts w:hint="eastAsia" w:ascii="宋体" w:hAnsi="宋体"/>
          <w:u w:val="single"/>
          <w:lang w:val="en-US" w:eastAsia="zh-CN"/>
        </w:rPr>
        <w:t>2024</w:t>
      </w: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u w:val="single"/>
          <w:lang w:val="en-US" w:eastAsia="zh-CN"/>
        </w:rPr>
        <w:t>8</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u w:val="single"/>
          <w:lang w:val="en-US" w:eastAsia="zh-CN"/>
        </w:rPr>
        <w:t>10</w:t>
      </w:r>
      <w:r>
        <w:rPr>
          <w:rFonts w:ascii="宋体" w:hAnsi="宋体"/>
          <w:u w:val="single"/>
        </w:rPr>
        <w:t xml:space="preserve">  </w:t>
      </w:r>
      <w:r>
        <w:rPr>
          <w:rFonts w:hint="eastAsia" w:ascii="宋体" w:hAnsi="宋体"/>
        </w:rPr>
        <w:t>日止。</w:t>
      </w:r>
    </w:p>
    <w:p>
      <w:pPr>
        <w:pStyle w:val="7"/>
        <w:spacing w:line="360" w:lineRule="auto"/>
        <w:ind w:left="142"/>
        <w:rPr>
          <w:rFonts w:hAnsi="宋体"/>
          <w:b/>
          <w:bCs/>
        </w:rPr>
      </w:pPr>
      <w:r>
        <w:rPr>
          <w:rFonts w:hint="eastAsia" w:ascii="等线" w:hAnsi="等线" w:cs="Times New Roman"/>
          <w:b/>
          <w:sz w:val="24"/>
          <w:szCs w:val="24"/>
        </w:rPr>
        <w:t>第二条</w:t>
      </w:r>
      <w:r>
        <w:rPr>
          <w:rFonts w:ascii="等线" w:hAnsi="等线" w:cs="Times New Roman"/>
          <w:b/>
          <w:sz w:val="24"/>
          <w:szCs w:val="24"/>
        </w:rPr>
        <w:t xml:space="preserve"> </w:t>
      </w:r>
      <w:r>
        <w:rPr>
          <w:rFonts w:hint="eastAsia" w:ascii="等线" w:hAnsi="等线" w:cs="Times New Roman"/>
          <w:b/>
          <w:sz w:val="24"/>
          <w:szCs w:val="24"/>
        </w:rPr>
        <w:t>货物名称、质量标准、价格和交货时间</w:t>
      </w:r>
    </w:p>
    <w:tbl>
      <w:tblPr>
        <w:tblStyle w:val="15"/>
        <w:tblW w:w="68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694"/>
        <w:gridCol w:w="25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555" w:type="dxa"/>
            <w:vAlign w:val="center"/>
          </w:tcPr>
          <w:p>
            <w:pPr>
              <w:spacing w:line="360" w:lineRule="auto"/>
              <w:jc w:val="center"/>
              <w:rPr>
                <w:rFonts w:ascii="宋体" w:hAnsi="宋体" w:cstheme="minorBidi"/>
              </w:rPr>
            </w:pPr>
            <w:r>
              <w:rPr>
                <w:rFonts w:hint="eastAsia" w:ascii="宋体" w:hAnsi="宋体" w:cstheme="minorBidi"/>
              </w:rPr>
              <w:t>货物名称</w:t>
            </w:r>
          </w:p>
        </w:tc>
        <w:tc>
          <w:tcPr>
            <w:tcW w:w="2694" w:type="dxa"/>
            <w:vAlign w:val="center"/>
          </w:tcPr>
          <w:p>
            <w:pPr>
              <w:spacing w:line="360" w:lineRule="auto"/>
              <w:ind w:firstLine="420" w:firstLineChars="200"/>
              <w:jc w:val="center"/>
              <w:rPr>
                <w:rFonts w:ascii="宋体" w:hAnsi="宋体" w:cstheme="minorBidi"/>
              </w:rPr>
            </w:pPr>
            <w:r>
              <w:rPr>
                <w:rFonts w:hint="eastAsia" w:ascii="宋体" w:hAnsi="宋体" w:cstheme="minorBidi"/>
              </w:rPr>
              <w:t>质量标准</w:t>
            </w:r>
          </w:p>
        </w:tc>
        <w:tc>
          <w:tcPr>
            <w:tcW w:w="2555" w:type="dxa"/>
            <w:vAlign w:val="center"/>
          </w:tcPr>
          <w:p>
            <w:pPr>
              <w:spacing w:line="360" w:lineRule="auto"/>
              <w:jc w:val="center"/>
              <w:rPr>
                <w:rFonts w:ascii="宋体" w:hAnsi="宋体" w:cstheme="minorBidi"/>
              </w:rPr>
            </w:pPr>
            <w:r>
              <w:rPr>
                <w:rFonts w:hint="eastAsia" w:ascii="宋体" w:hAnsi="宋体" w:cstheme="minorBidi"/>
              </w:rPr>
              <w:t>含税单价</w:t>
            </w:r>
            <w:r>
              <w:rPr>
                <w:rFonts w:ascii="宋体" w:hAnsi="宋体" w:cstheme="minorBidi"/>
              </w:rPr>
              <w:t>[元/吨]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555" w:type="dxa"/>
            <w:vAlign w:val="center"/>
          </w:tcPr>
          <w:p>
            <w:pPr>
              <w:spacing w:line="360" w:lineRule="auto"/>
              <w:jc w:val="center"/>
              <w:rPr>
                <w:rFonts w:ascii="宋体" w:hAnsi="宋体" w:cstheme="minorBidi"/>
              </w:rPr>
            </w:pPr>
            <w:r>
              <w:rPr>
                <w:rFonts w:hint="eastAsia" w:ascii="宋体" w:hAnsi="宋体" w:cstheme="minorBidi"/>
              </w:rPr>
              <w:t>工业用废油脂</w:t>
            </w:r>
          </w:p>
        </w:tc>
        <w:tc>
          <w:tcPr>
            <w:tcW w:w="2694" w:type="dxa"/>
            <w:vAlign w:val="center"/>
          </w:tcPr>
          <w:p>
            <w:pPr>
              <w:spacing w:line="360" w:lineRule="auto"/>
              <w:jc w:val="center"/>
              <w:rPr>
                <w:rFonts w:ascii="宋体" w:hAnsi="宋体" w:cstheme="minorBidi"/>
              </w:rPr>
            </w:pPr>
            <w:r>
              <w:rPr>
                <w:rFonts w:hint="eastAsia" w:ascii="宋体" w:hAnsi="宋体" w:cstheme="minorBidi"/>
              </w:rPr>
              <w:t>含油率2</w:t>
            </w:r>
            <w:r>
              <w:rPr>
                <w:rFonts w:ascii="宋体" w:hAnsi="宋体" w:cstheme="minorBidi"/>
              </w:rPr>
              <w:t>8%</w:t>
            </w:r>
            <w:r>
              <w:rPr>
                <w:rFonts w:hint="eastAsia" w:ascii="宋体" w:hAnsi="宋体" w:cstheme="minorBidi"/>
              </w:rPr>
              <w:t>～3</w:t>
            </w:r>
            <w:r>
              <w:rPr>
                <w:rFonts w:ascii="宋体" w:hAnsi="宋体" w:cstheme="minorBidi"/>
              </w:rPr>
              <w:t>2%</w:t>
            </w:r>
          </w:p>
        </w:tc>
        <w:tc>
          <w:tcPr>
            <w:tcW w:w="2555" w:type="dxa"/>
            <w:vAlign w:val="center"/>
          </w:tcPr>
          <w:p>
            <w:pPr>
              <w:spacing w:line="360" w:lineRule="auto"/>
              <w:ind w:firstLine="420" w:firstLineChars="200"/>
              <w:jc w:val="center"/>
              <w:rPr>
                <w:rFonts w:ascii="宋体" w:hAnsi="宋体" w:cstheme="minorBidi"/>
              </w:rPr>
            </w:pPr>
          </w:p>
        </w:tc>
      </w:tr>
    </w:tbl>
    <w:p>
      <w:pPr>
        <w:spacing w:line="360" w:lineRule="auto"/>
        <w:ind w:firstLine="420" w:firstLineChars="200"/>
        <w:rPr>
          <w:rFonts w:ascii="宋体" w:hAnsi="宋体"/>
        </w:rPr>
      </w:pPr>
      <w:r>
        <w:rPr>
          <w:rFonts w:ascii="宋体" w:hAnsi="宋体"/>
        </w:rPr>
        <w:t>1</w:t>
      </w:r>
      <w:r>
        <w:rPr>
          <w:rFonts w:hint="eastAsia" w:ascii="宋体" w:hAnsi="宋体"/>
        </w:rPr>
        <w:t>、</w:t>
      </w:r>
      <w:r>
        <w:rPr>
          <w:rFonts w:ascii="宋体" w:hAnsi="宋体"/>
        </w:rPr>
        <w:t>具体交货时间和数量以甲方</w:t>
      </w:r>
      <w:r>
        <w:rPr>
          <w:rFonts w:hint="eastAsia" w:ascii="宋体" w:hAnsi="宋体"/>
        </w:rPr>
        <w:t>发出订单（或电话通知）为准，每次交货量约</w:t>
      </w:r>
      <w:r>
        <w:rPr>
          <w:rFonts w:ascii="宋体" w:hAnsi="宋体"/>
        </w:rPr>
        <w:t>5-10</w:t>
      </w:r>
      <w:r>
        <w:rPr>
          <w:rFonts w:hint="eastAsia" w:ascii="宋体" w:hAnsi="宋体"/>
        </w:rPr>
        <w:t>吨。</w:t>
      </w:r>
    </w:p>
    <w:p>
      <w:pPr>
        <w:spacing w:line="360" w:lineRule="auto"/>
        <w:ind w:firstLine="420" w:firstLineChars="200"/>
        <w:rPr>
          <w:rFonts w:ascii="宋体" w:hAnsi="宋体"/>
        </w:rPr>
      </w:pPr>
      <w:r>
        <w:rPr>
          <w:rFonts w:ascii="宋体" w:hAnsi="宋体"/>
        </w:rPr>
        <w:t>2</w:t>
      </w:r>
      <w:r>
        <w:rPr>
          <w:rFonts w:hint="eastAsia" w:ascii="宋体" w:hAnsi="宋体"/>
        </w:rPr>
        <w:t>、本购销合同标的为“工业用废油脂”，以下简称“货物”或“货”。</w:t>
      </w:r>
    </w:p>
    <w:p>
      <w:pPr>
        <w:spacing w:line="360" w:lineRule="auto"/>
        <w:ind w:left="416" w:leftChars="198"/>
        <w:rPr>
          <w:rFonts w:ascii="宋体" w:hAnsi="宋体"/>
        </w:rPr>
      </w:pPr>
      <w:r>
        <w:rPr>
          <w:rFonts w:ascii="宋体" w:hAnsi="宋体"/>
        </w:rPr>
        <w:t>3</w:t>
      </w:r>
      <w:r>
        <w:rPr>
          <w:rFonts w:hint="eastAsia" w:ascii="宋体" w:hAnsi="宋体"/>
        </w:rPr>
        <w:t>、</w:t>
      </w:r>
      <w:r>
        <w:rPr>
          <w:rFonts w:ascii="宋体" w:hAnsi="宋体"/>
        </w:rPr>
        <w:t>单价为乙方的</w:t>
      </w:r>
      <w:r>
        <w:rPr>
          <w:rFonts w:hint="eastAsia" w:ascii="宋体" w:hAnsi="宋体"/>
        </w:rPr>
        <w:t>中标价格</w:t>
      </w:r>
      <w:r>
        <w:rPr>
          <w:rFonts w:ascii="宋体" w:hAnsi="宋体"/>
        </w:rPr>
        <w:t>，</w:t>
      </w:r>
      <w:r>
        <w:rPr>
          <w:rFonts w:hint="eastAsia" w:ascii="宋体" w:hAnsi="宋体"/>
        </w:rPr>
        <w:t>中标价格</w:t>
      </w:r>
      <w:r>
        <w:rPr>
          <w:rFonts w:ascii="宋体" w:hAnsi="宋体"/>
        </w:rPr>
        <w:t>为</w:t>
      </w:r>
      <w:r>
        <w:rPr>
          <w:rFonts w:hint="eastAsia" w:ascii="宋体" w:hAnsi="宋体"/>
        </w:rPr>
        <w:t>甲方销售货物的</w:t>
      </w:r>
      <w:r>
        <w:rPr>
          <w:rFonts w:ascii="宋体" w:hAnsi="宋体"/>
        </w:rPr>
        <w:t>人民币含税价</w:t>
      </w:r>
      <w:r>
        <w:rPr>
          <w:rFonts w:hint="eastAsia" w:ascii="宋体" w:hAnsi="宋体"/>
        </w:rPr>
        <w:t>，不包括乙方运输费、装卸费、过磅等一切费用。</w:t>
      </w:r>
    </w:p>
    <w:p>
      <w:pPr>
        <w:pStyle w:val="7"/>
        <w:spacing w:line="360" w:lineRule="auto"/>
        <w:ind w:left="142"/>
        <w:rPr>
          <w:rFonts w:ascii="等线" w:hAnsi="等线" w:cs="Times New Roman"/>
          <w:b/>
          <w:sz w:val="24"/>
          <w:szCs w:val="24"/>
        </w:rPr>
      </w:pPr>
      <w:bookmarkStart w:id="7" w:name="_Toc518311988"/>
      <w:r>
        <w:rPr>
          <w:rFonts w:hint="eastAsia" w:ascii="等线" w:hAnsi="等线" w:cs="Times New Roman"/>
          <w:b/>
          <w:sz w:val="24"/>
          <w:szCs w:val="24"/>
        </w:rPr>
        <w:t>第三条</w:t>
      </w:r>
      <w:r>
        <w:rPr>
          <w:rFonts w:ascii="等线" w:hAnsi="等线" w:cs="Times New Roman"/>
          <w:b/>
          <w:sz w:val="24"/>
          <w:szCs w:val="24"/>
        </w:rPr>
        <w:t xml:space="preserve">  货款支付方式</w:t>
      </w:r>
      <w:bookmarkEnd w:id="7"/>
    </w:p>
    <w:p>
      <w:pPr>
        <w:pStyle w:val="29"/>
        <w:tabs>
          <w:tab w:val="left" w:pos="1134"/>
        </w:tabs>
        <w:autoSpaceDE w:val="0"/>
        <w:autoSpaceDN w:val="0"/>
        <w:adjustRightInd w:val="0"/>
        <w:spacing w:line="360" w:lineRule="auto"/>
        <w:ind w:left="420" w:leftChars="200" w:firstLine="0" w:firstLineChars="0"/>
        <w:jc w:val="left"/>
        <w:rPr>
          <w:rFonts w:ascii="宋体" w:hAnsi="宋体" w:cs="Times New Roman"/>
        </w:rPr>
      </w:pPr>
      <w:bookmarkStart w:id="8" w:name="_Hlk520054790"/>
      <w:r>
        <w:rPr>
          <w:rFonts w:ascii="宋体" w:hAnsi="宋体" w:cs="Times New Roman"/>
        </w:rPr>
        <w:t>1</w:t>
      </w:r>
      <w:r>
        <w:rPr>
          <w:rFonts w:hint="eastAsia" w:ascii="宋体" w:hAnsi="宋体" w:cs="Times New Roman"/>
        </w:rPr>
        <w:t>、每</w:t>
      </w:r>
      <w:r>
        <w:rPr>
          <w:rFonts w:ascii="宋体" w:hAnsi="宋体" w:cs="Times New Roman"/>
        </w:rPr>
        <w:t>14</w:t>
      </w:r>
      <w:r>
        <w:rPr>
          <w:rFonts w:hint="eastAsia" w:ascii="宋体" w:hAnsi="宋体" w:cs="Times New Roman"/>
        </w:rPr>
        <w:t>个自然日为一个结算周期，结算周期结束后，乙方在</w:t>
      </w:r>
      <w:r>
        <w:rPr>
          <w:rFonts w:ascii="宋体" w:hAnsi="宋体" w:cs="Times New Roman"/>
        </w:rPr>
        <w:t>5</w:t>
      </w:r>
      <w:r>
        <w:rPr>
          <w:rFonts w:hint="eastAsia" w:ascii="宋体" w:hAnsi="宋体" w:cs="Times New Roman"/>
        </w:rPr>
        <w:t>个自然日内支付</w:t>
      </w:r>
      <w:r>
        <w:rPr>
          <w:rFonts w:ascii="宋体" w:hAnsi="宋体" w:cs="Times New Roman"/>
        </w:rPr>
        <w:t>该</w:t>
      </w:r>
      <w:r>
        <w:rPr>
          <w:rFonts w:hint="eastAsia" w:ascii="宋体" w:hAnsi="宋体" w:cs="Times New Roman"/>
        </w:rPr>
        <w:t>周期</w:t>
      </w:r>
      <w:r>
        <w:rPr>
          <w:rFonts w:ascii="宋体" w:hAnsi="宋体" w:cs="Times New Roman"/>
        </w:rPr>
        <w:t>货款</w:t>
      </w:r>
      <w:r>
        <w:rPr>
          <w:rFonts w:hint="eastAsia" w:ascii="宋体" w:hAnsi="宋体" w:cs="Times New Roman"/>
        </w:rPr>
        <w:t>，甲方收到货款</w:t>
      </w:r>
      <w:r>
        <w:rPr>
          <w:rFonts w:ascii="宋体" w:hAnsi="宋体" w:cs="Times New Roman"/>
        </w:rPr>
        <w:t>5</w:t>
      </w:r>
      <w:r>
        <w:rPr>
          <w:rFonts w:hint="eastAsia" w:ascii="宋体" w:hAnsi="宋体" w:cs="Times New Roman"/>
        </w:rPr>
        <w:t>个工作日内向乙方提供增值税专用发票。</w:t>
      </w:r>
      <w:bookmarkEnd w:id="8"/>
      <w:bookmarkStart w:id="9" w:name="_Hlk519866191"/>
      <w:bookmarkStart w:id="10" w:name="_Hlk519866172"/>
    </w:p>
    <w:p>
      <w:pPr>
        <w:pStyle w:val="29"/>
        <w:tabs>
          <w:tab w:val="left" w:pos="1134"/>
        </w:tabs>
        <w:autoSpaceDE w:val="0"/>
        <w:autoSpaceDN w:val="0"/>
        <w:adjustRightInd w:val="0"/>
        <w:spacing w:line="360" w:lineRule="auto"/>
        <w:jc w:val="left"/>
        <w:rPr>
          <w:rFonts w:ascii="宋体" w:hAnsi="宋体"/>
        </w:rPr>
      </w:pPr>
      <w:r>
        <w:rPr>
          <w:rFonts w:ascii="宋体" w:hAnsi="宋体"/>
        </w:rPr>
        <w:t>2</w:t>
      </w:r>
      <w:r>
        <w:rPr>
          <w:rFonts w:hint="eastAsia" w:ascii="宋体" w:hAnsi="宋体"/>
        </w:rPr>
        <w:t>、甲方指定收款账户如下</w:t>
      </w:r>
      <w:bookmarkEnd w:id="9"/>
      <w:r>
        <w:rPr>
          <w:rFonts w:hint="eastAsia" w:ascii="宋体" w:hAnsi="宋体"/>
        </w:rPr>
        <w:t>：</w:t>
      </w:r>
    </w:p>
    <w:bookmarkEnd w:id="10"/>
    <w:p>
      <w:pPr>
        <w:spacing w:line="360" w:lineRule="auto"/>
        <w:ind w:firstLine="420" w:firstLineChars="200"/>
        <w:rPr>
          <w:rFonts w:ascii="宋体" w:hAnsi="宋体" w:cstheme="minorBidi"/>
        </w:rPr>
      </w:pPr>
      <w:r>
        <w:rPr>
          <w:rFonts w:hint="eastAsia" w:ascii="宋体" w:hAnsi="宋体" w:cstheme="minorBidi"/>
        </w:rPr>
        <w:t>账号：52740188000088616</w:t>
      </w:r>
      <w:r>
        <w:rPr>
          <w:rFonts w:ascii="宋体" w:hAnsi="宋体" w:cstheme="minorBidi"/>
        </w:rPr>
        <w:t xml:space="preserve"> </w:t>
      </w:r>
    </w:p>
    <w:p>
      <w:pPr>
        <w:spacing w:line="360" w:lineRule="auto"/>
        <w:ind w:firstLine="420" w:firstLineChars="200"/>
        <w:rPr>
          <w:rFonts w:ascii="宋体" w:hAnsi="宋体" w:cstheme="minorBidi"/>
        </w:rPr>
      </w:pPr>
      <w:r>
        <w:rPr>
          <w:rFonts w:hint="eastAsia" w:ascii="宋体" w:hAnsi="宋体" w:cstheme="minorBidi"/>
        </w:rPr>
        <w:t>账户名称：</w:t>
      </w:r>
      <w:r>
        <w:rPr>
          <w:rFonts w:ascii="宋体" w:hAnsi="宋体" w:cstheme="minorBidi"/>
        </w:rPr>
        <w:t xml:space="preserve"> </w:t>
      </w:r>
      <w:r>
        <w:rPr>
          <w:rFonts w:hint="eastAsia" w:ascii="宋体" w:hAnsi="宋体" w:cstheme="minorBidi"/>
        </w:rPr>
        <w:t>江门绿源环保有限公司</w:t>
      </w:r>
    </w:p>
    <w:p>
      <w:pPr>
        <w:spacing w:line="360" w:lineRule="auto"/>
        <w:ind w:firstLine="420" w:firstLineChars="200"/>
        <w:rPr>
          <w:rFonts w:ascii="宋体" w:hAnsi="宋体" w:cstheme="minorBidi"/>
        </w:rPr>
      </w:pPr>
      <w:r>
        <w:rPr>
          <w:rFonts w:hint="eastAsia" w:ascii="宋体" w:hAnsi="宋体" w:cstheme="minorBidi"/>
        </w:rPr>
        <w:t>开户行：</w:t>
      </w:r>
      <w:r>
        <w:rPr>
          <w:rFonts w:hint="eastAsia" w:ascii="宋体" w:hAnsi="宋体" w:eastAsia="宋体" w:cstheme="minorBidi"/>
          <w:sz w:val="21"/>
          <w:szCs w:val="21"/>
        </w:rPr>
        <w:t>中国光大银行股份有限公司江门分行</w:t>
      </w:r>
    </w:p>
    <w:p>
      <w:pPr>
        <w:pStyle w:val="29"/>
        <w:tabs>
          <w:tab w:val="left" w:pos="1134"/>
        </w:tabs>
        <w:autoSpaceDE w:val="0"/>
        <w:autoSpaceDN w:val="0"/>
        <w:adjustRightInd w:val="0"/>
        <w:spacing w:line="360" w:lineRule="auto"/>
        <w:jc w:val="left"/>
        <w:rPr>
          <w:rFonts w:ascii="宋体" w:hAnsi="宋体"/>
        </w:rPr>
      </w:pPr>
      <w:bookmarkStart w:id="11" w:name="_Hlk519866249"/>
      <w:r>
        <w:rPr>
          <w:rFonts w:ascii="宋体" w:hAnsi="宋体"/>
        </w:rPr>
        <w:t>3</w:t>
      </w:r>
      <w:r>
        <w:rPr>
          <w:rFonts w:hint="eastAsia" w:ascii="宋体" w:hAnsi="宋体"/>
        </w:rPr>
        <w:t>、乙方开票信息如下：</w:t>
      </w:r>
    </w:p>
    <w:p>
      <w:pPr>
        <w:pStyle w:val="29"/>
        <w:tabs>
          <w:tab w:val="left" w:pos="1134"/>
        </w:tabs>
        <w:autoSpaceDE w:val="0"/>
        <w:autoSpaceDN w:val="0"/>
        <w:adjustRightInd w:val="0"/>
        <w:spacing w:line="360" w:lineRule="auto"/>
        <w:ind w:left="425" w:firstLine="0" w:firstLineChars="0"/>
        <w:jc w:val="left"/>
        <w:rPr>
          <w:rFonts w:ascii="宋体" w:hAnsi="宋体"/>
        </w:rPr>
      </w:pPr>
      <w:r>
        <w:rPr>
          <w:rFonts w:hint="eastAsia" w:ascii="宋体" w:hAnsi="宋体"/>
        </w:rPr>
        <w:t>单位全称：</w:t>
      </w:r>
    </w:p>
    <w:p>
      <w:pPr>
        <w:pStyle w:val="29"/>
        <w:tabs>
          <w:tab w:val="left" w:pos="1134"/>
        </w:tabs>
        <w:autoSpaceDE w:val="0"/>
        <w:autoSpaceDN w:val="0"/>
        <w:adjustRightInd w:val="0"/>
        <w:spacing w:line="360" w:lineRule="auto"/>
        <w:ind w:left="425" w:firstLine="0" w:firstLineChars="0"/>
        <w:jc w:val="left"/>
        <w:rPr>
          <w:rFonts w:ascii="宋体" w:hAnsi="宋体"/>
        </w:rPr>
      </w:pPr>
      <w:r>
        <w:rPr>
          <w:rFonts w:hint="eastAsia" w:ascii="宋体" w:hAnsi="宋体"/>
        </w:rPr>
        <w:t>纳税人识别号：</w:t>
      </w:r>
    </w:p>
    <w:p>
      <w:pPr>
        <w:pStyle w:val="29"/>
        <w:tabs>
          <w:tab w:val="left" w:pos="1134"/>
        </w:tabs>
        <w:autoSpaceDE w:val="0"/>
        <w:autoSpaceDN w:val="0"/>
        <w:adjustRightInd w:val="0"/>
        <w:spacing w:line="360" w:lineRule="auto"/>
        <w:ind w:left="425" w:firstLine="0" w:firstLineChars="0"/>
        <w:jc w:val="left"/>
        <w:rPr>
          <w:rFonts w:ascii="宋体" w:hAnsi="宋体"/>
        </w:rPr>
      </w:pPr>
      <w:r>
        <w:rPr>
          <w:rFonts w:hint="eastAsia" w:ascii="宋体" w:hAnsi="宋体"/>
        </w:rPr>
        <w:t>地</w:t>
      </w:r>
      <w:r>
        <w:rPr>
          <w:rFonts w:ascii="宋体" w:hAnsi="宋体"/>
        </w:rPr>
        <w:t xml:space="preserve">    </w:t>
      </w:r>
      <w:r>
        <w:rPr>
          <w:rFonts w:hint="eastAsia" w:ascii="宋体" w:hAnsi="宋体"/>
        </w:rPr>
        <w:t>址：</w:t>
      </w:r>
      <w:r>
        <w:rPr>
          <w:rFonts w:ascii="宋体" w:hAnsi="宋体"/>
        </w:rPr>
        <w:t xml:space="preserve"> </w:t>
      </w:r>
    </w:p>
    <w:p>
      <w:pPr>
        <w:pStyle w:val="29"/>
        <w:tabs>
          <w:tab w:val="left" w:pos="1134"/>
        </w:tabs>
        <w:autoSpaceDE w:val="0"/>
        <w:autoSpaceDN w:val="0"/>
        <w:adjustRightInd w:val="0"/>
        <w:spacing w:line="360" w:lineRule="auto"/>
        <w:ind w:left="425" w:firstLine="0" w:firstLineChars="0"/>
        <w:jc w:val="left"/>
        <w:rPr>
          <w:rFonts w:ascii="宋体" w:hAnsi="宋体"/>
        </w:rPr>
      </w:pPr>
      <w:r>
        <w:rPr>
          <w:rFonts w:hint="eastAsia" w:ascii="宋体" w:hAnsi="宋体"/>
        </w:rPr>
        <w:t>电话号码：</w:t>
      </w:r>
      <w:r>
        <w:rPr>
          <w:rFonts w:ascii="宋体" w:hAnsi="宋体"/>
        </w:rPr>
        <w:t xml:space="preserve">      </w:t>
      </w:r>
    </w:p>
    <w:p>
      <w:pPr>
        <w:pStyle w:val="29"/>
        <w:tabs>
          <w:tab w:val="left" w:pos="1134"/>
        </w:tabs>
        <w:autoSpaceDE w:val="0"/>
        <w:autoSpaceDN w:val="0"/>
        <w:adjustRightInd w:val="0"/>
        <w:spacing w:line="360" w:lineRule="auto"/>
        <w:ind w:left="425" w:firstLine="0" w:firstLineChars="0"/>
        <w:jc w:val="left"/>
        <w:rPr>
          <w:rFonts w:ascii="宋体" w:hAnsi="宋体"/>
        </w:rPr>
      </w:pPr>
      <w:r>
        <w:rPr>
          <w:rFonts w:hint="eastAsia" w:ascii="宋体" w:hAnsi="宋体"/>
        </w:rPr>
        <w:t>传真：</w:t>
      </w:r>
    </w:p>
    <w:p>
      <w:pPr>
        <w:pStyle w:val="29"/>
        <w:tabs>
          <w:tab w:val="left" w:pos="1134"/>
        </w:tabs>
        <w:autoSpaceDE w:val="0"/>
        <w:autoSpaceDN w:val="0"/>
        <w:adjustRightInd w:val="0"/>
        <w:spacing w:line="360" w:lineRule="auto"/>
        <w:ind w:left="425" w:firstLine="0" w:firstLineChars="0"/>
        <w:jc w:val="left"/>
        <w:rPr>
          <w:rFonts w:ascii="宋体" w:hAnsi="宋体"/>
        </w:rPr>
      </w:pPr>
      <w:r>
        <w:rPr>
          <w:rFonts w:hint="eastAsia" w:ascii="宋体" w:hAnsi="宋体"/>
        </w:rPr>
        <w:t>邮</w:t>
      </w:r>
      <w:r>
        <w:rPr>
          <w:rFonts w:ascii="宋体" w:hAnsi="宋体"/>
        </w:rPr>
        <w:t xml:space="preserve">    </w:t>
      </w:r>
      <w:r>
        <w:rPr>
          <w:rFonts w:hint="eastAsia" w:ascii="宋体" w:hAnsi="宋体"/>
        </w:rPr>
        <w:t>编：</w:t>
      </w:r>
    </w:p>
    <w:p>
      <w:pPr>
        <w:pStyle w:val="29"/>
        <w:tabs>
          <w:tab w:val="left" w:pos="1134"/>
        </w:tabs>
        <w:autoSpaceDE w:val="0"/>
        <w:autoSpaceDN w:val="0"/>
        <w:adjustRightInd w:val="0"/>
        <w:spacing w:line="360" w:lineRule="auto"/>
        <w:ind w:left="425" w:firstLine="0" w:firstLineChars="0"/>
        <w:jc w:val="left"/>
        <w:rPr>
          <w:rFonts w:ascii="宋体" w:hAnsi="宋体"/>
        </w:rPr>
      </w:pPr>
      <w:r>
        <w:rPr>
          <w:rFonts w:hint="eastAsia" w:ascii="宋体" w:hAnsi="宋体"/>
        </w:rPr>
        <w:t>开户银行：</w:t>
      </w:r>
    </w:p>
    <w:p>
      <w:pPr>
        <w:pStyle w:val="29"/>
        <w:tabs>
          <w:tab w:val="left" w:pos="1134"/>
        </w:tabs>
        <w:autoSpaceDE w:val="0"/>
        <w:autoSpaceDN w:val="0"/>
        <w:adjustRightInd w:val="0"/>
        <w:spacing w:line="360" w:lineRule="auto"/>
        <w:ind w:left="425" w:firstLine="0" w:firstLineChars="0"/>
        <w:jc w:val="left"/>
        <w:rPr>
          <w:rFonts w:ascii="宋体" w:hAnsi="宋体"/>
        </w:rPr>
      </w:pPr>
      <w:r>
        <w:rPr>
          <w:rFonts w:hint="eastAsia" w:ascii="宋体" w:hAnsi="宋体"/>
        </w:rPr>
        <w:t>帐</w:t>
      </w:r>
      <w:r>
        <w:rPr>
          <w:rFonts w:ascii="宋体" w:hAnsi="宋体"/>
        </w:rPr>
        <w:t xml:space="preserve">   </w:t>
      </w:r>
      <w:r>
        <w:rPr>
          <w:rFonts w:hint="eastAsia" w:ascii="宋体" w:hAnsi="宋体"/>
        </w:rPr>
        <w:t>号：</w:t>
      </w:r>
    </w:p>
    <w:p>
      <w:pPr>
        <w:pStyle w:val="29"/>
        <w:tabs>
          <w:tab w:val="left" w:pos="1134"/>
        </w:tabs>
        <w:autoSpaceDE w:val="0"/>
        <w:autoSpaceDN w:val="0"/>
        <w:adjustRightInd w:val="0"/>
        <w:spacing w:line="360" w:lineRule="auto"/>
        <w:ind w:left="420" w:leftChars="200" w:firstLine="0" w:firstLineChars="0"/>
        <w:jc w:val="left"/>
        <w:rPr>
          <w:rFonts w:ascii="宋体" w:hAnsi="宋体"/>
        </w:rPr>
      </w:pPr>
      <w:r>
        <w:rPr>
          <w:rFonts w:ascii="宋体" w:hAnsi="宋体"/>
        </w:rPr>
        <w:t>4</w:t>
      </w:r>
      <w:r>
        <w:rPr>
          <w:rFonts w:hint="eastAsia" w:ascii="宋体" w:hAnsi="宋体"/>
        </w:rPr>
        <w:t>、乙方保证上述开票信息合法、真实、准确，并承担开票信息错误、无效、非法的法律责任。乙方开票信息若变更的，应提前</w:t>
      </w:r>
      <w:r>
        <w:rPr>
          <w:rFonts w:ascii="宋体" w:hAnsi="宋体"/>
        </w:rPr>
        <w:t>2</w:t>
      </w:r>
      <w:r>
        <w:rPr>
          <w:rFonts w:hint="eastAsia" w:ascii="宋体" w:hAnsi="宋体"/>
        </w:rPr>
        <w:t>个工作日内书面（加盖乙方公章）通知甲方。</w:t>
      </w:r>
    </w:p>
    <w:bookmarkEnd w:id="11"/>
    <w:p>
      <w:pPr>
        <w:pStyle w:val="29"/>
        <w:spacing w:line="360" w:lineRule="auto"/>
        <w:ind w:left="142" w:firstLine="0" w:firstLineChars="0"/>
        <w:rPr>
          <w:rFonts w:ascii="等线" w:hAnsi="等线"/>
          <w:b/>
        </w:rPr>
      </w:pPr>
      <w:r>
        <w:rPr>
          <w:rFonts w:hint="eastAsia" w:ascii="等线" w:hAnsi="等线"/>
          <w:b/>
        </w:rPr>
        <w:t>第四条</w:t>
      </w:r>
      <w:r>
        <w:rPr>
          <w:rFonts w:ascii="等线" w:hAnsi="等线"/>
          <w:b/>
        </w:rPr>
        <w:t xml:space="preserve"> </w:t>
      </w:r>
      <w:r>
        <w:rPr>
          <w:rFonts w:hint="eastAsia" w:ascii="等线" w:hAnsi="等线"/>
          <w:b/>
        </w:rPr>
        <w:t>货物交付</w:t>
      </w:r>
    </w:p>
    <w:p>
      <w:pPr>
        <w:pStyle w:val="29"/>
        <w:spacing w:line="360" w:lineRule="auto"/>
        <w:ind w:left="418" w:leftChars="195" w:hanging="9" w:firstLineChars="0"/>
        <w:rPr>
          <w:rFonts w:ascii="宋体" w:hAnsi="宋体"/>
          <w:bCs/>
        </w:rPr>
      </w:pPr>
      <w:r>
        <w:rPr>
          <w:rFonts w:ascii="宋体" w:hAnsi="宋体"/>
          <w:bCs/>
        </w:rPr>
        <w:t>1</w:t>
      </w:r>
      <w:r>
        <w:rPr>
          <w:rFonts w:hint="eastAsia" w:ascii="宋体" w:hAnsi="宋体"/>
          <w:bCs/>
        </w:rPr>
        <w:t>、自乙方收到甲方发出书面或电话收货通知之日起，</w:t>
      </w:r>
      <w:r>
        <w:rPr>
          <w:rFonts w:ascii="宋体" w:hAnsi="宋体"/>
          <w:bCs/>
        </w:rPr>
        <w:t xml:space="preserve"> </w:t>
      </w:r>
      <w:r>
        <w:rPr>
          <w:rFonts w:hint="eastAsia" w:ascii="宋体" w:hAnsi="宋体"/>
          <w:bCs/>
        </w:rPr>
        <w:t>第二天乙方自行到达指定提货地址并负责货物称重、运输</w:t>
      </w:r>
      <w:r>
        <w:rPr>
          <w:rFonts w:hint="eastAsia" w:ascii="宋体" w:hAnsi="宋体"/>
        </w:rPr>
        <w:t>（运输车辆需带有自吸功能）。</w:t>
      </w:r>
    </w:p>
    <w:p>
      <w:pPr>
        <w:pStyle w:val="29"/>
        <w:spacing w:line="360" w:lineRule="auto"/>
        <w:ind w:firstLineChars="0"/>
        <w:rPr>
          <w:rFonts w:ascii="宋体" w:hAnsi="宋体"/>
          <w:bCs/>
        </w:rPr>
      </w:pPr>
      <w:r>
        <w:rPr>
          <w:rFonts w:ascii="宋体" w:hAnsi="宋体"/>
          <w:bCs/>
        </w:rPr>
        <w:t>2</w:t>
      </w:r>
      <w:r>
        <w:rPr>
          <w:rFonts w:hint="eastAsia" w:ascii="宋体" w:hAnsi="宋体"/>
          <w:bCs/>
        </w:rPr>
        <w:t>、甲方指定提货地址为：江门绿源环保有限公司江门市区餐厨垃圾处置厂。</w:t>
      </w:r>
    </w:p>
    <w:p>
      <w:pPr>
        <w:pStyle w:val="29"/>
        <w:spacing w:line="360" w:lineRule="auto"/>
        <w:ind w:firstLine="103" w:firstLineChars="49"/>
        <w:rPr>
          <w:rFonts w:ascii="等线" w:hAnsi="等线"/>
          <w:b/>
        </w:rPr>
      </w:pPr>
      <w:r>
        <w:rPr>
          <w:rFonts w:hint="eastAsia" w:ascii="等线" w:hAnsi="等线"/>
          <w:b/>
        </w:rPr>
        <w:t>第五条</w:t>
      </w:r>
      <w:r>
        <w:rPr>
          <w:rFonts w:ascii="等线" w:hAnsi="等线"/>
          <w:b/>
        </w:rPr>
        <w:t xml:space="preserve">  </w:t>
      </w:r>
      <w:r>
        <w:rPr>
          <w:rFonts w:hint="eastAsia" w:ascii="等线" w:hAnsi="等线"/>
          <w:b/>
        </w:rPr>
        <w:t>运输及验收</w:t>
      </w:r>
    </w:p>
    <w:p>
      <w:pPr>
        <w:pStyle w:val="29"/>
        <w:spacing w:line="360" w:lineRule="auto"/>
        <w:ind w:firstLineChars="0"/>
        <w:rPr>
          <w:rFonts w:ascii="宋体" w:hAnsi="宋体"/>
          <w:bCs/>
        </w:rPr>
      </w:pPr>
      <w:r>
        <w:rPr>
          <w:rFonts w:ascii="宋体" w:hAnsi="宋体"/>
          <w:bCs/>
        </w:rPr>
        <w:t>1</w:t>
      </w:r>
      <w:r>
        <w:rPr>
          <w:rFonts w:hint="eastAsia" w:ascii="宋体" w:hAnsi="宋体"/>
          <w:bCs/>
        </w:rPr>
        <w:t>、运输方式：道路运输。</w:t>
      </w:r>
    </w:p>
    <w:p>
      <w:pPr>
        <w:pStyle w:val="29"/>
        <w:spacing w:line="360" w:lineRule="auto"/>
        <w:ind w:firstLineChars="0"/>
        <w:rPr>
          <w:rFonts w:ascii="宋体" w:hAnsi="宋体"/>
          <w:bCs/>
        </w:rPr>
      </w:pPr>
      <w:r>
        <w:rPr>
          <w:rFonts w:ascii="宋体" w:hAnsi="宋体"/>
          <w:bCs/>
        </w:rPr>
        <w:t>2</w:t>
      </w:r>
      <w:r>
        <w:rPr>
          <w:rFonts w:hint="eastAsia" w:ascii="宋体" w:hAnsi="宋体"/>
          <w:bCs/>
        </w:rPr>
        <w:t>、运输及装卸等相关费用：乙方承担。</w:t>
      </w:r>
    </w:p>
    <w:p>
      <w:pPr>
        <w:pStyle w:val="29"/>
        <w:spacing w:line="360" w:lineRule="auto"/>
        <w:ind w:firstLineChars="0"/>
        <w:rPr>
          <w:rFonts w:ascii="宋体" w:hAnsi="宋体"/>
          <w:bCs/>
        </w:rPr>
      </w:pPr>
      <w:r>
        <w:rPr>
          <w:rFonts w:ascii="宋体" w:hAnsi="宋体"/>
          <w:bCs/>
        </w:rPr>
        <w:t>3</w:t>
      </w:r>
      <w:r>
        <w:rPr>
          <w:rFonts w:hint="eastAsia" w:ascii="宋体" w:hAnsi="宋体"/>
          <w:bCs/>
        </w:rPr>
        <w:t>、验收标准：</w:t>
      </w:r>
    </w:p>
    <w:p>
      <w:pPr>
        <w:spacing w:line="360" w:lineRule="auto"/>
        <w:ind w:firstLine="210" w:firstLineChars="100"/>
        <w:rPr>
          <w:rFonts w:hAnsi="宋体"/>
        </w:rPr>
      </w:pPr>
      <w:r>
        <w:rPr>
          <w:rFonts w:hint="eastAsia" w:hAnsi="宋体"/>
        </w:rPr>
        <w:t>（</w:t>
      </w:r>
      <w:r>
        <w:rPr>
          <w:rFonts w:hAnsi="宋体"/>
        </w:rPr>
        <w:t>1）</w:t>
      </w:r>
      <w:r>
        <w:rPr>
          <w:rFonts w:hint="eastAsia" w:hAnsi="宋体"/>
        </w:rPr>
        <w:t>甲方</w:t>
      </w:r>
      <w:r>
        <w:rPr>
          <w:rFonts w:hAnsi="宋体"/>
        </w:rPr>
        <w:t>交付的货物必须符合本合同约定的质量标准。</w:t>
      </w:r>
    </w:p>
    <w:p>
      <w:pPr>
        <w:spacing w:line="360" w:lineRule="auto"/>
        <w:ind w:left="220" w:leftChars="100" w:hanging="10"/>
        <w:rPr>
          <w:rFonts w:hAnsi="宋体"/>
        </w:rPr>
      </w:pPr>
      <w:r>
        <w:rPr>
          <w:rFonts w:hint="eastAsia" w:hAnsi="宋体"/>
        </w:rPr>
        <w:t>（</w:t>
      </w:r>
      <w:r>
        <w:rPr>
          <w:rFonts w:hAnsi="宋体"/>
        </w:rPr>
        <w:t>2）验收期限：</w:t>
      </w:r>
      <w:r>
        <w:rPr>
          <w:rFonts w:hint="eastAsia" w:hAnsi="宋体"/>
        </w:rPr>
        <w:t>收货时当场对货物进行验收，未验收的，按该批次货物符合质量标准要求。如双方对货物质量有异议的，甲方可进行复测，如复测结果符合验收标准的，而乙方不接受的，甲方可另行处置该批次货物。</w:t>
      </w:r>
    </w:p>
    <w:p>
      <w:pPr>
        <w:pStyle w:val="29"/>
        <w:spacing w:line="360" w:lineRule="auto"/>
        <w:ind w:firstLine="207" w:firstLineChars="98"/>
        <w:rPr>
          <w:rFonts w:ascii="等线" w:hAnsi="等线"/>
          <w:b/>
        </w:rPr>
      </w:pPr>
      <w:bookmarkStart w:id="12" w:name="_Toc518311990"/>
      <w:r>
        <w:rPr>
          <w:rFonts w:hint="eastAsia" w:ascii="等线" w:hAnsi="等线"/>
          <w:b/>
        </w:rPr>
        <w:t>第六条</w:t>
      </w:r>
      <w:r>
        <w:rPr>
          <w:rFonts w:ascii="等线" w:hAnsi="等线"/>
          <w:b/>
        </w:rPr>
        <w:t xml:space="preserve"> </w:t>
      </w:r>
      <w:bookmarkEnd w:id="12"/>
      <w:r>
        <w:rPr>
          <w:rFonts w:hint="eastAsia" w:ascii="等线" w:hAnsi="等线"/>
          <w:b/>
        </w:rPr>
        <w:t>所有权转移和风险承担</w:t>
      </w:r>
    </w:p>
    <w:p>
      <w:pPr>
        <w:spacing w:line="360" w:lineRule="auto"/>
        <w:ind w:firstLine="420" w:firstLineChars="200"/>
        <w:rPr>
          <w:rFonts w:hAnsi="宋体"/>
        </w:rPr>
      </w:pPr>
      <w:bookmarkStart w:id="13" w:name="_Toc518311991"/>
      <w:r>
        <w:rPr>
          <w:rFonts w:hAnsi="宋体"/>
        </w:rPr>
        <w:t>1</w:t>
      </w:r>
      <w:r>
        <w:rPr>
          <w:rFonts w:hint="eastAsia" w:hAnsi="宋体"/>
        </w:rPr>
        <w:t>、货物交付至乙</w:t>
      </w:r>
      <w:r>
        <w:rPr>
          <w:rFonts w:hAnsi="宋体"/>
        </w:rPr>
        <w:t>方后，货物</w:t>
      </w:r>
      <w:r>
        <w:rPr>
          <w:rFonts w:hint="eastAsia" w:hAnsi="宋体"/>
        </w:rPr>
        <w:t>所有权归属于乙方，货物毁损</w:t>
      </w:r>
      <w:r>
        <w:rPr>
          <w:rFonts w:hAnsi="宋体"/>
        </w:rPr>
        <w:t>、灭</w:t>
      </w:r>
      <w:r>
        <w:rPr>
          <w:rFonts w:hint="eastAsia" w:hAnsi="宋体"/>
        </w:rPr>
        <w:t>失</w:t>
      </w:r>
      <w:r>
        <w:rPr>
          <w:rFonts w:hAnsi="宋体"/>
        </w:rPr>
        <w:t>的风险由乙方</w:t>
      </w:r>
      <w:r>
        <w:rPr>
          <w:rFonts w:hint="eastAsia" w:hAnsi="宋体"/>
        </w:rPr>
        <w:t>承担</w:t>
      </w:r>
      <w:r>
        <w:rPr>
          <w:rFonts w:hAnsi="宋体"/>
        </w:rPr>
        <w:t>。</w:t>
      </w:r>
    </w:p>
    <w:p>
      <w:pPr>
        <w:spacing w:line="360" w:lineRule="auto"/>
        <w:ind w:firstLine="420" w:firstLineChars="200"/>
        <w:rPr>
          <w:rFonts w:hAnsi="宋体"/>
        </w:rPr>
      </w:pPr>
      <w:r>
        <w:rPr>
          <w:rFonts w:hAnsi="宋体"/>
        </w:rPr>
        <w:t>2</w:t>
      </w:r>
      <w:r>
        <w:rPr>
          <w:rFonts w:hint="eastAsia" w:hAnsi="宋体"/>
        </w:rPr>
        <w:t>、</w:t>
      </w:r>
      <w:r>
        <w:rPr>
          <w:rFonts w:hAnsi="宋体"/>
        </w:rPr>
        <w:t>所有权和风险的转移不影响因乙方履行义务不符合约定时甲方要求其承担违约责任的权利。</w:t>
      </w:r>
    </w:p>
    <w:p>
      <w:pPr>
        <w:spacing w:line="360" w:lineRule="auto"/>
        <w:ind w:firstLine="420" w:firstLineChars="200"/>
        <w:rPr>
          <w:rFonts w:hAnsi="宋体"/>
        </w:rPr>
      </w:pPr>
      <w:r>
        <w:rPr>
          <w:rFonts w:hAnsi="宋体"/>
        </w:rPr>
        <w:t>3</w:t>
      </w:r>
      <w:r>
        <w:rPr>
          <w:rFonts w:hint="eastAsia" w:hAnsi="宋体"/>
        </w:rPr>
        <w:t>、</w:t>
      </w:r>
      <w:r>
        <w:rPr>
          <w:rFonts w:hAnsi="宋体"/>
        </w:rPr>
        <w:t>乙方交由承运人运输的在途货物，毁损、灭</w:t>
      </w:r>
      <w:r>
        <w:rPr>
          <w:rFonts w:hint="eastAsia" w:hAnsi="宋体"/>
        </w:rPr>
        <w:t>失</w:t>
      </w:r>
      <w:r>
        <w:rPr>
          <w:rFonts w:hAnsi="宋体"/>
        </w:rPr>
        <w:t>的风险由乙方承担</w:t>
      </w:r>
      <w:r>
        <w:rPr>
          <w:rFonts w:hint="eastAsia" w:hAnsi="宋体"/>
        </w:rPr>
        <w:t>。</w:t>
      </w:r>
    </w:p>
    <w:p>
      <w:pPr>
        <w:spacing w:line="360" w:lineRule="auto"/>
        <w:ind w:left="420" w:leftChars="200"/>
        <w:rPr>
          <w:rFonts w:hAnsi="宋体"/>
        </w:rPr>
      </w:pPr>
      <w:r>
        <w:rPr>
          <w:rFonts w:hAnsi="宋体"/>
        </w:rPr>
        <w:t>4</w:t>
      </w:r>
      <w:r>
        <w:rPr>
          <w:rFonts w:hint="eastAsia" w:hAnsi="宋体"/>
        </w:rPr>
        <w:t>、乙方收购的工业用废油脂，不能二次转卖，乙方</w:t>
      </w:r>
      <w:r>
        <w:rPr>
          <w:rFonts w:hint="eastAsia" w:hAnsi="宋体"/>
          <w:lang w:val="en-US" w:eastAsia="zh-CN"/>
        </w:rPr>
        <w:t>保证</w:t>
      </w:r>
      <w:r>
        <w:rPr>
          <w:rFonts w:hint="eastAsia" w:hAnsi="宋体"/>
        </w:rPr>
        <w:t>只可用于生产化工产品，不得用于食品加工用途</w:t>
      </w:r>
      <w:r>
        <w:rPr>
          <w:rFonts w:hint="eastAsia" w:ascii="仿宋" w:hAnsi="仿宋" w:eastAsia="仿宋"/>
          <w:sz w:val="24"/>
        </w:rPr>
        <w:t>。</w:t>
      </w:r>
      <w:r>
        <w:rPr>
          <w:rFonts w:hint="eastAsia" w:hAnsi="宋体"/>
        </w:rPr>
        <w:t>甲方不承担任何连带责任。</w:t>
      </w:r>
    </w:p>
    <w:p>
      <w:pPr>
        <w:spacing w:line="360" w:lineRule="auto"/>
        <w:ind w:firstLine="236" w:firstLineChars="98"/>
        <w:rPr>
          <w:rFonts w:ascii="等线" w:hAnsi="等线"/>
          <w:b/>
          <w:sz w:val="24"/>
        </w:rPr>
      </w:pPr>
      <w:r>
        <w:rPr>
          <w:rFonts w:hint="eastAsia" w:ascii="等线" w:hAnsi="等线"/>
          <w:b/>
          <w:sz w:val="24"/>
        </w:rPr>
        <w:t>第七条</w:t>
      </w:r>
      <w:r>
        <w:rPr>
          <w:rFonts w:ascii="等线" w:hAnsi="等线"/>
          <w:b/>
          <w:sz w:val="24"/>
        </w:rPr>
        <w:t xml:space="preserve"> </w:t>
      </w:r>
      <w:r>
        <w:rPr>
          <w:rFonts w:hint="eastAsia" w:ascii="等线" w:hAnsi="等线"/>
          <w:b/>
          <w:sz w:val="24"/>
        </w:rPr>
        <w:t>违约责任</w:t>
      </w:r>
    </w:p>
    <w:p>
      <w:pPr>
        <w:spacing w:line="360" w:lineRule="auto"/>
        <w:ind w:left="420" w:leftChars="200"/>
        <w:rPr>
          <w:rFonts w:hAnsi="宋体"/>
        </w:rPr>
      </w:pPr>
      <w:r>
        <w:rPr>
          <w:rFonts w:hAnsi="宋体"/>
        </w:rPr>
        <w:t>1</w:t>
      </w:r>
      <w:r>
        <w:rPr>
          <w:rFonts w:hint="eastAsia" w:hAnsi="宋体"/>
        </w:rPr>
        <w:t>、乙方</w:t>
      </w:r>
      <w:r>
        <w:rPr>
          <w:rFonts w:hAnsi="宋体"/>
        </w:rPr>
        <w:t>无正当理由</w:t>
      </w:r>
      <w:r>
        <w:rPr>
          <w:rFonts w:hint="eastAsia" w:hAnsi="宋体"/>
        </w:rPr>
        <w:t>拒绝收购甲方工业用废油脂的</w:t>
      </w:r>
      <w:r>
        <w:rPr>
          <w:rFonts w:hAnsi="宋体"/>
        </w:rPr>
        <w:t>，</w:t>
      </w:r>
      <w:r>
        <w:rPr>
          <w:rFonts w:hint="eastAsia" w:hAnsi="宋体"/>
        </w:rPr>
        <w:t>乙方</w:t>
      </w:r>
      <w:r>
        <w:rPr>
          <w:rFonts w:hAnsi="宋体"/>
        </w:rPr>
        <w:t>向</w:t>
      </w:r>
      <w:r>
        <w:rPr>
          <w:rFonts w:hint="eastAsia" w:hAnsi="宋体"/>
        </w:rPr>
        <w:t>甲方</w:t>
      </w:r>
      <w:r>
        <w:rPr>
          <w:rFonts w:hAnsi="宋体"/>
        </w:rPr>
        <w:t>偿付</w:t>
      </w:r>
      <w:r>
        <w:rPr>
          <w:rFonts w:hint="eastAsia" w:hAnsi="宋体"/>
        </w:rPr>
        <w:t>本批次</w:t>
      </w:r>
      <w:r>
        <w:rPr>
          <w:rFonts w:hAnsi="宋体"/>
        </w:rPr>
        <w:t>拒收</w:t>
      </w:r>
      <w:r>
        <w:rPr>
          <w:rFonts w:hint="eastAsia" w:hAnsi="宋体"/>
        </w:rPr>
        <w:t>工业用废油脂</w:t>
      </w:r>
      <w:r>
        <w:rPr>
          <w:rFonts w:hAnsi="宋体"/>
        </w:rPr>
        <w:t>款值10%</w:t>
      </w:r>
      <w:r>
        <w:rPr>
          <w:rFonts w:hint="eastAsia" w:hAnsi="宋体"/>
        </w:rPr>
        <w:t>的</w:t>
      </w:r>
      <w:r>
        <w:rPr>
          <w:rFonts w:hAnsi="宋体"/>
        </w:rPr>
        <w:t>违约金</w:t>
      </w:r>
      <w:r>
        <w:rPr>
          <w:rFonts w:hint="eastAsia" w:hAnsi="宋体"/>
        </w:rPr>
        <w:t>。</w:t>
      </w:r>
    </w:p>
    <w:p>
      <w:pPr>
        <w:spacing w:line="360" w:lineRule="auto"/>
        <w:ind w:firstLine="420" w:firstLineChars="200"/>
        <w:rPr>
          <w:rFonts w:hAnsi="宋体"/>
        </w:rPr>
      </w:pPr>
      <w:r>
        <w:rPr>
          <w:rFonts w:hAnsi="宋体"/>
        </w:rPr>
        <w:t>2</w:t>
      </w:r>
      <w:r>
        <w:rPr>
          <w:rFonts w:hint="eastAsia" w:hAnsi="宋体"/>
        </w:rPr>
        <w:t>、乙</w:t>
      </w:r>
      <w:r>
        <w:rPr>
          <w:rFonts w:hAnsi="宋体"/>
        </w:rPr>
        <w:t>方无故逾期办理货款支付手续的，甲方</w:t>
      </w:r>
      <w:r>
        <w:rPr>
          <w:rFonts w:hint="eastAsia" w:hAnsi="宋体"/>
        </w:rPr>
        <w:t>可以</w:t>
      </w:r>
      <w:r>
        <w:rPr>
          <w:rFonts w:hAnsi="宋体"/>
        </w:rPr>
        <w:t>按该批次货物款项3‰每日收取违约金。</w:t>
      </w:r>
    </w:p>
    <w:p>
      <w:pPr>
        <w:spacing w:line="360" w:lineRule="auto"/>
        <w:ind w:left="420" w:leftChars="200"/>
        <w:rPr>
          <w:rFonts w:hAnsi="宋体"/>
        </w:rPr>
      </w:pPr>
      <w:r>
        <w:rPr>
          <w:rFonts w:hAnsi="宋体"/>
        </w:rPr>
        <w:t>3</w:t>
      </w:r>
      <w:r>
        <w:rPr>
          <w:rFonts w:hint="eastAsia" w:hAnsi="宋体"/>
        </w:rPr>
        <w:t>、乙方接到甲方收购工业用废油脂通知时，需按时到达指定地址，若无故延迟收购的，每延迟一日，乙方向甲方支付</w:t>
      </w:r>
      <w:r>
        <w:rPr>
          <w:rFonts w:hAnsi="宋体"/>
        </w:rPr>
        <w:t>3000</w:t>
      </w:r>
      <w:r>
        <w:rPr>
          <w:rFonts w:hint="eastAsia" w:hAnsi="宋体"/>
        </w:rPr>
        <w:t>元</w:t>
      </w:r>
      <w:r>
        <w:rPr>
          <w:rFonts w:hAnsi="宋体"/>
        </w:rPr>
        <w:t>/</w:t>
      </w:r>
      <w:r>
        <w:rPr>
          <w:rFonts w:hint="eastAsia" w:hAnsi="宋体"/>
        </w:rPr>
        <w:t>次的违约金。乙方超过指定日期</w:t>
      </w:r>
      <w:r>
        <w:rPr>
          <w:rFonts w:hAnsi="宋体"/>
        </w:rPr>
        <w:t>3</w:t>
      </w:r>
      <w:r>
        <w:rPr>
          <w:rFonts w:hint="eastAsia" w:hAnsi="宋体"/>
        </w:rPr>
        <w:t>日以上的，甲方有权单方解除本合同。</w:t>
      </w:r>
    </w:p>
    <w:p>
      <w:pPr>
        <w:spacing w:line="360" w:lineRule="auto"/>
        <w:ind w:left="420" w:leftChars="200"/>
        <w:rPr>
          <w:rFonts w:hAnsi="宋体"/>
        </w:rPr>
      </w:pPr>
      <w:r>
        <w:rPr>
          <w:rFonts w:hint="eastAsia" w:hAnsi="宋体"/>
        </w:rPr>
        <w:t>4、乙方违反本合同第六条第4点的，乙方应当向甲方支付违约金</w:t>
      </w:r>
      <w:r>
        <w:rPr>
          <w:rFonts w:hint="eastAsia" w:hAnsi="宋体"/>
          <w:u w:val="single"/>
        </w:rPr>
        <w:t xml:space="preserve"> 30000.00</w:t>
      </w:r>
      <w:r>
        <w:rPr>
          <w:rFonts w:hint="eastAsia" w:hAnsi="宋体"/>
        </w:rPr>
        <w:t>元。</w:t>
      </w:r>
    </w:p>
    <w:bookmarkEnd w:id="13"/>
    <w:p>
      <w:pPr>
        <w:pStyle w:val="29"/>
        <w:spacing w:line="360" w:lineRule="auto"/>
        <w:ind w:firstLine="207" w:firstLineChars="98"/>
        <w:rPr>
          <w:rFonts w:ascii="等线" w:hAnsi="等线"/>
          <w:b/>
        </w:rPr>
      </w:pPr>
      <w:r>
        <w:rPr>
          <w:rFonts w:hint="eastAsia" w:ascii="等线" w:hAnsi="等线"/>
          <w:b/>
        </w:rPr>
        <w:t>第八条</w:t>
      </w:r>
      <w:r>
        <w:rPr>
          <w:rFonts w:ascii="等线" w:hAnsi="等线"/>
          <w:b/>
        </w:rPr>
        <w:t xml:space="preserve"> </w:t>
      </w:r>
      <w:r>
        <w:rPr>
          <w:rFonts w:hint="eastAsia" w:ascii="等线" w:hAnsi="等线"/>
          <w:b/>
        </w:rPr>
        <w:t>履约保证金要求</w:t>
      </w:r>
    </w:p>
    <w:p>
      <w:pPr>
        <w:pStyle w:val="29"/>
        <w:spacing w:line="360" w:lineRule="auto"/>
        <w:ind w:left="420" w:leftChars="200" w:firstLine="0" w:firstLineChars="0"/>
        <w:rPr>
          <w:rFonts w:hAnsi="宋体"/>
        </w:rPr>
      </w:pPr>
      <w:r>
        <w:rPr>
          <w:rFonts w:hAnsi="宋体"/>
        </w:rPr>
        <w:t>1</w:t>
      </w:r>
      <w:r>
        <w:rPr>
          <w:rFonts w:hint="eastAsia" w:hAnsi="宋体"/>
        </w:rPr>
        <w:t>、乙方在收到《成交通知书》后五个自然日内，应当与甲方签订合同并以银行转账的方式向甲方指定账户交付履约保证金。本项目的履约保证金金额为人民币贰万元整（¥</w:t>
      </w:r>
      <w:r>
        <w:rPr>
          <w:rFonts w:hAnsi="宋体"/>
        </w:rPr>
        <w:t>20000.00</w:t>
      </w:r>
      <w:r>
        <w:rPr>
          <w:rFonts w:hint="eastAsia" w:hAnsi="宋体"/>
        </w:rPr>
        <w:t>元）。</w:t>
      </w:r>
    </w:p>
    <w:p>
      <w:pPr>
        <w:pStyle w:val="29"/>
        <w:spacing w:line="360" w:lineRule="auto"/>
        <w:ind w:left="420" w:leftChars="200" w:firstLine="0" w:firstLineChars="0"/>
        <w:rPr>
          <w:rFonts w:hAnsi="宋体"/>
        </w:rPr>
      </w:pPr>
      <w:r>
        <w:rPr>
          <w:rFonts w:hAnsi="宋体"/>
        </w:rPr>
        <w:t>2</w:t>
      </w:r>
      <w:r>
        <w:rPr>
          <w:rFonts w:hint="eastAsia" w:hAnsi="宋体"/>
        </w:rPr>
        <w:t>、履约保证金用于督促乙方履行合同的承诺。在履约期限内乙方出现违反合同约定情形且不支付违约金的，甲方有权扣除相应或没收乙方提供的全部履约保证金。</w:t>
      </w:r>
    </w:p>
    <w:p>
      <w:pPr>
        <w:spacing w:line="360" w:lineRule="auto"/>
        <w:ind w:left="420" w:leftChars="200"/>
        <w:rPr>
          <w:rFonts w:hAnsi="宋体" w:asciiTheme="minorHAnsi" w:cstheme="minorBidi"/>
        </w:rPr>
      </w:pPr>
      <w:r>
        <w:rPr>
          <w:rFonts w:hAnsi="宋体" w:asciiTheme="minorHAnsi" w:cstheme="minorBidi"/>
        </w:rPr>
        <w:t>3</w:t>
      </w:r>
      <w:r>
        <w:rPr>
          <w:rFonts w:hint="eastAsia" w:hAnsi="宋体" w:asciiTheme="minorHAnsi" w:cstheme="minorBidi"/>
        </w:rPr>
        <w:t>、乙方应在被扣减履约保证金之日起</w:t>
      </w:r>
      <w:r>
        <w:rPr>
          <w:rFonts w:hAnsi="宋体" w:asciiTheme="minorHAnsi" w:cstheme="minorBidi"/>
        </w:rPr>
        <w:t>3</w:t>
      </w:r>
      <w:r>
        <w:rPr>
          <w:rFonts w:hint="eastAsia" w:hAnsi="宋体" w:asciiTheme="minorHAnsi" w:cstheme="minorBidi"/>
        </w:rPr>
        <w:t>个工作日内缴纳相应的金额，保证履约保证金为人民币贰万元整</w:t>
      </w:r>
      <w:r>
        <w:rPr>
          <w:rFonts w:hint="eastAsia" w:ascii="宋体" w:hAnsi="宋体" w:cs="宋体"/>
        </w:rPr>
        <w:t>（¥</w:t>
      </w:r>
      <w:r>
        <w:rPr>
          <w:rFonts w:ascii="宋体" w:hAnsi="宋体" w:cs="宋体"/>
        </w:rPr>
        <w:t>20000.00</w:t>
      </w:r>
      <w:r>
        <w:rPr>
          <w:rFonts w:hint="eastAsia" w:ascii="宋体" w:hAnsi="宋体" w:cs="宋体"/>
        </w:rPr>
        <w:t>元）</w:t>
      </w:r>
      <w:r>
        <w:rPr>
          <w:rFonts w:hint="eastAsia" w:hAnsi="宋体" w:asciiTheme="minorHAnsi" w:cstheme="minorBidi"/>
        </w:rPr>
        <w:t>。</w:t>
      </w:r>
    </w:p>
    <w:p>
      <w:pPr>
        <w:spacing w:line="360" w:lineRule="auto"/>
        <w:ind w:left="420" w:leftChars="200"/>
        <w:rPr>
          <w:rFonts w:hAnsi="宋体" w:asciiTheme="minorHAnsi" w:cstheme="minorBidi"/>
        </w:rPr>
      </w:pPr>
      <w:r>
        <w:rPr>
          <w:rFonts w:hAnsi="宋体" w:asciiTheme="minorHAnsi" w:cstheme="minorBidi"/>
        </w:rPr>
        <w:t>4</w:t>
      </w:r>
      <w:r>
        <w:rPr>
          <w:rFonts w:hint="eastAsia" w:hAnsi="宋体" w:asciiTheme="minorHAnsi" w:cstheme="minorBidi"/>
        </w:rPr>
        <w:t>、在合同履行期限届满之日起10个工作日内，乙方按约履行没有发生违约情形的，凭履约保证金相关凭证向甲方办理无息退还保证金手续。</w:t>
      </w:r>
    </w:p>
    <w:p>
      <w:pPr>
        <w:pStyle w:val="29"/>
        <w:spacing w:line="360" w:lineRule="auto"/>
        <w:ind w:firstLine="207" w:firstLineChars="98"/>
        <w:rPr>
          <w:rFonts w:ascii="等线" w:hAnsi="等线"/>
          <w:b/>
        </w:rPr>
      </w:pPr>
      <w:bookmarkStart w:id="14" w:name="_Toc518312001"/>
      <w:r>
        <w:rPr>
          <w:rFonts w:hint="eastAsia" w:ascii="等线" w:hAnsi="等线"/>
          <w:b/>
        </w:rPr>
        <w:t>第九条</w:t>
      </w:r>
      <w:r>
        <w:rPr>
          <w:rFonts w:ascii="等线" w:hAnsi="等线"/>
          <w:b/>
        </w:rPr>
        <w:t xml:space="preserve"> 争议解决</w:t>
      </w:r>
      <w:bookmarkEnd w:id="14"/>
    </w:p>
    <w:p>
      <w:pPr>
        <w:spacing w:line="360" w:lineRule="auto"/>
        <w:ind w:left="420" w:leftChars="200"/>
        <w:textAlignment w:val="bottom"/>
        <w:rPr>
          <w:rFonts w:hAnsi="宋体"/>
        </w:rPr>
      </w:pPr>
      <w:bookmarkStart w:id="15" w:name="_Hlk520710740"/>
      <w:bookmarkStart w:id="16" w:name="_Hlk520710721"/>
      <w:r>
        <w:rPr>
          <w:rFonts w:hint="eastAsia" w:hAnsi="宋体"/>
        </w:rPr>
        <w:t>本合同履行过程中如发生争议，双方应友好协商解决。协商不成的，任何一方有权向甲方住所地有管辖权的人民法院提起诉讼</w:t>
      </w:r>
      <w:bookmarkStart w:id="17" w:name="_Hlk520059954"/>
      <w:bookmarkStart w:id="18" w:name="_Hlk520059941"/>
      <w:r>
        <w:rPr>
          <w:rFonts w:hint="eastAsia" w:hAnsi="宋体"/>
        </w:rPr>
        <w:t>。</w:t>
      </w:r>
      <w:bookmarkEnd w:id="15"/>
      <w:bookmarkEnd w:id="17"/>
    </w:p>
    <w:bookmarkEnd w:id="16"/>
    <w:bookmarkEnd w:id="18"/>
    <w:p>
      <w:pPr>
        <w:pStyle w:val="29"/>
        <w:spacing w:line="360" w:lineRule="auto"/>
        <w:ind w:firstLine="207" w:firstLineChars="98"/>
        <w:rPr>
          <w:rFonts w:ascii="等线" w:hAnsi="等线"/>
          <w:b/>
        </w:rPr>
      </w:pPr>
      <w:bookmarkStart w:id="19" w:name="_Toc518312003"/>
      <w:r>
        <w:rPr>
          <w:rFonts w:hint="eastAsia" w:ascii="等线" w:hAnsi="等线"/>
          <w:b/>
        </w:rPr>
        <w:t>第十条</w:t>
      </w:r>
      <w:r>
        <w:rPr>
          <w:rFonts w:ascii="等线" w:hAnsi="等线"/>
          <w:b/>
        </w:rPr>
        <w:t xml:space="preserve"> 其他</w:t>
      </w:r>
      <w:bookmarkEnd w:id="19"/>
    </w:p>
    <w:p>
      <w:pPr>
        <w:spacing w:line="360" w:lineRule="auto"/>
        <w:ind w:left="420" w:leftChars="200"/>
        <w:rPr>
          <w:rFonts w:ascii="仿宋" w:hAnsi="仿宋" w:eastAsia="仿宋" w:cstheme="minorBidi"/>
          <w:sz w:val="24"/>
        </w:rPr>
      </w:pPr>
      <w:r>
        <w:rPr>
          <w:rFonts w:hAnsi="宋体"/>
        </w:rPr>
        <w:t>1</w:t>
      </w:r>
      <w:r>
        <w:rPr>
          <w:rFonts w:hint="eastAsia" w:hAnsi="宋体"/>
        </w:rPr>
        <w:t>、本合同项下的工业用废油脂产生量是甲方的估算。在购销期内，工业用废油脂产生量存在不稳定性，因此乙方不得在履行合同过程中因工业用废油脂供应量不稳定而向甲方追责索赔，也不得籍此向任何部门投诉或作出有损甲方商誉</w:t>
      </w:r>
      <w:r>
        <w:rPr>
          <w:rFonts w:hAnsi="宋体"/>
        </w:rPr>
        <w:t>/</w:t>
      </w:r>
      <w:r>
        <w:rPr>
          <w:rFonts w:hint="eastAsia" w:hAnsi="宋体"/>
        </w:rPr>
        <w:t>名誉的行为。乙方违反本条约定，甲方有权单方解除合同且不承担任何违约责任，乙方的上述行为造成甲方任何之损失的，应向甲方承担损害赔偿责任。</w:t>
      </w:r>
    </w:p>
    <w:p>
      <w:pPr>
        <w:pStyle w:val="14"/>
        <w:spacing w:line="360" w:lineRule="auto"/>
        <w:ind w:left="420" w:leftChars="200" w:firstLine="0" w:firstLineChars="0"/>
        <w:rPr>
          <w:rFonts w:hAnsi="宋体"/>
        </w:rPr>
      </w:pPr>
      <w:r>
        <w:rPr>
          <w:rFonts w:hAnsi="宋体"/>
        </w:rPr>
        <w:t>2</w:t>
      </w:r>
      <w:r>
        <w:rPr>
          <w:rFonts w:hint="eastAsia" w:hAnsi="宋体"/>
        </w:rPr>
        <w:t>、合同期内，甲方有权要求乙方提供工业用废油脂处置后化工产品的去向证明资料，包括但不限于入仓资料、生产台账、化工产品销售凭证。</w:t>
      </w:r>
    </w:p>
    <w:p>
      <w:pPr>
        <w:spacing w:line="360" w:lineRule="auto"/>
        <w:ind w:left="420" w:leftChars="200"/>
        <w:rPr>
          <w:rFonts w:hAnsi="宋体"/>
        </w:rPr>
      </w:pPr>
      <w:r>
        <w:rPr>
          <w:rFonts w:hAnsi="宋体"/>
        </w:rPr>
        <w:t>3</w:t>
      </w:r>
      <w:r>
        <w:rPr>
          <w:rFonts w:hint="eastAsia" w:hAnsi="宋体"/>
        </w:rPr>
        <w:t>、若出售方接到有效投诉、政府处罚投诉、文字音像等有关材料证明举证或者疑似购买方存在将货物进行二次转卖或非经营范围内售卖的情况，出售方有权单方解除合同。</w:t>
      </w:r>
    </w:p>
    <w:p>
      <w:pPr>
        <w:spacing w:line="360" w:lineRule="auto"/>
        <w:ind w:left="420" w:leftChars="200"/>
        <w:textAlignment w:val="bottom"/>
        <w:rPr>
          <w:rFonts w:hAnsi="宋体"/>
        </w:rPr>
      </w:pPr>
      <w:r>
        <w:rPr>
          <w:rFonts w:hAnsi="宋体"/>
        </w:rPr>
        <w:t>4</w:t>
      </w:r>
      <w:r>
        <w:rPr>
          <w:rFonts w:hint="eastAsia" w:hAnsi="宋体"/>
        </w:rPr>
        <w:t>、合同未尽事宜，应由双方友好协商解决。如需对合同及其附件作任何修改或补充，须由双方以书面做出方为有效。修改或补充文件与本合同有不一致的，以修</w:t>
      </w:r>
      <w:bookmarkStart w:id="23" w:name="_GoBack"/>
      <w:bookmarkEnd w:id="23"/>
      <w:r>
        <w:rPr>
          <w:rFonts w:hint="eastAsia" w:hAnsi="宋体"/>
        </w:rPr>
        <w:t>改或补充文件为准。</w:t>
      </w:r>
    </w:p>
    <w:p>
      <w:pPr>
        <w:spacing w:line="360" w:lineRule="auto"/>
        <w:ind w:left="420" w:leftChars="200"/>
        <w:textAlignment w:val="bottom"/>
        <w:rPr>
          <w:rFonts w:hAnsi="宋体"/>
        </w:rPr>
      </w:pPr>
      <w:r>
        <w:rPr>
          <w:rFonts w:hAnsi="宋体"/>
        </w:rPr>
        <w:t>5</w:t>
      </w:r>
      <w:r>
        <w:rPr>
          <w:rFonts w:hint="eastAsia" w:hAnsi="宋体"/>
        </w:rPr>
        <w:t>、</w:t>
      </w:r>
      <w:r>
        <w:rPr>
          <w:rFonts w:hAnsi="宋体"/>
        </w:rPr>
        <w:t>本</w:t>
      </w:r>
      <w:r>
        <w:rPr>
          <w:rFonts w:hint="eastAsia" w:hAnsi="宋体"/>
        </w:rPr>
        <w:t>合同</w:t>
      </w:r>
      <w:r>
        <w:rPr>
          <w:rFonts w:hAnsi="宋体"/>
        </w:rPr>
        <w:t>自</w:t>
      </w:r>
      <w:r>
        <w:rPr>
          <w:rFonts w:hint="eastAsia" w:hAnsi="宋体"/>
        </w:rPr>
        <w:t>双方签署（单位加盖公章、法定代表人或授权代表签名）</w:t>
      </w:r>
      <w:r>
        <w:rPr>
          <w:rFonts w:hAnsi="宋体"/>
        </w:rPr>
        <w:t>之日起生效之日起生效</w:t>
      </w:r>
      <w:r>
        <w:rPr>
          <w:rFonts w:hAnsi="宋体"/>
          <w:highlight w:val="none"/>
        </w:rPr>
        <w:t>。</w:t>
      </w:r>
      <w:r>
        <w:rPr>
          <w:rFonts w:hint="eastAsia" w:hAnsi="宋体"/>
          <w:highlight w:val="none"/>
        </w:rPr>
        <w:t>本合同壹</w:t>
      </w:r>
      <w:r>
        <w:rPr>
          <w:rFonts w:hAnsi="宋体"/>
          <w:highlight w:val="none"/>
        </w:rPr>
        <w:t>式</w:t>
      </w:r>
      <w:r>
        <w:rPr>
          <w:rFonts w:hint="eastAsia" w:hAnsi="宋体"/>
          <w:highlight w:val="none"/>
        </w:rPr>
        <w:t>【</w:t>
      </w:r>
      <w:r>
        <w:rPr>
          <w:rFonts w:hint="eastAsia" w:hAnsi="宋体"/>
          <w:highlight w:val="none"/>
          <w:lang w:val="en-US" w:eastAsia="zh-CN"/>
        </w:rPr>
        <w:t>贰</w:t>
      </w:r>
      <w:r>
        <w:rPr>
          <w:rFonts w:hAnsi="宋体"/>
          <w:highlight w:val="none"/>
        </w:rPr>
        <w:t xml:space="preserve">  </w:t>
      </w:r>
      <w:r>
        <w:rPr>
          <w:rFonts w:hint="eastAsia" w:hAnsi="宋体"/>
          <w:highlight w:val="none"/>
        </w:rPr>
        <w:t>】</w:t>
      </w:r>
      <w:r>
        <w:rPr>
          <w:rFonts w:hAnsi="宋体"/>
          <w:highlight w:val="none"/>
        </w:rPr>
        <w:t>份，甲</w:t>
      </w:r>
      <w:r>
        <w:rPr>
          <w:rFonts w:hint="eastAsia" w:hAnsi="宋体"/>
          <w:highlight w:val="none"/>
        </w:rPr>
        <w:t>、</w:t>
      </w:r>
      <w:r>
        <w:rPr>
          <w:rFonts w:hAnsi="宋体"/>
          <w:highlight w:val="none"/>
        </w:rPr>
        <w:t>乙</w:t>
      </w:r>
      <w:r>
        <w:rPr>
          <w:rFonts w:hint="eastAsia" w:hAnsi="宋体"/>
          <w:highlight w:val="none"/>
        </w:rPr>
        <w:t>双方</w:t>
      </w:r>
      <w:r>
        <w:rPr>
          <w:rFonts w:hAnsi="宋体"/>
          <w:highlight w:val="none"/>
        </w:rPr>
        <w:t>各执</w:t>
      </w:r>
      <w:r>
        <w:rPr>
          <w:rFonts w:hint="eastAsia" w:hAnsi="宋体"/>
          <w:highlight w:val="none"/>
        </w:rPr>
        <w:t>【</w:t>
      </w:r>
      <w:r>
        <w:rPr>
          <w:rFonts w:hAnsi="宋体"/>
          <w:highlight w:val="none"/>
        </w:rPr>
        <w:t xml:space="preserve"> </w:t>
      </w:r>
      <w:r>
        <w:rPr>
          <w:rFonts w:hint="eastAsia" w:hAnsi="宋体"/>
          <w:highlight w:val="none"/>
          <w:lang w:val="en-US" w:eastAsia="zh-CN"/>
        </w:rPr>
        <w:t>壹</w:t>
      </w:r>
      <w:r>
        <w:rPr>
          <w:rFonts w:hAnsi="宋体"/>
          <w:highlight w:val="none"/>
        </w:rPr>
        <w:t xml:space="preserve"> </w:t>
      </w:r>
      <w:r>
        <w:rPr>
          <w:rFonts w:hint="eastAsia" w:hAnsi="宋体"/>
          <w:highlight w:val="none"/>
        </w:rPr>
        <w:t>】</w:t>
      </w:r>
      <w:r>
        <w:rPr>
          <w:rFonts w:hAnsi="宋体"/>
          <w:highlight w:val="none"/>
        </w:rPr>
        <w:t>份</w:t>
      </w:r>
      <w:r>
        <w:rPr>
          <w:rFonts w:hAnsi="宋体"/>
        </w:rPr>
        <w:t>，具有同等法律效力。</w:t>
      </w:r>
    </w:p>
    <w:p>
      <w:pPr>
        <w:spacing w:line="360" w:lineRule="auto"/>
        <w:ind w:firstLine="371" w:firstLineChars="177"/>
        <w:textAlignment w:val="bottom"/>
        <w:rPr>
          <w:rFonts w:hAnsi="宋体"/>
        </w:rPr>
      </w:pPr>
      <w:r>
        <w:rPr>
          <w:rFonts w:hint="eastAsia" w:hAnsi="宋体"/>
        </w:rPr>
        <w:t>（以下无正文）</w:t>
      </w:r>
    </w:p>
    <w:p>
      <w:pPr>
        <w:spacing w:line="360" w:lineRule="auto"/>
        <w:rPr>
          <w:rFonts w:ascii="宋体" w:hAnsi="宋体"/>
        </w:rPr>
      </w:pPr>
    </w:p>
    <w:p>
      <w:pPr>
        <w:spacing w:line="360" w:lineRule="auto"/>
        <w:rPr>
          <w:rFonts w:ascii="宋体" w:hAnsi="宋体"/>
        </w:rPr>
      </w:pPr>
      <w:bookmarkStart w:id="20" w:name="_Hlk12866345"/>
      <w:bookmarkStart w:id="21" w:name="_Hlk12873992"/>
      <w:r>
        <w:rPr>
          <w:rFonts w:ascii="宋体" w:hAnsi="宋体"/>
        </w:rPr>
        <w:br w:type="page"/>
      </w:r>
      <w:r>
        <w:rPr>
          <w:rFonts w:hint="eastAsia" w:ascii="宋体" w:hAnsi="宋体"/>
        </w:rPr>
        <w:t>（此页无正文，为《江门绿源环保有限公司工业用废油脂购销合同》签署页【合同编号：</w:t>
      </w:r>
      <w:r>
        <w:rPr>
          <w:rFonts w:ascii="宋体" w:hAnsi="宋体"/>
        </w:rPr>
        <w:t xml:space="preserve">  </w:t>
      </w:r>
      <w:r>
        <w:rPr>
          <w:rFonts w:hint="eastAsia" w:ascii="宋体" w:hAnsi="宋体"/>
        </w:rPr>
        <w:t>】）</w:t>
      </w:r>
    </w:p>
    <w:bookmarkEnd w:id="20"/>
    <w:p>
      <w:pPr>
        <w:spacing w:line="360" w:lineRule="auto"/>
        <w:rPr>
          <w:rFonts w:ascii="宋体" w:hAnsi="宋体"/>
        </w:rPr>
      </w:pPr>
      <w:bookmarkStart w:id="22" w:name="_Hlk12866387"/>
    </w:p>
    <w:p>
      <w:pPr>
        <w:spacing w:line="360" w:lineRule="auto"/>
        <w:rPr>
          <w:rFonts w:ascii="宋体" w:hAnsi="宋体"/>
        </w:rPr>
      </w:pPr>
    </w:p>
    <w:p>
      <w:pPr>
        <w:spacing w:line="360" w:lineRule="auto"/>
        <w:rPr>
          <w:rFonts w:ascii="宋体" w:hAnsi="宋体"/>
        </w:rPr>
      </w:pPr>
      <w:r>
        <w:rPr>
          <w:rFonts w:hint="eastAsia" w:ascii="宋体" w:hAnsi="宋体"/>
        </w:rPr>
        <w:t>甲方（盖章）：江门绿源环保有限公司</w:t>
      </w:r>
    </w:p>
    <w:p>
      <w:pPr>
        <w:spacing w:line="360" w:lineRule="auto"/>
        <w:rPr>
          <w:rFonts w:ascii="宋体" w:hAnsi="宋体"/>
        </w:rPr>
      </w:pPr>
    </w:p>
    <w:p>
      <w:pPr>
        <w:spacing w:line="360" w:lineRule="auto"/>
        <w:rPr>
          <w:rFonts w:ascii="宋体" w:hAnsi="宋体"/>
        </w:rPr>
      </w:pPr>
      <w:r>
        <w:rPr>
          <w:rFonts w:hint="eastAsia" w:ascii="宋体" w:hAnsi="宋体"/>
        </w:rPr>
        <w:t>法定代表人或授权代表（签名）：</w:t>
      </w:r>
    </w:p>
    <w:p>
      <w:pPr>
        <w:spacing w:line="360" w:lineRule="auto"/>
        <w:rPr>
          <w:rFonts w:ascii="宋体" w:hAnsi="宋体"/>
        </w:rPr>
      </w:pPr>
    </w:p>
    <w:p>
      <w:pPr>
        <w:spacing w:line="360" w:lineRule="auto"/>
        <w:rPr>
          <w:rFonts w:ascii="宋体" w:hAnsi="宋体"/>
        </w:rPr>
      </w:pPr>
      <w:r>
        <w:rPr>
          <w:rFonts w:hint="eastAsia" w:ascii="宋体" w:hAnsi="宋体"/>
        </w:rPr>
        <w:t>经办人（签名）：</w:t>
      </w:r>
    </w:p>
    <w:p>
      <w:pPr>
        <w:spacing w:line="360" w:lineRule="auto"/>
        <w:rPr>
          <w:rFonts w:ascii="宋体" w:hAnsi="宋体"/>
        </w:rPr>
      </w:pPr>
    </w:p>
    <w:p>
      <w:pPr>
        <w:spacing w:line="360" w:lineRule="auto"/>
        <w:rPr>
          <w:rFonts w:ascii="宋体" w:hAnsi="宋体"/>
        </w:rPr>
      </w:pPr>
      <w:r>
        <w:rPr>
          <w:rFonts w:hint="eastAsia" w:ascii="宋体" w:hAnsi="宋体"/>
        </w:rPr>
        <w:t>签署日期：</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hint="eastAsia" w:ascii="宋体" w:hAnsi="宋体"/>
        </w:rPr>
        <w:t>乙方（盖章）：</w:t>
      </w:r>
      <w:r>
        <w:rPr>
          <w:rFonts w:ascii="宋体" w:hAnsi="宋体"/>
        </w:rPr>
        <w:t xml:space="preserve">   </w:t>
      </w:r>
    </w:p>
    <w:p>
      <w:pPr>
        <w:spacing w:line="360" w:lineRule="auto"/>
        <w:rPr>
          <w:rFonts w:ascii="宋体" w:hAnsi="宋体"/>
        </w:rPr>
      </w:pPr>
    </w:p>
    <w:p>
      <w:pPr>
        <w:spacing w:line="360" w:lineRule="auto"/>
        <w:rPr>
          <w:rFonts w:ascii="宋体" w:hAnsi="宋体"/>
        </w:rPr>
      </w:pPr>
      <w:r>
        <w:rPr>
          <w:rFonts w:hint="eastAsia" w:ascii="宋体" w:hAnsi="宋体"/>
        </w:rPr>
        <w:t>法定代表人或授权代表（签名）：</w:t>
      </w:r>
    </w:p>
    <w:p>
      <w:pPr>
        <w:spacing w:line="360" w:lineRule="auto"/>
        <w:rPr>
          <w:rFonts w:ascii="宋体" w:hAnsi="宋体"/>
        </w:rPr>
      </w:pPr>
    </w:p>
    <w:p>
      <w:pPr>
        <w:spacing w:line="360" w:lineRule="auto"/>
        <w:rPr>
          <w:rFonts w:ascii="宋体" w:hAnsi="宋体"/>
        </w:rPr>
      </w:pPr>
      <w:r>
        <w:rPr>
          <w:rFonts w:hint="eastAsia" w:ascii="宋体" w:hAnsi="宋体"/>
        </w:rPr>
        <w:t>经办人（签名）：</w:t>
      </w:r>
    </w:p>
    <w:p>
      <w:pPr>
        <w:spacing w:line="360" w:lineRule="auto"/>
        <w:rPr>
          <w:rFonts w:ascii="宋体" w:hAnsi="宋体"/>
        </w:rPr>
      </w:pPr>
    </w:p>
    <w:p>
      <w:pPr>
        <w:spacing w:line="360" w:lineRule="auto"/>
        <w:rPr>
          <w:rFonts w:ascii="宋体" w:hAnsi="宋体"/>
        </w:rPr>
      </w:pPr>
      <w:r>
        <w:rPr>
          <w:rFonts w:hint="eastAsia" w:ascii="宋体" w:hAnsi="宋体"/>
        </w:rPr>
        <w:t>签署日期：</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bookmarkEnd w:id="22"/>
    <w:p>
      <w:pPr>
        <w:spacing w:line="360" w:lineRule="auto"/>
        <w:rPr>
          <w:rFonts w:ascii="宋体" w:hAnsi="宋体"/>
        </w:rPr>
      </w:pPr>
    </w:p>
    <w:p>
      <w:pPr>
        <w:spacing w:line="360" w:lineRule="auto"/>
        <w:rPr>
          <w:rFonts w:ascii="宋体" w:hAnsi="宋体"/>
        </w:rPr>
      </w:pPr>
    </w:p>
    <w:p>
      <w:pPr>
        <w:widowControl/>
        <w:spacing w:line="360" w:lineRule="auto"/>
        <w:jc w:val="left"/>
        <w:rPr>
          <w:rFonts w:ascii="宋体" w:hAnsi="宋体"/>
          <w:sz w:val="24"/>
        </w:rPr>
      </w:pPr>
      <w:r>
        <w:rPr>
          <w:rFonts w:hint="eastAsia" w:ascii="宋体" w:hAnsi="宋体"/>
        </w:rPr>
        <w:t>合同签订地：</w:t>
      </w:r>
      <w:bookmarkEnd w:id="21"/>
      <w:r>
        <w:rPr>
          <w:rFonts w:hint="eastAsia" w:ascii="宋体" w:hAnsi="宋体"/>
          <w:sz w:val="24"/>
        </w:rPr>
        <w:t xml:space="preserve"> </w:t>
      </w:r>
    </w:p>
    <w:p>
      <w:pPr>
        <w:spacing w:line="360" w:lineRule="auto"/>
      </w:pPr>
    </w:p>
    <w:p>
      <w:pPr>
        <w:widowControl/>
        <w:jc w:val="right"/>
        <w:rPr>
          <w:rFonts w:ascii="宋体" w:cs="Times New Roman"/>
          <w:b/>
          <w:bCs/>
        </w:rPr>
      </w:pPr>
      <w:r>
        <w:rPr>
          <w:rFonts w:asciiTheme="minorEastAsia" w:hAnsiTheme="minorEastAsia" w:eastAsiaTheme="minorEastAsia"/>
        </w:rPr>
        <w:t xml:space="preserve">                 </w:t>
      </w:r>
    </w:p>
    <w:sectPr>
      <w:footerReference r:id="rId3" w:type="default"/>
      <w:pgSz w:w="11906" w:h="16838"/>
      <w:pgMar w:top="1440" w:right="1134" w:bottom="1440"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b w:val="0"/>
        <w:bCs w:val="0"/>
        <w:dstrike w:val="0"/>
      </w:rPr>
    </w:lvl>
    <w:lvl w:ilvl="2" w:tentative="0">
      <w:start w:val="1"/>
      <w:numFmt w:val="decimal"/>
      <w:lvlText w:val="%1.%2.%3"/>
      <w:lvlJc w:val="left"/>
      <w:pPr>
        <w:tabs>
          <w:tab w:val="left" w:pos="1703"/>
        </w:tabs>
        <w:ind w:left="1703" w:hanging="851"/>
      </w:pPr>
      <w:rPr>
        <w:rFonts w:hint="default" w:ascii="宋体" w:hAnsi="宋体" w:eastAsia="宋体"/>
        <w:b w:val="0"/>
        <w:bCs w:val="0"/>
        <w:color w:val="auto"/>
        <w:sz w:val="21"/>
        <w:szCs w:val="21"/>
      </w:rPr>
    </w:lvl>
    <w:lvl w:ilvl="3" w:tentative="0">
      <w:start w:val="1"/>
      <w:numFmt w:val="decimal"/>
      <w:pStyle w:val="32"/>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3DD5FD5"/>
    <w:multiLevelType w:val="multilevel"/>
    <w:tmpl w:val="03DD5FD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
    <w:nsid w:val="111A3326"/>
    <w:multiLevelType w:val="multilevel"/>
    <w:tmpl w:val="111A3326"/>
    <w:lvl w:ilvl="0" w:tentative="0">
      <w:start w:val="1"/>
      <w:numFmt w:val="japaneseCounting"/>
      <w:lvlText w:val="%1、"/>
      <w:lvlJc w:val="left"/>
      <w:pPr>
        <w:ind w:left="420" w:hanging="420"/>
      </w:pPr>
      <w:rPr>
        <w:rFonts w:hint="eastAsia" w:ascii="宋体" w:hAnsi="宋体" w:eastAsia="宋体" w:cs="宋体"/>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25214F2"/>
    <w:multiLevelType w:val="multilevel"/>
    <w:tmpl w:val="125214F2"/>
    <w:lvl w:ilvl="0" w:tentative="0">
      <w:start w:val="1"/>
      <w:numFmt w:val="decimal"/>
      <w:suff w:val="nothing"/>
      <w:lvlText w:val="%1)"/>
      <w:lvlJc w:val="left"/>
      <w:pPr>
        <w:ind w:left="840" w:hanging="420"/>
      </w:pPr>
      <w:rPr>
        <w:rFonts w:hint="default" w:ascii="宋体" w:hAnsi="宋体" w:eastAsia="宋体" w:cs="宋体"/>
        <w:b/>
        <w:bCs/>
        <w:sz w:val="21"/>
        <w:szCs w:val="21"/>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4">
    <w:nsid w:val="140A6B21"/>
    <w:multiLevelType w:val="multilevel"/>
    <w:tmpl w:val="140A6B21"/>
    <w:lvl w:ilvl="0" w:tentative="0">
      <w:start w:val="1"/>
      <w:numFmt w:val="decimal"/>
      <w:suff w:val="nothing"/>
      <w:lvlText w:val="%1)"/>
      <w:lvlJc w:val="left"/>
      <w:pPr>
        <w:ind w:left="840" w:hanging="420"/>
      </w:pPr>
      <w:rPr>
        <w:rFonts w:hint="default" w:ascii="宋体" w:hAnsi="宋体" w:eastAsia="宋体" w:cs="宋体"/>
        <w:sz w:val="21"/>
        <w:szCs w:val="21"/>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5">
    <w:nsid w:val="215C76AC"/>
    <w:multiLevelType w:val="multilevel"/>
    <w:tmpl w:val="215C76AC"/>
    <w:lvl w:ilvl="0" w:tentative="0">
      <w:start w:val="1"/>
      <w:numFmt w:val="decimal"/>
      <w:lvlText w:val="%1."/>
      <w:lvlJc w:val="left"/>
      <w:pPr>
        <w:ind w:left="420" w:hanging="420"/>
      </w:pPr>
      <w:rPr>
        <w:rFonts w:hint="eastAsia"/>
      </w:rPr>
    </w:lvl>
    <w:lvl w:ilvl="1" w:tentative="0">
      <w:start w:val="1"/>
      <w:numFmt w:val="decimal"/>
      <w:suff w:val="nothing"/>
      <w:lvlText w:val="%2)"/>
      <w:lvlJc w:val="left"/>
      <w:pPr>
        <w:ind w:left="840" w:hanging="420"/>
      </w:pPr>
      <w:rPr>
        <w:rFonts w:hint="default" w:ascii="宋体" w:hAnsi="宋体" w:eastAsia="宋体" w:cs="宋体"/>
        <w:sz w:val="21"/>
        <w:szCs w:val="21"/>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227D41A0"/>
    <w:multiLevelType w:val="multilevel"/>
    <w:tmpl w:val="227D41A0"/>
    <w:lvl w:ilvl="0" w:tentative="0">
      <w:start w:val="1"/>
      <w:numFmt w:val="decimal"/>
      <w:suff w:val="nothing"/>
      <w:lvlText w:val="%1)"/>
      <w:lvlJc w:val="left"/>
      <w:pPr>
        <w:ind w:left="840" w:hanging="420"/>
      </w:pPr>
      <w:rPr>
        <w:rFonts w:hint="default" w:ascii="宋体" w:hAnsi="宋体" w:eastAsia="宋体" w:cs="宋体"/>
        <w:sz w:val="21"/>
        <w:szCs w:val="21"/>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7">
    <w:nsid w:val="25AC778E"/>
    <w:multiLevelType w:val="multilevel"/>
    <w:tmpl w:val="25AC778E"/>
    <w:lvl w:ilvl="0" w:tentative="0">
      <w:start w:val="1"/>
      <w:numFmt w:val="chineseCountingThousand"/>
      <w:lvlText w:val="%1、"/>
      <w:lvlJc w:val="left"/>
      <w:pPr>
        <w:tabs>
          <w:tab w:val="left" w:pos="420"/>
        </w:tabs>
        <w:ind w:left="420" w:hanging="420"/>
      </w:pPr>
      <w:rPr>
        <w:rFonts w:hint="eastAsia" w:ascii="宋体" w:hAnsi="宋体" w:eastAsia="宋体" w:cs="宋体"/>
        <w:b/>
        <w:bCs/>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9">
    <w:nsid w:val="34433F59"/>
    <w:multiLevelType w:val="multilevel"/>
    <w:tmpl w:val="34433F59"/>
    <w:lvl w:ilvl="0" w:tentative="0">
      <w:start w:val="1"/>
      <w:numFmt w:val="decimal"/>
      <w:suff w:val="nothing"/>
      <w:lvlText w:val="%1."/>
      <w:lvlJc w:val="left"/>
      <w:pPr>
        <w:ind w:left="420" w:hanging="420"/>
      </w:pPr>
      <w:rPr>
        <w:rFonts w:hint="default" w:ascii="宋体" w:hAnsi="宋体" w:eastAsia="宋体" w:cs="宋体"/>
        <w:b/>
        <w:bCs/>
        <w:sz w:val="21"/>
        <w:szCs w:val="21"/>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3CE44964"/>
    <w:multiLevelType w:val="multilevel"/>
    <w:tmpl w:val="3CE44964"/>
    <w:lvl w:ilvl="0" w:tentative="0">
      <w:start w:val="1"/>
      <w:numFmt w:val="decimal"/>
      <w:suff w:val="nothing"/>
      <w:lvlText w:val="%1)"/>
      <w:lvlJc w:val="left"/>
      <w:pPr>
        <w:ind w:left="840" w:hanging="420"/>
      </w:pPr>
      <w:rPr>
        <w:rFonts w:hint="default" w:ascii="宋体" w:hAnsi="宋体" w:eastAsia="宋体" w:cs="宋体"/>
        <w:sz w:val="21"/>
        <w:szCs w:val="21"/>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1">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default" w:ascii="宋体" w:hAnsi="宋体" w:eastAsia="宋体" w:cs="宋体"/>
        <w:sz w:val="21"/>
        <w:szCs w:val="21"/>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4501719F"/>
    <w:multiLevelType w:val="multilevel"/>
    <w:tmpl w:val="4501719F"/>
    <w:lvl w:ilvl="0" w:tentative="0">
      <w:start w:val="1"/>
      <w:numFmt w:val="decimal"/>
      <w:lvlText w:val="%1."/>
      <w:lvlJc w:val="left"/>
      <w:pPr>
        <w:tabs>
          <w:tab w:val="left" w:pos="420"/>
        </w:tabs>
        <w:ind w:left="420" w:hanging="420"/>
      </w:pPr>
      <w:rPr>
        <w:rFonts w:hint="default" w:ascii="宋体" w:hAnsi="宋体" w:eastAsia="宋体" w:cs="宋体"/>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83D175D"/>
    <w:multiLevelType w:val="multilevel"/>
    <w:tmpl w:val="483D175D"/>
    <w:lvl w:ilvl="0" w:tentative="0">
      <w:start w:val="7"/>
      <w:numFmt w:val="decimal"/>
      <w:suff w:val="nothing"/>
      <w:lvlText w:val="%1."/>
      <w:lvlJc w:val="left"/>
      <w:pPr>
        <w:ind w:left="420" w:hanging="420"/>
      </w:pPr>
      <w:rPr>
        <w:rFonts w:hint="default" w:ascii="宋体" w:hAnsi="宋体" w:eastAsia="宋体" w:cs="宋体"/>
        <w:b/>
        <w:bCs/>
        <w:sz w:val="21"/>
        <w:szCs w:val="21"/>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59794862"/>
    <w:multiLevelType w:val="multilevel"/>
    <w:tmpl w:val="59794862"/>
    <w:lvl w:ilvl="0" w:tentative="0">
      <w:start w:val="1"/>
      <w:numFmt w:val="decimal"/>
      <w:suff w:val="nothing"/>
      <w:lvlText w:val="%1)"/>
      <w:lvlJc w:val="left"/>
      <w:pPr>
        <w:ind w:left="840" w:hanging="420"/>
      </w:pPr>
      <w:rPr>
        <w:rFonts w:hint="default" w:ascii="宋体" w:hAnsi="宋体" w:eastAsia="宋体" w:cs="宋体"/>
        <w:sz w:val="21"/>
        <w:szCs w:val="21"/>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5">
    <w:nsid w:val="76E92880"/>
    <w:multiLevelType w:val="multilevel"/>
    <w:tmpl w:val="76E92880"/>
    <w:lvl w:ilvl="0" w:tentative="0">
      <w:start w:val="1"/>
      <w:numFmt w:val="decimal"/>
      <w:suff w:val="nothing"/>
      <w:lvlText w:val="%1)"/>
      <w:lvlJc w:val="left"/>
      <w:pPr>
        <w:ind w:left="840" w:hanging="420"/>
      </w:pPr>
      <w:rPr>
        <w:rFonts w:hint="default" w:ascii="宋体" w:hAnsi="宋体" w:eastAsia="宋体" w:cs="宋体"/>
        <w:sz w:val="21"/>
        <w:szCs w:val="21"/>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num w:numId="1">
    <w:abstractNumId w:val="0"/>
  </w:num>
  <w:num w:numId="2">
    <w:abstractNumId w:val="2"/>
  </w:num>
  <w:num w:numId="3">
    <w:abstractNumId w:val="9"/>
  </w:num>
  <w:num w:numId="4">
    <w:abstractNumId w:val="10"/>
  </w:num>
  <w:num w:numId="5">
    <w:abstractNumId w:val="5"/>
  </w:num>
  <w:num w:numId="6">
    <w:abstractNumId w:val="15"/>
  </w:num>
  <w:num w:numId="7">
    <w:abstractNumId w:val="14"/>
  </w:num>
  <w:num w:numId="8">
    <w:abstractNumId w:val="1"/>
  </w:num>
  <w:num w:numId="9">
    <w:abstractNumId w:val="3"/>
  </w:num>
  <w:num w:numId="10">
    <w:abstractNumId w:val="11"/>
  </w:num>
  <w:num w:numId="11">
    <w:abstractNumId w:val="13"/>
  </w:num>
  <w:num w:numId="12">
    <w:abstractNumId w:val="4"/>
  </w:num>
  <w:num w:numId="13">
    <w:abstractNumId w:val="6"/>
  </w:num>
  <w:num w:numId="14">
    <w:abstractNumId w:val="1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zODU0ODJkNDk0ZjExNDcyZjExMmVmYjU0ZDk1NzYifQ=="/>
  </w:docVars>
  <w:rsids>
    <w:rsidRoot w:val="00603670"/>
    <w:rsid w:val="0000298A"/>
    <w:rsid w:val="00011FE0"/>
    <w:rsid w:val="00012430"/>
    <w:rsid w:val="00013A3B"/>
    <w:rsid w:val="00015F7C"/>
    <w:rsid w:val="00016049"/>
    <w:rsid w:val="00016630"/>
    <w:rsid w:val="0002074A"/>
    <w:rsid w:val="00024719"/>
    <w:rsid w:val="00025500"/>
    <w:rsid w:val="00036575"/>
    <w:rsid w:val="00042B6B"/>
    <w:rsid w:val="00050534"/>
    <w:rsid w:val="00053978"/>
    <w:rsid w:val="000565F1"/>
    <w:rsid w:val="00056CE1"/>
    <w:rsid w:val="00057397"/>
    <w:rsid w:val="000618C3"/>
    <w:rsid w:val="000622D8"/>
    <w:rsid w:val="00062350"/>
    <w:rsid w:val="00062D2C"/>
    <w:rsid w:val="0006321B"/>
    <w:rsid w:val="000643CC"/>
    <w:rsid w:val="00072D57"/>
    <w:rsid w:val="00075391"/>
    <w:rsid w:val="00082247"/>
    <w:rsid w:val="00082CDE"/>
    <w:rsid w:val="000834CB"/>
    <w:rsid w:val="00086760"/>
    <w:rsid w:val="00091361"/>
    <w:rsid w:val="000918B7"/>
    <w:rsid w:val="00092E9C"/>
    <w:rsid w:val="00096727"/>
    <w:rsid w:val="000A291B"/>
    <w:rsid w:val="000A4439"/>
    <w:rsid w:val="000B040C"/>
    <w:rsid w:val="000B1D2E"/>
    <w:rsid w:val="000B2B03"/>
    <w:rsid w:val="000B3F59"/>
    <w:rsid w:val="000B4702"/>
    <w:rsid w:val="000B7B2D"/>
    <w:rsid w:val="000C2E89"/>
    <w:rsid w:val="000C55BF"/>
    <w:rsid w:val="000C6436"/>
    <w:rsid w:val="000D2B88"/>
    <w:rsid w:val="000E1199"/>
    <w:rsid w:val="000E3B66"/>
    <w:rsid w:val="000E4BC6"/>
    <w:rsid w:val="00100E7D"/>
    <w:rsid w:val="001018F9"/>
    <w:rsid w:val="00104C8A"/>
    <w:rsid w:val="00107E2D"/>
    <w:rsid w:val="001106A2"/>
    <w:rsid w:val="0011556A"/>
    <w:rsid w:val="00116EDF"/>
    <w:rsid w:val="001171EC"/>
    <w:rsid w:val="001210D0"/>
    <w:rsid w:val="00123BEA"/>
    <w:rsid w:val="001304CF"/>
    <w:rsid w:val="0013067D"/>
    <w:rsid w:val="001322A9"/>
    <w:rsid w:val="00135AF9"/>
    <w:rsid w:val="00135EB3"/>
    <w:rsid w:val="00136E2A"/>
    <w:rsid w:val="00136FC8"/>
    <w:rsid w:val="00140AD2"/>
    <w:rsid w:val="00142F17"/>
    <w:rsid w:val="00145218"/>
    <w:rsid w:val="001506CD"/>
    <w:rsid w:val="0015246B"/>
    <w:rsid w:val="00161385"/>
    <w:rsid w:val="0016171E"/>
    <w:rsid w:val="0016188F"/>
    <w:rsid w:val="00171DFD"/>
    <w:rsid w:val="00173A56"/>
    <w:rsid w:val="00175ECB"/>
    <w:rsid w:val="00182BE9"/>
    <w:rsid w:val="00184671"/>
    <w:rsid w:val="001873CD"/>
    <w:rsid w:val="00193D35"/>
    <w:rsid w:val="00194CBF"/>
    <w:rsid w:val="00197BF2"/>
    <w:rsid w:val="001A769F"/>
    <w:rsid w:val="001B0A70"/>
    <w:rsid w:val="001B74DB"/>
    <w:rsid w:val="001C2135"/>
    <w:rsid w:val="001C6BE3"/>
    <w:rsid w:val="001D1026"/>
    <w:rsid w:val="001D25E2"/>
    <w:rsid w:val="001D263D"/>
    <w:rsid w:val="001D33E6"/>
    <w:rsid w:val="001E29D2"/>
    <w:rsid w:val="001E48AC"/>
    <w:rsid w:val="001E5C33"/>
    <w:rsid w:val="001F2407"/>
    <w:rsid w:val="001F2C3E"/>
    <w:rsid w:val="001F3F8C"/>
    <w:rsid w:val="001F653D"/>
    <w:rsid w:val="00200F75"/>
    <w:rsid w:val="0020296F"/>
    <w:rsid w:val="002056C6"/>
    <w:rsid w:val="00205E4C"/>
    <w:rsid w:val="00211642"/>
    <w:rsid w:val="00222264"/>
    <w:rsid w:val="00224E54"/>
    <w:rsid w:val="00226B8A"/>
    <w:rsid w:val="002356F1"/>
    <w:rsid w:val="002361BC"/>
    <w:rsid w:val="002430DD"/>
    <w:rsid w:val="0024390D"/>
    <w:rsid w:val="00253352"/>
    <w:rsid w:val="002538BD"/>
    <w:rsid w:val="00253FC9"/>
    <w:rsid w:val="00262A86"/>
    <w:rsid w:val="00262DAA"/>
    <w:rsid w:val="0026360B"/>
    <w:rsid w:val="00263B3A"/>
    <w:rsid w:val="00266C78"/>
    <w:rsid w:val="00267E01"/>
    <w:rsid w:val="00270E13"/>
    <w:rsid w:val="00271D28"/>
    <w:rsid w:val="00272873"/>
    <w:rsid w:val="00274E9D"/>
    <w:rsid w:val="002770DB"/>
    <w:rsid w:val="00277F34"/>
    <w:rsid w:val="00283853"/>
    <w:rsid w:val="002866C4"/>
    <w:rsid w:val="002867B2"/>
    <w:rsid w:val="002A1FE5"/>
    <w:rsid w:val="002A25B3"/>
    <w:rsid w:val="002A36C6"/>
    <w:rsid w:val="002B33A6"/>
    <w:rsid w:val="002C0A1B"/>
    <w:rsid w:val="002C7CC8"/>
    <w:rsid w:val="002D2C3C"/>
    <w:rsid w:val="002D4EBD"/>
    <w:rsid w:val="002D79A6"/>
    <w:rsid w:val="002E0263"/>
    <w:rsid w:val="002E5E1A"/>
    <w:rsid w:val="002E61D3"/>
    <w:rsid w:val="002E6A01"/>
    <w:rsid w:val="002F352E"/>
    <w:rsid w:val="002F3546"/>
    <w:rsid w:val="002F50E5"/>
    <w:rsid w:val="002F5C39"/>
    <w:rsid w:val="00300B49"/>
    <w:rsid w:val="003019D9"/>
    <w:rsid w:val="003034BB"/>
    <w:rsid w:val="00303BFD"/>
    <w:rsid w:val="00305D84"/>
    <w:rsid w:val="00313456"/>
    <w:rsid w:val="00314422"/>
    <w:rsid w:val="003262E4"/>
    <w:rsid w:val="00327C22"/>
    <w:rsid w:val="003303D8"/>
    <w:rsid w:val="00330EDD"/>
    <w:rsid w:val="00336E2D"/>
    <w:rsid w:val="00354877"/>
    <w:rsid w:val="00355F34"/>
    <w:rsid w:val="003657FD"/>
    <w:rsid w:val="00366067"/>
    <w:rsid w:val="00367444"/>
    <w:rsid w:val="00375198"/>
    <w:rsid w:val="0037596B"/>
    <w:rsid w:val="003806EF"/>
    <w:rsid w:val="003818F2"/>
    <w:rsid w:val="00383905"/>
    <w:rsid w:val="00383EA7"/>
    <w:rsid w:val="003846B9"/>
    <w:rsid w:val="00387C7A"/>
    <w:rsid w:val="00392847"/>
    <w:rsid w:val="00393D24"/>
    <w:rsid w:val="00394537"/>
    <w:rsid w:val="00395A64"/>
    <w:rsid w:val="00396F2C"/>
    <w:rsid w:val="003A5722"/>
    <w:rsid w:val="003B2588"/>
    <w:rsid w:val="003B401A"/>
    <w:rsid w:val="003B48C0"/>
    <w:rsid w:val="003C46C3"/>
    <w:rsid w:val="003D6720"/>
    <w:rsid w:val="003E158E"/>
    <w:rsid w:val="003E273C"/>
    <w:rsid w:val="003E3F6C"/>
    <w:rsid w:val="003F28C2"/>
    <w:rsid w:val="003F2C95"/>
    <w:rsid w:val="003F38D5"/>
    <w:rsid w:val="00403AB2"/>
    <w:rsid w:val="004227F3"/>
    <w:rsid w:val="00423267"/>
    <w:rsid w:val="004262F7"/>
    <w:rsid w:val="00431DBE"/>
    <w:rsid w:val="00433C5C"/>
    <w:rsid w:val="004340CC"/>
    <w:rsid w:val="004453E8"/>
    <w:rsid w:val="004505A0"/>
    <w:rsid w:val="0045760A"/>
    <w:rsid w:val="004610D7"/>
    <w:rsid w:val="004613B9"/>
    <w:rsid w:val="00463960"/>
    <w:rsid w:val="00467F16"/>
    <w:rsid w:val="0047081D"/>
    <w:rsid w:val="004765F8"/>
    <w:rsid w:val="00476745"/>
    <w:rsid w:val="00492B35"/>
    <w:rsid w:val="00493336"/>
    <w:rsid w:val="0049490E"/>
    <w:rsid w:val="004952F9"/>
    <w:rsid w:val="004967F2"/>
    <w:rsid w:val="00496883"/>
    <w:rsid w:val="004A36A8"/>
    <w:rsid w:val="004B013D"/>
    <w:rsid w:val="004B4136"/>
    <w:rsid w:val="004B7182"/>
    <w:rsid w:val="004B7745"/>
    <w:rsid w:val="004D2165"/>
    <w:rsid w:val="004D24AA"/>
    <w:rsid w:val="004D2A3E"/>
    <w:rsid w:val="004D3A6B"/>
    <w:rsid w:val="004D553D"/>
    <w:rsid w:val="004D6D34"/>
    <w:rsid w:val="004E1651"/>
    <w:rsid w:val="004E23C4"/>
    <w:rsid w:val="004E3790"/>
    <w:rsid w:val="004F03DD"/>
    <w:rsid w:val="004F697B"/>
    <w:rsid w:val="00504076"/>
    <w:rsid w:val="00505529"/>
    <w:rsid w:val="005105CE"/>
    <w:rsid w:val="00510996"/>
    <w:rsid w:val="00520C8C"/>
    <w:rsid w:val="00522280"/>
    <w:rsid w:val="00522CA9"/>
    <w:rsid w:val="00530B24"/>
    <w:rsid w:val="005316BD"/>
    <w:rsid w:val="00534590"/>
    <w:rsid w:val="00535EEC"/>
    <w:rsid w:val="00543BBC"/>
    <w:rsid w:val="005521A5"/>
    <w:rsid w:val="00555408"/>
    <w:rsid w:val="00555B34"/>
    <w:rsid w:val="00562D10"/>
    <w:rsid w:val="005656FE"/>
    <w:rsid w:val="00566D1F"/>
    <w:rsid w:val="00573BC6"/>
    <w:rsid w:val="00575AA7"/>
    <w:rsid w:val="00575AF2"/>
    <w:rsid w:val="00576CE4"/>
    <w:rsid w:val="0057708C"/>
    <w:rsid w:val="00577F69"/>
    <w:rsid w:val="005835C3"/>
    <w:rsid w:val="005856FF"/>
    <w:rsid w:val="00597BEB"/>
    <w:rsid w:val="005A04C5"/>
    <w:rsid w:val="005A1EBE"/>
    <w:rsid w:val="005A7FBD"/>
    <w:rsid w:val="005C064C"/>
    <w:rsid w:val="005C3A40"/>
    <w:rsid w:val="005D2BDE"/>
    <w:rsid w:val="005D796C"/>
    <w:rsid w:val="005E4015"/>
    <w:rsid w:val="005E515B"/>
    <w:rsid w:val="005E748F"/>
    <w:rsid w:val="005F1925"/>
    <w:rsid w:val="005F5A79"/>
    <w:rsid w:val="005F6D53"/>
    <w:rsid w:val="00603670"/>
    <w:rsid w:val="00603D44"/>
    <w:rsid w:val="00620D3D"/>
    <w:rsid w:val="006262C2"/>
    <w:rsid w:val="00627F1C"/>
    <w:rsid w:val="00632F1D"/>
    <w:rsid w:val="00632F96"/>
    <w:rsid w:val="006407A7"/>
    <w:rsid w:val="006449CB"/>
    <w:rsid w:val="0064715C"/>
    <w:rsid w:val="00650BC9"/>
    <w:rsid w:val="0065720E"/>
    <w:rsid w:val="00657B1A"/>
    <w:rsid w:val="006639D7"/>
    <w:rsid w:val="00664A67"/>
    <w:rsid w:val="00664FF6"/>
    <w:rsid w:val="0066649D"/>
    <w:rsid w:val="00674318"/>
    <w:rsid w:val="00680244"/>
    <w:rsid w:val="006835BC"/>
    <w:rsid w:val="0069404E"/>
    <w:rsid w:val="006A0EE7"/>
    <w:rsid w:val="006A61C8"/>
    <w:rsid w:val="006B07B5"/>
    <w:rsid w:val="006B764E"/>
    <w:rsid w:val="006B7DA6"/>
    <w:rsid w:val="006C24DF"/>
    <w:rsid w:val="006C7DB6"/>
    <w:rsid w:val="006C7FC9"/>
    <w:rsid w:val="006D1FBA"/>
    <w:rsid w:val="006D45A2"/>
    <w:rsid w:val="006D5772"/>
    <w:rsid w:val="006D64A5"/>
    <w:rsid w:val="006D6D63"/>
    <w:rsid w:val="006D77A3"/>
    <w:rsid w:val="006D7E04"/>
    <w:rsid w:val="006F1E81"/>
    <w:rsid w:val="00700C51"/>
    <w:rsid w:val="00702BB7"/>
    <w:rsid w:val="00704031"/>
    <w:rsid w:val="007056A1"/>
    <w:rsid w:val="0071018E"/>
    <w:rsid w:val="0071097B"/>
    <w:rsid w:val="00711D45"/>
    <w:rsid w:val="007128C2"/>
    <w:rsid w:val="00713BF5"/>
    <w:rsid w:val="00721228"/>
    <w:rsid w:val="00724E13"/>
    <w:rsid w:val="0072713B"/>
    <w:rsid w:val="007342B9"/>
    <w:rsid w:val="00734E87"/>
    <w:rsid w:val="00736390"/>
    <w:rsid w:val="00736475"/>
    <w:rsid w:val="007406B8"/>
    <w:rsid w:val="007465E2"/>
    <w:rsid w:val="007548BD"/>
    <w:rsid w:val="007553B0"/>
    <w:rsid w:val="00760A6A"/>
    <w:rsid w:val="00766BD6"/>
    <w:rsid w:val="007747FD"/>
    <w:rsid w:val="00774A01"/>
    <w:rsid w:val="00781957"/>
    <w:rsid w:val="00783B9B"/>
    <w:rsid w:val="00784236"/>
    <w:rsid w:val="007967F8"/>
    <w:rsid w:val="007B5BC7"/>
    <w:rsid w:val="007C7D64"/>
    <w:rsid w:val="007D19A5"/>
    <w:rsid w:val="007D45D3"/>
    <w:rsid w:val="007D7C58"/>
    <w:rsid w:val="007E1A61"/>
    <w:rsid w:val="007E1FB9"/>
    <w:rsid w:val="007E26FA"/>
    <w:rsid w:val="007E3EDE"/>
    <w:rsid w:val="007E5190"/>
    <w:rsid w:val="007E757D"/>
    <w:rsid w:val="007F26F4"/>
    <w:rsid w:val="007F4345"/>
    <w:rsid w:val="007F595A"/>
    <w:rsid w:val="007F6E98"/>
    <w:rsid w:val="0080065E"/>
    <w:rsid w:val="008034FC"/>
    <w:rsid w:val="00812214"/>
    <w:rsid w:val="00812470"/>
    <w:rsid w:val="008124C1"/>
    <w:rsid w:val="008154BD"/>
    <w:rsid w:val="00820ACA"/>
    <w:rsid w:val="00825FF0"/>
    <w:rsid w:val="008310ED"/>
    <w:rsid w:val="008358CA"/>
    <w:rsid w:val="0083639A"/>
    <w:rsid w:val="008448BC"/>
    <w:rsid w:val="00847AC3"/>
    <w:rsid w:val="008537C7"/>
    <w:rsid w:val="00856F2F"/>
    <w:rsid w:val="00860AE6"/>
    <w:rsid w:val="00872056"/>
    <w:rsid w:val="0087399A"/>
    <w:rsid w:val="00875023"/>
    <w:rsid w:val="008923CB"/>
    <w:rsid w:val="008A4D75"/>
    <w:rsid w:val="008A5110"/>
    <w:rsid w:val="008A53AD"/>
    <w:rsid w:val="008A59EB"/>
    <w:rsid w:val="008A7093"/>
    <w:rsid w:val="008A75A4"/>
    <w:rsid w:val="008A7CBB"/>
    <w:rsid w:val="008B3B62"/>
    <w:rsid w:val="008B7BAC"/>
    <w:rsid w:val="008B7C71"/>
    <w:rsid w:val="008C2AB1"/>
    <w:rsid w:val="008C3917"/>
    <w:rsid w:val="008C5C00"/>
    <w:rsid w:val="008C6912"/>
    <w:rsid w:val="008D1894"/>
    <w:rsid w:val="008E26B9"/>
    <w:rsid w:val="008E3CD8"/>
    <w:rsid w:val="008E49E5"/>
    <w:rsid w:val="008E5317"/>
    <w:rsid w:val="008E6EDC"/>
    <w:rsid w:val="008F3F79"/>
    <w:rsid w:val="008F5849"/>
    <w:rsid w:val="008F5E00"/>
    <w:rsid w:val="00904D13"/>
    <w:rsid w:val="009140CA"/>
    <w:rsid w:val="009227C3"/>
    <w:rsid w:val="0092421F"/>
    <w:rsid w:val="00924AA7"/>
    <w:rsid w:val="0093194D"/>
    <w:rsid w:val="00933242"/>
    <w:rsid w:val="00945FC8"/>
    <w:rsid w:val="009500CB"/>
    <w:rsid w:val="009521DA"/>
    <w:rsid w:val="009537C1"/>
    <w:rsid w:val="00960348"/>
    <w:rsid w:val="0096228B"/>
    <w:rsid w:val="0096262C"/>
    <w:rsid w:val="00966193"/>
    <w:rsid w:val="00967919"/>
    <w:rsid w:val="00971F9E"/>
    <w:rsid w:val="0097510C"/>
    <w:rsid w:val="00980902"/>
    <w:rsid w:val="00981FCF"/>
    <w:rsid w:val="00982BD1"/>
    <w:rsid w:val="009838FF"/>
    <w:rsid w:val="00986438"/>
    <w:rsid w:val="009877F1"/>
    <w:rsid w:val="00990253"/>
    <w:rsid w:val="00991AFF"/>
    <w:rsid w:val="009A21C0"/>
    <w:rsid w:val="009A5899"/>
    <w:rsid w:val="009B392D"/>
    <w:rsid w:val="009B4D41"/>
    <w:rsid w:val="009B5C7D"/>
    <w:rsid w:val="009C08AD"/>
    <w:rsid w:val="009D4FC9"/>
    <w:rsid w:val="009E5075"/>
    <w:rsid w:val="009E5F7B"/>
    <w:rsid w:val="009F0150"/>
    <w:rsid w:val="009F2EF6"/>
    <w:rsid w:val="009F536B"/>
    <w:rsid w:val="009F5BEA"/>
    <w:rsid w:val="00A042E3"/>
    <w:rsid w:val="00A10B7A"/>
    <w:rsid w:val="00A13934"/>
    <w:rsid w:val="00A16824"/>
    <w:rsid w:val="00A16C1A"/>
    <w:rsid w:val="00A25FFC"/>
    <w:rsid w:val="00A34F5E"/>
    <w:rsid w:val="00A455C3"/>
    <w:rsid w:val="00A45A6D"/>
    <w:rsid w:val="00A60E3F"/>
    <w:rsid w:val="00A626ED"/>
    <w:rsid w:val="00A62F4D"/>
    <w:rsid w:val="00A65C02"/>
    <w:rsid w:val="00A66E3B"/>
    <w:rsid w:val="00A74233"/>
    <w:rsid w:val="00A76737"/>
    <w:rsid w:val="00A80C02"/>
    <w:rsid w:val="00A82740"/>
    <w:rsid w:val="00A8440B"/>
    <w:rsid w:val="00A8506F"/>
    <w:rsid w:val="00A861DA"/>
    <w:rsid w:val="00A86232"/>
    <w:rsid w:val="00A93676"/>
    <w:rsid w:val="00A93A9C"/>
    <w:rsid w:val="00AB07CB"/>
    <w:rsid w:val="00AD3C05"/>
    <w:rsid w:val="00AD6219"/>
    <w:rsid w:val="00AE0069"/>
    <w:rsid w:val="00AE7FD0"/>
    <w:rsid w:val="00AF704E"/>
    <w:rsid w:val="00B0099A"/>
    <w:rsid w:val="00B049B7"/>
    <w:rsid w:val="00B05D14"/>
    <w:rsid w:val="00B10EDD"/>
    <w:rsid w:val="00B15FEE"/>
    <w:rsid w:val="00B22692"/>
    <w:rsid w:val="00B270D4"/>
    <w:rsid w:val="00B31DED"/>
    <w:rsid w:val="00B4127A"/>
    <w:rsid w:val="00B43585"/>
    <w:rsid w:val="00B440D8"/>
    <w:rsid w:val="00B4687C"/>
    <w:rsid w:val="00B5406D"/>
    <w:rsid w:val="00B55335"/>
    <w:rsid w:val="00B662DE"/>
    <w:rsid w:val="00B7057A"/>
    <w:rsid w:val="00B705D6"/>
    <w:rsid w:val="00B71515"/>
    <w:rsid w:val="00B75F8C"/>
    <w:rsid w:val="00B84ED9"/>
    <w:rsid w:val="00B85FC9"/>
    <w:rsid w:val="00B86DE1"/>
    <w:rsid w:val="00B96DEB"/>
    <w:rsid w:val="00B9732A"/>
    <w:rsid w:val="00B9774D"/>
    <w:rsid w:val="00BA1245"/>
    <w:rsid w:val="00BA1FC2"/>
    <w:rsid w:val="00BA578C"/>
    <w:rsid w:val="00BB1525"/>
    <w:rsid w:val="00BB2642"/>
    <w:rsid w:val="00BB2AA8"/>
    <w:rsid w:val="00BB45E3"/>
    <w:rsid w:val="00BB67EB"/>
    <w:rsid w:val="00BC7BA8"/>
    <w:rsid w:val="00BD3301"/>
    <w:rsid w:val="00BD4CD9"/>
    <w:rsid w:val="00BE1289"/>
    <w:rsid w:val="00BE1FDB"/>
    <w:rsid w:val="00BF04FE"/>
    <w:rsid w:val="00BF1C34"/>
    <w:rsid w:val="00BF287D"/>
    <w:rsid w:val="00BF2965"/>
    <w:rsid w:val="00BF3951"/>
    <w:rsid w:val="00BF3E9E"/>
    <w:rsid w:val="00BF4AE6"/>
    <w:rsid w:val="00BF568B"/>
    <w:rsid w:val="00BF6985"/>
    <w:rsid w:val="00C00098"/>
    <w:rsid w:val="00C02598"/>
    <w:rsid w:val="00C0274B"/>
    <w:rsid w:val="00C046C9"/>
    <w:rsid w:val="00C07BE5"/>
    <w:rsid w:val="00C13B62"/>
    <w:rsid w:val="00C2026A"/>
    <w:rsid w:val="00C21B82"/>
    <w:rsid w:val="00C23AAA"/>
    <w:rsid w:val="00C31252"/>
    <w:rsid w:val="00C358DC"/>
    <w:rsid w:val="00C368FE"/>
    <w:rsid w:val="00C376B0"/>
    <w:rsid w:val="00C40805"/>
    <w:rsid w:val="00C44247"/>
    <w:rsid w:val="00C50499"/>
    <w:rsid w:val="00C50780"/>
    <w:rsid w:val="00C52196"/>
    <w:rsid w:val="00C66C4D"/>
    <w:rsid w:val="00C70260"/>
    <w:rsid w:val="00C70679"/>
    <w:rsid w:val="00C70F42"/>
    <w:rsid w:val="00C81379"/>
    <w:rsid w:val="00C85E1F"/>
    <w:rsid w:val="00C86883"/>
    <w:rsid w:val="00C9792B"/>
    <w:rsid w:val="00C97CC3"/>
    <w:rsid w:val="00CA090A"/>
    <w:rsid w:val="00CA0912"/>
    <w:rsid w:val="00CA4756"/>
    <w:rsid w:val="00CC3F08"/>
    <w:rsid w:val="00CC4ACB"/>
    <w:rsid w:val="00CC5A6B"/>
    <w:rsid w:val="00CD4645"/>
    <w:rsid w:val="00CD57F2"/>
    <w:rsid w:val="00CE0DF9"/>
    <w:rsid w:val="00CE3890"/>
    <w:rsid w:val="00CF54FC"/>
    <w:rsid w:val="00CF6AEB"/>
    <w:rsid w:val="00D015A2"/>
    <w:rsid w:val="00D067E1"/>
    <w:rsid w:val="00D1491D"/>
    <w:rsid w:val="00D2020D"/>
    <w:rsid w:val="00D27CAF"/>
    <w:rsid w:val="00D36DC8"/>
    <w:rsid w:val="00D40587"/>
    <w:rsid w:val="00D467C0"/>
    <w:rsid w:val="00D473D5"/>
    <w:rsid w:val="00D533FC"/>
    <w:rsid w:val="00D540B6"/>
    <w:rsid w:val="00D563A6"/>
    <w:rsid w:val="00D61271"/>
    <w:rsid w:val="00D7028F"/>
    <w:rsid w:val="00D7179D"/>
    <w:rsid w:val="00D72E1B"/>
    <w:rsid w:val="00D7562A"/>
    <w:rsid w:val="00D80AAF"/>
    <w:rsid w:val="00D82EF0"/>
    <w:rsid w:val="00D96CBE"/>
    <w:rsid w:val="00DB2B62"/>
    <w:rsid w:val="00DB5FCF"/>
    <w:rsid w:val="00DB6EE4"/>
    <w:rsid w:val="00DC390F"/>
    <w:rsid w:val="00DC71B8"/>
    <w:rsid w:val="00DD1D70"/>
    <w:rsid w:val="00DD1F0C"/>
    <w:rsid w:val="00DD2BBE"/>
    <w:rsid w:val="00DD3478"/>
    <w:rsid w:val="00DD4221"/>
    <w:rsid w:val="00DD46F4"/>
    <w:rsid w:val="00DE3FC7"/>
    <w:rsid w:val="00DF1AF6"/>
    <w:rsid w:val="00E00163"/>
    <w:rsid w:val="00E066A4"/>
    <w:rsid w:val="00E07AB9"/>
    <w:rsid w:val="00E11C4E"/>
    <w:rsid w:val="00E1221F"/>
    <w:rsid w:val="00E12B17"/>
    <w:rsid w:val="00E13BEA"/>
    <w:rsid w:val="00E21844"/>
    <w:rsid w:val="00E22E3A"/>
    <w:rsid w:val="00E24B90"/>
    <w:rsid w:val="00E25ACD"/>
    <w:rsid w:val="00E26B5E"/>
    <w:rsid w:val="00E35230"/>
    <w:rsid w:val="00E41DE0"/>
    <w:rsid w:val="00E45448"/>
    <w:rsid w:val="00E4552F"/>
    <w:rsid w:val="00E54307"/>
    <w:rsid w:val="00E66CB7"/>
    <w:rsid w:val="00E72899"/>
    <w:rsid w:val="00E75DE9"/>
    <w:rsid w:val="00E81F84"/>
    <w:rsid w:val="00E84F37"/>
    <w:rsid w:val="00E93CC9"/>
    <w:rsid w:val="00E95081"/>
    <w:rsid w:val="00E95CF6"/>
    <w:rsid w:val="00E96562"/>
    <w:rsid w:val="00EA08B8"/>
    <w:rsid w:val="00EA09E5"/>
    <w:rsid w:val="00EA14F2"/>
    <w:rsid w:val="00EB0F40"/>
    <w:rsid w:val="00EB28D6"/>
    <w:rsid w:val="00EB3E5D"/>
    <w:rsid w:val="00EB4BD6"/>
    <w:rsid w:val="00EB622F"/>
    <w:rsid w:val="00EB6B88"/>
    <w:rsid w:val="00EC0AAB"/>
    <w:rsid w:val="00EC6B71"/>
    <w:rsid w:val="00ED21D7"/>
    <w:rsid w:val="00EE1741"/>
    <w:rsid w:val="00EE22B8"/>
    <w:rsid w:val="00EE2839"/>
    <w:rsid w:val="00EE6332"/>
    <w:rsid w:val="00EE6D0D"/>
    <w:rsid w:val="00EE7439"/>
    <w:rsid w:val="00EF1DCC"/>
    <w:rsid w:val="00EF5F21"/>
    <w:rsid w:val="00EF601A"/>
    <w:rsid w:val="00EF79BF"/>
    <w:rsid w:val="00F046FE"/>
    <w:rsid w:val="00F124EF"/>
    <w:rsid w:val="00F13F6E"/>
    <w:rsid w:val="00F157CE"/>
    <w:rsid w:val="00F16A55"/>
    <w:rsid w:val="00F20128"/>
    <w:rsid w:val="00F20ECB"/>
    <w:rsid w:val="00F23CD5"/>
    <w:rsid w:val="00F34917"/>
    <w:rsid w:val="00F42ACF"/>
    <w:rsid w:val="00F46361"/>
    <w:rsid w:val="00F47B91"/>
    <w:rsid w:val="00F5165D"/>
    <w:rsid w:val="00F51F96"/>
    <w:rsid w:val="00F54CAC"/>
    <w:rsid w:val="00F5618A"/>
    <w:rsid w:val="00F61DA9"/>
    <w:rsid w:val="00F62DD8"/>
    <w:rsid w:val="00F67ABD"/>
    <w:rsid w:val="00F702D0"/>
    <w:rsid w:val="00F74919"/>
    <w:rsid w:val="00F77FA7"/>
    <w:rsid w:val="00F833C5"/>
    <w:rsid w:val="00F8450A"/>
    <w:rsid w:val="00F90923"/>
    <w:rsid w:val="00FA1C2C"/>
    <w:rsid w:val="00FA38BD"/>
    <w:rsid w:val="00FA3FE0"/>
    <w:rsid w:val="00FA5198"/>
    <w:rsid w:val="00FA7031"/>
    <w:rsid w:val="00FB3A5F"/>
    <w:rsid w:val="00FC10E9"/>
    <w:rsid w:val="00FC28CD"/>
    <w:rsid w:val="00FC3585"/>
    <w:rsid w:val="00FC46FA"/>
    <w:rsid w:val="00FC7C40"/>
    <w:rsid w:val="00FD046D"/>
    <w:rsid w:val="00FD12C6"/>
    <w:rsid w:val="00FD3F38"/>
    <w:rsid w:val="00FD4461"/>
    <w:rsid w:val="00FD56B9"/>
    <w:rsid w:val="00FD7ED1"/>
    <w:rsid w:val="00FE1170"/>
    <w:rsid w:val="00FE56B9"/>
    <w:rsid w:val="00FF04E2"/>
    <w:rsid w:val="00FF424F"/>
    <w:rsid w:val="01022035"/>
    <w:rsid w:val="02962D99"/>
    <w:rsid w:val="03BE4AE9"/>
    <w:rsid w:val="042A22B1"/>
    <w:rsid w:val="05965971"/>
    <w:rsid w:val="0731093E"/>
    <w:rsid w:val="087319E5"/>
    <w:rsid w:val="08765D39"/>
    <w:rsid w:val="09207477"/>
    <w:rsid w:val="096E5E5D"/>
    <w:rsid w:val="097F7CCD"/>
    <w:rsid w:val="09AD60D4"/>
    <w:rsid w:val="0A190E7F"/>
    <w:rsid w:val="0B8734B5"/>
    <w:rsid w:val="0CBD5B3E"/>
    <w:rsid w:val="0E0074F9"/>
    <w:rsid w:val="0E2261C6"/>
    <w:rsid w:val="101575C4"/>
    <w:rsid w:val="123B29E4"/>
    <w:rsid w:val="13043C7D"/>
    <w:rsid w:val="130F2D3E"/>
    <w:rsid w:val="136566A4"/>
    <w:rsid w:val="154E7F02"/>
    <w:rsid w:val="157939CB"/>
    <w:rsid w:val="16303767"/>
    <w:rsid w:val="176853F5"/>
    <w:rsid w:val="17FA0B61"/>
    <w:rsid w:val="19593919"/>
    <w:rsid w:val="19A8694B"/>
    <w:rsid w:val="19E826BA"/>
    <w:rsid w:val="1A537EC8"/>
    <w:rsid w:val="1B74015E"/>
    <w:rsid w:val="1DC82614"/>
    <w:rsid w:val="1EA63B58"/>
    <w:rsid w:val="1EB0283F"/>
    <w:rsid w:val="1EB06BFB"/>
    <w:rsid w:val="1EED3670"/>
    <w:rsid w:val="1F435A8D"/>
    <w:rsid w:val="1F863DF9"/>
    <w:rsid w:val="201658D3"/>
    <w:rsid w:val="2049701E"/>
    <w:rsid w:val="20B71657"/>
    <w:rsid w:val="21645F5A"/>
    <w:rsid w:val="22CF679B"/>
    <w:rsid w:val="253D0ED3"/>
    <w:rsid w:val="25D90FE1"/>
    <w:rsid w:val="26E450A0"/>
    <w:rsid w:val="284E51ED"/>
    <w:rsid w:val="28503FE1"/>
    <w:rsid w:val="2A8638C3"/>
    <w:rsid w:val="2B232D5C"/>
    <w:rsid w:val="2BBC23FC"/>
    <w:rsid w:val="2CD37E1B"/>
    <w:rsid w:val="3249776B"/>
    <w:rsid w:val="32EB3B6C"/>
    <w:rsid w:val="33605FEC"/>
    <w:rsid w:val="337C4353"/>
    <w:rsid w:val="34E1555E"/>
    <w:rsid w:val="34EA5A50"/>
    <w:rsid w:val="36AD1667"/>
    <w:rsid w:val="37211F80"/>
    <w:rsid w:val="38481B38"/>
    <w:rsid w:val="397D6AA9"/>
    <w:rsid w:val="3A5B1E81"/>
    <w:rsid w:val="3B7F4054"/>
    <w:rsid w:val="3BD45C1E"/>
    <w:rsid w:val="3C07763C"/>
    <w:rsid w:val="3C8B1ACD"/>
    <w:rsid w:val="3CD26CA1"/>
    <w:rsid w:val="3F372608"/>
    <w:rsid w:val="3F393AFC"/>
    <w:rsid w:val="41015C65"/>
    <w:rsid w:val="4343312E"/>
    <w:rsid w:val="44E36C8A"/>
    <w:rsid w:val="466F735C"/>
    <w:rsid w:val="46DE1856"/>
    <w:rsid w:val="476B7BE1"/>
    <w:rsid w:val="48693430"/>
    <w:rsid w:val="4A1D07F5"/>
    <w:rsid w:val="4AEC5B6B"/>
    <w:rsid w:val="4B5570BE"/>
    <w:rsid w:val="4C895783"/>
    <w:rsid w:val="4CA423F1"/>
    <w:rsid w:val="4D6B7A9C"/>
    <w:rsid w:val="4DBF7102"/>
    <w:rsid w:val="4E673F79"/>
    <w:rsid w:val="503F7D36"/>
    <w:rsid w:val="504B3BB6"/>
    <w:rsid w:val="506C6354"/>
    <w:rsid w:val="52E8756E"/>
    <w:rsid w:val="52F570D3"/>
    <w:rsid w:val="5391309C"/>
    <w:rsid w:val="55280FC5"/>
    <w:rsid w:val="552A50E3"/>
    <w:rsid w:val="559F0338"/>
    <w:rsid w:val="566B3F3F"/>
    <w:rsid w:val="56D136AC"/>
    <w:rsid w:val="56FF2E0B"/>
    <w:rsid w:val="58A55113"/>
    <w:rsid w:val="58C40D3E"/>
    <w:rsid w:val="58D15408"/>
    <w:rsid w:val="58EB08C9"/>
    <w:rsid w:val="59C808E2"/>
    <w:rsid w:val="5D8E49E7"/>
    <w:rsid w:val="5DCD7B0C"/>
    <w:rsid w:val="5DDB1B42"/>
    <w:rsid w:val="5E004414"/>
    <w:rsid w:val="5F4236BC"/>
    <w:rsid w:val="619A1CC3"/>
    <w:rsid w:val="62093867"/>
    <w:rsid w:val="626C0814"/>
    <w:rsid w:val="63147CC6"/>
    <w:rsid w:val="63213B64"/>
    <w:rsid w:val="63517077"/>
    <w:rsid w:val="64630470"/>
    <w:rsid w:val="64D74FB5"/>
    <w:rsid w:val="65672542"/>
    <w:rsid w:val="658E700A"/>
    <w:rsid w:val="66171C0B"/>
    <w:rsid w:val="67267054"/>
    <w:rsid w:val="680B54BE"/>
    <w:rsid w:val="686F135E"/>
    <w:rsid w:val="69360310"/>
    <w:rsid w:val="6A0C687B"/>
    <w:rsid w:val="6A1B21CC"/>
    <w:rsid w:val="6A9522E0"/>
    <w:rsid w:val="6AA90A73"/>
    <w:rsid w:val="6B467778"/>
    <w:rsid w:val="6D6F2986"/>
    <w:rsid w:val="6E3B660C"/>
    <w:rsid w:val="6E6670AF"/>
    <w:rsid w:val="6E6C4629"/>
    <w:rsid w:val="6E7874C9"/>
    <w:rsid w:val="6FC72BE1"/>
    <w:rsid w:val="718D01A1"/>
    <w:rsid w:val="721A4B78"/>
    <w:rsid w:val="723D413A"/>
    <w:rsid w:val="72766C52"/>
    <w:rsid w:val="7347011F"/>
    <w:rsid w:val="73587682"/>
    <w:rsid w:val="73B433C4"/>
    <w:rsid w:val="74077A5B"/>
    <w:rsid w:val="76E450CF"/>
    <w:rsid w:val="783B0E0E"/>
    <w:rsid w:val="7888653E"/>
    <w:rsid w:val="79535D21"/>
    <w:rsid w:val="79AC0F4F"/>
    <w:rsid w:val="79C24E54"/>
    <w:rsid w:val="7D6623BF"/>
    <w:rsid w:val="7DBB40B8"/>
    <w:rsid w:val="7DC11138"/>
    <w:rsid w:val="7ECC3A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uiPriority="99" w:name="Normal Indent" w:locked="1"/>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qFormat="1"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qFormat="1"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0"/>
    <w:autoRedefine/>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1"/>
    <w:autoRedefine/>
    <w:qFormat/>
    <w:uiPriority w:val="99"/>
    <w:pPr>
      <w:keepNext/>
      <w:keepLines/>
      <w:spacing w:before="260" w:after="260" w:line="416" w:lineRule="auto"/>
      <w:outlineLvl w:val="1"/>
    </w:pPr>
    <w:rPr>
      <w:rFonts w:ascii="Arial" w:hAnsi="Arial" w:eastAsia="黑体" w:cs="Arial"/>
      <w:b/>
      <w:bCs/>
      <w:kern w:val="0"/>
      <w:sz w:val="32"/>
      <w:szCs w:val="32"/>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4">
    <w:name w:val="Document Map"/>
    <w:basedOn w:val="1"/>
    <w:link w:val="47"/>
    <w:autoRedefine/>
    <w:semiHidden/>
    <w:unhideWhenUsed/>
    <w:qFormat/>
    <w:locked/>
    <w:uiPriority w:val="99"/>
    <w:rPr>
      <w:rFonts w:ascii="宋体"/>
      <w:sz w:val="18"/>
      <w:szCs w:val="18"/>
    </w:rPr>
  </w:style>
  <w:style w:type="paragraph" w:styleId="5">
    <w:name w:val="annotation text"/>
    <w:basedOn w:val="1"/>
    <w:link w:val="22"/>
    <w:autoRedefine/>
    <w:qFormat/>
    <w:uiPriority w:val="0"/>
    <w:pPr>
      <w:jc w:val="left"/>
    </w:pPr>
  </w:style>
  <w:style w:type="paragraph" w:styleId="6">
    <w:name w:val="Body Text"/>
    <w:basedOn w:val="1"/>
    <w:link w:val="51"/>
    <w:autoRedefine/>
    <w:semiHidden/>
    <w:unhideWhenUsed/>
    <w:qFormat/>
    <w:locked/>
    <w:uiPriority w:val="99"/>
    <w:pPr>
      <w:spacing w:after="120"/>
    </w:pPr>
  </w:style>
  <w:style w:type="paragraph" w:styleId="7">
    <w:name w:val="Plain Text"/>
    <w:basedOn w:val="1"/>
    <w:link w:val="24"/>
    <w:autoRedefine/>
    <w:qFormat/>
    <w:uiPriority w:val="0"/>
    <w:rPr>
      <w:rFonts w:ascii="宋体" w:hAnsi="Courier New" w:cs="宋体"/>
      <w:kern w:val="0"/>
    </w:rPr>
  </w:style>
  <w:style w:type="paragraph" w:styleId="8">
    <w:name w:val="Balloon Text"/>
    <w:basedOn w:val="1"/>
    <w:link w:val="25"/>
    <w:autoRedefine/>
    <w:semiHidden/>
    <w:qFormat/>
    <w:uiPriority w:val="99"/>
    <w:rPr>
      <w:kern w:val="0"/>
      <w:sz w:val="18"/>
      <w:szCs w:val="18"/>
    </w:rPr>
  </w:style>
  <w:style w:type="paragraph" w:styleId="9">
    <w:name w:val="footer"/>
    <w:basedOn w:val="1"/>
    <w:link w:val="26"/>
    <w:autoRedefine/>
    <w:qFormat/>
    <w:uiPriority w:val="99"/>
    <w:pPr>
      <w:tabs>
        <w:tab w:val="center" w:pos="4153"/>
        <w:tab w:val="right" w:pos="8306"/>
      </w:tabs>
      <w:snapToGrid w:val="0"/>
      <w:jc w:val="left"/>
    </w:pPr>
    <w:rPr>
      <w:kern w:val="0"/>
      <w:sz w:val="18"/>
      <w:szCs w:val="18"/>
    </w:rPr>
  </w:style>
  <w:style w:type="paragraph" w:styleId="10">
    <w:name w:val="header"/>
    <w:basedOn w:val="1"/>
    <w:link w:val="27"/>
    <w:autoRedefine/>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next w:val="1"/>
    <w:link w:val="28"/>
    <w:autoRedefine/>
    <w:qFormat/>
    <w:uiPriority w:val="99"/>
    <w:pPr>
      <w:spacing w:before="240" w:after="60"/>
      <w:jc w:val="center"/>
      <w:outlineLvl w:val="0"/>
    </w:pPr>
    <w:rPr>
      <w:rFonts w:ascii="Cambria" w:hAnsi="Cambria" w:cs="Cambria"/>
      <w:b/>
      <w:bCs/>
      <w:kern w:val="0"/>
      <w:sz w:val="32"/>
      <w:szCs w:val="32"/>
    </w:rPr>
  </w:style>
  <w:style w:type="paragraph" w:styleId="13">
    <w:name w:val="annotation subject"/>
    <w:basedOn w:val="5"/>
    <w:next w:val="5"/>
    <w:link w:val="23"/>
    <w:autoRedefine/>
    <w:semiHidden/>
    <w:qFormat/>
    <w:uiPriority w:val="99"/>
    <w:rPr>
      <w:b/>
      <w:bCs/>
      <w:kern w:val="0"/>
      <w:sz w:val="20"/>
      <w:szCs w:val="20"/>
    </w:rPr>
  </w:style>
  <w:style w:type="paragraph" w:styleId="14">
    <w:name w:val="Body Text First Indent"/>
    <w:basedOn w:val="6"/>
    <w:link w:val="52"/>
    <w:autoRedefine/>
    <w:semiHidden/>
    <w:unhideWhenUsed/>
    <w:qFormat/>
    <w:locked/>
    <w:uiPriority w:val="99"/>
    <w:pPr>
      <w:ind w:firstLine="420" w:firstLineChars="100"/>
    </w:pPr>
    <w:rPr>
      <w:rFonts w:ascii="Times New Roman" w:hAnsi="Times New Roman" w:cs="Times New Roman"/>
      <w:szCs w:val="24"/>
    </w:rPr>
  </w:style>
  <w:style w:type="table" w:styleId="16">
    <w:name w:val="Table Grid"/>
    <w:basedOn w:val="15"/>
    <w:autoRedefine/>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autoRedefine/>
    <w:qFormat/>
    <w:uiPriority w:val="99"/>
    <w:rPr>
      <w:b/>
      <w:bCs/>
    </w:rPr>
  </w:style>
  <w:style w:type="character" w:styleId="19">
    <w:name w:val="annotation reference"/>
    <w:basedOn w:val="17"/>
    <w:autoRedefine/>
    <w:qFormat/>
    <w:uiPriority w:val="0"/>
    <w:rPr>
      <w:sz w:val="21"/>
      <w:szCs w:val="21"/>
    </w:rPr>
  </w:style>
  <w:style w:type="character" w:customStyle="1" w:styleId="20">
    <w:name w:val="标题 1 字符"/>
    <w:basedOn w:val="17"/>
    <w:link w:val="2"/>
    <w:autoRedefine/>
    <w:qFormat/>
    <w:locked/>
    <w:uiPriority w:val="99"/>
    <w:rPr>
      <w:rFonts w:ascii="Calibri" w:hAnsi="Calibri" w:eastAsia="宋体" w:cs="Calibri"/>
      <w:b/>
      <w:bCs/>
      <w:kern w:val="44"/>
      <w:sz w:val="44"/>
      <w:szCs w:val="44"/>
    </w:rPr>
  </w:style>
  <w:style w:type="character" w:customStyle="1" w:styleId="21">
    <w:name w:val="标题 2 字符"/>
    <w:basedOn w:val="17"/>
    <w:link w:val="3"/>
    <w:autoRedefine/>
    <w:qFormat/>
    <w:locked/>
    <w:uiPriority w:val="99"/>
    <w:rPr>
      <w:rFonts w:ascii="Arial" w:hAnsi="Arial" w:eastAsia="黑体" w:cs="Arial"/>
      <w:b/>
      <w:bCs/>
      <w:sz w:val="32"/>
      <w:szCs w:val="32"/>
    </w:rPr>
  </w:style>
  <w:style w:type="character" w:customStyle="1" w:styleId="22">
    <w:name w:val="批注文字 字符"/>
    <w:basedOn w:val="17"/>
    <w:link w:val="5"/>
    <w:autoRedefine/>
    <w:qFormat/>
    <w:locked/>
    <w:uiPriority w:val="0"/>
  </w:style>
  <w:style w:type="character" w:customStyle="1" w:styleId="23">
    <w:name w:val="批注主题 字符"/>
    <w:basedOn w:val="22"/>
    <w:link w:val="13"/>
    <w:autoRedefine/>
    <w:semiHidden/>
    <w:qFormat/>
    <w:locked/>
    <w:uiPriority w:val="99"/>
    <w:rPr>
      <w:b/>
      <w:bCs/>
    </w:rPr>
  </w:style>
  <w:style w:type="character" w:customStyle="1" w:styleId="24">
    <w:name w:val="纯文本 字符"/>
    <w:basedOn w:val="17"/>
    <w:link w:val="7"/>
    <w:autoRedefine/>
    <w:qFormat/>
    <w:locked/>
    <w:uiPriority w:val="0"/>
    <w:rPr>
      <w:rFonts w:ascii="宋体" w:hAnsi="Courier New" w:eastAsia="宋体" w:cs="宋体"/>
      <w:kern w:val="0"/>
      <w:sz w:val="21"/>
      <w:szCs w:val="21"/>
    </w:rPr>
  </w:style>
  <w:style w:type="character" w:customStyle="1" w:styleId="25">
    <w:name w:val="批注框文本 字符"/>
    <w:basedOn w:val="17"/>
    <w:link w:val="8"/>
    <w:autoRedefine/>
    <w:semiHidden/>
    <w:qFormat/>
    <w:locked/>
    <w:uiPriority w:val="99"/>
    <w:rPr>
      <w:sz w:val="18"/>
      <w:szCs w:val="18"/>
    </w:rPr>
  </w:style>
  <w:style w:type="character" w:customStyle="1" w:styleId="26">
    <w:name w:val="页脚 字符"/>
    <w:basedOn w:val="17"/>
    <w:link w:val="9"/>
    <w:autoRedefine/>
    <w:qFormat/>
    <w:locked/>
    <w:uiPriority w:val="99"/>
    <w:rPr>
      <w:sz w:val="18"/>
      <w:szCs w:val="18"/>
    </w:rPr>
  </w:style>
  <w:style w:type="character" w:customStyle="1" w:styleId="27">
    <w:name w:val="页眉 字符"/>
    <w:basedOn w:val="17"/>
    <w:link w:val="10"/>
    <w:autoRedefine/>
    <w:qFormat/>
    <w:locked/>
    <w:uiPriority w:val="99"/>
    <w:rPr>
      <w:sz w:val="18"/>
      <w:szCs w:val="18"/>
    </w:rPr>
  </w:style>
  <w:style w:type="character" w:customStyle="1" w:styleId="28">
    <w:name w:val="标题 字符"/>
    <w:basedOn w:val="17"/>
    <w:link w:val="12"/>
    <w:autoRedefine/>
    <w:qFormat/>
    <w:locked/>
    <w:uiPriority w:val="99"/>
    <w:rPr>
      <w:rFonts w:ascii="Cambria" w:hAnsi="Cambria" w:eastAsia="宋体" w:cs="Cambria"/>
      <w:b/>
      <w:bCs/>
      <w:sz w:val="32"/>
      <w:szCs w:val="32"/>
    </w:rPr>
  </w:style>
  <w:style w:type="paragraph" w:customStyle="1" w:styleId="29">
    <w:name w:val="列出段落1"/>
    <w:basedOn w:val="1"/>
    <w:link w:val="31"/>
    <w:autoRedefine/>
    <w:qFormat/>
    <w:uiPriority w:val="0"/>
    <w:pPr>
      <w:ind w:firstLine="420" w:firstLineChars="200"/>
    </w:pPr>
  </w:style>
  <w:style w:type="paragraph" w:customStyle="1" w:styleId="30">
    <w:name w:val="图"/>
    <w:basedOn w:val="1"/>
    <w:autoRedefine/>
    <w:qFormat/>
    <w:uiPriority w:val="99"/>
    <w:pPr>
      <w:keepNext/>
      <w:adjustRightInd w:val="0"/>
      <w:spacing w:before="60" w:after="60" w:line="300" w:lineRule="auto"/>
      <w:jc w:val="center"/>
      <w:textAlignment w:val="center"/>
    </w:pPr>
    <w:rPr>
      <w:rFonts w:ascii="Times New Roman" w:hAnsi="Times New Roman" w:cs="Times New Roman"/>
      <w:spacing w:val="20"/>
      <w:kern w:val="0"/>
      <w:sz w:val="24"/>
      <w:szCs w:val="24"/>
    </w:rPr>
  </w:style>
  <w:style w:type="character" w:customStyle="1" w:styleId="31">
    <w:name w:val="列出段落 Char"/>
    <w:link w:val="29"/>
    <w:autoRedefine/>
    <w:qFormat/>
    <w:locked/>
    <w:uiPriority w:val="99"/>
  </w:style>
  <w:style w:type="paragraph" w:customStyle="1" w:styleId="32">
    <w:name w:val="样式4"/>
    <w:basedOn w:val="1"/>
    <w:autoRedefine/>
    <w:qFormat/>
    <w:uiPriority w:val="99"/>
    <w:pPr>
      <w:numPr>
        <w:ilvl w:val="3"/>
        <w:numId w:val="1"/>
      </w:numPr>
      <w:tabs>
        <w:tab w:val="left" w:pos="425"/>
        <w:tab w:val="left" w:pos="1984"/>
      </w:tabs>
    </w:pPr>
    <w:rPr>
      <w:rFonts w:ascii="Times New Roman" w:hAnsi="Times New Roman" w:cs="Times New Roman"/>
    </w:rPr>
  </w:style>
  <w:style w:type="paragraph" w:customStyle="1" w:styleId="33">
    <w:name w:val="列出段落11"/>
    <w:basedOn w:val="1"/>
    <w:link w:val="34"/>
    <w:autoRedefine/>
    <w:qFormat/>
    <w:uiPriority w:val="99"/>
    <w:pPr>
      <w:ind w:firstLine="420" w:firstLineChars="200"/>
    </w:pPr>
    <w:rPr>
      <w:rFonts w:ascii="Times New Roman" w:hAnsi="Times New Roman" w:cs="Times New Roman"/>
      <w:kern w:val="0"/>
    </w:rPr>
  </w:style>
  <w:style w:type="character" w:customStyle="1" w:styleId="34">
    <w:name w:val="List Paragraph Char"/>
    <w:link w:val="33"/>
    <w:autoRedefine/>
    <w:qFormat/>
    <w:locked/>
    <w:uiPriority w:val="99"/>
    <w:rPr>
      <w:rFonts w:ascii="Times New Roman" w:hAnsi="Times New Roman" w:eastAsia="宋体" w:cs="Times New Roman"/>
      <w:sz w:val="21"/>
      <w:szCs w:val="21"/>
    </w:rPr>
  </w:style>
  <w:style w:type="character" w:customStyle="1" w:styleId="35">
    <w:name w:val="font31"/>
    <w:autoRedefine/>
    <w:qFormat/>
    <w:uiPriority w:val="0"/>
    <w:rPr>
      <w:rFonts w:ascii="宋体" w:hAnsi="宋体" w:eastAsia="宋体" w:cs="宋体"/>
      <w:color w:val="000000"/>
      <w:sz w:val="24"/>
      <w:szCs w:val="24"/>
      <w:u w:val="none"/>
    </w:rPr>
  </w:style>
  <w:style w:type="character" w:customStyle="1" w:styleId="36">
    <w:name w:val="font11"/>
    <w:autoRedefine/>
    <w:qFormat/>
    <w:uiPriority w:val="0"/>
    <w:rPr>
      <w:rFonts w:ascii="宋体" w:hAnsi="宋体" w:eastAsia="宋体" w:cs="宋体"/>
      <w:color w:val="000000"/>
      <w:sz w:val="21"/>
      <w:szCs w:val="21"/>
      <w:u w:val="none"/>
    </w:rPr>
  </w:style>
  <w:style w:type="character" w:customStyle="1" w:styleId="37">
    <w:name w:val="font01"/>
    <w:autoRedefine/>
    <w:qFormat/>
    <w:uiPriority w:val="0"/>
    <w:rPr>
      <w:rFonts w:ascii="Times New Roman" w:hAnsi="Times New Roman" w:cs="Times New Roman"/>
      <w:color w:val="000000"/>
      <w:sz w:val="21"/>
      <w:szCs w:val="21"/>
      <w:u w:val="none"/>
    </w:rPr>
  </w:style>
  <w:style w:type="paragraph" w:customStyle="1" w:styleId="38">
    <w:name w:val="列表段落1"/>
    <w:basedOn w:val="1"/>
    <w:link w:val="39"/>
    <w:autoRedefine/>
    <w:qFormat/>
    <w:uiPriority w:val="34"/>
    <w:pPr>
      <w:ind w:firstLine="420" w:firstLineChars="200"/>
    </w:pPr>
  </w:style>
  <w:style w:type="character" w:customStyle="1" w:styleId="39">
    <w:name w:val="列表段落 字符"/>
    <w:link w:val="38"/>
    <w:autoRedefine/>
    <w:qFormat/>
    <w:locked/>
    <w:uiPriority w:val="99"/>
    <w:rPr>
      <w:rFonts w:cs="Calibri"/>
      <w:kern w:val="2"/>
      <w:sz w:val="21"/>
      <w:szCs w:val="21"/>
    </w:rPr>
  </w:style>
  <w:style w:type="paragraph" w:customStyle="1" w:styleId="40">
    <w:name w:val="标题6"/>
    <w:basedOn w:val="1"/>
    <w:autoRedefine/>
    <w:qFormat/>
    <w:uiPriority w:val="0"/>
    <w:pPr>
      <w:keepNext/>
      <w:widowControl/>
      <w:tabs>
        <w:tab w:val="left" w:pos="0"/>
      </w:tabs>
      <w:spacing w:before="260" w:after="260"/>
      <w:ind w:left="840" w:right="84" w:rightChars="84" w:hanging="420"/>
      <w:jc w:val="left"/>
      <w:outlineLvl w:val="1"/>
    </w:pPr>
    <w:rPr>
      <w:rFonts w:ascii="黑体" w:hAnsi="Times New Roman" w:eastAsia="黑体" w:cs="宋体"/>
      <w:sz w:val="30"/>
      <w:szCs w:val="30"/>
    </w:rPr>
  </w:style>
  <w:style w:type="character" w:customStyle="1" w:styleId="41">
    <w:name w:val="font41"/>
    <w:basedOn w:val="17"/>
    <w:autoRedefine/>
    <w:qFormat/>
    <w:uiPriority w:val="0"/>
    <w:rPr>
      <w:rFonts w:hint="eastAsia" w:ascii="宋体" w:hAnsi="宋体" w:eastAsia="宋体" w:cs="宋体"/>
      <w:color w:val="000000"/>
      <w:sz w:val="20"/>
      <w:szCs w:val="20"/>
      <w:u w:val="none"/>
    </w:rPr>
  </w:style>
  <w:style w:type="character" w:customStyle="1" w:styleId="42">
    <w:name w:val="font51"/>
    <w:basedOn w:val="17"/>
    <w:autoRedefine/>
    <w:qFormat/>
    <w:uiPriority w:val="0"/>
    <w:rPr>
      <w:rFonts w:hint="eastAsia" w:ascii="宋体" w:hAnsi="宋体" w:eastAsia="宋体" w:cs="宋体"/>
      <w:color w:val="000000"/>
      <w:sz w:val="24"/>
      <w:szCs w:val="24"/>
      <w:u w:val="none"/>
    </w:rPr>
  </w:style>
  <w:style w:type="paragraph" w:customStyle="1" w:styleId="43">
    <w:name w:val="Char Char Char Char Char Char Char"/>
    <w:basedOn w:val="1"/>
    <w:autoRedefine/>
    <w:qFormat/>
    <w:uiPriority w:val="0"/>
    <w:rPr>
      <w:rFonts w:ascii="Tahoma" w:hAnsi="Tahoma" w:cs="Times New Roman"/>
      <w:sz w:val="24"/>
      <w:szCs w:val="20"/>
    </w:rPr>
  </w:style>
  <w:style w:type="paragraph" w:customStyle="1" w:styleId="44">
    <w:name w:val="修订1"/>
    <w:autoRedefine/>
    <w:hidden/>
    <w:semiHidden/>
    <w:qFormat/>
    <w:uiPriority w:val="99"/>
    <w:rPr>
      <w:rFonts w:ascii="Calibri" w:hAnsi="Calibri" w:eastAsia="宋体" w:cs="Calibri"/>
      <w:kern w:val="2"/>
      <w:sz w:val="21"/>
      <w:szCs w:val="21"/>
      <w:lang w:val="en-US" w:eastAsia="zh-CN" w:bidi="ar-SA"/>
    </w:rPr>
  </w:style>
  <w:style w:type="paragraph" w:styleId="45">
    <w:name w:val="List Paragraph"/>
    <w:basedOn w:val="1"/>
    <w:autoRedefine/>
    <w:qFormat/>
    <w:uiPriority w:val="99"/>
    <w:pPr>
      <w:ind w:firstLine="420" w:firstLineChars="200"/>
    </w:pPr>
  </w:style>
  <w:style w:type="paragraph" w:customStyle="1" w:styleId="46">
    <w:name w:val="列出段落2"/>
    <w:basedOn w:val="1"/>
    <w:autoRedefine/>
    <w:qFormat/>
    <w:uiPriority w:val="34"/>
    <w:pPr>
      <w:autoSpaceDE w:val="0"/>
      <w:autoSpaceDN w:val="0"/>
      <w:adjustRightInd w:val="0"/>
      <w:ind w:firstLine="420" w:firstLineChars="200"/>
      <w:jc w:val="left"/>
    </w:pPr>
    <w:rPr>
      <w:rFonts w:ascii="Times New Roman" w:hAnsi="Times New Roman" w:cs="Times New Roman"/>
      <w:kern w:val="0"/>
    </w:rPr>
  </w:style>
  <w:style w:type="character" w:customStyle="1" w:styleId="47">
    <w:name w:val="文档结构图 字符"/>
    <w:basedOn w:val="17"/>
    <w:link w:val="4"/>
    <w:autoRedefine/>
    <w:semiHidden/>
    <w:qFormat/>
    <w:uiPriority w:val="99"/>
    <w:rPr>
      <w:rFonts w:ascii="宋体" w:hAnsi="Calibri" w:cs="Calibri"/>
      <w:kern w:val="2"/>
      <w:sz w:val="18"/>
      <w:szCs w:val="18"/>
    </w:rPr>
  </w:style>
  <w:style w:type="character" w:customStyle="1" w:styleId="48">
    <w:name w:val="纯文本 字符1"/>
    <w:autoRedefine/>
    <w:qFormat/>
    <w:uiPriority w:val="0"/>
    <w:rPr>
      <w:rFonts w:ascii="宋体" w:hAnsi="Courier New" w:eastAsia="宋体" w:cs="Courier New"/>
      <w:szCs w:val="21"/>
    </w:rPr>
  </w:style>
  <w:style w:type="character" w:customStyle="1" w:styleId="49">
    <w:name w:val="列出段落 字符1"/>
    <w:autoRedefine/>
    <w:qFormat/>
    <w:uiPriority w:val="0"/>
    <w:rPr>
      <w:rFonts w:eastAsia="宋体"/>
      <w:sz w:val="24"/>
      <w:szCs w:val="24"/>
    </w:rPr>
  </w:style>
  <w:style w:type="paragraph" w:customStyle="1" w:styleId="50">
    <w:name w:val="p0"/>
    <w:basedOn w:val="1"/>
    <w:autoRedefine/>
    <w:qFormat/>
    <w:uiPriority w:val="0"/>
    <w:pPr>
      <w:widowControl/>
    </w:pPr>
    <w:rPr>
      <w:rFonts w:ascii="Times New Roman" w:hAnsi="Times New Roman" w:cs="Times New Roman"/>
      <w:kern w:val="0"/>
    </w:rPr>
  </w:style>
  <w:style w:type="character" w:customStyle="1" w:styleId="51">
    <w:name w:val="正文文本 字符"/>
    <w:basedOn w:val="17"/>
    <w:link w:val="6"/>
    <w:autoRedefine/>
    <w:semiHidden/>
    <w:qFormat/>
    <w:uiPriority w:val="99"/>
    <w:rPr>
      <w:rFonts w:ascii="Calibri" w:hAnsi="Calibri" w:cs="Calibri"/>
      <w:kern w:val="2"/>
      <w:sz w:val="21"/>
      <w:szCs w:val="21"/>
    </w:rPr>
  </w:style>
  <w:style w:type="character" w:customStyle="1" w:styleId="52">
    <w:name w:val="正文首行缩进 字符"/>
    <w:basedOn w:val="51"/>
    <w:link w:val="14"/>
    <w:autoRedefine/>
    <w:semiHidden/>
    <w:qFormat/>
    <w:uiPriority w:val="99"/>
    <w:rPr>
      <w:rFonts w:ascii="Calibri" w:hAnsi="Calibri" w:cs="Calibri"/>
      <w:kern w:val="2"/>
      <w:sz w:val="21"/>
      <w:szCs w:val="24"/>
    </w:rPr>
  </w:style>
  <w:style w:type="paragraph" w:customStyle="1" w:styleId="53">
    <w:name w:val="修订2"/>
    <w:autoRedefine/>
    <w:hidden/>
    <w:semiHidden/>
    <w:qFormat/>
    <w:uiPriority w:val="99"/>
    <w:rPr>
      <w:rFonts w:ascii="Calibri" w:hAnsi="Calibri" w:eastAsia="宋体" w:cs="Calibri"/>
      <w:kern w:val="2"/>
      <w:sz w:val="21"/>
      <w:szCs w:val="21"/>
      <w:lang w:val="en-US" w:eastAsia="zh-CN" w:bidi="ar-SA"/>
    </w:rPr>
  </w:style>
  <w:style w:type="paragraph" w:customStyle="1" w:styleId="54">
    <w:name w:val="修订3"/>
    <w:autoRedefine/>
    <w:hidden/>
    <w:semiHidden/>
    <w:qFormat/>
    <w:uiPriority w:val="99"/>
    <w:rPr>
      <w:rFonts w:ascii="Calibri" w:hAnsi="Calibri" w:eastAsia="宋体" w:cs="Calibri"/>
      <w:kern w:val="2"/>
      <w:sz w:val="21"/>
      <w:szCs w:val="21"/>
      <w:lang w:val="en-US" w:eastAsia="zh-CN" w:bidi="ar-SA"/>
    </w:rPr>
  </w:style>
  <w:style w:type="paragraph" w:customStyle="1" w:styleId="55">
    <w:name w:val="修订4"/>
    <w:autoRedefine/>
    <w:hidden/>
    <w:semiHidden/>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D14286-025D-4150-9580-ABDD5EE1753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1128</Words>
  <Characters>6436</Characters>
  <Lines>53</Lines>
  <Paragraphs>15</Paragraphs>
  <TotalTime>1</TotalTime>
  <ScaleCrop>false</ScaleCrop>
  <LinksUpToDate>false</LinksUpToDate>
  <CharactersWithSpaces>7549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2023-08-01T09:40:00Z</dcterms:created>
  <dc:creator>8577</dc:creator>
  <cp:lastModifiedBy>ZHGLB</cp:lastModifiedBy>
  <cp:lastPrinted>2023-03-16T08:43:00Z</cp:lastPrinted>
  <dcterms:modified xsi:type="dcterms:W3CDTF">2024-04-24T07:22:27Z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_DocHome">
    <vt:i4>-1423989754</vt:i4>
  </property>
  <property fmtid="{D5CDD505-2E9C-101B-9397-08002B2CF9AE}" pid="4" name="ICV">
    <vt:lpwstr>F3F6B1A436424F5186AC6044E768D5CC</vt:lpwstr>
  </property>
</Properties>
</file>