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r>
        <w:rPr>
          <w:rFonts w:hint="eastAsia" w:ascii="宋体" w:hAnsi="宋体"/>
          <w:b/>
          <w:sz w:val="84"/>
          <w:szCs w:val="84"/>
        </w:rPr>
        <w:t xml:space="preserve">          </w:t>
      </w:r>
    </w:p>
    <w:p>
      <w:pPr>
        <w:snapToGrid w:val="0"/>
        <w:spacing w:before="156" w:beforeLines="50"/>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ascii="仿宋_GB2312" w:hAnsi="仿宋_GB2312"/>
          <w:b/>
          <w:bCs/>
          <w:sz w:val="28"/>
          <w:szCs w:val="32"/>
        </w:rPr>
        <w:t>采购方式：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ind w:left="1405" w:hanging="1405" w:hangingChars="500"/>
        <w:jc w:val="left"/>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：和平县疾病预防控制中心</w:t>
      </w:r>
      <w:r>
        <w:rPr>
          <w:rFonts w:hint="eastAsia" w:ascii="仿宋_GB2312" w:hAnsi="仿宋_GB2312"/>
          <w:b/>
          <w:bCs/>
          <w:sz w:val="28"/>
          <w:szCs w:val="32"/>
          <w:lang w:val="en-US" w:eastAsia="zh-CN"/>
        </w:rPr>
        <w:t>试剂耗材</w:t>
      </w:r>
      <w:r>
        <w:rPr>
          <w:rFonts w:hint="eastAsia" w:ascii="仿宋_GB2312" w:hAnsi="仿宋_GB2312"/>
          <w:b/>
          <w:bCs/>
          <w:sz w:val="28"/>
          <w:szCs w:val="32"/>
        </w:rPr>
        <w:t>采购项目</w:t>
      </w:r>
    </w:p>
    <w:p>
      <w:pPr>
        <w:autoSpaceDE w:val="0"/>
        <w:autoSpaceDN w:val="0"/>
        <w:adjustRightInd w:val="0"/>
        <w:snapToGrid w:val="0"/>
        <w:spacing w:before="156" w:beforeLines="50" w:after="156" w:afterLines="50" w:line="360" w:lineRule="auto"/>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jc w:val="center"/>
        <w:textAlignment w:val="auto"/>
        <w:rPr>
          <w:rFonts w:ascii="仿宋_GB2312" w:hAnsi="仿宋_GB2312"/>
          <w:b/>
          <w:bCs/>
          <w:sz w:val="28"/>
          <w:szCs w:val="32"/>
        </w:rPr>
      </w:pPr>
      <w:r>
        <w:rPr>
          <w:rFonts w:hint="eastAsia" w:ascii="仿宋_GB2312" w:hAnsi="仿宋_GB2312"/>
          <w:b/>
          <w:bCs/>
          <w:sz w:val="28"/>
          <w:szCs w:val="32"/>
        </w:rPr>
        <w:t>和平县疾病预防控制中心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jc w:val="center"/>
        <w:textAlignment w:val="auto"/>
        <w:rPr>
          <w:b/>
          <w:sz w:val="28"/>
        </w:rPr>
      </w:pPr>
      <w:r>
        <w:rPr>
          <w:rFonts w:hint="eastAsia"/>
          <w:b/>
          <w:sz w:val="28"/>
        </w:rPr>
        <w:t>云采链（广州）信息科技有限公司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jc w:val="center"/>
        <w:textAlignment w:val="auto"/>
        <w:rPr>
          <w:rFonts w:cs="Times New Roman"/>
          <w:b/>
          <w:sz w:val="48"/>
          <w:szCs w:val="48"/>
        </w:rPr>
      </w:pPr>
      <w:r>
        <w:rPr>
          <w:rFonts w:hint="eastAsia" w:ascii="仿宋_GB2312" w:hAnsi="仿宋_GB2312"/>
          <w:b/>
          <w:sz w:val="28"/>
        </w:rPr>
        <w:t>二〇二</w:t>
      </w:r>
      <w:r>
        <w:rPr>
          <w:rFonts w:hint="eastAsia" w:ascii="仿宋_GB2312" w:hAnsi="仿宋_GB2312"/>
          <w:b/>
          <w:sz w:val="28"/>
          <w:lang w:val="en-US" w:eastAsia="zh-CN"/>
        </w:rPr>
        <w:t>四</w:t>
      </w:r>
      <w:r>
        <w:rPr>
          <w:rFonts w:hint="eastAsia" w:ascii="仿宋_GB2312" w:hAnsi="仿宋_GB2312"/>
          <w:b/>
          <w:sz w:val="28"/>
        </w:rPr>
        <w:t>年</w:t>
      </w:r>
      <w:r>
        <w:rPr>
          <w:rFonts w:hint="eastAsia" w:ascii="仿宋_GB2312" w:hAnsi="仿宋_GB2312"/>
          <w:b/>
          <w:sz w:val="28"/>
          <w:lang w:val="en-US" w:eastAsia="zh-CN"/>
        </w:rPr>
        <w:t>六</w:t>
      </w:r>
      <w:r>
        <w:rPr>
          <w:rFonts w:ascii="仿宋_GB2312" w:hAnsi="仿宋_GB2312"/>
          <w:b/>
          <w:sz w:val="28"/>
        </w:rPr>
        <w:t>月</w:t>
      </w:r>
    </w:p>
    <w:p>
      <w:pPr>
        <w:widowControl/>
        <w:snapToGrid w:val="0"/>
        <w:spacing w:line="360" w:lineRule="auto"/>
        <w:jc w:val="center"/>
        <w:outlineLvl w:val="0"/>
        <w:rPr>
          <w:rFonts w:ascii="Cambria" w:hAnsi="Cambria" w:cs="Times New Roman"/>
          <w:b/>
          <w:bCs/>
          <w:kern w:val="0"/>
          <w:sz w:val="32"/>
          <w:szCs w:val="32"/>
        </w:rPr>
        <w:sectPr>
          <w:pgSz w:w="11906" w:h="16838"/>
          <w:pgMar w:top="1440" w:right="1440" w:bottom="1440" w:left="1440" w:header="851" w:footer="992" w:gutter="0"/>
          <w:cols w:space="0" w:num="1"/>
          <w:docGrid w:type="lines" w:linePitch="312" w:charSpace="0"/>
        </w:sectPr>
      </w:pPr>
    </w:p>
    <w:p>
      <w:pPr>
        <w:widowControl/>
        <w:snapToGrid w:val="0"/>
        <w:spacing w:line="360" w:lineRule="auto"/>
        <w:jc w:val="center"/>
        <w:outlineLvl w:val="0"/>
        <w:rPr>
          <w:rFonts w:ascii="宋体" w:hAnsi="宋体"/>
          <w:kern w:val="0"/>
          <w:szCs w:val="21"/>
        </w:rPr>
      </w:pPr>
      <w:r>
        <w:rPr>
          <w:rFonts w:hint="eastAsia" w:ascii="Cambria" w:hAnsi="Cambria" w:cs="Times New Roman"/>
          <w:b/>
          <w:bCs/>
          <w:kern w:val="0"/>
          <w:sz w:val="32"/>
          <w:szCs w:val="32"/>
        </w:rPr>
        <w:t>第一章</w:t>
      </w:r>
      <w:r>
        <w:rPr>
          <w:rFonts w:ascii="Cambria" w:hAnsi="Cambria" w:cs="Times New Roman"/>
          <w:b/>
          <w:bCs/>
          <w:kern w:val="0"/>
          <w:sz w:val="32"/>
          <w:szCs w:val="32"/>
        </w:rPr>
        <w:t xml:space="preserve"> </w:t>
      </w:r>
      <w:r>
        <w:rPr>
          <w:rFonts w:hint="eastAsia" w:ascii="Cambria" w:hAnsi="Cambria" w:cs="Times New Roman"/>
          <w:b/>
          <w:bCs/>
          <w:kern w:val="0"/>
          <w:sz w:val="32"/>
          <w:szCs w:val="32"/>
        </w:rPr>
        <w:t>竞价须知</w:t>
      </w:r>
    </w:p>
    <w:p>
      <w:pPr>
        <w:pStyle w:val="21"/>
        <w:numPr>
          <w:ilvl w:val="0"/>
          <w:numId w:val="1"/>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本项目采用邀请供应商竞价的方式进行竞价采购，不接受邀请名单之外的供应商参与竞价。 </w:t>
      </w:r>
    </w:p>
    <w:p>
      <w:pPr>
        <w:pStyle w:val="21"/>
        <w:numPr>
          <w:ilvl w:val="0"/>
          <w:numId w:val="1"/>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语言要求</w:t>
      </w:r>
    </w:p>
    <w:p>
      <w:pPr>
        <w:pStyle w:val="21"/>
        <w:spacing w:line="360" w:lineRule="auto"/>
        <w:ind w:left="420" w:firstLine="0" w:firstLineChars="0"/>
        <w:rPr>
          <w:rFonts w:ascii="宋体" w:hAnsi="宋体"/>
          <w:b/>
          <w:bCs/>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21"/>
        <w:numPr>
          <w:ilvl w:val="0"/>
          <w:numId w:val="1"/>
        </w:numPr>
        <w:spacing w:line="360" w:lineRule="auto"/>
        <w:ind w:firstLineChars="0"/>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21"/>
        <w:numPr>
          <w:ilvl w:val="0"/>
          <w:numId w:val="1"/>
        </w:numPr>
        <w:spacing w:line="360" w:lineRule="auto"/>
        <w:ind w:firstLineChars="0"/>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竞价须知</w:t>
      </w:r>
    </w:p>
    <w:p>
      <w:pPr>
        <w:numPr>
          <w:ilvl w:val="0"/>
          <w:numId w:val="2"/>
        </w:numPr>
        <w:autoSpaceDE w:val="0"/>
        <w:autoSpaceDN w:val="0"/>
        <w:adjustRightInd w:val="0"/>
        <w:spacing w:line="360" w:lineRule="auto"/>
        <w:jc w:val="left"/>
        <w:rPr>
          <w:rFonts w:ascii="宋体" w:hAnsi="宋体"/>
          <w:b/>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竞价说明</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参与竞价的供应商应承担所有与准备和参加竞价有关的费用，不</w:t>
      </w:r>
      <w:r>
        <w:rPr>
          <w:rFonts w:hint="eastAsia" w:ascii="宋体" w:hAnsi="宋体"/>
          <w:color w:val="000000" w:themeColor="text1"/>
          <w:kern w:val="0"/>
          <w:szCs w:val="21"/>
          <w:lang w:eastAsia="zh-TW"/>
          <w14:textFill>
            <w14:solidFill>
              <w14:schemeClr w14:val="tx1"/>
            </w14:solidFill>
          </w14:textFill>
        </w:rPr>
        <w:t>论</w:t>
      </w:r>
      <w:r>
        <w:rPr>
          <w:rFonts w:hint="eastAsia" w:ascii="宋体" w:hAnsi="宋体"/>
          <w:color w:val="000000" w:themeColor="text1"/>
          <w:kern w:val="0"/>
          <w:szCs w:val="21"/>
          <w14:textFill>
            <w14:solidFill>
              <w14:schemeClr w14:val="tx1"/>
            </w14:solidFill>
          </w14:textFill>
        </w:rPr>
        <w:t>竞价</w:t>
      </w:r>
      <w:r>
        <w:rPr>
          <w:rFonts w:hint="eastAsia" w:ascii="宋体" w:hAnsi="宋体"/>
          <w:color w:val="000000" w:themeColor="text1"/>
          <w:kern w:val="0"/>
          <w:szCs w:val="21"/>
          <w:lang w:eastAsia="zh-TW"/>
          <w14:textFill>
            <w14:solidFill>
              <w14:schemeClr w14:val="tx1"/>
            </w14:solidFill>
          </w14:textFill>
        </w:rPr>
        <w:t>的结果如何</w:t>
      </w:r>
      <w:r>
        <w:rPr>
          <w:rFonts w:hint="eastAsia" w:ascii="宋体" w:hAnsi="宋体"/>
          <w:color w:val="000000" w:themeColor="text1"/>
          <w:kern w:val="0"/>
          <w:szCs w:val="21"/>
          <w14:textFill>
            <w14:solidFill>
              <w14:schemeClr w14:val="tx1"/>
            </w14:solidFill>
          </w14:textFill>
        </w:rPr>
        <w:t>，采购</w:t>
      </w:r>
      <w:r>
        <w:rPr>
          <w:rFonts w:hint="eastAsia" w:ascii="宋体" w:hAnsi="宋体"/>
          <w:color w:val="000000" w:themeColor="text1"/>
          <w:kern w:val="0"/>
          <w:szCs w:val="21"/>
          <w:lang w:eastAsia="zh-TW"/>
          <w14:textFill>
            <w14:solidFill>
              <w14:schemeClr w14:val="tx1"/>
            </w14:solidFill>
          </w14:textFill>
        </w:rPr>
        <w:t>人</w:t>
      </w:r>
      <w:r>
        <w:rPr>
          <w:rFonts w:hint="eastAsia" w:ascii="宋体" w:hAnsi="宋体"/>
          <w:color w:val="000000" w:themeColor="text1"/>
          <w:kern w:val="0"/>
          <w:szCs w:val="21"/>
          <w14:textFill>
            <w14:solidFill>
              <w14:schemeClr w14:val="tx1"/>
            </w14:solidFill>
          </w14:textFill>
        </w:rPr>
        <w:t>和</w:t>
      </w:r>
      <w:r>
        <w:rPr>
          <w:rFonts w:hint="eastAsia" w:ascii="宋体" w:hAnsi="宋体"/>
          <w:color w:val="000000" w:themeColor="text1"/>
          <w:kern w:val="0"/>
          <w:szCs w:val="21"/>
          <w:lang w:eastAsia="zh-TW"/>
          <w14:textFill>
            <w14:solidFill>
              <w14:schemeClr w14:val="tx1"/>
            </w14:solidFill>
          </w14:textFill>
        </w:rPr>
        <w:t>代理机构均无义务和责任承担这些费用</w:t>
      </w:r>
      <w:r>
        <w:rPr>
          <w:rFonts w:hint="eastAsia" w:ascii="宋体" w:hAnsi="宋体"/>
          <w:color w:val="000000" w:themeColor="text1"/>
          <w:kern w:val="0"/>
          <w:szCs w:val="21"/>
          <w14:textFill>
            <w14:solidFill>
              <w14:schemeClr w14:val="tx1"/>
            </w14:solidFill>
          </w14:textFill>
        </w:rPr>
        <w:t>；</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参与竞价的</w:t>
      </w:r>
      <w:r>
        <w:rPr>
          <w:rFonts w:hint="eastAsia" w:ascii="宋体" w:hAnsi="宋体"/>
          <w:bCs/>
          <w:color w:val="000000" w:themeColor="text1"/>
          <w:kern w:val="0"/>
          <w:szCs w:val="21"/>
          <w14:textFill>
            <w14:solidFill>
              <w14:schemeClr w14:val="tx1"/>
            </w14:solidFill>
          </w14:textFill>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参与竞价的</w:t>
      </w:r>
      <w:r>
        <w:rPr>
          <w:rFonts w:hint="eastAsia" w:ascii="宋体" w:hAnsi="宋体"/>
          <w:color w:val="000000" w:themeColor="text1"/>
          <w:kern w:val="0"/>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kern w:val="0"/>
          <w:szCs w:val="21"/>
          <w14:textFill>
            <w14:solidFill>
              <w14:schemeClr w14:val="tx1"/>
            </w14:solidFill>
          </w14:textFill>
        </w:rPr>
        <w:t>不推荐为成交候选人</w:t>
      </w:r>
      <w:r>
        <w:rPr>
          <w:rFonts w:hint="eastAsia" w:ascii="宋体" w:hAnsi="宋体"/>
          <w:color w:val="000000" w:themeColor="text1"/>
          <w:kern w:val="0"/>
          <w:szCs w:val="21"/>
          <w:lang w:val="zh-CN"/>
          <w14:textFill>
            <w14:solidFill>
              <w14:schemeClr w14:val="tx1"/>
            </w14:solidFill>
          </w14:textFill>
        </w:rPr>
        <w:t>；</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若本项目竞价采购失败，采购人将重新采购，届时采购人有权根据项目具体情况，决定重新采购项目的采购方式；</w:t>
      </w:r>
    </w:p>
    <w:p>
      <w:pPr>
        <w:numPr>
          <w:ilvl w:val="0"/>
          <w:numId w:val="3"/>
        </w:numPr>
        <w:autoSpaceDE w:val="0"/>
        <w:autoSpaceDN w:val="0"/>
        <w:adjustRightInd w:val="0"/>
        <w:spacing w:line="360" w:lineRule="auto"/>
        <w:ind w:left="426"/>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参与竞价的</w:t>
      </w:r>
      <w:r>
        <w:rPr>
          <w:rFonts w:hint="eastAsia" w:ascii="宋体" w:hAnsi="宋体"/>
          <w:color w:val="000000" w:themeColor="text1"/>
          <w:kern w:val="0"/>
          <w:szCs w:val="21"/>
          <w:lang w:eastAsia="zh-TW"/>
          <w14:textFill>
            <w14:solidFill>
              <w14:schemeClr w14:val="tx1"/>
            </w14:solidFill>
          </w14:textFill>
        </w:rPr>
        <w:t>供应商向我司咨询的有关项目事项，一切以</w:t>
      </w:r>
      <w:r>
        <w:rPr>
          <w:rFonts w:hint="eastAsia" w:ascii="宋体" w:hAnsi="宋体"/>
          <w:color w:val="000000" w:themeColor="text1"/>
          <w:kern w:val="0"/>
          <w:szCs w:val="21"/>
          <w14:textFill>
            <w14:solidFill>
              <w14:schemeClr w14:val="tx1"/>
            </w14:solidFill>
          </w14:textFill>
        </w:rPr>
        <w:t>竞价文件</w:t>
      </w:r>
      <w:r>
        <w:rPr>
          <w:rFonts w:hint="eastAsia" w:ascii="宋体" w:hAnsi="宋体"/>
          <w:color w:val="000000" w:themeColor="text1"/>
          <w:kern w:val="0"/>
          <w:szCs w:val="21"/>
          <w:lang w:eastAsia="zh-TW"/>
          <w14:textFill>
            <w14:solidFill>
              <w14:schemeClr w14:val="tx1"/>
            </w14:solidFill>
          </w14:textFill>
        </w:rPr>
        <w:t>规定</w:t>
      </w:r>
      <w:r>
        <w:rPr>
          <w:rFonts w:hint="eastAsia" w:ascii="宋体" w:hAnsi="宋体"/>
          <w:color w:val="000000" w:themeColor="text1"/>
          <w:kern w:val="0"/>
          <w:szCs w:val="21"/>
          <w14:textFill>
            <w14:solidFill>
              <w14:schemeClr w14:val="tx1"/>
            </w14:solidFill>
          </w14:textFill>
        </w:rPr>
        <w:t>和竞价公告规定以及</w:t>
      </w:r>
      <w:r>
        <w:rPr>
          <w:rFonts w:hint="eastAsia" w:ascii="宋体" w:hAnsi="宋体"/>
          <w:color w:val="000000" w:themeColor="text1"/>
          <w:kern w:val="0"/>
          <w:szCs w:val="21"/>
          <w:lang w:eastAsia="zh-TW"/>
          <w14:textFill>
            <w14:solidFill>
              <w14:schemeClr w14:val="tx1"/>
            </w14:solidFill>
          </w14:textFill>
        </w:rPr>
        <w:t>本公司</w:t>
      </w:r>
      <w:r>
        <w:rPr>
          <w:rFonts w:hint="eastAsia" w:ascii="宋体" w:hAnsi="宋体"/>
          <w:color w:val="000000" w:themeColor="text1"/>
          <w:kern w:val="0"/>
          <w:szCs w:val="21"/>
          <w14:textFill>
            <w14:solidFill>
              <w14:schemeClr w14:val="tx1"/>
            </w14:solidFill>
          </w14:textFill>
        </w:rPr>
        <w:t>的</w:t>
      </w:r>
      <w:r>
        <w:rPr>
          <w:rFonts w:hint="eastAsia" w:ascii="宋体" w:hAnsi="宋体"/>
          <w:color w:val="000000" w:themeColor="text1"/>
          <w:kern w:val="0"/>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kern w:val="0"/>
          <w:szCs w:val="21"/>
          <w14:textFill>
            <w14:solidFill>
              <w14:schemeClr w14:val="tx1"/>
            </w14:solidFill>
          </w14:textFill>
        </w:rPr>
        <w:t>；</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参与竞价的供应商应认真阅读</w:t>
      </w:r>
      <w:r>
        <w:rPr>
          <w:rFonts w:hint="eastAsia" w:ascii="宋体" w:hAnsi="宋体"/>
          <w:color w:val="000000" w:themeColor="text1"/>
          <w:kern w:val="0"/>
          <w:szCs w:val="21"/>
          <w:lang w:eastAsia="zh-TW"/>
          <w14:textFill>
            <w14:solidFill>
              <w14:schemeClr w14:val="tx1"/>
            </w14:solidFill>
          </w14:textFill>
        </w:rPr>
        <w:t>、并充分理解</w:t>
      </w:r>
      <w:r>
        <w:rPr>
          <w:rFonts w:hint="eastAsia" w:ascii="宋体" w:hAnsi="宋体"/>
          <w:color w:val="000000" w:themeColor="text1"/>
          <w:kern w:val="0"/>
          <w:szCs w:val="21"/>
          <w14:textFill>
            <w14:solidFill>
              <w14:schemeClr w14:val="tx1"/>
            </w14:solidFill>
          </w14:textFill>
        </w:rPr>
        <w:t>竞价</w:t>
      </w:r>
      <w:r>
        <w:rPr>
          <w:rFonts w:hint="eastAsia" w:ascii="宋体" w:hAnsi="宋体"/>
          <w:color w:val="000000" w:themeColor="text1"/>
          <w:kern w:val="0"/>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kern w:val="0"/>
          <w:szCs w:val="21"/>
          <w14:textFill>
            <w14:solidFill>
              <w14:schemeClr w14:val="tx1"/>
            </w14:solidFill>
          </w14:textFill>
        </w:rPr>
        <w:t>、服务要求</w:t>
      </w:r>
      <w:r>
        <w:rPr>
          <w:rFonts w:hint="eastAsia" w:ascii="宋体" w:hAnsi="宋体"/>
          <w:color w:val="000000" w:themeColor="text1"/>
          <w:kern w:val="0"/>
          <w:szCs w:val="21"/>
          <w:lang w:eastAsia="zh-TW"/>
          <w14:textFill>
            <w14:solidFill>
              <w14:schemeClr w14:val="tx1"/>
            </w14:solidFill>
          </w14:textFill>
        </w:rPr>
        <w:t>和技术规范、参数及要求等）。</w:t>
      </w:r>
      <w:r>
        <w:rPr>
          <w:rFonts w:hint="eastAsia" w:ascii="宋体" w:hAnsi="宋体"/>
          <w:color w:val="000000" w:themeColor="text1"/>
          <w:kern w:val="0"/>
          <w:szCs w:val="21"/>
          <w14:textFill>
            <w14:solidFill>
              <w14:schemeClr w14:val="tx1"/>
            </w14:solidFill>
          </w14:textFill>
        </w:rPr>
        <w:t>供应商</w:t>
      </w:r>
      <w:r>
        <w:rPr>
          <w:rFonts w:hint="eastAsia" w:ascii="宋体" w:hAnsi="宋体"/>
          <w:color w:val="000000" w:themeColor="text1"/>
          <w:kern w:val="0"/>
          <w:szCs w:val="21"/>
          <w:lang w:eastAsia="zh-TW"/>
          <w14:textFill>
            <w14:solidFill>
              <w14:schemeClr w14:val="tx1"/>
            </w14:solidFill>
          </w14:textFill>
        </w:rPr>
        <w:t>没有按照</w:t>
      </w:r>
      <w:r>
        <w:rPr>
          <w:rFonts w:hint="eastAsia" w:ascii="宋体" w:hAnsi="宋体"/>
          <w:color w:val="000000" w:themeColor="text1"/>
          <w:kern w:val="0"/>
          <w:szCs w:val="21"/>
          <w14:textFill>
            <w14:solidFill>
              <w14:schemeClr w14:val="tx1"/>
            </w14:solidFill>
          </w14:textFill>
        </w:rPr>
        <w:t>竞价</w:t>
      </w:r>
      <w:r>
        <w:rPr>
          <w:rFonts w:hint="eastAsia" w:ascii="宋体" w:hAnsi="宋体"/>
          <w:color w:val="000000" w:themeColor="text1"/>
          <w:kern w:val="0"/>
          <w:szCs w:val="21"/>
          <w:lang w:eastAsia="zh-TW"/>
          <w14:textFill>
            <w14:solidFill>
              <w14:schemeClr w14:val="tx1"/>
            </w14:solidFill>
          </w14:textFill>
        </w:rPr>
        <w:t>文件要求提交全部资料，或者</w:t>
      </w:r>
      <w:r>
        <w:rPr>
          <w:rFonts w:hint="eastAsia" w:ascii="宋体" w:hAnsi="宋体"/>
          <w:color w:val="000000" w:themeColor="text1"/>
          <w:kern w:val="0"/>
          <w:szCs w:val="21"/>
          <w14:textFill>
            <w14:solidFill>
              <w14:schemeClr w14:val="tx1"/>
            </w14:solidFill>
          </w14:textFill>
        </w:rPr>
        <w:t>参与竞价所上传的</w:t>
      </w:r>
      <w:r>
        <w:rPr>
          <w:rFonts w:hint="eastAsia" w:ascii="宋体" w:hAnsi="宋体"/>
          <w:color w:val="000000" w:themeColor="text1"/>
          <w:kern w:val="0"/>
          <w:szCs w:val="21"/>
          <w:lang w:eastAsia="zh-TW"/>
          <w14:textFill>
            <w14:solidFill>
              <w14:schemeClr w14:val="tx1"/>
            </w14:solidFill>
          </w14:textFill>
        </w:rPr>
        <w:t>文件没有对</w:t>
      </w:r>
      <w:r>
        <w:rPr>
          <w:rFonts w:hint="eastAsia" w:ascii="宋体" w:hAnsi="宋体"/>
          <w:color w:val="000000" w:themeColor="text1"/>
          <w:kern w:val="0"/>
          <w:szCs w:val="21"/>
          <w14:textFill>
            <w14:solidFill>
              <w14:schemeClr w14:val="tx1"/>
            </w14:solidFill>
          </w14:textFill>
        </w:rPr>
        <w:t>竞价</w:t>
      </w:r>
      <w:r>
        <w:rPr>
          <w:rFonts w:hint="eastAsia" w:ascii="宋体" w:hAnsi="宋体"/>
          <w:color w:val="000000" w:themeColor="text1"/>
          <w:kern w:val="0"/>
          <w:szCs w:val="21"/>
          <w:lang w:eastAsia="zh-TW"/>
          <w14:textFill>
            <w14:solidFill>
              <w14:schemeClr w14:val="tx1"/>
            </w14:solidFill>
          </w14:textFill>
        </w:rPr>
        <w:t>文件在各方面都作出实质性响应是</w:t>
      </w:r>
      <w:r>
        <w:rPr>
          <w:rFonts w:hint="eastAsia" w:ascii="宋体" w:hAnsi="宋体"/>
          <w:color w:val="000000" w:themeColor="text1"/>
          <w:kern w:val="0"/>
          <w:szCs w:val="21"/>
          <w14:textFill>
            <w14:solidFill>
              <w14:schemeClr w14:val="tx1"/>
            </w14:solidFill>
          </w14:textFill>
        </w:rPr>
        <w:t>供应商</w:t>
      </w:r>
      <w:r>
        <w:rPr>
          <w:rFonts w:hint="eastAsia" w:ascii="宋体" w:hAnsi="宋体"/>
          <w:color w:val="000000" w:themeColor="text1"/>
          <w:kern w:val="0"/>
          <w:szCs w:val="21"/>
          <w:lang w:eastAsia="zh-TW"/>
          <w14:textFill>
            <w14:solidFill>
              <w14:schemeClr w14:val="tx1"/>
            </w14:solidFill>
          </w14:textFill>
        </w:rPr>
        <w:t>的风险，有可能导致其</w:t>
      </w:r>
      <w:r>
        <w:rPr>
          <w:rFonts w:hint="eastAsia" w:ascii="宋体" w:hAnsi="宋体"/>
          <w:color w:val="000000" w:themeColor="text1"/>
          <w:kern w:val="0"/>
          <w:szCs w:val="21"/>
          <w14:textFill>
            <w14:solidFill>
              <w14:schemeClr w14:val="tx1"/>
            </w14:solidFill>
          </w14:textFill>
        </w:rPr>
        <w:t>竞价</w:t>
      </w:r>
      <w:r>
        <w:rPr>
          <w:rFonts w:hint="eastAsia" w:ascii="宋体" w:hAnsi="宋体"/>
          <w:color w:val="000000" w:themeColor="text1"/>
          <w:kern w:val="0"/>
          <w:szCs w:val="21"/>
          <w:lang w:eastAsia="zh-TW"/>
          <w14:textFill>
            <w14:solidFill>
              <w14:schemeClr w14:val="tx1"/>
            </w14:solidFill>
          </w14:textFill>
        </w:rPr>
        <w:t>被拒绝，</w:t>
      </w:r>
      <w:r>
        <w:rPr>
          <w:rFonts w:hint="eastAsia" w:ascii="宋体" w:hAnsi="宋体"/>
          <w:color w:val="000000" w:themeColor="text1"/>
          <w:kern w:val="0"/>
          <w:szCs w:val="21"/>
          <w14:textFill>
            <w14:solidFill>
              <w14:schemeClr w14:val="tx1"/>
            </w14:solidFill>
          </w14:textFill>
        </w:rPr>
        <w:t>或被认定为无效竞价；</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color w:val="000000" w:themeColor="text1"/>
          <w14:textFill>
            <w14:solidFill>
              <w14:schemeClr w14:val="tx1"/>
            </w14:solidFill>
          </w14:textFill>
        </w:rPr>
        <w:t>逾期提交将不予受理</w:t>
      </w:r>
      <w:r>
        <w:rPr>
          <w:rFonts w:hint="eastAsia" w:asciiTheme="minorEastAsia" w:hAnsiTheme="minorEastAsia"/>
          <w:color w:val="000000" w:themeColor="text1"/>
          <w14:textFill>
            <w14:solidFill>
              <w14:schemeClr w14:val="tx1"/>
            </w14:solidFill>
          </w14:textFill>
        </w:rPr>
        <w:t>。</w:t>
      </w:r>
    </w:p>
    <w:p>
      <w:pPr>
        <w:numPr>
          <w:ilvl w:val="0"/>
          <w:numId w:val="3"/>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本竞价公告和竞价文件的解释权归</w:t>
      </w:r>
      <w:r>
        <w:rPr>
          <w:rFonts w:hint="eastAsia" w:ascii="宋体" w:hAnsi="宋体"/>
          <w:color w:val="000000" w:themeColor="text1"/>
          <w:kern w:val="0"/>
          <w:szCs w:val="21"/>
          <w:lang w:eastAsia="zh-TW"/>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云采链线上采购一体化平台</w:t>
      </w:r>
      <w:r>
        <w:rPr>
          <w:rFonts w:hint="eastAsia" w:ascii="宋体" w:hAnsi="宋体"/>
          <w:color w:val="000000" w:themeColor="text1"/>
          <w:kern w:val="0"/>
          <w:szCs w:val="21"/>
          <w:lang w:eastAsia="zh-TW"/>
          <w14:textFill>
            <w14:solidFill>
              <w14:schemeClr w14:val="tx1"/>
            </w14:solidFill>
          </w14:textFill>
        </w:rPr>
        <w:t>”所有。</w:t>
      </w:r>
    </w:p>
    <w:p>
      <w:pPr>
        <w:numPr>
          <w:ilvl w:val="0"/>
          <w:numId w:val="2"/>
        </w:numPr>
        <w:autoSpaceDE w:val="0"/>
        <w:autoSpaceDN w:val="0"/>
        <w:adjustRightInd w:val="0"/>
        <w:spacing w:line="360" w:lineRule="auto"/>
        <w:jc w:val="left"/>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竞价文件的澄清或修改</w:t>
      </w:r>
    </w:p>
    <w:p>
      <w:pPr>
        <w:pStyle w:val="21"/>
        <w:numPr>
          <w:ilvl w:val="0"/>
          <w:numId w:val="4"/>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4"/>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s="宋体"/>
          <w:color w:val="000000" w:themeColor="text1"/>
          <w:szCs w:val="21"/>
          <w14:textFill>
            <w14:solidFill>
              <w14:schemeClr w14:val="tx1"/>
            </w14:solidFill>
          </w14:textFill>
        </w:rPr>
        <w:t>如报名</w:t>
      </w:r>
      <w:r>
        <w:rPr>
          <w:rFonts w:hint="eastAsia" w:ascii="宋体" w:hAnsi="宋体" w:cs="宋体"/>
          <w:color w:val="000000" w:themeColor="text1"/>
          <w:szCs w:val="21"/>
          <w:lang w:eastAsia="zh-TW"/>
          <w14:textFill>
            <w14:solidFill>
              <w14:schemeClr w14:val="tx1"/>
            </w14:solidFill>
          </w14:textFill>
        </w:rPr>
        <w:t>截止时间</w:t>
      </w:r>
      <w:r>
        <w:rPr>
          <w:rFonts w:hint="eastAsia" w:ascii="宋体" w:hAnsi="宋体" w:cs="宋体"/>
          <w:color w:val="000000" w:themeColor="text1"/>
          <w:szCs w:val="21"/>
          <w14:textFill>
            <w14:solidFill>
              <w14:schemeClr w14:val="tx1"/>
            </w14:solidFill>
          </w14:textFill>
        </w:rPr>
        <w:t>少于一个工作日的，</w:t>
      </w:r>
      <w:r>
        <w:rPr>
          <w:rFonts w:hint="eastAsia" w:asciiTheme="minorEastAsia" w:hAnsiTheme="minorEastAsia"/>
          <w:color w:val="000000" w:themeColor="text1"/>
          <w14:textFill>
            <w14:solidFill>
              <w14:schemeClr w14:val="tx1"/>
            </w14:solidFill>
          </w14:textFill>
        </w:rPr>
        <w:t>采购人或者采购代理机构应当相应顺延报名的截止时间。</w:t>
      </w:r>
    </w:p>
    <w:p>
      <w:pPr>
        <w:pStyle w:val="21"/>
        <w:numPr>
          <w:ilvl w:val="0"/>
          <w:numId w:val="4"/>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报名提交资料（报名时需要提供以下盖章资料，并对上传的报名文件资料承担责任）</w:t>
      </w:r>
    </w:p>
    <w:p>
      <w:pPr>
        <w:widowControl/>
        <w:numPr>
          <w:ilvl w:val="1"/>
          <w:numId w:val="5"/>
        </w:numPr>
        <w:autoSpaceDE w:val="0"/>
        <w:autoSpaceDN w:val="0"/>
        <w:adjustRightInd w:val="0"/>
        <w:spacing w:line="360" w:lineRule="auto"/>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具有独立承担民事责任的在中华人民共和国境内注册的法人或其他组织（提供法人或其他组织的营业执照等证明材料）；</w:t>
      </w:r>
    </w:p>
    <w:p>
      <w:pPr>
        <w:widowControl/>
        <w:numPr>
          <w:ilvl w:val="1"/>
          <w:numId w:val="5"/>
        </w:numPr>
        <w:autoSpaceDE w:val="0"/>
        <w:autoSpaceDN w:val="0"/>
        <w:adjustRightInd w:val="0"/>
        <w:spacing w:line="360" w:lineRule="auto"/>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供应商须提供供应商资格声明函，格式详见附件；</w:t>
      </w:r>
    </w:p>
    <w:p>
      <w:pPr>
        <w:widowControl/>
        <w:numPr>
          <w:ilvl w:val="1"/>
          <w:numId w:val="5"/>
        </w:numPr>
        <w:autoSpaceDE w:val="0"/>
        <w:autoSpaceDN w:val="0"/>
        <w:adjustRightInd w:val="0"/>
        <w:spacing w:line="360" w:lineRule="auto"/>
        <w:ind w:left="420"/>
        <w:jc w:val="left"/>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供应商完全响应本项目用户需求的条款、内容及要求的，提供用户需求书响应声明函即可，格式详见附件；</w:t>
      </w:r>
      <w:r>
        <w:rPr>
          <w:rFonts w:hint="eastAsia" w:ascii="宋体" w:hAnsi="宋体"/>
          <w:color w:val="000000" w:themeColor="text1"/>
          <w:kern w:val="0"/>
          <w:szCs w:val="21"/>
          <w14:textFill>
            <w14:solidFill>
              <w14:schemeClr w14:val="tx1"/>
            </w14:solidFill>
          </w14:textFill>
        </w:rPr>
        <w:tab/>
      </w:r>
    </w:p>
    <w:p>
      <w:pPr>
        <w:numPr>
          <w:ilvl w:val="0"/>
          <w:numId w:val="2"/>
        </w:numPr>
        <w:autoSpaceDE w:val="0"/>
        <w:autoSpaceDN w:val="0"/>
        <w:adjustRightIn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报价提交资料（报价是需要提供以下盖章资料，并对上传的竞价文件资料承担责任）</w:t>
      </w:r>
    </w:p>
    <w:p>
      <w:pPr>
        <w:pStyle w:val="21"/>
        <w:numPr>
          <w:ilvl w:val="0"/>
          <w:numId w:val="6"/>
        </w:numPr>
        <w:autoSpaceDE w:val="0"/>
        <w:autoSpaceDN w:val="0"/>
        <w:adjustRightInd w:val="0"/>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color w:val="000000" w:themeColor="text1"/>
          <w:kern w:val="0"/>
          <w:szCs w:val="21"/>
          <w:lang w:eastAsia="zh-TW"/>
          <w14:textFill>
            <w14:solidFill>
              <w14:schemeClr w14:val="tx1"/>
            </w14:solidFill>
          </w14:textFill>
        </w:rPr>
        <w:t>、真实、准确地</w:t>
      </w:r>
      <w:r>
        <w:rPr>
          <w:rFonts w:hint="eastAsia" w:ascii="宋体" w:hAnsi="宋体"/>
          <w:color w:val="000000" w:themeColor="text1"/>
          <w:kern w:val="0"/>
          <w:szCs w:val="21"/>
          <w14:textFill>
            <w14:solidFill>
              <w14:schemeClr w14:val="tx1"/>
            </w14:solidFill>
          </w14:textFill>
        </w:rPr>
        <w:t>填写并上传相应报价附件</w:t>
      </w:r>
      <w:r>
        <w:rPr>
          <w:rFonts w:hint="eastAsia" w:ascii="宋体" w:hAnsi="宋体"/>
          <w:b/>
          <w:bCs/>
          <w:color w:val="000000" w:themeColor="text1"/>
          <w:kern w:val="0"/>
          <w:szCs w:val="21"/>
          <w14:textFill>
            <w14:solidFill>
              <w14:schemeClr w14:val="tx1"/>
            </w14:solidFill>
          </w14:textFill>
        </w:rPr>
        <w:t>（</w:t>
      </w:r>
      <w:r>
        <w:rPr>
          <w:rFonts w:hint="eastAsia" w:ascii="宋体" w:hAnsi="宋体"/>
          <w:b/>
          <w:bCs/>
          <w:color w:val="000000" w:themeColor="text1"/>
          <w:kern w:val="0"/>
          <w:szCs w:val="21"/>
          <w:u w:val="double"/>
          <w14:textFill>
            <w14:solidFill>
              <w14:schemeClr w14:val="tx1"/>
            </w14:solidFill>
          </w14:textFill>
        </w:rPr>
        <w:t>报价表</w:t>
      </w:r>
      <w:r>
        <w:rPr>
          <w:rFonts w:hint="eastAsia" w:ascii="宋体" w:hAnsi="宋体"/>
          <w:b/>
          <w:bCs/>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w:t>
      </w:r>
    </w:p>
    <w:p>
      <w:pPr>
        <w:pStyle w:val="21"/>
        <w:numPr>
          <w:ilvl w:val="0"/>
          <w:numId w:val="6"/>
        </w:numPr>
        <w:spacing w:line="360" w:lineRule="auto"/>
        <w:ind w:firstLineChars="0"/>
        <w:rPr>
          <w:rFonts w:ascii="宋体" w:hAnsi="宋体"/>
          <w:b/>
          <w:color w:val="000000" w:themeColor="text1"/>
          <w:szCs w:val="21"/>
          <w:u w:val="double"/>
          <w:shd w:val="clear" w:color="auto" w:fill="FFFFFF"/>
          <w14:textFill>
            <w14:solidFill>
              <w14:schemeClr w14:val="tx1"/>
            </w14:solidFill>
          </w14:textFill>
        </w:rPr>
      </w:pPr>
      <w:r>
        <w:rPr>
          <w:rFonts w:hint="eastAsia" w:ascii="宋体" w:hAnsi="宋体"/>
          <w:b/>
          <w:color w:val="000000" w:themeColor="text1"/>
          <w:szCs w:val="21"/>
          <w:u w:val="double"/>
          <w:shd w:val="clear" w:color="auto" w:fill="FFFFFF"/>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确定成交候选人</w:t>
      </w:r>
    </w:p>
    <w:p>
      <w:pPr>
        <w:numPr>
          <w:ilvl w:val="0"/>
          <w:numId w:val="7"/>
        </w:numPr>
        <w:tabs>
          <w:tab w:val="left" w:pos="0"/>
        </w:tabs>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numPr>
          <w:ilvl w:val="0"/>
          <w:numId w:val="2"/>
        </w:numPr>
        <w:autoSpaceDE w:val="0"/>
        <w:autoSpaceDN w:val="0"/>
        <w:adjustRightInd w:val="0"/>
        <w:spacing w:line="360" w:lineRule="auto"/>
        <w:jc w:val="lef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无效报价</w:t>
      </w:r>
    </w:p>
    <w:p>
      <w:pPr>
        <w:pStyle w:val="21"/>
        <w:numPr>
          <w:ilvl w:val="0"/>
          <w:numId w:val="8"/>
        </w:numPr>
        <w:spacing w:line="360" w:lineRule="auto"/>
        <w:ind w:left="420"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参与竞价的供应商报价超过最高限价或低于最低限价或超过项目对应产品单项最高限价的视为无效报价。</w:t>
      </w:r>
    </w:p>
    <w:p>
      <w:pPr>
        <w:numPr>
          <w:ilvl w:val="0"/>
          <w:numId w:val="8"/>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szCs w:val="21"/>
        </w:rPr>
        <w:t>参与竞价的</w:t>
      </w:r>
      <w:r>
        <w:rPr>
          <w:rFonts w:hint="eastAsia" w:ascii="宋体" w:hAnsi="宋体"/>
          <w:bCs/>
          <w:color w:val="000000" w:themeColor="text1"/>
          <w:kern w:val="0"/>
          <w:szCs w:val="21"/>
          <w14:textFill>
            <w14:solidFill>
              <w14:schemeClr w14:val="tx1"/>
            </w14:solidFill>
          </w14:textFill>
        </w:rPr>
        <w:t>供应商须提供本项目要求的资质文件，如果不按公告规定或竞价文件要求等相关规定提供符合要求的资质文件，将被视为无效报价；</w:t>
      </w:r>
    </w:p>
    <w:p>
      <w:pPr>
        <w:numPr>
          <w:ilvl w:val="0"/>
          <w:numId w:val="8"/>
        </w:numPr>
        <w:autoSpaceDE w:val="0"/>
        <w:autoSpaceDN w:val="0"/>
        <w:adjustRightInd w:val="0"/>
        <w:spacing w:line="360" w:lineRule="auto"/>
        <w:ind w:left="426"/>
        <w:jc w:val="left"/>
        <w:rPr>
          <w:rFonts w:ascii="宋体" w:hAnsi="宋体"/>
          <w:bCs/>
          <w:color w:val="000000" w:themeColor="text1"/>
          <w:kern w:val="0"/>
          <w:szCs w:val="21"/>
          <w14:textFill>
            <w14:solidFill>
              <w14:schemeClr w14:val="tx1"/>
            </w14:solidFill>
          </w14:textFill>
        </w:rPr>
      </w:pPr>
      <w:r>
        <w:rPr>
          <w:rFonts w:hint="eastAsia" w:ascii="宋体" w:hAnsi="宋体"/>
          <w:szCs w:val="21"/>
        </w:rPr>
        <w:t>参与竞价的</w:t>
      </w:r>
      <w:r>
        <w:rPr>
          <w:rFonts w:hint="eastAsia" w:ascii="宋体" w:hAnsi="宋体"/>
          <w:bCs/>
          <w:color w:val="000000" w:themeColor="text1"/>
          <w:kern w:val="0"/>
          <w:szCs w:val="21"/>
          <w14:textFill>
            <w14:solidFill>
              <w14:schemeClr w14:val="tx1"/>
            </w14:solidFill>
          </w14:textFill>
        </w:rPr>
        <w:t>供应商须对本项目采购内容进行整体报价，任何只对其中一部分内容进行的报价都被视为无效报价。</w:t>
      </w:r>
    </w:p>
    <w:p>
      <w:pPr>
        <w:numPr>
          <w:ilvl w:val="0"/>
          <w:numId w:val="8"/>
        </w:numPr>
        <w:autoSpaceDE w:val="0"/>
        <w:autoSpaceDN w:val="0"/>
        <w:adjustRightInd w:val="0"/>
        <w:spacing w:line="360" w:lineRule="auto"/>
        <w:ind w:left="426"/>
        <w:jc w:val="left"/>
        <w:rPr>
          <w:rFonts w:ascii="宋体" w:hAnsi="宋体"/>
          <w:bCs/>
          <w:color w:val="000000" w:themeColor="text1"/>
          <w:kern w:val="0"/>
          <w:szCs w:val="21"/>
          <w:u w:val="double"/>
          <w14:textFill>
            <w14:solidFill>
              <w14:schemeClr w14:val="tx1"/>
            </w14:solidFill>
          </w14:textFill>
        </w:rPr>
      </w:pPr>
      <w:r>
        <w:rPr>
          <w:rFonts w:ascii="宋体" w:hAnsi="宋体"/>
          <w:bCs/>
          <w:color w:val="000000" w:themeColor="text1"/>
          <w:kern w:val="0"/>
          <w:szCs w:val="21"/>
          <w:u w:val="double"/>
          <w14:textFill>
            <w14:solidFill>
              <w14:schemeClr w14:val="tx1"/>
            </w14:solidFill>
          </w14:textFill>
        </w:rPr>
        <w:t>报价表</w:t>
      </w:r>
      <w:r>
        <w:rPr>
          <w:rFonts w:hint="eastAsia" w:ascii="宋体" w:hAnsi="宋体"/>
          <w:bCs/>
          <w:color w:val="000000" w:themeColor="text1"/>
          <w:kern w:val="0"/>
          <w:szCs w:val="21"/>
          <w:u w:val="double"/>
          <w14:textFill>
            <w14:solidFill>
              <w14:schemeClr w14:val="tx1"/>
            </w14:solidFill>
          </w14:textFill>
        </w:rPr>
        <w:t>以及有报价供应商落款的报价文件</w:t>
      </w:r>
      <w:r>
        <w:rPr>
          <w:rFonts w:ascii="宋体" w:hAnsi="宋体"/>
          <w:bCs/>
          <w:color w:val="000000" w:themeColor="text1"/>
          <w:kern w:val="0"/>
          <w:szCs w:val="21"/>
          <w:u w:val="double"/>
          <w14:textFill>
            <w14:solidFill>
              <w14:schemeClr w14:val="tx1"/>
            </w14:solidFill>
          </w14:textFill>
        </w:rPr>
        <w:t>必须加盖</w:t>
      </w:r>
      <w:r>
        <w:rPr>
          <w:rFonts w:hint="eastAsia" w:ascii="宋体" w:hAnsi="宋体"/>
          <w:bCs/>
          <w:color w:val="000000" w:themeColor="text1"/>
          <w:kern w:val="0"/>
          <w:szCs w:val="21"/>
          <w:u w:val="double"/>
          <w14:textFill>
            <w14:solidFill>
              <w14:schemeClr w14:val="tx1"/>
            </w14:solidFill>
          </w14:textFill>
        </w:rPr>
        <w:t>报价供应商</w:t>
      </w:r>
      <w:r>
        <w:rPr>
          <w:rFonts w:ascii="宋体" w:hAnsi="宋体"/>
          <w:bCs/>
          <w:color w:val="000000" w:themeColor="text1"/>
          <w:kern w:val="0"/>
          <w:szCs w:val="21"/>
          <w:u w:val="double"/>
          <w14:textFill>
            <w14:solidFill>
              <w14:schemeClr w14:val="tx1"/>
            </w14:solidFill>
          </w14:textFill>
        </w:rPr>
        <w:t>公章，否则视为无效报价</w:t>
      </w:r>
      <w:r>
        <w:rPr>
          <w:rFonts w:hint="eastAsia" w:ascii="宋体" w:hAnsi="宋体"/>
          <w:bCs/>
          <w:color w:val="000000" w:themeColor="text1"/>
          <w:kern w:val="0"/>
          <w:szCs w:val="21"/>
          <w:u w:val="double"/>
          <w14:textFill>
            <w14:solidFill>
              <w14:schemeClr w14:val="tx1"/>
            </w14:solidFill>
          </w14:textFill>
        </w:rPr>
        <w:t>；</w:t>
      </w:r>
    </w:p>
    <w:p>
      <w:pPr>
        <w:numPr>
          <w:ilvl w:val="0"/>
          <w:numId w:val="8"/>
        </w:numPr>
        <w:autoSpaceDE w:val="0"/>
        <w:autoSpaceDN w:val="0"/>
        <w:adjustRightInd w:val="0"/>
        <w:spacing w:line="360" w:lineRule="auto"/>
        <w:ind w:left="426"/>
        <w:jc w:val="left"/>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8"/>
        </w:numPr>
        <w:autoSpaceDE w:val="0"/>
        <w:autoSpaceDN w:val="0"/>
        <w:adjustRightInd w:val="0"/>
        <w:spacing w:line="360" w:lineRule="auto"/>
        <w:ind w:left="42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按有关法律、法规、规章属于报价无效的。</w:t>
      </w:r>
    </w:p>
    <w:p>
      <w:pPr>
        <w:numPr>
          <w:ilvl w:val="0"/>
          <w:numId w:val="8"/>
        </w:numPr>
        <w:autoSpaceDE w:val="0"/>
        <w:autoSpaceDN w:val="0"/>
        <w:adjustRightInd w:val="0"/>
        <w:spacing w:line="360" w:lineRule="auto"/>
        <w:ind w:left="426"/>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有下列情形之一的，视为串通竞价，其报价无效：</w:t>
      </w:r>
    </w:p>
    <w:p>
      <w:pPr>
        <w:pStyle w:val="21"/>
        <w:widowControl/>
        <w:numPr>
          <w:ilvl w:val="2"/>
          <w:numId w:val="9"/>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widowControl/>
        <w:numPr>
          <w:ilvl w:val="2"/>
          <w:numId w:val="9"/>
        </w:num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widowControl/>
        <w:numPr>
          <w:ilvl w:val="2"/>
          <w:numId w:val="9"/>
        </w:num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widowControl/>
        <w:numPr>
          <w:ilvl w:val="2"/>
          <w:numId w:val="9"/>
        </w:num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widowControl/>
        <w:numPr>
          <w:ilvl w:val="2"/>
          <w:numId w:val="9"/>
        </w:num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widowControl/>
        <w:numPr>
          <w:ilvl w:val="2"/>
          <w:numId w:val="9"/>
        </w:num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widowControl/>
        <w:numPr>
          <w:ilvl w:val="2"/>
          <w:numId w:val="9"/>
        </w:num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widowControl/>
        <w:numPr>
          <w:ilvl w:val="2"/>
          <w:numId w:val="9"/>
        </w:numPr>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竞价活动失败</w:t>
      </w:r>
    </w:p>
    <w:p>
      <w:pPr>
        <w:numPr>
          <w:ilvl w:val="0"/>
          <w:numId w:val="10"/>
        </w:numPr>
        <w:autoSpaceDE w:val="0"/>
        <w:autoSpaceDN w:val="0"/>
        <w:adjustRightInd w:val="0"/>
        <w:spacing w:line="360" w:lineRule="auto"/>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报价供应商不足三家；</w:t>
      </w:r>
    </w:p>
    <w:p>
      <w:pPr>
        <w:numPr>
          <w:ilvl w:val="0"/>
          <w:numId w:val="10"/>
        </w:numPr>
        <w:autoSpaceDE w:val="0"/>
        <w:autoSpaceDN w:val="0"/>
        <w:adjustRightInd w:val="0"/>
        <w:spacing w:line="360" w:lineRule="auto"/>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出现影响采购公正的违法、违规行为的；</w:t>
      </w:r>
    </w:p>
    <w:p>
      <w:pPr>
        <w:numPr>
          <w:ilvl w:val="0"/>
          <w:numId w:val="10"/>
        </w:numPr>
        <w:autoSpaceDE w:val="0"/>
        <w:autoSpaceDN w:val="0"/>
        <w:adjustRightInd w:val="0"/>
        <w:spacing w:line="360" w:lineRule="auto"/>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因重大变故，采购任务取消的；</w:t>
      </w:r>
    </w:p>
    <w:p>
      <w:pPr>
        <w:numPr>
          <w:ilvl w:val="0"/>
          <w:numId w:val="2"/>
        </w:numPr>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使用费</w:t>
      </w:r>
    </w:p>
    <w:p>
      <w:pPr>
        <w:pStyle w:val="21"/>
        <w:numPr>
          <w:ilvl w:val="0"/>
          <w:numId w:val="11"/>
        </w:numPr>
        <w:autoSpaceDE w:val="0"/>
        <w:autoSpaceDN w:val="0"/>
        <w:adjustRightInd w:val="0"/>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成交供应商须向平台服务商云采链线上采购一体化平台缴纳平台使用费，金额为成交金额的1</w:t>
      </w:r>
      <w:r>
        <w:rPr>
          <w:rFonts w:ascii="宋体" w:hAnsi="宋体"/>
          <w:color w:val="000000" w:themeColor="text1"/>
          <w:kern w:val="0"/>
          <w:szCs w:val="21"/>
          <w14:textFill>
            <w14:solidFill>
              <w14:schemeClr w14:val="tx1"/>
            </w14:solidFill>
          </w14:textFill>
        </w:rPr>
        <w:t>.5</w:t>
      </w:r>
      <w:r>
        <w:rPr>
          <w:rFonts w:hint="eastAsia" w:ascii="宋体" w:hAnsi="宋体"/>
          <w:color w:val="000000" w:themeColor="text1"/>
          <w:kern w:val="0"/>
          <w:szCs w:val="21"/>
          <w14:textFill>
            <w14:solidFill>
              <w14:schemeClr w14:val="tx1"/>
            </w14:solidFill>
          </w14:textFill>
        </w:rPr>
        <w:t>%（四舍五入取整数），</w:t>
      </w:r>
      <w:r>
        <w:rPr>
          <w:rFonts w:hint="eastAsia" w:ascii="宋体" w:hAnsi="Times New Roman" w:cs="宋体"/>
        </w:rPr>
        <w:t>不足人民币</w:t>
      </w:r>
      <w:r>
        <w:rPr>
          <w:rFonts w:ascii="宋体" w:hAnsi="Times New Roman" w:cs="宋体"/>
        </w:rPr>
        <w:t>1000</w:t>
      </w:r>
      <w:r>
        <w:rPr>
          <w:rFonts w:hint="eastAsia" w:ascii="宋体" w:hAnsi="Times New Roman" w:cs="宋体"/>
        </w:rPr>
        <w:t>元的，按人民币</w:t>
      </w:r>
      <w:r>
        <w:rPr>
          <w:rFonts w:ascii="宋体" w:hAnsi="Times New Roman" w:cs="宋体"/>
        </w:rPr>
        <w:t>1000</w:t>
      </w:r>
      <w:r>
        <w:rPr>
          <w:rFonts w:hint="eastAsia" w:ascii="宋体" w:hAnsi="Times New Roman" w:cs="宋体"/>
        </w:rPr>
        <w:t>元收取</w:t>
      </w:r>
      <w:r>
        <w:rPr>
          <w:rFonts w:hint="eastAsia" w:ascii="宋体" w:hAnsi="宋体"/>
          <w:color w:val="000000" w:themeColor="text1"/>
          <w:kern w:val="0"/>
          <w:szCs w:val="21"/>
          <w14:textFill>
            <w14:solidFill>
              <w14:schemeClr w14:val="tx1"/>
            </w14:solidFill>
          </w14:textFill>
        </w:rPr>
        <w:t>。</w:t>
      </w:r>
    </w:p>
    <w:p>
      <w:pPr>
        <w:numPr>
          <w:ilvl w:val="0"/>
          <w:numId w:val="11"/>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成交供应商无正当理由放弃成交资格的必须按竞价公告等相关规定缴纳相应的平台使用费；</w:t>
      </w:r>
    </w:p>
    <w:p>
      <w:pPr>
        <w:numPr>
          <w:ilvl w:val="0"/>
          <w:numId w:val="11"/>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联系方式</w:t>
      </w:r>
    </w:p>
    <w:p>
      <w:pPr>
        <w:widowControl/>
        <w:spacing w:line="360" w:lineRule="auto"/>
        <w:ind w:left="42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扫码关注微信公众号“云采链互联服务平台”，即可在线咨询相关事项</w:t>
      </w:r>
      <w:r>
        <w:rPr>
          <w:rFonts w:hint="eastAsia" w:ascii="宋体" w:hAnsi="宋体"/>
          <w:color w:val="000000" w:themeColor="text1"/>
          <w:szCs w:val="21"/>
          <w14:textFill>
            <w14:solidFill>
              <w14:schemeClr w14:val="tx1"/>
            </w14:solidFill>
          </w14:textFill>
        </w:rPr>
        <w:t>；</w:t>
      </w:r>
    </w:p>
    <w:p>
      <w:pPr>
        <w:widowControl/>
        <w:spacing w:line="360" w:lineRule="auto"/>
        <w:ind w:left="420"/>
        <w:jc w:val="center"/>
        <w:rPr>
          <w:rFonts w:ascii="宋体" w:hAnsi="宋体"/>
          <w:b/>
        </w:rPr>
      </w:pPr>
      <w:r>
        <w:rPr>
          <w:rFonts w:ascii="宋体" w:hAnsi="宋体"/>
        </w:rPr>
        <w:drawing>
          <wp:inline distT="0" distB="0" distL="0" distR="0">
            <wp:extent cx="1390650" cy="1390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spacing w:line="360" w:lineRule="auto"/>
        <w:ind w:left="420"/>
        <w:jc w:val="left"/>
        <w:rPr>
          <w:sz w:val="32"/>
          <w:szCs w:val="32"/>
        </w:rPr>
      </w:pPr>
    </w:p>
    <w:p>
      <w:pPr>
        <w:pStyle w:val="2"/>
        <w:rPr>
          <w:rStyle w:val="18"/>
          <w:rFonts w:ascii="宋体" w:hAnsi="宋体"/>
          <w:sz w:val="24"/>
          <w:szCs w:val="24"/>
        </w:rPr>
      </w:pPr>
    </w:p>
    <w:p>
      <w:pPr>
        <w:pStyle w:val="2"/>
        <w:rPr>
          <w:rStyle w:val="18"/>
          <w:rFonts w:ascii="宋体" w:hAnsi="宋体"/>
          <w:sz w:val="24"/>
          <w:szCs w:val="24"/>
        </w:rPr>
        <w:sectPr>
          <w:footerReference r:id="rId3" w:type="default"/>
          <w:pgSz w:w="11906" w:h="16838"/>
          <w:pgMar w:top="1440" w:right="1440" w:bottom="1440" w:left="1440" w:header="851" w:footer="992" w:gutter="0"/>
          <w:pgNumType w:start="1"/>
          <w:cols w:space="0" w:num="1"/>
          <w:docGrid w:type="lines" w:linePitch="312" w:charSpace="0"/>
        </w:sectPr>
      </w:pPr>
    </w:p>
    <w:p>
      <w:pPr>
        <w:pStyle w:val="3"/>
        <w:jc w:val="center"/>
        <w:rPr>
          <w:rFonts w:ascii="宋体" w:hAnsi="宋体"/>
          <w:sz w:val="24"/>
          <w:szCs w:val="24"/>
        </w:rPr>
      </w:pPr>
      <w:r>
        <w:rPr>
          <w:rFonts w:hint="eastAsia"/>
          <w:sz w:val="32"/>
          <w:szCs w:val="32"/>
        </w:rPr>
        <w:t>第二章 用户需求书</w:t>
      </w:r>
      <w:r>
        <w:rPr>
          <w:rFonts w:hint="eastAsia" w:ascii="宋体" w:hAnsi="宋体"/>
          <w:sz w:val="24"/>
          <w:szCs w:val="24"/>
        </w:rPr>
        <w:t xml:space="preserve"> </w:t>
      </w:r>
    </w:p>
    <w:p>
      <w:pPr>
        <w:pStyle w:val="6"/>
        <w:numPr>
          <w:ilvl w:val="0"/>
          <w:numId w:val="12"/>
        </w:numPr>
        <w:tabs>
          <w:tab w:val="left" w:pos="540"/>
        </w:tabs>
        <w:adjustRightInd w:val="0"/>
        <w:snapToGrid w:val="0"/>
        <w:spacing w:line="360" w:lineRule="auto"/>
        <w:rPr>
          <w:rFonts w:hAnsi="宋体" w:cs="宋体"/>
          <w:b/>
          <w:bCs/>
        </w:rPr>
      </w:pPr>
      <w:r>
        <w:rPr>
          <w:rFonts w:hint="eastAsia" w:hAnsi="宋体" w:cs="宋体"/>
          <w:b/>
          <w:bCs/>
        </w:rPr>
        <w:t>项目一览表</w:t>
      </w:r>
    </w:p>
    <w:tbl>
      <w:tblPr>
        <w:tblStyle w:val="14"/>
        <w:tblW w:w="94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1115"/>
        <w:gridCol w:w="2573"/>
        <w:gridCol w:w="2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090"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采购内容</w:t>
            </w:r>
          </w:p>
        </w:tc>
        <w:tc>
          <w:tcPr>
            <w:tcW w:w="1115"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数量</w:t>
            </w:r>
          </w:p>
        </w:tc>
        <w:tc>
          <w:tcPr>
            <w:tcW w:w="2573"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交货期</w:t>
            </w:r>
          </w:p>
        </w:tc>
        <w:tc>
          <w:tcPr>
            <w:tcW w:w="2640" w:type="dxa"/>
            <w:tcBorders>
              <w:tl2br w:val="nil"/>
              <w:tr2bl w:val="nil"/>
            </w:tcBorders>
            <w:shd w:val="clear" w:color="auto" w:fill="EEECE1"/>
            <w:vAlign w:val="center"/>
          </w:tcPr>
          <w:p>
            <w:pPr>
              <w:jc w:val="center"/>
              <w:rPr>
                <w:rFonts w:ascii="宋体" w:hAnsi="宋体"/>
                <w:szCs w:val="21"/>
              </w:rPr>
            </w:pPr>
            <w:r>
              <w:rPr>
                <w:rFonts w:hint="eastAsia" w:ascii="宋体" w:hAnsi="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3090" w:type="dxa"/>
            <w:tcBorders>
              <w:tl2br w:val="nil"/>
              <w:tr2bl w:val="nil"/>
            </w:tcBorders>
            <w:vAlign w:val="center"/>
          </w:tcPr>
          <w:p>
            <w:pPr>
              <w:jc w:val="center"/>
              <w:rPr>
                <w:rFonts w:hint="eastAsia" w:ascii="宋体" w:hAnsi="宋体" w:eastAsia="宋体"/>
                <w:szCs w:val="21"/>
                <w:lang w:eastAsia="zh-CN"/>
              </w:rPr>
            </w:pPr>
            <w:r>
              <w:rPr>
                <w:rFonts w:hint="eastAsia" w:ascii="宋体" w:hAnsi="宋体"/>
                <w:szCs w:val="21"/>
                <w:lang w:eastAsia="zh-CN"/>
              </w:rPr>
              <w:t>和平县疾病预防控制中心试剂耗材采购项目</w:t>
            </w:r>
          </w:p>
        </w:tc>
        <w:tc>
          <w:tcPr>
            <w:tcW w:w="1115" w:type="dxa"/>
            <w:tcBorders>
              <w:tl2br w:val="nil"/>
              <w:tr2bl w:val="nil"/>
            </w:tcBorders>
            <w:vAlign w:val="center"/>
          </w:tcPr>
          <w:p>
            <w:pPr>
              <w:jc w:val="center"/>
              <w:rPr>
                <w:rFonts w:ascii="宋体" w:hAnsi="宋体"/>
                <w:szCs w:val="21"/>
              </w:rPr>
            </w:pPr>
            <w:r>
              <w:rPr>
                <w:rFonts w:hint="eastAsia" w:ascii="宋体" w:hAnsi="宋体"/>
                <w:szCs w:val="21"/>
              </w:rPr>
              <w:t>1批</w:t>
            </w:r>
          </w:p>
        </w:tc>
        <w:tc>
          <w:tcPr>
            <w:tcW w:w="2573" w:type="dxa"/>
            <w:tcBorders>
              <w:tl2br w:val="nil"/>
              <w:tr2bl w:val="nil"/>
            </w:tcBorders>
            <w:vAlign w:val="center"/>
          </w:tcPr>
          <w:p>
            <w:pPr>
              <w:pStyle w:val="20"/>
              <w:spacing w:line="440" w:lineRule="exact"/>
              <w:ind w:right="-82" w:rightChars="-39" w:hanging="54"/>
              <w:rPr>
                <w:rFonts w:ascii="宋体" w:hAnsi="宋体" w:cs="宋体"/>
                <w:spacing w:val="0"/>
                <w:kern w:val="2"/>
                <w:sz w:val="21"/>
                <w:szCs w:val="21"/>
              </w:rPr>
            </w:pPr>
            <w:r>
              <w:rPr>
                <w:rFonts w:hint="eastAsia" w:ascii="宋体" w:hAnsi="宋体" w:cs="宋体"/>
                <w:spacing w:val="0"/>
                <w:kern w:val="2"/>
                <w:sz w:val="21"/>
                <w:szCs w:val="21"/>
              </w:rPr>
              <w:t>签订合同后15日历天内</w:t>
            </w:r>
          </w:p>
        </w:tc>
        <w:tc>
          <w:tcPr>
            <w:tcW w:w="2640" w:type="dxa"/>
            <w:tcBorders>
              <w:tl2br w:val="nil"/>
              <w:tr2bl w:val="nil"/>
            </w:tcBorders>
            <w:vAlign w:val="center"/>
          </w:tcPr>
          <w:p>
            <w:pPr>
              <w:jc w:val="center"/>
              <w:rPr>
                <w:rFonts w:ascii="宋体" w:hAnsi="宋体"/>
                <w:szCs w:val="21"/>
              </w:rPr>
            </w:pPr>
            <w:r>
              <w:rPr>
                <w:rFonts w:hint="eastAsia" w:ascii="宋体" w:hAnsi="宋体"/>
                <w:szCs w:val="21"/>
              </w:rPr>
              <w:t>人民币310590元</w:t>
            </w:r>
          </w:p>
        </w:tc>
      </w:tr>
    </w:tbl>
    <w:p>
      <w:pPr>
        <w:pStyle w:val="6"/>
        <w:numPr>
          <w:ilvl w:val="0"/>
          <w:numId w:val="12"/>
        </w:numPr>
        <w:tabs>
          <w:tab w:val="left" w:pos="540"/>
        </w:tabs>
        <w:adjustRightInd w:val="0"/>
        <w:snapToGrid w:val="0"/>
        <w:spacing w:line="360" w:lineRule="auto"/>
        <w:rPr>
          <w:rFonts w:hAnsi="宋体" w:cs="宋体"/>
          <w:b/>
        </w:rPr>
      </w:pPr>
      <w:r>
        <w:rPr>
          <w:rFonts w:hint="eastAsia" w:hAnsi="宋体" w:cs="宋体"/>
          <w:b/>
        </w:rPr>
        <w:t>项目采购清单:</w:t>
      </w:r>
    </w:p>
    <w:tbl>
      <w:tblPr>
        <w:tblStyle w:val="14"/>
        <w:tblW w:w="9525" w:type="dxa"/>
        <w:tblInd w:w="-1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2730"/>
        <w:gridCol w:w="2235"/>
        <w:gridCol w:w="1590"/>
        <w:gridCol w:w="660"/>
        <w:gridCol w:w="696"/>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厂家</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lang w:val="en-US" w:eastAsia="zh-CN" w:bidi="ar"/>
              </w:rPr>
              <w:t>单价</w:t>
            </w:r>
            <w:r>
              <w:rPr>
                <w:rFonts w:hint="eastAsia" w:ascii="宋体" w:hAnsi="宋体" w:cs="宋体"/>
                <w:b/>
                <w:bCs/>
                <w:i w:val="0"/>
                <w:iCs w:val="0"/>
                <w:color w:val="000000"/>
                <w:kern w:val="0"/>
                <w:sz w:val="21"/>
                <w:szCs w:val="21"/>
                <w:u w:val="none"/>
                <w:lang w:val="en-US" w:eastAsia="zh-CN" w:bidi="ar"/>
              </w:rPr>
              <w:t>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鼠伤寒沙门氏菌  ATCC14028      标准菌种    冻干粉</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大肠埃希氏菌     ATCC25922   标准菌种    冻干粉</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金黄色葡萄球菌  ATCC6538   标准菌种    冻干粉</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啤酒酵母菌CMCC(F)98007      标准菌种    冻干粉</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登革热病毒通用型核酸检测试剂盒  SLIN-A5-01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禽流感病毒核酸检测试剂盒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禽流感病毒(H5、H7、H9亚型) 三重核酸检测试剂盒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10%奋斗呐悬浮剂</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巴斯夫（中国）有限公司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500ml/瓶，20瓶/箱</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1000ul吸头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深圳市爱康试剂有限公司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960支/条、13条/箱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猴痘病毒核酸检测试剂盒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丙型肝炎（HCV）病毒核酸检测试剂盒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生化质控品</w:t>
            </w:r>
            <w:r>
              <w:rPr>
                <w:rStyle w:val="40"/>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液体</w:t>
            </w:r>
            <w:r>
              <w:rPr>
                <w:rStyle w:val="40"/>
                <w:rFonts w:hint="eastAsia" w:ascii="宋体" w:hAnsi="宋体" w:eastAsia="宋体" w:cs="宋体"/>
                <w:sz w:val="21"/>
                <w:szCs w:val="21"/>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货号</w:t>
            </w:r>
            <w:r>
              <w:rPr>
                <w:rStyle w:val="40"/>
                <w:rFonts w:hint="eastAsia" w:ascii="宋体" w:hAnsi="宋体" w:eastAsia="宋体" w:cs="宋体"/>
                <w:sz w:val="21"/>
                <w:szCs w:val="21"/>
                <w:lang w:val="en-US" w:eastAsia="zh-CN" w:bidi="ar"/>
              </w:rPr>
              <w:t>695</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伯乐实验有限公司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水平2 12*3ml/盒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84消毒液</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德州利兴</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500ml/瓶，30瓶/箱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甲型 H1N1(2009)和H3亚型流感病毒核酸检测试剂盒(荧光PCR法)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江苏硕世</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乙型流感病毒Victoria/Yamagata核酸检测试剂盒（荧光PCR法）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江苏硕世</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轮状病毒A组核酸检测试剂盒(荧光PCR法)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扎如病毒、星状病毒、腺病毒三重核酸检测试剂盒(荧光PCR法)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肠道病毒通用型核酸检测试剂盒(荧光PCR法)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肠道病毒 (CA24、EV70) 双重核酸检测试剂盒(荧光PCR法)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肠道病毒(CA6、CA16、EV71、通用型)核酸检测试剂盒(荧光PCR法)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登革热病毒 ( I、Il、II、IV型) 四重核酸检测试剂盒(荧光PCR法)</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1-200ul超长型滤芯盒装吸头   货号KG5735</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上海科进医疗科技有限公司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96支/盒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高锰酸钾容量分析用溶液标准物质（货号GBW（E）081604）</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北京海岸鸿蒙标准物质技术有限责任公司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500mL，浓度0.1 mo1/L</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水质六价铬(标样)-货号BWB2229-2016C</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20mL，浓度39ug/L</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无菌水样取样袋（货号863573）</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250mL，150个/箱</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XN专用清洗液 CCA-500A</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希森美康株式会社</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4ml*20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EasyID志贺氏菌生化鉴定试剂盒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17种*5测试</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EasyID沙门氏菌生化鉴定试剂盒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13种*5测试</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EasyID副溶血性弧菌生化鉴定试剂盒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5测试</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革兰氏染色液 10m1*4瓶</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10ml*4种/盒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营养琼脂(NA) 250g</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BR25g</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广泛试纸 1-14</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上海三爱</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 20本/盒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色度溶液标准物质/铂钻</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坛墨质检科技股份有限公司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50ml，浓度：500度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标准物质/水质浊度</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坛墨质检科技股份有限公司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100ml，浓度：100NTU</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制药内标 1</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安捷伦科技有限公司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100ml，浓度：10mg/L</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多功能试管架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邻苯二甲酸氢钾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国药集团化学试剂有限公司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500g (AR)</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1,3-二甲基巴比妥酸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国药集团化学试剂有限公司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100g (99%)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酶标板</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无锡耐思生物科技有限公司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透明板，50块/箱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聚四氟乙烯磁力搅拌子</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A型18*50mm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聚四氟乙烯磁力搅拌子</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A型10*30mm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压条可立无菌采样袋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20*22cm (立式带压条)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移液器架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z型，不可拆卸</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一次性塑料滴管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3mL加长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玻璃滴定管透明聚四氟酸碱</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抗体孵育盒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单格</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PTFE微控滤膜</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疏水型47mm*0.45um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 mL钳口顶空瓶</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上海思达分析仪器股份有限公司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 mL，100个/盒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变色硅胶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500g/瓶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不锈钢镊子，直尖头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16cm，5个/包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废液桶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DB-FFAP气相色谱柱</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安捷伦科技（中国）有限公司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长30m，内径0.32um，膜厚0.5um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抗坏血酸</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上海阿拉丁生化科技股份有限公司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AR，＞99.0%，100g/瓶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氢氟酸</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上海阿拉丁生化科技股份有限公司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AR，≥40%，500mL/瓶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50mL离心管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浙江月旭材料科技有限公司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50mL，锥形底，25/包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一次性塑料培养皿</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9cm*1.5cm，500皿/箱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流式管，12x75mm</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贝克曼库尔特</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250/pk</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一次性无粉丁腈手套（9寸，蓝色，S号），经济型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100只/盒 ，10盒/箱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一次性无粉丁腈手套（9寸，蓝色，M号），经济型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100只/盒 ，10盒/箱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针头式过滤器</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浙江月旭材料科技有限公司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NY 13mm*0.45µm 100/盒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针头式过滤器</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浙江月旭材料科技有限公司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PES 13mm*0.45µm 100/盒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硅质半面型防护面具（中号）</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1个，不带滤毒盒(需配2个滤毒盒)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酸性气体滤毒盒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有机气体滤毒盒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酸性气体滤毒盒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中国款流线型防护眼镜（透明镜片，防雾）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1副/盒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碱性蛋白陈水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BR 250g</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霍乱弧菌显色培养基</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霍乱弧菌生化鉴定管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11种×10支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低尘擦拭纸</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亚速旺</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280张/盒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1,3-二甲基巴比妥酸</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上海阿拉丁生化科技股份有限公司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100g</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氧化酶试剂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50测试/盒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半固体琼脂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250g/瓶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无菌水样取样袋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250mL，22mm口径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血平板9cm*20套/盒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9cm*20套/盒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伊红美蓝琼脂培养基(EMB)BR 250g</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BR 250g</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乳糖胆盐发酵培养基 10mL/支*20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10mL/支*20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双料乳糖胆盐发酵培养基 10mL*20支</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10mL*20支/盒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EC-MUG培养基10mL*20支</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10mL*20支/盒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沙门氏菌显色培养基 1000mL/瓶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Cary-Blair运送培养基10mL/支</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水中氯酸盐溶液标准物质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20mL,1000μg/mL（以氯酸根计）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水质氯酸盐（标样）</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20mL,0.778μg/mL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水中氟成分分析标准物质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水质氟化物（标样）</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20mL,0.978μg/mL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甲醇中一溴二氯甲烷溶液标准物质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甲醇中二溴一氯甲烷溶液标准物质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甲醇中三溴甲烷溶液标准物质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水中二氯乙酸（二氯醋酸）、三氯乙酸（三氯醋酸）混合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溶液标准物质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低尘擦拭纸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亚速旺(上海)商贸有限公司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BC6-6689-11 280张/盒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五种致泻性大肠杆菌核酸检测试剂盒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24人份/盒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有色金属液体标准样品</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国标检验认证中心</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沙门氏菌属诊断血清</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宁波天润生物药业有限公司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 x 30瓶/盒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志贺氏菌属诊断血清</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宁波天润生物药业有限公司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 x 26瓶/盒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FilmArray 胃肠道感染测试</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梅里埃法国股份生物有限公司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6人份/盒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VITEK2GN革兰阴性杆菌鉴定卡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梅里埃法国股份生物有限公司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20张/盒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水中总硬度溶液标准物质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20mL,450μg/mL；GBW(E)084383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水质高锰酸盐指数（标样)-COD锰法</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20mL,4.27μg/mL；BWZ6974-2016B</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乙二胺四乙酸二钠容量分析用溶液标准物质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北京海岸鸿蒙</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500mL，浓度0.1 mo1/L</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内径400mm 透明</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内径300mm 透明</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玛瑙研钵(含棒)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内径100mm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玻璃三角烧杯</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实验室镍铬电炉</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温度计玻璃棒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水银0-300℃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石棉网</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200*200mm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玻璃三角漏斗</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90mm长，10个/盒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铂金坩埚(带盖)</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希雨机电科技（上海）有限公司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毛圈棉隔热手套</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均码</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定量滤纸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125m，100片/盒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亚克力4位漏斗支架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4孔</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不锈钢筛网</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20目</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粉尘中游离二氧化硅质控</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广东职业病防治院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除静电器</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上海恩硕电子科技有限公司</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AS-6101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r>
    </w:tbl>
    <w:p>
      <w:pPr>
        <w:pStyle w:val="6"/>
        <w:tabs>
          <w:tab w:val="left" w:pos="420"/>
          <w:tab w:val="left" w:pos="540"/>
        </w:tabs>
        <w:adjustRightInd w:val="0"/>
        <w:snapToGrid w:val="0"/>
        <w:spacing w:line="360" w:lineRule="auto"/>
        <w:ind w:left="420"/>
        <w:rPr>
          <w:rFonts w:hAnsi="宋体" w:cs="宋体"/>
          <w:b/>
        </w:rPr>
      </w:pPr>
    </w:p>
    <w:p>
      <w:pPr>
        <w:numPr>
          <w:ilvl w:val="0"/>
          <w:numId w:val="12"/>
        </w:numPr>
        <w:tabs>
          <w:tab w:val="left" w:pos="540"/>
        </w:tabs>
        <w:adjustRightInd w:val="0"/>
        <w:snapToGrid w:val="0"/>
        <w:spacing w:line="360" w:lineRule="auto"/>
        <w:ind w:left="0" w:firstLine="0"/>
        <w:rPr>
          <w:rFonts w:ascii="宋体" w:hAnsi="宋体" w:cs="Times New Roman"/>
          <w:b/>
          <w:color w:val="000000" w:themeColor="text1"/>
          <w:kern w:val="0"/>
          <w:szCs w:val="21"/>
          <w14:textFill>
            <w14:solidFill>
              <w14:schemeClr w14:val="tx1"/>
            </w14:solidFill>
          </w14:textFill>
        </w:rPr>
      </w:pPr>
      <w:r>
        <w:rPr>
          <w:rFonts w:hint="eastAsia" w:ascii="宋体" w:hAnsi="宋体" w:cs="Times New Roman"/>
          <w:b/>
          <w:color w:val="000000" w:themeColor="text1"/>
          <w:kern w:val="0"/>
          <w:szCs w:val="21"/>
          <w14:textFill>
            <w14:solidFill>
              <w14:schemeClr w14:val="tx1"/>
            </w14:solidFill>
          </w14:textFill>
        </w:rPr>
        <w:t>商务要求：</w:t>
      </w:r>
    </w:p>
    <w:p>
      <w:pPr>
        <w:numPr>
          <w:ilvl w:val="0"/>
          <w:numId w:val="13"/>
        </w:numPr>
        <w:tabs>
          <w:tab w:val="left" w:pos="540"/>
        </w:tabs>
        <w:adjustRightInd w:val="0"/>
        <w:snapToGrid w:val="0"/>
        <w:spacing w:line="360" w:lineRule="auto"/>
        <w:ind w:left="0" w:firstLine="0"/>
        <w:rPr>
          <w:rFonts w:ascii="宋体" w:hAnsi="宋体" w:cs="Times New Roman"/>
          <w:color w:val="000000" w:themeColor="text1"/>
          <w:kern w:val="0"/>
          <w:szCs w:val="21"/>
          <w14:textFill>
            <w14:solidFill>
              <w14:schemeClr w14:val="tx1"/>
            </w14:solidFill>
          </w14:textFill>
        </w:rPr>
      </w:pPr>
      <w:r>
        <w:rPr>
          <w:rFonts w:hint="eastAsia" w:ascii="宋体" w:hAnsi="宋体" w:cs="Times New Roman"/>
          <w:b/>
          <w:color w:val="000000" w:themeColor="text1"/>
          <w:kern w:val="0"/>
          <w:szCs w:val="21"/>
          <w14:textFill>
            <w14:solidFill>
              <w14:schemeClr w14:val="tx1"/>
            </w14:solidFill>
          </w14:textFill>
        </w:rPr>
        <w:t>质保期及售后服务要求</w:t>
      </w:r>
    </w:p>
    <w:p>
      <w:pPr>
        <w:numPr>
          <w:ilvl w:val="0"/>
          <w:numId w:val="14"/>
        </w:numPr>
        <w:tabs>
          <w:tab w:val="left" w:pos="2340"/>
        </w:tabs>
        <w:adjustRightInd w:val="0"/>
        <w:snapToGrid w:val="0"/>
        <w:spacing w:line="360" w:lineRule="auto"/>
        <w:ind w:left="0" w:firstLine="0"/>
        <w:rPr>
          <w:rFonts w:ascii="宋体" w:hAnsi="宋体" w:cs="Times New Roman"/>
          <w:color w:val="000000" w:themeColor="text1"/>
          <w:kern w:val="0"/>
          <w:szCs w:val="21"/>
          <w14:textFill>
            <w14:solidFill>
              <w14:schemeClr w14:val="tx1"/>
            </w14:solidFill>
          </w14:textFill>
        </w:rPr>
      </w:pPr>
      <w:r>
        <w:rPr>
          <w:rFonts w:hint="eastAsia" w:ascii="宋体" w:hAnsi="宋体" w:cs="Times New Roman"/>
          <w:color w:val="000000" w:themeColor="text1"/>
          <w:kern w:val="0"/>
          <w:szCs w:val="21"/>
          <w14:textFill>
            <w14:solidFill>
              <w14:schemeClr w14:val="tx1"/>
            </w14:solidFill>
          </w14:textFill>
        </w:rPr>
        <w:t>质量保证期（简称“质保期”）为壹年，质保期内成交人对所供货物实行包修、包换、包退、包维护保养。</w:t>
      </w:r>
    </w:p>
    <w:p>
      <w:pPr>
        <w:numPr>
          <w:ilvl w:val="0"/>
          <w:numId w:val="14"/>
        </w:numPr>
        <w:autoSpaceDE w:val="0"/>
        <w:autoSpaceDN w:val="0"/>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质保期内，如设备或零部件因非人为因素出现故障而造成短期停用时，则质保期和免费维修期相应顺延。如停用时间累计超过60天则质保期重新计算。</w:t>
      </w:r>
    </w:p>
    <w:p>
      <w:pPr>
        <w:numPr>
          <w:ilvl w:val="0"/>
          <w:numId w:val="14"/>
        </w:numPr>
        <w:autoSpaceDE w:val="0"/>
        <w:autoSpaceDN w:val="0"/>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对采购人的服务通知，成交人在接报后1小时内响应，4小时内到达现场，48小时内处理完毕。若在48小时内仍未能有效解决，成交人须免费提供同档次的设备予采购人临时使用。</w:t>
      </w:r>
    </w:p>
    <w:p>
      <w:pPr>
        <w:numPr>
          <w:ilvl w:val="0"/>
          <w:numId w:val="13"/>
        </w:numPr>
        <w:tabs>
          <w:tab w:val="left" w:pos="540"/>
        </w:tabs>
        <w:adjustRightInd w:val="0"/>
        <w:snapToGrid w:val="0"/>
        <w:spacing w:line="360" w:lineRule="auto"/>
        <w:ind w:left="0" w:firstLine="0"/>
        <w:rPr>
          <w:rFonts w:ascii="宋体" w:hAnsi="宋体" w:cs="Times New Roman"/>
          <w:b/>
          <w:color w:val="000000" w:themeColor="text1"/>
          <w:kern w:val="0"/>
          <w:szCs w:val="21"/>
          <w14:textFill>
            <w14:solidFill>
              <w14:schemeClr w14:val="tx1"/>
            </w14:solidFill>
          </w14:textFill>
        </w:rPr>
      </w:pPr>
      <w:r>
        <w:rPr>
          <w:rFonts w:hint="eastAsia" w:ascii="宋体" w:hAnsi="宋体" w:cs="Times New Roman"/>
          <w:b/>
          <w:color w:val="000000" w:themeColor="text1"/>
          <w:kern w:val="0"/>
          <w:szCs w:val="21"/>
          <w14:textFill>
            <w14:solidFill>
              <w14:schemeClr w14:val="tx1"/>
            </w14:solidFill>
          </w14:textFill>
        </w:rPr>
        <w:t>包装、保险及发运、保管要求</w:t>
      </w:r>
    </w:p>
    <w:p>
      <w:pPr>
        <w:numPr>
          <w:ilvl w:val="0"/>
          <w:numId w:val="15"/>
        </w:numPr>
        <w:adjustRightInd w:val="0"/>
        <w:snapToGrid w:val="0"/>
        <w:spacing w:line="360" w:lineRule="auto"/>
        <w:ind w:left="0" w:firstLine="0"/>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货物的包装必须是制造商原厂包装，其包装均应有良好的防湿、防锈、防潮、防雨、防腐及防碰撞的措施。凡由于包装不良造成的损失和由此产生的费用均由供应商承担。</w:t>
      </w:r>
    </w:p>
    <w:p>
      <w:pPr>
        <w:numPr>
          <w:ilvl w:val="0"/>
          <w:numId w:val="15"/>
        </w:numPr>
        <w:adjustRightInd w:val="0"/>
        <w:snapToGrid w:val="0"/>
        <w:spacing w:line="360" w:lineRule="auto"/>
        <w:ind w:left="0" w:firstLine="0"/>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成交人负责将货物货到现场过程中的全部运输，包括装卸车、货物现场的搬运。</w:t>
      </w:r>
    </w:p>
    <w:p>
      <w:pPr>
        <w:numPr>
          <w:ilvl w:val="0"/>
          <w:numId w:val="15"/>
        </w:numPr>
        <w:adjustRightInd w:val="0"/>
        <w:snapToGrid w:val="0"/>
        <w:spacing w:line="360" w:lineRule="auto"/>
        <w:ind w:left="0" w:firstLine="0"/>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各种货物必须提供装箱清单，按货物清单验收货物。</w:t>
      </w:r>
    </w:p>
    <w:p>
      <w:pPr>
        <w:numPr>
          <w:ilvl w:val="0"/>
          <w:numId w:val="15"/>
        </w:numPr>
        <w:adjustRightInd w:val="0"/>
        <w:snapToGrid w:val="0"/>
        <w:spacing w:line="360" w:lineRule="auto"/>
        <w:ind w:left="0" w:firstLine="0"/>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货物在现场的保管由成交人负责，直至项目验收完毕。</w:t>
      </w:r>
    </w:p>
    <w:p>
      <w:pPr>
        <w:numPr>
          <w:ilvl w:val="0"/>
          <w:numId w:val="15"/>
        </w:numPr>
        <w:adjustRightInd w:val="0"/>
        <w:snapToGrid w:val="0"/>
        <w:spacing w:line="360" w:lineRule="auto"/>
        <w:ind w:left="0" w:firstLine="0"/>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货物至采购人指定的使用现场的包装、保险及发运等环节和费用均由成交人负责。</w:t>
      </w:r>
    </w:p>
    <w:p>
      <w:pPr>
        <w:numPr>
          <w:ilvl w:val="0"/>
          <w:numId w:val="13"/>
        </w:numPr>
        <w:tabs>
          <w:tab w:val="left" w:pos="540"/>
        </w:tabs>
        <w:adjustRightInd w:val="0"/>
        <w:snapToGrid w:val="0"/>
        <w:spacing w:line="360" w:lineRule="auto"/>
        <w:ind w:left="0" w:firstLine="0"/>
        <w:rPr>
          <w:rFonts w:ascii="宋体" w:hAnsi="宋体" w:cs="Times New Roman"/>
          <w:b/>
          <w:color w:val="000000" w:themeColor="text1"/>
          <w:kern w:val="0"/>
          <w:szCs w:val="21"/>
          <w14:textFill>
            <w14:solidFill>
              <w14:schemeClr w14:val="tx1"/>
            </w14:solidFill>
          </w14:textFill>
        </w:rPr>
      </w:pPr>
      <w:r>
        <w:rPr>
          <w:rFonts w:hint="eastAsia" w:ascii="宋体" w:hAnsi="宋体" w:cs="Times New Roman"/>
          <w:b/>
          <w:color w:val="000000" w:themeColor="text1"/>
          <w:kern w:val="0"/>
          <w:szCs w:val="21"/>
          <w14:textFill>
            <w14:solidFill>
              <w14:schemeClr w14:val="tx1"/>
            </w14:solidFill>
          </w14:textFill>
        </w:rPr>
        <w:t>验收</w:t>
      </w:r>
    </w:p>
    <w:p>
      <w:pPr>
        <w:numPr>
          <w:ilvl w:val="0"/>
          <w:numId w:val="16"/>
        </w:numPr>
        <w:tabs>
          <w:tab w:val="left" w:pos="540"/>
        </w:tabs>
        <w:adjustRightInd w:val="0"/>
        <w:snapToGrid w:val="0"/>
        <w:spacing w:line="360" w:lineRule="auto"/>
        <w:ind w:left="0" w:firstLine="0"/>
        <w:rPr>
          <w:rFonts w:ascii="宋体" w:hAnsi="宋体" w:cs="Times New Roman"/>
          <w:color w:val="000000" w:themeColor="text1"/>
          <w:kern w:val="0"/>
          <w:szCs w:val="21"/>
          <w14:textFill>
            <w14:solidFill>
              <w14:schemeClr w14:val="tx1"/>
            </w14:solidFill>
          </w14:textFill>
        </w:rPr>
      </w:pPr>
      <w:r>
        <w:rPr>
          <w:rFonts w:hint="eastAsia" w:ascii="宋体" w:hAnsi="宋体" w:cs="Times New Roman"/>
          <w:color w:val="000000" w:themeColor="text1"/>
          <w:kern w:val="0"/>
          <w:szCs w:val="21"/>
          <w14:textFill>
            <w14:solidFill>
              <w14:schemeClr w14:val="tx1"/>
            </w14:solidFill>
          </w14:textFill>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6"/>
        </w:numPr>
        <w:tabs>
          <w:tab w:val="left" w:pos="900"/>
        </w:tabs>
        <w:autoSpaceDE w:val="0"/>
        <w:autoSpaceDN w:val="0"/>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货物为原厂商未启封全新包装，具出厂合格证，序列号、包装箱号与出厂批号一致，并可追索查阅。所有随设备的附件必须齐全。</w:t>
      </w:r>
    </w:p>
    <w:p>
      <w:pPr>
        <w:numPr>
          <w:ilvl w:val="0"/>
          <w:numId w:val="16"/>
        </w:numPr>
        <w:tabs>
          <w:tab w:val="left" w:pos="900"/>
        </w:tabs>
        <w:autoSpaceDE w:val="0"/>
        <w:autoSpaceDN w:val="0"/>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6"/>
        <w:tabs>
          <w:tab w:val="left" w:pos="540"/>
        </w:tabs>
        <w:adjustRightInd w:val="0"/>
        <w:snapToGrid w:val="0"/>
        <w:spacing w:line="360" w:lineRule="auto"/>
        <w:rPr>
          <w:rFonts w:hAnsi="宋体" w:cs="宋体"/>
          <w:b/>
        </w:rPr>
      </w:pPr>
      <w:r>
        <w:rPr>
          <w:rFonts w:hint="eastAsia" w:hAnsi="宋体" w:cs="宋体"/>
          <w:b/>
        </w:rPr>
        <w:t>四、付款方式</w:t>
      </w:r>
    </w:p>
    <w:p>
      <w:pPr>
        <w:spacing w:line="360" w:lineRule="auto"/>
        <w:ind w:firstLine="420" w:firstLineChars="200"/>
        <w:rPr>
          <w:rFonts w:ascii="宋体" w:hAnsi="宋体"/>
          <w:szCs w:val="21"/>
        </w:rPr>
      </w:pPr>
      <w:r>
        <w:rPr>
          <w:rFonts w:hint="eastAsia" w:ascii="宋体" w:hAnsi="宋体"/>
          <w:szCs w:val="21"/>
        </w:rPr>
        <w:t xml:space="preserve">由采购人按下列程序付款： </w:t>
      </w:r>
    </w:p>
    <w:p>
      <w:pPr>
        <w:numPr>
          <w:ilvl w:val="0"/>
          <w:numId w:val="17"/>
        </w:numPr>
        <w:autoSpaceDE w:val="0"/>
        <w:autoSpaceDN w:val="0"/>
        <w:spacing w:line="360" w:lineRule="auto"/>
        <w:rPr>
          <w:rFonts w:ascii="宋体" w:hAnsi="宋体"/>
          <w:szCs w:val="21"/>
        </w:rPr>
      </w:pPr>
      <w:r>
        <w:rPr>
          <w:rFonts w:hint="eastAsia" w:ascii="宋体" w:hAnsi="宋体"/>
          <w:szCs w:val="21"/>
        </w:rPr>
        <w:t>货物验收合格后3</w:t>
      </w:r>
      <w:r>
        <w:rPr>
          <w:rFonts w:ascii="宋体" w:hAnsi="宋体"/>
          <w:szCs w:val="21"/>
        </w:rPr>
        <w:t>0</w:t>
      </w:r>
      <w:r>
        <w:rPr>
          <w:rFonts w:hint="eastAsia" w:ascii="宋体" w:hAnsi="宋体"/>
          <w:szCs w:val="21"/>
        </w:rPr>
        <w:t>天内一次性付款。</w:t>
      </w:r>
    </w:p>
    <w:p>
      <w:pPr>
        <w:numPr>
          <w:ilvl w:val="0"/>
          <w:numId w:val="17"/>
        </w:numPr>
        <w:autoSpaceDE w:val="0"/>
        <w:autoSpaceDN w:val="0"/>
        <w:spacing w:line="360" w:lineRule="auto"/>
        <w:rPr>
          <w:rFonts w:ascii="宋体" w:hAnsi="宋体"/>
          <w:kern w:val="21"/>
          <w:szCs w:val="21"/>
        </w:rPr>
      </w:pPr>
      <w:r>
        <w:rPr>
          <w:rFonts w:hint="eastAsia" w:ascii="宋体" w:hAnsi="宋体"/>
          <w:kern w:val="21"/>
          <w:szCs w:val="21"/>
        </w:rPr>
        <w:t>成交人凭以下有效文件与采购人结算：</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合同；</w:t>
      </w:r>
    </w:p>
    <w:p>
      <w:pPr>
        <w:spacing w:line="360" w:lineRule="auto"/>
        <w:ind w:firstLine="315" w:firstLineChars="150"/>
        <w:rPr>
          <w:rFonts w:ascii="宋体" w:hAnsi="宋体"/>
          <w:szCs w:val="21"/>
        </w:rPr>
      </w:pPr>
      <w:r>
        <w:rPr>
          <w:rFonts w:hint="eastAsia" w:ascii="宋体" w:hAnsi="宋体"/>
          <w:szCs w:val="21"/>
        </w:rPr>
        <w:t>（2）</w:t>
      </w:r>
      <w:r>
        <w:rPr>
          <w:rFonts w:ascii="宋体" w:hAnsi="宋体"/>
          <w:szCs w:val="21"/>
        </w:rPr>
        <w:t>成交人开具的正式发票；</w:t>
      </w:r>
    </w:p>
    <w:p>
      <w:pPr>
        <w:spacing w:line="360" w:lineRule="auto"/>
        <w:ind w:firstLine="315" w:firstLineChars="150"/>
        <w:rPr>
          <w:rFonts w:hAnsi="宋体"/>
          <w:lang w:val="zh-CN"/>
        </w:rPr>
      </w:pPr>
      <w:r>
        <w:rPr>
          <w:rFonts w:hint="eastAsia" w:ascii="宋体" w:hAnsi="宋体"/>
          <w:szCs w:val="21"/>
        </w:rPr>
        <w:t>（3）</w:t>
      </w:r>
      <w:r>
        <w:rPr>
          <w:rFonts w:ascii="宋体" w:hAnsi="宋体"/>
          <w:szCs w:val="21"/>
        </w:rPr>
        <w:t>成交通知书。</w:t>
      </w:r>
    </w:p>
    <w:p>
      <w:pPr>
        <w:pStyle w:val="6"/>
        <w:rPr>
          <w:lang w:val="zh-CN"/>
        </w:rPr>
      </w:pPr>
    </w:p>
    <w:p>
      <w:pPr>
        <w:rPr>
          <w:lang w:val="zh-CN"/>
        </w:rPr>
      </w:pPr>
      <w:r>
        <w:rPr>
          <w:rFonts w:hint="eastAsia"/>
          <w:lang w:val="zh-CN"/>
        </w:rPr>
        <w:br w:type="page"/>
      </w:r>
    </w:p>
    <w:p>
      <w:pPr>
        <w:pStyle w:val="12"/>
        <w:numPr>
          <w:ilvl w:val="0"/>
          <w:numId w:val="18"/>
        </w:numPr>
        <w:spacing w:before="0" w:after="0"/>
        <w:rPr>
          <w:rFonts w:hint="eastAsia"/>
          <w:lang w:val="zh-CN"/>
        </w:rPr>
      </w:pPr>
      <w:r>
        <w:rPr>
          <w:rFonts w:hint="eastAsia"/>
          <w:lang w:val="zh-CN"/>
        </w:rPr>
        <w:t>报价附件</w:t>
      </w:r>
    </w:p>
    <w:p>
      <w:pPr>
        <w:pStyle w:val="4"/>
        <w:spacing w:before="0" w:after="0"/>
        <w:jc w:val="center"/>
        <w:rPr>
          <w:rFonts w:hint="eastAsia" w:eastAsia="宋体"/>
          <w:lang w:val="en-US" w:eastAsia="zh-CN"/>
        </w:rPr>
      </w:pPr>
      <w:r>
        <w:rPr>
          <w:rFonts w:hint="eastAsia" w:ascii="宋体" w:hAnsi="宋体" w:eastAsia="宋体"/>
          <w:lang w:val="zh-CN"/>
        </w:rPr>
        <w:t>报 价 表</w:t>
      </w:r>
    </w:p>
    <w:tbl>
      <w:tblPr>
        <w:tblStyle w:val="14"/>
        <w:tblW w:w="10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2055"/>
        <w:gridCol w:w="1589"/>
        <w:gridCol w:w="1350"/>
        <w:gridCol w:w="660"/>
        <w:gridCol w:w="696"/>
        <w:gridCol w:w="969"/>
        <w:gridCol w:w="969"/>
        <w:gridCol w:w="772"/>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厂家</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lang w:val="en-US" w:eastAsia="zh-CN" w:bidi="ar"/>
              </w:rPr>
              <w:t>单价</w:t>
            </w:r>
            <w:r>
              <w:rPr>
                <w:rFonts w:hint="eastAsia" w:ascii="宋体" w:hAnsi="宋体" w:cs="宋体"/>
                <w:b/>
                <w:bCs/>
                <w:i w:val="0"/>
                <w:iCs w:val="0"/>
                <w:color w:val="000000"/>
                <w:kern w:val="0"/>
                <w:sz w:val="21"/>
                <w:szCs w:val="21"/>
                <w:u w:val="none"/>
                <w:lang w:val="en-US" w:eastAsia="zh-CN" w:bidi="ar"/>
              </w:rPr>
              <w:t>限价（元）</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单价</w:t>
            </w:r>
          </w:p>
          <w:p>
            <w:pPr>
              <w:jc w:val="center"/>
              <w:rPr>
                <w:rFonts w:asciiTheme="minorEastAsia" w:hAnsiTheme="minorEastAsia"/>
                <w:b/>
                <w:szCs w:val="21"/>
              </w:rPr>
            </w:pPr>
            <w:r>
              <w:rPr>
                <w:rFonts w:hint="eastAsia" w:asciiTheme="minorEastAsia" w:hAnsiTheme="minorEastAsia"/>
                <w:b/>
                <w:szCs w:val="21"/>
              </w:rPr>
              <w:t>报价</w:t>
            </w:r>
          </w:p>
          <w:p>
            <w:pPr>
              <w:jc w:val="center"/>
              <w:rPr>
                <w:rFonts w:hint="eastAsia" w:ascii="宋体" w:hAnsi="宋体" w:eastAsia="宋体" w:cs="宋体"/>
                <w:b/>
                <w:bCs/>
                <w:i w:val="0"/>
                <w:iCs w:val="0"/>
                <w:color w:val="000000"/>
                <w:kern w:val="0"/>
                <w:sz w:val="21"/>
                <w:szCs w:val="21"/>
                <w:u w:val="none"/>
                <w:lang w:val="en-US" w:eastAsia="zh-CN" w:bidi="ar"/>
              </w:rPr>
            </w:pPr>
            <w:r>
              <w:rPr>
                <w:rFonts w:hint="eastAsia" w:asciiTheme="minorEastAsia" w:hAnsiTheme="minorEastAsia"/>
                <w:b/>
                <w:szCs w:val="21"/>
              </w:rPr>
              <w:t>（元）</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b/>
                <w:szCs w:val="21"/>
              </w:rPr>
            </w:pPr>
            <w:r>
              <w:rPr>
                <w:rFonts w:hint="eastAsia" w:asciiTheme="minorEastAsia" w:hAnsiTheme="minorEastAsia"/>
                <w:b/>
                <w:szCs w:val="21"/>
              </w:rPr>
              <w:t>小计</w:t>
            </w:r>
          </w:p>
          <w:p>
            <w:pPr>
              <w:jc w:val="center"/>
              <w:rPr>
                <w:rFonts w:hint="eastAsia" w:ascii="宋体" w:hAnsi="宋体" w:eastAsia="宋体" w:cs="宋体"/>
                <w:b/>
                <w:bCs/>
                <w:i w:val="0"/>
                <w:iCs w:val="0"/>
                <w:color w:val="000000"/>
                <w:kern w:val="0"/>
                <w:sz w:val="21"/>
                <w:szCs w:val="21"/>
                <w:u w:val="none"/>
                <w:lang w:val="en-US" w:eastAsia="zh-CN" w:bidi="ar"/>
              </w:rPr>
            </w:pPr>
            <w:r>
              <w:rPr>
                <w:rFonts w:hint="eastAsia" w:asciiTheme="minorEastAsia" w:hAnsiTheme="minorEastAsia"/>
                <w:b/>
                <w:szCs w:val="21"/>
              </w:rPr>
              <w:t>（元）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kern w:val="0"/>
                <w:sz w:val="21"/>
                <w:szCs w:val="21"/>
                <w:u w:val="none"/>
                <w:lang w:val="en-US" w:eastAsia="zh-CN" w:bidi="ar"/>
              </w:rPr>
            </w:pPr>
            <w:r>
              <w:rPr>
                <w:rFonts w:hint="eastAsia" w:asciiTheme="minorEastAsia" w:hAnsiTheme="minorEastAsia"/>
                <w:b/>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鼠伤寒沙门氏菌  ATCC14028      标准菌种    冻干粉</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大肠埃希氏菌     ATCC25922   标准菌种    冻干粉</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金黄色葡萄球菌  ATCC6538   标准菌种    冻干粉</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啤酒酵母菌CMCC(F)98007      标准菌种    冻干粉</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谱析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登革热病毒通用型核酸检测试剂盒  SLIN-A5-01</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禽流感病毒核酸检测试剂盒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禽流感病毒(H5、H7、H9亚型) 三重核酸检测试剂盒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10%奋斗呐悬浮剂</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巴斯夫（中国）有限公司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500ml/瓶，20瓶/箱</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1000ul吸头</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深圳市爱康试剂有限公司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960支/条、13条/箱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猴痘病毒核酸检测试剂盒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丙型肝炎（HCV）病毒核酸检测试剂盒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生化质控品</w:t>
            </w:r>
            <w:r>
              <w:rPr>
                <w:rStyle w:val="40"/>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液体</w:t>
            </w:r>
            <w:r>
              <w:rPr>
                <w:rStyle w:val="40"/>
                <w:rFonts w:hint="eastAsia" w:ascii="宋体" w:hAnsi="宋体" w:eastAsia="宋体" w:cs="宋体"/>
                <w:sz w:val="21"/>
                <w:szCs w:val="21"/>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货号</w:t>
            </w:r>
            <w:r>
              <w:rPr>
                <w:rStyle w:val="40"/>
                <w:rFonts w:hint="eastAsia" w:ascii="宋体" w:hAnsi="宋体" w:eastAsia="宋体" w:cs="宋体"/>
                <w:sz w:val="21"/>
                <w:szCs w:val="21"/>
                <w:lang w:val="en-US" w:eastAsia="zh-CN" w:bidi="ar"/>
              </w:rPr>
              <w:t>695</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伯乐实验有限公司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水平2 12*3ml/盒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84消毒液</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德州利兴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500ml/瓶，30瓶/箱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甲型 H1N1(2009)和H3亚型流感病毒核酸检测试剂盒(荧光PCR法)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江苏硕世</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乙型流感病毒Victoria/Yamagata核酸检测试剂盒（荧光PCR法）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江苏硕世</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轮状病毒A组核酸检测试剂盒(荧光PCR法)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扎如病毒、星状病毒、腺病毒三重核酸检测试剂盒(荧光PCR法)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肠道病毒通用型核酸检测试剂盒(荧光PCR法)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肠道病毒 (CA24、EV70) 双重核酸检测试剂盒(荧光PCR法)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肠道病毒(CA6、CA16、EV71、通用型)核酸检测试剂盒(荧光PCR法)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登革热病毒 ( I、Il、II、IV型) 四重核酸检测试剂盒(荧光PCR法)</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25T/盒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1-200ul超长型滤芯盒装吸头   货号KG5735</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上海科进医疗科技有限公司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96支/盒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高锰酸钾容量分析用溶液标准物质（货号GBW（E）081604）</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北京海岸鸿蒙标准物质技术有限责任公司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500mL，浓度0.1 mo1/L</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水质六价铬(标样)-货号BWB2229-2016C</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20mL，浓度39ug/L</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无菌水样取样袋（货号863573）</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250mL，150个/箱</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XN专用清洗液 CCA-500A</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希森美康株式会社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4ml*20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EasyID志贺氏菌生化鉴定试剂盒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17种*5测试</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EasyID沙门氏菌生化鉴定试剂盒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13种*5测试</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EasyID副溶血性弧菌生化鉴定试剂盒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5测试</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革兰氏染色液 10m1*4瓶</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10ml*4种/盒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营养琼脂(NA) 250g</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BR25g</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广泛试纸 1-14</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上海三爱</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 20本/盒</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色度溶液标准物质/铂钻</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坛墨质检科技股份有限公司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50ml，浓度：500度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标准物质/水质浊度</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坛墨质检科技股份有限公司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100ml，浓度：100NTU</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制药内标 1</w:t>
            </w:r>
          </w:p>
        </w:tc>
        <w:tc>
          <w:tcPr>
            <w:tcW w:w="1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安捷伦科技有限公司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100ml，浓度：10mg/L</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多功能试管架</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邻苯二甲酸氢钾</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国药集团化学试剂有限公司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500g (AR)</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1,3-二甲基巴比妥酸</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国药集团化学试剂有限公司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100g (99%)</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酶标板</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无锡耐思生物科技有限公司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透明板，50块/箱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聚四氟乙烯磁力搅拌子</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A型18*50mm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聚四氟乙烯磁力搅拌子</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A型10*30mm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压条可立无菌采样袋</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20*22cm (立式带压条)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移液器架</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z型，不可拆卸</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一次性塑料滴管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3mL加长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玻璃滴定管透明聚四氟酸碱</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抗体孵育盒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单格</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PTFE微控滤膜</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疏水型47mm*0.45um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 mL钳口顶空瓶</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上海思达分析仪器股份有限公司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 mL，100个/盒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变色硅胶</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500g/瓶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不锈钢镊子，直尖头</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16cm，5个/包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废液桶</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DB-FFAP气相色谱柱</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安捷伦科技（中国）有限公司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长30m，内径0.32um，膜厚0.5um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抗坏血酸</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上海阿拉丁生化科技股份有限公司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AR，＞99.0%，100g/瓶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氢氟酸</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上海阿拉丁生化科技股份有限公司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AR，≥40%，500mL/瓶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50mL离心管</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浙江月旭材料科技有限公司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50mL，锥形底，25/包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一次性塑料培养皿</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9cm*1.5cm，500皿/箱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流式管，12x75mm</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贝克曼库尔特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250/pk</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一次性无粉丁腈手套（9寸，蓝色，S号），经济型</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100只/盒 ，10盒/箱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一次性无粉丁腈手套（9寸，蓝色，M号），经济型</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100只/盒 ，10盒/箱</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针头式过滤器</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浙江月旭材料科技有限公司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NY 13mm*0.45µm 100/盒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针头式过滤器</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浙江月旭材料科技有限公司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PES 13mm*0.45µm 100/盒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硅质半面型防护面具（中号）</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1个，不带滤毒盒(需配2个滤毒盒)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酸性气体滤毒盒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有机气体滤毒盒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酸性气体滤毒盒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中国款流线型防护眼镜（透明镜片，防雾）</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1副/盒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碱性蛋白陈水</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BR 250g</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霍乱弧菌显色培养基</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霍乱弧菌生化鉴定管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11种×10支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低尘擦拭纸</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亚速旺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280张/盒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1,3-二甲基巴比妥酸</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上海阿拉丁生化科技股份有限公司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100g</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氧化酶试剂</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50测试/盒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半固体琼脂</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250g/瓶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无菌水样取样袋</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250mL，22mm口径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血平板9cm*20套/盒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9cm*20套/盒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伊红美蓝琼脂培养基(EMB)BR 250g</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BR 250g</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乳糖胆盐发酵培养基 10mL/支*20</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10mL/支*20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双料乳糖胆盐发酵培养基 10mL*20支</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10mL*20支/盒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EC-MUG培养基10mL*20支</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10mL*20支/盒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沙门氏菌显色培养基 1000mL/瓶</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Cary-Blair运送培养基10mL/支</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广东环凯生物科技有限公司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水中氯酸盐溶液标准物质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20mL,1000μg/mL（以氯酸根计）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水质氯酸盐（标样）</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20mL,0.778μg/mL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水中氟成分分析标准物质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水质氟化物（标样）</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20mL,0.978μg/mL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甲醇中一溴二氯甲烷溶液标准物质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甲醇中二溴一氯甲烷溶液标准物质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甲醇中三溴甲烷溶液标准物质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水中二氯乙酸（二氯醋酸）、三氯乙酸（三氯醋酸）混合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溶液标准物质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2mL,100μg/mL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低尘擦拭纸</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亚速旺(上海)商贸有限公司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BC6-6689-11 280张/盒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五种致泻性大肠杆菌核酸检测试剂盒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广州生凌医疗科技有限公司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24人份/盒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16560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有色金属液体标准样品</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国标检验认证中心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沙门氏菌属诊断血清</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宁波天润生物药业有限公司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 x 30瓶/盒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志贺氏菌属诊断血清</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宁波天润生物药业有限公司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 x 26瓶/盒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FilmArray 胃肠道感染测试</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梅里埃法国股份生物有限公司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6人份/盒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VITEK2GN革兰阴性杆菌鉴定卡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梅里埃法国股份生物有限公司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20张/盒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水中总硬度溶液标准物质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20mL,450μg/mL；GBW(E)084383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水质高锰酸盐指数（标样)-COD锰法</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北方伟业计量集团有限公司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20mL,4.27μg/mL；BWZ6974-2016B</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乙二胺四乙酸二钠容量分析用溶液标准物质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北京海岸鸿蒙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500mL，浓度0.1 mo1/L</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内径400mm 透明</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内径300mm 透明</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玛瑙研钵(含棒)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内径100mm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玻璃三角烧杯</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实验室镍铬电炉</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温度计玻璃棒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水银0-300℃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石棉网</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200*200mm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玻璃三角漏斗</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常德比克曼生物科技有限公司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90mm长，10个/盒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铂金坩埚(带盖)</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希雨机电科技（上海）有限公司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30mL</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毛圈棉隔热手套</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均码</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定量滤纸</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125m，100片/盒</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亚克力4位漏斗支架</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4孔</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不锈钢筛网</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上海安谱实验科技股份有限公司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20目</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粉尘中游离二氧化硅质控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广东职业病防治院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除静电器</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上海恩硕电子科技有限公司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AS-6101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03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Theme="minorEastAsia" w:hAnsiTheme="minorEastAsia"/>
                <w:b/>
              </w:rPr>
              <w:t>合计（每项小计之和）：人民币</w:t>
            </w:r>
            <w:r>
              <w:rPr>
                <w:rFonts w:hint="eastAsia" w:asciiTheme="minorEastAsia" w:hAnsiTheme="minorEastAsia"/>
                <w:b/>
                <w:u w:val="single"/>
              </w:rPr>
              <w:t xml:space="preserve">          </w:t>
            </w:r>
            <w:r>
              <w:rPr>
                <w:rFonts w:hint="eastAsia" w:asciiTheme="minorEastAsia" w:hAnsiTheme="minorEastAsia"/>
                <w:b/>
              </w:rPr>
              <w:t>元</w:t>
            </w:r>
          </w:p>
        </w:tc>
      </w:tr>
    </w:tbl>
    <w:p>
      <w:pPr>
        <w:rPr>
          <w:lang w:val="zh-CN"/>
        </w:rPr>
      </w:pPr>
    </w:p>
    <w:p>
      <w:pPr>
        <w:spacing w:line="500" w:lineRule="exact"/>
        <w:rPr>
          <w:rFonts w:ascii="宋体" w:hAnsi="宋体"/>
          <w:b/>
          <w:spacing w:val="4"/>
          <w:szCs w:val="21"/>
        </w:rPr>
      </w:pPr>
      <w:r>
        <w:rPr>
          <w:rFonts w:hint="eastAsia" w:ascii="宋体" w:hAnsi="宋体"/>
          <w:b/>
          <w:spacing w:val="4"/>
          <w:szCs w:val="21"/>
        </w:rPr>
        <w:t>注：</w:t>
      </w:r>
    </w:p>
    <w:p>
      <w:pPr>
        <w:pStyle w:val="11"/>
        <w:numPr>
          <w:ilvl w:val="0"/>
          <w:numId w:val="19"/>
        </w:numPr>
        <w:shd w:val="clear" w:color="auto" w:fill="FFFFFF"/>
        <w:spacing w:before="0" w:beforeAutospacing="0" w:after="0" w:afterAutospacing="0" w:line="276" w:lineRule="auto"/>
        <w:rPr>
          <w:b/>
          <w:bCs/>
          <w:sz w:val="21"/>
          <w:szCs w:val="21"/>
        </w:rPr>
      </w:pPr>
      <w:r>
        <w:rPr>
          <w:rFonts w:hint="eastAsia"/>
          <w:b/>
          <w:bCs/>
          <w:sz w:val="21"/>
          <w:szCs w:val="21"/>
        </w:rPr>
        <w:t>供应商必须按报价表的格式填写，不得增加或删除表格内容。除单价、金额或项目要求填写的内容外，不得擅自改动报价表内容，否则将有可能影响成交结果，不推荐为成交候选人；</w:t>
      </w:r>
    </w:p>
    <w:p>
      <w:pPr>
        <w:pStyle w:val="11"/>
        <w:numPr>
          <w:ilvl w:val="0"/>
          <w:numId w:val="19"/>
        </w:numPr>
        <w:shd w:val="clear" w:color="auto" w:fill="FFFFFF"/>
        <w:spacing w:before="0" w:beforeAutospacing="0" w:after="0" w:afterAutospacing="0" w:line="276"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pPr>
        <w:pStyle w:val="11"/>
        <w:numPr>
          <w:ilvl w:val="0"/>
          <w:numId w:val="19"/>
        </w:numPr>
        <w:shd w:val="clear" w:color="auto" w:fill="FFFFFF"/>
        <w:spacing w:before="0" w:beforeAutospacing="0" w:after="0" w:afterAutospacing="0" w:line="276" w:lineRule="auto"/>
        <w:rPr>
          <w:b/>
          <w:sz w:val="21"/>
          <w:szCs w:val="21"/>
        </w:rPr>
      </w:pPr>
      <w:r>
        <w:rPr>
          <w:rFonts w:hint="eastAsia"/>
          <w:b/>
          <w:sz w:val="21"/>
          <w:szCs w:val="21"/>
        </w:rPr>
        <w:t>平台上报价与上表合计不一致的，以报价表合计（经价格核准后的价格）为准。</w:t>
      </w:r>
    </w:p>
    <w:p>
      <w:pPr>
        <w:spacing w:line="500" w:lineRule="exac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ascii="宋体" w:hAnsi="宋体"/>
          <w:spacing w:val="4"/>
          <w:szCs w:val="21"/>
          <w:u w:val="single"/>
        </w:rPr>
        <w:t xml:space="preserve">                     </w:t>
      </w:r>
    </w:p>
    <w:p>
      <w:pPr>
        <w:pStyle w:val="2"/>
      </w:pPr>
      <w:r>
        <w:rPr>
          <w:rFonts w:hint="eastAsia" w:ascii="宋体" w:hAnsi="宋体"/>
          <w:spacing w:val="4"/>
          <w:szCs w:val="21"/>
        </w:rPr>
        <w:t>日期：</w:t>
      </w:r>
      <w:r>
        <w:rPr>
          <w:rFonts w:ascii="宋体" w:hAnsi="宋体"/>
          <w:spacing w:val="4"/>
          <w:szCs w:val="21"/>
          <w:u w:val="single"/>
        </w:rPr>
        <w:t xml:space="preserve">                     </w:t>
      </w:r>
      <w:r>
        <w:rPr>
          <w:rFonts w:hint="eastAsia" w:ascii="宋体" w:hAnsi="宋体"/>
          <w:spacing w:val="4"/>
          <w:szCs w:val="21"/>
          <w:u w:val="single"/>
        </w:rPr>
        <w:t xml:space="preserve"> </w:t>
      </w:r>
    </w:p>
    <w:p>
      <w:pPr>
        <w:widowControl/>
        <w:jc w:val="left"/>
        <w:rPr>
          <w:rFonts w:ascii="Cambria" w:hAnsi="Cambria" w:cs="Times New Roman"/>
          <w:b/>
          <w:bCs/>
          <w:kern w:val="28"/>
          <w:sz w:val="32"/>
          <w:szCs w:val="32"/>
        </w:rPr>
      </w:pPr>
      <w:r>
        <w:rPr>
          <w:rFonts w:ascii="Cambria" w:hAnsi="Cambria" w:cs="Times New Roman"/>
          <w:b/>
          <w:bCs/>
          <w:kern w:val="28"/>
          <w:sz w:val="32"/>
          <w:szCs w:val="32"/>
        </w:rPr>
        <w:br w:type="page"/>
      </w:r>
    </w:p>
    <w:p>
      <w:pPr>
        <w:autoSpaceDE w:val="0"/>
        <w:autoSpaceDN w:val="0"/>
        <w:adjustRightInd w:val="0"/>
        <w:spacing w:before="240" w:after="60" w:line="312" w:lineRule="auto"/>
        <w:jc w:val="center"/>
        <w:outlineLvl w:val="1"/>
        <w:rPr>
          <w:rFonts w:ascii="Cambria" w:hAnsi="Cambria" w:cs="Times New Roman"/>
          <w:b/>
          <w:bCs/>
          <w:kern w:val="28"/>
          <w:sz w:val="32"/>
          <w:szCs w:val="32"/>
        </w:rPr>
      </w:pPr>
      <w:r>
        <w:rPr>
          <w:rFonts w:hint="eastAsia" w:ascii="Cambria" w:hAnsi="Cambria" w:cs="Times New Roman"/>
          <w:b/>
          <w:bCs/>
          <w:kern w:val="28"/>
          <w:sz w:val="32"/>
          <w:szCs w:val="32"/>
        </w:rPr>
        <w:t>用户需求书响应声明函</w:t>
      </w:r>
    </w:p>
    <w:p>
      <w:pPr>
        <w:autoSpaceDE w:val="0"/>
        <w:autoSpaceDN w:val="0"/>
        <w:adjustRightInd w:val="0"/>
        <w:spacing w:before="240" w:after="312" w:afterLines="100" w:line="360" w:lineRule="auto"/>
        <w:jc w:val="left"/>
        <w:rPr>
          <w:rFonts w:ascii="宋体" w:hAnsi="宋体" w:cs="Times New Roman"/>
          <w:b/>
          <w:kern w:val="0"/>
          <w:szCs w:val="21"/>
        </w:rPr>
      </w:pPr>
      <w:r>
        <w:rPr>
          <w:rFonts w:hint="eastAsia" w:ascii="宋体" w:hAnsi="宋体" w:cs="Times New Roman"/>
          <w:b/>
          <w:kern w:val="0"/>
          <w:szCs w:val="21"/>
        </w:rPr>
        <w:t>致：和平县疾病预防控制中心、云采链（广州）信息科技有限公司</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关于贵单位、贵司发布</w:t>
      </w:r>
      <w:r>
        <w:rPr>
          <w:rFonts w:hint="eastAsia" w:ascii="宋体" w:hAnsi="宋体" w:cs="Times New Roman"/>
          <w:b/>
          <w:bCs/>
          <w:kern w:val="0"/>
          <w:szCs w:val="21"/>
          <w:u w:val="single"/>
          <w:lang w:eastAsia="zh-CN"/>
        </w:rPr>
        <w:t>和平县疾病预防控制中心试剂耗材采购项目</w:t>
      </w:r>
      <w:r>
        <w:rPr>
          <w:rFonts w:hint="eastAsia" w:ascii="宋体" w:hAnsi="宋体" w:cs="Times New Roman"/>
          <w:kern w:val="0"/>
          <w:szCs w:val="21"/>
        </w:rPr>
        <w:t>的竞价公告，本公司（企业）愿意参加采购活动，并作出如下声明：</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备注：</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（1）本声明函必须提供且内容不得擅自删改，否则视为响应无效。</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（2）本声明函如有虚假或与事实不符的，作无效报价处理。</w:t>
      </w:r>
    </w:p>
    <w:p>
      <w:pPr>
        <w:autoSpaceDE w:val="0"/>
        <w:autoSpaceDN w:val="0"/>
        <w:adjustRightInd w:val="0"/>
        <w:spacing w:line="480" w:lineRule="auto"/>
        <w:ind w:firstLine="424" w:firstLineChars="202"/>
        <w:jc w:val="right"/>
        <w:rPr>
          <w:rFonts w:ascii="宋体" w:hAnsi="宋体" w:cs="Times New Roman"/>
          <w:kern w:val="0"/>
          <w:szCs w:val="21"/>
        </w:rPr>
      </w:pPr>
    </w:p>
    <w:p>
      <w:pPr>
        <w:autoSpaceDE w:val="0"/>
        <w:autoSpaceDN w:val="0"/>
        <w:adjustRightInd w:val="0"/>
        <w:spacing w:line="480" w:lineRule="auto"/>
        <w:ind w:firstLine="3574" w:firstLineChars="1702"/>
        <w:jc w:val="right"/>
        <w:rPr>
          <w:rFonts w:ascii="宋体" w:hAnsi="宋体" w:cs="Times New Roman"/>
          <w:kern w:val="0"/>
          <w:szCs w:val="21"/>
        </w:rPr>
      </w:pPr>
      <w:r>
        <w:rPr>
          <w:rFonts w:hint="eastAsia" w:ascii="宋体" w:hAnsi="宋体" w:cs="Times New Roman"/>
          <w:kern w:val="0"/>
          <w:szCs w:val="21"/>
        </w:rPr>
        <w:t>供应商名称（单位盖公章）：</w:t>
      </w:r>
    </w:p>
    <w:p>
      <w:pPr>
        <w:autoSpaceDE w:val="0"/>
        <w:autoSpaceDN w:val="0"/>
        <w:adjustRightInd w:val="0"/>
        <w:spacing w:line="480" w:lineRule="auto"/>
        <w:ind w:firstLine="3574" w:firstLineChars="1702"/>
        <w:jc w:val="right"/>
        <w:rPr>
          <w:rFonts w:ascii="宋体" w:hAnsi="宋体" w:cs="Times New Roman"/>
          <w:b/>
          <w:bCs/>
          <w:kern w:val="28"/>
          <w:szCs w:val="21"/>
        </w:rPr>
      </w:pPr>
      <w:r>
        <w:rPr>
          <w:rFonts w:hint="eastAsia" w:ascii="宋体" w:hAnsi="宋体" w:cs="Times New Roman"/>
          <w:kern w:val="0"/>
          <w:szCs w:val="21"/>
        </w:rPr>
        <w:t>日期：</w:t>
      </w:r>
    </w:p>
    <w:p>
      <w:pPr>
        <w:pStyle w:val="6"/>
        <w:rPr>
          <w:rFonts w:hAnsi="宋体"/>
        </w:rPr>
      </w:pPr>
    </w:p>
    <w:p>
      <w:pPr>
        <w:pStyle w:val="6"/>
        <w:rPr>
          <w:rFonts w:hAnsi="宋体"/>
        </w:rPr>
      </w:pPr>
    </w:p>
    <w:p>
      <w:pPr>
        <w:pStyle w:val="6"/>
      </w:pPr>
    </w:p>
    <w:p>
      <w:pPr>
        <w:widowControl/>
        <w:jc w:val="left"/>
        <w:rPr>
          <w:rFonts w:ascii="宋体" w:hAnsi="Courier New" w:cs="Times New Roman"/>
          <w:szCs w:val="21"/>
        </w:rPr>
      </w:pPr>
      <w:r>
        <w:br w:type="page"/>
      </w:r>
    </w:p>
    <w:p>
      <w:pPr>
        <w:pStyle w:val="6"/>
      </w:pPr>
    </w:p>
    <w:p>
      <w:pPr>
        <w:pStyle w:val="6"/>
      </w:pPr>
    </w:p>
    <w:p>
      <w:pPr>
        <w:pStyle w:val="4"/>
        <w:spacing w:before="0" w:after="0"/>
        <w:jc w:val="center"/>
        <w:rPr>
          <w:rFonts w:ascii="宋体" w:hAnsi="宋体" w:eastAsia="宋体"/>
        </w:rPr>
      </w:pPr>
      <w:r>
        <w:rPr>
          <w:rFonts w:hint="eastAsia" w:ascii="宋体" w:hAnsi="宋体" w:eastAsia="宋体"/>
        </w:rPr>
        <w:t>供应商资格声明函</w:t>
      </w:r>
    </w:p>
    <w:p>
      <w:pPr>
        <w:rPr>
          <w:rFonts w:ascii="宋体" w:hAnsi="宋体"/>
          <w:b/>
          <w:sz w:val="24"/>
          <w:szCs w:val="24"/>
        </w:rPr>
      </w:pPr>
    </w:p>
    <w:p>
      <w:pPr>
        <w:rPr>
          <w:rFonts w:ascii="宋体" w:hAnsi="宋体"/>
          <w:b/>
          <w:szCs w:val="21"/>
        </w:rPr>
      </w:pPr>
      <w:r>
        <w:rPr>
          <w:rFonts w:hint="eastAsia" w:ascii="宋体" w:hAnsi="宋体"/>
          <w:b/>
          <w:szCs w:val="21"/>
        </w:rPr>
        <w:t>致：和平县疾病预防控制中心、云采链（广州）信息科技有限公司：</w:t>
      </w:r>
    </w:p>
    <w:p>
      <w:pPr>
        <w:rPr>
          <w:rFonts w:ascii="宋体" w:hAnsi="宋体"/>
          <w:b/>
          <w:szCs w:val="21"/>
        </w:rPr>
      </w:pPr>
    </w:p>
    <w:p>
      <w:pPr>
        <w:snapToGrid w:val="0"/>
        <w:spacing w:line="360" w:lineRule="auto"/>
        <w:ind w:firstLine="424" w:firstLineChars="202"/>
        <w:rPr>
          <w:rFonts w:ascii="宋体" w:hAnsi="宋体"/>
          <w:szCs w:val="21"/>
        </w:rPr>
      </w:pPr>
      <w:r>
        <w:rPr>
          <w:rFonts w:hint="eastAsia" w:ascii="宋体" w:hAnsi="宋体"/>
          <w:szCs w:val="21"/>
        </w:rPr>
        <w:t>关于贵公司发布</w:t>
      </w:r>
      <w:bookmarkStart w:id="0" w:name="_GoBack"/>
      <w:r>
        <w:rPr>
          <w:rFonts w:hint="eastAsia" w:ascii="宋体" w:hAnsi="宋体" w:cs="Times New Roman"/>
          <w:b/>
          <w:bCs/>
          <w:kern w:val="0"/>
          <w:szCs w:val="21"/>
          <w:u w:val="single"/>
          <w:lang w:eastAsia="zh-CN"/>
        </w:rPr>
        <w:t>和平县疾病预防控制中心试剂耗材采购项目</w:t>
      </w:r>
      <w:bookmarkEnd w:id="0"/>
      <w:r>
        <w:rPr>
          <w:rFonts w:hint="eastAsia" w:ascii="宋体" w:hAnsi="宋体"/>
          <w:szCs w:val="21"/>
        </w:rPr>
        <w:t>的采购公告，本公司（企业）愿意参加竞价，并声明：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kern w:val="0"/>
          <w:szCs w:val="21"/>
        </w:rPr>
      </w:pPr>
      <w:r>
        <w:rPr>
          <w:rFonts w:hint="eastAsia" w:ascii="宋体" w:hAnsi="宋体"/>
          <w:kern w:val="0"/>
          <w:szCs w:val="21"/>
        </w:rPr>
        <w:t>（一）具有独立承担民事责任的能力；</w:t>
      </w:r>
    </w:p>
    <w:p>
      <w:pPr>
        <w:widowControl/>
        <w:spacing w:line="360" w:lineRule="auto"/>
        <w:ind w:firstLine="360"/>
        <w:rPr>
          <w:rFonts w:ascii="宋体" w:hAnsi="宋体"/>
          <w:kern w:val="0"/>
          <w:szCs w:val="21"/>
        </w:rPr>
      </w:pPr>
      <w:r>
        <w:rPr>
          <w:rFonts w:hint="eastAsia" w:ascii="宋体" w:hAnsi="宋体"/>
          <w:kern w:val="0"/>
          <w:szCs w:val="21"/>
        </w:rPr>
        <w:t xml:space="preserve">（二）具有良好的商业信誉和健全的财务会计制度； </w:t>
      </w:r>
    </w:p>
    <w:p>
      <w:pPr>
        <w:widowControl/>
        <w:spacing w:line="360" w:lineRule="auto"/>
        <w:ind w:firstLine="360"/>
        <w:rPr>
          <w:rFonts w:ascii="宋体" w:hAnsi="宋体"/>
          <w:kern w:val="0"/>
          <w:szCs w:val="21"/>
        </w:rPr>
      </w:pPr>
      <w:r>
        <w:rPr>
          <w:rFonts w:hint="eastAsia" w:ascii="宋体" w:hAnsi="宋体"/>
          <w:kern w:val="0"/>
          <w:szCs w:val="21"/>
        </w:rPr>
        <w:t>（三）具有履行合同所必需的设备和专业技术能力；</w:t>
      </w:r>
    </w:p>
    <w:p>
      <w:pPr>
        <w:widowControl/>
        <w:spacing w:line="360" w:lineRule="auto"/>
        <w:ind w:firstLine="360"/>
        <w:rPr>
          <w:rFonts w:ascii="宋体" w:hAnsi="宋体"/>
          <w:kern w:val="0"/>
          <w:szCs w:val="21"/>
        </w:rPr>
      </w:pPr>
      <w:r>
        <w:rPr>
          <w:rFonts w:hint="eastAsia" w:ascii="宋体" w:hAnsi="宋体"/>
          <w:kern w:val="0"/>
          <w:szCs w:val="21"/>
        </w:rPr>
        <w:t>（四）有依法缴纳税收和社会保障资金的良好记录；</w:t>
      </w:r>
    </w:p>
    <w:p>
      <w:pPr>
        <w:widowControl/>
        <w:spacing w:line="360" w:lineRule="auto"/>
        <w:ind w:firstLine="360"/>
        <w:rPr>
          <w:rFonts w:ascii="宋体" w:hAnsi="宋体"/>
          <w:kern w:val="0"/>
          <w:szCs w:val="21"/>
        </w:rPr>
      </w:pPr>
      <w:r>
        <w:rPr>
          <w:rFonts w:hint="eastAsia" w:ascii="宋体" w:hAnsi="宋体"/>
          <w:kern w:val="0"/>
          <w:szCs w:val="21"/>
        </w:rPr>
        <w:t>（五）参加政府采购活动前三年内，在经营活动中没有重大违法记录；</w:t>
      </w:r>
    </w:p>
    <w:p>
      <w:pPr>
        <w:widowControl/>
        <w:spacing w:line="360" w:lineRule="auto"/>
        <w:ind w:firstLine="360"/>
        <w:rPr>
          <w:rFonts w:ascii="宋体" w:hAnsi="宋体"/>
          <w:kern w:val="0"/>
          <w:szCs w:val="21"/>
        </w:rPr>
      </w:pPr>
      <w:r>
        <w:rPr>
          <w:rFonts w:hint="eastAsia" w:ascii="宋体" w:hAnsi="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21"/>
        <w:numPr>
          <w:ilvl w:val="0"/>
          <w:numId w:val="20"/>
        </w:numPr>
        <w:autoSpaceDE w:val="0"/>
        <w:autoSpaceDN w:val="0"/>
        <w:adjustRightInd w:val="0"/>
        <w:spacing w:line="360" w:lineRule="auto"/>
        <w:ind w:firstLineChars="0"/>
        <w:rPr>
          <w:rFonts w:ascii="宋体" w:hAnsi="宋体" w:cs="宋体"/>
          <w:szCs w:val="21"/>
        </w:rPr>
      </w:pPr>
      <w:r>
        <w:rPr>
          <w:rFonts w:hint="eastAsia" w:ascii="宋体" w:hAnsi="宋体" w:cs="宋体"/>
          <w:szCs w:val="21"/>
        </w:rPr>
        <w:t>本声明函必须提供且内容不得擅自删改，否则视为响应无效。</w:t>
      </w:r>
    </w:p>
    <w:p>
      <w:pPr>
        <w:pStyle w:val="21"/>
        <w:numPr>
          <w:ilvl w:val="0"/>
          <w:numId w:val="20"/>
        </w:numPr>
        <w:snapToGrid w:val="0"/>
        <w:spacing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ind w:firstLine="420"/>
        <w:jc w:val="right"/>
        <w:rPr>
          <w:rFonts w:ascii="宋体" w:hAnsi="宋体"/>
          <w:szCs w:val="21"/>
          <w:u w:val="single"/>
        </w:rPr>
      </w:pPr>
      <w:r>
        <w:rPr>
          <w:rFonts w:hint="eastAsia" w:ascii="宋体" w:hAnsi="宋体"/>
          <w:szCs w:val="21"/>
        </w:rPr>
        <w:t>供应商名称（单位盖</w:t>
      </w:r>
      <w:r>
        <w:rPr>
          <w:rFonts w:hint="eastAsia" w:ascii="宋体" w:hAnsi="宋体"/>
          <w:spacing w:val="4"/>
          <w:szCs w:val="21"/>
        </w:rPr>
        <w:t>公章</w:t>
      </w:r>
      <w:r>
        <w:rPr>
          <w:rFonts w:hint="eastAsia" w:ascii="宋体" w:hAnsi="宋体"/>
          <w:szCs w:val="21"/>
        </w:rPr>
        <w:t>）：</w:t>
      </w:r>
      <w:r>
        <w:rPr>
          <w:rFonts w:hint="eastAsia" w:ascii="宋体" w:hAnsi="宋体"/>
          <w:szCs w:val="21"/>
          <w:u w:val="single"/>
        </w:rPr>
        <w:t xml:space="preserve">                          </w:t>
      </w:r>
    </w:p>
    <w:p>
      <w:pPr>
        <w:spacing w:line="360" w:lineRule="auto"/>
        <w:ind w:firstLine="420" w:firstLineChars="200"/>
        <w:jc w:val="right"/>
        <w:rPr>
          <w:rFonts w:ascii="宋体" w:hAnsi="宋体"/>
          <w:szCs w:val="21"/>
          <w:u w:val="single"/>
        </w:rPr>
      </w:pPr>
      <w:r>
        <w:rPr>
          <w:rFonts w:hint="eastAsia" w:ascii="宋体" w:hAnsi="宋体"/>
          <w:szCs w:val="21"/>
        </w:rPr>
        <w:t>日期：</w:t>
      </w:r>
      <w:r>
        <w:rPr>
          <w:rFonts w:hint="eastAsia" w:ascii="宋体" w:hAnsi="宋体"/>
          <w:szCs w:val="21"/>
          <w:u w:val="single"/>
        </w:rPr>
        <w:t xml:space="preserve">                       </w:t>
      </w:r>
    </w:p>
    <w:p>
      <w:pPr>
        <w:pStyle w:val="4"/>
        <w:adjustRightInd w:val="0"/>
        <w:snapToGrid w:val="0"/>
        <w:spacing w:before="0" w:after="0" w:line="360" w:lineRule="auto"/>
        <w:rPr>
          <w:rFonts w:ascii="宋体" w:hAnsi="宋体"/>
        </w:rPr>
      </w:pP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29F5D"/>
    <w:multiLevelType w:val="singleLevel"/>
    <w:tmpl w:val="97629F5D"/>
    <w:lvl w:ilvl="0" w:tentative="0">
      <w:start w:val="3"/>
      <w:numFmt w:val="chineseCounting"/>
      <w:suff w:val="space"/>
      <w:lvlText w:val="第%1章"/>
      <w:lvlJc w:val="left"/>
      <w:rPr>
        <w:rFonts w:hint="eastAsia"/>
      </w:rPr>
    </w:lvl>
  </w:abstractNum>
  <w:abstractNum w:abstractNumId="1">
    <w:nsid w:val="22F30C3E"/>
    <w:multiLevelType w:val="multilevel"/>
    <w:tmpl w:val="22F30C3E"/>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34"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5C9A22B7"/>
    <w:multiLevelType w:val="multilevel"/>
    <w:tmpl w:val="5C9A22B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3">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4">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
    <w:nsid w:val="6DAF3289"/>
    <w:multiLevelType w:val="multilevel"/>
    <w:tmpl w:val="6DAF328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num w:numId="1">
    <w:abstractNumId w:val="15"/>
  </w:num>
  <w:num w:numId="2">
    <w:abstractNumId w:val="10"/>
  </w:num>
  <w:num w:numId="3">
    <w:abstractNumId w:val="11"/>
  </w:num>
  <w:num w:numId="4">
    <w:abstractNumId w:val="8"/>
  </w:num>
  <w:num w:numId="5">
    <w:abstractNumId w:val="1"/>
  </w:num>
  <w:num w:numId="6">
    <w:abstractNumId w:val="2"/>
  </w:num>
  <w:num w:numId="7">
    <w:abstractNumId w:val="12"/>
  </w:num>
  <w:num w:numId="8">
    <w:abstractNumId w:val="13"/>
  </w:num>
  <w:num w:numId="9">
    <w:abstractNumId w:val="4"/>
  </w:num>
  <w:num w:numId="10">
    <w:abstractNumId w:val="14"/>
  </w:num>
  <w:num w:numId="11">
    <w:abstractNumId w:val="9"/>
  </w:num>
  <w:num w:numId="12">
    <w:abstractNumId w:val="3"/>
  </w:num>
  <w:num w:numId="13">
    <w:abstractNumId w:val="19"/>
  </w:num>
  <w:num w:numId="14">
    <w:abstractNumId w:val="16"/>
  </w:num>
  <w:num w:numId="15">
    <w:abstractNumId w:val="5"/>
  </w:num>
  <w:num w:numId="16">
    <w:abstractNumId w:val="6"/>
  </w:num>
  <w:num w:numId="17">
    <w:abstractNumId w:val="17"/>
  </w:num>
  <w:num w:numId="18">
    <w:abstractNumId w:val="0"/>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mFjMmIyNDEwNGY0ZDIzZGVkMDkzY2Y2ODk0YWMifQ=="/>
  </w:docVars>
  <w:rsids>
    <w:rsidRoot w:val="03954CCD"/>
    <w:rsid w:val="00010C89"/>
    <w:rsid w:val="00052B25"/>
    <w:rsid w:val="0006339E"/>
    <w:rsid w:val="00063F28"/>
    <w:rsid w:val="000B281B"/>
    <w:rsid w:val="000B44B8"/>
    <w:rsid w:val="000B7C9F"/>
    <w:rsid w:val="000D25F5"/>
    <w:rsid w:val="00151A37"/>
    <w:rsid w:val="001852C4"/>
    <w:rsid w:val="001A54F2"/>
    <w:rsid w:val="001D6218"/>
    <w:rsid w:val="001E03A1"/>
    <w:rsid w:val="001F2B3D"/>
    <w:rsid w:val="00234E70"/>
    <w:rsid w:val="0024517B"/>
    <w:rsid w:val="00245F81"/>
    <w:rsid w:val="00267555"/>
    <w:rsid w:val="002703A7"/>
    <w:rsid w:val="00293AB5"/>
    <w:rsid w:val="0032329B"/>
    <w:rsid w:val="0032467B"/>
    <w:rsid w:val="00325155"/>
    <w:rsid w:val="00366256"/>
    <w:rsid w:val="003773AC"/>
    <w:rsid w:val="003C2961"/>
    <w:rsid w:val="00421883"/>
    <w:rsid w:val="00464C4A"/>
    <w:rsid w:val="004803FF"/>
    <w:rsid w:val="004D13DE"/>
    <w:rsid w:val="004E4A5C"/>
    <w:rsid w:val="005318B2"/>
    <w:rsid w:val="0054331D"/>
    <w:rsid w:val="0055120C"/>
    <w:rsid w:val="00566C63"/>
    <w:rsid w:val="005B6170"/>
    <w:rsid w:val="005D1316"/>
    <w:rsid w:val="005D4921"/>
    <w:rsid w:val="006238E0"/>
    <w:rsid w:val="00674861"/>
    <w:rsid w:val="00697518"/>
    <w:rsid w:val="006A1D8A"/>
    <w:rsid w:val="006A7AAF"/>
    <w:rsid w:val="006E147D"/>
    <w:rsid w:val="006E675E"/>
    <w:rsid w:val="00732413"/>
    <w:rsid w:val="00763214"/>
    <w:rsid w:val="007855F8"/>
    <w:rsid w:val="007A64FE"/>
    <w:rsid w:val="00843C5D"/>
    <w:rsid w:val="008A5295"/>
    <w:rsid w:val="008B054B"/>
    <w:rsid w:val="008F77FC"/>
    <w:rsid w:val="009105BD"/>
    <w:rsid w:val="00960999"/>
    <w:rsid w:val="0096501F"/>
    <w:rsid w:val="00991A07"/>
    <w:rsid w:val="00994DDA"/>
    <w:rsid w:val="009F738E"/>
    <w:rsid w:val="00A032A0"/>
    <w:rsid w:val="00A3660B"/>
    <w:rsid w:val="00A52863"/>
    <w:rsid w:val="00A647D2"/>
    <w:rsid w:val="00A76965"/>
    <w:rsid w:val="00A86BD7"/>
    <w:rsid w:val="00AA591F"/>
    <w:rsid w:val="00AB09FA"/>
    <w:rsid w:val="00AB32E7"/>
    <w:rsid w:val="00AD4117"/>
    <w:rsid w:val="00AE73A6"/>
    <w:rsid w:val="00AF5E31"/>
    <w:rsid w:val="00B633C8"/>
    <w:rsid w:val="00B96BDE"/>
    <w:rsid w:val="00BE273F"/>
    <w:rsid w:val="00C34168"/>
    <w:rsid w:val="00C90AEE"/>
    <w:rsid w:val="00CC0669"/>
    <w:rsid w:val="00CC72CC"/>
    <w:rsid w:val="00CD1949"/>
    <w:rsid w:val="00D22618"/>
    <w:rsid w:val="00D3667D"/>
    <w:rsid w:val="00D808EB"/>
    <w:rsid w:val="00DC5187"/>
    <w:rsid w:val="00DE1E98"/>
    <w:rsid w:val="00DE241C"/>
    <w:rsid w:val="00DF62F8"/>
    <w:rsid w:val="00E031CA"/>
    <w:rsid w:val="00E24F5A"/>
    <w:rsid w:val="00E447C0"/>
    <w:rsid w:val="00E60C13"/>
    <w:rsid w:val="00E74189"/>
    <w:rsid w:val="00EC378A"/>
    <w:rsid w:val="00EE5192"/>
    <w:rsid w:val="00F07EF0"/>
    <w:rsid w:val="00F4328A"/>
    <w:rsid w:val="00F54518"/>
    <w:rsid w:val="00F60C80"/>
    <w:rsid w:val="00F63966"/>
    <w:rsid w:val="00F712EB"/>
    <w:rsid w:val="00F74DE4"/>
    <w:rsid w:val="00F84CDA"/>
    <w:rsid w:val="00FB0EBD"/>
    <w:rsid w:val="00FF429F"/>
    <w:rsid w:val="01B33166"/>
    <w:rsid w:val="021B4B04"/>
    <w:rsid w:val="02C7446E"/>
    <w:rsid w:val="03342211"/>
    <w:rsid w:val="03954CCD"/>
    <w:rsid w:val="03C954C3"/>
    <w:rsid w:val="03D67A70"/>
    <w:rsid w:val="05584BFF"/>
    <w:rsid w:val="057E7581"/>
    <w:rsid w:val="06237294"/>
    <w:rsid w:val="06304066"/>
    <w:rsid w:val="068549B5"/>
    <w:rsid w:val="06FB6AE4"/>
    <w:rsid w:val="079A5E1F"/>
    <w:rsid w:val="07D14494"/>
    <w:rsid w:val="07DD377C"/>
    <w:rsid w:val="08473432"/>
    <w:rsid w:val="098B7F60"/>
    <w:rsid w:val="0A581AC5"/>
    <w:rsid w:val="0AC3446A"/>
    <w:rsid w:val="0B4756A5"/>
    <w:rsid w:val="0B840EB2"/>
    <w:rsid w:val="0BCB51AB"/>
    <w:rsid w:val="0C062EB4"/>
    <w:rsid w:val="0C5408F5"/>
    <w:rsid w:val="0CBE7B13"/>
    <w:rsid w:val="0D1C2526"/>
    <w:rsid w:val="0D8B2A97"/>
    <w:rsid w:val="0EF13509"/>
    <w:rsid w:val="0F0D11D7"/>
    <w:rsid w:val="0F565A23"/>
    <w:rsid w:val="0FB005D0"/>
    <w:rsid w:val="0FED5CB0"/>
    <w:rsid w:val="10D51D37"/>
    <w:rsid w:val="11265E34"/>
    <w:rsid w:val="12267A2E"/>
    <w:rsid w:val="14BA32D3"/>
    <w:rsid w:val="14C0460B"/>
    <w:rsid w:val="1578401C"/>
    <w:rsid w:val="15A03356"/>
    <w:rsid w:val="1649235D"/>
    <w:rsid w:val="164A478D"/>
    <w:rsid w:val="17065ED6"/>
    <w:rsid w:val="17D968EC"/>
    <w:rsid w:val="17ED4848"/>
    <w:rsid w:val="183D517A"/>
    <w:rsid w:val="189F53D1"/>
    <w:rsid w:val="18CA1249"/>
    <w:rsid w:val="19BF52C1"/>
    <w:rsid w:val="19C54816"/>
    <w:rsid w:val="1AA364B9"/>
    <w:rsid w:val="1B24020D"/>
    <w:rsid w:val="1C3A58FC"/>
    <w:rsid w:val="1C7B4075"/>
    <w:rsid w:val="1C9E2AC2"/>
    <w:rsid w:val="1D254AED"/>
    <w:rsid w:val="1D9D67FE"/>
    <w:rsid w:val="1DD12B86"/>
    <w:rsid w:val="1E2E5C51"/>
    <w:rsid w:val="1EB368E9"/>
    <w:rsid w:val="1F016D9C"/>
    <w:rsid w:val="1F0428F1"/>
    <w:rsid w:val="1F4417E4"/>
    <w:rsid w:val="1FCC484C"/>
    <w:rsid w:val="20236AB5"/>
    <w:rsid w:val="20495C51"/>
    <w:rsid w:val="20BA3B95"/>
    <w:rsid w:val="20FE5DC5"/>
    <w:rsid w:val="21515CAD"/>
    <w:rsid w:val="21AA2107"/>
    <w:rsid w:val="22115702"/>
    <w:rsid w:val="222E52AD"/>
    <w:rsid w:val="229B0B2D"/>
    <w:rsid w:val="22B77B04"/>
    <w:rsid w:val="22D724A9"/>
    <w:rsid w:val="22DF7D15"/>
    <w:rsid w:val="23870B3B"/>
    <w:rsid w:val="23DD3A35"/>
    <w:rsid w:val="24174069"/>
    <w:rsid w:val="25321FE3"/>
    <w:rsid w:val="259C54CD"/>
    <w:rsid w:val="25D244AB"/>
    <w:rsid w:val="262214EB"/>
    <w:rsid w:val="269C3827"/>
    <w:rsid w:val="27393EDB"/>
    <w:rsid w:val="278C32B3"/>
    <w:rsid w:val="27E678C5"/>
    <w:rsid w:val="27F01735"/>
    <w:rsid w:val="28B960E5"/>
    <w:rsid w:val="296A348A"/>
    <w:rsid w:val="2A1853C2"/>
    <w:rsid w:val="2AB5239B"/>
    <w:rsid w:val="2AFC46CD"/>
    <w:rsid w:val="2B8D3D7E"/>
    <w:rsid w:val="2C6126CD"/>
    <w:rsid w:val="2DFB01CE"/>
    <w:rsid w:val="2E47051C"/>
    <w:rsid w:val="2E5C36B8"/>
    <w:rsid w:val="2EB13EE2"/>
    <w:rsid w:val="2F001D22"/>
    <w:rsid w:val="2F5B11AC"/>
    <w:rsid w:val="2F9F606F"/>
    <w:rsid w:val="2FAF2AD9"/>
    <w:rsid w:val="30512E6C"/>
    <w:rsid w:val="30EB0645"/>
    <w:rsid w:val="310213EE"/>
    <w:rsid w:val="31431CFC"/>
    <w:rsid w:val="31894C61"/>
    <w:rsid w:val="319D6903"/>
    <w:rsid w:val="336B2704"/>
    <w:rsid w:val="33AE1198"/>
    <w:rsid w:val="34072221"/>
    <w:rsid w:val="3466117B"/>
    <w:rsid w:val="3495336C"/>
    <w:rsid w:val="34F26562"/>
    <w:rsid w:val="363C0B02"/>
    <w:rsid w:val="367F7259"/>
    <w:rsid w:val="369A5390"/>
    <w:rsid w:val="36A91327"/>
    <w:rsid w:val="3788262C"/>
    <w:rsid w:val="37D20E92"/>
    <w:rsid w:val="38FC515E"/>
    <w:rsid w:val="39461192"/>
    <w:rsid w:val="39531E7E"/>
    <w:rsid w:val="3A5E5394"/>
    <w:rsid w:val="3A6613FE"/>
    <w:rsid w:val="3A6D3088"/>
    <w:rsid w:val="3A926037"/>
    <w:rsid w:val="3B0D36C4"/>
    <w:rsid w:val="3B7C35E7"/>
    <w:rsid w:val="3B8704DF"/>
    <w:rsid w:val="3BB06297"/>
    <w:rsid w:val="3C9D157A"/>
    <w:rsid w:val="3CC32D28"/>
    <w:rsid w:val="3D7B3A9F"/>
    <w:rsid w:val="3D9C5583"/>
    <w:rsid w:val="3ED8558A"/>
    <w:rsid w:val="3F10198E"/>
    <w:rsid w:val="3F47042A"/>
    <w:rsid w:val="40D13D4F"/>
    <w:rsid w:val="41393A05"/>
    <w:rsid w:val="431F4F79"/>
    <w:rsid w:val="43392225"/>
    <w:rsid w:val="43A752EA"/>
    <w:rsid w:val="43B52E3C"/>
    <w:rsid w:val="44983721"/>
    <w:rsid w:val="45CC45BA"/>
    <w:rsid w:val="46375FD9"/>
    <w:rsid w:val="4681375E"/>
    <w:rsid w:val="46AA58EF"/>
    <w:rsid w:val="46C77C41"/>
    <w:rsid w:val="47CC58C8"/>
    <w:rsid w:val="483A45B4"/>
    <w:rsid w:val="48CC6259"/>
    <w:rsid w:val="493D1B4B"/>
    <w:rsid w:val="4A5E7E53"/>
    <w:rsid w:val="4AB071A8"/>
    <w:rsid w:val="4ADF790C"/>
    <w:rsid w:val="4B0729A6"/>
    <w:rsid w:val="4BD76BC9"/>
    <w:rsid w:val="4BFE25C1"/>
    <w:rsid w:val="4CBD67E5"/>
    <w:rsid w:val="4CC058BC"/>
    <w:rsid w:val="4DDC07DF"/>
    <w:rsid w:val="4E091A94"/>
    <w:rsid w:val="4FF72D1A"/>
    <w:rsid w:val="50422A03"/>
    <w:rsid w:val="509F12F3"/>
    <w:rsid w:val="511D5715"/>
    <w:rsid w:val="51592BD2"/>
    <w:rsid w:val="518F276C"/>
    <w:rsid w:val="53D739B2"/>
    <w:rsid w:val="54170D06"/>
    <w:rsid w:val="563A5792"/>
    <w:rsid w:val="570E32F3"/>
    <w:rsid w:val="575F696C"/>
    <w:rsid w:val="592C5B0F"/>
    <w:rsid w:val="5B8336B1"/>
    <w:rsid w:val="5BA30CCD"/>
    <w:rsid w:val="5D8612FB"/>
    <w:rsid w:val="5DF86109"/>
    <w:rsid w:val="5E0C740C"/>
    <w:rsid w:val="5EFD075D"/>
    <w:rsid w:val="5F474103"/>
    <w:rsid w:val="5F887EC9"/>
    <w:rsid w:val="5FC913E7"/>
    <w:rsid w:val="5FF548A6"/>
    <w:rsid w:val="5FF92F99"/>
    <w:rsid w:val="60686C15"/>
    <w:rsid w:val="61D50BE1"/>
    <w:rsid w:val="621A17A6"/>
    <w:rsid w:val="62CA38AE"/>
    <w:rsid w:val="62CE6432"/>
    <w:rsid w:val="63D5191B"/>
    <w:rsid w:val="63D741AD"/>
    <w:rsid w:val="646628AF"/>
    <w:rsid w:val="66832779"/>
    <w:rsid w:val="66B76854"/>
    <w:rsid w:val="6A4F6F4E"/>
    <w:rsid w:val="6A7F1926"/>
    <w:rsid w:val="6A9448A2"/>
    <w:rsid w:val="6BE631C0"/>
    <w:rsid w:val="6CF82F88"/>
    <w:rsid w:val="6D531AA4"/>
    <w:rsid w:val="6D6C46DC"/>
    <w:rsid w:val="6E3B2E06"/>
    <w:rsid w:val="6E556835"/>
    <w:rsid w:val="6E7A4B8C"/>
    <w:rsid w:val="701F534D"/>
    <w:rsid w:val="70A350D3"/>
    <w:rsid w:val="70EF7EDF"/>
    <w:rsid w:val="721E301A"/>
    <w:rsid w:val="72A97308"/>
    <w:rsid w:val="739A38A7"/>
    <w:rsid w:val="748C7AC9"/>
    <w:rsid w:val="749613C5"/>
    <w:rsid w:val="749D6719"/>
    <w:rsid w:val="74EB2E95"/>
    <w:rsid w:val="765D458F"/>
    <w:rsid w:val="778847F7"/>
    <w:rsid w:val="77D20FA6"/>
    <w:rsid w:val="7A550E69"/>
    <w:rsid w:val="7B066262"/>
    <w:rsid w:val="7EF60C3B"/>
    <w:rsid w:val="7F616F6E"/>
    <w:rsid w:val="7FC3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style>
  <w:style w:type="paragraph" w:styleId="5">
    <w:name w:val="annotation text"/>
    <w:basedOn w:val="1"/>
    <w:link w:val="25"/>
    <w:unhideWhenUsed/>
    <w:qFormat/>
    <w:uiPriority w:val="0"/>
    <w:pPr>
      <w:jc w:val="left"/>
    </w:pPr>
    <w:rPr>
      <w:szCs w:val="24"/>
    </w:rPr>
  </w:style>
  <w:style w:type="paragraph" w:styleId="6">
    <w:name w:val="Plain Text"/>
    <w:basedOn w:val="1"/>
    <w:qFormat/>
    <w:uiPriority w:val="0"/>
    <w:rPr>
      <w:rFonts w:ascii="宋体" w:hAnsi="Courier New" w:cs="Times New Roman"/>
      <w:szCs w:val="21"/>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0"/>
    <w:qFormat/>
    <w:uiPriority w:val="0"/>
    <w:pPr>
      <w:pBdr>
        <w:bottom w:val="single" w:color="auto" w:sz="6" w:space="1"/>
      </w:pBdr>
      <w:tabs>
        <w:tab w:val="left" w:pos="-18731"/>
        <w:tab w:val="center" w:pos="-1080"/>
        <w:tab w:val="center" w:pos="4153"/>
        <w:tab w:val="right" w:pos="4320"/>
        <w:tab w:val="right" w:pos="8306"/>
      </w:tabs>
      <w:snapToGrid w:val="0"/>
      <w:jc w:val="center"/>
    </w:pPr>
    <w:rPr>
      <w:rFonts w:ascii="Calibri" w:hAnsi="Calibri"/>
      <w:kern w:val="0"/>
      <w:sz w:val="18"/>
      <w:szCs w:val="18"/>
    </w:rPr>
  </w:style>
  <w:style w:type="paragraph" w:customStyle="1" w:styleId="10">
    <w:name w:val="基准页眉样式"/>
    <w:basedOn w:val="2"/>
    <w:qFormat/>
    <w:uiPriority w:val="0"/>
    <w:pPr>
      <w:keepLines/>
      <w:tabs>
        <w:tab w:val="left" w:pos="-18731"/>
        <w:tab w:val="center" w:pos="-1080"/>
        <w:tab w:val="right" w:pos="4320"/>
      </w:tabs>
      <w:spacing w:after="0"/>
    </w:pPr>
  </w:style>
  <w:style w:type="paragraph" w:styleId="11">
    <w:name w:val="Normal (Web)"/>
    <w:basedOn w:val="1"/>
    <w:qFormat/>
    <w:uiPriority w:val="99"/>
    <w:pPr>
      <w:widowControl/>
      <w:spacing w:before="100" w:beforeAutospacing="1" w:after="100" w:afterAutospacing="1"/>
      <w:jc w:val="left"/>
    </w:pPr>
    <w:rPr>
      <w:rFonts w:ascii="宋体" w:hAnsi="宋体" w:cs="Times New Roman"/>
      <w:color w:val="000000"/>
      <w:kern w:val="0"/>
      <w:sz w:val="24"/>
      <w:szCs w:val="24"/>
    </w:rPr>
  </w:style>
  <w:style w:type="paragraph" w:styleId="12">
    <w:name w:val="Title"/>
    <w:basedOn w:val="1"/>
    <w:next w:val="1"/>
    <w:qFormat/>
    <w:uiPriority w:val="0"/>
    <w:pPr>
      <w:spacing w:before="240" w:after="60"/>
      <w:jc w:val="center"/>
      <w:outlineLvl w:val="0"/>
    </w:pPr>
    <w:rPr>
      <w:rFonts w:ascii="Arial" w:hAnsi="Arial" w:cs="Arial"/>
      <w:b/>
      <w:bCs/>
      <w:sz w:val="32"/>
      <w:szCs w:val="32"/>
    </w:rPr>
  </w:style>
  <w:style w:type="paragraph" w:styleId="13">
    <w:name w:val="annotation subject"/>
    <w:basedOn w:val="5"/>
    <w:next w:val="5"/>
    <w:link w:val="26"/>
    <w:qFormat/>
    <w:uiPriority w:val="0"/>
    <w:rPr>
      <w:b/>
      <w:bCs/>
      <w:szCs w:val="22"/>
    </w:rPr>
  </w:style>
  <w:style w:type="character" w:styleId="16">
    <w:name w:val="FollowedHyperlink"/>
    <w:basedOn w:val="15"/>
    <w:unhideWhenUsed/>
    <w:qFormat/>
    <w:uiPriority w:val="99"/>
    <w:rPr>
      <w:color w:val="800080"/>
      <w:u w:val="single"/>
    </w:rPr>
  </w:style>
  <w:style w:type="character" w:styleId="17">
    <w:name w:val="Hyperlink"/>
    <w:basedOn w:val="15"/>
    <w:unhideWhenUsed/>
    <w:qFormat/>
    <w:uiPriority w:val="99"/>
    <w:rPr>
      <w:color w:val="0000FF"/>
      <w:u w:val="single"/>
    </w:rPr>
  </w:style>
  <w:style w:type="character" w:styleId="18">
    <w:name w:val="annotation reference"/>
    <w:unhideWhenUsed/>
    <w:qFormat/>
    <w:uiPriority w:val="0"/>
    <w:rPr>
      <w:sz w:val="21"/>
      <w:szCs w:val="21"/>
    </w:rPr>
  </w:style>
  <w:style w:type="paragraph" w:styleId="19">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图"/>
    <w:basedOn w:val="1"/>
    <w:qFormat/>
    <w:uiPriority w:val="0"/>
    <w:pPr>
      <w:keepNext/>
      <w:adjustRightInd w:val="0"/>
      <w:spacing w:before="60" w:after="60" w:line="300" w:lineRule="auto"/>
      <w:jc w:val="center"/>
      <w:textAlignment w:val="center"/>
    </w:pPr>
    <w:rPr>
      <w:rFonts w:cs="Times New Roman"/>
      <w:spacing w:val="20"/>
      <w:kern w:val="0"/>
      <w:sz w:val="24"/>
      <w:szCs w:val="20"/>
    </w:rPr>
  </w:style>
  <w:style w:type="paragraph" w:styleId="21">
    <w:name w:val="List Paragraph"/>
    <w:basedOn w:val="1"/>
    <w:link w:val="22"/>
    <w:qFormat/>
    <w:uiPriority w:val="99"/>
    <w:pPr>
      <w:ind w:firstLine="420" w:firstLineChars="200"/>
    </w:pPr>
    <w:rPr>
      <w:rFonts w:ascii="Calibri" w:hAnsi="Calibri" w:cs="Times New Roman"/>
    </w:rPr>
  </w:style>
  <w:style w:type="character" w:customStyle="1" w:styleId="22">
    <w:name w:val="列出段落 Char"/>
    <w:link w:val="21"/>
    <w:qFormat/>
    <w:uiPriority w:val="99"/>
    <w:rPr>
      <w:rFonts w:ascii="Calibri" w:hAnsi="Calibri"/>
      <w:kern w:val="2"/>
      <w:sz w:val="21"/>
      <w:szCs w:val="22"/>
    </w:rPr>
  </w:style>
  <w:style w:type="character" w:customStyle="1" w:styleId="23">
    <w:name w:val="批注框文本 Char"/>
    <w:basedOn w:val="15"/>
    <w:link w:val="7"/>
    <w:qFormat/>
    <w:uiPriority w:val="0"/>
    <w:rPr>
      <w:rFonts w:cs="宋体"/>
      <w:kern w:val="2"/>
      <w:sz w:val="18"/>
      <w:szCs w:val="18"/>
    </w:rPr>
  </w:style>
  <w:style w:type="character" w:customStyle="1" w:styleId="24">
    <w:name w:val="font11"/>
    <w:basedOn w:val="15"/>
    <w:qFormat/>
    <w:uiPriority w:val="0"/>
    <w:rPr>
      <w:rFonts w:hint="eastAsia" w:ascii="宋体" w:hAnsi="宋体" w:eastAsia="宋体" w:cs="宋体"/>
      <w:b/>
      <w:color w:val="000000"/>
      <w:sz w:val="24"/>
      <w:szCs w:val="24"/>
      <w:u w:val="none"/>
    </w:rPr>
  </w:style>
  <w:style w:type="character" w:customStyle="1" w:styleId="25">
    <w:name w:val="批注文字 Char"/>
    <w:basedOn w:val="15"/>
    <w:link w:val="5"/>
    <w:qFormat/>
    <w:uiPriority w:val="0"/>
    <w:rPr>
      <w:rFonts w:cs="宋体"/>
      <w:kern w:val="2"/>
      <w:sz w:val="21"/>
      <w:szCs w:val="24"/>
    </w:rPr>
  </w:style>
  <w:style w:type="character" w:customStyle="1" w:styleId="26">
    <w:name w:val="批注主题 Char"/>
    <w:basedOn w:val="25"/>
    <w:link w:val="13"/>
    <w:qFormat/>
    <w:uiPriority w:val="0"/>
    <w:rPr>
      <w:rFonts w:cs="宋体"/>
      <w:b/>
      <w:bCs/>
      <w:kern w:val="2"/>
      <w:sz w:val="21"/>
      <w:szCs w:val="22"/>
    </w:rPr>
  </w:style>
  <w:style w:type="character" w:customStyle="1" w:styleId="27">
    <w:name w:val="正文文本 Char"/>
    <w:basedOn w:val="15"/>
    <w:link w:val="2"/>
    <w:qFormat/>
    <w:uiPriority w:val="99"/>
    <w:rPr>
      <w:rFonts w:cs="宋体"/>
      <w:kern w:val="2"/>
      <w:sz w:val="21"/>
      <w:szCs w:val="22"/>
    </w:rPr>
  </w:style>
  <w:style w:type="paragraph" w:customStyle="1" w:styleId="28">
    <w:name w:val="xl65"/>
    <w:basedOn w:val="1"/>
    <w:qFormat/>
    <w:uiPriority w:val="0"/>
    <w:pPr>
      <w:widowControl/>
      <w:shd w:val="clear" w:color="000000" w:fill="FFFFFF"/>
      <w:spacing w:before="100" w:beforeAutospacing="1" w:after="100" w:afterAutospacing="1"/>
      <w:jc w:val="center"/>
    </w:pPr>
    <w:rPr>
      <w:rFonts w:ascii="宋体" w:hAnsi="宋体"/>
      <w:kern w:val="0"/>
      <w:sz w:val="24"/>
      <w:szCs w:val="24"/>
    </w:rPr>
  </w:style>
  <w:style w:type="paragraph" w:customStyle="1" w:styleId="2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4"/>
      <w:szCs w:val="24"/>
    </w:rPr>
  </w:style>
  <w:style w:type="paragraph" w:customStyle="1" w:styleId="3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4"/>
      <w:szCs w:val="24"/>
    </w:rPr>
  </w:style>
  <w:style w:type="paragraph" w:customStyle="1" w:styleId="3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4"/>
      <w:szCs w:val="24"/>
    </w:rPr>
  </w:style>
  <w:style w:type="paragraph" w:customStyle="1" w:styleId="3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4"/>
      <w:szCs w:val="24"/>
    </w:rPr>
  </w:style>
  <w:style w:type="paragraph" w:customStyle="1" w:styleId="3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4"/>
      <w:szCs w:val="24"/>
    </w:rPr>
  </w:style>
  <w:style w:type="paragraph" w:customStyle="1" w:styleId="34">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4"/>
      <w:szCs w:val="24"/>
    </w:rPr>
  </w:style>
  <w:style w:type="paragraph" w:customStyle="1" w:styleId="35">
    <w:name w:val="xl72"/>
    <w:basedOn w:val="1"/>
    <w:qFormat/>
    <w:uiPriority w:val="0"/>
    <w:pPr>
      <w:widowControl/>
      <w:spacing w:before="100" w:beforeAutospacing="1" w:after="100" w:afterAutospacing="1"/>
      <w:jc w:val="center"/>
    </w:pPr>
    <w:rPr>
      <w:rFonts w:ascii="宋体" w:hAnsi="宋体"/>
      <w:color w:val="000000"/>
      <w:kern w:val="0"/>
      <w:sz w:val="24"/>
      <w:szCs w:val="24"/>
    </w:rPr>
  </w:style>
  <w:style w:type="paragraph" w:customStyle="1" w:styleId="36">
    <w:name w:val="xl73"/>
    <w:basedOn w:val="1"/>
    <w:qFormat/>
    <w:uiPriority w:val="0"/>
    <w:pPr>
      <w:widowControl/>
      <w:spacing w:before="100" w:beforeAutospacing="1" w:after="100" w:afterAutospacing="1"/>
      <w:jc w:val="center"/>
    </w:pPr>
    <w:rPr>
      <w:rFonts w:ascii="宋体" w:hAnsi="宋体"/>
      <w:color w:val="000000"/>
      <w:kern w:val="0"/>
      <w:sz w:val="24"/>
      <w:szCs w:val="24"/>
    </w:rPr>
  </w:style>
  <w:style w:type="paragraph" w:customStyle="1" w:styleId="3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szCs w:val="24"/>
    </w:rPr>
  </w:style>
  <w:style w:type="paragraph" w:customStyle="1" w:styleId="3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szCs w:val="24"/>
    </w:rPr>
  </w:style>
  <w:style w:type="paragraph" w:customStyle="1" w:styleId="3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szCs w:val="24"/>
    </w:rPr>
  </w:style>
  <w:style w:type="character" w:customStyle="1" w:styleId="40">
    <w:name w:val="font51"/>
    <w:basedOn w:val="1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22</Pages>
  <Words>11462</Words>
  <Characters>13948</Characters>
  <Lines>78</Lines>
  <Paragraphs>22</Paragraphs>
  <TotalTime>326</TotalTime>
  <ScaleCrop>false</ScaleCrop>
  <LinksUpToDate>false</LinksUpToDate>
  <CharactersWithSpaces>14252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2023-11-21T06:39:00Z</dcterms:created>
  <dc:creator>海阔天空</dc:creator>
  <cp:lastModifiedBy>云采链</cp:lastModifiedBy>
  <cp:lastPrinted>2023-11-21T06:40:00Z</cp:lastPrinted>
  <dcterms:modified xsi:type="dcterms:W3CDTF">2024-06-03T06:48:36Z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793353E34C83427B8B674C484E8942F0_13</vt:lpwstr>
  </property>
</Properties>
</file>